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7A872" w14:textId="77777777" w:rsidR="00D55F31" w:rsidRDefault="001D7420" w:rsidP="00876EE8">
      <w:pPr>
        <w:jc w:val="center"/>
        <w:rPr>
          <w:rFonts w:cstheme="minorHAnsi"/>
          <w:color w:val="000000" w:themeColor="text1"/>
        </w:rPr>
      </w:pPr>
      <w:r w:rsidRPr="00A22856">
        <w:rPr>
          <w:rFonts w:cstheme="minorHAnsi"/>
          <w:noProof/>
          <w:color w:val="000000" w:themeColor="text1"/>
        </w:rPr>
        <w:drawing>
          <wp:anchor distT="0" distB="0" distL="114300" distR="114300" simplePos="0" relativeHeight="251658240" behindDoc="0" locked="0" layoutInCell="1" allowOverlap="1" wp14:anchorId="06298879" wp14:editId="02654408">
            <wp:simplePos x="0" y="0"/>
            <wp:positionH relativeFrom="column">
              <wp:posOffset>2480310</wp:posOffset>
            </wp:positionH>
            <wp:positionV relativeFrom="paragraph">
              <wp:posOffset>8559</wp:posOffset>
            </wp:positionV>
            <wp:extent cx="791210" cy="559435"/>
            <wp:effectExtent l="0" t="0" r="8890" b="0"/>
            <wp:wrapTopAndBottom/>
            <wp:docPr id="2" name="obrázek 2"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08651" name="Picture 2" descr="NKU_LOGO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1210" cy="559435"/>
                    </a:xfrm>
                    <a:prstGeom prst="rect">
                      <a:avLst/>
                    </a:prstGeom>
                    <a:noFill/>
                  </pic:spPr>
                </pic:pic>
              </a:graphicData>
            </a:graphic>
          </wp:anchor>
        </w:drawing>
      </w:r>
    </w:p>
    <w:p w14:paraId="3705CF8B" w14:textId="77777777" w:rsidR="00876EE8" w:rsidRDefault="00876EE8" w:rsidP="00876EE8">
      <w:pPr>
        <w:jc w:val="center"/>
        <w:rPr>
          <w:rFonts w:cstheme="minorHAnsi"/>
          <w:color w:val="000000" w:themeColor="text1"/>
        </w:rPr>
      </w:pPr>
    </w:p>
    <w:p w14:paraId="74F7CED3" w14:textId="77777777" w:rsidR="00876EE8" w:rsidRPr="00CC5E59" w:rsidRDefault="00876EE8" w:rsidP="00876EE8">
      <w:pPr>
        <w:jc w:val="center"/>
        <w:rPr>
          <w:rFonts w:cstheme="minorHAnsi"/>
          <w:color w:val="000000" w:themeColor="text1"/>
        </w:rPr>
      </w:pPr>
    </w:p>
    <w:p w14:paraId="61C671DB" w14:textId="77777777" w:rsidR="00D55F31" w:rsidRPr="006E635F" w:rsidRDefault="001D7420" w:rsidP="00D06914">
      <w:pPr>
        <w:pStyle w:val="TextKP"/>
        <w:jc w:val="center"/>
        <w:outlineLvl w:val="0"/>
        <w:rPr>
          <w:b/>
          <w:sz w:val="28"/>
        </w:rPr>
      </w:pPr>
      <w:bookmarkStart w:id="0" w:name="_GoBack"/>
      <w:r w:rsidRPr="006E635F">
        <w:rPr>
          <w:b/>
          <w:sz w:val="28"/>
        </w:rPr>
        <w:t>Kontrolní závěr z kontrolní akce</w:t>
      </w:r>
    </w:p>
    <w:p w14:paraId="150ACC7B" w14:textId="77777777" w:rsidR="005278A2" w:rsidRDefault="005278A2" w:rsidP="1BDD3FC5">
      <w:pPr>
        <w:pStyle w:val="TextKP"/>
        <w:spacing w:line="259" w:lineRule="auto"/>
        <w:jc w:val="center"/>
        <w:rPr>
          <w:b/>
          <w:bCs/>
          <w:sz w:val="28"/>
          <w:szCs w:val="28"/>
        </w:rPr>
      </w:pPr>
      <w:r w:rsidRPr="1BDD3FC5">
        <w:rPr>
          <w:b/>
          <w:bCs/>
          <w:sz w:val="28"/>
          <w:szCs w:val="28"/>
        </w:rPr>
        <w:t>20</w:t>
      </w:r>
      <w:r w:rsidR="001D7420" w:rsidRPr="1BDD3FC5">
        <w:rPr>
          <w:b/>
          <w:bCs/>
          <w:sz w:val="28"/>
          <w:szCs w:val="28"/>
        </w:rPr>
        <w:t>/</w:t>
      </w:r>
      <w:r w:rsidR="00554FD1" w:rsidRPr="1BDD3FC5">
        <w:rPr>
          <w:b/>
          <w:bCs/>
          <w:sz w:val="28"/>
          <w:szCs w:val="28"/>
        </w:rPr>
        <w:t>0</w:t>
      </w:r>
      <w:r w:rsidRPr="1BDD3FC5">
        <w:rPr>
          <w:b/>
          <w:bCs/>
          <w:sz w:val="28"/>
          <w:szCs w:val="28"/>
        </w:rPr>
        <w:t>5</w:t>
      </w:r>
    </w:p>
    <w:p w14:paraId="5A535011" w14:textId="77777777" w:rsidR="00D55F31" w:rsidRDefault="005278A2" w:rsidP="00912B63">
      <w:pPr>
        <w:jc w:val="center"/>
        <w:rPr>
          <w:rFonts w:ascii="Calibri" w:hAnsi="Calibri" w:cs="Calibri"/>
          <w:b/>
          <w:color w:val="000000" w:themeColor="text1"/>
          <w:sz w:val="28"/>
        </w:rPr>
      </w:pPr>
      <w:r>
        <w:rPr>
          <w:rFonts w:ascii="Calibri" w:hAnsi="Calibri" w:cs="Calibri"/>
          <w:b/>
          <w:color w:val="000000" w:themeColor="text1"/>
          <w:sz w:val="28"/>
        </w:rPr>
        <w:t>Podpora energetických úspor u veřejných budov</w:t>
      </w:r>
    </w:p>
    <w:bookmarkEnd w:id="0"/>
    <w:p w14:paraId="49337DA8" w14:textId="77777777" w:rsidR="00876EE8" w:rsidRDefault="00876EE8" w:rsidP="00876EE8">
      <w:pPr>
        <w:rPr>
          <w:rFonts w:cstheme="minorHAnsi"/>
          <w:color w:val="000000" w:themeColor="text1"/>
        </w:rPr>
      </w:pPr>
    </w:p>
    <w:p w14:paraId="57687BEF" w14:textId="77777777" w:rsidR="00876EE8" w:rsidRDefault="00876EE8" w:rsidP="00876EE8">
      <w:pPr>
        <w:rPr>
          <w:rFonts w:cstheme="minorHAnsi"/>
          <w:color w:val="000000" w:themeColor="text1"/>
        </w:rPr>
      </w:pPr>
    </w:p>
    <w:p w14:paraId="5E675ADC" w14:textId="0EEAC48F" w:rsidR="00D55F31" w:rsidRPr="00B16ECD" w:rsidRDefault="001D7420" w:rsidP="00876EE8">
      <w:pPr>
        <w:rPr>
          <w:rFonts w:cstheme="minorHAnsi"/>
          <w:b/>
          <w:bCs/>
          <w:color w:val="000000" w:themeColor="text1"/>
          <w:szCs w:val="24"/>
        </w:rPr>
      </w:pPr>
      <w:r w:rsidRPr="00B16ECD">
        <w:rPr>
          <w:rFonts w:cstheme="minorHAnsi"/>
          <w:color w:val="000000" w:themeColor="text1"/>
          <w:szCs w:val="24"/>
        </w:rPr>
        <w:t xml:space="preserve">Kontrolní akce byla zařazena do plánu kontrolní činnosti Nejvyššího kontrolního úřadu </w:t>
      </w:r>
      <w:r w:rsidR="00913E40">
        <w:rPr>
          <w:rFonts w:cstheme="minorHAnsi"/>
          <w:color w:val="000000" w:themeColor="text1"/>
          <w:szCs w:val="24"/>
        </w:rPr>
        <w:br/>
      </w:r>
      <w:r w:rsidRPr="00B16ECD">
        <w:rPr>
          <w:rFonts w:cstheme="minorHAnsi"/>
          <w:color w:val="000000" w:themeColor="text1"/>
          <w:szCs w:val="24"/>
        </w:rPr>
        <w:t>(dále</w:t>
      </w:r>
      <w:r w:rsidR="00913E40">
        <w:rPr>
          <w:rFonts w:cstheme="minorHAnsi"/>
          <w:color w:val="000000" w:themeColor="text1"/>
          <w:szCs w:val="24"/>
        </w:rPr>
        <w:t xml:space="preserve"> </w:t>
      </w:r>
      <w:r w:rsidRPr="00B16ECD">
        <w:rPr>
          <w:rFonts w:cstheme="minorHAnsi"/>
          <w:color w:val="000000" w:themeColor="text1"/>
          <w:szCs w:val="24"/>
        </w:rPr>
        <w:t>také „NKÚ“) na rok 20</w:t>
      </w:r>
      <w:r w:rsidR="005278A2">
        <w:rPr>
          <w:rFonts w:cstheme="minorHAnsi"/>
          <w:color w:val="000000" w:themeColor="text1"/>
          <w:szCs w:val="24"/>
        </w:rPr>
        <w:t>20</w:t>
      </w:r>
      <w:r w:rsidRPr="00B16ECD">
        <w:rPr>
          <w:rFonts w:cstheme="minorHAnsi"/>
          <w:color w:val="000000" w:themeColor="text1"/>
          <w:szCs w:val="24"/>
        </w:rPr>
        <w:t xml:space="preserve"> pod číslem </w:t>
      </w:r>
      <w:r w:rsidR="005278A2">
        <w:rPr>
          <w:rFonts w:cstheme="minorHAnsi"/>
          <w:color w:val="000000" w:themeColor="text1"/>
          <w:szCs w:val="24"/>
        </w:rPr>
        <w:t>20</w:t>
      </w:r>
      <w:r w:rsidRPr="00B16ECD">
        <w:rPr>
          <w:rFonts w:cstheme="minorHAnsi"/>
          <w:color w:val="000000" w:themeColor="text1"/>
          <w:szCs w:val="24"/>
        </w:rPr>
        <w:t>/</w:t>
      </w:r>
      <w:r w:rsidR="00554FD1">
        <w:rPr>
          <w:rFonts w:cstheme="minorHAnsi"/>
          <w:color w:val="000000" w:themeColor="text1"/>
          <w:szCs w:val="24"/>
        </w:rPr>
        <w:t>0</w:t>
      </w:r>
      <w:r w:rsidR="005278A2">
        <w:rPr>
          <w:rFonts w:cstheme="minorHAnsi"/>
          <w:color w:val="000000" w:themeColor="text1"/>
          <w:szCs w:val="24"/>
        </w:rPr>
        <w:t>5</w:t>
      </w:r>
      <w:r w:rsidRPr="00B16ECD">
        <w:rPr>
          <w:rFonts w:cstheme="minorHAnsi"/>
          <w:color w:val="000000" w:themeColor="text1"/>
          <w:szCs w:val="24"/>
        </w:rPr>
        <w:t>. Kontrolní akci řídil a</w:t>
      </w:r>
      <w:r w:rsidR="00E34290">
        <w:rPr>
          <w:rFonts w:cstheme="minorHAnsi"/>
          <w:color w:val="000000" w:themeColor="text1"/>
          <w:szCs w:val="24"/>
        </w:rPr>
        <w:t xml:space="preserve"> </w:t>
      </w:r>
      <w:r w:rsidRPr="00B16ECD">
        <w:rPr>
          <w:rFonts w:cstheme="minorHAnsi"/>
          <w:color w:val="000000" w:themeColor="text1"/>
          <w:szCs w:val="24"/>
        </w:rPr>
        <w:t xml:space="preserve">kontrolní závěr vypracoval člen NKÚ </w:t>
      </w:r>
      <w:r w:rsidR="005278A2">
        <w:rPr>
          <w:rFonts w:cstheme="minorHAnsi"/>
          <w:color w:val="000000" w:themeColor="text1"/>
          <w:szCs w:val="24"/>
        </w:rPr>
        <w:t>RNDr</w:t>
      </w:r>
      <w:r w:rsidRPr="00B16ECD">
        <w:rPr>
          <w:rFonts w:cstheme="minorHAnsi"/>
          <w:color w:val="000000" w:themeColor="text1"/>
          <w:szCs w:val="24"/>
        </w:rPr>
        <w:t>.</w:t>
      </w:r>
      <w:r w:rsidR="005278A2">
        <w:rPr>
          <w:rFonts w:cstheme="minorHAnsi"/>
          <w:color w:val="000000" w:themeColor="text1"/>
          <w:szCs w:val="24"/>
        </w:rPr>
        <w:t xml:space="preserve"> Petr Neuvirt.</w:t>
      </w:r>
    </w:p>
    <w:p w14:paraId="3E159E5C" w14:textId="77777777" w:rsidR="00ED1848" w:rsidRPr="00B16ECD" w:rsidRDefault="00ED1848" w:rsidP="00876EE8">
      <w:pPr>
        <w:rPr>
          <w:rFonts w:cstheme="minorHAnsi"/>
          <w:color w:val="000000" w:themeColor="text1"/>
          <w:szCs w:val="24"/>
        </w:rPr>
      </w:pPr>
    </w:p>
    <w:p w14:paraId="5E691399" w14:textId="77777777" w:rsidR="008B0FAE" w:rsidRPr="00B16ECD" w:rsidRDefault="001D7420" w:rsidP="00AC339B">
      <w:pPr>
        <w:rPr>
          <w:rFonts w:eastAsia="Calibri"/>
        </w:rPr>
      </w:pPr>
      <w:r w:rsidRPr="00B16ECD">
        <w:t xml:space="preserve">Cílem kontrolní akce bylo </w:t>
      </w:r>
      <w:r w:rsidRPr="00B16ECD">
        <w:rPr>
          <w:rFonts w:eastAsia="Calibri"/>
        </w:rPr>
        <w:t>prověřit</w:t>
      </w:r>
      <w:r w:rsidR="005278A2">
        <w:rPr>
          <w:rFonts w:eastAsia="Calibri"/>
        </w:rPr>
        <w:t>, zda</w:t>
      </w:r>
      <w:r w:rsidR="00554FD1">
        <w:rPr>
          <w:rFonts w:eastAsia="Calibri"/>
        </w:rPr>
        <w:t xml:space="preserve"> peněžní prostředk</w:t>
      </w:r>
      <w:r w:rsidR="00BB24FC">
        <w:rPr>
          <w:rFonts w:eastAsia="Calibri"/>
        </w:rPr>
        <w:t>y</w:t>
      </w:r>
      <w:r w:rsidR="00554FD1">
        <w:rPr>
          <w:rFonts w:eastAsia="Calibri"/>
        </w:rPr>
        <w:t xml:space="preserve"> </w:t>
      </w:r>
      <w:r w:rsidR="005278A2">
        <w:rPr>
          <w:rFonts w:eastAsia="Calibri"/>
        </w:rPr>
        <w:t>určené na podporu energetických úspor u veřejných budov byly vynakládány v souladu s právními předpisy a zda přispěly k naplňování cílů stanovených evropskými a národními předpisy</w:t>
      </w:r>
      <w:r w:rsidRPr="00B16ECD">
        <w:rPr>
          <w:rFonts w:eastAsia="Calibri"/>
        </w:rPr>
        <w:t>.</w:t>
      </w:r>
    </w:p>
    <w:p w14:paraId="0021CF2B" w14:textId="77777777" w:rsidR="00ED1848" w:rsidRPr="00B16ECD" w:rsidRDefault="00ED1848" w:rsidP="00876EE8">
      <w:pPr>
        <w:rPr>
          <w:rFonts w:cstheme="minorHAnsi"/>
          <w:color w:val="000000" w:themeColor="text1"/>
          <w:szCs w:val="24"/>
        </w:rPr>
      </w:pPr>
    </w:p>
    <w:p w14:paraId="2C155E64" w14:textId="77777777" w:rsidR="003435D8" w:rsidRDefault="001D7420" w:rsidP="00876EE8">
      <w:pPr>
        <w:rPr>
          <w:rFonts w:cstheme="minorHAnsi"/>
          <w:color w:val="000000" w:themeColor="text1"/>
          <w:szCs w:val="24"/>
        </w:rPr>
      </w:pPr>
      <w:r w:rsidRPr="00B16ECD">
        <w:rPr>
          <w:rFonts w:cstheme="minorHAnsi"/>
          <w:color w:val="000000" w:themeColor="text1"/>
          <w:szCs w:val="24"/>
        </w:rPr>
        <w:t>Kontrola byla prov</w:t>
      </w:r>
      <w:r w:rsidR="00046471" w:rsidRPr="00B16ECD">
        <w:rPr>
          <w:rFonts w:cstheme="minorHAnsi"/>
          <w:color w:val="000000" w:themeColor="text1"/>
          <w:szCs w:val="24"/>
        </w:rPr>
        <w:t>áděna</w:t>
      </w:r>
      <w:r w:rsidRPr="00B16ECD">
        <w:rPr>
          <w:rFonts w:cstheme="minorHAnsi"/>
          <w:color w:val="000000" w:themeColor="text1"/>
          <w:szCs w:val="24"/>
        </w:rPr>
        <w:t xml:space="preserve"> u kontrolovan</w:t>
      </w:r>
      <w:r w:rsidR="00D74A3D">
        <w:rPr>
          <w:rFonts w:cstheme="minorHAnsi"/>
          <w:color w:val="000000" w:themeColor="text1"/>
          <w:szCs w:val="24"/>
        </w:rPr>
        <w:t>ých</w:t>
      </w:r>
      <w:r w:rsidRPr="00B16ECD">
        <w:rPr>
          <w:rFonts w:cstheme="minorHAnsi"/>
          <w:color w:val="000000" w:themeColor="text1"/>
          <w:szCs w:val="24"/>
        </w:rPr>
        <w:t xml:space="preserve"> osob v době od </w:t>
      </w:r>
      <w:r w:rsidR="00EC2E5F" w:rsidRPr="00C015EA">
        <w:rPr>
          <w:rFonts w:cstheme="minorHAnsi"/>
          <w:color w:val="000000" w:themeColor="text1"/>
          <w:szCs w:val="24"/>
        </w:rPr>
        <w:t>února</w:t>
      </w:r>
      <w:r w:rsidR="009221B7" w:rsidRPr="00C015EA">
        <w:rPr>
          <w:rFonts w:cstheme="minorHAnsi"/>
          <w:color w:val="000000" w:themeColor="text1"/>
          <w:szCs w:val="24"/>
        </w:rPr>
        <w:t xml:space="preserve"> </w:t>
      </w:r>
      <w:r w:rsidRPr="00C015EA">
        <w:rPr>
          <w:rFonts w:cstheme="minorHAnsi"/>
          <w:color w:val="000000" w:themeColor="text1"/>
          <w:szCs w:val="24"/>
        </w:rPr>
        <w:t xml:space="preserve">do </w:t>
      </w:r>
      <w:r w:rsidR="00C015EA" w:rsidRPr="00C015EA">
        <w:rPr>
          <w:rFonts w:cstheme="minorHAnsi"/>
          <w:color w:val="000000" w:themeColor="text1"/>
          <w:szCs w:val="24"/>
        </w:rPr>
        <w:t>listopadu</w:t>
      </w:r>
      <w:r w:rsidR="009221B7" w:rsidRPr="00B16ECD">
        <w:rPr>
          <w:rFonts w:cstheme="minorHAnsi"/>
          <w:color w:val="000000" w:themeColor="text1"/>
          <w:szCs w:val="24"/>
        </w:rPr>
        <w:t xml:space="preserve"> 20</w:t>
      </w:r>
      <w:r w:rsidR="00EC2E5F">
        <w:rPr>
          <w:rFonts w:cstheme="minorHAnsi"/>
          <w:color w:val="000000" w:themeColor="text1"/>
          <w:szCs w:val="24"/>
        </w:rPr>
        <w:t>20</w:t>
      </w:r>
      <w:r w:rsidR="00E05DA7">
        <w:rPr>
          <w:rFonts w:cstheme="minorHAnsi"/>
          <w:color w:val="000000" w:themeColor="text1"/>
          <w:szCs w:val="24"/>
        </w:rPr>
        <w:t>.</w:t>
      </w:r>
    </w:p>
    <w:p w14:paraId="4AD2FDE4" w14:textId="77777777" w:rsidR="003435D8" w:rsidRDefault="003435D8" w:rsidP="00876EE8">
      <w:pPr>
        <w:rPr>
          <w:rFonts w:cstheme="minorHAnsi"/>
          <w:color w:val="000000" w:themeColor="text1"/>
          <w:szCs w:val="24"/>
        </w:rPr>
      </w:pPr>
    </w:p>
    <w:p w14:paraId="1B62FAB5" w14:textId="77777777" w:rsidR="00D55F31" w:rsidRPr="00B16ECD" w:rsidRDefault="001D7420" w:rsidP="00876EE8">
      <w:pPr>
        <w:rPr>
          <w:rFonts w:cstheme="minorHAnsi"/>
          <w:color w:val="000000" w:themeColor="text1"/>
          <w:szCs w:val="24"/>
        </w:rPr>
      </w:pPr>
      <w:r w:rsidRPr="00B16ECD">
        <w:rPr>
          <w:rFonts w:cstheme="minorHAnsi"/>
          <w:color w:val="000000" w:themeColor="text1"/>
          <w:szCs w:val="24"/>
        </w:rPr>
        <w:t>Kontrolovaným obdobím byly roky 201</w:t>
      </w:r>
      <w:r w:rsidR="00EC2E5F">
        <w:rPr>
          <w:rFonts w:cstheme="minorHAnsi"/>
          <w:color w:val="000000" w:themeColor="text1"/>
          <w:szCs w:val="24"/>
        </w:rPr>
        <w:t>7</w:t>
      </w:r>
      <w:r w:rsidRPr="00B16ECD">
        <w:rPr>
          <w:rFonts w:cstheme="minorHAnsi"/>
          <w:color w:val="000000" w:themeColor="text1"/>
          <w:szCs w:val="24"/>
        </w:rPr>
        <w:t xml:space="preserve"> až 201</w:t>
      </w:r>
      <w:r w:rsidR="00EC2E5F">
        <w:rPr>
          <w:rFonts w:cstheme="minorHAnsi"/>
          <w:color w:val="000000" w:themeColor="text1"/>
          <w:szCs w:val="24"/>
        </w:rPr>
        <w:t>9</w:t>
      </w:r>
      <w:r w:rsidRPr="00B16ECD">
        <w:rPr>
          <w:rFonts w:cstheme="minorHAnsi"/>
          <w:color w:val="000000" w:themeColor="text1"/>
          <w:szCs w:val="24"/>
        </w:rPr>
        <w:t>, v případě věcných souvislostí i období předchozí a období následující.</w:t>
      </w:r>
    </w:p>
    <w:p w14:paraId="3F38B44A" w14:textId="77777777" w:rsidR="00ED1848" w:rsidRPr="00B16ECD" w:rsidRDefault="00ED1848" w:rsidP="00876EE8">
      <w:pPr>
        <w:rPr>
          <w:rFonts w:cstheme="minorHAnsi"/>
          <w:color w:val="000000" w:themeColor="text1"/>
          <w:szCs w:val="24"/>
        </w:rPr>
      </w:pPr>
    </w:p>
    <w:p w14:paraId="7D69601C" w14:textId="77777777" w:rsidR="00D55F31" w:rsidRDefault="001D7420" w:rsidP="00876EE8">
      <w:pPr>
        <w:rPr>
          <w:rFonts w:cstheme="minorHAnsi"/>
          <w:color w:val="000000" w:themeColor="text1"/>
          <w:szCs w:val="24"/>
        </w:rPr>
      </w:pPr>
      <w:r w:rsidRPr="00C856A3">
        <w:rPr>
          <w:rFonts w:cstheme="minorHAnsi"/>
          <w:color w:val="000000" w:themeColor="text1"/>
          <w:szCs w:val="24"/>
        </w:rPr>
        <w:t>Kontrolovan</w:t>
      </w:r>
      <w:r w:rsidR="00EC2E5F">
        <w:rPr>
          <w:rFonts w:cstheme="minorHAnsi"/>
          <w:color w:val="000000" w:themeColor="text1"/>
          <w:szCs w:val="24"/>
        </w:rPr>
        <w:t>é</w:t>
      </w:r>
      <w:r w:rsidRPr="00C856A3">
        <w:rPr>
          <w:rFonts w:cstheme="minorHAnsi"/>
          <w:color w:val="000000" w:themeColor="text1"/>
          <w:szCs w:val="24"/>
        </w:rPr>
        <w:t xml:space="preserve"> osob</w:t>
      </w:r>
      <w:r w:rsidR="00EC2E5F">
        <w:rPr>
          <w:rFonts w:cstheme="minorHAnsi"/>
          <w:color w:val="000000" w:themeColor="text1"/>
          <w:szCs w:val="24"/>
        </w:rPr>
        <w:t>y:</w:t>
      </w:r>
    </w:p>
    <w:p w14:paraId="4E98FB39" w14:textId="77777777" w:rsidR="00EC2E5F" w:rsidRPr="009E34BE" w:rsidRDefault="00EC2E5F" w:rsidP="00EC2E5F">
      <w:pPr>
        <w:pStyle w:val="BodyText21"/>
        <w:overflowPunct/>
        <w:autoSpaceDE/>
        <w:autoSpaceDN/>
        <w:adjustRightInd/>
        <w:spacing w:after="0"/>
        <w:textAlignment w:val="auto"/>
        <w:rPr>
          <w:rFonts w:cstheme="minorHAnsi"/>
          <w:color w:val="000000" w:themeColor="text1"/>
          <w:szCs w:val="24"/>
          <w:lang w:eastAsia="en-US"/>
        </w:rPr>
      </w:pPr>
      <w:r w:rsidRPr="009E34BE">
        <w:rPr>
          <w:rFonts w:cstheme="minorHAnsi"/>
          <w:color w:val="000000" w:themeColor="text1"/>
          <w:szCs w:val="24"/>
          <w:lang w:eastAsia="en-US"/>
        </w:rPr>
        <w:t>Ministerstvo financí (dále také „MF“);</w:t>
      </w:r>
    </w:p>
    <w:p w14:paraId="5DEA86A8" w14:textId="77777777" w:rsidR="00D55F31" w:rsidRPr="009E34BE" w:rsidRDefault="001D7420" w:rsidP="00876EE8">
      <w:pPr>
        <w:pStyle w:val="BodyText21"/>
        <w:overflowPunct/>
        <w:autoSpaceDE/>
        <w:autoSpaceDN/>
        <w:adjustRightInd/>
        <w:spacing w:after="0"/>
        <w:textAlignment w:val="auto"/>
        <w:rPr>
          <w:rFonts w:cstheme="minorHAnsi"/>
          <w:color w:val="000000" w:themeColor="text1"/>
          <w:szCs w:val="24"/>
          <w:lang w:eastAsia="en-US"/>
        </w:rPr>
      </w:pPr>
      <w:r w:rsidRPr="009E34BE">
        <w:rPr>
          <w:rFonts w:cstheme="minorHAnsi"/>
          <w:color w:val="000000" w:themeColor="text1"/>
          <w:szCs w:val="24"/>
          <w:lang w:eastAsia="en-US"/>
        </w:rPr>
        <w:t xml:space="preserve">Ministerstvo </w:t>
      </w:r>
      <w:r w:rsidR="00EC2E5F" w:rsidRPr="009E34BE">
        <w:rPr>
          <w:rFonts w:cstheme="minorHAnsi"/>
          <w:color w:val="000000" w:themeColor="text1"/>
          <w:szCs w:val="24"/>
          <w:lang w:eastAsia="en-US"/>
        </w:rPr>
        <w:t>průmyslu a obchodu</w:t>
      </w:r>
      <w:r w:rsidR="00554FD1" w:rsidRPr="009E34BE">
        <w:rPr>
          <w:rFonts w:cstheme="minorHAnsi"/>
          <w:color w:val="000000" w:themeColor="text1"/>
          <w:szCs w:val="24"/>
          <w:lang w:eastAsia="en-US"/>
        </w:rPr>
        <w:t xml:space="preserve"> </w:t>
      </w:r>
      <w:r w:rsidRPr="009E34BE">
        <w:rPr>
          <w:rFonts w:cstheme="minorHAnsi"/>
          <w:color w:val="000000" w:themeColor="text1"/>
          <w:szCs w:val="24"/>
          <w:lang w:eastAsia="en-US"/>
        </w:rPr>
        <w:t>(dále také „M</w:t>
      </w:r>
      <w:r w:rsidR="00554FD1" w:rsidRPr="009E34BE">
        <w:rPr>
          <w:rFonts w:cstheme="minorHAnsi"/>
          <w:color w:val="000000" w:themeColor="text1"/>
          <w:szCs w:val="24"/>
          <w:lang w:eastAsia="en-US"/>
        </w:rPr>
        <w:t>P</w:t>
      </w:r>
      <w:r w:rsidR="00EC2E5F" w:rsidRPr="009E34BE">
        <w:rPr>
          <w:rFonts w:cstheme="minorHAnsi"/>
          <w:color w:val="000000" w:themeColor="text1"/>
          <w:szCs w:val="24"/>
          <w:lang w:eastAsia="en-US"/>
        </w:rPr>
        <w:t>O</w:t>
      </w:r>
      <w:r w:rsidRPr="009E34BE">
        <w:rPr>
          <w:rFonts w:cstheme="minorHAnsi"/>
          <w:color w:val="000000" w:themeColor="text1"/>
          <w:szCs w:val="24"/>
          <w:lang w:eastAsia="en-US"/>
        </w:rPr>
        <w:t>“)</w:t>
      </w:r>
      <w:r w:rsidR="00EC2E5F" w:rsidRPr="009E34BE">
        <w:rPr>
          <w:rFonts w:cstheme="minorHAnsi"/>
          <w:color w:val="000000" w:themeColor="text1"/>
          <w:szCs w:val="24"/>
          <w:lang w:eastAsia="en-US"/>
        </w:rPr>
        <w:t>;</w:t>
      </w:r>
    </w:p>
    <w:p w14:paraId="093CC9C7" w14:textId="77777777" w:rsidR="00EC2E5F" w:rsidRPr="009E34BE" w:rsidRDefault="00EC2E5F" w:rsidP="00876EE8">
      <w:pPr>
        <w:pStyle w:val="BodyText21"/>
        <w:overflowPunct/>
        <w:autoSpaceDE/>
        <w:autoSpaceDN/>
        <w:adjustRightInd/>
        <w:spacing w:after="0"/>
        <w:textAlignment w:val="auto"/>
        <w:rPr>
          <w:rFonts w:cstheme="minorHAnsi"/>
          <w:color w:val="000000" w:themeColor="text1"/>
          <w:szCs w:val="24"/>
          <w:lang w:eastAsia="en-US"/>
        </w:rPr>
      </w:pPr>
      <w:r w:rsidRPr="009E34BE">
        <w:rPr>
          <w:rFonts w:cstheme="minorHAnsi"/>
          <w:color w:val="000000" w:themeColor="text1"/>
          <w:szCs w:val="24"/>
          <w:lang w:eastAsia="en-US"/>
        </w:rPr>
        <w:t>Ministerstvo životního prostředí (dále také „MŽP“);</w:t>
      </w:r>
    </w:p>
    <w:p w14:paraId="7C159C99" w14:textId="77777777" w:rsidR="00EC2E5F" w:rsidRPr="00B16ECD" w:rsidRDefault="00EC2E5F" w:rsidP="00876EE8">
      <w:pPr>
        <w:pStyle w:val="BodyText21"/>
        <w:overflowPunct/>
        <w:autoSpaceDE/>
        <w:autoSpaceDN/>
        <w:adjustRightInd/>
        <w:spacing w:after="0"/>
        <w:textAlignment w:val="auto"/>
        <w:rPr>
          <w:rFonts w:cstheme="minorHAnsi"/>
          <w:color w:val="000000" w:themeColor="text1"/>
          <w:szCs w:val="24"/>
          <w:lang w:eastAsia="en-US"/>
        </w:rPr>
      </w:pPr>
      <w:r w:rsidRPr="009E34BE">
        <w:rPr>
          <w:rFonts w:cstheme="minorHAnsi"/>
          <w:color w:val="000000" w:themeColor="text1"/>
          <w:szCs w:val="24"/>
          <w:lang w:eastAsia="en-US"/>
        </w:rPr>
        <w:t>Státní fond životního prostředí České republiky (dále také „SFŽP“).</w:t>
      </w:r>
    </w:p>
    <w:p w14:paraId="64259A75" w14:textId="77777777" w:rsidR="008B0FAE" w:rsidRPr="00B16ECD" w:rsidRDefault="008B0FAE" w:rsidP="00876EE8">
      <w:pPr>
        <w:pStyle w:val="Zkladntext"/>
        <w:rPr>
          <w:rFonts w:cstheme="minorHAnsi"/>
          <w:b w:val="0"/>
          <w:color w:val="000000" w:themeColor="text1"/>
          <w:sz w:val="24"/>
          <w:szCs w:val="24"/>
        </w:rPr>
      </w:pPr>
    </w:p>
    <w:p w14:paraId="11A36488" w14:textId="77777777" w:rsidR="00554FD1" w:rsidRPr="0044749C" w:rsidRDefault="00554FD1" w:rsidP="00554FD1">
      <w:pPr>
        <w:pStyle w:val="Zkladn"/>
        <w:spacing w:before="0"/>
        <w:rPr>
          <w:rFonts w:asciiTheme="minorHAnsi" w:hAnsiTheme="minorHAnsi" w:cstheme="minorHAnsi"/>
        </w:rPr>
      </w:pPr>
    </w:p>
    <w:p w14:paraId="445469B5" w14:textId="77777777" w:rsidR="00554FD1" w:rsidRPr="00554FD1" w:rsidRDefault="00554FD1" w:rsidP="00876EE8">
      <w:pPr>
        <w:pStyle w:val="Zkladntext"/>
        <w:rPr>
          <w:rFonts w:cstheme="minorHAnsi"/>
          <w:b w:val="0"/>
          <w:bCs w:val="0"/>
          <w:strike/>
          <w:color w:val="000000" w:themeColor="text1"/>
          <w:sz w:val="24"/>
          <w:szCs w:val="24"/>
        </w:rPr>
      </w:pPr>
    </w:p>
    <w:p w14:paraId="75681659" w14:textId="77777777" w:rsidR="008B0FAE" w:rsidRDefault="008B0FAE" w:rsidP="00876EE8">
      <w:pPr>
        <w:pStyle w:val="Zkladntext"/>
        <w:rPr>
          <w:rFonts w:cstheme="minorHAnsi"/>
          <w:b w:val="0"/>
          <w:bCs w:val="0"/>
          <w:color w:val="000000" w:themeColor="text1"/>
          <w:sz w:val="24"/>
          <w:szCs w:val="24"/>
        </w:rPr>
      </w:pPr>
    </w:p>
    <w:p w14:paraId="352E4D1E" w14:textId="77777777" w:rsidR="008B0FAE" w:rsidRDefault="008B0FAE" w:rsidP="00876EE8">
      <w:pPr>
        <w:pStyle w:val="Zkladntext"/>
        <w:rPr>
          <w:rFonts w:cstheme="minorHAnsi"/>
          <w:b w:val="0"/>
          <w:bCs w:val="0"/>
          <w:color w:val="000000" w:themeColor="text1"/>
          <w:sz w:val="24"/>
          <w:szCs w:val="24"/>
        </w:rPr>
      </w:pPr>
    </w:p>
    <w:p w14:paraId="4C514A3F" w14:textId="77777777" w:rsidR="00D55F31" w:rsidRPr="00B53D7A" w:rsidRDefault="001D7420" w:rsidP="00876EE8">
      <w:pPr>
        <w:pStyle w:val="Zkladntext"/>
        <w:spacing w:after="120"/>
        <w:rPr>
          <w:rFonts w:cstheme="minorHAnsi"/>
          <w:b w:val="0"/>
          <w:bCs w:val="0"/>
          <w:color w:val="000000" w:themeColor="text1"/>
          <w:sz w:val="24"/>
          <w:szCs w:val="24"/>
        </w:rPr>
      </w:pPr>
      <w:r w:rsidRPr="00B53D7A">
        <w:rPr>
          <w:rFonts w:cstheme="minorHAnsi"/>
          <w:i/>
          <w:iCs/>
          <w:color w:val="000000" w:themeColor="text1"/>
          <w:sz w:val="24"/>
          <w:szCs w:val="24"/>
        </w:rPr>
        <w:t>K o l e g i u m   N</w:t>
      </w:r>
      <w:r w:rsidR="00046471" w:rsidRPr="00B53D7A">
        <w:rPr>
          <w:rFonts w:cstheme="minorHAnsi"/>
          <w:i/>
          <w:iCs/>
          <w:color w:val="000000" w:themeColor="text1"/>
          <w:sz w:val="24"/>
          <w:szCs w:val="24"/>
        </w:rPr>
        <w:t xml:space="preserve"> </w:t>
      </w:r>
      <w:r w:rsidRPr="00B53D7A">
        <w:rPr>
          <w:rFonts w:cstheme="minorHAnsi"/>
          <w:i/>
          <w:iCs/>
          <w:color w:val="000000" w:themeColor="text1"/>
          <w:sz w:val="24"/>
          <w:szCs w:val="24"/>
        </w:rPr>
        <w:t>K</w:t>
      </w:r>
      <w:r w:rsidR="00046471" w:rsidRPr="00B53D7A">
        <w:rPr>
          <w:rFonts w:cstheme="minorHAnsi"/>
          <w:i/>
          <w:iCs/>
          <w:color w:val="000000" w:themeColor="text1"/>
          <w:sz w:val="24"/>
          <w:szCs w:val="24"/>
        </w:rPr>
        <w:t xml:space="preserve"> </w:t>
      </w:r>
      <w:r w:rsidRPr="00B53D7A">
        <w:rPr>
          <w:rFonts w:cstheme="minorHAnsi"/>
          <w:i/>
          <w:iCs/>
          <w:color w:val="000000" w:themeColor="text1"/>
          <w:sz w:val="24"/>
          <w:szCs w:val="24"/>
        </w:rPr>
        <w:t>Ú</w:t>
      </w:r>
      <w:r w:rsidRPr="00B53D7A">
        <w:rPr>
          <w:rFonts w:cstheme="minorHAnsi"/>
          <w:b w:val="0"/>
          <w:i/>
          <w:iCs/>
          <w:color w:val="000000" w:themeColor="text1"/>
          <w:sz w:val="24"/>
          <w:szCs w:val="24"/>
        </w:rPr>
        <w:t xml:space="preserve"> </w:t>
      </w:r>
      <w:r w:rsidR="00C44D5A" w:rsidRPr="00B53D7A">
        <w:rPr>
          <w:rFonts w:cstheme="minorHAnsi"/>
          <w:b w:val="0"/>
          <w:i/>
          <w:iCs/>
          <w:color w:val="000000" w:themeColor="text1"/>
          <w:sz w:val="24"/>
          <w:szCs w:val="24"/>
        </w:rPr>
        <w:t xml:space="preserve">  </w:t>
      </w:r>
      <w:r w:rsidRPr="00B53D7A">
        <w:rPr>
          <w:rFonts w:cstheme="minorHAnsi"/>
          <w:b w:val="0"/>
          <w:bCs w:val="0"/>
          <w:color w:val="000000" w:themeColor="text1"/>
          <w:sz w:val="24"/>
          <w:szCs w:val="24"/>
        </w:rPr>
        <w:t xml:space="preserve">na svém </w:t>
      </w:r>
      <w:r w:rsidR="0013337B">
        <w:rPr>
          <w:rFonts w:cstheme="minorHAnsi"/>
          <w:b w:val="0"/>
          <w:bCs w:val="0"/>
          <w:color w:val="000000" w:themeColor="text1"/>
          <w:sz w:val="24"/>
          <w:szCs w:val="24"/>
        </w:rPr>
        <w:t>IV.</w:t>
      </w:r>
      <w:r w:rsidR="00B53D7A">
        <w:rPr>
          <w:rFonts w:cstheme="minorHAnsi"/>
          <w:b w:val="0"/>
          <w:bCs w:val="0"/>
          <w:color w:val="000000" w:themeColor="text1"/>
          <w:sz w:val="24"/>
          <w:szCs w:val="24"/>
        </w:rPr>
        <w:t xml:space="preserve"> </w:t>
      </w:r>
      <w:r w:rsidR="00D54E1D" w:rsidRPr="00B53D7A">
        <w:rPr>
          <w:rFonts w:cstheme="minorHAnsi"/>
          <w:b w:val="0"/>
          <w:bCs w:val="0"/>
          <w:color w:val="000000" w:themeColor="text1"/>
          <w:sz w:val="24"/>
          <w:szCs w:val="24"/>
        </w:rPr>
        <w:t xml:space="preserve">jednání, které se konalo dne </w:t>
      </w:r>
      <w:r w:rsidR="0013337B">
        <w:rPr>
          <w:rFonts w:cstheme="minorHAnsi"/>
          <w:b w:val="0"/>
          <w:bCs w:val="0"/>
          <w:color w:val="000000" w:themeColor="text1"/>
          <w:sz w:val="24"/>
          <w:szCs w:val="24"/>
        </w:rPr>
        <w:t xml:space="preserve">22. února </w:t>
      </w:r>
      <w:r w:rsidR="006E084B" w:rsidRPr="00B53D7A">
        <w:rPr>
          <w:rFonts w:cstheme="minorHAnsi"/>
          <w:b w:val="0"/>
          <w:bCs w:val="0"/>
          <w:color w:val="000000" w:themeColor="text1"/>
          <w:sz w:val="24"/>
          <w:szCs w:val="24"/>
        </w:rPr>
        <w:t>2</w:t>
      </w:r>
      <w:r w:rsidR="00C44D5A" w:rsidRPr="00B53D7A">
        <w:rPr>
          <w:rFonts w:cstheme="minorHAnsi"/>
          <w:b w:val="0"/>
          <w:bCs w:val="0"/>
          <w:color w:val="000000" w:themeColor="text1"/>
          <w:sz w:val="24"/>
          <w:szCs w:val="24"/>
        </w:rPr>
        <w:t>0</w:t>
      </w:r>
      <w:r w:rsidR="00EC2E5F">
        <w:rPr>
          <w:rFonts w:cstheme="minorHAnsi"/>
          <w:b w:val="0"/>
          <w:bCs w:val="0"/>
          <w:color w:val="000000" w:themeColor="text1"/>
          <w:sz w:val="24"/>
          <w:szCs w:val="24"/>
        </w:rPr>
        <w:t>21</w:t>
      </w:r>
      <w:r w:rsidR="00046471" w:rsidRPr="00B53D7A">
        <w:rPr>
          <w:rFonts w:cstheme="minorHAnsi"/>
          <w:b w:val="0"/>
          <w:bCs w:val="0"/>
          <w:color w:val="000000" w:themeColor="text1"/>
          <w:sz w:val="24"/>
          <w:szCs w:val="24"/>
        </w:rPr>
        <w:t>,</w:t>
      </w:r>
    </w:p>
    <w:p w14:paraId="659A1E43" w14:textId="77777777" w:rsidR="00D55F31" w:rsidRPr="00B53D7A" w:rsidRDefault="001D7420" w:rsidP="00876EE8">
      <w:pPr>
        <w:spacing w:after="120"/>
        <w:rPr>
          <w:rFonts w:cstheme="minorHAnsi"/>
          <w:color w:val="000000" w:themeColor="text1"/>
        </w:rPr>
      </w:pPr>
      <w:r w:rsidRPr="00B53D7A">
        <w:rPr>
          <w:rFonts w:cstheme="minorHAnsi"/>
          <w:b/>
          <w:bCs/>
          <w:i/>
          <w:iCs/>
          <w:color w:val="000000" w:themeColor="text1"/>
        </w:rPr>
        <w:t>s c h v á l i l o</w:t>
      </w:r>
      <w:r w:rsidRPr="00B53D7A">
        <w:rPr>
          <w:rFonts w:cstheme="minorHAnsi"/>
          <w:color w:val="000000" w:themeColor="text1"/>
        </w:rPr>
        <w:t xml:space="preserve">   usnesením č. </w:t>
      </w:r>
      <w:r w:rsidR="000D4A83">
        <w:rPr>
          <w:rFonts w:cstheme="minorHAnsi"/>
          <w:color w:val="000000" w:themeColor="text1"/>
        </w:rPr>
        <w:t>9</w:t>
      </w:r>
      <w:r w:rsidRPr="00B53D7A">
        <w:rPr>
          <w:rFonts w:cstheme="minorHAnsi"/>
          <w:color w:val="000000" w:themeColor="text1"/>
        </w:rPr>
        <w:t>/</w:t>
      </w:r>
      <w:r w:rsidR="0013337B">
        <w:rPr>
          <w:rFonts w:cstheme="minorHAnsi"/>
          <w:color w:val="000000" w:themeColor="text1"/>
        </w:rPr>
        <w:t>IV</w:t>
      </w:r>
      <w:r w:rsidRPr="00B53D7A">
        <w:rPr>
          <w:rFonts w:cstheme="minorHAnsi"/>
          <w:color w:val="000000" w:themeColor="text1"/>
        </w:rPr>
        <w:t>/20</w:t>
      </w:r>
      <w:r w:rsidR="00EC2E5F">
        <w:rPr>
          <w:rFonts w:cstheme="minorHAnsi"/>
          <w:color w:val="000000" w:themeColor="text1"/>
        </w:rPr>
        <w:t>2</w:t>
      </w:r>
      <w:r w:rsidRPr="00B53D7A">
        <w:rPr>
          <w:rFonts w:cstheme="minorHAnsi"/>
          <w:color w:val="000000" w:themeColor="text1"/>
        </w:rPr>
        <w:t>1</w:t>
      </w:r>
    </w:p>
    <w:p w14:paraId="6487E633" w14:textId="77777777" w:rsidR="00D55F31" w:rsidRDefault="001D7420" w:rsidP="00876EE8">
      <w:pPr>
        <w:spacing w:after="120"/>
        <w:rPr>
          <w:rFonts w:cstheme="minorHAnsi"/>
          <w:color w:val="000000" w:themeColor="text1"/>
        </w:rPr>
      </w:pPr>
      <w:r w:rsidRPr="00B53D7A">
        <w:rPr>
          <w:rFonts w:cstheme="minorHAnsi"/>
          <w:b/>
          <w:bCs/>
          <w:i/>
          <w:iCs/>
          <w:color w:val="000000" w:themeColor="text1"/>
        </w:rPr>
        <w:t>k o n t r o l n í   z á v ě r</w:t>
      </w:r>
      <w:r w:rsidRPr="00B53D7A">
        <w:rPr>
          <w:rFonts w:cstheme="minorHAnsi"/>
          <w:color w:val="000000" w:themeColor="text1"/>
        </w:rPr>
        <w:t xml:space="preserve">   v tomto znění:</w:t>
      </w:r>
    </w:p>
    <w:p w14:paraId="4C972804" w14:textId="77777777" w:rsidR="002934E6" w:rsidRPr="00C44D5A" w:rsidRDefault="002934E6" w:rsidP="00876EE8">
      <w:pPr>
        <w:spacing w:after="120"/>
        <w:rPr>
          <w:rFonts w:cstheme="minorHAnsi"/>
          <w:color w:val="000000" w:themeColor="text1"/>
        </w:rPr>
      </w:pPr>
    </w:p>
    <w:p w14:paraId="5DE6F419" w14:textId="77777777" w:rsidR="002934E6" w:rsidRDefault="002934E6" w:rsidP="00912B63">
      <w:pPr>
        <w:rPr>
          <w:rFonts w:cstheme="minorHAnsi"/>
          <w:b/>
          <w:noProof/>
          <w:color w:val="000000" w:themeColor="text1"/>
        </w:rPr>
        <w:sectPr w:rsidR="002934E6" w:rsidSect="00E60983">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pPr>
    </w:p>
    <w:p w14:paraId="002F4A56" w14:textId="77777777" w:rsidR="00753311" w:rsidRDefault="00753311" w:rsidP="005156CF">
      <w:pPr>
        <w:jc w:val="center"/>
        <w:outlineLvl w:val="0"/>
        <w:rPr>
          <w:rFonts w:ascii="Calibri" w:hAnsi="Calibri"/>
          <w:b/>
          <w:noProof/>
        </w:rPr>
      </w:pPr>
      <w:r>
        <w:rPr>
          <w:rFonts w:ascii="Calibri" w:hAnsi="Calibri"/>
          <w:b/>
          <w:noProof/>
        </w:rPr>
        <w:lastRenderedPageBreak/>
        <w:t>Energetické úspory u veřejných budov</w:t>
      </w:r>
    </w:p>
    <w:p w14:paraId="31438442" w14:textId="77777777" w:rsidR="00753311" w:rsidRDefault="00753311" w:rsidP="00753311">
      <w:pPr>
        <w:jc w:val="center"/>
        <w:rPr>
          <w:rFonts w:ascii="Calibri" w:hAnsi="Calibri"/>
          <w:b/>
          <w:noProof/>
        </w:rPr>
      </w:pPr>
    </w:p>
    <w:p w14:paraId="0635A89B" w14:textId="77777777" w:rsidR="00753311" w:rsidRDefault="00753311" w:rsidP="00753311">
      <w:pPr>
        <w:jc w:val="center"/>
        <w:rPr>
          <w:rFonts w:ascii="Calibri" w:hAnsi="Calibri"/>
          <w:b/>
          <w:noProof/>
        </w:rPr>
      </w:pPr>
    </w:p>
    <w:p w14:paraId="5391EEE4" w14:textId="77777777" w:rsidR="00753311" w:rsidRDefault="00753311" w:rsidP="00753311">
      <w:pPr>
        <w:jc w:val="center"/>
        <w:rPr>
          <w:rFonts w:ascii="Calibri" w:hAnsi="Calibri"/>
          <w:b/>
          <w:noProof/>
        </w:rPr>
      </w:pPr>
    </w:p>
    <w:p w14:paraId="20867D97" w14:textId="77777777" w:rsidR="00753311" w:rsidRDefault="00753311" w:rsidP="00753311">
      <w:pPr>
        <w:jc w:val="center"/>
        <w:rPr>
          <w:rFonts w:ascii="Calibri" w:hAnsi="Calibri"/>
          <w:b/>
          <w:noProof/>
        </w:rPr>
      </w:pPr>
    </w:p>
    <w:tbl>
      <w:tblPr>
        <w:tblW w:w="5000" w:type="pct"/>
        <w:tblCellMar>
          <w:left w:w="10" w:type="dxa"/>
          <w:right w:w="10" w:type="dxa"/>
        </w:tblCellMar>
        <w:tblLook w:val="04A0" w:firstRow="1" w:lastRow="0" w:firstColumn="1" w:lastColumn="0" w:noHBand="0" w:noVBand="1"/>
      </w:tblPr>
      <w:tblGrid>
        <w:gridCol w:w="4535"/>
        <w:gridCol w:w="4535"/>
      </w:tblGrid>
      <w:tr w:rsidR="00753311" w14:paraId="283470DA" w14:textId="77777777" w:rsidTr="005156CF">
        <w:trPr>
          <w:trHeight w:val="397"/>
        </w:trPr>
        <w:tc>
          <w:tcPr>
            <w:tcW w:w="2500" w:type="pct"/>
            <w:shd w:val="clear" w:color="auto" w:fill="auto"/>
            <w:tcMar>
              <w:top w:w="0" w:type="dxa"/>
              <w:left w:w="108" w:type="dxa"/>
              <w:bottom w:w="0" w:type="dxa"/>
              <w:right w:w="108" w:type="dxa"/>
            </w:tcMar>
          </w:tcPr>
          <w:p w14:paraId="628CDEBF" w14:textId="77777777" w:rsidR="00753311" w:rsidRDefault="00753311" w:rsidP="005156CF">
            <w:pPr>
              <w:pStyle w:val="Pa18"/>
              <w:spacing w:line="240" w:lineRule="auto"/>
              <w:jc w:val="center"/>
            </w:pPr>
            <w:r>
              <w:rPr>
                <w:rStyle w:val="A14"/>
                <w:rFonts w:eastAsia="MS Gothic"/>
                <w:sz w:val="48"/>
                <w:szCs w:val="48"/>
              </w:rPr>
              <w:t xml:space="preserve">2,97 </w:t>
            </w:r>
            <w:r>
              <w:rPr>
                <w:rStyle w:val="A15"/>
                <w:rFonts w:eastAsia="MS Gothic"/>
                <w:b/>
                <w:sz w:val="48"/>
                <w:szCs w:val="48"/>
              </w:rPr>
              <w:t>mld. Kč</w:t>
            </w:r>
            <w:r>
              <w:rPr>
                <w:rStyle w:val="A15"/>
                <w:rFonts w:eastAsia="MS Gothic"/>
                <w:sz w:val="48"/>
                <w:szCs w:val="48"/>
              </w:rPr>
              <w:t xml:space="preserve"> </w:t>
            </w:r>
          </w:p>
        </w:tc>
        <w:tc>
          <w:tcPr>
            <w:tcW w:w="2500" w:type="pct"/>
            <w:shd w:val="clear" w:color="auto" w:fill="auto"/>
            <w:tcMar>
              <w:top w:w="0" w:type="dxa"/>
              <w:left w:w="108" w:type="dxa"/>
              <w:bottom w:w="0" w:type="dxa"/>
              <w:right w:w="108" w:type="dxa"/>
            </w:tcMar>
          </w:tcPr>
          <w:p w14:paraId="514A3DDF" w14:textId="77777777" w:rsidR="00753311" w:rsidRDefault="00753311" w:rsidP="005156CF">
            <w:pPr>
              <w:pStyle w:val="Pa18"/>
              <w:spacing w:line="240" w:lineRule="auto"/>
              <w:jc w:val="center"/>
            </w:pPr>
            <w:r>
              <w:rPr>
                <w:rStyle w:val="A14"/>
                <w:rFonts w:eastAsia="MS Gothic"/>
                <w:sz w:val="48"/>
                <w:szCs w:val="48"/>
              </w:rPr>
              <w:t>0,53 mld. Kč</w:t>
            </w:r>
          </w:p>
        </w:tc>
      </w:tr>
      <w:tr w:rsidR="00753311" w14:paraId="2CB93A4E" w14:textId="77777777" w:rsidTr="005156CF">
        <w:trPr>
          <w:trHeight w:val="794"/>
        </w:trPr>
        <w:tc>
          <w:tcPr>
            <w:tcW w:w="2500" w:type="pct"/>
            <w:shd w:val="clear" w:color="auto" w:fill="auto"/>
            <w:tcMar>
              <w:top w:w="0" w:type="dxa"/>
              <w:left w:w="108" w:type="dxa"/>
              <w:bottom w:w="0" w:type="dxa"/>
              <w:right w:w="108" w:type="dxa"/>
            </w:tcMar>
            <w:vAlign w:val="center"/>
          </w:tcPr>
          <w:p w14:paraId="7EDA10B1" w14:textId="4DF6FA64" w:rsidR="00753311" w:rsidRPr="003C33B5" w:rsidRDefault="00753311" w:rsidP="005156CF">
            <w:pPr>
              <w:pStyle w:val="Pa19"/>
              <w:spacing w:line="240" w:lineRule="auto"/>
              <w:jc w:val="center"/>
              <w:rPr>
                <w:color w:val="000000"/>
                <w:sz w:val="20"/>
                <w:szCs w:val="22"/>
              </w:rPr>
            </w:pPr>
            <w:r w:rsidRPr="003C33B5">
              <w:rPr>
                <w:color w:val="000000"/>
                <w:sz w:val="20"/>
                <w:szCs w:val="22"/>
              </w:rPr>
              <w:t>Prostředky vynaložené z </w:t>
            </w:r>
            <w:r w:rsidR="00366C71">
              <w:rPr>
                <w:color w:val="000000"/>
                <w:sz w:val="20"/>
                <w:szCs w:val="22"/>
              </w:rPr>
              <w:t>o</w:t>
            </w:r>
            <w:r w:rsidRPr="003C33B5">
              <w:rPr>
                <w:color w:val="000000"/>
                <w:sz w:val="20"/>
                <w:szCs w:val="22"/>
              </w:rPr>
              <w:t xml:space="preserve">peračního programu </w:t>
            </w:r>
            <w:r w:rsidRPr="00FC7CB7">
              <w:rPr>
                <w:i/>
                <w:color w:val="000000"/>
                <w:sz w:val="20"/>
                <w:szCs w:val="22"/>
              </w:rPr>
              <w:t>Životní prostředí 2014–2020</w:t>
            </w:r>
          </w:p>
          <w:p w14:paraId="0EBF4AAB" w14:textId="77777777" w:rsidR="00753311" w:rsidRPr="006B299C" w:rsidRDefault="00753311" w:rsidP="005156CF">
            <w:pPr>
              <w:pStyle w:val="Pa19"/>
              <w:spacing w:line="240" w:lineRule="auto"/>
              <w:jc w:val="center"/>
              <w:rPr>
                <w:sz w:val="22"/>
                <w:szCs w:val="22"/>
              </w:rPr>
            </w:pPr>
            <w:r w:rsidRPr="003C33B5">
              <w:rPr>
                <w:color w:val="000000"/>
                <w:sz w:val="20"/>
                <w:szCs w:val="22"/>
              </w:rPr>
              <w:t>(OPŽP)</w:t>
            </w:r>
          </w:p>
        </w:tc>
        <w:tc>
          <w:tcPr>
            <w:tcW w:w="2500" w:type="pct"/>
            <w:shd w:val="clear" w:color="auto" w:fill="auto"/>
            <w:tcMar>
              <w:top w:w="0" w:type="dxa"/>
              <w:left w:w="108" w:type="dxa"/>
              <w:bottom w:w="0" w:type="dxa"/>
              <w:right w:w="108" w:type="dxa"/>
            </w:tcMar>
            <w:vAlign w:val="center"/>
          </w:tcPr>
          <w:p w14:paraId="5BA0390B" w14:textId="77777777" w:rsidR="00753311" w:rsidRPr="006B299C" w:rsidRDefault="00753311" w:rsidP="005156CF">
            <w:pPr>
              <w:pStyle w:val="Pa19"/>
              <w:spacing w:line="240" w:lineRule="auto"/>
              <w:jc w:val="center"/>
              <w:rPr>
                <w:sz w:val="22"/>
                <w:szCs w:val="22"/>
              </w:rPr>
            </w:pPr>
            <w:r w:rsidRPr="003C33B5">
              <w:rPr>
                <w:color w:val="000000"/>
                <w:sz w:val="20"/>
                <w:szCs w:val="20"/>
              </w:rPr>
              <w:t xml:space="preserve">Prostředky vynaložené z programu </w:t>
            </w:r>
            <w:r w:rsidRPr="00FC7CB7">
              <w:rPr>
                <w:i/>
                <w:color w:val="000000"/>
                <w:sz w:val="20"/>
                <w:szCs w:val="20"/>
              </w:rPr>
              <w:t>Nová zelená úsporám</w:t>
            </w:r>
            <w:r>
              <w:rPr>
                <w:color w:val="000000"/>
                <w:sz w:val="20"/>
                <w:szCs w:val="20"/>
              </w:rPr>
              <w:t xml:space="preserve"> (NZÚ)</w:t>
            </w:r>
          </w:p>
        </w:tc>
      </w:tr>
      <w:tr w:rsidR="00753311" w14:paraId="2167F559" w14:textId="77777777" w:rsidTr="005156CF">
        <w:trPr>
          <w:trHeight w:val="454"/>
        </w:trPr>
        <w:tc>
          <w:tcPr>
            <w:tcW w:w="2500" w:type="pct"/>
            <w:shd w:val="clear" w:color="auto" w:fill="auto"/>
            <w:tcMar>
              <w:top w:w="0" w:type="dxa"/>
              <w:left w:w="108" w:type="dxa"/>
              <w:bottom w:w="0" w:type="dxa"/>
              <w:right w:w="108" w:type="dxa"/>
            </w:tcMar>
          </w:tcPr>
          <w:p w14:paraId="58FE9DF9" w14:textId="77777777" w:rsidR="00753311" w:rsidRDefault="00753311" w:rsidP="005156CF">
            <w:pPr>
              <w:pStyle w:val="Pa19"/>
              <w:spacing w:line="240" w:lineRule="auto"/>
              <w:jc w:val="center"/>
              <w:rPr>
                <w:color w:val="000000"/>
                <w:sz w:val="21"/>
                <w:szCs w:val="21"/>
              </w:rPr>
            </w:pPr>
          </w:p>
          <w:p w14:paraId="3AFF38EB" w14:textId="77777777" w:rsidR="00753311" w:rsidRDefault="00753311" w:rsidP="005156CF">
            <w:pPr>
              <w:rPr>
                <w:rFonts w:ascii="Times New Roman" w:hAnsi="Times New Roman"/>
              </w:rPr>
            </w:pPr>
          </w:p>
        </w:tc>
        <w:tc>
          <w:tcPr>
            <w:tcW w:w="2500" w:type="pct"/>
            <w:shd w:val="clear" w:color="auto" w:fill="auto"/>
            <w:tcMar>
              <w:top w:w="0" w:type="dxa"/>
              <w:left w:w="108" w:type="dxa"/>
              <w:bottom w:w="0" w:type="dxa"/>
              <w:right w:w="108" w:type="dxa"/>
            </w:tcMar>
          </w:tcPr>
          <w:p w14:paraId="6C375294" w14:textId="77777777" w:rsidR="00753311" w:rsidRDefault="00753311" w:rsidP="005156CF">
            <w:pPr>
              <w:pStyle w:val="Pa19"/>
              <w:spacing w:line="240" w:lineRule="auto"/>
              <w:jc w:val="center"/>
              <w:rPr>
                <w:color w:val="000000"/>
                <w:sz w:val="21"/>
                <w:szCs w:val="21"/>
              </w:rPr>
            </w:pPr>
          </w:p>
        </w:tc>
      </w:tr>
      <w:tr w:rsidR="00753311" w14:paraId="44E7DC59" w14:textId="77777777" w:rsidTr="005156CF">
        <w:trPr>
          <w:trHeight w:val="397"/>
        </w:trPr>
        <w:tc>
          <w:tcPr>
            <w:tcW w:w="2500" w:type="pct"/>
            <w:shd w:val="clear" w:color="auto" w:fill="auto"/>
            <w:tcMar>
              <w:top w:w="0" w:type="dxa"/>
              <w:left w:w="108" w:type="dxa"/>
              <w:bottom w:w="0" w:type="dxa"/>
              <w:right w:w="108" w:type="dxa"/>
            </w:tcMar>
          </w:tcPr>
          <w:p w14:paraId="2C3C1B4B" w14:textId="77777777" w:rsidR="00753311" w:rsidRDefault="00753311" w:rsidP="005156CF">
            <w:pPr>
              <w:pStyle w:val="Pa18"/>
              <w:spacing w:line="240" w:lineRule="auto"/>
              <w:jc w:val="center"/>
            </w:pPr>
            <w:r>
              <w:rPr>
                <w:rStyle w:val="A14"/>
                <w:rFonts w:eastAsia="MS Gothic"/>
                <w:sz w:val="48"/>
                <w:szCs w:val="48"/>
              </w:rPr>
              <w:t>2 436</w:t>
            </w:r>
          </w:p>
        </w:tc>
        <w:tc>
          <w:tcPr>
            <w:tcW w:w="2500" w:type="pct"/>
            <w:shd w:val="clear" w:color="auto" w:fill="auto"/>
            <w:tcMar>
              <w:top w:w="0" w:type="dxa"/>
              <w:left w:w="108" w:type="dxa"/>
              <w:bottom w:w="0" w:type="dxa"/>
              <w:right w:w="108" w:type="dxa"/>
            </w:tcMar>
          </w:tcPr>
          <w:p w14:paraId="18EFDC6C" w14:textId="77777777" w:rsidR="00753311" w:rsidRDefault="00711B28" w:rsidP="005156CF">
            <w:pPr>
              <w:pStyle w:val="Pa18"/>
              <w:spacing w:line="240" w:lineRule="auto"/>
              <w:jc w:val="center"/>
            </w:pPr>
            <w:r>
              <w:rPr>
                <w:rStyle w:val="A15"/>
                <w:rFonts w:eastAsia="MS Gothic"/>
                <w:b/>
                <w:sz w:val="48"/>
                <w:szCs w:val="48"/>
              </w:rPr>
              <w:t>17 %</w:t>
            </w:r>
          </w:p>
        </w:tc>
      </w:tr>
      <w:tr w:rsidR="00753311" w14:paraId="08757A10" w14:textId="77777777" w:rsidTr="005156CF">
        <w:trPr>
          <w:trHeight w:val="794"/>
        </w:trPr>
        <w:tc>
          <w:tcPr>
            <w:tcW w:w="2500" w:type="pct"/>
            <w:shd w:val="clear" w:color="auto" w:fill="auto"/>
            <w:tcMar>
              <w:top w:w="0" w:type="dxa"/>
              <w:left w:w="108" w:type="dxa"/>
              <w:bottom w:w="0" w:type="dxa"/>
              <w:right w:w="108" w:type="dxa"/>
            </w:tcMar>
            <w:vAlign w:val="center"/>
          </w:tcPr>
          <w:p w14:paraId="0DFD1641" w14:textId="77777777" w:rsidR="00753311" w:rsidRPr="006831EA" w:rsidRDefault="00753311" w:rsidP="005156CF">
            <w:pPr>
              <w:jc w:val="center"/>
            </w:pPr>
            <w:r>
              <w:rPr>
                <w:sz w:val="20"/>
              </w:rPr>
              <w:t>Projekty na snížení konečné spotřeby energií ve veřejných budovách evidované v OPŽP</w:t>
            </w:r>
          </w:p>
        </w:tc>
        <w:tc>
          <w:tcPr>
            <w:tcW w:w="2500" w:type="pct"/>
            <w:shd w:val="clear" w:color="auto" w:fill="auto"/>
            <w:tcMar>
              <w:top w:w="0" w:type="dxa"/>
              <w:left w:w="108" w:type="dxa"/>
              <w:bottom w:w="0" w:type="dxa"/>
              <w:right w:w="108" w:type="dxa"/>
            </w:tcMar>
            <w:vAlign w:val="center"/>
          </w:tcPr>
          <w:p w14:paraId="414B7FE0" w14:textId="77777777" w:rsidR="00753311" w:rsidRPr="006B299C" w:rsidRDefault="00711B28" w:rsidP="0074637E">
            <w:pPr>
              <w:pStyle w:val="Pa19"/>
              <w:spacing w:line="240" w:lineRule="auto"/>
              <w:jc w:val="center"/>
              <w:rPr>
                <w:color w:val="000000"/>
                <w:sz w:val="22"/>
                <w:szCs w:val="22"/>
              </w:rPr>
            </w:pPr>
            <w:r>
              <w:rPr>
                <w:color w:val="000000"/>
                <w:sz w:val="20"/>
                <w:szCs w:val="22"/>
              </w:rPr>
              <w:t>409 f</w:t>
            </w:r>
            <w:r w:rsidR="00753311">
              <w:rPr>
                <w:color w:val="000000"/>
                <w:sz w:val="20"/>
                <w:szCs w:val="22"/>
              </w:rPr>
              <w:t>yzicky ukončen</w:t>
            </w:r>
            <w:r>
              <w:rPr>
                <w:color w:val="000000"/>
                <w:sz w:val="20"/>
                <w:szCs w:val="22"/>
              </w:rPr>
              <w:t>ých</w:t>
            </w:r>
            <w:r w:rsidR="00753311">
              <w:rPr>
                <w:color w:val="000000"/>
                <w:sz w:val="20"/>
                <w:szCs w:val="22"/>
              </w:rPr>
              <w:t xml:space="preserve"> </w:t>
            </w:r>
            <w:r w:rsidR="00753311" w:rsidRPr="003C33B5">
              <w:rPr>
                <w:color w:val="000000"/>
                <w:sz w:val="20"/>
                <w:szCs w:val="22"/>
              </w:rPr>
              <w:t>projekt</w:t>
            </w:r>
            <w:r>
              <w:rPr>
                <w:color w:val="000000"/>
                <w:sz w:val="20"/>
                <w:szCs w:val="22"/>
              </w:rPr>
              <w:t>ů</w:t>
            </w:r>
            <w:r w:rsidR="00753311" w:rsidRPr="003C33B5">
              <w:rPr>
                <w:color w:val="000000"/>
                <w:sz w:val="20"/>
                <w:szCs w:val="22"/>
              </w:rPr>
              <w:t xml:space="preserve"> zaměřen</w:t>
            </w:r>
            <w:r>
              <w:rPr>
                <w:color w:val="000000"/>
                <w:sz w:val="20"/>
                <w:szCs w:val="22"/>
              </w:rPr>
              <w:t>ých</w:t>
            </w:r>
            <w:r w:rsidR="00753311" w:rsidRPr="003C33B5">
              <w:rPr>
                <w:color w:val="000000"/>
                <w:sz w:val="20"/>
                <w:szCs w:val="22"/>
              </w:rPr>
              <w:t xml:space="preserve"> na</w:t>
            </w:r>
            <w:r w:rsidR="0074637E">
              <w:rPr>
                <w:color w:val="000000"/>
                <w:sz w:val="20"/>
                <w:szCs w:val="22"/>
              </w:rPr>
              <w:t> </w:t>
            </w:r>
            <w:r w:rsidR="00753311">
              <w:rPr>
                <w:color w:val="000000"/>
                <w:sz w:val="20"/>
                <w:szCs w:val="22"/>
              </w:rPr>
              <w:t>snížení konečné spotřeby energií ve veřejných budovách</w:t>
            </w:r>
          </w:p>
        </w:tc>
      </w:tr>
      <w:tr w:rsidR="00753311" w14:paraId="2BB8B422" w14:textId="77777777" w:rsidTr="005156CF">
        <w:trPr>
          <w:trHeight w:val="454"/>
        </w:trPr>
        <w:tc>
          <w:tcPr>
            <w:tcW w:w="2500" w:type="pct"/>
            <w:shd w:val="clear" w:color="auto" w:fill="auto"/>
            <w:tcMar>
              <w:top w:w="0" w:type="dxa"/>
              <w:left w:w="108" w:type="dxa"/>
              <w:bottom w:w="0" w:type="dxa"/>
              <w:right w:w="108" w:type="dxa"/>
            </w:tcMar>
          </w:tcPr>
          <w:p w14:paraId="1DD86872" w14:textId="77777777" w:rsidR="00753311" w:rsidRDefault="00753311" w:rsidP="005156CF">
            <w:pPr>
              <w:pStyle w:val="Pa18"/>
              <w:spacing w:line="240" w:lineRule="auto"/>
              <w:jc w:val="center"/>
              <w:rPr>
                <w:color w:val="000000"/>
                <w:sz w:val="22"/>
                <w:szCs w:val="22"/>
              </w:rPr>
            </w:pPr>
          </w:p>
        </w:tc>
        <w:tc>
          <w:tcPr>
            <w:tcW w:w="2500" w:type="pct"/>
            <w:shd w:val="clear" w:color="auto" w:fill="auto"/>
            <w:tcMar>
              <w:top w:w="0" w:type="dxa"/>
              <w:left w:w="108" w:type="dxa"/>
              <w:bottom w:w="0" w:type="dxa"/>
              <w:right w:w="108" w:type="dxa"/>
            </w:tcMar>
          </w:tcPr>
          <w:p w14:paraId="122B8C79" w14:textId="77777777" w:rsidR="00753311" w:rsidRDefault="00753311" w:rsidP="005156CF">
            <w:pPr>
              <w:pStyle w:val="Pa18"/>
              <w:spacing w:line="240" w:lineRule="auto"/>
              <w:jc w:val="center"/>
              <w:rPr>
                <w:color w:val="000000"/>
                <w:sz w:val="22"/>
                <w:szCs w:val="22"/>
              </w:rPr>
            </w:pPr>
          </w:p>
        </w:tc>
      </w:tr>
      <w:tr w:rsidR="00753311" w14:paraId="649FB211" w14:textId="77777777" w:rsidTr="005156CF">
        <w:trPr>
          <w:trHeight w:val="397"/>
        </w:trPr>
        <w:tc>
          <w:tcPr>
            <w:tcW w:w="2500" w:type="pct"/>
            <w:shd w:val="clear" w:color="auto" w:fill="auto"/>
            <w:tcMar>
              <w:top w:w="0" w:type="dxa"/>
              <w:left w:w="108" w:type="dxa"/>
              <w:bottom w:w="0" w:type="dxa"/>
              <w:right w:w="108" w:type="dxa"/>
            </w:tcMar>
          </w:tcPr>
          <w:p w14:paraId="67E33C57" w14:textId="16F0BD4D" w:rsidR="00753311" w:rsidRDefault="00753311" w:rsidP="00366C71">
            <w:pPr>
              <w:pStyle w:val="Pa18"/>
              <w:spacing w:line="240" w:lineRule="auto"/>
              <w:jc w:val="center"/>
            </w:pPr>
            <w:r>
              <w:rPr>
                <w:rStyle w:val="A15"/>
                <w:rFonts w:eastAsia="MS Gothic"/>
                <w:b/>
                <w:sz w:val="48"/>
                <w:szCs w:val="48"/>
              </w:rPr>
              <w:t>305 580 GJ/rok</w:t>
            </w:r>
          </w:p>
        </w:tc>
        <w:tc>
          <w:tcPr>
            <w:tcW w:w="2500" w:type="pct"/>
            <w:shd w:val="clear" w:color="auto" w:fill="auto"/>
            <w:tcMar>
              <w:top w:w="0" w:type="dxa"/>
              <w:left w:w="108" w:type="dxa"/>
              <w:bottom w:w="0" w:type="dxa"/>
              <w:right w:w="108" w:type="dxa"/>
            </w:tcMar>
          </w:tcPr>
          <w:p w14:paraId="138EB418" w14:textId="4D95FACD" w:rsidR="00753311" w:rsidRDefault="00753311" w:rsidP="00366C71">
            <w:pPr>
              <w:pStyle w:val="Pa18"/>
              <w:spacing w:line="240" w:lineRule="auto"/>
              <w:jc w:val="center"/>
            </w:pPr>
            <w:r>
              <w:rPr>
                <w:rStyle w:val="A15"/>
                <w:rFonts w:eastAsia="MS Gothic"/>
                <w:b/>
                <w:sz w:val="48"/>
                <w:szCs w:val="48"/>
              </w:rPr>
              <w:t>6 872 Kč/GJ/rok</w:t>
            </w:r>
          </w:p>
        </w:tc>
      </w:tr>
      <w:tr w:rsidR="00753311" w:rsidRPr="006B299C" w14:paraId="7B8C4DD1" w14:textId="77777777" w:rsidTr="005156CF">
        <w:trPr>
          <w:trHeight w:val="344"/>
        </w:trPr>
        <w:tc>
          <w:tcPr>
            <w:tcW w:w="2500" w:type="pct"/>
            <w:shd w:val="clear" w:color="auto" w:fill="auto"/>
            <w:tcMar>
              <w:top w:w="0" w:type="dxa"/>
              <w:left w:w="108" w:type="dxa"/>
              <w:bottom w:w="0" w:type="dxa"/>
              <w:right w:w="108" w:type="dxa"/>
            </w:tcMar>
            <w:vAlign w:val="center"/>
          </w:tcPr>
          <w:p w14:paraId="5D7F1C9A" w14:textId="21795AE5" w:rsidR="00753311" w:rsidRPr="00BC5A51" w:rsidRDefault="00753311" w:rsidP="00913E40">
            <w:pPr>
              <w:pStyle w:val="Pa18"/>
              <w:spacing w:line="240" w:lineRule="auto"/>
              <w:jc w:val="center"/>
              <w:rPr>
                <w:color w:val="000000"/>
                <w:sz w:val="20"/>
                <w:szCs w:val="22"/>
              </w:rPr>
            </w:pPr>
            <w:r w:rsidRPr="00BC5A51">
              <w:rPr>
                <w:color w:val="000000"/>
                <w:sz w:val="20"/>
                <w:szCs w:val="22"/>
              </w:rPr>
              <w:t>Průběžná vykázaná hodnota ukazatele:</w:t>
            </w:r>
            <w:r w:rsidRPr="00BC5A51">
              <w:rPr>
                <w:color w:val="000000"/>
                <w:sz w:val="20"/>
                <w:szCs w:val="22"/>
              </w:rPr>
              <w:br/>
            </w:r>
            <w:r w:rsidR="00913E40">
              <w:rPr>
                <w:i/>
                <w:color w:val="000000"/>
                <w:sz w:val="20"/>
                <w:szCs w:val="22"/>
              </w:rPr>
              <w:t>s</w:t>
            </w:r>
            <w:r w:rsidRPr="00BC5A51">
              <w:rPr>
                <w:i/>
                <w:color w:val="000000"/>
                <w:sz w:val="20"/>
                <w:szCs w:val="22"/>
              </w:rPr>
              <w:t>nížení konečné spotřeby energií ve veřejných budovách</w:t>
            </w:r>
          </w:p>
        </w:tc>
        <w:tc>
          <w:tcPr>
            <w:tcW w:w="2500" w:type="pct"/>
            <w:shd w:val="clear" w:color="auto" w:fill="auto"/>
            <w:tcMar>
              <w:top w:w="0" w:type="dxa"/>
              <w:left w:w="108" w:type="dxa"/>
              <w:bottom w:w="0" w:type="dxa"/>
              <w:right w:w="108" w:type="dxa"/>
            </w:tcMar>
            <w:vAlign w:val="center"/>
          </w:tcPr>
          <w:p w14:paraId="70792565" w14:textId="77777777" w:rsidR="0000515B" w:rsidRPr="0000515B" w:rsidRDefault="00753311" w:rsidP="0000515B">
            <w:pPr>
              <w:pStyle w:val="Pa18"/>
              <w:spacing w:line="240" w:lineRule="auto"/>
              <w:jc w:val="center"/>
              <w:rPr>
                <w:color w:val="000000"/>
                <w:sz w:val="20"/>
                <w:szCs w:val="22"/>
              </w:rPr>
            </w:pPr>
            <w:r w:rsidRPr="00BC5A51">
              <w:rPr>
                <w:color w:val="000000"/>
                <w:sz w:val="20"/>
                <w:szCs w:val="22"/>
              </w:rPr>
              <w:t>Průměrná podpora (příspěvek EU) na jednotku úspory energie v konečné spotřebě</w:t>
            </w:r>
          </w:p>
          <w:p w14:paraId="729C91A5" w14:textId="77777777" w:rsidR="0000515B" w:rsidRPr="0000515B" w:rsidRDefault="0000515B" w:rsidP="0000515B"/>
        </w:tc>
      </w:tr>
      <w:tr w:rsidR="00753311" w14:paraId="7891C17D" w14:textId="77777777" w:rsidTr="005156CF">
        <w:trPr>
          <w:trHeight w:val="454"/>
        </w:trPr>
        <w:tc>
          <w:tcPr>
            <w:tcW w:w="2500" w:type="pct"/>
            <w:shd w:val="clear" w:color="auto" w:fill="auto"/>
            <w:tcMar>
              <w:top w:w="0" w:type="dxa"/>
              <w:left w:w="108" w:type="dxa"/>
              <w:bottom w:w="0" w:type="dxa"/>
              <w:right w:w="108" w:type="dxa"/>
            </w:tcMar>
          </w:tcPr>
          <w:p w14:paraId="509233E6" w14:textId="77777777" w:rsidR="00753311" w:rsidRPr="00003F80" w:rsidRDefault="00753311" w:rsidP="005156CF">
            <w:pPr>
              <w:pStyle w:val="Pa18"/>
              <w:spacing w:line="240" w:lineRule="auto"/>
              <w:rPr>
                <w:color w:val="000000"/>
                <w:sz w:val="22"/>
                <w:szCs w:val="22"/>
              </w:rPr>
            </w:pPr>
          </w:p>
          <w:p w14:paraId="13DDEAD4" w14:textId="77777777" w:rsidR="00753311" w:rsidRDefault="00753311" w:rsidP="005156CF">
            <w:pPr>
              <w:pStyle w:val="Pa18"/>
              <w:spacing w:line="240" w:lineRule="auto"/>
              <w:jc w:val="center"/>
              <w:rPr>
                <w:color w:val="000000"/>
                <w:sz w:val="22"/>
                <w:szCs w:val="22"/>
              </w:rPr>
            </w:pPr>
          </w:p>
          <w:p w14:paraId="43868C8D" w14:textId="77777777" w:rsidR="00753311" w:rsidRDefault="00753311" w:rsidP="005156CF"/>
          <w:p w14:paraId="1BCAC648" w14:textId="77777777" w:rsidR="00753311" w:rsidRPr="00D252F1" w:rsidRDefault="00753311" w:rsidP="005156CF"/>
          <w:p w14:paraId="4D256F74" w14:textId="77777777" w:rsidR="00753311" w:rsidRPr="00046298" w:rsidRDefault="00753311" w:rsidP="005156CF"/>
        </w:tc>
        <w:tc>
          <w:tcPr>
            <w:tcW w:w="2500" w:type="pct"/>
            <w:shd w:val="clear" w:color="auto" w:fill="auto"/>
            <w:tcMar>
              <w:top w:w="0" w:type="dxa"/>
              <w:left w:w="108" w:type="dxa"/>
              <w:bottom w:w="0" w:type="dxa"/>
              <w:right w:w="108" w:type="dxa"/>
            </w:tcMar>
          </w:tcPr>
          <w:p w14:paraId="303190EE" w14:textId="77777777" w:rsidR="00753311" w:rsidRPr="00003F80" w:rsidRDefault="00753311" w:rsidP="005156CF">
            <w:pPr>
              <w:pStyle w:val="Pa18"/>
              <w:spacing w:line="240" w:lineRule="auto"/>
              <w:rPr>
                <w:color w:val="000000"/>
                <w:sz w:val="22"/>
                <w:szCs w:val="22"/>
              </w:rPr>
            </w:pPr>
          </w:p>
        </w:tc>
      </w:tr>
    </w:tbl>
    <w:p w14:paraId="0AB8E01C" w14:textId="77777777" w:rsidR="00753311" w:rsidRPr="00046298" w:rsidRDefault="00753311" w:rsidP="00753311">
      <w:pPr>
        <w:jc w:val="center"/>
        <w:rPr>
          <w:rFonts w:ascii="Calibri" w:hAnsi="Calibri"/>
          <w:b/>
          <w:noProof/>
          <w:sz w:val="40"/>
          <w:szCs w:val="40"/>
        </w:rPr>
      </w:pPr>
      <w:r w:rsidRPr="00046298">
        <w:rPr>
          <w:rFonts w:ascii="Calibri" w:hAnsi="Calibri"/>
          <w:b/>
          <w:bCs/>
          <w:noProof/>
          <w:sz w:val="40"/>
          <w:szCs w:val="40"/>
        </w:rPr>
        <w:t>Plnění závazku ústředními vládními institucemi</w:t>
      </w:r>
    </w:p>
    <w:p w14:paraId="717A43D9" w14:textId="77777777" w:rsidR="00753311" w:rsidRPr="0071736B" w:rsidRDefault="00753311" w:rsidP="00753311">
      <w:pPr>
        <w:jc w:val="center"/>
        <w:rPr>
          <w:rFonts w:ascii="Calibri" w:hAnsi="Calibri"/>
          <w:b/>
          <w:noProof/>
        </w:rPr>
      </w:pPr>
    </w:p>
    <w:p w14:paraId="7A89C614" w14:textId="77777777" w:rsidR="00753311" w:rsidRDefault="00753311" w:rsidP="00753311">
      <w:pPr>
        <w:jc w:val="center"/>
        <w:rPr>
          <w:rFonts w:ascii="Calibri" w:hAnsi="Calibri"/>
          <w:b/>
          <w:noProof/>
        </w:rPr>
      </w:pPr>
      <w:r>
        <w:rPr>
          <w:noProof/>
        </w:rPr>
        <w:drawing>
          <wp:inline distT="0" distB="0" distL="0" distR="0" wp14:anchorId="01EFA89D" wp14:editId="62243EB8">
            <wp:extent cx="5760720" cy="8578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857885"/>
                    </a:xfrm>
                    <a:prstGeom prst="rect">
                      <a:avLst/>
                    </a:prstGeom>
                  </pic:spPr>
                </pic:pic>
              </a:graphicData>
            </a:graphic>
          </wp:inline>
        </w:drawing>
      </w:r>
    </w:p>
    <w:p w14:paraId="1280DCFD" w14:textId="77777777" w:rsidR="00753311" w:rsidRDefault="00753311" w:rsidP="00753311">
      <w:pPr>
        <w:jc w:val="center"/>
        <w:rPr>
          <w:rFonts w:ascii="Calibri" w:hAnsi="Calibri"/>
          <w:b/>
          <w:noProof/>
        </w:rPr>
      </w:pPr>
    </w:p>
    <w:p w14:paraId="74AA82CA" w14:textId="77777777" w:rsidR="00753311" w:rsidRPr="00D252F1" w:rsidRDefault="00753311" w:rsidP="00753311">
      <w:pPr>
        <w:jc w:val="center"/>
        <w:rPr>
          <w:rFonts w:ascii="Calibri" w:hAnsi="Calibri"/>
          <w:b/>
          <w:noProof/>
          <w:sz w:val="22"/>
        </w:rPr>
      </w:pPr>
      <w:r w:rsidRPr="00D252F1">
        <w:rPr>
          <w:rFonts w:ascii="Calibri" w:hAnsi="Calibri"/>
          <w:b/>
          <w:noProof/>
          <w:sz w:val="22"/>
        </w:rPr>
        <w:t>Mezi roky 2014–2019 bylo spl</w:t>
      </w:r>
      <w:r w:rsidR="008038EA">
        <w:rPr>
          <w:rFonts w:ascii="Calibri" w:hAnsi="Calibri"/>
          <w:b/>
          <w:noProof/>
          <w:sz w:val="22"/>
        </w:rPr>
        <w:t>n</w:t>
      </w:r>
      <w:r w:rsidRPr="00D252F1">
        <w:rPr>
          <w:rFonts w:ascii="Calibri" w:hAnsi="Calibri"/>
          <w:b/>
          <w:noProof/>
          <w:sz w:val="22"/>
        </w:rPr>
        <w:t>ěno 71 % závazného cíle. Pro rok 2020 zbývalo splnit 29 %</w:t>
      </w:r>
    </w:p>
    <w:p w14:paraId="4C687804" w14:textId="77777777" w:rsidR="00753311" w:rsidRPr="00D252F1" w:rsidRDefault="00753311" w:rsidP="00753311">
      <w:pPr>
        <w:jc w:val="center"/>
        <w:rPr>
          <w:rFonts w:ascii="Calibri" w:hAnsi="Calibri"/>
          <w:b/>
          <w:noProof/>
          <w:sz w:val="22"/>
        </w:rPr>
      </w:pPr>
      <w:r w:rsidRPr="00D252F1">
        <w:rPr>
          <w:rFonts w:ascii="Calibri" w:hAnsi="Calibri"/>
          <w:b/>
          <w:noProof/>
          <w:sz w:val="22"/>
        </w:rPr>
        <w:t>z celkového závazného cíle.</w:t>
      </w:r>
    </w:p>
    <w:p w14:paraId="5ED11C60" w14:textId="77777777" w:rsidR="00753311" w:rsidRDefault="00753311" w:rsidP="00753311">
      <w:pPr>
        <w:rPr>
          <w:rFonts w:ascii="Calibri" w:hAnsi="Calibri"/>
        </w:rPr>
      </w:pPr>
    </w:p>
    <w:p w14:paraId="173A706F" w14:textId="77777777" w:rsidR="00753311" w:rsidRDefault="00753311" w:rsidP="00753311">
      <w:pPr>
        <w:rPr>
          <w:rFonts w:ascii="Calibri" w:hAnsi="Calibri"/>
        </w:rPr>
      </w:pPr>
    </w:p>
    <w:p w14:paraId="37F818D5" w14:textId="77777777" w:rsidR="00753311" w:rsidRDefault="00753311" w:rsidP="00753311">
      <w:pPr>
        <w:rPr>
          <w:rFonts w:ascii="Calibri" w:hAnsi="Calibri"/>
        </w:rPr>
      </w:pPr>
    </w:p>
    <w:p w14:paraId="43DD7A4C" w14:textId="77777777" w:rsidR="00753311" w:rsidRDefault="00753311" w:rsidP="00753311">
      <w:pPr>
        <w:rPr>
          <w:rFonts w:ascii="Calibri" w:hAnsi="Calibri"/>
        </w:rPr>
      </w:pPr>
    </w:p>
    <w:p w14:paraId="22A98410" w14:textId="77777777" w:rsidR="00753311" w:rsidRDefault="00753311" w:rsidP="00753311">
      <w:pPr>
        <w:rPr>
          <w:rFonts w:ascii="Calibri" w:hAnsi="Calibri"/>
        </w:rPr>
      </w:pPr>
    </w:p>
    <w:p w14:paraId="5C3C141B" w14:textId="77777777" w:rsidR="00753311" w:rsidRDefault="00753311" w:rsidP="00753311">
      <w:pPr>
        <w:rPr>
          <w:rFonts w:ascii="Calibri" w:hAnsi="Calibri"/>
        </w:rPr>
      </w:pPr>
    </w:p>
    <w:p w14:paraId="07DC35CA" w14:textId="77777777" w:rsidR="00753311" w:rsidRDefault="00753311" w:rsidP="00753311">
      <w:pPr>
        <w:rPr>
          <w:rFonts w:ascii="Calibri" w:hAnsi="Calibri"/>
        </w:rPr>
      </w:pPr>
    </w:p>
    <w:p w14:paraId="26084207" w14:textId="77777777" w:rsidR="00753311" w:rsidRDefault="00753311" w:rsidP="00753311">
      <w:pPr>
        <w:rPr>
          <w:rFonts w:ascii="Calibri" w:hAnsi="Calibri"/>
        </w:rPr>
      </w:pPr>
    </w:p>
    <w:p w14:paraId="25D9D080" w14:textId="77777777" w:rsidR="00514A1C" w:rsidRDefault="00753311" w:rsidP="004813C2">
      <w:pPr>
        <w:ind w:left="851" w:hanging="851"/>
        <w:rPr>
          <w:rFonts w:ascii="Calibri" w:hAnsi="Calibri"/>
          <w:i/>
          <w:color w:val="000000"/>
          <w:kern w:val="24"/>
          <w:sz w:val="19"/>
          <w:szCs w:val="19"/>
        </w:rPr>
      </w:pPr>
      <w:r w:rsidRPr="0071736B">
        <w:rPr>
          <w:rFonts w:cstheme="minorHAnsi"/>
          <w:i/>
          <w:sz w:val="19"/>
          <w:szCs w:val="19"/>
        </w:rPr>
        <w:t>Poznámk</w:t>
      </w:r>
      <w:r>
        <w:rPr>
          <w:rFonts w:cstheme="minorHAnsi"/>
          <w:i/>
          <w:sz w:val="19"/>
          <w:szCs w:val="19"/>
        </w:rPr>
        <w:t>y</w:t>
      </w:r>
      <w:r w:rsidRPr="0071736B">
        <w:rPr>
          <w:rFonts w:cstheme="minorHAnsi"/>
          <w:i/>
          <w:sz w:val="19"/>
          <w:szCs w:val="19"/>
        </w:rPr>
        <w:t xml:space="preserve">: </w:t>
      </w:r>
      <w:r w:rsidRPr="0071736B">
        <w:rPr>
          <w:rFonts w:ascii="Calibri" w:hAnsi="Calibri"/>
          <w:i/>
          <w:color w:val="000000"/>
          <w:kern w:val="24"/>
          <w:sz w:val="19"/>
          <w:szCs w:val="19"/>
        </w:rPr>
        <w:t>Evidence</w:t>
      </w:r>
      <w:r>
        <w:rPr>
          <w:rFonts w:ascii="Calibri" w:hAnsi="Calibri"/>
          <w:i/>
          <w:color w:val="000000"/>
          <w:kern w:val="24"/>
          <w:sz w:val="19"/>
          <w:szCs w:val="19"/>
        </w:rPr>
        <w:t xml:space="preserve"> z monitorovacího systému MS2014+ </w:t>
      </w:r>
      <w:r w:rsidRPr="0071736B">
        <w:rPr>
          <w:rFonts w:ascii="Calibri" w:hAnsi="Calibri"/>
          <w:i/>
          <w:color w:val="000000"/>
          <w:kern w:val="24"/>
          <w:sz w:val="19"/>
          <w:szCs w:val="19"/>
        </w:rPr>
        <w:t xml:space="preserve">ke dni 30. 6. 2020; </w:t>
      </w:r>
      <w:r>
        <w:rPr>
          <w:rFonts w:ascii="Calibri" w:hAnsi="Calibri"/>
          <w:i/>
          <w:color w:val="000000"/>
          <w:kern w:val="24"/>
          <w:sz w:val="19"/>
          <w:szCs w:val="19"/>
        </w:rPr>
        <w:t>celkový počet projektů evidovaných v OPŽP zahrnuje aktivní žádosti o podporu, projekty s vydaným právním aktem, projekty v realizaci a ukončené.</w:t>
      </w:r>
    </w:p>
    <w:p w14:paraId="30207CB1" w14:textId="77777777" w:rsidR="009221B7" w:rsidRPr="00876EE8" w:rsidRDefault="001D7420" w:rsidP="004B20E6">
      <w:pPr>
        <w:pStyle w:val="Nadpis1"/>
        <w:spacing w:before="240" w:after="240"/>
        <w:jc w:val="center"/>
        <w:rPr>
          <w:spacing w:val="-2"/>
          <w:u w:val="none"/>
        </w:rPr>
      </w:pPr>
      <w:r>
        <w:rPr>
          <w:u w:val="none"/>
        </w:rPr>
        <w:lastRenderedPageBreak/>
        <w:t xml:space="preserve">I. </w:t>
      </w:r>
      <w:r w:rsidRPr="00876EE8">
        <w:rPr>
          <w:u w:val="none"/>
        </w:rPr>
        <w:t>Shrnutí a vyhodnocení</w:t>
      </w:r>
    </w:p>
    <w:p w14:paraId="695C62FF" w14:textId="6B90F274" w:rsidR="00B30D38" w:rsidRDefault="00B30D38" w:rsidP="00801307">
      <w:pPr>
        <w:autoSpaceDE w:val="0"/>
        <w:autoSpaceDN w:val="0"/>
        <w:adjustRightInd w:val="0"/>
        <w:spacing w:after="120"/>
        <w:rPr>
          <w:rFonts w:cs="Arial"/>
          <w:color w:val="000000" w:themeColor="text1"/>
          <w:szCs w:val="24"/>
        </w:rPr>
      </w:pPr>
      <w:r w:rsidRPr="00B30D38">
        <w:rPr>
          <w:rFonts w:cs="Arial"/>
          <w:color w:val="000000" w:themeColor="text1"/>
          <w:szCs w:val="24"/>
        </w:rPr>
        <w:t>Kontrola NKÚ prověřila, zda byly peněžní prostředky n</w:t>
      </w:r>
      <w:r>
        <w:rPr>
          <w:rFonts w:cs="Arial"/>
          <w:color w:val="000000" w:themeColor="text1"/>
          <w:szCs w:val="24"/>
        </w:rPr>
        <w:t>a podporu energetických úspor u </w:t>
      </w:r>
      <w:r w:rsidRPr="00B30D38">
        <w:rPr>
          <w:rFonts w:cs="Arial"/>
          <w:color w:val="000000" w:themeColor="text1"/>
          <w:szCs w:val="24"/>
        </w:rPr>
        <w:t xml:space="preserve">veřejných budov vynakládány v souladu s právními předpisy a zda přispěly k naplňování stanovených cílů. Jednalo se o prostředky </w:t>
      </w:r>
      <w:r w:rsidR="00AB18C2" w:rsidRPr="00B30D38">
        <w:rPr>
          <w:rFonts w:cs="Arial"/>
          <w:color w:val="000000" w:themeColor="text1"/>
          <w:szCs w:val="24"/>
        </w:rPr>
        <w:t xml:space="preserve">prioritní osy 5 (dále také „PO 5“) </w:t>
      </w:r>
      <w:r w:rsidR="00AB18C2" w:rsidRPr="006D1651">
        <w:rPr>
          <w:rFonts w:cs="Arial"/>
          <w:color w:val="000000" w:themeColor="text1"/>
          <w:szCs w:val="24"/>
        </w:rPr>
        <w:t>o</w:t>
      </w:r>
      <w:r w:rsidRPr="00B30D38">
        <w:rPr>
          <w:rFonts w:cs="Arial"/>
          <w:color w:val="000000" w:themeColor="text1"/>
          <w:szCs w:val="24"/>
        </w:rPr>
        <w:t>peračního pr</w:t>
      </w:r>
      <w:r w:rsidR="0074637E">
        <w:rPr>
          <w:rFonts w:cs="Arial"/>
          <w:color w:val="000000" w:themeColor="text1"/>
          <w:szCs w:val="24"/>
        </w:rPr>
        <w:t xml:space="preserve">ogramu </w:t>
      </w:r>
      <w:r w:rsidR="00AB18C2" w:rsidRPr="00FC7CB7">
        <w:rPr>
          <w:rFonts w:cs="Arial"/>
          <w:i/>
          <w:color w:val="000000" w:themeColor="text1"/>
          <w:szCs w:val="24"/>
        </w:rPr>
        <w:t>Ž</w:t>
      </w:r>
      <w:r w:rsidR="0074637E" w:rsidRPr="00FC7CB7">
        <w:rPr>
          <w:rFonts w:cs="Arial"/>
          <w:i/>
          <w:color w:val="000000" w:themeColor="text1"/>
          <w:szCs w:val="24"/>
        </w:rPr>
        <w:t>ivotní prostředí 2014–2</w:t>
      </w:r>
      <w:r w:rsidRPr="00FC7CB7">
        <w:rPr>
          <w:rFonts w:cs="Arial"/>
          <w:i/>
          <w:color w:val="000000" w:themeColor="text1"/>
          <w:szCs w:val="24"/>
        </w:rPr>
        <w:t>020</w:t>
      </w:r>
      <w:r w:rsidRPr="00B30D38">
        <w:rPr>
          <w:rFonts w:cs="Arial"/>
          <w:color w:val="000000" w:themeColor="text1"/>
          <w:szCs w:val="24"/>
        </w:rPr>
        <w:t xml:space="preserve"> a o prostředky na program </w:t>
      </w:r>
      <w:r w:rsidRPr="00FC7CB7">
        <w:rPr>
          <w:rFonts w:cs="Arial"/>
          <w:i/>
          <w:color w:val="000000" w:themeColor="text1"/>
          <w:szCs w:val="24"/>
        </w:rPr>
        <w:t>Nová zelená úsporám</w:t>
      </w:r>
      <w:r w:rsidRPr="00B30D38">
        <w:rPr>
          <w:rFonts w:cs="Arial"/>
          <w:color w:val="000000" w:themeColor="text1"/>
          <w:szCs w:val="24"/>
        </w:rPr>
        <w:t xml:space="preserve">, resp. podprogram </w:t>
      </w:r>
      <w:r w:rsidRPr="00FC7CB7">
        <w:rPr>
          <w:rFonts w:cs="Arial"/>
          <w:i/>
          <w:color w:val="000000" w:themeColor="text1"/>
          <w:szCs w:val="24"/>
        </w:rPr>
        <w:t>Budovy veřejného sektoru</w:t>
      </w:r>
      <w:r w:rsidRPr="00B30D38">
        <w:rPr>
          <w:rFonts w:cs="Arial"/>
          <w:color w:val="000000" w:themeColor="text1"/>
          <w:szCs w:val="24"/>
        </w:rPr>
        <w:t xml:space="preserve"> (dále také „NZÚ – </w:t>
      </w:r>
      <w:r w:rsidRPr="002378F4">
        <w:rPr>
          <w:rFonts w:cs="Arial"/>
          <w:i/>
          <w:color w:val="000000" w:themeColor="text1"/>
          <w:szCs w:val="24"/>
        </w:rPr>
        <w:t>Budovy veřejného sektoru</w:t>
      </w:r>
      <w:r w:rsidRPr="00B30D38">
        <w:rPr>
          <w:rFonts w:cs="Arial"/>
          <w:color w:val="000000" w:themeColor="text1"/>
          <w:szCs w:val="24"/>
        </w:rPr>
        <w:t>“). Kontrolou bylo dále prověřeno financování programu NZÚ.</w:t>
      </w:r>
    </w:p>
    <w:p w14:paraId="184EC288" w14:textId="77777777" w:rsidR="00232E75" w:rsidRPr="00B30D38" w:rsidRDefault="00B30D38" w:rsidP="00B30D38">
      <w:pPr>
        <w:spacing w:after="120" w:line="259" w:lineRule="auto"/>
        <w:rPr>
          <w:b/>
        </w:rPr>
      </w:pPr>
      <w:r w:rsidRPr="00B30D38">
        <w:rPr>
          <w:b/>
        </w:rPr>
        <w:t>Peněžní prostředky vynakládané z OPŽP a NZÚ přispívají ke snížení konečné spotřeby energií ve veřejných budovách,</w:t>
      </w:r>
      <w:r w:rsidRPr="00B30D38">
        <w:rPr>
          <w:rStyle w:val="Znakapoznpodarou"/>
          <w:b/>
        </w:rPr>
        <w:footnoteReference w:id="1"/>
      </w:r>
      <w:r w:rsidRPr="00B30D38">
        <w:rPr>
          <w:b/>
        </w:rPr>
        <w:t xml:space="preserve"> ale k naplňování cílů stanovených </w:t>
      </w:r>
      <w:r>
        <w:rPr>
          <w:b/>
        </w:rPr>
        <w:t>do roku 2020 evropskými a </w:t>
      </w:r>
      <w:r w:rsidRPr="00B30D38">
        <w:rPr>
          <w:b/>
        </w:rPr>
        <w:t>národními před</w:t>
      </w:r>
      <w:r>
        <w:rPr>
          <w:b/>
        </w:rPr>
        <w:t>pisy přisp</w:t>
      </w:r>
      <w:r w:rsidR="006A596F">
        <w:rPr>
          <w:b/>
        </w:rPr>
        <w:t>ěly</w:t>
      </w:r>
      <w:r>
        <w:rPr>
          <w:b/>
        </w:rPr>
        <w:t xml:space="preserve"> v malém rozsahu</w:t>
      </w:r>
      <w:r w:rsidRPr="00B30D38">
        <w:rPr>
          <w:b/>
        </w:rPr>
        <w:t>.</w:t>
      </w:r>
      <w:r w:rsidR="001A6940" w:rsidRPr="00B30D38">
        <w:rPr>
          <w:b/>
        </w:rPr>
        <w:t xml:space="preserve"> Vykázané snížení konečné spotřeby energie představ</w:t>
      </w:r>
      <w:r w:rsidR="006A596F">
        <w:rPr>
          <w:b/>
        </w:rPr>
        <w:t>ovalo</w:t>
      </w:r>
      <w:r w:rsidR="001A6940" w:rsidRPr="00B30D38">
        <w:rPr>
          <w:b/>
        </w:rPr>
        <w:t xml:space="preserve"> cca jednu pětinu úspor energií, kterých má být prostřednictvím OPŽP dosaženo. </w:t>
      </w:r>
      <w:r w:rsidRPr="00B30D38">
        <w:rPr>
          <w:b/>
        </w:rPr>
        <w:t>Od vyhlášení první výzvy v roce 2015 do poloviny roku 2020 bylo fyzicky ukončeno cca 17 % projektů.</w:t>
      </w:r>
    </w:p>
    <w:p w14:paraId="2089927B" w14:textId="75EC387B" w:rsidR="00297E31" w:rsidRDefault="00EB2D9F" w:rsidP="00DE3B28">
      <w:pPr>
        <w:tabs>
          <w:tab w:val="left" w:pos="4820"/>
        </w:tabs>
        <w:spacing w:after="120" w:line="259" w:lineRule="auto"/>
        <w:rPr>
          <w:b/>
          <w:bCs/>
        </w:rPr>
      </w:pPr>
      <w:r>
        <w:rPr>
          <w:b/>
        </w:rPr>
        <w:t>Podpora je</w:t>
      </w:r>
      <w:r w:rsidR="009E74B8" w:rsidRPr="007279D2">
        <w:rPr>
          <w:b/>
        </w:rPr>
        <w:t xml:space="preserve"> určena</w:t>
      </w:r>
      <w:r>
        <w:rPr>
          <w:b/>
        </w:rPr>
        <w:t xml:space="preserve"> i</w:t>
      </w:r>
      <w:r w:rsidR="009E74B8" w:rsidRPr="007279D2">
        <w:rPr>
          <w:b/>
        </w:rPr>
        <w:t xml:space="preserve"> </w:t>
      </w:r>
      <w:r w:rsidR="008C5ABA">
        <w:rPr>
          <w:b/>
        </w:rPr>
        <w:t>na snížení konečné spotřeby energií v budovách ve vlastnictví</w:t>
      </w:r>
      <w:r w:rsidR="00DA08DB">
        <w:rPr>
          <w:b/>
        </w:rPr>
        <w:t xml:space="preserve"> ČR</w:t>
      </w:r>
      <w:r w:rsidR="008C5ABA">
        <w:rPr>
          <w:b/>
        </w:rPr>
        <w:t xml:space="preserve"> </w:t>
      </w:r>
      <w:r w:rsidR="00DA08DB">
        <w:rPr>
          <w:b/>
        </w:rPr>
        <w:t>a</w:t>
      </w:r>
      <w:r w:rsidR="00610379">
        <w:rPr>
          <w:b/>
        </w:rPr>
        <w:t> </w:t>
      </w:r>
      <w:r w:rsidR="008C5ABA">
        <w:rPr>
          <w:b/>
        </w:rPr>
        <w:t xml:space="preserve">užívání </w:t>
      </w:r>
      <w:r w:rsidR="009E74B8" w:rsidRPr="007279D2">
        <w:rPr>
          <w:b/>
        </w:rPr>
        <w:t>ústřed</w:t>
      </w:r>
      <w:r w:rsidR="007279D2" w:rsidRPr="007279D2">
        <w:rPr>
          <w:b/>
        </w:rPr>
        <w:t>ní</w:t>
      </w:r>
      <w:r w:rsidR="008C5ABA">
        <w:rPr>
          <w:b/>
        </w:rPr>
        <w:t>ch</w:t>
      </w:r>
      <w:r w:rsidR="007279D2" w:rsidRPr="007279D2">
        <w:rPr>
          <w:b/>
        </w:rPr>
        <w:t xml:space="preserve"> vládní</w:t>
      </w:r>
      <w:r w:rsidR="008C5ABA">
        <w:rPr>
          <w:b/>
        </w:rPr>
        <w:t>ch</w:t>
      </w:r>
      <w:r w:rsidR="007279D2" w:rsidRPr="007279D2">
        <w:rPr>
          <w:b/>
        </w:rPr>
        <w:t xml:space="preserve"> instituc</w:t>
      </w:r>
      <w:r w:rsidR="008C5ABA">
        <w:rPr>
          <w:b/>
        </w:rPr>
        <w:t>í</w:t>
      </w:r>
      <w:r w:rsidR="00297E31">
        <w:rPr>
          <w:b/>
        </w:rPr>
        <w:t xml:space="preserve"> (dále také „ústřední instituce“)</w:t>
      </w:r>
      <w:r w:rsidR="007279D2" w:rsidRPr="007279D2">
        <w:rPr>
          <w:rStyle w:val="Znakapoznpodarou"/>
          <w:b/>
        </w:rPr>
        <w:footnoteReference w:id="2"/>
      </w:r>
      <w:r w:rsidR="00063D8C">
        <w:rPr>
          <w:b/>
        </w:rPr>
        <w:t>,</w:t>
      </w:r>
      <w:r w:rsidR="007279D2" w:rsidRPr="007279D2">
        <w:rPr>
          <w:b/>
          <w:bCs/>
        </w:rPr>
        <w:t xml:space="preserve"> které </w:t>
      </w:r>
      <w:r w:rsidR="006A596F">
        <w:rPr>
          <w:b/>
          <w:bCs/>
        </w:rPr>
        <w:t>mají</w:t>
      </w:r>
      <w:r w:rsidR="007279D2" w:rsidRPr="007279D2">
        <w:rPr>
          <w:b/>
          <w:bCs/>
        </w:rPr>
        <w:t xml:space="preserve"> jít v oblasti energetických úspor příkladem</w:t>
      </w:r>
      <w:r w:rsidR="00B30D38">
        <w:rPr>
          <w:b/>
          <w:bCs/>
        </w:rPr>
        <w:t xml:space="preserve">. </w:t>
      </w:r>
      <w:r w:rsidR="00AA595A">
        <w:rPr>
          <w:b/>
          <w:bCs/>
        </w:rPr>
        <w:t>D</w:t>
      </w:r>
      <w:r>
        <w:rPr>
          <w:b/>
          <w:bCs/>
        </w:rPr>
        <w:t>le podkladů MPO do roku 2019 nesplňovalo</w:t>
      </w:r>
      <w:r w:rsidR="00B30D38">
        <w:rPr>
          <w:b/>
          <w:bCs/>
        </w:rPr>
        <w:t xml:space="preserve"> požadavky na</w:t>
      </w:r>
      <w:r w:rsidR="00DC1E44">
        <w:rPr>
          <w:b/>
          <w:bCs/>
        </w:rPr>
        <w:t xml:space="preserve"> </w:t>
      </w:r>
      <w:r w:rsidR="00281B07">
        <w:rPr>
          <w:b/>
          <w:bCs/>
        </w:rPr>
        <w:t>energetickou náročnost</w:t>
      </w:r>
      <w:r>
        <w:rPr>
          <w:b/>
          <w:bCs/>
        </w:rPr>
        <w:t xml:space="preserve"> ještě </w:t>
      </w:r>
      <w:r w:rsidR="003D16FF">
        <w:rPr>
          <w:b/>
          <w:bCs/>
        </w:rPr>
        <w:t xml:space="preserve">cca </w:t>
      </w:r>
      <w:r w:rsidR="00281B07">
        <w:rPr>
          <w:b/>
          <w:bCs/>
        </w:rPr>
        <w:t>7</w:t>
      </w:r>
      <w:r w:rsidR="003D16FF">
        <w:rPr>
          <w:b/>
          <w:bCs/>
        </w:rPr>
        <w:t>6</w:t>
      </w:r>
      <w:r w:rsidR="00281B07">
        <w:rPr>
          <w:b/>
          <w:bCs/>
        </w:rPr>
        <w:t xml:space="preserve"> % </w:t>
      </w:r>
      <w:r w:rsidR="003D16FF">
        <w:rPr>
          <w:b/>
          <w:bCs/>
        </w:rPr>
        <w:t xml:space="preserve">z celkového počtu 774 </w:t>
      </w:r>
      <w:r>
        <w:rPr>
          <w:b/>
          <w:bCs/>
        </w:rPr>
        <w:t>objektů</w:t>
      </w:r>
      <w:r w:rsidR="00B30D38">
        <w:rPr>
          <w:b/>
          <w:bCs/>
        </w:rPr>
        <w:t xml:space="preserve"> ve</w:t>
      </w:r>
      <w:r w:rsidR="00610379">
        <w:rPr>
          <w:b/>
          <w:bCs/>
        </w:rPr>
        <w:t> </w:t>
      </w:r>
      <w:r w:rsidR="00B30D38">
        <w:rPr>
          <w:b/>
          <w:bCs/>
        </w:rPr>
        <w:t xml:space="preserve">vlastnictví </w:t>
      </w:r>
      <w:r w:rsidR="0078279F">
        <w:rPr>
          <w:b/>
          <w:bCs/>
        </w:rPr>
        <w:t xml:space="preserve">ČR </w:t>
      </w:r>
      <w:r w:rsidR="00B30D38">
        <w:rPr>
          <w:b/>
          <w:bCs/>
        </w:rPr>
        <w:t>a</w:t>
      </w:r>
      <w:r w:rsidR="00DC1E44">
        <w:rPr>
          <w:b/>
          <w:bCs/>
        </w:rPr>
        <w:t xml:space="preserve"> </w:t>
      </w:r>
      <w:r w:rsidR="00281B07">
        <w:rPr>
          <w:b/>
          <w:bCs/>
        </w:rPr>
        <w:t>užívání ústředních institucí</w:t>
      </w:r>
      <w:r w:rsidR="00AA595A">
        <w:rPr>
          <w:b/>
          <w:bCs/>
        </w:rPr>
        <w:t>. T</w:t>
      </w:r>
      <w:r>
        <w:rPr>
          <w:b/>
          <w:bCs/>
        </w:rPr>
        <w:t xml:space="preserve">yto instituce nevyužívají možnosti čerpání prostředků z OPŽP a NZÚ na snížení konečné spotřeby energií </w:t>
      </w:r>
      <w:r w:rsidR="0078279F">
        <w:rPr>
          <w:b/>
          <w:bCs/>
        </w:rPr>
        <w:t xml:space="preserve">těchto </w:t>
      </w:r>
      <w:r>
        <w:rPr>
          <w:b/>
          <w:bCs/>
        </w:rPr>
        <w:t xml:space="preserve">budov. </w:t>
      </w:r>
      <w:r w:rsidR="00297E31">
        <w:rPr>
          <w:b/>
          <w:bCs/>
        </w:rPr>
        <w:t>V polovině roku 2020 bylo</w:t>
      </w:r>
      <w:r w:rsidR="00C23117">
        <w:rPr>
          <w:b/>
          <w:bCs/>
        </w:rPr>
        <w:t xml:space="preserve"> evidováno pouze 13</w:t>
      </w:r>
      <w:r w:rsidR="00913E40">
        <w:rPr>
          <w:b/>
          <w:bCs/>
        </w:rPr>
        <w:t xml:space="preserve"> </w:t>
      </w:r>
      <w:r w:rsidR="00297E31">
        <w:rPr>
          <w:b/>
          <w:bCs/>
        </w:rPr>
        <w:t xml:space="preserve">projektů ústředních institucí v realizaci, žádný nebyl </w:t>
      </w:r>
      <w:r w:rsidR="005D585D">
        <w:rPr>
          <w:b/>
          <w:bCs/>
        </w:rPr>
        <w:t>ukončen.</w:t>
      </w:r>
    </w:p>
    <w:p w14:paraId="58C53F91" w14:textId="57274E6F" w:rsidR="00613DF9" w:rsidRDefault="005D4E5F" w:rsidP="00613DF9">
      <w:pPr>
        <w:spacing w:after="120" w:line="259" w:lineRule="auto"/>
        <w:rPr>
          <w:rFonts w:cs="Calibri"/>
          <w:b/>
          <w:bCs/>
          <w:color w:val="000000"/>
        </w:rPr>
      </w:pPr>
      <w:r w:rsidRPr="005D4E5F">
        <w:rPr>
          <w:rFonts w:cs="Calibri"/>
          <w:b/>
          <w:bCs/>
          <w:color w:val="000000"/>
        </w:rPr>
        <w:t xml:space="preserve">Prostřednictvím programu NZÚ, jehož jediným zdrojem financování jsou výnosy z dražeb emisních povolenek, nebyly realizovány výdaje ve výši odpovídající zákonem stanovené části výnosů z dražeb emisních povolenek. </w:t>
      </w:r>
      <w:r w:rsidR="00AA6827" w:rsidRPr="00706D88">
        <w:rPr>
          <w:rFonts w:cs="Calibri"/>
          <w:b/>
          <w:bCs/>
          <w:color w:val="000000"/>
        </w:rPr>
        <w:t>Vzhledem k výši příjm</w:t>
      </w:r>
      <w:r w:rsidR="00AA6827">
        <w:rPr>
          <w:rFonts w:cs="Calibri"/>
          <w:b/>
          <w:bCs/>
          <w:color w:val="000000"/>
        </w:rPr>
        <w:t>ů</w:t>
      </w:r>
      <w:r w:rsidR="00AA6827" w:rsidRPr="00706D88">
        <w:rPr>
          <w:rFonts w:cs="Calibri"/>
          <w:b/>
          <w:bCs/>
          <w:color w:val="000000"/>
        </w:rPr>
        <w:t xml:space="preserve"> ČR z dražeb </w:t>
      </w:r>
      <w:r w:rsidR="00AA6827">
        <w:rPr>
          <w:rFonts w:cs="Calibri"/>
          <w:b/>
          <w:bCs/>
          <w:color w:val="000000"/>
        </w:rPr>
        <w:t>emisních povolenek</w:t>
      </w:r>
      <w:r w:rsidR="00AA6827" w:rsidRPr="00706D88">
        <w:rPr>
          <w:rFonts w:cs="Calibri"/>
          <w:b/>
          <w:bCs/>
          <w:color w:val="000000"/>
        </w:rPr>
        <w:t xml:space="preserve"> </w:t>
      </w:r>
      <w:r w:rsidR="00AA6827">
        <w:rPr>
          <w:rFonts w:cs="Calibri"/>
          <w:b/>
          <w:bCs/>
          <w:color w:val="000000"/>
        </w:rPr>
        <w:t xml:space="preserve">(36 mld. Kč </w:t>
      </w:r>
      <w:r w:rsidR="00AA6827" w:rsidRPr="00706D88">
        <w:rPr>
          <w:rFonts w:cs="Calibri"/>
          <w:b/>
          <w:bCs/>
          <w:color w:val="000000"/>
        </w:rPr>
        <w:t>v kontrolovaném období</w:t>
      </w:r>
      <w:r w:rsidR="00AA6827">
        <w:rPr>
          <w:rFonts w:cs="Calibri"/>
          <w:b/>
          <w:bCs/>
          <w:color w:val="000000"/>
        </w:rPr>
        <w:t xml:space="preserve">) a </w:t>
      </w:r>
      <w:r w:rsidR="00AA6827" w:rsidRPr="00706D88">
        <w:rPr>
          <w:rFonts w:cs="Calibri"/>
          <w:b/>
          <w:bCs/>
          <w:color w:val="000000"/>
        </w:rPr>
        <w:t>požadavku zákona na jejich použití ne</w:t>
      </w:r>
      <w:r w:rsidR="00FE33A0">
        <w:rPr>
          <w:rFonts w:cs="Calibri"/>
          <w:b/>
          <w:bCs/>
          <w:color w:val="000000"/>
        </w:rPr>
        <w:t xml:space="preserve">byly </w:t>
      </w:r>
      <w:r w:rsidR="00AA6827" w:rsidRPr="00706D88">
        <w:rPr>
          <w:rFonts w:cs="Calibri"/>
          <w:b/>
          <w:bCs/>
          <w:color w:val="000000"/>
        </w:rPr>
        <w:t>využív</w:t>
      </w:r>
      <w:r w:rsidR="00FE33A0">
        <w:rPr>
          <w:rFonts w:cs="Calibri"/>
          <w:b/>
          <w:bCs/>
          <w:color w:val="000000"/>
        </w:rPr>
        <w:t xml:space="preserve">ány </w:t>
      </w:r>
      <w:r w:rsidR="00AA6827">
        <w:rPr>
          <w:rFonts w:cs="Calibri"/>
          <w:b/>
          <w:bCs/>
          <w:color w:val="000000"/>
        </w:rPr>
        <w:t xml:space="preserve">dostupné peněžní prostředky </w:t>
      </w:r>
      <w:r w:rsidR="00AA6827" w:rsidRPr="00706D88">
        <w:rPr>
          <w:rFonts w:cs="Calibri"/>
          <w:b/>
          <w:bCs/>
          <w:color w:val="000000"/>
        </w:rPr>
        <w:t>k dosažení cílů v oblasti energetick</w:t>
      </w:r>
      <w:r w:rsidR="00AA6827">
        <w:rPr>
          <w:rFonts w:cs="Calibri"/>
          <w:b/>
          <w:bCs/>
          <w:color w:val="000000"/>
        </w:rPr>
        <w:t>é účinnosti u</w:t>
      </w:r>
      <w:r w:rsidR="00FE33A0">
        <w:rPr>
          <w:rFonts w:cs="Calibri"/>
          <w:b/>
          <w:bCs/>
          <w:color w:val="000000"/>
        </w:rPr>
        <w:t> </w:t>
      </w:r>
      <w:r w:rsidR="00AA6827">
        <w:rPr>
          <w:rFonts w:cs="Calibri"/>
          <w:b/>
          <w:bCs/>
          <w:color w:val="000000"/>
        </w:rPr>
        <w:t>veřejných budov</w:t>
      </w:r>
      <w:r w:rsidR="0078279F">
        <w:rPr>
          <w:rFonts w:cs="Calibri"/>
          <w:b/>
          <w:bCs/>
          <w:color w:val="000000"/>
        </w:rPr>
        <w:t xml:space="preserve"> v ČR</w:t>
      </w:r>
      <w:r w:rsidR="00AA6827">
        <w:rPr>
          <w:rFonts w:cs="Calibri"/>
          <w:b/>
          <w:bCs/>
          <w:color w:val="000000"/>
        </w:rPr>
        <w:t xml:space="preserve">. MŽP </w:t>
      </w:r>
      <w:r w:rsidR="0032598C">
        <w:rPr>
          <w:rFonts w:cs="Calibri"/>
          <w:b/>
          <w:bCs/>
          <w:color w:val="000000"/>
        </w:rPr>
        <w:t>umožnilo čerpat</w:t>
      </w:r>
      <w:r w:rsidR="00AA6827">
        <w:rPr>
          <w:rFonts w:cs="Calibri"/>
          <w:b/>
          <w:bCs/>
          <w:color w:val="000000"/>
        </w:rPr>
        <w:t xml:space="preserve"> prostředky pro </w:t>
      </w:r>
      <w:r w:rsidR="00AA6827" w:rsidRPr="00706D88">
        <w:rPr>
          <w:rFonts w:cs="Calibri"/>
          <w:b/>
          <w:bCs/>
          <w:color w:val="000000"/>
        </w:rPr>
        <w:t>se</w:t>
      </w:r>
      <w:r w:rsidR="00AA6827">
        <w:rPr>
          <w:rFonts w:cs="Calibri"/>
          <w:b/>
          <w:bCs/>
          <w:color w:val="000000"/>
        </w:rPr>
        <w:t>ktor</w:t>
      </w:r>
      <w:r w:rsidR="00AA6827" w:rsidRPr="00706D88">
        <w:rPr>
          <w:rFonts w:cs="Calibri"/>
          <w:b/>
          <w:bCs/>
          <w:color w:val="000000"/>
        </w:rPr>
        <w:t xml:space="preserve"> veřejných budov </w:t>
      </w:r>
      <w:r w:rsidR="00AA6827">
        <w:rPr>
          <w:rFonts w:cs="Calibri"/>
          <w:b/>
          <w:bCs/>
          <w:color w:val="000000"/>
        </w:rPr>
        <w:t xml:space="preserve">z programu NZÚ až </w:t>
      </w:r>
      <w:r w:rsidR="00AA6827" w:rsidRPr="00C844A4">
        <w:rPr>
          <w:rFonts w:cs="Calibri"/>
          <w:b/>
          <w:bCs/>
          <w:color w:val="000000"/>
        </w:rPr>
        <w:t>v</w:t>
      </w:r>
      <w:r w:rsidR="0032598C">
        <w:rPr>
          <w:rFonts w:cs="Calibri"/>
          <w:b/>
          <w:bCs/>
          <w:color w:val="000000"/>
        </w:rPr>
        <w:t> průběhu roku</w:t>
      </w:r>
      <w:r w:rsidR="00AA6827" w:rsidRPr="00C844A4">
        <w:rPr>
          <w:rFonts w:cs="Calibri"/>
          <w:b/>
          <w:bCs/>
          <w:color w:val="000000"/>
        </w:rPr>
        <w:t xml:space="preserve"> 2017, tj. </w:t>
      </w:r>
      <w:r w:rsidR="00AA6827">
        <w:rPr>
          <w:rFonts w:cs="Calibri"/>
          <w:b/>
          <w:bCs/>
          <w:color w:val="000000"/>
        </w:rPr>
        <w:t xml:space="preserve">4 </w:t>
      </w:r>
      <w:r w:rsidR="00AA6827" w:rsidRPr="00C844A4">
        <w:rPr>
          <w:rFonts w:cs="Calibri"/>
          <w:b/>
          <w:bCs/>
          <w:color w:val="000000"/>
        </w:rPr>
        <w:t xml:space="preserve">roky po spuštění programu NZÚ a téměř 5 let po </w:t>
      </w:r>
      <w:r w:rsidR="00446121">
        <w:rPr>
          <w:rFonts w:cs="Calibri"/>
          <w:b/>
          <w:bCs/>
          <w:color w:val="000000"/>
        </w:rPr>
        <w:t>vydání</w:t>
      </w:r>
      <w:r w:rsidR="00AA6827" w:rsidRPr="00C844A4">
        <w:rPr>
          <w:rFonts w:cs="Calibri"/>
          <w:b/>
          <w:bCs/>
          <w:color w:val="000000"/>
        </w:rPr>
        <w:t xml:space="preserve"> směrnice </w:t>
      </w:r>
      <w:r w:rsidR="00063D8C" w:rsidRPr="00FC7CB7">
        <w:rPr>
          <w:b/>
        </w:rPr>
        <w:t>2012/27/EU</w:t>
      </w:r>
      <w:r w:rsidR="00AA6827">
        <w:rPr>
          <w:rStyle w:val="Znakapoznpodarou"/>
          <w:rFonts w:cs="Calibri"/>
          <w:b/>
          <w:bCs/>
          <w:color w:val="000000"/>
        </w:rPr>
        <w:footnoteReference w:id="3"/>
      </w:r>
      <w:r w:rsidR="00063D8C">
        <w:rPr>
          <w:rFonts w:cs="Calibri"/>
          <w:b/>
          <w:bCs/>
          <w:color w:val="000000"/>
        </w:rPr>
        <w:t>,</w:t>
      </w:r>
      <w:r w:rsidR="00AA6827" w:rsidRPr="00C844A4">
        <w:rPr>
          <w:rFonts w:cs="Calibri"/>
          <w:b/>
          <w:bCs/>
          <w:color w:val="000000"/>
        </w:rPr>
        <w:t xml:space="preserve"> </w:t>
      </w:r>
      <w:r w:rsidR="00AA6827">
        <w:rPr>
          <w:rFonts w:cs="Calibri"/>
          <w:b/>
          <w:bCs/>
          <w:color w:val="000000"/>
        </w:rPr>
        <w:t>a </w:t>
      </w:r>
      <w:r w:rsidR="00AA6827" w:rsidRPr="00706D88">
        <w:rPr>
          <w:rFonts w:cs="Calibri"/>
          <w:b/>
          <w:bCs/>
          <w:color w:val="000000"/>
        </w:rPr>
        <w:t xml:space="preserve">to jen </w:t>
      </w:r>
      <w:r w:rsidR="00AA6827">
        <w:rPr>
          <w:rFonts w:cs="Calibri"/>
          <w:b/>
          <w:bCs/>
          <w:color w:val="000000"/>
        </w:rPr>
        <w:t xml:space="preserve">na projekty </w:t>
      </w:r>
      <w:r w:rsidR="00AA6827" w:rsidRPr="00706D88">
        <w:rPr>
          <w:rFonts w:cs="Calibri"/>
          <w:b/>
          <w:bCs/>
          <w:color w:val="000000"/>
        </w:rPr>
        <w:t xml:space="preserve">financované z OPŽP jako </w:t>
      </w:r>
      <w:r w:rsidR="00AA6827">
        <w:rPr>
          <w:rFonts w:cs="Calibri"/>
          <w:b/>
          <w:bCs/>
          <w:color w:val="000000"/>
        </w:rPr>
        <w:t>tzv. „</w:t>
      </w:r>
      <w:r w:rsidR="00AA6827" w:rsidRPr="00706D88">
        <w:rPr>
          <w:rFonts w:cs="Calibri"/>
          <w:b/>
          <w:bCs/>
          <w:color w:val="000000"/>
        </w:rPr>
        <w:t xml:space="preserve">posílení </w:t>
      </w:r>
      <w:r w:rsidR="00AA6827">
        <w:rPr>
          <w:rFonts w:cs="Calibri"/>
          <w:b/>
          <w:bCs/>
          <w:color w:val="000000"/>
        </w:rPr>
        <w:t>vlastních zdrojů“</w:t>
      </w:r>
      <w:r w:rsidR="00AA6827" w:rsidRPr="00706D88">
        <w:rPr>
          <w:rFonts w:cs="Calibri"/>
          <w:b/>
          <w:bCs/>
          <w:color w:val="000000"/>
        </w:rPr>
        <w:t>.</w:t>
      </w:r>
    </w:p>
    <w:p w14:paraId="22247113" w14:textId="77777777" w:rsidR="0057307B" w:rsidRDefault="005D4E5F" w:rsidP="0057307B">
      <w:pPr>
        <w:spacing w:after="120"/>
        <w:rPr>
          <w:rFonts w:cs="Calibri"/>
          <w:b/>
          <w:color w:val="000000"/>
        </w:rPr>
      </w:pPr>
      <w:r w:rsidRPr="0057307B">
        <w:rPr>
          <w:rFonts w:cs="Calibri"/>
          <w:b/>
          <w:color w:val="000000"/>
        </w:rPr>
        <w:t xml:space="preserve">Kontrolou </w:t>
      </w:r>
      <w:r>
        <w:rPr>
          <w:rFonts w:cs="Calibri"/>
          <w:b/>
          <w:color w:val="000000"/>
        </w:rPr>
        <w:t xml:space="preserve">vybraných projektů </w:t>
      </w:r>
      <w:r w:rsidRPr="0057307B">
        <w:rPr>
          <w:rFonts w:cs="Calibri"/>
          <w:b/>
          <w:color w:val="000000"/>
        </w:rPr>
        <w:t>nebylo zjištěno neúčelné a nehospodárné poskytování peněžních prostředků.</w:t>
      </w:r>
    </w:p>
    <w:p w14:paraId="6B129FBF" w14:textId="77777777" w:rsidR="00FE33A0" w:rsidRDefault="00FE33A0" w:rsidP="0057307B">
      <w:pPr>
        <w:spacing w:after="120"/>
        <w:rPr>
          <w:rFonts w:cs="Calibri"/>
          <w:b/>
          <w:color w:val="000000"/>
        </w:rPr>
      </w:pPr>
    </w:p>
    <w:p w14:paraId="448744EB" w14:textId="77777777" w:rsidR="00FE33A0" w:rsidRDefault="00FE33A0" w:rsidP="0057307B">
      <w:pPr>
        <w:spacing w:after="120"/>
        <w:rPr>
          <w:rFonts w:cs="Calibri"/>
          <w:b/>
          <w:color w:val="000000"/>
        </w:rPr>
      </w:pPr>
    </w:p>
    <w:p w14:paraId="146BBFD1" w14:textId="77777777" w:rsidR="00CD0A39" w:rsidRPr="003D48B7" w:rsidRDefault="001351CE" w:rsidP="00E76684">
      <w:pPr>
        <w:autoSpaceDE w:val="0"/>
        <w:autoSpaceDN w:val="0"/>
        <w:adjustRightInd w:val="0"/>
        <w:spacing w:before="240" w:after="240"/>
        <w:ind w:left="284" w:hanging="284"/>
        <w:outlineLvl w:val="1"/>
        <w:rPr>
          <w:rFonts w:cs="Arial"/>
          <w:color w:val="000000" w:themeColor="text1"/>
          <w:szCs w:val="24"/>
        </w:rPr>
      </w:pPr>
      <w:r w:rsidRPr="0057307B">
        <w:lastRenderedPageBreak/>
        <w:t>Vyhodnocení vyplývá</w:t>
      </w:r>
      <w:r w:rsidR="004E440A" w:rsidRPr="0057307B">
        <w:t xml:space="preserve"> </w:t>
      </w:r>
      <w:r w:rsidRPr="0057307B">
        <w:t>z těchto zjištěných nedostatků</w:t>
      </w:r>
      <w:r w:rsidR="001D7420" w:rsidRPr="0057307B">
        <w:rPr>
          <w:rFonts w:cs="Arial"/>
          <w:color w:val="000000" w:themeColor="text1"/>
          <w:szCs w:val="24"/>
        </w:rPr>
        <w:t>:</w:t>
      </w:r>
    </w:p>
    <w:p w14:paraId="04AA839B" w14:textId="4905B382" w:rsidR="00310311" w:rsidRPr="00310311" w:rsidRDefault="00701A19" w:rsidP="00310311">
      <w:pPr>
        <w:pStyle w:val="Odstavecseseznamem"/>
        <w:numPr>
          <w:ilvl w:val="0"/>
          <w:numId w:val="24"/>
        </w:numPr>
        <w:autoSpaceDE w:val="0"/>
        <w:autoSpaceDN w:val="0"/>
        <w:adjustRightInd w:val="0"/>
        <w:spacing w:before="240" w:after="240"/>
        <w:ind w:left="284" w:hanging="284"/>
        <w:outlineLvl w:val="1"/>
        <w:rPr>
          <w:rFonts w:cstheme="minorHAnsi"/>
          <w:b/>
        </w:rPr>
      </w:pPr>
      <w:r w:rsidRPr="00F05864">
        <w:rPr>
          <w:b/>
        </w:rPr>
        <w:t>Peněžní prostředky vynakládané z </w:t>
      </w:r>
      <w:r w:rsidRPr="00E80BFF">
        <w:rPr>
          <w:b/>
        </w:rPr>
        <w:t xml:space="preserve">OPŽP a </w:t>
      </w:r>
      <w:r w:rsidR="007155C0">
        <w:rPr>
          <w:b/>
        </w:rPr>
        <w:t xml:space="preserve">z programu </w:t>
      </w:r>
      <w:r w:rsidRPr="00E80BFF">
        <w:rPr>
          <w:b/>
        </w:rPr>
        <w:t xml:space="preserve">NZÚ </w:t>
      </w:r>
      <w:r w:rsidR="00310311">
        <w:rPr>
          <w:b/>
        </w:rPr>
        <w:t>na s</w:t>
      </w:r>
      <w:r w:rsidR="00310311" w:rsidRPr="00310311">
        <w:rPr>
          <w:b/>
        </w:rPr>
        <w:t>níž</w:t>
      </w:r>
      <w:r w:rsidR="00310311">
        <w:rPr>
          <w:b/>
        </w:rPr>
        <w:t>ení konečné spotřeby energií ve</w:t>
      </w:r>
      <w:r w:rsidR="00E4744C">
        <w:rPr>
          <w:b/>
        </w:rPr>
        <w:t xml:space="preserve"> </w:t>
      </w:r>
      <w:r w:rsidR="00310311" w:rsidRPr="00310311">
        <w:rPr>
          <w:b/>
        </w:rPr>
        <w:t>veřejných budovách</w:t>
      </w:r>
      <w:r w:rsidR="00310311">
        <w:rPr>
          <w:b/>
        </w:rPr>
        <w:t xml:space="preserve"> přispěly </w:t>
      </w:r>
      <w:r w:rsidR="00310311" w:rsidRPr="00310311">
        <w:rPr>
          <w:rFonts w:cstheme="minorHAnsi"/>
          <w:b/>
        </w:rPr>
        <w:t>k</w:t>
      </w:r>
      <w:r w:rsidR="00310311">
        <w:rPr>
          <w:rFonts w:cstheme="minorHAnsi"/>
          <w:b/>
        </w:rPr>
        <w:t xml:space="preserve"> naplňování cílů stanovených do</w:t>
      </w:r>
      <w:r w:rsidR="00E4744C">
        <w:rPr>
          <w:rFonts w:cstheme="minorHAnsi"/>
          <w:b/>
        </w:rPr>
        <w:t xml:space="preserve"> </w:t>
      </w:r>
      <w:r w:rsidR="00310311" w:rsidRPr="00310311">
        <w:rPr>
          <w:rFonts w:cstheme="minorHAnsi"/>
          <w:b/>
        </w:rPr>
        <w:t>roku 2020 evropskými a</w:t>
      </w:r>
      <w:r w:rsidR="00E4744C">
        <w:rPr>
          <w:rFonts w:cstheme="minorHAnsi"/>
          <w:b/>
        </w:rPr>
        <w:t> </w:t>
      </w:r>
      <w:r w:rsidR="00310311" w:rsidRPr="00310311">
        <w:rPr>
          <w:rFonts w:cstheme="minorHAnsi"/>
          <w:b/>
        </w:rPr>
        <w:t>národními předpisy v malém rozsahu</w:t>
      </w:r>
    </w:p>
    <w:p w14:paraId="1C877A26" w14:textId="4AECAC2F" w:rsidR="007467C7" w:rsidRDefault="00273402" w:rsidP="00310311">
      <w:pPr>
        <w:pStyle w:val="Odstavecseseznamem"/>
        <w:autoSpaceDE w:val="0"/>
        <w:autoSpaceDN w:val="0"/>
        <w:adjustRightInd w:val="0"/>
        <w:spacing w:before="120" w:after="120"/>
        <w:ind w:left="0"/>
        <w:rPr>
          <w:rFonts w:cstheme="minorHAnsi"/>
        </w:rPr>
      </w:pPr>
      <w:r w:rsidRPr="00273402">
        <w:rPr>
          <w:rFonts w:cstheme="minorHAnsi"/>
        </w:rPr>
        <w:t xml:space="preserve">V OPŽP a NZÚ je pro veřejné instituce k dispozici více než 20 mld. Kč na investiční projekty zaměřené na energetické úspory ve veřejných budovách. </w:t>
      </w:r>
      <w:r w:rsidR="001013C0">
        <w:rPr>
          <w:rFonts w:cstheme="minorHAnsi"/>
        </w:rPr>
        <w:t>Do poloviny roku</w:t>
      </w:r>
      <w:r w:rsidRPr="00273402">
        <w:rPr>
          <w:rFonts w:cstheme="minorHAnsi"/>
        </w:rPr>
        <w:t xml:space="preserve"> 2020 bylo na tyto projekty vynaloženo zatím 3,5 mld. Kč.</w:t>
      </w:r>
      <w:r w:rsidR="001013C0">
        <w:rPr>
          <w:rFonts w:cstheme="minorHAnsi"/>
        </w:rPr>
        <w:t xml:space="preserve"> </w:t>
      </w:r>
      <w:r w:rsidR="00B30D38" w:rsidRPr="00B30D38">
        <w:rPr>
          <w:rFonts w:cstheme="minorHAnsi"/>
        </w:rPr>
        <w:t>Vykázané sníž</w:t>
      </w:r>
      <w:r w:rsidR="001013C0">
        <w:rPr>
          <w:rFonts w:cstheme="minorHAnsi"/>
        </w:rPr>
        <w:t>ení konečné spotřeby energie ve</w:t>
      </w:r>
      <w:r w:rsidR="00985F9A">
        <w:rPr>
          <w:rFonts w:cstheme="minorHAnsi"/>
        </w:rPr>
        <w:t> </w:t>
      </w:r>
      <w:r w:rsidR="00B30D38" w:rsidRPr="00B30D38">
        <w:rPr>
          <w:rFonts w:cstheme="minorHAnsi"/>
        </w:rPr>
        <w:t xml:space="preserve">veřejných budovách činilo 305 580 GJ/rok, což představuje cca jednu pětinu úspor energií, kterých má být prostřednictvím OPŽP </w:t>
      </w:r>
      <w:r w:rsidR="007467C7">
        <w:rPr>
          <w:rFonts w:cstheme="minorHAnsi"/>
        </w:rPr>
        <w:t xml:space="preserve">do konce roku 2023 </w:t>
      </w:r>
      <w:r w:rsidR="00B30D38" w:rsidRPr="00B30D38">
        <w:rPr>
          <w:rFonts w:cstheme="minorHAnsi"/>
        </w:rPr>
        <w:t>dosaženo. Od vyhlášení první výzvy v roce 2015 do poloviny roku 2020 bylo evidováno celkem 2 436 aktivních žádostí o podporu na snížení konečné spotřeby ene</w:t>
      </w:r>
      <w:r>
        <w:rPr>
          <w:rFonts w:cstheme="minorHAnsi"/>
        </w:rPr>
        <w:t>rgie ve veřejných budovách, z </w:t>
      </w:r>
      <w:r w:rsidR="00B30D38" w:rsidRPr="00B30D38">
        <w:rPr>
          <w:rFonts w:cstheme="minorHAnsi"/>
        </w:rPr>
        <w:t>toho bylo dle evidence</w:t>
      </w:r>
      <w:r w:rsidR="00CA6409">
        <w:rPr>
          <w:rStyle w:val="Znakapoznpodarou"/>
          <w:rFonts w:cstheme="minorHAnsi"/>
        </w:rPr>
        <w:footnoteReference w:id="4"/>
      </w:r>
      <w:r w:rsidR="00B30D38" w:rsidRPr="00B30D38">
        <w:rPr>
          <w:rFonts w:cstheme="minorHAnsi"/>
        </w:rPr>
        <w:t xml:space="preserve"> fyz</w:t>
      </w:r>
      <w:r w:rsidR="007467C7">
        <w:rPr>
          <w:rFonts w:cstheme="minorHAnsi"/>
        </w:rPr>
        <w:t xml:space="preserve">icky ukončeno </w:t>
      </w:r>
      <w:r w:rsidR="00CA6409">
        <w:rPr>
          <w:rFonts w:cstheme="minorHAnsi"/>
        </w:rPr>
        <w:t xml:space="preserve">409 projektů, tj. </w:t>
      </w:r>
      <w:r w:rsidR="007467C7">
        <w:rPr>
          <w:rFonts w:cstheme="minorHAnsi"/>
        </w:rPr>
        <w:t>cca 17 %.</w:t>
      </w:r>
    </w:p>
    <w:p w14:paraId="1465B70F" w14:textId="46364947" w:rsidR="00310311" w:rsidRDefault="007467C7" w:rsidP="00310311">
      <w:pPr>
        <w:pStyle w:val="Odstavecseseznamem"/>
        <w:autoSpaceDE w:val="0"/>
        <w:autoSpaceDN w:val="0"/>
        <w:adjustRightInd w:val="0"/>
        <w:spacing w:before="120" w:after="120"/>
        <w:ind w:left="0"/>
        <w:rPr>
          <w:rFonts w:cstheme="minorHAnsi"/>
        </w:rPr>
      </w:pPr>
      <w:r>
        <w:rPr>
          <w:rFonts w:cstheme="minorHAnsi"/>
        </w:rPr>
        <w:t xml:space="preserve">V případě ústředních institucí bylo v polovině roku 2020 evidováno 34 aktivních žádostí o podporu, z toho 13 projektů bylo v realizaci a žádný jejich </w:t>
      </w:r>
      <w:r w:rsidR="00310311">
        <w:t xml:space="preserve">projekt </w:t>
      </w:r>
      <w:r>
        <w:t>neby</w:t>
      </w:r>
      <w:r w:rsidR="00310311">
        <w:t>l ukončen.</w:t>
      </w:r>
      <w:r>
        <w:t xml:space="preserve"> </w:t>
      </w:r>
      <w:r w:rsidR="00310311" w:rsidRPr="00B17119">
        <w:rPr>
          <w:rFonts w:cstheme="minorHAnsi"/>
        </w:rPr>
        <w:t xml:space="preserve">V roce 2019 byla vyhlášena </w:t>
      </w:r>
      <w:r w:rsidRPr="00B17119">
        <w:rPr>
          <w:rFonts w:cstheme="minorHAnsi"/>
        </w:rPr>
        <w:t>mj.</w:t>
      </w:r>
      <w:r w:rsidR="00310311" w:rsidRPr="00B17119">
        <w:rPr>
          <w:rFonts w:cstheme="minorHAnsi"/>
        </w:rPr>
        <w:t xml:space="preserve"> výzva určená výhradně pro ústřední instituce s celkovou alokací 2 mld. Kč,</w:t>
      </w:r>
      <w:r w:rsidR="00310311" w:rsidRPr="00B17119">
        <w:rPr>
          <w:rStyle w:val="Znakapoznpodarou"/>
          <w:rFonts w:cstheme="minorHAnsi"/>
        </w:rPr>
        <w:footnoteReference w:id="5"/>
      </w:r>
      <w:r w:rsidR="00310311" w:rsidRPr="00B17119">
        <w:rPr>
          <w:rFonts w:cstheme="minorHAnsi"/>
        </w:rPr>
        <w:t xml:space="preserve"> ty</w:t>
      </w:r>
      <w:r w:rsidR="00C12224">
        <w:rPr>
          <w:rFonts w:cstheme="minorHAnsi"/>
        </w:rPr>
        <w:t xml:space="preserve"> </w:t>
      </w:r>
      <w:r w:rsidR="00310311" w:rsidRPr="00B17119">
        <w:rPr>
          <w:rFonts w:cstheme="minorHAnsi"/>
        </w:rPr>
        <w:t xml:space="preserve">však projevily zájem pouze o </w:t>
      </w:r>
      <w:r w:rsidR="00B17119" w:rsidRPr="00B17119">
        <w:rPr>
          <w:rFonts w:cstheme="minorHAnsi"/>
        </w:rPr>
        <w:t>20</w:t>
      </w:r>
      <w:r w:rsidR="00310311" w:rsidRPr="00B17119">
        <w:rPr>
          <w:rFonts w:cstheme="minorHAnsi"/>
        </w:rPr>
        <w:t xml:space="preserve"> % této alokace. </w:t>
      </w:r>
      <w:r w:rsidRPr="00B17119">
        <w:rPr>
          <w:rFonts w:cstheme="minorHAnsi"/>
        </w:rPr>
        <w:t xml:space="preserve">Ústřední instituce projevují minimální zájem o podporu z OPŽP a NZÚ – </w:t>
      </w:r>
      <w:r w:rsidRPr="00B17119">
        <w:rPr>
          <w:rFonts w:cstheme="minorHAnsi"/>
          <w:i/>
        </w:rPr>
        <w:t>Budovy veřejného sektoru</w:t>
      </w:r>
      <w:r w:rsidRPr="00B17119">
        <w:rPr>
          <w:rFonts w:cstheme="minorHAnsi"/>
        </w:rPr>
        <w:t xml:space="preserve"> </w:t>
      </w:r>
      <w:r w:rsidR="002E6CA6" w:rsidRPr="002E6CA6">
        <w:rPr>
          <w:rFonts w:cstheme="minorHAnsi"/>
        </w:rPr>
        <w:t>a</w:t>
      </w:r>
      <w:r w:rsidR="00C12224">
        <w:rPr>
          <w:rFonts w:cstheme="minorHAnsi"/>
        </w:rPr>
        <w:t xml:space="preserve"> </w:t>
      </w:r>
      <w:r w:rsidR="002E6CA6" w:rsidRPr="002E6CA6">
        <w:rPr>
          <w:rFonts w:cstheme="minorHAnsi"/>
        </w:rPr>
        <w:t>financují projekty k</w:t>
      </w:r>
      <w:r w:rsidR="005F1E2E">
        <w:rPr>
          <w:rFonts w:cstheme="minorHAnsi"/>
        </w:rPr>
        <w:t> </w:t>
      </w:r>
      <w:r w:rsidR="002E6CA6" w:rsidRPr="002E6CA6">
        <w:rPr>
          <w:rFonts w:cstheme="minorHAnsi"/>
        </w:rPr>
        <w:t xml:space="preserve">dosažení energetických úspor </w:t>
      </w:r>
      <w:r w:rsidR="002E6CA6">
        <w:rPr>
          <w:rFonts w:cstheme="minorHAnsi"/>
        </w:rPr>
        <w:t xml:space="preserve">převážně </w:t>
      </w:r>
      <w:r w:rsidR="002E6CA6" w:rsidRPr="002E6CA6">
        <w:rPr>
          <w:rFonts w:cstheme="minorHAnsi"/>
        </w:rPr>
        <w:t>z vlastních investičních prostředků.</w:t>
      </w:r>
      <w:r w:rsidR="002E6CA6">
        <w:rPr>
          <w:rFonts w:cstheme="minorHAnsi"/>
        </w:rPr>
        <w:t xml:space="preserve"> </w:t>
      </w:r>
      <w:r w:rsidR="00310311" w:rsidRPr="00B17119">
        <w:rPr>
          <w:rFonts w:cstheme="minorHAnsi"/>
        </w:rPr>
        <w:t>Ke</w:t>
      </w:r>
      <w:r w:rsidR="00E72E5D">
        <w:rPr>
          <w:rFonts w:cstheme="minorHAnsi"/>
        </w:rPr>
        <w:t xml:space="preserve"> </w:t>
      </w:r>
      <w:r w:rsidR="00310311" w:rsidRPr="00B17119">
        <w:rPr>
          <w:rFonts w:cstheme="minorHAnsi"/>
        </w:rPr>
        <w:t>dni</w:t>
      </w:r>
      <w:r w:rsidR="00E72E5D">
        <w:rPr>
          <w:rFonts w:cstheme="minorHAnsi"/>
        </w:rPr>
        <w:t xml:space="preserve"> </w:t>
      </w:r>
      <w:r w:rsidR="00310311" w:rsidRPr="00B17119">
        <w:rPr>
          <w:rFonts w:cstheme="minorHAnsi"/>
        </w:rPr>
        <w:t>31. 12</w:t>
      </w:r>
      <w:r w:rsidR="00310311">
        <w:rPr>
          <w:rFonts w:cstheme="minorHAnsi"/>
        </w:rPr>
        <w:t>. </w:t>
      </w:r>
      <w:r w:rsidR="00310311" w:rsidRPr="00CA3E74">
        <w:rPr>
          <w:rFonts w:cstheme="minorHAnsi"/>
        </w:rPr>
        <w:t>2019 nesplňovalo požadavky na</w:t>
      </w:r>
      <w:r w:rsidR="00C12224">
        <w:rPr>
          <w:rFonts w:cstheme="minorHAnsi"/>
        </w:rPr>
        <w:t xml:space="preserve"> </w:t>
      </w:r>
      <w:r w:rsidR="00310311" w:rsidRPr="00CA3E74">
        <w:rPr>
          <w:rFonts w:cstheme="minorHAnsi"/>
        </w:rPr>
        <w:t xml:space="preserve">energetickou náročnost celkem 585 budov </w:t>
      </w:r>
      <w:r w:rsidR="0078279F">
        <w:rPr>
          <w:rFonts w:cstheme="minorHAnsi"/>
        </w:rPr>
        <w:t>ve</w:t>
      </w:r>
      <w:r w:rsidR="00AF01BD">
        <w:rPr>
          <w:rFonts w:cstheme="minorHAnsi"/>
        </w:rPr>
        <w:t> </w:t>
      </w:r>
      <w:r w:rsidR="0078279F">
        <w:rPr>
          <w:rFonts w:cstheme="minorHAnsi"/>
        </w:rPr>
        <w:t>vlastnictví ČR a</w:t>
      </w:r>
      <w:r w:rsidR="00976196">
        <w:rPr>
          <w:rFonts w:cstheme="minorHAnsi"/>
        </w:rPr>
        <w:t xml:space="preserve"> </w:t>
      </w:r>
      <w:r w:rsidR="00310311" w:rsidRPr="00CA3E74">
        <w:rPr>
          <w:rFonts w:cstheme="minorHAnsi"/>
        </w:rPr>
        <w:t>užívání ústředních institucí.</w:t>
      </w:r>
    </w:p>
    <w:p w14:paraId="1D2C7738" w14:textId="1620F030" w:rsidR="00345461" w:rsidRPr="00DD5591" w:rsidRDefault="461AB0EB" w:rsidP="1BDD3FC5">
      <w:pPr>
        <w:pStyle w:val="Odstavecseseznamem"/>
        <w:numPr>
          <w:ilvl w:val="0"/>
          <w:numId w:val="24"/>
        </w:numPr>
        <w:autoSpaceDE w:val="0"/>
        <w:autoSpaceDN w:val="0"/>
        <w:adjustRightInd w:val="0"/>
        <w:spacing w:before="240" w:after="240"/>
        <w:ind w:left="284" w:hanging="284"/>
        <w:outlineLvl w:val="1"/>
        <w:rPr>
          <w:rFonts w:eastAsiaTheme="minorEastAsia" w:cstheme="minorBidi"/>
          <w:b/>
          <w:bCs/>
          <w:szCs w:val="24"/>
        </w:rPr>
      </w:pPr>
      <w:r w:rsidRPr="009A34D1">
        <w:rPr>
          <w:b/>
          <w:bCs/>
        </w:rPr>
        <w:t>Existuje riziko, že ČR nedosáhla</w:t>
      </w:r>
      <w:r w:rsidR="13B08D46" w:rsidRPr="009A34D1">
        <w:rPr>
          <w:b/>
          <w:bCs/>
        </w:rPr>
        <w:t xml:space="preserve"> k 31. 12. 2020</w:t>
      </w:r>
      <w:r w:rsidRPr="009A34D1">
        <w:rPr>
          <w:b/>
          <w:bCs/>
        </w:rPr>
        <w:t xml:space="preserve"> požadovaných úspor energií</w:t>
      </w:r>
      <w:r w:rsidR="49B5A83A" w:rsidRPr="009A34D1">
        <w:rPr>
          <w:b/>
          <w:bCs/>
        </w:rPr>
        <w:t xml:space="preserve"> v budovách ústředních instit</w:t>
      </w:r>
      <w:r w:rsidR="6D209B9C" w:rsidRPr="009A34D1">
        <w:rPr>
          <w:b/>
          <w:bCs/>
        </w:rPr>
        <w:t>ucí</w:t>
      </w:r>
      <w:r w:rsidR="001F428C" w:rsidRPr="1BDD3FC5">
        <w:rPr>
          <w:rStyle w:val="Znakapoznpodarou"/>
          <w:b/>
          <w:bCs/>
        </w:rPr>
        <w:footnoteReference w:id="6"/>
      </w:r>
    </w:p>
    <w:p w14:paraId="4DE65EBC" w14:textId="5689F29F" w:rsidR="00B21A63" w:rsidRDefault="003274B7" w:rsidP="1BDD3FC5">
      <w:pPr>
        <w:spacing w:after="120" w:line="259" w:lineRule="auto"/>
        <w:rPr>
          <w:rFonts w:cstheme="minorBidi"/>
        </w:rPr>
      </w:pPr>
      <w:r w:rsidRPr="1BDD3FC5">
        <w:rPr>
          <w:rFonts w:cstheme="minorBidi"/>
        </w:rPr>
        <w:t xml:space="preserve">EU stanovila k roku 2020 cíle v oblasti energetické účinnosti, mj. cíl pro budovy ústředních institucí, resp. jejich příkladnou úlohu. Pro </w:t>
      </w:r>
      <w:r w:rsidR="00334AF1" w:rsidRPr="1BDD3FC5">
        <w:rPr>
          <w:rFonts w:cstheme="minorBidi"/>
        </w:rPr>
        <w:t xml:space="preserve">ČR </w:t>
      </w:r>
      <w:r w:rsidRPr="1BDD3FC5">
        <w:rPr>
          <w:rFonts w:cstheme="minorBidi"/>
        </w:rPr>
        <w:t xml:space="preserve">je cíl </w:t>
      </w:r>
      <w:r w:rsidR="00334AF1" w:rsidRPr="1BDD3FC5">
        <w:rPr>
          <w:rFonts w:cstheme="minorBidi"/>
        </w:rPr>
        <w:t>stanov</w:t>
      </w:r>
      <w:r w:rsidRPr="1BDD3FC5">
        <w:rPr>
          <w:rFonts w:cstheme="minorBidi"/>
        </w:rPr>
        <w:t>en ve výši</w:t>
      </w:r>
      <w:r w:rsidR="00334AF1" w:rsidRPr="1BDD3FC5">
        <w:rPr>
          <w:rFonts w:cstheme="minorBidi"/>
        </w:rPr>
        <w:t xml:space="preserve"> </w:t>
      </w:r>
      <w:r w:rsidR="00B21A63" w:rsidRPr="1BDD3FC5">
        <w:rPr>
          <w:rFonts w:cstheme="minorBidi"/>
        </w:rPr>
        <w:t xml:space="preserve">dosažení úspor energie </w:t>
      </w:r>
      <w:r w:rsidR="00162D5C" w:rsidRPr="1BDD3FC5">
        <w:rPr>
          <w:rFonts w:cstheme="minorBidi"/>
        </w:rPr>
        <w:t>98,7 TJ</w:t>
      </w:r>
      <w:r w:rsidRPr="1BDD3FC5">
        <w:rPr>
          <w:rFonts w:cstheme="minorBidi"/>
        </w:rPr>
        <w:t>/rok</w:t>
      </w:r>
      <w:r w:rsidR="00276FF6">
        <w:rPr>
          <w:rFonts w:cstheme="minorBidi"/>
        </w:rPr>
        <w:t xml:space="preserve"> v budovách ve vlastnictví </w:t>
      </w:r>
      <w:r w:rsidR="0078279F">
        <w:rPr>
          <w:rFonts w:cstheme="minorBidi"/>
        </w:rPr>
        <w:t xml:space="preserve">ČR </w:t>
      </w:r>
      <w:r w:rsidR="006D1651">
        <w:rPr>
          <w:rFonts w:cstheme="minorBidi"/>
        </w:rPr>
        <w:t>a</w:t>
      </w:r>
      <w:r w:rsidR="00276FF6">
        <w:rPr>
          <w:rFonts w:cstheme="minorBidi"/>
        </w:rPr>
        <w:t xml:space="preserve"> užívání ústředních institucí</w:t>
      </w:r>
      <w:r w:rsidR="00334AF1" w:rsidRPr="1BDD3FC5">
        <w:rPr>
          <w:rFonts w:cstheme="minorBidi"/>
        </w:rPr>
        <w:t>. Do</w:t>
      </w:r>
      <w:r w:rsidR="00AD39E0">
        <w:rPr>
          <w:rFonts w:cstheme="minorBidi"/>
        </w:rPr>
        <w:t xml:space="preserve"> </w:t>
      </w:r>
      <w:r w:rsidR="00334AF1" w:rsidRPr="1BDD3FC5">
        <w:rPr>
          <w:rFonts w:cstheme="minorBidi"/>
        </w:rPr>
        <w:t xml:space="preserve">konce roku 2019 byl tento závazek plněn </w:t>
      </w:r>
      <w:r w:rsidRPr="1BDD3FC5">
        <w:rPr>
          <w:rFonts w:cstheme="minorBidi"/>
        </w:rPr>
        <w:t>na</w:t>
      </w:r>
      <w:r w:rsidR="00AD39E0">
        <w:rPr>
          <w:rFonts w:cstheme="minorBidi"/>
        </w:rPr>
        <w:t xml:space="preserve"> </w:t>
      </w:r>
      <w:r w:rsidR="00334AF1" w:rsidRPr="1BDD3FC5">
        <w:rPr>
          <w:rFonts w:cstheme="minorBidi"/>
        </w:rPr>
        <w:t>71</w:t>
      </w:r>
      <w:r w:rsidRPr="1BDD3FC5">
        <w:rPr>
          <w:rFonts w:cstheme="minorBidi"/>
        </w:rPr>
        <w:t> </w:t>
      </w:r>
      <w:r w:rsidR="00334AF1" w:rsidRPr="1BDD3FC5">
        <w:rPr>
          <w:rFonts w:cstheme="minorBidi"/>
        </w:rPr>
        <w:t>% (70,1 TJ</w:t>
      </w:r>
      <w:r w:rsidRPr="1BDD3FC5">
        <w:rPr>
          <w:rFonts w:cstheme="minorBidi"/>
        </w:rPr>
        <w:t>/rok</w:t>
      </w:r>
      <w:r w:rsidR="00334AF1" w:rsidRPr="1BDD3FC5">
        <w:rPr>
          <w:rFonts w:cstheme="minorBidi"/>
        </w:rPr>
        <w:t xml:space="preserve">). </w:t>
      </w:r>
      <w:r w:rsidR="00B21A63" w:rsidRPr="1BDD3FC5">
        <w:rPr>
          <w:rFonts w:cstheme="minorBidi"/>
        </w:rPr>
        <w:t xml:space="preserve">K naplnění cíle by tak muselo </w:t>
      </w:r>
      <w:r w:rsidR="00D34B03" w:rsidRPr="1BDD3FC5">
        <w:rPr>
          <w:rFonts w:cstheme="minorBidi"/>
        </w:rPr>
        <w:t xml:space="preserve">být </w:t>
      </w:r>
      <w:r w:rsidR="00B21A63" w:rsidRPr="1BDD3FC5">
        <w:rPr>
          <w:rFonts w:cstheme="minorBidi"/>
        </w:rPr>
        <w:t xml:space="preserve">v roce 2020 dosaženo další úspory energie u budov ústředních institucí minimálně ve výši </w:t>
      </w:r>
      <w:r w:rsidR="00895E3B" w:rsidRPr="00276FF6">
        <w:rPr>
          <w:rFonts w:cstheme="minorBidi"/>
        </w:rPr>
        <w:t>28,6</w:t>
      </w:r>
      <w:r w:rsidR="00B21A63" w:rsidRPr="1BDD3FC5">
        <w:rPr>
          <w:rFonts w:cstheme="minorBidi"/>
        </w:rPr>
        <w:t xml:space="preserve"> TJ/rok</w:t>
      </w:r>
      <w:r w:rsidR="004447B8" w:rsidRPr="00895E3B">
        <w:rPr>
          <w:rFonts w:cstheme="minorBidi"/>
        </w:rPr>
        <w:t>.</w:t>
      </w:r>
      <w:r w:rsidR="3BE616D2" w:rsidRPr="00895E3B">
        <w:rPr>
          <w:rFonts w:cstheme="minorBidi"/>
        </w:rPr>
        <w:t xml:space="preserve"> </w:t>
      </w:r>
      <w:r w:rsidR="00276FF6">
        <w:rPr>
          <w:rFonts w:cstheme="minorBidi"/>
        </w:rPr>
        <w:t>Ke </w:t>
      </w:r>
      <w:r w:rsidR="1229F684" w:rsidRPr="00895E3B">
        <w:rPr>
          <w:rFonts w:cstheme="minorBidi"/>
        </w:rPr>
        <w:t>dni 21. 7. 2020 plánované nové úspory energií dle údajů MPO v roce 2020 činily 5,7 TJ/rok.</w:t>
      </w:r>
      <w:r w:rsidRPr="00895E3B">
        <w:rPr>
          <w:rStyle w:val="Znakapoznpodarou"/>
          <w:rFonts w:cstheme="minorBidi"/>
        </w:rPr>
        <w:footnoteReference w:id="7"/>
      </w:r>
    </w:p>
    <w:p w14:paraId="19CD1F67" w14:textId="77777777" w:rsidR="004813C2" w:rsidRDefault="004813C2">
      <w:pPr>
        <w:jc w:val="left"/>
        <w:rPr>
          <w:rFonts w:cstheme="minorBidi"/>
        </w:rPr>
      </w:pPr>
      <w:r>
        <w:rPr>
          <w:rFonts w:cstheme="minorBidi"/>
        </w:rPr>
        <w:br w:type="page"/>
      </w:r>
    </w:p>
    <w:p w14:paraId="6D3A625F" w14:textId="052DA564" w:rsidR="007607DE" w:rsidRDefault="007A583C" w:rsidP="1BDD3FC5">
      <w:pPr>
        <w:pStyle w:val="Odstavecseseznamem"/>
        <w:numPr>
          <w:ilvl w:val="0"/>
          <w:numId w:val="24"/>
        </w:numPr>
        <w:autoSpaceDE w:val="0"/>
        <w:autoSpaceDN w:val="0"/>
        <w:adjustRightInd w:val="0"/>
        <w:spacing w:before="240" w:after="240"/>
        <w:ind w:left="284" w:hanging="284"/>
        <w:outlineLvl w:val="1"/>
        <w:rPr>
          <w:rFonts w:cstheme="minorBidi"/>
          <w:b/>
          <w:bCs/>
        </w:rPr>
      </w:pPr>
      <w:r>
        <w:rPr>
          <w:rFonts w:cs="Calibri"/>
          <w:b/>
          <w:bCs/>
          <w:color w:val="000000"/>
        </w:rPr>
        <w:lastRenderedPageBreak/>
        <w:t xml:space="preserve">Prostřednictvím programu NZÚ </w:t>
      </w:r>
      <w:r w:rsidRPr="005D4E5F">
        <w:rPr>
          <w:rFonts w:cs="Calibri"/>
          <w:b/>
          <w:bCs/>
          <w:color w:val="000000"/>
        </w:rPr>
        <w:t>nebyly realizovány výdaje ve výši odpovídající zákonem stanovené části výnosů z dražeb emisních povolenek</w:t>
      </w:r>
    </w:p>
    <w:p w14:paraId="73DCB9F0" w14:textId="03FA726E" w:rsidR="00B90202" w:rsidRPr="00B90202" w:rsidRDefault="00C155D4" w:rsidP="00B90202">
      <w:pPr>
        <w:spacing w:after="120"/>
        <w:rPr>
          <w:rFonts w:cs="Calibri"/>
          <w:color w:val="000000"/>
        </w:rPr>
      </w:pPr>
      <w:r>
        <w:rPr>
          <w:rFonts w:cs="Calibri"/>
          <w:color w:val="000000"/>
        </w:rPr>
        <w:t>Výnosy z dražeb emisních povolenek jsou příjmem státního rozpočtu a jejich po</w:t>
      </w:r>
      <w:r w:rsidR="0052181D">
        <w:rPr>
          <w:rFonts w:cs="Calibri"/>
          <w:color w:val="000000"/>
        </w:rPr>
        <w:t>u</w:t>
      </w:r>
      <w:r>
        <w:rPr>
          <w:rFonts w:cs="Calibri"/>
          <w:color w:val="000000"/>
        </w:rPr>
        <w:t>žití je</w:t>
      </w:r>
      <w:r w:rsidR="00E428DB">
        <w:rPr>
          <w:rFonts w:cs="Calibri"/>
          <w:color w:val="000000"/>
        </w:rPr>
        <w:t xml:space="preserve"> </w:t>
      </w:r>
      <w:r>
        <w:rPr>
          <w:rFonts w:cs="Calibri"/>
          <w:color w:val="000000"/>
        </w:rPr>
        <w:t xml:space="preserve">upraveno zákonem č. 383/2012 Sb. </w:t>
      </w:r>
      <w:r w:rsidRPr="00E054EA">
        <w:t xml:space="preserve">Výnosy z dražeb emisních povolenek v kontrolovaném období činily více </w:t>
      </w:r>
      <w:r w:rsidR="00E4736D">
        <w:t>než</w:t>
      </w:r>
      <w:r w:rsidRPr="00E054EA">
        <w:t xml:space="preserve"> 36 mld. Kč, z toho dle zákona č. 383/2012 Sb. mělo být 14,6 mld. Kč realizováno prostřednictvím SFŽP</w:t>
      </w:r>
      <w:r w:rsidR="00C51694">
        <w:t xml:space="preserve"> (program NZÚ)</w:t>
      </w:r>
      <w:r>
        <w:rPr>
          <w:rFonts w:cstheme="minorHAnsi"/>
        </w:rPr>
        <w:t xml:space="preserve">. </w:t>
      </w:r>
      <w:r w:rsidR="001351CE">
        <w:rPr>
          <w:rFonts w:cstheme="minorHAnsi"/>
        </w:rPr>
        <w:t>Skutečně r</w:t>
      </w:r>
      <w:r w:rsidR="00894D34">
        <w:rPr>
          <w:rFonts w:cstheme="minorHAnsi"/>
        </w:rPr>
        <w:t>ozpočtované peněžní prostředky programu NZÚ v kontrolovaném období byly 7,4 mld. Kč</w:t>
      </w:r>
      <w:r w:rsidR="00C51694">
        <w:rPr>
          <w:rFonts w:cstheme="minorHAnsi"/>
        </w:rPr>
        <w:t>.</w:t>
      </w:r>
      <w:r w:rsidR="00894D34">
        <w:rPr>
          <w:rFonts w:cstheme="minorHAnsi"/>
        </w:rPr>
        <w:t xml:space="preserve"> </w:t>
      </w:r>
      <w:r w:rsidR="002C6349" w:rsidRPr="000D48A5">
        <w:rPr>
          <w:rFonts w:cstheme="minorHAnsi"/>
        </w:rPr>
        <w:t>Ke dni 30. 6. 2020</w:t>
      </w:r>
      <w:r w:rsidR="00C51694" w:rsidRPr="00C51694">
        <w:rPr>
          <w:rFonts w:cstheme="minorHAnsi"/>
        </w:rPr>
        <w:t xml:space="preserve"> však byly prostřednictvím programu NZÚ realizovány výdaje ve výši 5,3 mld. Kč, z toho na veřejné budovy </w:t>
      </w:r>
      <w:r w:rsidR="00145E1E">
        <w:rPr>
          <w:rFonts w:cstheme="minorHAnsi"/>
        </w:rPr>
        <w:t xml:space="preserve">bylo vynaloženo </w:t>
      </w:r>
      <w:r w:rsidR="00C51694" w:rsidRPr="00C51694">
        <w:rPr>
          <w:rFonts w:cstheme="minorHAnsi"/>
        </w:rPr>
        <w:t>pouze cca 0,</w:t>
      </w:r>
      <w:r w:rsidR="0052181D">
        <w:rPr>
          <w:rFonts w:cstheme="minorHAnsi"/>
        </w:rPr>
        <w:t>5</w:t>
      </w:r>
      <w:r w:rsidR="00C51694" w:rsidRPr="00C51694">
        <w:rPr>
          <w:rFonts w:cstheme="minorHAnsi"/>
        </w:rPr>
        <w:t xml:space="preserve"> mld. Kč</w:t>
      </w:r>
      <w:r w:rsidR="00190F8B">
        <w:rPr>
          <w:rFonts w:cstheme="minorHAnsi"/>
        </w:rPr>
        <w:t xml:space="preserve"> (podprogram </w:t>
      </w:r>
      <w:r w:rsidR="00FE5CEE">
        <w:rPr>
          <w:rFonts w:cstheme="minorHAnsi"/>
        </w:rPr>
        <w:t xml:space="preserve">NZÚ – </w:t>
      </w:r>
      <w:r w:rsidR="00FE5CEE" w:rsidRPr="009E34BE">
        <w:rPr>
          <w:rFonts w:cstheme="minorHAnsi"/>
          <w:i/>
        </w:rPr>
        <w:t>Budovy veřejného sektoru</w:t>
      </w:r>
      <w:r w:rsidR="00190F8B">
        <w:rPr>
          <w:rFonts w:cstheme="minorHAnsi"/>
        </w:rPr>
        <w:t>)</w:t>
      </w:r>
      <w:r w:rsidR="00C51694" w:rsidRPr="00C51694">
        <w:rPr>
          <w:rFonts w:cstheme="minorHAnsi"/>
        </w:rPr>
        <w:t>.</w:t>
      </w:r>
    </w:p>
    <w:p w14:paraId="75D62DE3" w14:textId="2666D552" w:rsidR="0098714B" w:rsidRDefault="00894D34" w:rsidP="00270CDC">
      <w:pPr>
        <w:rPr>
          <w:rFonts w:cstheme="minorHAnsi"/>
        </w:rPr>
      </w:pPr>
      <w:r w:rsidRPr="009E34BE">
        <w:rPr>
          <w:rFonts w:cstheme="minorHAnsi"/>
        </w:rPr>
        <w:t>Za kontrolované období čin</w:t>
      </w:r>
      <w:r w:rsidR="009378D1">
        <w:rPr>
          <w:rFonts w:cstheme="minorHAnsi"/>
        </w:rPr>
        <w:t>ila</w:t>
      </w:r>
      <w:r w:rsidRPr="009E34BE">
        <w:rPr>
          <w:rFonts w:cstheme="minorHAnsi"/>
        </w:rPr>
        <w:t xml:space="preserve"> výše nespotřebovaných výdajů 2,1 mld. Kč (tzv. nároky z nespotřebovaných výdajů</w:t>
      </w:r>
      <w:r w:rsidR="001D1420" w:rsidRPr="009E34BE">
        <w:rPr>
          <w:rFonts w:cstheme="minorHAnsi"/>
        </w:rPr>
        <w:t>, dále též „NNV“)</w:t>
      </w:r>
      <w:r w:rsidRPr="009E34BE">
        <w:rPr>
          <w:rFonts w:cstheme="minorHAnsi"/>
        </w:rPr>
        <w:t xml:space="preserve">. </w:t>
      </w:r>
      <w:r w:rsidR="009378D1">
        <w:rPr>
          <w:rFonts w:cstheme="minorHAnsi"/>
        </w:rPr>
        <w:t>H</w:t>
      </w:r>
      <w:r w:rsidR="009378D1" w:rsidRPr="009E34BE">
        <w:rPr>
          <w:rFonts w:cstheme="minorHAnsi"/>
        </w:rPr>
        <w:t>odnota nespotřebovaných výdajů</w:t>
      </w:r>
      <w:r w:rsidR="009378D1">
        <w:rPr>
          <w:rFonts w:cstheme="minorHAnsi"/>
        </w:rPr>
        <w:t xml:space="preserve"> programu NZÚ o</w:t>
      </w:r>
      <w:r w:rsidR="00C155D4" w:rsidRPr="009E34BE">
        <w:rPr>
          <w:rFonts w:cstheme="minorHAnsi"/>
        </w:rPr>
        <w:t xml:space="preserve">d </w:t>
      </w:r>
      <w:r w:rsidR="007759D3">
        <w:rPr>
          <w:rFonts w:cstheme="minorHAnsi"/>
        </w:rPr>
        <w:t>schválení</w:t>
      </w:r>
      <w:r w:rsidR="00C155D4" w:rsidRPr="009E34BE">
        <w:rPr>
          <w:rFonts w:cstheme="minorHAnsi"/>
        </w:rPr>
        <w:t xml:space="preserve"> </w:t>
      </w:r>
      <w:r w:rsidR="007759D3">
        <w:rPr>
          <w:rFonts w:cstheme="minorHAnsi"/>
        </w:rPr>
        <w:t xml:space="preserve">v roce </w:t>
      </w:r>
      <w:r w:rsidR="00C155D4" w:rsidRPr="009E34BE">
        <w:rPr>
          <w:rFonts w:cstheme="minorHAnsi"/>
        </w:rPr>
        <w:t>2013</w:t>
      </w:r>
      <w:r w:rsidR="001E6AA9" w:rsidRPr="009E34BE">
        <w:rPr>
          <w:rFonts w:cstheme="minorHAnsi"/>
        </w:rPr>
        <w:t xml:space="preserve"> </w:t>
      </w:r>
      <w:r w:rsidR="009378D1">
        <w:rPr>
          <w:rFonts w:cstheme="minorHAnsi"/>
        </w:rPr>
        <w:t xml:space="preserve">do 20. 10. 2020 </w:t>
      </w:r>
      <w:r w:rsidR="001E6AA9" w:rsidRPr="009E34BE">
        <w:rPr>
          <w:rFonts w:cstheme="minorHAnsi"/>
        </w:rPr>
        <w:t>čin</w:t>
      </w:r>
      <w:r w:rsidR="009378D1">
        <w:rPr>
          <w:rFonts w:cstheme="minorHAnsi"/>
        </w:rPr>
        <w:t>ila</w:t>
      </w:r>
      <w:r w:rsidR="001E6AA9" w:rsidRPr="009E34BE">
        <w:rPr>
          <w:rFonts w:cstheme="minorHAnsi"/>
        </w:rPr>
        <w:t xml:space="preserve"> </w:t>
      </w:r>
      <w:r w:rsidR="009D056C" w:rsidRPr="009E34BE">
        <w:rPr>
          <w:rFonts w:cstheme="minorHAnsi"/>
        </w:rPr>
        <w:t>celkem</w:t>
      </w:r>
      <w:r w:rsidR="00C155D4" w:rsidRPr="009E34BE">
        <w:rPr>
          <w:rFonts w:cstheme="minorHAnsi"/>
        </w:rPr>
        <w:t xml:space="preserve"> 6,4</w:t>
      </w:r>
      <w:r w:rsidR="00145E1E">
        <w:rPr>
          <w:rFonts w:cstheme="minorHAnsi"/>
        </w:rPr>
        <w:t xml:space="preserve"> </w:t>
      </w:r>
      <w:r w:rsidR="00C155D4" w:rsidRPr="009E34BE">
        <w:rPr>
          <w:rFonts w:cstheme="minorHAnsi"/>
        </w:rPr>
        <w:t>mld.</w:t>
      </w:r>
      <w:r w:rsidR="00145E1E">
        <w:rPr>
          <w:rFonts w:cstheme="minorHAnsi"/>
        </w:rPr>
        <w:t xml:space="preserve"> </w:t>
      </w:r>
      <w:r w:rsidR="00C155D4" w:rsidRPr="009E34BE">
        <w:rPr>
          <w:rFonts w:cstheme="minorHAnsi"/>
        </w:rPr>
        <w:t>Kč.</w:t>
      </w:r>
      <w:r w:rsidR="001E6AA9" w:rsidRPr="009E34BE">
        <w:rPr>
          <w:rFonts w:cstheme="minorHAnsi"/>
        </w:rPr>
        <w:t xml:space="preserve"> Program NZÚ </w:t>
      </w:r>
      <w:r w:rsidR="001E6AA9">
        <w:rPr>
          <w:rFonts w:cstheme="minorHAnsi"/>
        </w:rPr>
        <w:t>vykaz</w:t>
      </w:r>
      <w:r w:rsidR="009378D1">
        <w:rPr>
          <w:rFonts w:cstheme="minorHAnsi"/>
        </w:rPr>
        <w:t>oval</w:t>
      </w:r>
      <w:r w:rsidR="001E6AA9">
        <w:rPr>
          <w:rFonts w:cstheme="minorHAnsi"/>
        </w:rPr>
        <w:t xml:space="preserve"> vysok</w:t>
      </w:r>
      <w:r w:rsidR="001D1420">
        <w:rPr>
          <w:rFonts w:cstheme="minorHAnsi"/>
        </w:rPr>
        <w:t>ou hodnotu</w:t>
      </w:r>
      <w:r w:rsidR="001E6AA9">
        <w:rPr>
          <w:rFonts w:cstheme="minorHAnsi"/>
        </w:rPr>
        <w:t xml:space="preserve"> nároků z nespotřebovaných výdajů.</w:t>
      </w:r>
      <w:r w:rsidR="00270CDC">
        <w:rPr>
          <w:rFonts w:cstheme="minorHAnsi"/>
        </w:rPr>
        <w:t xml:space="preserve"> </w:t>
      </w:r>
      <w:r w:rsidR="001E6AA9">
        <w:rPr>
          <w:rFonts w:cstheme="minorHAnsi"/>
        </w:rPr>
        <w:t xml:space="preserve">Na </w:t>
      </w:r>
      <w:r w:rsidR="001D1420">
        <w:rPr>
          <w:rFonts w:cstheme="minorHAnsi"/>
        </w:rPr>
        <w:t>rizika</w:t>
      </w:r>
      <w:r w:rsidR="001E6AA9">
        <w:rPr>
          <w:rFonts w:cstheme="minorHAnsi"/>
        </w:rPr>
        <w:t xml:space="preserve"> spojen</w:t>
      </w:r>
      <w:r w:rsidR="001D1420">
        <w:rPr>
          <w:rFonts w:cstheme="minorHAnsi"/>
        </w:rPr>
        <w:t>á</w:t>
      </w:r>
      <w:r w:rsidR="001E6AA9">
        <w:rPr>
          <w:rFonts w:cstheme="minorHAnsi"/>
        </w:rPr>
        <w:t xml:space="preserve"> s tvorbou </w:t>
      </w:r>
      <w:r w:rsidR="00AB5C41">
        <w:rPr>
          <w:rFonts w:cstheme="minorHAnsi"/>
        </w:rPr>
        <w:t>NNV</w:t>
      </w:r>
      <w:r w:rsidR="001D1420">
        <w:rPr>
          <w:rFonts w:cstheme="minorHAnsi"/>
        </w:rPr>
        <w:t xml:space="preserve"> upozorňuje </w:t>
      </w:r>
      <w:r w:rsidR="001E6AA9">
        <w:rPr>
          <w:rFonts w:cstheme="minorHAnsi"/>
        </w:rPr>
        <w:t xml:space="preserve">NKÚ </w:t>
      </w:r>
      <w:r w:rsidR="001D1420">
        <w:rPr>
          <w:rFonts w:cstheme="minorHAnsi"/>
        </w:rPr>
        <w:t>opakovaně</w:t>
      </w:r>
      <w:r w:rsidR="00AB5C41">
        <w:rPr>
          <w:rFonts w:cstheme="minorHAnsi"/>
        </w:rPr>
        <w:t>.</w:t>
      </w:r>
      <w:r w:rsidR="0098714B">
        <w:rPr>
          <w:rStyle w:val="Znakapoznpodarou"/>
          <w:rFonts w:cstheme="minorHAnsi"/>
        </w:rPr>
        <w:footnoteReference w:id="8"/>
      </w:r>
    </w:p>
    <w:p w14:paraId="34AB477D" w14:textId="2A6012B5" w:rsidR="0085026E" w:rsidRPr="00415957" w:rsidRDefault="00280F1B" w:rsidP="1BDD3FC5">
      <w:pPr>
        <w:pStyle w:val="Odstavecseseznamem"/>
        <w:numPr>
          <w:ilvl w:val="0"/>
          <w:numId w:val="24"/>
        </w:numPr>
        <w:autoSpaceDE w:val="0"/>
        <w:autoSpaceDN w:val="0"/>
        <w:adjustRightInd w:val="0"/>
        <w:spacing w:before="240" w:after="240"/>
        <w:ind w:left="284" w:hanging="284"/>
        <w:outlineLvl w:val="1"/>
        <w:rPr>
          <w:b/>
          <w:bCs/>
        </w:rPr>
      </w:pPr>
      <w:r>
        <w:rPr>
          <w:b/>
          <w:bCs/>
        </w:rPr>
        <w:t>Délka procesu schvalování projektů překračuje stanovenou lhůtu</w:t>
      </w:r>
    </w:p>
    <w:p w14:paraId="29E26126" w14:textId="54CFECE3" w:rsidR="00AA595A" w:rsidRDefault="0085026E" w:rsidP="00AA595A">
      <w:pPr>
        <w:autoSpaceDE w:val="0"/>
        <w:autoSpaceDN w:val="0"/>
        <w:adjustRightInd w:val="0"/>
        <w:spacing w:before="120"/>
        <w:rPr>
          <w:rFonts w:cstheme="minorHAnsi"/>
        </w:rPr>
      </w:pPr>
      <w:r>
        <w:t xml:space="preserve">Mezní lhůta procesu schvalování </w:t>
      </w:r>
      <w:r w:rsidR="00052457">
        <w:t>žádostí o podporu v rámci OPŽP</w:t>
      </w:r>
      <w:r w:rsidR="004813C2">
        <w:t>,</w:t>
      </w:r>
      <w:r w:rsidR="00052457">
        <w:rPr>
          <w:rStyle w:val="Znakapoznpodarou"/>
        </w:rPr>
        <w:footnoteReference w:id="9"/>
      </w:r>
      <w:r w:rsidR="00923C5D">
        <w:t xml:space="preserve"> kter</w:t>
      </w:r>
      <w:r w:rsidR="009218DF">
        <w:t>ý</w:t>
      </w:r>
      <w:r w:rsidR="00923C5D">
        <w:t xml:space="preserve"> zajišťuje SFŽP,</w:t>
      </w:r>
      <w:r>
        <w:t xml:space="preserve"> </w:t>
      </w:r>
      <w:r w:rsidR="00923C5D">
        <w:t>je</w:t>
      </w:r>
      <w:r w:rsidR="00985F9A">
        <w:t> </w:t>
      </w:r>
      <w:r w:rsidR="00923C5D">
        <w:t>stanovena na 7 měsíců.</w:t>
      </w:r>
      <w:r w:rsidR="009218DF">
        <w:rPr>
          <w:rStyle w:val="Znakapoznpodarou"/>
        </w:rPr>
        <w:footnoteReference w:id="10"/>
      </w:r>
      <w:r w:rsidR="00D11A8E" w:rsidRPr="00D11A8E">
        <w:rPr>
          <w:rFonts w:cstheme="minorHAnsi"/>
        </w:rPr>
        <w:t xml:space="preserve"> </w:t>
      </w:r>
      <w:r w:rsidR="00B5211C">
        <w:t>Pouze</w:t>
      </w:r>
      <w:r>
        <w:t xml:space="preserve"> u 60 % </w:t>
      </w:r>
      <w:r w:rsidR="001B5255">
        <w:t xml:space="preserve">podpořených </w:t>
      </w:r>
      <w:r>
        <w:t>projektů proběh</w:t>
      </w:r>
      <w:r w:rsidR="001B5255">
        <w:t>l</w:t>
      </w:r>
      <w:r>
        <w:t xml:space="preserve"> proces schvalování žádostí v</w:t>
      </w:r>
      <w:r w:rsidR="0077795F">
        <w:t>e stanovené lhůtě</w:t>
      </w:r>
      <w:r w:rsidR="00B5211C">
        <w:t>. U</w:t>
      </w:r>
      <w:r>
        <w:rPr>
          <w:rFonts w:cstheme="minorHAnsi"/>
        </w:rPr>
        <w:t xml:space="preserve"> projektů </w:t>
      </w:r>
      <w:r w:rsidR="00052457">
        <w:rPr>
          <w:rFonts w:cstheme="minorHAnsi"/>
        </w:rPr>
        <w:t xml:space="preserve">s využitím posílení vlastních zdrojů </w:t>
      </w:r>
      <w:r>
        <w:rPr>
          <w:rFonts w:cstheme="minorHAnsi"/>
        </w:rPr>
        <w:t xml:space="preserve">z podprogramu </w:t>
      </w:r>
      <w:r w:rsidR="00FE5CEE">
        <w:rPr>
          <w:rFonts w:cstheme="minorHAnsi"/>
        </w:rPr>
        <w:t>NZÚ</w:t>
      </w:r>
      <w:r w:rsidR="007A7F77">
        <w:rPr>
          <w:rFonts w:cstheme="minorHAnsi"/>
        </w:rPr>
        <w:t> </w:t>
      </w:r>
      <w:r w:rsidR="00FE5CEE">
        <w:rPr>
          <w:rFonts w:cstheme="minorHAnsi"/>
        </w:rPr>
        <w:t>–</w:t>
      </w:r>
      <w:r w:rsidR="007A7F77">
        <w:rPr>
          <w:rFonts w:cstheme="minorHAnsi"/>
        </w:rPr>
        <w:t> </w:t>
      </w:r>
      <w:r w:rsidR="00FE5CEE" w:rsidRPr="00565FBA">
        <w:rPr>
          <w:rFonts w:cstheme="minorHAnsi"/>
          <w:i/>
        </w:rPr>
        <w:t>Budovy veřejného sektoru</w:t>
      </w:r>
      <w:r w:rsidR="001B5255">
        <w:rPr>
          <w:rFonts w:cstheme="minorHAnsi"/>
        </w:rPr>
        <w:t xml:space="preserve"> byla </w:t>
      </w:r>
      <w:r>
        <w:rPr>
          <w:rFonts w:cstheme="minorHAnsi"/>
        </w:rPr>
        <w:t xml:space="preserve">mezní lhůta procesu </w:t>
      </w:r>
      <w:r w:rsidR="00052457">
        <w:rPr>
          <w:rFonts w:cstheme="minorHAnsi"/>
        </w:rPr>
        <w:t xml:space="preserve">administrace žádosti o podporu </w:t>
      </w:r>
      <w:r>
        <w:rPr>
          <w:rFonts w:cstheme="minorHAnsi"/>
        </w:rPr>
        <w:t>překročena vždy</w:t>
      </w:r>
      <w:r w:rsidR="00022418">
        <w:rPr>
          <w:rFonts w:cstheme="minorHAnsi"/>
        </w:rPr>
        <w:t>.</w:t>
      </w:r>
    </w:p>
    <w:p w14:paraId="6CB5C75E" w14:textId="74F23812" w:rsidR="003E7F8E" w:rsidRPr="003E7F8E" w:rsidRDefault="000E1952" w:rsidP="000E1952">
      <w:pPr>
        <w:pStyle w:val="Odstavecseseznamem"/>
        <w:numPr>
          <w:ilvl w:val="0"/>
          <w:numId w:val="24"/>
        </w:numPr>
        <w:autoSpaceDE w:val="0"/>
        <w:autoSpaceDN w:val="0"/>
        <w:adjustRightInd w:val="0"/>
        <w:spacing w:before="240" w:after="240"/>
        <w:ind w:left="284" w:hanging="284"/>
        <w:outlineLvl w:val="1"/>
        <w:rPr>
          <w:b/>
          <w:bCs/>
        </w:rPr>
      </w:pPr>
      <w:r w:rsidRPr="000E1952">
        <w:rPr>
          <w:b/>
          <w:bCs/>
        </w:rPr>
        <w:t>Kontrolou nebylo zjištěno neúčelné a nehospodárné poskytování peněžních prostředků</w:t>
      </w:r>
      <w:r w:rsidR="00C053FB">
        <w:rPr>
          <w:b/>
          <w:bCs/>
        </w:rPr>
        <w:t>;</w:t>
      </w:r>
      <w:r>
        <w:rPr>
          <w:b/>
          <w:bCs/>
        </w:rPr>
        <w:t xml:space="preserve"> v oblasti administrace projektů byly zjištěny </w:t>
      </w:r>
      <w:r w:rsidR="00DE3FA1">
        <w:rPr>
          <w:b/>
          <w:bCs/>
        </w:rPr>
        <w:t xml:space="preserve">procesní nedostatky nezakládající </w:t>
      </w:r>
      <w:r w:rsidR="00267ED8">
        <w:rPr>
          <w:b/>
          <w:bCs/>
        </w:rPr>
        <w:t>sankce za </w:t>
      </w:r>
      <w:r w:rsidR="00DE3FA1">
        <w:rPr>
          <w:b/>
          <w:bCs/>
        </w:rPr>
        <w:t>porušení povinností</w:t>
      </w:r>
    </w:p>
    <w:p w14:paraId="14AE55D1" w14:textId="1E40A5A1" w:rsidR="00407FF7" w:rsidRPr="00407FF7" w:rsidRDefault="00407FF7" w:rsidP="003E7F8E">
      <w:pPr>
        <w:pStyle w:val="Odstavecseseznamem"/>
        <w:autoSpaceDE w:val="0"/>
        <w:autoSpaceDN w:val="0"/>
        <w:adjustRightInd w:val="0"/>
        <w:spacing w:before="120"/>
        <w:ind w:left="0"/>
        <w:rPr>
          <w:bCs/>
          <w:szCs w:val="24"/>
        </w:rPr>
      </w:pPr>
      <w:r>
        <w:rPr>
          <w:bCs/>
          <w:szCs w:val="24"/>
        </w:rPr>
        <w:t>Na vzorku 1</w:t>
      </w:r>
      <w:r w:rsidR="00761D71">
        <w:rPr>
          <w:bCs/>
          <w:szCs w:val="24"/>
        </w:rPr>
        <w:t>5 projektů</w:t>
      </w:r>
      <w:r w:rsidR="00C201BB">
        <w:rPr>
          <w:bCs/>
          <w:szCs w:val="24"/>
        </w:rPr>
        <w:t xml:space="preserve"> (z toho 13 projektů bylo v době realizace kontroly již ukončeno)</w:t>
      </w:r>
      <w:r w:rsidR="00761D71">
        <w:rPr>
          <w:bCs/>
          <w:szCs w:val="24"/>
        </w:rPr>
        <w:t xml:space="preserve"> </w:t>
      </w:r>
      <w:r w:rsidR="00572393">
        <w:rPr>
          <w:bCs/>
          <w:szCs w:val="24"/>
        </w:rPr>
        <w:t>zjistil NKÚ tyto nedostatky</w:t>
      </w:r>
      <w:r w:rsidR="00CF0870">
        <w:rPr>
          <w:bCs/>
          <w:szCs w:val="24"/>
        </w:rPr>
        <w:t>:</w:t>
      </w:r>
    </w:p>
    <w:p w14:paraId="7F1EDF5B" w14:textId="77777777" w:rsidR="00A87FBE" w:rsidRPr="00656932" w:rsidRDefault="00A87FBE" w:rsidP="00E80BFF">
      <w:pPr>
        <w:pStyle w:val="Odstavecseseznamem"/>
        <w:numPr>
          <w:ilvl w:val="0"/>
          <w:numId w:val="27"/>
        </w:numPr>
        <w:autoSpaceDE w:val="0"/>
        <w:autoSpaceDN w:val="0"/>
        <w:adjustRightInd w:val="0"/>
        <w:spacing w:before="120"/>
        <w:ind w:left="426" w:hanging="284"/>
        <w:rPr>
          <w:b/>
          <w:bCs/>
          <w:szCs w:val="24"/>
        </w:rPr>
      </w:pPr>
      <w:r>
        <w:t>u</w:t>
      </w:r>
      <w:r w:rsidRPr="00640AF2">
        <w:t xml:space="preserve"> 7 projektů nebyla ze strany příjemců podpory doložena </w:t>
      </w:r>
      <w:r>
        <w:t>e</w:t>
      </w:r>
      <w:r w:rsidRPr="00640AF2">
        <w:t>nergetická posouzení</w:t>
      </w:r>
      <w:r w:rsidR="00CF0870">
        <w:t xml:space="preserve"> v</w:t>
      </w:r>
      <w:r w:rsidR="000465BA">
        <w:t> </w:t>
      </w:r>
      <w:r w:rsidR="00CF0870">
        <w:t>souladu</w:t>
      </w:r>
      <w:r w:rsidR="000465BA">
        <w:t xml:space="preserve"> </w:t>
      </w:r>
      <w:r w:rsidR="00CF0870">
        <w:t>s pravidly OPŽP</w:t>
      </w:r>
      <w:r w:rsidR="00656932">
        <w:t>;</w:t>
      </w:r>
    </w:p>
    <w:p w14:paraId="5E6B9B3F" w14:textId="41E00A45" w:rsidR="00407FF7" w:rsidRPr="00656932" w:rsidRDefault="00656932" w:rsidP="00E80BFF">
      <w:pPr>
        <w:pStyle w:val="Odstavecseseznamem"/>
        <w:numPr>
          <w:ilvl w:val="0"/>
          <w:numId w:val="27"/>
        </w:numPr>
        <w:autoSpaceDE w:val="0"/>
        <w:autoSpaceDN w:val="0"/>
        <w:adjustRightInd w:val="0"/>
        <w:spacing w:before="120"/>
        <w:ind w:left="426" w:hanging="284"/>
        <w:rPr>
          <w:b/>
          <w:bCs/>
          <w:szCs w:val="24"/>
        </w:rPr>
      </w:pPr>
      <w:r>
        <w:t xml:space="preserve">u </w:t>
      </w:r>
      <w:r w:rsidR="00407FF7">
        <w:t>4</w:t>
      </w:r>
      <w:r>
        <w:t xml:space="preserve"> projektů </w:t>
      </w:r>
      <w:r w:rsidR="00CF0870">
        <w:t>nepostupoval</w:t>
      </w:r>
      <w:r w:rsidR="00D74A3D">
        <w:t>y</w:t>
      </w:r>
      <w:r>
        <w:t xml:space="preserve"> SFŽP</w:t>
      </w:r>
      <w:r w:rsidR="00407FF7">
        <w:t xml:space="preserve"> a MŽP</w:t>
      </w:r>
      <w:r>
        <w:t xml:space="preserve"> v oblasti změnových řízení dle pravidel pro OPŽP</w:t>
      </w:r>
      <w:r w:rsidR="000465BA">
        <w:t>,</w:t>
      </w:r>
      <w:r w:rsidR="00407FF7">
        <w:t xml:space="preserve"> ačkoliv příjemci dotací dodali příslušné dokumenty včas a </w:t>
      </w:r>
      <w:r w:rsidR="00976196">
        <w:t>kompletně</w:t>
      </w:r>
      <w:r w:rsidR="00407FF7">
        <w:t>;</w:t>
      </w:r>
    </w:p>
    <w:p w14:paraId="612F9D05" w14:textId="77777777" w:rsidR="00565FBA" w:rsidRPr="00267ED8" w:rsidRDefault="00407FF7" w:rsidP="00267ED8">
      <w:pPr>
        <w:pStyle w:val="Odstavecseseznamem"/>
        <w:numPr>
          <w:ilvl w:val="0"/>
          <w:numId w:val="27"/>
        </w:numPr>
        <w:autoSpaceDE w:val="0"/>
        <w:autoSpaceDN w:val="0"/>
        <w:adjustRightInd w:val="0"/>
        <w:spacing w:before="120"/>
        <w:ind w:left="426" w:hanging="284"/>
        <w:rPr>
          <w:b/>
          <w:bCs/>
          <w:szCs w:val="24"/>
        </w:rPr>
      </w:pPr>
      <w:r>
        <w:rPr>
          <w:bCs/>
          <w:szCs w:val="24"/>
        </w:rPr>
        <w:t>u 6 projektů SFŽP a MŽP nepostupoval</w:t>
      </w:r>
      <w:r w:rsidR="00D74A3D">
        <w:rPr>
          <w:bCs/>
          <w:szCs w:val="24"/>
        </w:rPr>
        <w:t>y</w:t>
      </w:r>
      <w:r>
        <w:rPr>
          <w:bCs/>
          <w:szCs w:val="24"/>
        </w:rPr>
        <w:t xml:space="preserve"> v oblasti vydávání závěrečné</w:t>
      </w:r>
      <w:r w:rsidR="00EF47F7">
        <w:rPr>
          <w:bCs/>
          <w:szCs w:val="24"/>
        </w:rPr>
        <w:t>ho vyhodnocení akce</w:t>
      </w:r>
      <w:r>
        <w:rPr>
          <w:bCs/>
          <w:szCs w:val="24"/>
        </w:rPr>
        <w:t xml:space="preserve"> </w:t>
      </w:r>
      <w:r w:rsidR="00EF47F7">
        <w:rPr>
          <w:bCs/>
          <w:szCs w:val="24"/>
        </w:rPr>
        <w:t xml:space="preserve">v souladu </w:t>
      </w:r>
      <w:r w:rsidR="00161463">
        <w:t>vyhláškou č. 560/2006 Sb.</w:t>
      </w:r>
      <w:r w:rsidR="00161463">
        <w:rPr>
          <w:rStyle w:val="Znakapoznpodarou"/>
        </w:rPr>
        <w:footnoteReference w:id="11"/>
      </w:r>
      <w:r w:rsidR="00161463">
        <w:t xml:space="preserve"> </w:t>
      </w:r>
      <w:r w:rsidR="00EF47F7">
        <w:rPr>
          <w:bCs/>
          <w:szCs w:val="24"/>
        </w:rPr>
        <w:t xml:space="preserve">a s </w:t>
      </w:r>
      <w:r>
        <w:rPr>
          <w:bCs/>
          <w:szCs w:val="24"/>
        </w:rPr>
        <w:t>pravidl</w:t>
      </w:r>
      <w:r w:rsidR="00EF47F7">
        <w:rPr>
          <w:bCs/>
          <w:szCs w:val="24"/>
        </w:rPr>
        <w:t>y</w:t>
      </w:r>
      <w:r>
        <w:rPr>
          <w:bCs/>
          <w:szCs w:val="24"/>
        </w:rPr>
        <w:t xml:space="preserve"> OPŽP</w:t>
      </w:r>
      <w:r w:rsidR="00267ED8">
        <w:rPr>
          <w:bCs/>
          <w:szCs w:val="24"/>
        </w:rPr>
        <w:t>.</w:t>
      </w:r>
      <w:r w:rsidR="00565FBA" w:rsidRPr="00267ED8">
        <w:rPr>
          <w:bCs/>
          <w:szCs w:val="24"/>
        </w:rPr>
        <w:br w:type="page"/>
      </w:r>
    </w:p>
    <w:p w14:paraId="7AA7C08C" w14:textId="77777777" w:rsidR="009221B7" w:rsidRDefault="001D7420" w:rsidP="008A1604">
      <w:pPr>
        <w:pStyle w:val="Nadpis1"/>
        <w:jc w:val="center"/>
        <w:rPr>
          <w:u w:val="none"/>
        </w:rPr>
      </w:pPr>
      <w:r>
        <w:rPr>
          <w:u w:val="none"/>
        </w:rPr>
        <w:lastRenderedPageBreak/>
        <w:t xml:space="preserve">II. </w:t>
      </w:r>
      <w:r w:rsidRPr="0077471E">
        <w:rPr>
          <w:u w:val="none"/>
        </w:rPr>
        <w:t>Informace o kontrolované oblasti</w:t>
      </w:r>
    </w:p>
    <w:p w14:paraId="1092C51B" w14:textId="77777777" w:rsidR="0036331E" w:rsidRPr="0036331E" w:rsidRDefault="0036331E" w:rsidP="00DD0683">
      <w:pPr>
        <w:autoSpaceDE w:val="0"/>
        <w:autoSpaceDN w:val="0"/>
        <w:adjustRightInd w:val="0"/>
        <w:spacing w:before="120" w:after="120"/>
        <w:rPr>
          <w:rFonts w:cs="Arial"/>
          <w:i/>
          <w:color w:val="000000" w:themeColor="text1"/>
          <w:szCs w:val="24"/>
        </w:rPr>
      </w:pPr>
      <w:r>
        <w:rPr>
          <w:rFonts w:cs="Arial"/>
          <w:i/>
          <w:color w:val="000000" w:themeColor="text1"/>
          <w:szCs w:val="24"/>
        </w:rPr>
        <w:t>Právní a koncepční rámec</w:t>
      </w:r>
    </w:p>
    <w:p w14:paraId="69A0553A" w14:textId="3D112E3E" w:rsidR="00DD0683" w:rsidRDefault="00DD0683" w:rsidP="00DD0683">
      <w:pPr>
        <w:autoSpaceDE w:val="0"/>
        <w:autoSpaceDN w:val="0"/>
        <w:adjustRightInd w:val="0"/>
        <w:spacing w:before="120" w:after="120"/>
        <w:rPr>
          <w:rFonts w:cs="Arial"/>
          <w:color w:val="000000" w:themeColor="text1"/>
          <w:szCs w:val="24"/>
        </w:rPr>
      </w:pPr>
      <w:r w:rsidRPr="00DD0683">
        <w:rPr>
          <w:rFonts w:cs="Arial"/>
          <w:color w:val="000000" w:themeColor="text1"/>
          <w:szCs w:val="24"/>
        </w:rPr>
        <w:t>Ústředním orgánem státní správy pro energetiku</w:t>
      </w:r>
      <w:r w:rsidRPr="00DD0683">
        <w:rPr>
          <w:rFonts w:cs="Arial"/>
          <w:b/>
          <w:color w:val="000000" w:themeColor="text1"/>
          <w:szCs w:val="24"/>
        </w:rPr>
        <w:t xml:space="preserve"> </w:t>
      </w:r>
      <w:r w:rsidRPr="00DD0683">
        <w:rPr>
          <w:rFonts w:cs="Arial"/>
          <w:color w:val="000000" w:themeColor="text1"/>
          <w:szCs w:val="24"/>
        </w:rPr>
        <w:t>je MPO, které koordinuje přípravu legislativy a implementaci evropského práva v působnosti resortu, tedy i</w:t>
      </w:r>
      <w:r w:rsidR="000537C9">
        <w:rPr>
          <w:rFonts w:cs="Arial"/>
          <w:color w:val="000000" w:themeColor="text1"/>
          <w:szCs w:val="24"/>
        </w:rPr>
        <w:t xml:space="preserve"> s</w:t>
      </w:r>
      <w:r w:rsidRPr="00DD0683">
        <w:rPr>
          <w:rFonts w:cs="Arial"/>
          <w:color w:val="000000" w:themeColor="text1"/>
          <w:szCs w:val="24"/>
        </w:rPr>
        <w:t>měrnice 2012/27/EU. MPO věcně přísluší nastavení strategií zvyšování energetické účinnosti, koordinace aktivit dotčených resortů, reportování směrem k Evropské komisi i vládě ČR a</w:t>
      </w:r>
      <w:r w:rsidR="000537C9">
        <w:rPr>
          <w:rFonts w:cs="Arial"/>
          <w:color w:val="000000" w:themeColor="text1"/>
          <w:szCs w:val="24"/>
        </w:rPr>
        <w:t xml:space="preserve"> </w:t>
      </w:r>
      <w:r w:rsidRPr="00DD0683">
        <w:rPr>
          <w:rFonts w:cs="Arial"/>
          <w:color w:val="000000" w:themeColor="text1"/>
          <w:szCs w:val="24"/>
        </w:rPr>
        <w:t>odpovědnost za plnění nástrojů zvyšování energetické účinnosti.</w:t>
      </w:r>
    </w:p>
    <w:p w14:paraId="46F289A8" w14:textId="0DFDFD78" w:rsidR="005C2858" w:rsidRPr="007B1C0A" w:rsidRDefault="005C2858" w:rsidP="005C2858">
      <w:pPr>
        <w:pStyle w:val="TextKP"/>
        <w:rPr>
          <w:rFonts w:cs="Arial"/>
          <w:color w:val="000000" w:themeColor="text1"/>
        </w:rPr>
      </w:pPr>
      <w:r>
        <w:t xml:space="preserve">V souladu se </w:t>
      </w:r>
      <w:r w:rsidRPr="00DD0683">
        <w:t>zákon</w:t>
      </w:r>
      <w:r w:rsidR="0049648F">
        <w:t>em</w:t>
      </w:r>
      <w:r w:rsidRPr="00DD0683">
        <w:t xml:space="preserve"> č. 406/2000 Sb.</w:t>
      </w:r>
      <w:r w:rsidRPr="00DD0683">
        <w:rPr>
          <w:rStyle w:val="Znakapoznpodarou"/>
        </w:rPr>
        <w:footnoteReference w:id="12"/>
      </w:r>
      <w:r w:rsidRPr="00DD0683">
        <w:t xml:space="preserve"> </w:t>
      </w:r>
      <w:r>
        <w:t xml:space="preserve">MPO </w:t>
      </w:r>
      <w:r w:rsidRPr="00DD0683">
        <w:t>zpracovává strategický dokument s výhledem na</w:t>
      </w:r>
      <w:r w:rsidR="000537C9">
        <w:t xml:space="preserve"> </w:t>
      </w:r>
      <w:r w:rsidRPr="00DD0683">
        <w:t xml:space="preserve">25 let </w:t>
      </w:r>
      <w:r w:rsidR="00A84B83">
        <w:t>–</w:t>
      </w:r>
      <w:r w:rsidRPr="00DD0683">
        <w:t xml:space="preserve"> </w:t>
      </w:r>
      <w:r w:rsidR="00A84B83">
        <w:t xml:space="preserve">tím dokumentem je </w:t>
      </w:r>
      <w:r w:rsidRPr="00FC7CB7">
        <w:rPr>
          <w:i/>
        </w:rPr>
        <w:t>Státní energetick</w:t>
      </w:r>
      <w:r w:rsidR="00A84B83" w:rsidRPr="00FC7CB7">
        <w:rPr>
          <w:i/>
        </w:rPr>
        <w:t>á</w:t>
      </w:r>
      <w:r w:rsidRPr="00FC7CB7">
        <w:rPr>
          <w:i/>
        </w:rPr>
        <w:t xml:space="preserve"> koncepc</w:t>
      </w:r>
      <w:r w:rsidR="00A84B83" w:rsidRPr="00FC7CB7">
        <w:rPr>
          <w:i/>
        </w:rPr>
        <w:t>e</w:t>
      </w:r>
      <w:r w:rsidRPr="00DD0683">
        <w:t xml:space="preserve">. Hlavními strategickými cíli energetiky ČR jsou </w:t>
      </w:r>
      <w:r w:rsidRPr="007B1C0A">
        <w:t>bezpečnost, konkurenceschopnost a</w:t>
      </w:r>
      <w:r w:rsidR="00A84B83">
        <w:t xml:space="preserve"> </w:t>
      </w:r>
      <w:r w:rsidRPr="007B1C0A">
        <w:t xml:space="preserve">udržitelnost. Aktualizovaná verze </w:t>
      </w:r>
      <w:r w:rsidRPr="00FC7CB7">
        <w:rPr>
          <w:i/>
        </w:rPr>
        <w:t>Státní energetické koncepce</w:t>
      </w:r>
      <w:r w:rsidRPr="007B1C0A">
        <w:t xml:space="preserve"> byla schválena v roce 2015.</w:t>
      </w:r>
      <w:r w:rsidRPr="007B1C0A">
        <w:rPr>
          <w:rStyle w:val="Znakapoznpodarou"/>
        </w:rPr>
        <w:footnoteReference w:id="13"/>
      </w:r>
      <w:r w:rsidRPr="007B1C0A">
        <w:t xml:space="preserve"> MPO dále </w:t>
      </w:r>
      <w:r w:rsidR="00A84B83">
        <w:t>vy</w:t>
      </w:r>
      <w:r w:rsidRPr="007B1C0A">
        <w:t xml:space="preserve">pracovává </w:t>
      </w:r>
      <w:r w:rsidRPr="00FC7CB7">
        <w:rPr>
          <w:i/>
        </w:rPr>
        <w:t>Národní akční plán energetické účinnosti ČR</w:t>
      </w:r>
      <w:r w:rsidRPr="007B1C0A">
        <w:t xml:space="preserve"> (dále také „NAPEE“),</w:t>
      </w:r>
      <w:r w:rsidRPr="007B1C0A">
        <w:rPr>
          <w:rStyle w:val="Znakapoznpodarou"/>
        </w:rPr>
        <w:footnoteReference w:id="14"/>
      </w:r>
      <w:r w:rsidRPr="007B1C0A">
        <w:t xml:space="preserve"> který zahrnuje opatření zaměřená na</w:t>
      </w:r>
      <w:r w:rsidR="00A84B83">
        <w:t xml:space="preserve"> </w:t>
      </w:r>
      <w:r w:rsidRPr="007B1C0A">
        <w:t>zvyšování energetické účinnosti v ČR včetně zvyšování</w:t>
      </w:r>
      <w:r w:rsidR="00A84B83">
        <w:t xml:space="preserve"> </w:t>
      </w:r>
      <w:r w:rsidRPr="007B1C0A">
        <w:t>energetické účinnosti budov veřejných subjektů.</w:t>
      </w:r>
    </w:p>
    <w:p w14:paraId="6197C7F9" w14:textId="63F1A0E9" w:rsidR="00DD0683" w:rsidRPr="00553E7B" w:rsidRDefault="00DD0683" w:rsidP="00DD0683">
      <w:pPr>
        <w:autoSpaceDE w:val="0"/>
        <w:autoSpaceDN w:val="0"/>
        <w:adjustRightInd w:val="0"/>
        <w:spacing w:before="120" w:after="120"/>
        <w:rPr>
          <w:rFonts w:cs="Arial"/>
          <w:color w:val="000000" w:themeColor="text1"/>
          <w:szCs w:val="24"/>
        </w:rPr>
      </w:pPr>
      <w:r w:rsidRPr="007B1C0A">
        <w:rPr>
          <w:rFonts w:cs="Arial"/>
          <w:color w:val="000000" w:themeColor="text1"/>
          <w:szCs w:val="24"/>
        </w:rPr>
        <w:t xml:space="preserve">MŽP </w:t>
      </w:r>
      <w:r w:rsidR="00F448D8" w:rsidRPr="00F448D8">
        <w:rPr>
          <w:rFonts w:cs="Arial"/>
          <w:color w:val="000000" w:themeColor="text1"/>
          <w:szCs w:val="24"/>
        </w:rPr>
        <w:t xml:space="preserve">je </w:t>
      </w:r>
      <w:r w:rsidR="00F448D8" w:rsidRPr="003D2409">
        <w:rPr>
          <w:rFonts w:cs="Arial"/>
          <w:color w:val="000000" w:themeColor="text1"/>
          <w:szCs w:val="24"/>
        </w:rPr>
        <w:t>ústředním orgánem státní správy</w:t>
      </w:r>
      <w:r w:rsidR="003D2409">
        <w:rPr>
          <w:rFonts w:cs="Arial"/>
          <w:color w:val="000000" w:themeColor="text1"/>
          <w:szCs w:val="24"/>
        </w:rPr>
        <w:t>, koordinuje ve věcech životního prostředí postup</w:t>
      </w:r>
      <w:r w:rsidR="00A22C92">
        <w:rPr>
          <w:rFonts w:cs="Arial"/>
          <w:color w:val="000000" w:themeColor="text1"/>
          <w:szCs w:val="24"/>
        </w:rPr>
        <w:t xml:space="preserve"> všech ministerstev a ostatních ústředních orgánů státní správy</w:t>
      </w:r>
      <w:r w:rsidR="00F448D8">
        <w:rPr>
          <w:rFonts w:cs="Arial"/>
          <w:color w:val="000000" w:themeColor="text1"/>
          <w:szCs w:val="24"/>
        </w:rPr>
        <w:t xml:space="preserve"> </w:t>
      </w:r>
      <w:r w:rsidR="00A22C92">
        <w:rPr>
          <w:rFonts w:cs="Arial"/>
          <w:color w:val="000000" w:themeColor="text1"/>
          <w:szCs w:val="24"/>
        </w:rPr>
        <w:t>ČR</w:t>
      </w:r>
      <w:r w:rsidR="00F448D8">
        <w:rPr>
          <w:rFonts w:cs="Arial"/>
          <w:color w:val="000000" w:themeColor="text1"/>
          <w:szCs w:val="24"/>
        </w:rPr>
        <w:t>. MŽP</w:t>
      </w:r>
      <w:r w:rsidR="00D27577" w:rsidRPr="007B1C0A">
        <w:rPr>
          <w:rFonts w:cs="Arial"/>
          <w:color w:val="000000" w:themeColor="text1"/>
          <w:szCs w:val="24"/>
        </w:rPr>
        <w:t xml:space="preserve"> je říd</w:t>
      </w:r>
      <w:r w:rsidR="00960E9E" w:rsidRPr="007B1C0A">
        <w:rPr>
          <w:rFonts w:cs="Arial"/>
          <w:color w:val="000000" w:themeColor="text1"/>
          <w:szCs w:val="24"/>
        </w:rPr>
        <w:t>i</w:t>
      </w:r>
      <w:r w:rsidR="00D27577" w:rsidRPr="007B1C0A">
        <w:rPr>
          <w:rFonts w:cs="Arial"/>
          <w:color w:val="000000" w:themeColor="text1"/>
          <w:szCs w:val="24"/>
        </w:rPr>
        <w:t>cím</w:t>
      </w:r>
      <w:r w:rsidR="00D27577">
        <w:rPr>
          <w:rFonts w:cs="Arial"/>
          <w:color w:val="000000" w:themeColor="text1"/>
          <w:szCs w:val="24"/>
        </w:rPr>
        <w:t xml:space="preserve"> orgánem OPŽP a </w:t>
      </w:r>
      <w:r w:rsidR="00DA32DE">
        <w:rPr>
          <w:rFonts w:cs="Arial"/>
          <w:color w:val="000000" w:themeColor="text1"/>
          <w:szCs w:val="24"/>
        </w:rPr>
        <w:t xml:space="preserve">správcem </w:t>
      </w:r>
      <w:r w:rsidR="00DA32DE" w:rsidRPr="00553E7B">
        <w:rPr>
          <w:rFonts w:cs="Arial"/>
          <w:color w:val="000000" w:themeColor="text1"/>
          <w:szCs w:val="24"/>
        </w:rPr>
        <w:t>programu NZÚ. Administrací obou programů je pověřen SFŽP.</w:t>
      </w:r>
    </w:p>
    <w:p w14:paraId="16DF8269" w14:textId="3CB63BE1" w:rsidR="001D280A" w:rsidRPr="00A04503" w:rsidRDefault="008770E2" w:rsidP="002708CC">
      <w:pPr>
        <w:spacing w:before="120" w:after="120"/>
        <w:rPr>
          <w:rFonts w:cstheme="minorHAnsi"/>
          <w:strike/>
        </w:rPr>
      </w:pPr>
      <w:r w:rsidRPr="00553E7B">
        <w:rPr>
          <w:rFonts w:eastAsiaTheme="minorHAnsi" w:cstheme="minorHAnsi"/>
        </w:rPr>
        <w:t>Zvyšování energetické</w:t>
      </w:r>
      <w:r>
        <w:rPr>
          <w:rFonts w:eastAsiaTheme="minorHAnsi" w:cstheme="minorHAnsi"/>
        </w:rPr>
        <w:t xml:space="preserve"> účinnosti, mj. i snižování konečné spotřeby energie u veřejných budov, patří mezi cíle EU</w:t>
      </w:r>
      <w:r w:rsidR="00A04503">
        <w:rPr>
          <w:rFonts w:eastAsiaTheme="minorHAnsi" w:cstheme="minorHAnsi"/>
        </w:rPr>
        <w:t xml:space="preserve">. </w:t>
      </w:r>
      <w:r w:rsidR="001D280A" w:rsidRPr="002708CC">
        <w:rPr>
          <w:rFonts w:eastAsiaTheme="minorHAnsi" w:cstheme="minorHAnsi"/>
        </w:rPr>
        <w:t xml:space="preserve">Strategie </w:t>
      </w:r>
      <w:r w:rsidR="001D280A" w:rsidRPr="001216F9">
        <w:rPr>
          <w:rFonts w:eastAsiaTheme="minorHAnsi" w:cstheme="minorHAnsi"/>
          <w:i/>
        </w:rPr>
        <w:t>E</w:t>
      </w:r>
      <w:r w:rsidR="00553E7B">
        <w:rPr>
          <w:rFonts w:eastAsiaTheme="minorHAnsi" w:cstheme="minorHAnsi"/>
          <w:i/>
        </w:rPr>
        <w:t>vropa</w:t>
      </w:r>
      <w:r w:rsidR="001D280A" w:rsidRPr="001216F9">
        <w:rPr>
          <w:rFonts w:eastAsiaTheme="minorHAnsi" w:cstheme="minorHAnsi"/>
          <w:i/>
        </w:rPr>
        <w:t xml:space="preserve"> 2020 </w:t>
      </w:r>
      <w:r w:rsidR="00553E7B">
        <w:t xml:space="preserve">– </w:t>
      </w:r>
      <w:r w:rsidR="001D280A" w:rsidRPr="001216F9">
        <w:rPr>
          <w:rFonts w:cstheme="minorHAnsi"/>
          <w:i/>
        </w:rPr>
        <w:t>Strategie pro inteligentní a udržitelný růst podporující začlenění</w:t>
      </w:r>
      <w:r w:rsidR="001D280A" w:rsidRPr="002708CC">
        <w:rPr>
          <w:rFonts w:cstheme="minorHAnsi"/>
        </w:rPr>
        <w:t xml:space="preserve"> představ</w:t>
      </w:r>
      <w:r w:rsidR="0082164F" w:rsidRPr="002708CC">
        <w:rPr>
          <w:rFonts w:cstheme="minorHAnsi"/>
        </w:rPr>
        <w:t xml:space="preserve">ovala od roku </w:t>
      </w:r>
      <w:r w:rsidR="00B5256B" w:rsidRPr="002708CC">
        <w:rPr>
          <w:rFonts w:cstheme="minorHAnsi"/>
        </w:rPr>
        <w:t>2010</w:t>
      </w:r>
      <w:r w:rsidR="001D280A" w:rsidRPr="002708CC">
        <w:rPr>
          <w:rFonts w:cstheme="minorHAnsi"/>
        </w:rPr>
        <w:t xml:space="preserve"> hlavní hospodářskou reformní agendu Evropské unie</w:t>
      </w:r>
      <w:r w:rsidR="001D280A" w:rsidRPr="002708CC">
        <w:rPr>
          <w:rFonts w:cstheme="minorHAnsi"/>
          <w:color w:val="000000"/>
          <w:shd w:val="clear" w:color="auto" w:fill="FFFFFF"/>
        </w:rPr>
        <w:t>.</w:t>
      </w:r>
      <w:r w:rsidR="001D280A" w:rsidRPr="002708CC">
        <w:rPr>
          <w:rFonts w:cstheme="minorHAnsi"/>
        </w:rPr>
        <w:t xml:space="preserve"> Jedním z</w:t>
      </w:r>
      <w:r w:rsidR="00B5256B" w:rsidRPr="002708CC">
        <w:rPr>
          <w:rFonts w:cstheme="minorHAnsi"/>
        </w:rPr>
        <w:t xml:space="preserve"> pěti </w:t>
      </w:r>
      <w:r w:rsidR="001D280A" w:rsidRPr="002708CC">
        <w:rPr>
          <w:rFonts w:cstheme="minorHAnsi"/>
        </w:rPr>
        <w:t xml:space="preserve">hlavních cílů je </w:t>
      </w:r>
      <w:r w:rsidR="00553E7B">
        <w:rPr>
          <w:rFonts w:cstheme="minorHAnsi"/>
        </w:rPr>
        <w:t>„</w:t>
      </w:r>
      <w:r w:rsidR="00553E7B">
        <w:rPr>
          <w:rFonts w:cstheme="minorHAnsi"/>
          <w:i/>
        </w:rPr>
        <w:t>s</w:t>
      </w:r>
      <w:r w:rsidR="001D280A" w:rsidRPr="002708CC">
        <w:rPr>
          <w:rFonts w:cstheme="minorHAnsi"/>
          <w:i/>
        </w:rPr>
        <w:t>nížení emisí skleníkových plynů o 20 % oproti úrovním roku 1990</w:t>
      </w:r>
      <w:r w:rsidR="007669D2" w:rsidRPr="002708CC">
        <w:rPr>
          <w:rFonts w:cstheme="minorHAnsi"/>
          <w:i/>
        </w:rPr>
        <w:t>,</w:t>
      </w:r>
      <w:r w:rsidR="001D280A" w:rsidRPr="002708CC">
        <w:rPr>
          <w:rFonts w:cstheme="minorHAnsi"/>
          <w:i/>
        </w:rPr>
        <w:t xml:space="preserve"> zvýšení podílu energie z obnovitelných zdrojů v konečné spotřebě energie na 20 % a posun ke zvýšení energetické účinnosti o 20 %</w:t>
      </w:r>
      <w:r w:rsidR="00553E7B" w:rsidRPr="00FC7CB7">
        <w:rPr>
          <w:rFonts w:cstheme="minorHAnsi"/>
        </w:rPr>
        <w:t>“</w:t>
      </w:r>
      <w:r w:rsidR="001D280A" w:rsidRPr="00FC7CB7">
        <w:rPr>
          <w:rFonts w:cstheme="minorHAnsi"/>
        </w:rPr>
        <w:t>.</w:t>
      </w:r>
    </w:p>
    <w:p w14:paraId="179ABFA7" w14:textId="0B8E1B66" w:rsidR="00A04503" w:rsidRDefault="00E80BFF" w:rsidP="00A04503">
      <w:pPr>
        <w:spacing w:after="120" w:line="264" w:lineRule="auto"/>
      </w:pPr>
      <w:r>
        <w:rPr>
          <w:rFonts w:cstheme="minorHAnsi"/>
        </w:rPr>
        <w:t>S</w:t>
      </w:r>
      <w:r w:rsidRPr="004A0717">
        <w:rPr>
          <w:rFonts w:cstheme="minorHAnsi"/>
        </w:rPr>
        <w:t>polečný rámec opatření na</w:t>
      </w:r>
      <w:r w:rsidR="00D9500B">
        <w:rPr>
          <w:rFonts w:cstheme="minorHAnsi"/>
        </w:rPr>
        <w:t xml:space="preserve"> </w:t>
      </w:r>
      <w:r w:rsidRPr="004A0717">
        <w:rPr>
          <w:rFonts w:cstheme="minorHAnsi"/>
        </w:rPr>
        <w:t>podporu energetické účinnosti v</w:t>
      </w:r>
      <w:r>
        <w:rPr>
          <w:rFonts w:cstheme="minorHAnsi"/>
        </w:rPr>
        <w:t> </w:t>
      </w:r>
      <w:r w:rsidRPr="004A0717">
        <w:rPr>
          <w:rFonts w:cstheme="minorHAnsi"/>
        </w:rPr>
        <w:t>EU s</w:t>
      </w:r>
      <w:r>
        <w:rPr>
          <w:rFonts w:cstheme="minorHAnsi"/>
        </w:rPr>
        <w:t> </w:t>
      </w:r>
      <w:r w:rsidRPr="004A0717">
        <w:rPr>
          <w:rFonts w:cstheme="minorHAnsi"/>
        </w:rPr>
        <w:t>cílem</w:t>
      </w:r>
      <w:r w:rsidRPr="00447DF3">
        <w:rPr>
          <w:rFonts w:cstheme="minorHAnsi"/>
        </w:rPr>
        <w:t xml:space="preserve"> </w:t>
      </w:r>
      <w:r w:rsidR="008770E2" w:rsidRPr="00447DF3">
        <w:rPr>
          <w:rFonts w:cstheme="minorHAnsi"/>
        </w:rPr>
        <w:t>uspořit 20</w:t>
      </w:r>
      <w:r w:rsidR="00D9500B">
        <w:rPr>
          <w:rFonts w:cstheme="minorHAnsi"/>
        </w:rPr>
        <w:t> </w:t>
      </w:r>
      <w:r w:rsidR="008770E2" w:rsidRPr="00447DF3">
        <w:rPr>
          <w:rFonts w:cstheme="minorHAnsi"/>
        </w:rPr>
        <w:t xml:space="preserve">% spotřeby primární energie v EU </w:t>
      </w:r>
      <w:r w:rsidRPr="00447DF3">
        <w:rPr>
          <w:rFonts w:cstheme="minorHAnsi"/>
        </w:rPr>
        <w:t xml:space="preserve">do roku 2020 </w:t>
      </w:r>
      <w:r w:rsidRPr="00DD0683">
        <w:rPr>
          <w:rFonts w:cstheme="minorHAnsi"/>
        </w:rPr>
        <w:t xml:space="preserve">zavedla </w:t>
      </w:r>
      <w:r w:rsidR="00D9500B">
        <w:rPr>
          <w:rFonts w:cstheme="minorHAnsi"/>
        </w:rPr>
        <w:t>s</w:t>
      </w:r>
      <w:r w:rsidR="001D280A" w:rsidRPr="00DD0683">
        <w:rPr>
          <w:rFonts w:cstheme="minorHAnsi"/>
        </w:rPr>
        <w:t>měrnice 2012/27/EU</w:t>
      </w:r>
      <w:r w:rsidR="008770E2">
        <w:rPr>
          <w:rFonts w:cstheme="minorHAnsi"/>
        </w:rPr>
        <w:t>, která</w:t>
      </w:r>
      <w:r w:rsidR="007669D2" w:rsidRPr="00DD0683">
        <w:rPr>
          <w:rFonts w:cstheme="minorHAnsi"/>
          <w:bCs/>
        </w:rPr>
        <w:t xml:space="preserve"> </w:t>
      </w:r>
      <w:r w:rsidR="001931FA" w:rsidRPr="00DD0683">
        <w:rPr>
          <w:rFonts w:cstheme="minorHAnsi"/>
          <w:bCs/>
        </w:rPr>
        <w:t>vstoupila v platnost 4. </w:t>
      </w:r>
      <w:r w:rsidR="007669D2" w:rsidRPr="00DD0683">
        <w:rPr>
          <w:rFonts w:cstheme="minorHAnsi"/>
          <w:bCs/>
        </w:rPr>
        <w:t>12. </w:t>
      </w:r>
      <w:r w:rsidR="001931FA" w:rsidRPr="00DD0683">
        <w:rPr>
          <w:rFonts w:cstheme="minorHAnsi"/>
          <w:bCs/>
        </w:rPr>
        <w:t>2012</w:t>
      </w:r>
      <w:r w:rsidR="001931FA" w:rsidRPr="00DD0683">
        <w:t>.</w:t>
      </w:r>
      <w:r w:rsidR="008770E2">
        <w:t xml:space="preserve"> </w:t>
      </w:r>
      <w:r w:rsidR="001D280A" w:rsidRPr="00DD0683">
        <w:rPr>
          <w:rFonts w:cstheme="minorHAnsi"/>
        </w:rPr>
        <w:t xml:space="preserve">Členské státy měly </w:t>
      </w:r>
      <w:r w:rsidR="008770E2">
        <w:rPr>
          <w:rFonts w:cstheme="minorHAnsi"/>
        </w:rPr>
        <w:t xml:space="preserve">mj. </w:t>
      </w:r>
      <w:r w:rsidR="001D280A" w:rsidRPr="00DD0683">
        <w:rPr>
          <w:rFonts w:cstheme="minorHAnsi"/>
        </w:rPr>
        <w:t>přijmout dlouhodobou strategii za účelem uvolnění investic do renovace vnitrostátního fondu obytných a komerčních budov, a to jak veřejných</w:t>
      </w:r>
      <w:r w:rsidR="00D9500B">
        <w:rPr>
          <w:rFonts w:cstheme="minorHAnsi"/>
        </w:rPr>
        <w:t>,</w:t>
      </w:r>
      <w:r w:rsidR="001D280A" w:rsidRPr="00DD0683">
        <w:rPr>
          <w:rFonts w:cstheme="minorHAnsi"/>
        </w:rPr>
        <w:t xml:space="preserve"> tak soukromých.</w:t>
      </w:r>
      <w:r w:rsidRPr="00DD0683">
        <w:rPr>
          <w:rFonts w:cstheme="minorHAnsi"/>
        </w:rPr>
        <w:t xml:space="preserve"> </w:t>
      </w:r>
      <w:r w:rsidR="001D280A" w:rsidRPr="00DD0683">
        <w:rPr>
          <w:rFonts w:cstheme="minorHAnsi"/>
        </w:rPr>
        <w:t>Na</w:t>
      </w:r>
      <w:r w:rsidR="00D9500B">
        <w:rPr>
          <w:rFonts w:cstheme="minorHAnsi"/>
        </w:rPr>
        <w:t xml:space="preserve"> </w:t>
      </w:r>
      <w:r w:rsidR="001D280A" w:rsidRPr="00DD0683">
        <w:rPr>
          <w:rFonts w:cstheme="minorHAnsi"/>
        </w:rPr>
        <w:t xml:space="preserve">základě principu </w:t>
      </w:r>
      <w:r w:rsidR="001D280A" w:rsidRPr="005A14E0">
        <w:rPr>
          <w:rFonts w:cstheme="minorHAnsi"/>
          <w:i/>
        </w:rPr>
        <w:t>stát má jít příkladem</w:t>
      </w:r>
      <w:r w:rsidR="001D280A" w:rsidRPr="00DD0683">
        <w:rPr>
          <w:rFonts w:cstheme="minorHAnsi"/>
        </w:rPr>
        <w:t xml:space="preserve"> </w:t>
      </w:r>
      <w:r w:rsidR="005A14E0">
        <w:rPr>
          <w:rFonts w:cstheme="minorHAnsi"/>
        </w:rPr>
        <w:t>uvedené</w:t>
      </w:r>
      <w:r w:rsidR="00D9500B">
        <w:rPr>
          <w:rFonts w:cstheme="minorHAnsi"/>
        </w:rPr>
        <w:t>ho</w:t>
      </w:r>
      <w:r w:rsidR="005A14E0">
        <w:rPr>
          <w:rFonts w:cstheme="minorHAnsi"/>
        </w:rPr>
        <w:t xml:space="preserve"> v čl. 5 EED</w:t>
      </w:r>
      <w:r w:rsidR="00B84603" w:rsidRPr="00DD0683">
        <w:rPr>
          <w:rFonts w:cstheme="minorHAnsi"/>
        </w:rPr>
        <w:t xml:space="preserve"> </w:t>
      </w:r>
      <w:r w:rsidR="001D280A" w:rsidRPr="00DD0683">
        <w:rPr>
          <w:rFonts w:cstheme="minorHAnsi"/>
        </w:rPr>
        <w:t>je uložena členským státům povinnost každoročně renovovat 3 % celkové podlahové plochy vytápěných nebo chlazených budov ve</w:t>
      </w:r>
      <w:r w:rsidR="00D9500B">
        <w:rPr>
          <w:rFonts w:cstheme="minorHAnsi"/>
        </w:rPr>
        <w:t xml:space="preserve"> </w:t>
      </w:r>
      <w:r w:rsidR="001D280A" w:rsidRPr="00DD0683">
        <w:rPr>
          <w:rFonts w:cstheme="minorHAnsi"/>
        </w:rPr>
        <w:t>vlastnictví</w:t>
      </w:r>
      <w:r w:rsidR="00976196">
        <w:rPr>
          <w:rFonts w:cstheme="minorHAnsi"/>
        </w:rPr>
        <w:t xml:space="preserve"> </w:t>
      </w:r>
      <w:r w:rsidR="001D280A" w:rsidRPr="00DD0683">
        <w:rPr>
          <w:rFonts w:cstheme="minorHAnsi"/>
        </w:rPr>
        <w:t>a užívání ústředních institucí s energeticky vztažnou plochou nad 250 m</w:t>
      </w:r>
      <w:r w:rsidR="001D280A" w:rsidRPr="00DD0683">
        <w:rPr>
          <w:rFonts w:cstheme="minorHAnsi"/>
          <w:vertAlign w:val="superscript"/>
        </w:rPr>
        <w:t>2</w:t>
      </w:r>
      <w:r w:rsidR="001D280A" w:rsidRPr="00DD0683">
        <w:rPr>
          <w:rFonts w:cstheme="minorHAnsi"/>
        </w:rPr>
        <w:t>.</w:t>
      </w:r>
      <w:r w:rsidR="00015A63" w:rsidRPr="00DD0683">
        <w:rPr>
          <w:rFonts w:cstheme="minorHAnsi"/>
        </w:rPr>
        <w:t xml:space="preserve"> </w:t>
      </w:r>
      <w:r w:rsidR="00015A63" w:rsidRPr="00DD0683">
        <w:t xml:space="preserve">ČR se rozhodla pro </w:t>
      </w:r>
      <w:r w:rsidR="00015A63" w:rsidRPr="00DD0683">
        <w:rPr>
          <w:i/>
        </w:rPr>
        <w:t>variantu alternativního přístupu</w:t>
      </w:r>
      <w:r w:rsidR="00015A63" w:rsidRPr="00DD0683">
        <w:t>, kter</w:t>
      </w:r>
      <w:r w:rsidR="007C7802">
        <w:t>á</w:t>
      </w:r>
      <w:r w:rsidR="00015A63" w:rsidRPr="00DD0683">
        <w:t xml:space="preserve"> umožňuje kombinovat různé způsoby snižování spotřeby energie v budovách ústředních institucí.</w:t>
      </w:r>
      <w:r w:rsidRPr="00DD0683">
        <w:rPr>
          <w:rStyle w:val="Znakapoznpodarou"/>
        </w:rPr>
        <w:footnoteReference w:id="15"/>
      </w:r>
    </w:p>
    <w:p w14:paraId="26B7246A" w14:textId="77777777" w:rsidR="00CF57E5" w:rsidRDefault="00CF57E5">
      <w:pPr>
        <w:jc w:val="left"/>
      </w:pPr>
      <w:r>
        <w:br w:type="page"/>
      </w:r>
    </w:p>
    <w:p w14:paraId="5AFCB991" w14:textId="3D348452" w:rsidR="00A04503" w:rsidRPr="00565FBA" w:rsidRDefault="00A04503" w:rsidP="00A04503">
      <w:pPr>
        <w:spacing w:after="120" w:line="264" w:lineRule="auto"/>
      </w:pPr>
      <w:r>
        <w:lastRenderedPageBreak/>
        <w:t xml:space="preserve">Pro potřeby plnění čl. 5 EED byl vytvořen </w:t>
      </w:r>
      <w:r w:rsidRPr="00675DD1">
        <w:t>seznam budov</w:t>
      </w:r>
      <w:r>
        <w:t>,</w:t>
      </w:r>
      <w:r>
        <w:rPr>
          <w:rStyle w:val="Znakapoznpodarou"/>
        </w:rPr>
        <w:footnoteReference w:id="16"/>
      </w:r>
      <w:r>
        <w:t xml:space="preserve"> které neplní požadavky na</w:t>
      </w:r>
      <w:r w:rsidR="009F3B35">
        <w:t xml:space="preserve"> </w:t>
      </w:r>
      <w:r>
        <w:t>energetickou náročnost budov</w:t>
      </w:r>
      <w:r w:rsidR="005C2858">
        <w:t xml:space="preserve"> a na které se vztahuje požadavek na snížení konečné spotřeby energie</w:t>
      </w:r>
      <w:r>
        <w:t xml:space="preserve">. Na základě zamítnutí výjimky pro budovy </w:t>
      </w:r>
      <w:r w:rsidRPr="00DD0683">
        <w:t>Vězeňské služby České republiky ze strany Evropské komise došlo k </w:t>
      </w:r>
      <w:r w:rsidRPr="00DD0683">
        <w:rPr>
          <w:i/>
        </w:rPr>
        <w:t xml:space="preserve">aktualizaci </w:t>
      </w:r>
      <w:r w:rsidRPr="00DD0683">
        <w:rPr>
          <w:rFonts w:cstheme="minorHAnsi"/>
          <w:i/>
        </w:rPr>
        <w:t>Plánu rekonstrukce objektů v působnosti článku 5</w:t>
      </w:r>
      <w:r w:rsidR="009F3B35">
        <w:rPr>
          <w:rFonts w:cstheme="minorHAnsi"/>
          <w:i/>
        </w:rPr>
        <w:t> </w:t>
      </w:r>
      <w:r w:rsidRPr="00DD0683">
        <w:rPr>
          <w:rFonts w:cstheme="minorHAnsi"/>
          <w:i/>
        </w:rPr>
        <w:t xml:space="preserve">směrnice Evropského parlamentu a Rady 2012/27/EU ze dne 25. října 2012 o energetické </w:t>
      </w:r>
      <w:r w:rsidRPr="00565FBA">
        <w:rPr>
          <w:rFonts w:cstheme="minorHAnsi"/>
          <w:i/>
        </w:rPr>
        <w:t>účinnosti</w:t>
      </w:r>
      <w:r w:rsidRPr="00565FBA">
        <w:t xml:space="preserve"> (dál</w:t>
      </w:r>
      <w:r w:rsidR="00107E74">
        <w:t>e také „Plán rekonstrukce objek</w:t>
      </w:r>
      <w:r w:rsidRPr="00565FBA">
        <w:t>t</w:t>
      </w:r>
      <w:r w:rsidR="00107E74">
        <w:t>ů</w:t>
      </w:r>
      <w:r w:rsidRPr="00565FBA">
        <w:t xml:space="preserve"> v působnosti čl. 5 EED</w:t>
      </w:r>
      <w:r w:rsidR="005C2858" w:rsidRPr="00565FBA">
        <w:t>“).</w:t>
      </w:r>
      <w:r w:rsidR="007D4472" w:rsidRPr="00565FBA">
        <w:rPr>
          <w:rStyle w:val="Znakapoznpodarou"/>
        </w:rPr>
        <w:footnoteReference w:id="17"/>
      </w:r>
    </w:p>
    <w:p w14:paraId="2C67DF52" w14:textId="498549E2" w:rsidR="00D726AD" w:rsidRPr="00565FBA" w:rsidRDefault="00107E74" w:rsidP="00D726AD">
      <w:pPr>
        <w:spacing w:after="120" w:line="264" w:lineRule="auto"/>
        <w:rPr>
          <w:rFonts w:cstheme="minorHAnsi"/>
        </w:rPr>
      </w:pPr>
      <w:r>
        <w:rPr>
          <w:rFonts w:cstheme="minorHAnsi"/>
        </w:rPr>
        <w:t>Č</w:t>
      </w:r>
      <w:r w:rsidRPr="00107E74">
        <w:rPr>
          <w:rFonts w:cstheme="minorHAnsi"/>
        </w:rPr>
        <w:t xml:space="preserve">lenské státy každoročně do 30. dubna podávají </w:t>
      </w:r>
      <w:r w:rsidR="00EE2AFA" w:rsidRPr="00565FBA">
        <w:rPr>
          <w:rFonts w:cstheme="minorHAnsi"/>
        </w:rPr>
        <w:t>Evropské komisi</w:t>
      </w:r>
      <w:r w:rsidR="00EE2AFA" w:rsidRPr="00107E74">
        <w:rPr>
          <w:rFonts w:cstheme="minorHAnsi"/>
        </w:rPr>
        <w:t xml:space="preserve"> </w:t>
      </w:r>
      <w:r w:rsidR="006D1651">
        <w:rPr>
          <w:rFonts w:cstheme="minorHAnsi"/>
        </w:rPr>
        <w:t xml:space="preserve">(dále též „EK“) </w:t>
      </w:r>
      <w:r w:rsidRPr="00107E74">
        <w:rPr>
          <w:rFonts w:cstheme="minorHAnsi"/>
        </w:rPr>
        <w:t>zprávu o</w:t>
      </w:r>
      <w:r w:rsidR="00610379">
        <w:rPr>
          <w:rFonts w:cstheme="minorHAnsi"/>
        </w:rPr>
        <w:t> </w:t>
      </w:r>
      <w:r w:rsidRPr="00107E74">
        <w:rPr>
          <w:rFonts w:cstheme="minorHAnsi"/>
        </w:rPr>
        <w:t>pokroku dosaženém při plnění vnitrostátních cílů energetické účinnosti</w:t>
      </w:r>
      <w:r>
        <w:rPr>
          <w:rFonts w:cstheme="minorHAnsi"/>
        </w:rPr>
        <w:t xml:space="preserve">. </w:t>
      </w:r>
      <w:r w:rsidR="00D726AD" w:rsidRPr="00107E74">
        <w:rPr>
          <w:rFonts w:cstheme="minorHAnsi"/>
          <w:i/>
        </w:rPr>
        <w:t>Zpráv</w:t>
      </w:r>
      <w:r w:rsidRPr="00107E74">
        <w:rPr>
          <w:rFonts w:cstheme="minorHAnsi"/>
          <w:i/>
        </w:rPr>
        <w:t>a</w:t>
      </w:r>
      <w:r w:rsidR="00D726AD" w:rsidRPr="00107E74">
        <w:rPr>
          <w:rFonts w:cstheme="minorHAnsi"/>
          <w:i/>
        </w:rPr>
        <w:t xml:space="preserve"> o</w:t>
      </w:r>
      <w:r w:rsidR="00EE2AFA">
        <w:rPr>
          <w:rFonts w:cstheme="minorHAnsi"/>
          <w:i/>
        </w:rPr>
        <w:t xml:space="preserve"> </w:t>
      </w:r>
      <w:r w:rsidR="00D726AD" w:rsidRPr="00107E74">
        <w:rPr>
          <w:rFonts w:cstheme="minorHAnsi"/>
          <w:i/>
        </w:rPr>
        <w:t>pokroku v</w:t>
      </w:r>
      <w:r w:rsidR="00610379">
        <w:rPr>
          <w:rFonts w:cstheme="minorHAnsi"/>
          <w:i/>
        </w:rPr>
        <w:t> </w:t>
      </w:r>
      <w:r w:rsidR="00D726AD" w:rsidRPr="00107E74">
        <w:rPr>
          <w:rFonts w:cstheme="minorHAnsi"/>
          <w:i/>
        </w:rPr>
        <w:t xml:space="preserve">oblasti plnění vnitrostátních cílů energetické účinnosti v </w:t>
      </w:r>
      <w:r w:rsidR="002701A7" w:rsidRPr="00107E74">
        <w:rPr>
          <w:rFonts w:cstheme="minorHAnsi"/>
          <w:i/>
        </w:rPr>
        <w:t>Č</w:t>
      </w:r>
      <w:r w:rsidR="00D726AD" w:rsidRPr="00107E74">
        <w:rPr>
          <w:rFonts w:cstheme="minorHAnsi"/>
          <w:i/>
        </w:rPr>
        <w:t>eské republice podle čl.</w:t>
      </w:r>
      <w:r w:rsidR="00EE2AFA">
        <w:rPr>
          <w:rFonts w:cstheme="minorHAnsi"/>
          <w:i/>
        </w:rPr>
        <w:t xml:space="preserve"> </w:t>
      </w:r>
      <w:r w:rsidR="00D726AD" w:rsidRPr="00107E74">
        <w:rPr>
          <w:rFonts w:cstheme="minorHAnsi"/>
          <w:i/>
        </w:rPr>
        <w:t xml:space="preserve">24 </w:t>
      </w:r>
      <w:r w:rsidR="00FD32C7">
        <w:rPr>
          <w:rFonts w:cstheme="minorHAnsi"/>
          <w:i/>
        </w:rPr>
        <w:t>s</w:t>
      </w:r>
      <w:r w:rsidR="00D726AD" w:rsidRPr="00107E74">
        <w:rPr>
          <w:rFonts w:cstheme="minorHAnsi"/>
          <w:i/>
        </w:rPr>
        <w:t>měrnice 2012/27/EU o</w:t>
      </w:r>
      <w:r w:rsidR="002477AE">
        <w:rPr>
          <w:rFonts w:cstheme="minorHAnsi"/>
          <w:i/>
        </w:rPr>
        <w:t> </w:t>
      </w:r>
      <w:r w:rsidR="00D726AD" w:rsidRPr="00107E74">
        <w:rPr>
          <w:rFonts w:cstheme="minorHAnsi"/>
          <w:i/>
        </w:rPr>
        <w:t>energetické účinnosti</w:t>
      </w:r>
      <w:r w:rsidR="00D726AD" w:rsidRPr="00565FBA">
        <w:rPr>
          <w:rFonts w:cstheme="minorHAnsi"/>
        </w:rPr>
        <w:t xml:space="preserve"> (dále také „Zpráv</w:t>
      </w:r>
      <w:r w:rsidR="001E17F3" w:rsidRPr="00565FBA">
        <w:rPr>
          <w:rFonts w:cstheme="minorHAnsi"/>
        </w:rPr>
        <w:t>a</w:t>
      </w:r>
      <w:r w:rsidR="00D726AD" w:rsidRPr="00565FBA">
        <w:rPr>
          <w:rFonts w:cstheme="minorHAnsi"/>
        </w:rPr>
        <w:t xml:space="preserve"> o po</w:t>
      </w:r>
      <w:r>
        <w:rPr>
          <w:rFonts w:cstheme="minorHAnsi"/>
        </w:rPr>
        <w:t xml:space="preserve">kroku“) </w:t>
      </w:r>
      <w:r w:rsidR="00D726AD" w:rsidRPr="00565FBA">
        <w:rPr>
          <w:rFonts w:cstheme="minorHAnsi"/>
        </w:rPr>
        <w:t xml:space="preserve">poskytuje </w:t>
      </w:r>
      <w:r w:rsidR="008770E2" w:rsidRPr="00565FBA">
        <w:rPr>
          <w:rFonts w:cstheme="minorHAnsi"/>
        </w:rPr>
        <w:t>informace o</w:t>
      </w:r>
      <w:r w:rsidR="00610379">
        <w:rPr>
          <w:rFonts w:cstheme="minorHAnsi"/>
        </w:rPr>
        <w:t> </w:t>
      </w:r>
      <w:r w:rsidR="00D726AD" w:rsidRPr="00565FBA">
        <w:rPr>
          <w:rFonts w:cstheme="minorHAnsi"/>
        </w:rPr>
        <w:t>plnění vnitrostátních cílů pro rok 2020.</w:t>
      </w:r>
    </w:p>
    <w:p w14:paraId="27EF18FE" w14:textId="5E5DEC5F" w:rsidR="007921B3" w:rsidRDefault="007921B3" w:rsidP="007921B3">
      <w:pPr>
        <w:pStyle w:val="Bezmezer"/>
        <w:numPr>
          <w:ilvl w:val="0"/>
          <w:numId w:val="0"/>
        </w:numPr>
        <w:spacing w:after="120"/>
        <w:jc w:val="both"/>
        <w:rPr>
          <w:lang w:eastAsia="cs-CZ"/>
        </w:rPr>
      </w:pPr>
      <w:r w:rsidRPr="00565FBA">
        <w:rPr>
          <w:lang w:eastAsia="cs-CZ"/>
        </w:rPr>
        <w:t xml:space="preserve">Podporovat úspory </w:t>
      </w:r>
      <w:r w:rsidR="00717E29">
        <w:rPr>
          <w:lang w:eastAsia="cs-CZ"/>
        </w:rPr>
        <w:t xml:space="preserve">energie </w:t>
      </w:r>
      <w:r w:rsidRPr="00565FBA">
        <w:rPr>
          <w:lang w:eastAsia="cs-CZ"/>
        </w:rPr>
        <w:t xml:space="preserve">v budovách patří dále mezi cíle </w:t>
      </w:r>
      <w:r w:rsidRPr="00FC7CB7">
        <w:rPr>
          <w:i/>
          <w:lang w:eastAsia="cs-CZ"/>
        </w:rPr>
        <w:t>Strategického rámce Česk</w:t>
      </w:r>
      <w:r w:rsidR="00EE2AFA" w:rsidRPr="00FC7CB7">
        <w:rPr>
          <w:i/>
          <w:lang w:eastAsia="cs-CZ"/>
        </w:rPr>
        <w:t>á</w:t>
      </w:r>
      <w:r w:rsidRPr="00FC7CB7">
        <w:rPr>
          <w:i/>
          <w:lang w:eastAsia="cs-CZ"/>
        </w:rPr>
        <w:t xml:space="preserve"> republik</w:t>
      </w:r>
      <w:r w:rsidR="00EE2AFA" w:rsidRPr="00FC7CB7">
        <w:rPr>
          <w:i/>
          <w:lang w:eastAsia="cs-CZ"/>
        </w:rPr>
        <w:t>a</w:t>
      </w:r>
      <w:r w:rsidRPr="00FC7CB7">
        <w:rPr>
          <w:i/>
          <w:lang w:eastAsia="cs-CZ"/>
        </w:rPr>
        <w:t xml:space="preserve"> 2030</w:t>
      </w:r>
      <w:r>
        <w:rPr>
          <w:rStyle w:val="Znakapoznpodarou"/>
          <w:lang w:eastAsia="cs-CZ"/>
        </w:rPr>
        <w:footnoteReference w:id="18"/>
      </w:r>
      <w:r>
        <w:rPr>
          <w:lang w:eastAsia="cs-CZ"/>
        </w:rPr>
        <w:t>, který d</w:t>
      </w:r>
      <w:r w:rsidRPr="00DD0683">
        <w:rPr>
          <w:lang w:eastAsia="cs-CZ"/>
        </w:rPr>
        <w:t>o podmínek České republiky převádí</w:t>
      </w:r>
      <w:r w:rsidRPr="00CA0D9F">
        <w:rPr>
          <w:lang w:eastAsia="cs-CZ"/>
        </w:rPr>
        <w:t xml:space="preserve"> </w:t>
      </w:r>
      <w:r>
        <w:rPr>
          <w:lang w:eastAsia="cs-CZ"/>
        </w:rPr>
        <w:t xml:space="preserve">tzv. cíle udržitelného rozvoje </w:t>
      </w:r>
      <w:r w:rsidRPr="00592D94">
        <w:rPr>
          <w:lang w:eastAsia="cs-CZ"/>
        </w:rPr>
        <w:t>(SDGs),</w:t>
      </w:r>
      <w:r>
        <w:rPr>
          <w:rStyle w:val="Znakapoznpodarou"/>
          <w:lang w:eastAsia="cs-CZ"/>
        </w:rPr>
        <w:footnoteReference w:id="19"/>
      </w:r>
      <w:r>
        <w:rPr>
          <w:lang w:eastAsia="cs-CZ"/>
        </w:rPr>
        <w:t xml:space="preserve"> které přijala </w:t>
      </w:r>
      <w:r w:rsidRPr="006E5D62">
        <w:rPr>
          <w:lang w:eastAsia="cs-CZ"/>
        </w:rPr>
        <w:t>Organizace spojených národů</w:t>
      </w:r>
      <w:r w:rsidRPr="00592D94">
        <w:rPr>
          <w:lang w:eastAsia="cs-CZ"/>
        </w:rPr>
        <w:t xml:space="preserve"> </w:t>
      </w:r>
      <w:r>
        <w:rPr>
          <w:lang w:eastAsia="cs-CZ"/>
        </w:rPr>
        <w:t xml:space="preserve">v roce 2015 a </w:t>
      </w:r>
      <w:r w:rsidRPr="00DD0683">
        <w:rPr>
          <w:lang w:eastAsia="cs-CZ"/>
        </w:rPr>
        <w:t>kterých má být dosaženo do roku 2030. Jedním ze 17 cílů udržitelného rozvoje je i dostupná a</w:t>
      </w:r>
      <w:r w:rsidR="00717E29">
        <w:rPr>
          <w:lang w:eastAsia="cs-CZ"/>
        </w:rPr>
        <w:t xml:space="preserve"> </w:t>
      </w:r>
      <w:r w:rsidRPr="00DD0683">
        <w:rPr>
          <w:lang w:eastAsia="cs-CZ"/>
        </w:rPr>
        <w:t>čistá energie (cíl 7).</w:t>
      </w:r>
      <w:r w:rsidRPr="00DD0683">
        <w:rPr>
          <w:rStyle w:val="Znakapoznpodarou"/>
          <w:lang w:eastAsia="cs-CZ"/>
        </w:rPr>
        <w:footnoteReference w:id="20"/>
      </w:r>
    </w:p>
    <w:p w14:paraId="1A9E97B3" w14:textId="77777777" w:rsidR="00717E29" w:rsidRDefault="00717E29" w:rsidP="00FC7CB7">
      <w:pPr>
        <w:spacing w:before="120" w:line="264" w:lineRule="auto"/>
        <w:rPr>
          <w:i/>
        </w:rPr>
      </w:pPr>
    </w:p>
    <w:p w14:paraId="512E762F" w14:textId="77777777" w:rsidR="0036331E" w:rsidRPr="0036331E" w:rsidRDefault="0036331E" w:rsidP="007921B3">
      <w:pPr>
        <w:spacing w:before="120" w:after="120" w:line="264" w:lineRule="auto"/>
        <w:rPr>
          <w:i/>
        </w:rPr>
      </w:pPr>
      <w:r>
        <w:rPr>
          <w:i/>
        </w:rPr>
        <w:t>Podpora určená na energetické úspory</w:t>
      </w:r>
    </w:p>
    <w:p w14:paraId="7E78BFD6" w14:textId="5441D4BF" w:rsidR="001E17F3" w:rsidRDefault="001451AB" w:rsidP="005C2858">
      <w:pPr>
        <w:spacing w:line="264" w:lineRule="auto"/>
      </w:pPr>
      <w:r>
        <w:t xml:space="preserve">Peněžní prostředky určené na </w:t>
      </w:r>
      <w:r w:rsidR="005C2858" w:rsidRPr="00A0481D">
        <w:t>podporu energetických úspor u</w:t>
      </w:r>
      <w:r w:rsidR="00717E29">
        <w:t xml:space="preserve"> </w:t>
      </w:r>
      <w:r w:rsidR="005C2858" w:rsidRPr="00A0481D">
        <w:t xml:space="preserve">veřejných budov </w:t>
      </w:r>
      <w:r w:rsidR="005F667F">
        <w:t xml:space="preserve">v ČR </w:t>
      </w:r>
      <w:r w:rsidR="005C2858" w:rsidRPr="00A0481D">
        <w:t xml:space="preserve">jsou </w:t>
      </w:r>
      <w:r>
        <w:t>poskytovány</w:t>
      </w:r>
      <w:r w:rsidR="005C2858" w:rsidRPr="00A0481D">
        <w:t xml:space="preserve"> z</w:t>
      </w:r>
      <w:r w:rsidR="000D6A51">
        <w:t> </w:t>
      </w:r>
      <w:r w:rsidR="005C2858" w:rsidRPr="00A0481D">
        <w:t>OPŽP</w:t>
      </w:r>
      <w:r w:rsidR="000D6A51">
        <w:t xml:space="preserve"> (PO 5)</w:t>
      </w:r>
      <w:r w:rsidR="005C2858" w:rsidRPr="00A0481D">
        <w:t xml:space="preserve"> a NZÚ</w:t>
      </w:r>
      <w:r w:rsidR="000D6A51">
        <w:t xml:space="preserve"> (</w:t>
      </w:r>
      <w:r w:rsidR="005C2858" w:rsidRPr="00A0481D">
        <w:t>podprogram</w:t>
      </w:r>
      <w:r w:rsidR="000D6A51">
        <w:t xml:space="preserve"> </w:t>
      </w:r>
      <w:r w:rsidR="00FE5CEE">
        <w:t xml:space="preserve">NZÚ – </w:t>
      </w:r>
      <w:r w:rsidR="00107329" w:rsidRPr="00565FBA">
        <w:rPr>
          <w:i/>
        </w:rPr>
        <w:t>Budovy veřejného sektoru</w:t>
      </w:r>
      <w:r w:rsidR="000D6A51">
        <w:t>)</w:t>
      </w:r>
      <w:r w:rsidR="005C2858" w:rsidRPr="00A0481D">
        <w:t>.</w:t>
      </w:r>
    </w:p>
    <w:p w14:paraId="796481FB" w14:textId="77777777" w:rsidR="00CF57E5" w:rsidRPr="00FC7CB7" w:rsidRDefault="00CF57E5" w:rsidP="00FC7CB7">
      <w:pPr>
        <w:spacing w:after="120" w:line="264" w:lineRule="auto"/>
      </w:pPr>
    </w:p>
    <w:p w14:paraId="1FDB6329" w14:textId="77777777" w:rsidR="000D6A51" w:rsidRPr="0036331E" w:rsidRDefault="0036331E" w:rsidP="007921B3">
      <w:pPr>
        <w:spacing w:before="120" w:after="120" w:line="264" w:lineRule="auto"/>
        <w:rPr>
          <w:i/>
        </w:rPr>
      </w:pPr>
      <w:r>
        <w:rPr>
          <w:i/>
        </w:rPr>
        <w:t>OPŽP</w:t>
      </w:r>
    </w:p>
    <w:p w14:paraId="3E77E1CE" w14:textId="77777777" w:rsidR="007921B3" w:rsidRDefault="007921B3" w:rsidP="000D6A51">
      <w:pPr>
        <w:spacing w:after="120"/>
      </w:pPr>
      <w:r w:rsidRPr="007921B3">
        <w:t>OPŽP se zaměřuje jen na intervence v oblasti veřejných budov, nemohou být podporována opatření realizovaná</w:t>
      </w:r>
      <w:r>
        <w:t xml:space="preserve"> v bytových a rodinných domech.</w:t>
      </w:r>
    </w:p>
    <w:p w14:paraId="181E615F" w14:textId="64140AB6" w:rsidR="007921B3" w:rsidRDefault="007921B3" w:rsidP="007921B3">
      <w:pPr>
        <w:spacing w:before="120" w:after="120"/>
      </w:pPr>
      <w:r w:rsidRPr="00921832">
        <w:rPr>
          <w:bCs/>
        </w:rPr>
        <w:t>PO 5</w:t>
      </w:r>
      <w:r>
        <w:rPr>
          <w:bCs/>
        </w:rPr>
        <w:t xml:space="preserve"> OPŽP</w:t>
      </w:r>
      <w:r w:rsidRPr="00921832">
        <w:rPr>
          <w:bCs/>
        </w:rPr>
        <w:t xml:space="preserve"> je financována z </w:t>
      </w:r>
      <w:r w:rsidRPr="00FC7CB7">
        <w:rPr>
          <w:bCs/>
          <w:i/>
        </w:rPr>
        <w:t>Fondu soudržnosti</w:t>
      </w:r>
      <w:r w:rsidRPr="00921832">
        <w:rPr>
          <w:bCs/>
        </w:rPr>
        <w:t xml:space="preserve"> a </w:t>
      </w:r>
      <w:r w:rsidRPr="00FC7CB7">
        <w:rPr>
          <w:bCs/>
          <w:i/>
        </w:rPr>
        <w:t>Evropského fondu pro regionální rozvoj</w:t>
      </w:r>
      <w:r w:rsidRPr="00921832">
        <w:rPr>
          <w:bCs/>
        </w:rPr>
        <w:t>.</w:t>
      </w:r>
      <w:r>
        <w:rPr>
          <w:bCs/>
        </w:rPr>
        <w:t xml:space="preserve"> </w:t>
      </w:r>
      <w:r>
        <w:t xml:space="preserve">Národní spolufinancování je stanoveno ve výši 15 %. </w:t>
      </w:r>
      <w:r w:rsidRPr="007921B3">
        <w:t>Na konci roku 2019 činila alokace pro PO</w:t>
      </w:r>
      <w:r w:rsidR="00E31ACC">
        <w:t> </w:t>
      </w:r>
      <w:r w:rsidRPr="007921B3">
        <w:t xml:space="preserve">5 jednu pětinu celkové alokace OPŽP, resp. </w:t>
      </w:r>
      <w:r w:rsidR="00AA5F2E">
        <w:t>0,5</w:t>
      </w:r>
      <w:r w:rsidR="006425CE">
        <w:t>5</w:t>
      </w:r>
      <w:r w:rsidR="00AA5F2E">
        <w:t xml:space="preserve"> m</w:t>
      </w:r>
      <w:r w:rsidRPr="007921B3">
        <w:t>l</w:t>
      </w:r>
      <w:r w:rsidR="00AA5F2E">
        <w:t>d</w:t>
      </w:r>
      <w:r w:rsidRPr="007921B3">
        <w:t xml:space="preserve">. </w:t>
      </w:r>
      <w:r w:rsidR="00E31ACC">
        <w:t>€</w:t>
      </w:r>
      <w:r w:rsidR="002708CC">
        <w:t>, tj. cca 14,84 mld. Kč</w:t>
      </w:r>
      <w:r w:rsidR="00610379">
        <w:t>.</w:t>
      </w:r>
    </w:p>
    <w:p w14:paraId="608A4291" w14:textId="0300913A" w:rsidR="001E17F3" w:rsidRPr="000311E1" w:rsidRDefault="001E17F3" w:rsidP="000D6A51">
      <w:pPr>
        <w:spacing w:after="120"/>
      </w:pPr>
      <w:r>
        <w:t>PO 5</w:t>
      </w:r>
      <w:r w:rsidR="00E31ACC">
        <w:t xml:space="preserve"> –</w:t>
      </w:r>
      <w:r>
        <w:t xml:space="preserve"> </w:t>
      </w:r>
      <w:r w:rsidRPr="000311E1">
        <w:rPr>
          <w:i/>
        </w:rPr>
        <w:t>Energetické úspory</w:t>
      </w:r>
      <w:r>
        <w:rPr>
          <w:i/>
        </w:rPr>
        <w:t xml:space="preserve"> </w:t>
      </w:r>
      <w:r>
        <w:t>se člení na tři specifické cíle</w:t>
      </w:r>
      <w:r w:rsidR="00E31ACC">
        <w:t>:</w:t>
      </w:r>
    </w:p>
    <w:p w14:paraId="33289256" w14:textId="47D0082E" w:rsidR="001E17F3" w:rsidRPr="007B1C0A" w:rsidRDefault="00C5215F" w:rsidP="001E17F3">
      <w:pPr>
        <w:pStyle w:val="Odstavecseseznamem"/>
        <w:numPr>
          <w:ilvl w:val="0"/>
          <w:numId w:val="37"/>
        </w:numPr>
        <w:spacing w:before="60"/>
        <w:ind w:left="284" w:hanging="284"/>
      </w:pPr>
      <w:r>
        <w:t>s</w:t>
      </w:r>
      <w:r w:rsidR="001E17F3">
        <w:t xml:space="preserve">nížit energetickou náročnost veřejných budov a zvýšit využití obnovitelných zdrojů energie </w:t>
      </w:r>
      <w:r w:rsidR="001E17F3" w:rsidRPr="007B1C0A">
        <w:t>(dále též „SC 5.1“);</w:t>
      </w:r>
    </w:p>
    <w:p w14:paraId="3682C908" w14:textId="12D6A9B4" w:rsidR="001E17F3" w:rsidRPr="007B1C0A" w:rsidRDefault="00C5215F" w:rsidP="001E17F3">
      <w:pPr>
        <w:pStyle w:val="Odstavecseseznamem"/>
        <w:numPr>
          <w:ilvl w:val="0"/>
          <w:numId w:val="37"/>
        </w:numPr>
        <w:spacing w:before="60"/>
        <w:ind w:left="284" w:hanging="284"/>
      </w:pPr>
      <w:r>
        <w:t>d</w:t>
      </w:r>
      <w:r w:rsidR="001E17F3" w:rsidRPr="007B1C0A">
        <w:t>osáhnout vysokého energetického standardu nových veřejných budov (dále též „SC 5.2“);</w:t>
      </w:r>
    </w:p>
    <w:p w14:paraId="5266FEF0" w14:textId="50391277" w:rsidR="001E17F3" w:rsidRDefault="00C5215F" w:rsidP="001E17F3">
      <w:pPr>
        <w:pStyle w:val="Odstavecseseznamem"/>
        <w:numPr>
          <w:ilvl w:val="0"/>
          <w:numId w:val="37"/>
        </w:numPr>
        <w:spacing w:before="60"/>
        <w:ind w:left="284" w:hanging="284"/>
      </w:pPr>
      <w:r>
        <w:lastRenderedPageBreak/>
        <w:t>s</w:t>
      </w:r>
      <w:r w:rsidR="001E17F3" w:rsidRPr="007B1C0A">
        <w:t>nížit energetickou náročnost a zvýšit využití obnovitelných zdrojů energie v budovách ústředních vládních institucí (dále také „SC 5.3“).</w:t>
      </w:r>
      <w:r w:rsidR="007921B3" w:rsidRPr="007B1C0A">
        <w:rPr>
          <w:rStyle w:val="Znakapoznpodarou"/>
        </w:rPr>
        <w:footnoteReference w:id="21"/>
      </w:r>
    </w:p>
    <w:p w14:paraId="544F1E85" w14:textId="77777777" w:rsidR="00E76684" w:rsidRDefault="00E76684">
      <w:pPr>
        <w:jc w:val="left"/>
      </w:pPr>
    </w:p>
    <w:p w14:paraId="7A52AC47" w14:textId="77777777" w:rsidR="0036331E" w:rsidRPr="0036331E" w:rsidRDefault="0036331E" w:rsidP="007921B3">
      <w:pPr>
        <w:pStyle w:val="Bezmezer"/>
        <w:numPr>
          <w:ilvl w:val="0"/>
          <w:numId w:val="0"/>
        </w:numPr>
        <w:spacing w:before="120" w:after="120" w:line="264" w:lineRule="auto"/>
        <w:jc w:val="both"/>
        <w:rPr>
          <w:i/>
          <w:color w:val="000000"/>
        </w:rPr>
      </w:pPr>
      <w:r w:rsidRPr="0036331E">
        <w:rPr>
          <w:i/>
          <w:color w:val="000000"/>
        </w:rPr>
        <w:t>NZÚ</w:t>
      </w:r>
    </w:p>
    <w:p w14:paraId="50A82970" w14:textId="77777777" w:rsidR="000D6A51" w:rsidRPr="000311E1" w:rsidRDefault="000D6A51" w:rsidP="000D6A51">
      <w:pPr>
        <w:pStyle w:val="Bezmezer"/>
        <w:numPr>
          <w:ilvl w:val="0"/>
          <w:numId w:val="0"/>
        </w:numPr>
        <w:spacing w:after="120"/>
        <w:jc w:val="both"/>
        <w:rPr>
          <w:rFonts w:cstheme="minorHAnsi"/>
        </w:rPr>
      </w:pPr>
      <w:r w:rsidRPr="00A93ECA">
        <w:rPr>
          <w:color w:val="000000"/>
        </w:rPr>
        <w:t>Program NZÚ je financován ze státního rozpočtu, nicméně zdrojem těchto prostředků j</w:t>
      </w:r>
      <w:r>
        <w:rPr>
          <w:color w:val="000000"/>
        </w:rPr>
        <w:t xml:space="preserve">e podíl </w:t>
      </w:r>
      <w:r w:rsidRPr="007B1C0A">
        <w:rPr>
          <w:color w:val="000000"/>
        </w:rPr>
        <w:t>z výnosů dražeb emisních povolenek EUA</w:t>
      </w:r>
      <w:r w:rsidRPr="007B1C0A">
        <w:rPr>
          <w:rStyle w:val="Znakapoznpodarou"/>
          <w:rFonts w:cstheme="minorHAnsi"/>
          <w:shd w:val="clear" w:color="auto" w:fill="FFFFFF"/>
        </w:rPr>
        <w:footnoteReference w:id="22"/>
      </w:r>
      <w:r w:rsidRPr="007B1C0A">
        <w:rPr>
          <w:color w:val="000000"/>
        </w:rPr>
        <w:t xml:space="preserve"> a EUAA</w:t>
      </w:r>
      <w:r w:rsidRPr="007B1C0A">
        <w:rPr>
          <w:rStyle w:val="Znakapoznpodarou"/>
          <w:color w:val="000000"/>
        </w:rPr>
        <w:footnoteReference w:id="23"/>
      </w:r>
      <w:r w:rsidRPr="007B1C0A">
        <w:rPr>
          <w:color w:val="000000"/>
        </w:rPr>
        <w:t xml:space="preserve"> </w:t>
      </w:r>
      <w:r w:rsidRPr="007B1C0A">
        <w:rPr>
          <w:rFonts w:cstheme="minorHAnsi"/>
        </w:rPr>
        <w:t>v rámci EU ETS</w:t>
      </w:r>
      <w:r w:rsidRPr="007B1C0A">
        <w:rPr>
          <w:rStyle w:val="Znakapoznpodarou"/>
          <w:rFonts w:cstheme="minorHAnsi"/>
        </w:rPr>
        <w:footnoteReference w:id="24"/>
      </w:r>
      <w:r w:rsidRPr="007B1C0A">
        <w:rPr>
          <w:rFonts w:cstheme="minorHAnsi"/>
        </w:rPr>
        <w:t xml:space="preserve"> v období 2013–2020</w:t>
      </w:r>
      <w:r>
        <w:rPr>
          <w:rFonts w:cstheme="minorHAnsi"/>
        </w:rPr>
        <w:t xml:space="preserve"> určený dle zákona č. 383/2012 Sb.</w:t>
      </w:r>
    </w:p>
    <w:p w14:paraId="5E4A7B16" w14:textId="3DB653A5" w:rsidR="000D6A51" w:rsidRDefault="000D6A51" w:rsidP="000D6A51">
      <w:pPr>
        <w:spacing w:after="120"/>
        <w:rPr>
          <w:highlight w:val="green"/>
        </w:rPr>
      </w:pPr>
      <w:r w:rsidRPr="00CE78F8">
        <w:rPr>
          <w:rFonts w:eastAsia="Calibri" w:cstheme="minorHAnsi"/>
        </w:rPr>
        <w:t>Hlavním cílem programu NZÚ</w:t>
      </w:r>
      <w:r>
        <w:rPr>
          <w:rStyle w:val="Znakapoznpodarou"/>
          <w:rFonts w:eastAsia="Calibri" w:cstheme="minorHAnsi"/>
        </w:rPr>
        <w:footnoteReference w:id="25"/>
      </w:r>
      <w:r>
        <w:rPr>
          <w:rFonts w:eastAsia="Calibri" w:cstheme="minorHAnsi"/>
        </w:rPr>
        <w:t xml:space="preserve"> </w:t>
      </w:r>
      <w:r w:rsidRPr="007A7C69">
        <w:rPr>
          <w:rFonts w:cstheme="minorHAnsi"/>
        </w:rPr>
        <w:t>schválen</w:t>
      </w:r>
      <w:r>
        <w:rPr>
          <w:rFonts w:cstheme="minorHAnsi"/>
        </w:rPr>
        <w:t>ého</w:t>
      </w:r>
      <w:r w:rsidRPr="0033264F">
        <w:rPr>
          <w:rFonts w:cstheme="minorHAnsi"/>
        </w:rPr>
        <w:t xml:space="preserve"> </w:t>
      </w:r>
      <w:r>
        <w:rPr>
          <w:rFonts w:cstheme="minorHAnsi"/>
        </w:rPr>
        <w:t xml:space="preserve">vládou ČR v roce 2013 </w:t>
      </w:r>
      <w:r w:rsidRPr="00CE78F8">
        <w:rPr>
          <w:rFonts w:eastAsia="Calibri" w:cstheme="minorHAnsi"/>
        </w:rPr>
        <w:t>je zvýšení energetické účinnosti budov (snížení energetické náročnosti včetně výměny nevyhovujících zdrojů na</w:t>
      </w:r>
      <w:r w:rsidR="009F3B35">
        <w:rPr>
          <w:rFonts w:eastAsia="Calibri" w:cstheme="minorHAnsi"/>
        </w:rPr>
        <w:t xml:space="preserve"> </w:t>
      </w:r>
      <w:r w:rsidRPr="00CE78F8">
        <w:rPr>
          <w:rFonts w:eastAsia="Calibri" w:cstheme="minorHAnsi"/>
        </w:rPr>
        <w:t>vytápění a podpory využíván</w:t>
      </w:r>
      <w:r>
        <w:rPr>
          <w:rFonts w:eastAsia="Calibri" w:cstheme="minorHAnsi"/>
        </w:rPr>
        <w:t>í obnovitelných zdrojů energie).</w:t>
      </w:r>
      <w:r>
        <w:rPr>
          <w:rStyle w:val="Znakapoznpodarou"/>
          <w:rFonts w:cstheme="minorHAnsi"/>
        </w:rPr>
        <w:footnoteReference w:id="26"/>
      </w:r>
      <w:r>
        <w:rPr>
          <w:rFonts w:eastAsia="Calibri" w:cstheme="minorHAnsi"/>
        </w:rPr>
        <w:t xml:space="preserve"> </w:t>
      </w:r>
      <w:r w:rsidRPr="00CE78F8">
        <w:rPr>
          <w:rFonts w:eastAsia="Calibri" w:cstheme="minorHAnsi"/>
        </w:rPr>
        <w:t xml:space="preserve">Program je koncipován jako jedno z hlavních alternativních politických opatření České republiky k naplňování cílů v oblasti úspor energie na straně konečné spotřeby dle EED. </w:t>
      </w:r>
      <w:r w:rsidRPr="000D6A51">
        <w:rPr>
          <w:rFonts w:eastAsia="Calibri" w:cstheme="minorHAnsi"/>
        </w:rPr>
        <w:t xml:space="preserve">Podprogram </w:t>
      </w:r>
      <w:r w:rsidR="00FE5CEE">
        <w:rPr>
          <w:rFonts w:eastAsia="Calibri" w:cstheme="minorHAnsi"/>
        </w:rPr>
        <w:t xml:space="preserve">NZÚ – </w:t>
      </w:r>
      <w:r w:rsidR="00107329" w:rsidRPr="00565FBA">
        <w:rPr>
          <w:rFonts w:eastAsia="Calibri" w:cstheme="minorHAnsi"/>
          <w:i/>
        </w:rPr>
        <w:t>Budovy veřejného sektoru</w:t>
      </w:r>
      <w:r w:rsidRPr="000D6A51">
        <w:rPr>
          <w:rFonts w:eastAsia="Calibri" w:cstheme="minorHAnsi"/>
        </w:rPr>
        <w:t xml:space="preserve"> b</w:t>
      </w:r>
      <w:r w:rsidRPr="000D6A51">
        <w:t xml:space="preserve">yl schválen vládou ČR v listopadu 2016 a </w:t>
      </w:r>
      <w:r w:rsidRPr="000D6A51">
        <w:rPr>
          <w:rFonts w:eastAsia="Calibri" w:cstheme="minorHAnsi"/>
        </w:rPr>
        <w:t>má mj. za cíl přispět ke splnění povinnosti dle čl. 5 EED</w:t>
      </w:r>
      <w:r w:rsidR="00153633">
        <w:t>.</w:t>
      </w:r>
    </w:p>
    <w:p w14:paraId="6A60ED2E" w14:textId="6C27C022" w:rsidR="000D6A51" w:rsidRDefault="000D6A51" w:rsidP="000D6A51">
      <w:pPr>
        <w:pStyle w:val="TextKP"/>
        <w:rPr>
          <w:color w:val="000000"/>
        </w:rPr>
      </w:pPr>
      <w:r>
        <w:rPr>
          <w:color w:val="000000"/>
        </w:rPr>
        <w:t>Původní alokace programu NZÚ činila 27</w:t>
      </w:r>
      <w:r w:rsidR="0023416D">
        <w:rPr>
          <w:color w:val="000000"/>
        </w:rPr>
        <w:t> </w:t>
      </w:r>
      <w:r>
        <w:rPr>
          <w:color w:val="000000"/>
        </w:rPr>
        <w:t>ml</w:t>
      </w:r>
      <w:r w:rsidR="006425CE">
        <w:rPr>
          <w:color w:val="000000"/>
        </w:rPr>
        <w:t>d</w:t>
      </w:r>
      <w:r>
        <w:rPr>
          <w:color w:val="000000"/>
        </w:rPr>
        <w:t xml:space="preserve">. </w:t>
      </w:r>
      <w:r w:rsidR="00F37DEE">
        <w:rPr>
          <w:color w:val="000000"/>
        </w:rPr>
        <w:t xml:space="preserve">Kč, </w:t>
      </w:r>
      <w:r>
        <w:rPr>
          <w:color w:val="000000"/>
        </w:rPr>
        <w:t xml:space="preserve">z toho podíl na podprogram </w:t>
      </w:r>
      <w:r w:rsidR="00FE5CEE">
        <w:rPr>
          <w:color w:val="000000"/>
        </w:rPr>
        <w:t xml:space="preserve">NZÚ – </w:t>
      </w:r>
      <w:r w:rsidR="00107329" w:rsidRPr="00565FBA">
        <w:rPr>
          <w:i/>
          <w:color w:val="000000"/>
        </w:rPr>
        <w:t>Budovy veřejného sektoru</w:t>
      </w:r>
      <w:r>
        <w:rPr>
          <w:color w:val="000000"/>
        </w:rPr>
        <w:t xml:space="preserve"> činil 30 %</w:t>
      </w:r>
      <w:r w:rsidR="006F66BF">
        <w:rPr>
          <w:color w:val="000000"/>
        </w:rPr>
        <w:t>, avšak dále byl snížen</w:t>
      </w:r>
      <w:r w:rsidR="0058425F" w:rsidRPr="008708C9">
        <w:rPr>
          <w:color w:val="000000"/>
        </w:rPr>
        <w:t xml:space="preserve"> o náklady státu na administraci</w:t>
      </w:r>
      <w:r w:rsidR="00FE5FBD" w:rsidRPr="008708C9">
        <w:rPr>
          <w:color w:val="000000"/>
        </w:rPr>
        <w:t>. Podíl</w:t>
      </w:r>
      <w:r w:rsidRPr="008708C9">
        <w:rPr>
          <w:color w:val="000000"/>
        </w:rPr>
        <w:t xml:space="preserve"> tedy</w:t>
      </w:r>
      <w:r w:rsidR="00FE5FBD" w:rsidRPr="008708C9">
        <w:rPr>
          <w:color w:val="000000"/>
        </w:rPr>
        <w:t xml:space="preserve"> činil</w:t>
      </w:r>
      <w:r>
        <w:rPr>
          <w:color w:val="000000"/>
        </w:rPr>
        <w:t xml:space="preserve"> 7</w:t>
      </w:r>
      <w:r w:rsidR="006425CE">
        <w:rPr>
          <w:color w:val="000000"/>
        </w:rPr>
        <w:t>,</w:t>
      </w:r>
      <w:r>
        <w:rPr>
          <w:color w:val="000000"/>
        </w:rPr>
        <w:t>75</w:t>
      </w:r>
      <w:r w:rsidR="006F66BF">
        <w:rPr>
          <w:color w:val="000000"/>
        </w:rPr>
        <w:t xml:space="preserve"> </w:t>
      </w:r>
      <w:r>
        <w:rPr>
          <w:color w:val="000000"/>
        </w:rPr>
        <w:t>ml</w:t>
      </w:r>
      <w:r w:rsidR="006425CE">
        <w:rPr>
          <w:color w:val="000000"/>
        </w:rPr>
        <w:t>d</w:t>
      </w:r>
      <w:r>
        <w:rPr>
          <w:color w:val="000000"/>
        </w:rPr>
        <w:t xml:space="preserve">. Kč. </w:t>
      </w:r>
      <w:r w:rsidRPr="0036331E">
        <w:rPr>
          <w:color w:val="000000"/>
        </w:rPr>
        <w:t>Od července 2019 činí</w:t>
      </w:r>
      <w:r>
        <w:rPr>
          <w:color w:val="000000"/>
        </w:rPr>
        <w:t xml:space="preserve"> alokace programu 23</w:t>
      </w:r>
      <w:r w:rsidR="006F66BF">
        <w:rPr>
          <w:color w:val="000000"/>
        </w:rPr>
        <w:t xml:space="preserve"> </w:t>
      </w:r>
      <w:r>
        <w:rPr>
          <w:color w:val="000000"/>
        </w:rPr>
        <w:t>m</w:t>
      </w:r>
      <w:r w:rsidR="0023416D">
        <w:rPr>
          <w:color w:val="000000"/>
        </w:rPr>
        <w:t>l</w:t>
      </w:r>
      <w:r w:rsidR="006425CE">
        <w:rPr>
          <w:color w:val="000000"/>
        </w:rPr>
        <w:t>d</w:t>
      </w:r>
      <w:r>
        <w:rPr>
          <w:color w:val="000000"/>
        </w:rPr>
        <w:t>. Kč, z toho podíl na</w:t>
      </w:r>
      <w:r w:rsidR="00985F9A">
        <w:rPr>
          <w:color w:val="000000"/>
        </w:rPr>
        <w:t> </w:t>
      </w:r>
      <w:r>
        <w:rPr>
          <w:color w:val="000000"/>
        </w:rPr>
        <w:t xml:space="preserve">podprogram </w:t>
      </w:r>
      <w:r w:rsidR="00FE5CEE">
        <w:rPr>
          <w:color w:val="000000"/>
        </w:rPr>
        <w:t xml:space="preserve">NZÚ – </w:t>
      </w:r>
      <w:r w:rsidR="00107329" w:rsidRPr="002477AE">
        <w:rPr>
          <w:i/>
          <w:color w:val="000000"/>
        </w:rPr>
        <w:t>Budovy veřejného sektoru</w:t>
      </w:r>
      <w:r w:rsidR="00107329">
        <w:rPr>
          <w:color w:val="000000"/>
        </w:rPr>
        <w:t xml:space="preserve"> </w:t>
      </w:r>
      <w:r>
        <w:rPr>
          <w:color w:val="000000"/>
        </w:rPr>
        <w:t>činí 24 %, tedy 5</w:t>
      </w:r>
      <w:r w:rsidR="006425CE">
        <w:rPr>
          <w:color w:val="000000"/>
        </w:rPr>
        <w:t>,</w:t>
      </w:r>
      <w:r>
        <w:rPr>
          <w:color w:val="000000"/>
        </w:rPr>
        <w:t>5</w:t>
      </w:r>
      <w:r w:rsidR="006425CE">
        <w:rPr>
          <w:color w:val="000000"/>
        </w:rPr>
        <w:t>1 m</w:t>
      </w:r>
      <w:r>
        <w:rPr>
          <w:color w:val="000000"/>
        </w:rPr>
        <w:t>l</w:t>
      </w:r>
      <w:r w:rsidR="006425CE">
        <w:rPr>
          <w:color w:val="000000"/>
        </w:rPr>
        <w:t>d</w:t>
      </w:r>
      <w:r>
        <w:rPr>
          <w:color w:val="000000"/>
        </w:rPr>
        <w:t>. Kč.</w:t>
      </w:r>
      <w:r>
        <w:rPr>
          <w:rStyle w:val="Znakapoznpodarou"/>
          <w:color w:val="000000"/>
        </w:rPr>
        <w:footnoteReference w:id="27"/>
      </w:r>
    </w:p>
    <w:p w14:paraId="2377F706" w14:textId="77777777" w:rsidR="0036331E" w:rsidRDefault="0036331E" w:rsidP="007921B3">
      <w:pPr>
        <w:spacing w:before="120" w:after="120" w:line="264" w:lineRule="auto"/>
        <w:rPr>
          <w:i/>
        </w:rPr>
      </w:pPr>
      <w:r w:rsidRPr="0036331E">
        <w:rPr>
          <w:i/>
        </w:rPr>
        <w:t xml:space="preserve">Vztah mezi PO 5 OPŽP a </w:t>
      </w:r>
      <w:r w:rsidR="00855259">
        <w:rPr>
          <w:i/>
        </w:rPr>
        <w:t xml:space="preserve">podprogramem </w:t>
      </w:r>
      <w:r w:rsidR="00FE5CEE">
        <w:rPr>
          <w:i/>
        </w:rPr>
        <w:t xml:space="preserve">NZÚ – </w:t>
      </w:r>
      <w:r w:rsidR="00107329">
        <w:rPr>
          <w:i/>
        </w:rPr>
        <w:t>Budovy veřejného sektoru</w:t>
      </w:r>
    </w:p>
    <w:p w14:paraId="4C4C5794" w14:textId="609F8E00" w:rsidR="0036331E" w:rsidRPr="00A0481D" w:rsidRDefault="0036331E" w:rsidP="00FC7CB7">
      <w:pPr>
        <w:spacing w:after="120" w:line="264" w:lineRule="auto"/>
      </w:pPr>
      <w:r>
        <w:t>O p</w:t>
      </w:r>
      <w:r w:rsidRPr="005F667F">
        <w:t xml:space="preserve">odporu z </w:t>
      </w:r>
      <w:r>
        <w:t>pod</w:t>
      </w:r>
      <w:r w:rsidRPr="005F667F">
        <w:t xml:space="preserve">programu </w:t>
      </w:r>
      <w:r w:rsidR="00FE5CEE">
        <w:t xml:space="preserve">NZÚ – </w:t>
      </w:r>
      <w:r w:rsidR="00107329" w:rsidRPr="00565FBA">
        <w:rPr>
          <w:i/>
        </w:rPr>
        <w:t>Budovy veřejného sektoru</w:t>
      </w:r>
      <w:r w:rsidR="00107329" w:rsidRPr="005F667F">
        <w:t xml:space="preserve"> </w:t>
      </w:r>
      <w:r>
        <w:t xml:space="preserve">může žádat jen užší okruh příjemců </w:t>
      </w:r>
      <w:r w:rsidRPr="005F667F">
        <w:t>formou</w:t>
      </w:r>
      <w:r>
        <w:t xml:space="preserve"> tzv.</w:t>
      </w:r>
      <w:r w:rsidRPr="005F667F">
        <w:t xml:space="preserve"> posílení vlastních zdrojů</w:t>
      </w:r>
      <w:r>
        <w:t xml:space="preserve"> za podmínky podání projektu v rámci SC 5.1 a</w:t>
      </w:r>
      <w:r w:rsidR="005A5424">
        <w:t> </w:t>
      </w:r>
      <w:r>
        <w:t>SC</w:t>
      </w:r>
      <w:r w:rsidR="00855259">
        <w:t> </w:t>
      </w:r>
      <w:r>
        <w:t xml:space="preserve">5.3 PO 5 OPŽP. Projekty schválené v rámci podprogramu </w:t>
      </w:r>
      <w:r w:rsidR="00FE5CEE">
        <w:t xml:space="preserve">NZÚ – </w:t>
      </w:r>
      <w:r w:rsidR="00107329" w:rsidRPr="00565FBA">
        <w:rPr>
          <w:i/>
        </w:rPr>
        <w:t>Budovy veřejného sektoru</w:t>
      </w:r>
      <w:r w:rsidR="00107329">
        <w:t xml:space="preserve"> </w:t>
      </w:r>
      <w:r>
        <w:t>jsou vždy realizovány dle pravidel OPŽP.</w:t>
      </w:r>
    </w:p>
    <w:p w14:paraId="27C89DA9" w14:textId="776C20F0" w:rsidR="000D6A51" w:rsidRDefault="00FF5179" w:rsidP="000D6A51">
      <w:r>
        <w:t>O p</w:t>
      </w:r>
      <w:r w:rsidR="000D6A51" w:rsidRPr="007921B3">
        <w:t xml:space="preserve">odporu z prostředků </w:t>
      </w:r>
      <w:r w:rsidR="0036331E" w:rsidRPr="007921B3">
        <w:t>pod</w:t>
      </w:r>
      <w:r w:rsidR="000D6A51" w:rsidRPr="007921B3">
        <w:t xml:space="preserve">programu </w:t>
      </w:r>
      <w:r w:rsidR="00FE5CEE">
        <w:t xml:space="preserve">NZÚ – </w:t>
      </w:r>
      <w:r w:rsidR="00107329" w:rsidRPr="00565FBA">
        <w:rPr>
          <w:i/>
        </w:rPr>
        <w:t>Budovy veřejného sektoru</w:t>
      </w:r>
      <w:r w:rsidR="00107329" w:rsidRPr="007921B3">
        <w:t xml:space="preserve"> </w:t>
      </w:r>
      <w:r w:rsidR="0036331E" w:rsidRPr="007921B3">
        <w:t>mohou žádat ústřední instituce</w:t>
      </w:r>
      <w:r w:rsidR="007921B3">
        <w:t xml:space="preserve"> na</w:t>
      </w:r>
      <w:r>
        <w:t xml:space="preserve"> </w:t>
      </w:r>
      <w:r w:rsidR="000D6A51" w:rsidRPr="007921B3">
        <w:t xml:space="preserve">energeticky úsporná opatření </w:t>
      </w:r>
      <w:r w:rsidR="0036331E" w:rsidRPr="007921B3">
        <w:t xml:space="preserve">ve veřejných budovách </w:t>
      </w:r>
      <w:r w:rsidR="000D6A51" w:rsidRPr="007921B3">
        <w:t>uveden</w:t>
      </w:r>
      <w:r w:rsidR="0036331E" w:rsidRPr="007921B3">
        <w:t>ých</w:t>
      </w:r>
      <w:r w:rsidR="000D6A51" w:rsidRPr="007921B3">
        <w:t xml:space="preserve"> v </w:t>
      </w:r>
      <w:r w:rsidR="000D6A51" w:rsidRPr="007921B3">
        <w:rPr>
          <w:i/>
        </w:rPr>
        <w:t>Plánu rekonstrukce objektů v působnosti čl. 5 EED</w:t>
      </w:r>
      <w:r w:rsidR="000D6A51" w:rsidRPr="007921B3">
        <w:t xml:space="preserve"> </w:t>
      </w:r>
      <w:r w:rsidR="0036331E" w:rsidRPr="007921B3">
        <w:t>a dále všechny ostatní o</w:t>
      </w:r>
      <w:r w:rsidR="000D6A51" w:rsidRPr="007921B3">
        <w:t>rganizační složk</w:t>
      </w:r>
      <w:r w:rsidR="0036331E" w:rsidRPr="007921B3">
        <w:t xml:space="preserve">y </w:t>
      </w:r>
      <w:r w:rsidR="000D6A51" w:rsidRPr="007921B3">
        <w:t>státu</w:t>
      </w:r>
      <w:r w:rsidR="0036331E" w:rsidRPr="007921B3">
        <w:t>, s</w:t>
      </w:r>
      <w:r w:rsidR="000D6A51" w:rsidRPr="007921B3">
        <w:t>tátní příspěvkov</w:t>
      </w:r>
      <w:r w:rsidR="0036331E" w:rsidRPr="007921B3">
        <w:t>é o</w:t>
      </w:r>
      <w:r w:rsidR="000D6A51" w:rsidRPr="007921B3">
        <w:t>rganizac</w:t>
      </w:r>
      <w:r w:rsidR="0036331E" w:rsidRPr="007921B3">
        <w:t xml:space="preserve">e </w:t>
      </w:r>
      <w:r w:rsidR="000D6A51" w:rsidRPr="007921B3">
        <w:t>a</w:t>
      </w:r>
      <w:r w:rsidR="001F24C3">
        <w:t xml:space="preserve"> </w:t>
      </w:r>
      <w:r w:rsidR="000D6A51" w:rsidRPr="007921B3">
        <w:t>veřejn</w:t>
      </w:r>
      <w:r w:rsidR="0036331E" w:rsidRPr="007921B3">
        <w:t xml:space="preserve">é </w:t>
      </w:r>
      <w:r w:rsidR="000D6A51" w:rsidRPr="007921B3">
        <w:t>výzkumn</w:t>
      </w:r>
      <w:r w:rsidR="0036331E" w:rsidRPr="007921B3">
        <w:t>é</w:t>
      </w:r>
      <w:r w:rsidR="000D6A51" w:rsidRPr="007921B3">
        <w:t xml:space="preserve"> instituc</w:t>
      </w:r>
      <w:r w:rsidR="0036331E" w:rsidRPr="007921B3">
        <w:t xml:space="preserve">e </w:t>
      </w:r>
      <w:r w:rsidR="000D6A51" w:rsidRPr="007921B3">
        <w:rPr>
          <w:i/>
        </w:rPr>
        <w:t>mimo působnost čl</w:t>
      </w:r>
      <w:r w:rsidR="002477AE">
        <w:rPr>
          <w:i/>
        </w:rPr>
        <w:t>.</w:t>
      </w:r>
      <w:r w:rsidR="000D6A51" w:rsidRPr="007921B3">
        <w:rPr>
          <w:i/>
        </w:rPr>
        <w:t xml:space="preserve"> 5 EED</w:t>
      </w:r>
      <w:r w:rsidR="000D6A51" w:rsidRPr="007921B3">
        <w:t>.</w:t>
      </w:r>
      <w:r w:rsidR="000D6A51" w:rsidRPr="007921B3">
        <w:rPr>
          <w:rStyle w:val="Znakapoznpodarou"/>
        </w:rPr>
        <w:footnoteReference w:id="28"/>
      </w:r>
    </w:p>
    <w:p w14:paraId="56552E84" w14:textId="77777777" w:rsidR="00E76684" w:rsidRDefault="00E76684">
      <w:pPr>
        <w:jc w:val="left"/>
      </w:pPr>
    </w:p>
    <w:p w14:paraId="1CE65ACB" w14:textId="77777777" w:rsidR="004F30C6" w:rsidRPr="008A1604" w:rsidRDefault="001D7420" w:rsidP="00757BF0">
      <w:pPr>
        <w:pStyle w:val="Nadpis1"/>
        <w:spacing w:after="120"/>
        <w:jc w:val="center"/>
        <w:rPr>
          <w:u w:val="none"/>
        </w:rPr>
      </w:pPr>
      <w:r>
        <w:rPr>
          <w:u w:val="none"/>
        </w:rPr>
        <w:lastRenderedPageBreak/>
        <w:t xml:space="preserve">III. </w:t>
      </w:r>
      <w:r w:rsidR="009221B7" w:rsidRPr="008A1604">
        <w:rPr>
          <w:u w:val="none"/>
        </w:rPr>
        <w:t>Rozsah kontroly</w:t>
      </w:r>
    </w:p>
    <w:p w14:paraId="4C35D33F" w14:textId="77777777" w:rsidR="00BF2373" w:rsidRDefault="00726E43" w:rsidP="00726E43">
      <w:pPr>
        <w:rPr>
          <w:rFonts w:eastAsia="Calibri"/>
        </w:rPr>
      </w:pPr>
      <w:r w:rsidRPr="00B16ECD">
        <w:t xml:space="preserve">Cílem kontrolní akce bylo </w:t>
      </w:r>
      <w:r w:rsidRPr="00B16ECD">
        <w:rPr>
          <w:rFonts w:eastAsia="Calibri"/>
        </w:rPr>
        <w:t>prověřit</w:t>
      </w:r>
      <w:r>
        <w:rPr>
          <w:rFonts w:eastAsia="Calibri"/>
        </w:rPr>
        <w:t>, zda peněžní prostředky určené na podporu energetických úspor u veřejných budov byly vynakládány v souladu s právními předpisy a zda přispěly k naplňování cílů stanovených evropskými a národními předpisy</w:t>
      </w:r>
      <w:r w:rsidRPr="00B16ECD">
        <w:rPr>
          <w:rFonts w:eastAsia="Calibri"/>
        </w:rPr>
        <w:t>.</w:t>
      </w:r>
      <w:r w:rsidR="003D528D">
        <w:rPr>
          <w:rFonts w:eastAsia="Calibri"/>
        </w:rPr>
        <w:t xml:space="preserve"> Kontrolovanými osobami byly Ministerstvo financí, Ministerstvo průmyslu a obchodu, Ministerstvo životního prostředí a Státní fond životního prostředí České republiky.</w:t>
      </w:r>
    </w:p>
    <w:p w14:paraId="47F5E5E3" w14:textId="3687FAEC" w:rsidR="00BF2373" w:rsidRDefault="00BF2373" w:rsidP="003D528D">
      <w:pPr>
        <w:spacing w:before="120" w:after="120"/>
        <w:rPr>
          <w:rFonts w:eastAsia="Calibri"/>
        </w:rPr>
      </w:pPr>
      <w:r>
        <w:rPr>
          <w:rFonts w:eastAsia="Calibri"/>
        </w:rPr>
        <w:t xml:space="preserve">Kontrolní akce se zaměřila </w:t>
      </w:r>
      <w:r w:rsidRPr="00DE7AE0">
        <w:rPr>
          <w:rFonts w:eastAsia="Calibri"/>
        </w:rPr>
        <w:t xml:space="preserve">na plnění úloh </w:t>
      </w:r>
      <w:r w:rsidR="003D528D">
        <w:rPr>
          <w:rFonts w:eastAsia="Calibri"/>
        </w:rPr>
        <w:t>ř</w:t>
      </w:r>
      <w:r w:rsidRPr="00DE7AE0">
        <w:rPr>
          <w:rFonts w:eastAsia="Calibri"/>
        </w:rPr>
        <w:t>íd</w:t>
      </w:r>
      <w:r w:rsidR="006319E7">
        <w:rPr>
          <w:rFonts w:eastAsia="Calibri"/>
        </w:rPr>
        <w:t>i</w:t>
      </w:r>
      <w:r w:rsidRPr="00DE7AE0">
        <w:rPr>
          <w:rFonts w:eastAsia="Calibri"/>
        </w:rPr>
        <w:t xml:space="preserve">cího orgánu (MŽP) a zprostředkujícího subjektu (SFŽP) při administraci, realizaci a vyhodnocování projektů OPŽP a NZÚ, naplňování závazků ČR vyplývajících ze </w:t>
      </w:r>
      <w:r w:rsidR="006319E7">
        <w:rPr>
          <w:rFonts w:eastAsia="Calibri"/>
        </w:rPr>
        <w:t>s</w:t>
      </w:r>
      <w:r w:rsidRPr="00DE7AE0">
        <w:rPr>
          <w:rFonts w:eastAsia="Calibri"/>
        </w:rPr>
        <w:t>měrnice 2012/27/EU se zaměřením na oblast zvyšování energe</w:t>
      </w:r>
      <w:r>
        <w:rPr>
          <w:rFonts w:eastAsia="Calibri"/>
        </w:rPr>
        <w:t>tických úspor u veřejných budov</w:t>
      </w:r>
      <w:r w:rsidRPr="00DE7AE0">
        <w:rPr>
          <w:rFonts w:eastAsia="Calibri"/>
        </w:rPr>
        <w:t xml:space="preserve">. </w:t>
      </w:r>
      <w:r w:rsidRPr="008B0653">
        <w:rPr>
          <w:rFonts w:cstheme="minorHAnsi"/>
        </w:rPr>
        <w:t xml:space="preserve">Bylo </w:t>
      </w:r>
      <w:r>
        <w:rPr>
          <w:rFonts w:cstheme="minorHAnsi"/>
        </w:rPr>
        <w:t>pr</w:t>
      </w:r>
      <w:r w:rsidRPr="008B0653">
        <w:rPr>
          <w:rFonts w:cstheme="minorHAnsi"/>
        </w:rPr>
        <w:t xml:space="preserve">ověřeno, zda </w:t>
      </w:r>
      <w:r w:rsidR="0040559D">
        <w:rPr>
          <w:rFonts w:cstheme="minorHAnsi"/>
        </w:rPr>
        <w:t>peněžní prostředky poskytované z OPŽP a NZÚ na podporu energetických úspor ve veřejných budovách byly vynakládány</w:t>
      </w:r>
      <w:r w:rsidRPr="008B0653">
        <w:rPr>
          <w:rFonts w:cstheme="minorHAnsi"/>
        </w:rPr>
        <w:t xml:space="preserve"> účel</w:t>
      </w:r>
      <w:r w:rsidR="0040559D">
        <w:rPr>
          <w:rFonts w:cstheme="minorHAnsi"/>
        </w:rPr>
        <w:t>ně, hospodárně a v souladu s právními předpisy</w:t>
      </w:r>
      <w:r>
        <w:rPr>
          <w:rFonts w:cstheme="minorHAnsi"/>
        </w:rPr>
        <w:t>.</w:t>
      </w:r>
    </w:p>
    <w:p w14:paraId="3F8112AD" w14:textId="73CD1478" w:rsidR="00835C96" w:rsidRDefault="003D528D" w:rsidP="00835C96">
      <w:pPr>
        <w:spacing w:after="120"/>
        <w:rPr>
          <w:rFonts w:cs="Arial"/>
          <w:color w:val="000000" w:themeColor="text1"/>
          <w:szCs w:val="24"/>
        </w:rPr>
      </w:pPr>
      <w:r>
        <w:t>Na systémové úrovni kontrola prověř</w:t>
      </w:r>
      <w:r w:rsidR="003918C0">
        <w:t>ila</w:t>
      </w:r>
      <w:r>
        <w:t xml:space="preserve"> </w:t>
      </w:r>
      <w:r w:rsidR="003918C0">
        <w:t xml:space="preserve">mj. </w:t>
      </w:r>
      <w:r>
        <w:t xml:space="preserve">poskytování peněžních prostředků na konkrétní projekty z úrovně poskytovatelů podpory. Ke kontrole bylo vybráno </w:t>
      </w:r>
      <w:r w:rsidRPr="0040559D">
        <w:t>14</w:t>
      </w:r>
      <w:r w:rsidRPr="00D92559">
        <w:t xml:space="preserve"> projektů</w:t>
      </w:r>
      <w:r w:rsidR="0072561F">
        <w:t xml:space="preserve">, které </w:t>
      </w:r>
      <w:r w:rsidR="003918C0">
        <w:rPr>
          <w:rFonts w:cs="Arial"/>
          <w:color w:val="000000" w:themeColor="text1"/>
          <w:szCs w:val="24"/>
        </w:rPr>
        <w:t xml:space="preserve">byly </w:t>
      </w:r>
      <w:r w:rsidR="003918C0" w:rsidRPr="003E7F8E">
        <w:t>zaměřen</w:t>
      </w:r>
      <w:r w:rsidR="003918C0">
        <w:t>y</w:t>
      </w:r>
      <w:r w:rsidR="003918C0" w:rsidRPr="003E7F8E">
        <w:t xml:space="preserve"> na </w:t>
      </w:r>
      <w:r w:rsidR="003918C0">
        <w:t xml:space="preserve">snížení konečné spotřeby energie ve veřejných budovách a </w:t>
      </w:r>
      <w:r w:rsidR="0072561F">
        <w:t>byly</w:t>
      </w:r>
      <w:r w:rsidRPr="00D92559">
        <w:t xml:space="preserve"> financov</w:t>
      </w:r>
      <w:r w:rsidR="0072561F">
        <w:t>ány</w:t>
      </w:r>
      <w:r w:rsidRPr="00D92559">
        <w:t xml:space="preserve"> </w:t>
      </w:r>
      <w:r w:rsidR="00300145">
        <w:br/>
      </w:r>
      <w:r w:rsidR="0072561F">
        <w:t>ze</w:t>
      </w:r>
      <w:r w:rsidR="00300145">
        <w:t xml:space="preserve"> </w:t>
      </w:r>
      <w:r w:rsidR="0072561F">
        <w:t xml:space="preserve">specifického cíle 5.1 prioritní osy 5 </w:t>
      </w:r>
      <w:r w:rsidR="003918C0">
        <w:t>OPŽP</w:t>
      </w:r>
      <w:r w:rsidRPr="00D92559">
        <w:t xml:space="preserve">, z toho </w:t>
      </w:r>
      <w:r>
        <w:t>jeden</w:t>
      </w:r>
      <w:r w:rsidRPr="00D92559">
        <w:t xml:space="preserve"> projekt</w:t>
      </w:r>
      <w:r>
        <w:t xml:space="preserve"> byl spolufinancován z podprogramu NZÚ – </w:t>
      </w:r>
      <w:r w:rsidRPr="00385377">
        <w:rPr>
          <w:i/>
        </w:rPr>
        <w:t>Budovy veřejného sektoru</w:t>
      </w:r>
      <w:r w:rsidR="00835C96">
        <w:rPr>
          <w:rFonts w:cs="Arial"/>
          <w:color w:val="000000" w:themeColor="text1"/>
          <w:szCs w:val="24"/>
        </w:rPr>
        <w:t>.</w:t>
      </w:r>
    </w:p>
    <w:p w14:paraId="55B64F30" w14:textId="549213B9" w:rsidR="003D528D" w:rsidRPr="00DE7AE0" w:rsidRDefault="003D528D" w:rsidP="003D528D">
      <w:pPr>
        <w:rPr>
          <w:rFonts w:cstheme="minorHAnsi"/>
        </w:rPr>
      </w:pPr>
      <w:r w:rsidRPr="00385377">
        <w:t>Kontrolovaný objem peněžních prostředků kontrolního vzorku činil 63,7 mil. Kč (z toho 61,1</w:t>
      </w:r>
      <w:r>
        <w:t> </w:t>
      </w:r>
      <w:r w:rsidRPr="00385377">
        <w:t xml:space="preserve">mil. Kč </w:t>
      </w:r>
      <w:r w:rsidR="00525ABC">
        <w:t xml:space="preserve">bylo vynaloženo </w:t>
      </w:r>
      <w:r w:rsidRPr="00385377">
        <w:t>z prostředků EU a 2,</w:t>
      </w:r>
      <w:r>
        <w:t>6 mil. Kč ze státního rozpočtu). K</w:t>
      </w:r>
      <w:r w:rsidRPr="00E53D61">
        <w:rPr>
          <w:rFonts w:cstheme="minorHAnsi"/>
        </w:rPr>
        <w:t>ontrol</w:t>
      </w:r>
      <w:r>
        <w:rPr>
          <w:rFonts w:cstheme="minorHAnsi"/>
        </w:rPr>
        <w:t>a se</w:t>
      </w:r>
      <w:r w:rsidR="008745BB">
        <w:rPr>
          <w:rFonts w:cstheme="minorHAnsi"/>
        </w:rPr>
        <w:t xml:space="preserve"> </w:t>
      </w:r>
      <w:r>
        <w:rPr>
          <w:rFonts w:cstheme="minorHAnsi"/>
        </w:rPr>
        <w:t>dále zaměřila na</w:t>
      </w:r>
      <w:r w:rsidR="003066A0">
        <w:rPr>
          <w:rFonts w:cstheme="minorHAnsi"/>
        </w:rPr>
        <w:t xml:space="preserve"> </w:t>
      </w:r>
      <w:r w:rsidRPr="009E10FD">
        <w:rPr>
          <w:rFonts w:cstheme="minorHAnsi"/>
        </w:rPr>
        <w:t>zajišťování zdrojů financování opatření k naplňování povinností dle čl. 5</w:t>
      </w:r>
      <w:r w:rsidR="00835C96">
        <w:rPr>
          <w:rFonts w:cstheme="minorHAnsi"/>
        </w:rPr>
        <w:t xml:space="preserve"> EED</w:t>
      </w:r>
      <w:r>
        <w:rPr>
          <w:rFonts w:cstheme="minorHAnsi"/>
        </w:rPr>
        <w:t xml:space="preserve">, na </w:t>
      </w:r>
      <w:r w:rsidRPr="00385377">
        <w:rPr>
          <w:rFonts w:cstheme="minorHAnsi"/>
          <w:bCs/>
          <w:spacing w:val="-4"/>
        </w:rPr>
        <w:t>plnění povinností dle zákona č. 218/2000 Sb.</w:t>
      </w:r>
      <w:r w:rsidR="00C26BBC">
        <w:rPr>
          <w:rStyle w:val="Znakapoznpodarou"/>
          <w:rFonts w:cstheme="minorHAnsi"/>
          <w:bCs/>
          <w:spacing w:val="-4"/>
        </w:rPr>
        <w:footnoteReference w:id="29"/>
      </w:r>
      <w:r w:rsidR="00531C69">
        <w:rPr>
          <w:rFonts w:cstheme="minorHAnsi"/>
          <w:bCs/>
          <w:spacing w:val="-4"/>
        </w:rPr>
        <w:t>,</w:t>
      </w:r>
      <w:r>
        <w:rPr>
          <w:rFonts w:cstheme="minorHAnsi"/>
          <w:bCs/>
          <w:spacing w:val="-4"/>
        </w:rPr>
        <w:t xml:space="preserve"> na </w:t>
      </w:r>
      <w:r w:rsidRPr="009E10FD">
        <w:rPr>
          <w:rFonts w:cstheme="minorHAnsi"/>
        </w:rPr>
        <w:t xml:space="preserve">plnění povinností MPO plynoucích </w:t>
      </w:r>
      <w:r w:rsidR="00300145">
        <w:rPr>
          <w:rFonts w:cstheme="minorHAnsi"/>
        </w:rPr>
        <w:br/>
      </w:r>
      <w:r w:rsidRPr="009E10FD">
        <w:rPr>
          <w:rFonts w:cstheme="minorHAnsi"/>
        </w:rPr>
        <w:t>ze</w:t>
      </w:r>
      <w:r w:rsidR="00300145">
        <w:rPr>
          <w:rFonts w:cstheme="minorHAnsi"/>
        </w:rPr>
        <w:t xml:space="preserve"> </w:t>
      </w:r>
      <w:r w:rsidRPr="009E10FD">
        <w:rPr>
          <w:rFonts w:cstheme="minorHAnsi"/>
        </w:rPr>
        <w:t>zákona č.</w:t>
      </w:r>
      <w:r w:rsidR="00835C96">
        <w:t> </w:t>
      </w:r>
      <w:r w:rsidRPr="009E10FD">
        <w:rPr>
          <w:rFonts w:cstheme="minorHAnsi"/>
        </w:rPr>
        <w:t>406/2000 Sb.</w:t>
      </w:r>
      <w:r>
        <w:rPr>
          <w:rFonts w:cstheme="minorHAnsi"/>
        </w:rPr>
        <w:t xml:space="preserve"> </w:t>
      </w:r>
      <w:r w:rsidR="00531C69">
        <w:rPr>
          <w:rFonts w:cstheme="minorHAnsi"/>
        </w:rPr>
        <w:t>(</w:t>
      </w:r>
      <w:r>
        <w:rPr>
          <w:rFonts w:cstheme="minorHAnsi"/>
        </w:rPr>
        <w:t>mj. přípravu a</w:t>
      </w:r>
      <w:r w:rsidR="00531C69">
        <w:rPr>
          <w:rFonts w:cstheme="minorHAnsi"/>
        </w:rPr>
        <w:t xml:space="preserve"> </w:t>
      </w:r>
      <w:r w:rsidR="002B4712">
        <w:rPr>
          <w:rFonts w:cstheme="minorHAnsi"/>
        </w:rPr>
        <w:t>tvorbu</w:t>
      </w:r>
      <w:r w:rsidRPr="009E10FD">
        <w:rPr>
          <w:rFonts w:cstheme="minorHAnsi"/>
        </w:rPr>
        <w:t xml:space="preserve"> plánů rekonstrukce objektů</w:t>
      </w:r>
      <w:r w:rsidR="00531C69">
        <w:rPr>
          <w:rFonts w:cstheme="minorHAnsi"/>
        </w:rPr>
        <w:t>)</w:t>
      </w:r>
      <w:r>
        <w:rPr>
          <w:rFonts w:cstheme="minorHAnsi"/>
        </w:rPr>
        <w:t xml:space="preserve">, na </w:t>
      </w:r>
      <w:r w:rsidR="00E57DC3">
        <w:rPr>
          <w:rFonts w:cstheme="minorHAnsi"/>
        </w:rPr>
        <w:t>projekt</w:t>
      </w:r>
      <w:r>
        <w:rPr>
          <w:rFonts w:cstheme="minorHAnsi"/>
        </w:rPr>
        <w:t xml:space="preserve"> MPO na snížení energetické náročnosti administrativních budov</w:t>
      </w:r>
      <w:r w:rsidR="00531C69">
        <w:rPr>
          <w:rFonts w:cstheme="minorHAnsi"/>
        </w:rPr>
        <w:t xml:space="preserve"> MPO</w:t>
      </w:r>
      <w:r>
        <w:rPr>
          <w:rFonts w:cstheme="minorHAnsi"/>
        </w:rPr>
        <w:t xml:space="preserve"> (kontrolovaný objem peněžních prostředků ze</w:t>
      </w:r>
      <w:r w:rsidR="001F24C3">
        <w:rPr>
          <w:rFonts w:cstheme="minorHAnsi"/>
        </w:rPr>
        <w:t xml:space="preserve"> </w:t>
      </w:r>
      <w:r>
        <w:rPr>
          <w:rFonts w:cstheme="minorHAnsi"/>
        </w:rPr>
        <w:t>státního rozpočtu ve</w:t>
      </w:r>
      <w:r w:rsidR="001F24C3">
        <w:rPr>
          <w:rFonts w:cstheme="minorHAnsi"/>
        </w:rPr>
        <w:t xml:space="preserve"> </w:t>
      </w:r>
      <w:r>
        <w:rPr>
          <w:rFonts w:cstheme="minorHAnsi"/>
        </w:rPr>
        <w:t>výši 2,3 mil. Kč) a</w:t>
      </w:r>
      <w:r w:rsidR="003066A0">
        <w:rPr>
          <w:rFonts w:cstheme="minorHAnsi"/>
        </w:rPr>
        <w:t xml:space="preserve"> </w:t>
      </w:r>
      <w:r>
        <w:rPr>
          <w:rFonts w:cstheme="minorHAnsi"/>
        </w:rPr>
        <w:t>na</w:t>
      </w:r>
      <w:r w:rsidR="001F24C3">
        <w:rPr>
          <w:rFonts w:cstheme="minorHAnsi"/>
        </w:rPr>
        <w:t xml:space="preserve"> </w:t>
      </w:r>
      <w:r>
        <w:rPr>
          <w:rFonts w:cstheme="minorHAnsi"/>
          <w:bCs/>
          <w:spacing w:val="-4"/>
        </w:rPr>
        <w:t xml:space="preserve">prověření systému </w:t>
      </w:r>
      <w:r w:rsidRPr="00F83EDF">
        <w:rPr>
          <w:rFonts w:cstheme="minorHAnsi"/>
          <w:bCs/>
          <w:spacing w:val="-4"/>
        </w:rPr>
        <w:t>financování programu NZÚ</w:t>
      </w:r>
      <w:r>
        <w:rPr>
          <w:rFonts w:cstheme="minorHAnsi"/>
          <w:bCs/>
          <w:spacing w:val="-4"/>
        </w:rPr>
        <w:t>.</w:t>
      </w:r>
    </w:p>
    <w:p w14:paraId="4E08C432" w14:textId="77777777" w:rsidR="003D528D" w:rsidRDefault="006F705E" w:rsidP="007D4472">
      <w:pPr>
        <w:spacing w:before="120"/>
        <w:rPr>
          <w:rFonts w:cstheme="minorHAnsi"/>
          <w:bCs/>
          <w:spacing w:val="-4"/>
        </w:rPr>
      </w:pPr>
      <w:r w:rsidRPr="002C38A0">
        <w:rPr>
          <w:rFonts w:cstheme="minorHAnsi"/>
          <w:bCs/>
          <w:spacing w:val="-4"/>
        </w:rPr>
        <w:t>Kontrolovaným obdobím byly roky 201</w:t>
      </w:r>
      <w:r>
        <w:rPr>
          <w:rFonts w:cstheme="minorHAnsi"/>
          <w:bCs/>
          <w:spacing w:val="-4"/>
        </w:rPr>
        <w:t>7 až 2019</w:t>
      </w:r>
      <w:r w:rsidRPr="002C38A0">
        <w:rPr>
          <w:rFonts w:cstheme="minorHAnsi"/>
          <w:bCs/>
          <w:spacing w:val="-4"/>
        </w:rPr>
        <w:t>.</w:t>
      </w:r>
    </w:p>
    <w:p w14:paraId="415B9140" w14:textId="77777777" w:rsidR="007D4472" w:rsidRDefault="001D7420" w:rsidP="007D4472">
      <w:pPr>
        <w:spacing w:before="120"/>
        <w:rPr>
          <w:rFonts w:cstheme="minorHAnsi"/>
          <w:bCs/>
          <w:spacing w:val="-4"/>
        </w:rPr>
      </w:pPr>
      <w:r w:rsidRPr="00B458A1">
        <w:rPr>
          <w:rFonts w:cstheme="minorHAnsi"/>
          <w:bCs/>
          <w:spacing w:val="-4"/>
        </w:rPr>
        <w:t>Právní předpisy jsou v tomto kontrolním závěru aplikovány ve znění účinném pro kontrolované období.</w:t>
      </w:r>
    </w:p>
    <w:p w14:paraId="70E00AFB" w14:textId="77777777" w:rsidR="0044441C" w:rsidRPr="0044441C" w:rsidRDefault="001D7420" w:rsidP="0044441C">
      <w:pPr>
        <w:pStyle w:val="Nadpis1"/>
        <w:spacing w:before="240" w:after="240"/>
        <w:jc w:val="center"/>
        <w:rPr>
          <w:u w:val="none"/>
        </w:rPr>
      </w:pPr>
      <w:r>
        <w:rPr>
          <w:u w:val="none"/>
        </w:rPr>
        <w:t xml:space="preserve">IV. </w:t>
      </w:r>
      <w:r w:rsidR="009221B7" w:rsidRPr="008A1604">
        <w:rPr>
          <w:u w:val="none"/>
        </w:rPr>
        <w:t>Podrobné skutečnosti zjištěné kontrolou</w:t>
      </w:r>
    </w:p>
    <w:p w14:paraId="5E122B01" w14:textId="524A922A" w:rsidR="00EC7BBE" w:rsidRPr="00EC7BBE" w:rsidRDefault="00EC7BBE" w:rsidP="00E34290">
      <w:pPr>
        <w:pStyle w:val="Odstavecseseznamem"/>
        <w:numPr>
          <w:ilvl w:val="0"/>
          <w:numId w:val="10"/>
        </w:numPr>
        <w:ind w:left="284" w:hanging="284"/>
        <w:outlineLvl w:val="1"/>
        <w:rPr>
          <w:rFonts w:cstheme="minorHAnsi"/>
          <w:b/>
        </w:rPr>
      </w:pPr>
      <w:r w:rsidRPr="00EC7BBE">
        <w:rPr>
          <w:rFonts w:cstheme="minorHAnsi"/>
          <w:b/>
        </w:rPr>
        <w:t xml:space="preserve">Peněžní prostředky vynakládané z OPŽP a </w:t>
      </w:r>
      <w:r w:rsidR="00E57DC3">
        <w:rPr>
          <w:rFonts w:cstheme="minorHAnsi"/>
          <w:b/>
        </w:rPr>
        <w:t xml:space="preserve">z programu </w:t>
      </w:r>
      <w:r w:rsidRPr="00EC7BBE">
        <w:rPr>
          <w:rFonts w:cstheme="minorHAnsi"/>
          <w:b/>
        </w:rPr>
        <w:t>NZÚ na snížení konečné spotřeby energií ve</w:t>
      </w:r>
      <w:r w:rsidR="00E57DC3">
        <w:rPr>
          <w:rFonts w:cstheme="minorHAnsi"/>
          <w:b/>
        </w:rPr>
        <w:t xml:space="preserve"> </w:t>
      </w:r>
      <w:r w:rsidRPr="00EC7BBE">
        <w:rPr>
          <w:rFonts w:cstheme="minorHAnsi"/>
          <w:b/>
        </w:rPr>
        <w:t>veřejných budovách přispěly k naplňování cílů stanovených do</w:t>
      </w:r>
      <w:r w:rsidR="00E57DC3">
        <w:rPr>
          <w:rFonts w:cstheme="minorHAnsi"/>
          <w:b/>
        </w:rPr>
        <w:t xml:space="preserve"> </w:t>
      </w:r>
      <w:r w:rsidRPr="00EC7BBE">
        <w:rPr>
          <w:rFonts w:cstheme="minorHAnsi"/>
          <w:b/>
        </w:rPr>
        <w:t>roku 2020 evropskými a národními předpisy v malém rozsahu</w:t>
      </w:r>
    </w:p>
    <w:p w14:paraId="3A03C637" w14:textId="642902C1" w:rsidR="002477AE" w:rsidRDefault="00AF1961" w:rsidP="00D3489F">
      <w:pPr>
        <w:autoSpaceDE w:val="0"/>
        <w:autoSpaceDN w:val="0"/>
        <w:adjustRightInd w:val="0"/>
        <w:spacing w:before="120"/>
      </w:pPr>
      <w:r>
        <w:t xml:space="preserve">Podpora v oblasti </w:t>
      </w:r>
      <w:r w:rsidR="003B1AF9">
        <w:t xml:space="preserve">zvyšování </w:t>
      </w:r>
      <w:r>
        <w:t xml:space="preserve">energetických úspor u veřejných budov je poskytována </w:t>
      </w:r>
      <w:r w:rsidR="003B1AF9">
        <w:t xml:space="preserve">z OPŽP </w:t>
      </w:r>
      <w:r>
        <w:t>v</w:t>
      </w:r>
      <w:r w:rsidR="003B1AF9">
        <w:t> </w:t>
      </w:r>
      <w:r>
        <w:t xml:space="preserve">rámci </w:t>
      </w:r>
      <w:r w:rsidR="00E57DC3">
        <w:t>p</w:t>
      </w:r>
      <w:r w:rsidRPr="00270B16">
        <w:t xml:space="preserve">rioritní osy 5 </w:t>
      </w:r>
      <w:r w:rsidR="003B1AF9">
        <w:t xml:space="preserve">– </w:t>
      </w:r>
      <w:r w:rsidRPr="00AF1961">
        <w:rPr>
          <w:i/>
        </w:rPr>
        <w:t xml:space="preserve">Energetické úspory </w:t>
      </w:r>
      <w:r>
        <w:t xml:space="preserve">a </w:t>
      </w:r>
      <w:r w:rsidR="003B1AF9">
        <w:t xml:space="preserve">z </w:t>
      </w:r>
      <w:r w:rsidRPr="00AF1961">
        <w:rPr>
          <w:szCs w:val="24"/>
        </w:rPr>
        <w:t xml:space="preserve">programu </w:t>
      </w:r>
      <w:r w:rsidRPr="00FC7CB7">
        <w:rPr>
          <w:i/>
          <w:szCs w:val="24"/>
        </w:rPr>
        <w:t>Nová zelená úsporám</w:t>
      </w:r>
      <w:r w:rsidRPr="00AF1961">
        <w:rPr>
          <w:szCs w:val="24"/>
        </w:rPr>
        <w:t xml:space="preserve">, resp. </w:t>
      </w:r>
      <w:r w:rsidR="003B1AF9">
        <w:rPr>
          <w:szCs w:val="24"/>
        </w:rPr>
        <w:t xml:space="preserve">jeho </w:t>
      </w:r>
      <w:r w:rsidRPr="00AF1961">
        <w:rPr>
          <w:szCs w:val="24"/>
        </w:rPr>
        <w:t xml:space="preserve">podprogramu </w:t>
      </w:r>
      <w:r w:rsidRPr="00AF1961">
        <w:rPr>
          <w:i/>
          <w:szCs w:val="24"/>
        </w:rPr>
        <w:t>Budovy veřejného sektoru</w:t>
      </w:r>
      <w:r>
        <w:t>.</w:t>
      </w:r>
      <w:r w:rsidR="00C149CB">
        <w:t xml:space="preserve"> </w:t>
      </w:r>
      <w:r w:rsidR="007155C0">
        <w:t xml:space="preserve">Peněžní prostředky </w:t>
      </w:r>
      <w:r w:rsidR="00D52B5F">
        <w:t xml:space="preserve">vynaložené z těchto programů </w:t>
      </w:r>
      <w:r w:rsidR="00D52B5F" w:rsidRPr="007E588A">
        <w:t>v období od 1.</w:t>
      </w:r>
      <w:r w:rsidR="003B1AF9">
        <w:t> </w:t>
      </w:r>
      <w:r w:rsidR="00D52B5F" w:rsidRPr="007E588A">
        <w:t>1. 2016 do 30. 6. 2020 j</w:t>
      </w:r>
      <w:r w:rsidR="00F37DEE" w:rsidRPr="007E588A">
        <w:t>sou</w:t>
      </w:r>
      <w:r w:rsidR="00D52B5F" w:rsidRPr="007E588A">
        <w:t xml:space="preserve"> uveden</w:t>
      </w:r>
      <w:r w:rsidR="00F37DEE" w:rsidRPr="007E588A">
        <w:t>y</w:t>
      </w:r>
      <w:r w:rsidR="00D52B5F" w:rsidRPr="007E588A">
        <w:t xml:space="preserve"> v následující tabulce č. 1.</w:t>
      </w:r>
    </w:p>
    <w:p w14:paraId="145BA1BF" w14:textId="11D52549" w:rsidR="005E1606" w:rsidRDefault="005E1606">
      <w:pPr>
        <w:jc w:val="left"/>
      </w:pPr>
      <w:r>
        <w:br w:type="page"/>
      </w:r>
    </w:p>
    <w:p w14:paraId="3DD8036C" w14:textId="77777777" w:rsidR="00C149CB" w:rsidRDefault="00C149CB" w:rsidP="00C44B50">
      <w:pPr>
        <w:pStyle w:val="Nzevtabulky"/>
        <w:tabs>
          <w:tab w:val="right" w:pos="9070"/>
        </w:tabs>
        <w:ind w:hanging="1135"/>
      </w:pPr>
      <w:r w:rsidRPr="00376B9A">
        <w:lastRenderedPageBreak/>
        <w:t xml:space="preserve">Peněžní prostředky vynaložené na energetické úspory veřejných budov </w:t>
      </w:r>
      <w:r w:rsidR="00C44B50">
        <w:tab/>
      </w:r>
      <w:r>
        <w:t>(v Kč)</w:t>
      </w:r>
    </w:p>
    <w:tbl>
      <w:tblPr>
        <w:tblW w:w="5000" w:type="pct"/>
        <w:tblCellMar>
          <w:left w:w="70" w:type="dxa"/>
          <w:right w:w="70" w:type="dxa"/>
        </w:tblCellMar>
        <w:tblLook w:val="04A0" w:firstRow="1" w:lastRow="0" w:firstColumn="1" w:lastColumn="0" w:noHBand="0" w:noVBand="1"/>
      </w:tblPr>
      <w:tblGrid>
        <w:gridCol w:w="2600"/>
        <w:gridCol w:w="766"/>
        <w:gridCol w:w="1043"/>
        <w:gridCol w:w="1175"/>
        <w:gridCol w:w="1175"/>
        <w:gridCol w:w="1043"/>
        <w:gridCol w:w="1258"/>
      </w:tblGrid>
      <w:tr w:rsidR="00B862D0" w:rsidRPr="00561AB3" w14:paraId="0037C3D7" w14:textId="77777777" w:rsidTr="00916A6A">
        <w:trPr>
          <w:trHeight w:val="20"/>
        </w:trPr>
        <w:tc>
          <w:tcPr>
            <w:tcW w:w="1094" w:type="pct"/>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23081F1A" w14:textId="77777777" w:rsidR="00561AB3" w:rsidRPr="00B862D0" w:rsidRDefault="00561AB3" w:rsidP="00B862D0">
            <w:pPr>
              <w:jc w:val="center"/>
              <w:rPr>
                <w:rFonts w:ascii="Calibri" w:hAnsi="Calibri" w:cs="Calibri"/>
                <w:b/>
                <w:bCs/>
                <w:color w:val="000000"/>
                <w:sz w:val="18"/>
              </w:rPr>
            </w:pPr>
            <w:r w:rsidRPr="00B862D0">
              <w:rPr>
                <w:rFonts w:ascii="Calibri" w:hAnsi="Calibri" w:cs="Calibri"/>
                <w:b/>
                <w:bCs/>
                <w:color w:val="000000"/>
                <w:sz w:val="18"/>
              </w:rPr>
              <w:t>Program</w:t>
            </w:r>
          </w:p>
        </w:tc>
        <w:tc>
          <w:tcPr>
            <w:tcW w:w="651" w:type="pct"/>
            <w:tcBorders>
              <w:top w:val="single" w:sz="4" w:space="0" w:color="auto"/>
              <w:left w:val="nil"/>
              <w:bottom w:val="single" w:sz="4" w:space="0" w:color="auto"/>
              <w:right w:val="single" w:sz="4" w:space="0" w:color="auto"/>
            </w:tcBorders>
            <w:shd w:val="clear" w:color="000000" w:fill="E5F1FF"/>
            <w:noWrap/>
            <w:vAlign w:val="center"/>
            <w:hideMark/>
          </w:tcPr>
          <w:p w14:paraId="099DEC42" w14:textId="77777777" w:rsidR="00561AB3" w:rsidRPr="00B862D0" w:rsidRDefault="00561AB3" w:rsidP="00B862D0">
            <w:pPr>
              <w:jc w:val="center"/>
              <w:rPr>
                <w:rFonts w:ascii="Calibri" w:hAnsi="Calibri" w:cs="Calibri"/>
                <w:b/>
                <w:bCs/>
                <w:color w:val="000000"/>
                <w:sz w:val="18"/>
              </w:rPr>
            </w:pPr>
            <w:r w:rsidRPr="00B862D0">
              <w:rPr>
                <w:rFonts w:ascii="Calibri" w:hAnsi="Calibri" w:cs="Calibri"/>
                <w:b/>
                <w:bCs/>
                <w:color w:val="000000"/>
                <w:sz w:val="18"/>
              </w:rPr>
              <w:t>2016</w:t>
            </w:r>
          </w:p>
        </w:tc>
        <w:tc>
          <w:tcPr>
            <w:tcW w:w="651" w:type="pct"/>
            <w:tcBorders>
              <w:top w:val="single" w:sz="4" w:space="0" w:color="auto"/>
              <w:left w:val="nil"/>
              <w:bottom w:val="single" w:sz="4" w:space="0" w:color="auto"/>
              <w:right w:val="single" w:sz="4" w:space="0" w:color="auto"/>
            </w:tcBorders>
            <w:shd w:val="clear" w:color="000000" w:fill="E5F1FF"/>
            <w:noWrap/>
            <w:vAlign w:val="center"/>
            <w:hideMark/>
          </w:tcPr>
          <w:p w14:paraId="0A7D6237" w14:textId="77777777" w:rsidR="00561AB3" w:rsidRPr="00B862D0" w:rsidRDefault="00561AB3" w:rsidP="00B862D0">
            <w:pPr>
              <w:jc w:val="center"/>
              <w:rPr>
                <w:rFonts w:ascii="Calibri" w:hAnsi="Calibri" w:cs="Calibri"/>
                <w:b/>
                <w:bCs/>
                <w:color w:val="000000"/>
                <w:sz w:val="18"/>
              </w:rPr>
            </w:pPr>
            <w:r w:rsidRPr="00B862D0">
              <w:rPr>
                <w:rFonts w:ascii="Calibri" w:hAnsi="Calibri" w:cs="Calibri"/>
                <w:b/>
                <w:bCs/>
                <w:color w:val="000000"/>
                <w:sz w:val="18"/>
              </w:rPr>
              <w:t>2017</w:t>
            </w:r>
          </w:p>
        </w:tc>
        <w:tc>
          <w:tcPr>
            <w:tcW w:w="651" w:type="pct"/>
            <w:tcBorders>
              <w:top w:val="single" w:sz="4" w:space="0" w:color="auto"/>
              <w:left w:val="nil"/>
              <w:bottom w:val="single" w:sz="4" w:space="0" w:color="auto"/>
              <w:right w:val="single" w:sz="4" w:space="0" w:color="auto"/>
            </w:tcBorders>
            <w:shd w:val="clear" w:color="000000" w:fill="E5F1FF"/>
            <w:noWrap/>
            <w:vAlign w:val="center"/>
            <w:hideMark/>
          </w:tcPr>
          <w:p w14:paraId="072DA157" w14:textId="77777777" w:rsidR="00561AB3" w:rsidRPr="00B862D0" w:rsidRDefault="00561AB3" w:rsidP="00B862D0">
            <w:pPr>
              <w:jc w:val="center"/>
              <w:rPr>
                <w:rFonts w:ascii="Calibri" w:hAnsi="Calibri" w:cs="Calibri"/>
                <w:b/>
                <w:bCs/>
                <w:color w:val="000000"/>
                <w:sz w:val="18"/>
              </w:rPr>
            </w:pPr>
            <w:r w:rsidRPr="00B862D0">
              <w:rPr>
                <w:rFonts w:ascii="Calibri" w:hAnsi="Calibri" w:cs="Calibri"/>
                <w:b/>
                <w:bCs/>
                <w:color w:val="000000"/>
                <w:sz w:val="18"/>
              </w:rPr>
              <w:t>2018</w:t>
            </w:r>
          </w:p>
        </w:tc>
        <w:tc>
          <w:tcPr>
            <w:tcW w:w="651" w:type="pct"/>
            <w:tcBorders>
              <w:top w:val="single" w:sz="4" w:space="0" w:color="auto"/>
              <w:left w:val="nil"/>
              <w:bottom w:val="single" w:sz="4" w:space="0" w:color="auto"/>
              <w:right w:val="single" w:sz="4" w:space="0" w:color="auto"/>
            </w:tcBorders>
            <w:shd w:val="clear" w:color="000000" w:fill="E5F1FF"/>
            <w:noWrap/>
            <w:vAlign w:val="center"/>
            <w:hideMark/>
          </w:tcPr>
          <w:p w14:paraId="7C933369" w14:textId="77777777" w:rsidR="00561AB3" w:rsidRPr="00B862D0" w:rsidRDefault="00561AB3" w:rsidP="00B862D0">
            <w:pPr>
              <w:jc w:val="center"/>
              <w:rPr>
                <w:rFonts w:ascii="Calibri" w:hAnsi="Calibri" w:cs="Calibri"/>
                <w:b/>
                <w:bCs/>
                <w:color w:val="000000"/>
                <w:sz w:val="18"/>
              </w:rPr>
            </w:pPr>
            <w:r w:rsidRPr="00B862D0">
              <w:rPr>
                <w:rFonts w:ascii="Calibri" w:hAnsi="Calibri" w:cs="Calibri"/>
                <w:b/>
                <w:bCs/>
                <w:color w:val="000000"/>
                <w:sz w:val="18"/>
              </w:rPr>
              <w:t>2019</w:t>
            </w:r>
          </w:p>
        </w:tc>
        <w:tc>
          <w:tcPr>
            <w:tcW w:w="651" w:type="pct"/>
            <w:tcBorders>
              <w:top w:val="single" w:sz="4" w:space="0" w:color="auto"/>
              <w:left w:val="nil"/>
              <w:bottom w:val="single" w:sz="4" w:space="0" w:color="auto"/>
              <w:right w:val="single" w:sz="4" w:space="0" w:color="auto"/>
            </w:tcBorders>
            <w:shd w:val="clear" w:color="000000" w:fill="E5F1FF"/>
            <w:noWrap/>
            <w:vAlign w:val="center"/>
            <w:hideMark/>
          </w:tcPr>
          <w:p w14:paraId="362834D0" w14:textId="77777777" w:rsidR="00561AB3" w:rsidRPr="00B862D0" w:rsidRDefault="00561AB3" w:rsidP="00B862D0">
            <w:pPr>
              <w:jc w:val="center"/>
              <w:rPr>
                <w:rFonts w:ascii="Calibri" w:hAnsi="Calibri" w:cs="Calibri"/>
                <w:b/>
                <w:bCs/>
                <w:color w:val="000000"/>
                <w:sz w:val="18"/>
              </w:rPr>
            </w:pPr>
            <w:r w:rsidRPr="00B862D0">
              <w:rPr>
                <w:rFonts w:ascii="Calibri" w:hAnsi="Calibri" w:cs="Calibri"/>
                <w:b/>
                <w:bCs/>
                <w:color w:val="000000"/>
                <w:sz w:val="18"/>
              </w:rPr>
              <w:t>2020</w:t>
            </w:r>
          </w:p>
        </w:tc>
        <w:tc>
          <w:tcPr>
            <w:tcW w:w="650" w:type="pct"/>
            <w:tcBorders>
              <w:top w:val="single" w:sz="4" w:space="0" w:color="auto"/>
              <w:left w:val="nil"/>
              <w:bottom w:val="single" w:sz="4" w:space="0" w:color="auto"/>
              <w:right w:val="single" w:sz="4" w:space="0" w:color="auto"/>
            </w:tcBorders>
            <w:shd w:val="clear" w:color="000000" w:fill="E5F1FF"/>
            <w:noWrap/>
            <w:vAlign w:val="center"/>
            <w:hideMark/>
          </w:tcPr>
          <w:p w14:paraId="3F7ED82B" w14:textId="77777777" w:rsidR="00561AB3" w:rsidRPr="00B862D0" w:rsidRDefault="00561AB3" w:rsidP="00B862D0">
            <w:pPr>
              <w:jc w:val="center"/>
              <w:rPr>
                <w:rFonts w:ascii="Calibri" w:hAnsi="Calibri" w:cs="Calibri"/>
                <w:b/>
                <w:bCs/>
                <w:color w:val="000000"/>
                <w:sz w:val="18"/>
              </w:rPr>
            </w:pPr>
            <w:r w:rsidRPr="00B862D0">
              <w:rPr>
                <w:rFonts w:ascii="Calibri" w:hAnsi="Calibri" w:cs="Calibri"/>
                <w:b/>
                <w:bCs/>
                <w:color w:val="000000"/>
                <w:sz w:val="18"/>
              </w:rPr>
              <w:t>Celkový součet</w:t>
            </w:r>
          </w:p>
        </w:tc>
      </w:tr>
      <w:tr w:rsidR="00B862D0" w:rsidRPr="00561AB3" w14:paraId="2934A3E7" w14:textId="77777777" w:rsidTr="00916A6A">
        <w:trPr>
          <w:trHeight w:val="20"/>
        </w:trPr>
        <w:tc>
          <w:tcPr>
            <w:tcW w:w="1094" w:type="pct"/>
            <w:tcBorders>
              <w:top w:val="nil"/>
              <w:left w:val="single" w:sz="4" w:space="0" w:color="auto"/>
              <w:bottom w:val="single" w:sz="4" w:space="0" w:color="auto"/>
              <w:right w:val="single" w:sz="4" w:space="0" w:color="auto"/>
            </w:tcBorders>
            <w:shd w:val="clear" w:color="auto" w:fill="auto"/>
            <w:noWrap/>
            <w:vAlign w:val="center"/>
            <w:hideMark/>
          </w:tcPr>
          <w:p w14:paraId="7660B6E4" w14:textId="77777777" w:rsidR="00561AB3" w:rsidRPr="00B862D0" w:rsidRDefault="00561AB3" w:rsidP="00B862D0">
            <w:pPr>
              <w:jc w:val="left"/>
              <w:rPr>
                <w:rFonts w:ascii="Calibri" w:hAnsi="Calibri" w:cs="Calibri"/>
                <w:bCs/>
                <w:color w:val="000000"/>
                <w:sz w:val="18"/>
              </w:rPr>
            </w:pPr>
            <w:r w:rsidRPr="00B862D0">
              <w:rPr>
                <w:rFonts w:ascii="Calibri" w:hAnsi="Calibri" w:cs="Calibri"/>
                <w:bCs/>
                <w:color w:val="000000"/>
                <w:sz w:val="18"/>
              </w:rPr>
              <w:t>PO 5 OPŽP</w:t>
            </w:r>
          </w:p>
        </w:tc>
        <w:tc>
          <w:tcPr>
            <w:tcW w:w="651" w:type="pct"/>
            <w:tcBorders>
              <w:top w:val="nil"/>
              <w:left w:val="nil"/>
              <w:bottom w:val="single" w:sz="4" w:space="0" w:color="auto"/>
              <w:right w:val="single" w:sz="4" w:space="0" w:color="auto"/>
            </w:tcBorders>
            <w:shd w:val="clear" w:color="auto" w:fill="auto"/>
            <w:noWrap/>
            <w:vAlign w:val="center"/>
            <w:hideMark/>
          </w:tcPr>
          <w:p w14:paraId="775533F9"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982 361</w:t>
            </w:r>
          </w:p>
        </w:tc>
        <w:tc>
          <w:tcPr>
            <w:tcW w:w="651" w:type="pct"/>
            <w:tcBorders>
              <w:top w:val="nil"/>
              <w:left w:val="nil"/>
              <w:bottom w:val="single" w:sz="4" w:space="0" w:color="auto"/>
              <w:right w:val="single" w:sz="4" w:space="0" w:color="auto"/>
            </w:tcBorders>
            <w:shd w:val="clear" w:color="auto" w:fill="auto"/>
            <w:noWrap/>
            <w:vAlign w:val="center"/>
            <w:hideMark/>
          </w:tcPr>
          <w:p w14:paraId="1AB7DC4F"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337 052 992</w:t>
            </w:r>
          </w:p>
        </w:tc>
        <w:tc>
          <w:tcPr>
            <w:tcW w:w="651" w:type="pct"/>
            <w:tcBorders>
              <w:top w:val="nil"/>
              <w:left w:val="nil"/>
              <w:bottom w:val="single" w:sz="4" w:space="0" w:color="auto"/>
              <w:right w:val="single" w:sz="4" w:space="0" w:color="auto"/>
            </w:tcBorders>
            <w:shd w:val="clear" w:color="auto" w:fill="auto"/>
            <w:noWrap/>
            <w:vAlign w:val="center"/>
            <w:hideMark/>
          </w:tcPr>
          <w:p w14:paraId="1A8B7820"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1 057 533 223</w:t>
            </w:r>
          </w:p>
        </w:tc>
        <w:tc>
          <w:tcPr>
            <w:tcW w:w="651" w:type="pct"/>
            <w:tcBorders>
              <w:top w:val="nil"/>
              <w:left w:val="nil"/>
              <w:bottom w:val="single" w:sz="4" w:space="0" w:color="auto"/>
              <w:right w:val="single" w:sz="4" w:space="0" w:color="auto"/>
            </w:tcBorders>
            <w:shd w:val="clear" w:color="auto" w:fill="auto"/>
            <w:noWrap/>
            <w:vAlign w:val="center"/>
            <w:hideMark/>
          </w:tcPr>
          <w:p w14:paraId="738C2AA7"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1 327 840 790</w:t>
            </w:r>
          </w:p>
        </w:tc>
        <w:tc>
          <w:tcPr>
            <w:tcW w:w="651" w:type="pct"/>
            <w:tcBorders>
              <w:top w:val="nil"/>
              <w:left w:val="nil"/>
              <w:bottom w:val="single" w:sz="4" w:space="0" w:color="auto"/>
              <w:right w:val="single" w:sz="4" w:space="0" w:color="auto"/>
            </w:tcBorders>
            <w:shd w:val="clear" w:color="auto" w:fill="auto"/>
            <w:noWrap/>
            <w:vAlign w:val="center"/>
            <w:hideMark/>
          </w:tcPr>
          <w:p w14:paraId="634D505C"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248 409 464</w:t>
            </w:r>
          </w:p>
        </w:tc>
        <w:tc>
          <w:tcPr>
            <w:tcW w:w="650" w:type="pct"/>
            <w:tcBorders>
              <w:top w:val="nil"/>
              <w:left w:val="nil"/>
              <w:bottom w:val="single" w:sz="4" w:space="0" w:color="auto"/>
              <w:right w:val="single" w:sz="4" w:space="0" w:color="auto"/>
            </w:tcBorders>
            <w:shd w:val="clear" w:color="auto" w:fill="auto"/>
            <w:noWrap/>
            <w:vAlign w:val="center"/>
            <w:hideMark/>
          </w:tcPr>
          <w:p w14:paraId="2810D7D4"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2 971 818 830</w:t>
            </w:r>
          </w:p>
        </w:tc>
      </w:tr>
      <w:tr w:rsidR="00B862D0" w:rsidRPr="00561AB3" w14:paraId="534568D3" w14:textId="77777777" w:rsidTr="00916A6A">
        <w:trPr>
          <w:trHeight w:val="20"/>
        </w:trPr>
        <w:tc>
          <w:tcPr>
            <w:tcW w:w="1094" w:type="pct"/>
            <w:tcBorders>
              <w:top w:val="nil"/>
              <w:left w:val="single" w:sz="4" w:space="0" w:color="auto"/>
              <w:bottom w:val="single" w:sz="4" w:space="0" w:color="auto"/>
              <w:right w:val="single" w:sz="4" w:space="0" w:color="auto"/>
            </w:tcBorders>
            <w:shd w:val="clear" w:color="auto" w:fill="auto"/>
            <w:noWrap/>
            <w:vAlign w:val="center"/>
            <w:hideMark/>
          </w:tcPr>
          <w:p w14:paraId="63809E1F" w14:textId="77777777" w:rsidR="00561AB3" w:rsidRPr="00B862D0" w:rsidRDefault="00561AB3" w:rsidP="00B862D0">
            <w:pPr>
              <w:jc w:val="right"/>
              <w:rPr>
                <w:rFonts w:ascii="Calibri" w:hAnsi="Calibri" w:cs="Calibri"/>
                <w:i/>
                <w:color w:val="000000"/>
                <w:sz w:val="18"/>
              </w:rPr>
            </w:pPr>
            <w:r w:rsidRPr="00B862D0">
              <w:rPr>
                <w:rFonts w:ascii="Calibri" w:hAnsi="Calibri" w:cs="Calibri"/>
                <w:i/>
                <w:color w:val="000000"/>
                <w:sz w:val="18"/>
              </w:rPr>
              <w:t>SC 5.1</w:t>
            </w:r>
          </w:p>
        </w:tc>
        <w:tc>
          <w:tcPr>
            <w:tcW w:w="651" w:type="pct"/>
            <w:tcBorders>
              <w:top w:val="nil"/>
              <w:left w:val="nil"/>
              <w:bottom w:val="single" w:sz="4" w:space="0" w:color="auto"/>
              <w:right w:val="single" w:sz="4" w:space="0" w:color="auto"/>
            </w:tcBorders>
            <w:shd w:val="clear" w:color="auto" w:fill="auto"/>
            <w:noWrap/>
            <w:vAlign w:val="center"/>
            <w:hideMark/>
          </w:tcPr>
          <w:p w14:paraId="583EF6DC" w14:textId="77777777" w:rsidR="00561AB3" w:rsidRPr="00B862D0" w:rsidRDefault="00561AB3" w:rsidP="00B862D0">
            <w:pPr>
              <w:jc w:val="right"/>
              <w:rPr>
                <w:rFonts w:ascii="Calibri" w:hAnsi="Calibri" w:cs="Calibri"/>
                <w:i/>
                <w:color w:val="000000"/>
                <w:sz w:val="18"/>
              </w:rPr>
            </w:pPr>
            <w:r w:rsidRPr="00B862D0">
              <w:rPr>
                <w:rFonts w:ascii="Calibri" w:hAnsi="Calibri" w:cs="Calibri"/>
                <w:i/>
                <w:color w:val="000000"/>
                <w:sz w:val="18"/>
              </w:rPr>
              <w:t>982 361</w:t>
            </w:r>
          </w:p>
        </w:tc>
        <w:tc>
          <w:tcPr>
            <w:tcW w:w="651" w:type="pct"/>
            <w:tcBorders>
              <w:top w:val="nil"/>
              <w:left w:val="nil"/>
              <w:bottom w:val="single" w:sz="4" w:space="0" w:color="auto"/>
              <w:right w:val="single" w:sz="4" w:space="0" w:color="auto"/>
            </w:tcBorders>
            <w:shd w:val="clear" w:color="auto" w:fill="auto"/>
            <w:noWrap/>
            <w:vAlign w:val="center"/>
            <w:hideMark/>
          </w:tcPr>
          <w:p w14:paraId="02912979" w14:textId="77777777" w:rsidR="00561AB3" w:rsidRPr="00B862D0" w:rsidRDefault="00561AB3" w:rsidP="00B862D0">
            <w:pPr>
              <w:jc w:val="right"/>
              <w:rPr>
                <w:rFonts w:ascii="Calibri" w:hAnsi="Calibri" w:cs="Calibri"/>
                <w:i/>
                <w:color w:val="000000"/>
                <w:sz w:val="18"/>
              </w:rPr>
            </w:pPr>
            <w:r w:rsidRPr="00B862D0">
              <w:rPr>
                <w:rFonts w:ascii="Calibri" w:hAnsi="Calibri" w:cs="Calibri"/>
                <w:i/>
                <w:color w:val="000000"/>
                <w:sz w:val="18"/>
              </w:rPr>
              <w:t>337 052 992</w:t>
            </w:r>
          </w:p>
        </w:tc>
        <w:tc>
          <w:tcPr>
            <w:tcW w:w="651" w:type="pct"/>
            <w:tcBorders>
              <w:top w:val="nil"/>
              <w:left w:val="nil"/>
              <w:bottom w:val="single" w:sz="4" w:space="0" w:color="auto"/>
              <w:right w:val="single" w:sz="4" w:space="0" w:color="auto"/>
            </w:tcBorders>
            <w:shd w:val="clear" w:color="auto" w:fill="auto"/>
            <w:noWrap/>
            <w:vAlign w:val="center"/>
            <w:hideMark/>
          </w:tcPr>
          <w:p w14:paraId="15F0A861" w14:textId="77777777" w:rsidR="00561AB3" w:rsidRPr="00B862D0" w:rsidRDefault="00561AB3" w:rsidP="00B862D0">
            <w:pPr>
              <w:jc w:val="right"/>
              <w:rPr>
                <w:rFonts w:ascii="Calibri" w:hAnsi="Calibri" w:cs="Calibri"/>
                <w:i/>
                <w:color w:val="000000"/>
                <w:sz w:val="18"/>
              </w:rPr>
            </w:pPr>
            <w:r w:rsidRPr="00B862D0">
              <w:rPr>
                <w:rFonts w:ascii="Calibri" w:hAnsi="Calibri" w:cs="Calibri"/>
                <w:i/>
                <w:color w:val="000000"/>
                <w:sz w:val="18"/>
              </w:rPr>
              <w:t>1 034 468 595</w:t>
            </w:r>
          </w:p>
        </w:tc>
        <w:tc>
          <w:tcPr>
            <w:tcW w:w="651" w:type="pct"/>
            <w:tcBorders>
              <w:top w:val="nil"/>
              <w:left w:val="nil"/>
              <w:bottom w:val="single" w:sz="4" w:space="0" w:color="auto"/>
              <w:right w:val="single" w:sz="4" w:space="0" w:color="auto"/>
            </w:tcBorders>
            <w:shd w:val="clear" w:color="auto" w:fill="auto"/>
            <w:noWrap/>
            <w:vAlign w:val="center"/>
            <w:hideMark/>
          </w:tcPr>
          <w:p w14:paraId="4C78452A" w14:textId="77777777" w:rsidR="00561AB3" w:rsidRPr="00B862D0" w:rsidRDefault="00561AB3" w:rsidP="00B862D0">
            <w:pPr>
              <w:jc w:val="right"/>
              <w:rPr>
                <w:rFonts w:ascii="Calibri" w:hAnsi="Calibri" w:cs="Calibri"/>
                <w:i/>
                <w:color w:val="000000"/>
                <w:sz w:val="18"/>
              </w:rPr>
            </w:pPr>
            <w:r w:rsidRPr="00B862D0">
              <w:rPr>
                <w:rFonts w:ascii="Calibri" w:hAnsi="Calibri" w:cs="Calibri"/>
                <w:i/>
                <w:color w:val="000000"/>
                <w:sz w:val="18"/>
              </w:rPr>
              <w:t>1 252 218 559</w:t>
            </w:r>
          </w:p>
        </w:tc>
        <w:tc>
          <w:tcPr>
            <w:tcW w:w="651" w:type="pct"/>
            <w:tcBorders>
              <w:top w:val="nil"/>
              <w:left w:val="nil"/>
              <w:bottom w:val="single" w:sz="4" w:space="0" w:color="auto"/>
              <w:right w:val="single" w:sz="4" w:space="0" w:color="auto"/>
            </w:tcBorders>
            <w:shd w:val="clear" w:color="auto" w:fill="auto"/>
            <w:noWrap/>
            <w:vAlign w:val="center"/>
            <w:hideMark/>
          </w:tcPr>
          <w:p w14:paraId="3D024861" w14:textId="77777777" w:rsidR="00561AB3" w:rsidRPr="00B862D0" w:rsidRDefault="00561AB3" w:rsidP="00B862D0">
            <w:pPr>
              <w:jc w:val="right"/>
              <w:rPr>
                <w:rFonts w:ascii="Calibri" w:hAnsi="Calibri" w:cs="Calibri"/>
                <w:i/>
                <w:color w:val="000000"/>
                <w:sz w:val="18"/>
              </w:rPr>
            </w:pPr>
            <w:r w:rsidRPr="00B862D0">
              <w:rPr>
                <w:rFonts w:ascii="Calibri" w:hAnsi="Calibri" w:cs="Calibri"/>
                <w:i/>
                <w:color w:val="000000"/>
                <w:sz w:val="18"/>
              </w:rPr>
              <w:t>232 953 937</w:t>
            </w:r>
          </w:p>
        </w:tc>
        <w:tc>
          <w:tcPr>
            <w:tcW w:w="650" w:type="pct"/>
            <w:tcBorders>
              <w:top w:val="nil"/>
              <w:left w:val="nil"/>
              <w:bottom w:val="single" w:sz="4" w:space="0" w:color="auto"/>
              <w:right w:val="single" w:sz="4" w:space="0" w:color="auto"/>
            </w:tcBorders>
            <w:shd w:val="clear" w:color="auto" w:fill="auto"/>
            <w:noWrap/>
            <w:vAlign w:val="center"/>
            <w:hideMark/>
          </w:tcPr>
          <w:p w14:paraId="1B9F8F33" w14:textId="77777777" w:rsidR="00561AB3" w:rsidRPr="00B862D0" w:rsidRDefault="00561AB3" w:rsidP="00B862D0">
            <w:pPr>
              <w:jc w:val="right"/>
              <w:rPr>
                <w:rFonts w:ascii="Calibri" w:hAnsi="Calibri" w:cs="Calibri"/>
                <w:bCs/>
                <w:i/>
                <w:color w:val="000000"/>
                <w:sz w:val="18"/>
              </w:rPr>
            </w:pPr>
            <w:r w:rsidRPr="00B862D0">
              <w:rPr>
                <w:rFonts w:ascii="Calibri" w:hAnsi="Calibri" w:cs="Calibri"/>
                <w:bCs/>
                <w:i/>
                <w:color w:val="000000"/>
                <w:sz w:val="18"/>
              </w:rPr>
              <w:t>2 857 676 445</w:t>
            </w:r>
          </w:p>
        </w:tc>
      </w:tr>
      <w:tr w:rsidR="00B862D0" w:rsidRPr="00561AB3" w14:paraId="56AE0B97" w14:textId="77777777" w:rsidTr="00916A6A">
        <w:trPr>
          <w:trHeight w:val="20"/>
        </w:trPr>
        <w:tc>
          <w:tcPr>
            <w:tcW w:w="1094" w:type="pct"/>
            <w:tcBorders>
              <w:top w:val="nil"/>
              <w:left w:val="single" w:sz="4" w:space="0" w:color="auto"/>
              <w:bottom w:val="single" w:sz="4" w:space="0" w:color="auto"/>
              <w:right w:val="single" w:sz="4" w:space="0" w:color="auto"/>
            </w:tcBorders>
            <w:shd w:val="clear" w:color="auto" w:fill="auto"/>
            <w:noWrap/>
            <w:vAlign w:val="center"/>
            <w:hideMark/>
          </w:tcPr>
          <w:p w14:paraId="28D34391" w14:textId="77777777" w:rsidR="00561AB3" w:rsidRPr="00B862D0" w:rsidRDefault="00561AB3" w:rsidP="00B862D0">
            <w:pPr>
              <w:jc w:val="right"/>
              <w:rPr>
                <w:rFonts w:ascii="Calibri" w:hAnsi="Calibri" w:cs="Calibri"/>
                <w:i/>
                <w:color w:val="000000"/>
                <w:sz w:val="18"/>
              </w:rPr>
            </w:pPr>
            <w:r w:rsidRPr="00B862D0">
              <w:rPr>
                <w:rFonts w:ascii="Calibri" w:hAnsi="Calibri" w:cs="Calibri"/>
                <w:i/>
                <w:color w:val="000000"/>
                <w:sz w:val="18"/>
              </w:rPr>
              <w:t>SC 5.2</w:t>
            </w:r>
          </w:p>
        </w:tc>
        <w:tc>
          <w:tcPr>
            <w:tcW w:w="651" w:type="pct"/>
            <w:tcBorders>
              <w:top w:val="nil"/>
              <w:left w:val="nil"/>
              <w:bottom w:val="single" w:sz="4" w:space="0" w:color="auto"/>
              <w:right w:val="single" w:sz="4" w:space="0" w:color="auto"/>
            </w:tcBorders>
            <w:shd w:val="clear" w:color="auto" w:fill="auto"/>
            <w:noWrap/>
            <w:vAlign w:val="center"/>
            <w:hideMark/>
          </w:tcPr>
          <w:p w14:paraId="4BD3CE24" w14:textId="77777777" w:rsidR="00561AB3" w:rsidRPr="00B862D0" w:rsidRDefault="00561AB3" w:rsidP="00B862D0">
            <w:pPr>
              <w:jc w:val="center"/>
              <w:rPr>
                <w:rFonts w:ascii="Calibri" w:hAnsi="Calibri" w:cs="Calibri"/>
                <w:i/>
                <w:color w:val="000000"/>
                <w:sz w:val="18"/>
              </w:rPr>
            </w:pPr>
            <w:r w:rsidRPr="00B862D0">
              <w:rPr>
                <w:rFonts w:ascii="Calibri" w:hAnsi="Calibri" w:cs="Calibri"/>
                <w:i/>
                <w:color w:val="000000"/>
                <w:sz w:val="18"/>
              </w:rPr>
              <w:t>x</w:t>
            </w:r>
          </w:p>
        </w:tc>
        <w:tc>
          <w:tcPr>
            <w:tcW w:w="651" w:type="pct"/>
            <w:tcBorders>
              <w:top w:val="nil"/>
              <w:left w:val="nil"/>
              <w:bottom w:val="single" w:sz="4" w:space="0" w:color="auto"/>
              <w:right w:val="single" w:sz="4" w:space="0" w:color="auto"/>
            </w:tcBorders>
            <w:shd w:val="clear" w:color="auto" w:fill="auto"/>
            <w:noWrap/>
            <w:vAlign w:val="center"/>
            <w:hideMark/>
          </w:tcPr>
          <w:p w14:paraId="17982B53" w14:textId="77777777" w:rsidR="00561AB3" w:rsidRPr="00B862D0" w:rsidRDefault="00561AB3" w:rsidP="00B862D0">
            <w:pPr>
              <w:jc w:val="center"/>
              <w:rPr>
                <w:rFonts w:ascii="Calibri" w:hAnsi="Calibri" w:cs="Calibri"/>
                <w:i/>
                <w:color w:val="000000"/>
                <w:sz w:val="18"/>
              </w:rPr>
            </w:pPr>
            <w:r w:rsidRPr="00B862D0">
              <w:rPr>
                <w:rFonts w:ascii="Calibri" w:hAnsi="Calibri" w:cs="Calibri"/>
                <w:i/>
                <w:color w:val="000000"/>
                <w:sz w:val="18"/>
              </w:rPr>
              <w:t>x</w:t>
            </w:r>
          </w:p>
        </w:tc>
        <w:tc>
          <w:tcPr>
            <w:tcW w:w="651" w:type="pct"/>
            <w:tcBorders>
              <w:top w:val="nil"/>
              <w:left w:val="nil"/>
              <w:bottom w:val="single" w:sz="4" w:space="0" w:color="auto"/>
              <w:right w:val="single" w:sz="4" w:space="0" w:color="auto"/>
            </w:tcBorders>
            <w:shd w:val="clear" w:color="auto" w:fill="auto"/>
            <w:noWrap/>
            <w:vAlign w:val="center"/>
            <w:hideMark/>
          </w:tcPr>
          <w:p w14:paraId="43C2C660" w14:textId="77777777" w:rsidR="00561AB3" w:rsidRPr="00B862D0" w:rsidRDefault="00561AB3" w:rsidP="00B862D0">
            <w:pPr>
              <w:jc w:val="right"/>
              <w:rPr>
                <w:rFonts w:ascii="Calibri" w:hAnsi="Calibri" w:cs="Calibri"/>
                <w:i/>
                <w:color w:val="000000"/>
                <w:sz w:val="18"/>
              </w:rPr>
            </w:pPr>
            <w:r w:rsidRPr="00B862D0">
              <w:rPr>
                <w:rFonts w:ascii="Calibri" w:hAnsi="Calibri" w:cs="Calibri"/>
                <w:i/>
                <w:color w:val="000000"/>
                <w:sz w:val="18"/>
              </w:rPr>
              <w:t>23 064 628</w:t>
            </w:r>
          </w:p>
        </w:tc>
        <w:tc>
          <w:tcPr>
            <w:tcW w:w="651" w:type="pct"/>
            <w:tcBorders>
              <w:top w:val="nil"/>
              <w:left w:val="nil"/>
              <w:bottom w:val="single" w:sz="4" w:space="0" w:color="auto"/>
              <w:right w:val="single" w:sz="4" w:space="0" w:color="auto"/>
            </w:tcBorders>
            <w:shd w:val="clear" w:color="auto" w:fill="auto"/>
            <w:noWrap/>
            <w:vAlign w:val="center"/>
            <w:hideMark/>
          </w:tcPr>
          <w:p w14:paraId="224125B2" w14:textId="77777777" w:rsidR="00561AB3" w:rsidRPr="00B862D0" w:rsidRDefault="00561AB3" w:rsidP="00B862D0">
            <w:pPr>
              <w:jc w:val="right"/>
              <w:rPr>
                <w:rFonts w:ascii="Calibri" w:hAnsi="Calibri" w:cs="Calibri"/>
                <w:i/>
                <w:color w:val="000000"/>
                <w:sz w:val="18"/>
              </w:rPr>
            </w:pPr>
            <w:r w:rsidRPr="00B862D0">
              <w:rPr>
                <w:rFonts w:ascii="Calibri" w:hAnsi="Calibri" w:cs="Calibri"/>
                <w:i/>
                <w:color w:val="000000"/>
                <w:sz w:val="18"/>
              </w:rPr>
              <w:t>75 622 231</w:t>
            </w:r>
          </w:p>
        </w:tc>
        <w:tc>
          <w:tcPr>
            <w:tcW w:w="651" w:type="pct"/>
            <w:tcBorders>
              <w:top w:val="nil"/>
              <w:left w:val="nil"/>
              <w:bottom w:val="single" w:sz="4" w:space="0" w:color="auto"/>
              <w:right w:val="single" w:sz="4" w:space="0" w:color="auto"/>
            </w:tcBorders>
            <w:shd w:val="clear" w:color="auto" w:fill="auto"/>
            <w:noWrap/>
            <w:vAlign w:val="center"/>
            <w:hideMark/>
          </w:tcPr>
          <w:p w14:paraId="384FE8D1" w14:textId="77777777" w:rsidR="00561AB3" w:rsidRPr="00B862D0" w:rsidRDefault="00561AB3" w:rsidP="00B862D0">
            <w:pPr>
              <w:jc w:val="right"/>
              <w:rPr>
                <w:rFonts w:ascii="Calibri" w:hAnsi="Calibri" w:cs="Calibri"/>
                <w:i/>
                <w:color w:val="000000"/>
                <w:sz w:val="18"/>
              </w:rPr>
            </w:pPr>
            <w:r w:rsidRPr="00B862D0">
              <w:rPr>
                <w:rFonts w:ascii="Calibri" w:hAnsi="Calibri" w:cs="Calibri"/>
                <w:i/>
                <w:color w:val="000000"/>
                <w:sz w:val="18"/>
              </w:rPr>
              <w:t>15 455 526</w:t>
            </w:r>
          </w:p>
        </w:tc>
        <w:tc>
          <w:tcPr>
            <w:tcW w:w="650" w:type="pct"/>
            <w:tcBorders>
              <w:top w:val="nil"/>
              <w:left w:val="nil"/>
              <w:bottom w:val="single" w:sz="4" w:space="0" w:color="auto"/>
              <w:right w:val="single" w:sz="4" w:space="0" w:color="auto"/>
            </w:tcBorders>
            <w:shd w:val="clear" w:color="auto" w:fill="auto"/>
            <w:noWrap/>
            <w:vAlign w:val="center"/>
            <w:hideMark/>
          </w:tcPr>
          <w:p w14:paraId="6CA37AE1" w14:textId="77777777" w:rsidR="00561AB3" w:rsidRPr="00B862D0" w:rsidRDefault="00561AB3" w:rsidP="00B862D0">
            <w:pPr>
              <w:jc w:val="right"/>
              <w:rPr>
                <w:rFonts w:ascii="Calibri" w:hAnsi="Calibri" w:cs="Calibri"/>
                <w:bCs/>
                <w:i/>
                <w:color w:val="000000"/>
                <w:sz w:val="18"/>
              </w:rPr>
            </w:pPr>
            <w:r w:rsidRPr="00B862D0">
              <w:rPr>
                <w:rFonts w:ascii="Calibri" w:hAnsi="Calibri" w:cs="Calibri"/>
                <w:bCs/>
                <w:i/>
                <w:color w:val="000000"/>
                <w:sz w:val="18"/>
              </w:rPr>
              <w:t>114 142 384</w:t>
            </w:r>
          </w:p>
        </w:tc>
      </w:tr>
      <w:tr w:rsidR="00B862D0" w:rsidRPr="00561AB3" w14:paraId="5757A0D5" w14:textId="77777777" w:rsidTr="00916A6A">
        <w:trPr>
          <w:trHeight w:val="20"/>
        </w:trPr>
        <w:tc>
          <w:tcPr>
            <w:tcW w:w="1094" w:type="pct"/>
            <w:tcBorders>
              <w:top w:val="nil"/>
              <w:left w:val="single" w:sz="4" w:space="0" w:color="auto"/>
              <w:bottom w:val="single" w:sz="4" w:space="0" w:color="auto"/>
              <w:right w:val="single" w:sz="4" w:space="0" w:color="auto"/>
            </w:tcBorders>
            <w:shd w:val="clear" w:color="auto" w:fill="auto"/>
            <w:noWrap/>
            <w:vAlign w:val="center"/>
            <w:hideMark/>
          </w:tcPr>
          <w:p w14:paraId="6DFF7173" w14:textId="77777777" w:rsidR="00561AB3" w:rsidRPr="00B862D0" w:rsidRDefault="00FE5CEE" w:rsidP="00B862D0">
            <w:pPr>
              <w:jc w:val="left"/>
              <w:rPr>
                <w:rFonts w:ascii="Calibri" w:hAnsi="Calibri" w:cs="Calibri"/>
                <w:bCs/>
                <w:color w:val="000000"/>
                <w:sz w:val="18"/>
              </w:rPr>
            </w:pPr>
            <w:r w:rsidRPr="00B862D0">
              <w:rPr>
                <w:rFonts w:ascii="Calibri" w:hAnsi="Calibri" w:cs="Calibri"/>
                <w:bCs/>
                <w:color w:val="000000"/>
                <w:sz w:val="18"/>
              </w:rPr>
              <w:t xml:space="preserve">NZÚ – </w:t>
            </w:r>
            <w:r w:rsidRPr="00565FBA">
              <w:rPr>
                <w:rFonts w:ascii="Calibri" w:hAnsi="Calibri" w:cs="Calibri"/>
                <w:bCs/>
                <w:i/>
                <w:color w:val="000000"/>
                <w:sz w:val="18"/>
              </w:rPr>
              <w:t>B</w:t>
            </w:r>
            <w:r w:rsidR="00B862D0" w:rsidRPr="00565FBA">
              <w:rPr>
                <w:rFonts w:ascii="Calibri" w:hAnsi="Calibri" w:cs="Calibri"/>
                <w:bCs/>
                <w:i/>
                <w:color w:val="000000"/>
                <w:sz w:val="18"/>
              </w:rPr>
              <w:t>udovy veřejného sektoru</w:t>
            </w:r>
            <w:r w:rsidR="00D05E75">
              <w:rPr>
                <w:rFonts w:ascii="Calibri" w:hAnsi="Calibri" w:cs="Calibri"/>
                <w:bCs/>
                <w:i/>
                <w:color w:val="000000"/>
                <w:sz w:val="18"/>
              </w:rPr>
              <w:t>*</w:t>
            </w:r>
          </w:p>
        </w:tc>
        <w:tc>
          <w:tcPr>
            <w:tcW w:w="651" w:type="pct"/>
            <w:tcBorders>
              <w:top w:val="nil"/>
              <w:left w:val="nil"/>
              <w:bottom w:val="single" w:sz="4" w:space="0" w:color="auto"/>
              <w:right w:val="single" w:sz="4" w:space="0" w:color="auto"/>
            </w:tcBorders>
            <w:shd w:val="clear" w:color="auto" w:fill="auto"/>
            <w:noWrap/>
            <w:vAlign w:val="center"/>
            <w:hideMark/>
          </w:tcPr>
          <w:p w14:paraId="7BB0418F" w14:textId="77777777" w:rsidR="00561AB3" w:rsidRPr="00B862D0" w:rsidRDefault="00561AB3" w:rsidP="00B862D0">
            <w:pPr>
              <w:jc w:val="center"/>
              <w:rPr>
                <w:rFonts w:ascii="Calibri" w:hAnsi="Calibri" w:cs="Calibri"/>
                <w:bCs/>
                <w:color w:val="000000"/>
                <w:sz w:val="18"/>
              </w:rPr>
            </w:pPr>
            <w:r w:rsidRPr="00B862D0">
              <w:rPr>
                <w:rFonts w:ascii="Calibri" w:hAnsi="Calibri" w:cs="Calibri"/>
                <w:bCs/>
                <w:color w:val="000000"/>
                <w:sz w:val="18"/>
              </w:rPr>
              <w:t>x</w:t>
            </w:r>
          </w:p>
        </w:tc>
        <w:tc>
          <w:tcPr>
            <w:tcW w:w="651" w:type="pct"/>
            <w:tcBorders>
              <w:top w:val="nil"/>
              <w:left w:val="nil"/>
              <w:bottom w:val="single" w:sz="4" w:space="0" w:color="auto"/>
              <w:right w:val="single" w:sz="4" w:space="0" w:color="auto"/>
            </w:tcBorders>
            <w:shd w:val="clear" w:color="auto" w:fill="auto"/>
            <w:vAlign w:val="center"/>
            <w:hideMark/>
          </w:tcPr>
          <w:p w14:paraId="33D003A9"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24 001 487</w:t>
            </w:r>
          </w:p>
        </w:tc>
        <w:tc>
          <w:tcPr>
            <w:tcW w:w="651" w:type="pct"/>
            <w:tcBorders>
              <w:top w:val="nil"/>
              <w:left w:val="nil"/>
              <w:bottom w:val="single" w:sz="4" w:space="0" w:color="auto"/>
              <w:right w:val="single" w:sz="4" w:space="0" w:color="auto"/>
            </w:tcBorders>
            <w:shd w:val="clear" w:color="auto" w:fill="auto"/>
            <w:vAlign w:val="center"/>
            <w:hideMark/>
          </w:tcPr>
          <w:p w14:paraId="4E2935D9"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138 933 411</w:t>
            </w:r>
          </w:p>
        </w:tc>
        <w:tc>
          <w:tcPr>
            <w:tcW w:w="651" w:type="pct"/>
            <w:tcBorders>
              <w:top w:val="nil"/>
              <w:left w:val="nil"/>
              <w:bottom w:val="single" w:sz="4" w:space="0" w:color="auto"/>
              <w:right w:val="single" w:sz="4" w:space="0" w:color="auto"/>
            </w:tcBorders>
            <w:shd w:val="clear" w:color="auto" w:fill="auto"/>
            <w:vAlign w:val="center"/>
            <w:hideMark/>
          </w:tcPr>
          <w:p w14:paraId="1E039C4D"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236 937 731</w:t>
            </w:r>
          </w:p>
        </w:tc>
        <w:tc>
          <w:tcPr>
            <w:tcW w:w="651" w:type="pct"/>
            <w:tcBorders>
              <w:top w:val="nil"/>
              <w:left w:val="nil"/>
              <w:bottom w:val="single" w:sz="4" w:space="0" w:color="auto"/>
              <w:right w:val="single" w:sz="4" w:space="0" w:color="auto"/>
            </w:tcBorders>
            <w:shd w:val="clear" w:color="auto" w:fill="auto"/>
            <w:noWrap/>
            <w:vAlign w:val="center"/>
            <w:hideMark/>
          </w:tcPr>
          <w:p w14:paraId="0B9000FB"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133 799 425</w:t>
            </w:r>
          </w:p>
        </w:tc>
        <w:tc>
          <w:tcPr>
            <w:tcW w:w="650" w:type="pct"/>
            <w:tcBorders>
              <w:top w:val="nil"/>
              <w:left w:val="nil"/>
              <w:bottom w:val="single" w:sz="4" w:space="0" w:color="auto"/>
              <w:right w:val="single" w:sz="4" w:space="0" w:color="auto"/>
            </w:tcBorders>
            <w:shd w:val="clear" w:color="auto" w:fill="auto"/>
            <w:noWrap/>
            <w:vAlign w:val="center"/>
            <w:hideMark/>
          </w:tcPr>
          <w:p w14:paraId="2E8249D8" w14:textId="77777777" w:rsidR="00561AB3" w:rsidRPr="00B862D0" w:rsidRDefault="00561AB3" w:rsidP="00B862D0">
            <w:pPr>
              <w:jc w:val="right"/>
              <w:rPr>
                <w:rFonts w:ascii="Calibri" w:hAnsi="Calibri" w:cs="Calibri"/>
                <w:bCs/>
                <w:color w:val="000000"/>
                <w:sz w:val="18"/>
              </w:rPr>
            </w:pPr>
            <w:r w:rsidRPr="00B862D0">
              <w:rPr>
                <w:rFonts w:ascii="Calibri" w:hAnsi="Calibri" w:cs="Calibri"/>
                <w:bCs/>
                <w:color w:val="000000"/>
                <w:sz w:val="18"/>
              </w:rPr>
              <w:t>533 672 054</w:t>
            </w:r>
          </w:p>
        </w:tc>
      </w:tr>
      <w:tr w:rsidR="00B862D0" w:rsidRPr="00561AB3" w14:paraId="1ED76FE1" w14:textId="77777777" w:rsidTr="00916A6A">
        <w:trPr>
          <w:trHeight w:val="20"/>
        </w:trPr>
        <w:tc>
          <w:tcPr>
            <w:tcW w:w="1094" w:type="pct"/>
            <w:tcBorders>
              <w:top w:val="nil"/>
              <w:left w:val="single" w:sz="4" w:space="0" w:color="auto"/>
              <w:bottom w:val="single" w:sz="4" w:space="0" w:color="auto"/>
              <w:right w:val="single" w:sz="4" w:space="0" w:color="auto"/>
            </w:tcBorders>
            <w:shd w:val="clear" w:color="auto" w:fill="auto"/>
            <w:noWrap/>
            <w:vAlign w:val="center"/>
            <w:hideMark/>
          </w:tcPr>
          <w:p w14:paraId="57C20284" w14:textId="77777777" w:rsidR="00561AB3" w:rsidRPr="00B862D0" w:rsidRDefault="00561AB3" w:rsidP="00B862D0">
            <w:pPr>
              <w:rPr>
                <w:rFonts w:ascii="Calibri" w:hAnsi="Calibri" w:cs="Calibri"/>
                <w:b/>
                <w:bCs/>
                <w:color w:val="000000"/>
                <w:sz w:val="18"/>
              </w:rPr>
            </w:pPr>
            <w:r w:rsidRPr="00B862D0">
              <w:rPr>
                <w:rFonts w:ascii="Calibri" w:hAnsi="Calibri" w:cs="Calibri"/>
                <w:b/>
                <w:bCs/>
                <w:color w:val="000000"/>
                <w:sz w:val="18"/>
              </w:rPr>
              <w:t>Celkový součet</w:t>
            </w:r>
          </w:p>
        </w:tc>
        <w:tc>
          <w:tcPr>
            <w:tcW w:w="651" w:type="pct"/>
            <w:tcBorders>
              <w:top w:val="nil"/>
              <w:left w:val="nil"/>
              <w:bottom w:val="single" w:sz="4" w:space="0" w:color="auto"/>
              <w:right w:val="single" w:sz="4" w:space="0" w:color="auto"/>
            </w:tcBorders>
            <w:shd w:val="clear" w:color="auto" w:fill="auto"/>
            <w:noWrap/>
            <w:vAlign w:val="center"/>
            <w:hideMark/>
          </w:tcPr>
          <w:p w14:paraId="48E75473" w14:textId="77777777" w:rsidR="00561AB3" w:rsidRPr="00B862D0" w:rsidRDefault="00561AB3" w:rsidP="00B862D0">
            <w:pPr>
              <w:jc w:val="right"/>
              <w:rPr>
                <w:rFonts w:ascii="Calibri" w:hAnsi="Calibri" w:cs="Calibri"/>
                <w:b/>
                <w:bCs/>
                <w:color w:val="000000"/>
                <w:sz w:val="18"/>
              </w:rPr>
            </w:pPr>
            <w:r w:rsidRPr="00B862D0">
              <w:rPr>
                <w:rFonts w:ascii="Calibri" w:hAnsi="Calibri" w:cs="Calibri"/>
                <w:b/>
                <w:bCs/>
                <w:color w:val="000000"/>
                <w:sz w:val="18"/>
              </w:rPr>
              <w:t>982 361</w:t>
            </w:r>
          </w:p>
        </w:tc>
        <w:tc>
          <w:tcPr>
            <w:tcW w:w="651" w:type="pct"/>
            <w:tcBorders>
              <w:top w:val="nil"/>
              <w:left w:val="nil"/>
              <w:bottom w:val="single" w:sz="4" w:space="0" w:color="auto"/>
              <w:right w:val="single" w:sz="4" w:space="0" w:color="auto"/>
            </w:tcBorders>
            <w:shd w:val="clear" w:color="auto" w:fill="auto"/>
            <w:noWrap/>
            <w:vAlign w:val="center"/>
            <w:hideMark/>
          </w:tcPr>
          <w:p w14:paraId="6D9F9917" w14:textId="77777777" w:rsidR="00561AB3" w:rsidRPr="00B862D0" w:rsidRDefault="00561AB3" w:rsidP="00B862D0">
            <w:pPr>
              <w:jc w:val="right"/>
              <w:rPr>
                <w:rFonts w:ascii="Calibri" w:hAnsi="Calibri" w:cs="Calibri"/>
                <w:b/>
                <w:bCs/>
                <w:color w:val="000000"/>
                <w:sz w:val="18"/>
              </w:rPr>
            </w:pPr>
            <w:r w:rsidRPr="00B862D0">
              <w:rPr>
                <w:rFonts w:ascii="Calibri" w:hAnsi="Calibri" w:cs="Calibri"/>
                <w:b/>
                <w:bCs/>
                <w:color w:val="000000"/>
                <w:sz w:val="18"/>
              </w:rPr>
              <w:t>361 054 479</w:t>
            </w:r>
          </w:p>
        </w:tc>
        <w:tc>
          <w:tcPr>
            <w:tcW w:w="651" w:type="pct"/>
            <w:tcBorders>
              <w:top w:val="nil"/>
              <w:left w:val="nil"/>
              <w:bottom w:val="single" w:sz="4" w:space="0" w:color="auto"/>
              <w:right w:val="single" w:sz="4" w:space="0" w:color="auto"/>
            </w:tcBorders>
            <w:shd w:val="clear" w:color="auto" w:fill="auto"/>
            <w:noWrap/>
            <w:vAlign w:val="center"/>
            <w:hideMark/>
          </w:tcPr>
          <w:p w14:paraId="1EC0F4FA" w14:textId="77777777" w:rsidR="00561AB3" w:rsidRPr="00B862D0" w:rsidRDefault="00561AB3" w:rsidP="00B862D0">
            <w:pPr>
              <w:jc w:val="right"/>
              <w:rPr>
                <w:rFonts w:ascii="Calibri" w:hAnsi="Calibri" w:cs="Calibri"/>
                <w:b/>
                <w:bCs/>
                <w:color w:val="000000"/>
                <w:sz w:val="18"/>
              </w:rPr>
            </w:pPr>
            <w:r w:rsidRPr="00B862D0">
              <w:rPr>
                <w:rFonts w:ascii="Calibri" w:hAnsi="Calibri" w:cs="Calibri"/>
                <w:b/>
                <w:bCs/>
                <w:color w:val="000000"/>
                <w:sz w:val="18"/>
              </w:rPr>
              <w:t>1 196 466 634</w:t>
            </w:r>
          </w:p>
        </w:tc>
        <w:tc>
          <w:tcPr>
            <w:tcW w:w="651" w:type="pct"/>
            <w:tcBorders>
              <w:top w:val="nil"/>
              <w:left w:val="nil"/>
              <w:bottom w:val="single" w:sz="4" w:space="0" w:color="auto"/>
              <w:right w:val="single" w:sz="4" w:space="0" w:color="auto"/>
            </w:tcBorders>
            <w:shd w:val="clear" w:color="auto" w:fill="auto"/>
            <w:noWrap/>
            <w:vAlign w:val="center"/>
            <w:hideMark/>
          </w:tcPr>
          <w:p w14:paraId="6B82EAC4" w14:textId="77777777" w:rsidR="00561AB3" w:rsidRPr="00B862D0" w:rsidRDefault="00561AB3" w:rsidP="00B862D0">
            <w:pPr>
              <w:jc w:val="right"/>
              <w:rPr>
                <w:rFonts w:ascii="Calibri" w:hAnsi="Calibri" w:cs="Calibri"/>
                <w:b/>
                <w:bCs/>
                <w:color w:val="000000"/>
                <w:sz w:val="18"/>
              </w:rPr>
            </w:pPr>
            <w:r w:rsidRPr="00B862D0">
              <w:rPr>
                <w:rFonts w:ascii="Calibri" w:hAnsi="Calibri" w:cs="Calibri"/>
                <w:b/>
                <w:bCs/>
                <w:color w:val="000000"/>
                <w:sz w:val="18"/>
              </w:rPr>
              <w:t>1 564 778 521</w:t>
            </w:r>
          </w:p>
        </w:tc>
        <w:tc>
          <w:tcPr>
            <w:tcW w:w="651" w:type="pct"/>
            <w:tcBorders>
              <w:top w:val="nil"/>
              <w:left w:val="nil"/>
              <w:bottom w:val="single" w:sz="4" w:space="0" w:color="auto"/>
              <w:right w:val="single" w:sz="4" w:space="0" w:color="auto"/>
            </w:tcBorders>
            <w:shd w:val="clear" w:color="auto" w:fill="auto"/>
            <w:noWrap/>
            <w:vAlign w:val="center"/>
            <w:hideMark/>
          </w:tcPr>
          <w:p w14:paraId="18755A24" w14:textId="77777777" w:rsidR="00561AB3" w:rsidRPr="00B862D0" w:rsidRDefault="00561AB3" w:rsidP="00B862D0">
            <w:pPr>
              <w:jc w:val="right"/>
              <w:rPr>
                <w:rFonts w:ascii="Calibri" w:hAnsi="Calibri" w:cs="Calibri"/>
                <w:b/>
                <w:bCs/>
                <w:color w:val="000000"/>
                <w:sz w:val="18"/>
              </w:rPr>
            </w:pPr>
            <w:r w:rsidRPr="00B862D0">
              <w:rPr>
                <w:rFonts w:ascii="Calibri" w:hAnsi="Calibri" w:cs="Calibri"/>
                <w:b/>
                <w:bCs/>
                <w:color w:val="000000"/>
                <w:sz w:val="18"/>
              </w:rPr>
              <w:t>382 208 889</w:t>
            </w:r>
          </w:p>
        </w:tc>
        <w:tc>
          <w:tcPr>
            <w:tcW w:w="650" w:type="pct"/>
            <w:tcBorders>
              <w:top w:val="nil"/>
              <w:left w:val="nil"/>
              <w:bottom w:val="single" w:sz="4" w:space="0" w:color="auto"/>
              <w:right w:val="single" w:sz="4" w:space="0" w:color="auto"/>
            </w:tcBorders>
            <w:shd w:val="clear" w:color="auto" w:fill="auto"/>
            <w:noWrap/>
            <w:vAlign w:val="center"/>
            <w:hideMark/>
          </w:tcPr>
          <w:p w14:paraId="690FD125" w14:textId="77777777" w:rsidR="00561AB3" w:rsidRPr="00B862D0" w:rsidRDefault="00561AB3" w:rsidP="00B862D0">
            <w:pPr>
              <w:jc w:val="right"/>
              <w:rPr>
                <w:rFonts w:ascii="Calibri" w:hAnsi="Calibri" w:cs="Calibri"/>
                <w:b/>
                <w:bCs/>
                <w:color w:val="000000"/>
                <w:sz w:val="18"/>
              </w:rPr>
            </w:pPr>
            <w:r w:rsidRPr="00B862D0">
              <w:rPr>
                <w:rFonts w:ascii="Calibri" w:hAnsi="Calibri" w:cs="Calibri"/>
                <w:b/>
                <w:bCs/>
                <w:color w:val="000000"/>
                <w:sz w:val="18"/>
              </w:rPr>
              <w:t>3 505 490 884</w:t>
            </w:r>
          </w:p>
        </w:tc>
      </w:tr>
    </w:tbl>
    <w:p w14:paraId="49EBD2BE" w14:textId="77777777" w:rsidR="00C149CB" w:rsidRDefault="00C149CB" w:rsidP="00C149CB">
      <w:pPr>
        <w:pStyle w:val="TextKP"/>
        <w:spacing w:before="0" w:after="0"/>
        <w:rPr>
          <w:i/>
          <w:sz w:val="20"/>
          <w:szCs w:val="20"/>
        </w:rPr>
      </w:pPr>
      <w:r>
        <w:rPr>
          <w:i/>
          <w:sz w:val="20"/>
          <w:szCs w:val="20"/>
        </w:rPr>
        <w:t>Zdroj: MŽP, SFŽP, MS2014+.</w:t>
      </w:r>
    </w:p>
    <w:p w14:paraId="7700B237" w14:textId="2597283B" w:rsidR="00561AB3" w:rsidRDefault="00D05E75" w:rsidP="00C44B50">
      <w:pPr>
        <w:pStyle w:val="TextKP"/>
        <w:spacing w:before="0" w:after="0"/>
        <w:ind w:left="284" w:hanging="284"/>
        <w:rPr>
          <w:i/>
          <w:sz w:val="20"/>
          <w:szCs w:val="20"/>
        </w:rPr>
      </w:pPr>
      <w:r>
        <w:rPr>
          <w:i/>
          <w:sz w:val="20"/>
          <w:szCs w:val="20"/>
        </w:rPr>
        <w:t xml:space="preserve">* </w:t>
      </w:r>
      <w:r w:rsidR="00C44B50">
        <w:rPr>
          <w:i/>
          <w:sz w:val="20"/>
          <w:szCs w:val="20"/>
        </w:rPr>
        <w:tab/>
      </w:r>
      <w:r>
        <w:rPr>
          <w:i/>
          <w:sz w:val="20"/>
          <w:szCs w:val="20"/>
        </w:rPr>
        <w:t xml:space="preserve">K prvnímu proplacení prostředků z podprogramu NZÚ </w:t>
      </w:r>
      <w:r w:rsidRPr="00D05E75">
        <w:rPr>
          <w:i/>
          <w:sz w:val="20"/>
          <w:szCs w:val="20"/>
        </w:rPr>
        <w:t>– Budovy veřejného sektoru</w:t>
      </w:r>
      <w:r>
        <w:rPr>
          <w:i/>
          <w:sz w:val="20"/>
          <w:szCs w:val="20"/>
        </w:rPr>
        <w:t xml:space="preserve"> došlo 30. 10. 2017.</w:t>
      </w:r>
    </w:p>
    <w:p w14:paraId="70C1D719" w14:textId="77777777" w:rsidR="00D05E75" w:rsidRDefault="00D05E75" w:rsidP="00C149CB">
      <w:pPr>
        <w:pStyle w:val="TextKP"/>
        <w:spacing w:before="0" w:after="0"/>
        <w:rPr>
          <w:i/>
          <w:sz w:val="20"/>
          <w:szCs w:val="20"/>
        </w:rPr>
      </w:pPr>
      <w:r>
        <w:rPr>
          <w:i/>
          <w:sz w:val="20"/>
          <w:szCs w:val="20"/>
        </w:rPr>
        <w:t>Vysvětlivka:</w:t>
      </w:r>
      <w:r w:rsidRPr="00D05E75">
        <w:rPr>
          <w:i/>
          <w:sz w:val="20"/>
          <w:szCs w:val="20"/>
        </w:rPr>
        <w:t xml:space="preserve"> </w:t>
      </w:r>
      <w:r>
        <w:rPr>
          <w:i/>
          <w:sz w:val="20"/>
          <w:szCs w:val="20"/>
        </w:rPr>
        <w:t>V rámci SC 5.3 nebyly ke dni 30. 6. 2020 proplaceny žádné peněžní prostředky.</w:t>
      </w:r>
    </w:p>
    <w:p w14:paraId="5765C24E" w14:textId="77777777" w:rsidR="00FF52D1" w:rsidRPr="00FF52D1" w:rsidRDefault="00FF52D1" w:rsidP="0044441C">
      <w:pPr>
        <w:pStyle w:val="N2"/>
        <w:autoSpaceDE w:val="0"/>
        <w:autoSpaceDN w:val="0"/>
        <w:adjustRightInd w:val="0"/>
        <w:ind w:left="425" w:hanging="425"/>
        <w:outlineLvl w:val="2"/>
      </w:pPr>
      <w:r>
        <w:t xml:space="preserve">Peněžní prostředky </w:t>
      </w:r>
      <w:r w:rsidR="00C90947">
        <w:t xml:space="preserve">poskytované </w:t>
      </w:r>
      <w:r>
        <w:t>z</w:t>
      </w:r>
      <w:r w:rsidR="00C90947">
        <w:t> PO 5</w:t>
      </w:r>
      <w:r>
        <w:t xml:space="preserve"> OPŽP</w:t>
      </w:r>
    </w:p>
    <w:p w14:paraId="75DC1DA6" w14:textId="3D01F57C" w:rsidR="00431BC5" w:rsidRDefault="00941988" w:rsidP="009F2202">
      <w:pPr>
        <w:autoSpaceDE w:val="0"/>
        <w:autoSpaceDN w:val="0"/>
        <w:adjustRightInd w:val="0"/>
        <w:spacing w:before="120"/>
      </w:pPr>
      <w:r>
        <w:t xml:space="preserve">V programovém období 2014 až 2020 činila ke dni 30. 6. 2020 celková alokace PO 5 OPŽP </w:t>
      </w:r>
      <w:r w:rsidRPr="000F6627">
        <w:t>14</w:t>
      </w:r>
      <w:r w:rsidR="009F2202" w:rsidRPr="000F6627">
        <w:t>,8 </w:t>
      </w:r>
      <w:r w:rsidRPr="000F6627">
        <w:t>mld. Kč.</w:t>
      </w:r>
      <w:r w:rsidR="003D3D08" w:rsidRPr="000F6627">
        <w:t xml:space="preserve"> </w:t>
      </w:r>
      <w:r w:rsidR="009F2202" w:rsidRPr="000F6627">
        <w:t xml:space="preserve">Dle evidence registrovaných žádostí </w:t>
      </w:r>
      <w:r w:rsidR="00DD070B" w:rsidRPr="000F6627">
        <w:t xml:space="preserve">vykazoval </w:t>
      </w:r>
      <w:r w:rsidR="009F2202" w:rsidRPr="000F6627">
        <w:t>SC 5.1 ke dni 30. 6. 2020 téměř 100</w:t>
      </w:r>
      <w:r w:rsidR="009C4D97" w:rsidRPr="000F6627">
        <w:t>%</w:t>
      </w:r>
      <w:r w:rsidR="009F2202" w:rsidRPr="000F6627">
        <w:t xml:space="preserve"> zájem o </w:t>
      </w:r>
      <w:r w:rsidR="009C4D97" w:rsidRPr="000F6627">
        <w:t>alokované prostředky (12,2 mld. Kč) a v rámci SC 5.2 zájem významně převýšil disponibilní prostředky (0,54 mld. Kč)</w:t>
      </w:r>
      <w:r w:rsidR="00A96DC3">
        <w:t>.</w:t>
      </w:r>
      <w:r w:rsidR="009C4D97" w:rsidRPr="000F6627">
        <w:t xml:space="preserve"> </w:t>
      </w:r>
      <w:r w:rsidR="00A96DC3">
        <w:t xml:space="preserve">Naproti tomu </w:t>
      </w:r>
      <w:r w:rsidR="00431BC5">
        <w:t>o</w:t>
      </w:r>
      <w:r w:rsidR="00A96DC3">
        <w:t xml:space="preserve"> </w:t>
      </w:r>
      <w:r w:rsidR="00431BC5">
        <w:t xml:space="preserve">peněžní prostředky </w:t>
      </w:r>
      <w:r w:rsidR="00A96DC3">
        <w:t xml:space="preserve">SC 5.3 </w:t>
      </w:r>
      <w:r w:rsidR="00431BC5">
        <w:t>alokované výhradně na snížení konečné spotřeby energie v budovách v</w:t>
      </w:r>
      <w:r w:rsidR="00A96DC3">
        <w:t>e</w:t>
      </w:r>
      <w:r w:rsidR="00431BC5">
        <w:t xml:space="preserve"> vlastnictví </w:t>
      </w:r>
      <w:r w:rsidR="007155C0">
        <w:t xml:space="preserve">ČR a </w:t>
      </w:r>
      <w:r w:rsidR="00300145">
        <w:t xml:space="preserve">v </w:t>
      </w:r>
      <w:r w:rsidR="00431BC5">
        <w:t xml:space="preserve">užívání </w:t>
      </w:r>
      <w:r w:rsidR="00A96DC3">
        <w:t xml:space="preserve">ústředních institucí projevily </w:t>
      </w:r>
      <w:r w:rsidR="00431BC5">
        <w:t xml:space="preserve">od roku 2018 </w:t>
      </w:r>
      <w:r w:rsidR="00A96DC3">
        <w:t>tyto instituce jen malý zájem</w:t>
      </w:r>
      <w:r w:rsidR="00431BC5">
        <w:t xml:space="preserve"> (</w:t>
      </w:r>
      <w:r w:rsidR="00A96DC3">
        <w:t>ten</w:t>
      </w:r>
      <w:r w:rsidR="00431BC5">
        <w:t xml:space="preserve"> odpovídal 18,5</w:t>
      </w:r>
      <w:r w:rsidR="004D7B0B">
        <w:t> </w:t>
      </w:r>
      <w:r w:rsidR="00431BC5">
        <w:t xml:space="preserve">% </w:t>
      </w:r>
      <w:r w:rsidR="00431BC5" w:rsidRPr="000F6627">
        <w:t>disponibi</w:t>
      </w:r>
      <w:r w:rsidR="00431BC5">
        <w:t xml:space="preserve">lních prostředků ve výši </w:t>
      </w:r>
      <w:r w:rsidR="00431BC5" w:rsidRPr="000F6627">
        <w:t>2,1 mld. Kč</w:t>
      </w:r>
      <w:r w:rsidR="00431BC5">
        <w:t>).</w:t>
      </w:r>
    </w:p>
    <w:p w14:paraId="186A580D" w14:textId="422041B4" w:rsidR="006C63A8" w:rsidRDefault="006C63A8" w:rsidP="006C63A8">
      <w:pPr>
        <w:autoSpaceDE w:val="0"/>
        <w:autoSpaceDN w:val="0"/>
        <w:adjustRightInd w:val="0"/>
        <w:spacing w:before="120"/>
      </w:pPr>
      <w:r w:rsidRPr="000F6627">
        <w:t xml:space="preserve">V rámci SC 5.1, ve kterém je alokován nejvyšší podíl alokace PO 5 OPŽP, bylo ke dni 30. 6. 2020 evidováno celkem 1 747 projektů s vydaným právním aktem </w:t>
      </w:r>
      <w:r w:rsidR="00C7337B">
        <w:t xml:space="preserve">o </w:t>
      </w:r>
      <w:r w:rsidRPr="000F6627">
        <w:t>poskytnutí podpory v celkové výši 5,</w:t>
      </w:r>
      <w:r w:rsidR="00FE5FBD" w:rsidRPr="000F6627">
        <w:t>2</w:t>
      </w:r>
      <w:r w:rsidRPr="000F6627">
        <w:t xml:space="preserve"> mld. Kč. I když zájem žadatelů </w:t>
      </w:r>
      <w:r w:rsidR="00DC6F75" w:rsidRPr="000F6627">
        <w:t xml:space="preserve">dle evidence registrovaných žádostí </w:t>
      </w:r>
      <w:r w:rsidRPr="000F6627">
        <w:t>pokrývá téměř</w:t>
      </w:r>
      <w:r>
        <w:t xml:space="preserve"> 100</w:t>
      </w:r>
      <w:r w:rsidR="00F37DEE">
        <w:t> </w:t>
      </w:r>
      <w:r>
        <w:t>% alokované částky</w:t>
      </w:r>
      <w:r w:rsidR="008D746A">
        <w:t xml:space="preserve">, </w:t>
      </w:r>
      <w:r w:rsidR="00DC6F75">
        <w:t xml:space="preserve">v právních aktech </w:t>
      </w:r>
      <w:r w:rsidR="00C7337B">
        <w:t xml:space="preserve">o </w:t>
      </w:r>
      <w:r w:rsidR="00DC6F75">
        <w:t>poskytnutí podpory bylo</w:t>
      </w:r>
      <w:r w:rsidR="008D746A">
        <w:t xml:space="preserve"> </w:t>
      </w:r>
      <w:r w:rsidR="00DC6F75">
        <w:t xml:space="preserve">smluvně zajištěno </w:t>
      </w:r>
      <w:r w:rsidR="008D746A">
        <w:t>pouze 42,5</w:t>
      </w:r>
      <w:r w:rsidR="00C7337B">
        <w:t> </w:t>
      </w:r>
      <w:r w:rsidR="008D746A">
        <w:t>% disponibilních prostředků.</w:t>
      </w:r>
    </w:p>
    <w:p w14:paraId="42C0B02E" w14:textId="6A857685" w:rsidR="003D3D08" w:rsidRDefault="008D746A" w:rsidP="00597C1E">
      <w:pPr>
        <w:autoSpaceDE w:val="0"/>
        <w:autoSpaceDN w:val="0"/>
        <w:adjustRightInd w:val="0"/>
        <w:spacing w:before="120"/>
      </w:pPr>
      <w:r>
        <w:t>V rámci SC 5.2 byl ke dni 30. 6. 2020 vydán právní akt k 20 projektům, čímž současně došlo k vyčerpání alokovaných prostředků pro tento SC</w:t>
      </w:r>
      <w:r w:rsidR="006E3E2C">
        <w:t>,</w:t>
      </w:r>
      <w:r>
        <w:t xml:space="preserve"> a v rámci SC 5.3 nebyl ke stejnému dni vydán žádný právní akt </w:t>
      </w:r>
      <w:r w:rsidR="00C7337B">
        <w:t>o</w:t>
      </w:r>
      <w:r>
        <w:t xml:space="preserve"> </w:t>
      </w:r>
      <w:r w:rsidR="00597C1E">
        <w:t xml:space="preserve">poskytnutí </w:t>
      </w:r>
      <w:r>
        <w:t xml:space="preserve">podpory. Informace o průběhu čerpání peněžních prostředků </w:t>
      </w:r>
      <w:r w:rsidRPr="007E588A">
        <w:t>v rámci PO 5 OPŽP jsou uvedeny v tabulce č. 2.</w:t>
      </w:r>
    </w:p>
    <w:p w14:paraId="7533BD28" w14:textId="77777777" w:rsidR="00F16C1F" w:rsidRPr="00833FB4" w:rsidRDefault="00F16C1F" w:rsidP="000753AE">
      <w:pPr>
        <w:pStyle w:val="Nzevtabulky"/>
        <w:ind w:hanging="1135"/>
      </w:pPr>
      <w:r w:rsidRPr="00CE7E1A">
        <w:t xml:space="preserve">Souhrnné údaje o čerpání v PO 5 OPŽP </w:t>
      </w:r>
      <w:r>
        <w:t>ke dni 30. 6.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2"/>
        <w:gridCol w:w="728"/>
        <w:gridCol w:w="1046"/>
        <w:gridCol w:w="976"/>
        <w:gridCol w:w="875"/>
        <w:gridCol w:w="873"/>
        <w:gridCol w:w="847"/>
        <w:gridCol w:w="875"/>
        <w:gridCol w:w="847"/>
        <w:gridCol w:w="871"/>
      </w:tblGrid>
      <w:tr w:rsidR="00F16C1F" w:rsidRPr="00CE7E1A" w14:paraId="7DE8C3C3" w14:textId="77777777" w:rsidTr="00FC7CB7">
        <w:trPr>
          <w:trHeight w:val="57"/>
        </w:trPr>
        <w:tc>
          <w:tcPr>
            <w:tcW w:w="623" w:type="pct"/>
            <w:vMerge w:val="restart"/>
            <w:shd w:val="clear" w:color="000000" w:fill="E5F1FF"/>
            <w:vAlign w:val="center"/>
            <w:hideMark/>
          </w:tcPr>
          <w:p w14:paraId="5CECAFAD" w14:textId="77777777" w:rsidR="00F16C1F" w:rsidRPr="00CE7E1A" w:rsidRDefault="00F16C1F" w:rsidP="00B84603">
            <w:pPr>
              <w:jc w:val="center"/>
              <w:rPr>
                <w:rFonts w:ascii="Calibri" w:hAnsi="Calibri" w:cs="Calibri"/>
                <w:b/>
                <w:bCs/>
                <w:color w:val="000000"/>
                <w:sz w:val="18"/>
                <w:szCs w:val="18"/>
              </w:rPr>
            </w:pPr>
            <w:r w:rsidRPr="00CE7E1A">
              <w:rPr>
                <w:rFonts w:ascii="Calibri" w:hAnsi="Calibri" w:cs="Calibri"/>
                <w:b/>
                <w:bCs/>
                <w:color w:val="000000"/>
                <w:sz w:val="18"/>
                <w:szCs w:val="18"/>
              </w:rPr>
              <w:t>Specifický cíl</w:t>
            </w:r>
          </w:p>
        </w:tc>
        <w:tc>
          <w:tcPr>
            <w:tcW w:w="4377" w:type="pct"/>
            <w:gridSpan w:val="9"/>
            <w:shd w:val="clear" w:color="000000" w:fill="E5F1FF"/>
            <w:noWrap/>
            <w:vAlign w:val="center"/>
            <w:hideMark/>
          </w:tcPr>
          <w:p w14:paraId="7F1C5B55" w14:textId="77777777" w:rsidR="00F16C1F" w:rsidRPr="00CE7E1A" w:rsidRDefault="00F16C1F" w:rsidP="00B84603">
            <w:pPr>
              <w:jc w:val="center"/>
              <w:rPr>
                <w:rFonts w:ascii="Calibri" w:hAnsi="Calibri" w:cs="Calibri"/>
                <w:b/>
                <w:bCs/>
                <w:color w:val="000000"/>
                <w:sz w:val="18"/>
                <w:szCs w:val="18"/>
              </w:rPr>
            </w:pPr>
            <w:r w:rsidRPr="00CE7E1A">
              <w:rPr>
                <w:rFonts w:ascii="Calibri" w:hAnsi="Calibri" w:cs="Calibri"/>
                <w:b/>
                <w:bCs/>
                <w:color w:val="000000"/>
                <w:sz w:val="18"/>
                <w:szCs w:val="18"/>
              </w:rPr>
              <w:t>Příspěvek EU</w:t>
            </w:r>
          </w:p>
        </w:tc>
      </w:tr>
      <w:tr w:rsidR="00F16C1F" w:rsidRPr="00C55750" w14:paraId="657A402C" w14:textId="77777777" w:rsidTr="00FC7CB7">
        <w:trPr>
          <w:trHeight w:val="57"/>
        </w:trPr>
        <w:tc>
          <w:tcPr>
            <w:tcW w:w="623" w:type="pct"/>
            <w:vMerge/>
            <w:vAlign w:val="center"/>
            <w:hideMark/>
          </w:tcPr>
          <w:p w14:paraId="65AB01A7" w14:textId="77777777" w:rsidR="00F16C1F" w:rsidRPr="00CE7E1A" w:rsidRDefault="00F16C1F" w:rsidP="00B84603">
            <w:pPr>
              <w:rPr>
                <w:rFonts w:ascii="Calibri" w:hAnsi="Calibri" w:cs="Calibri"/>
                <w:b/>
                <w:bCs/>
                <w:color w:val="000000"/>
                <w:sz w:val="18"/>
                <w:szCs w:val="18"/>
              </w:rPr>
            </w:pPr>
          </w:p>
        </w:tc>
        <w:tc>
          <w:tcPr>
            <w:tcW w:w="371" w:type="pct"/>
            <w:shd w:val="clear" w:color="000000" w:fill="E5F1FF"/>
            <w:vAlign w:val="center"/>
            <w:hideMark/>
          </w:tcPr>
          <w:p w14:paraId="6C6B6092" w14:textId="77777777" w:rsidR="00F16C1F" w:rsidRPr="00CE7E1A" w:rsidRDefault="00F16C1F" w:rsidP="00B84603">
            <w:pPr>
              <w:jc w:val="center"/>
              <w:rPr>
                <w:rFonts w:ascii="Calibri" w:hAnsi="Calibri" w:cs="Calibri"/>
                <w:b/>
                <w:bCs/>
                <w:color w:val="000000"/>
                <w:sz w:val="18"/>
                <w:szCs w:val="18"/>
              </w:rPr>
            </w:pPr>
            <w:r w:rsidRPr="00CE7E1A">
              <w:rPr>
                <w:rFonts w:ascii="Calibri" w:hAnsi="Calibri" w:cs="Calibri"/>
                <w:b/>
                <w:bCs/>
                <w:color w:val="000000"/>
                <w:sz w:val="18"/>
                <w:szCs w:val="18"/>
              </w:rPr>
              <w:t>Celková alokace</w:t>
            </w:r>
          </w:p>
        </w:tc>
        <w:tc>
          <w:tcPr>
            <w:tcW w:w="1609" w:type="pct"/>
            <w:gridSpan w:val="3"/>
            <w:shd w:val="clear" w:color="000000" w:fill="E5F1FF"/>
            <w:vAlign w:val="center"/>
            <w:hideMark/>
          </w:tcPr>
          <w:p w14:paraId="6E64B95F" w14:textId="0E94F904" w:rsidR="00F16C1F" w:rsidRPr="00CE7E1A" w:rsidRDefault="00766F63" w:rsidP="00F13992">
            <w:pPr>
              <w:jc w:val="center"/>
              <w:rPr>
                <w:rFonts w:ascii="Calibri" w:hAnsi="Calibri" w:cs="Calibri"/>
                <w:b/>
                <w:bCs/>
                <w:color w:val="000000"/>
                <w:sz w:val="18"/>
                <w:szCs w:val="18"/>
              </w:rPr>
            </w:pPr>
            <w:r>
              <w:rPr>
                <w:rFonts w:ascii="Calibri" w:hAnsi="Calibri" w:cs="Calibri"/>
                <w:b/>
                <w:bCs/>
                <w:color w:val="000000"/>
                <w:sz w:val="18"/>
                <w:szCs w:val="18"/>
              </w:rPr>
              <w:t>Peněž</w:t>
            </w:r>
            <w:r w:rsidR="00F16C1F" w:rsidRPr="00CE7E1A">
              <w:rPr>
                <w:rFonts w:ascii="Calibri" w:hAnsi="Calibri" w:cs="Calibri"/>
                <w:b/>
                <w:bCs/>
                <w:color w:val="000000"/>
                <w:sz w:val="18"/>
                <w:szCs w:val="18"/>
              </w:rPr>
              <w:t>ní prostředky v</w:t>
            </w:r>
            <w:r w:rsidR="006E3E2C">
              <w:rPr>
                <w:rFonts w:ascii="Calibri" w:hAnsi="Calibri" w:cs="Calibri"/>
                <w:b/>
                <w:bCs/>
                <w:color w:val="000000"/>
                <w:sz w:val="18"/>
                <w:szCs w:val="18"/>
              </w:rPr>
              <w:t> </w:t>
            </w:r>
            <w:r w:rsidR="00F16C1F" w:rsidRPr="00CE7E1A">
              <w:rPr>
                <w:rFonts w:ascii="Calibri" w:hAnsi="Calibri" w:cs="Calibri"/>
                <w:b/>
                <w:bCs/>
                <w:color w:val="000000"/>
                <w:sz w:val="18"/>
                <w:szCs w:val="18"/>
              </w:rPr>
              <w:t>zaregistrovaných žádostech o</w:t>
            </w:r>
            <w:r w:rsidR="006E3E2C">
              <w:rPr>
                <w:rFonts w:ascii="Calibri" w:hAnsi="Calibri" w:cs="Calibri"/>
                <w:b/>
                <w:bCs/>
                <w:color w:val="000000"/>
                <w:sz w:val="18"/>
                <w:szCs w:val="18"/>
              </w:rPr>
              <w:t> </w:t>
            </w:r>
            <w:r w:rsidR="00F16C1F" w:rsidRPr="00CE7E1A">
              <w:rPr>
                <w:rFonts w:ascii="Calibri" w:hAnsi="Calibri" w:cs="Calibri"/>
                <w:b/>
                <w:bCs/>
                <w:color w:val="000000"/>
                <w:sz w:val="18"/>
                <w:szCs w:val="18"/>
              </w:rPr>
              <w:t>podporu</w:t>
            </w:r>
          </w:p>
        </w:tc>
        <w:tc>
          <w:tcPr>
            <w:tcW w:w="1442" w:type="pct"/>
            <w:gridSpan w:val="3"/>
            <w:shd w:val="clear" w:color="000000" w:fill="E5F1FF"/>
            <w:vAlign w:val="center"/>
            <w:hideMark/>
          </w:tcPr>
          <w:p w14:paraId="292866ED" w14:textId="211356DD" w:rsidR="00F16C1F" w:rsidRPr="00CE7E1A" w:rsidRDefault="00766F63">
            <w:pPr>
              <w:jc w:val="center"/>
              <w:rPr>
                <w:rFonts w:ascii="Calibri" w:hAnsi="Calibri" w:cs="Calibri"/>
                <w:b/>
                <w:bCs/>
                <w:color w:val="000000"/>
                <w:sz w:val="18"/>
                <w:szCs w:val="18"/>
              </w:rPr>
            </w:pPr>
            <w:r>
              <w:rPr>
                <w:rFonts w:ascii="Calibri" w:hAnsi="Calibri" w:cs="Calibri"/>
                <w:b/>
                <w:bCs/>
                <w:color w:val="000000"/>
                <w:sz w:val="18"/>
                <w:szCs w:val="18"/>
              </w:rPr>
              <w:t>Peněž</w:t>
            </w:r>
            <w:r w:rsidR="00F16C1F" w:rsidRPr="00CE7E1A">
              <w:rPr>
                <w:rFonts w:ascii="Calibri" w:hAnsi="Calibri" w:cs="Calibri"/>
                <w:b/>
                <w:bCs/>
                <w:color w:val="000000"/>
                <w:sz w:val="18"/>
                <w:szCs w:val="18"/>
              </w:rPr>
              <w:t>ní prostředky v právních aktech o poskytnutí/převodu podpory</w:t>
            </w:r>
          </w:p>
        </w:tc>
        <w:tc>
          <w:tcPr>
            <w:tcW w:w="955" w:type="pct"/>
            <w:gridSpan w:val="2"/>
            <w:shd w:val="clear" w:color="000000" w:fill="E5F1FF"/>
            <w:vAlign w:val="center"/>
            <w:hideMark/>
          </w:tcPr>
          <w:p w14:paraId="0E015DDB" w14:textId="762954DC" w:rsidR="00F16C1F" w:rsidRPr="00CE7E1A" w:rsidRDefault="00766F63">
            <w:pPr>
              <w:jc w:val="center"/>
              <w:rPr>
                <w:rFonts w:ascii="Calibri" w:hAnsi="Calibri" w:cs="Calibri"/>
                <w:b/>
                <w:bCs/>
                <w:color w:val="000000"/>
                <w:sz w:val="18"/>
                <w:szCs w:val="18"/>
              </w:rPr>
            </w:pPr>
            <w:r>
              <w:rPr>
                <w:rFonts w:ascii="Calibri" w:hAnsi="Calibri" w:cs="Calibri"/>
                <w:b/>
                <w:bCs/>
                <w:color w:val="000000"/>
                <w:sz w:val="18"/>
                <w:szCs w:val="18"/>
              </w:rPr>
              <w:t>Peněž</w:t>
            </w:r>
            <w:r w:rsidR="00F16C1F" w:rsidRPr="00CE7E1A">
              <w:rPr>
                <w:rFonts w:ascii="Calibri" w:hAnsi="Calibri" w:cs="Calibri"/>
                <w:b/>
                <w:bCs/>
                <w:color w:val="000000"/>
                <w:sz w:val="18"/>
                <w:szCs w:val="18"/>
              </w:rPr>
              <w:t xml:space="preserve">ní prostředky </w:t>
            </w:r>
            <w:r w:rsidR="005516BD">
              <w:rPr>
                <w:rFonts w:ascii="Calibri" w:hAnsi="Calibri" w:cs="Calibri"/>
                <w:b/>
                <w:bCs/>
                <w:color w:val="000000"/>
                <w:sz w:val="18"/>
                <w:szCs w:val="18"/>
              </w:rPr>
              <w:t>v </w:t>
            </w:r>
            <w:r w:rsidR="00F16C1F" w:rsidRPr="00CE7E1A">
              <w:rPr>
                <w:rFonts w:ascii="Calibri" w:hAnsi="Calibri" w:cs="Calibri"/>
                <w:b/>
                <w:bCs/>
                <w:color w:val="000000"/>
                <w:sz w:val="18"/>
                <w:szCs w:val="18"/>
              </w:rPr>
              <w:t>proplacen</w:t>
            </w:r>
            <w:r w:rsidR="005516BD">
              <w:rPr>
                <w:rFonts w:ascii="Calibri" w:hAnsi="Calibri" w:cs="Calibri"/>
                <w:b/>
                <w:bCs/>
                <w:color w:val="000000"/>
                <w:sz w:val="18"/>
                <w:szCs w:val="18"/>
              </w:rPr>
              <w:t>ých</w:t>
            </w:r>
            <w:r w:rsidR="00F16C1F" w:rsidRPr="00CE7E1A">
              <w:rPr>
                <w:rFonts w:ascii="Calibri" w:hAnsi="Calibri" w:cs="Calibri"/>
                <w:b/>
                <w:bCs/>
                <w:color w:val="000000"/>
                <w:sz w:val="18"/>
                <w:szCs w:val="18"/>
              </w:rPr>
              <w:t xml:space="preserve"> žádostech o platbu</w:t>
            </w:r>
          </w:p>
        </w:tc>
      </w:tr>
      <w:tr w:rsidR="00F16C1F" w:rsidRPr="00C55750" w14:paraId="61FAE7A8" w14:textId="77777777" w:rsidTr="00FC7CB7">
        <w:trPr>
          <w:trHeight w:val="57"/>
        </w:trPr>
        <w:tc>
          <w:tcPr>
            <w:tcW w:w="623" w:type="pct"/>
            <w:vMerge/>
            <w:vAlign w:val="center"/>
            <w:hideMark/>
          </w:tcPr>
          <w:p w14:paraId="1DFCB8DE" w14:textId="77777777" w:rsidR="00F16C1F" w:rsidRPr="00CE7E1A" w:rsidRDefault="00F16C1F" w:rsidP="00B84603">
            <w:pPr>
              <w:rPr>
                <w:rFonts w:ascii="Calibri" w:hAnsi="Calibri" w:cs="Calibri"/>
                <w:b/>
                <w:bCs/>
                <w:color w:val="000000"/>
                <w:sz w:val="18"/>
                <w:szCs w:val="18"/>
              </w:rPr>
            </w:pPr>
          </w:p>
        </w:tc>
        <w:tc>
          <w:tcPr>
            <w:tcW w:w="371" w:type="pct"/>
            <w:shd w:val="clear" w:color="auto" w:fill="auto"/>
            <w:vAlign w:val="center"/>
            <w:hideMark/>
          </w:tcPr>
          <w:p w14:paraId="034CF12C" w14:textId="77777777" w:rsidR="00F16C1F" w:rsidRPr="00CE7E1A" w:rsidRDefault="00F16C1F" w:rsidP="00B84603">
            <w:pPr>
              <w:jc w:val="center"/>
              <w:rPr>
                <w:rFonts w:ascii="Calibri" w:hAnsi="Calibri" w:cs="Calibri"/>
                <w:bCs/>
                <w:color w:val="000000"/>
                <w:sz w:val="18"/>
                <w:szCs w:val="18"/>
              </w:rPr>
            </w:pPr>
            <w:r w:rsidRPr="00CE7E1A">
              <w:rPr>
                <w:rFonts w:ascii="Calibri" w:hAnsi="Calibri" w:cs="Calibri"/>
                <w:bCs/>
                <w:color w:val="000000"/>
                <w:sz w:val="18"/>
                <w:szCs w:val="18"/>
              </w:rPr>
              <w:t>mil. Kč</w:t>
            </w:r>
          </w:p>
        </w:tc>
        <w:tc>
          <w:tcPr>
            <w:tcW w:w="581" w:type="pct"/>
            <w:shd w:val="clear" w:color="auto" w:fill="auto"/>
            <w:vAlign w:val="center"/>
            <w:hideMark/>
          </w:tcPr>
          <w:p w14:paraId="39CCD444" w14:textId="77777777" w:rsidR="00F16C1F" w:rsidRPr="00CE7E1A" w:rsidRDefault="00F16C1F" w:rsidP="00B84603">
            <w:pPr>
              <w:jc w:val="center"/>
              <w:rPr>
                <w:rFonts w:ascii="Calibri" w:hAnsi="Calibri" w:cs="Calibri"/>
                <w:bCs/>
                <w:color w:val="000000"/>
                <w:sz w:val="18"/>
                <w:szCs w:val="18"/>
              </w:rPr>
            </w:pPr>
            <w:r w:rsidRPr="00CE7E1A">
              <w:rPr>
                <w:rFonts w:ascii="Calibri" w:hAnsi="Calibri" w:cs="Calibri"/>
                <w:bCs/>
                <w:color w:val="000000"/>
                <w:sz w:val="18"/>
                <w:szCs w:val="18"/>
              </w:rPr>
              <w:t>mil. Kč</w:t>
            </w:r>
          </w:p>
        </w:tc>
        <w:tc>
          <w:tcPr>
            <w:tcW w:w="542" w:type="pct"/>
            <w:shd w:val="clear" w:color="auto" w:fill="auto"/>
            <w:vAlign w:val="center"/>
            <w:hideMark/>
          </w:tcPr>
          <w:p w14:paraId="01F7FFCA" w14:textId="77777777" w:rsidR="00F16C1F" w:rsidRPr="00CE7E1A" w:rsidRDefault="00F16C1F" w:rsidP="00B84603">
            <w:pPr>
              <w:jc w:val="center"/>
              <w:rPr>
                <w:rFonts w:ascii="Calibri" w:hAnsi="Calibri" w:cs="Calibri"/>
                <w:bCs/>
                <w:color w:val="000000"/>
                <w:sz w:val="18"/>
                <w:szCs w:val="18"/>
              </w:rPr>
            </w:pPr>
            <w:r w:rsidRPr="00CE7E1A">
              <w:rPr>
                <w:rFonts w:ascii="Calibri" w:hAnsi="Calibri" w:cs="Calibri"/>
                <w:bCs/>
                <w:color w:val="000000"/>
                <w:sz w:val="18"/>
                <w:szCs w:val="18"/>
              </w:rPr>
              <w:t>% k celkové alokaci</w:t>
            </w:r>
          </w:p>
        </w:tc>
        <w:tc>
          <w:tcPr>
            <w:tcW w:w="486" w:type="pct"/>
            <w:shd w:val="clear" w:color="auto" w:fill="auto"/>
            <w:vAlign w:val="center"/>
            <w:hideMark/>
          </w:tcPr>
          <w:p w14:paraId="221C8CA6" w14:textId="77777777" w:rsidR="00F16C1F" w:rsidRPr="00CE7E1A" w:rsidRDefault="00F16C1F" w:rsidP="00B84603">
            <w:pPr>
              <w:jc w:val="center"/>
              <w:rPr>
                <w:rFonts w:ascii="Calibri" w:hAnsi="Calibri" w:cs="Calibri"/>
                <w:bCs/>
                <w:color w:val="000000"/>
                <w:sz w:val="18"/>
                <w:szCs w:val="18"/>
              </w:rPr>
            </w:pPr>
            <w:r w:rsidRPr="00CE7E1A">
              <w:rPr>
                <w:rFonts w:ascii="Calibri" w:hAnsi="Calibri" w:cs="Calibri"/>
                <w:bCs/>
                <w:color w:val="000000"/>
                <w:sz w:val="18"/>
                <w:szCs w:val="18"/>
              </w:rPr>
              <w:t>počet projektů</w:t>
            </w:r>
          </w:p>
        </w:tc>
        <w:tc>
          <w:tcPr>
            <w:tcW w:w="485" w:type="pct"/>
            <w:shd w:val="clear" w:color="auto" w:fill="auto"/>
            <w:vAlign w:val="center"/>
            <w:hideMark/>
          </w:tcPr>
          <w:p w14:paraId="3C4C92DA" w14:textId="77777777" w:rsidR="00F16C1F" w:rsidRPr="00CE7E1A" w:rsidRDefault="00F16C1F" w:rsidP="00B84603">
            <w:pPr>
              <w:jc w:val="center"/>
              <w:rPr>
                <w:rFonts w:ascii="Calibri" w:hAnsi="Calibri" w:cs="Calibri"/>
                <w:bCs/>
                <w:color w:val="000000"/>
                <w:sz w:val="18"/>
                <w:szCs w:val="18"/>
              </w:rPr>
            </w:pPr>
            <w:r w:rsidRPr="00CE7E1A">
              <w:rPr>
                <w:rFonts w:ascii="Calibri" w:hAnsi="Calibri" w:cs="Calibri"/>
                <w:bCs/>
                <w:color w:val="000000"/>
                <w:sz w:val="18"/>
                <w:szCs w:val="18"/>
              </w:rPr>
              <w:t>mil. Kč</w:t>
            </w:r>
          </w:p>
        </w:tc>
        <w:tc>
          <w:tcPr>
            <w:tcW w:w="471" w:type="pct"/>
            <w:shd w:val="clear" w:color="auto" w:fill="auto"/>
            <w:vAlign w:val="center"/>
            <w:hideMark/>
          </w:tcPr>
          <w:p w14:paraId="60AA77CE" w14:textId="77777777" w:rsidR="00F16C1F" w:rsidRPr="00CE7E1A" w:rsidRDefault="00F16C1F" w:rsidP="00B84603">
            <w:pPr>
              <w:jc w:val="center"/>
              <w:rPr>
                <w:rFonts w:ascii="Calibri" w:hAnsi="Calibri" w:cs="Calibri"/>
                <w:bCs/>
                <w:color w:val="000000"/>
                <w:sz w:val="18"/>
                <w:szCs w:val="18"/>
              </w:rPr>
            </w:pPr>
            <w:r w:rsidRPr="00CE7E1A">
              <w:rPr>
                <w:rFonts w:ascii="Calibri" w:hAnsi="Calibri" w:cs="Calibri"/>
                <w:bCs/>
                <w:color w:val="000000"/>
                <w:sz w:val="18"/>
                <w:szCs w:val="18"/>
              </w:rPr>
              <w:t>% k celkové alokaci</w:t>
            </w:r>
          </w:p>
        </w:tc>
        <w:tc>
          <w:tcPr>
            <w:tcW w:w="486" w:type="pct"/>
            <w:shd w:val="clear" w:color="auto" w:fill="auto"/>
            <w:vAlign w:val="center"/>
            <w:hideMark/>
          </w:tcPr>
          <w:p w14:paraId="06C30609" w14:textId="77777777" w:rsidR="00F16C1F" w:rsidRPr="00CE7E1A" w:rsidRDefault="00F16C1F" w:rsidP="00B84603">
            <w:pPr>
              <w:jc w:val="center"/>
              <w:rPr>
                <w:rFonts w:ascii="Calibri" w:hAnsi="Calibri" w:cs="Calibri"/>
                <w:bCs/>
                <w:color w:val="000000"/>
                <w:sz w:val="18"/>
                <w:szCs w:val="18"/>
              </w:rPr>
            </w:pPr>
            <w:r w:rsidRPr="00CE7E1A">
              <w:rPr>
                <w:rFonts w:ascii="Calibri" w:hAnsi="Calibri" w:cs="Calibri"/>
                <w:bCs/>
                <w:color w:val="000000"/>
                <w:sz w:val="18"/>
                <w:szCs w:val="18"/>
              </w:rPr>
              <w:t>počet projektů</w:t>
            </w:r>
          </w:p>
        </w:tc>
        <w:tc>
          <w:tcPr>
            <w:tcW w:w="471" w:type="pct"/>
            <w:shd w:val="clear" w:color="auto" w:fill="auto"/>
            <w:vAlign w:val="center"/>
            <w:hideMark/>
          </w:tcPr>
          <w:p w14:paraId="02CB45D7" w14:textId="77777777" w:rsidR="00F16C1F" w:rsidRPr="00CE7E1A" w:rsidRDefault="00F16C1F" w:rsidP="00B84603">
            <w:pPr>
              <w:jc w:val="center"/>
              <w:rPr>
                <w:rFonts w:ascii="Calibri" w:hAnsi="Calibri" w:cs="Calibri"/>
                <w:bCs/>
                <w:color w:val="000000"/>
                <w:sz w:val="18"/>
                <w:szCs w:val="18"/>
              </w:rPr>
            </w:pPr>
            <w:r w:rsidRPr="00CE7E1A">
              <w:rPr>
                <w:rFonts w:ascii="Calibri" w:hAnsi="Calibri" w:cs="Calibri"/>
                <w:bCs/>
                <w:color w:val="000000"/>
                <w:sz w:val="18"/>
                <w:szCs w:val="18"/>
              </w:rPr>
              <w:t>mil. Kč</w:t>
            </w:r>
          </w:p>
        </w:tc>
        <w:tc>
          <w:tcPr>
            <w:tcW w:w="484" w:type="pct"/>
            <w:shd w:val="clear" w:color="auto" w:fill="auto"/>
            <w:vAlign w:val="center"/>
            <w:hideMark/>
          </w:tcPr>
          <w:p w14:paraId="4B42EFEB" w14:textId="77777777" w:rsidR="00F16C1F" w:rsidRPr="00CE7E1A" w:rsidRDefault="00F16C1F" w:rsidP="00B84603">
            <w:pPr>
              <w:jc w:val="center"/>
              <w:rPr>
                <w:rFonts w:ascii="Calibri" w:hAnsi="Calibri" w:cs="Calibri"/>
                <w:bCs/>
                <w:color w:val="000000"/>
                <w:sz w:val="18"/>
                <w:szCs w:val="18"/>
              </w:rPr>
            </w:pPr>
            <w:r w:rsidRPr="00CE7E1A">
              <w:rPr>
                <w:rFonts w:ascii="Calibri" w:hAnsi="Calibri" w:cs="Calibri"/>
                <w:bCs/>
                <w:color w:val="000000"/>
                <w:sz w:val="18"/>
                <w:szCs w:val="18"/>
              </w:rPr>
              <w:t>% k celkové alokaci</w:t>
            </w:r>
          </w:p>
        </w:tc>
      </w:tr>
      <w:tr w:rsidR="00F16C1F" w:rsidRPr="00C55750" w14:paraId="2E14163B" w14:textId="77777777" w:rsidTr="00FC7CB7">
        <w:trPr>
          <w:trHeight w:val="57"/>
        </w:trPr>
        <w:tc>
          <w:tcPr>
            <w:tcW w:w="623" w:type="pct"/>
            <w:shd w:val="clear" w:color="auto" w:fill="auto"/>
            <w:vAlign w:val="center"/>
            <w:hideMark/>
          </w:tcPr>
          <w:p w14:paraId="71960E57" w14:textId="77777777" w:rsidR="00F16C1F" w:rsidRPr="00CE7E1A" w:rsidRDefault="00F16C1F" w:rsidP="00B84603">
            <w:pPr>
              <w:jc w:val="center"/>
              <w:rPr>
                <w:rFonts w:ascii="Calibri" w:hAnsi="Calibri" w:cs="Calibri"/>
                <w:b/>
                <w:bCs/>
                <w:color w:val="000000"/>
                <w:sz w:val="18"/>
                <w:szCs w:val="18"/>
              </w:rPr>
            </w:pPr>
            <w:r w:rsidRPr="00CE7E1A">
              <w:rPr>
                <w:rFonts w:ascii="Calibri" w:hAnsi="Calibri" w:cs="Calibri"/>
                <w:b/>
                <w:bCs/>
                <w:color w:val="000000"/>
                <w:sz w:val="18"/>
                <w:szCs w:val="18"/>
              </w:rPr>
              <w:t>5</w:t>
            </w:r>
            <w:r>
              <w:rPr>
                <w:rFonts w:ascii="Calibri" w:hAnsi="Calibri" w:cs="Calibri"/>
                <w:b/>
                <w:bCs/>
                <w:color w:val="000000"/>
                <w:sz w:val="18"/>
                <w:szCs w:val="18"/>
              </w:rPr>
              <w:t>.</w:t>
            </w:r>
            <w:r w:rsidRPr="00CE7E1A">
              <w:rPr>
                <w:rFonts w:ascii="Calibri" w:hAnsi="Calibri" w:cs="Calibri"/>
                <w:b/>
                <w:bCs/>
                <w:color w:val="000000"/>
                <w:sz w:val="18"/>
                <w:szCs w:val="18"/>
              </w:rPr>
              <w:t>1</w:t>
            </w:r>
          </w:p>
        </w:tc>
        <w:tc>
          <w:tcPr>
            <w:tcW w:w="371" w:type="pct"/>
            <w:shd w:val="clear" w:color="auto" w:fill="auto"/>
            <w:vAlign w:val="center"/>
            <w:hideMark/>
          </w:tcPr>
          <w:p w14:paraId="24B1188B"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12 173</w:t>
            </w:r>
          </w:p>
        </w:tc>
        <w:tc>
          <w:tcPr>
            <w:tcW w:w="581" w:type="pct"/>
            <w:shd w:val="clear" w:color="auto" w:fill="auto"/>
            <w:vAlign w:val="center"/>
            <w:hideMark/>
          </w:tcPr>
          <w:p w14:paraId="39074691"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12 139</w:t>
            </w:r>
          </w:p>
        </w:tc>
        <w:tc>
          <w:tcPr>
            <w:tcW w:w="542" w:type="pct"/>
            <w:shd w:val="clear" w:color="auto" w:fill="auto"/>
            <w:vAlign w:val="center"/>
            <w:hideMark/>
          </w:tcPr>
          <w:p w14:paraId="672AF9BF"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99,7</w:t>
            </w:r>
          </w:p>
        </w:tc>
        <w:tc>
          <w:tcPr>
            <w:tcW w:w="486" w:type="pct"/>
            <w:shd w:val="clear" w:color="auto" w:fill="auto"/>
            <w:vAlign w:val="center"/>
            <w:hideMark/>
          </w:tcPr>
          <w:p w14:paraId="76BC02C1"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3 073</w:t>
            </w:r>
          </w:p>
        </w:tc>
        <w:tc>
          <w:tcPr>
            <w:tcW w:w="485" w:type="pct"/>
            <w:shd w:val="clear" w:color="auto" w:fill="auto"/>
            <w:vAlign w:val="center"/>
            <w:hideMark/>
          </w:tcPr>
          <w:p w14:paraId="25C2954F"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5 175</w:t>
            </w:r>
          </w:p>
        </w:tc>
        <w:tc>
          <w:tcPr>
            <w:tcW w:w="471" w:type="pct"/>
            <w:shd w:val="clear" w:color="auto" w:fill="auto"/>
            <w:vAlign w:val="center"/>
            <w:hideMark/>
          </w:tcPr>
          <w:p w14:paraId="34E6C075"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42,5</w:t>
            </w:r>
          </w:p>
        </w:tc>
        <w:tc>
          <w:tcPr>
            <w:tcW w:w="486" w:type="pct"/>
            <w:shd w:val="clear" w:color="auto" w:fill="auto"/>
            <w:vAlign w:val="center"/>
            <w:hideMark/>
          </w:tcPr>
          <w:p w14:paraId="13720A4B"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1 747</w:t>
            </w:r>
          </w:p>
        </w:tc>
        <w:tc>
          <w:tcPr>
            <w:tcW w:w="471" w:type="pct"/>
            <w:shd w:val="clear" w:color="auto" w:fill="auto"/>
            <w:vAlign w:val="center"/>
            <w:hideMark/>
          </w:tcPr>
          <w:p w14:paraId="1901A528"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2 858</w:t>
            </w:r>
          </w:p>
        </w:tc>
        <w:tc>
          <w:tcPr>
            <w:tcW w:w="484" w:type="pct"/>
            <w:shd w:val="clear" w:color="auto" w:fill="auto"/>
            <w:vAlign w:val="center"/>
            <w:hideMark/>
          </w:tcPr>
          <w:p w14:paraId="6F29B510"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23,5</w:t>
            </w:r>
          </w:p>
        </w:tc>
      </w:tr>
      <w:tr w:rsidR="00F16C1F" w:rsidRPr="00C55750" w14:paraId="02F894BE" w14:textId="77777777" w:rsidTr="00FC7CB7">
        <w:trPr>
          <w:trHeight w:val="57"/>
        </w:trPr>
        <w:tc>
          <w:tcPr>
            <w:tcW w:w="623" w:type="pct"/>
            <w:shd w:val="clear" w:color="auto" w:fill="auto"/>
            <w:vAlign w:val="center"/>
            <w:hideMark/>
          </w:tcPr>
          <w:p w14:paraId="53A5B32B" w14:textId="77777777" w:rsidR="00F16C1F" w:rsidRPr="00CE7E1A" w:rsidRDefault="00F16C1F" w:rsidP="00B84603">
            <w:pPr>
              <w:jc w:val="center"/>
              <w:rPr>
                <w:rFonts w:ascii="Calibri" w:hAnsi="Calibri" w:cs="Calibri"/>
                <w:b/>
                <w:bCs/>
                <w:color w:val="000000"/>
                <w:sz w:val="18"/>
                <w:szCs w:val="18"/>
              </w:rPr>
            </w:pPr>
            <w:r>
              <w:rPr>
                <w:rFonts w:ascii="Calibri" w:hAnsi="Calibri" w:cs="Calibri"/>
                <w:b/>
                <w:bCs/>
                <w:color w:val="000000"/>
                <w:sz w:val="18"/>
                <w:szCs w:val="18"/>
              </w:rPr>
              <w:t>5.</w:t>
            </w:r>
            <w:r w:rsidRPr="00CE7E1A">
              <w:rPr>
                <w:rFonts w:ascii="Calibri" w:hAnsi="Calibri" w:cs="Calibri"/>
                <w:b/>
                <w:bCs/>
                <w:color w:val="000000"/>
                <w:sz w:val="18"/>
                <w:szCs w:val="18"/>
              </w:rPr>
              <w:t>2</w:t>
            </w:r>
          </w:p>
        </w:tc>
        <w:tc>
          <w:tcPr>
            <w:tcW w:w="371" w:type="pct"/>
            <w:shd w:val="clear" w:color="auto" w:fill="auto"/>
            <w:vAlign w:val="center"/>
            <w:hideMark/>
          </w:tcPr>
          <w:p w14:paraId="16D75B61"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540</w:t>
            </w:r>
          </w:p>
        </w:tc>
        <w:tc>
          <w:tcPr>
            <w:tcW w:w="581" w:type="pct"/>
            <w:shd w:val="clear" w:color="auto" w:fill="auto"/>
            <w:vAlign w:val="center"/>
            <w:hideMark/>
          </w:tcPr>
          <w:p w14:paraId="5ED95B26"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1 218</w:t>
            </w:r>
          </w:p>
        </w:tc>
        <w:tc>
          <w:tcPr>
            <w:tcW w:w="542" w:type="pct"/>
            <w:shd w:val="clear" w:color="auto" w:fill="auto"/>
            <w:vAlign w:val="center"/>
            <w:hideMark/>
          </w:tcPr>
          <w:p w14:paraId="538AA283" w14:textId="77777777" w:rsidR="00F16C1F" w:rsidRPr="00CE7E1A" w:rsidRDefault="00F16C1F" w:rsidP="00443CE7">
            <w:pPr>
              <w:jc w:val="right"/>
              <w:rPr>
                <w:rFonts w:ascii="Calibri" w:hAnsi="Calibri" w:cs="Calibri"/>
                <w:color w:val="000000"/>
                <w:sz w:val="18"/>
                <w:szCs w:val="18"/>
              </w:rPr>
            </w:pPr>
            <w:r w:rsidRPr="00CE7E1A">
              <w:rPr>
                <w:rFonts w:ascii="Calibri" w:hAnsi="Calibri" w:cs="Calibri"/>
                <w:color w:val="000000"/>
                <w:sz w:val="18"/>
                <w:szCs w:val="18"/>
              </w:rPr>
              <w:t>225,</w:t>
            </w:r>
            <w:r w:rsidR="00443CE7">
              <w:rPr>
                <w:rFonts w:ascii="Calibri" w:hAnsi="Calibri" w:cs="Calibri"/>
                <w:color w:val="000000"/>
                <w:sz w:val="18"/>
                <w:szCs w:val="18"/>
              </w:rPr>
              <w:t>5</w:t>
            </w:r>
          </w:p>
        </w:tc>
        <w:tc>
          <w:tcPr>
            <w:tcW w:w="486" w:type="pct"/>
            <w:shd w:val="clear" w:color="auto" w:fill="auto"/>
            <w:vAlign w:val="center"/>
            <w:hideMark/>
          </w:tcPr>
          <w:p w14:paraId="0889500A"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41</w:t>
            </w:r>
          </w:p>
        </w:tc>
        <w:tc>
          <w:tcPr>
            <w:tcW w:w="485" w:type="pct"/>
            <w:shd w:val="clear" w:color="auto" w:fill="auto"/>
            <w:vAlign w:val="center"/>
            <w:hideMark/>
          </w:tcPr>
          <w:p w14:paraId="16D037F2" w14:textId="77777777" w:rsidR="00F16C1F" w:rsidRPr="00CE7E1A" w:rsidRDefault="00F16C1F" w:rsidP="00B84603">
            <w:pPr>
              <w:jc w:val="right"/>
              <w:rPr>
                <w:rFonts w:ascii="Calibri" w:hAnsi="Calibri" w:cs="Calibri"/>
                <w:color w:val="000000"/>
                <w:sz w:val="18"/>
                <w:szCs w:val="18"/>
              </w:rPr>
            </w:pPr>
            <w:r w:rsidRPr="00C55750">
              <w:rPr>
                <w:rFonts w:ascii="Calibri" w:hAnsi="Calibri" w:cs="Calibri"/>
                <w:color w:val="000000"/>
                <w:sz w:val="18"/>
                <w:szCs w:val="18"/>
              </w:rPr>
              <w:t>544</w:t>
            </w:r>
          </w:p>
        </w:tc>
        <w:tc>
          <w:tcPr>
            <w:tcW w:w="471" w:type="pct"/>
            <w:shd w:val="clear" w:color="auto" w:fill="auto"/>
            <w:vAlign w:val="center"/>
            <w:hideMark/>
          </w:tcPr>
          <w:p w14:paraId="4CFF0E1D"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100,7</w:t>
            </w:r>
          </w:p>
        </w:tc>
        <w:tc>
          <w:tcPr>
            <w:tcW w:w="486" w:type="pct"/>
            <w:shd w:val="clear" w:color="auto" w:fill="auto"/>
            <w:vAlign w:val="center"/>
            <w:hideMark/>
          </w:tcPr>
          <w:p w14:paraId="6FCD4826"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 xml:space="preserve">20 </w:t>
            </w:r>
          </w:p>
        </w:tc>
        <w:tc>
          <w:tcPr>
            <w:tcW w:w="471" w:type="pct"/>
            <w:shd w:val="clear" w:color="auto" w:fill="auto"/>
            <w:vAlign w:val="center"/>
            <w:hideMark/>
          </w:tcPr>
          <w:p w14:paraId="3155BCF0"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114</w:t>
            </w:r>
          </w:p>
        </w:tc>
        <w:tc>
          <w:tcPr>
            <w:tcW w:w="484" w:type="pct"/>
            <w:shd w:val="clear" w:color="auto" w:fill="auto"/>
            <w:vAlign w:val="center"/>
            <w:hideMark/>
          </w:tcPr>
          <w:p w14:paraId="413E02A7"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21,1</w:t>
            </w:r>
          </w:p>
        </w:tc>
      </w:tr>
      <w:tr w:rsidR="00F16C1F" w:rsidRPr="00C55750" w14:paraId="5A5FA3A3" w14:textId="77777777" w:rsidTr="00FC7CB7">
        <w:trPr>
          <w:trHeight w:val="57"/>
        </w:trPr>
        <w:tc>
          <w:tcPr>
            <w:tcW w:w="623" w:type="pct"/>
            <w:shd w:val="clear" w:color="auto" w:fill="auto"/>
            <w:vAlign w:val="center"/>
            <w:hideMark/>
          </w:tcPr>
          <w:p w14:paraId="156EE8DC" w14:textId="77777777" w:rsidR="00F16C1F" w:rsidRPr="00CE7E1A" w:rsidRDefault="00F16C1F" w:rsidP="00B84603">
            <w:pPr>
              <w:jc w:val="center"/>
              <w:rPr>
                <w:rFonts w:ascii="Calibri" w:hAnsi="Calibri" w:cs="Calibri"/>
                <w:b/>
                <w:bCs/>
                <w:color w:val="000000"/>
                <w:sz w:val="18"/>
                <w:szCs w:val="18"/>
              </w:rPr>
            </w:pPr>
            <w:r>
              <w:rPr>
                <w:rFonts w:ascii="Calibri" w:hAnsi="Calibri" w:cs="Calibri"/>
                <w:b/>
                <w:bCs/>
                <w:color w:val="000000"/>
                <w:sz w:val="18"/>
                <w:szCs w:val="18"/>
              </w:rPr>
              <w:t>5.</w:t>
            </w:r>
            <w:r w:rsidRPr="00CE7E1A">
              <w:rPr>
                <w:rFonts w:ascii="Calibri" w:hAnsi="Calibri" w:cs="Calibri"/>
                <w:b/>
                <w:bCs/>
                <w:color w:val="000000"/>
                <w:sz w:val="18"/>
                <w:szCs w:val="18"/>
              </w:rPr>
              <w:t>3</w:t>
            </w:r>
          </w:p>
        </w:tc>
        <w:tc>
          <w:tcPr>
            <w:tcW w:w="371" w:type="pct"/>
            <w:shd w:val="clear" w:color="auto" w:fill="auto"/>
            <w:vAlign w:val="center"/>
            <w:hideMark/>
          </w:tcPr>
          <w:p w14:paraId="5AE7FD5D"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2 127</w:t>
            </w:r>
          </w:p>
        </w:tc>
        <w:tc>
          <w:tcPr>
            <w:tcW w:w="581" w:type="pct"/>
            <w:shd w:val="clear" w:color="auto" w:fill="auto"/>
            <w:vAlign w:val="center"/>
            <w:hideMark/>
          </w:tcPr>
          <w:p w14:paraId="10EFC788"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393</w:t>
            </w:r>
          </w:p>
        </w:tc>
        <w:tc>
          <w:tcPr>
            <w:tcW w:w="542" w:type="pct"/>
            <w:shd w:val="clear" w:color="auto" w:fill="auto"/>
            <w:vAlign w:val="center"/>
            <w:hideMark/>
          </w:tcPr>
          <w:p w14:paraId="59C671B7"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18,5</w:t>
            </w:r>
          </w:p>
        </w:tc>
        <w:tc>
          <w:tcPr>
            <w:tcW w:w="486" w:type="pct"/>
            <w:shd w:val="clear" w:color="auto" w:fill="auto"/>
            <w:vAlign w:val="center"/>
            <w:hideMark/>
          </w:tcPr>
          <w:p w14:paraId="2D0553FF"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32</w:t>
            </w:r>
          </w:p>
        </w:tc>
        <w:tc>
          <w:tcPr>
            <w:tcW w:w="485" w:type="pct"/>
            <w:shd w:val="clear" w:color="auto" w:fill="auto"/>
            <w:vAlign w:val="center"/>
            <w:hideMark/>
          </w:tcPr>
          <w:p w14:paraId="4074214C"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 </w:t>
            </w:r>
          </w:p>
        </w:tc>
        <w:tc>
          <w:tcPr>
            <w:tcW w:w="471" w:type="pct"/>
            <w:shd w:val="clear" w:color="auto" w:fill="auto"/>
            <w:vAlign w:val="center"/>
            <w:hideMark/>
          </w:tcPr>
          <w:p w14:paraId="422E3B46"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 </w:t>
            </w:r>
          </w:p>
        </w:tc>
        <w:tc>
          <w:tcPr>
            <w:tcW w:w="486" w:type="pct"/>
            <w:shd w:val="clear" w:color="auto" w:fill="auto"/>
            <w:vAlign w:val="center"/>
            <w:hideMark/>
          </w:tcPr>
          <w:p w14:paraId="02A4BE08"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 </w:t>
            </w:r>
          </w:p>
        </w:tc>
        <w:tc>
          <w:tcPr>
            <w:tcW w:w="471" w:type="pct"/>
            <w:shd w:val="clear" w:color="auto" w:fill="auto"/>
            <w:vAlign w:val="center"/>
            <w:hideMark/>
          </w:tcPr>
          <w:p w14:paraId="051AE4F8"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 </w:t>
            </w:r>
          </w:p>
        </w:tc>
        <w:tc>
          <w:tcPr>
            <w:tcW w:w="484" w:type="pct"/>
            <w:shd w:val="clear" w:color="auto" w:fill="auto"/>
            <w:vAlign w:val="center"/>
            <w:hideMark/>
          </w:tcPr>
          <w:p w14:paraId="73CEAA13" w14:textId="77777777" w:rsidR="00F16C1F" w:rsidRPr="00CE7E1A" w:rsidRDefault="00F16C1F" w:rsidP="00B84603">
            <w:pPr>
              <w:jc w:val="right"/>
              <w:rPr>
                <w:rFonts w:ascii="Calibri" w:hAnsi="Calibri" w:cs="Calibri"/>
                <w:color w:val="000000"/>
                <w:sz w:val="18"/>
                <w:szCs w:val="18"/>
              </w:rPr>
            </w:pPr>
            <w:r w:rsidRPr="00CE7E1A">
              <w:rPr>
                <w:rFonts w:ascii="Calibri" w:hAnsi="Calibri" w:cs="Calibri"/>
                <w:color w:val="000000"/>
                <w:sz w:val="18"/>
                <w:szCs w:val="18"/>
              </w:rPr>
              <w:t> </w:t>
            </w:r>
          </w:p>
        </w:tc>
      </w:tr>
      <w:tr w:rsidR="00F16C1F" w:rsidRPr="00C55750" w14:paraId="0F79C52A" w14:textId="77777777" w:rsidTr="00FC7CB7">
        <w:trPr>
          <w:trHeight w:val="57"/>
        </w:trPr>
        <w:tc>
          <w:tcPr>
            <w:tcW w:w="623" w:type="pct"/>
            <w:shd w:val="clear" w:color="auto" w:fill="auto"/>
            <w:vAlign w:val="center"/>
            <w:hideMark/>
          </w:tcPr>
          <w:p w14:paraId="221581CD" w14:textId="77777777" w:rsidR="00F16C1F" w:rsidRPr="00CE7E1A" w:rsidRDefault="00F16C1F" w:rsidP="00FC7CB7">
            <w:pPr>
              <w:jc w:val="left"/>
              <w:rPr>
                <w:rFonts w:ascii="Calibri" w:hAnsi="Calibri" w:cs="Calibri"/>
                <w:b/>
                <w:bCs/>
                <w:color w:val="000000"/>
                <w:sz w:val="18"/>
                <w:szCs w:val="18"/>
              </w:rPr>
            </w:pPr>
            <w:r w:rsidRPr="00C55750">
              <w:rPr>
                <w:rFonts w:ascii="Calibri" w:hAnsi="Calibri" w:cs="Calibri"/>
                <w:b/>
                <w:bCs/>
                <w:color w:val="000000"/>
                <w:sz w:val="18"/>
                <w:szCs w:val="18"/>
              </w:rPr>
              <w:t xml:space="preserve">Celkem </w:t>
            </w:r>
            <w:r w:rsidRPr="00CE7E1A">
              <w:rPr>
                <w:rFonts w:ascii="Calibri" w:hAnsi="Calibri" w:cs="Calibri"/>
                <w:b/>
                <w:bCs/>
                <w:color w:val="000000"/>
                <w:sz w:val="18"/>
                <w:szCs w:val="18"/>
              </w:rPr>
              <w:t>PO</w:t>
            </w:r>
            <w:r w:rsidR="006E3E2C">
              <w:rPr>
                <w:rFonts w:ascii="Calibri" w:hAnsi="Calibri" w:cs="Calibri"/>
                <w:b/>
                <w:bCs/>
                <w:color w:val="000000"/>
                <w:sz w:val="18"/>
                <w:szCs w:val="18"/>
              </w:rPr>
              <w:t xml:space="preserve"> </w:t>
            </w:r>
            <w:r w:rsidRPr="00CE7E1A">
              <w:rPr>
                <w:rFonts w:ascii="Calibri" w:hAnsi="Calibri" w:cs="Calibri"/>
                <w:b/>
                <w:bCs/>
                <w:color w:val="000000"/>
                <w:sz w:val="18"/>
                <w:szCs w:val="18"/>
              </w:rPr>
              <w:t>5</w:t>
            </w:r>
          </w:p>
        </w:tc>
        <w:tc>
          <w:tcPr>
            <w:tcW w:w="371" w:type="pct"/>
            <w:shd w:val="clear" w:color="auto" w:fill="auto"/>
            <w:vAlign w:val="center"/>
            <w:hideMark/>
          </w:tcPr>
          <w:p w14:paraId="2E216A4B" w14:textId="77777777" w:rsidR="00F16C1F" w:rsidRPr="00CE7E1A" w:rsidRDefault="00F16C1F" w:rsidP="00443CE7">
            <w:pPr>
              <w:jc w:val="right"/>
              <w:rPr>
                <w:rFonts w:ascii="Calibri" w:hAnsi="Calibri" w:cs="Calibri"/>
                <w:b/>
                <w:bCs/>
                <w:color w:val="000000"/>
                <w:sz w:val="18"/>
                <w:szCs w:val="18"/>
              </w:rPr>
            </w:pPr>
            <w:r w:rsidRPr="00CE7E1A">
              <w:rPr>
                <w:rFonts w:ascii="Calibri" w:hAnsi="Calibri" w:cs="Calibri"/>
                <w:b/>
                <w:bCs/>
                <w:color w:val="000000"/>
                <w:sz w:val="18"/>
                <w:szCs w:val="18"/>
              </w:rPr>
              <w:t>14 84</w:t>
            </w:r>
            <w:r w:rsidR="00443CE7">
              <w:rPr>
                <w:rFonts w:ascii="Calibri" w:hAnsi="Calibri" w:cs="Calibri"/>
                <w:b/>
                <w:bCs/>
                <w:color w:val="000000"/>
                <w:sz w:val="18"/>
                <w:szCs w:val="18"/>
              </w:rPr>
              <w:t>0</w:t>
            </w:r>
          </w:p>
        </w:tc>
        <w:tc>
          <w:tcPr>
            <w:tcW w:w="581" w:type="pct"/>
            <w:shd w:val="clear" w:color="auto" w:fill="auto"/>
            <w:vAlign w:val="center"/>
            <w:hideMark/>
          </w:tcPr>
          <w:p w14:paraId="52F78A66" w14:textId="77777777" w:rsidR="00F16C1F" w:rsidRPr="00CE7E1A" w:rsidRDefault="00F16C1F" w:rsidP="00443CE7">
            <w:pPr>
              <w:jc w:val="right"/>
              <w:rPr>
                <w:rFonts w:ascii="Calibri" w:hAnsi="Calibri" w:cs="Calibri"/>
                <w:b/>
                <w:bCs/>
                <w:color w:val="000000"/>
                <w:sz w:val="18"/>
                <w:szCs w:val="18"/>
              </w:rPr>
            </w:pPr>
            <w:r w:rsidRPr="00CE7E1A">
              <w:rPr>
                <w:rFonts w:ascii="Calibri" w:hAnsi="Calibri" w:cs="Calibri"/>
                <w:b/>
                <w:bCs/>
                <w:color w:val="000000"/>
                <w:sz w:val="18"/>
                <w:szCs w:val="18"/>
              </w:rPr>
              <w:t>13 75</w:t>
            </w:r>
            <w:r w:rsidR="00443CE7">
              <w:rPr>
                <w:rFonts w:ascii="Calibri" w:hAnsi="Calibri" w:cs="Calibri"/>
                <w:b/>
                <w:bCs/>
                <w:color w:val="000000"/>
                <w:sz w:val="18"/>
                <w:szCs w:val="18"/>
              </w:rPr>
              <w:t>0</w:t>
            </w:r>
          </w:p>
        </w:tc>
        <w:tc>
          <w:tcPr>
            <w:tcW w:w="542" w:type="pct"/>
            <w:shd w:val="clear" w:color="auto" w:fill="auto"/>
            <w:vAlign w:val="center"/>
            <w:hideMark/>
          </w:tcPr>
          <w:p w14:paraId="7D854C02" w14:textId="77777777" w:rsidR="00F16C1F" w:rsidRPr="00CE7E1A" w:rsidRDefault="00F16C1F" w:rsidP="00B84603">
            <w:pPr>
              <w:jc w:val="right"/>
              <w:rPr>
                <w:rFonts w:ascii="Calibri" w:hAnsi="Calibri" w:cs="Calibri"/>
                <w:b/>
                <w:bCs/>
                <w:color w:val="000000"/>
                <w:sz w:val="18"/>
                <w:szCs w:val="18"/>
              </w:rPr>
            </w:pPr>
            <w:r w:rsidRPr="00CE7E1A">
              <w:rPr>
                <w:rFonts w:ascii="Calibri" w:hAnsi="Calibri" w:cs="Calibri"/>
                <w:b/>
                <w:bCs/>
                <w:color w:val="000000"/>
                <w:sz w:val="18"/>
                <w:szCs w:val="18"/>
              </w:rPr>
              <w:t>92,7</w:t>
            </w:r>
          </w:p>
        </w:tc>
        <w:tc>
          <w:tcPr>
            <w:tcW w:w="486" w:type="pct"/>
            <w:shd w:val="clear" w:color="auto" w:fill="auto"/>
            <w:vAlign w:val="center"/>
            <w:hideMark/>
          </w:tcPr>
          <w:p w14:paraId="7DC1EA93" w14:textId="77777777" w:rsidR="00F16C1F" w:rsidRPr="00CE7E1A" w:rsidRDefault="00F16C1F" w:rsidP="00B84603">
            <w:pPr>
              <w:jc w:val="right"/>
              <w:rPr>
                <w:rFonts w:ascii="Calibri" w:hAnsi="Calibri" w:cs="Calibri"/>
                <w:b/>
                <w:bCs/>
                <w:color w:val="000000"/>
                <w:sz w:val="18"/>
                <w:szCs w:val="18"/>
              </w:rPr>
            </w:pPr>
            <w:r w:rsidRPr="00CE7E1A">
              <w:rPr>
                <w:rFonts w:ascii="Calibri" w:hAnsi="Calibri" w:cs="Calibri"/>
                <w:b/>
                <w:bCs/>
                <w:color w:val="000000"/>
                <w:sz w:val="18"/>
                <w:szCs w:val="18"/>
              </w:rPr>
              <w:t>3 146</w:t>
            </w:r>
          </w:p>
        </w:tc>
        <w:tc>
          <w:tcPr>
            <w:tcW w:w="485" w:type="pct"/>
            <w:shd w:val="clear" w:color="auto" w:fill="auto"/>
            <w:vAlign w:val="center"/>
            <w:hideMark/>
          </w:tcPr>
          <w:p w14:paraId="1351015E" w14:textId="77777777" w:rsidR="00F16C1F" w:rsidRPr="00CE7E1A" w:rsidRDefault="00F16C1F" w:rsidP="00B84603">
            <w:pPr>
              <w:jc w:val="right"/>
              <w:rPr>
                <w:rFonts w:ascii="Calibri" w:hAnsi="Calibri" w:cs="Calibri"/>
                <w:b/>
                <w:bCs/>
                <w:color w:val="000000"/>
                <w:sz w:val="18"/>
                <w:szCs w:val="18"/>
              </w:rPr>
            </w:pPr>
            <w:r w:rsidRPr="00CE7E1A">
              <w:rPr>
                <w:rFonts w:ascii="Calibri" w:hAnsi="Calibri" w:cs="Calibri"/>
                <w:b/>
                <w:bCs/>
                <w:color w:val="000000"/>
                <w:sz w:val="18"/>
                <w:szCs w:val="18"/>
              </w:rPr>
              <w:t>5</w:t>
            </w:r>
            <w:r w:rsidRPr="00C55750">
              <w:rPr>
                <w:rFonts w:ascii="Calibri" w:hAnsi="Calibri" w:cs="Calibri"/>
                <w:b/>
                <w:bCs/>
                <w:color w:val="000000"/>
                <w:sz w:val="18"/>
                <w:szCs w:val="18"/>
              </w:rPr>
              <w:t xml:space="preserve"> </w:t>
            </w:r>
            <w:r w:rsidRPr="00CE7E1A">
              <w:rPr>
                <w:rFonts w:ascii="Calibri" w:hAnsi="Calibri" w:cs="Calibri"/>
                <w:b/>
                <w:bCs/>
                <w:color w:val="000000"/>
                <w:sz w:val="18"/>
                <w:szCs w:val="18"/>
              </w:rPr>
              <w:t>719</w:t>
            </w:r>
          </w:p>
        </w:tc>
        <w:tc>
          <w:tcPr>
            <w:tcW w:w="471" w:type="pct"/>
            <w:shd w:val="clear" w:color="auto" w:fill="auto"/>
            <w:vAlign w:val="center"/>
            <w:hideMark/>
          </w:tcPr>
          <w:p w14:paraId="25AE1F48" w14:textId="77777777" w:rsidR="00F16C1F" w:rsidRPr="00CE7E1A" w:rsidRDefault="00F16C1F" w:rsidP="00B84603">
            <w:pPr>
              <w:jc w:val="right"/>
              <w:rPr>
                <w:rFonts w:ascii="Calibri" w:hAnsi="Calibri" w:cs="Calibri"/>
                <w:b/>
                <w:bCs/>
                <w:color w:val="000000"/>
                <w:sz w:val="18"/>
                <w:szCs w:val="18"/>
              </w:rPr>
            </w:pPr>
            <w:r w:rsidRPr="00CE7E1A">
              <w:rPr>
                <w:rFonts w:ascii="Calibri" w:hAnsi="Calibri" w:cs="Calibri"/>
                <w:b/>
                <w:bCs/>
                <w:color w:val="000000"/>
                <w:sz w:val="18"/>
                <w:szCs w:val="18"/>
              </w:rPr>
              <w:t>38,5</w:t>
            </w:r>
          </w:p>
        </w:tc>
        <w:tc>
          <w:tcPr>
            <w:tcW w:w="486" w:type="pct"/>
            <w:shd w:val="clear" w:color="auto" w:fill="auto"/>
            <w:vAlign w:val="center"/>
            <w:hideMark/>
          </w:tcPr>
          <w:p w14:paraId="23F2E679" w14:textId="77777777" w:rsidR="00F16C1F" w:rsidRPr="00CE7E1A" w:rsidRDefault="00F16C1F" w:rsidP="00B84603">
            <w:pPr>
              <w:jc w:val="right"/>
              <w:rPr>
                <w:rFonts w:ascii="Calibri" w:hAnsi="Calibri" w:cs="Calibri"/>
                <w:b/>
                <w:bCs/>
                <w:color w:val="000000"/>
                <w:sz w:val="18"/>
                <w:szCs w:val="18"/>
              </w:rPr>
            </w:pPr>
            <w:r w:rsidRPr="00CE7E1A">
              <w:rPr>
                <w:rFonts w:ascii="Calibri" w:hAnsi="Calibri" w:cs="Calibri"/>
                <w:b/>
                <w:bCs/>
                <w:color w:val="000000"/>
                <w:sz w:val="18"/>
                <w:szCs w:val="18"/>
              </w:rPr>
              <w:t>1 767</w:t>
            </w:r>
          </w:p>
        </w:tc>
        <w:tc>
          <w:tcPr>
            <w:tcW w:w="471" w:type="pct"/>
            <w:shd w:val="clear" w:color="auto" w:fill="auto"/>
            <w:vAlign w:val="center"/>
            <w:hideMark/>
          </w:tcPr>
          <w:p w14:paraId="38807737" w14:textId="77777777" w:rsidR="00F16C1F" w:rsidRPr="00CE7E1A" w:rsidRDefault="00F16C1F" w:rsidP="00B84603">
            <w:pPr>
              <w:jc w:val="right"/>
              <w:rPr>
                <w:rFonts w:ascii="Calibri" w:hAnsi="Calibri" w:cs="Calibri"/>
                <w:b/>
                <w:bCs/>
                <w:color w:val="000000"/>
                <w:sz w:val="18"/>
                <w:szCs w:val="18"/>
              </w:rPr>
            </w:pPr>
            <w:r w:rsidRPr="00CE7E1A">
              <w:rPr>
                <w:rFonts w:ascii="Calibri" w:hAnsi="Calibri" w:cs="Calibri"/>
                <w:b/>
                <w:bCs/>
                <w:color w:val="000000"/>
                <w:sz w:val="18"/>
                <w:szCs w:val="18"/>
              </w:rPr>
              <w:t>2 972</w:t>
            </w:r>
          </w:p>
        </w:tc>
        <w:tc>
          <w:tcPr>
            <w:tcW w:w="484" w:type="pct"/>
            <w:shd w:val="clear" w:color="auto" w:fill="auto"/>
            <w:vAlign w:val="center"/>
            <w:hideMark/>
          </w:tcPr>
          <w:p w14:paraId="336A48DB" w14:textId="77777777" w:rsidR="00F16C1F" w:rsidRPr="00CE7E1A" w:rsidRDefault="00F16C1F" w:rsidP="00B84603">
            <w:pPr>
              <w:jc w:val="right"/>
              <w:rPr>
                <w:rFonts w:ascii="Calibri" w:hAnsi="Calibri" w:cs="Calibri"/>
                <w:b/>
                <w:bCs/>
                <w:color w:val="000000"/>
                <w:sz w:val="18"/>
                <w:szCs w:val="18"/>
              </w:rPr>
            </w:pPr>
            <w:r w:rsidRPr="00CE7E1A">
              <w:rPr>
                <w:rFonts w:ascii="Calibri" w:hAnsi="Calibri" w:cs="Calibri"/>
                <w:b/>
                <w:bCs/>
                <w:color w:val="000000"/>
                <w:sz w:val="18"/>
                <w:szCs w:val="18"/>
              </w:rPr>
              <w:t>20,0</w:t>
            </w:r>
          </w:p>
        </w:tc>
      </w:tr>
    </w:tbl>
    <w:p w14:paraId="4D8D9A4C" w14:textId="77777777" w:rsidR="00F16C1F" w:rsidRDefault="00F16C1F" w:rsidP="002477AE">
      <w:pPr>
        <w:pStyle w:val="TextKP"/>
        <w:spacing w:before="0" w:after="240"/>
        <w:rPr>
          <w:i/>
          <w:sz w:val="20"/>
          <w:szCs w:val="20"/>
        </w:rPr>
      </w:pPr>
      <w:r>
        <w:rPr>
          <w:i/>
          <w:sz w:val="20"/>
          <w:szCs w:val="20"/>
        </w:rPr>
        <w:t>Zdroj: MŽP</w:t>
      </w:r>
      <w:r w:rsidR="00BB219B">
        <w:rPr>
          <w:i/>
          <w:sz w:val="20"/>
          <w:szCs w:val="20"/>
        </w:rPr>
        <w:t>, SFŽP, MS2014+</w:t>
      </w:r>
      <w:r>
        <w:rPr>
          <w:i/>
          <w:sz w:val="20"/>
          <w:szCs w:val="20"/>
        </w:rPr>
        <w:t>.</w:t>
      </w:r>
    </w:p>
    <w:p w14:paraId="4C653EBC" w14:textId="77777777" w:rsidR="00DC6F75" w:rsidRDefault="00DC6F75" w:rsidP="00DC6F75">
      <w:pPr>
        <w:pBdr>
          <w:top w:val="single" w:sz="4" w:space="1" w:color="auto"/>
          <w:left w:val="single" w:sz="4" w:space="1" w:color="auto"/>
          <w:bottom w:val="single" w:sz="4" w:space="1" w:color="auto"/>
          <w:right w:val="single" w:sz="4" w:space="1" w:color="auto"/>
        </w:pBdr>
        <w:autoSpaceDE w:val="0"/>
        <w:autoSpaceDN w:val="0"/>
        <w:adjustRightInd w:val="0"/>
        <w:spacing w:before="120"/>
      </w:pPr>
      <w:r w:rsidRPr="00DC6F75">
        <w:t>V případě SC 5.1, ve kterém je alokován nejvyšší podíl alokace PO 5 OPŽP, bylo smluvně zajištěno pouze 42,5 % disponibilních prostředků.</w:t>
      </w:r>
    </w:p>
    <w:p w14:paraId="63248611" w14:textId="77777777" w:rsidR="0012317D" w:rsidRDefault="0012317D" w:rsidP="00DC6F75">
      <w:pPr>
        <w:pBdr>
          <w:top w:val="single" w:sz="4" w:space="1" w:color="auto"/>
          <w:left w:val="single" w:sz="4" w:space="1" w:color="auto"/>
          <w:bottom w:val="single" w:sz="4" w:space="1" w:color="auto"/>
          <w:right w:val="single" w:sz="4" w:space="1" w:color="auto"/>
        </w:pBdr>
        <w:autoSpaceDE w:val="0"/>
        <w:autoSpaceDN w:val="0"/>
        <w:adjustRightInd w:val="0"/>
        <w:spacing w:before="120"/>
        <w:rPr>
          <w:rFonts w:cstheme="minorHAnsi"/>
        </w:rPr>
      </w:pPr>
      <w:r w:rsidRPr="00990AF9">
        <w:t xml:space="preserve">V rámci </w:t>
      </w:r>
      <w:r>
        <w:t xml:space="preserve">SC 5.3, který přímo souvisí s naplňováním čl. 5 EED, projevili </w:t>
      </w:r>
      <w:r w:rsidRPr="00990AF9">
        <w:t>žadatelé zájem pouze o </w:t>
      </w:r>
      <w:r w:rsidR="000F6627">
        <w:t>18,5</w:t>
      </w:r>
      <w:r>
        <w:t> </w:t>
      </w:r>
      <w:r w:rsidRPr="00990AF9">
        <w:t>% disponibilních prostředků.</w:t>
      </w:r>
    </w:p>
    <w:p w14:paraId="0B3816DE" w14:textId="1CE8F250" w:rsidR="00E76684" w:rsidRDefault="00E76684">
      <w:pPr>
        <w:jc w:val="left"/>
        <w:rPr>
          <w:rFonts w:eastAsia="Calibri" w:cstheme="minorHAnsi"/>
          <w:b/>
          <w:szCs w:val="22"/>
        </w:rPr>
      </w:pPr>
    </w:p>
    <w:p w14:paraId="01D1EA37" w14:textId="77777777" w:rsidR="00FF52D1" w:rsidRPr="00F04CD4" w:rsidRDefault="00FF52D1" w:rsidP="0044441C">
      <w:pPr>
        <w:pStyle w:val="N2"/>
        <w:autoSpaceDE w:val="0"/>
        <w:autoSpaceDN w:val="0"/>
        <w:adjustRightInd w:val="0"/>
        <w:ind w:left="425" w:hanging="425"/>
        <w:outlineLvl w:val="2"/>
      </w:pPr>
      <w:r w:rsidRPr="00F04CD4">
        <w:lastRenderedPageBreak/>
        <w:t>P</w:t>
      </w:r>
      <w:r w:rsidR="00ED708C" w:rsidRPr="00F04CD4">
        <w:t xml:space="preserve">eněžní prostředky </w:t>
      </w:r>
      <w:r w:rsidR="00C90947" w:rsidRPr="00F04CD4">
        <w:t>poskytované</w:t>
      </w:r>
      <w:r w:rsidR="00ED708C" w:rsidRPr="00F04CD4">
        <w:t xml:space="preserve"> z p</w:t>
      </w:r>
      <w:r w:rsidRPr="00FF52D1">
        <w:t>odprogram</w:t>
      </w:r>
      <w:r w:rsidR="00ED708C">
        <w:t>u</w:t>
      </w:r>
      <w:r w:rsidRPr="00FF52D1">
        <w:t xml:space="preserve"> </w:t>
      </w:r>
      <w:r w:rsidR="00FE5CEE">
        <w:t>NZÚ –</w:t>
      </w:r>
      <w:r w:rsidR="00E26BAF">
        <w:t xml:space="preserve"> </w:t>
      </w:r>
      <w:r w:rsidR="00107329" w:rsidRPr="0074637E">
        <w:rPr>
          <w:i/>
        </w:rPr>
        <w:t>Budovy veřejného sektoru</w:t>
      </w:r>
    </w:p>
    <w:p w14:paraId="6D12EFDB" w14:textId="36655EAE" w:rsidR="00793E3B" w:rsidRDefault="00C90947" w:rsidP="007E1715">
      <w:r>
        <w:t xml:space="preserve">Podprogram </w:t>
      </w:r>
      <w:r w:rsidR="00FE5CEE">
        <w:t xml:space="preserve">NZÚ – </w:t>
      </w:r>
      <w:r w:rsidR="00107329" w:rsidRPr="00565FBA">
        <w:rPr>
          <w:i/>
        </w:rPr>
        <w:t>Budovy veřejného sektoru</w:t>
      </w:r>
      <w:r>
        <w:t xml:space="preserve"> byl schválen vládou ČR v listopadu 2016,</w:t>
      </w:r>
      <w:r w:rsidR="00EA41D6" w:rsidRPr="007921B3">
        <w:rPr>
          <w:rStyle w:val="Znakapoznpodarou"/>
        </w:rPr>
        <w:footnoteReference w:id="30"/>
      </w:r>
      <w:r>
        <w:t xml:space="preserve"> prováděcí dokumentac</w:t>
      </w:r>
      <w:r w:rsidR="00F37DEE">
        <w:t>i</w:t>
      </w:r>
      <w:r w:rsidR="00874D11">
        <w:rPr>
          <w:rStyle w:val="Znakapoznpodarou"/>
        </w:rPr>
        <w:footnoteReference w:id="31"/>
      </w:r>
      <w:r>
        <w:t xml:space="preserve"> </w:t>
      </w:r>
      <w:r w:rsidR="00F37DEE">
        <w:t>vydalo</w:t>
      </w:r>
      <w:r>
        <w:t xml:space="preserve"> MŽP v dubnu a v květnu 2017. První prostředky určené na</w:t>
      </w:r>
      <w:r w:rsidR="005E1606">
        <w:t> </w:t>
      </w:r>
      <w:r>
        <w:t>snížení energetické náročnosti u veřejných budov</w:t>
      </w:r>
      <w:r w:rsidR="00793E3B">
        <w:t xml:space="preserve"> </w:t>
      </w:r>
      <w:r>
        <w:t xml:space="preserve">byly </w:t>
      </w:r>
      <w:r w:rsidR="00EF49D2">
        <w:t xml:space="preserve">z programu </w:t>
      </w:r>
      <w:r w:rsidR="00EF49D2">
        <w:rPr>
          <w:i/>
        </w:rPr>
        <w:t xml:space="preserve">Nová zelená úsporám </w:t>
      </w:r>
      <w:r>
        <w:t>poskytnut</w:t>
      </w:r>
      <w:r w:rsidR="00EF49D2">
        <w:t>y</w:t>
      </w:r>
      <w:r w:rsidR="00793E3B">
        <w:t xml:space="preserve"> až </w:t>
      </w:r>
      <w:r w:rsidR="00F760C7">
        <w:t>na konci října</w:t>
      </w:r>
      <w:r w:rsidR="00793E3B">
        <w:t xml:space="preserve"> 2017, tj. čtyři roky po spuštění programu NZÚ a t</w:t>
      </w:r>
      <w:r w:rsidR="0074637E">
        <w:t xml:space="preserve">éměř 5 let po </w:t>
      </w:r>
      <w:r w:rsidR="00446121">
        <w:t>vydání</w:t>
      </w:r>
      <w:r w:rsidR="0074637E">
        <w:t xml:space="preserve"> s</w:t>
      </w:r>
      <w:r w:rsidR="00793E3B">
        <w:t xml:space="preserve">měrnice </w:t>
      </w:r>
      <w:r w:rsidR="003015B3" w:rsidRPr="00CB3E98">
        <w:t>2012/27/EU</w:t>
      </w:r>
      <w:r w:rsidR="00793E3B">
        <w:t>, která stanovila cíle v oblasti energetické účinnosti do</w:t>
      </w:r>
      <w:r w:rsidR="00AA59FB">
        <w:t xml:space="preserve"> </w:t>
      </w:r>
      <w:r w:rsidR="00793E3B">
        <w:t>roku 2020.</w:t>
      </w:r>
    </w:p>
    <w:p w14:paraId="0A88A764" w14:textId="5159B7A7" w:rsidR="00575409" w:rsidRPr="007E588A" w:rsidRDefault="00874D11" w:rsidP="002477AE">
      <w:pPr>
        <w:spacing w:before="120" w:after="120"/>
      </w:pPr>
      <w:r>
        <w:t>Z</w:t>
      </w:r>
      <w:r w:rsidR="00C90947">
        <w:t xml:space="preserve"> podprogramu </w:t>
      </w:r>
      <w:r w:rsidR="001740F8">
        <w:t xml:space="preserve">NZÚ – </w:t>
      </w:r>
      <w:r w:rsidR="00C90947">
        <w:rPr>
          <w:i/>
        </w:rPr>
        <w:t>Budovy veřejného sektoru</w:t>
      </w:r>
      <w:r>
        <w:t xml:space="preserve"> byly převedeny ke dni 30. 6. 2020</w:t>
      </w:r>
      <w:r w:rsidR="001740F8">
        <w:t xml:space="preserve"> prostřednictvím</w:t>
      </w:r>
      <w:r>
        <w:t xml:space="preserve"> </w:t>
      </w:r>
      <w:r w:rsidR="00793E3B" w:rsidRPr="007E588A">
        <w:t xml:space="preserve">kapitoly státního rozpočtu MŽP (správce programu NZÚ) peněžní prostředky </w:t>
      </w:r>
      <w:r w:rsidRPr="007E588A">
        <w:t xml:space="preserve">v celkové výši 534 mil. Kč </w:t>
      </w:r>
      <w:r w:rsidR="007D08A5" w:rsidRPr="007E588A">
        <w:t xml:space="preserve">(z toho 400 mil. Kč v kontrolovaném období 2017 až 2019) </w:t>
      </w:r>
      <w:r w:rsidRPr="007E588A">
        <w:t>na</w:t>
      </w:r>
      <w:r w:rsidR="005E1606">
        <w:t> </w:t>
      </w:r>
      <w:r w:rsidRPr="007E588A">
        <w:t xml:space="preserve">realizaci </w:t>
      </w:r>
      <w:r w:rsidR="00793E3B" w:rsidRPr="007E588A">
        <w:t>projektů zaměřených na úspory energie u veřejných budov</w:t>
      </w:r>
      <w:r w:rsidR="00A134BE" w:rsidRPr="007E588A">
        <w:t>, viz tabulka č. 1.</w:t>
      </w:r>
    </w:p>
    <w:p w14:paraId="378A5110" w14:textId="7F58C2A0" w:rsidR="00475D2A" w:rsidRPr="001F7DC8" w:rsidRDefault="00575409" w:rsidP="00475D2A">
      <w:r w:rsidRPr="007E588A">
        <w:t>Přehled rozpočtových opatření MF, jimiž byly převedeny z programu NZÚ (kapitola státního rozpočtu</w:t>
      </w:r>
      <w:r w:rsidR="00341CC7">
        <w:t xml:space="preserve"> 315 –</w:t>
      </w:r>
      <w:r w:rsidRPr="007E588A">
        <w:t xml:space="preserve"> MŽP) peněžní prostředky v kontrolovaném období 2017 až 2019 do jiných kapitol státního rozpočtu</w:t>
      </w:r>
      <w:r w:rsidR="00702F8C">
        <w:t>,</w:t>
      </w:r>
      <w:r w:rsidRPr="007E588A">
        <w:t xml:space="preserve"> je uveden v příloze č. 2</w:t>
      </w:r>
      <w:r w:rsidR="00702F8C">
        <w:t xml:space="preserve"> tohoto</w:t>
      </w:r>
      <w:r w:rsidRPr="007E588A">
        <w:t xml:space="preserve"> kontrolního závěru.</w:t>
      </w:r>
      <w:r>
        <w:t xml:space="preserve"> </w:t>
      </w:r>
      <w:r w:rsidR="007D08A5">
        <w:t>V kontrolovaném období 2017 až 2019 však byly s</w:t>
      </w:r>
      <w:r w:rsidR="007E68E5">
        <w:t xml:space="preserve">kutečně proinvestovány </w:t>
      </w:r>
      <w:r w:rsidR="007D08A5">
        <w:t xml:space="preserve">peněžní prostředky </w:t>
      </w:r>
      <w:r w:rsidR="007E68E5">
        <w:t xml:space="preserve">pouze ve výši </w:t>
      </w:r>
      <w:r w:rsidR="007E68E5" w:rsidRPr="007D08A5">
        <w:t>23</w:t>
      </w:r>
      <w:r w:rsidR="007D08A5" w:rsidRPr="007D08A5">
        <w:t>5</w:t>
      </w:r>
      <w:r w:rsidR="00475D2A">
        <w:t> </w:t>
      </w:r>
      <w:r w:rsidR="007E68E5" w:rsidRPr="007D08A5">
        <w:t>mil.</w:t>
      </w:r>
      <w:r w:rsidR="00475D2A">
        <w:t> </w:t>
      </w:r>
      <w:r w:rsidR="007E68E5" w:rsidRPr="007D08A5">
        <w:t>Kč</w:t>
      </w:r>
      <w:r w:rsidR="007E68E5">
        <w:t xml:space="preserve">, což představuje </w:t>
      </w:r>
      <w:r w:rsidR="007D08A5">
        <w:t>59</w:t>
      </w:r>
      <w:r w:rsidR="007E68E5">
        <w:t xml:space="preserve"> % </w:t>
      </w:r>
      <w:r w:rsidR="007D08A5">
        <w:t>z převedených prostředků</w:t>
      </w:r>
      <w:r w:rsidR="00475D2A">
        <w:t>.</w:t>
      </w:r>
      <w:r w:rsidR="007D08A5">
        <w:t xml:space="preserve"> </w:t>
      </w:r>
      <w:r w:rsidR="00475D2A" w:rsidRPr="00475D2A">
        <w:t xml:space="preserve">Rozdíl mezi prostředky </w:t>
      </w:r>
      <w:r w:rsidR="00702F8C" w:rsidRPr="00475D2A">
        <w:t>převedený</w:t>
      </w:r>
      <w:r w:rsidR="002223C3">
        <w:t>mi</w:t>
      </w:r>
      <w:r w:rsidR="00702F8C" w:rsidRPr="00475D2A">
        <w:t xml:space="preserve"> </w:t>
      </w:r>
      <w:r w:rsidR="00475D2A" w:rsidRPr="00475D2A">
        <w:t>z</w:t>
      </w:r>
      <w:r w:rsidR="00475D2A">
        <w:t> </w:t>
      </w:r>
      <w:r w:rsidR="00702F8C">
        <w:t>pod</w:t>
      </w:r>
      <w:r w:rsidR="00475D2A" w:rsidRPr="00475D2A">
        <w:t xml:space="preserve">programu </w:t>
      </w:r>
      <w:r w:rsidR="00FE5CEE">
        <w:t xml:space="preserve">NZÚ – </w:t>
      </w:r>
      <w:r w:rsidR="00107329" w:rsidRPr="00565FBA">
        <w:rPr>
          <w:i/>
        </w:rPr>
        <w:t>Budovy veřejného sektoru</w:t>
      </w:r>
      <w:r w:rsidR="00107329" w:rsidRPr="00475D2A">
        <w:t xml:space="preserve"> </w:t>
      </w:r>
      <w:r w:rsidR="00475D2A" w:rsidRPr="00475D2A">
        <w:t>a</w:t>
      </w:r>
      <w:r w:rsidR="00702F8C">
        <w:t xml:space="preserve"> </w:t>
      </w:r>
      <w:r w:rsidR="00475D2A" w:rsidRPr="00475D2A">
        <w:t>h</w:t>
      </w:r>
      <w:r w:rsidR="00475D2A">
        <w:t xml:space="preserve">odnotou realizovaných investic </w:t>
      </w:r>
      <w:r w:rsidR="00702F8C">
        <w:t>tvoří</w:t>
      </w:r>
      <w:r w:rsidR="00475D2A" w:rsidRPr="00475D2A">
        <w:t xml:space="preserve"> nespotřebované výdaje jednotlivých kapitol státního rozpočtu, tzv. nároky z</w:t>
      </w:r>
      <w:r w:rsidR="00475D2A">
        <w:t> </w:t>
      </w:r>
      <w:r w:rsidR="00475D2A" w:rsidRPr="00475D2A">
        <w:t>nespotřebovaných výdajů.</w:t>
      </w:r>
    </w:p>
    <w:p w14:paraId="5054B352" w14:textId="36916C0F" w:rsidR="00A134BE" w:rsidRDefault="00A134BE" w:rsidP="00DD3178">
      <w:pPr>
        <w:pBdr>
          <w:top w:val="single" w:sz="4" w:space="1" w:color="auto"/>
          <w:left w:val="single" w:sz="4" w:space="4" w:color="auto"/>
          <w:bottom w:val="single" w:sz="4" w:space="1" w:color="auto"/>
          <w:right w:val="single" w:sz="4" w:space="4" w:color="auto"/>
        </w:pBdr>
        <w:spacing w:before="240" w:after="240"/>
      </w:pPr>
      <w:r>
        <w:t xml:space="preserve">V kontrolovaném období 2017 až 2019 byly skutečně proinvestovány z programu NZÚ peněžní prostředky ve výši </w:t>
      </w:r>
      <w:r w:rsidRPr="00E26BAF">
        <w:t>2</w:t>
      </w:r>
      <w:r w:rsidR="00E26BAF" w:rsidRPr="00E26BAF">
        <w:t>35</w:t>
      </w:r>
      <w:r w:rsidRPr="00E26BAF">
        <w:t xml:space="preserve"> m</w:t>
      </w:r>
      <w:r w:rsidR="00E26BAF" w:rsidRPr="00E26BAF">
        <w:t>i</w:t>
      </w:r>
      <w:r w:rsidRPr="00E26BAF">
        <w:t>l.</w:t>
      </w:r>
      <w:r>
        <w:t xml:space="preserve"> Kč na projekty </w:t>
      </w:r>
      <w:r w:rsidRPr="00A134BE">
        <w:t>v sektoru veřejných budov</w:t>
      </w:r>
      <w:r>
        <w:t xml:space="preserve">, což odpovídá </w:t>
      </w:r>
      <w:r w:rsidR="002223C3">
        <w:t xml:space="preserve">čtyřem procentům </w:t>
      </w:r>
      <w:r>
        <w:t>prostředků</w:t>
      </w:r>
      <w:r w:rsidR="002223C3">
        <w:t>,</w:t>
      </w:r>
      <w:r>
        <w:t xml:space="preserve"> které by </w:t>
      </w:r>
      <w:r w:rsidRPr="00A134BE">
        <w:t>měly být z programu NZÚ vynaloženy na úspory energií</w:t>
      </w:r>
      <w:r>
        <w:t xml:space="preserve"> u</w:t>
      </w:r>
      <w:r w:rsidR="00475D2A">
        <w:t> </w:t>
      </w:r>
      <w:r>
        <w:t>veřejných budov</w:t>
      </w:r>
      <w:r w:rsidR="00475D2A">
        <w:t>.</w:t>
      </w:r>
      <w:r w:rsidR="00272E9A">
        <w:rPr>
          <w:rStyle w:val="Znakapoznpodarou"/>
        </w:rPr>
        <w:footnoteReference w:id="32"/>
      </w:r>
    </w:p>
    <w:p w14:paraId="5C7028D4" w14:textId="77777777" w:rsidR="009B281D" w:rsidRPr="00F04CD4" w:rsidRDefault="009B281D" w:rsidP="0044441C">
      <w:pPr>
        <w:pStyle w:val="N2"/>
        <w:autoSpaceDE w:val="0"/>
        <w:autoSpaceDN w:val="0"/>
        <w:adjustRightInd w:val="0"/>
        <w:ind w:left="425" w:hanging="425"/>
        <w:outlineLvl w:val="2"/>
      </w:pPr>
      <w:r w:rsidRPr="00F04CD4">
        <w:t xml:space="preserve">Přínosy OPŽP a </w:t>
      </w:r>
      <w:r w:rsidR="002223C3">
        <w:t xml:space="preserve">podprogramu </w:t>
      </w:r>
      <w:r w:rsidR="00FE5CEE" w:rsidRPr="00F04CD4">
        <w:t xml:space="preserve">NZÚ – </w:t>
      </w:r>
      <w:r w:rsidR="00F37DEE" w:rsidRPr="0074637E">
        <w:rPr>
          <w:i/>
        </w:rPr>
        <w:t>Budovy veřejného sektoru</w:t>
      </w:r>
    </w:p>
    <w:p w14:paraId="55DB3743" w14:textId="75847171" w:rsidR="006B23A6" w:rsidRDefault="009B281D" w:rsidP="2EDFE955">
      <w:r w:rsidRPr="00A76143">
        <w:t>Klíčovým indikátorem</w:t>
      </w:r>
      <w:r>
        <w:t xml:space="preserve"> v oblasti úspor energie u veřejných budov je „</w:t>
      </w:r>
      <w:r w:rsidR="00A76143">
        <w:rPr>
          <w:i/>
          <w:iCs/>
        </w:rPr>
        <w:t>s</w:t>
      </w:r>
      <w:r w:rsidRPr="2EDFE955">
        <w:rPr>
          <w:i/>
          <w:iCs/>
        </w:rPr>
        <w:t xml:space="preserve">nížení konečné spotřeby </w:t>
      </w:r>
      <w:r w:rsidR="00266A89">
        <w:rPr>
          <w:i/>
          <w:iCs/>
        </w:rPr>
        <w:t xml:space="preserve">energie </w:t>
      </w:r>
      <w:r w:rsidRPr="2EDFE955">
        <w:rPr>
          <w:i/>
          <w:iCs/>
        </w:rPr>
        <w:t>ve veřejných budovách</w:t>
      </w:r>
      <w:r w:rsidR="000D48A5">
        <w:t>“</w:t>
      </w:r>
      <w:r>
        <w:t>.</w:t>
      </w:r>
      <w:r w:rsidR="4C3482E2">
        <w:t xml:space="preserve"> </w:t>
      </w:r>
      <w:r w:rsidR="32BEDC3C">
        <w:t xml:space="preserve">Dle platné verze </w:t>
      </w:r>
      <w:r w:rsidR="00A76143">
        <w:t>p</w:t>
      </w:r>
      <w:r w:rsidR="32BEDC3C">
        <w:t>rogramového dokumentu OPŽP (verze 7) má být dosaženo celkového snížení konečné spotřeby energie ve veřejných budovách ve výši 1 592 754 GJ/rok.</w:t>
      </w:r>
    </w:p>
    <w:p w14:paraId="55E3F4E8" w14:textId="3F3699AD" w:rsidR="006B23A6" w:rsidRDefault="154BB694" w:rsidP="2EDFE955">
      <w:pPr>
        <w:spacing w:before="120"/>
      </w:pPr>
      <w:r>
        <w:t xml:space="preserve">Sledování přínosů je nastaveno tak, že příjemce dotace je povinen po ukončení realizace projektu v době udržitelnosti projektu a do termínu stanoveného v právním aktu o poskytnutí dotace předložit energetické posouzení dokládající dosažené úspory oproti stavu před realizací projektu. </w:t>
      </w:r>
      <w:r w:rsidR="4C3482E2">
        <w:t xml:space="preserve">Indikátor </w:t>
      </w:r>
      <w:r w:rsidR="4C3482E2" w:rsidRPr="00EE39A6">
        <w:t>32701</w:t>
      </w:r>
      <w:r w:rsidR="4C3482E2">
        <w:t xml:space="preserve"> </w:t>
      </w:r>
      <w:r w:rsidR="1ABC4A9C">
        <w:t>se netýká</w:t>
      </w:r>
      <w:r w:rsidR="4C3482E2">
        <w:t xml:space="preserve"> SC 5.2, který je zaměřen na podporu výstavby </w:t>
      </w:r>
      <w:r w:rsidR="4C3482E2">
        <w:lastRenderedPageBreak/>
        <w:t>nových veřejných budov.</w:t>
      </w:r>
      <w:r w:rsidR="0BF21051">
        <w:t xml:space="preserve"> </w:t>
      </w:r>
      <w:r w:rsidR="4C3482E2">
        <w:t>V rámci SC 5.3 nebyl ke dni 30. 6. 2020 žádný projekt v realizaci</w:t>
      </w:r>
      <w:r w:rsidR="10E179C7">
        <w:t xml:space="preserve">. </w:t>
      </w:r>
      <w:r w:rsidR="7731A1A8">
        <w:t xml:space="preserve">Snížení konečné spotřeby energie ve veřejných budovách </w:t>
      </w:r>
      <w:r w:rsidR="34A64D30">
        <w:t>bylo možné v období realizace kontroly</w:t>
      </w:r>
      <w:r w:rsidR="5E579B2C">
        <w:t xml:space="preserve"> vyhodnocovat</w:t>
      </w:r>
      <w:r w:rsidR="7731A1A8">
        <w:t xml:space="preserve"> zatím jen u</w:t>
      </w:r>
      <w:r w:rsidR="00266A89">
        <w:t> </w:t>
      </w:r>
      <w:r w:rsidR="7731A1A8">
        <w:t>projektů</w:t>
      </w:r>
      <w:r w:rsidR="0F1AC7E6">
        <w:t xml:space="preserve"> realizovaných v</w:t>
      </w:r>
      <w:r w:rsidR="1818D43E">
        <w:t xml:space="preserve"> </w:t>
      </w:r>
      <w:r w:rsidR="0F1AC7E6">
        <w:t>rámci SC 5.1</w:t>
      </w:r>
      <w:r w:rsidR="356C09A9">
        <w:t>, viz tabulka č. 3.</w:t>
      </w:r>
    </w:p>
    <w:p w14:paraId="253753E1" w14:textId="77777777" w:rsidR="00F16C1F" w:rsidRPr="00D275E8" w:rsidRDefault="000D48A5" w:rsidP="000753AE">
      <w:pPr>
        <w:pStyle w:val="Nzevtabulky"/>
        <w:ind w:hanging="1135"/>
      </w:pPr>
      <w:r>
        <w:t>Průběžně vykázané p</w:t>
      </w:r>
      <w:r w:rsidR="00F16C1F">
        <w:t>ří</w:t>
      </w:r>
      <w:r>
        <w:t>nosy projektů SC 5.1</w:t>
      </w:r>
      <w:r w:rsidR="004741F9">
        <w:t xml:space="preserve"> a SC 5.3</w:t>
      </w:r>
      <w:r>
        <w:t xml:space="preserve"> PO 5 OPŽP</w:t>
      </w:r>
    </w:p>
    <w:tbl>
      <w:tblPr>
        <w:tblW w:w="5000" w:type="pct"/>
        <w:tblCellMar>
          <w:left w:w="70" w:type="dxa"/>
          <w:right w:w="70" w:type="dxa"/>
        </w:tblCellMar>
        <w:tblLook w:val="04A0" w:firstRow="1" w:lastRow="0" w:firstColumn="1" w:lastColumn="0" w:noHBand="0" w:noVBand="1"/>
      </w:tblPr>
      <w:tblGrid>
        <w:gridCol w:w="966"/>
        <w:gridCol w:w="2290"/>
        <w:gridCol w:w="852"/>
        <w:gridCol w:w="1558"/>
        <w:gridCol w:w="1698"/>
        <w:gridCol w:w="1696"/>
      </w:tblGrid>
      <w:tr w:rsidR="004741F9" w:rsidRPr="004741F9" w14:paraId="344291E1" w14:textId="77777777" w:rsidTr="002477AE">
        <w:trPr>
          <w:trHeight w:val="20"/>
        </w:trPr>
        <w:tc>
          <w:tcPr>
            <w:tcW w:w="533"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5699B248" w14:textId="77777777" w:rsidR="004741F9" w:rsidRPr="004741F9" w:rsidRDefault="004741F9" w:rsidP="004741F9">
            <w:pPr>
              <w:jc w:val="center"/>
              <w:rPr>
                <w:rFonts w:ascii="Calibri" w:hAnsi="Calibri" w:cs="Calibri"/>
                <w:b/>
                <w:bCs/>
                <w:color w:val="000000"/>
                <w:sz w:val="20"/>
              </w:rPr>
            </w:pPr>
            <w:r w:rsidRPr="004741F9">
              <w:rPr>
                <w:rFonts w:ascii="Calibri" w:hAnsi="Calibri" w:cs="Calibri"/>
                <w:b/>
                <w:bCs/>
                <w:color w:val="000000"/>
                <w:sz w:val="20"/>
              </w:rPr>
              <w:t>Specifický cíl</w:t>
            </w:r>
          </w:p>
        </w:tc>
        <w:tc>
          <w:tcPr>
            <w:tcW w:w="1264"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6159624D" w14:textId="2CB264AE" w:rsidR="004741F9" w:rsidRPr="004741F9" w:rsidRDefault="004741F9" w:rsidP="004741F9">
            <w:pPr>
              <w:jc w:val="center"/>
              <w:rPr>
                <w:rFonts w:ascii="Calibri" w:hAnsi="Calibri" w:cs="Calibri"/>
                <w:b/>
                <w:bCs/>
                <w:color w:val="000000"/>
                <w:sz w:val="20"/>
              </w:rPr>
            </w:pPr>
            <w:r w:rsidRPr="004741F9">
              <w:rPr>
                <w:rFonts w:ascii="Calibri" w:hAnsi="Calibri" w:cs="Calibri"/>
                <w:b/>
                <w:bCs/>
                <w:color w:val="000000"/>
                <w:sz w:val="20"/>
              </w:rPr>
              <w:t>Fáze/stav projektu</w:t>
            </w:r>
          </w:p>
        </w:tc>
        <w:tc>
          <w:tcPr>
            <w:tcW w:w="470"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3D1CFE43" w14:textId="77777777" w:rsidR="004741F9" w:rsidRPr="004741F9" w:rsidRDefault="004741F9" w:rsidP="004741F9">
            <w:pPr>
              <w:jc w:val="center"/>
              <w:rPr>
                <w:rFonts w:ascii="Calibri" w:hAnsi="Calibri" w:cs="Calibri"/>
                <w:b/>
                <w:bCs/>
                <w:color w:val="000000"/>
                <w:sz w:val="20"/>
              </w:rPr>
            </w:pPr>
            <w:r w:rsidRPr="004741F9">
              <w:rPr>
                <w:rFonts w:ascii="Calibri" w:hAnsi="Calibri" w:cs="Calibri"/>
                <w:b/>
                <w:bCs/>
                <w:color w:val="000000"/>
                <w:sz w:val="20"/>
              </w:rPr>
              <w:t>Počet projektů</w:t>
            </w:r>
          </w:p>
        </w:tc>
        <w:tc>
          <w:tcPr>
            <w:tcW w:w="860"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1C532576" w14:textId="77777777" w:rsidR="004741F9" w:rsidRPr="004741F9" w:rsidRDefault="004741F9" w:rsidP="004741F9">
            <w:pPr>
              <w:jc w:val="center"/>
              <w:rPr>
                <w:rFonts w:ascii="Calibri" w:hAnsi="Calibri" w:cs="Calibri"/>
                <w:b/>
                <w:bCs/>
                <w:color w:val="000000"/>
                <w:sz w:val="20"/>
              </w:rPr>
            </w:pPr>
            <w:r w:rsidRPr="004741F9">
              <w:rPr>
                <w:rFonts w:ascii="Calibri" w:hAnsi="Calibri" w:cs="Calibri"/>
                <w:b/>
                <w:bCs/>
                <w:color w:val="000000"/>
                <w:sz w:val="20"/>
              </w:rPr>
              <w:t>Celkové způsobilé výdaje</w:t>
            </w:r>
            <w:r>
              <w:rPr>
                <w:rFonts w:ascii="Calibri" w:hAnsi="Calibri" w:cs="Calibri"/>
                <w:b/>
                <w:bCs/>
                <w:color w:val="000000"/>
                <w:sz w:val="20"/>
              </w:rPr>
              <w:t xml:space="preserve"> (Kč)</w:t>
            </w:r>
          </w:p>
        </w:tc>
        <w:tc>
          <w:tcPr>
            <w:tcW w:w="1874" w:type="pct"/>
            <w:gridSpan w:val="2"/>
            <w:tcBorders>
              <w:top w:val="single" w:sz="4" w:space="0" w:color="auto"/>
              <w:left w:val="nil"/>
              <w:bottom w:val="single" w:sz="4" w:space="0" w:color="auto"/>
              <w:right w:val="single" w:sz="4" w:space="0" w:color="auto"/>
            </w:tcBorders>
            <w:shd w:val="clear" w:color="000000" w:fill="E5F1FF"/>
            <w:vAlign w:val="center"/>
            <w:hideMark/>
          </w:tcPr>
          <w:p w14:paraId="3CD0E088" w14:textId="77777777" w:rsidR="004741F9" w:rsidRPr="004741F9" w:rsidRDefault="004741F9" w:rsidP="004741F9">
            <w:pPr>
              <w:jc w:val="center"/>
              <w:rPr>
                <w:rFonts w:ascii="Calibri" w:hAnsi="Calibri" w:cs="Calibri"/>
                <w:b/>
                <w:bCs/>
                <w:color w:val="000000"/>
                <w:sz w:val="20"/>
              </w:rPr>
            </w:pPr>
            <w:r w:rsidRPr="004741F9">
              <w:rPr>
                <w:rFonts w:ascii="Calibri" w:hAnsi="Calibri" w:cs="Calibri"/>
                <w:b/>
                <w:bCs/>
                <w:color w:val="000000"/>
                <w:sz w:val="20"/>
              </w:rPr>
              <w:t>Snížení konečné spotřeby energie (GJ/rok)</w:t>
            </w:r>
          </w:p>
        </w:tc>
      </w:tr>
      <w:tr w:rsidR="004741F9" w:rsidRPr="004741F9" w14:paraId="4127EB30" w14:textId="77777777" w:rsidTr="002477AE">
        <w:trPr>
          <w:trHeight w:val="2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78E341B9" w14:textId="77777777" w:rsidR="004741F9" w:rsidRPr="004741F9" w:rsidRDefault="004741F9" w:rsidP="004741F9">
            <w:pPr>
              <w:jc w:val="left"/>
              <w:rPr>
                <w:rFonts w:ascii="Calibri" w:hAnsi="Calibri" w:cs="Calibri"/>
                <w:b/>
                <w:bCs/>
                <w:color w:val="000000"/>
                <w:sz w:val="20"/>
              </w:rPr>
            </w:pPr>
          </w:p>
        </w:tc>
        <w:tc>
          <w:tcPr>
            <w:tcW w:w="1264" w:type="pct"/>
            <w:vMerge/>
            <w:tcBorders>
              <w:top w:val="single" w:sz="4" w:space="0" w:color="auto"/>
              <w:left w:val="single" w:sz="4" w:space="0" w:color="auto"/>
              <w:bottom w:val="single" w:sz="4" w:space="0" w:color="auto"/>
              <w:right w:val="single" w:sz="4" w:space="0" w:color="auto"/>
            </w:tcBorders>
            <w:vAlign w:val="center"/>
            <w:hideMark/>
          </w:tcPr>
          <w:p w14:paraId="415D4002" w14:textId="77777777" w:rsidR="004741F9" w:rsidRPr="004741F9" w:rsidRDefault="004741F9" w:rsidP="004741F9">
            <w:pPr>
              <w:jc w:val="left"/>
              <w:rPr>
                <w:rFonts w:ascii="Calibri" w:hAnsi="Calibri" w:cs="Calibri"/>
                <w:b/>
                <w:bCs/>
                <w:color w:val="000000"/>
                <w:sz w:val="20"/>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316D527C" w14:textId="77777777" w:rsidR="004741F9" w:rsidRPr="004741F9" w:rsidRDefault="004741F9" w:rsidP="004741F9">
            <w:pPr>
              <w:jc w:val="left"/>
              <w:rPr>
                <w:rFonts w:ascii="Calibri" w:hAnsi="Calibri" w:cs="Calibri"/>
                <w:b/>
                <w:bCs/>
                <w:color w:val="000000"/>
                <w:sz w:val="20"/>
              </w:rPr>
            </w:pPr>
          </w:p>
        </w:tc>
        <w:tc>
          <w:tcPr>
            <w:tcW w:w="860" w:type="pct"/>
            <w:vMerge/>
            <w:tcBorders>
              <w:top w:val="single" w:sz="4" w:space="0" w:color="auto"/>
              <w:left w:val="single" w:sz="4" w:space="0" w:color="auto"/>
              <w:bottom w:val="single" w:sz="4" w:space="0" w:color="auto"/>
              <w:right w:val="single" w:sz="4" w:space="0" w:color="auto"/>
            </w:tcBorders>
            <w:vAlign w:val="center"/>
            <w:hideMark/>
          </w:tcPr>
          <w:p w14:paraId="4A023D02" w14:textId="77777777" w:rsidR="004741F9" w:rsidRPr="004741F9" w:rsidRDefault="004741F9" w:rsidP="004741F9">
            <w:pPr>
              <w:jc w:val="left"/>
              <w:rPr>
                <w:rFonts w:ascii="Calibri" w:hAnsi="Calibri" w:cs="Calibri"/>
                <w:b/>
                <w:bCs/>
                <w:color w:val="000000"/>
                <w:sz w:val="20"/>
              </w:rPr>
            </w:pPr>
          </w:p>
        </w:tc>
        <w:tc>
          <w:tcPr>
            <w:tcW w:w="937" w:type="pct"/>
            <w:tcBorders>
              <w:top w:val="nil"/>
              <w:left w:val="nil"/>
              <w:bottom w:val="single" w:sz="4" w:space="0" w:color="auto"/>
              <w:right w:val="single" w:sz="4" w:space="0" w:color="auto"/>
            </w:tcBorders>
            <w:shd w:val="clear" w:color="000000" w:fill="E5F1FF"/>
            <w:vAlign w:val="center"/>
            <w:hideMark/>
          </w:tcPr>
          <w:p w14:paraId="52EB4706" w14:textId="77777777" w:rsidR="004741F9" w:rsidRPr="004741F9" w:rsidRDefault="004741F9" w:rsidP="004741F9">
            <w:pPr>
              <w:jc w:val="center"/>
              <w:rPr>
                <w:rFonts w:ascii="Calibri" w:hAnsi="Calibri" w:cs="Calibri"/>
                <w:b/>
                <w:bCs/>
                <w:color w:val="000000"/>
                <w:sz w:val="20"/>
              </w:rPr>
            </w:pPr>
            <w:r w:rsidRPr="004741F9">
              <w:rPr>
                <w:rFonts w:ascii="Calibri" w:hAnsi="Calibri" w:cs="Calibri"/>
                <w:b/>
                <w:bCs/>
                <w:color w:val="000000"/>
                <w:sz w:val="20"/>
              </w:rPr>
              <w:t>Cílová hodnota</w:t>
            </w:r>
          </w:p>
        </w:tc>
        <w:tc>
          <w:tcPr>
            <w:tcW w:w="937" w:type="pct"/>
            <w:tcBorders>
              <w:top w:val="nil"/>
              <w:left w:val="nil"/>
              <w:bottom w:val="single" w:sz="4" w:space="0" w:color="auto"/>
              <w:right w:val="single" w:sz="4" w:space="0" w:color="auto"/>
            </w:tcBorders>
            <w:shd w:val="clear" w:color="000000" w:fill="E5F1FF"/>
            <w:vAlign w:val="center"/>
            <w:hideMark/>
          </w:tcPr>
          <w:p w14:paraId="27108E18" w14:textId="77777777" w:rsidR="004741F9" w:rsidRPr="004741F9" w:rsidRDefault="004741F9" w:rsidP="004741F9">
            <w:pPr>
              <w:jc w:val="center"/>
              <w:rPr>
                <w:rFonts w:ascii="Calibri" w:hAnsi="Calibri" w:cs="Calibri"/>
                <w:b/>
                <w:bCs/>
                <w:color w:val="000000"/>
                <w:sz w:val="20"/>
              </w:rPr>
            </w:pPr>
            <w:r w:rsidRPr="004741F9">
              <w:rPr>
                <w:rFonts w:ascii="Calibri" w:hAnsi="Calibri" w:cs="Calibri"/>
                <w:b/>
                <w:bCs/>
                <w:color w:val="000000"/>
                <w:sz w:val="20"/>
              </w:rPr>
              <w:t>Dosažená hodnota</w:t>
            </w:r>
          </w:p>
        </w:tc>
      </w:tr>
      <w:tr w:rsidR="004741F9" w:rsidRPr="004741F9" w14:paraId="4B5C3848" w14:textId="77777777" w:rsidTr="002477AE">
        <w:trPr>
          <w:trHeight w:val="20"/>
        </w:trPr>
        <w:tc>
          <w:tcPr>
            <w:tcW w:w="53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765A51" w14:textId="77777777" w:rsidR="004741F9" w:rsidRPr="004741F9" w:rsidRDefault="004741F9" w:rsidP="004741F9">
            <w:pPr>
              <w:jc w:val="center"/>
              <w:rPr>
                <w:rFonts w:ascii="Calibri" w:hAnsi="Calibri" w:cs="Calibri"/>
                <w:color w:val="000000"/>
                <w:sz w:val="20"/>
              </w:rPr>
            </w:pPr>
            <w:r w:rsidRPr="004741F9">
              <w:rPr>
                <w:rFonts w:ascii="Calibri" w:hAnsi="Calibri" w:cs="Calibri"/>
                <w:color w:val="000000"/>
                <w:sz w:val="20"/>
              </w:rPr>
              <w:t>5.1</w:t>
            </w:r>
          </w:p>
        </w:tc>
        <w:tc>
          <w:tcPr>
            <w:tcW w:w="1264" w:type="pct"/>
            <w:tcBorders>
              <w:top w:val="nil"/>
              <w:left w:val="nil"/>
              <w:bottom w:val="single" w:sz="4" w:space="0" w:color="auto"/>
              <w:right w:val="single" w:sz="4" w:space="0" w:color="auto"/>
            </w:tcBorders>
            <w:shd w:val="clear" w:color="auto" w:fill="auto"/>
            <w:vAlign w:val="center"/>
            <w:hideMark/>
          </w:tcPr>
          <w:p w14:paraId="5E73B302" w14:textId="77777777" w:rsidR="004741F9" w:rsidRPr="004741F9" w:rsidRDefault="004741F9" w:rsidP="004741F9">
            <w:pPr>
              <w:jc w:val="left"/>
              <w:rPr>
                <w:rFonts w:ascii="Calibri" w:hAnsi="Calibri" w:cs="Calibri"/>
                <w:color w:val="000000"/>
                <w:sz w:val="20"/>
              </w:rPr>
            </w:pPr>
            <w:r w:rsidRPr="004741F9">
              <w:rPr>
                <w:rFonts w:ascii="Calibri" w:hAnsi="Calibri" w:cs="Calibri"/>
                <w:color w:val="000000"/>
                <w:sz w:val="20"/>
              </w:rPr>
              <w:t>Negativní stav</w:t>
            </w:r>
          </w:p>
        </w:tc>
        <w:tc>
          <w:tcPr>
            <w:tcW w:w="470" w:type="pct"/>
            <w:tcBorders>
              <w:top w:val="nil"/>
              <w:left w:val="nil"/>
              <w:bottom w:val="single" w:sz="4" w:space="0" w:color="auto"/>
              <w:right w:val="single" w:sz="4" w:space="0" w:color="auto"/>
            </w:tcBorders>
            <w:shd w:val="clear" w:color="auto" w:fill="auto"/>
            <w:noWrap/>
            <w:vAlign w:val="center"/>
            <w:hideMark/>
          </w:tcPr>
          <w:p w14:paraId="17A74EE9"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648</w:t>
            </w:r>
          </w:p>
        </w:tc>
        <w:tc>
          <w:tcPr>
            <w:tcW w:w="860" w:type="pct"/>
            <w:tcBorders>
              <w:top w:val="nil"/>
              <w:left w:val="nil"/>
              <w:bottom w:val="single" w:sz="4" w:space="0" w:color="auto"/>
              <w:right w:val="single" w:sz="4" w:space="0" w:color="auto"/>
            </w:tcBorders>
            <w:shd w:val="clear" w:color="auto" w:fill="auto"/>
            <w:noWrap/>
            <w:vAlign w:val="center"/>
            <w:hideMark/>
          </w:tcPr>
          <w:p w14:paraId="088B0BCD"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5 176 398 328</w:t>
            </w:r>
          </w:p>
        </w:tc>
        <w:tc>
          <w:tcPr>
            <w:tcW w:w="937" w:type="pct"/>
            <w:tcBorders>
              <w:top w:val="nil"/>
              <w:left w:val="nil"/>
              <w:bottom w:val="single" w:sz="4" w:space="0" w:color="auto"/>
              <w:right w:val="single" w:sz="4" w:space="0" w:color="auto"/>
            </w:tcBorders>
            <w:shd w:val="clear" w:color="auto" w:fill="auto"/>
            <w:noWrap/>
            <w:vAlign w:val="center"/>
            <w:hideMark/>
          </w:tcPr>
          <w:p w14:paraId="59507211"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290 100</w:t>
            </w:r>
          </w:p>
        </w:tc>
        <w:tc>
          <w:tcPr>
            <w:tcW w:w="937" w:type="pct"/>
            <w:tcBorders>
              <w:top w:val="nil"/>
              <w:left w:val="nil"/>
              <w:bottom w:val="single" w:sz="4" w:space="0" w:color="auto"/>
              <w:right w:val="single" w:sz="4" w:space="0" w:color="auto"/>
            </w:tcBorders>
            <w:shd w:val="clear" w:color="auto" w:fill="auto"/>
            <w:noWrap/>
            <w:vAlign w:val="center"/>
            <w:hideMark/>
          </w:tcPr>
          <w:p w14:paraId="7E34D1A9"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2 303</w:t>
            </w:r>
          </w:p>
        </w:tc>
      </w:tr>
      <w:tr w:rsidR="004741F9" w:rsidRPr="004741F9" w14:paraId="457106B2" w14:textId="77777777" w:rsidTr="002477AE">
        <w:trPr>
          <w:trHeight w:val="20"/>
        </w:trPr>
        <w:tc>
          <w:tcPr>
            <w:tcW w:w="533" w:type="pct"/>
            <w:vMerge/>
            <w:tcBorders>
              <w:top w:val="nil"/>
              <w:left w:val="single" w:sz="4" w:space="0" w:color="auto"/>
              <w:bottom w:val="single" w:sz="4" w:space="0" w:color="auto"/>
              <w:right w:val="single" w:sz="4" w:space="0" w:color="auto"/>
            </w:tcBorders>
            <w:vAlign w:val="center"/>
            <w:hideMark/>
          </w:tcPr>
          <w:p w14:paraId="2BE7ED9C" w14:textId="77777777" w:rsidR="004741F9" w:rsidRPr="004741F9" w:rsidRDefault="004741F9" w:rsidP="004741F9">
            <w:pPr>
              <w:jc w:val="left"/>
              <w:rPr>
                <w:rFonts w:ascii="Calibri" w:hAnsi="Calibri" w:cs="Calibri"/>
                <w:color w:val="000000"/>
                <w:sz w:val="20"/>
              </w:rPr>
            </w:pPr>
          </w:p>
        </w:tc>
        <w:tc>
          <w:tcPr>
            <w:tcW w:w="1264" w:type="pct"/>
            <w:tcBorders>
              <w:top w:val="nil"/>
              <w:left w:val="nil"/>
              <w:bottom w:val="single" w:sz="4" w:space="0" w:color="auto"/>
              <w:right w:val="single" w:sz="4" w:space="0" w:color="auto"/>
            </w:tcBorders>
            <w:shd w:val="clear" w:color="auto" w:fill="auto"/>
            <w:vAlign w:val="center"/>
            <w:hideMark/>
          </w:tcPr>
          <w:p w14:paraId="7B935023" w14:textId="77777777" w:rsidR="004741F9" w:rsidRPr="004741F9" w:rsidRDefault="004741F9" w:rsidP="004741F9">
            <w:pPr>
              <w:jc w:val="left"/>
              <w:rPr>
                <w:rFonts w:ascii="Calibri" w:hAnsi="Calibri" w:cs="Calibri"/>
                <w:color w:val="000000"/>
                <w:sz w:val="20"/>
              </w:rPr>
            </w:pPr>
            <w:r w:rsidRPr="004741F9">
              <w:rPr>
                <w:rFonts w:ascii="Calibri" w:hAnsi="Calibri" w:cs="Calibri"/>
                <w:color w:val="000000"/>
                <w:sz w:val="20"/>
              </w:rPr>
              <w:t>Projekty před vydáním PA</w:t>
            </w:r>
          </w:p>
        </w:tc>
        <w:tc>
          <w:tcPr>
            <w:tcW w:w="470" w:type="pct"/>
            <w:tcBorders>
              <w:top w:val="nil"/>
              <w:left w:val="nil"/>
              <w:bottom w:val="single" w:sz="4" w:space="0" w:color="auto"/>
              <w:right w:val="single" w:sz="4" w:space="0" w:color="auto"/>
            </w:tcBorders>
            <w:shd w:val="clear" w:color="auto" w:fill="auto"/>
            <w:noWrap/>
            <w:vAlign w:val="center"/>
            <w:hideMark/>
          </w:tcPr>
          <w:p w14:paraId="5D764014"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658</w:t>
            </w:r>
          </w:p>
        </w:tc>
        <w:tc>
          <w:tcPr>
            <w:tcW w:w="860" w:type="pct"/>
            <w:tcBorders>
              <w:top w:val="nil"/>
              <w:left w:val="nil"/>
              <w:bottom w:val="single" w:sz="4" w:space="0" w:color="auto"/>
              <w:right w:val="single" w:sz="4" w:space="0" w:color="auto"/>
            </w:tcBorders>
            <w:shd w:val="clear" w:color="auto" w:fill="auto"/>
            <w:noWrap/>
            <w:vAlign w:val="center"/>
            <w:hideMark/>
          </w:tcPr>
          <w:p w14:paraId="1C8538BA"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8 527 250 886</w:t>
            </w:r>
          </w:p>
        </w:tc>
        <w:tc>
          <w:tcPr>
            <w:tcW w:w="937" w:type="pct"/>
            <w:tcBorders>
              <w:top w:val="nil"/>
              <w:left w:val="nil"/>
              <w:bottom w:val="single" w:sz="4" w:space="0" w:color="auto"/>
              <w:right w:val="single" w:sz="4" w:space="0" w:color="auto"/>
            </w:tcBorders>
            <w:shd w:val="clear" w:color="auto" w:fill="auto"/>
            <w:noWrap/>
            <w:vAlign w:val="center"/>
            <w:hideMark/>
          </w:tcPr>
          <w:p w14:paraId="3DDDFBE8"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423 834</w:t>
            </w:r>
          </w:p>
        </w:tc>
        <w:tc>
          <w:tcPr>
            <w:tcW w:w="937" w:type="pct"/>
            <w:tcBorders>
              <w:top w:val="nil"/>
              <w:left w:val="nil"/>
              <w:bottom w:val="single" w:sz="4" w:space="0" w:color="auto"/>
              <w:right w:val="single" w:sz="4" w:space="0" w:color="auto"/>
            </w:tcBorders>
            <w:shd w:val="clear" w:color="auto" w:fill="auto"/>
            <w:noWrap/>
            <w:vAlign w:val="center"/>
            <w:hideMark/>
          </w:tcPr>
          <w:p w14:paraId="0815BFF0"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0</w:t>
            </w:r>
          </w:p>
        </w:tc>
      </w:tr>
      <w:tr w:rsidR="004741F9" w:rsidRPr="004741F9" w14:paraId="39BBF081" w14:textId="77777777" w:rsidTr="002477AE">
        <w:trPr>
          <w:trHeight w:val="20"/>
        </w:trPr>
        <w:tc>
          <w:tcPr>
            <w:tcW w:w="533" w:type="pct"/>
            <w:vMerge/>
            <w:tcBorders>
              <w:top w:val="nil"/>
              <w:left w:val="single" w:sz="4" w:space="0" w:color="auto"/>
              <w:bottom w:val="single" w:sz="4" w:space="0" w:color="auto"/>
              <w:right w:val="single" w:sz="4" w:space="0" w:color="auto"/>
            </w:tcBorders>
            <w:vAlign w:val="center"/>
            <w:hideMark/>
          </w:tcPr>
          <w:p w14:paraId="1C1AB076" w14:textId="77777777" w:rsidR="004741F9" w:rsidRPr="004741F9" w:rsidRDefault="004741F9" w:rsidP="004741F9">
            <w:pPr>
              <w:jc w:val="left"/>
              <w:rPr>
                <w:rFonts w:ascii="Calibri" w:hAnsi="Calibri" w:cs="Calibri"/>
                <w:color w:val="000000"/>
                <w:sz w:val="20"/>
              </w:rPr>
            </w:pPr>
          </w:p>
        </w:tc>
        <w:tc>
          <w:tcPr>
            <w:tcW w:w="1264" w:type="pct"/>
            <w:tcBorders>
              <w:top w:val="nil"/>
              <w:left w:val="nil"/>
              <w:bottom w:val="single" w:sz="4" w:space="0" w:color="auto"/>
              <w:right w:val="single" w:sz="4" w:space="0" w:color="auto"/>
            </w:tcBorders>
            <w:shd w:val="clear" w:color="auto" w:fill="auto"/>
            <w:vAlign w:val="center"/>
            <w:hideMark/>
          </w:tcPr>
          <w:p w14:paraId="46F05185" w14:textId="77777777" w:rsidR="004741F9" w:rsidRPr="004741F9" w:rsidRDefault="004741F9" w:rsidP="004741F9">
            <w:pPr>
              <w:jc w:val="left"/>
              <w:rPr>
                <w:rFonts w:ascii="Calibri" w:hAnsi="Calibri" w:cs="Calibri"/>
                <w:color w:val="000000"/>
                <w:sz w:val="20"/>
              </w:rPr>
            </w:pPr>
            <w:r w:rsidRPr="004741F9">
              <w:rPr>
                <w:rFonts w:ascii="Calibri" w:hAnsi="Calibri" w:cs="Calibri"/>
                <w:color w:val="000000"/>
                <w:sz w:val="20"/>
              </w:rPr>
              <w:t>Projekty v realizaci</w:t>
            </w:r>
          </w:p>
        </w:tc>
        <w:tc>
          <w:tcPr>
            <w:tcW w:w="470" w:type="pct"/>
            <w:tcBorders>
              <w:top w:val="nil"/>
              <w:left w:val="nil"/>
              <w:bottom w:val="single" w:sz="4" w:space="0" w:color="auto"/>
              <w:right w:val="single" w:sz="4" w:space="0" w:color="auto"/>
            </w:tcBorders>
            <w:shd w:val="clear" w:color="auto" w:fill="auto"/>
            <w:noWrap/>
            <w:vAlign w:val="center"/>
            <w:hideMark/>
          </w:tcPr>
          <w:p w14:paraId="0C742D11"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1 747</w:t>
            </w:r>
          </w:p>
        </w:tc>
        <w:tc>
          <w:tcPr>
            <w:tcW w:w="860" w:type="pct"/>
            <w:tcBorders>
              <w:top w:val="nil"/>
              <w:left w:val="nil"/>
              <w:bottom w:val="single" w:sz="4" w:space="0" w:color="auto"/>
              <w:right w:val="single" w:sz="4" w:space="0" w:color="auto"/>
            </w:tcBorders>
            <w:shd w:val="clear" w:color="auto" w:fill="auto"/>
            <w:noWrap/>
            <w:vAlign w:val="center"/>
            <w:hideMark/>
          </w:tcPr>
          <w:p w14:paraId="5FF19F2B"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11 951 053 517</w:t>
            </w:r>
          </w:p>
        </w:tc>
        <w:tc>
          <w:tcPr>
            <w:tcW w:w="937" w:type="pct"/>
            <w:tcBorders>
              <w:top w:val="nil"/>
              <w:left w:val="nil"/>
              <w:bottom w:val="single" w:sz="4" w:space="0" w:color="auto"/>
              <w:right w:val="single" w:sz="4" w:space="0" w:color="auto"/>
            </w:tcBorders>
            <w:shd w:val="clear" w:color="auto" w:fill="auto"/>
            <w:noWrap/>
            <w:vAlign w:val="center"/>
            <w:hideMark/>
          </w:tcPr>
          <w:p w14:paraId="53742516"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787 936</w:t>
            </w:r>
          </w:p>
        </w:tc>
        <w:tc>
          <w:tcPr>
            <w:tcW w:w="937" w:type="pct"/>
            <w:tcBorders>
              <w:top w:val="nil"/>
              <w:left w:val="nil"/>
              <w:bottom w:val="single" w:sz="4" w:space="0" w:color="auto"/>
              <w:right w:val="single" w:sz="4" w:space="0" w:color="auto"/>
            </w:tcBorders>
            <w:shd w:val="clear" w:color="auto" w:fill="auto"/>
            <w:noWrap/>
            <w:vAlign w:val="center"/>
            <w:hideMark/>
          </w:tcPr>
          <w:p w14:paraId="29BFAF7C"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305 580</w:t>
            </w:r>
          </w:p>
        </w:tc>
      </w:tr>
      <w:tr w:rsidR="004741F9" w:rsidRPr="004741F9" w14:paraId="67DD833C" w14:textId="77777777" w:rsidTr="002477AE">
        <w:trPr>
          <w:trHeight w:val="20"/>
        </w:trPr>
        <w:tc>
          <w:tcPr>
            <w:tcW w:w="53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065123" w14:textId="77777777" w:rsidR="004741F9" w:rsidRPr="004741F9" w:rsidRDefault="004741F9" w:rsidP="004741F9">
            <w:pPr>
              <w:jc w:val="center"/>
              <w:rPr>
                <w:rFonts w:ascii="Calibri" w:hAnsi="Calibri" w:cs="Calibri"/>
                <w:color w:val="000000"/>
                <w:sz w:val="20"/>
              </w:rPr>
            </w:pPr>
            <w:r w:rsidRPr="004741F9">
              <w:rPr>
                <w:rFonts w:ascii="Calibri" w:hAnsi="Calibri" w:cs="Calibri"/>
                <w:color w:val="000000"/>
                <w:sz w:val="20"/>
              </w:rPr>
              <w:t>5.3</w:t>
            </w:r>
          </w:p>
        </w:tc>
        <w:tc>
          <w:tcPr>
            <w:tcW w:w="1264" w:type="pct"/>
            <w:tcBorders>
              <w:top w:val="nil"/>
              <w:left w:val="nil"/>
              <w:bottom w:val="single" w:sz="4" w:space="0" w:color="auto"/>
              <w:right w:val="single" w:sz="4" w:space="0" w:color="auto"/>
            </w:tcBorders>
            <w:shd w:val="clear" w:color="auto" w:fill="auto"/>
            <w:vAlign w:val="center"/>
            <w:hideMark/>
          </w:tcPr>
          <w:p w14:paraId="5F63A878" w14:textId="77777777" w:rsidR="004741F9" w:rsidRPr="004741F9" w:rsidRDefault="004741F9" w:rsidP="004741F9">
            <w:pPr>
              <w:jc w:val="left"/>
              <w:rPr>
                <w:rFonts w:ascii="Calibri" w:hAnsi="Calibri" w:cs="Calibri"/>
                <w:color w:val="000000"/>
                <w:sz w:val="20"/>
              </w:rPr>
            </w:pPr>
            <w:r w:rsidRPr="004741F9">
              <w:rPr>
                <w:rFonts w:ascii="Calibri" w:hAnsi="Calibri" w:cs="Calibri"/>
                <w:color w:val="000000"/>
                <w:sz w:val="20"/>
              </w:rPr>
              <w:t>Negativní stav</w:t>
            </w:r>
          </w:p>
        </w:tc>
        <w:tc>
          <w:tcPr>
            <w:tcW w:w="470" w:type="pct"/>
            <w:tcBorders>
              <w:top w:val="nil"/>
              <w:left w:val="nil"/>
              <w:bottom w:val="single" w:sz="4" w:space="0" w:color="auto"/>
              <w:right w:val="single" w:sz="4" w:space="0" w:color="auto"/>
            </w:tcBorders>
            <w:shd w:val="clear" w:color="auto" w:fill="auto"/>
            <w:noWrap/>
            <w:vAlign w:val="center"/>
            <w:hideMark/>
          </w:tcPr>
          <w:p w14:paraId="0D42EE12"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1</w:t>
            </w:r>
          </w:p>
        </w:tc>
        <w:tc>
          <w:tcPr>
            <w:tcW w:w="860" w:type="pct"/>
            <w:tcBorders>
              <w:top w:val="nil"/>
              <w:left w:val="nil"/>
              <w:bottom w:val="single" w:sz="4" w:space="0" w:color="auto"/>
              <w:right w:val="single" w:sz="4" w:space="0" w:color="auto"/>
            </w:tcBorders>
            <w:shd w:val="clear" w:color="auto" w:fill="auto"/>
            <w:noWrap/>
            <w:vAlign w:val="center"/>
            <w:hideMark/>
          </w:tcPr>
          <w:p w14:paraId="5BB3E049"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15 666 692</w:t>
            </w:r>
          </w:p>
        </w:tc>
        <w:tc>
          <w:tcPr>
            <w:tcW w:w="937" w:type="pct"/>
            <w:tcBorders>
              <w:top w:val="nil"/>
              <w:left w:val="nil"/>
              <w:bottom w:val="single" w:sz="4" w:space="0" w:color="auto"/>
              <w:right w:val="single" w:sz="4" w:space="0" w:color="auto"/>
            </w:tcBorders>
            <w:shd w:val="clear" w:color="auto" w:fill="auto"/>
            <w:noWrap/>
            <w:vAlign w:val="center"/>
            <w:hideMark/>
          </w:tcPr>
          <w:p w14:paraId="1EB02FC1"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1 042</w:t>
            </w:r>
          </w:p>
        </w:tc>
        <w:tc>
          <w:tcPr>
            <w:tcW w:w="937" w:type="pct"/>
            <w:tcBorders>
              <w:top w:val="nil"/>
              <w:left w:val="nil"/>
              <w:bottom w:val="single" w:sz="4" w:space="0" w:color="auto"/>
              <w:right w:val="single" w:sz="4" w:space="0" w:color="auto"/>
            </w:tcBorders>
            <w:shd w:val="clear" w:color="auto" w:fill="auto"/>
            <w:noWrap/>
            <w:vAlign w:val="center"/>
            <w:hideMark/>
          </w:tcPr>
          <w:p w14:paraId="6824D3C8"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0</w:t>
            </w:r>
          </w:p>
        </w:tc>
      </w:tr>
      <w:tr w:rsidR="004741F9" w:rsidRPr="004741F9" w14:paraId="6C0F25D3" w14:textId="77777777" w:rsidTr="002477AE">
        <w:trPr>
          <w:trHeight w:val="20"/>
        </w:trPr>
        <w:tc>
          <w:tcPr>
            <w:tcW w:w="533" w:type="pct"/>
            <w:vMerge/>
            <w:tcBorders>
              <w:top w:val="nil"/>
              <w:left w:val="single" w:sz="4" w:space="0" w:color="auto"/>
              <w:bottom w:val="single" w:sz="4" w:space="0" w:color="auto"/>
              <w:right w:val="single" w:sz="4" w:space="0" w:color="auto"/>
            </w:tcBorders>
            <w:vAlign w:val="center"/>
            <w:hideMark/>
          </w:tcPr>
          <w:p w14:paraId="38007DFF" w14:textId="77777777" w:rsidR="004741F9" w:rsidRPr="004741F9" w:rsidRDefault="004741F9" w:rsidP="004741F9">
            <w:pPr>
              <w:jc w:val="left"/>
              <w:rPr>
                <w:rFonts w:ascii="Calibri" w:hAnsi="Calibri" w:cs="Calibri"/>
                <w:color w:val="000000"/>
                <w:sz w:val="20"/>
              </w:rPr>
            </w:pPr>
          </w:p>
        </w:tc>
        <w:tc>
          <w:tcPr>
            <w:tcW w:w="1264" w:type="pct"/>
            <w:tcBorders>
              <w:top w:val="nil"/>
              <w:left w:val="nil"/>
              <w:bottom w:val="single" w:sz="4" w:space="0" w:color="auto"/>
              <w:right w:val="single" w:sz="4" w:space="0" w:color="auto"/>
            </w:tcBorders>
            <w:shd w:val="clear" w:color="auto" w:fill="auto"/>
            <w:vAlign w:val="center"/>
            <w:hideMark/>
          </w:tcPr>
          <w:p w14:paraId="05EE7A61" w14:textId="77777777" w:rsidR="004741F9" w:rsidRPr="004741F9" w:rsidRDefault="004741F9" w:rsidP="004741F9">
            <w:pPr>
              <w:jc w:val="left"/>
              <w:rPr>
                <w:rFonts w:ascii="Calibri" w:hAnsi="Calibri" w:cs="Calibri"/>
                <w:color w:val="000000"/>
                <w:sz w:val="20"/>
              </w:rPr>
            </w:pPr>
            <w:r w:rsidRPr="004741F9">
              <w:rPr>
                <w:rFonts w:ascii="Calibri" w:hAnsi="Calibri" w:cs="Calibri"/>
                <w:color w:val="000000"/>
                <w:sz w:val="20"/>
              </w:rPr>
              <w:t>Projekty před vydáním PA</w:t>
            </w:r>
          </w:p>
        </w:tc>
        <w:tc>
          <w:tcPr>
            <w:tcW w:w="470" w:type="pct"/>
            <w:tcBorders>
              <w:top w:val="nil"/>
              <w:left w:val="nil"/>
              <w:bottom w:val="single" w:sz="4" w:space="0" w:color="auto"/>
              <w:right w:val="single" w:sz="4" w:space="0" w:color="auto"/>
            </w:tcBorders>
            <w:shd w:val="clear" w:color="auto" w:fill="auto"/>
            <w:noWrap/>
            <w:vAlign w:val="center"/>
            <w:hideMark/>
          </w:tcPr>
          <w:p w14:paraId="28D98D71"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31</w:t>
            </w:r>
          </w:p>
        </w:tc>
        <w:tc>
          <w:tcPr>
            <w:tcW w:w="860" w:type="pct"/>
            <w:tcBorders>
              <w:top w:val="nil"/>
              <w:left w:val="nil"/>
              <w:bottom w:val="single" w:sz="4" w:space="0" w:color="auto"/>
              <w:right w:val="single" w:sz="4" w:space="0" w:color="auto"/>
            </w:tcBorders>
            <w:shd w:val="clear" w:color="auto" w:fill="auto"/>
            <w:noWrap/>
            <w:vAlign w:val="center"/>
            <w:hideMark/>
          </w:tcPr>
          <w:p w14:paraId="3D13F65A"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785 926 021</w:t>
            </w:r>
          </w:p>
        </w:tc>
        <w:tc>
          <w:tcPr>
            <w:tcW w:w="937" w:type="pct"/>
            <w:tcBorders>
              <w:top w:val="nil"/>
              <w:left w:val="nil"/>
              <w:bottom w:val="single" w:sz="4" w:space="0" w:color="auto"/>
              <w:right w:val="single" w:sz="4" w:space="0" w:color="auto"/>
            </w:tcBorders>
            <w:shd w:val="clear" w:color="auto" w:fill="auto"/>
            <w:noWrap/>
            <w:vAlign w:val="center"/>
            <w:hideMark/>
          </w:tcPr>
          <w:p w14:paraId="41DEAD6B"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44 077</w:t>
            </w:r>
          </w:p>
        </w:tc>
        <w:tc>
          <w:tcPr>
            <w:tcW w:w="937" w:type="pct"/>
            <w:tcBorders>
              <w:top w:val="nil"/>
              <w:left w:val="nil"/>
              <w:bottom w:val="single" w:sz="4" w:space="0" w:color="auto"/>
              <w:right w:val="single" w:sz="4" w:space="0" w:color="auto"/>
            </w:tcBorders>
            <w:shd w:val="clear" w:color="auto" w:fill="auto"/>
            <w:noWrap/>
            <w:vAlign w:val="center"/>
            <w:hideMark/>
          </w:tcPr>
          <w:p w14:paraId="16AFA9BB"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0</w:t>
            </w:r>
          </w:p>
        </w:tc>
      </w:tr>
      <w:tr w:rsidR="004741F9" w:rsidRPr="004741F9" w14:paraId="36863550" w14:textId="77777777" w:rsidTr="002477AE">
        <w:trPr>
          <w:trHeight w:val="20"/>
        </w:trPr>
        <w:tc>
          <w:tcPr>
            <w:tcW w:w="533" w:type="pct"/>
            <w:vMerge/>
            <w:tcBorders>
              <w:top w:val="nil"/>
              <w:left w:val="single" w:sz="4" w:space="0" w:color="auto"/>
              <w:bottom w:val="single" w:sz="4" w:space="0" w:color="auto"/>
              <w:right w:val="single" w:sz="4" w:space="0" w:color="auto"/>
            </w:tcBorders>
            <w:vAlign w:val="center"/>
            <w:hideMark/>
          </w:tcPr>
          <w:p w14:paraId="1C2B0704" w14:textId="77777777" w:rsidR="004741F9" w:rsidRPr="004741F9" w:rsidRDefault="004741F9" w:rsidP="004741F9">
            <w:pPr>
              <w:jc w:val="left"/>
              <w:rPr>
                <w:rFonts w:ascii="Calibri" w:hAnsi="Calibri" w:cs="Calibri"/>
                <w:color w:val="000000"/>
                <w:sz w:val="20"/>
              </w:rPr>
            </w:pPr>
          </w:p>
        </w:tc>
        <w:tc>
          <w:tcPr>
            <w:tcW w:w="1264" w:type="pct"/>
            <w:tcBorders>
              <w:top w:val="nil"/>
              <w:left w:val="nil"/>
              <w:bottom w:val="single" w:sz="4" w:space="0" w:color="auto"/>
              <w:right w:val="single" w:sz="4" w:space="0" w:color="auto"/>
            </w:tcBorders>
            <w:shd w:val="clear" w:color="auto" w:fill="auto"/>
            <w:vAlign w:val="center"/>
            <w:hideMark/>
          </w:tcPr>
          <w:p w14:paraId="39B8E591" w14:textId="77777777" w:rsidR="004741F9" w:rsidRPr="004741F9" w:rsidRDefault="004741F9" w:rsidP="004741F9">
            <w:pPr>
              <w:jc w:val="left"/>
              <w:rPr>
                <w:rFonts w:ascii="Calibri" w:hAnsi="Calibri" w:cs="Calibri"/>
                <w:color w:val="000000"/>
                <w:sz w:val="20"/>
              </w:rPr>
            </w:pPr>
            <w:r w:rsidRPr="004741F9">
              <w:rPr>
                <w:rFonts w:ascii="Calibri" w:hAnsi="Calibri" w:cs="Calibri"/>
                <w:color w:val="000000"/>
                <w:sz w:val="20"/>
              </w:rPr>
              <w:t>Projekty v realizaci</w:t>
            </w:r>
          </w:p>
        </w:tc>
        <w:tc>
          <w:tcPr>
            <w:tcW w:w="470" w:type="pct"/>
            <w:tcBorders>
              <w:top w:val="nil"/>
              <w:left w:val="nil"/>
              <w:bottom w:val="single" w:sz="4" w:space="0" w:color="auto"/>
              <w:right w:val="single" w:sz="4" w:space="0" w:color="auto"/>
            </w:tcBorders>
            <w:shd w:val="clear" w:color="auto" w:fill="auto"/>
            <w:noWrap/>
            <w:vAlign w:val="center"/>
            <w:hideMark/>
          </w:tcPr>
          <w:p w14:paraId="054BBF99"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0</w:t>
            </w:r>
          </w:p>
        </w:tc>
        <w:tc>
          <w:tcPr>
            <w:tcW w:w="860" w:type="pct"/>
            <w:tcBorders>
              <w:top w:val="nil"/>
              <w:left w:val="nil"/>
              <w:bottom w:val="single" w:sz="4" w:space="0" w:color="auto"/>
              <w:right w:val="single" w:sz="4" w:space="0" w:color="auto"/>
            </w:tcBorders>
            <w:shd w:val="clear" w:color="auto" w:fill="auto"/>
            <w:noWrap/>
            <w:vAlign w:val="center"/>
            <w:hideMark/>
          </w:tcPr>
          <w:p w14:paraId="460214D7"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0</w:t>
            </w:r>
          </w:p>
        </w:tc>
        <w:tc>
          <w:tcPr>
            <w:tcW w:w="937" w:type="pct"/>
            <w:tcBorders>
              <w:top w:val="nil"/>
              <w:left w:val="nil"/>
              <w:bottom w:val="single" w:sz="4" w:space="0" w:color="auto"/>
              <w:right w:val="single" w:sz="4" w:space="0" w:color="auto"/>
            </w:tcBorders>
            <w:shd w:val="clear" w:color="auto" w:fill="auto"/>
            <w:noWrap/>
            <w:vAlign w:val="center"/>
            <w:hideMark/>
          </w:tcPr>
          <w:p w14:paraId="58E66827"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0</w:t>
            </w:r>
          </w:p>
        </w:tc>
        <w:tc>
          <w:tcPr>
            <w:tcW w:w="937" w:type="pct"/>
            <w:tcBorders>
              <w:top w:val="nil"/>
              <w:left w:val="nil"/>
              <w:bottom w:val="single" w:sz="4" w:space="0" w:color="auto"/>
              <w:right w:val="single" w:sz="4" w:space="0" w:color="auto"/>
            </w:tcBorders>
            <w:shd w:val="clear" w:color="auto" w:fill="auto"/>
            <w:noWrap/>
            <w:vAlign w:val="center"/>
            <w:hideMark/>
          </w:tcPr>
          <w:p w14:paraId="1A36772A" w14:textId="77777777" w:rsidR="004741F9" w:rsidRPr="004741F9" w:rsidRDefault="004741F9" w:rsidP="004741F9">
            <w:pPr>
              <w:jc w:val="right"/>
              <w:rPr>
                <w:rFonts w:ascii="Calibri" w:hAnsi="Calibri" w:cs="Calibri"/>
                <w:color w:val="000000"/>
                <w:sz w:val="20"/>
              </w:rPr>
            </w:pPr>
            <w:r w:rsidRPr="004741F9">
              <w:rPr>
                <w:rFonts w:ascii="Calibri" w:hAnsi="Calibri" w:cs="Calibri"/>
                <w:color w:val="000000"/>
                <w:sz w:val="20"/>
              </w:rPr>
              <w:t>0</w:t>
            </w:r>
          </w:p>
        </w:tc>
      </w:tr>
      <w:tr w:rsidR="004741F9" w:rsidRPr="004741F9" w14:paraId="7EBB227D" w14:textId="77777777" w:rsidTr="002477AE">
        <w:trPr>
          <w:trHeight w:val="20"/>
        </w:trPr>
        <w:tc>
          <w:tcPr>
            <w:tcW w:w="1796" w:type="pct"/>
            <w:gridSpan w:val="2"/>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5B81A99" w14:textId="52CD3117" w:rsidR="004741F9" w:rsidRPr="004741F9" w:rsidRDefault="00AA3995" w:rsidP="00AA3995">
            <w:pPr>
              <w:jc w:val="left"/>
              <w:rPr>
                <w:rFonts w:ascii="Calibri" w:hAnsi="Calibri" w:cs="Calibri"/>
                <w:b/>
                <w:bCs/>
                <w:color w:val="000000"/>
                <w:sz w:val="20"/>
              </w:rPr>
            </w:pPr>
            <w:r>
              <w:rPr>
                <w:rFonts w:ascii="Calibri" w:hAnsi="Calibri" w:cs="Calibri"/>
                <w:b/>
                <w:bCs/>
                <w:color w:val="000000"/>
                <w:sz w:val="20"/>
              </w:rPr>
              <w:t>E</w:t>
            </w:r>
            <w:r w:rsidR="004741F9" w:rsidRPr="004741F9">
              <w:rPr>
                <w:rFonts w:ascii="Calibri" w:hAnsi="Calibri" w:cs="Calibri"/>
                <w:b/>
                <w:bCs/>
                <w:color w:val="000000"/>
                <w:sz w:val="20"/>
              </w:rPr>
              <w:t>vidovan</w:t>
            </w:r>
            <w:r w:rsidR="004741F9">
              <w:rPr>
                <w:rFonts w:ascii="Calibri" w:hAnsi="Calibri" w:cs="Calibri"/>
                <w:b/>
                <w:bCs/>
                <w:color w:val="000000"/>
                <w:sz w:val="20"/>
              </w:rPr>
              <w:t>é projekty</w:t>
            </w:r>
            <w:r w:rsidRPr="004741F9">
              <w:rPr>
                <w:rFonts w:ascii="Calibri" w:hAnsi="Calibri" w:cs="Calibri"/>
                <w:b/>
                <w:bCs/>
                <w:color w:val="000000"/>
                <w:sz w:val="20"/>
              </w:rPr>
              <w:t xml:space="preserve"> </w:t>
            </w:r>
            <w:r>
              <w:rPr>
                <w:rFonts w:ascii="Calibri" w:hAnsi="Calibri" w:cs="Calibri"/>
                <w:b/>
                <w:bCs/>
                <w:color w:val="000000"/>
                <w:sz w:val="20"/>
              </w:rPr>
              <w:t>c</w:t>
            </w:r>
            <w:r w:rsidRPr="004741F9">
              <w:rPr>
                <w:rFonts w:ascii="Calibri" w:hAnsi="Calibri" w:cs="Calibri"/>
                <w:b/>
                <w:bCs/>
                <w:color w:val="000000"/>
                <w:sz w:val="20"/>
              </w:rPr>
              <w:t>elkem</w:t>
            </w:r>
          </w:p>
        </w:tc>
        <w:tc>
          <w:tcPr>
            <w:tcW w:w="470" w:type="pct"/>
            <w:tcBorders>
              <w:top w:val="nil"/>
              <w:left w:val="nil"/>
              <w:bottom w:val="double" w:sz="6" w:space="0" w:color="auto"/>
              <w:right w:val="single" w:sz="4" w:space="0" w:color="auto"/>
            </w:tcBorders>
            <w:shd w:val="clear" w:color="auto" w:fill="auto"/>
            <w:noWrap/>
            <w:vAlign w:val="center"/>
            <w:hideMark/>
          </w:tcPr>
          <w:p w14:paraId="12E145F0" w14:textId="77777777" w:rsidR="004741F9" w:rsidRPr="004741F9" w:rsidRDefault="004741F9" w:rsidP="004741F9">
            <w:pPr>
              <w:jc w:val="right"/>
              <w:rPr>
                <w:rFonts w:ascii="Calibri" w:hAnsi="Calibri" w:cs="Calibri"/>
                <w:b/>
                <w:bCs/>
                <w:color w:val="000000"/>
                <w:sz w:val="20"/>
              </w:rPr>
            </w:pPr>
            <w:r w:rsidRPr="004741F9">
              <w:rPr>
                <w:rFonts w:ascii="Calibri" w:hAnsi="Calibri" w:cs="Calibri"/>
                <w:b/>
                <w:bCs/>
                <w:color w:val="000000"/>
                <w:sz w:val="20"/>
              </w:rPr>
              <w:t>3 085</w:t>
            </w:r>
          </w:p>
        </w:tc>
        <w:tc>
          <w:tcPr>
            <w:tcW w:w="860" w:type="pct"/>
            <w:tcBorders>
              <w:top w:val="nil"/>
              <w:left w:val="nil"/>
              <w:bottom w:val="double" w:sz="6" w:space="0" w:color="auto"/>
              <w:right w:val="single" w:sz="4" w:space="0" w:color="auto"/>
            </w:tcBorders>
            <w:shd w:val="clear" w:color="auto" w:fill="auto"/>
            <w:noWrap/>
            <w:vAlign w:val="center"/>
            <w:hideMark/>
          </w:tcPr>
          <w:p w14:paraId="6744C04F" w14:textId="77777777" w:rsidR="004741F9" w:rsidRPr="004741F9" w:rsidRDefault="004741F9" w:rsidP="004741F9">
            <w:pPr>
              <w:jc w:val="right"/>
              <w:rPr>
                <w:rFonts w:ascii="Calibri" w:hAnsi="Calibri" w:cs="Calibri"/>
                <w:b/>
                <w:bCs/>
                <w:color w:val="000000"/>
                <w:sz w:val="20"/>
              </w:rPr>
            </w:pPr>
            <w:r w:rsidRPr="004741F9">
              <w:rPr>
                <w:rFonts w:ascii="Calibri" w:hAnsi="Calibri" w:cs="Calibri"/>
                <w:b/>
                <w:bCs/>
                <w:color w:val="000000"/>
                <w:sz w:val="20"/>
              </w:rPr>
              <w:t>26 456 295 444</w:t>
            </w:r>
          </w:p>
        </w:tc>
        <w:tc>
          <w:tcPr>
            <w:tcW w:w="937" w:type="pct"/>
            <w:tcBorders>
              <w:top w:val="nil"/>
              <w:left w:val="nil"/>
              <w:bottom w:val="double" w:sz="6" w:space="0" w:color="auto"/>
              <w:right w:val="single" w:sz="4" w:space="0" w:color="auto"/>
            </w:tcBorders>
            <w:shd w:val="clear" w:color="auto" w:fill="auto"/>
            <w:noWrap/>
            <w:vAlign w:val="center"/>
            <w:hideMark/>
          </w:tcPr>
          <w:p w14:paraId="53927269" w14:textId="77777777" w:rsidR="004741F9" w:rsidRPr="004741F9" w:rsidRDefault="004741F9" w:rsidP="004741F9">
            <w:pPr>
              <w:jc w:val="right"/>
              <w:rPr>
                <w:rFonts w:ascii="Calibri" w:hAnsi="Calibri" w:cs="Calibri"/>
                <w:b/>
                <w:bCs/>
                <w:color w:val="000000"/>
                <w:sz w:val="20"/>
              </w:rPr>
            </w:pPr>
            <w:r w:rsidRPr="004741F9">
              <w:rPr>
                <w:rFonts w:ascii="Calibri" w:hAnsi="Calibri" w:cs="Calibri"/>
                <w:b/>
                <w:bCs/>
                <w:color w:val="000000"/>
                <w:sz w:val="20"/>
              </w:rPr>
              <w:t>1 546 989</w:t>
            </w:r>
          </w:p>
        </w:tc>
        <w:tc>
          <w:tcPr>
            <w:tcW w:w="937" w:type="pct"/>
            <w:tcBorders>
              <w:top w:val="nil"/>
              <w:left w:val="nil"/>
              <w:bottom w:val="double" w:sz="6" w:space="0" w:color="auto"/>
              <w:right w:val="single" w:sz="4" w:space="0" w:color="auto"/>
            </w:tcBorders>
            <w:shd w:val="clear" w:color="auto" w:fill="auto"/>
            <w:noWrap/>
            <w:vAlign w:val="center"/>
            <w:hideMark/>
          </w:tcPr>
          <w:p w14:paraId="343C0C93" w14:textId="77777777" w:rsidR="004741F9" w:rsidRPr="004741F9" w:rsidRDefault="004741F9" w:rsidP="004741F9">
            <w:pPr>
              <w:jc w:val="right"/>
              <w:rPr>
                <w:rFonts w:ascii="Calibri" w:hAnsi="Calibri" w:cs="Calibri"/>
                <w:b/>
                <w:bCs/>
                <w:color w:val="000000"/>
                <w:sz w:val="20"/>
              </w:rPr>
            </w:pPr>
            <w:r w:rsidRPr="004741F9">
              <w:rPr>
                <w:rFonts w:ascii="Calibri" w:hAnsi="Calibri" w:cs="Calibri"/>
                <w:b/>
                <w:bCs/>
                <w:color w:val="000000"/>
                <w:sz w:val="20"/>
              </w:rPr>
              <w:t>307 883</w:t>
            </w:r>
          </w:p>
        </w:tc>
      </w:tr>
      <w:tr w:rsidR="004741F9" w:rsidRPr="0074637E" w14:paraId="4D1193BB" w14:textId="77777777" w:rsidTr="002477AE">
        <w:trPr>
          <w:trHeight w:val="20"/>
        </w:trPr>
        <w:tc>
          <w:tcPr>
            <w:tcW w:w="1796" w:type="pct"/>
            <w:gridSpan w:val="2"/>
            <w:tcBorders>
              <w:top w:val="nil"/>
              <w:left w:val="single" w:sz="4" w:space="0" w:color="auto"/>
              <w:bottom w:val="single" w:sz="4" w:space="0" w:color="auto"/>
              <w:right w:val="single" w:sz="4" w:space="0" w:color="auto"/>
            </w:tcBorders>
            <w:shd w:val="clear" w:color="auto" w:fill="auto"/>
            <w:noWrap/>
            <w:vAlign w:val="center"/>
            <w:hideMark/>
          </w:tcPr>
          <w:p w14:paraId="6C27135D" w14:textId="77777777" w:rsidR="004741F9" w:rsidRPr="0074637E" w:rsidRDefault="004741F9" w:rsidP="0074637E">
            <w:pPr>
              <w:ind w:left="210"/>
              <w:jc w:val="left"/>
              <w:rPr>
                <w:rFonts w:ascii="Calibri" w:hAnsi="Calibri" w:cs="Calibri"/>
                <w:b/>
                <w:bCs/>
                <w:i/>
                <w:color w:val="000000"/>
                <w:sz w:val="20"/>
              </w:rPr>
            </w:pPr>
            <w:r w:rsidRPr="0074637E">
              <w:rPr>
                <w:rFonts w:ascii="Calibri" w:hAnsi="Calibri" w:cs="Calibri"/>
                <w:b/>
                <w:bCs/>
                <w:i/>
                <w:color w:val="000000"/>
                <w:sz w:val="20"/>
              </w:rPr>
              <w:t>z toho aktivní projekty</w:t>
            </w:r>
          </w:p>
        </w:tc>
        <w:tc>
          <w:tcPr>
            <w:tcW w:w="470" w:type="pct"/>
            <w:tcBorders>
              <w:top w:val="nil"/>
              <w:left w:val="nil"/>
              <w:bottom w:val="single" w:sz="4" w:space="0" w:color="auto"/>
              <w:right w:val="single" w:sz="4" w:space="0" w:color="auto"/>
            </w:tcBorders>
            <w:shd w:val="clear" w:color="auto" w:fill="auto"/>
            <w:noWrap/>
            <w:vAlign w:val="center"/>
            <w:hideMark/>
          </w:tcPr>
          <w:p w14:paraId="321EBDAA" w14:textId="77777777" w:rsidR="004741F9" w:rsidRPr="0074637E" w:rsidRDefault="004741F9" w:rsidP="004741F9">
            <w:pPr>
              <w:jc w:val="right"/>
              <w:rPr>
                <w:rFonts w:ascii="Calibri" w:hAnsi="Calibri" w:cs="Calibri"/>
                <w:b/>
                <w:bCs/>
                <w:i/>
                <w:color w:val="000000"/>
                <w:sz w:val="20"/>
              </w:rPr>
            </w:pPr>
            <w:r w:rsidRPr="0074637E">
              <w:rPr>
                <w:rFonts w:ascii="Calibri" w:hAnsi="Calibri" w:cs="Calibri"/>
                <w:b/>
                <w:bCs/>
                <w:i/>
                <w:color w:val="000000"/>
                <w:sz w:val="20"/>
              </w:rPr>
              <w:t>2 436</w:t>
            </w:r>
          </w:p>
        </w:tc>
        <w:tc>
          <w:tcPr>
            <w:tcW w:w="860" w:type="pct"/>
            <w:tcBorders>
              <w:top w:val="nil"/>
              <w:left w:val="nil"/>
              <w:bottom w:val="single" w:sz="4" w:space="0" w:color="auto"/>
              <w:right w:val="single" w:sz="4" w:space="0" w:color="auto"/>
            </w:tcBorders>
            <w:shd w:val="clear" w:color="auto" w:fill="auto"/>
            <w:noWrap/>
            <w:vAlign w:val="center"/>
            <w:hideMark/>
          </w:tcPr>
          <w:p w14:paraId="605EE55E" w14:textId="77777777" w:rsidR="004741F9" w:rsidRPr="0074637E" w:rsidRDefault="004741F9" w:rsidP="004741F9">
            <w:pPr>
              <w:jc w:val="right"/>
              <w:rPr>
                <w:rFonts w:ascii="Calibri" w:hAnsi="Calibri" w:cs="Calibri"/>
                <w:b/>
                <w:bCs/>
                <w:i/>
                <w:color w:val="000000"/>
                <w:sz w:val="20"/>
              </w:rPr>
            </w:pPr>
            <w:r w:rsidRPr="0074637E">
              <w:rPr>
                <w:rFonts w:ascii="Calibri" w:hAnsi="Calibri" w:cs="Calibri"/>
                <w:b/>
                <w:bCs/>
                <w:i/>
                <w:color w:val="000000"/>
                <w:sz w:val="20"/>
              </w:rPr>
              <w:t>21 264 230 424</w:t>
            </w:r>
          </w:p>
        </w:tc>
        <w:tc>
          <w:tcPr>
            <w:tcW w:w="937" w:type="pct"/>
            <w:tcBorders>
              <w:top w:val="nil"/>
              <w:left w:val="nil"/>
              <w:bottom w:val="single" w:sz="4" w:space="0" w:color="auto"/>
              <w:right w:val="single" w:sz="4" w:space="0" w:color="auto"/>
            </w:tcBorders>
            <w:shd w:val="clear" w:color="auto" w:fill="auto"/>
            <w:noWrap/>
            <w:vAlign w:val="center"/>
            <w:hideMark/>
          </w:tcPr>
          <w:p w14:paraId="33923359" w14:textId="77777777" w:rsidR="004741F9" w:rsidRPr="0074637E" w:rsidRDefault="004741F9" w:rsidP="004741F9">
            <w:pPr>
              <w:jc w:val="right"/>
              <w:rPr>
                <w:rFonts w:ascii="Calibri" w:hAnsi="Calibri" w:cs="Calibri"/>
                <w:b/>
                <w:bCs/>
                <w:i/>
                <w:color w:val="000000"/>
                <w:sz w:val="20"/>
              </w:rPr>
            </w:pPr>
            <w:r w:rsidRPr="0074637E">
              <w:rPr>
                <w:rFonts w:ascii="Calibri" w:hAnsi="Calibri" w:cs="Calibri"/>
                <w:b/>
                <w:bCs/>
                <w:i/>
                <w:color w:val="000000"/>
                <w:sz w:val="20"/>
              </w:rPr>
              <w:t>1 255 847</w:t>
            </w:r>
          </w:p>
        </w:tc>
        <w:tc>
          <w:tcPr>
            <w:tcW w:w="937" w:type="pct"/>
            <w:tcBorders>
              <w:top w:val="nil"/>
              <w:left w:val="nil"/>
              <w:bottom w:val="single" w:sz="4" w:space="0" w:color="auto"/>
              <w:right w:val="single" w:sz="4" w:space="0" w:color="auto"/>
            </w:tcBorders>
            <w:shd w:val="clear" w:color="auto" w:fill="auto"/>
            <w:noWrap/>
            <w:vAlign w:val="center"/>
            <w:hideMark/>
          </w:tcPr>
          <w:p w14:paraId="0AC89BE7" w14:textId="77777777" w:rsidR="004741F9" w:rsidRPr="0074637E" w:rsidRDefault="004741F9" w:rsidP="004741F9">
            <w:pPr>
              <w:jc w:val="right"/>
              <w:rPr>
                <w:rFonts w:ascii="Calibri" w:hAnsi="Calibri" w:cs="Calibri"/>
                <w:b/>
                <w:bCs/>
                <w:i/>
                <w:color w:val="000000"/>
                <w:sz w:val="20"/>
              </w:rPr>
            </w:pPr>
            <w:r w:rsidRPr="0074637E">
              <w:rPr>
                <w:rFonts w:ascii="Calibri" w:hAnsi="Calibri" w:cs="Calibri"/>
                <w:b/>
                <w:bCs/>
                <w:i/>
                <w:color w:val="000000"/>
                <w:sz w:val="20"/>
              </w:rPr>
              <w:t>305 580</w:t>
            </w:r>
          </w:p>
        </w:tc>
      </w:tr>
    </w:tbl>
    <w:p w14:paraId="365D4A38" w14:textId="24E11CF1" w:rsidR="00F15F35" w:rsidRDefault="00F16C1F" w:rsidP="00377B07">
      <w:pPr>
        <w:pStyle w:val="Zdrojeapozn"/>
      </w:pPr>
      <w:r>
        <w:t xml:space="preserve">Zdroj: </w:t>
      </w:r>
      <w:r w:rsidR="001F6CF2">
        <w:tab/>
      </w:r>
      <w:r w:rsidR="006F4F46">
        <w:t>SFŽP,</w:t>
      </w:r>
      <w:r w:rsidR="0069278B">
        <w:t xml:space="preserve"> </w:t>
      </w:r>
      <w:r>
        <w:t>MS2014+.</w:t>
      </w:r>
    </w:p>
    <w:p w14:paraId="33F525A7" w14:textId="07E9EED8" w:rsidR="004741F9" w:rsidRPr="004741F9" w:rsidRDefault="004741F9">
      <w:pPr>
        <w:pStyle w:val="Zdrojeapozn"/>
      </w:pPr>
      <w:r>
        <w:t xml:space="preserve">Pozn.: </w:t>
      </w:r>
      <w:r w:rsidR="001F6CF2">
        <w:tab/>
      </w:r>
      <w:r w:rsidR="007721BB">
        <w:t>Dle předložených podkladů SFŽP bylo ke dni 30. 6. 2020</w:t>
      </w:r>
      <w:r w:rsidR="001F6CF2">
        <w:t xml:space="preserve"> </w:t>
      </w:r>
      <w:r w:rsidR="007721BB">
        <w:t>evidováno v rámci PO 5 OPŽP celkem 3 146</w:t>
      </w:r>
      <w:r w:rsidRPr="004741F9">
        <w:t xml:space="preserve"> projektů</w:t>
      </w:r>
      <w:r w:rsidR="007721BB">
        <w:t>. C</w:t>
      </w:r>
      <w:r w:rsidRPr="004741F9">
        <w:t xml:space="preserve">ílová hodnota indikátoru </w:t>
      </w:r>
      <w:r w:rsidR="007721BB">
        <w:t>„</w:t>
      </w:r>
      <w:r w:rsidR="0069278B">
        <w:t>s</w:t>
      </w:r>
      <w:r w:rsidR="007721BB">
        <w:t>nížení konečné spotřeby energie ve veřejných budovách“</w:t>
      </w:r>
      <w:r w:rsidRPr="004741F9">
        <w:t xml:space="preserve"> </w:t>
      </w:r>
      <w:r w:rsidR="007721BB">
        <w:t xml:space="preserve">byla </w:t>
      </w:r>
      <w:r w:rsidRPr="004741F9">
        <w:t xml:space="preserve">evidována </w:t>
      </w:r>
      <w:r>
        <w:t>u 3 </w:t>
      </w:r>
      <w:r w:rsidRPr="004741F9">
        <w:t>085 projektů</w:t>
      </w:r>
      <w:r>
        <w:t>,</w:t>
      </w:r>
      <w:r w:rsidR="007721BB">
        <w:t xml:space="preserve"> z toho 2 </w:t>
      </w:r>
      <w:r w:rsidRPr="004741F9">
        <w:t>436 projektů bylo aktivních, tj. byly ve fázi před vydáním právního aktu, v realizaci nebo byly fyzicky</w:t>
      </w:r>
      <w:r w:rsidR="001F6CF2">
        <w:t>,</w:t>
      </w:r>
      <w:r>
        <w:t xml:space="preserve"> případ</w:t>
      </w:r>
      <w:r w:rsidR="001F6CF2">
        <w:t>n</w:t>
      </w:r>
      <w:r>
        <w:t>ě i finančně ukončeny.</w:t>
      </w:r>
    </w:p>
    <w:p w14:paraId="5EB2534E" w14:textId="77777777" w:rsidR="00B073F3" w:rsidRDefault="00B073F3" w:rsidP="00E03382"/>
    <w:p w14:paraId="7A32B6CB" w14:textId="77777777" w:rsidR="006B23A6" w:rsidRDefault="000753AE" w:rsidP="1BDD3FC5">
      <w:pPr>
        <w:spacing w:after="120"/>
      </w:pPr>
      <w:r>
        <w:t xml:space="preserve">Dle údajů evidovaných </w:t>
      </w:r>
      <w:r w:rsidRPr="000753AE">
        <w:t>v MS2014+ u aktivních projektů ke dni 30. 6. 2020</w:t>
      </w:r>
      <w:r>
        <w:t xml:space="preserve"> činila dosažená hodnota snížení konečné spotřeby energie</w:t>
      </w:r>
      <w:r w:rsidR="38E1C5D5">
        <w:t xml:space="preserve"> 305 580 GJ/rok, tj. zatím cca 20</w:t>
      </w:r>
      <w:r w:rsidR="0074637E">
        <w:t> </w:t>
      </w:r>
      <w:r w:rsidR="38E1C5D5">
        <w:t>% z předpokládaného cílového snížení konečné spotřeby energie ve veřejných budovách.</w:t>
      </w:r>
    </w:p>
    <w:p w14:paraId="069B7353" w14:textId="0E4CC060" w:rsidR="006B23A6" w:rsidRDefault="616663E9" w:rsidP="2EDFE955">
      <w:pPr>
        <w:spacing w:after="120"/>
      </w:pPr>
      <w:r w:rsidRPr="00DA2831">
        <w:t>Kontrolou</w:t>
      </w:r>
      <w:r w:rsidR="23304762" w:rsidRPr="00DA2831">
        <w:t xml:space="preserve"> evidence</w:t>
      </w:r>
      <w:r w:rsidR="23304762">
        <w:t xml:space="preserve"> projektových indikátorů v MS2014+ bylo</w:t>
      </w:r>
      <w:r w:rsidR="004F251C">
        <w:t xml:space="preserve"> zjištěno, že </w:t>
      </w:r>
      <w:r w:rsidR="67CCFA4D">
        <w:t xml:space="preserve">dosažená hodnota indikátoru </w:t>
      </w:r>
      <w:r w:rsidR="00266A89">
        <w:t>„</w:t>
      </w:r>
      <w:r w:rsidR="0080205A">
        <w:t>s</w:t>
      </w:r>
      <w:r w:rsidR="67CCFA4D" w:rsidRPr="2EDFE955">
        <w:rPr>
          <w:i/>
          <w:iCs/>
        </w:rPr>
        <w:t>nížení konečné spotřeby energie ve veřejných budovách</w:t>
      </w:r>
      <w:r w:rsidR="00266A89">
        <w:rPr>
          <w:iCs/>
        </w:rPr>
        <w:t>“</w:t>
      </w:r>
      <w:r w:rsidR="7314C10D" w:rsidRPr="2EDFE955">
        <w:rPr>
          <w:i/>
          <w:iCs/>
        </w:rPr>
        <w:t xml:space="preserve"> </w:t>
      </w:r>
      <w:r w:rsidR="7314C10D" w:rsidRPr="2EDFE955">
        <w:t>v</w:t>
      </w:r>
      <w:r w:rsidR="004F251C">
        <w:t>e</w:t>
      </w:r>
      <w:r w:rsidR="7314C10D" w:rsidRPr="2EDFE955">
        <w:t xml:space="preserve"> výši 172 039 GJ/rok</w:t>
      </w:r>
      <w:r w:rsidR="67CCFA4D" w:rsidRPr="2EDFE955">
        <w:rPr>
          <w:i/>
          <w:iCs/>
        </w:rPr>
        <w:t xml:space="preserve"> </w:t>
      </w:r>
      <w:r w:rsidR="004F251C">
        <w:rPr>
          <w:iCs/>
        </w:rPr>
        <w:t xml:space="preserve">byla </w:t>
      </w:r>
      <w:r w:rsidR="67CCFA4D">
        <w:t xml:space="preserve">vykázána také u </w:t>
      </w:r>
      <w:r w:rsidR="6BF3B6BD">
        <w:t>projektů</w:t>
      </w:r>
      <w:r w:rsidR="00B073F3">
        <w:t xml:space="preserve">, které se nacházely </w:t>
      </w:r>
      <w:r w:rsidR="004F251C">
        <w:t>ve stavu realizace, n</w:t>
      </w:r>
      <w:r w:rsidR="00B073F3">
        <w:t xml:space="preserve">ebyly </w:t>
      </w:r>
      <w:r w:rsidR="004F251C">
        <w:t xml:space="preserve">fyzicky </w:t>
      </w:r>
      <w:r w:rsidR="00B073F3">
        <w:t>ukončeny</w:t>
      </w:r>
      <w:r w:rsidR="006B23A6">
        <w:t xml:space="preserve"> a </w:t>
      </w:r>
      <w:r w:rsidR="5670E490">
        <w:t>dle nastaveného systému sledování přínosů</w:t>
      </w:r>
      <w:r w:rsidR="006B23A6">
        <w:t xml:space="preserve"> </w:t>
      </w:r>
      <w:r w:rsidR="59606853">
        <w:t>nemohly</w:t>
      </w:r>
      <w:r w:rsidR="208F7B3D">
        <w:t xml:space="preserve"> </w:t>
      </w:r>
      <w:r w:rsidR="38EF85CE">
        <w:t>ještě vykazovat dosažené</w:t>
      </w:r>
      <w:r w:rsidR="5104A0F8">
        <w:t xml:space="preserve"> úspory energií</w:t>
      </w:r>
      <w:r w:rsidR="006B23A6">
        <w:t>.</w:t>
      </w:r>
      <w:r w:rsidR="47106494">
        <w:t xml:space="preserve"> </w:t>
      </w:r>
      <w:r w:rsidR="006B23A6">
        <w:t>Současně byla</w:t>
      </w:r>
      <w:r w:rsidR="6344818D">
        <w:t xml:space="preserve"> </w:t>
      </w:r>
      <w:r w:rsidR="006B23A6">
        <w:t xml:space="preserve">dosažená hodnota u indikátoru </w:t>
      </w:r>
      <w:r w:rsidR="006B23A6" w:rsidRPr="00FC7CB7">
        <w:rPr>
          <w:i/>
        </w:rPr>
        <w:t>32701</w:t>
      </w:r>
      <w:r w:rsidR="006B23A6">
        <w:t xml:space="preserve"> </w:t>
      </w:r>
      <w:r w:rsidR="006B23A6" w:rsidRPr="2EDFE955">
        <w:rPr>
          <w:i/>
          <w:iCs/>
        </w:rPr>
        <w:t>Snížení konečné spotřeby energie ve</w:t>
      </w:r>
      <w:r w:rsidR="00266A89">
        <w:rPr>
          <w:i/>
          <w:iCs/>
        </w:rPr>
        <w:t xml:space="preserve"> </w:t>
      </w:r>
      <w:r w:rsidR="006B23A6" w:rsidRPr="2EDFE955">
        <w:rPr>
          <w:i/>
          <w:iCs/>
        </w:rPr>
        <w:t>veřejných budovách</w:t>
      </w:r>
      <w:r w:rsidR="006B23A6">
        <w:t xml:space="preserve"> </w:t>
      </w:r>
      <w:r w:rsidR="2E123B09">
        <w:t xml:space="preserve">ve výši 2 303 GJ/rok </w:t>
      </w:r>
      <w:r w:rsidR="004F251C">
        <w:t xml:space="preserve">vykázána </w:t>
      </w:r>
      <w:r w:rsidR="006B23A6">
        <w:t>i u projekt</w:t>
      </w:r>
      <w:r w:rsidR="00C5E050">
        <w:t>u</w:t>
      </w:r>
      <w:r w:rsidR="006B23A6">
        <w:t>, kter</w:t>
      </w:r>
      <w:r w:rsidR="36EA1B79">
        <w:t>ý</w:t>
      </w:r>
      <w:r w:rsidR="006B23A6">
        <w:t xml:space="preserve"> byl evidován s negativním stavem, tj. nebyl úspěšně </w:t>
      </w:r>
      <w:r w:rsidR="1185751F">
        <w:t>dokončen</w:t>
      </w:r>
      <w:r w:rsidR="006B23A6">
        <w:t>.</w:t>
      </w:r>
      <w:r w:rsidR="06331AC2">
        <w:t xml:space="preserve"> </w:t>
      </w:r>
    </w:p>
    <w:p w14:paraId="14A3E815" w14:textId="23B6553E" w:rsidR="008454E3" w:rsidRDefault="004F251C" w:rsidP="1BDD3FC5">
      <w:pPr>
        <w:spacing w:after="60"/>
      </w:pPr>
      <w:r w:rsidRPr="00461861">
        <w:t>D</w:t>
      </w:r>
      <w:r w:rsidR="53BB8918" w:rsidRPr="00461861">
        <w:t>le evidence MŽP</w:t>
      </w:r>
      <w:r w:rsidR="53BB8918" w:rsidRPr="1BDD3FC5">
        <w:t xml:space="preserve"> </w:t>
      </w:r>
      <w:r>
        <w:t xml:space="preserve">bylo </w:t>
      </w:r>
      <w:r w:rsidR="53BB8918" w:rsidRPr="1BDD3FC5">
        <w:t>ke dni 30. 6. 2020 podpořeno</w:t>
      </w:r>
      <w:r w:rsidR="7D77A966" w:rsidRPr="1BDD3FC5">
        <w:t xml:space="preserve"> 198 projektů OPŽP </w:t>
      </w:r>
      <w:r>
        <w:t xml:space="preserve">také z podprogramu NZÚ – </w:t>
      </w:r>
      <w:r w:rsidRPr="1BDD3FC5">
        <w:rPr>
          <w:i/>
          <w:iCs/>
        </w:rPr>
        <w:t xml:space="preserve">Budovy veřejného sektoru </w:t>
      </w:r>
      <w:r w:rsidR="53BB8918" w:rsidRPr="1BDD3FC5">
        <w:t xml:space="preserve">formou tzv. </w:t>
      </w:r>
      <w:r w:rsidR="00461861">
        <w:t>„</w:t>
      </w:r>
      <w:r w:rsidR="2749332D" w:rsidRPr="1BDD3FC5">
        <w:t>p</w:t>
      </w:r>
      <w:r w:rsidR="53BB8918" w:rsidRPr="1BDD3FC5">
        <w:t>osílení vlastních zdrojů</w:t>
      </w:r>
      <w:r w:rsidR="00461861">
        <w:t>“</w:t>
      </w:r>
      <w:r w:rsidR="00C2460A">
        <w:t xml:space="preserve">, z toho je 34 projektů realizováno na objektech ve vlastnictví </w:t>
      </w:r>
      <w:r w:rsidR="00BD5341">
        <w:t xml:space="preserve">ČR a </w:t>
      </w:r>
      <w:r w:rsidR="00C2460A">
        <w:t xml:space="preserve">užívání ústředních institucí. </w:t>
      </w:r>
      <w:r w:rsidR="0AB39ED9" w:rsidRPr="1BDD3FC5">
        <w:t>Žádný z</w:t>
      </w:r>
      <w:r w:rsidR="00461861">
        <w:t xml:space="preserve"> těchto </w:t>
      </w:r>
      <w:r w:rsidR="00C2460A">
        <w:t xml:space="preserve">podpořených </w:t>
      </w:r>
      <w:r w:rsidR="0AB39ED9" w:rsidRPr="1BDD3FC5">
        <w:t xml:space="preserve">projektů </w:t>
      </w:r>
      <w:r w:rsidR="00C2460A">
        <w:t xml:space="preserve">nebyl </w:t>
      </w:r>
      <w:r w:rsidR="0AB39ED9" w:rsidRPr="1BDD3FC5">
        <w:t>ještě ukončen</w:t>
      </w:r>
      <w:r w:rsidR="2FDAC450" w:rsidRPr="1BDD3FC5">
        <w:t>, viz tabulk</w:t>
      </w:r>
      <w:r w:rsidR="00C2460A">
        <w:t>a</w:t>
      </w:r>
      <w:r w:rsidR="2FDAC450" w:rsidRPr="1BDD3FC5">
        <w:t xml:space="preserve"> č. 4.</w:t>
      </w:r>
      <w:r w:rsidR="008454E3">
        <w:t xml:space="preserve"> </w:t>
      </w:r>
    </w:p>
    <w:p w14:paraId="6F0B388E" w14:textId="77777777" w:rsidR="00F451ED" w:rsidRDefault="00F451ED">
      <w:pPr>
        <w:jc w:val="left"/>
      </w:pPr>
      <w:r>
        <w:br w:type="page"/>
      </w:r>
    </w:p>
    <w:p w14:paraId="1C859201" w14:textId="77777777" w:rsidR="00F16C1F" w:rsidRDefault="00F16C1F" w:rsidP="00FC7CB7">
      <w:pPr>
        <w:pStyle w:val="Nzevtabulky"/>
        <w:spacing w:before="60"/>
        <w:ind w:left="1332" w:hanging="1332"/>
        <w:jc w:val="left"/>
        <w:rPr>
          <w:rFonts w:eastAsiaTheme="minorEastAsia" w:cstheme="minorBidi"/>
          <w:szCs w:val="24"/>
        </w:rPr>
      </w:pPr>
      <w:r>
        <w:lastRenderedPageBreak/>
        <w:t xml:space="preserve">Přínosy </w:t>
      </w:r>
      <w:r w:rsidR="0AB8D7FF">
        <w:t xml:space="preserve">aktivních </w:t>
      </w:r>
      <w:r>
        <w:t xml:space="preserve">projektů </w:t>
      </w:r>
      <w:r w:rsidR="00DF5E86">
        <w:t>ú</w:t>
      </w:r>
      <w:r>
        <w:t>střední</w:t>
      </w:r>
      <w:r w:rsidR="00DF5E86">
        <w:t>ch</w:t>
      </w:r>
      <w:r>
        <w:t xml:space="preserve"> instituc</w:t>
      </w:r>
      <w:r w:rsidR="00DF5E86">
        <w:t>í</w:t>
      </w:r>
      <w:r w:rsidR="133C5FCD">
        <w:t xml:space="preserve"> </w:t>
      </w:r>
      <w:r w:rsidR="02EFC512">
        <w:t xml:space="preserve">s využitím podpory </w:t>
      </w:r>
      <w:r w:rsidR="00461861">
        <w:br/>
      </w:r>
      <w:r w:rsidR="02EFC512">
        <w:t>z </w:t>
      </w:r>
      <w:r w:rsidR="00461861">
        <w:t xml:space="preserve">podprogramu </w:t>
      </w:r>
      <w:r w:rsidR="02EFC512">
        <w:t xml:space="preserve">NZÚ – </w:t>
      </w:r>
      <w:r w:rsidR="02EFC512" w:rsidRPr="1BDD3FC5">
        <w:rPr>
          <w:i/>
          <w:iCs/>
        </w:rPr>
        <w:t>Budovy veřejného sektoru</w:t>
      </w:r>
    </w:p>
    <w:tbl>
      <w:tblPr>
        <w:tblW w:w="5000" w:type="pct"/>
        <w:tblCellMar>
          <w:left w:w="70" w:type="dxa"/>
          <w:right w:w="70" w:type="dxa"/>
        </w:tblCellMar>
        <w:tblLook w:val="04A0" w:firstRow="1" w:lastRow="0" w:firstColumn="1" w:lastColumn="0" w:noHBand="0" w:noVBand="1"/>
      </w:tblPr>
      <w:tblGrid>
        <w:gridCol w:w="1139"/>
        <w:gridCol w:w="2941"/>
        <w:gridCol w:w="1138"/>
        <w:gridCol w:w="1566"/>
        <w:gridCol w:w="1138"/>
        <w:gridCol w:w="1138"/>
      </w:tblGrid>
      <w:tr w:rsidR="00C2460A" w:rsidRPr="00C2460A" w14:paraId="34061548" w14:textId="77777777" w:rsidTr="00F451ED">
        <w:trPr>
          <w:trHeight w:val="20"/>
        </w:trPr>
        <w:tc>
          <w:tcPr>
            <w:tcW w:w="628" w:type="pct"/>
            <w:tcBorders>
              <w:top w:val="single" w:sz="4" w:space="0" w:color="auto"/>
              <w:left w:val="single" w:sz="4" w:space="0" w:color="auto"/>
              <w:bottom w:val="single" w:sz="4" w:space="0" w:color="auto"/>
              <w:right w:val="single" w:sz="4" w:space="0" w:color="auto"/>
            </w:tcBorders>
            <w:shd w:val="clear" w:color="000000" w:fill="E5F1FF"/>
            <w:vAlign w:val="center"/>
            <w:hideMark/>
          </w:tcPr>
          <w:p w14:paraId="4B3EF1ED" w14:textId="2E03CEEC" w:rsidR="00C2460A" w:rsidRPr="00C2460A" w:rsidRDefault="00C2460A" w:rsidP="00C2460A">
            <w:pPr>
              <w:jc w:val="center"/>
              <w:rPr>
                <w:rFonts w:ascii="Calibri" w:hAnsi="Calibri" w:cs="Calibri"/>
                <w:b/>
                <w:bCs/>
                <w:color w:val="000000"/>
                <w:sz w:val="20"/>
              </w:rPr>
            </w:pPr>
          </w:p>
        </w:tc>
        <w:tc>
          <w:tcPr>
            <w:tcW w:w="1623" w:type="pct"/>
            <w:tcBorders>
              <w:top w:val="single" w:sz="4" w:space="0" w:color="auto"/>
              <w:left w:val="nil"/>
              <w:bottom w:val="single" w:sz="4" w:space="0" w:color="auto"/>
              <w:right w:val="single" w:sz="4" w:space="0" w:color="auto"/>
            </w:tcBorders>
            <w:shd w:val="clear" w:color="000000" w:fill="E5F1FF"/>
            <w:vAlign w:val="center"/>
            <w:hideMark/>
          </w:tcPr>
          <w:p w14:paraId="48D3E877" w14:textId="63260C13" w:rsidR="00C2460A" w:rsidRPr="00C2460A" w:rsidRDefault="00C2460A" w:rsidP="00461861">
            <w:pPr>
              <w:jc w:val="center"/>
              <w:rPr>
                <w:rFonts w:ascii="Calibri" w:hAnsi="Calibri" w:cs="Calibri"/>
                <w:b/>
                <w:bCs/>
                <w:color w:val="000000"/>
                <w:sz w:val="20"/>
              </w:rPr>
            </w:pPr>
            <w:r w:rsidRPr="00C2460A">
              <w:rPr>
                <w:rFonts w:ascii="Calibri" w:hAnsi="Calibri" w:cs="Calibri"/>
                <w:b/>
                <w:bCs/>
                <w:color w:val="000000"/>
                <w:sz w:val="20"/>
              </w:rPr>
              <w:t>Fáze/stav projektu</w:t>
            </w:r>
          </w:p>
        </w:tc>
        <w:tc>
          <w:tcPr>
            <w:tcW w:w="628" w:type="pct"/>
            <w:tcBorders>
              <w:top w:val="single" w:sz="4" w:space="0" w:color="auto"/>
              <w:left w:val="nil"/>
              <w:bottom w:val="single" w:sz="4" w:space="0" w:color="auto"/>
              <w:right w:val="single" w:sz="4" w:space="0" w:color="auto"/>
            </w:tcBorders>
            <w:shd w:val="clear" w:color="000000" w:fill="E5F1FF"/>
            <w:vAlign w:val="center"/>
            <w:hideMark/>
          </w:tcPr>
          <w:p w14:paraId="0489EF22" w14:textId="77777777" w:rsidR="00C2460A" w:rsidRPr="00C2460A" w:rsidRDefault="00C2460A" w:rsidP="00C2460A">
            <w:pPr>
              <w:jc w:val="center"/>
              <w:rPr>
                <w:rFonts w:ascii="Calibri" w:hAnsi="Calibri" w:cs="Calibri"/>
                <w:b/>
                <w:bCs/>
                <w:color w:val="000000"/>
                <w:sz w:val="20"/>
              </w:rPr>
            </w:pPr>
            <w:r w:rsidRPr="00C2460A">
              <w:rPr>
                <w:rFonts w:ascii="Calibri" w:hAnsi="Calibri" w:cs="Calibri"/>
                <w:b/>
                <w:bCs/>
                <w:color w:val="000000"/>
                <w:sz w:val="20"/>
              </w:rPr>
              <w:t>Počet projektů</w:t>
            </w:r>
          </w:p>
        </w:tc>
        <w:tc>
          <w:tcPr>
            <w:tcW w:w="864" w:type="pct"/>
            <w:tcBorders>
              <w:top w:val="single" w:sz="4" w:space="0" w:color="auto"/>
              <w:left w:val="nil"/>
              <w:bottom w:val="single" w:sz="4" w:space="0" w:color="auto"/>
              <w:right w:val="single" w:sz="4" w:space="0" w:color="auto"/>
            </w:tcBorders>
            <w:shd w:val="clear" w:color="000000" w:fill="E5F1FF"/>
            <w:vAlign w:val="center"/>
            <w:hideMark/>
          </w:tcPr>
          <w:p w14:paraId="3AA78CEC" w14:textId="77777777" w:rsidR="00C2460A" w:rsidRPr="00C2460A" w:rsidRDefault="00C2460A" w:rsidP="00C2460A">
            <w:pPr>
              <w:jc w:val="center"/>
              <w:rPr>
                <w:rFonts w:ascii="Calibri" w:hAnsi="Calibri" w:cs="Calibri"/>
                <w:b/>
                <w:bCs/>
                <w:color w:val="000000"/>
                <w:sz w:val="20"/>
              </w:rPr>
            </w:pPr>
            <w:r w:rsidRPr="00C2460A">
              <w:rPr>
                <w:rFonts w:ascii="Calibri" w:hAnsi="Calibri" w:cs="Calibri"/>
                <w:b/>
                <w:bCs/>
                <w:color w:val="000000"/>
                <w:sz w:val="20"/>
              </w:rPr>
              <w:t>Celkové způsobilé výdaje (Kč)</w:t>
            </w:r>
          </w:p>
        </w:tc>
        <w:tc>
          <w:tcPr>
            <w:tcW w:w="628" w:type="pct"/>
            <w:tcBorders>
              <w:top w:val="single" w:sz="4" w:space="0" w:color="auto"/>
              <w:left w:val="nil"/>
              <w:bottom w:val="single" w:sz="4" w:space="0" w:color="auto"/>
              <w:right w:val="single" w:sz="4" w:space="0" w:color="auto"/>
            </w:tcBorders>
            <w:shd w:val="clear" w:color="000000" w:fill="E5F1FF"/>
            <w:vAlign w:val="center"/>
            <w:hideMark/>
          </w:tcPr>
          <w:p w14:paraId="48D5FB99" w14:textId="77777777" w:rsidR="00C2460A" w:rsidRPr="00C2460A" w:rsidRDefault="00C2460A" w:rsidP="00C2460A">
            <w:pPr>
              <w:jc w:val="center"/>
              <w:rPr>
                <w:rFonts w:ascii="Calibri" w:hAnsi="Calibri" w:cs="Calibri"/>
                <w:b/>
                <w:bCs/>
                <w:color w:val="000000"/>
                <w:sz w:val="20"/>
              </w:rPr>
            </w:pPr>
            <w:r w:rsidRPr="00C2460A">
              <w:rPr>
                <w:rFonts w:ascii="Calibri" w:hAnsi="Calibri" w:cs="Calibri"/>
                <w:b/>
                <w:bCs/>
                <w:color w:val="000000"/>
                <w:sz w:val="20"/>
              </w:rPr>
              <w:t>Cílová hodnota (GJ/rok)</w:t>
            </w:r>
          </w:p>
        </w:tc>
        <w:tc>
          <w:tcPr>
            <w:tcW w:w="628" w:type="pct"/>
            <w:tcBorders>
              <w:top w:val="single" w:sz="4" w:space="0" w:color="auto"/>
              <w:left w:val="nil"/>
              <w:bottom w:val="single" w:sz="4" w:space="0" w:color="auto"/>
              <w:right w:val="single" w:sz="4" w:space="0" w:color="auto"/>
            </w:tcBorders>
            <w:shd w:val="clear" w:color="000000" w:fill="E5F1FF"/>
            <w:vAlign w:val="center"/>
            <w:hideMark/>
          </w:tcPr>
          <w:p w14:paraId="5421E975" w14:textId="77777777" w:rsidR="00C2460A" w:rsidRPr="00C2460A" w:rsidRDefault="00C2460A" w:rsidP="00C2460A">
            <w:pPr>
              <w:jc w:val="center"/>
              <w:rPr>
                <w:rFonts w:ascii="Calibri" w:hAnsi="Calibri" w:cs="Calibri"/>
                <w:b/>
                <w:bCs/>
                <w:color w:val="000000"/>
                <w:sz w:val="20"/>
              </w:rPr>
            </w:pPr>
            <w:r w:rsidRPr="00C2460A">
              <w:rPr>
                <w:rFonts w:ascii="Calibri" w:hAnsi="Calibri" w:cs="Calibri"/>
                <w:b/>
                <w:bCs/>
                <w:color w:val="000000"/>
                <w:sz w:val="20"/>
              </w:rPr>
              <w:t>Dosažená hodnota (GJ/rok)</w:t>
            </w:r>
          </w:p>
        </w:tc>
      </w:tr>
      <w:tr w:rsidR="00C2460A" w:rsidRPr="00C2460A" w14:paraId="4EAF33BA" w14:textId="77777777" w:rsidTr="00F451ED">
        <w:trPr>
          <w:trHeight w:val="20"/>
        </w:trPr>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14:paraId="686B3495" w14:textId="77777777" w:rsidR="00C2460A" w:rsidRPr="00C2460A" w:rsidRDefault="00C2460A" w:rsidP="00C2460A">
            <w:pPr>
              <w:jc w:val="center"/>
              <w:rPr>
                <w:rFonts w:ascii="Calibri" w:hAnsi="Calibri" w:cs="Calibri"/>
                <w:color w:val="000000"/>
                <w:sz w:val="20"/>
              </w:rPr>
            </w:pPr>
            <w:r w:rsidRPr="00C2460A">
              <w:rPr>
                <w:rFonts w:ascii="Calibri" w:hAnsi="Calibri" w:cs="Calibri"/>
                <w:color w:val="000000"/>
                <w:sz w:val="20"/>
              </w:rPr>
              <w:t>Ústřední instituce</w:t>
            </w:r>
          </w:p>
        </w:tc>
        <w:tc>
          <w:tcPr>
            <w:tcW w:w="1623" w:type="pct"/>
            <w:tcBorders>
              <w:top w:val="nil"/>
              <w:left w:val="nil"/>
              <w:bottom w:val="single" w:sz="4" w:space="0" w:color="auto"/>
              <w:right w:val="single" w:sz="4" w:space="0" w:color="auto"/>
            </w:tcBorders>
            <w:shd w:val="clear" w:color="auto" w:fill="auto"/>
            <w:vAlign w:val="center"/>
            <w:hideMark/>
          </w:tcPr>
          <w:p w14:paraId="73CD38A1" w14:textId="77777777" w:rsidR="00C2460A" w:rsidRPr="00C2460A" w:rsidRDefault="00C2460A" w:rsidP="00C2460A">
            <w:pPr>
              <w:jc w:val="left"/>
              <w:rPr>
                <w:rFonts w:ascii="Calibri" w:hAnsi="Calibri" w:cs="Calibri"/>
                <w:color w:val="000000"/>
                <w:sz w:val="20"/>
              </w:rPr>
            </w:pPr>
            <w:r w:rsidRPr="00C2460A">
              <w:rPr>
                <w:rFonts w:ascii="Calibri" w:hAnsi="Calibri" w:cs="Calibri"/>
                <w:color w:val="000000"/>
                <w:sz w:val="20"/>
              </w:rPr>
              <w:t>Negativní stav</w:t>
            </w:r>
          </w:p>
        </w:tc>
        <w:tc>
          <w:tcPr>
            <w:tcW w:w="628" w:type="pct"/>
            <w:tcBorders>
              <w:top w:val="nil"/>
              <w:left w:val="nil"/>
              <w:bottom w:val="single" w:sz="4" w:space="0" w:color="auto"/>
              <w:right w:val="single" w:sz="4" w:space="0" w:color="auto"/>
            </w:tcBorders>
            <w:shd w:val="clear" w:color="auto" w:fill="auto"/>
            <w:noWrap/>
            <w:vAlign w:val="center"/>
            <w:hideMark/>
          </w:tcPr>
          <w:p w14:paraId="23026609"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1</w:t>
            </w:r>
          </w:p>
        </w:tc>
        <w:tc>
          <w:tcPr>
            <w:tcW w:w="864" w:type="pct"/>
            <w:tcBorders>
              <w:top w:val="nil"/>
              <w:left w:val="nil"/>
              <w:bottom w:val="single" w:sz="4" w:space="0" w:color="auto"/>
              <w:right w:val="single" w:sz="4" w:space="0" w:color="auto"/>
            </w:tcBorders>
            <w:shd w:val="clear" w:color="auto" w:fill="auto"/>
            <w:noWrap/>
            <w:vAlign w:val="center"/>
            <w:hideMark/>
          </w:tcPr>
          <w:p w14:paraId="2E113053"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48 752 015</w:t>
            </w:r>
          </w:p>
        </w:tc>
        <w:tc>
          <w:tcPr>
            <w:tcW w:w="628" w:type="pct"/>
            <w:tcBorders>
              <w:top w:val="nil"/>
              <w:left w:val="nil"/>
              <w:bottom w:val="single" w:sz="4" w:space="0" w:color="auto"/>
              <w:right w:val="single" w:sz="4" w:space="0" w:color="auto"/>
            </w:tcBorders>
            <w:shd w:val="clear" w:color="auto" w:fill="auto"/>
            <w:noWrap/>
            <w:vAlign w:val="center"/>
            <w:hideMark/>
          </w:tcPr>
          <w:p w14:paraId="6477BDD0"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1 073</w:t>
            </w:r>
          </w:p>
        </w:tc>
        <w:tc>
          <w:tcPr>
            <w:tcW w:w="628" w:type="pct"/>
            <w:tcBorders>
              <w:top w:val="nil"/>
              <w:left w:val="nil"/>
              <w:bottom w:val="single" w:sz="4" w:space="0" w:color="auto"/>
              <w:right w:val="single" w:sz="4" w:space="0" w:color="auto"/>
            </w:tcBorders>
            <w:shd w:val="clear" w:color="auto" w:fill="auto"/>
            <w:noWrap/>
            <w:vAlign w:val="center"/>
            <w:hideMark/>
          </w:tcPr>
          <w:p w14:paraId="60B9B059"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0</w:t>
            </w:r>
          </w:p>
        </w:tc>
      </w:tr>
      <w:tr w:rsidR="00C2460A" w:rsidRPr="00C2460A" w14:paraId="0236B1F3" w14:textId="77777777" w:rsidTr="00F451ED">
        <w:trPr>
          <w:trHeight w:val="20"/>
        </w:trPr>
        <w:tc>
          <w:tcPr>
            <w:tcW w:w="628" w:type="pct"/>
            <w:vMerge/>
            <w:tcBorders>
              <w:top w:val="nil"/>
              <w:left w:val="single" w:sz="4" w:space="0" w:color="auto"/>
              <w:bottom w:val="single" w:sz="4" w:space="0" w:color="auto"/>
              <w:right w:val="single" w:sz="4" w:space="0" w:color="auto"/>
            </w:tcBorders>
            <w:vAlign w:val="center"/>
            <w:hideMark/>
          </w:tcPr>
          <w:p w14:paraId="326047E7" w14:textId="77777777" w:rsidR="00C2460A" w:rsidRPr="00C2460A" w:rsidRDefault="00C2460A" w:rsidP="00C2460A">
            <w:pPr>
              <w:jc w:val="left"/>
              <w:rPr>
                <w:rFonts w:ascii="Calibri" w:hAnsi="Calibri" w:cs="Calibri"/>
                <w:color w:val="000000"/>
                <w:sz w:val="20"/>
              </w:rPr>
            </w:pPr>
          </w:p>
        </w:tc>
        <w:tc>
          <w:tcPr>
            <w:tcW w:w="1623" w:type="pct"/>
            <w:tcBorders>
              <w:top w:val="nil"/>
              <w:left w:val="nil"/>
              <w:bottom w:val="single" w:sz="4" w:space="0" w:color="auto"/>
              <w:right w:val="single" w:sz="4" w:space="0" w:color="auto"/>
            </w:tcBorders>
            <w:shd w:val="clear" w:color="auto" w:fill="auto"/>
            <w:vAlign w:val="center"/>
            <w:hideMark/>
          </w:tcPr>
          <w:p w14:paraId="32B340E3" w14:textId="77777777" w:rsidR="00C2460A" w:rsidRPr="00C2460A" w:rsidRDefault="00C2460A" w:rsidP="00C2460A">
            <w:pPr>
              <w:jc w:val="left"/>
              <w:rPr>
                <w:rFonts w:ascii="Calibri" w:hAnsi="Calibri" w:cs="Calibri"/>
                <w:color w:val="000000"/>
                <w:sz w:val="20"/>
              </w:rPr>
            </w:pPr>
            <w:r w:rsidRPr="00C2460A">
              <w:rPr>
                <w:rFonts w:ascii="Calibri" w:hAnsi="Calibri" w:cs="Calibri"/>
                <w:color w:val="000000"/>
                <w:sz w:val="20"/>
              </w:rPr>
              <w:t>Projekty před vydáním PA</w:t>
            </w:r>
          </w:p>
        </w:tc>
        <w:tc>
          <w:tcPr>
            <w:tcW w:w="628" w:type="pct"/>
            <w:tcBorders>
              <w:top w:val="nil"/>
              <w:left w:val="nil"/>
              <w:bottom w:val="single" w:sz="4" w:space="0" w:color="auto"/>
              <w:right w:val="single" w:sz="4" w:space="0" w:color="auto"/>
            </w:tcBorders>
            <w:shd w:val="clear" w:color="auto" w:fill="auto"/>
            <w:noWrap/>
            <w:vAlign w:val="center"/>
            <w:hideMark/>
          </w:tcPr>
          <w:p w14:paraId="21CD0162"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21</w:t>
            </w:r>
          </w:p>
        </w:tc>
        <w:tc>
          <w:tcPr>
            <w:tcW w:w="864" w:type="pct"/>
            <w:tcBorders>
              <w:top w:val="nil"/>
              <w:left w:val="nil"/>
              <w:bottom w:val="single" w:sz="4" w:space="0" w:color="auto"/>
              <w:right w:val="single" w:sz="4" w:space="0" w:color="auto"/>
            </w:tcBorders>
            <w:shd w:val="clear" w:color="auto" w:fill="auto"/>
            <w:noWrap/>
            <w:vAlign w:val="center"/>
            <w:hideMark/>
          </w:tcPr>
          <w:p w14:paraId="50BAD9ED"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930 686 115</w:t>
            </w:r>
          </w:p>
        </w:tc>
        <w:tc>
          <w:tcPr>
            <w:tcW w:w="628" w:type="pct"/>
            <w:tcBorders>
              <w:top w:val="nil"/>
              <w:left w:val="nil"/>
              <w:bottom w:val="single" w:sz="4" w:space="0" w:color="auto"/>
              <w:right w:val="single" w:sz="4" w:space="0" w:color="auto"/>
            </w:tcBorders>
            <w:shd w:val="clear" w:color="auto" w:fill="auto"/>
            <w:noWrap/>
            <w:vAlign w:val="center"/>
            <w:hideMark/>
          </w:tcPr>
          <w:p w14:paraId="2B474452"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59 737</w:t>
            </w:r>
          </w:p>
        </w:tc>
        <w:tc>
          <w:tcPr>
            <w:tcW w:w="628" w:type="pct"/>
            <w:tcBorders>
              <w:top w:val="nil"/>
              <w:left w:val="nil"/>
              <w:bottom w:val="single" w:sz="4" w:space="0" w:color="auto"/>
              <w:right w:val="single" w:sz="4" w:space="0" w:color="auto"/>
            </w:tcBorders>
            <w:shd w:val="clear" w:color="auto" w:fill="auto"/>
            <w:noWrap/>
            <w:vAlign w:val="center"/>
            <w:hideMark/>
          </w:tcPr>
          <w:p w14:paraId="6814D4DB"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0</w:t>
            </w:r>
          </w:p>
        </w:tc>
      </w:tr>
      <w:tr w:rsidR="00C2460A" w:rsidRPr="00C2460A" w14:paraId="0DBFDFB9" w14:textId="77777777" w:rsidTr="00F451ED">
        <w:trPr>
          <w:trHeight w:val="20"/>
        </w:trPr>
        <w:tc>
          <w:tcPr>
            <w:tcW w:w="628" w:type="pct"/>
            <w:vMerge/>
            <w:tcBorders>
              <w:top w:val="nil"/>
              <w:left w:val="single" w:sz="4" w:space="0" w:color="auto"/>
              <w:bottom w:val="single" w:sz="4" w:space="0" w:color="auto"/>
              <w:right w:val="single" w:sz="4" w:space="0" w:color="auto"/>
            </w:tcBorders>
            <w:vAlign w:val="center"/>
            <w:hideMark/>
          </w:tcPr>
          <w:p w14:paraId="07556955" w14:textId="77777777" w:rsidR="00C2460A" w:rsidRPr="00C2460A" w:rsidRDefault="00C2460A" w:rsidP="00C2460A">
            <w:pPr>
              <w:jc w:val="left"/>
              <w:rPr>
                <w:rFonts w:ascii="Calibri" w:hAnsi="Calibri" w:cs="Calibri"/>
                <w:color w:val="000000"/>
                <w:sz w:val="20"/>
              </w:rPr>
            </w:pPr>
          </w:p>
        </w:tc>
        <w:tc>
          <w:tcPr>
            <w:tcW w:w="1623" w:type="pct"/>
            <w:tcBorders>
              <w:top w:val="nil"/>
              <w:left w:val="nil"/>
              <w:bottom w:val="single" w:sz="4" w:space="0" w:color="auto"/>
              <w:right w:val="single" w:sz="4" w:space="0" w:color="auto"/>
            </w:tcBorders>
            <w:shd w:val="clear" w:color="auto" w:fill="auto"/>
            <w:vAlign w:val="center"/>
            <w:hideMark/>
          </w:tcPr>
          <w:p w14:paraId="72B6A23E" w14:textId="77777777" w:rsidR="00C2460A" w:rsidRPr="00C2460A" w:rsidRDefault="00C2460A" w:rsidP="00C2460A">
            <w:pPr>
              <w:jc w:val="left"/>
              <w:rPr>
                <w:rFonts w:ascii="Calibri" w:hAnsi="Calibri" w:cs="Calibri"/>
                <w:color w:val="000000"/>
                <w:sz w:val="20"/>
              </w:rPr>
            </w:pPr>
            <w:r w:rsidRPr="00C2460A">
              <w:rPr>
                <w:rFonts w:ascii="Calibri" w:hAnsi="Calibri" w:cs="Calibri"/>
                <w:color w:val="000000"/>
                <w:sz w:val="20"/>
              </w:rPr>
              <w:t>Projekty v realizaci</w:t>
            </w:r>
          </w:p>
        </w:tc>
        <w:tc>
          <w:tcPr>
            <w:tcW w:w="628" w:type="pct"/>
            <w:tcBorders>
              <w:top w:val="nil"/>
              <w:left w:val="nil"/>
              <w:bottom w:val="single" w:sz="4" w:space="0" w:color="auto"/>
              <w:right w:val="single" w:sz="4" w:space="0" w:color="auto"/>
            </w:tcBorders>
            <w:shd w:val="clear" w:color="auto" w:fill="auto"/>
            <w:noWrap/>
            <w:vAlign w:val="center"/>
            <w:hideMark/>
          </w:tcPr>
          <w:p w14:paraId="637B167A"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13</w:t>
            </w:r>
          </w:p>
        </w:tc>
        <w:tc>
          <w:tcPr>
            <w:tcW w:w="864" w:type="pct"/>
            <w:tcBorders>
              <w:top w:val="nil"/>
              <w:left w:val="nil"/>
              <w:bottom w:val="single" w:sz="4" w:space="0" w:color="auto"/>
              <w:right w:val="single" w:sz="4" w:space="0" w:color="auto"/>
            </w:tcBorders>
            <w:shd w:val="clear" w:color="auto" w:fill="auto"/>
            <w:noWrap/>
            <w:vAlign w:val="center"/>
            <w:hideMark/>
          </w:tcPr>
          <w:p w14:paraId="041A41E2"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215 807 964</w:t>
            </w:r>
          </w:p>
        </w:tc>
        <w:tc>
          <w:tcPr>
            <w:tcW w:w="628" w:type="pct"/>
            <w:tcBorders>
              <w:top w:val="nil"/>
              <w:left w:val="nil"/>
              <w:bottom w:val="single" w:sz="4" w:space="0" w:color="auto"/>
              <w:right w:val="single" w:sz="4" w:space="0" w:color="auto"/>
            </w:tcBorders>
            <w:shd w:val="clear" w:color="auto" w:fill="auto"/>
            <w:noWrap/>
            <w:vAlign w:val="center"/>
            <w:hideMark/>
          </w:tcPr>
          <w:p w14:paraId="7E5E1C5E"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40 715</w:t>
            </w:r>
          </w:p>
        </w:tc>
        <w:tc>
          <w:tcPr>
            <w:tcW w:w="628" w:type="pct"/>
            <w:tcBorders>
              <w:top w:val="nil"/>
              <w:left w:val="nil"/>
              <w:bottom w:val="single" w:sz="4" w:space="0" w:color="auto"/>
              <w:right w:val="single" w:sz="4" w:space="0" w:color="auto"/>
            </w:tcBorders>
            <w:shd w:val="clear" w:color="auto" w:fill="auto"/>
            <w:noWrap/>
            <w:vAlign w:val="center"/>
            <w:hideMark/>
          </w:tcPr>
          <w:p w14:paraId="7B7334DC"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0</w:t>
            </w:r>
          </w:p>
        </w:tc>
      </w:tr>
      <w:tr w:rsidR="00C2460A" w:rsidRPr="00C2460A" w14:paraId="6DA0487E" w14:textId="77777777" w:rsidTr="00F451ED">
        <w:trPr>
          <w:trHeight w:val="20"/>
        </w:trPr>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14:paraId="14F6832B" w14:textId="77777777" w:rsidR="00C2460A" w:rsidRPr="00C2460A" w:rsidRDefault="00C2460A" w:rsidP="00C2460A">
            <w:pPr>
              <w:jc w:val="center"/>
              <w:rPr>
                <w:rFonts w:ascii="Calibri" w:hAnsi="Calibri" w:cs="Calibri"/>
                <w:color w:val="000000"/>
                <w:sz w:val="20"/>
              </w:rPr>
            </w:pPr>
            <w:r w:rsidRPr="00C2460A">
              <w:rPr>
                <w:rFonts w:ascii="Calibri" w:hAnsi="Calibri" w:cs="Calibri"/>
                <w:color w:val="000000"/>
                <w:sz w:val="20"/>
              </w:rPr>
              <w:t>Ostatní instituce</w:t>
            </w:r>
          </w:p>
        </w:tc>
        <w:tc>
          <w:tcPr>
            <w:tcW w:w="1623" w:type="pct"/>
            <w:tcBorders>
              <w:top w:val="nil"/>
              <w:left w:val="nil"/>
              <w:bottom w:val="single" w:sz="4" w:space="0" w:color="auto"/>
              <w:right w:val="single" w:sz="4" w:space="0" w:color="auto"/>
            </w:tcBorders>
            <w:shd w:val="clear" w:color="auto" w:fill="auto"/>
            <w:vAlign w:val="center"/>
            <w:hideMark/>
          </w:tcPr>
          <w:p w14:paraId="5012BC9F" w14:textId="77777777" w:rsidR="00C2460A" w:rsidRPr="00C2460A" w:rsidRDefault="00C2460A" w:rsidP="00C2460A">
            <w:pPr>
              <w:jc w:val="left"/>
              <w:rPr>
                <w:rFonts w:ascii="Calibri" w:hAnsi="Calibri" w:cs="Calibri"/>
                <w:color w:val="000000"/>
                <w:sz w:val="20"/>
              </w:rPr>
            </w:pPr>
            <w:r w:rsidRPr="00C2460A">
              <w:rPr>
                <w:rFonts w:ascii="Calibri" w:hAnsi="Calibri" w:cs="Calibri"/>
                <w:color w:val="000000"/>
                <w:sz w:val="20"/>
              </w:rPr>
              <w:t>Negativní stav</w:t>
            </w:r>
          </w:p>
        </w:tc>
        <w:tc>
          <w:tcPr>
            <w:tcW w:w="628" w:type="pct"/>
            <w:tcBorders>
              <w:top w:val="nil"/>
              <w:left w:val="nil"/>
              <w:bottom w:val="single" w:sz="4" w:space="0" w:color="auto"/>
              <w:right w:val="single" w:sz="4" w:space="0" w:color="auto"/>
            </w:tcBorders>
            <w:shd w:val="clear" w:color="auto" w:fill="auto"/>
            <w:noWrap/>
            <w:vAlign w:val="center"/>
            <w:hideMark/>
          </w:tcPr>
          <w:p w14:paraId="79DAFBD8"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3</w:t>
            </w:r>
          </w:p>
        </w:tc>
        <w:tc>
          <w:tcPr>
            <w:tcW w:w="864" w:type="pct"/>
            <w:tcBorders>
              <w:top w:val="nil"/>
              <w:left w:val="nil"/>
              <w:bottom w:val="single" w:sz="4" w:space="0" w:color="auto"/>
              <w:right w:val="single" w:sz="4" w:space="0" w:color="auto"/>
            </w:tcBorders>
            <w:shd w:val="clear" w:color="auto" w:fill="auto"/>
            <w:noWrap/>
            <w:vAlign w:val="center"/>
            <w:hideMark/>
          </w:tcPr>
          <w:p w14:paraId="60FC96BC"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11 037 554</w:t>
            </w:r>
          </w:p>
        </w:tc>
        <w:tc>
          <w:tcPr>
            <w:tcW w:w="628" w:type="pct"/>
            <w:tcBorders>
              <w:top w:val="nil"/>
              <w:left w:val="nil"/>
              <w:bottom w:val="single" w:sz="4" w:space="0" w:color="auto"/>
              <w:right w:val="single" w:sz="4" w:space="0" w:color="auto"/>
            </w:tcBorders>
            <w:shd w:val="clear" w:color="auto" w:fill="auto"/>
            <w:noWrap/>
            <w:vAlign w:val="center"/>
            <w:hideMark/>
          </w:tcPr>
          <w:p w14:paraId="552FA182"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1 457</w:t>
            </w:r>
          </w:p>
        </w:tc>
        <w:tc>
          <w:tcPr>
            <w:tcW w:w="628" w:type="pct"/>
            <w:tcBorders>
              <w:top w:val="nil"/>
              <w:left w:val="nil"/>
              <w:bottom w:val="single" w:sz="4" w:space="0" w:color="auto"/>
              <w:right w:val="single" w:sz="4" w:space="0" w:color="auto"/>
            </w:tcBorders>
            <w:shd w:val="clear" w:color="auto" w:fill="auto"/>
            <w:noWrap/>
            <w:vAlign w:val="center"/>
            <w:hideMark/>
          </w:tcPr>
          <w:p w14:paraId="1F53D1B1"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0</w:t>
            </w:r>
          </w:p>
        </w:tc>
      </w:tr>
      <w:tr w:rsidR="00C2460A" w:rsidRPr="00C2460A" w14:paraId="7818BC20" w14:textId="77777777" w:rsidTr="00F451ED">
        <w:trPr>
          <w:trHeight w:val="20"/>
        </w:trPr>
        <w:tc>
          <w:tcPr>
            <w:tcW w:w="628" w:type="pct"/>
            <w:vMerge/>
            <w:tcBorders>
              <w:top w:val="nil"/>
              <w:left w:val="single" w:sz="4" w:space="0" w:color="auto"/>
              <w:bottom w:val="single" w:sz="4" w:space="0" w:color="auto"/>
              <w:right w:val="single" w:sz="4" w:space="0" w:color="auto"/>
            </w:tcBorders>
            <w:vAlign w:val="center"/>
            <w:hideMark/>
          </w:tcPr>
          <w:p w14:paraId="3909F7C5" w14:textId="77777777" w:rsidR="00C2460A" w:rsidRPr="00C2460A" w:rsidRDefault="00C2460A" w:rsidP="00C2460A">
            <w:pPr>
              <w:jc w:val="left"/>
              <w:rPr>
                <w:rFonts w:ascii="Calibri" w:hAnsi="Calibri" w:cs="Calibri"/>
                <w:color w:val="000000"/>
                <w:sz w:val="20"/>
              </w:rPr>
            </w:pPr>
          </w:p>
        </w:tc>
        <w:tc>
          <w:tcPr>
            <w:tcW w:w="1623" w:type="pct"/>
            <w:tcBorders>
              <w:top w:val="nil"/>
              <w:left w:val="nil"/>
              <w:bottom w:val="single" w:sz="4" w:space="0" w:color="auto"/>
              <w:right w:val="single" w:sz="4" w:space="0" w:color="auto"/>
            </w:tcBorders>
            <w:shd w:val="clear" w:color="auto" w:fill="auto"/>
            <w:vAlign w:val="center"/>
            <w:hideMark/>
          </w:tcPr>
          <w:p w14:paraId="4E730CEB" w14:textId="77777777" w:rsidR="00C2460A" w:rsidRPr="00C2460A" w:rsidRDefault="00C2460A" w:rsidP="00C2460A">
            <w:pPr>
              <w:jc w:val="left"/>
              <w:rPr>
                <w:rFonts w:ascii="Calibri" w:hAnsi="Calibri" w:cs="Calibri"/>
                <w:color w:val="000000"/>
                <w:sz w:val="20"/>
              </w:rPr>
            </w:pPr>
            <w:r w:rsidRPr="00C2460A">
              <w:rPr>
                <w:rFonts w:ascii="Calibri" w:hAnsi="Calibri" w:cs="Calibri"/>
                <w:color w:val="000000"/>
                <w:sz w:val="20"/>
              </w:rPr>
              <w:t>Projekty před vydáním PA</w:t>
            </w:r>
          </w:p>
        </w:tc>
        <w:tc>
          <w:tcPr>
            <w:tcW w:w="628" w:type="pct"/>
            <w:tcBorders>
              <w:top w:val="nil"/>
              <w:left w:val="nil"/>
              <w:bottom w:val="single" w:sz="4" w:space="0" w:color="auto"/>
              <w:right w:val="single" w:sz="4" w:space="0" w:color="auto"/>
            </w:tcBorders>
            <w:shd w:val="clear" w:color="auto" w:fill="auto"/>
            <w:noWrap/>
            <w:vAlign w:val="center"/>
            <w:hideMark/>
          </w:tcPr>
          <w:p w14:paraId="2EC370BC"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62</w:t>
            </w:r>
          </w:p>
        </w:tc>
        <w:tc>
          <w:tcPr>
            <w:tcW w:w="864" w:type="pct"/>
            <w:tcBorders>
              <w:top w:val="nil"/>
              <w:left w:val="nil"/>
              <w:bottom w:val="single" w:sz="4" w:space="0" w:color="auto"/>
              <w:right w:val="single" w:sz="4" w:space="0" w:color="auto"/>
            </w:tcBorders>
            <w:shd w:val="clear" w:color="auto" w:fill="auto"/>
            <w:noWrap/>
            <w:vAlign w:val="center"/>
            <w:hideMark/>
          </w:tcPr>
          <w:p w14:paraId="1AC89C37"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1 619 600 896</w:t>
            </w:r>
          </w:p>
        </w:tc>
        <w:tc>
          <w:tcPr>
            <w:tcW w:w="628" w:type="pct"/>
            <w:tcBorders>
              <w:top w:val="nil"/>
              <w:left w:val="nil"/>
              <w:bottom w:val="single" w:sz="4" w:space="0" w:color="auto"/>
              <w:right w:val="single" w:sz="4" w:space="0" w:color="auto"/>
            </w:tcBorders>
            <w:shd w:val="clear" w:color="auto" w:fill="auto"/>
            <w:noWrap/>
            <w:vAlign w:val="center"/>
            <w:hideMark/>
          </w:tcPr>
          <w:p w14:paraId="1D1D9B23"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111 190</w:t>
            </w:r>
          </w:p>
        </w:tc>
        <w:tc>
          <w:tcPr>
            <w:tcW w:w="628" w:type="pct"/>
            <w:tcBorders>
              <w:top w:val="nil"/>
              <w:left w:val="nil"/>
              <w:bottom w:val="single" w:sz="4" w:space="0" w:color="auto"/>
              <w:right w:val="single" w:sz="4" w:space="0" w:color="auto"/>
            </w:tcBorders>
            <w:shd w:val="clear" w:color="auto" w:fill="auto"/>
            <w:noWrap/>
            <w:vAlign w:val="center"/>
            <w:hideMark/>
          </w:tcPr>
          <w:p w14:paraId="13D54730"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0</w:t>
            </w:r>
          </w:p>
        </w:tc>
      </w:tr>
      <w:tr w:rsidR="00C2460A" w:rsidRPr="00C2460A" w14:paraId="54A12EF9" w14:textId="77777777" w:rsidTr="00F451ED">
        <w:trPr>
          <w:trHeight w:val="20"/>
        </w:trPr>
        <w:tc>
          <w:tcPr>
            <w:tcW w:w="628" w:type="pct"/>
            <w:vMerge/>
            <w:tcBorders>
              <w:top w:val="nil"/>
              <w:left w:val="single" w:sz="4" w:space="0" w:color="auto"/>
              <w:bottom w:val="single" w:sz="4" w:space="0" w:color="auto"/>
              <w:right w:val="single" w:sz="4" w:space="0" w:color="auto"/>
            </w:tcBorders>
            <w:vAlign w:val="center"/>
            <w:hideMark/>
          </w:tcPr>
          <w:p w14:paraId="67F60099" w14:textId="77777777" w:rsidR="00C2460A" w:rsidRPr="00C2460A" w:rsidRDefault="00C2460A" w:rsidP="00C2460A">
            <w:pPr>
              <w:jc w:val="left"/>
              <w:rPr>
                <w:rFonts w:ascii="Calibri" w:hAnsi="Calibri" w:cs="Calibri"/>
                <w:color w:val="000000"/>
                <w:sz w:val="20"/>
              </w:rPr>
            </w:pPr>
          </w:p>
        </w:tc>
        <w:tc>
          <w:tcPr>
            <w:tcW w:w="1623" w:type="pct"/>
            <w:tcBorders>
              <w:top w:val="nil"/>
              <w:left w:val="nil"/>
              <w:bottom w:val="single" w:sz="4" w:space="0" w:color="auto"/>
              <w:right w:val="single" w:sz="4" w:space="0" w:color="auto"/>
            </w:tcBorders>
            <w:shd w:val="clear" w:color="auto" w:fill="auto"/>
            <w:vAlign w:val="center"/>
            <w:hideMark/>
          </w:tcPr>
          <w:p w14:paraId="6381D9DA" w14:textId="77777777" w:rsidR="00C2460A" w:rsidRPr="00C2460A" w:rsidRDefault="00C2460A" w:rsidP="00C2460A">
            <w:pPr>
              <w:jc w:val="left"/>
              <w:rPr>
                <w:rFonts w:ascii="Calibri" w:hAnsi="Calibri" w:cs="Calibri"/>
                <w:color w:val="000000"/>
                <w:sz w:val="20"/>
              </w:rPr>
            </w:pPr>
            <w:r w:rsidRPr="00C2460A">
              <w:rPr>
                <w:rFonts w:ascii="Calibri" w:hAnsi="Calibri" w:cs="Calibri"/>
                <w:color w:val="000000"/>
                <w:sz w:val="20"/>
              </w:rPr>
              <w:t>Projekty v realizaci</w:t>
            </w:r>
          </w:p>
        </w:tc>
        <w:tc>
          <w:tcPr>
            <w:tcW w:w="628" w:type="pct"/>
            <w:tcBorders>
              <w:top w:val="nil"/>
              <w:left w:val="nil"/>
              <w:bottom w:val="single" w:sz="4" w:space="0" w:color="auto"/>
              <w:right w:val="single" w:sz="4" w:space="0" w:color="auto"/>
            </w:tcBorders>
            <w:shd w:val="clear" w:color="auto" w:fill="auto"/>
            <w:noWrap/>
            <w:vAlign w:val="center"/>
            <w:hideMark/>
          </w:tcPr>
          <w:p w14:paraId="078F6C19"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102</w:t>
            </w:r>
          </w:p>
        </w:tc>
        <w:tc>
          <w:tcPr>
            <w:tcW w:w="864" w:type="pct"/>
            <w:tcBorders>
              <w:top w:val="nil"/>
              <w:left w:val="nil"/>
              <w:bottom w:val="single" w:sz="4" w:space="0" w:color="auto"/>
              <w:right w:val="single" w:sz="4" w:space="0" w:color="auto"/>
            </w:tcBorders>
            <w:shd w:val="clear" w:color="auto" w:fill="auto"/>
            <w:noWrap/>
            <w:vAlign w:val="center"/>
            <w:hideMark/>
          </w:tcPr>
          <w:p w14:paraId="24329DC7"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993 523 853</w:t>
            </w:r>
          </w:p>
        </w:tc>
        <w:tc>
          <w:tcPr>
            <w:tcW w:w="628" w:type="pct"/>
            <w:tcBorders>
              <w:top w:val="nil"/>
              <w:left w:val="nil"/>
              <w:bottom w:val="single" w:sz="4" w:space="0" w:color="auto"/>
              <w:right w:val="single" w:sz="4" w:space="0" w:color="auto"/>
            </w:tcBorders>
            <w:shd w:val="clear" w:color="auto" w:fill="auto"/>
            <w:noWrap/>
            <w:vAlign w:val="center"/>
            <w:hideMark/>
          </w:tcPr>
          <w:p w14:paraId="44DB9297"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88 238</w:t>
            </w:r>
          </w:p>
        </w:tc>
        <w:tc>
          <w:tcPr>
            <w:tcW w:w="628" w:type="pct"/>
            <w:tcBorders>
              <w:top w:val="nil"/>
              <w:left w:val="nil"/>
              <w:bottom w:val="single" w:sz="4" w:space="0" w:color="auto"/>
              <w:right w:val="single" w:sz="4" w:space="0" w:color="auto"/>
            </w:tcBorders>
            <w:shd w:val="clear" w:color="auto" w:fill="auto"/>
            <w:noWrap/>
            <w:vAlign w:val="center"/>
            <w:hideMark/>
          </w:tcPr>
          <w:p w14:paraId="369386A5" w14:textId="77777777" w:rsidR="00C2460A" w:rsidRPr="00C2460A" w:rsidRDefault="00C2460A" w:rsidP="00C2460A">
            <w:pPr>
              <w:jc w:val="right"/>
              <w:rPr>
                <w:rFonts w:ascii="Calibri" w:hAnsi="Calibri" w:cs="Calibri"/>
                <w:color w:val="000000"/>
                <w:sz w:val="20"/>
              </w:rPr>
            </w:pPr>
            <w:r w:rsidRPr="00C2460A">
              <w:rPr>
                <w:rFonts w:ascii="Calibri" w:hAnsi="Calibri" w:cs="Calibri"/>
                <w:color w:val="000000"/>
                <w:sz w:val="20"/>
              </w:rPr>
              <w:t>32 763</w:t>
            </w:r>
          </w:p>
        </w:tc>
      </w:tr>
      <w:tr w:rsidR="00C2460A" w:rsidRPr="00C2460A" w14:paraId="54948E15" w14:textId="77777777" w:rsidTr="00F451ED">
        <w:trPr>
          <w:trHeight w:val="20"/>
        </w:trPr>
        <w:tc>
          <w:tcPr>
            <w:tcW w:w="2251" w:type="pct"/>
            <w:gridSpan w:val="2"/>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4693E7CA" w14:textId="45AA14A9" w:rsidR="00C2460A" w:rsidRPr="00C2460A" w:rsidRDefault="00AA3995" w:rsidP="00AA3995">
            <w:pPr>
              <w:jc w:val="left"/>
              <w:rPr>
                <w:rFonts w:ascii="Calibri" w:hAnsi="Calibri" w:cs="Calibri"/>
                <w:b/>
                <w:bCs/>
                <w:color w:val="000000"/>
                <w:sz w:val="20"/>
              </w:rPr>
            </w:pPr>
            <w:r>
              <w:rPr>
                <w:rFonts w:ascii="Calibri" w:hAnsi="Calibri" w:cs="Calibri"/>
                <w:b/>
                <w:bCs/>
                <w:color w:val="000000"/>
                <w:sz w:val="20"/>
              </w:rPr>
              <w:t>E</w:t>
            </w:r>
            <w:r w:rsidR="00C2460A" w:rsidRPr="00C2460A">
              <w:rPr>
                <w:rFonts w:ascii="Calibri" w:hAnsi="Calibri" w:cs="Calibri"/>
                <w:b/>
                <w:bCs/>
                <w:color w:val="000000"/>
                <w:sz w:val="20"/>
              </w:rPr>
              <w:t>vidované projekty</w:t>
            </w:r>
            <w:r w:rsidRPr="00C2460A">
              <w:rPr>
                <w:rFonts w:ascii="Calibri" w:hAnsi="Calibri" w:cs="Calibri"/>
                <w:b/>
                <w:bCs/>
                <w:color w:val="000000"/>
                <w:sz w:val="20"/>
              </w:rPr>
              <w:t xml:space="preserve"> </w:t>
            </w:r>
            <w:r>
              <w:rPr>
                <w:rFonts w:ascii="Calibri" w:hAnsi="Calibri" w:cs="Calibri"/>
                <w:b/>
                <w:bCs/>
                <w:color w:val="000000"/>
                <w:sz w:val="20"/>
              </w:rPr>
              <w:t>c</w:t>
            </w:r>
            <w:r w:rsidRPr="00C2460A">
              <w:rPr>
                <w:rFonts w:ascii="Calibri" w:hAnsi="Calibri" w:cs="Calibri"/>
                <w:b/>
                <w:bCs/>
                <w:color w:val="000000"/>
                <w:sz w:val="20"/>
              </w:rPr>
              <w:t>elkem</w:t>
            </w:r>
          </w:p>
        </w:tc>
        <w:tc>
          <w:tcPr>
            <w:tcW w:w="628" w:type="pct"/>
            <w:tcBorders>
              <w:top w:val="nil"/>
              <w:left w:val="nil"/>
              <w:bottom w:val="double" w:sz="6" w:space="0" w:color="auto"/>
              <w:right w:val="single" w:sz="4" w:space="0" w:color="auto"/>
            </w:tcBorders>
            <w:shd w:val="clear" w:color="auto" w:fill="auto"/>
            <w:noWrap/>
            <w:vAlign w:val="bottom"/>
            <w:hideMark/>
          </w:tcPr>
          <w:p w14:paraId="3330085A" w14:textId="77777777" w:rsidR="00C2460A" w:rsidRPr="00C2460A" w:rsidRDefault="00C2460A" w:rsidP="00C2460A">
            <w:pPr>
              <w:jc w:val="right"/>
              <w:rPr>
                <w:rFonts w:ascii="Calibri" w:hAnsi="Calibri" w:cs="Calibri"/>
                <w:b/>
                <w:bCs/>
                <w:color w:val="000000"/>
                <w:sz w:val="20"/>
              </w:rPr>
            </w:pPr>
            <w:r w:rsidRPr="00C2460A">
              <w:rPr>
                <w:rFonts w:ascii="Calibri" w:hAnsi="Calibri" w:cs="Calibri"/>
                <w:b/>
                <w:bCs/>
                <w:color w:val="000000"/>
                <w:sz w:val="20"/>
              </w:rPr>
              <w:t>202</w:t>
            </w:r>
          </w:p>
        </w:tc>
        <w:tc>
          <w:tcPr>
            <w:tcW w:w="864" w:type="pct"/>
            <w:tcBorders>
              <w:top w:val="nil"/>
              <w:left w:val="nil"/>
              <w:bottom w:val="double" w:sz="6" w:space="0" w:color="auto"/>
              <w:right w:val="single" w:sz="4" w:space="0" w:color="auto"/>
            </w:tcBorders>
            <w:shd w:val="clear" w:color="auto" w:fill="auto"/>
            <w:noWrap/>
            <w:vAlign w:val="bottom"/>
            <w:hideMark/>
          </w:tcPr>
          <w:p w14:paraId="54BD219C" w14:textId="77777777" w:rsidR="00C2460A" w:rsidRPr="00C2460A" w:rsidRDefault="00C2460A" w:rsidP="00C2460A">
            <w:pPr>
              <w:jc w:val="right"/>
              <w:rPr>
                <w:rFonts w:ascii="Calibri" w:hAnsi="Calibri" w:cs="Calibri"/>
                <w:b/>
                <w:bCs/>
                <w:color w:val="000000"/>
                <w:sz w:val="20"/>
              </w:rPr>
            </w:pPr>
            <w:r w:rsidRPr="00C2460A">
              <w:rPr>
                <w:rFonts w:ascii="Calibri" w:hAnsi="Calibri" w:cs="Calibri"/>
                <w:b/>
                <w:bCs/>
                <w:color w:val="000000"/>
                <w:sz w:val="20"/>
              </w:rPr>
              <w:t>3 819 408 397</w:t>
            </w:r>
          </w:p>
        </w:tc>
        <w:tc>
          <w:tcPr>
            <w:tcW w:w="628" w:type="pct"/>
            <w:tcBorders>
              <w:top w:val="nil"/>
              <w:left w:val="nil"/>
              <w:bottom w:val="double" w:sz="6" w:space="0" w:color="auto"/>
              <w:right w:val="single" w:sz="4" w:space="0" w:color="auto"/>
            </w:tcBorders>
            <w:shd w:val="clear" w:color="auto" w:fill="auto"/>
            <w:noWrap/>
            <w:vAlign w:val="bottom"/>
            <w:hideMark/>
          </w:tcPr>
          <w:p w14:paraId="76BF515C" w14:textId="77777777" w:rsidR="00C2460A" w:rsidRPr="00C2460A" w:rsidRDefault="00C2460A" w:rsidP="00C2460A">
            <w:pPr>
              <w:jc w:val="right"/>
              <w:rPr>
                <w:rFonts w:ascii="Calibri" w:hAnsi="Calibri" w:cs="Calibri"/>
                <w:b/>
                <w:bCs/>
                <w:color w:val="000000"/>
                <w:sz w:val="20"/>
              </w:rPr>
            </w:pPr>
            <w:r w:rsidRPr="00C2460A">
              <w:rPr>
                <w:rFonts w:ascii="Calibri" w:hAnsi="Calibri" w:cs="Calibri"/>
                <w:b/>
                <w:bCs/>
                <w:color w:val="000000"/>
                <w:sz w:val="20"/>
              </w:rPr>
              <w:t>302 410</w:t>
            </w:r>
          </w:p>
        </w:tc>
        <w:tc>
          <w:tcPr>
            <w:tcW w:w="628" w:type="pct"/>
            <w:tcBorders>
              <w:top w:val="nil"/>
              <w:left w:val="nil"/>
              <w:bottom w:val="double" w:sz="6" w:space="0" w:color="auto"/>
              <w:right w:val="single" w:sz="4" w:space="0" w:color="auto"/>
            </w:tcBorders>
            <w:shd w:val="clear" w:color="auto" w:fill="auto"/>
            <w:noWrap/>
            <w:vAlign w:val="bottom"/>
            <w:hideMark/>
          </w:tcPr>
          <w:p w14:paraId="24A121A5" w14:textId="77777777" w:rsidR="00C2460A" w:rsidRPr="00C2460A" w:rsidRDefault="00C2460A" w:rsidP="00C2460A">
            <w:pPr>
              <w:jc w:val="right"/>
              <w:rPr>
                <w:rFonts w:ascii="Calibri" w:hAnsi="Calibri" w:cs="Calibri"/>
                <w:b/>
                <w:bCs/>
                <w:color w:val="000000"/>
                <w:sz w:val="20"/>
              </w:rPr>
            </w:pPr>
            <w:r w:rsidRPr="00C2460A">
              <w:rPr>
                <w:rFonts w:ascii="Calibri" w:hAnsi="Calibri" w:cs="Calibri"/>
                <w:b/>
                <w:bCs/>
                <w:color w:val="000000"/>
                <w:sz w:val="20"/>
              </w:rPr>
              <w:t>32 763</w:t>
            </w:r>
          </w:p>
        </w:tc>
      </w:tr>
      <w:tr w:rsidR="00C2460A" w:rsidRPr="0074637E" w14:paraId="6CF4A637" w14:textId="77777777" w:rsidTr="00F451ED">
        <w:trPr>
          <w:trHeight w:val="20"/>
        </w:trPr>
        <w:tc>
          <w:tcPr>
            <w:tcW w:w="2251" w:type="pct"/>
            <w:gridSpan w:val="2"/>
            <w:tcBorders>
              <w:top w:val="double" w:sz="6" w:space="0" w:color="auto"/>
              <w:left w:val="single" w:sz="4" w:space="0" w:color="auto"/>
              <w:bottom w:val="single" w:sz="4" w:space="0" w:color="auto"/>
              <w:right w:val="single" w:sz="4" w:space="0" w:color="000000"/>
            </w:tcBorders>
            <w:shd w:val="clear" w:color="auto" w:fill="auto"/>
            <w:noWrap/>
            <w:vAlign w:val="bottom"/>
            <w:hideMark/>
          </w:tcPr>
          <w:p w14:paraId="621B9EFB" w14:textId="77777777" w:rsidR="00C2460A" w:rsidRPr="0074637E" w:rsidRDefault="00C2460A" w:rsidP="00AA3995">
            <w:pPr>
              <w:ind w:left="61"/>
              <w:jc w:val="left"/>
              <w:rPr>
                <w:rFonts w:ascii="Calibri" w:hAnsi="Calibri" w:cs="Calibri"/>
                <w:b/>
                <w:bCs/>
                <w:i/>
                <w:color w:val="000000"/>
                <w:sz w:val="20"/>
              </w:rPr>
            </w:pPr>
            <w:r w:rsidRPr="0074637E">
              <w:rPr>
                <w:rFonts w:ascii="Calibri" w:hAnsi="Calibri" w:cs="Calibri"/>
                <w:b/>
                <w:bCs/>
                <w:i/>
                <w:color w:val="000000"/>
                <w:sz w:val="20"/>
              </w:rPr>
              <w:t>z toho aktivní projekty</w:t>
            </w:r>
          </w:p>
        </w:tc>
        <w:tc>
          <w:tcPr>
            <w:tcW w:w="628" w:type="pct"/>
            <w:tcBorders>
              <w:top w:val="nil"/>
              <w:left w:val="nil"/>
              <w:bottom w:val="single" w:sz="4" w:space="0" w:color="auto"/>
              <w:right w:val="single" w:sz="4" w:space="0" w:color="auto"/>
            </w:tcBorders>
            <w:shd w:val="clear" w:color="auto" w:fill="auto"/>
            <w:noWrap/>
            <w:vAlign w:val="bottom"/>
            <w:hideMark/>
          </w:tcPr>
          <w:p w14:paraId="58AEFDD7" w14:textId="77777777" w:rsidR="00C2460A" w:rsidRPr="0074637E" w:rsidRDefault="00C2460A" w:rsidP="00C2460A">
            <w:pPr>
              <w:jc w:val="right"/>
              <w:rPr>
                <w:rFonts w:ascii="Calibri" w:hAnsi="Calibri" w:cs="Calibri"/>
                <w:b/>
                <w:bCs/>
                <w:i/>
                <w:color w:val="000000"/>
                <w:sz w:val="20"/>
              </w:rPr>
            </w:pPr>
            <w:r w:rsidRPr="0074637E">
              <w:rPr>
                <w:rFonts w:ascii="Calibri" w:hAnsi="Calibri" w:cs="Calibri"/>
                <w:b/>
                <w:bCs/>
                <w:i/>
                <w:color w:val="000000"/>
                <w:sz w:val="20"/>
              </w:rPr>
              <w:t>198</w:t>
            </w:r>
          </w:p>
        </w:tc>
        <w:tc>
          <w:tcPr>
            <w:tcW w:w="864" w:type="pct"/>
            <w:tcBorders>
              <w:top w:val="nil"/>
              <w:left w:val="nil"/>
              <w:bottom w:val="single" w:sz="4" w:space="0" w:color="auto"/>
              <w:right w:val="single" w:sz="4" w:space="0" w:color="auto"/>
            </w:tcBorders>
            <w:shd w:val="clear" w:color="auto" w:fill="auto"/>
            <w:noWrap/>
            <w:vAlign w:val="bottom"/>
            <w:hideMark/>
          </w:tcPr>
          <w:p w14:paraId="4C4D0835" w14:textId="77777777" w:rsidR="00C2460A" w:rsidRPr="0074637E" w:rsidRDefault="00C2460A" w:rsidP="00C2460A">
            <w:pPr>
              <w:jc w:val="right"/>
              <w:rPr>
                <w:rFonts w:ascii="Calibri" w:hAnsi="Calibri" w:cs="Calibri"/>
                <w:b/>
                <w:bCs/>
                <w:i/>
                <w:color w:val="000000"/>
                <w:sz w:val="20"/>
              </w:rPr>
            </w:pPr>
            <w:r w:rsidRPr="0074637E">
              <w:rPr>
                <w:rFonts w:ascii="Calibri" w:hAnsi="Calibri" w:cs="Calibri"/>
                <w:b/>
                <w:bCs/>
                <w:i/>
                <w:color w:val="000000"/>
                <w:sz w:val="20"/>
              </w:rPr>
              <w:t>3 759 618 828</w:t>
            </w:r>
          </w:p>
        </w:tc>
        <w:tc>
          <w:tcPr>
            <w:tcW w:w="628" w:type="pct"/>
            <w:tcBorders>
              <w:top w:val="nil"/>
              <w:left w:val="nil"/>
              <w:bottom w:val="single" w:sz="4" w:space="0" w:color="auto"/>
              <w:right w:val="single" w:sz="4" w:space="0" w:color="auto"/>
            </w:tcBorders>
            <w:shd w:val="clear" w:color="auto" w:fill="auto"/>
            <w:noWrap/>
            <w:vAlign w:val="bottom"/>
            <w:hideMark/>
          </w:tcPr>
          <w:p w14:paraId="4240B0B2" w14:textId="77777777" w:rsidR="00C2460A" w:rsidRPr="0074637E" w:rsidRDefault="00C2460A" w:rsidP="00C2460A">
            <w:pPr>
              <w:jc w:val="right"/>
              <w:rPr>
                <w:rFonts w:ascii="Calibri" w:hAnsi="Calibri" w:cs="Calibri"/>
                <w:b/>
                <w:bCs/>
                <w:i/>
                <w:color w:val="000000"/>
                <w:sz w:val="20"/>
              </w:rPr>
            </w:pPr>
            <w:r w:rsidRPr="0074637E">
              <w:rPr>
                <w:rFonts w:ascii="Calibri" w:hAnsi="Calibri" w:cs="Calibri"/>
                <w:b/>
                <w:bCs/>
                <w:i/>
                <w:color w:val="000000"/>
                <w:sz w:val="20"/>
              </w:rPr>
              <w:t>299 880</w:t>
            </w:r>
          </w:p>
        </w:tc>
        <w:tc>
          <w:tcPr>
            <w:tcW w:w="628" w:type="pct"/>
            <w:tcBorders>
              <w:top w:val="nil"/>
              <w:left w:val="nil"/>
              <w:bottom w:val="single" w:sz="4" w:space="0" w:color="auto"/>
              <w:right w:val="single" w:sz="4" w:space="0" w:color="auto"/>
            </w:tcBorders>
            <w:shd w:val="clear" w:color="auto" w:fill="auto"/>
            <w:noWrap/>
            <w:vAlign w:val="bottom"/>
            <w:hideMark/>
          </w:tcPr>
          <w:p w14:paraId="46C77587" w14:textId="77777777" w:rsidR="00C2460A" w:rsidRPr="0074637E" w:rsidRDefault="00C2460A" w:rsidP="00C2460A">
            <w:pPr>
              <w:jc w:val="right"/>
              <w:rPr>
                <w:rFonts w:ascii="Calibri" w:hAnsi="Calibri" w:cs="Calibri"/>
                <w:b/>
                <w:bCs/>
                <w:i/>
                <w:color w:val="000000"/>
                <w:sz w:val="20"/>
              </w:rPr>
            </w:pPr>
            <w:r w:rsidRPr="0074637E">
              <w:rPr>
                <w:rFonts w:ascii="Calibri" w:hAnsi="Calibri" w:cs="Calibri"/>
                <w:b/>
                <w:bCs/>
                <w:i/>
                <w:color w:val="000000"/>
                <w:sz w:val="20"/>
              </w:rPr>
              <w:t>32 763</w:t>
            </w:r>
          </w:p>
        </w:tc>
      </w:tr>
      <w:tr w:rsidR="00C2460A" w:rsidRPr="0074637E" w14:paraId="6ECFBB15" w14:textId="77777777" w:rsidTr="00F451ED">
        <w:trPr>
          <w:trHeight w:val="20"/>
        </w:trPr>
        <w:tc>
          <w:tcPr>
            <w:tcW w:w="225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97496" w14:textId="77777777" w:rsidR="00C2460A" w:rsidRPr="00FC7CB7" w:rsidRDefault="00C2460A" w:rsidP="00C2460A">
            <w:pPr>
              <w:jc w:val="center"/>
              <w:rPr>
                <w:rFonts w:ascii="Calibri" w:hAnsi="Calibri" w:cs="Calibri"/>
                <w:b/>
                <w:bCs/>
                <w:i/>
                <w:color w:val="000000"/>
                <w:sz w:val="20"/>
              </w:rPr>
            </w:pPr>
            <w:r w:rsidRPr="00FC7CB7">
              <w:rPr>
                <w:rFonts w:ascii="Calibri" w:hAnsi="Calibri" w:cs="Calibri"/>
                <w:b/>
                <w:bCs/>
                <w:i/>
                <w:color w:val="000000"/>
                <w:sz w:val="20"/>
              </w:rPr>
              <w:t>z toho aktivní projekty ústředních institucí</w:t>
            </w:r>
          </w:p>
        </w:tc>
        <w:tc>
          <w:tcPr>
            <w:tcW w:w="628" w:type="pct"/>
            <w:tcBorders>
              <w:top w:val="nil"/>
              <w:left w:val="nil"/>
              <w:bottom w:val="single" w:sz="4" w:space="0" w:color="auto"/>
              <w:right w:val="single" w:sz="4" w:space="0" w:color="auto"/>
            </w:tcBorders>
            <w:shd w:val="clear" w:color="auto" w:fill="auto"/>
            <w:noWrap/>
            <w:vAlign w:val="bottom"/>
            <w:hideMark/>
          </w:tcPr>
          <w:p w14:paraId="1A1A417D" w14:textId="77777777" w:rsidR="00C2460A" w:rsidRPr="00FC7CB7" w:rsidRDefault="00C2460A" w:rsidP="00C2460A">
            <w:pPr>
              <w:jc w:val="right"/>
              <w:rPr>
                <w:rFonts w:ascii="Calibri" w:hAnsi="Calibri" w:cs="Calibri"/>
                <w:b/>
                <w:bCs/>
                <w:i/>
                <w:color w:val="000000"/>
                <w:sz w:val="20"/>
              </w:rPr>
            </w:pPr>
            <w:r w:rsidRPr="00FC7CB7">
              <w:rPr>
                <w:rFonts w:ascii="Calibri" w:hAnsi="Calibri" w:cs="Calibri"/>
                <w:b/>
                <w:bCs/>
                <w:i/>
                <w:color w:val="000000"/>
                <w:sz w:val="20"/>
              </w:rPr>
              <w:t>34</w:t>
            </w:r>
          </w:p>
        </w:tc>
        <w:tc>
          <w:tcPr>
            <w:tcW w:w="864" w:type="pct"/>
            <w:tcBorders>
              <w:top w:val="nil"/>
              <w:left w:val="nil"/>
              <w:bottom w:val="single" w:sz="4" w:space="0" w:color="auto"/>
              <w:right w:val="single" w:sz="4" w:space="0" w:color="auto"/>
            </w:tcBorders>
            <w:shd w:val="clear" w:color="auto" w:fill="auto"/>
            <w:noWrap/>
            <w:vAlign w:val="bottom"/>
            <w:hideMark/>
          </w:tcPr>
          <w:p w14:paraId="7C4F0537" w14:textId="77777777" w:rsidR="00C2460A" w:rsidRPr="00FC7CB7" w:rsidRDefault="00C2460A" w:rsidP="00C2460A">
            <w:pPr>
              <w:jc w:val="right"/>
              <w:rPr>
                <w:rFonts w:ascii="Calibri" w:hAnsi="Calibri" w:cs="Calibri"/>
                <w:b/>
                <w:bCs/>
                <w:i/>
                <w:color w:val="000000"/>
                <w:sz w:val="20"/>
              </w:rPr>
            </w:pPr>
            <w:r w:rsidRPr="00FC7CB7">
              <w:rPr>
                <w:rFonts w:ascii="Calibri" w:hAnsi="Calibri" w:cs="Calibri"/>
                <w:b/>
                <w:bCs/>
                <w:i/>
                <w:color w:val="000000"/>
                <w:sz w:val="20"/>
              </w:rPr>
              <w:t>1 146 494 079</w:t>
            </w:r>
          </w:p>
        </w:tc>
        <w:tc>
          <w:tcPr>
            <w:tcW w:w="628" w:type="pct"/>
            <w:tcBorders>
              <w:top w:val="nil"/>
              <w:left w:val="nil"/>
              <w:bottom w:val="single" w:sz="4" w:space="0" w:color="auto"/>
              <w:right w:val="single" w:sz="4" w:space="0" w:color="auto"/>
            </w:tcBorders>
            <w:shd w:val="clear" w:color="auto" w:fill="auto"/>
            <w:noWrap/>
            <w:vAlign w:val="bottom"/>
            <w:hideMark/>
          </w:tcPr>
          <w:p w14:paraId="7E880C25" w14:textId="77777777" w:rsidR="00C2460A" w:rsidRPr="00FC7CB7" w:rsidRDefault="00C2460A" w:rsidP="00C2460A">
            <w:pPr>
              <w:jc w:val="right"/>
              <w:rPr>
                <w:rFonts w:ascii="Calibri" w:hAnsi="Calibri" w:cs="Calibri"/>
                <w:b/>
                <w:bCs/>
                <w:i/>
                <w:color w:val="000000"/>
                <w:sz w:val="20"/>
              </w:rPr>
            </w:pPr>
            <w:r w:rsidRPr="00FC7CB7">
              <w:rPr>
                <w:rFonts w:ascii="Calibri" w:hAnsi="Calibri" w:cs="Calibri"/>
                <w:b/>
                <w:bCs/>
                <w:i/>
                <w:color w:val="000000"/>
                <w:sz w:val="20"/>
              </w:rPr>
              <w:t>100 452</w:t>
            </w:r>
          </w:p>
        </w:tc>
        <w:tc>
          <w:tcPr>
            <w:tcW w:w="628" w:type="pct"/>
            <w:tcBorders>
              <w:top w:val="nil"/>
              <w:left w:val="nil"/>
              <w:bottom w:val="single" w:sz="4" w:space="0" w:color="auto"/>
              <w:right w:val="single" w:sz="4" w:space="0" w:color="auto"/>
            </w:tcBorders>
            <w:shd w:val="clear" w:color="auto" w:fill="auto"/>
            <w:noWrap/>
            <w:vAlign w:val="bottom"/>
            <w:hideMark/>
          </w:tcPr>
          <w:p w14:paraId="4446E519" w14:textId="77777777" w:rsidR="00C2460A" w:rsidRPr="00FC7CB7" w:rsidRDefault="00C2460A" w:rsidP="00C2460A">
            <w:pPr>
              <w:jc w:val="right"/>
              <w:rPr>
                <w:rFonts w:ascii="Calibri" w:hAnsi="Calibri" w:cs="Calibri"/>
                <w:b/>
                <w:bCs/>
                <w:i/>
                <w:color w:val="000000"/>
                <w:sz w:val="20"/>
              </w:rPr>
            </w:pPr>
            <w:r w:rsidRPr="00FC7CB7">
              <w:rPr>
                <w:rFonts w:ascii="Calibri" w:hAnsi="Calibri" w:cs="Calibri"/>
                <w:b/>
                <w:bCs/>
                <w:i/>
                <w:color w:val="000000"/>
                <w:sz w:val="20"/>
              </w:rPr>
              <w:t>0</w:t>
            </w:r>
          </w:p>
        </w:tc>
      </w:tr>
    </w:tbl>
    <w:p w14:paraId="32490E04" w14:textId="77777777" w:rsidR="00F16C1F" w:rsidRDefault="00F16C1F" w:rsidP="00377B07">
      <w:pPr>
        <w:pStyle w:val="Zdrojeapozn"/>
      </w:pPr>
      <w:r>
        <w:t xml:space="preserve">Zdroj: </w:t>
      </w:r>
      <w:r w:rsidR="00C2460A">
        <w:t>SFŽP, MS2014+.</w:t>
      </w:r>
    </w:p>
    <w:p w14:paraId="37AB6CD2" w14:textId="77777777" w:rsidR="00C2460A" w:rsidRDefault="00C2460A" w:rsidP="2EDFE955"/>
    <w:p w14:paraId="467A8510" w14:textId="52B9136A" w:rsidR="13095B25" w:rsidRDefault="00C2460A" w:rsidP="2EDFE955">
      <w:r>
        <w:t xml:space="preserve">Minimálně do poloviny roku 2020 </w:t>
      </w:r>
      <w:r w:rsidR="13095B25">
        <w:t xml:space="preserve">nepřispěly projekty realizované v rámci PO 5 OPŽP </w:t>
      </w:r>
      <w:r w:rsidR="00AA3995">
        <w:br/>
      </w:r>
      <w:r w:rsidR="13095B25">
        <w:t xml:space="preserve">a NZÚ – </w:t>
      </w:r>
      <w:r w:rsidR="13095B25" w:rsidRPr="2EDFE955">
        <w:rPr>
          <w:i/>
          <w:iCs/>
        </w:rPr>
        <w:t>Budovy veřejného sektoru</w:t>
      </w:r>
      <w:r w:rsidR="13095B25">
        <w:t xml:space="preserve"> k plnění čl</w:t>
      </w:r>
      <w:r w:rsidR="002477AE">
        <w:t>.</w:t>
      </w:r>
      <w:r w:rsidR="13095B25">
        <w:t xml:space="preserve"> 5 EED. Podíl podpořených projektů ústředních institucí</w:t>
      </w:r>
      <w:r w:rsidR="00FA5FDC">
        <w:t xml:space="preserve"> (13 projektů)</w:t>
      </w:r>
      <w:r w:rsidR="13095B25">
        <w:t xml:space="preserve"> </w:t>
      </w:r>
      <w:r w:rsidR="00AA6868">
        <w:t xml:space="preserve">na </w:t>
      </w:r>
      <w:r w:rsidR="13095B25">
        <w:t xml:space="preserve">celkovém počtu podpořených projektů </w:t>
      </w:r>
      <w:r>
        <w:t>zaměřených na snížení konečné spotřeby energie ve veřejných budovách</w:t>
      </w:r>
      <w:r w:rsidR="00FA5FDC">
        <w:t xml:space="preserve"> (1 747 projektů) </w:t>
      </w:r>
      <w:r w:rsidR="13095B25">
        <w:t>čin</w:t>
      </w:r>
      <w:r>
        <w:t>il</w:t>
      </w:r>
      <w:r w:rsidR="13095B25">
        <w:t xml:space="preserve"> pouze </w:t>
      </w:r>
      <w:r>
        <w:t>0</w:t>
      </w:r>
      <w:r w:rsidR="13095B25">
        <w:t>,</w:t>
      </w:r>
      <w:r>
        <w:t>7</w:t>
      </w:r>
      <w:r w:rsidR="13095B25">
        <w:t xml:space="preserve"> %.</w:t>
      </w:r>
    </w:p>
    <w:p w14:paraId="654F894E" w14:textId="5AD6B20D" w:rsidR="12015A20" w:rsidRDefault="12015A20" w:rsidP="2EDFE955">
      <w:pPr>
        <w:pStyle w:val="TextKP"/>
      </w:pPr>
      <w:r w:rsidRPr="00143B7A">
        <w:t xml:space="preserve">Kontrolou byla prověřována předpokládaná nákladovost </w:t>
      </w:r>
      <w:r w:rsidR="00143B7A">
        <w:t xml:space="preserve">snížení </w:t>
      </w:r>
      <w:r w:rsidRPr="00143B7A">
        <w:t xml:space="preserve">konečné spotřeby energie </w:t>
      </w:r>
      <w:r w:rsidR="00143B7A">
        <w:t>ve</w:t>
      </w:r>
      <w:r w:rsidR="0080205A">
        <w:t xml:space="preserve"> </w:t>
      </w:r>
      <w:r w:rsidRPr="00143B7A">
        <w:t>veřejných budov</w:t>
      </w:r>
      <w:r w:rsidR="00143B7A">
        <w:t xml:space="preserve">ách. Nákladovost </w:t>
      </w:r>
      <w:r w:rsidR="005F0246">
        <w:t xml:space="preserve">v průběhu poskytování podpory </w:t>
      </w:r>
      <w:r w:rsidR="00143B7A">
        <w:t>ovlivňují ceny stavebních prací a dodávek, ale</w:t>
      </w:r>
      <w:r w:rsidR="005F0246">
        <w:t xml:space="preserve"> také změny v nastavení podpory, tj. např. </w:t>
      </w:r>
      <w:r w:rsidR="005156CF">
        <w:t>změny podporovaných aktivit a </w:t>
      </w:r>
      <w:r w:rsidR="00143B7A">
        <w:t>způsobil</w:t>
      </w:r>
      <w:r w:rsidR="005F0246">
        <w:t>ých</w:t>
      </w:r>
      <w:r w:rsidR="00143B7A">
        <w:t xml:space="preserve"> výdajů. </w:t>
      </w:r>
      <w:r w:rsidR="005F0246">
        <w:t>V tabulce</w:t>
      </w:r>
      <w:r w:rsidR="00903D49">
        <w:t xml:space="preserve"> č. 5</w:t>
      </w:r>
      <w:r w:rsidR="005F0246">
        <w:t xml:space="preserve"> je uvedena </w:t>
      </w:r>
      <w:r w:rsidR="005156CF">
        <w:t xml:space="preserve">průměrná </w:t>
      </w:r>
      <w:r w:rsidR="005F0246">
        <w:t>nákladovost</w:t>
      </w:r>
      <w:r w:rsidR="005156CF">
        <w:t>, resp. výše průměrné</w:t>
      </w:r>
      <w:r w:rsidR="005156CF" w:rsidRPr="005156CF">
        <w:t xml:space="preserve"> podpor</w:t>
      </w:r>
      <w:r w:rsidR="005156CF">
        <w:t>y</w:t>
      </w:r>
      <w:r w:rsidR="005156CF" w:rsidRPr="005156CF">
        <w:t xml:space="preserve"> (příspěvek EU) na jednotku úspory energie v</w:t>
      </w:r>
      <w:r w:rsidR="00F451ED">
        <w:t> </w:t>
      </w:r>
      <w:r w:rsidR="005156CF" w:rsidRPr="005156CF">
        <w:t>konečné spotřebě</w:t>
      </w:r>
      <w:r w:rsidR="00AA6868">
        <w:t>,</w:t>
      </w:r>
      <w:r w:rsidR="005156CF">
        <w:t xml:space="preserve"> vypočtená z aktivních projektů ke dni 30. 6. 2020 s vykázanou dosaženou hodnotou úspor energií v MS2014+ (848</w:t>
      </w:r>
      <w:r w:rsidR="00903D49">
        <w:t> </w:t>
      </w:r>
      <w:r w:rsidR="005156CF">
        <w:t>projektů).</w:t>
      </w:r>
    </w:p>
    <w:p w14:paraId="37537504" w14:textId="3DB2C136" w:rsidR="000D2E34" w:rsidRPr="00143B7A" w:rsidRDefault="005156CF" w:rsidP="00893C30">
      <w:pPr>
        <w:pStyle w:val="Nzevtabulky"/>
        <w:ind w:left="1276" w:hanging="1276"/>
      </w:pPr>
      <w:r>
        <w:t>Průměrná výše podpory (příspěvek EU) na jednotku úspory energie</w:t>
      </w:r>
    </w:p>
    <w:tbl>
      <w:tblPr>
        <w:tblW w:w="5000" w:type="pct"/>
        <w:tblCellMar>
          <w:left w:w="0" w:type="dxa"/>
          <w:right w:w="0" w:type="dxa"/>
        </w:tblCellMar>
        <w:tblLook w:val="04A0" w:firstRow="1" w:lastRow="0" w:firstColumn="1" w:lastColumn="0" w:noHBand="0" w:noVBand="1"/>
      </w:tblPr>
      <w:tblGrid>
        <w:gridCol w:w="4158"/>
        <w:gridCol w:w="1310"/>
        <w:gridCol w:w="939"/>
        <w:gridCol w:w="1397"/>
        <w:gridCol w:w="1256"/>
      </w:tblGrid>
      <w:tr w:rsidR="005156CF" w:rsidRPr="0033479F" w14:paraId="331411BB" w14:textId="77777777" w:rsidTr="0033479F">
        <w:trPr>
          <w:trHeight w:val="300"/>
        </w:trPr>
        <w:tc>
          <w:tcPr>
            <w:tcW w:w="2295" w:type="pct"/>
            <w:tcBorders>
              <w:top w:val="single" w:sz="4" w:space="0" w:color="auto"/>
              <w:left w:val="single" w:sz="4" w:space="0" w:color="auto"/>
              <w:bottom w:val="single" w:sz="4" w:space="0" w:color="auto"/>
              <w:right w:val="single" w:sz="4" w:space="0" w:color="auto"/>
            </w:tcBorders>
            <w:shd w:val="clear" w:color="000000" w:fill="E5F1FF"/>
            <w:noWrap/>
            <w:tcMar>
              <w:top w:w="15" w:type="dxa"/>
              <w:left w:w="15" w:type="dxa"/>
              <w:bottom w:w="0" w:type="dxa"/>
              <w:right w:w="15" w:type="dxa"/>
            </w:tcMar>
            <w:vAlign w:val="bottom"/>
            <w:hideMark/>
          </w:tcPr>
          <w:p w14:paraId="17BCE1B6" w14:textId="77777777" w:rsidR="005156CF" w:rsidRPr="0033479F" w:rsidRDefault="005156CF">
            <w:pPr>
              <w:jc w:val="left"/>
              <w:rPr>
                <w:rFonts w:ascii="Calibri" w:hAnsi="Calibri" w:cs="Calibri"/>
                <w:color w:val="000000"/>
                <w:sz w:val="20"/>
                <w:szCs w:val="22"/>
              </w:rPr>
            </w:pPr>
            <w:r w:rsidRPr="0033479F">
              <w:rPr>
                <w:rFonts w:ascii="Calibri" w:hAnsi="Calibri" w:cs="Calibri"/>
                <w:color w:val="000000"/>
                <w:sz w:val="20"/>
                <w:szCs w:val="22"/>
              </w:rPr>
              <w:t> </w:t>
            </w:r>
          </w:p>
        </w:tc>
        <w:tc>
          <w:tcPr>
            <w:tcW w:w="723" w:type="pct"/>
            <w:tcBorders>
              <w:top w:val="single" w:sz="4" w:space="0" w:color="auto"/>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442BD2FE" w14:textId="77777777" w:rsidR="005156CF" w:rsidRPr="0033479F" w:rsidRDefault="005156CF">
            <w:pPr>
              <w:jc w:val="center"/>
              <w:rPr>
                <w:rFonts w:ascii="Calibri" w:hAnsi="Calibri" w:cs="Calibri"/>
                <w:b/>
                <w:bCs/>
                <w:color w:val="000000"/>
                <w:sz w:val="20"/>
                <w:szCs w:val="22"/>
              </w:rPr>
            </w:pPr>
            <w:r w:rsidRPr="0033479F">
              <w:rPr>
                <w:rFonts w:ascii="Calibri" w:hAnsi="Calibri" w:cs="Calibri"/>
                <w:b/>
                <w:bCs/>
                <w:color w:val="000000"/>
                <w:sz w:val="20"/>
                <w:szCs w:val="22"/>
              </w:rPr>
              <w:t xml:space="preserve">Počet </w:t>
            </w:r>
            <w:r w:rsidR="00903D49">
              <w:rPr>
                <w:rFonts w:ascii="Calibri" w:hAnsi="Calibri" w:cs="Calibri"/>
                <w:b/>
                <w:bCs/>
                <w:color w:val="000000"/>
                <w:sz w:val="20"/>
                <w:szCs w:val="22"/>
              </w:rPr>
              <w:br/>
            </w:r>
            <w:r w:rsidRPr="0033479F">
              <w:rPr>
                <w:rFonts w:ascii="Calibri" w:hAnsi="Calibri" w:cs="Calibri"/>
                <w:b/>
                <w:bCs/>
                <w:color w:val="000000"/>
                <w:sz w:val="20"/>
                <w:szCs w:val="22"/>
              </w:rPr>
              <w:t>projektů</w:t>
            </w:r>
          </w:p>
        </w:tc>
        <w:tc>
          <w:tcPr>
            <w:tcW w:w="518" w:type="pct"/>
            <w:tcBorders>
              <w:top w:val="single" w:sz="4" w:space="0" w:color="auto"/>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604A25E0" w14:textId="77777777" w:rsidR="005156CF" w:rsidRDefault="005156CF">
            <w:pPr>
              <w:jc w:val="center"/>
              <w:rPr>
                <w:rFonts w:ascii="Calibri" w:hAnsi="Calibri" w:cs="Calibri"/>
                <w:b/>
                <w:bCs/>
                <w:color w:val="000000"/>
                <w:sz w:val="20"/>
                <w:szCs w:val="22"/>
              </w:rPr>
            </w:pPr>
            <w:r w:rsidRPr="0033479F">
              <w:rPr>
                <w:rFonts w:ascii="Calibri" w:hAnsi="Calibri" w:cs="Calibri"/>
                <w:b/>
                <w:bCs/>
                <w:color w:val="000000"/>
                <w:sz w:val="20"/>
                <w:szCs w:val="22"/>
              </w:rPr>
              <w:t>Úspora</w:t>
            </w:r>
          </w:p>
          <w:p w14:paraId="179BE6C8" w14:textId="77777777" w:rsidR="00903D49" w:rsidRPr="0033479F" w:rsidRDefault="00903D49">
            <w:pPr>
              <w:jc w:val="center"/>
              <w:rPr>
                <w:rFonts w:ascii="Calibri" w:hAnsi="Calibri" w:cs="Calibri"/>
                <w:b/>
                <w:bCs/>
                <w:color w:val="000000"/>
                <w:sz w:val="20"/>
                <w:szCs w:val="22"/>
              </w:rPr>
            </w:pPr>
            <w:r>
              <w:rPr>
                <w:rFonts w:ascii="Calibri" w:hAnsi="Calibri" w:cs="Calibri"/>
                <w:b/>
                <w:bCs/>
                <w:color w:val="000000"/>
                <w:sz w:val="20"/>
                <w:szCs w:val="22"/>
              </w:rPr>
              <w:t>(</w:t>
            </w:r>
            <w:r w:rsidR="00EE39A6">
              <w:rPr>
                <w:rFonts w:ascii="Calibri" w:hAnsi="Calibri" w:cs="Calibri"/>
                <w:b/>
                <w:bCs/>
                <w:color w:val="000000"/>
                <w:sz w:val="20"/>
                <w:szCs w:val="22"/>
              </w:rPr>
              <w:t xml:space="preserve">v </w:t>
            </w:r>
            <w:r>
              <w:rPr>
                <w:rFonts w:ascii="Calibri" w:hAnsi="Calibri" w:cs="Calibri"/>
                <w:b/>
                <w:bCs/>
                <w:color w:val="000000"/>
                <w:sz w:val="20"/>
                <w:szCs w:val="22"/>
              </w:rPr>
              <w:t>GJ/rok)</w:t>
            </w:r>
          </w:p>
        </w:tc>
        <w:tc>
          <w:tcPr>
            <w:tcW w:w="771" w:type="pct"/>
            <w:tcBorders>
              <w:top w:val="single" w:sz="4" w:space="0" w:color="auto"/>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52F1496B" w14:textId="77777777" w:rsidR="005156CF" w:rsidRDefault="005156CF">
            <w:pPr>
              <w:jc w:val="center"/>
              <w:rPr>
                <w:rFonts w:ascii="Calibri" w:hAnsi="Calibri" w:cs="Calibri"/>
                <w:b/>
                <w:bCs/>
                <w:color w:val="000000"/>
                <w:sz w:val="20"/>
                <w:szCs w:val="22"/>
              </w:rPr>
            </w:pPr>
            <w:r w:rsidRPr="0033479F">
              <w:rPr>
                <w:rFonts w:ascii="Calibri" w:hAnsi="Calibri" w:cs="Calibri"/>
                <w:b/>
                <w:bCs/>
                <w:color w:val="000000"/>
                <w:sz w:val="20"/>
                <w:szCs w:val="22"/>
              </w:rPr>
              <w:t>Příspěvek EU</w:t>
            </w:r>
          </w:p>
          <w:p w14:paraId="0D9A61A5" w14:textId="77777777" w:rsidR="00903D49" w:rsidRPr="0033479F" w:rsidRDefault="00903D49">
            <w:pPr>
              <w:jc w:val="center"/>
              <w:rPr>
                <w:rFonts w:ascii="Calibri" w:hAnsi="Calibri" w:cs="Calibri"/>
                <w:b/>
                <w:bCs/>
                <w:color w:val="000000"/>
                <w:sz w:val="20"/>
                <w:szCs w:val="22"/>
              </w:rPr>
            </w:pPr>
            <w:r>
              <w:rPr>
                <w:rFonts w:ascii="Calibri" w:hAnsi="Calibri" w:cs="Calibri"/>
                <w:b/>
                <w:bCs/>
                <w:color w:val="000000"/>
                <w:sz w:val="20"/>
                <w:szCs w:val="22"/>
              </w:rPr>
              <w:t>(</w:t>
            </w:r>
            <w:r w:rsidR="00EE39A6">
              <w:rPr>
                <w:rFonts w:ascii="Calibri" w:hAnsi="Calibri" w:cs="Calibri"/>
                <w:b/>
                <w:bCs/>
                <w:color w:val="000000"/>
                <w:sz w:val="20"/>
                <w:szCs w:val="22"/>
              </w:rPr>
              <w:t xml:space="preserve">v </w:t>
            </w:r>
            <w:r>
              <w:rPr>
                <w:rFonts w:ascii="Calibri" w:hAnsi="Calibri" w:cs="Calibri"/>
                <w:b/>
                <w:bCs/>
                <w:color w:val="000000"/>
                <w:sz w:val="20"/>
                <w:szCs w:val="22"/>
              </w:rPr>
              <w:t>Kč)</w:t>
            </w:r>
          </w:p>
        </w:tc>
        <w:tc>
          <w:tcPr>
            <w:tcW w:w="693" w:type="pct"/>
            <w:tcBorders>
              <w:top w:val="single" w:sz="4" w:space="0" w:color="auto"/>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76A0AD43" w14:textId="77777777" w:rsidR="005156CF" w:rsidRDefault="005156CF">
            <w:pPr>
              <w:jc w:val="center"/>
              <w:rPr>
                <w:rFonts w:ascii="Calibri" w:hAnsi="Calibri" w:cs="Calibri"/>
                <w:b/>
                <w:bCs/>
                <w:color w:val="000000"/>
                <w:sz w:val="20"/>
                <w:szCs w:val="22"/>
              </w:rPr>
            </w:pPr>
            <w:r w:rsidRPr="0033479F">
              <w:rPr>
                <w:rFonts w:ascii="Calibri" w:hAnsi="Calibri" w:cs="Calibri"/>
                <w:b/>
                <w:bCs/>
                <w:color w:val="000000"/>
                <w:sz w:val="20"/>
                <w:szCs w:val="22"/>
              </w:rPr>
              <w:t>Nákladovost</w:t>
            </w:r>
          </w:p>
          <w:p w14:paraId="0D23D7A2" w14:textId="77777777" w:rsidR="00903D49" w:rsidRPr="0033479F" w:rsidRDefault="00903D49">
            <w:pPr>
              <w:jc w:val="center"/>
              <w:rPr>
                <w:rFonts w:ascii="Calibri" w:hAnsi="Calibri" w:cs="Calibri"/>
                <w:b/>
                <w:bCs/>
                <w:color w:val="000000"/>
                <w:sz w:val="20"/>
                <w:szCs w:val="22"/>
              </w:rPr>
            </w:pPr>
            <w:r>
              <w:rPr>
                <w:rFonts w:ascii="Calibri" w:hAnsi="Calibri" w:cs="Calibri"/>
                <w:b/>
                <w:bCs/>
                <w:color w:val="000000"/>
                <w:sz w:val="20"/>
                <w:szCs w:val="22"/>
              </w:rPr>
              <w:t>(</w:t>
            </w:r>
            <w:r w:rsidR="00EE39A6">
              <w:rPr>
                <w:rFonts w:ascii="Calibri" w:hAnsi="Calibri" w:cs="Calibri"/>
                <w:b/>
                <w:bCs/>
                <w:color w:val="000000"/>
                <w:sz w:val="20"/>
                <w:szCs w:val="22"/>
              </w:rPr>
              <w:t xml:space="preserve">v </w:t>
            </w:r>
            <w:r>
              <w:rPr>
                <w:rFonts w:ascii="Calibri" w:hAnsi="Calibri" w:cs="Calibri"/>
                <w:b/>
                <w:bCs/>
                <w:color w:val="000000"/>
                <w:sz w:val="20"/>
                <w:szCs w:val="22"/>
              </w:rPr>
              <w:t>Kč/GJ/rok)</w:t>
            </w:r>
          </w:p>
        </w:tc>
      </w:tr>
      <w:tr w:rsidR="005156CF" w:rsidRPr="0033479F" w14:paraId="6AE035E7" w14:textId="77777777" w:rsidTr="00FC7CB7">
        <w:trPr>
          <w:trHeight w:val="340"/>
        </w:trPr>
        <w:tc>
          <w:tcPr>
            <w:tcW w:w="229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90F66" w14:textId="77777777" w:rsidR="005156CF" w:rsidRPr="0033479F" w:rsidRDefault="005156CF">
            <w:pPr>
              <w:jc w:val="left"/>
              <w:rPr>
                <w:rFonts w:ascii="Calibri" w:hAnsi="Calibri" w:cs="Calibri"/>
                <w:color w:val="000000"/>
                <w:sz w:val="20"/>
                <w:szCs w:val="22"/>
              </w:rPr>
            </w:pPr>
            <w:r w:rsidRPr="0033479F">
              <w:rPr>
                <w:rFonts w:ascii="Calibri" w:hAnsi="Calibri" w:cs="Calibri"/>
                <w:color w:val="000000"/>
                <w:sz w:val="20"/>
                <w:szCs w:val="22"/>
              </w:rPr>
              <w:t>Projekty s vykázanou hodnotou indikátoru 32701</w:t>
            </w:r>
          </w:p>
        </w:tc>
        <w:tc>
          <w:tcPr>
            <w:tcW w:w="72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07514" w14:textId="77777777" w:rsidR="005156CF" w:rsidRPr="0033479F" w:rsidRDefault="005156CF">
            <w:pPr>
              <w:jc w:val="right"/>
              <w:rPr>
                <w:rFonts w:ascii="Calibri" w:hAnsi="Calibri" w:cs="Calibri"/>
                <w:color w:val="000000"/>
                <w:sz w:val="20"/>
                <w:szCs w:val="22"/>
              </w:rPr>
            </w:pPr>
            <w:r w:rsidRPr="0033479F">
              <w:rPr>
                <w:rFonts w:ascii="Calibri" w:hAnsi="Calibri" w:cs="Calibri"/>
                <w:color w:val="000000"/>
                <w:sz w:val="20"/>
                <w:szCs w:val="22"/>
              </w:rPr>
              <w:t>848</w:t>
            </w:r>
          </w:p>
        </w:tc>
        <w:tc>
          <w:tcPr>
            <w:tcW w:w="5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83C81" w14:textId="77777777" w:rsidR="005156CF" w:rsidRPr="0033479F" w:rsidRDefault="005156CF">
            <w:pPr>
              <w:jc w:val="right"/>
              <w:rPr>
                <w:rFonts w:ascii="Calibri" w:hAnsi="Calibri" w:cs="Calibri"/>
                <w:color w:val="000000"/>
                <w:sz w:val="20"/>
                <w:szCs w:val="22"/>
              </w:rPr>
            </w:pPr>
            <w:r w:rsidRPr="0033479F">
              <w:rPr>
                <w:rFonts w:ascii="Calibri" w:hAnsi="Calibri" w:cs="Calibri"/>
                <w:color w:val="000000"/>
                <w:sz w:val="20"/>
                <w:szCs w:val="22"/>
              </w:rPr>
              <w:t>305 580</w:t>
            </w:r>
          </w:p>
        </w:tc>
        <w:tc>
          <w:tcPr>
            <w:tcW w:w="7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62290" w14:textId="77777777" w:rsidR="005156CF" w:rsidRPr="0033479F" w:rsidRDefault="005156CF">
            <w:pPr>
              <w:jc w:val="right"/>
              <w:rPr>
                <w:rFonts w:ascii="Calibri" w:hAnsi="Calibri" w:cs="Calibri"/>
                <w:color w:val="000000"/>
                <w:sz w:val="20"/>
                <w:szCs w:val="22"/>
              </w:rPr>
            </w:pPr>
            <w:r w:rsidRPr="0033479F">
              <w:rPr>
                <w:rFonts w:ascii="Calibri" w:hAnsi="Calibri" w:cs="Calibri"/>
                <w:color w:val="000000"/>
                <w:sz w:val="20"/>
                <w:szCs w:val="22"/>
              </w:rPr>
              <w:t>2 100 049 844</w:t>
            </w:r>
          </w:p>
        </w:tc>
        <w:tc>
          <w:tcPr>
            <w:tcW w:w="69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8D857" w14:textId="77777777" w:rsidR="005156CF" w:rsidRPr="0033479F" w:rsidRDefault="005156CF">
            <w:pPr>
              <w:jc w:val="right"/>
              <w:rPr>
                <w:rFonts w:ascii="Calibri" w:hAnsi="Calibri" w:cs="Calibri"/>
                <w:color w:val="000000"/>
                <w:sz w:val="20"/>
                <w:szCs w:val="22"/>
              </w:rPr>
            </w:pPr>
            <w:r w:rsidRPr="0033479F">
              <w:rPr>
                <w:rFonts w:ascii="Calibri" w:hAnsi="Calibri" w:cs="Calibri"/>
                <w:color w:val="000000"/>
                <w:sz w:val="20"/>
                <w:szCs w:val="22"/>
              </w:rPr>
              <w:t>6 872</w:t>
            </w:r>
          </w:p>
        </w:tc>
      </w:tr>
    </w:tbl>
    <w:p w14:paraId="3680D6E1" w14:textId="778FC213" w:rsidR="000D2E34" w:rsidRPr="0033479F" w:rsidRDefault="000D2E34" w:rsidP="00377B07">
      <w:pPr>
        <w:pStyle w:val="Zdrojeapozn"/>
      </w:pPr>
      <w:r w:rsidRPr="00143B7A">
        <w:t>Zdroj:</w:t>
      </w:r>
      <w:r w:rsidR="00EE39A6">
        <w:t xml:space="preserve"> </w:t>
      </w:r>
      <w:r w:rsidR="0033479F">
        <w:t xml:space="preserve">SFŽP, </w:t>
      </w:r>
      <w:r w:rsidRPr="00143B7A">
        <w:t>MS2014+</w:t>
      </w:r>
      <w:r w:rsidR="0033479F">
        <w:t>.</w:t>
      </w:r>
    </w:p>
    <w:p w14:paraId="07C0483D" w14:textId="0215B5E8" w:rsidR="00143B7A" w:rsidRDefault="0080261C" w:rsidP="001C3514">
      <w:pPr>
        <w:pStyle w:val="TextKP"/>
      </w:pPr>
      <w:r>
        <w:t xml:space="preserve">Na základě dat </w:t>
      </w:r>
      <w:r w:rsidR="002D0144">
        <w:t xml:space="preserve">evidovaných v MS2014+ </w:t>
      </w:r>
      <w:r>
        <w:t>byly</w:t>
      </w:r>
      <w:r w:rsidR="002D0144">
        <w:t xml:space="preserve"> </w:t>
      </w:r>
      <w:r>
        <w:t xml:space="preserve">kontrolou zjišťovány a přepočteny hodnoty předpokládaných </w:t>
      </w:r>
      <w:r w:rsidRPr="0080261C">
        <w:t>celkových zdro</w:t>
      </w:r>
      <w:r>
        <w:t>jů</w:t>
      </w:r>
      <w:r w:rsidRPr="0080261C">
        <w:t>, celkových způsobilých výd</w:t>
      </w:r>
      <w:r>
        <w:t>ajů</w:t>
      </w:r>
      <w:r w:rsidRPr="0080261C">
        <w:t xml:space="preserve">, příspěvku EU a </w:t>
      </w:r>
      <w:r>
        <w:t>příspěvku</w:t>
      </w:r>
      <w:r w:rsidRPr="0080261C">
        <w:t xml:space="preserve"> </w:t>
      </w:r>
      <w:r w:rsidR="004667E8">
        <w:t xml:space="preserve">podprogramu </w:t>
      </w:r>
      <w:r w:rsidRPr="0080261C">
        <w:t xml:space="preserve">NZÚ </w:t>
      </w:r>
      <w:r>
        <w:t xml:space="preserve">– </w:t>
      </w:r>
      <w:r w:rsidRPr="0080261C">
        <w:rPr>
          <w:i/>
        </w:rPr>
        <w:t>Budovy veřejného sektoru</w:t>
      </w:r>
      <w:r>
        <w:rPr>
          <w:i/>
        </w:rPr>
        <w:t xml:space="preserve"> </w:t>
      </w:r>
      <w:r w:rsidRPr="0080261C">
        <w:t xml:space="preserve">na </w:t>
      </w:r>
      <w:r w:rsidR="00063016">
        <w:t xml:space="preserve">jednotku předpokládaných úspor energií dosažených realizací projektů </w:t>
      </w:r>
      <w:r>
        <w:t>ve</w:t>
      </w:r>
      <w:r w:rsidRPr="0080261C">
        <w:t xml:space="preserve"> veřejných budov</w:t>
      </w:r>
      <w:r>
        <w:t>ách</w:t>
      </w:r>
      <w:r w:rsidRPr="0080261C">
        <w:t xml:space="preserve"> </w:t>
      </w:r>
      <w:r w:rsidR="00063016">
        <w:t xml:space="preserve">(1 GJ/rok) </w:t>
      </w:r>
      <w:r w:rsidRPr="0080261C">
        <w:t>ve struktuře dle jednotlivých vyhlášených výzev</w:t>
      </w:r>
      <w:r>
        <w:t>, viz p</w:t>
      </w:r>
      <w:r w:rsidR="00063016">
        <w:t xml:space="preserve">říloha č. 3 </w:t>
      </w:r>
      <w:r w:rsidR="004667E8">
        <w:t xml:space="preserve">tohoto </w:t>
      </w:r>
      <w:r w:rsidR="00063016">
        <w:t>kontrolního závěru. Průměrná výše podpory (příspěvek EU) na jednotku úspory energie se dle jednotlivých výzev pohybovala v rozmezí od</w:t>
      </w:r>
      <w:r w:rsidR="00985F9A">
        <w:t> </w:t>
      </w:r>
      <w:r w:rsidR="00063016">
        <w:t>5 066 Kč</w:t>
      </w:r>
      <w:r w:rsidR="004667E8">
        <w:t>/GJ/rok</w:t>
      </w:r>
      <w:r w:rsidR="00063016">
        <w:t xml:space="preserve"> do</w:t>
      </w:r>
      <w:r w:rsidR="00A05227">
        <w:t xml:space="preserve"> </w:t>
      </w:r>
      <w:r w:rsidR="00063016">
        <w:t xml:space="preserve">11 784 Kč/GJ/rok. Průměrná výše podpory (příspěvek EU) na jednotku úspory energie </w:t>
      </w:r>
      <w:r w:rsidR="009378D1">
        <w:t>u</w:t>
      </w:r>
      <w:r w:rsidR="004667E8">
        <w:t xml:space="preserve"> </w:t>
      </w:r>
      <w:r w:rsidR="009378D1">
        <w:t>projektů s</w:t>
      </w:r>
      <w:r w:rsidR="00A05227">
        <w:t> </w:t>
      </w:r>
      <w:r w:rsidR="009378D1">
        <w:t>již</w:t>
      </w:r>
      <w:r w:rsidR="00A05227">
        <w:t xml:space="preserve"> </w:t>
      </w:r>
      <w:r w:rsidR="009378D1">
        <w:t xml:space="preserve">vykázanou dosaženou hodnotou </w:t>
      </w:r>
      <w:r w:rsidR="004667E8" w:rsidRPr="00FC7CB7">
        <w:t>s</w:t>
      </w:r>
      <w:r w:rsidR="009378D1" w:rsidRPr="00FC7CB7">
        <w:t>nížení konečné spotřeby energie ve veřejných budovách</w:t>
      </w:r>
      <w:r w:rsidR="009378D1" w:rsidRPr="006C4D78">
        <w:t xml:space="preserve"> </w:t>
      </w:r>
      <w:r w:rsidR="00063016">
        <w:t>činila 6 872 Kč/GJ/rok.</w:t>
      </w:r>
    </w:p>
    <w:p w14:paraId="769FFF1C" w14:textId="5A8933CF" w:rsidR="00063016" w:rsidRDefault="00063016" w:rsidP="00063016">
      <w:pPr>
        <w:pStyle w:val="TextKP"/>
      </w:pPr>
      <w:r>
        <w:t xml:space="preserve">Míra intenzity podpory se v rámci SC 5.1 a SC 5.3 odvíjela od výše procentuální úspory celkové energie realizací daného podporovaného opatření a pohybovala se v rozmezí od 35 % do 50 % způsobilých výdajů projektu. Žadatelé také mohli získat v závislosti na způsobu realizace projektu dvě dílčí bonifikace ve výši 5 % z celkových způsobilých výdajů projektu. V případě </w:t>
      </w:r>
      <w:r>
        <w:lastRenderedPageBreak/>
        <w:t>využití posílení vlastních zdrojů u projektů OSS, SPO a VVI se intenzita podpory zvyšuje až</w:t>
      </w:r>
      <w:r w:rsidR="00985F9A">
        <w:t> </w:t>
      </w:r>
      <w:r>
        <w:t>o</w:t>
      </w:r>
      <w:r w:rsidR="00F451ED">
        <w:t> </w:t>
      </w:r>
      <w:r>
        <w:t xml:space="preserve">45 % z celkových způsobilých výdajů (z podprogramu NZÚ – </w:t>
      </w:r>
      <w:r w:rsidRPr="003759F3">
        <w:rPr>
          <w:i/>
        </w:rPr>
        <w:t>Budovy veřejného sektoru</w:t>
      </w:r>
      <w:r w:rsidRPr="00FC7CB7">
        <w:t>)</w:t>
      </w:r>
      <w:r w:rsidR="00153633" w:rsidRPr="006C4D78">
        <w:t>.</w:t>
      </w:r>
    </w:p>
    <w:p w14:paraId="730AC2CA" w14:textId="624B7793" w:rsidR="006749F0" w:rsidRDefault="001C3514" w:rsidP="00C26BBC">
      <w:pPr>
        <w:pBdr>
          <w:top w:val="single" w:sz="4" w:space="1" w:color="auto"/>
          <w:left w:val="single" w:sz="4" w:space="4" w:color="auto"/>
          <w:bottom w:val="single" w:sz="4" w:space="1" w:color="auto"/>
          <w:right w:val="single" w:sz="4" w:space="4" w:color="auto"/>
        </w:pBdr>
        <w:spacing w:before="240" w:after="240"/>
      </w:pPr>
      <w:r>
        <w:t>Minimálně do poloviny roku 2020</w:t>
      </w:r>
      <w:r w:rsidR="006749F0" w:rsidRPr="001F7DC8">
        <w:t xml:space="preserve"> nepřispěly projekty realizované v rámci PO 5 OPŽP </w:t>
      </w:r>
      <w:r w:rsidR="006C4D78">
        <w:br/>
      </w:r>
      <w:r w:rsidR="006749F0" w:rsidRPr="001F7DC8">
        <w:t>a</w:t>
      </w:r>
      <w:r w:rsidR="006C4D78">
        <w:t xml:space="preserve"> podprogramu </w:t>
      </w:r>
      <w:r w:rsidR="006749F0">
        <w:t xml:space="preserve">NZÚ – </w:t>
      </w:r>
      <w:r w:rsidR="006749F0" w:rsidRPr="00565FBA">
        <w:rPr>
          <w:i/>
        </w:rPr>
        <w:t>Budovy veřejného sektoru</w:t>
      </w:r>
      <w:r w:rsidR="006749F0">
        <w:t xml:space="preserve"> k plnění čl</w:t>
      </w:r>
      <w:r w:rsidR="002477AE">
        <w:t>.</w:t>
      </w:r>
      <w:r w:rsidR="006749F0">
        <w:t xml:space="preserve"> 5 EED. </w:t>
      </w:r>
      <w:r w:rsidR="006749F0" w:rsidRPr="00CC56A1">
        <w:t xml:space="preserve">Podíl podpořených projektů ústředních institucí </w:t>
      </w:r>
      <w:r w:rsidR="006C4D78">
        <w:t xml:space="preserve">na </w:t>
      </w:r>
      <w:r w:rsidR="006749F0" w:rsidRPr="00CC56A1">
        <w:t>celkovém počtu podpoře</w:t>
      </w:r>
      <w:r w:rsidR="006749F0">
        <w:t xml:space="preserve">ných projektů činí pouze </w:t>
      </w:r>
      <w:r>
        <w:t>0,7</w:t>
      </w:r>
      <w:r w:rsidR="006749F0">
        <w:t xml:space="preserve"> %.</w:t>
      </w:r>
    </w:p>
    <w:p w14:paraId="7EDFB5B1" w14:textId="04372E61" w:rsidR="00F16C1F" w:rsidRPr="00FF1325" w:rsidRDefault="00C2480F" w:rsidP="00E76684">
      <w:pPr>
        <w:pStyle w:val="Odstavecseseznamem"/>
        <w:numPr>
          <w:ilvl w:val="0"/>
          <w:numId w:val="10"/>
        </w:numPr>
        <w:autoSpaceDE w:val="0"/>
        <w:autoSpaceDN w:val="0"/>
        <w:adjustRightInd w:val="0"/>
        <w:spacing w:before="240" w:after="240"/>
        <w:ind w:left="425" w:hanging="357"/>
        <w:outlineLvl w:val="1"/>
        <w:rPr>
          <w:rFonts w:cstheme="minorHAnsi"/>
          <w:b/>
        </w:rPr>
      </w:pPr>
      <w:r w:rsidRPr="00FF1325">
        <w:rPr>
          <w:b/>
          <w:bCs/>
        </w:rPr>
        <w:t>Existuje riziko, že ČR nedosáhla k 31. 12. 2020 požadovaných úspor energií v budovách ústředních institucí</w:t>
      </w:r>
    </w:p>
    <w:p w14:paraId="674A404F" w14:textId="77777777" w:rsidR="00DA4891" w:rsidRDefault="00DA4891" w:rsidP="00DF5E86">
      <w:pPr>
        <w:spacing w:after="120"/>
        <w:rPr>
          <w:rFonts w:cstheme="minorHAnsi"/>
        </w:rPr>
      </w:pPr>
      <w:r w:rsidRPr="00DA4891">
        <w:rPr>
          <w:rFonts w:cstheme="minorHAnsi"/>
        </w:rPr>
        <w:t xml:space="preserve">EU stanovila k roku 2020 cíle v oblasti energetické účinnosti, mj. cíl pro budovy ústředních institucí, resp. jejich příkladnou úlohu. Pro ČR je stanoven </w:t>
      </w:r>
      <w:r w:rsidR="009E2EE8" w:rsidRPr="00DA4891">
        <w:rPr>
          <w:rFonts w:cstheme="minorHAnsi"/>
        </w:rPr>
        <w:t xml:space="preserve">cíl </w:t>
      </w:r>
      <w:r w:rsidRPr="00DA4891">
        <w:rPr>
          <w:rFonts w:cstheme="minorHAnsi"/>
        </w:rPr>
        <w:t>dosa</w:t>
      </w:r>
      <w:r>
        <w:rPr>
          <w:rFonts w:cstheme="minorHAnsi"/>
        </w:rPr>
        <w:t xml:space="preserve">žení úspor energie </w:t>
      </w:r>
      <w:r w:rsidR="009E2EE8" w:rsidRPr="00DA4891">
        <w:rPr>
          <w:rFonts w:cstheme="minorHAnsi"/>
        </w:rPr>
        <w:t xml:space="preserve">ve výši </w:t>
      </w:r>
      <w:r>
        <w:rPr>
          <w:rFonts w:cstheme="minorHAnsi"/>
        </w:rPr>
        <w:t>98,7 TJ/rok.</w:t>
      </w:r>
    </w:p>
    <w:p w14:paraId="2691FE07" w14:textId="468F09E1" w:rsidR="00C32CB9" w:rsidRDefault="00F16C1F" w:rsidP="00DA4891">
      <w:pPr>
        <w:spacing w:after="120"/>
        <w:rPr>
          <w:rFonts w:cstheme="minorBidi"/>
        </w:rPr>
      </w:pPr>
      <w:r w:rsidRPr="1BDD3FC5">
        <w:rPr>
          <w:rFonts w:cstheme="minorBidi"/>
        </w:rPr>
        <w:t>Plnění závaz</w:t>
      </w:r>
      <w:r w:rsidR="0080194A" w:rsidRPr="1BDD3FC5">
        <w:rPr>
          <w:rFonts w:cstheme="minorBidi"/>
        </w:rPr>
        <w:t xml:space="preserve">ků vyplývajících z čl. 5 EED každoročně </w:t>
      </w:r>
      <w:r w:rsidRPr="1BDD3FC5">
        <w:rPr>
          <w:rFonts w:cstheme="minorBidi"/>
        </w:rPr>
        <w:t>zveřejň</w:t>
      </w:r>
      <w:r w:rsidR="0080194A" w:rsidRPr="1BDD3FC5">
        <w:rPr>
          <w:rFonts w:cstheme="minorBidi"/>
        </w:rPr>
        <w:t>uje MPO</w:t>
      </w:r>
      <w:r w:rsidRPr="1BDD3FC5">
        <w:rPr>
          <w:rFonts w:cstheme="minorBidi"/>
        </w:rPr>
        <w:t xml:space="preserve"> ve </w:t>
      </w:r>
      <w:r w:rsidR="00197603">
        <w:rPr>
          <w:rFonts w:cstheme="minorBidi"/>
        </w:rPr>
        <w:t>z</w:t>
      </w:r>
      <w:r w:rsidRPr="1BDD3FC5">
        <w:rPr>
          <w:rFonts w:cstheme="minorBidi"/>
        </w:rPr>
        <w:t>právách</w:t>
      </w:r>
      <w:r w:rsidR="008D1BAD" w:rsidRPr="1BDD3FC5">
        <w:rPr>
          <w:rFonts w:cstheme="minorBidi"/>
        </w:rPr>
        <w:t xml:space="preserve"> o</w:t>
      </w:r>
      <w:r w:rsidRPr="1BDD3FC5">
        <w:rPr>
          <w:rFonts w:cstheme="minorBidi"/>
        </w:rPr>
        <w:t xml:space="preserve"> pokroku</w:t>
      </w:r>
      <w:r w:rsidR="00DF5E86" w:rsidRPr="1BDD3FC5">
        <w:rPr>
          <w:rStyle w:val="Znakapoznpodarou"/>
          <w:rFonts w:cstheme="minorBidi"/>
        </w:rPr>
        <w:footnoteReference w:id="33"/>
      </w:r>
      <w:r w:rsidR="00197603">
        <w:rPr>
          <w:rFonts w:cstheme="minorBidi"/>
        </w:rPr>
        <w:t>.</w:t>
      </w:r>
      <w:r w:rsidR="00DF5E86" w:rsidRPr="1BDD3FC5">
        <w:rPr>
          <w:rFonts w:cstheme="minorBidi"/>
        </w:rPr>
        <w:t xml:space="preserve"> </w:t>
      </w:r>
      <w:r w:rsidR="00C32CB9">
        <w:rPr>
          <w:rFonts w:cstheme="minorBidi"/>
        </w:rPr>
        <w:t xml:space="preserve">Dle poslední </w:t>
      </w:r>
      <w:r w:rsidR="00C32CB9" w:rsidRPr="00C32CB9">
        <w:rPr>
          <w:rFonts w:cstheme="minorBidi"/>
          <w:i/>
        </w:rPr>
        <w:t>8.</w:t>
      </w:r>
      <w:r w:rsidR="00C32CB9">
        <w:rPr>
          <w:rFonts w:cstheme="minorBidi"/>
        </w:rPr>
        <w:t xml:space="preserve"> </w:t>
      </w:r>
      <w:r w:rsidR="00FC7AD6">
        <w:rPr>
          <w:rFonts w:cstheme="minorBidi"/>
          <w:i/>
        </w:rPr>
        <w:t>z</w:t>
      </w:r>
      <w:r w:rsidR="00C32CB9" w:rsidRPr="00C32CB9">
        <w:rPr>
          <w:rFonts w:cstheme="minorBidi"/>
          <w:i/>
        </w:rPr>
        <w:t>práv</w:t>
      </w:r>
      <w:r w:rsidR="00910238">
        <w:rPr>
          <w:rFonts w:cstheme="minorBidi"/>
          <w:i/>
        </w:rPr>
        <w:t>y</w:t>
      </w:r>
      <w:r w:rsidR="00C32CB9" w:rsidRPr="00C32CB9">
        <w:rPr>
          <w:rFonts w:cstheme="minorBidi"/>
          <w:i/>
        </w:rPr>
        <w:t xml:space="preserve"> o pokroku v oblasti plnění vnitrostátní</w:t>
      </w:r>
      <w:r w:rsidR="00C32CB9">
        <w:rPr>
          <w:rFonts w:cstheme="minorBidi"/>
          <w:i/>
        </w:rPr>
        <w:t>ch cílů energetické účinnosti v Č</w:t>
      </w:r>
      <w:r w:rsidR="00C32CB9" w:rsidRPr="00C32CB9">
        <w:rPr>
          <w:rFonts w:cstheme="minorBidi"/>
          <w:i/>
        </w:rPr>
        <w:t>eské republice podle čl. 24 směrnice 2012/27/EU o energetické účinnosti</w:t>
      </w:r>
      <w:r w:rsidR="00C32CB9">
        <w:rPr>
          <w:rFonts w:cstheme="minorBidi"/>
        </w:rPr>
        <w:t xml:space="preserve"> ČR ke dni 31. 12. 2019 dosáhla snížení konečné spotřeby energie v budovách ústředních institucí ve výši 70,1 TJ/rok a pro rok 2020 tato zpráva uvádí, že </w:t>
      </w:r>
      <w:r w:rsidR="00C32CB9" w:rsidRPr="00C32CB9">
        <w:rPr>
          <w:rFonts w:cstheme="minorBidi"/>
        </w:rPr>
        <w:t xml:space="preserve">za období </w:t>
      </w:r>
      <w:r w:rsidR="00C32CB9">
        <w:rPr>
          <w:rFonts w:cstheme="minorBidi"/>
        </w:rPr>
        <w:t>2014 až 2020 vznikne deficit 1,3 </w:t>
      </w:r>
      <w:r w:rsidR="00C32CB9" w:rsidRPr="00C32CB9">
        <w:rPr>
          <w:rFonts w:cstheme="minorBidi"/>
        </w:rPr>
        <w:t>TJ</w:t>
      </w:r>
      <w:r w:rsidR="00C32CB9">
        <w:rPr>
          <w:rFonts w:cstheme="minorBidi"/>
        </w:rPr>
        <w:t>/rok</w:t>
      </w:r>
      <w:r w:rsidR="00C32CB9" w:rsidRPr="00C32CB9">
        <w:rPr>
          <w:rFonts w:cstheme="minorBidi"/>
        </w:rPr>
        <w:t xml:space="preserve"> v plnění závazku ročních úspor energie</w:t>
      </w:r>
      <w:r w:rsidR="00197603">
        <w:rPr>
          <w:rFonts w:cstheme="minorBidi"/>
        </w:rPr>
        <w:t>,</w:t>
      </w:r>
      <w:r w:rsidR="00C32CB9">
        <w:rPr>
          <w:rFonts w:cstheme="minorBidi"/>
        </w:rPr>
        <w:t xml:space="preserve"> a</w:t>
      </w:r>
      <w:r w:rsidR="00C32CB9" w:rsidRPr="00C32CB9">
        <w:rPr>
          <w:rFonts w:cstheme="minorBidi"/>
        </w:rPr>
        <w:t xml:space="preserve"> to i navzdory plánu na rok 2020, kdy má 11 ústředních institucí naplánováno 79 projektů, které by m</w:t>
      </w:r>
      <w:r w:rsidR="00C32CB9">
        <w:rPr>
          <w:rFonts w:cstheme="minorBidi"/>
        </w:rPr>
        <w:t>ěly přinést úspory ve výši 27,3 </w:t>
      </w:r>
      <w:r w:rsidR="00C32CB9" w:rsidRPr="00C32CB9">
        <w:rPr>
          <w:rFonts w:cstheme="minorBidi"/>
        </w:rPr>
        <w:t>TJ</w:t>
      </w:r>
      <w:r w:rsidR="00C32CB9">
        <w:rPr>
          <w:rFonts w:cstheme="minorBidi"/>
        </w:rPr>
        <w:t>/rok</w:t>
      </w:r>
      <w:r w:rsidR="00C32CB9" w:rsidRPr="00C32CB9">
        <w:rPr>
          <w:rFonts w:cstheme="minorBidi"/>
        </w:rPr>
        <w:t>.</w:t>
      </w:r>
    </w:p>
    <w:p w14:paraId="49CB1887" w14:textId="4FD0EF5A" w:rsidR="002352D3" w:rsidRDefault="00B77201" w:rsidP="00DA4891">
      <w:pPr>
        <w:spacing w:after="120"/>
        <w:rPr>
          <w:rFonts w:cstheme="minorBidi"/>
        </w:rPr>
      </w:pPr>
      <w:r>
        <w:rPr>
          <w:rFonts w:cstheme="minorBidi"/>
        </w:rPr>
        <w:t>Plnění z</w:t>
      </w:r>
      <w:r w:rsidR="00F16C1F" w:rsidRPr="1BDD3FC5">
        <w:rPr>
          <w:rFonts w:cstheme="minorBidi"/>
        </w:rPr>
        <w:t>ávazk</w:t>
      </w:r>
      <w:r>
        <w:rPr>
          <w:rFonts w:cstheme="minorBidi"/>
        </w:rPr>
        <w:t>ů</w:t>
      </w:r>
      <w:r w:rsidR="00F16C1F" w:rsidRPr="1BDD3FC5">
        <w:rPr>
          <w:rFonts w:cstheme="minorBidi"/>
        </w:rPr>
        <w:t xml:space="preserve"> za ČR j</w:t>
      </w:r>
      <w:r>
        <w:rPr>
          <w:rFonts w:cstheme="minorBidi"/>
        </w:rPr>
        <w:t>e</w:t>
      </w:r>
      <w:r w:rsidR="00F16C1F" w:rsidRPr="1BDD3FC5">
        <w:rPr>
          <w:rFonts w:cstheme="minorBidi"/>
        </w:rPr>
        <w:t xml:space="preserve"> vyhodnocován</w:t>
      </w:r>
      <w:r>
        <w:rPr>
          <w:rFonts w:cstheme="minorBidi"/>
        </w:rPr>
        <w:t>o</w:t>
      </w:r>
      <w:r w:rsidR="00F16C1F" w:rsidRPr="1BDD3FC5">
        <w:rPr>
          <w:rFonts w:cstheme="minorBidi"/>
        </w:rPr>
        <w:t xml:space="preserve"> na základě dat </w:t>
      </w:r>
      <w:r w:rsidR="00DA4891" w:rsidRPr="1BDD3FC5">
        <w:rPr>
          <w:rFonts w:cstheme="minorBidi"/>
        </w:rPr>
        <w:t xml:space="preserve">vkládaných do </w:t>
      </w:r>
      <w:r w:rsidR="00DA4891" w:rsidRPr="1BDD3FC5">
        <w:rPr>
          <w:rFonts w:cstheme="minorBidi"/>
          <w:i/>
          <w:iCs/>
        </w:rPr>
        <w:t>Systému monitoringu spotřeby energie</w:t>
      </w:r>
      <w:r w:rsidR="00B278DE" w:rsidRPr="1BDD3FC5">
        <w:rPr>
          <w:rFonts w:cstheme="minorBidi"/>
        </w:rPr>
        <w:t>,</w:t>
      </w:r>
      <w:r w:rsidR="00F16C1F" w:rsidRPr="1BDD3FC5">
        <w:rPr>
          <w:rFonts w:cstheme="minorBidi"/>
        </w:rPr>
        <w:t xml:space="preserve"> který vede MPO</w:t>
      </w:r>
      <w:r w:rsidR="00DA4891" w:rsidRPr="1BDD3FC5">
        <w:rPr>
          <w:rFonts w:cstheme="minorBidi"/>
        </w:rPr>
        <w:t xml:space="preserve"> dle zákona č. 406/2000 Sb</w:t>
      </w:r>
      <w:r w:rsidR="00FE06C5">
        <w:rPr>
          <w:rFonts w:cstheme="minorBidi"/>
        </w:rPr>
        <w:t>.</w:t>
      </w:r>
      <w:r w:rsidR="00FE06C5" w:rsidRPr="00FC7CB7">
        <w:rPr>
          <w:rFonts w:cstheme="minorBidi"/>
          <w:vertAlign w:val="superscript"/>
        </w:rPr>
        <w:t>7</w:t>
      </w:r>
      <w:r w:rsidR="00DA4891" w:rsidRPr="1BDD3FC5">
        <w:rPr>
          <w:rFonts w:cstheme="minorBidi"/>
        </w:rPr>
        <w:t xml:space="preserve"> Za správnost a aktuálnost dat jsou však odpovědny ústřední instituce.</w:t>
      </w:r>
      <w:r w:rsidR="00C32CB9">
        <w:rPr>
          <w:rFonts w:cstheme="minorBidi"/>
        </w:rPr>
        <w:t xml:space="preserve"> </w:t>
      </w:r>
      <w:r w:rsidR="002352D3">
        <w:rPr>
          <w:rFonts w:cstheme="minorBidi"/>
        </w:rPr>
        <w:t>Kontrolou</w:t>
      </w:r>
      <w:r w:rsidR="00C32CB9">
        <w:rPr>
          <w:rFonts w:cstheme="minorBidi"/>
        </w:rPr>
        <w:t xml:space="preserve"> bylo zjištěno, že pro rok 2020 </w:t>
      </w:r>
      <w:r>
        <w:rPr>
          <w:rFonts w:cstheme="minorBidi"/>
        </w:rPr>
        <w:t>byly</w:t>
      </w:r>
      <w:r w:rsidR="00C32CB9">
        <w:rPr>
          <w:rFonts w:cstheme="minorBidi"/>
        </w:rPr>
        <w:t xml:space="preserve"> </w:t>
      </w:r>
      <w:r>
        <w:rPr>
          <w:rFonts w:cstheme="minorBidi"/>
        </w:rPr>
        <w:t>do</w:t>
      </w:r>
      <w:r w:rsidR="0077000F">
        <w:rPr>
          <w:rFonts w:cstheme="minorBidi"/>
        </w:rPr>
        <w:t xml:space="preserve"> </w:t>
      </w:r>
      <w:r w:rsidR="00C32CB9" w:rsidRPr="00FC7CB7">
        <w:rPr>
          <w:rFonts w:cstheme="minorBidi"/>
          <w:i/>
        </w:rPr>
        <w:t>Systému monitoringu spotřeby energie</w:t>
      </w:r>
      <w:r w:rsidR="002352D3">
        <w:rPr>
          <w:rFonts w:cstheme="minorBidi"/>
        </w:rPr>
        <w:t xml:space="preserve"> vloženy</w:t>
      </w:r>
      <w:r w:rsidR="00153633">
        <w:rPr>
          <w:rFonts w:cstheme="minorBidi"/>
        </w:rPr>
        <w:t xml:space="preserve"> následující údaje:</w:t>
      </w:r>
    </w:p>
    <w:p w14:paraId="0F78BF8C" w14:textId="77777777" w:rsidR="001220CF" w:rsidRPr="00D01DF7" w:rsidRDefault="00C32CB9" w:rsidP="001220CF">
      <w:pPr>
        <w:pStyle w:val="Nzevtabulky"/>
        <w:ind w:hanging="1135"/>
      </w:pPr>
      <w:r>
        <w:rPr>
          <w:rFonts w:cstheme="minorBidi"/>
        </w:rPr>
        <w:t xml:space="preserve"> </w:t>
      </w:r>
      <w:r w:rsidR="001220CF">
        <w:t xml:space="preserve">Projekty plánované na rok 2020 dle </w:t>
      </w:r>
      <w:r w:rsidR="001220CF" w:rsidRPr="001220CF">
        <w:rPr>
          <w:i/>
        </w:rPr>
        <w:t>Systému monitoringu spotřeby energie</w:t>
      </w:r>
    </w:p>
    <w:tbl>
      <w:tblPr>
        <w:tblW w:w="5000" w:type="pct"/>
        <w:tblCellMar>
          <w:left w:w="70" w:type="dxa"/>
          <w:right w:w="70" w:type="dxa"/>
        </w:tblCellMar>
        <w:tblLook w:val="04A0" w:firstRow="1" w:lastRow="0" w:firstColumn="1" w:lastColumn="0" w:noHBand="0" w:noVBand="1"/>
      </w:tblPr>
      <w:tblGrid>
        <w:gridCol w:w="2003"/>
        <w:gridCol w:w="1393"/>
        <w:gridCol w:w="2553"/>
        <w:gridCol w:w="3111"/>
      </w:tblGrid>
      <w:tr w:rsidR="002352D3" w:rsidRPr="002352D3" w14:paraId="332914E3" w14:textId="77777777" w:rsidTr="00F451ED">
        <w:trPr>
          <w:trHeight w:val="20"/>
        </w:trPr>
        <w:tc>
          <w:tcPr>
            <w:tcW w:w="1105" w:type="pct"/>
            <w:tcBorders>
              <w:top w:val="single" w:sz="4" w:space="0" w:color="auto"/>
              <w:left w:val="single" w:sz="4" w:space="0" w:color="auto"/>
              <w:bottom w:val="single" w:sz="4" w:space="0" w:color="auto"/>
              <w:right w:val="single" w:sz="4" w:space="0" w:color="auto"/>
            </w:tcBorders>
            <w:shd w:val="clear" w:color="000000" w:fill="E5F1FF"/>
            <w:vAlign w:val="center"/>
            <w:hideMark/>
          </w:tcPr>
          <w:p w14:paraId="265922CC" w14:textId="77777777" w:rsidR="002352D3" w:rsidRPr="002352D3" w:rsidRDefault="002352D3" w:rsidP="002352D3">
            <w:pPr>
              <w:jc w:val="center"/>
              <w:rPr>
                <w:rFonts w:ascii="Calibri" w:hAnsi="Calibri" w:cs="Calibri"/>
                <w:b/>
                <w:bCs/>
                <w:color w:val="000000"/>
                <w:sz w:val="20"/>
              </w:rPr>
            </w:pPr>
            <w:r w:rsidRPr="002352D3">
              <w:rPr>
                <w:rFonts w:ascii="Calibri" w:hAnsi="Calibri" w:cs="Calibri"/>
                <w:b/>
                <w:bCs/>
                <w:color w:val="000000"/>
                <w:sz w:val="20"/>
              </w:rPr>
              <w:t>Fáze</w:t>
            </w:r>
          </w:p>
        </w:tc>
        <w:tc>
          <w:tcPr>
            <w:tcW w:w="769" w:type="pct"/>
            <w:tcBorders>
              <w:top w:val="single" w:sz="4" w:space="0" w:color="auto"/>
              <w:left w:val="nil"/>
              <w:bottom w:val="single" w:sz="4" w:space="0" w:color="auto"/>
              <w:right w:val="single" w:sz="4" w:space="0" w:color="auto"/>
            </w:tcBorders>
            <w:shd w:val="clear" w:color="000000" w:fill="E5F1FF"/>
            <w:vAlign w:val="center"/>
            <w:hideMark/>
          </w:tcPr>
          <w:p w14:paraId="4498A3C8" w14:textId="77777777" w:rsidR="002352D3" w:rsidRPr="002352D3" w:rsidRDefault="002352D3" w:rsidP="002352D3">
            <w:pPr>
              <w:jc w:val="center"/>
              <w:rPr>
                <w:rFonts w:ascii="Calibri" w:hAnsi="Calibri" w:cs="Calibri"/>
                <w:b/>
                <w:bCs/>
                <w:color w:val="000000"/>
                <w:sz w:val="20"/>
              </w:rPr>
            </w:pPr>
            <w:r w:rsidRPr="002352D3">
              <w:rPr>
                <w:rFonts w:ascii="Calibri" w:hAnsi="Calibri" w:cs="Calibri"/>
                <w:b/>
                <w:bCs/>
                <w:color w:val="000000"/>
                <w:sz w:val="20"/>
              </w:rPr>
              <w:t>Počet projektů</w:t>
            </w:r>
          </w:p>
        </w:tc>
        <w:tc>
          <w:tcPr>
            <w:tcW w:w="1409" w:type="pct"/>
            <w:tcBorders>
              <w:top w:val="single" w:sz="4" w:space="0" w:color="auto"/>
              <w:left w:val="nil"/>
              <w:bottom w:val="single" w:sz="4" w:space="0" w:color="auto"/>
              <w:right w:val="single" w:sz="4" w:space="0" w:color="auto"/>
            </w:tcBorders>
            <w:shd w:val="clear" w:color="000000" w:fill="E5F1FF"/>
            <w:vAlign w:val="center"/>
            <w:hideMark/>
          </w:tcPr>
          <w:p w14:paraId="2ED007EC" w14:textId="77777777" w:rsidR="002352D3" w:rsidRPr="002352D3" w:rsidRDefault="002352D3" w:rsidP="002352D3">
            <w:pPr>
              <w:jc w:val="center"/>
              <w:rPr>
                <w:rFonts w:ascii="Calibri" w:hAnsi="Calibri" w:cs="Calibri"/>
                <w:b/>
                <w:bCs/>
                <w:color w:val="000000"/>
                <w:sz w:val="20"/>
              </w:rPr>
            </w:pPr>
            <w:r w:rsidRPr="002352D3">
              <w:rPr>
                <w:rFonts w:ascii="Calibri" w:hAnsi="Calibri" w:cs="Calibri"/>
                <w:b/>
                <w:bCs/>
                <w:color w:val="000000"/>
                <w:sz w:val="20"/>
              </w:rPr>
              <w:t>Roční úspora (MWh)</w:t>
            </w:r>
          </w:p>
        </w:tc>
        <w:tc>
          <w:tcPr>
            <w:tcW w:w="1717" w:type="pct"/>
            <w:tcBorders>
              <w:top w:val="single" w:sz="4" w:space="0" w:color="auto"/>
              <w:left w:val="nil"/>
              <w:bottom w:val="single" w:sz="4" w:space="0" w:color="auto"/>
              <w:right w:val="single" w:sz="4" w:space="0" w:color="auto"/>
            </w:tcBorders>
            <w:shd w:val="clear" w:color="000000" w:fill="E5F1FF"/>
            <w:vAlign w:val="center"/>
            <w:hideMark/>
          </w:tcPr>
          <w:p w14:paraId="7DCCC185" w14:textId="61560117" w:rsidR="002352D3" w:rsidRPr="002352D3" w:rsidRDefault="002352D3" w:rsidP="00464812">
            <w:pPr>
              <w:jc w:val="center"/>
              <w:rPr>
                <w:rFonts w:ascii="Calibri" w:hAnsi="Calibri" w:cs="Calibri"/>
                <w:b/>
                <w:bCs/>
                <w:color w:val="000000"/>
                <w:sz w:val="20"/>
              </w:rPr>
            </w:pPr>
            <w:r w:rsidRPr="002352D3">
              <w:rPr>
                <w:rFonts w:ascii="Calibri" w:hAnsi="Calibri" w:cs="Calibri"/>
                <w:b/>
                <w:bCs/>
                <w:color w:val="000000"/>
                <w:sz w:val="20"/>
              </w:rPr>
              <w:t xml:space="preserve">Roční úspora </w:t>
            </w:r>
            <w:r w:rsidR="00464812" w:rsidRPr="00FC7CB7">
              <w:rPr>
                <w:sz w:val="20"/>
              </w:rPr>
              <w:t>–</w:t>
            </w:r>
            <w:r w:rsidR="00464812">
              <w:rPr>
                <w:rFonts w:ascii="Calibri" w:hAnsi="Calibri" w:cs="Calibri"/>
                <w:b/>
                <w:bCs/>
                <w:color w:val="000000"/>
                <w:sz w:val="20"/>
              </w:rPr>
              <w:t xml:space="preserve"> </w:t>
            </w:r>
            <w:r w:rsidRPr="002352D3">
              <w:rPr>
                <w:rFonts w:ascii="Calibri" w:hAnsi="Calibri" w:cs="Calibri"/>
                <w:b/>
                <w:bCs/>
                <w:color w:val="000000"/>
                <w:sz w:val="20"/>
              </w:rPr>
              <w:t>přepočet (GJ/rok)</w:t>
            </w:r>
          </w:p>
        </w:tc>
      </w:tr>
      <w:tr w:rsidR="002352D3" w:rsidRPr="002352D3" w14:paraId="5225F670" w14:textId="77777777" w:rsidTr="00F451ED">
        <w:trPr>
          <w:trHeight w:val="20"/>
        </w:trPr>
        <w:tc>
          <w:tcPr>
            <w:tcW w:w="1105" w:type="pct"/>
            <w:tcBorders>
              <w:top w:val="nil"/>
              <w:left w:val="single" w:sz="4" w:space="0" w:color="auto"/>
              <w:bottom w:val="single" w:sz="4" w:space="0" w:color="auto"/>
              <w:right w:val="single" w:sz="4" w:space="0" w:color="auto"/>
            </w:tcBorders>
            <w:shd w:val="clear" w:color="auto" w:fill="auto"/>
            <w:noWrap/>
            <w:vAlign w:val="bottom"/>
            <w:hideMark/>
          </w:tcPr>
          <w:p w14:paraId="4A130ED2" w14:textId="77777777" w:rsidR="002352D3" w:rsidRPr="002352D3" w:rsidRDefault="002352D3" w:rsidP="002352D3">
            <w:pPr>
              <w:jc w:val="left"/>
              <w:rPr>
                <w:rFonts w:ascii="Calibri" w:hAnsi="Calibri" w:cs="Calibri"/>
                <w:color w:val="000000"/>
                <w:sz w:val="20"/>
              </w:rPr>
            </w:pPr>
            <w:r w:rsidRPr="002352D3">
              <w:rPr>
                <w:rFonts w:ascii="Calibri" w:hAnsi="Calibri" w:cs="Calibri"/>
                <w:color w:val="000000"/>
                <w:sz w:val="20"/>
              </w:rPr>
              <w:t>Idea</w:t>
            </w:r>
          </w:p>
        </w:tc>
        <w:tc>
          <w:tcPr>
            <w:tcW w:w="769" w:type="pct"/>
            <w:tcBorders>
              <w:top w:val="nil"/>
              <w:left w:val="nil"/>
              <w:bottom w:val="single" w:sz="4" w:space="0" w:color="auto"/>
              <w:right w:val="single" w:sz="4" w:space="0" w:color="auto"/>
            </w:tcBorders>
            <w:shd w:val="clear" w:color="auto" w:fill="auto"/>
            <w:noWrap/>
            <w:vAlign w:val="bottom"/>
            <w:hideMark/>
          </w:tcPr>
          <w:p w14:paraId="582C7DA2"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22</w:t>
            </w:r>
          </w:p>
        </w:tc>
        <w:tc>
          <w:tcPr>
            <w:tcW w:w="1409" w:type="pct"/>
            <w:tcBorders>
              <w:top w:val="nil"/>
              <w:left w:val="nil"/>
              <w:bottom w:val="single" w:sz="4" w:space="0" w:color="auto"/>
              <w:right w:val="single" w:sz="4" w:space="0" w:color="auto"/>
            </w:tcBorders>
            <w:shd w:val="clear" w:color="auto" w:fill="auto"/>
            <w:noWrap/>
            <w:vAlign w:val="bottom"/>
            <w:hideMark/>
          </w:tcPr>
          <w:p w14:paraId="3DDC868B"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263</w:t>
            </w:r>
          </w:p>
        </w:tc>
        <w:tc>
          <w:tcPr>
            <w:tcW w:w="1717" w:type="pct"/>
            <w:tcBorders>
              <w:top w:val="nil"/>
              <w:left w:val="nil"/>
              <w:bottom w:val="single" w:sz="4" w:space="0" w:color="auto"/>
              <w:right w:val="single" w:sz="4" w:space="0" w:color="auto"/>
            </w:tcBorders>
            <w:shd w:val="clear" w:color="auto" w:fill="auto"/>
            <w:noWrap/>
            <w:vAlign w:val="bottom"/>
            <w:hideMark/>
          </w:tcPr>
          <w:p w14:paraId="50226267" w14:textId="77777777" w:rsidR="002352D3" w:rsidRPr="002352D3" w:rsidRDefault="002352D3" w:rsidP="001220CF">
            <w:pPr>
              <w:jc w:val="right"/>
              <w:rPr>
                <w:rFonts w:ascii="Calibri" w:hAnsi="Calibri" w:cs="Calibri"/>
                <w:color w:val="000000"/>
                <w:sz w:val="20"/>
              </w:rPr>
            </w:pPr>
            <w:r w:rsidRPr="002352D3">
              <w:rPr>
                <w:rFonts w:ascii="Calibri" w:hAnsi="Calibri" w:cs="Calibri"/>
                <w:color w:val="000000"/>
                <w:sz w:val="20"/>
              </w:rPr>
              <w:t>94</w:t>
            </w:r>
            <w:r w:rsidR="001220CF">
              <w:rPr>
                <w:rFonts w:ascii="Calibri" w:hAnsi="Calibri" w:cs="Calibri"/>
                <w:color w:val="000000"/>
                <w:sz w:val="20"/>
              </w:rPr>
              <w:t>7</w:t>
            </w:r>
          </w:p>
        </w:tc>
      </w:tr>
      <w:tr w:rsidR="002352D3" w:rsidRPr="002352D3" w14:paraId="5C72B927" w14:textId="77777777" w:rsidTr="00F451ED">
        <w:trPr>
          <w:trHeight w:val="20"/>
        </w:trPr>
        <w:tc>
          <w:tcPr>
            <w:tcW w:w="1105" w:type="pct"/>
            <w:tcBorders>
              <w:top w:val="nil"/>
              <w:left w:val="single" w:sz="4" w:space="0" w:color="auto"/>
              <w:bottom w:val="single" w:sz="4" w:space="0" w:color="auto"/>
              <w:right w:val="single" w:sz="4" w:space="0" w:color="auto"/>
            </w:tcBorders>
            <w:shd w:val="clear" w:color="auto" w:fill="auto"/>
            <w:noWrap/>
            <w:vAlign w:val="bottom"/>
            <w:hideMark/>
          </w:tcPr>
          <w:p w14:paraId="156C0B8B" w14:textId="77777777" w:rsidR="002352D3" w:rsidRPr="002352D3" w:rsidRDefault="002352D3" w:rsidP="002352D3">
            <w:pPr>
              <w:jc w:val="left"/>
              <w:rPr>
                <w:rFonts w:ascii="Calibri" w:hAnsi="Calibri" w:cs="Calibri"/>
                <w:color w:val="000000"/>
                <w:sz w:val="20"/>
              </w:rPr>
            </w:pPr>
            <w:r w:rsidRPr="002352D3">
              <w:rPr>
                <w:rFonts w:ascii="Calibri" w:hAnsi="Calibri" w:cs="Calibri"/>
                <w:color w:val="000000"/>
                <w:sz w:val="20"/>
              </w:rPr>
              <w:t>Plán</w:t>
            </w:r>
          </w:p>
        </w:tc>
        <w:tc>
          <w:tcPr>
            <w:tcW w:w="769" w:type="pct"/>
            <w:tcBorders>
              <w:top w:val="nil"/>
              <w:left w:val="nil"/>
              <w:bottom w:val="single" w:sz="4" w:space="0" w:color="auto"/>
              <w:right w:val="single" w:sz="4" w:space="0" w:color="auto"/>
            </w:tcBorders>
            <w:shd w:val="clear" w:color="auto" w:fill="auto"/>
            <w:noWrap/>
            <w:vAlign w:val="bottom"/>
            <w:hideMark/>
          </w:tcPr>
          <w:p w14:paraId="6D0399B4"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53</w:t>
            </w:r>
          </w:p>
        </w:tc>
        <w:tc>
          <w:tcPr>
            <w:tcW w:w="1409" w:type="pct"/>
            <w:tcBorders>
              <w:top w:val="nil"/>
              <w:left w:val="nil"/>
              <w:bottom w:val="single" w:sz="4" w:space="0" w:color="auto"/>
              <w:right w:val="single" w:sz="4" w:space="0" w:color="auto"/>
            </w:tcBorders>
            <w:shd w:val="clear" w:color="auto" w:fill="auto"/>
            <w:noWrap/>
            <w:vAlign w:val="bottom"/>
            <w:hideMark/>
          </w:tcPr>
          <w:p w14:paraId="3E2C6FCC"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2</w:t>
            </w:r>
            <w:r w:rsidR="001220CF">
              <w:rPr>
                <w:rFonts w:ascii="Calibri" w:hAnsi="Calibri" w:cs="Calibri"/>
                <w:color w:val="000000"/>
                <w:sz w:val="20"/>
              </w:rPr>
              <w:t xml:space="preserve"> </w:t>
            </w:r>
            <w:r w:rsidRPr="002352D3">
              <w:rPr>
                <w:rFonts w:ascii="Calibri" w:hAnsi="Calibri" w:cs="Calibri"/>
                <w:color w:val="000000"/>
                <w:sz w:val="20"/>
              </w:rPr>
              <w:t>209</w:t>
            </w:r>
          </w:p>
        </w:tc>
        <w:tc>
          <w:tcPr>
            <w:tcW w:w="1717" w:type="pct"/>
            <w:tcBorders>
              <w:top w:val="nil"/>
              <w:left w:val="nil"/>
              <w:bottom w:val="single" w:sz="4" w:space="0" w:color="auto"/>
              <w:right w:val="single" w:sz="4" w:space="0" w:color="auto"/>
            </w:tcBorders>
            <w:shd w:val="clear" w:color="auto" w:fill="auto"/>
            <w:noWrap/>
            <w:vAlign w:val="bottom"/>
            <w:hideMark/>
          </w:tcPr>
          <w:p w14:paraId="49C9C40B" w14:textId="77777777" w:rsidR="002352D3" w:rsidRPr="002352D3" w:rsidRDefault="002352D3" w:rsidP="001220CF">
            <w:pPr>
              <w:jc w:val="right"/>
              <w:rPr>
                <w:rFonts w:ascii="Calibri" w:hAnsi="Calibri" w:cs="Calibri"/>
                <w:color w:val="000000"/>
                <w:sz w:val="20"/>
              </w:rPr>
            </w:pPr>
            <w:r w:rsidRPr="002352D3">
              <w:rPr>
                <w:rFonts w:ascii="Calibri" w:hAnsi="Calibri" w:cs="Calibri"/>
                <w:color w:val="000000"/>
                <w:sz w:val="20"/>
              </w:rPr>
              <w:t>7</w:t>
            </w:r>
            <w:r w:rsidR="001220CF">
              <w:rPr>
                <w:rFonts w:ascii="Calibri" w:hAnsi="Calibri" w:cs="Calibri"/>
                <w:color w:val="000000"/>
                <w:sz w:val="20"/>
              </w:rPr>
              <w:t xml:space="preserve"> </w:t>
            </w:r>
            <w:r w:rsidRPr="002352D3">
              <w:rPr>
                <w:rFonts w:ascii="Calibri" w:hAnsi="Calibri" w:cs="Calibri"/>
                <w:color w:val="000000"/>
                <w:sz w:val="20"/>
              </w:rPr>
              <w:t>952</w:t>
            </w:r>
          </w:p>
        </w:tc>
      </w:tr>
      <w:tr w:rsidR="002352D3" w:rsidRPr="002352D3" w14:paraId="556E28A1" w14:textId="77777777" w:rsidTr="00F451ED">
        <w:trPr>
          <w:trHeight w:val="20"/>
        </w:trPr>
        <w:tc>
          <w:tcPr>
            <w:tcW w:w="1105" w:type="pct"/>
            <w:tcBorders>
              <w:top w:val="nil"/>
              <w:left w:val="single" w:sz="4" w:space="0" w:color="auto"/>
              <w:bottom w:val="single" w:sz="4" w:space="0" w:color="auto"/>
              <w:right w:val="single" w:sz="4" w:space="0" w:color="auto"/>
            </w:tcBorders>
            <w:shd w:val="clear" w:color="auto" w:fill="auto"/>
            <w:noWrap/>
            <w:vAlign w:val="bottom"/>
            <w:hideMark/>
          </w:tcPr>
          <w:p w14:paraId="3836013C" w14:textId="77777777" w:rsidR="002352D3" w:rsidRPr="002352D3" w:rsidRDefault="002352D3" w:rsidP="002352D3">
            <w:pPr>
              <w:jc w:val="left"/>
              <w:rPr>
                <w:rFonts w:ascii="Calibri" w:hAnsi="Calibri" w:cs="Calibri"/>
                <w:color w:val="000000"/>
                <w:sz w:val="20"/>
              </w:rPr>
            </w:pPr>
            <w:r w:rsidRPr="002352D3">
              <w:rPr>
                <w:rFonts w:ascii="Calibri" w:hAnsi="Calibri" w:cs="Calibri"/>
                <w:color w:val="000000"/>
                <w:sz w:val="20"/>
              </w:rPr>
              <w:t>Projekt</w:t>
            </w:r>
          </w:p>
        </w:tc>
        <w:tc>
          <w:tcPr>
            <w:tcW w:w="769" w:type="pct"/>
            <w:tcBorders>
              <w:top w:val="nil"/>
              <w:left w:val="nil"/>
              <w:bottom w:val="single" w:sz="4" w:space="0" w:color="auto"/>
              <w:right w:val="single" w:sz="4" w:space="0" w:color="auto"/>
            </w:tcBorders>
            <w:shd w:val="clear" w:color="auto" w:fill="auto"/>
            <w:noWrap/>
            <w:vAlign w:val="bottom"/>
            <w:hideMark/>
          </w:tcPr>
          <w:p w14:paraId="0ADA1C23"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11</w:t>
            </w:r>
          </w:p>
        </w:tc>
        <w:tc>
          <w:tcPr>
            <w:tcW w:w="1409" w:type="pct"/>
            <w:tcBorders>
              <w:top w:val="nil"/>
              <w:left w:val="nil"/>
              <w:bottom w:val="single" w:sz="4" w:space="0" w:color="auto"/>
              <w:right w:val="single" w:sz="4" w:space="0" w:color="auto"/>
            </w:tcBorders>
            <w:shd w:val="clear" w:color="auto" w:fill="auto"/>
            <w:noWrap/>
            <w:vAlign w:val="bottom"/>
            <w:hideMark/>
          </w:tcPr>
          <w:p w14:paraId="6C762D2D"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3</w:t>
            </w:r>
            <w:r w:rsidR="001220CF">
              <w:rPr>
                <w:rFonts w:ascii="Calibri" w:hAnsi="Calibri" w:cs="Calibri"/>
                <w:color w:val="000000"/>
                <w:sz w:val="20"/>
              </w:rPr>
              <w:t xml:space="preserve"> </w:t>
            </w:r>
            <w:r w:rsidRPr="002352D3">
              <w:rPr>
                <w:rFonts w:ascii="Calibri" w:hAnsi="Calibri" w:cs="Calibri"/>
                <w:color w:val="000000"/>
                <w:sz w:val="20"/>
              </w:rPr>
              <w:t>804</w:t>
            </w:r>
          </w:p>
        </w:tc>
        <w:tc>
          <w:tcPr>
            <w:tcW w:w="1717" w:type="pct"/>
            <w:tcBorders>
              <w:top w:val="nil"/>
              <w:left w:val="nil"/>
              <w:bottom w:val="single" w:sz="4" w:space="0" w:color="auto"/>
              <w:right w:val="single" w:sz="4" w:space="0" w:color="auto"/>
            </w:tcBorders>
            <w:shd w:val="clear" w:color="auto" w:fill="auto"/>
            <w:noWrap/>
            <w:vAlign w:val="bottom"/>
            <w:hideMark/>
          </w:tcPr>
          <w:p w14:paraId="0CAFF59C" w14:textId="77777777" w:rsidR="002352D3" w:rsidRPr="002352D3" w:rsidRDefault="002352D3" w:rsidP="001220CF">
            <w:pPr>
              <w:jc w:val="right"/>
              <w:rPr>
                <w:rFonts w:ascii="Calibri" w:hAnsi="Calibri" w:cs="Calibri"/>
                <w:color w:val="000000"/>
                <w:sz w:val="20"/>
              </w:rPr>
            </w:pPr>
            <w:r w:rsidRPr="002352D3">
              <w:rPr>
                <w:rFonts w:ascii="Calibri" w:hAnsi="Calibri" w:cs="Calibri"/>
                <w:color w:val="000000"/>
                <w:sz w:val="20"/>
              </w:rPr>
              <w:t>13</w:t>
            </w:r>
            <w:r w:rsidR="001220CF">
              <w:rPr>
                <w:rFonts w:ascii="Calibri" w:hAnsi="Calibri" w:cs="Calibri"/>
                <w:color w:val="000000"/>
                <w:sz w:val="20"/>
              </w:rPr>
              <w:t xml:space="preserve"> </w:t>
            </w:r>
            <w:r w:rsidRPr="002352D3">
              <w:rPr>
                <w:rFonts w:ascii="Calibri" w:hAnsi="Calibri" w:cs="Calibri"/>
                <w:color w:val="000000"/>
                <w:sz w:val="20"/>
              </w:rPr>
              <w:t>694</w:t>
            </w:r>
          </w:p>
        </w:tc>
      </w:tr>
      <w:tr w:rsidR="002352D3" w:rsidRPr="002352D3" w14:paraId="47C3CEC0" w14:textId="77777777" w:rsidTr="00F451ED">
        <w:trPr>
          <w:trHeight w:val="20"/>
        </w:trPr>
        <w:tc>
          <w:tcPr>
            <w:tcW w:w="1105" w:type="pct"/>
            <w:tcBorders>
              <w:top w:val="nil"/>
              <w:left w:val="single" w:sz="4" w:space="0" w:color="auto"/>
              <w:bottom w:val="single" w:sz="4" w:space="0" w:color="auto"/>
              <w:right w:val="single" w:sz="4" w:space="0" w:color="auto"/>
            </w:tcBorders>
            <w:shd w:val="clear" w:color="auto" w:fill="auto"/>
            <w:noWrap/>
            <w:vAlign w:val="bottom"/>
            <w:hideMark/>
          </w:tcPr>
          <w:p w14:paraId="7E1982D9" w14:textId="77777777" w:rsidR="002352D3" w:rsidRPr="002352D3" w:rsidRDefault="002352D3" w:rsidP="002352D3">
            <w:pPr>
              <w:jc w:val="left"/>
              <w:rPr>
                <w:rFonts w:ascii="Calibri" w:hAnsi="Calibri" w:cs="Calibri"/>
                <w:color w:val="000000"/>
                <w:sz w:val="20"/>
              </w:rPr>
            </w:pPr>
            <w:r w:rsidRPr="002352D3">
              <w:rPr>
                <w:rFonts w:ascii="Calibri" w:hAnsi="Calibri" w:cs="Calibri"/>
                <w:color w:val="000000"/>
                <w:sz w:val="20"/>
              </w:rPr>
              <w:t>Realizace</w:t>
            </w:r>
          </w:p>
        </w:tc>
        <w:tc>
          <w:tcPr>
            <w:tcW w:w="769" w:type="pct"/>
            <w:tcBorders>
              <w:top w:val="nil"/>
              <w:left w:val="nil"/>
              <w:bottom w:val="single" w:sz="4" w:space="0" w:color="auto"/>
              <w:right w:val="single" w:sz="4" w:space="0" w:color="auto"/>
            </w:tcBorders>
            <w:shd w:val="clear" w:color="auto" w:fill="auto"/>
            <w:noWrap/>
            <w:vAlign w:val="bottom"/>
            <w:hideMark/>
          </w:tcPr>
          <w:p w14:paraId="33BDC149"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10</w:t>
            </w:r>
          </w:p>
        </w:tc>
        <w:tc>
          <w:tcPr>
            <w:tcW w:w="1409" w:type="pct"/>
            <w:tcBorders>
              <w:top w:val="nil"/>
              <w:left w:val="nil"/>
              <w:bottom w:val="single" w:sz="4" w:space="0" w:color="auto"/>
              <w:right w:val="single" w:sz="4" w:space="0" w:color="auto"/>
            </w:tcBorders>
            <w:shd w:val="clear" w:color="auto" w:fill="auto"/>
            <w:noWrap/>
            <w:vAlign w:val="bottom"/>
            <w:hideMark/>
          </w:tcPr>
          <w:p w14:paraId="11ACCA24"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1</w:t>
            </w:r>
            <w:r w:rsidR="001220CF">
              <w:rPr>
                <w:rFonts w:ascii="Calibri" w:hAnsi="Calibri" w:cs="Calibri"/>
                <w:color w:val="000000"/>
                <w:sz w:val="20"/>
              </w:rPr>
              <w:t xml:space="preserve"> </w:t>
            </w:r>
            <w:r w:rsidRPr="002352D3">
              <w:rPr>
                <w:rFonts w:ascii="Calibri" w:hAnsi="Calibri" w:cs="Calibri"/>
                <w:color w:val="000000"/>
                <w:sz w:val="20"/>
              </w:rPr>
              <w:t>405</w:t>
            </w:r>
          </w:p>
        </w:tc>
        <w:tc>
          <w:tcPr>
            <w:tcW w:w="1717" w:type="pct"/>
            <w:tcBorders>
              <w:top w:val="nil"/>
              <w:left w:val="nil"/>
              <w:bottom w:val="single" w:sz="4" w:space="0" w:color="auto"/>
              <w:right w:val="single" w:sz="4" w:space="0" w:color="auto"/>
            </w:tcBorders>
            <w:shd w:val="clear" w:color="auto" w:fill="auto"/>
            <w:noWrap/>
            <w:vAlign w:val="bottom"/>
            <w:hideMark/>
          </w:tcPr>
          <w:p w14:paraId="2CD37888"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5</w:t>
            </w:r>
            <w:r w:rsidR="001220CF">
              <w:rPr>
                <w:rFonts w:ascii="Calibri" w:hAnsi="Calibri" w:cs="Calibri"/>
                <w:color w:val="000000"/>
                <w:sz w:val="20"/>
              </w:rPr>
              <w:t xml:space="preserve"> </w:t>
            </w:r>
            <w:r w:rsidRPr="002352D3">
              <w:rPr>
                <w:rFonts w:ascii="Calibri" w:hAnsi="Calibri" w:cs="Calibri"/>
                <w:color w:val="000000"/>
                <w:sz w:val="20"/>
              </w:rPr>
              <w:t>058</w:t>
            </w:r>
          </w:p>
        </w:tc>
      </w:tr>
      <w:tr w:rsidR="002352D3" w:rsidRPr="002352D3" w14:paraId="38A31BF1" w14:textId="77777777" w:rsidTr="00F451ED">
        <w:trPr>
          <w:trHeight w:val="20"/>
        </w:trPr>
        <w:tc>
          <w:tcPr>
            <w:tcW w:w="1105" w:type="pct"/>
            <w:tcBorders>
              <w:top w:val="nil"/>
              <w:left w:val="single" w:sz="4" w:space="0" w:color="auto"/>
              <w:bottom w:val="single" w:sz="4" w:space="0" w:color="auto"/>
              <w:right w:val="single" w:sz="4" w:space="0" w:color="auto"/>
            </w:tcBorders>
            <w:shd w:val="clear" w:color="auto" w:fill="auto"/>
            <w:noWrap/>
            <w:vAlign w:val="bottom"/>
            <w:hideMark/>
          </w:tcPr>
          <w:p w14:paraId="3DDF7152" w14:textId="77777777" w:rsidR="002352D3" w:rsidRPr="002352D3" w:rsidRDefault="002352D3" w:rsidP="002352D3">
            <w:pPr>
              <w:jc w:val="left"/>
              <w:rPr>
                <w:rFonts w:ascii="Calibri" w:hAnsi="Calibri" w:cs="Calibri"/>
                <w:color w:val="000000"/>
                <w:sz w:val="20"/>
              </w:rPr>
            </w:pPr>
            <w:r w:rsidRPr="002352D3">
              <w:rPr>
                <w:rFonts w:ascii="Calibri" w:hAnsi="Calibri" w:cs="Calibri"/>
                <w:color w:val="000000"/>
                <w:sz w:val="20"/>
              </w:rPr>
              <w:t>Po dokončení realizace</w:t>
            </w:r>
          </w:p>
        </w:tc>
        <w:tc>
          <w:tcPr>
            <w:tcW w:w="769" w:type="pct"/>
            <w:tcBorders>
              <w:top w:val="nil"/>
              <w:left w:val="nil"/>
              <w:bottom w:val="single" w:sz="4" w:space="0" w:color="auto"/>
              <w:right w:val="single" w:sz="4" w:space="0" w:color="auto"/>
            </w:tcBorders>
            <w:shd w:val="clear" w:color="auto" w:fill="auto"/>
            <w:noWrap/>
            <w:vAlign w:val="bottom"/>
            <w:hideMark/>
          </w:tcPr>
          <w:p w14:paraId="400B1AE6"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4</w:t>
            </w:r>
          </w:p>
        </w:tc>
        <w:tc>
          <w:tcPr>
            <w:tcW w:w="1409" w:type="pct"/>
            <w:tcBorders>
              <w:top w:val="nil"/>
              <w:left w:val="nil"/>
              <w:bottom w:val="single" w:sz="4" w:space="0" w:color="auto"/>
              <w:right w:val="single" w:sz="4" w:space="0" w:color="auto"/>
            </w:tcBorders>
            <w:shd w:val="clear" w:color="auto" w:fill="auto"/>
            <w:noWrap/>
            <w:vAlign w:val="bottom"/>
            <w:hideMark/>
          </w:tcPr>
          <w:p w14:paraId="0513C7AB"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160</w:t>
            </w:r>
          </w:p>
        </w:tc>
        <w:tc>
          <w:tcPr>
            <w:tcW w:w="1717" w:type="pct"/>
            <w:tcBorders>
              <w:top w:val="nil"/>
              <w:left w:val="nil"/>
              <w:bottom w:val="single" w:sz="4" w:space="0" w:color="auto"/>
              <w:right w:val="single" w:sz="4" w:space="0" w:color="auto"/>
            </w:tcBorders>
            <w:shd w:val="clear" w:color="auto" w:fill="auto"/>
            <w:noWrap/>
            <w:vAlign w:val="bottom"/>
            <w:hideMark/>
          </w:tcPr>
          <w:p w14:paraId="62DFA3FD" w14:textId="77777777" w:rsidR="002352D3" w:rsidRPr="002352D3" w:rsidRDefault="002352D3" w:rsidP="002352D3">
            <w:pPr>
              <w:jc w:val="right"/>
              <w:rPr>
                <w:rFonts w:ascii="Calibri" w:hAnsi="Calibri" w:cs="Calibri"/>
                <w:color w:val="000000"/>
                <w:sz w:val="20"/>
              </w:rPr>
            </w:pPr>
            <w:r w:rsidRPr="002352D3">
              <w:rPr>
                <w:rFonts w:ascii="Calibri" w:hAnsi="Calibri" w:cs="Calibri"/>
                <w:color w:val="000000"/>
                <w:sz w:val="20"/>
              </w:rPr>
              <w:t>576</w:t>
            </w:r>
          </w:p>
        </w:tc>
      </w:tr>
      <w:tr w:rsidR="002352D3" w:rsidRPr="002352D3" w14:paraId="73D8E04E" w14:textId="77777777" w:rsidTr="00F451ED">
        <w:trPr>
          <w:trHeight w:val="20"/>
        </w:trPr>
        <w:tc>
          <w:tcPr>
            <w:tcW w:w="1105" w:type="pct"/>
            <w:tcBorders>
              <w:top w:val="nil"/>
              <w:left w:val="single" w:sz="4" w:space="0" w:color="auto"/>
              <w:bottom w:val="single" w:sz="4" w:space="0" w:color="auto"/>
              <w:right w:val="single" w:sz="4" w:space="0" w:color="auto"/>
            </w:tcBorders>
            <w:shd w:val="clear" w:color="auto" w:fill="auto"/>
            <w:noWrap/>
            <w:vAlign w:val="bottom"/>
            <w:hideMark/>
          </w:tcPr>
          <w:p w14:paraId="6473D021" w14:textId="77777777" w:rsidR="002352D3" w:rsidRPr="002352D3" w:rsidRDefault="002352D3" w:rsidP="002352D3">
            <w:pPr>
              <w:jc w:val="left"/>
              <w:rPr>
                <w:rFonts w:ascii="Calibri" w:hAnsi="Calibri" w:cs="Calibri"/>
                <w:b/>
                <w:color w:val="000000"/>
                <w:sz w:val="20"/>
              </w:rPr>
            </w:pPr>
            <w:r w:rsidRPr="002352D3">
              <w:rPr>
                <w:rFonts w:ascii="Calibri" w:hAnsi="Calibri" w:cs="Calibri"/>
                <w:b/>
                <w:color w:val="000000"/>
                <w:sz w:val="20"/>
              </w:rPr>
              <w:t>Celkem</w:t>
            </w:r>
          </w:p>
        </w:tc>
        <w:tc>
          <w:tcPr>
            <w:tcW w:w="769" w:type="pct"/>
            <w:tcBorders>
              <w:top w:val="nil"/>
              <w:left w:val="nil"/>
              <w:bottom w:val="single" w:sz="4" w:space="0" w:color="auto"/>
              <w:right w:val="single" w:sz="4" w:space="0" w:color="auto"/>
            </w:tcBorders>
            <w:shd w:val="clear" w:color="auto" w:fill="auto"/>
            <w:noWrap/>
            <w:vAlign w:val="bottom"/>
            <w:hideMark/>
          </w:tcPr>
          <w:p w14:paraId="4A046B30" w14:textId="77777777" w:rsidR="002352D3" w:rsidRPr="002352D3" w:rsidRDefault="002352D3" w:rsidP="002352D3">
            <w:pPr>
              <w:jc w:val="right"/>
              <w:rPr>
                <w:rFonts w:ascii="Calibri" w:hAnsi="Calibri" w:cs="Calibri"/>
                <w:b/>
                <w:color w:val="000000"/>
                <w:sz w:val="20"/>
              </w:rPr>
            </w:pPr>
            <w:r w:rsidRPr="002352D3">
              <w:rPr>
                <w:rFonts w:ascii="Calibri" w:hAnsi="Calibri" w:cs="Calibri"/>
                <w:b/>
                <w:color w:val="000000"/>
                <w:sz w:val="20"/>
              </w:rPr>
              <w:t>100</w:t>
            </w:r>
          </w:p>
        </w:tc>
        <w:tc>
          <w:tcPr>
            <w:tcW w:w="1409" w:type="pct"/>
            <w:tcBorders>
              <w:top w:val="nil"/>
              <w:left w:val="nil"/>
              <w:bottom w:val="single" w:sz="4" w:space="0" w:color="auto"/>
              <w:right w:val="single" w:sz="4" w:space="0" w:color="auto"/>
            </w:tcBorders>
            <w:shd w:val="clear" w:color="auto" w:fill="auto"/>
            <w:noWrap/>
            <w:vAlign w:val="bottom"/>
            <w:hideMark/>
          </w:tcPr>
          <w:p w14:paraId="2690EB2D" w14:textId="77777777" w:rsidR="002352D3" w:rsidRPr="002352D3" w:rsidRDefault="002352D3" w:rsidP="002352D3">
            <w:pPr>
              <w:jc w:val="right"/>
              <w:rPr>
                <w:rFonts w:ascii="Calibri" w:hAnsi="Calibri" w:cs="Calibri"/>
                <w:b/>
                <w:color w:val="000000"/>
                <w:sz w:val="20"/>
              </w:rPr>
            </w:pPr>
            <w:r w:rsidRPr="002352D3">
              <w:rPr>
                <w:rFonts w:ascii="Calibri" w:hAnsi="Calibri" w:cs="Calibri"/>
                <w:b/>
                <w:color w:val="000000"/>
                <w:sz w:val="20"/>
              </w:rPr>
              <w:t>7</w:t>
            </w:r>
            <w:r w:rsidR="001220CF" w:rsidRPr="001220CF">
              <w:rPr>
                <w:rFonts w:ascii="Calibri" w:hAnsi="Calibri" w:cs="Calibri"/>
                <w:b/>
                <w:color w:val="000000"/>
                <w:sz w:val="20"/>
              </w:rPr>
              <w:t xml:space="preserve"> </w:t>
            </w:r>
            <w:r w:rsidRPr="002352D3">
              <w:rPr>
                <w:rFonts w:ascii="Calibri" w:hAnsi="Calibri" w:cs="Calibri"/>
                <w:b/>
                <w:color w:val="000000"/>
                <w:sz w:val="20"/>
              </w:rPr>
              <w:t>841</w:t>
            </w:r>
          </w:p>
        </w:tc>
        <w:tc>
          <w:tcPr>
            <w:tcW w:w="1717" w:type="pct"/>
            <w:tcBorders>
              <w:top w:val="nil"/>
              <w:left w:val="nil"/>
              <w:bottom w:val="single" w:sz="4" w:space="0" w:color="auto"/>
              <w:right w:val="single" w:sz="4" w:space="0" w:color="auto"/>
            </w:tcBorders>
            <w:shd w:val="clear" w:color="auto" w:fill="auto"/>
            <w:noWrap/>
            <w:vAlign w:val="bottom"/>
            <w:hideMark/>
          </w:tcPr>
          <w:p w14:paraId="209AF5EA" w14:textId="77777777" w:rsidR="002352D3" w:rsidRPr="002352D3" w:rsidRDefault="002352D3" w:rsidP="001220CF">
            <w:pPr>
              <w:jc w:val="right"/>
              <w:rPr>
                <w:rFonts w:ascii="Calibri" w:hAnsi="Calibri" w:cs="Calibri"/>
                <w:b/>
                <w:color w:val="000000"/>
                <w:sz w:val="20"/>
              </w:rPr>
            </w:pPr>
            <w:r w:rsidRPr="002352D3">
              <w:rPr>
                <w:rFonts w:ascii="Calibri" w:hAnsi="Calibri" w:cs="Calibri"/>
                <w:b/>
                <w:color w:val="000000"/>
                <w:sz w:val="20"/>
              </w:rPr>
              <w:t>28</w:t>
            </w:r>
            <w:r w:rsidR="001220CF" w:rsidRPr="001220CF">
              <w:rPr>
                <w:rFonts w:ascii="Calibri" w:hAnsi="Calibri" w:cs="Calibri"/>
                <w:b/>
                <w:color w:val="000000"/>
                <w:sz w:val="20"/>
              </w:rPr>
              <w:t xml:space="preserve"> </w:t>
            </w:r>
            <w:r w:rsidRPr="002352D3">
              <w:rPr>
                <w:rFonts w:ascii="Calibri" w:hAnsi="Calibri" w:cs="Calibri"/>
                <w:b/>
                <w:color w:val="000000"/>
                <w:sz w:val="20"/>
              </w:rPr>
              <w:t>227</w:t>
            </w:r>
          </w:p>
        </w:tc>
      </w:tr>
    </w:tbl>
    <w:p w14:paraId="6222096B" w14:textId="77777777" w:rsidR="00DA4891" w:rsidRDefault="001220CF" w:rsidP="00377B07">
      <w:pPr>
        <w:pStyle w:val="Zdrojeapozn"/>
      </w:pPr>
      <w:r>
        <w:t>Zdroj: MPO – Systém monitoringu spotřeby energie.</w:t>
      </w:r>
    </w:p>
    <w:p w14:paraId="4ED03C17" w14:textId="3B74B03D" w:rsidR="001220CF" w:rsidRPr="001220CF" w:rsidRDefault="001220CF">
      <w:pPr>
        <w:pStyle w:val="Zdrojeapozn"/>
      </w:pPr>
      <w:r>
        <w:t>Pozn.: Z celkového počtu 100 projektů byla ke dni 21. 7. 2020 pouze u 15 projektů uvedena u atributu „</w:t>
      </w:r>
      <w:r w:rsidR="00464812">
        <w:t>a</w:t>
      </w:r>
      <w:r>
        <w:t>ktuálnost projektu“ hodnota „ANO“ (předpokládaná roční úspora 5 674 GJ/rok).</w:t>
      </w:r>
    </w:p>
    <w:p w14:paraId="259E1F9D" w14:textId="77777777" w:rsidR="001220CF" w:rsidRPr="001220CF" w:rsidRDefault="001220CF" w:rsidP="001220CF">
      <w:pPr>
        <w:rPr>
          <w:lang w:eastAsia="en-US"/>
        </w:rPr>
      </w:pPr>
    </w:p>
    <w:p w14:paraId="3E2F9B08" w14:textId="5C25E17F" w:rsidR="002D0144" w:rsidRDefault="00B45EF2" w:rsidP="00DA4891">
      <w:pPr>
        <w:spacing w:after="120"/>
        <w:rPr>
          <w:rFonts w:cstheme="minorBidi"/>
        </w:rPr>
      </w:pPr>
      <w:r w:rsidRPr="1BDD3FC5">
        <w:rPr>
          <w:rFonts w:cstheme="minorBidi"/>
        </w:rPr>
        <w:t>Dle přílohy č. 7 vyhlášky č. 118/2013 Sb.</w:t>
      </w:r>
      <w:r w:rsidR="00AE2F87" w:rsidRPr="1BDD3FC5">
        <w:rPr>
          <w:rStyle w:val="Znakapoznpodarou"/>
          <w:rFonts w:cstheme="minorBidi"/>
        </w:rPr>
        <w:footnoteReference w:id="34"/>
      </w:r>
      <w:r w:rsidRPr="1BDD3FC5">
        <w:rPr>
          <w:rFonts w:cstheme="minorBidi"/>
        </w:rPr>
        <w:t xml:space="preserve"> má </w:t>
      </w:r>
      <w:r w:rsidRPr="1BDD3FC5">
        <w:rPr>
          <w:rFonts w:cstheme="minorBidi"/>
          <w:i/>
          <w:iCs/>
        </w:rPr>
        <w:t>Systém monitoringu</w:t>
      </w:r>
      <w:r w:rsidRPr="1BDD3FC5">
        <w:rPr>
          <w:rFonts w:cstheme="minorBidi"/>
        </w:rPr>
        <w:t xml:space="preserve"> </w:t>
      </w:r>
      <w:r w:rsidRPr="1BDD3FC5">
        <w:rPr>
          <w:rFonts w:cstheme="minorBidi"/>
          <w:i/>
          <w:iCs/>
        </w:rPr>
        <w:t xml:space="preserve">spotřeby energie </w:t>
      </w:r>
      <w:r w:rsidRPr="1BDD3FC5">
        <w:rPr>
          <w:rFonts w:cstheme="minorBidi"/>
        </w:rPr>
        <w:t>obsahovat zvlášť údaje o předpokládané průměrné roční úspoře a údaje o dosažené průměrné roční úspoře. Kontrolou dat bylo zjištěno, že údaje</w:t>
      </w:r>
      <w:r w:rsidR="00163EF9">
        <w:rPr>
          <w:rFonts w:cstheme="minorBidi"/>
        </w:rPr>
        <w:t xml:space="preserve"> o úspoře energie</w:t>
      </w:r>
      <w:r w:rsidRPr="1BDD3FC5">
        <w:rPr>
          <w:rFonts w:cstheme="minorBidi"/>
        </w:rPr>
        <w:t xml:space="preserve"> jsou </w:t>
      </w:r>
      <w:r w:rsidR="00163EF9">
        <w:rPr>
          <w:rFonts w:cstheme="minorBidi"/>
        </w:rPr>
        <w:t xml:space="preserve">vykazovány pod </w:t>
      </w:r>
      <w:r w:rsidR="00AF520B">
        <w:rPr>
          <w:rFonts w:cstheme="minorBidi"/>
        </w:rPr>
        <w:t xml:space="preserve">jedním </w:t>
      </w:r>
      <w:r w:rsidR="00163EF9">
        <w:rPr>
          <w:rFonts w:cstheme="minorBidi"/>
        </w:rPr>
        <w:t>atributem „</w:t>
      </w:r>
      <w:r w:rsidR="009A4760">
        <w:rPr>
          <w:rFonts w:cstheme="minorBidi"/>
        </w:rPr>
        <w:t>r</w:t>
      </w:r>
      <w:r w:rsidR="00163EF9">
        <w:rPr>
          <w:rFonts w:cstheme="minorBidi"/>
        </w:rPr>
        <w:t>oční úspora v MWh“ a dále je vykazován atribut „</w:t>
      </w:r>
      <w:r w:rsidR="009A4760">
        <w:rPr>
          <w:rFonts w:cstheme="minorBidi"/>
        </w:rPr>
        <w:t>f</w:t>
      </w:r>
      <w:r w:rsidRPr="1BDD3FC5">
        <w:rPr>
          <w:rFonts w:cstheme="minorBidi"/>
        </w:rPr>
        <w:t xml:space="preserve">áze </w:t>
      </w:r>
      <w:r w:rsidR="00163EF9">
        <w:rPr>
          <w:rFonts w:cstheme="minorBidi"/>
        </w:rPr>
        <w:t>p</w:t>
      </w:r>
      <w:r w:rsidRPr="1BDD3FC5">
        <w:rPr>
          <w:rFonts w:cstheme="minorBidi"/>
        </w:rPr>
        <w:t>rojektu</w:t>
      </w:r>
      <w:r w:rsidR="00163EF9">
        <w:rPr>
          <w:rFonts w:cstheme="minorBidi"/>
        </w:rPr>
        <w:t>“</w:t>
      </w:r>
      <w:r w:rsidRPr="1BDD3FC5">
        <w:rPr>
          <w:rStyle w:val="Znakapoznpodarou"/>
          <w:rFonts w:cstheme="minorBidi"/>
        </w:rPr>
        <w:footnoteReference w:id="35"/>
      </w:r>
      <w:r w:rsidR="009A4760">
        <w:rPr>
          <w:rFonts w:cstheme="minorBidi"/>
        </w:rPr>
        <w:t>.</w:t>
      </w:r>
      <w:r w:rsidR="00163EF9">
        <w:rPr>
          <w:rFonts w:cstheme="minorBidi"/>
        </w:rPr>
        <w:t xml:space="preserve"> Za dosažené úspory dle takto nastaveného systému monitoringu lze považovat jen hodnoty úspor</w:t>
      </w:r>
      <w:r w:rsidR="00AF520B">
        <w:rPr>
          <w:rFonts w:cstheme="minorBidi"/>
        </w:rPr>
        <w:t xml:space="preserve"> energií </w:t>
      </w:r>
      <w:r w:rsidR="00AF520B">
        <w:rPr>
          <w:rFonts w:cstheme="minorBidi"/>
        </w:rPr>
        <w:lastRenderedPageBreak/>
        <w:t>vykázan</w:t>
      </w:r>
      <w:r w:rsidR="009A4760">
        <w:rPr>
          <w:rFonts w:cstheme="minorBidi"/>
        </w:rPr>
        <w:t>é</w:t>
      </w:r>
      <w:r w:rsidR="00AF520B">
        <w:rPr>
          <w:rFonts w:cstheme="minorBidi"/>
        </w:rPr>
        <w:t xml:space="preserve"> u projektů</w:t>
      </w:r>
      <w:r w:rsidR="00163EF9">
        <w:rPr>
          <w:rFonts w:cstheme="minorBidi"/>
        </w:rPr>
        <w:t xml:space="preserve"> ve fázi „po</w:t>
      </w:r>
      <w:r w:rsidR="009A4760">
        <w:rPr>
          <w:rFonts w:cstheme="minorBidi"/>
        </w:rPr>
        <w:t xml:space="preserve"> </w:t>
      </w:r>
      <w:r w:rsidR="00163EF9">
        <w:rPr>
          <w:rFonts w:cstheme="minorBidi"/>
        </w:rPr>
        <w:t>dokončení realizace“. Vzhledem k</w:t>
      </w:r>
      <w:r w:rsidR="00AF520B">
        <w:rPr>
          <w:rFonts w:cstheme="minorBidi"/>
        </w:rPr>
        <w:t xml:space="preserve"> </w:t>
      </w:r>
      <w:r w:rsidR="00163EF9">
        <w:rPr>
          <w:rFonts w:cstheme="minorBidi"/>
        </w:rPr>
        <w:t xml:space="preserve">nastavené struktuře </w:t>
      </w:r>
      <w:r w:rsidR="00AF520B" w:rsidRPr="00AF520B">
        <w:rPr>
          <w:rFonts w:cstheme="minorBidi"/>
          <w:i/>
        </w:rPr>
        <w:t>Systém</w:t>
      </w:r>
      <w:r w:rsidR="00AF520B">
        <w:rPr>
          <w:rFonts w:cstheme="minorBidi"/>
          <w:i/>
        </w:rPr>
        <w:t>u</w:t>
      </w:r>
      <w:r w:rsidR="00AF520B" w:rsidRPr="00AF520B">
        <w:rPr>
          <w:rFonts w:cstheme="minorBidi"/>
          <w:i/>
        </w:rPr>
        <w:t xml:space="preserve"> monitoringu spotřeby energie</w:t>
      </w:r>
      <w:r w:rsidR="00AF520B" w:rsidRPr="00AF520B">
        <w:rPr>
          <w:rFonts w:cstheme="minorBidi"/>
        </w:rPr>
        <w:t xml:space="preserve"> </w:t>
      </w:r>
      <w:r w:rsidR="00AF520B">
        <w:rPr>
          <w:rFonts w:cstheme="minorBidi"/>
        </w:rPr>
        <w:t>Ministerstvem průmyslu a obchodu</w:t>
      </w:r>
      <w:r w:rsidR="00FA0098">
        <w:rPr>
          <w:rFonts w:cstheme="minorBidi"/>
        </w:rPr>
        <w:t xml:space="preserve"> </w:t>
      </w:r>
      <w:r w:rsidR="00AF520B">
        <w:rPr>
          <w:rFonts w:cstheme="minorBidi"/>
        </w:rPr>
        <w:t>a stanovení odpovědnosti za vkládání dat jednotlivým ústředním institucím</w:t>
      </w:r>
      <w:r w:rsidRPr="1BDD3FC5">
        <w:rPr>
          <w:rFonts w:cstheme="minorBidi"/>
        </w:rPr>
        <w:t xml:space="preserve"> existuje riziko</w:t>
      </w:r>
      <w:r w:rsidR="009E6FB1" w:rsidRPr="1BDD3FC5">
        <w:rPr>
          <w:rFonts w:cstheme="minorBidi"/>
        </w:rPr>
        <w:t xml:space="preserve"> nekompletních nebo nepřesně uváděných údajů</w:t>
      </w:r>
      <w:r w:rsidRPr="1BDD3FC5">
        <w:rPr>
          <w:rFonts w:cstheme="minorBidi"/>
        </w:rPr>
        <w:t>.</w:t>
      </w:r>
    </w:p>
    <w:p w14:paraId="435B694F" w14:textId="6579FB47" w:rsidR="00B45EF2" w:rsidRDefault="000D3B4C" w:rsidP="00DA4891">
      <w:pPr>
        <w:spacing w:after="120"/>
        <w:rPr>
          <w:rFonts w:cstheme="minorHAnsi"/>
        </w:rPr>
      </w:pPr>
      <w:r w:rsidRPr="00C8127F">
        <w:rPr>
          <w:rFonts w:cstheme="minorBidi"/>
        </w:rPr>
        <w:t xml:space="preserve">U projektů </w:t>
      </w:r>
      <w:r w:rsidR="008D7954" w:rsidRPr="00C8127F">
        <w:rPr>
          <w:rFonts w:cstheme="minorBidi"/>
        </w:rPr>
        <w:t>s plánovaným termínem</w:t>
      </w:r>
      <w:r w:rsidR="008D7954">
        <w:rPr>
          <w:rFonts w:cstheme="minorBidi"/>
        </w:rPr>
        <w:t xml:space="preserve"> realizace v roce 2020 byla ke dni 21. 7. 2020 v </w:t>
      </w:r>
      <w:r w:rsidR="008D7954" w:rsidRPr="002D0144">
        <w:rPr>
          <w:rFonts w:cstheme="minorBidi"/>
          <w:i/>
        </w:rPr>
        <w:t>Systému monitoringu spotřeby energie</w:t>
      </w:r>
      <w:r w:rsidR="008D7954">
        <w:rPr>
          <w:rFonts w:cstheme="minorBidi"/>
        </w:rPr>
        <w:t xml:space="preserve"> evidována </w:t>
      </w:r>
      <w:r w:rsidR="00740716">
        <w:rPr>
          <w:rFonts w:cstheme="minorBidi"/>
        </w:rPr>
        <w:t xml:space="preserve">předpokládaná </w:t>
      </w:r>
      <w:r w:rsidR="008D7954">
        <w:rPr>
          <w:rFonts w:cstheme="minorBidi"/>
        </w:rPr>
        <w:t xml:space="preserve">roční úspora </w:t>
      </w:r>
      <w:r w:rsidR="00740716">
        <w:rPr>
          <w:rFonts w:cstheme="minorBidi"/>
        </w:rPr>
        <w:t>ve</w:t>
      </w:r>
      <w:r w:rsidR="00CB5367">
        <w:rPr>
          <w:rFonts w:cstheme="minorBidi"/>
        </w:rPr>
        <w:t xml:space="preserve"> </w:t>
      </w:r>
      <w:r>
        <w:rPr>
          <w:rFonts w:cstheme="minorBidi"/>
        </w:rPr>
        <w:t xml:space="preserve">výši </w:t>
      </w:r>
      <w:r w:rsidR="00740716">
        <w:rPr>
          <w:rFonts w:cstheme="minorBidi"/>
        </w:rPr>
        <w:t xml:space="preserve">28 227 GJ/rok, z toho </w:t>
      </w:r>
      <w:r w:rsidR="00CB5367">
        <w:rPr>
          <w:rFonts w:cstheme="minorBidi"/>
        </w:rPr>
        <w:t xml:space="preserve">pro projekty </w:t>
      </w:r>
      <w:r w:rsidR="00740716">
        <w:rPr>
          <w:rFonts w:cstheme="minorBidi"/>
        </w:rPr>
        <w:t>ve fázi realizace a ve fázi po dokončení realizace ve</w:t>
      </w:r>
      <w:r w:rsidR="00CB5367">
        <w:rPr>
          <w:rFonts w:cstheme="minorBidi"/>
        </w:rPr>
        <w:t xml:space="preserve"> </w:t>
      </w:r>
      <w:r w:rsidR="00740716">
        <w:rPr>
          <w:rFonts w:cstheme="minorBidi"/>
        </w:rPr>
        <w:t xml:space="preserve">výši </w:t>
      </w:r>
      <w:r>
        <w:rPr>
          <w:rFonts w:cstheme="minorBidi"/>
        </w:rPr>
        <w:t>5 634 GJ/rok.</w:t>
      </w:r>
    </w:p>
    <w:p w14:paraId="24E3C8A7" w14:textId="13A9BDDE" w:rsidR="000D3B4C" w:rsidRPr="00D01DF7" w:rsidRDefault="000D3B4C" w:rsidP="000D3B4C">
      <w:pPr>
        <w:pStyle w:val="Nzevtabulky"/>
        <w:ind w:left="284" w:hanging="284"/>
      </w:pPr>
      <w:r>
        <w:t>Vývoj plnění závazku dle čl. 5 EED v letech 2014</w:t>
      </w:r>
      <w:r w:rsidR="00CB5367">
        <w:t>–</w:t>
      </w:r>
      <w:r>
        <w:t>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2"/>
        <w:gridCol w:w="908"/>
        <w:gridCol w:w="910"/>
        <w:gridCol w:w="908"/>
        <w:gridCol w:w="910"/>
        <w:gridCol w:w="908"/>
        <w:gridCol w:w="964"/>
      </w:tblGrid>
      <w:tr w:rsidR="000D3B4C" w:rsidRPr="000D3B4C" w14:paraId="72101AFC" w14:textId="77777777" w:rsidTr="00DE3B28">
        <w:trPr>
          <w:trHeight w:val="20"/>
        </w:trPr>
        <w:tc>
          <w:tcPr>
            <w:tcW w:w="1961" w:type="pct"/>
            <w:tcBorders>
              <w:tr2bl w:val="single" w:sz="4" w:space="0" w:color="auto"/>
            </w:tcBorders>
            <w:shd w:val="clear" w:color="auto" w:fill="auto"/>
            <w:vAlign w:val="center"/>
            <w:hideMark/>
          </w:tcPr>
          <w:p w14:paraId="5195770C" w14:textId="77777777" w:rsidR="000D3B4C" w:rsidRPr="000D3B4C" w:rsidRDefault="000D3B4C" w:rsidP="00DE3B28">
            <w:pPr>
              <w:rPr>
                <w:rFonts w:cstheme="minorHAnsi"/>
                <w:color w:val="000000"/>
                <w:sz w:val="20"/>
              </w:rPr>
            </w:pPr>
            <w:r w:rsidRPr="000D3B4C">
              <w:rPr>
                <w:rFonts w:cstheme="minorHAnsi"/>
                <w:bCs/>
                <w:iCs/>
                <w:color w:val="000000"/>
                <w:sz w:val="20"/>
              </w:rPr>
              <w:t> </w:t>
            </w:r>
          </w:p>
        </w:tc>
        <w:tc>
          <w:tcPr>
            <w:tcW w:w="501" w:type="pct"/>
            <w:shd w:val="clear" w:color="auto" w:fill="E5F1FF"/>
            <w:noWrap/>
            <w:vAlign w:val="center"/>
            <w:hideMark/>
          </w:tcPr>
          <w:p w14:paraId="6E04F307" w14:textId="77777777" w:rsidR="000D3B4C" w:rsidRPr="000D3B4C" w:rsidRDefault="000D3B4C" w:rsidP="00DE3B28">
            <w:pPr>
              <w:jc w:val="center"/>
              <w:rPr>
                <w:rFonts w:cstheme="minorHAnsi"/>
                <w:b/>
                <w:bCs/>
                <w:color w:val="000000"/>
                <w:sz w:val="20"/>
              </w:rPr>
            </w:pPr>
            <w:r w:rsidRPr="000D3B4C">
              <w:rPr>
                <w:rFonts w:cstheme="minorHAnsi"/>
                <w:b/>
                <w:bCs/>
                <w:iCs/>
                <w:color w:val="000000"/>
                <w:sz w:val="20"/>
              </w:rPr>
              <w:t>2014</w:t>
            </w:r>
          </w:p>
        </w:tc>
        <w:tc>
          <w:tcPr>
            <w:tcW w:w="502" w:type="pct"/>
            <w:shd w:val="clear" w:color="auto" w:fill="E5F1FF"/>
            <w:noWrap/>
            <w:vAlign w:val="center"/>
            <w:hideMark/>
          </w:tcPr>
          <w:p w14:paraId="4EEC546B" w14:textId="77777777" w:rsidR="000D3B4C" w:rsidRPr="000D3B4C" w:rsidRDefault="000D3B4C" w:rsidP="00DE3B28">
            <w:pPr>
              <w:jc w:val="center"/>
              <w:rPr>
                <w:rFonts w:cstheme="minorHAnsi"/>
                <w:b/>
                <w:bCs/>
                <w:color w:val="000000"/>
                <w:sz w:val="20"/>
              </w:rPr>
            </w:pPr>
            <w:r w:rsidRPr="000D3B4C">
              <w:rPr>
                <w:rFonts w:cstheme="minorHAnsi"/>
                <w:b/>
                <w:bCs/>
                <w:iCs/>
                <w:color w:val="000000"/>
                <w:sz w:val="20"/>
              </w:rPr>
              <w:t>2015</w:t>
            </w:r>
          </w:p>
        </w:tc>
        <w:tc>
          <w:tcPr>
            <w:tcW w:w="501" w:type="pct"/>
            <w:shd w:val="clear" w:color="auto" w:fill="E5F1FF"/>
            <w:noWrap/>
            <w:vAlign w:val="center"/>
            <w:hideMark/>
          </w:tcPr>
          <w:p w14:paraId="5B6F76E5" w14:textId="77777777" w:rsidR="000D3B4C" w:rsidRPr="000D3B4C" w:rsidRDefault="000D3B4C" w:rsidP="00DE3B28">
            <w:pPr>
              <w:jc w:val="center"/>
              <w:rPr>
                <w:rFonts w:cstheme="minorHAnsi"/>
                <w:b/>
                <w:bCs/>
                <w:color w:val="000000"/>
                <w:sz w:val="20"/>
              </w:rPr>
            </w:pPr>
            <w:r w:rsidRPr="000D3B4C">
              <w:rPr>
                <w:rFonts w:cstheme="minorHAnsi"/>
                <w:b/>
                <w:bCs/>
                <w:iCs/>
                <w:color w:val="000000"/>
                <w:sz w:val="20"/>
              </w:rPr>
              <w:t>2016</w:t>
            </w:r>
          </w:p>
        </w:tc>
        <w:tc>
          <w:tcPr>
            <w:tcW w:w="502" w:type="pct"/>
            <w:shd w:val="clear" w:color="auto" w:fill="E5F1FF"/>
            <w:noWrap/>
            <w:vAlign w:val="center"/>
            <w:hideMark/>
          </w:tcPr>
          <w:p w14:paraId="5E3109DA" w14:textId="77777777" w:rsidR="000D3B4C" w:rsidRPr="000D3B4C" w:rsidRDefault="000D3B4C" w:rsidP="00DE3B28">
            <w:pPr>
              <w:jc w:val="center"/>
              <w:rPr>
                <w:rFonts w:cstheme="minorHAnsi"/>
                <w:b/>
                <w:bCs/>
                <w:color w:val="000000"/>
                <w:sz w:val="20"/>
              </w:rPr>
            </w:pPr>
            <w:r w:rsidRPr="000D3B4C">
              <w:rPr>
                <w:rFonts w:cstheme="minorHAnsi"/>
                <w:b/>
                <w:bCs/>
                <w:iCs/>
                <w:color w:val="000000"/>
                <w:sz w:val="20"/>
              </w:rPr>
              <w:t>2017</w:t>
            </w:r>
          </w:p>
        </w:tc>
        <w:tc>
          <w:tcPr>
            <w:tcW w:w="501" w:type="pct"/>
            <w:shd w:val="clear" w:color="auto" w:fill="E5F1FF"/>
            <w:noWrap/>
            <w:vAlign w:val="center"/>
            <w:hideMark/>
          </w:tcPr>
          <w:p w14:paraId="1A53E828" w14:textId="77777777" w:rsidR="000D3B4C" w:rsidRPr="000D3B4C" w:rsidRDefault="000D3B4C" w:rsidP="00DE3B28">
            <w:pPr>
              <w:jc w:val="center"/>
              <w:rPr>
                <w:rFonts w:cstheme="minorHAnsi"/>
                <w:b/>
                <w:bCs/>
                <w:color w:val="000000"/>
                <w:sz w:val="20"/>
              </w:rPr>
            </w:pPr>
            <w:r w:rsidRPr="000D3B4C">
              <w:rPr>
                <w:rFonts w:cstheme="minorHAnsi"/>
                <w:b/>
                <w:bCs/>
                <w:iCs/>
                <w:color w:val="000000"/>
                <w:sz w:val="20"/>
              </w:rPr>
              <w:t>2018</w:t>
            </w:r>
          </w:p>
        </w:tc>
        <w:tc>
          <w:tcPr>
            <w:tcW w:w="531" w:type="pct"/>
            <w:shd w:val="clear" w:color="auto" w:fill="E5F1FF"/>
            <w:noWrap/>
            <w:vAlign w:val="center"/>
            <w:hideMark/>
          </w:tcPr>
          <w:p w14:paraId="1FFE18F4" w14:textId="77777777" w:rsidR="000D3B4C" w:rsidRPr="000D3B4C" w:rsidRDefault="000D3B4C" w:rsidP="00DE3B28">
            <w:pPr>
              <w:jc w:val="center"/>
              <w:rPr>
                <w:rFonts w:cstheme="minorHAnsi"/>
                <w:b/>
                <w:bCs/>
                <w:color w:val="000000"/>
                <w:sz w:val="20"/>
              </w:rPr>
            </w:pPr>
            <w:r w:rsidRPr="000D3B4C">
              <w:rPr>
                <w:rFonts w:cstheme="minorHAnsi"/>
                <w:b/>
                <w:bCs/>
                <w:iCs/>
                <w:color w:val="000000"/>
                <w:sz w:val="20"/>
              </w:rPr>
              <w:t>2019</w:t>
            </w:r>
          </w:p>
        </w:tc>
      </w:tr>
      <w:tr w:rsidR="000D3B4C" w:rsidRPr="000D3B4C" w14:paraId="63513B36" w14:textId="77777777" w:rsidTr="00DE3B28">
        <w:trPr>
          <w:trHeight w:val="20"/>
        </w:trPr>
        <w:tc>
          <w:tcPr>
            <w:tcW w:w="1961" w:type="pct"/>
            <w:tcBorders>
              <w:bottom w:val="single" w:sz="4" w:space="0" w:color="auto"/>
            </w:tcBorders>
            <w:shd w:val="clear" w:color="auto" w:fill="auto"/>
            <w:vAlign w:val="center"/>
            <w:hideMark/>
          </w:tcPr>
          <w:p w14:paraId="6EE82749" w14:textId="14A1D4ED" w:rsidR="000D3B4C" w:rsidRPr="000D3B4C" w:rsidRDefault="000D3B4C" w:rsidP="00C8127F">
            <w:pPr>
              <w:rPr>
                <w:rFonts w:cstheme="minorHAnsi"/>
                <w:b/>
                <w:bCs/>
                <w:color w:val="000000"/>
                <w:sz w:val="20"/>
              </w:rPr>
            </w:pPr>
            <w:r w:rsidRPr="000D3B4C">
              <w:rPr>
                <w:rFonts w:cstheme="minorHAnsi"/>
                <w:b/>
                <w:bCs/>
                <w:iCs/>
                <w:color w:val="000000"/>
                <w:sz w:val="20"/>
              </w:rPr>
              <w:t xml:space="preserve">Závazek ročních úspor energie </w:t>
            </w:r>
            <w:r w:rsidR="00C8127F">
              <w:rPr>
                <w:rFonts w:cstheme="minorHAnsi"/>
                <w:b/>
                <w:bCs/>
                <w:iCs/>
                <w:color w:val="000000"/>
                <w:sz w:val="20"/>
              </w:rPr>
              <w:t>(</w:t>
            </w:r>
            <w:r w:rsidR="00C8127F" w:rsidRPr="003A7F8D">
              <w:rPr>
                <w:rFonts w:cstheme="minorHAnsi"/>
                <w:b/>
                <w:bCs/>
                <w:iCs/>
                <w:color w:val="000000"/>
                <w:sz w:val="20"/>
              </w:rPr>
              <w:t>v</w:t>
            </w:r>
            <w:r w:rsidR="00C8127F">
              <w:rPr>
                <w:rFonts w:cstheme="minorHAnsi"/>
                <w:b/>
                <w:bCs/>
                <w:iCs/>
                <w:color w:val="000000"/>
                <w:sz w:val="20"/>
              </w:rPr>
              <w:t xml:space="preserve"> </w:t>
            </w:r>
            <w:r w:rsidRPr="000D3B4C">
              <w:rPr>
                <w:rFonts w:cstheme="minorHAnsi"/>
                <w:b/>
                <w:bCs/>
                <w:iCs/>
                <w:color w:val="000000"/>
                <w:sz w:val="20"/>
              </w:rPr>
              <w:t>TJ</w:t>
            </w:r>
            <w:r w:rsidR="00C8127F">
              <w:rPr>
                <w:rFonts w:cstheme="minorHAnsi"/>
                <w:b/>
                <w:bCs/>
                <w:iCs/>
                <w:color w:val="000000"/>
                <w:sz w:val="20"/>
              </w:rPr>
              <w:t>)</w:t>
            </w:r>
          </w:p>
        </w:tc>
        <w:tc>
          <w:tcPr>
            <w:tcW w:w="501" w:type="pct"/>
            <w:shd w:val="clear" w:color="auto" w:fill="auto"/>
            <w:noWrap/>
            <w:vAlign w:val="center"/>
            <w:hideMark/>
          </w:tcPr>
          <w:p w14:paraId="5B381188" w14:textId="77777777" w:rsidR="000D3B4C" w:rsidRPr="000D3B4C" w:rsidRDefault="000D3B4C" w:rsidP="00DE3B28">
            <w:pPr>
              <w:jc w:val="center"/>
              <w:rPr>
                <w:rFonts w:cstheme="minorHAnsi"/>
                <w:color w:val="000000"/>
                <w:sz w:val="20"/>
              </w:rPr>
            </w:pPr>
            <w:r w:rsidRPr="000D3B4C">
              <w:rPr>
                <w:rFonts w:cstheme="minorHAnsi"/>
                <w:color w:val="000000"/>
                <w:sz w:val="20"/>
              </w:rPr>
              <w:t>5,3</w:t>
            </w:r>
          </w:p>
        </w:tc>
        <w:tc>
          <w:tcPr>
            <w:tcW w:w="502" w:type="pct"/>
            <w:shd w:val="clear" w:color="auto" w:fill="auto"/>
            <w:noWrap/>
            <w:vAlign w:val="center"/>
            <w:hideMark/>
          </w:tcPr>
          <w:p w14:paraId="11056B8C" w14:textId="77777777" w:rsidR="000D3B4C" w:rsidRPr="000D3B4C" w:rsidRDefault="000D3B4C" w:rsidP="00DE3B28">
            <w:pPr>
              <w:jc w:val="center"/>
              <w:rPr>
                <w:rFonts w:cstheme="minorHAnsi"/>
                <w:color w:val="000000"/>
                <w:sz w:val="20"/>
              </w:rPr>
            </w:pPr>
            <w:r w:rsidRPr="000D3B4C">
              <w:rPr>
                <w:rFonts w:cstheme="minorHAnsi"/>
                <w:color w:val="000000"/>
                <w:sz w:val="20"/>
              </w:rPr>
              <w:t>5,3</w:t>
            </w:r>
          </w:p>
        </w:tc>
        <w:tc>
          <w:tcPr>
            <w:tcW w:w="501" w:type="pct"/>
            <w:shd w:val="clear" w:color="auto" w:fill="auto"/>
            <w:noWrap/>
            <w:vAlign w:val="center"/>
            <w:hideMark/>
          </w:tcPr>
          <w:p w14:paraId="17FB84DF" w14:textId="77777777" w:rsidR="000D3B4C" w:rsidRPr="000D3B4C" w:rsidRDefault="000D3B4C" w:rsidP="00DE3B28">
            <w:pPr>
              <w:jc w:val="center"/>
              <w:rPr>
                <w:rFonts w:cstheme="minorHAnsi"/>
                <w:color w:val="000000"/>
                <w:sz w:val="20"/>
              </w:rPr>
            </w:pPr>
            <w:r w:rsidRPr="000D3B4C">
              <w:rPr>
                <w:rFonts w:cstheme="minorHAnsi"/>
                <w:color w:val="000000"/>
                <w:sz w:val="20"/>
              </w:rPr>
              <w:t>5,3</w:t>
            </w:r>
          </w:p>
        </w:tc>
        <w:tc>
          <w:tcPr>
            <w:tcW w:w="502" w:type="pct"/>
            <w:shd w:val="clear" w:color="auto" w:fill="auto"/>
            <w:noWrap/>
            <w:vAlign w:val="center"/>
            <w:hideMark/>
          </w:tcPr>
          <w:p w14:paraId="27251C88" w14:textId="77777777" w:rsidR="000D3B4C" w:rsidRPr="000D3B4C" w:rsidRDefault="000D3B4C" w:rsidP="00DE3B28">
            <w:pPr>
              <w:jc w:val="center"/>
              <w:rPr>
                <w:rFonts w:cstheme="minorHAnsi"/>
                <w:color w:val="000000"/>
                <w:sz w:val="20"/>
              </w:rPr>
            </w:pPr>
            <w:r w:rsidRPr="000D3B4C">
              <w:rPr>
                <w:rFonts w:cstheme="minorHAnsi"/>
                <w:color w:val="000000"/>
                <w:sz w:val="20"/>
              </w:rPr>
              <w:t>20,7</w:t>
            </w:r>
          </w:p>
        </w:tc>
        <w:tc>
          <w:tcPr>
            <w:tcW w:w="501" w:type="pct"/>
            <w:shd w:val="clear" w:color="auto" w:fill="auto"/>
            <w:noWrap/>
            <w:vAlign w:val="center"/>
            <w:hideMark/>
          </w:tcPr>
          <w:p w14:paraId="55C445C0" w14:textId="77777777" w:rsidR="000D3B4C" w:rsidRPr="000D3B4C" w:rsidRDefault="000D3B4C" w:rsidP="00DE3B28">
            <w:pPr>
              <w:jc w:val="center"/>
              <w:rPr>
                <w:rFonts w:cstheme="minorHAnsi"/>
                <w:color w:val="000000"/>
                <w:sz w:val="20"/>
              </w:rPr>
            </w:pPr>
            <w:r w:rsidRPr="000D3B4C">
              <w:rPr>
                <w:rFonts w:cstheme="minorHAnsi"/>
                <w:color w:val="000000"/>
                <w:sz w:val="20"/>
              </w:rPr>
              <w:t>20,7</w:t>
            </w:r>
          </w:p>
        </w:tc>
        <w:tc>
          <w:tcPr>
            <w:tcW w:w="531" w:type="pct"/>
            <w:shd w:val="clear" w:color="auto" w:fill="auto"/>
            <w:noWrap/>
            <w:vAlign w:val="center"/>
            <w:hideMark/>
          </w:tcPr>
          <w:p w14:paraId="65B4C75E" w14:textId="77777777" w:rsidR="000D3B4C" w:rsidRPr="000D3B4C" w:rsidRDefault="000D3B4C" w:rsidP="00DE3B28">
            <w:pPr>
              <w:jc w:val="center"/>
              <w:rPr>
                <w:rFonts w:cstheme="minorHAnsi"/>
                <w:color w:val="000000"/>
                <w:sz w:val="20"/>
              </w:rPr>
            </w:pPr>
            <w:r w:rsidRPr="000D3B4C">
              <w:rPr>
                <w:rFonts w:cstheme="minorHAnsi"/>
                <w:color w:val="000000"/>
                <w:sz w:val="20"/>
              </w:rPr>
              <w:t>20,7</w:t>
            </w:r>
          </w:p>
        </w:tc>
      </w:tr>
      <w:tr w:rsidR="000D3B4C" w:rsidRPr="000D3B4C" w14:paraId="4144FB26" w14:textId="77777777" w:rsidTr="00DE3B28">
        <w:trPr>
          <w:trHeight w:val="20"/>
        </w:trPr>
        <w:tc>
          <w:tcPr>
            <w:tcW w:w="1961" w:type="pct"/>
            <w:tcBorders>
              <w:tr2bl w:val="single" w:sz="4" w:space="0" w:color="auto"/>
            </w:tcBorders>
            <w:shd w:val="clear" w:color="auto" w:fill="auto"/>
            <w:vAlign w:val="center"/>
            <w:hideMark/>
          </w:tcPr>
          <w:p w14:paraId="3E596D32" w14:textId="77777777" w:rsidR="000D3B4C" w:rsidRPr="000D3B4C" w:rsidRDefault="000D3B4C" w:rsidP="00DE3B28">
            <w:pPr>
              <w:rPr>
                <w:rFonts w:cstheme="minorHAnsi"/>
                <w:b/>
                <w:bCs/>
                <w:color w:val="000000"/>
                <w:sz w:val="20"/>
              </w:rPr>
            </w:pPr>
            <w:r w:rsidRPr="000D3B4C">
              <w:rPr>
                <w:rFonts w:cstheme="minorHAnsi"/>
                <w:b/>
                <w:bCs/>
                <w:iCs/>
                <w:color w:val="000000"/>
                <w:sz w:val="20"/>
              </w:rPr>
              <w:t> </w:t>
            </w:r>
          </w:p>
        </w:tc>
        <w:tc>
          <w:tcPr>
            <w:tcW w:w="3039" w:type="pct"/>
            <w:gridSpan w:val="6"/>
            <w:shd w:val="clear" w:color="auto" w:fill="E5F1FF"/>
            <w:noWrap/>
            <w:vAlign w:val="center"/>
            <w:hideMark/>
          </w:tcPr>
          <w:p w14:paraId="07BEE432" w14:textId="26F5F25E" w:rsidR="000D3B4C" w:rsidRPr="000D3B4C" w:rsidRDefault="000D3B4C" w:rsidP="005E1606">
            <w:pPr>
              <w:jc w:val="center"/>
              <w:rPr>
                <w:rFonts w:cstheme="minorHAnsi"/>
                <w:b/>
                <w:bCs/>
                <w:color w:val="000000"/>
                <w:sz w:val="20"/>
              </w:rPr>
            </w:pPr>
            <w:r w:rsidRPr="000D3B4C">
              <w:rPr>
                <w:rFonts w:cstheme="minorHAnsi"/>
                <w:b/>
                <w:bCs/>
                <w:iCs/>
                <w:color w:val="000000"/>
                <w:sz w:val="20"/>
              </w:rPr>
              <w:t>Realizované</w:t>
            </w:r>
          </w:p>
        </w:tc>
      </w:tr>
      <w:tr w:rsidR="000D3B4C" w:rsidRPr="000D3B4C" w14:paraId="12F8D8CE" w14:textId="77777777" w:rsidTr="00DE3B28">
        <w:trPr>
          <w:trHeight w:val="20"/>
        </w:trPr>
        <w:tc>
          <w:tcPr>
            <w:tcW w:w="1961" w:type="pct"/>
            <w:shd w:val="clear" w:color="auto" w:fill="auto"/>
            <w:vAlign w:val="center"/>
            <w:hideMark/>
          </w:tcPr>
          <w:p w14:paraId="0E63C85C" w14:textId="7C13CBB1" w:rsidR="000D3B4C" w:rsidRPr="000D3B4C" w:rsidRDefault="000D3B4C" w:rsidP="00C8127F">
            <w:pPr>
              <w:rPr>
                <w:rFonts w:cstheme="minorHAnsi"/>
                <w:b/>
                <w:bCs/>
                <w:color w:val="000000"/>
                <w:sz w:val="20"/>
              </w:rPr>
            </w:pPr>
            <w:r w:rsidRPr="000D3B4C">
              <w:rPr>
                <w:rFonts w:cstheme="minorHAnsi"/>
                <w:b/>
                <w:bCs/>
                <w:iCs/>
                <w:color w:val="000000"/>
                <w:sz w:val="20"/>
              </w:rPr>
              <w:t xml:space="preserve">Roční úspory energie </w:t>
            </w:r>
            <w:r w:rsidR="00C8127F">
              <w:rPr>
                <w:rFonts w:cstheme="minorHAnsi"/>
                <w:b/>
                <w:bCs/>
                <w:iCs/>
                <w:color w:val="000000"/>
                <w:sz w:val="20"/>
              </w:rPr>
              <w:t>(</w:t>
            </w:r>
            <w:r w:rsidR="00C8127F" w:rsidRPr="003A7F8D">
              <w:rPr>
                <w:rFonts w:cstheme="minorHAnsi"/>
                <w:b/>
                <w:bCs/>
                <w:iCs/>
                <w:color w:val="000000"/>
                <w:sz w:val="20"/>
              </w:rPr>
              <w:t xml:space="preserve">v </w:t>
            </w:r>
            <w:r w:rsidRPr="000D3B4C">
              <w:rPr>
                <w:rFonts w:cstheme="minorHAnsi"/>
                <w:b/>
                <w:bCs/>
                <w:iCs/>
                <w:color w:val="000000"/>
                <w:sz w:val="20"/>
              </w:rPr>
              <w:t>TJ</w:t>
            </w:r>
            <w:r w:rsidR="00C8127F">
              <w:rPr>
                <w:rFonts w:cstheme="minorHAnsi"/>
                <w:b/>
                <w:bCs/>
                <w:iCs/>
                <w:color w:val="000000"/>
                <w:sz w:val="20"/>
              </w:rPr>
              <w:t>)</w:t>
            </w:r>
          </w:p>
        </w:tc>
        <w:tc>
          <w:tcPr>
            <w:tcW w:w="501" w:type="pct"/>
            <w:shd w:val="clear" w:color="auto" w:fill="auto"/>
            <w:noWrap/>
            <w:vAlign w:val="center"/>
            <w:hideMark/>
          </w:tcPr>
          <w:p w14:paraId="250A25F3" w14:textId="77777777" w:rsidR="000D3B4C" w:rsidRPr="000D3B4C" w:rsidRDefault="000D3B4C" w:rsidP="00DE3B28">
            <w:pPr>
              <w:jc w:val="center"/>
              <w:rPr>
                <w:rFonts w:cstheme="minorHAnsi"/>
                <w:color w:val="000000"/>
                <w:sz w:val="20"/>
              </w:rPr>
            </w:pPr>
            <w:r w:rsidRPr="000D3B4C">
              <w:rPr>
                <w:rFonts w:cstheme="minorHAnsi"/>
                <w:color w:val="000000"/>
                <w:sz w:val="20"/>
              </w:rPr>
              <w:t>4,1</w:t>
            </w:r>
          </w:p>
        </w:tc>
        <w:tc>
          <w:tcPr>
            <w:tcW w:w="502" w:type="pct"/>
            <w:shd w:val="clear" w:color="auto" w:fill="auto"/>
            <w:noWrap/>
            <w:vAlign w:val="center"/>
            <w:hideMark/>
          </w:tcPr>
          <w:p w14:paraId="115E9B6B" w14:textId="77777777" w:rsidR="000D3B4C" w:rsidRPr="000D3B4C" w:rsidRDefault="000D3B4C" w:rsidP="00DE3B28">
            <w:pPr>
              <w:jc w:val="center"/>
              <w:rPr>
                <w:rFonts w:cstheme="minorHAnsi"/>
                <w:color w:val="000000"/>
                <w:sz w:val="20"/>
              </w:rPr>
            </w:pPr>
            <w:r w:rsidRPr="000D3B4C">
              <w:rPr>
                <w:rFonts w:cstheme="minorHAnsi"/>
                <w:color w:val="000000"/>
                <w:sz w:val="20"/>
              </w:rPr>
              <w:t>12,3</w:t>
            </w:r>
          </w:p>
        </w:tc>
        <w:tc>
          <w:tcPr>
            <w:tcW w:w="501" w:type="pct"/>
            <w:shd w:val="clear" w:color="auto" w:fill="auto"/>
            <w:noWrap/>
            <w:vAlign w:val="center"/>
            <w:hideMark/>
          </w:tcPr>
          <w:p w14:paraId="757D1DED" w14:textId="77777777" w:rsidR="000D3B4C" w:rsidRPr="000D3B4C" w:rsidRDefault="000D3B4C" w:rsidP="00DE3B28">
            <w:pPr>
              <w:jc w:val="center"/>
              <w:rPr>
                <w:rFonts w:cstheme="minorHAnsi"/>
                <w:color w:val="000000"/>
                <w:sz w:val="20"/>
              </w:rPr>
            </w:pPr>
            <w:r w:rsidRPr="000D3B4C">
              <w:rPr>
                <w:rFonts w:cstheme="minorHAnsi"/>
                <w:color w:val="000000"/>
                <w:sz w:val="20"/>
              </w:rPr>
              <w:t>7,8</w:t>
            </w:r>
          </w:p>
        </w:tc>
        <w:tc>
          <w:tcPr>
            <w:tcW w:w="502" w:type="pct"/>
            <w:shd w:val="clear" w:color="auto" w:fill="auto"/>
            <w:noWrap/>
            <w:vAlign w:val="center"/>
            <w:hideMark/>
          </w:tcPr>
          <w:p w14:paraId="5BF206EE" w14:textId="77777777" w:rsidR="000D3B4C" w:rsidRPr="000D3B4C" w:rsidRDefault="000D3B4C" w:rsidP="00DE3B28">
            <w:pPr>
              <w:jc w:val="center"/>
              <w:rPr>
                <w:rFonts w:cstheme="minorHAnsi"/>
                <w:color w:val="000000"/>
                <w:sz w:val="20"/>
              </w:rPr>
            </w:pPr>
            <w:r w:rsidRPr="000D3B4C">
              <w:rPr>
                <w:rFonts w:cstheme="minorHAnsi"/>
                <w:color w:val="000000"/>
                <w:sz w:val="20"/>
              </w:rPr>
              <w:t>25,2</w:t>
            </w:r>
          </w:p>
        </w:tc>
        <w:tc>
          <w:tcPr>
            <w:tcW w:w="501" w:type="pct"/>
            <w:shd w:val="clear" w:color="auto" w:fill="auto"/>
            <w:noWrap/>
            <w:vAlign w:val="center"/>
            <w:hideMark/>
          </w:tcPr>
          <w:p w14:paraId="6F00BFC9" w14:textId="77777777" w:rsidR="000D3B4C" w:rsidRPr="000D3B4C" w:rsidRDefault="000D3B4C" w:rsidP="00DE3B28">
            <w:pPr>
              <w:jc w:val="center"/>
              <w:rPr>
                <w:rFonts w:cstheme="minorHAnsi"/>
                <w:color w:val="000000"/>
                <w:sz w:val="20"/>
              </w:rPr>
            </w:pPr>
            <w:r w:rsidRPr="000D3B4C">
              <w:rPr>
                <w:rFonts w:cstheme="minorHAnsi"/>
                <w:color w:val="000000"/>
                <w:sz w:val="20"/>
              </w:rPr>
              <w:t>8,5</w:t>
            </w:r>
          </w:p>
        </w:tc>
        <w:tc>
          <w:tcPr>
            <w:tcW w:w="531" w:type="pct"/>
            <w:shd w:val="clear" w:color="auto" w:fill="auto"/>
            <w:noWrap/>
            <w:vAlign w:val="center"/>
            <w:hideMark/>
          </w:tcPr>
          <w:p w14:paraId="0ACA6E5F" w14:textId="77777777" w:rsidR="000D3B4C" w:rsidRPr="000D3B4C" w:rsidRDefault="000D3B4C" w:rsidP="00DE3B28">
            <w:pPr>
              <w:jc w:val="center"/>
              <w:rPr>
                <w:rFonts w:cstheme="minorHAnsi"/>
                <w:color w:val="000000"/>
                <w:sz w:val="20"/>
              </w:rPr>
            </w:pPr>
            <w:r w:rsidRPr="000D3B4C">
              <w:rPr>
                <w:rFonts w:cstheme="minorHAnsi"/>
                <w:color w:val="000000"/>
                <w:sz w:val="20"/>
              </w:rPr>
              <w:t>12,1</w:t>
            </w:r>
          </w:p>
        </w:tc>
      </w:tr>
    </w:tbl>
    <w:p w14:paraId="6FA20357" w14:textId="1E7A455B" w:rsidR="000D3B4C" w:rsidRPr="00DD26BA" w:rsidRDefault="000D3B4C" w:rsidP="00C8127F">
      <w:pPr>
        <w:ind w:left="567" w:hanging="567"/>
        <w:rPr>
          <w:rFonts w:cstheme="minorHAnsi"/>
          <w:i/>
          <w:sz w:val="20"/>
        </w:rPr>
      </w:pPr>
      <w:r>
        <w:rPr>
          <w:rFonts w:cstheme="minorHAnsi"/>
          <w:i/>
          <w:sz w:val="20"/>
        </w:rPr>
        <w:t>Zdroj:</w:t>
      </w:r>
      <w:r w:rsidR="00F451ED">
        <w:rPr>
          <w:rFonts w:cstheme="minorHAnsi"/>
          <w:i/>
          <w:sz w:val="20"/>
        </w:rPr>
        <w:t xml:space="preserve"> </w:t>
      </w:r>
      <w:r w:rsidR="00C8127F">
        <w:rPr>
          <w:rFonts w:cstheme="minorHAnsi"/>
          <w:i/>
          <w:sz w:val="20"/>
        </w:rPr>
        <w:tab/>
      </w:r>
      <w:r w:rsidRPr="00D04CDA">
        <w:rPr>
          <w:rFonts w:cstheme="minorHAnsi"/>
          <w:i/>
          <w:sz w:val="20"/>
        </w:rPr>
        <w:t xml:space="preserve">8. </w:t>
      </w:r>
      <w:r w:rsidR="00C8127F">
        <w:rPr>
          <w:rFonts w:cstheme="minorHAnsi"/>
          <w:i/>
          <w:sz w:val="20"/>
        </w:rPr>
        <w:t>z</w:t>
      </w:r>
      <w:r w:rsidRPr="00D04CDA">
        <w:rPr>
          <w:rFonts w:cstheme="minorHAnsi"/>
          <w:i/>
          <w:sz w:val="20"/>
        </w:rPr>
        <w:t xml:space="preserve">práva o pokroku v oblasti plnění vnitrostátních cílů energetické účinnosti v </w:t>
      </w:r>
      <w:r w:rsidR="00910238">
        <w:rPr>
          <w:rFonts w:cstheme="minorHAnsi"/>
          <w:i/>
          <w:sz w:val="20"/>
        </w:rPr>
        <w:t>Č</w:t>
      </w:r>
      <w:r w:rsidRPr="00D04CDA">
        <w:rPr>
          <w:rFonts w:cstheme="minorHAnsi"/>
          <w:i/>
          <w:sz w:val="20"/>
        </w:rPr>
        <w:t>eské republice podle čl. 24 směrnice 2012/27/EU o energetické účinnosti.</w:t>
      </w:r>
    </w:p>
    <w:p w14:paraId="35671CC3" w14:textId="32C8957B" w:rsidR="000D3B4C" w:rsidRDefault="00FD32C7" w:rsidP="00FD32C7">
      <w:pPr>
        <w:ind w:left="567" w:hanging="567"/>
        <w:rPr>
          <w:rFonts w:cstheme="minorHAnsi"/>
          <w:i/>
          <w:sz w:val="20"/>
        </w:rPr>
      </w:pPr>
      <w:r>
        <w:rPr>
          <w:rFonts w:cstheme="minorHAnsi"/>
          <w:i/>
          <w:sz w:val="20"/>
        </w:rPr>
        <w:t>Pozn.:</w:t>
      </w:r>
      <w:r w:rsidR="000D3B4C">
        <w:rPr>
          <w:rFonts w:cstheme="minorHAnsi"/>
          <w:i/>
          <w:sz w:val="20"/>
        </w:rPr>
        <w:t xml:space="preserve"> </w:t>
      </w:r>
      <w:r>
        <w:rPr>
          <w:rFonts w:cstheme="minorHAnsi"/>
          <w:i/>
          <w:sz w:val="20"/>
        </w:rPr>
        <w:tab/>
      </w:r>
      <w:r w:rsidR="000D3B4C" w:rsidRPr="00F57D04">
        <w:rPr>
          <w:rFonts w:cstheme="minorHAnsi"/>
          <w:i/>
          <w:sz w:val="20"/>
        </w:rPr>
        <w:t xml:space="preserve">Podle údajů z 8. </w:t>
      </w:r>
      <w:r w:rsidR="00C8127F">
        <w:rPr>
          <w:rFonts w:cstheme="minorHAnsi"/>
          <w:i/>
          <w:sz w:val="20"/>
        </w:rPr>
        <w:t>z</w:t>
      </w:r>
      <w:r w:rsidR="000D3B4C" w:rsidRPr="00F57D04">
        <w:rPr>
          <w:rFonts w:cstheme="minorHAnsi"/>
          <w:i/>
          <w:sz w:val="20"/>
        </w:rPr>
        <w:t xml:space="preserve">právy o pokroku </w:t>
      </w:r>
      <w:r w:rsidR="000D3B4C" w:rsidRPr="00EC7BC3">
        <w:rPr>
          <w:rFonts w:cstheme="minorHAnsi"/>
          <w:i/>
          <w:sz w:val="20"/>
        </w:rPr>
        <w:t>v oblasti plnění vnitrostátních</w:t>
      </w:r>
      <w:r w:rsidR="000D3B4C">
        <w:rPr>
          <w:rFonts w:cstheme="minorHAnsi"/>
          <w:i/>
          <w:sz w:val="20"/>
        </w:rPr>
        <w:t xml:space="preserve"> </w:t>
      </w:r>
      <w:r w:rsidR="000D3B4C" w:rsidRPr="00EC7BC3">
        <w:rPr>
          <w:rFonts w:cstheme="minorHAnsi"/>
          <w:i/>
          <w:sz w:val="20"/>
        </w:rPr>
        <w:t xml:space="preserve">cílů energetické účinnosti v </w:t>
      </w:r>
      <w:r w:rsidR="000D3B4C">
        <w:rPr>
          <w:rFonts w:cstheme="minorHAnsi"/>
          <w:i/>
          <w:sz w:val="20"/>
        </w:rPr>
        <w:t>Č</w:t>
      </w:r>
      <w:r w:rsidR="000D3B4C" w:rsidRPr="00EC7BC3">
        <w:rPr>
          <w:rFonts w:cstheme="minorHAnsi"/>
          <w:i/>
          <w:sz w:val="20"/>
        </w:rPr>
        <w:t>eské republice</w:t>
      </w:r>
      <w:r w:rsidR="000D3B4C">
        <w:rPr>
          <w:rFonts w:cstheme="minorHAnsi"/>
          <w:i/>
          <w:sz w:val="20"/>
        </w:rPr>
        <w:t xml:space="preserve"> </w:t>
      </w:r>
      <w:r w:rsidR="000D3B4C" w:rsidRPr="00EC7BC3">
        <w:rPr>
          <w:rFonts w:cstheme="minorHAnsi"/>
          <w:i/>
          <w:sz w:val="20"/>
        </w:rPr>
        <w:t xml:space="preserve">podle čl. 24 </w:t>
      </w:r>
      <w:r w:rsidR="00C8127F">
        <w:rPr>
          <w:rFonts w:cstheme="minorHAnsi"/>
          <w:i/>
          <w:sz w:val="20"/>
        </w:rPr>
        <w:t>s</w:t>
      </w:r>
      <w:r w:rsidR="000D3B4C" w:rsidRPr="00EC7BC3">
        <w:rPr>
          <w:rFonts w:cstheme="minorHAnsi"/>
          <w:i/>
          <w:sz w:val="20"/>
        </w:rPr>
        <w:t>měrnice 2012/27/EU o energetické účinnost</w:t>
      </w:r>
      <w:r w:rsidR="00C8127F">
        <w:rPr>
          <w:rFonts w:cstheme="minorHAnsi"/>
          <w:i/>
          <w:sz w:val="20"/>
        </w:rPr>
        <w:t>i</w:t>
      </w:r>
      <w:r w:rsidR="000D3B4C" w:rsidRPr="00F57D04">
        <w:rPr>
          <w:rFonts w:cstheme="minorHAnsi"/>
          <w:i/>
          <w:sz w:val="20"/>
        </w:rPr>
        <w:t xml:space="preserve"> lze očekávat, že za období</w:t>
      </w:r>
      <w:r>
        <w:rPr>
          <w:rFonts w:cstheme="minorHAnsi"/>
          <w:i/>
          <w:sz w:val="20"/>
        </w:rPr>
        <w:t xml:space="preserve"> let 2014 až 2020</w:t>
      </w:r>
      <w:r w:rsidR="000D3B4C" w:rsidRPr="00F57D04">
        <w:rPr>
          <w:rFonts w:cstheme="minorHAnsi"/>
          <w:i/>
          <w:sz w:val="20"/>
        </w:rPr>
        <w:t xml:space="preserve"> vznikne deficit 1,3 TJ v</w:t>
      </w:r>
      <w:r w:rsidR="000D3B4C">
        <w:rPr>
          <w:rFonts w:cstheme="minorHAnsi"/>
          <w:i/>
          <w:sz w:val="20"/>
        </w:rPr>
        <w:t> </w:t>
      </w:r>
      <w:r w:rsidR="000D3B4C" w:rsidRPr="00F57D04">
        <w:rPr>
          <w:rFonts w:cstheme="minorHAnsi"/>
          <w:i/>
          <w:sz w:val="20"/>
        </w:rPr>
        <w:t>plnění</w:t>
      </w:r>
      <w:r w:rsidR="000D3B4C">
        <w:rPr>
          <w:rFonts w:cstheme="minorHAnsi"/>
          <w:i/>
          <w:sz w:val="20"/>
        </w:rPr>
        <w:t xml:space="preserve"> závazku ročních úspor energie.</w:t>
      </w:r>
    </w:p>
    <w:p w14:paraId="4FC73DEE" w14:textId="63E0164B" w:rsidR="000D3B4C" w:rsidRDefault="000D3B4C" w:rsidP="000D3B4C">
      <w:pPr>
        <w:spacing w:before="120"/>
        <w:rPr>
          <w:rFonts w:cstheme="minorHAnsi"/>
          <w:bCs/>
          <w:iCs/>
        </w:rPr>
      </w:pPr>
      <w:r>
        <w:rPr>
          <w:rFonts w:cstheme="minorHAnsi"/>
          <w:bCs/>
          <w:iCs/>
        </w:rPr>
        <w:t>D</w:t>
      </w:r>
      <w:r w:rsidRPr="00D01DF7">
        <w:rPr>
          <w:rFonts w:cstheme="minorHAnsi"/>
          <w:bCs/>
          <w:iCs/>
        </w:rPr>
        <w:t xml:space="preserve">o ročního podílu energetických úspor </w:t>
      </w:r>
      <w:r w:rsidR="00884931" w:rsidRPr="00D01DF7">
        <w:rPr>
          <w:rFonts w:cstheme="minorHAnsi"/>
          <w:bCs/>
          <w:iCs/>
        </w:rPr>
        <w:t xml:space="preserve">je </w:t>
      </w:r>
      <w:r w:rsidR="00884931">
        <w:rPr>
          <w:rFonts w:cstheme="minorHAnsi"/>
          <w:bCs/>
          <w:iCs/>
        </w:rPr>
        <w:t>po</w:t>
      </w:r>
      <w:r>
        <w:rPr>
          <w:rFonts w:cstheme="minorHAnsi"/>
          <w:bCs/>
          <w:iCs/>
        </w:rPr>
        <w:t>dle</w:t>
      </w:r>
      <w:r w:rsidRPr="00D01DF7">
        <w:rPr>
          <w:rFonts w:cstheme="minorHAnsi"/>
          <w:bCs/>
          <w:iCs/>
        </w:rPr>
        <w:t xml:space="preserve"> čl</w:t>
      </w:r>
      <w:r>
        <w:rPr>
          <w:rFonts w:cstheme="minorHAnsi"/>
          <w:bCs/>
          <w:iCs/>
        </w:rPr>
        <w:t>.</w:t>
      </w:r>
      <w:r w:rsidRPr="00D01DF7">
        <w:rPr>
          <w:rFonts w:cstheme="minorHAnsi"/>
          <w:bCs/>
          <w:iCs/>
        </w:rPr>
        <w:t xml:space="preserve"> 5 EED možno započítat nadbytek v</w:t>
      </w:r>
      <w:r>
        <w:rPr>
          <w:rFonts w:cstheme="minorHAnsi"/>
          <w:bCs/>
          <w:iCs/>
        </w:rPr>
        <w:t> </w:t>
      </w:r>
      <w:r w:rsidRPr="00D01DF7">
        <w:rPr>
          <w:rFonts w:cstheme="minorHAnsi"/>
          <w:bCs/>
          <w:iCs/>
        </w:rPr>
        <w:t>jakémkoliv ze tří předchozích nebo následujících let. Díky tomuto pravidlu bylo možn</w:t>
      </w:r>
      <w:r w:rsidR="00884931">
        <w:rPr>
          <w:rFonts w:cstheme="minorHAnsi"/>
          <w:bCs/>
          <w:iCs/>
        </w:rPr>
        <w:t>é</w:t>
      </w:r>
      <w:r w:rsidRPr="00D01DF7">
        <w:rPr>
          <w:rFonts w:cstheme="minorHAnsi"/>
          <w:bCs/>
          <w:iCs/>
        </w:rPr>
        <w:t xml:space="preserve"> </w:t>
      </w:r>
      <w:r w:rsidRPr="00D839CD">
        <w:rPr>
          <w:rFonts w:cstheme="minorHAnsi"/>
          <w:bCs/>
          <w:iCs/>
        </w:rPr>
        <w:t>naplnit závazek ročních úspor energie mezi lety 2014 a</w:t>
      </w:r>
      <w:r>
        <w:rPr>
          <w:rFonts w:cstheme="minorHAnsi"/>
          <w:bCs/>
          <w:iCs/>
        </w:rPr>
        <w:t>ž</w:t>
      </w:r>
      <w:r w:rsidRPr="00D839CD">
        <w:rPr>
          <w:rFonts w:cstheme="minorHAnsi"/>
          <w:bCs/>
          <w:iCs/>
        </w:rPr>
        <w:t xml:space="preserve"> 2018, přesto</w:t>
      </w:r>
      <w:r>
        <w:rPr>
          <w:rFonts w:cstheme="minorHAnsi"/>
          <w:bCs/>
          <w:iCs/>
        </w:rPr>
        <w:t>že v letech 2014 a 2018 nebylo dosaženo požadovaných</w:t>
      </w:r>
      <w:r w:rsidRPr="00D839CD">
        <w:rPr>
          <w:rFonts w:cstheme="minorHAnsi"/>
          <w:bCs/>
          <w:iCs/>
        </w:rPr>
        <w:t xml:space="preserve"> úspor energie</w:t>
      </w:r>
      <w:r>
        <w:rPr>
          <w:rFonts w:cstheme="minorHAnsi"/>
          <w:bCs/>
          <w:iCs/>
        </w:rPr>
        <w:t xml:space="preserve"> pro daný rok</w:t>
      </w:r>
      <w:r w:rsidRPr="00D839CD">
        <w:rPr>
          <w:rFonts w:cstheme="minorHAnsi"/>
          <w:bCs/>
          <w:iCs/>
        </w:rPr>
        <w:t>.</w:t>
      </w:r>
    </w:p>
    <w:p w14:paraId="299FAC2D" w14:textId="5CDF369E" w:rsidR="00F16C1F" w:rsidRPr="00D01DF7" w:rsidRDefault="00FB30C9" w:rsidP="00336320">
      <w:pPr>
        <w:spacing w:before="120" w:after="120"/>
        <w:rPr>
          <w:rFonts w:cstheme="minorHAnsi"/>
        </w:rPr>
      </w:pPr>
      <w:r>
        <w:rPr>
          <w:rFonts w:cstheme="minorBidi"/>
        </w:rPr>
        <w:t>V roce</w:t>
      </w:r>
      <w:r w:rsidR="00F16C1F" w:rsidRPr="1BDD3FC5">
        <w:rPr>
          <w:rFonts w:cstheme="minorBidi"/>
        </w:rPr>
        <w:t xml:space="preserve"> 2019 </w:t>
      </w:r>
      <w:r>
        <w:rPr>
          <w:rFonts w:cstheme="minorBidi"/>
        </w:rPr>
        <w:t>mělo</w:t>
      </w:r>
      <w:r w:rsidR="00F16C1F" w:rsidRPr="1BDD3FC5">
        <w:rPr>
          <w:rFonts w:cstheme="minorBidi"/>
        </w:rPr>
        <w:t xml:space="preserve"> 37 ústředních institucí ve svém vlastnictví</w:t>
      </w:r>
      <w:r w:rsidR="00FE06C5">
        <w:rPr>
          <w:rFonts w:cstheme="minorBidi"/>
        </w:rPr>
        <w:t xml:space="preserve"> ČR</w:t>
      </w:r>
      <w:r w:rsidR="00F16C1F" w:rsidRPr="1BDD3FC5">
        <w:rPr>
          <w:rFonts w:cstheme="minorBidi"/>
        </w:rPr>
        <w:t xml:space="preserve"> a</w:t>
      </w:r>
      <w:r w:rsidR="00FF4C84">
        <w:rPr>
          <w:rFonts w:cstheme="minorBidi"/>
        </w:rPr>
        <w:t xml:space="preserve"> </w:t>
      </w:r>
      <w:r w:rsidR="00D70A70">
        <w:rPr>
          <w:rFonts w:cstheme="minorBidi"/>
        </w:rPr>
        <w:t>užívání dohromady 774 budov s </w:t>
      </w:r>
      <w:r w:rsidR="00F16C1F" w:rsidRPr="1BDD3FC5">
        <w:rPr>
          <w:rFonts w:cstheme="minorBidi"/>
        </w:rPr>
        <w:t>energeticky vztažnou plochou</w:t>
      </w:r>
      <w:r w:rsidR="00257D1C" w:rsidRPr="1BDD3FC5">
        <w:rPr>
          <w:rStyle w:val="Znakapoznpodarou"/>
          <w:rFonts w:cstheme="minorBidi"/>
        </w:rPr>
        <w:footnoteReference w:id="36"/>
      </w:r>
      <w:r w:rsidR="00F16C1F" w:rsidRPr="1BDD3FC5">
        <w:rPr>
          <w:rFonts w:cstheme="minorBidi"/>
        </w:rPr>
        <w:t xml:space="preserve"> větší než 250 m</w:t>
      </w:r>
      <w:r w:rsidR="00F16C1F" w:rsidRPr="1BDD3FC5">
        <w:rPr>
          <w:rFonts w:cstheme="minorBidi"/>
          <w:vertAlign w:val="superscript"/>
        </w:rPr>
        <w:t>2</w:t>
      </w:r>
      <w:r w:rsidR="00F16C1F" w:rsidRPr="1BDD3FC5">
        <w:rPr>
          <w:rFonts w:cstheme="minorBidi"/>
        </w:rPr>
        <w:t xml:space="preserve"> o</w:t>
      </w:r>
      <w:r>
        <w:rPr>
          <w:rFonts w:cstheme="minorBidi"/>
        </w:rPr>
        <w:t xml:space="preserve"> </w:t>
      </w:r>
      <w:r w:rsidR="00F16C1F" w:rsidRPr="1BDD3FC5">
        <w:rPr>
          <w:rFonts w:cstheme="minorBidi"/>
        </w:rPr>
        <w:t xml:space="preserve">celkové </w:t>
      </w:r>
      <w:r w:rsidR="00D70A70">
        <w:rPr>
          <w:rFonts w:cstheme="minorBidi"/>
        </w:rPr>
        <w:t>energeticky vztažné ploše 2 405 </w:t>
      </w:r>
      <w:r w:rsidR="00F16C1F" w:rsidRPr="1BDD3FC5">
        <w:rPr>
          <w:rFonts w:cstheme="minorBidi"/>
        </w:rPr>
        <w:t>273 m</w:t>
      </w:r>
      <w:r w:rsidR="00F16C1F" w:rsidRPr="1BDD3FC5">
        <w:rPr>
          <w:rFonts w:cstheme="minorBidi"/>
          <w:vertAlign w:val="superscript"/>
        </w:rPr>
        <w:t>2</w:t>
      </w:r>
      <w:r w:rsidR="00F16C1F" w:rsidRPr="1BDD3FC5">
        <w:rPr>
          <w:rFonts w:cstheme="minorBidi"/>
        </w:rPr>
        <w:t xml:space="preserve">. Z těchto budov </w:t>
      </w:r>
      <w:r w:rsidRPr="1BDD3FC5">
        <w:rPr>
          <w:rFonts w:cstheme="minorBidi"/>
        </w:rPr>
        <w:t xml:space="preserve">nesplnilo </w:t>
      </w:r>
      <w:r w:rsidR="00F16C1F" w:rsidRPr="1BDD3FC5">
        <w:rPr>
          <w:rFonts w:cstheme="minorBidi"/>
        </w:rPr>
        <w:t>k</w:t>
      </w:r>
      <w:r w:rsidR="00B278DE" w:rsidRPr="1BDD3FC5">
        <w:rPr>
          <w:rFonts w:cstheme="minorBidi"/>
        </w:rPr>
        <w:t> </w:t>
      </w:r>
      <w:r w:rsidR="00F16C1F" w:rsidRPr="1BDD3FC5">
        <w:rPr>
          <w:rFonts w:cstheme="minorBidi"/>
        </w:rPr>
        <w:t>roku 2019 požadavky na energetickou náročnost budov 585 budov s celkově nevyhovující energeticky vztažn</w:t>
      </w:r>
      <w:r w:rsidR="00D70A70">
        <w:rPr>
          <w:rFonts w:cstheme="minorBidi"/>
        </w:rPr>
        <w:t>ou plochou o vel</w:t>
      </w:r>
      <w:r>
        <w:rPr>
          <w:rFonts w:cstheme="minorBidi"/>
        </w:rPr>
        <w:t>i</w:t>
      </w:r>
      <w:r w:rsidR="00D70A70">
        <w:rPr>
          <w:rFonts w:cstheme="minorBidi"/>
        </w:rPr>
        <w:t>kosti 1 600 494 </w:t>
      </w:r>
      <w:r w:rsidR="00F16C1F" w:rsidRPr="1BDD3FC5">
        <w:rPr>
          <w:rFonts w:cstheme="minorBidi"/>
        </w:rPr>
        <w:t>m</w:t>
      </w:r>
      <w:r w:rsidR="00F16C1F" w:rsidRPr="1BDD3FC5">
        <w:rPr>
          <w:rFonts w:cstheme="minorBidi"/>
          <w:vertAlign w:val="superscript"/>
        </w:rPr>
        <w:t>2</w:t>
      </w:r>
      <w:r w:rsidR="00F16C1F" w:rsidRPr="1BDD3FC5">
        <w:rPr>
          <w:rFonts w:cstheme="minorBidi"/>
        </w:rPr>
        <w:t>.</w:t>
      </w:r>
    </w:p>
    <w:p w14:paraId="6D9D1695" w14:textId="77777777" w:rsidR="00F16C1F" w:rsidRPr="00D01DF7" w:rsidRDefault="00F16C1F" w:rsidP="00D70A70">
      <w:pPr>
        <w:pStyle w:val="Nzevtabulky"/>
        <w:ind w:left="284" w:hanging="284"/>
      </w:pPr>
      <w:r>
        <w:t xml:space="preserve">Stav fondu budov </w:t>
      </w:r>
      <w:r w:rsidR="001C1386">
        <w:t xml:space="preserve">ústředních </w:t>
      </w:r>
      <w:r>
        <w:t>institucí</w:t>
      </w:r>
      <w:r w:rsidR="001C1386">
        <w:t xml:space="preserve"> </w:t>
      </w:r>
      <w:r w:rsidR="00E26BAF">
        <w:t>za rok 2019</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
        <w:gridCol w:w="1144"/>
        <w:gridCol w:w="1241"/>
        <w:gridCol w:w="1559"/>
        <w:gridCol w:w="1417"/>
        <w:gridCol w:w="1393"/>
        <w:gridCol w:w="1433"/>
      </w:tblGrid>
      <w:tr w:rsidR="00F16C1F" w:rsidRPr="00A470B0" w14:paraId="409F80A7" w14:textId="77777777" w:rsidTr="00FC7CB7">
        <w:trPr>
          <w:trHeight w:val="20"/>
        </w:trPr>
        <w:tc>
          <w:tcPr>
            <w:tcW w:w="527" w:type="pct"/>
            <w:shd w:val="clear" w:color="auto" w:fill="E5F1FF"/>
            <w:vAlign w:val="center"/>
            <w:hideMark/>
          </w:tcPr>
          <w:p w14:paraId="3E7842F9" w14:textId="77777777" w:rsidR="00F16C1F" w:rsidRPr="00A470B0" w:rsidRDefault="00F16C1F" w:rsidP="005D6CAD">
            <w:pPr>
              <w:ind w:left="-81" w:right="-44"/>
              <w:jc w:val="center"/>
              <w:rPr>
                <w:rFonts w:cstheme="minorHAnsi"/>
                <w:b/>
                <w:bCs/>
                <w:sz w:val="20"/>
              </w:rPr>
            </w:pPr>
            <w:r w:rsidRPr="00A470B0">
              <w:rPr>
                <w:rFonts w:cstheme="minorHAnsi"/>
                <w:b/>
                <w:bCs/>
                <w:iCs/>
                <w:sz w:val="20"/>
              </w:rPr>
              <w:t xml:space="preserve">Počet </w:t>
            </w:r>
            <w:r w:rsidR="005D6CAD">
              <w:rPr>
                <w:rFonts w:cstheme="minorHAnsi"/>
                <w:b/>
                <w:bCs/>
                <w:iCs/>
                <w:sz w:val="20"/>
              </w:rPr>
              <w:t xml:space="preserve">ústředních </w:t>
            </w:r>
            <w:r w:rsidRPr="00A470B0">
              <w:rPr>
                <w:rFonts w:cstheme="minorHAnsi"/>
                <w:b/>
                <w:bCs/>
                <w:iCs/>
                <w:sz w:val="20"/>
              </w:rPr>
              <w:t>institucí</w:t>
            </w:r>
          </w:p>
        </w:tc>
        <w:tc>
          <w:tcPr>
            <w:tcW w:w="625" w:type="pct"/>
            <w:shd w:val="clear" w:color="auto" w:fill="E5F1FF"/>
            <w:vAlign w:val="center"/>
            <w:hideMark/>
          </w:tcPr>
          <w:p w14:paraId="26AE1337" w14:textId="7A3F2562" w:rsidR="00F16C1F" w:rsidRPr="00A470B0" w:rsidRDefault="00F16C1F" w:rsidP="00FF4C84">
            <w:pPr>
              <w:jc w:val="center"/>
              <w:rPr>
                <w:rFonts w:cstheme="minorHAnsi"/>
                <w:b/>
                <w:bCs/>
                <w:sz w:val="20"/>
              </w:rPr>
            </w:pPr>
            <w:r w:rsidRPr="00A470B0">
              <w:rPr>
                <w:rFonts w:cstheme="minorHAnsi"/>
                <w:b/>
                <w:bCs/>
                <w:iCs/>
                <w:sz w:val="20"/>
              </w:rPr>
              <w:t xml:space="preserve">Počet objektů ve vlastnictví </w:t>
            </w:r>
            <w:r w:rsidR="003A7F8D">
              <w:rPr>
                <w:rFonts w:cstheme="minorHAnsi"/>
                <w:b/>
                <w:bCs/>
                <w:iCs/>
                <w:sz w:val="20"/>
              </w:rPr>
              <w:t xml:space="preserve">ČR </w:t>
            </w:r>
            <w:r w:rsidRPr="00A470B0">
              <w:rPr>
                <w:rFonts w:cstheme="minorHAnsi"/>
                <w:b/>
                <w:bCs/>
                <w:iCs/>
                <w:sz w:val="20"/>
              </w:rPr>
              <w:t>a</w:t>
            </w:r>
            <w:r w:rsidR="003A7F8D">
              <w:rPr>
                <w:rFonts w:cstheme="minorHAnsi"/>
                <w:b/>
                <w:bCs/>
                <w:iCs/>
                <w:sz w:val="20"/>
              </w:rPr>
              <w:t xml:space="preserve"> </w:t>
            </w:r>
            <w:r w:rsidRPr="00A470B0">
              <w:rPr>
                <w:rFonts w:cstheme="minorHAnsi"/>
                <w:b/>
                <w:bCs/>
                <w:iCs/>
                <w:sz w:val="20"/>
              </w:rPr>
              <w:t>užívání</w:t>
            </w:r>
            <w:r w:rsidR="005D6CAD">
              <w:rPr>
                <w:rFonts w:cstheme="minorHAnsi"/>
                <w:b/>
                <w:bCs/>
                <w:iCs/>
                <w:sz w:val="20"/>
              </w:rPr>
              <w:t xml:space="preserve"> ústředních institucí</w:t>
            </w:r>
          </w:p>
        </w:tc>
        <w:tc>
          <w:tcPr>
            <w:tcW w:w="678" w:type="pct"/>
            <w:shd w:val="clear" w:color="auto" w:fill="E5F1FF"/>
            <w:vAlign w:val="center"/>
            <w:hideMark/>
          </w:tcPr>
          <w:p w14:paraId="7F23E6C4" w14:textId="77777777" w:rsidR="00F16C1F" w:rsidRPr="00A470B0" w:rsidRDefault="00F16C1F" w:rsidP="00B84603">
            <w:pPr>
              <w:jc w:val="center"/>
              <w:rPr>
                <w:rFonts w:cstheme="minorHAnsi"/>
                <w:b/>
                <w:bCs/>
                <w:sz w:val="20"/>
              </w:rPr>
            </w:pPr>
            <w:r w:rsidRPr="00A470B0">
              <w:rPr>
                <w:rFonts w:cstheme="minorHAnsi"/>
                <w:b/>
                <w:bCs/>
                <w:iCs/>
                <w:sz w:val="20"/>
              </w:rPr>
              <w:t>Počet vyhovujících objektů</w:t>
            </w:r>
          </w:p>
        </w:tc>
        <w:tc>
          <w:tcPr>
            <w:tcW w:w="852" w:type="pct"/>
            <w:shd w:val="clear" w:color="auto" w:fill="E5F1FF"/>
            <w:vAlign w:val="center"/>
            <w:hideMark/>
          </w:tcPr>
          <w:p w14:paraId="1F58D97A" w14:textId="45F6A68D" w:rsidR="00F16C1F" w:rsidRPr="00A470B0" w:rsidRDefault="00F16C1F" w:rsidP="005D6CAD">
            <w:pPr>
              <w:jc w:val="center"/>
              <w:rPr>
                <w:rFonts w:cstheme="minorHAnsi"/>
                <w:b/>
                <w:bCs/>
                <w:sz w:val="20"/>
              </w:rPr>
            </w:pPr>
            <w:r w:rsidRPr="00A470B0">
              <w:rPr>
                <w:rFonts w:cstheme="minorHAnsi"/>
                <w:b/>
                <w:bCs/>
                <w:iCs/>
                <w:sz w:val="20"/>
              </w:rPr>
              <w:t xml:space="preserve">Energeticky vztažná plocha vyhovujících objektů </w:t>
            </w:r>
            <w:r w:rsidR="005D6CAD">
              <w:rPr>
                <w:rFonts w:cstheme="minorHAnsi"/>
                <w:b/>
                <w:bCs/>
                <w:iCs/>
                <w:sz w:val="20"/>
              </w:rPr>
              <w:br/>
              <w:t>(v </w:t>
            </w:r>
            <w:r w:rsidRPr="00A470B0">
              <w:rPr>
                <w:rFonts w:cstheme="minorHAnsi"/>
                <w:b/>
                <w:bCs/>
                <w:iCs/>
                <w:sz w:val="20"/>
              </w:rPr>
              <w:t>m</w:t>
            </w:r>
            <w:r w:rsidRPr="00A470B0">
              <w:rPr>
                <w:rFonts w:cstheme="minorHAnsi"/>
                <w:b/>
                <w:bCs/>
                <w:sz w:val="20"/>
                <w:vertAlign w:val="superscript"/>
              </w:rPr>
              <w:t>2</w:t>
            </w:r>
            <w:r w:rsidR="005D6CAD">
              <w:rPr>
                <w:rFonts w:cstheme="minorHAnsi"/>
                <w:b/>
                <w:bCs/>
                <w:sz w:val="20"/>
              </w:rPr>
              <w:t>)</w:t>
            </w:r>
          </w:p>
        </w:tc>
        <w:tc>
          <w:tcPr>
            <w:tcW w:w="774" w:type="pct"/>
            <w:shd w:val="clear" w:color="auto" w:fill="E5F1FF"/>
            <w:vAlign w:val="center"/>
            <w:hideMark/>
          </w:tcPr>
          <w:p w14:paraId="2E9BE2EE" w14:textId="77777777" w:rsidR="00F16C1F" w:rsidRPr="00A470B0" w:rsidRDefault="00F16C1F" w:rsidP="00B84603">
            <w:pPr>
              <w:jc w:val="center"/>
              <w:rPr>
                <w:rFonts w:cstheme="minorHAnsi"/>
                <w:b/>
                <w:bCs/>
                <w:sz w:val="20"/>
              </w:rPr>
            </w:pPr>
            <w:r w:rsidRPr="00A470B0">
              <w:rPr>
                <w:rFonts w:cstheme="minorHAnsi"/>
                <w:b/>
                <w:bCs/>
                <w:iCs/>
                <w:sz w:val="20"/>
              </w:rPr>
              <w:t>Počet nevyhovujících objektů</w:t>
            </w:r>
          </w:p>
        </w:tc>
        <w:tc>
          <w:tcPr>
            <w:tcW w:w="761" w:type="pct"/>
            <w:shd w:val="clear" w:color="auto" w:fill="E5F1FF"/>
            <w:vAlign w:val="center"/>
            <w:hideMark/>
          </w:tcPr>
          <w:p w14:paraId="2D5D947C" w14:textId="613EEF3C" w:rsidR="00F16C1F" w:rsidRPr="00A470B0" w:rsidRDefault="00F16C1F" w:rsidP="005D6CAD">
            <w:pPr>
              <w:jc w:val="center"/>
              <w:rPr>
                <w:rFonts w:cstheme="minorHAnsi"/>
                <w:b/>
                <w:bCs/>
                <w:sz w:val="20"/>
              </w:rPr>
            </w:pPr>
            <w:r w:rsidRPr="00A470B0">
              <w:rPr>
                <w:rFonts w:cstheme="minorHAnsi"/>
                <w:b/>
                <w:bCs/>
                <w:iCs/>
                <w:sz w:val="20"/>
              </w:rPr>
              <w:t xml:space="preserve">Energeticky vztažná plocha nevyhovujících objektů </w:t>
            </w:r>
            <w:r w:rsidR="005D6CAD">
              <w:rPr>
                <w:rFonts w:cstheme="minorHAnsi"/>
                <w:b/>
                <w:bCs/>
                <w:iCs/>
                <w:sz w:val="20"/>
              </w:rPr>
              <w:br/>
              <w:t>(v </w:t>
            </w:r>
            <w:r w:rsidRPr="00A470B0">
              <w:rPr>
                <w:rFonts w:cstheme="minorHAnsi"/>
                <w:b/>
                <w:bCs/>
                <w:iCs/>
                <w:sz w:val="20"/>
              </w:rPr>
              <w:t>m</w:t>
            </w:r>
            <w:r w:rsidRPr="00A470B0">
              <w:rPr>
                <w:rFonts w:cstheme="minorHAnsi"/>
                <w:b/>
                <w:bCs/>
                <w:sz w:val="20"/>
                <w:vertAlign w:val="superscript"/>
              </w:rPr>
              <w:t>2</w:t>
            </w:r>
            <w:r w:rsidR="005D6CAD">
              <w:rPr>
                <w:rFonts w:cstheme="minorHAnsi"/>
                <w:b/>
                <w:bCs/>
                <w:sz w:val="20"/>
              </w:rPr>
              <w:t>)</w:t>
            </w:r>
          </w:p>
        </w:tc>
        <w:tc>
          <w:tcPr>
            <w:tcW w:w="783" w:type="pct"/>
            <w:shd w:val="clear" w:color="auto" w:fill="E5F1FF"/>
            <w:vAlign w:val="center"/>
            <w:hideMark/>
          </w:tcPr>
          <w:p w14:paraId="7A163295" w14:textId="5519BB83" w:rsidR="00F16C1F" w:rsidRPr="00A470B0" w:rsidRDefault="00F16C1F" w:rsidP="00BE487A">
            <w:pPr>
              <w:jc w:val="center"/>
              <w:rPr>
                <w:rFonts w:cstheme="minorHAnsi"/>
                <w:b/>
                <w:bCs/>
                <w:sz w:val="20"/>
              </w:rPr>
            </w:pPr>
            <w:r w:rsidRPr="00A470B0">
              <w:rPr>
                <w:rFonts w:cstheme="minorHAnsi"/>
                <w:b/>
                <w:bCs/>
                <w:iCs/>
                <w:sz w:val="20"/>
              </w:rPr>
              <w:t xml:space="preserve">Roční závazek vyplývající z nevyhovující energeticky vztažné plochy </w:t>
            </w:r>
            <w:r w:rsidR="005D6CAD">
              <w:rPr>
                <w:rFonts w:cstheme="minorHAnsi"/>
                <w:b/>
                <w:bCs/>
                <w:iCs/>
                <w:sz w:val="20"/>
              </w:rPr>
              <w:t>(v </w:t>
            </w:r>
            <w:r w:rsidRPr="00A470B0">
              <w:rPr>
                <w:rFonts w:cstheme="minorHAnsi"/>
                <w:b/>
                <w:bCs/>
                <w:iCs/>
                <w:sz w:val="20"/>
              </w:rPr>
              <w:t>TJ</w:t>
            </w:r>
            <w:r w:rsidR="005D6CAD">
              <w:rPr>
                <w:rFonts w:cstheme="minorHAnsi"/>
                <w:b/>
                <w:bCs/>
                <w:iCs/>
                <w:sz w:val="20"/>
              </w:rPr>
              <w:t>)</w:t>
            </w:r>
          </w:p>
        </w:tc>
      </w:tr>
      <w:tr w:rsidR="00F16C1F" w:rsidRPr="00A470B0" w14:paraId="64DD1D75" w14:textId="77777777" w:rsidTr="00FC7CB7">
        <w:trPr>
          <w:trHeight w:val="340"/>
        </w:trPr>
        <w:tc>
          <w:tcPr>
            <w:tcW w:w="527" w:type="pct"/>
            <w:shd w:val="clear" w:color="auto" w:fill="auto"/>
            <w:vAlign w:val="center"/>
            <w:hideMark/>
          </w:tcPr>
          <w:p w14:paraId="421770B1" w14:textId="77777777" w:rsidR="00F16C1F" w:rsidRPr="00A470B0" w:rsidRDefault="00F16C1F" w:rsidP="00B84603">
            <w:pPr>
              <w:jc w:val="center"/>
              <w:rPr>
                <w:rFonts w:cstheme="minorHAnsi"/>
                <w:iCs/>
                <w:sz w:val="20"/>
              </w:rPr>
            </w:pPr>
            <w:r w:rsidRPr="00A470B0">
              <w:rPr>
                <w:rFonts w:cstheme="minorHAnsi"/>
                <w:iCs/>
                <w:sz w:val="20"/>
              </w:rPr>
              <w:t>37</w:t>
            </w:r>
          </w:p>
        </w:tc>
        <w:tc>
          <w:tcPr>
            <w:tcW w:w="625" w:type="pct"/>
            <w:shd w:val="clear" w:color="auto" w:fill="auto"/>
            <w:vAlign w:val="center"/>
            <w:hideMark/>
          </w:tcPr>
          <w:p w14:paraId="184B10F7" w14:textId="77777777" w:rsidR="00F16C1F" w:rsidRPr="00A470B0" w:rsidRDefault="00F16C1F" w:rsidP="00B84603">
            <w:pPr>
              <w:jc w:val="center"/>
              <w:rPr>
                <w:rFonts w:cstheme="minorHAnsi"/>
                <w:iCs/>
                <w:sz w:val="20"/>
              </w:rPr>
            </w:pPr>
            <w:r w:rsidRPr="00A470B0">
              <w:rPr>
                <w:rFonts w:cstheme="minorHAnsi"/>
                <w:iCs/>
                <w:sz w:val="20"/>
              </w:rPr>
              <w:t>774</w:t>
            </w:r>
          </w:p>
        </w:tc>
        <w:tc>
          <w:tcPr>
            <w:tcW w:w="678" w:type="pct"/>
            <w:shd w:val="clear" w:color="auto" w:fill="auto"/>
            <w:vAlign w:val="center"/>
            <w:hideMark/>
          </w:tcPr>
          <w:p w14:paraId="12D6A555" w14:textId="77777777" w:rsidR="00F16C1F" w:rsidRPr="00A470B0" w:rsidRDefault="00F16C1F" w:rsidP="00B84603">
            <w:pPr>
              <w:jc w:val="center"/>
              <w:rPr>
                <w:rFonts w:cstheme="minorHAnsi"/>
                <w:iCs/>
                <w:sz w:val="20"/>
              </w:rPr>
            </w:pPr>
            <w:r w:rsidRPr="00A470B0">
              <w:rPr>
                <w:rFonts w:cstheme="minorHAnsi"/>
                <w:iCs/>
                <w:sz w:val="20"/>
              </w:rPr>
              <w:t>189</w:t>
            </w:r>
          </w:p>
        </w:tc>
        <w:tc>
          <w:tcPr>
            <w:tcW w:w="852" w:type="pct"/>
            <w:shd w:val="clear" w:color="auto" w:fill="auto"/>
            <w:vAlign w:val="center"/>
            <w:hideMark/>
          </w:tcPr>
          <w:p w14:paraId="4F9159F0" w14:textId="77777777" w:rsidR="00F16C1F" w:rsidRPr="00A470B0" w:rsidRDefault="00F16C1F" w:rsidP="00B84603">
            <w:pPr>
              <w:jc w:val="center"/>
              <w:rPr>
                <w:rFonts w:cstheme="minorHAnsi"/>
                <w:iCs/>
                <w:sz w:val="20"/>
              </w:rPr>
            </w:pPr>
            <w:r w:rsidRPr="00A470B0">
              <w:rPr>
                <w:rFonts w:cstheme="minorHAnsi"/>
                <w:iCs/>
                <w:sz w:val="20"/>
              </w:rPr>
              <w:t>804 779</w:t>
            </w:r>
          </w:p>
        </w:tc>
        <w:tc>
          <w:tcPr>
            <w:tcW w:w="774" w:type="pct"/>
            <w:shd w:val="clear" w:color="auto" w:fill="auto"/>
            <w:vAlign w:val="center"/>
            <w:hideMark/>
          </w:tcPr>
          <w:p w14:paraId="16341E89" w14:textId="77777777" w:rsidR="00F16C1F" w:rsidRPr="00A470B0" w:rsidRDefault="00F16C1F" w:rsidP="00B84603">
            <w:pPr>
              <w:jc w:val="center"/>
              <w:rPr>
                <w:rFonts w:cstheme="minorHAnsi"/>
                <w:iCs/>
                <w:sz w:val="20"/>
              </w:rPr>
            </w:pPr>
            <w:r w:rsidRPr="00A470B0">
              <w:rPr>
                <w:rFonts w:cstheme="minorHAnsi"/>
                <w:iCs/>
                <w:sz w:val="20"/>
              </w:rPr>
              <w:t>585</w:t>
            </w:r>
          </w:p>
        </w:tc>
        <w:tc>
          <w:tcPr>
            <w:tcW w:w="761" w:type="pct"/>
            <w:shd w:val="clear" w:color="auto" w:fill="auto"/>
            <w:vAlign w:val="center"/>
            <w:hideMark/>
          </w:tcPr>
          <w:p w14:paraId="68843925" w14:textId="77777777" w:rsidR="00F16C1F" w:rsidRPr="00A470B0" w:rsidRDefault="00F16C1F" w:rsidP="00B84603">
            <w:pPr>
              <w:jc w:val="center"/>
              <w:rPr>
                <w:rFonts w:cstheme="minorHAnsi"/>
                <w:iCs/>
                <w:sz w:val="20"/>
              </w:rPr>
            </w:pPr>
            <w:r w:rsidRPr="00A470B0">
              <w:rPr>
                <w:rFonts w:cstheme="minorHAnsi"/>
                <w:iCs/>
                <w:sz w:val="20"/>
              </w:rPr>
              <w:t>1 600 494</w:t>
            </w:r>
          </w:p>
        </w:tc>
        <w:tc>
          <w:tcPr>
            <w:tcW w:w="783" w:type="pct"/>
            <w:shd w:val="clear" w:color="auto" w:fill="auto"/>
            <w:vAlign w:val="center"/>
            <w:hideMark/>
          </w:tcPr>
          <w:p w14:paraId="3391364E" w14:textId="77777777" w:rsidR="00F16C1F" w:rsidRPr="00A470B0" w:rsidRDefault="00F16C1F" w:rsidP="00B84603">
            <w:pPr>
              <w:jc w:val="center"/>
              <w:rPr>
                <w:rFonts w:cstheme="minorHAnsi"/>
                <w:iCs/>
                <w:sz w:val="20"/>
              </w:rPr>
            </w:pPr>
            <w:r w:rsidRPr="00A470B0">
              <w:rPr>
                <w:rFonts w:cstheme="minorHAnsi"/>
                <w:iCs/>
                <w:sz w:val="20"/>
              </w:rPr>
              <w:t>13,33</w:t>
            </w:r>
          </w:p>
        </w:tc>
      </w:tr>
    </w:tbl>
    <w:p w14:paraId="11C00A84" w14:textId="573B6841" w:rsidR="00F16C1F" w:rsidRDefault="00EC7BC3" w:rsidP="00FB30C9">
      <w:pPr>
        <w:spacing w:after="240"/>
        <w:ind w:left="567" w:hanging="567"/>
        <w:rPr>
          <w:rFonts w:cstheme="minorHAnsi"/>
          <w:i/>
          <w:sz w:val="20"/>
        </w:rPr>
      </w:pPr>
      <w:r>
        <w:rPr>
          <w:rFonts w:cstheme="minorHAnsi"/>
          <w:i/>
          <w:sz w:val="20"/>
        </w:rPr>
        <w:t xml:space="preserve">Zdroj: </w:t>
      </w:r>
      <w:r w:rsidR="00FB30C9">
        <w:rPr>
          <w:rFonts w:cstheme="minorHAnsi"/>
          <w:i/>
          <w:sz w:val="20"/>
        </w:rPr>
        <w:tab/>
      </w:r>
      <w:r w:rsidRPr="00EC7BC3">
        <w:rPr>
          <w:rFonts w:cstheme="minorHAnsi"/>
          <w:i/>
          <w:sz w:val="20"/>
        </w:rPr>
        <w:t xml:space="preserve">8. </w:t>
      </w:r>
      <w:r w:rsidR="005D6CAD">
        <w:rPr>
          <w:rFonts w:cstheme="minorHAnsi"/>
          <w:i/>
          <w:sz w:val="20"/>
        </w:rPr>
        <w:t>z</w:t>
      </w:r>
      <w:r w:rsidRPr="00EC7BC3">
        <w:rPr>
          <w:rFonts w:cstheme="minorHAnsi"/>
          <w:i/>
          <w:sz w:val="20"/>
        </w:rPr>
        <w:t>práva o pokroku v oblasti plnění vnitrostátních</w:t>
      </w:r>
      <w:r>
        <w:rPr>
          <w:rFonts w:cstheme="minorHAnsi"/>
          <w:i/>
          <w:sz w:val="20"/>
        </w:rPr>
        <w:t xml:space="preserve"> </w:t>
      </w:r>
      <w:r w:rsidRPr="00EC7BC3">
        <w:rPr>
          <w:rFonts w:cstheme="minorHAnsi"/>
          <w:i/>
          <w:sz w:val="20"/>
        </w:rPr>
        <w:t xml:space="preserve">cílů energetické účinnosti v </w:t>
      </w:r>
      <w:r w:rsidR="00C32CB9">
        <w:rPr>
          <w:rFonts w:cstheme="minorHAnsi"/>
          <w:i/>
          <w:sz w:val="20"/>
        </w:rPr>
        <w:t>Č</w:t>
      </w:r>
      <w:r w:rsidRPr="00EC7BC3">
        <w:rPr>
          <w:rFonts w:cstheme="minorHAnsi"/>
          <w:i/>
          <w:sz w:val="20"/>
        </w:rPr>
        <w:t>eské republice</w:t>
      </w:r>
      <w:r>
        <w:rPr>
          <w:rFonts w:cstheme="minorHAnsi"/>
          <w:i/>
          <w:sz w:val="20"/>
        </w:rPr>
        <w:t xml:space="preserve"> </w:t>
      </w:r>
      <w:r w:rsidRPr="00EC7BC3">
        <w:rPr>
          <w:rFonts w:cstheme="minorHAnsi"/>
          <w:i/>
          <w:sz w:val="20"/>
        </w:rPr>
        <w:t>podle čl. 24 směrnice 2012/27/EU o energetické účinnost</w:t>
      </w:r>
      <w:r w:rsidR="00A93036">
        <w:rPr>
          <w:rFonts w:cstheme="minorHAnsi"/>
          <w:i/>
          <w:sz w:val="20"/>
        </w:rPr>
        <w:t>i</w:t>
      </w:r>
      <w:r>
        <w:rPr>
          <w:rFonts w:cstheme="minorHAnsi"/>
          <w:i/>
          <w:sz w:val="20"/>
        </w:rPr>
        <w:t>.</w:t>
      </w:r>
    </w:p>
    <w:p w14:paraId="77585F7B" w14:textId="768129DE" w:rsidR="00E76684" w:rsidRDefault="007E588A" w:rsidP="00FC7CB7">
      <w:pPr>
        <w:pBdr>
          <w:top w:val="single" w:sz="4" w:space="1" w:color="auto"/>
          <w:left w:val="single" w:sz="4" w:space="4" w:color="auto"/>
          <w:bottom w:val="single" w:sz="4" w:space="1" w:color="auto"/>
          <w:right w:val="single" w:sz="4" w:space="4" w:color="auto"/>
        </w:pBdr>
        <w:spacing w:before="240" w:after="240"/>
        <w:rPr>
          <w:rFonts w:cstheme="minorHAnsi"/>
          <w:b/>
        </w:rPr>
      </w:pPr>
      <w:r w:rsidRPr="1BDD3FC5">
        <w:rPr>
          <w:rFonts w:cstheme="minorBidi"/>
        </w:rPr>
        <w:t xml:space="preserve">V </w:t>
      </w:r>
      <w:r w:rsidR="0080194A" w:rsidRPr="1BDD3FC5">
        <w:rPr>
          <w:rFonts w:cstheme="minorBidi"/>
        </w:rPr>
        <w:t xml:space="preserve">ČR </w:t>
      </w:r>
      <w:r w:rsidRPr="1BDD3FC5">
        <w:rPr>
          <w:rFonts w:cstheme="minorBidi"/>
        </w:rPr>
        <w:t>byly do 31. 12. 2019 realizovány projekty na</w:t>
      </w:r>
      <w:r w:rsidR="00DA4891" w:rsidRPr="1BDD3FC5">
        <w:rPr>
          <w:rFonts w:cstheme="minorBidi"/>
        </w:rPr>
        <w:t xml:space="preserve"> úspory energie ve v</w:t>
      </w:r>
      <w:r w:rsidR="00BE487A">
        <w:rPr>
          <w:rFonts w:cstheme="minorBidi"/>
        </w:rPr>
        <w:t>z</w:t>
      </w:r>
      <w:r w:rsidR="00DA4891" w:rsidRPr="1BDD3FC5">
        <w:rPr>
          <w:rFonts w:cstheme="minorBidi"/>
        </w:rPr>
        <w:t xml:space="preserve">tahu k závazku </w:t>
      </w:r>
      <w:r w:rsidR="0080194A" w:rsidRPr="1BDD3FC5">
        <w:rPr>
          <w:rFonts w:cstheme="minorBidi"/>
        </w:rPr>
        <w:t xml:space="preserve">dle čl. 5 EED ve výši </w:t>
      </w:r>
      <w:r w:rsidR="00F16C1F" w:rsidRPr="1BDD3FC5">
        <w:rPr>
          <w:rFonts w:cstheme="minorBidi"/>
        </w:rPr>
        <w:t>70,1 TJ,</w:t>
      </w:r>
      <w:r w:rsidR="00DA4891" w:rsidRPr="1BDD3FC5">
        <w:rPr>
          <w:rFonts w:cstheme="minorBidi"/>
        </w:rPr>
        <w:t xml:space="preserve"> což představuje plnění závazného cíle </w:t>
      </w:r>
      <w:r w:rsidR="00F16C1F" w:rsidRPr="1BDD3FC5">
        <w:rPr>
          <w:rFonts w:cstheme="minorBidi"/>
        </w:rPr>
        <w:t>do</w:t>
      </w:r>
      <w:r w:rsidR="00BE487A">
        <w:rPr>
          <w:rFonts w:cstheme="minorBidi"/>
        </w:rPr>
        <w:t xml:space="preserve"> </w:t>
      </w:r>
      <w:r w:rsidR="00F16C1F" w:rsidRPr="1BDD3FC5">
        <w:rPr>
          <w:rFonts w:cstheme="minorBidi"/>
        </w:rPr>
        <w:t xml:space="preserve">roku 2020 </w:t>
      </w:r>
      <w:r w:rsidR="00DA4891" w:rsidRPr="1BDD3FC5">
        <w:rPr>
          <w:rFonts w:cstheme="minorBidi"/>
        </w:rPr>
        <w:t>na 71 %</w:t>
      </w:r>
      <w:r w:rsidR="00F16C1F" w:rsidRPr="1BDD3FC5">
        <w:rPr>
          <w:rFonts w:cstheme="minorBidi"/>
        </w:rPr>
        <w:t xml:space="preserve">. </w:t>
      </w:r>
      <w:r w:rsidR="009E3A98" w:rsidRPr="1BDD3FC5">
        <w:rPr>
          <w:rFonts w:cstheme="minorBidi"/>
        </w:rPr>
        <w:t xml:space="preserve">K naplnění cíle by tak muselo </w:t>
      </w:r>
      <w:r w:rsidR="00E75066" w:rsidRPr="1BDD3FC5">
        <w:rPr>
          <w:rFonts w:cstheme="minorBidi"/>
        </w:rPr>
        <w:t xml:space="preserve">být </w:t>
      </w:r>
      <w:r w:rsidR="009E3A98" w:rsidRPr="1BDD3FC5">
        <w:rPr>
          <w:rFonts w:cstheme="minorBidi"/>
        </w:rPr>
        <w:t>v </w:t>
      </w:r>
      <w:r w:rsidR="00DA4891" w:rsidRPr="1BDD3FC5">
        <w:rPr>
          <w:rFonts w:cstheme="minorBidi"/>
        </w:rPr>
        <w:t xml:space="preserve">roce 2020 dosaženo další úspory energie </w:t>
      </w:r>
      <w:r w:rsidR="009E3A98" w:rsidRPr="1BDD3FC5">
        <w:rPr>
          <w:rFonts w:cstheme="minorBidi"/>
        </w:rPr>
        <w:t>v</w:t>
      </w:r>
      <w:r w:rsidR="00DA4891" w:rsidRPr="1BDD3FC5">
        <w:rPr>
          <w:rFonts w:cstheme="minorBidi"/>
        </w:rPr>
        <w:t xml:space="preserve"> budov</w:t>
      </w:r>
      <w:r w:rsidR="009E3A98" w:rsidRPr="1BDD3FC5">
        <w:rPr>
          <w:rFonts w:cstheme="minorBidi"/>
        </w:rPr>
        <w:t>ách</w:t>
      </w:r>
      <w:r w:rsidR="00DA4891" w:rsidRPr="1BDD3FC5">
        <w:rPr>
          <w:rFonts w:cstheme="minorBidi"/>
        </w:rPr>
        <w:t xml:space="preserve"> ústředních institucí minimálně ve výši </w:t>
      </w:r>
      <w:r w:rsidR="00DA4891" w:rsidRPr="00F64C4A">
        <w:rPr>
          <w:rFonts w:cstheme="minorBidi"/>
        </w:rPr>
        <w:t>2</w:t>
      </w:r>
      <w:r w:rsidR="00F64C4A" w:rsidRPr="00F64C4A">
        <w:rPr>
          <w:rFonts w:cstheme="minorBidi"/>
        </w:rPr>
        <w:t>8,6</w:t>
      </w:r>
      <w:r w:rsidR="00DA4891" w:rsidRPr="1BDD3FC5">
        <w:rPr>
          <w:rFonts w:cstheme="minorBidi"/>
        </w:rPr>
        <w:t xml:space="preserve"> TJ/rok</w:t>
      </w:r>
      <w:r w:rsidR="009E3A98" w:rsidRPr="1BDD3FC5">
        <w:rPr>
          <w:rFonts w:cstheme="minorBidi"/>
        </w:rPr>
        <w:t>.</w:t>
      </w:r>
      <w:r w:rsidR="0056045B" w:rsidRPr="1BDD3FC5">
        <w:rPr>
          <w:rFonts w:cstheme="minorBidi"/>
        </w:rPr>
        <w:t xml:space="preserve"> Zvýšení úspor energie u těchto budov dle údajů MPO pro rok 2020 činí 5,7 TJ/rok</w:t>
      </w:r>
      <w:r w:rsidR="00DA4891" w:rsidRPr="1BDD3FC5">
        <w:rPr>
          <w:rFonts w:cstheme="minorBidi"/>
        </w:rPr>
        <w:t>.</w:t>
      </w:r>
    </w:p>
    <w:p w14:paraId="1453E8AC" w14:textId="54300ECD" w:rsidR="00F16C1F" w:rsidRPr="00D65EEE" w:rsidRDefault="007A583C" w:rsidP="007A583C">
      <w:pPr>
        <w:pStyle w:val="Odstavecseseznamem"/>
        <w:numPr>
          <w:ilvl w:val="0"/>
          <w:numId w:val="10"/>
        </w:numPr>
        <w:autoSpaceDE w:val="0"/>
        <w:autoSpaceDN w:val="0"/>
        <w:adjustRightInd w:val="0"/>
        <w:spacing w:before="240" w:after="240"/>
        <w:ind w:left="284" w:hanging="284"/>
        <w:outlineLvl w:val="1"/>
        <w:rPr>
          <w:rFonts w:cstheme="minorHAnsi"/>
          <w:b/>
        </w:rPr>
      </w:pPr>
      <w:r>
        <w:rPr>
          <w:rFonts w:cs="Calibri"/>
          <w:b/>
          <w:bCs/>
          <w:color w:val="000000"/>
        </w:rPr>
        <w:lastRenderedPageBreak/>
        <w:t xml:space="preserve">Prostřednictvím programu NZÚ </w:t>
      </w:r>
      <w:r w:rsidRPr="005D4E5F">
        <w:rPr>
          <w:rFonts w:cs="Calibri"/>
          <w:b/>
          <w:bCs/>
          <w:color w:val="000000"/>
        </w:rPr>
        <w:t>nebyly realizovány výdaje ve výši odpovídající zákonem stanovené části výnosů z dražeb emisních povolenek</w:t>
      </w:r>
    </w:p>
    <w:p w14:paraId="7211D30B" w14:textId="6E703AEF" w:rsidR="00363336" w:rsidRDefault="00F16C1F" w:rsidP="009A5A6E">
      <w:pPr>
        <w:spacing w:after="120"/>
        <w:rPr>
          <w:rFonts w:cs="Calibri"/>
          <w:color w:val="000000"/>
        </w:rPr>
      </w:pPr>
      <w:r w:rsidRPr="00D839CD">
        <w:rPr>
          <w:rFonts w:cs="Calibri"/>
          <w:color w:val="000000"/>
        </w:rPr>
        <w:t xml:space="preserve">Výnosy z dražeb </w:t>
      </w:r>
      <w:r w:rsidR="00F150CA">
        <w:rPr>
          <w:rFonts w:cs="Calibri"/>
          <w:color w:val="000000"/>
        </w:rPr>
        <w:t xml:space="preserve">emisních </w:t>
      </w:r>
      <w:r w:rsidRPr="00D839CD">
        <w:rPr>
          <w:rFonts w:cs="Calibri"/>
          <w:color w:val="000000"/>
        </w:rPr>
        <w:t xml:space="preserve">povolenek, které jsou jediným zdrojem financování programu NZÚ, jsou </w:t>
      </w:r>
      <w:r w:rsidR="00363336">
        <w:rPr>
          <w:rFonts w:cs="Calibri"/>
          <w:color w:val="000000"/>
        </w:rPr>
        <w:t>dle zákona č. 383/2012 Sb.</w:t>
      </w:r>
      <w:r w:rsidR="00363336" w:rsidRPr="00D839CD">
        <w:rPr>
          <w:rStyle w:val="Znakapoznpodarou"/>
          <w:rFonts w:cs="Calibri"/>
          <w:color w:val="000000"/>
        </w:rPr>
        <w:footnoteReference w:id="37"/>
      </w:r>
      <w:r w:rsidR="00363336">
        <w:rPr>
          <w:rFonts w:cs="Calibri"/>
          <w:color w:val="000000"/>
        </w:rPr>
        <w:t xml:space="preserve"> </w:t>
      </w:r>
      <w:r w:rsidRPr="00D839CD">
        <w:rPr>
          <w:rFonts w:cs="Calibri"/>
          <w:color w:val="000000"/>
        </w:rPr>
        <w:t>příjmem státního rozpočtu a jsou účelově vázány</w:t>
      </w:r>
      <w:r w:rsidR="00363336">
        <w:rPr>
          <w:rStyle w:val="Znakapoznpodarou"/>
          <w:rFonts w:cs="Calibri"/>
          <w:color w:val="000000"/>
        </w:rPr>
        <w:footnoteReference w:id="38"/>
      </w:r>
      <w:r w:rsidRPr="00D839CD">
        <w:rPr>
          <w:rFonts w:cs="Calibri"/>
          <w:color w:val="000000"/>
        </w:rPr>
        <w:t xml:space="preserve"> mj.</w:t>
      </w:r>
      <w:r w:rsidR="00D949E4">
        <w:rPr>
          <w:rFonts w:cs="Calibri"/>
          <w:color w:val="000000"/>
        </w:rPr>
        <w:t xml:space="preserve"> </w:t>
      </w:r>
      <w:r w:rsidRPr="00D839CD">
        <w:rPr>
          <w:rFonts w:cs="Calibri"/>
          <w:color w:val="000000"/>
        </w:rPr>
        <w:t>na</w:t>
      </w:r>
      <w:r w:rsidR="0077000F">
        <w:rPr>
          <w:rFonts w:cs="Calibri"/>
          <w:color w:val="000000"/>
        </w:rPr>
        <w:t xml:space="preserve"> </w:t>
      </w:r>
      <w:r w:rsidRPr="00D839CD">
        <w:rPr>
          <w:rFonts w:cs="Calibri"/>
          <w:color w:val="000000"/>
        </w:rPr>
        <w:t>opatření, jejichž cílem je zv</w:t>
      </w:r>
      <w:r w:rsidR="0028357C">
        <w:rPr>
          <w:rFonts w:cs="Calibri"/>
          <w:color w:val="000000"/>
        </w:rPr>
        <w:t>yšování</w:t>
      </w:r>
      <w:r w:rsidRPr="00D839CD">
        <w:rPr>
          <w:rFonts w:cs="Calibri"/>
          <w:color w:val="000000"/>
        </w:rPr>
        <w:t xml:space="preserve"> energetick</w:t>
      </w:r>
      <w:r w:rsidR="0028357C">
        <w:rPr>
          <w:rFonts w:cs="Calibri"/>
          <w:color w:val="000000"/>
        </w:rPr>
        <w:t>é</w:t>
      </w:r>
      <w:r w:rsidRPr="00D839CD">
        <w:rPr>
          <w:rFonts w:cs="Calibri"/>
          <w:color w:val="000000"/>
        </w:rPr>
        <w:t xml:space="preserve"> účinnost</w:t>
      </w:r>
      <w:r w:rsidR="0028357C">
        <w:rPr>
          <w:rFonts w:cs="Calibri"/>
          <w:color w:val="000000"/>
        </w:rPr>
        <w:t>i</w:t>
      </w:r>
      <w:r w:rsidRPr="00D839CD">
        <w:rPr>
          <w:rFonts w:cs="Calibri"/>
          <w:color w:val="000000"/>
        </w:rPr>
        <w:t xml:space="preserve"> </w:t>
      </w:r>
      <w:r w:rsidR="0028357C">
        <w:rPr>
          <w:rFonts w:cs="Calibri"/>
          <w:color w:val="000000"/>
        </w:rPr>
        <w:t>a</w:t>
      </w:r>
      <w:r w:rsidRPr="00D839CD">
        <w:rPr>
          <w:rFonts w:cs="Calibri"/>
          <w:color w:val="000000"/>
        </w:rPr>
        <w:t xml:space="preserve"> snižován</w:t>
      </w:r>
      <w:r w:rsidR="009A5A6E" w:rsidRPr="00D839CD">
        <w:rPr>
          <w:rFonts w:cs="Calibri"/>
          <w:color w:val="000000"/>
        </w:rPr>
        <w:t>í energetické náročnosti budov.</w:t>
      </w:r>
      <w:r w:rsidR="00363336" w:rsidRPr="00363336">
        <w:t xml:space="preserve"> </w:t>
      </w:r>
      <w:r w:rsidR="00363336" w:rsidRPr="00363336">
        <w:rPr>
          <w:rFonts w:cs="Calibri"/>
          <w:color w:val="000000"/>
        </w:rPr>
        <w:t xml:space="preserve">Výnos z dražeb </w:t>
      </w:r>
      <w:r w:rsidR="00363336">
        <w:rPr>
          <w:rFonts w:cs="Calibri"/>
          <w:color w:val="000000"/>
        </w:rPr>
        <w:t xml:space="preserve">emisních </w:t>
      </w:r>
      <w:r w:rsidR="00363336" w:rsidRPr="00363336">
        <w:rPr>
          <w:rFonts w:cs="Calibri"/>
          <w:color w:val="000000"/>
        </w:rPr>
        <w:t xml:space="preserve">povolenek </w:t>
      </w:r>
      <w:r w:rsidR="00363336">
        <w:rPr>
          <w:rFonts w:cs="Calibri"/>
          <w:color w:val="000000"/>
        </w:rPr>
        <w:t>byl</w:t>
      </w:r>
      <w:r w:rsidR="00363336" w:rsidRPr="00363336">
        <w:rPr>
          <w:rFonts w:cs="Calibri"/>
          <w:color w:val="000000"/>
        </w:rPr>
        <w:t xml:space="preserve"> </w:t>
      </w:r>
      <w:r w:rsidR="002A749D">
        <w:rPr>
          <w:rFonts w:cs="Calibri"/>
          <w:color w:val="000000"/>
        </w:rPr>
        <w:t xml:space="preserve">dle zákona </w:t>
      </w:r>
      <w:r w:rsidR="00363336" w:rsidRPr="00363336">
        <w:rPr>
          <w:rFonts w:cs="Calibri"/>
          <w:color w:val="000000"/>
        </w:rPr>
        <w:t>účelově vázán nejvýše do částky 12</w:t>
      </w:r>
      <w:r w:rsidR="00363336">
        <w:rPr>
          <w:rFonts w:cs="Calibri"/>
          <w:color w:val="000000"/>
        </w:rPr>
        <w:t xml:space="preserve"> mld. </w:t>
      </w:r>
      <w:r w:rsidR="00363336" w:rsidRPr="00363336">
        <w:rPr>
          <w:rFonts w:cs="Calibri"/>
          <w:color w:val="000000"/>
        </w:rPr>
        <w:t xml:space="preserve">Kč </w:t>
      </w:r>
      <w:r w:rsidR="00682CE0">
        <w:rPr>
          <w:rFonts w:cs="Calibri"/>
          <w:color w:val="000000"/>
        </w:rPr>
        <w:t>(od 1. 1. 2021 do částky 8 mld. Kč)</w:t>
      </w:r>
      <w:r w:rsidR="00682CE0" w:rsidRPr="1BDD3FC5">
        <w:rPr>
          <w:rStyle w:val="Znakapoznpodarou"/>
          <w:rFonts w:eastAsiaTheme="majorEastAsia" w:cs="Calibri"/>
          <w:color w:val="000000"/>
        </w:rPr>
        <w:t xml:space="preserve"> </w:t>
      </w:r>
      <w:r w:rsidR="00682CE0" w:rsidRPr="1BDD3FC5">
        <w:rPr>
          <w:rStyle w:val="Znakapoznpodarou"/>
          <w:rFonts w:eastAsiaTheme="majorEastAsia" w:cs="Calibri"/>
          <w:color w:val="000000"/>
        </w:rPr>
        <w:footnoteReference w:id="39"/>
      </w:r>
      <w:r w:rsidR="00682CE0">
        <w:rPr>
          <w:rFonts w:cs="Calibri"/>
          <w:color w:val="000000"/>
        </w:rPr>
        <w:t xml:space="preserve"> </w:t>
      </w:r>
      <w:r w:rsidR="00363336" w:rsidRPr="00363336">
        <w:rPr>
          <w:rFonts w:cs="Calibri"/>
          <w:color w:val="000000"/>
        </w:rPr>
        <w:t xml:space="preserve">ročně </w:t>
      </w:r>
      <w:r w:rsidR="00363336">
        <w:rPr>
          <w:rFonts w:cs="Calibri"/>
          <w:color w:val="000000"/>
        </w:rPr>
        <w:t>a</w:t>
      </w:r>
      <w:r w:rsidR="00363336" w:rsidRPr="00363336">
        <w:rPr>
          <w:rFonts w:cs="Calibri"/>
          <w:color w:val="000000"/>
        </w:rPr>
        <w:t xml:space="preserve"> </w:t>
      </w:r>
      <w:r w:rsidR="00363336">
        <w:rPr>
          <w:rFonts w:cs="Calibri"/>
          <w:color w:val="000000"/>
        </w:rPr>
        <w:t>v</w:t>
      </w:r>
      <w:r w:rsidR="00363336" w:rsidRPr="00363336">
        <w:rPr>
          <w:rFonts w:cs="Calibri"/>
          <w:color w:val="000000"/>
        </w:rPr>
        <w:t>ýdaje odpovídající účelově vázanému v</w:t>
      </w:r>
      <w:r w:rsidR="00363336">
        <w:rPr>
          <w:rFonts w:cs="Calibri"/>
          <w:color w:val="000000"/>
        </w:rPr>
        <w:t>ýnosu z dražeb emisních povolenek m</w:t>
      </w:r>
      <w:r w:rsidR="0028357C">
        <w:rPr>
          <w:rFonts w:cs="Calibri"/>
          <w:color w:val="000000"/>
        </w:rPr>
        <w:t>ají</w:t>
      </w:r>
      <w:r w:rsidR="00363336">
        <w:rPr>
          <w:rFonts w:cs="Calibri"/>
          <w:color w:val="000000"/>
        </w:rPr>
        <w:t xml:space="preserve"> být dle zákona z </w:t>
      </w:r>
      <w:r w:rsidR="00363336" w:rsidRPr="00363336">
        <w:rPr>
          <w:rFonts w:cs="Calibri"/>
          <w:color w:val="000000"/>
        </w:rPr>
        <w:t>50</w:t>
      </w:r>
      <w:r w:rsidR="00363336">
        <w:rPr>
          <w:rFonts w:cs="Calibri"/>
          <w:color w:val="000000"/>
        </w:rPr>
        <w:t> </w:t>
      </w:r>
      <w:r w:rsidR="00363336" w:rsidRPr="00363336">
        <w:rPr>
          <w:rFonts w:cs="Calibri"/>
          <w:color w:val="000000"/>
        </w:rPr>
        <w:t>% realizován</w:t>
      </w:r>
      <w:r w:rsidR="0028357C">
        <w:rPr>
          <w:rFonts w:cs="Calibri"/>
          <w:color w:val="000000"/>
        </w:rPr>
        <w:t>y</w:t>
      </w:r>
      <w:r w:rsidR="00363336" w:rsidRPr="00363336">
        <w:rPr>
          <w:rFonts w:cs="Calibri"/>
          <w:color w:val="000000"/>
        </w:rPr>
        <w:t xml:space="preserve"> prostřednictvím kapitoly </w:t>
      </w:r>
      <w:r w:rsidR="00363336">
        <w:rPr>
          <w:rFonts w:cs="Calibri"/>
          <w:color w:val="000000"/>
        </w:rPr>
        <w:t>MPO</w:t>
      </w:r>
      <w:r w:rsidR="00363336" w:rsidRPr="00363336">
        <w:rPr>
          <w:rFonts w:cs="Calibri"/>
          <w:color w:val="000000"/>
        </w:rPr>
        <w:t xml:space="preserve"> a z 50 % prostřednictvím </w:t>
      </w:r>
      <w:r w:rsidR="00363336">
        <w:rPr>
          <w:rFonts w:cs="Calibri"/>
          <w:color w:val="000000"/>
        </w:rPr>
        <w:t>SFŽP.</w:t>
      </w:r>
    </w:p>
    <w:p w14:paraId="30DA2E8E" w14:textId="1628F091" w:rsidR="00E240D9" w:rsidRPr="00D839CD" w:rsidRDefault="00E240D9" w:rsidP="009A5A6E">
      <w:pPr>
        <w:spacing w:after="120"/>
        <w:rPr>
          <w:rFonts w:cs="Calibri"/>
          <w:color w:val="000000"/>
        </w:rPr>
      </w:pPr>
      <w:r w:rsidRPr="00D839CD">
        <w:rPr>
          <w:rFonts w:cs="Calibri"/>
          <w:color w:val="000000"/>
        </w:rPr>
        <w:t>Cena emisních povolenek mezi lety 2017 až 2019 vzrostla o 463,45 Kč/t CO</w:t>
      </w:r>
      <w:r w:rsidRPr="00D839CD">
        <w:rPr>
          <w:rFonts w:cs="Calibri"/>
          <w:color w:val="000000"/>
          <w:vertAlign w:val="subscript"/>
        </w:rPr>
        <w:t>2</w:t>
      </w:r>
      <w:r w:rsidR="00F150CA">
        <w:rPr>
          <w:rFonts w:cs="Calibri"/>
          <w:color w:val="000000"/>
        </w:rPr>
        <w:t>, což</w:t>
      </w:r>
      <w:r w:rsidR="00445980">
        <w:rPr>
          <w:rFonts w:cs="Calibri"/>
          <w:color w:val="000000"/>
        </w:rPr>
        <w:t xml:space="preserve"> </w:t>
      </w:r>
      <w:r w:rsidR="00F150CA">
        <w:rPr>
          <w:rFonts w:cs="Calibri"/>
          <w:color w:val="000000"/>
        </w:rPr>
        <w:t xml:space="preserve">představuje zvýšení ceny </w:t>
      </w:r>
      <w:r w:rsidRPr="00D839CD">
        <w:rPr>
          <w:rFonts w:cs="Calibri"/>
          <w:color w:val="000000"/>
        </w:rPr>
        <w:t>o</w:t>
      </w:r>
      <w:r w:rsidR="00B278DE" w:rsidRPr="00D839CD">
        <w:rPr>
          <w:rFonts w:cs="Calibri"/>
          <w:color w:val="000000"/>
        </w:rPr>
        <w:t> </w:t>
      </w:r>
      <w:r w:rsidRPr="00D839CD">
        <w:rPr>
          <w:rFonts w:cs="Calibri"/>
          <w:color w:val="000000"/>
        </w:rPr>
        <w:t>322 %.</w:t>
      </w:r>
    </w:p>
    <w:p w14:paraId="3D38C43E" w14:textId="77777777" w:rsidR="00C97EF2" w:rsidRDefault="00C97EF2" w:rsidP="003015B3">
      <w:pPr>
        <w:pStyle w:val="Bezmezer"/>
        <w:spacing w:after="120"/>
        <w:ind w:left="993" w:hanging="993"/>
      </w:pPr>
      <w:r>
        <w:t>Příjmy z dražeb emisních povolenek</w:t>
      </w:r>
      <w:r w:rsidR="00B278DE">
        <w:t xml:space="preserve"> a podíl programu NZÚ</w:t>
      </w:r>
    </w:p>
    <w:p w14:paraId="45CD6360" w14:textId="77777777" w:rsidR="006F4F46" w:rsidRDefault="006F4F46" w:rsidP="006F4F46">
      <w:pPr>
        <w:pStyle w:val="Bezmezer"/>
        <w:numPr>
          <w:ilvl w:val="0"/>
          <w:numId w:val="0"/>
        </w:numPr>
        <w:spacing w:after="120"/>
        <w:ind w:left="357" w:hanging="357"/>
      </w:pPr>
      <w:r>
        <w:rPr>
          <w:noProof/>
          <w:lang w:eastAsia="cs-CZ"/>
        </w:rPr>
        <w:drawing>
          <wp:inline distT="0" distB="0" distL="0" distR="0" wp14:anchorId="2386FECF" wp14:editId="0CEA165B">
            <wp:extent cx="5871845" cy="3213219"/>
            <wp:effectExtent l="0" t="0" r="0" b="63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6A4671" w14:textId="3BA1A319" w:rsidR="00E240D9" w:rsidRDefault="00EE0773" w:rsidP="00F16C1F">
      <w:pPr>
        <w:rPr>
          <w:i/>
          <w:sz w:val="20"/>
        </w:rPr>
      </w:pPr>
      <w:r>
        <w:rPr>
          <w:i/>
          <w:sz w:val="20"/>
        </w:rPr>
        <w:t>Zdroj: MF, MŽP,</w:t>
      </w:r>
      <w:r w:rsidR="009A5A6E">
        <w:rPr>
          <w:i/>
          <w:sz w:val="20"/>
        </w:rPr>
        <w:t xml:space="preserve"> Energetický regulační úřad</w:t>
      </w:r>
      <w:r w:rsidR="00445980">
        <w:rPr>
          <w:i/>
          <w:sz w:val="20"/>
        </w:rPr>
        <w:t>;</w:t>
      </w:r>
      <w:r>
        <w:rPr>
          <w:i/>
          <w:sz w:val="20"/>
        </w:rPr>
        <w:t xml:space="preserve"> vlastní zpracování</w:t>
      </w:r>
      <w:r w:rsidR="00445980">
        <w:rPr>
          <w:i/>
          <w:sz w:val="20"/>
        </w:rPr>
        <w:t xml:space="preserve"> NKÚ</w:t>
      </w:r>
      <w:r>
        <w:rPr>
          <w:i/>
          <w:sz w:val="20"/>
        </w:rPr>
        <w:t>.</w:t>
      </w:r>
    </w:p>
    <w:p w14:paraId="4F1D64D2" w14:textId="77777777" w:rsidR="00EE0773" w:rsidRDefault="00EE0773" w:rsidP="007B3AC1">
      <w:pPr>
        <w:ind w:left="993" w:hanging="993"/>
        <w:rPr>
          <w:i/>
          <w:sz w:val="20"/>
        </w:rPr>
      </w:pPr>
      <w:r>
        <w:rPr>
          <w:i/>
          <w:sz w:val="20"/>
        </w:rPr>
        <w:t xml:space="preserve">Vysvětlivka: </w:t>
      </w:r>
      <w:r w:rsidR="000C1DFD">
        <w:rPr>
          <w:i/>
          <w:sz w:val="20"/>
        </w:rPr>
        <w:t>U údajů</w:t>
      </w:r>
      <w:r>
        <w:rPr>
          <w:i/>
          <w:sz w:val="20"/>
        </w:rPr>
        <w:t xml:space="preserve"> programu NZÚ </w:t>
      </w:r>
      <w:r w:rsidR="000C1DFD">
        <w:rPr>
          <w:i/>
          <w:sz w:val="20"/>
        </w:rPr>
        <w:t>se</w:t>
      </w:r>
      <w:r>
        <w:rPr>
          <w:i/>
          <w:sz w:val="20"/>
        </w:rPr>
        <w:t xml:space="preserve"> jedná o upravený rozpočet, tj. schválený rozpočet po změnách</w:t>
      </w:r>
      <w:r w:rsidR="007B3AC1">
        <w:rPr>
          <w:i/>
          <w:sz w:val="20"/>
        </w:rPr>
        <w:t>.</w:t>
      </w:r>
    </w:p>
    <w:p w14:paraId="35B1AB39" w14:textId="77777777" w:rsidR="00153633" w:rsidRDefault="00153633" w:rsidP="007B3AC1">
      <w:pPr>
        <w:ind w:left="993" w:hanging="993"/>
        <w:rPr>
          <w:i/>
          <w:sz w:val="20"/>
        </w:rPr>
      </w:pPr>
      <w:r>
        <w:rPr>
          <w:i/>
          <w:sz w:val="20"/>
        </w:rPr>
        <w:t>Pozn.:</w:t>
      </w:r>
      <w:r w:rsidRPr="00153633">
        <w:rPr>
          <w:i/>
          <w:sz w:val="20"/>
        </w:rPr>
        <w:t xml:space="preserve"> Průměrná cena jedné emisní povolenky za rok 2020 </w:t>
      </w:r>
      <w:r>
        <w:rPr>
          <w:i/>
          <w:sz w:val="20"/>
        </w:rPr>
        <w:t>vzrostla</w:t>
      </w:r>
      <w:r w:rsidRPr="00153633">
        <w:rPr>
          <w:i/>
          <w:sz w:val="20"/>
        </w:rPr>
        <w:t xml:space="preserve"> na 654,12 Kč/t</w:t>
      </w:r>
      <w:r w:rsidR="00711EF3">
        <w:rPr>
          <w:i/>
          <w:sz w:val="20"/>
        </w:rPr>
        <w:t xml:space="preserve"> </w:t>
      </w:r>
      <w:r w:rsidRPr="00153633">
        <w:rPr>
          <w:i/>
          <w:sz w:val="20"/>
        </w:rPr>
        <w:t>CO</w:t>
      </w:r>
      <w:r w:rsidRPr="00711EF3">
        <w:rPr>
          <w:i/>
          <w:sz w:val="20"/>
          <w:vertAlign w:val="subscript"/>
        </w:rPr>
        <w:t>2</w:t>
      </w:r>
      <w:r w:rsidRPr="00153633">
        <w:rPr>
          <w:i/>
          <w:sz w:val="20"/>
        </w:rPr>
        <w:t>.</w:t>
      </w:r>
    </w:p>
    <w:p w14:paraId="7C0288DD" w14:textId="77777777" w:rsidR="007B3AC1" w:rsidRPr="00FC7CB7" w:rsidRDefault="007B3AC1" w:rsidP="007B3AC1">
      <w:pPr>
        <w:ind w:left="993" w:hanging="993"/>
        <w:rPr>
          <w:sz w:val="20"/>
        </w:rPr>
      </w:pPr>
    </w:p>
    <w:p w14:paraId="08497A5A" w14:textId="77777777" w:rsidR="00E240D9" w:rsidRDefault="00E240D9" w:rsidP="00E240D9">
      <w:r w:rsidRPr="00D839CD">
        <w:t xml:space="preserve">V kontrolovaném období </w:t>
      </w:r>
      <w:r w:rsidR="00D021FB">
        <w:t xml:space="preserve">činil </w:t>
      </w:r>
      <w:r w:rsidRPr="00D839CD">
        <w:t>výnos</w:t>
      </w:r>
      <w:r w:rsidR="00D021FB">
        <w:t xml:space="preserve"> ČR </w:t>
      </w:r>
      <w:r w:rsidRPr="00D839CD">
        <w:t xml:space="preserve">z dražeb emisních povolenek </w:t>
      </w:r>
      <w:r w:rsidR="00D021FB">
        <w:t xml:space="preserve">více než </w:t>
      </w:r>
      <w:r w:rsidRPr="00D839CD">
        <w:t>36 </w:t>
      </w:r>
      <w:r w:rsidR="00D021FB">
        <w:t>mld.</w:t>
      </w:r>
      <w:r w:rsidRPr="00D839CD">
        <w:t xml:space="preserve"> Kč.</w:t>
      </w:r>
    </w:p>
    <w:p w14:paraId="05E7901D" w14:textId="4BB577BE" w:rsidR="00F16C1F" w:rsidRDefault="00F16C1F" w:rsidP="00F565BF">
      <w:pPr>
        <w:pStyle w:val="Nzevtabulky"/>
        <w:tabs>
          <w:tab w:val="right" w:pos="9070"/>
        </w:tabs>
        <w:ind w:left="1418" w:hanging="1418"/>
      </w:pPr>
      <w:r>
        <w:t xml:space="preserve">Přehled výnosů </w:t>
      </w:r>
      <w:r w:rsidR="00D021FB">
        <w:t xml:space="preserve">ČR </w:t>
      </w:r>
      <w:r w:rsidR="00F90FD8">
        <w:t>z dražeb emisních povolenek</w:t>
      </w:r>
      <w:r w:rsidR="00F565BF">
        <w:tab/>
      </w:r>
      <w:r w:rsidR="004028F7">
        <w:t xml:space="preserve">(v </w:t>
      </w:r>
      <w:r w:rsidR="00174730">
        <w:t>mil</w:t>
      </w:r>
      <w:r w:rsidR="004028F7">
        <w:t>. Kč)</w:t>
      </w:r>
    </w:p>
    <w:tbl>
      <w:tblPr>
        <w:tblW w:w="5000" w:type="pct"/>
        <w:tblCellMar>
          <w:left w:w="70" w:type="dxa"/>
          <w:right w:w="70" w:type="dxa"/>
        </w:tblCellMar>
        <w:tblLook w:val="04A0" w:firstRow="1" w:lastRow="0" w:firstColumn="1" w:lastColumn="0" w:noHBand="0" w:noVBand="1"/>
      </w:tblPr>
      <w:tblGrid>
        <w:gridCol w:w="693"/>
        <w:gridCol w:w="2988"/>
        <w:gridCol w:w="2589"/>
        <w:gridCol w:w="2790"/>
      </w:tblGrid>
      <w:tr w:rsidR="00F16C1F" w:rsidRPr="00FB0730" w14:paraId="6411C367" w14:textId="77777777" w:rsidTr="004028F7">
        <w:trPr>
          <w:trHeight w:val="20"/>
        </w:trPr>
        <w:tc>
          <w:tcPr>
            <w:tcW w:w="382" w:type="pct"/>
            <w:vMerge w:val="restart"/>
            <w:tcBorders>
              <w:top w:val="single" w:sz="4" w:space="0" w:color="auto"/>
              <w:left w:val="single" w:sz="4" w:space="0" w:color="auto"/>
              <w:bottom w:val="single" w:sz="4" w:space="0" w:color="auto"/>
              <w:right w:val="single" w:sz="4" w:space="0" w:color="auto"/>
            </w:tcBorders>
            <w:shd w:val="clear" w:color="000000" w:fill="E5F1FF"/>
            <w:noWrap/>
            <w:vAlign w:val="center"/>
          </w:tcPr>
          <w:p w14:paraId="1F904B9B" w14:textId="77777777" w:rsidR="00F16C1F" w:rsidRPr="00FB0730" w:rsidRDefault="00F16C1F" w:rsidP="00B84603">
            <w:pPr>
              <w:jc w:val="center"/>
              <w:rPr>
                <w:rFonts w:ascii="Calibri" w:hAnsi="Calibri" w:cs="Calibri"/>
                <w:b/>
                <w:bCs/>
                <w:color w:val="000000"/>
                <w:sz w:val="18"/>
                <w:szCs w:val="18"/>
              </w:rPr>
            </w:pPr>
            <w:r w:rsidRPr="00FB0730">
              <w:rPr>
                <w:rFonts w:ascii="Calibri" w:hAnsi="Calibri" w:cs="Calibri"/>
                <w:b/>
                <w:bCs/>
                <w:color w:val="000000"/>
                <w:sz w:val="18"/>
                <w:szCs w:val="18"/>
              </w:rPr>
              <w:t>Období</w:t>
            </w:r>
          </w:p>
        </w:tc>
        <w:tc>
          <w:tcPr>
            <w:tcW w:w="1649" w:type="pct"/>
            <w:vMerge w:val="restart"/>
            <w:tcBorders>
              <w:top w:val="single" w:sz="4" w:space="0" w:color="auto"/>
              <w:left w:val="nil"/>
              <w:right w:val="single" w:sz="4" w:space="0" w:color="auto"/>
            </w:tcBorders>
            <w:shd w:val="clear" w:color="000000" w:fill="E5F1FF"/>
            <w:vAlign w:val="center"/>
          </w:tcPr>
          <w:p w14:paraId="7DB12D15" w14:textId="0BBFA3E5" w:rsidR="00F16C1F" w:rsidRPr="00FB0730" w:rsidRDefault="00F16C1F" w:rsidP="00704EA8">
            <w:pPr>
              <w:jc w:val="center"/>
              <w:rPr>
                <w:rFonts w:ascii="Calibri" w:hAnsi="Calibri" w:cs="Calibri"/>
                <w:b/>
                <w:bCs/>
                <w:color w:val="000000"/>
                <w:sz w:val="18"/>
                <w:szCs w:val="18"/>
              </w:rPr>
            </w:pPr>
            <w:r w:rsidRPr="00FB0730">
              <w:rPr>
                <w:rFonts w:ascii="Calibri" w:hAnsi="Calibri" w:cs="Calibri"/>
                <w:b/>
                <w:bCs/>
                <w:color w:val="000000"/>
                <w:sz w:val="18"/>
                <w:szCs w:val="18"/>
              </w:rPr>
              <w:t>Celk</w:t>
            </w:r>
            <w:r w:rsidR="001204B8">
              <w:rPr>
                <w:rFonts w:ascii="Calibri" w:hAnsi="Calibri" w:cs="Calibri"/>
                <w:b/>
                <w:bCs/>
                <w:color w:val="000000"/>
                <w:sz w:val="18"/>
                <w:szCs w:val="18"/>
              </w:rPr>
              <w:t>ové</w:t>
            </w:r>
            <w:r w:rsidRPr="00FB0730">
              <w:rPr>
                <w:rFonts w:ascii="Calibri" w:hAnsi="Calibri" w:cs="Calibri"/>
                <w:b/>
                <w:bCs/>
                <w:color w:val="000000"/>
                <w:sz w:val="18"/>
                <w:szCs w:val="18"/>
              </w:rPr>
              <w:t xml:space="preserve"> výnosy z dražeb emisních povolenek</w:t>
            </w:r>
          </w:p>
        </w:tc>
        <w:tc>
          <w:tcPr>
            <w:tcW w:w="2969" w:type="pct"/>
            <w:gridSpan w:val="2"/>
            <w:tcBorders>
              <w:top w:val="single" w:sz="4" w:space="0" w:color="auto"/>
              <w:left w:val="nil"/>
              <w:bottom w:val="single" w:sz="4" w:space="0" w:color="auto"/>
              <w:right w:val="single" w:sz="4" w:space="0" w:color="auto"/>
            </w:tcBorders>
            <w:shd w:val="clear" w:color="000000" w:fill="E5F1FF"/>
            <w:vAlign w:val="center"/>
          </w:tcPr>
          <w:p w14:paraId="111B6C2D" w14:textId="77777777" w:rsidR="00F16C1F" w:rsidRPr="00FB0730" w:rsidRDefault="00F16C1F" w:rsidP="00B84603">
            <w:pPr>
              <w:jc w:val="center"/>
              <w:rPr>
                <w:rFonts w:ascii="Calibri" w:hAnsi="Calibri" w:cs="Calibri"/>
                <w:b/>
                <w:bCs/>
                <w:color w:val="000000"/>
                <w:sz w:val="18"/>
                <w:szCs w:val="18"/>
              </w:rPr>
            </w:pPr>
            <w:r>
              <w:rPr>
                <w:rFonts w:ascii="Calibri" w:hAnsi="Calibri" w:cs="Calibri"/>
                <w:b/>
                <w:bCs/>
                <w:color w:val="000000"/>
                <w:sz w:val="18"/>
                <w:szCs w:val="18"/>
              </w:rPr>
              <w:t xml:space="preserve">Předpoklad plnění dle </w:t>
            </w:r>
            <w:r w:rsidRPr="00FB0730">
              <w:rPr>
                <w:rFonts w:ascii="Calibri" w:hAnsi="Calibri" w:cs="Calibri"/>
                <w:b/>
                <w:bCs/>
                <w:color w:val="000000"/>
                <w:sz w:val="18"/>
                <w:szCs w:val="18"/>
              </w:rPr>
              <w:t>ustanovení § 7 odst. 7 zákona č. 383/2012 Sb</w:t>
            </w:r>
            <w:r>
              <w:rPr>
                <w:rFonts w:ascii="Calibri" w:hAnsi="Calibri" w:cs="Calibri"/>
                <w:b/>
                <w:bCs/>
                <w:color w:val="000000"/>
                <w:sz w:val="18"/>
                <w:szCs w:val="18"/>
              </w:rPr>
              <w:t>.</w:t>
            </w:r>
          </w:p>
        </w:tc>
      </w:tr>
      <w:tr w:rsidR="00F16C1F" w:rsidRPr="00FB0730" w14:paraId="28D61A7A" w14:textId="77777777" w:rsidTr="004028F7">
        <w:trPr>
          <w:trHeight w:val="20"/>
        </w:trPr>
        <w:tc>
          <w:tcPr>
            <w:tcW w:w="382" w:type="pct"/>
            <w:vMerge/>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18822415" w14:textId="77777777" w:rsidR="00F16C1F" w:rsidRPr="00FB0730" w:rsidRDefault="00F16C1F" w:rsidP="00B84603">
            <w:pPr>
              <w:jc w:val="center"/>
              <w:rPr>
                <w:rFonts w:ascii="Calibri" w:hAnsi="Calibri" w:cs="Calibri"/>
                <w:b/>
                <w:bCs/>
                <w:color w:val="000000"/>
                <w:sz w:val="18"/>
                <w:szCs w:val="18"/>
              </w:rPr>
            </w:pPr>
          </w:p>
        </w:tc>
        <w:tc>
          <w:tcPr>
            <w:tcW w:w="1649" w:type="pct"/>
            <w:vMerge/>
            <w:tcBorders>
              <w:left w:val="nil"/>
              <w:bottom w:val="single" w:sz="4" w:space="0" w:color="auto"/>
              <w:right w:val="single" w:sz="4" w:space="0" w:color="auto"/>
            </w:tcBorders>
            <w:shd w:val="clear" w:color="000000" w:fill="E5F1FF"/>
            <w:vAlign w:val="center"/>
            <w:hideMark/>
          </w:tcPr>
          <w:p w14:paraId="53AEEF0D" w14:textId="77777777" w:rsidR="00F16C1F" w:rsidRPr="00FB0730" w:rsidRDefault="00F16C1F" w:rsidP="00B84603">
            <w:pPr>
              <w:jc w:val="center"/>
              <w:rPr>
                <w:rFonts w:ascii="Calibri" w:hAnsi="Calibri" w:cs="Calibri"/>
                <w:b/>
                <w:bCs/>
                <w:color w:val="000000"/>
                <w:sz w:val="18"/>
                <w:szCs w:val="18"/>
              </w:rPr>
            </w:pPr>
          </w:p>
        </w:tc>
        <w:tc>
          <w:tcPr>
            <w:tcW w:w="1429" w:type="pct"/>
            <w:tcBorders>
              <w:top w:val="single" w:sz="4" w:space="0" w:color="auto"/>
              <w:left w:val="nil"/>
              <w:bottom w:val="single" w:sz="4" w:space="0" w:color="auto"/>
              <w:right w:val="single" w:sz="4" w:space="0" w:color="auto"/>
            </w:tcBorders>
            <w:shd w:val="clear" w:color="000000" w:fill="E5F1FF"/>
            <w:vAlign w:val="center"/>
            <w:hideMark/>
          </w:tcPr>
          <w:p w14:paraId="7915B31D" w14:textId="77777777" w:rsidR="00F16C1F" w:rsidRPr="00FB0730" w:rsidRDefault="00F16C1F" w:rsidP="00B84603">
            <w:pPr>
              <w:jc w:val="center"/>
              <w:rPr>
                <w:rFonts w:ascii="Calibri" w:hAnsi="Calibri" w:cs="Calibri"/>
                <w:b/>
                <w:bCs/>
                <w:color w:val="000000"/>
                <w:sz w:val="18"/>
                <w:szCs w:val="18"/>
              </w:rPr>
            </w:pPr>
            <w:r w:rsidRPr="00FB0730">
              <w:rPr>
                <w:rFonts w:ascii="Calibri" w:hAnsi="Calibri" w:cs="Calibri"/>
                <w:b/>
                <w:bCs/>
                <w:color w:val="000000"/>
                <w:sz w:val="18"/>
                <w:szCs w:val="18"/>
              </w:rPr>
              <w:t>SFŽP, resp. MŽP</w:t>
            </w:r>
          </w:p>
        </w:tc>
        <w:tc>
          <w:tcPr>
            <w:tcW w:w="1540" w:type="pct"/>
            <w:tcBorders>
              <w:top w:val="single" w:sz="4" w:space="0" w:color="auto"/>
              <w:left w:val="nil"/>
              <w:bottom w:val="single" w:sz="4" w:space="0" w:color="auto"/>
              <w:right w:val="single" w:sz="4" w:space="0" w:color="auto"/>
            </w:tcBorders>
            <w:shd w:val="clear" w:color="000000" w:fill="E5F1FF"/>
            <w:vAlign w:val="center"/>
            <w:hideMark/>
          </w:tcPr>
          <w:p w14:paraId="5085673B" w14:textId="77777777" w:rsidR="00F16C1F" w:rsidRPr="00FB0730" w:rsidRDefault="00F16C1F" w:rsidP="00B84603">
            <w:pPr>
              <w:jc w:val="center"/>
              <w:rPr>
                <w:rFonts w:ascii="Calibri" w:hAnsi="Calibri" w:cs="Calibri"/>
                <w:b/>
                <w:bCs/>
                <w:color w:val="000000"/>
                <w:sz w:val="18"/>
                <w:szCs w:val="18"/>
              </w:rPr>
            </w:pPr>
            <w:r w:rsidRPr="00FB0730">
              <w:rPr>
                <w:rFonts w:ascii="Calibri" w:hAnsi="Calibri" w:cs="Calibri"/>
                <w:b/>
                <w:bCs/>
                <w:color w:val="000000"/>
                <w:sz w:val="18"/>
                <w:szCs w:val="18"/>
              </w:rPr>
              <w:t>MPO</w:t>
            </w:r>
          </w:p>
        </w:tc>
      </w:tr>
      <w:tr w:rsidR="00F16C1F" w:rsidRPr="00FB0730" w14:paraId="1C55440F" w14:textId="77777777" w:rsidTr="004028F7">
        <w:trPr>
          <w:trHeight w:val="20"/>
        </w:trPr>
        <w:tc>
          <w:tcPr>
            <w:tcW w:w="382" w:type="pct"/>
            <w:vMerge/>
            <w:tcBorders>
              <w:top w:val="single" w:sz="4" w:space="0" w:color="auto"/>
              <w:left w:val="single" w:sz="4" w:space="0" w:color="auto"/>
              <w:bottom w:val="single" w:sz="4" w:space="0" w:color="auto"/>
              <w:right w:val="single" w:sz="4" w:space="0" w:color="auto"/>
            </w:tcBorders>
            <w:vAlign w:val="center"/>
            <w:hideMark/>
          </w:tcPr>
          <w:p w14:paraId="38C27E35" w14:textId="77777777" w:rsidR="00F16C1F" w:rsidRPr="00FB0730" w:rsidRDefault="00F16C1F" w:rsidP="00B84603">
            <w:pPr>
              <w:rPr>
                <w:rFonts w:ascii="Calibri" w:hAnsi="Calibri" w:cs="Calibri"/>
                <w:b/>
                <w:bCs/>
                <w:color w:val="000000"/>
                <w:sz w:val="18"/>
                <w:szCs w:val="18"/>
              </w:rPr>
            </w:pPr>
          </w:p>
        </w:tc>
        <w:tc>
          <w:tcPr>
            <w:tcW w:w="1649" w:type="pct"/>
            <w:tcBorders>
              <w:top w:val="nil"/>
              <w:left w:val="nil"/>
              <w:bottom w:val="single" w:sz="4" w:space="0" w:color="auto"/>
              <w:right w:val="single" w:sz="4" w:space="0" w:color="auto"/>
            </w:tcBorders>
            <w:shd w:val="clear" w:color="000000" w:fill="E5F1FF"/>
            <w:vAlign w:val="center"/>
            <w:hideMark/>
          </w:tcPr>
          <w:p w14:paraId="18708076" w14:textId="77777777" w:rsidR="00F16C1F" w:rsidRPr="00FB0730" w:rsidRDefault="00F16C1F" w:rsidP="00B84603">
            <w:pPr>
              <w:jc w:val="center"/>
              <w:rPr>
                <w:rFonts w:ascii="Calibri" w:hAnsi="Calibri" w:cs="Calibri"/>
                <w:b/>
                <w:bCs/>
                <w:color w:val="000000"/>
                <w:sz w:val="18"/>
                <w:szCs w:val="18"/>
              </w:rPr>
            </w:pPr>
            <w:r w:rsidRPr="00FB0730">
              <w:rPr>
                <w:rFonts w:ascii="Calibri" w:hAnsi="Calibri" w:cs="Calibri"/>
                <w:b/>
                <w:bCs/>
                <w:color w:val="000000"/>
                <w:sz w:val="18"/>
                <w:szCs w:val="18"/>
              </w:rPr>
              <w:t>Výnosy z dražeb emisních povolenek (dle rozpočtové položky 3114</w:t>
            </w:r>
            <w:r>
              <w:rPr>
                <w:rFonts w:ascii="Calibri" w:hAnsi="Calibri" w:cs="Calibri"/>
                <w:b/>
                <w:bCs/>
                <w:color w:val="000000"/>
                <w:sz w:val="18"/>
                <w:szCs w:val="18"/>
              </w:rPr>
              <w:t>*</w:t>
            </w:r>
            <w:r w:rsidRPr="00FB0730">
              <w:rPr>
                <w:rFonts w:ascii="Calibri" w:hAnsi="Calibri" w:cs="Calibri"/>
                <w:b/>
                <w:bCs/>
                <w:color w:val="000000"/>
                <w:sz w:val="18"/>
                <w:szCs w:val="18"/>
              </w:rPr>
              <w:t>)</w:t>
            </w:r>
          </w:p>
        </w:tc>
        <w:tc>
          <w:tcPr>
            <w:tcW w:w="1429" w:type="pct"/>
            <w:tcBorders>
              <w:top w:val="nil"/>
              <w:left w:val="nil"/>
              <w:bottom w:val="single" w:sz="4" w:space="0" w:color="auto"/>
              <w:right w:val="single" w:sz="4" w:space="0" w:color="auto"/>
            </w:tcBorders>
            <w:shd w:val="clear" w:color="000000" w:fill="E5F1FF"/>
            <w:vAlign w:val="center"/>
            <w:hideMark/>
          </w:tcPr>
          <w:p w14:paraId="2EFCF41A" w14:textId="77777777" w:rsidR="00F16C1F" w:rsidRPr="00FB0730" w:rsidRDefault="00F16C1F" w:rsidP="00B84603">
            <w:pPr>
              <w:jc w:val="center"/>
              <w:rPr>
                <w:rFonts w:ascii="Calibri" w:hAnsi="Calibri" w:cs="Calibri"/>
                <w:b/>
                <w:bCs/>
                <w:color w:val="000000"/>
                <w:sz w:val="18"/>
                <w:szCs w:val="18"/>
              </w:rPr>
            </w:pPr>
            <w:r w:rsidRPr="00FB0730">
              <w:rPr>
                <w:rFonts w:ascii="Calibri" w:hAnsi="Calibri" w:cs="Calibri"/>
                <w:b/>
                <w:bCs/>
                <w:color w:val="000000"/>
                <w:sz w:val="18"/>
                <w:szCs w:val="18"/>
              </w:rPr>
              <w:t>50</w:t>
            </w:r>
            <w:r w:rsidR="00E75066">
              <w:rPr>
                <w:rFonts w:ascii="Calibri" w:hAnsi="Calibri" w:cs="Calibri"/>
                <w:b/>
                <w:bCs/>
                <w:color w:val="000000"/>
                <w:sz w:val="18"/>
                <w:szCs w:val="18"/>
              </w:rPr>
              <w:t xml:space="preserve"> </w:t>
            </w:r>
            <w:r w:rsidRPr="00FB0730">
              <w:rPr>
                <w:rFonts w:ascii="Calibri" w:hAnsi="Calibri" w:cs="Calibri"/>
                <w:b/>
                <w:bCs/>
                <w:color w:val="000000"/>
                <w:sz w:val="18"/>
                <w:szCs w:val="18"/>
              </w:rPr>
              <w:t xml:space="preserve">% </w:t>
            </w:r>
            <w:r>
              <w:rPr>
                <w:rFonts w:ascii="Calibri" w:hAnsi="Calibri" w:cs="Calibri"/>
                <w:b/>
                <w:bCs/>
                <w:color w:val="000000"/>
                <w:sz w:val="18"/>
                <w:szCs w:val="18"/>
              </w:rPr>
              <w:t>do výše 12 mld. Kč</w:t>
            </w:r>
          </w:p>
        </w:tc>
        <w:tc>
          <w:tcPr>
            <w:tcW w:w="1540" w:type="pct"/>
            <w:tcBorders>
              <w:top w:val="nil"/>
              <w:left w:val="nil"/>
              <w:bottom w:val="single" w:sz="4" w:space="0" w:color="auto"/>
              <w:right w:val="single" w:sz="4" w:space="0" w:color="auto"/>
            </w:tcBorders>
            <w:shd w:val="clear" w:color="000000" w:fill="E5F1FF"/>
            <w:vAlign w:val="center"/>
            <w:hideMark/>
          </w:tcPr>
          <w:p w14:paraId="392D5CFE" w14:textId="77777777" w:rsidR="00F16C1F" w:rsidRPr="00FB0730" w:rsidRDefault="00F16C1F" w:rsidP="00B84603">
            <w:pPr>
              <w:jc w:val="center"/>
              <w:rPr>
                <w:rFonts w:ascii="Calibri" w:hAnsi="Calibri" w:cs="Calibri"/>
                <w:b/>
                <w:bCs/>
                <w:color w:val="000000"/>
                <w:sz w:val="18"/>
                <w:szCs w:val="18"/>
              </w:rPr>
            </w:pPr>
            <w:r w:rsidRPr="00FB0730">
              <w:rPr>
                <w:rFonts w:ascii="Calibri" w:hAnsi="Calibri" w:cs="Calibri"/>
                <w:b/>
                <w:bCs/>
                <w:color w:val="000000"/>
                <w:sz w:val="18"/>
                <w:szCs w:val="18"/>
              </w:rPr>
              <w:t>50</w:t>
            </w:r>
            <w:r w:rsidR="00E75066">
              <w:rPr>
                <w:rFonts w:ascii="Calibri" w:hAnsi="Calibri" w:cs="Calibri"/>
                <w:b/>
                <w:bCs/>
                <w:color w:val="000000"/>
                <w:sz w:val="18"/>
                <w:szCs w:val="18"/>
              </w:rPr>
              <w:t xml:space="preserve"> </w:t>
            </w:r>
            <w:r w:rsidRPr="00FB0730">
              <w:rPr>
                <w:rFonts w:ascii="Calibri" w:hAnsi="Calibri" w:cs="Calibri"/>
                <w:b/>
                <w:bCs/>
                <w:color w:val="000000"/>
                <w:sz w:val="18"/>
                <w:szCs w:val="18"/>
              </w:rPr>
              <w:t xml:space="preserve">% </w:t>
            </w:r>
            <w:r>
              <w:rPr>
                <w:rFonts w:ascii="Calibri" w:hAnsi="Calibri" w:cs="Calibri"/>
                <w:b/>
                <w:bCs/>
                <w:color w:val="000000"/>
                <w:sz w:val="18"/>
                <w:szCs w:val="18"/>
              </w:rPr>
              <w:t>do výše 12 mld. Kč</w:t>
            </w:r>
          </w:p>
        </w:tc>
      </w:tr>
      <w:tr w:rsidR="00F16C1F" w:rsidRPr="00FB0730" w14:paraId="000AFD68" w14:textId="77777777" w:rsidTr="004028F7">
        <w:trPr>
          <w:trHeight w:val="20"/>
        </w:trPr>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0A761" w14:textId="77777777" w:rsidR="00F16C1F" w:rsidRPr="00FB0730" w:rsidRDefault="00F16C1F" w:rsidP="00FC7CB7">
            <w:pPr>
              <w:jc w:val="left"/>
              <w:rPr>
                <w:rFonts w:ascii="Calibri" w:hAnsi="Calibri" w:cs="Calibri"/>
                <w:color w:val="000000"/>
                <w:sz w:val="18"/>
                <w:szCs w:val="18"/>
              </w:rPr>
            </w:pPr>
            <w:r w:rsidRPr="00FB0730">
              <w:rPr>
                <w:rFonts w:ascii="Calibri" w:hAnsi="Calibri" w:cs="Calibri"/>
                <w:color w:val="000000"/>
                <w:sz w:val="18"/>
                <w:szCs w:val="18"/>
              </w:rPr>
              <w:t>2017</w:t>
            </w:r>
          </w:p>
        </w:tc>
        <w:tc>
          <w:tcPr>
            <w:tcW w:w="1649" w:type="pct"/>
            <w:tcBorders>
              <w:top w:val="nil"/>
              <w:left w:val="nil"/>
              <w:bottom w:val="single" w:sz="4" w:space="0" w:color="auto"/>
              <w:right w:val="single" w:sz="4" w:space="0" w:color="auto"/>
            </w:tcBorders>
            <w:shd w:val="clear" w:color="auto" w:fill="auto"/>
            <w:noWrap/>
            <w:vAlign w:val="bottom"/>
          </w:tcPr>
          <w:p w14:paraId="15C1E2FF" w14:textId="48B7B440" w:rsidR="00F16C1F" w:rsidRPr="00FB0730" w:rsidRDefault="00F16C1F" w:rsidP="00E34290">
            <w:pPr>
              <w:jc w:val="right"/>
              <w:rPr>
                <w:rFonts w:ascii="Calibri" w:hAnsi="Calibri" w:cs="Calibri"/>
                <w:color w:val="000000"/>
                <w:sz w:val="18"/>
                <w:szCs w:val="18"/>
              </w:rPr>
            </w:pPr>
            <w:r w:rsidRPr="00FB0730">
              <w:rPr>
                <w:rFonts w:ascii="Calibri" w:hAnsi="Calibri" w:cs="Calibri"/>
                <w:color w:val="000000"/>
                <w:sz w:val="18"/>
                <w:szCs w:val="18"/>
              </w:rPr>
              <w:t>5</w:t>
            </w:r>
            <w:r w:rsidR="00F451ED">
              <w:rPr>
                <w:rFonts w:ascii="Calibri" w:hAnsi="Calibri" w:cs="Calibri"/>
                <w:color w:val="000000"/>
                <w:sz w:val="18"/>
                <w:szCs w:val="18"/>
              </w:rPr>
              <w:t> </w:t>
            </w:r>
            <w:r w:rsidRPr="00FB0730">
              <w:rPr>
                <w:rFonts w:ascii="Calibri" w:hAnsi="Calibri" w:cs="Calibri"/>
                <w:color w:val="000000"/>
                <w:sz w:val="18"/>
                <w:szCs w:val="18"/>
              </w:rPr>
              <w:t>220</w:t>
            </w:r>
          </w:p>
        </w:tc>
        <w:tc>
          <w:tcPr>
            <w:tcW w:w="1429" w:type="pct"/>
            <w:tcBorders>
              <w:top w:val="nil"/>
              <w:left w:val="nil"/>
              <w:bottom w:val="single" w:sz="4" w:space="0" w:color="auto"/>
              <w:right w:val="single" w:sz="4" w:space="0" w:color="auto"/>
            </w:tcBorders>
            <w:shd w:val="clear" w:color="auto" w:fill="auto"/>
            <w:noWrap/>
            <w:vAlign w:val="bottom"/>
          </w:tcPr>
          <w:p w14:paraId="4A2E114D" w14:textId="77777777" w:rsidR="00F16C1F" w:rsidRPr="00FB0730" w:rsidRDefault="00F16C1F" w:rsidP="00174730">
            <w:pPr>
              <w:jc w:val="right"/>
              <w:rPr>
                <w:rFonts w:ascii="Calibri" w:hAnsi="Calibri" w:cs="Calibri"/>
                <w:color w:val="000000"/>
                <w:sz w:val="18"/>
                <w:szCs w:val="18"/>
              </w:rPr>
            </w:pPr>
            <w:r w:rsidRPr="00FB0730">
              <w:rPr>
                <w:rFonts w:ascii="Calibri" w:hAnsi="Calibri" w:cs="Calibri"/>
                <w:color w:val="000000"/>
                <w:sz w:val="18"/>
                <w:szCs w:val="18"/>
              </w:rPr>
              <w:t xml:space="preserve">2 610 </w:t>
            </w:r>
          </w:p>
        </w:tc>
        <w:tc>
          <w:tcPr>
            <w:tcW w:w="1540" w:type="pct"/>
            <w:tcBorders>
              <w:top w:val="nil"/>
              <w:left w:val="nil"/>
              <w:bottom w:val="single" w:sz="4" w:space="0" w:color="auto"/>
              <w:right w:val="single" w:sz="4" w:space="0" w:color="auto"/>
            </w:tcBorders>
            <w:shd w:val="clear" w:color="auto" w:fill="auto"/>
            <w:noWrap/>
            <w:vAlign w:val="bottom"/>
          </w:tcPr>
          <w:p w14:paraId="645A8772" w14:textId="77777777" w:rsidR="00F16C1F" w:rsidRPr="00FB0730" w:rsidRDefault="00F16C1F" w:rsidP="00174730">
            <w:pPr>
              <w:jc w:val="right"/>
              <w:rPr>
                <w:rFonts w:ascii="Calibri" w:hAnsi="Calibri" w:cs="Calibri"/>
                <w:color w:val="000000"/>
                <w:sz w:val="18"/>
                <w:szCs w:val="18"/>
              </w:rPr>
            </w:pPr>
            <w:r w:rsidRPr="00FB0730">
              <w:rPr>
                <w:rFonts w:ascii="Calibri" w:hAnsi="Calibri" w:cs="Calibri"/>
                <w:color w:val="000000"/>
                <w:sz w:val="18"/>
                <w:szCs w:val="18"/>
              </w:rPr>
              <w:t xml:space="preserve">2 610 </w:t>
            </w:r>
          </w:p>
        </w:tc>
      </w:tr>
      <w:tr w:rsidR="00F16C1F" w:rsidRPr="00FB0730" w14:paraId="5751A15A" w14:textId="77777777" w:rsidTr="00B84603">
        <w:trPr>
          <w:trHeight w:val="2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40A81BDB" w14:textId="77777777" w:rsidR="00F16C1F" w:rsidRPr="00FB0730" w:rsidRDefault="00F16C1F" w:rsidP="00FC7CB7">
            <w:pPr>
              <w:jc w:val="left"/>
              <w:rPr>
                <w:rFonts w:ascii="Calibri" w:hAnsi="Calibri" w:cs="Calibri"/>
                <w:color w:val="000000"/>
                <w:sz w:val="18"/>
                <w:szCs w:val="18"/>
              </w:rPr>
            </w:pPr>
            <w:r w:rsidRPr="00FB0730">
              <w:rPr>
                <w:rFonts w:ascii="Calibri" w:hAnsi="Calibri" w:cs="Calibri"/>
                <w:color w:val="000000"/>
                <w:sz w:val="18"/>
                <w:szCs w:val="18"/>
              </w:rPr>
              <w:t>2018</w:t>
            </w:r>
          </w:p>
        </w:tc>
        <w:tc>
          <w:tcPr>
            <w:tcW w:w="1649" w:type="pct"/>
            <w:tcBorders>
              <w:top w:val="nil"/>
              <w:left w:val="nil"/>
              <w:bottom w:val="single" w:sz="4" w:space="0" w:color="auto"/>
              <w:right w:val="single" w:sz="4" w:space="0" w:color="auto"/>
            </w:tcBorders>
            <w:shd w:val="clear" w:color="auto" w:fill="auto"/>
            <w:noWrap/>
            <w:vAlign w:val="bottom"/>
          </w:tcPr>
          <w:p w14:paraId="0C416652" w14:textId="77777777" w:rsidR="00F16C1F" w:rsidRPr="00FB0730" w:rsidRDefault="00174730" w:rsidP="00174730">
            <w:pPr>
              <w:jc w:val="right"/>
              <w:rPr>
                <w:rFonts w:ascii="Calibri" w:hAnsi="Calibri" w:cs="Calibri"/>
                <w:color w:val="000000"/>
                <w:sz w:val="18"/>
                <w:szCs w:val="18"/>
              </w:rPr>
            </w:pPr>
            <w:r>
              <w:rPr>
                <w:rFonts w:ascii="Calibri" w:hAnsi="Calibri" w:cs="Calibri"/>
                <w:color w:val="000000"/>
                <w:sz w:val="18"/>
                <w:szCs w:val="18"/>
              </w:rPr>
              <w:t>14 935</w:t>
            </w:r>
          </w:p>
        </w:tc>
        <w:tc>
          <w:tcPr>
            <w:tcW w:w="1429" w:type="pct"/>
            <w:tcBorders>
              <w:top w:val="nil"/>
              <w:left w:val="nil"/>
              <w:bottom w:val="single" w:sz="4" w:space="0" w:color="auto"/>
              <w:right w:val="single" w:sz="4" w:space="0" w:color="auto"/>
            </w:tcBorders>
            <w:shd w:val="clear" w:color="auto" w:fill="auto"/>
            <w:vAlign w:val="center"/>
          </w:tcPr>
          <w:p w14:paraId="43FF1D06" w14:textId="77777777" w:rsidR="00F16C1F" w:rsidRPr="00FB0730" w:rsidRDefault="00F16C1F" w:rsidP="00174730">
            <w:pPr>
              <w:jc w:val="right"/>
              <w:rPr>
                <w:rFonts w:ascii="Calibri" w:hAnsi="Calibri" w:cs="Calibri"/>
                <w:color w:val="000000"/>
                <w:sz w:val="18"/>
                <w:szCs w:val="18"/>
              </w:rPr>
            </w:pPr>
            <w:r w:rsidRPr="00FB0730">
              <w:rPr>
                <w:rFonts w:ascii="Calibri" w:hAnsi="Calibri" w:cs="Calibri"/>
                <w:color w:val="000000"/>
                <w:sz w:val="18"/>
                <w:szCs w:val="18"/>
              </w:rPr>
              <w:t xml:space="preserve">6 000 </w:t>
            </w:r>
          </w:p>
        </w:tc>
        <w:tc>
          <w:tcPr>
            <w:tcW w:w="1540" w:type="pct"/>
            <w:tcBorders>
              <w:top w:val="nil"/>
              <w:left w:val="nil"/>
              <w:bottom w:val="single" w:sz="4" w:space="0" w:color="auto"/>
              <w:right w:val="single" w:sz="4" w:space="0" w:color="auto"/>
            </w:tcBorders>
            <w:shd w:val="clear" w:color="auto" w:fill="auto"/>
            <w:vAlign w:val="center"/>
          </w:tcPr>
          <w:p w14:paraId="2D0942BA" w14:textId="77777777" w:rsidR="00F16C1F" w:rsidRPr="00FB0730" w:rsidRDefault="00F16C1F" w:rsidP="00174730">
            <w:pPr>
              <w:jc w:val="right"/>
              <w:rPr>
                <w:rFonts w:ascii="Calibri" w:hAnsi="Calibri" w:cs="Calibri"/>
                <w:color w:val="000000"/>
                <w:sz w:val="18"/>
                <w:szCs w:val="18"/>
              </w:rPr>
            </w:pPr>
            <w:r w:rsidRPr="00FB0730">
              <w:rPr>
                <w:rFonts w:ascii="Calibri" w:hAnsi="Calibri" w:cs="Calibri"/>
                <w:color w:val="000000"/>
                <w:sz w:val="18"/>
                <w:szCs w:val="18"/>
              </w:rPr>
              <w:t xml:space="preserve">6 000 </w:t>
            </w:r>
          </w:p>
        </w:tc>
      </w:tr>
      <w:tr w:rsidR="00F16C1F" w:rsidRPr="00FB0730" w14:paraId="25D92CC3" w14:textId="77777777" w:rsidTr="00B84603">
        <w:trPr>
          <w:trHeight w:val="2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71A7D3FB" w14:textId="77777777" w:rsidR="00F16C1F" w:rsidRPr="00FB0730" w:rsidRDefault="00F16C1F" w:rsidP="00FC7CB7">
            <w:pPr>
              <w:jc w:val="left"/>
              <w:rPr>
                <w:rFonts w:ascii="Calibri" w:hAnsi="Calibri" w:cs="Calibri"/>
                <w:color w:val="000000"/>
                <w:sz w:val="18"/>
                <w:szCs w:val="18"/>
              </w:rPr>
            </w:pPr>
            <w:r w:rsidRPr="00FB0730">
              <w:rPr>
                <w:rFonts w:ascii="Calibri" w:hAnsi="Calibri" w:cs="Calibri"/>
                <w:color w:val="000000"/>
                <w:sz w:val="18"/>
                <w:szCs w:val="18"/>
              </w:rPr>
              <w:t>2019</w:t>
            </w:r>
          </w:p>
        </w:tc>
        <w:tc>
          <w:tcPr>
            <w:tcW w:w="1649" w:type="pct"/>
            <w:tcBorders>
              <w:top w:val="nil"/>
              <w:left w:val="nil"/>
              <w:bottom w:val="single" w:sz="4" w:space="0" w:color="auto"/>
              <w:right w:val="single" w:sz="4" w:space="0" w:color="auto"/>
            </w:tcBorders>
            <w:shd w:val="clear" w:color="auto" w:fill="auto"/>
            <w:noWrap/>
            <w:vAlign w:val="bottom"/>
          </w:tcPr>
          <w:p w14:paraId="4E7C3FAA" w14:textId="4A8AC488" w:rsidR="00F16C1F" w:rsidRPr="00FB0730" w:rsidRDefault="00F16C1F" w:rsidP="00E34290">
            <w:pPr>
              <w:jc w:val="right"/>
              <w:rPr>
                <w:rFonts w:ascii="Calibri" w:hAnsi="Calibri" w:cs="Calibri"/>
                <w:color w:val="000000"/>
                <w:sz w:val="18"/>
                <w:szCs w:val="18"/>
              </w:rPr>
            </w:pPr>
            <w:r w:rsidRPr="00FB0730">
              <w:rPr>
                <w:rFonts w:ascii="Calibri" w:hAnsi="Calibri" w:cs="Calibri"/>
                <w:color w:val="000000"/>
                <w:sz w:val="18"/>
                <w:szCs w:val="18"/>
              </w:rPr>
              <w:t>16 098</w:t>
            </w:r>
          </w:p>
        </w:tc>
        <w:tc>
          <w:tcPr>
            <w:tcW w:w="1429" w:type="pct"/>
            <w:tcBorders>
              <w:top w:val="nil"/>
              <w:left w:val="nil"/>
              <w:bottom w:val="single" w:sz="4" w:space="0" w:color="auto"/>
              <w:right w:val="single" w:sz="4" w:space="0" w:color="auto"/>
            </w:tcBorders>
            <w:shd w:val="clear" w:color="auto" w:fill="auto"/>
            <w:vAlign w:val="center"/>
          </w:tcPr>
          <w:p w14:paraId="0FA343CA" w14:textId="77777777" w:rsidR="00F16C1F" w:rsidRPr="00FB0730" w:rsidRDefault="00F16C1F" w:rsidP="00174730">
            <w:pPr>
              <w:jc w:val="right"/>
              <w:rPr>
                <w:rFonts w:ascii="Calibri" w:hAnsi="Calibri" w:cs="Calibri"/>
                <w:color w:val="000000"/>
                <w:sz w:val="18"/>
                <w:szCs w:val="18"/>
              </w:rPr>
            </w:pPr>
            <w:r w:rsidRPr="00FB0730">
              <w:rPr>
                <w:rFonts w:ascii="Calibri" w:hAnsi="Calibri" w:cs="Calibri"/>
                <w:color w:val="000000"/>
                <w:sz w:val="18"/>
                <w:szCs w:val="18"/>
              </w:rPr>
              <w:t xml:space="preserve">6 000 </w:t>
            </w:r>
          </w:p>
        </w:tc>
        <w:tc>
          <w:tcPr>
            <w:tcW w:w="1540" w:type="pct"/>
            <w:tcBorders>
              <w:top w:val="nil"/>
              <w:left w:val="nil"/>
              <w:bottom w:val="single" w:sz="4" w:space="0" w:color="auto"/>
              <w:right w:val="single" w:sz="4" w:space="0" w:color="auto"/>
            </w:tcBorders>
            <w:shd w:val="clear" w:color="auto" w:fill="auto"/>
            <w:vAlign w:val="center"/>
          </w:tcPr>
          <w:p w14:paraId="056C467F" w14:textId="77777777" w:rsidR="00F16C1F" w:rsidRPr="00FB0730" w:rsidRDefault="00F16C1F" w:rsidP="00174730">
            <w:pPr>
              <w:jc w:val="right"/>
              <w:rPr>
                <w:rFonts w:ascii="Calibri" w:hAnsi="Calibri" w:cs="Calibri"/>
                <w:color w:val="000000"/>
                <w:sz w:val="18"/>
                <w:szCs w:val="18"/>
              </w:rPr>
            </w:pPr>
            <w:r w:rsidRPr="00FB0730">
              <w:rPr>
                <w:rFonts w:ascii="Calibri" w:hAnsi="Calibri" w:cs="Calibri"/>
                <w:color w:val="000000"/>
                <w:sz w:val="18"/>
                <w:szCs w:val="18"/>
              </w:rPr>
              <w:t xml:space="preserve">6 000 </w:t>
            </w:r>
          </w:p>
        </w:tc>
      </w:tr>
    </w:tbl>
    <w:p w14:paraId="1796F847" w14:textId="77777777" w:rsidR="00F16C1F" w:rsidRDefault="00F16C1F" w:rsidP="00F16C1F">
      <w:pPr>
        <w:contextualSpacing/>
        <w:rPr>
          <w:i/>
          <w:sz w:val="20"/>
        </w:rPr>
      </w:pPr>
      <w:r>
        <w:rPr>
          <w:i/>
          <w:sz w:val="20"/>
        </w:rPr>
        <w:t>Zdroj: MF, MŽP; ustanovení § 7</w:t>
      </w:r>
      <w:r w:rsidR="00161463">
        <w:rPr>
          <w:i/>
          <w:sz w:val="20"/>
        </w:rPr>
        <w:t xml:space="preserve"> odst. 7 zákona č. 383/2012 Sb</w:t>
      </w:r>
      <w:r>
        <w:rPr>
          <w:i/>
          <w:sz w:val="20"/>
        </w:rPr>
        <w:t>.</w:t>
      </w:r>
    </w:p>
    <w:p w14:paraId="15BF818E" w14:textId="18876D19" w:rsidR="00F16C1F" w:rsidRDefault="00F16C1F" w:rsidP="00F565BF">
      <w:pPr>
        <w:ind w:left="284" w:hanging="284"/>
        <w:contextualSpacing/>
        <w:rPr>
          <w:i/>
          <w:sz w:val="20"/>
        </w:rPr>
      </w:pPr>
      <w:r>
        <w:rPr>
          <w:i/>
          <w:sz w:val="20"/>
        </w:rPr>
        <w:t xml:space="preserve">* </w:t>
      </w:r>
      <w:r w:rsidR="00F565BF">
        <w:rPr>
          <w:i/>
          <w:sz w:val="20"/>
        </w:rPr>
        <w:tab/>
      </w:r>
      <w:r>
        <w:rPr>
          <w:i/>
          <w:sz w:val="20"/>
        </w:rPr>
        <w:t xml:space="preserve">Rozpočtová položka 3114 </w:t>
      </w:r>
      <w:r w:rsidR="001204B8" w:rsidRPr="00FC7CB7">
        <w:rPr>
          <w:sz w:val="20"/>
        </w:rPr>
        <w:t>–</w:t>
      </w:r>
      <w:r>
        <w:rPr>
          <w:i/>
          <w:sz w:val="20"/>
        </w:rPr>
        <w:t xml:space="preserve"> Příjmy z prodeje nehmotného dlouhodobého majetku. Patří sem mj. příjmy MŽP z prodeje emisních povolenek dle ustanovení § 7 odst. 5 věty první a § 17 zákona č. 383/2012 Sb.</w:t>
      </w:r>
    </w:p>
    <w:p w14:paraId="6ED9DC2E" w14:textId="37D4BF82" w:rsidR="00B278DE" w:rsidRPr="008224EB" w:rsidRDefault="00F16C1F" w:rsidP="00093066">
      <w:pPr>
        <w:spacing w:before="120" w:after="120"/>
      </w:pPr>
      <w:r w:rsidRPr="00D839CD">
        <w:t>Objem peněžních prostředků</w:t>
      </w:r>
      <w:r w:rsidR="0063216C">
        <w:t xml:space="preserve"> na program NZÚ</w:t>
      </w:r>
      <w:r w:rsidRPr="00D839CD">
        <w:t xml:space="preserve"> stanovený limitem výdajů pro kapitolu </w:t>
      </w:r>
      <w:r w:rsidR="00F90FD8" w:rsidRPr="00D839CD">
        <w:t xml:space="preserve">státního rozpočtu </w:t>
      </w:r>
      <w:r w:rsidRPr="00D839CD">
        <w:t xml:space="preserve">315 – MŽP </w:t>
      </w:r>
      <w:r w:rsidR="0063216C">
        <w:t>činil v</w:t>
      </w:r>
      <w:r w:rsidRPr="00D839CD">
        <w:t> kontrolovaném</w:t>
      </w:r>
      <w:r w:rsidR="0063216C">
        <w:t xml:space="preserve"> období 7,4 mld. </w:t>
      </w:r>
      <w:r w:rsidRPr="00D839CD">
        <w:t>Kč.</w:t>
      </w:r>
      <w:r w:rsidR="007B3AC1" w:rsidRPr="00D839CD">
        <w:t xml:space="preserve"> Rozpočet </w:t>
      </w:r>
      <w:r w:rsidR="007B3AC1" w:rsidRPr="008224EB">
        <w:t>programu NZÚ je</w:t>
      </w:r>
      <w:r w:rsidR="00985F9A">
        <w:t> </w:t>
      </w:r>
      <w:r w:rsidR="0063216C" w:rsidRPr="008224EB">
        <w:t>uveden v </w:t>
      </w:r>
      <w:r w:rsidR="007B3AC1" w:rsidRPr="008224EB">
        <w:t>přílo</w:t>
      </w:r>
      <w:r w:rsidR="0063216C" w:rsidRPr="008224EB">
        <w:t xml:space="preserve">ze </w:t>
      </w:r>
      <w:r w:rsidR="00664FAD">
        <w:t>č. 4</w:t>
      </w:r>
      <w:r w:rsidR="0063216C" w:rsidRPr="008224EB">
        <w:t xml:space="preserve"> </w:t>
      </w:r>
      <w:r w:rsidR="001204B8">
        <w:t xml:space="preserve">tohoto </w:t>
      </w:r>
      <w:r w:rsidR="006F4F46" w:rsidRPr="008224EB">
        <w:t>kontrolního závěru</w:t>
      </w:r>
      <w:r w:rsidR="007B3AC1" w:rsidRPr="008224EB">
        <w:t>.</w:t>
      </w:r>
    </w:p>
    <w:p w14:paraId="36E0C85F" w14:textId="77777777" w:rsidR="00B52B7F" w:rsidRDefault="0063216C" w:rsidP="00F565BF">
      <w:pPr>
        <w:pStyle w:val="Nzevtabulky"/>
        <w:tabs>
          <w:tab w:val="right" w:pos="9070"/>
        </w:tabs>
        <w:ind w:left="567"/>
      </w:pPr>
      <w:r>
        <w:t>Limit</w:t>
      </w:r>
      <w:r w:rsidR="00B52B7F">
        <w:t xml:space="preserve"> výdajů </w:t>
      </w:r>
      <w:r w:rsidR="00F90FD8">
        <w:t xml:space="preserve">programu </w:t>
      </w:r>
      <w:r w:rsidR="00B52B7F">
        <w:t xml:space="preserve">NZÚ v rámci kapitoly </w:t>
      </w:r>
      <w:r w:rsidR="00F90FD8">
        <w:t xml:space="preserve">státního rozpočtu </w:t>
      </w:r>
      <w:r w:rsidR="00C8075F">
        <w:t xml:space="preserve">315 </w:t>
      </w:r>
      <w:r w:rsidR="00C8075F" w:rsidRPr="00D839CD">
        <w:t>–</w:t>
      </w:r>
      <w:r w:rsidR="00C8075F">
        <w:t xml:space="preserve"> </w:t>
      </w:r>
      <w:r w:rsidR="00B52B7F">
        <w:t>MŽP (v Kč)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0"/>
        <w:gridCol w:w="4530"/>
      </w:tblGrid>
      <w:tr w:rsidR="00B52B7F" w:rsidRPr="00D67A92" w14:paraId="2AF0D2F3" w14:textId="77777777" w:rsidTr="0063216C">
        <w:trPr>
          <w:trHeight w:val="20"/>
        </w:trPr>
        <w:tc>
          <w:tcPr>
            <w:tcW w:w="2500" w:type="pct"/>
            <w:shd w:val="clear" w:color="000000" w:fill="E5F1FF"/>
            <w:noWrap/>
            <w:vAlign w:val="center"/>
            <w:hideMark/>
          </w:tcPr>
          <w:p w14:paraId="6873C17F" w14:textId="77777777" w:rsidR="00B52B7F" w:rsidRPr="00D67A92" w:rsidRDefault="00B52B7F" w:rsidP="007E1715">
            <w:pPr>
              <w:jc w:val="center"/>
              <w:rPr>
                <w:rFonts w:ascii="Calibri" w:hAnsi="Calibri"/>
                <w:b/>
                <w:bCs/>
                <w:color w:val="000000"/>
                <w:sz w:val="20"/>
              </w:rPr>
            </w:pPr>
            <w:r w:rsidRPr="00D67A92">
              <w:rPr>
                <w:rFonts w:ascii="Calibri" w:hAnsi="Calibri"/>
                <w:b/>
                <w:bCs/>
                <w:color w:val="000000"/>
                <w:sz w:val="20"/>
              </w:rPr>
              <w:t>Období</w:t>
            </w:r>
          </w:p>
        </w:tc>
        <w:tc>
          <w:tcPr>
            <w:tcW w:w="2500" w:type="pct"/>
            <w:shd w:val="clear" w:color="000000" w:fill="E5F1FF"/>
            <w:vAlign w:val="center"/>
            <w:hideMark/>
          </w:tcPr>
          <w:p w14:paraId="3BD30EF0" w14:textId="77777777" w:rsidR="00B52B7F" w:rsidRPr="00D67A92" w:rsidRDefault="00B52B7F" w:rsidP="007E1715">
            <w:pPr>
              <w:jc w:val="center"/>
              <w:rPr>
                <w:rFonts w:ascii="Calibri" w:hAnsi="Calibri"/>
                <w:b/>
                <w:bCs/>
                <w:color w:val="000000"/>
                <w:sz w:val="20"/>
              </w:rPr>
            </w:pPr>
            <w:r w:rsidRPr="00D67A92">
              <w:rPr>
                <w:rFonts w:ascii="Calibri" w:hAnsi="Calibri"/>
                <w:b/>
                <w:bCs/>
                <w:color w:val="000000"/>
                <w:sz w:val="20"/>
              </w:rPr>
              <w:t>Limit výdajů NZÚ v rámci kapitoly MŽP</w:t>
            </w:r>
          </w:p>
        </w:tc>
      </w:tr>
      <w:tr w:rsidR="00B52B7F" w:rsidRPr="00D67A92" w14:paraId="2C404079" w14:textId="77777777" w:rsidTr="0063216C">
        <w:trPr>
          <w:trHeight w:val="20"/>
        </w:trPr>
        <w:tc>
          <w:tcPr>
            <w:tcW w:w="2500" w:type="pct"/>
            <w:shd w:val="clear" w:color="auto" w:fill="auto"/>
            <w:noWrap/>
            <w:vAlign w:val="center"/>
            <w:hideMark/>
          </w:tcPr>
          <w:p w14:paraId="73D96BDF" w14:textId="77777777" w:rsidR="00B52B7F" w:rsidRPr="00D67A92" w:rsidRDefault="00B52B7F" w:rsidP="0063216C">
            <w:pPr>
              <w:jc w:val="left"/>
              <w:rPr>
                <w:rFonts w:ascii="Calibri" w:hAnsi="Calibri"/>
                <w:b/>
                <w:bCs/>
                <w:color w:val="000000"/>
                <w:sz w:val="20"/>
              </w:rPr>
            </w:pPr>
            <w:r w:rsidRPr="00D67A92">
              <w:rPr>
                <w:rFonts w:ascii="Calibri" w:hAnsi="Calibri"/>
                <w:b/>
                <w:bCs/>
                <w:color w:val="000000"/>
                <w:sz w:val="20"/>
              </w:rPr>
              <w:t>2017</w:t>
            </w:r>
          </w:p>
        </w:tc>
        <w:tc>
          <w:tcPr>
            <w:tcW w:w="2500" w:type="pct"/>
            <w:shd w:val="clear" w:color="auto" w:fill="auto"/>
            <w:vAlign w:val="center"/>
            <w:hideMark/>
          </w:tcPr>
          <w:p w14:paraId="770C41AB" w14:textId="77777777" w:rsidR="00B52B7F" w:rsidRPr="00D67A92" w:rsidRDefault="00B52B7F" w:rsidP="007E1715">
            <w:pPr>
              <w:jc w:val="right"/>
              <w:rPr>
                <w:rFonts w:ascii="Calibri" w:hAnsi="Calibri"/>
                <w:color w:val="000000"/>
                <w:sz w:val="20"/>
              </w:rPr>
            </w:pPr>
            <w:r w:rsidRPr="00D67A92">
              <w:rPr>
                <w:rFonts w:ascii="Calibri" w:hAnsi="Calibri"/>
                <w:color w:val="000000"/>
                <w:sz w:val="20"/>
              </w:rPr>
              <w:t>2 827 150 000</w:t>
            </w:r>
          </w:p>
        </w:tc>
      </w:tr>
      <w:tr w:rsidR="00B52B7F" w:rsidRPr="00D67A92" w14:paraId="4B8BD8A1" w14:textId="77777777" w:rsidTr="0063216C">
        <w:trPr>
          <w:trHeight w:val="20"/>
        </w:trPr>
        <w:tc>
          <w:tcPr>
            <w:tcW w:w="2500" w:type="pct"/>
            <w:shd w:val="clear" w:color="auto" w:fill="auto"/>
            <w:noWrap/>
            <w:vAlign w:val="center"/>
            <w:hideMark/>
          </w:tcPr>
          <w:p w14:paraId="37F62578" w14:textId="77777777" w:rsidR="00B52B7F" w:rsidRPr="00D67A92" w:rsidRDefault="00B52B7F" w:rsidP="0063216C">
            <w:pPr>
              <w:jc w:val="left"/>
              <w:rPr>
                <w:rFonts w:ascii="Calibri" w:hAnsi="Calibri"/>
                <w:b/>
                <w:bCs/>
                <w:color w:val="000000"/>
                <w:sz w:val="20"/>
              </w:rPr>
            </w:pPr>
            <w:r w:rsidRPr="00D67A92">
              <w:rPr>
                <w:rFonts w:ascii="Calibri" w:hAnsi="Calibri"/>
                <w:b/>
                <w:bCs/>
                <w:color w:val="000000"/>
                <w:sz w:val="20"/>
              </w:rPr>
              <w:t>2018</w:t>
            </w:r>
          </w:p>
        </w:tc>
        <w:tc>
          <w:tcPr>
            <w:tcW w:w="2500" w:type="pct"/>
            <w:shd w:val="clear" w:color="auto" w:fill="auto"/>
            <w:vAlign w:val="center"/>
            <w:hideMark/>
          </w:tcPr>
          <w:p w14:paraId="79083951" w14:textId="77777777" w:rsidR="00B52B7F" w:rsidRPr="00D67A92" w:rsidRDefault="00B52B7F" w:rsidP="007E1715">
            <w:pPr>
              <w:jc w:val="right"/>
              <w:rPr>
                <w:rFonts w:ascii="Calibri" w:hAnsi="Calibri"/>
                <w:color w:val="000000"/>
                <w:sz w:val="20"/>
              </w:rPr>
            </w:pPr>
            <w:r w:rsidRPr="00D67A92">
              <w:rPr>
                <w:rFonts w:ascii="Calibri" w:hAnsi="Calibri"/>
                <w:color w:val="000000"/>
                <w:sz w:val="20"/>
              </w:rPr>
              <w:t>2 203 392 116</w:t>
            </w:r>
          </w:p>
        </w:tc>
      </w:tr>
      <w:tr w:rsidR="00B52B7F" w:rsidRPr="00D67A92" w14:paraId="181FA8A3" w14:textId="77777777" w:rsidTr="0063216C">
        <w:trPr>
          <w:trHeight w:val="20"/>
        </w:trPr>
        <w:tc>
          <w:tcPr>
            <w:tcW w:w="2500" w:type="pct"/>
            <w:shd w:val="clear" w:color="auto" w:fill="auto"/>
            <w:noWrap/>
            <w:vAlign w:val="center"/>
            <w:hideMark/>
          </w:tcPr>
          <w:p w14:paraId="4F026A3C" w14:textId="77777777" w:rsidR="00B52B7F" w:rsidRPr="00D67A92" w:rsidRDefault="00B52B7F" w:rsidP="0063216C">
            <w:pPr>
              <w:jc w:val="left"/>
              <w:rPr>
                <w:rFonts w:ascii="Calibri" w:hAnsi="Calibri"/>
                <w:b/>
                <w:bCs/>
                <w:color w:val="000000"/>
                <w:sz w:val="20"/>
              </w:rPr>
            </w:pPr>
            <w:r w:rsidRPr="00D67A92">
              <w:rPr>
                <w:rFonts w:ascii="Calibri" w:hAnsi="Calibri"/>
                <w:b/>
                <w:bCs/>
                <w:color w:val="000000"/>
                <w:sz w:val="20"/>
              </w:rPr>
              <w:t>2019</w:t>
            </w:r>
          </w:p>
        </w:tc>
        <w:tc>
          <w:tcPr>
            <w:tcW w:w="2500" w:type="pct"/>
            <w:shd w:val="clear" w:color="auto" w:fill="auto"/>
            <w:vAlign w:val="center"/>
            <w:hideMark/>
          </w:tcPr>
          <w:p w14:paraId="2AB26028" w14:textId="77777777" w:rsidR="00B52B7F" w:rsidRPr="00D67A92" w:rsidRDefault="00B52B7F" w:rsidP="007E1715">
            <w:pPr>
              <w:jc w:val="right"/>
              <w:rPr>
                <w:rFonts w:ascii="Calibri" w:hAnsi="Calibri"/>
                <w:color w:val="000000"/>
                <w:sz w:val="20"/>
              </w:rPr>
            </w:pPr>
            <w:r w:rsidRPr="00D67A92">
              <w:rPr>
                <w:rFonts w:ascii="Calibri" w:hAnsi="Calibri"/>
                <w:color w:val="000000"/>
                <w:sz w:val="20"/>
              </w:rPr>
              <w:t>2 380 510 000</w:t>
            </w:r>
          </w:p>
        </w:tc>
      </w:tr>
      <w:tr w:rsidR="00B52B7F" w:rsidRPr="00D67A92" w14:paraId="4C8942E0" w14:textId="77777777" w:rsidTr="0063216C">
        <w:trPr>
          <w:trHeight w:val="20"/>
        </w:trPr>
        <w:tc>
          <w:tcPr>
            <w:tcW w:w="2500" w:type="pct"/>
            <w:shd w:val="clear" w:color="000000" w:fill="E5F1FF"/>
            <w:noWrap/>
            <w:vAlign w:val="center"/>
            <w:hideMark/>
          </w:tcPr>
          <w:p w14:paraId="11954158" w14:textId="77777777" w:rsidR="00B52B7F" w:rsidRPr="00D67A92" w:rsidRDefault="00B52B7F" w:rsidP="007E1715">
            <w:pPr>
              <w:rPr>
                <w:rFonts w:ascii="Calibri" w:hAnsi="Calibri"/>
                <w:b/>
                <w:bCs/>
                <w:color w:val="000000"/>
                <w:sz w:val="20"/>
              </w:rPr>
            </w:pPr>
            <w:r w:rsidRPr="00D67A92">
              <w:rPr>
                <w:rFonts w:ascii="Calibri" w:hAnsi="Calibri"/>
                <w:b/>
                <w:bCs/>
                <w:color w:val="000000"/>
                <w:sz w:val="20"/>
              </w:rPr>
              <w:t>Celkem</w:t>
            </w:r>
          </w:p>
        </w:tc>
        <w:tc>
          <w:tcPr>
            <w:tcW w:w="2500" w:type="pct"/>
            <w:shd w:val="clear" w:color="000000" w:fill="E5F1FF"/>
            <w:noWrap/>
            <w:vAlign w:val="center"/>
            <w:hideMark/>
          </w:tcPr>
          <w:p w14:paraId="25F8956D" w14:textId="77777777" w:rsidR="00B52B7F" w:rsidRPr="00D67A92" w:rsidRDefault="00B52B7F" w:rsidP="007E1715">
            <w:pPr>
              <w:jc w:val="right"/>
              <w:rPr>
                <w:rFonts w:ascii="Calibri" w:hAnsi="Calibri"/>
                <w:b/>
                <w:bCs/>
                <w:color w:val="000000"/>
                <w:sz w:val="20"/>
              </w:rPr>
            </w:pPr>
            <w:r w:rsidRPr="00D67A92">
              <w:rPr>
                <w:rFonts w:ascii="Calibri" w:hAnsi="Calibri"/>
                <w:b/>
                <w:bCs/>
                <w:color w:val="000000"/>
                <w:sz w:val="20"/>
              </w:rPr>
              <w:t>7 411 052 116</w:t>
            </w:r>
          </w:p>
        </w:tc>
      </w:tr>
    </w:tbl>
    <w:p w14:paraId="48D761C4" w14:textId="77777777" w:rsidR="00B52B7F" w:rsidRDefault="00B52B7F" w:rsidP="00B52B7F">
      <w:pPr>
        <w:ind w:left="567" w:hanging="567"/>
        <w:contextualSpacing/>
        <w:rPr>
          <w:i/>
          <w:sz w:val="20"/>
        </w:rPr>
      </w:pPr>
      <w:r w:rsidRPr="009D3A7F">
        <w:rPr>
          <w:i/>
          <w:sz w:val="20"/>
        </w:rPr>
        <w:t xml:space="preserve">Zdroj: </w:t>
      </w:r>
      <w:r w:rsidR="00F90FD8">
        <w:rPr>
          <w:i/>
          <w:sz w:val="20"/>
        </w:rPr>
        <w:t xml:space="preserve">MF, </w:t>
      </w:r>
      <w:r w:rsidR="00161463">
        <w:rPr>
          <w:i/>
          <w:sz w:val="20"/>
        </w:rPr>
        <w:t>MŽP</w:t>
      </w:r>
      <w:r>
        <w:rPr>
          <w:i/>
          <w:sz w:val="20"/>
        </w:rPr>
        <w:t>.</w:t>
      </w:r>
    </w:p>
    <w:p w14:paraId="09CE869B" w14:textId="77777777" w:rsidR="00F90FD8" w:rsidRPr="00B52B7F" w:rsidRDefault="00F90FD8" w:rsidP="00B52B7F">
      <w:pPr>
        <w:ind w:left="567" w:hanging="567"/>
        <w:contextualSpacing/>
        <w:rPr>
          <w:i/>
          <w:sz w:val="20"/>
        </w:rPr>
      </w:pPr>
      <w:r>
        <w:rPr>
          <w:i/>
          <w:sz w:val="20"/>
        </w:rPr>
        <w:t>Pozn.: Jedná se o schválený rozpočet programu NZÚ.</w:t>
      </w:r>
    </w:p>
    <w:p w14:paraId="530E9916" w14:textId="2AF1103B" w:rsidR="00BF35B6" w:rsidRDefault="0063216C" w:rsidP="00E03382">
      <w:pPr>
        <w:spacing w:before="120" w:after="120"/>
      </w:pPr>
      <w:r w:rsidRPr="00816B0A">
        <w:t>Objem peněžních prostředků určených</w:t>
      </w:r>
      <w:r>
        <w:t xml:space="preserve"> na realizaci programu NZÚ vyjádřený l</w:t>
      </w:r>
      <w:r w:rsidR="00F16C1F" w:rsidRPr="00D839CD">
        <w:t>imit</w:t>
      </w:r>
      <w:r>
        <w:t>em</w:t>
      </w:r>
      <w:r w:rsidR="00F16C1F" w:rsidRPr="00D839CD">
        <w:t xml:space="preserve"> výdajů</w:t>
      </w:r>
      <w:r>
        <w:t xml:space="preserve"> v rámci</w:t>
      </w:r>
      <w:r w:rsidR="00F16C1F" w:rsidRPr="00D839CD">
        <w:t xml:space="preserve"> </w:t>
      </w:r>
      <w:r w:rsidR="00816B0A">
        <w:t xml:space="preserve">kapitoly </w:t>
      </w:r>
      <w:r w:rsidR="00F90FD8" w:rsidRPr="00D839CD">
        <w:t xml:space="preserve">státního rozpočtu </w:t>
      </w:r>
      <w:r w:rsidR="00816B0A">
        <w:t xml:space="preserve">315 </w:t>
      </w:r>
      <w:r w:rsidR="00816B0A" w:rsidRPr="00D839CD">
        <w:t>–</w:t>
      </w:r>
      <w:r w:rsidR="00816B0A">
        <w:t xml:space="preserve"> </w:t>
      </w:r>
      <w:r>
        <w:t xml:space="preserve">MŽP </w:t>
      </w:r>
      <w:r w:rsidR="00631E97">
        <w:t>v letech 2018 a 2019 byl nižší než</w:t>
      </w:r>
      <w:r w:rsidR="00F16C1F" w:rsidRPr="00D839CD">
        <w:t xml:space="preserve"> </w:t>
      </w:r>
      <w:r>
        <w:t>objem peněžních prostředků</w:t>
      </w:r>
      <w:r w:rsidR="00BF35B6" w:rsidRPr="00BF35B6">
        <w:t xml:space="preserve"> z dražeb </w:t>
      </w:r>
      <w:r w:rsidR="00BF35B6">
        <w:t xml:space="preserve">emisních </w:t>
      </w:r>
      <w:r w:rsidR="00BF35B6" w:rsidRPr="00BF35B6">
        <w:t>povolenek</w:t>
      </w:r>
      <w:r w:rsidR="00BF35B6">
        <w:t xml:space="preserve">, který </w:t>
      </w:r>
      <w:r w:rsidR="00816B0A">
        <w:t xml:space="preserve">měl být </w:t>
      </w:r>
      <w:r w:rsidR="00BF35B6">
        <w:t xml:space="preserve">dle zákona </w:t>
      </w:r>
      <w:r w:rsidR="00BF35B6" w:rsidRPr="00D839CD">
        <w:t>č. 383/2012 Sb</w:t>
      </w:r>
      <w:r w:rsidR="00BF35B6">
        <w:t>. určen na</w:t>
      </w:r>
      <w:r w:rsidR="00816B0A">
        <w:t xml:space="preserve"> </w:t>
      </w:r>
      <w:r w:rsidR="00BF35B6">
        <w:t>realizaci výdajů prostřednictvím SFŽP. Současně stanovený limit výdajů na realizaci programu NZÚ nebyl ani vyčerpán.</w:t>
      </w:r>
    </w:p>
    <w:p w14:paraId="7213C458" w14:textId="38C8C0FE" w:rsidR="00F16C1F" w:rsidRDefault="00F16C1F" w:rsidP="00631E97">
      <w:pPr>
        <w:spacing w:after="120"/>
      </w:pPr>
      <w:r w:rsidRPr="008224EB">
        <w:rPr>
          <w:rFonts w:cstheme="minorHAnsi"/>
        </w:rPr>
        <w:t>Výše konečného rozpočtu programu NZÚ</w:t>
      </w:r>
      <w:r w:rsidR="00DF03DA" w:rsidRPr="008224EB">
        <w:rPr>
          <w:rFonts w:cstheme="minorHAnsi"/>
        </w:rPr>
        <w:t xml:space="preserve"> </w:t>
      </w:r>
      <w:r w:rsidRPr="008224EB">
        <w:rPr>
          <w:rFonts w:cstheme="minorHAnsi"/>
        </w:rPr>
        <w:t xml:space="preserve">je ovlivněna výší </w:t>
      </w:r>
      <w:r w:rsidR="00197062" w:rsidRPr="008224EB">
        <w:rPr>
          <w:rFonts w:cstheme="minorHAnsi"/>
        </w:rPr>
        <w:t>nespotřebovaných</w:t>
      </w:r>
      <w:r w:rsidR="00197062">
        <w:rPr>
          <w:rFonts w:cstheme="minorHAnsi"/>
        </w:rPr>
        <w:t xml:space="preserve"> výdajů od</w:t>
      </w:r>
      <w:r w:rsidR="00E364E5">
        <w:rPr>
          <w:rFonts w:cstheme="minorHAnsi"/>
        </w:rPr>
        <w:t> </w:t>
      </w:r>
      <w:r w:rsidR="00197062">
        <w:rPr>
          <w:rFonts w:cstheme="minorHAnsi"/>
        </w:rPr>
        <w:t xml:space="preserve">počátku realizace tohoto programu (rok 2013), tzv. </w:t>
      </w:r>
      <w:r w:rsidRPr="00D839CD">
        <w:rPr>
          <w:rFonts w:cstheme="minorHAnsi"/>
        </w:rPr>
        <w:t>nárok</w:t>
      </w:r>
      <w:r w:rsidR="00197062">
        <w:rPr>
          <w:rFonts w:cstheme="minorHAnsi"/>
        </w:rPr>
        <w:t>y</w:t>
      </w:r>
      <w:r w:rsidRPr="00D839CD">
        <w:rPr>
          <w:rFonts w:cstheme="minorHAnsi"/>
        </w:rPr>
        <w:t xml:space="preserve"> z nespotřebovaných výdajů</w:t>
      </w:r>
      <w:r w:rsidR="002101DA">
        <w:rPr>
          <w:rFonts w:cstheme="minorHAnsi"/>
        </w:rPr>
        <w:t xml:space="preserve"> </w:t>
      </w:r>
      <w:r w:rsidR="002101DA" w:rsidRPr="008224EB">
        <w:rPr>
          <w:rFonts w:cstheme="minorHAnsi"/>
        </w:rPr>
        <w:t>(</w:t>
      </w:r>
      <w:r w:rsidR="001B0E4D">
        <w:rPr>
          <w:rFonts w:cstheme="minorHAnsi"/>
        </w:rPr>
        <w:t xml:space="preserve">viz </w:t>
      </w:r>
      <w:r w:rsidR="002101DA" w:rsidRPr="008224EB">
        <w:t xml:space="preserve">příloha č. </w:t>
      </w:r>
      <w:r w:rsidR="002101DA">
        <w:t xml:space="preserve">4 </w:t>
      </w:r>
      <w:r w:rsidR="00FF4C84">
        <w:t xml:space="preserve">tohoto </w:t>
      </w:r>
      <w:r w:rsidR="002101DA">
        <w:t>kontrolního závěru</w:t>
      </w:r>
      <w:r w:rsidR="002101DA" w:rsidRPr="008224EB">
        <w:t>)</w:t>
      </w:r>
      <w:r w:rsidRPr="00D839CD">
        <w:rPr>
          <w:rFonts w:cstheme="minorHAnsi"/>
        </w:rPr>
        <w:t xml:space="preserve">. Stav NNV tohoto programu vykazovaný k 1. 1. </w:t>
      </w:r>
      <w:r w:rsidR="00BB3230">
        <w:rPr>
          <w:rFonts w:cstheme="minorHAnsi"/>
        </w:rPr>
        <w:t xml:space="preserve">jednotlivých let </w:t>
      </w:r>
      <w:r w:rsidR="00777D36">
        <w:rPr>
          <w:rFonts w:cstheme="minorHAnsi"/>
        </w:rPr>
        <w:t>postupně</w:t>
      </w:r>
      <w:r w:rsidR="00777D36" w:rsidRPr="00D839CD">
        <w:rPr>
          <w:rFonts w:cstheme="minorHAnsi"/>
        </w:rPr>
        <w:t xml:space="preserve"> </w:t>
      </w:r>
      <w:r w:rsidRPr="00D839CD">
        <w:rPr>
          <w:rFonts w:cstheme="minorHAnsi"/>
        </w:rPr>
        <w:t>v kontrolovaném období</w:t>
      </w:r>
      <w:r w:rsidR="00BB3230">
        <w:rPr>
          <w:rFonts w:cstheme="minorHAnsi"/>
        </w:rPr>
        <w:t xml:space="preserve"> </w:t>
      </w:r>
      <w:r w:rsidRPr="00D839CD">
        <w:rPr>
          <w:rFonts w:cstheme="minorHAnsi"/>
        </w:rPr>
        <w:t xml:space="preserve">narůstal. </w:t>
      </w:r>
      <w:r w:rsidR="00943D1B" w:rsidRPr="009E34BE">
        <w:rPr>
          <w:rFonts w:cstheme="minorHAnsi"/>
        </w:rPr>
        <w:t xml:space="preserve">Od </w:t>
      </w:r>
      <w:r w:rsidR="00943D1B">
        <w:rPr>
          <w:rFonts w:cstheme="minorHAnsi"/>
        </w:rPr>
        <w:t>schválení</w:t>
      </w:r>
      <w:r w:rsidR="00943D1B" w:rsidRPr="009E34BE">
        <w:rPr>
          <w:rFonts w:cstheme="minorHAnsi"/>
        </w:rPr>
        <w:t xml:space="preserve"> programu NZÚ</w:t>
      </w:r>
      <w:r w:rsidR="00943D1B">
        <w:rPr>
          <w:rFonts w:cstheme="minorHAnsi"/>
        </w:rPr>
        <w:t xml:space="preserve"> </w:t>
      </w:r>
      <w:r w:rsidR="00BB3230">
        <w:rPr>
          <w:rFonts w:cstheme="minorHAnsi"/>
        </w:rPr>
        <w:t>do</w:t>
      </w:r>
      <w:r w:rsidR="00985F9A">
        <w:rPr>
          <w:rFonts w:cstheme="minorHAnsi"/>
        </w:rPr>
        <w:t> </w:t>
      </w:r>
      <w:r w:rsidR="00BB3230">
        <w:rPr>
          <w:rFonts w:cstheme="minorHAnsi"/>
        </w:rPr>
        <w:t xml:space="preserve">20. 10. 2020 </w:t>
      </w:r>
      <w:r w:rsidRPr="00D839CD">
        <w:rPr>
          <w:rFonts w:cstheme="minorHAnsi"/>
        </w:rPr>
        <w:t>dosáhla výše</w:t>
      </w:r>
      <w:r w:rsidR="00BB3230">
        <w:rPr>
          <w:rFonts w:cstheme="minorHAnsi"/>
        </w:rPr>
        <w:t xml:space="preserve"> nespotřebovaných výdajů </w:t>
      </w:r>
      <w:r w:rsidRPr="00D839CD">
        <w:rPr>
          <w:rFonts w:cstheme="minorHAnsi"/>
        </w:rPr>
        <w:t>programu NZÚ</w:t>
      </w:r>
      <w:r w:rsidR="00BB3230">
        <w:rPr>
          <w:rFonts w:cstheme="minorHAnsi"/>
        </w:rPr>
        <w:t xml:space="preserve"> celkem</w:t>
      </w:r>
      <w:r w:rsidRPr="00D839CD">
        <w:rPr>
          <w:rFonts w:cstheme="minorHAnsi"/>
        </w:rPr>
        <w:t xml:space="preserve"> 6,4 mld. Kč.</w:t>
      </w:r>
      <w:r w:rsidR="00BB3230">
        <w:rPr>
          <w:rFonts w:cstheme="minorHAnsi"/>
        </w:rPr>
        <w:t xml:space="preserve"> </w:t>
      </w:r>
      <w:r w:rsidR="00B21D23">
        <w:rPr>
          <w:rFonts w:cstheme="minorHAnsi"/>
        </w:rPr>
        <w:t>P</w:t>
      </w:r>
      <w:r w:rsidR="00BB3230">
        <w:rPr>
          <w:rFonts w:cstheme="minorHAnsi"/>
        </w:rPr>
        <w:t xml:space="preserve">ostupné navyšování nároků z nespotřebovaných výdajů </w:t>
      </w:r>
      <w:r w:rsidR="00B21D23">
        <w:rPr>
          <w:rFonts w:cstheme="minorHAnsi"/>
        </w:rPr>
        <w:t>je rizikové</w:t>
      </w:r>
      <w:r w:rsidR="00BB3230">
        <w:rPr>
          <w:rFonts w:cstheme="minorHAnsi"/>
        </w:rPr>
        <w:t xml:space="preserve"> mj. v tom, že v </w:t>
      </w:r>
      <w:r w:rsidRPr="00D839CD">
        <w:t xml:space="preserve">případě </w:t>
      </w:r>
      <w:r w:rsidR="00BB3230">
        <w:t>dodatečn</w:t>
      </w:r>
      <w:r w:rsidR="00555861">
        <w:t>ého</w:t>
      </w:r>
      <w:r w:rsidRPr="00D839CD">
        <w:t xml:space="preserve"> realiz</w:t>
      </w:r>
      <w:r w:rsidR="00555861">
        <w:t>ování</w:t>
      </w:r>
      <w:r w:rsidRPr="00D839CD">
        <w:t xml:space="preserve"> výdaj</w:t>
      </w:r>
      <w:r w:rsidR="00555861">
        <w:t>ů prostřednictvím programu NZÚ</w:t>
      </w:r>
      <w:r w:rsidRPr="00D839CD">
        <w:t xml:space="preserve"> </w:t>
      </w:r>
      <w:r w:rsidR="00BB3230">
        <w:t xml:space="preserve">ve výši nespotřebovaných výdajů by </w:t>
      </w:r>
      <w:r w:rsidR="00777D36">
        <w:t>muselo</w:t>
      </w:r>
      <w:r w:rsidR="00777D36" w:rsidRPr="00D839CD">
        <w:t xml:space="preserve"> </w:t>
      </w:r>
      <w:r w:rsidR="00BB3230">
        <w:t xml:space="preserve">MF </w:t>
      </w:r>
      <w:r w:rsidRPr="00D839CD">
        <w:t xml:space="preserve">zajistit financování </w:t>
      </w:r>
      <w:r w:rsidR="00BB3230">
        <w:t>ze</w:t>
      </w:r>
      <w:r w:rsidR="00777D36">
        <w:t xml:space="preserve"> </w:t>
      </w:r>
      <w:r w:rsidR="00BB3230">
        <w:t>státního rozpočtu.</w:t>
      </w:r>
    </w:p>
    <w:p w14:paraId="7B605EA0" w14:textId="1D2B292E" w:rsidR="00A430B5" w:rsidRDefault="00A430B5" w:rsidP="00631E97">
      <w:pPr>
        <w:spacing w:after="120"/>
      </w:pPr>
      <w:r>
        <w:t xml:space="preserve">Kontrolou byl zjištěn nesoulad v právní úpravě realizace výdajů odpovídajících účelově vázanému výnosu z dražeb emisních povolenek. </w:t>
      </w:r>
      <w:r w:rsidR="00BE7709">
        <w:t>Příjmy z dražeb emisních povolenek jsou dle zákona příjmem státního rozpočtu</w:t>
      </w:r>
      <w:r w:rsidR="007B3975">
        <w:t>,</w:t>
      </w:r>
      <w:r w:rsidR="00BE7709">
        <w:t xml:space="preserve"> současně dle zákona měly být v</w:t>
      </w:r>
      <w:r>
        <w:t xml:space="preserve">ýdaje </w:t>
      </w:r>
      <w:r w:rsidR="00BE7709">
        <w:t xml:space="preserve">odpovídající výnosu z dražeb emisních povolenek </w:t>
      </w:r>
      <w:r>
        <w:t>realizovány mj. prostřednictvím SFŽP na zákonem stanovené účely</w:t>
      </w:r>
      <w:r w:rsidR="007B3975">
        <w:t xml:space="preserve">. Rozpočet </w:t>
      </w:r>
      <w:r>
        <w:t>SFŽP</w:t>
      </w:r>
      <w:r w:rsidR="007B3975">
        <w:t xml:space="preserve"> však</w:t>
      </w:r>
      <w:r>
        <w:t xml:space="preserve"> není </w:t>
      </w:r>
      <w:r w:rsidR="007B3975">
        <w:t xml:space="preserve">dle zákona č. 218/2000 Sb. </w:t>
      </w:r>
      <w:r>
        <w:t>součástí státního rozpočtu. Příjmy SFŽP jsou definovány zákonem č. 388/1991 Sb.</w:t>
      </w:r>
      <w:r>
        <w:rPr>
          <w:rStyle w:val="Znakapoznpodarou"/>
        </w:rPr>
        <w:footnoteReference w:id="40"/>
      </w:r>
      <w:r>
        <w:t xml:space="preserve"> Výdaje byly ve skutečnosti realizovány </w:t>
      </w:r>
      <w:r>
        <w:lastRenderedPageBreak/>
        <w:t xml:space="preserve">prostřednictvím MŽP </w:t>
      </w:r>
      <w:r w:rsidR="003701F9">
        <w:t>(</w:t>
      </w:r>
      <w:r>
        <w:t>program NZÚ</w:t>
      </w:r>
      <w:r w:rsidR="003701F9">
        <w:t>)</w:t>
      </w:r>
      <w:r w:rsidR="008B16FC">
        <w:t>, které bylo do zákona doplněno s účinností od</w:t>
      </w:r>
      <w:r w:rsidR="00E364E5">
        <w:t> </w:t>
      </w:r>
      <w:r w:rsidR="008B16FC">
        <w:t>1. 1. 2021</w:t>
      </w:r>
      <w:r w:rsidR="008B16FC">
        <w:rPr>
          <w:vertAlign w:val="superscript"/>
        </w:rPr>
        <w:t>40</w:t>
      </w:r>
      <w:r>
        <w:t>.</w:t>
      </w:r>
    </w:p>
    <w:p w14:paraId="3B1B074D" w14:textId="00C41794" w:rsidR="00CC0BD2" w:rsidRPr="00E36AA1" w:rsidRDefault="00CC0BD2" w:rsidP="00C26BBC">
      <w:pPr>
        <w:spacing w:before="120" w:after="120"/>
      </w:pPr>
      <w:r>
        <w:t xml:space="preserve">Kontrolou bylo dále ověřováno, zda jsou úspory energií ve veřejných budovách podporovány z výdajů realizovaných MPO z výnosu </w:t>
      </w:r>
      <w:r w:rsidR="00D57627">
        <w:t>dražeb emisních povolenek. Kontrolou bylo zjištěno, že</w:t>
      </w:r>
      <w:r w:rsidR="005A5F90">
        <w:t xml:space="preserve"> </w:t>
      </w:r>
      <w:r w:rsidR="00D57627">
        <w:t>v letech 2017 až 2019 byly</w:t>
      </w:r>
      <w:r w:rsidR="003701F9">
        <w:t xml:space="preserve"> tyto</w:t>
      </w:r>
      <w:r w:rsidR="00D57627">
        <w:t xml:space="preserve"> </w:t>
      </w:r>
      <w:r w:rsidR="00D004F3" w:rsidRPr="00D004F3">
        <w:t xml:space="preserve">výnosy, které mají být přiděleny MPO, </w:t>
      </w:r>
      <w:r w:rsidR="009F5B8A">
        <w:t>vynakládány</w:t>
      </w:r>
      <w:r w:rsidR="009F5B8A" w:rsidRPr="00D004F3">
        <w:t xml:space="preserve"> </w:t>
      </w:r>
      <w:r w:rsidR="00D004F3" w:rsidRPr="00D004F3">
        <w:t>přímo na</w:t>
      </w:r>
      <w:r w:rsidR="005A5F90">
        <w:t xml:space="preserve"> </w:t>
      </w:r>
      <w:r w:rsidR="00D004F3" w:rsidRPr="00D004F3">
        <w:t>provozní podp</w:t>
      </w:r>
      <w:r w:rsidR="00D004F3">
        <w:t>oru obnovitelných zdrojů energi</w:t>
      </w:r>
      <w:r w:rsidR="003701F9">
        <w:t>í</w:t>
      </w:r>
      <w:r w:rsidR="00D004F3">
        <w:t>, která je</w:t>
      </w:r>
      <w:r w:rsidR="00B21D23">
        <w:t xml:space="preserve"> </w:t>
      </w:r>
      <w:r w:rsidR="00D004F3">
        <w:t>poskytována taktéž z kapitoly MPO. V kontrolovaném období činil výnos z dražeb emisních povolenek připadající dle zákona č.</w:t>
      </w:r>
      <w:r w:rsidR="009F5B8A">
        <w:t> </w:t>
      </w:r>
      <w:r w:rsidR="00D004F3">
        <w:t>383/2012 Sb. M</w:t>
      </w:r>
      <w:r w:rsidR="009F5B8A">
        <w:t>inisterstvu průmyslu a obchodu</w:t>
      </w:r>
      <w:r w:rsidR="00D004F3">
        <w:t xml:space="preserve"> celkem 14,6 mld. Kč a provozní podpora obnovitelných zdrojů poskytnutá ve stejném období z kapitoly MPO činila celkem 75,5</w:t>
      </w:r>
      <w:r w:rsidR="009F5B8A">
        <w:t> </w:t>
      </w:r>
      <w:r w:rsidR="00D004F3">
        <w:t>mld.</w:t>
      </w:r>
      <w:r w:rsidR="009F5B8A">
        <w:t> </w:t>
      </w:r>
      <w:r w:rsidR="00D004F3">
        <w:t>Kč.</w:t>
      </w:r>
    </w:p>
    <w:p w14:paraId="16F3F376" w14:textId="579DF82C" w:rsidR="00966F9D" w:rsidRDefault="00B52B7F" w:rsidP="002E03C7">
      <w:pPr>
        <w:spacing w:before="120" w:after="240"/>
        <w:rPr>
          <w:rFonts w:cstheme="minorHAnsi"/>
        </w:rPr>
      </w:pPr>
      <w:r w:rsidRPr="1BDD3FC5">
        <w:rPr>
          <w:rFonts w:cstheme="minorBidi"/>
        </w:rPr>
        <w:t xml:space="preserve">ČR, resp. MŽP, každoročně informuje EK o využití výnosů </w:t>
      </w:r>
      <w:r w:rsidR="003C1951" w:rsidRPr="1BDD3FC5">
        <w:rPr>
          <w:rFonts w:cstheme="minorBidi"/>
        </w:rPr>
        <w:t>z dražeb emisních povolenek</w:t>
      </w:r>
      <w:r w:rsidRPr="1BDD3FC5">
        <w:rPr>
          <w:rFonts w:cstheme="minorBidi"/>
        </w:rPr>
        <w:t>,</w:t>
      </w:r>
      <w:r w:rsidR="001273FD" w:rsidRPr="1BDD3FC5">
        <w:rPr>
          <w:rStyle w:val="Znakapoznpodarou"/>
          <w:rFonts w:cstheme="minorBidi"/>
        </w:rPr>
        <w:footnoteReference w:id="41"/>
      </w:r>
      <w:r w:rsidRPr="1BDD3FC5">
        <w:rPr>
          <w:rFonts w:cstheme="minorBidi"/>
        </w:rPr>
        <w:t xml:space="preserve"> a</w:t>
      </w:r>
      <w:r w:rsidR="00B21D23">
        <w:rPr>
          <w:rFonts w:cstheme="minorBidi"/>
        </w:rPr>
        <w:t xml:space="preserve"> </w:t>
      </w:r>
      <w:r w:rsidRPr="1BDD3FC5">
        <w:rPr>
          <w:rFonts w:cstheme="minorBidi"/>
        </w:rPr>
        <w:t>to</w:t>
      </w:r>
      <w:r w:rsidR="00B21D23">
        <w:rPr>
          <w:rFonts w:cstheme="minorBidi"/>
        </w:rPr>
        <w:t xml:space="preserve"> </w:t>
      </w:r>
      <w:r w:rsidRPr="1BDD3FC5">
        <w:rPr>
          <w:rFonts w:cstheme="minorBidi"/>
        </w:rPr>
        <w:t xml:space="preserve">pomocí aplikace </w:t>
      </w:r>
      <w:r w:rsidRPr="00FC7CB7">
        <w:rPr>
          <w:rFonts w:cstheme="minorBidi"/>
          <w:i/>
        </w:rPr>
        <w:t>Eionet</w:t>
      </w:r>
      <w:r w:rsidR="001273FD" w:rsidRPr="1BDD3FC5">
        <w:rPr>
          <w:rStyle w:val="Znakapoznpodarou"/>
          <w:rFonts w:cstheme="minorBidi"/>
        </w:rPr>
        <w:footnoteReference w:id="42"/>
      </w:r>
      <w:r w:rsidR="00704EA8">
        <w:rPr>
          <w:rFonts w:cstheme="minorBidi"/>
        </w:rPr>
        <w:t>.</w:t>
      </w:r>
      <w:r w:rsidR="003C1951" w:rsidRPr="1BDD3FC5">
        <w:rPr>
          <w:rFonts w:cstheme="minorBidi"/>
        </w:rPr>
        <w:t xml:space="preserve"> </w:t>
      </w:r>
      <w:r w:rsidR="009D0CE6" w:rsidRPr="1BDD3FC5">
        <w:rPr>
          <w:rFonts w:cstheme="minorBidi"/>
        </w:rPr>
        <w:t xml:space="preserve">V příloze č. </w:t>
      </w:r>
      <w:r w:rsidR="00664FAD">
        <w:rPr>
          <w:rFonts w:cstheme="minorBidi"/>
        </w:rPr>
        <w:t>5</w:t>
      </w:r>
      <w:r w:rsidR="002E03C7" w:rsidRPr="1BDD3FC5">
        <w:rPr>
          <w:rFonts w:cstheme="minorBidi"/>
        </w:rPr>
        <w:t xml:space="preserve"> </w:t>
      </w:r>
      <w:r w:rsidR="009F5B8A">
        <w:rPr>
          <w:rFonts w:cstheme="minorBidi"/>
        </w:rPr>
        <w:t xml:space="preserve">tohoto </w:t>
      </w:r>
      <w:r w:rsidR="002E03C7" w:rsidRPr="1BDD3FC5">
        <w:rPr>
          <w:rFonts w:cstheme="minorBidi"/>
        </w:rPr>
        <w:t>kontrolního závěru</w:t>
      </w:r>
      <w:r w:rsidR="009D0CE6" w:rsidRPr="1BDD3FC5">
        <w:rPr>
          <w:rFonts w:cstheme="minorBidi"/>
        </w:rPr>
        <w:t xml:space="preserve"> je uveden přehled výnosů z dražeb emisních povolenek a jejich reporting za ČR.</w:t>
      </w:r>
    </w:p>
    <w:p w14:paraId="27CFAB38" w14:textId="6FCE4DA9" w:rsidR="00A905FE" w:rsidRDefault="005548BC" w:rsidP="00A905FE">
      <w:pPr>
        <w:pBdr>
          <w:top w:val="single" w:sz="4" w:space="1" w:color="auto"/>
          <w:left w:val="single" w:sz="4" w:space="4" w:color="auto"/>
          <w:bottom w:val="single" w:sz="4" w:space="1" w:color="auto"/>
          <w:right w:val="single" w:sz="4" w:space="4" w:color="auto"/>
        </w:pBdr>
        <w:spacing w:before="120"/>
      </w:pPr>
      <w:r>
        <w:t>P</w:t>
      </w:r>
      <w:r w:rsidR="00711EF3">
        <w:t>rostředky</w:t>
      </w:r>
      <w:r w:rsidR="00A905FE" w:rsidRPr="00524664">
        <w:t xml:space="preserve"> programu NZÚ </w:t>
      </w:r>
      <w:r>
        <w:t xml:space="preserve">rozpočtované </w:t>
      </w:r>
      <w:r w:rsidR="00A905FE" w:rsidRPr="00524664">
        <w:t xml:space="preserve">v rámci kapitoly státního rozpočtu </w:t>
      </w:r>
      <w:r w:rsidR="00EA608F">
        <w:t xml:space="preserve">315 </w:t>
      </w:r>
      <w:r w:rsidR="00EA608F" w:rsidRPr="00D839CD">
        <w:t>–</w:t>
      </w:r>
      <w:r w:rsidR="00EA608F">
        <w:t xml:space="preserve"> </w:t>
      </w:r>
      <w:r w:rsidR="00A905FE" w:rsidRPr="00524664">
        <w:t>MŽP</w:t>
      </w:r>
      <w:r w:rsidR="00711EF3">
        <w:t xml:space="preserve"> </w:t>
      </w:r>
      <w:r w:rsidR="00EA608F">
        <w:t>(</w:t>
      </w:r>
      <w:r w:rsidR="00711EF3">
        <w:t>tzv.</w:t>
      </w:r>
      <w:r w:rsidR="00EA608F">
        <w:t> </w:t>
      </w:r>
      <w:r w:rsidR="00711EF3">
        <w:t>limit výdajů</w:t>
      </w:r>
      <w:r w:rsidR="00EA608F">
        <w:t>)</w:t>
      </w:r>
      <w:r w:rsidR="00A905FE" w:rsidRPr="00524664">
        <w:t xml:space="preserve"> byl</w:t>
      </w:r>
      <w:r w:rsidR="00EA608F">
        <w:t>y</w:t>
      </w:r>
      <w:r w:rsidR="00A905FE" w:rsidRPr="00524664">
        <w:t xml:space="preserve"> v letech 2018 a 2019 nižší než </w:t>
      </w:r>
      <w:r w:rsidR="00711EF3">
        <w:t>zákonem stanovená výše (</w:t>
      </w:r>
      <w:r w:rsidR="00B17119">
        <w:t>50 % z výnosu</w:t>
      </w:r>
      <w:r w:rsidR="00782095" w:rsidRPr="00782095">
        <w:rPr>
          <w:rFonts w:cstheme="minorBidi"/>
        </w:rPr>
        <w:t xml:space="preserve"> </w:t>
      </w:r>
      <w:r w:rsidR="00782095" w:rsidRPr="1BDD3FC5">
        <w:rPr>
          <w:rFonts w:cstheme="minorBidi"/>
        </w:rPr>
        <w:t>dražeb emisních povolenek</w:t>
      </w:r>
      <w:r w:rsidR="00B17119">
        <w:t xml:space="preserve">, </w:t>
      </w:r>
      <w:r w:rsidR="00782095">
        <w:t xml:space="preserve">avšak </w:t>
      </w:r>
      <w:r w:rsidR="00B17119">
        <w:t>max. 6 mld. Kč).</w:t>
      </w:r>
    </w:p>
    <w:p w14:paraId="64E84368" w14:textId="58863359" w:rsidR="00B17119" w:rsidRDefault="00B17119" w:rsidP="00A905FE">
      <w:pPr>
        <w:pBdr>
          <w:top w:val="single" w:sz="4" w:space="1" w:color="auto"/>
          <w:left w:val="single" w:sz="4" w:space="4" w:color="auto"/>
          <w:bottom w:val="single" w:sz="4" w:space="1" w:color="auto"/>
          <w:right w:val="single" w:sz="4" w:space="4" w:color="auto"/>
        </w:pBdr>
        <w:spacing w:before="120"/>
      </w:pPr>
      <w:r w:rsidRPr="00B17119">
        <w:t>NKÚ zjistil nesoulad v zákoně č. 383/2012 Sb. Zákon stanovuje, že výnosy z dražeb emisních povolenek jsou příjmem státního rozpočtu</w:t>
      </w:r>
      <w:r w:rsidR="00782095">
        <w:t>,</w:t>
      </w:r>
      <w:r w:rsidRPr="00B17119">
        <w:t xml:space="preserve"> a dále ukládá povinnost SFŽP realizovat výdaje odpovídající části těchto výnosů, i když SFŽP není součástí státního rozpočtu.</w:t>
      </w:r>
    </w:p>
    <w:p w14:paraId="3D6ED23C" w14:textId="77777777" w:rsidR="00280F1B" w:rsidRPr="00280F1B" w:rsidRDefault="00280F1B" w:rsidP="00280F1B">
      <w:pPr>
        <w:rPr>
          <w:rFonts w:cstheme="minorHAnsi"/>
          <w:b/>
        </w:rPr>
      </w:pPr>
    </w:p>
    <w:p w14:paraId="5F841F63" w14:textId="79BE9904" w:rsidR="000D712D" w:rsidRPr="00280F1B" w:rsidRDefault="00280F1B" w:rsidP="00280F1B">
      <w:pPr>
        <w:pStyle w:val="Odstavecseseznamem"/>
        <w:numPr>
          <w:ilvl w:val="0"/>
          <w:numId w:val="10"/>
        </w:numPr>
        <w:ind w:left="284" w:hanging="284"/>
        <w:outlineLvl w:val="1"/>
        <w:rPr>
          <w:rFonts w:cstheme="minorHAnsi"/>
          <w:b/>
        </w:rPr>
      </w:pPr>
      <w:r w:rsidRPr="00280F1B">
        <w:rPr>
          <w:rFonts w:cstheme="minorHAnsi"/>
          <w:b/>
        </w:rPr>
        <w:t>Délka procesu schvalování projektů překračuje stanovenou lhůtu</w:t>
      </w:r>
    </w:p>
    <w:p w14:paraId="6AB4FFC4" w14:textId="4C95B40D" w:rsidR="000D712D" w:rsidRDefault="000D712D" w:rsidP="000D712D">
      <w:pPr>
        <w:autoSpaceDE w:val="0"/>
        <w:autoSpaceDN w:val="0"/>
        <w:adjustRightInd w:val="0"/>
        <w:spacing w:before="120"/>
      </w:pPr>
      <w:r>
        <w:t xml:space="preserve">Kontrolou byla ověřena délka trvání procesu schvalování projektů na základě dat o evidovaných </w:t>
      </w:r>
      <w:r w:rsidRPr="008451D4">
        <w:t>žádostech</w:t>
      </w:r>
      <w:r>
        <w:t>/projektech ke dni 30. 6. 2020.</w:t>
      </w:r>
      <w:r>
        <w:rPr>
          <w:rStyle w:val="Znakapoznpodarou"/>
        </w:rPr>
        <w:footnoteReference w:id="43"/>
      </w:r>
      <w:r>
        <w:t xml:space="preserve"> Proces schvalování projektů </w:t>
      </w:r>
      <w:r w:rsidR="005A5F90">
        <w:br/>
      </w:r>
      <w:r w:rsidRPr="00AF38CC">
        <w:t>je</w:t>
      </w:r>
      <w:r w:rsidR="005A5F90">
        <w:t xml:space="preserve"> </w:t>
      </w:r>
      <w:r w:rsidRPr="00AF38CC">
        <w:t>soubor činností, které jsou vykonávány v období od podání žádosti o podporu do</w:t>
      </w:r>
      <w:r w:rsidR="005A5F90">
        <w:t xml:space="preserve"> </w:t>
      </w:r>
      <w:r w:rsidRPr="00AF38CC">
        <w:t xml:space="preserve">vydání/podepsání právního aktu o poskytnutí/převodu podpory nebo do ukončení administrace </w:t>
      </w:r>
      <w:r w:rsidRPr="000D712D">
        <w:t>žádosti o podporu. Cílem procesu je vybrat transparentně kvalitní projekty, které budou naplňovat věcné i finanční cíle OPŽP. Pro tento proces je stanovena tzv. „mezní lhůt</w:t>
      </w:r>
      <w:r w:rsidR="00E75066">
        <w:t>a</w:t>
      </w:r>
      <w:r w:rsidRPr="000D712D">
        <w:t xml:space="preserve"> trvání procesu</w:t>
      </w:r>
      <w:r w:rsidR="00ED6EFD">
        <w:t>“</w:t>
      </w:r>
      <w:r w:rsidRPr="000D712D">
        <w:t xml:space="preserve"> na 7 měsíců.</w:t>
      </w:r>
    </w:p>
    <w:p w14:paraId="3CC4E423" w14:textId="77777777" w:rsidR="00E76684" w:rsidRDefault="00E76684">
      <w:pPr>
        <w:jc w:val="left"/>
      </w:pPr>
      <w:r>
        <w:br w:type="page"/>
      </w:r>
    </w:p>
    <w:p w14:paraId="6870D5B3" w14:textId="29A7C836" w:rsidR="000D712D" w:rsidRDefault="000D712D" w:rsidP="00B37BE1">
      <w:pPr>
        <w:pStyle w:val="Nzevtabulky"/>
        <w:ind w:left="284" w:hanging="284"/>
      </w:pPr>
      <w:r>
        <w:lastRenderedPageBreak/>
        <w:t>Délka administra</w:t>
      </w:r>
      <w:r w:rsidR="00027CE3">
        <w:t>tivního</w:t>
      </w:r>
      <w:r>
        <w:t xml:space="preserve"> procesu schvalování projektů PO 5 OPŽP</w:t>
      </w:r>
    </w:p>
    <w:tbl>
      <w:tblPr>
        <w:tblW w:w="5000" w:type="pct"/>
        <w:tblCellMar>
          <w:left w:w="70" w:type="dxa"/>
          <w:right w:w="70" w:type="dxa"/>
        </w:tblCellMar>
        <w:tblLook w:val="04A0" w:firstRow="1" w:lastRow="0" w:firstColumn="1" w:lastColumn="0" w:noHBand="0" w:noVBand="1"/>
      </w:tblPr>
      <w:tblGrid>
        <w:gridCol w:w="2246"/>
        <w:gridCol w:w="1136"/>
        <w:gridCol w:w="1136"/>
        <w:gridCol w:w="1136"/>
        <w:gridCol w:w="1136"/>
        <w:gridCol w:w="1136"/>
        <w:gridCol w:w="1134"/>
      </w:tblGrid>
      <w:tr w:rsidR="000D712D" w14:paraId="104D8601" w14:textId="77777777" w:rsidTr="00B84603">
        <w:trPr>
          <w:trHeight w:val="290"/>
        </w:trPr>
        <w:tc>
          <w:tcPr>
            <w:tcW w:w="1239"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4BC31CB4" w14:textId="0534881B" w:rsidR="000D712D" w:rsidRPr="0010440E" w:rsidRDefault="000D712D" w:rsidP="00377B07">
            <w:pPr>
              <w:jc w:val="center"/>
              <w:rPr>
                <w:b/>
                <w:bCs/>
                <w:color w:val="000000"/>
                <w:sz w:val="16"/>
              </w:rPr>
            </w:pPr>
            <w:r>
              <w:rPr>
                <w:b/>
                <w:bCs/>
                <w:color w:val="000000"/>
                <w:sz w:val="16"/>
              </w:rPr>
              <w:t xml:space="preserve">Právní forma </w:t>
            </w:r>
            <w:r w:rsidR="00377B07">
              <w:rPr>
                <w:b/>
                <w:bCs/>
                <w:color w:val="000000"/>
                <w:sz w:val="16"/>
              </w:rPr>
              <w:t>ž</w:t>
            </w:r>
            <w:r>
              <w:rPr>
                <w:b/>
                <w:bCs/>
                <w:color w:val="000000"/>
                <w:sz w:val="16"/>
              </w:rPr>
              <w:t>adatele o dotaci</w:t>
            </w:r>
          </w:p>
        </w:tc>
        <w:tc>
          <w:tcPr>
            <w:tcW w:w="1254" w:type="pct"/>
            <w:gridSpan w:val="2"/>
            <w:tcBorders>
              <w:top w:val="single" w:sz="4" w:space="0" w:color="auto"/>
              <w:left w:val="nil"/>
              <w:bottom w:val="single" w:sz="4" w:space="0" w:color="auto"/>
              <w:right w:val="single" w:sz="4" w:space="0" w:color="auto"/>
            </w:tcBorders>
            <w:shd w:val="clear" w:color="000000" w:fill="E5F1FF"/>
            <w:vAlign w:val="center"/>
            <w:hideMark/>
          </w:tcPr>
          <w:p w14:paraId="1730F5B7" w14:textId="4330CD10" w:rsidR="000D712D" w:rsidRPr="0010440E" w:rsidRDefault="000D712D" w:rsidP="00377B07">
            <w:pPr>
              <w:jc w:val="center"/>
              <w:rPr>
                <w:b/>
                <w:bCs/>
                <w:color w:val="000000"/>
                <w:sz w:val="16"/>
              </w:rPr>
            </w:pPr>
            <w:r w:rsidRPr="0010440E">
              <w:rPr>
                <w:b/>
                <w:bCs/>
                <w:color w:val="000000"/>
                <w:sz w:val="16"/>
              </w:rPr>
              <w:t>1</w:t>
            </w:r>
            <w:r w:rsidR="00027CE3" w:rsidRPr="00FC7CB7">
              <w:rPr>
                <w:sz w:val="16"/>
                <w:szCs w:val="16"/>
                <w:lang w:eastAsia="en-US"/>
              </w:rPr>
              <w:t>–</w:t>
            </w:r>
            <w:r w:rsidRPr="0010440E">
              <w:rPr>
                <w:b/>
                <w:bCs/>
                <w:color w:val="000000"/>
                <w:sz w:val="16"/>
              </w:rPr>
              <w:t>7 měsíců</w:t>
            </w:r>
          </w:p>
        </w:tc>
        <w:tc>
          <w:tcPr>
            <w:tcW w:w="1254" w:type="pct"/>
            <w:gridSpan w:val="2"/>
            <w:tcBorders>
              <w:top w:val="single" w:sz="4" w:space="0" w:color="auto"/>
              <w:left w:val="nil"/>
              <w:bottom w:val="single" w:sz="4" w:space="0" w:color="auto"/>
              <w:right w:val="single" w:sz="4" w:space="0" w:color="auto"/>
            </w:tcBorders>
            <w:shd w:val="clear" w:color="000000" w:fill="E5F1FF"/>
            <w:vAlign w:val="center"/>
            <w:hideMark/>
          </w:tcPr>
          <w:p w14:paraId="4C4F3C88" w14:textId="4237B415" w:rsidR="000D712D" w:rsidRPr="0010440E" w:rsidRDefault="000D712D">
            <w:pPr>
              <w:jc w:val="center"/>
              <w:rPr>
                <w:b/>
                <w:bCs/>
                <w:color w:val="000000"/>
                <w:sz w:val="16"/>
              </w:rPr>
            </w:pPr>
            <w:r w:rsidRPr="0010440E">
              <w:rPr>
                <w:b/>
                <w:bCs/>
                <w:color w:val="000000"/>
                <w:sz w:val="16"/>
              </w:rPr>
              <w:t>8</w:t>
            </w:r>
            <w:r w:rsidR="00027CE3" w:rsidRPr="00AB6777">
              <w:rPr>
                <w:sz w:val="16"/>
                <w:szCs w:val="16"/>
                <w:lang w:eastAsia="en-US"/>
              </w:rPr>
              <w:t>–</w:t>
            </w:r>
            <w:r w:rsidRPr="0010440E">
              <w:rPr>
                <w:b/>
                <w:bCs/>
                <w:color w:val="000000"/>
                <w:sz w:val="16"/>
              </w:rPr>
              <w:t>12 měsíců</w:t>
            </w:r>
          </w:p>
        </w:tc>
        <w:tc>
          <w:tcPr>
            <w:tcW w:w="1254" w:type="pct"/>
            <w:gridSpan w:val="2"/>
            <w:tcBorders>
              <w:top w:val="single" w:sz="4" w:space="0" w:color="auto"/>
              <w:left w:val="nil"/>
              <w:bottom w:val="single" w:sz="4" w:space="0" w:color="auto"/>
              <w:right w:val="single" w:sz="4" w:space="0" w:color="auto"/>
            </w:tcBorders>
            <w:shd w:val="clear" w:color="000000" w:fill="E5F1FF"/>
            <w:vAlign w:val="center"/>
            <w:hideMark/>
          </w:tcPr>
          <w:p w14:paraId="16D1F916" w14:textId="77777777" w:rsidR="000D712D" w:rsidRPr="0010440E" w:rsidRDefault="000D712D" w:rsidP="00B84603">
            <w:pPr>
              <w:jc w:val="center"/>
              <w:rPr>
                <w:b/>
                <w:bCs/>
                <w:color w:val="000000"/>
                <w:sz w:val="16"/>
              </w:rPr>
            </w:pPr>
            <w:r w:rsidRPr="0010440E">
              <w:rPr>
                <w:b/>
                <w:bCs/>
                <w:color w:val="000000"/>
                <w:sz w:val="16"/>
              </w:rPr>
              <w:t>Déle než rok</w:t>
            </w:r>
          </w:p>
        </w:tc>
      </w:tr>
      <w:tr w:rsidR="000D712D" w14:paraId="53A85096" w14:textId="77777777" w:rsidTr="00B84603">
        <w:trPr>
          <w:trHeight w:val="260"/>
        </w:trPr>
        <w:tc>
          <w:tcPr>
            <w:tcW w:w="1239" w:type="pct"/>
            <w:vMerge/>
            <w:tcBorders>
              <w:top w:val="single" w:sz="4" w:space="0" w:color="auto"/>
              <w:left w:val="single" w:sz="4" w:space="0" w:color="auto"/>
              <w:bottom w:val="single" w:sz="4" w:space="0" w:color="auto"/>
              <w:right w:val="single" w:sz="4" w:space="0" w:color="auto"/>
            </w:tcBorders>
            <w:vAlign w:val="center"/>
            <w:hideMark/>
          </w:tcPr>
          <w:p w14:paraId="091A9302" w14:textId="77777777" w:rsidR="000D712D" w:rsidRPr="0010440E" w:rsidRDefault="000D712D" w:rsidP="00B84603">
            <w:pPr>
              <w:jc w:val="left"/>
              <w:rPr>
                <w:b/>
                <w:bCs/>
                <w:color w:val="000000"/>
                <w:sz w:val="16"/>
              </w:rPr>
            </w:pPr>
          </w:p>
        </w:tc>
        <w:tc>
          <w:tcPr>
            <w:tcW w:w="627" w:type="pct"/>
            <w:tcBorders>
              <w:top w:val="nil"/>
              <w:left w:val="nil"/>
              <w:bottom w:val="single" w:sz="4" w:space="0" w:color="auto"/>
              <w:right w:val="single" w:sz="4" w:space="0" w:color="auto"/>
            </w:tcBorders>
            <w:shd w:val="clear" w:color="000000" w:fill="E5F1FF"/>
            <w:vAlign w:val="center"/>
            <w:hideMark/>
          </w:tcPr>
          <w:p w14:paraId="5B866182" w14:textId="77777777" w:rsidR="000D712D" w:rsidRPr="0010440E" w:rsidRDefault="000D712D" w:rsidP="00B84603">
            <w:pPr>
              <w:jc w:val="center"/>
              <w:rPr>
                <w:b/>
                <w:bCs/>
                <w:color w:val="000000"/>
                <w:sz w:val="16"/>
              </w:rPr>
            </w:pPr>
            <w:r w:rsidRPr="0010440E">
              <w:rPr>
                <w:b/>
                <w:bCs/>
                <w:color w:val="000000"/>
                <w:sz w:val="16"/>
              </w:rPr>
              <w:t>Počet projektů</w:t>
            </w:r>
          </w:p>
        </w:tc>
        <w:tc>
          <w:tcPr>
            <w:tcW w:w="627" w:type="pct"/>
            <w:tcBorders>
              <w:top w:val="nil"/>
              <w:left w:val="nil"/>
              <w:bottom w:val="single" w:sz="4" w:space="0" w:color="auto"/>
              <w:right w:val="single" w:sz="4" w:space="0" w:color="auto"/>
            </w:tcBorders>
            <w:shd w:val="clear" w:color="000000" w:fill="E5F1FF"/>
            <w:vAlign w:val="center"/>
            <w:hideMark/>
          </w:tcPr>
          <w:p w14:paraId="4D579164" w14:textId="77777777" w:rsidR="000D712D" w:rsidRPr="0010440E" w:rsidRDefault="000D712D" w:rsidP="00B84603">
            <w:pPr>
              <w:jc w:val="center"/>
              <w:rPr>
                <w:b/>
                <w:bCs/>
                <w:color w:val="000000"/>
                <w:sz w:val="16"/>
              </w:rPr>
            </w:pPr>
            <w:r w:rsidRPr="0010440E">
              <w:rPr>
                <w:b/>
                <w:bCs/>
                <w:color w:val="000000"/>
                <w:sz w:val="16"/>
              </w:rPr>
              <w:t>Podíl v %</w:t>
            </w:r>
          </w:p>
        </w:tc>
        <w:tc>
          <w:tcPr>
            <w:tcW w:w="627" w:type="pct"/>
            <w:tcBorders>
              <w:top w:val="nil"/>
              <w:left w:val="nil"/>
              <w:bottom w:val="single" w:sz="4" w:space="0" w:color="auto"/>
              <w:right w:val="single" w:sz="4" w:space="0" w:color="auto"/>
            </w:tcBorders>
            <w:shd w:val="clear" w:color="000000" w:fill="E5F1FF"/>
            <w:vAlign w:val="center"/>
            <w:hideMark/>
          </w:tcPr>
          <w:p w14:paraId="33718903" w14:textId="77777777" w:rsidR="000D712D" w:rsidRPr="0010440E" w:rsidRDefault="000D712D" w:rsidP="00B84603">
            <w:pPr>
              <w:jc w:val="center"/>
              <w:rPr>
                <w:b/>
                <w:bCs/>
                <w:color w:val="000000"/>
                <w:sz w:val="16"/>
              </w:rPr>
            </w:pPr>
            <w:r w:rsidRPr="0010440E">
              <w:rPr>
                <w:b/>
                <w:bCs/>
                <w:color w:val="000000"/>
                <w:sz w:val="16"/>
              </w:rPr>
              <w:t>Počet projektů</w:t>
            </w:r>
          </w:p>
        </w:tc>
        <w:tc>
          <w:tcPr>
            <w:tcW w:w="627" w:type="pct"/>
            <w:tcBorders>
              <w:top w:val="nil"/>
              <w:left w:val="nil"/>
              <w:bottom w:val="single" w:sz="4" w:space="0" w:color="auto"/>
              <w:right w:val="single" w:sz="4" w:space="0" w:color="auto"/>
            </w:tcBorders>
            <w:shd w:val="clear" w:color="000000" w:fill="E5F1FF"/>
            <w:vAlign w:val="center"/>
            <w:hideMark/>
          </w:tcPr>
          <w:p w14:paraId="25A21035" w14:textId="77777777" w:rsidR="000D712D" w:rsidRPr="0010440E" w:rsidRDefault="000D712D" w:rsidP="00B84603">
            <w:pPr>
              <w:jc w:val="center"/>
              <w:rPr>
                <w:b/>
                <w:bCs/>
                <w:color w:val="000000"/>
                <w:sz w:val="16"/>
              </w:rPr>
            </w:pPr>
            <w:r w:rsidRPr="0010440E">
              <w:rPr>
                <w:b/>
                <w:bCs/>
                <w:color w:val="000000"/>
                <w:sz w:val="16"/>
              </w:rPr>
              <w:t>Podíl v %</w:t>
            </w:r>
          </w:p>
        </w:tc>
        <w:tc>
          <w:tcPr>
            <w:tcW w:w="627" w:type="pct"/>
            <w:tcBorders>
              <w:top w:val="nil"/>
              <w:left w:val="nil"/>
              <w:bottom w:val="single" w:sz="4" w:space="0" w:color="auto"/>
              <w:right w:val="single" w:sz="4" w:space="0" w:color="auto"/>
            </w:tcBorders>
            <w:shd w:val="clear" w:color="000000" w:fill="E5F1FF"/>
            <w:vAlign w:val="center"/>
            <w:hideMark/>
          </w:tcPr>
          <w:p w14:paraId="55548C1B" w14:textId="77777777" w:rsidR="000D712D" w:rsidRPr="0010440E" w:rsidRDefault="000D712D" w:rsidP="00B84603">
            <w:pPr>
              <w:jc w:val="center"/>
              <w:rPr>
                <w:b/>
                <w:bCs/>
                <w:color w:val="000000"/>
                <w:sz w:val="16"/>
              </w:rPr>
            </w:pPr>
            <w:r w:rsidRPr="0010440E">
              <w:rPr>
                <w:b/>
                <w:bCs/>
                <w:color w:val="000000"/>
                <w:sz w:val="16"/>
              </w:rPr>
              <w:t>Počet projektů</w:t>
            </w:r>
          </w:p>
        </w:tc>
        <w:tc>
          <w:tcPr>
            <w:tcW w:w="627" w:type="pct"/>
            <w:tcBorders>
              <w:top w:val="nil"/>
              <w:left w:val="nil"/>
              <w:bottom w:val="single" w:sz="4" w:space="0" w:color="auto"/>
              <w:right w:val="single" w:sz="4" w:space="0" w:color="auto"/>
            </w:tcBorders>
            <w:shd w:val="clear" w:color="000000" w:fill="E5F1FF"/>
            <w:vAlign w:val="center"/>
            <w:hideMark/>
          </w:tcPr>
          <w:p w14:paraId="278FD342" w14:textId="77777777" w:rsidR="000D712D" w:rsidRPr="0010440E" w:rsidRDefault="000D712D" w:rsidP="00B84603">
            <w:pPr>
              <w:jc w:val="center"/>
              <w:rPr>
                <w:b/>
                <w:bCs/>
                <w:color w:val="000000"/>
                <w:sz w:val="16"/>
              </w:rPr>
            </w:pPr>
            <w:r w:rsidRPr="0010440E">
              <w:rPr>
                <w:b/>
                <w:bCs/>
                <w:color w:val="000000"/>
                <w:sz w:val="16"/>
              </w:rPr>
              <w:t>Podíl v %</w:t>
            </w:r>
          </w:p>
        </w:tc>
      </w:tr>
      <w:tr w:rsidR="000D712D" w14:paraId="18B009C4" w14:textId="77777777" w:rsidTr="00B84603">
        <w:trPr>
          <w:trHeight w:val="260"/>
        </w:trPr>
        <w:tc>
          <w:tcPr>
            <w:tcW w:w="1239" w:type="pct"/>
            <w:tcBorders>
              <w:top w:val="nil"/>
              <w:left w:val="single" w:sz="4" w:space="0" w:color="auto"/>
              <w:bottom w:val="single" w:sz="4" w:space="0" w:color="auto"/>
              <w:right w:val="single" w:sz="4" w:space="0" w:color="auto"/>
            </w:tcBorders>
            <w:shd w:val="clear" w:color="auto" w:fill="auto"/>
            <w:vAlign w:val="center"/>
            <w:hideMark/>
          </w:tcPr>
          <w:p w14:paraId="7B285A83" w14:textId="77777777" w:rsidR="000D712D" w:rsidRPr="0010440E" w:rsidRDefault="000D712D" w:rsidP="00B84603">
            <w:pPr>
              <w:jc w:val="left"/>
              <w:rPr>
                <w:color w:val="000000"/>
                <w:sz w:val="16"/>
              </w:rPr>
            </w:pPr>
            <w:r w:rsidRPr="0010440E">
              <w:rPr>
                <w:color w:val="000000"/>
                <w:sz w:val="16"/>
              </w:rPr>
              <w:t>OSS, SPO, VVI</w:t>
            </w:r>
          </w:p>
        </w:tc>
        <w:tc>
          <w:tcPr>
            <w:tcW w:w="627" w:type="pct"/>
            <w:tcBorders>
              <w:top w:val="nil"/>
              <w:left w:val="nil"/>
              <w:bottom w:val="single" w:sz="4" w:space="0" w:color="auto"/>
              <w:right w:val="single" w:sz="4" w:space="0" w:color="auto"/>
            </w:tcBorders>
            <w:shd w:val="clear" w:color="auto" w:fill="auto"/>
            <w:noWrap/>
            <w:vAlign w:val="center"/>
            <w:hideMark/>
          </w:tcPr>
          <w:p w14:paraId="5625537E" w14:textId="77777777" w:rsidR="000D712D" w:rsidRPr="0010440E" w:rsidRDefault="000D712D" w:rsidP="00B84603">
            <w:pPr>
              <w:jc w:val="right"/>
              <w:rPr>
                <w:color w:val="000000"/>
                <w:sz w:val="16"/>
              </w:rPr>
            </w:pPr>
            <w:r w:rsidRPr="0010440E">
              <w:rPr>
                <w:color w:val="000000"/>
                <w:sz w:val="16"/>
              </w:rPr>
              <w:t>1</w:t>
            </w:r>
          </w:p>
        </w:tc>
        <w:tc>
          <w:tcPr>
            <w:tcW w:w="627" w:type="pct"/>
            <w:tcBorders>
              <w:top w:val="nil"/>
              <w:left w:val="nil"/>
              <w:bottom w:val="single" w:sz="4" w:space="0" w:color="auto"/>
              <w:right w:val="single" w:sz="4" w:space="0" w:color="auto"/>
            </w:tcBorders>
            <w:shd w:val="clear" w:color="auto" w:fill="auto"/>
            <w:noWrap/>
            <w:vAlign w:val="center"/>
            <w:hideMark/>
          </w:tcPr>
          <w:p w14:paraId="7100E502" w14:textId="77777777" w:rsidR="000D712D" w:rsidRPr="0010440E" w:rsidRDefault="000D712D" w:rsidP="00B84603">
            <w:pPr>
              <w:jc w:val="right"/>
              <w:rPr>
                <w:color w:val="000000"/>
                <w:sz w:val="16"/>
              </w:rPr>
            </w:pPr>
            <w:r w:rsidRPr="0010440E">
              <w:rPr>
                <w:color w:val="000000"/>
                <w:sz w:val="16"/>
              </w:rPr>
              <w:t>0,05</w:t>
            </w:r>
          </w:p>
        </w:tc>
        <w:tc>
          <w:tcPr>
            <w:tcW w:w="627" w:type="pct"/>
            <w:tcBorders>
              <w:top w:val="nil"/>
              <w:left w:val="nil"/>
              <w:bottom w:val="single" w:sz="4" w:space="0" w:color="auto"/>
              <w:right w:val="single" w:sz="4" w:space="0" w:color="auto"/>
            </w:tcBorders>
            <w:shd w:val="clear" w:color="auto" w:fill="auto"/>
            <w:noWrap/>
            <w:vAlign w:val="center"/>
            <w:hideMark/>
          </w:tcPr>
          <w:p w14:paraId="4A5E6E91" w14:textId="77777777" w:rsidR="000D712D" w:rsidRPr="0010440E" w:rsidRDefault="000D712D" w:rsidP="00B84603">
            <w:pPr>
              <w:jc w:val="right"/>
              <w:rPr>
                <w:color w:val="000000"/>
                <w:sz w:val="16"/>
              </w:rPr>
            </w:pPr>
            <w:r w:rsidRPr="0010440E">
              <w:rPr>
                <w:color w:val="000000"/>
                <w:sz w:val="16"/>
              </w:rPr>
              <w:t>12</w:t>
            </w:r>
          </w:p>
        </w:tc>
        <w:tc>
          <w:tcPr>
            <w:tcW w:w="627" w:type="pct"/>
            <w:tcBorders>
              <w:top w:val="nil"/>
              <w:left w:val="nil"/>
              <w:bottom w:val="single" w:sz="4" w:space="0" w:color="auto"/>
              <w:right w:val="single" w:sz="4" w:space="0" w:color="auto"/>
            </w:tcBorders>
            <w:shd w:val="clear" w:color="auto" w:fill="auto"/>
            <w:noWrap/>
            <w:vAlign w:val="center"/>
            <w:hideMark/>
          </w:tcPr>
          <w:p w14:paraId="23C49FCC" w14:textId="77777777" w:rsidR="000D712D" w:rsidRPr="0010440E" w:rsidRDefault="000D712D" w:rsidP="00B84603">
            <w:pPr>
              <w:jc w:val="right"/>
              <w:rPr>
                <w:color w:val="000000"/>
                <w:sz w:val="16"/>
              </w:rPr>
            </w:pPr>
            <w:r w:rsidRPr="0010440E">
              <w:rPr>
                <w:color w:val="000000"/>
                <w:sz w:val="16"/>
              </w:rPr>
              <w:t>0,62</w:t>
            </w:r>
          </w:p>
        </w:tc>
        <w:tc>
          <w:tcPr>
            <w:tcW w:w="627" w:type="pct"/>
            <w:tcBorders>
              <w:top w:val="nil"/>
              <w:left w:val="nil"/>
              <w:bottom w:val="single" w:sz="4" w:space="0" w:color="auto"/>
              <w:right w:val="single" w:sz="4" w:space="0" w:color="auto"/>
            </w:tcBorders>
            <w:shd w:val="clear" w:color="auto" w:fill="auto"/>
            <w:noWrap/>
            <w:vAlign w:val="center"/>
            <w:hideMark/>
          </w:tcPr>
          <w:p w14:paraId="493316E5" w14:textId="77777777" w:rsidR="000D712D" w:rsidRPr="0010440E" w:rsidRDefault="000D712D" w:rsidP="00B84603">
            <w:pPr>
              <w:jc w:val="right"/>
              <w:rPr>
                <w:color w:val="000000"/>
                <w:sz w:val="16"/>
              </w:rPr>
            </w:pPr>
            <w:r w:rsidRPr="0010440E">
              <w:rPr>
                <w:color w:val="000000"/>
                <w:sz w:val="16"/>
              </w:rPr>
              <w:t>192</w:t>
            </w:r>
          </w:p>
        </w:tc>
        <w:tc>
          <w:tcPr>
            <w:tcW w:w="627" w:type="pct"/>
            <w:tcBorders>
              <w:top w:val="nil"/>
              <w:left w:val="nil"/>
              <w:bottom w:val="single" w:sz="4" w:space="0" w:color="auto"/>
              <w:right w:val="single" w:sz="4" w:space="0" w:color="auto"/>
            </w:tcBorders>
            <w:shd w:val="clear" w:color="auto" w:fill="auto"/>
            <w:noWrap/>
            <w:vAlign w:val="center"/>
            <w:hideMark/>
          </w:tcPr>
          <w:p w14:paraId="48023B76" w14:textId="77777777" w:rsidR="000D712D" w:rsidRPr="0010440E" w:rsidRDefault="000D712D" w:rsidP="00B84603">
            <w:pPr>
              <w:jc w:val="right"/>
              <w:rPr>
                <w:color w:val="000000"/>
                <w:sz w:val="16"/>
              </w:rPr>
            </w:pPr>
            <w:r w:rsidRPr="0010440E">
              <w:rPr>
                <w:color w:val="000000"/>
                <w:sz w:val="16"/>
              </w:rPr>
              <w:t>9,90</w:t>
            </w:r>
          </w:p>
        </w:tc>
      </w:tr>
      <w:tr w:rsidR="000D712D" w14:paraId="0F1D126A" w14:textId="77777777" w:rsidTr="00B84603">
        <w:trPr>
          <w:trHeight w:val="260"/>
        </w:trPr>
        <w:tc>
          <w:tcPr>
            <w:tcW w:w="1239" w:type="pct"/>
            <w:tcBorders>
              <w:top w:val="nil"/>
              <w:left w:val="single" w:sz="4" w:space="0" w:color="auto"/>
              <w:bottom w:val="single" w:sz="4" w:space="0" w:color="auto"/>
              <w:right w:val="single" w:sz="4" w:space="0" w:color="auto"/>
            </w:tcBorders>
            <w:shd w:val="clear" w:color="auto" w:fill="auto"/>
            <w:vAlign w:val="center"/>
            <w:hideMark/>
          </w:tcPr>
          <w:p w14:paraId="34736D42" w14:textId="57E6755D" w:rsidR="000D712D" w:rsidRDefault="000D712D" w:rsidP="00B84603">
            <w:pPr>
              <w:jc w:val="left"/>
              <w:rPr>
                <w:color w:val="000000"/>
                <w:sz w:val="16"/>
              </w:rPr>
            </w:pPr>
            <w:r w:rsidRPr="0010440E">
              <w:rPr>
                <w:color w:val="000000"/>
                <w:sz w:val="16"/>
              </w:rPr>
              <w:t>Samosprávn</w:t>
            </w:r>
            <w:r w:rsidR="00E670BD">
              <w:rPr>
                <w:color w:val="000000"/>
                <w:sz w:val="16"/>
              </w:rPr>
              <w:t>é</w:t>
            </w:r>
            <w:r w:rsidRPr="0010440E">
              <w:rPr>
                <w:color w:val="000000"/>
                <w:sz w:val="16"/>
              </w:rPr>
              <w:t xml:space="preserve"> územní celky</w:t>
            </w:r>
            <w:r w:rsidR="002A014A">
              <w:rPr>
                <w:color w:val="000000"/>
                <w:sz w:val="16"/>
              </w:rPr>
              <w:t xml:space="preserve"> </w:t>
            </w:r>
          </w:p>
          <w:p w14:paraId="4B335AA3" w14:textId="77777777" w:rsidR="000D712D" w:rsidRPr="0010440E" w:rsidRDefault="000D712D" w:rsidP="00B84603">
            <w:pPr>
              <w:jc w:val="left"/>
              <w:rPr>
                <w:color w:val="000000"/>
                <w:sz w:val="16"/>
              </w:rPr>
            </w:pPr>
            <w:r w:rsidRPr="0010440E">
              <w:rPr>
                <w:color w:val="000000"/>
                <w:sz w:val="16"/>
              </w:rPr>
              <w:t>a jejich podřízené organizace</w:t>
            </w:r>
          </w:p>
        </w:tc>
        <w:tc>
          <w:tcPr>
            <w:tcW w:w="627" w:type="pct"/>
            <w:tcBorders>
              <w:top w:val="nil"/>
              <w:left w:val="nil"/>
              <w:bottom w:val="single" w:sz="4" w:space="0" w:color="auto"/>
              <w:right w:val="single" w:sz="4" w:space="0" w:color="auto"/>
            </w:tcBorders>
            <w:shd w:val="clear" w:color="auto" w:fill="auto"/>
            <w:noWrap/>
            <w:vAlign w:val="center"/>
            <w:hideMark/>
          </w:tcPr>
          <w:p w14:paraId="0C28FB01" w14:textId="77777777" w:rsidR="000D712D" w:rsidRPr="0010440E" w:rsidRDefault="000D712D" w:rsidP="00B84603">
            <w:pPr>
              <w:jc w:val="right"/>
              <w:rPr>
                <w:color w:val="000000"/>
                <w:sz w:val="16"/>
              </w:rPr>
            </w:pPr>
            <w:r w:rsidRPr="0010440E">
              <w:rPr>
                <w:color w:val="000000"/>
                <w:sz w:val="16"/>
              </w:rPr>
              <w:t>1 118</w:t>
            </w:r>
          </w:p>
        </w:tc>
        <w:tc>
          <w:tcPr>
            <w:tcW w:w="627" w:type="pct"/>
            <w:tcBorders>
              <w:top w:val="nil"/>
              <w:left w:val="nil"/>
              <w:bottom w:val="single" w:sz="4" w:space="0" w:color="auto"/>
              <w:right w:val="single" w:sz="4" w:space="0" w:color="auto"/>
            </w:tcBorders>
            <w:shd w:val="clear" w:color="auto" w:fill="auto"/>
            <w:noWrap/>
            <w:vAlign w:val="center"/>
            <w:hideMark/>
          </w:tcPr>
          <w:p w14:paraId="1B321C66" w14:textId="77777777" w:rsidR="000D712D" w:rsidRPr="0010440E" w:rsidRDefault="000D712D" w:rsidP="00B84603">
            <w:pPr>
              <w:jc w:val="right"/>
              <w:rPr>
                <w:color w:val="000000"/>
                <w:sz w:val="16"/>
              </w:rPr>
            </w:pPr>
            <w:r w:rsidRPr="0010440E">
              <w:rPr>
                <w:color w:val="000000"/>
                <w:sz w:val="16"/>
              </w:rPr>
              <w:t>57,63</w:t>
            </w:r>
          </w:p>
        </w:tc>
        <w:tc>
          <w:tcPr>
            <w:tcW w:w="627" w:type="pct"/>
            <w:tcBorders>
              <w:top w:val="nil"/>
              <w:left w:val="nil"/>
              <w:bottom w:val="single" w:sz="4" w:space="0" w:color="auto"/>
              <w:right w:val="single" w:sz="4" w:space="0" w:color="auto"/>
            </w:tcBorders>
            <w:shd w:val="clear" w:color="auto" w:fill="auto"/>
            <w:noWrap/>
            <w:vAlign w:val="center"/>
            <w:hideMark/>
          </w:tcPr>
          <w:p w14:paraId="6C783005" w14:textId="77777777" w:rsidR="000D712D" w:rsidRPr="0010440E" w:rsidRDefault="000D712D" w:rsidP="00B84603">
            <w:pPr>
              <w:jc w:val="right"/>
              <w:rPr>
                <w:color w:val="000000"/>
                <w:sz w:val="16"/>
              </w:rPr>
            </w:pPr>
            <w:r w:rsidRPr="0010440E">
              <w:rPr>
                <w:color w:val="000000"/>
                <w:sz w:val="16"/>
              </w:rPr>
              <w:t>491</w:t>
            </w:r>
          </w:p>
        </w:tc>
        <w:tc>
          <w:tcPr>
            <w:tcW w:w="627" w:type="pct"/>
            <w:tcBorders>
              <w:top w:val="nil"/>
              <w:left w:val="nil"/>
              <w:bottom w:val="single" w:sz="4" w:space="0" w:color="auto"/>
              <w:right w:val="single" w:sz="4" w:space="0" w:color="auto"/>
            </w:tcBorders>
            <w:shd w:val="clear" w:color="auto" w:fill="auto"/>
            <w:noWrap/>
            <w:vAlign w:val="center"/>
            <w:hideMark/>
          </w:tcPr>
          <w:p w14:paraId="59D72E25" w14:textId="77777777" w:rsidR="000D712D" w:rsidRPr="0010440E" w:rsidRDefault="000D712D" w:rsidP="00B84603">
            <w:pPr>
              <w:jc w:val="right"/>
              <w:rPr>
                <w:color w:val="000000"/>
                <w:sz w:val="16"/>
              </w:rPr>
            </w:pPr>
            <w:r w:rsidRPr="0010440E">
              <w:rPr>
                <w:color w:val="000000"/>
                <w:sz w:val="16"/>
              </w:rPr>
              <w:t>25,31</w:t>
            </w:r>
          </w:p>
        </w:tc>
        <w:tc>
          <w:tcPr>
            <w:tcW w:w="627" w:type="pct"/>
            <w:tcBorders>
              <w:top w:val="nil"/>
              <w:left w:val="nil"/>
              <w:bottom w:val="single" w:sz="4" w:space="0" w:color="auto"/>
              <w:right w:val="single" w:sz="4" w:space="0" w:color="auto"/>
            </w:tcBorders>
            <w:shd w:val="clear" w:color="auto" w:fill="auto"/>
            <w:noWrap/>
            <w:vAlign w:val="center"/>
            <w:hideMark/>
          </w:tcPr>
          <w:p w14:paraId="2F1224DF" w14:textId="77777777" w:rsidR="000D712D" w:rsidRPr="0010440E" w:rsidRDefault="000D712D" w:rsidP="00B84603">
            <w:pPr>
              <w:jc w:val="right"/>
              <w:rPr>
                <w:color w:val="000000"/>
                <w:sz w:val="16"/>
              </w:rPr>
            </w:pPr>
            <w:r w:rsidRPr="0010440E">
              <w:rPr>
                <w:color w:val="000000"/>
                <w:sz w:val="16"/>
              </w:rPr>
              <w:t>73</w:t>
            </w:r>
          </w:p>
        </w:tc>
        <w:tc>
          <w:tcPr>
            <w:tcW w:w="627" w:type="pct"/>
            <w:tcBorders>
              <w:top w:val="nil"/>
              <w:left w:val="nil"/>
              <w:bottom w:val="single" w:sz="4" w:space="0" w:color="auto"/>
              <w:right w:val="single" w:sz="4" w:space="0" w:color="auto"/>
            </w:tcBorders>
            <w:shd w:val="clear" w:color="auto" w:fill="auto"/>
            <w:noWrap/>
            <w:vAlign w:val="center"/>
            <w:hideMark/>
          </w:tcPr>
          <w:p w14:paraId="661D5A46" w14:textId="77777777" w:rsidR="000D712D" w:rsidRPr="0010440E" w:rsidRDefault="000D712D" w:rsidP="00B84603">
            <w:pPr>
              <w:jc w:val="right"/>
              <w:rPr>
                <w:color w:val="000000"/>
                <w:sz w:val="16"/>
              </w:rPr>
            </w:pPr>
            <w:r w:rsidRPr="0010440E">
              <w:rPr>
                <w:color w:val="000000"/>
                <w:sz w:val="16"/>
              </w:rPr>
              <w:t>3,76</w:t>
            </w:r>
          </w:p>
        </w:tc>
      </w:tr>
      <w:tr w:rsidR="000D712D" w14:paraId="2CA40E65" w14:textId="77777777" w:rsidTr="00B84603">
        <w:trPr>
          <w:trHeight w:val="260"/>
        </w:trPr>
        <w:tc>
          <w:tcPr>
            <w:tcW w:w="1239" w:type="pct"/>
            <w:tcBorders>
              <w:top w:val="nil"/>
              <w:left w:val="single" w:sz="4" w:space="0" w:color="auto"/>
              <w:bottom w:val="single" w:sz="4" w:space="0" w:color="auto"/>
              <w:right w:val="single" w:sz="4" w:space="0" w:color="auto"/>
            </w:tcBorders>
            <w:shd w:val="clear" w:color="auto" w:fill="auto"/>
            <w:vAlign w:val="center"/>
            <w:hideMark/>
          </w:tcPr>
          <w:p w14:paraId="69581DF5" w14:textId="77777777" w:rsidR="000D712D" w:rsidRPr="0010440E" w:rsidRDefault="000D712D" w:rsidP="00B84603">
            <w:pPr>
              <w:jc w:val="left"/>
              <w:rPr>
                <w:color w:val="000000"/>
                <w:sz w:val="16"/>
              </w:rPr>
            </w:pPr>
            <w:r w:rsidRPr="0010440E">
              <w:rPr>
                <w:color w:val="000000"/>
                <w:sz w:val="16"/>
              </w:rPr>
              <w:t>Ostatní</w:t>
            </w:r>
          </w:p>
        </w:tc>
        <w:tc>
          <w:tcPr>
            <w:tcW w:w="627" w:type="pct"/>
            <w:tcBorders>
              <w:top w:val="nil"/>
              <w:left w:val="nil"/>
              <w:bottom w:val="single" w:sz="4" w:space="0" w:color="auto"/>
              <w:right w:val="single" w:sz="4" w:space="0" w:color="auto"/>
            </w:tcBorders>
            <w:shd w:val="clear" w:color="auto" w:fill="auto"/>
            <w:noWrap/>
            <w:vAlign w:val="center"/>
            <w:hideMark/>
          </w:tcPr>
          <w:p w14:paraId="74823BB5" w14:textId="77777777" w:rsidR="000D712D" w:rsidRPr="0010440E" w:rsidRDefault="000D712D" w:rsidP="00B84603">
            <w:pPr>
              <w:jc w:val="right"/>
              <w:rPr>
                <w:color w:val="000000"/>
                <w:sz w:val="16"/>
              </w:rPr>
            </w:pPr>
            <w:r w:rsidRPr="0010440E">
              <w:rPr>
                <w:color w:val="000000"/>
                <w:sz w:val="16"/>
              </w:rPr>
              <w:t>30</w:t>
            </w:r>
          </w:p>
        </w:tc>
        <w:tc>
          <w:tcPr>
            <w:tcW w:w="627" w:type="pct"/>
            <w:tcBorders>
              <w:top w:val="nil"/>
              <w:left w:val="nil"/>
              <w:bottom w:val="single" w:sz="4" w:space="0" w:color="auto"/>
              <w:right w:val="single" w:sz="4" w:space="0" w:color="auto"/>
            </w:tcBorders>
            <w:shd w:val="clear" w:color="auto" w:fill="auto"/>
            <w:noWrap/>
            <w:vAlign w:val="center"/>
            <w:hideMark/>
          </w:tcPr>
          <w:p w14:paraId="43398AAF" w14:textId="77777777" w:rsidR="000D712D" w:rsidRPr="0010440E" w:rsidRDefault="000D712D" w:rsidP="00B84603">
            <w:pPr>
              <w:jc w:val="right"/>
              <w:rPr>
                <w:color w:val="000000"/>
                <w:sz w:val="16"/>
              </w:rPr>
            </w:pPr>
            <w:r w:rsidRPr="0010440E">
              <w:rPr>
                <w:color w:val="000000"/>
                <w:sz w:val="16"/>
              </w:rPr>
              <w:t>1,55</w:t>
            </w:r>
          </w:p>
        </w:tc>
        <w:tc>
          <w:tcPr>
            <w:tcW w:w="627" w:type="pct"/>
            <w:tcBorders>
              <w:top w:val="nil"/>
              <w:left w:val="nil"/>
              <w:bottom w:val="single" w:sz="4" w:space="0" w:color="auto"/>
              <w:right w:val="single" w:sz="4" w:space="0" w:color="auto"/>
            </w:tcBorders>
            <w:shd w:val="clear" w:color="auto" w:fill="auto"/>
            <w:noWrap/>
            <w:vAlign w:val="center"/>
            <w:hideMark/>
          </w:tcPr>
          <w:p w14:paraId="118A4633" w14:textId="77777777" w:rsidR="000D712D" w:rsidRPr="0010440E" w:rsidRDefault="000D712D" w:rsidP="00B84603">
            <w:pPr>
              <w:jc w:val="right"/>
              <w:rPr>
                <w:color w:val="000000"/>
                <w:sz w:val="16"/>
              </w:rPr>
            </w:pPr>
            <w:r w:rsidRPr="0010440E">
              <w:rPr>
                <w:color w:val="000000"/>
                <w:sz w:val="16"/>
              </w:rPr>
              <w:t>22</w:t>
            </w:r>
          </w:p>
        </w:tc>
        <w:tc>
          <w:tcPr>
            <w:tcW w:w="627" w:type="pct"/>
            <w:tcBorders>
              <w:top w:val="nil"/>
              <w:left w:val="nil"/>
              <w:bottom w:val="single" w:sz="4" w:space="0" w:color="auto"/>
              <w:right w:val="single" w:sz="4" w:space="0" w:color="auto"/>
            </w:tcBorders>
            <w:shd w:val="clear" w:color="auto" w:fill="auto"/>
            <w:noWrap/>
            <w:vAlign w:val="center"/>
            <w:hideMark/>
          </w:tcPr>
          <w:p w14:paraId="00B3D837" w14:textId="77777777" w:rsidR="000D712D" w:rsidRPr="0010440E" w:rsidRDefault="000D712D" w:rsidP="00B84603">
            <w:pPr>
              <w:jc w:val="right"/>
              <w:rPr>
                <w:color w:val="000000"/>
                <w:sz w:val="16"/>
              </w:rPr>
            </w:pPr>
            <w:r w:rsidRPr="0010440E">
              <w:rPr>
                <w:color w:val="000000"/>
                <w:sz w:val="16"/>
              </w:rPr>
              <w:t>1,13</w:t>
            </w:r>
          </w:p>
        </w:tc>
        <w:tc>
          <w:tcPr>
            <w:tcW w:w="627" w:type="pct"/>
            <w:tcBorders>
              <w:top w:val="nil"/>
              <w:left w:val="nil"/>
              <w:bottom w:val="single" w:sz="4" w:space="0" w:color="auto"/>
              <w:right w:val="single" w:sz="4" w:space="0" w:color="auto"/>
            </w:tcBorders>
            <w:shd w:val="clear" w:color="auto" w:fill="auto"/>
            <w:noWrap/>
            <w:vAlign w:val="center"/>
            <w:hideMark/>
          </w:tcPr>
          <w:p w14:paraId="0E7A669D" w14:textId="77777777" w:rsidR="000D712D" w:rsidRPr="0010440E" w:rsidRDefault="000D712D" w:rsidP="00B84603">
            <w:pPr>
              <w:jc w:val="right"/>
              <w:rPr>
                <w:color w:val="000000"/>
                <w:sz w:val="16"/>
              </w:rPr>
            </w:pPr>
            <w:r w:rsidRPr="0010440E">
              <w:rPr>
                <w:color w:val="000000"/>
                <w:sz w:val="16"/>
              </w:rPr>
              <w:t>1</w:t>
            </w:r>
          </w:p>
        </w:tc>
        <w:tc>
          <w:tcPr>
            <w:tcW w:w="627" w:type="pct"/>
            <w:tcBorders>
              <w:top w:val="nil"/>
              <w:left w:val="nil"/>
              <w:bottom w:val="single" w:sz="4" w:space="0" w:color="auto"/>
              <w:right w:val="single" w:sz="4" w:space="0" w:color="auto"/>
            </w:tcBorders>
            <w:shd w:val="clear" w:color="auto" w:fill="auto"/>
            <w:noWrap/>
            <w:vAlign w:val="center"/>
            <w:hideMark/>
          </w:tcPr>
          <w:p w14:paraId="08BF4418" w14:textId="77777777" w:rsidR="000D712D" w:rsidRPr="0010440E" w:rsidRDefault="000D712D" w:rsidP="00B84603">
            <w:pPr>
              <w:jc w:val="right"/>
              <w:rPr>
                <w:color w:val="000000"/>
                <w:sz w:val="16"/>
              </w:rPr>
            </w:pPr>
            <w:r w:rsidRPr="0010440E">
              <w:rPr>
                <w:color w:val="000000"/>
                <w:sz w:val="16"/>
              </w:rPr>
              <w:t>0,05</w:t>
            </w:r>
          </w:p>
        </w:tc>
      </w:tr>
      <w:tr w:rsidR="000D712D" w14:paraId="062EC2E1" w14:textId="77777777" w:rsidTr="00B84603">
        <w:trPr>
          <w:trHeight w:val="260"/>
        </w:trPr>
        <w:tc>
          <w:tcPr>
            <w:tcW w:w="1239" w:type="pct"/>
            <w:tcBorders>
              <w:top w:val="nil"/>
              <w:left w:val="single" w:sz="4" w:space="0" w:color="auto"/>
              <w:bottom w:val="single" w:sz="4" w:space="0" w:color="auto"/>
              <w:right w:val="single" w:sz="4" w:space="0" w:color="auto"/>
            </w:tcBorders>
            <w:shd w:val="clear" w:color="auto" w:fill="auto"/>
            <w:noWrap/>
            <w:vAlign w:val="center"/>
            <w:hideMark/>
          </w:tcPr>
          <w:p w14:paraId="2CC90755" w14:textId="77777777" w:rsidR="000D712D" w:rsidRPr="0010440E" w:rsidRDefault="000D712D" w:rsidP="00B84603">
            <w:pPr>
              <w:jc w:val="left"/>
              <w:rPr>
                <w:b/>
                <w:bCs/>
                <w:color w:val="000000"/>
                <w:sz w:val="16"/>
              </w:rPr>
            </w:pPr>
            <w:r w:rsidRPr="0010440E">
              <w:rPr>
                <w:b/>
                <w:bCs/>
                <w:color w:val="000000"/>
                <w:sz w:val="16"/>
              </w:rPr>
              <w:t>Celkem</w:t>
            </w:r>
          </w:p>
        </w:tc>
        <w:tc>
          <w:tcPr>
            <w:tcW w:w="627" w:type="pct"/>
            <w:tcBorders>
              <w:top w:val="nil"/>
              <w:left w:val="nil"/>
              <w:bottom w:val="single" w:sz="4" w:space="0" w:color="auto"/>
              <w:right w:val="single" w:sz="4" w:space="0" w:color="auto"/>
            </w:tcBorders>
            <w:shd w:val="clear" w:color="auto" w:fill="auto"/>
            <w:noWrap/>
            <w:vAlign w:val="center"/>
            <w:hideMark/>
          </w:tcPr>
          <w:p w14:paraId="372B006A" w14:textId="77777777" w:rsidR="000D712D" w:rsidRPr="0010440E" w:rsidRDefault="000D712D" w:rsidP="00B84603">
            <w:pPr>
              <w:jc w:val="right"/>
              <w:rPr>
                <w:b/>
                <w:bCs/>
                <w:color w:val="000000"/>
                <w:sz w:val="16"/>
              </w:rPr>
            </w:pPr>
            <w:r w:rsidRPr="0010440E">
              <w:rPr>
                <w:b/>
                <w:bCs/>
                <w:color w:val="000000"/>
                <w:sz w:val="16"/>
              </w:rPr>
              <w:t>1 149</w:t>
            </w:r>
          </w:p>
        </w:tc>
        <w:tc>
          <w:tcPr>
            <w:tcW w:w="627" w:type="pct"/>
            <w:tcBorders>
              <w:top w:val="nil"/>
              <w:left w:val="nil"/>
              <w:bottom w:val="single" w:sz="4" w:space="0" w:color="auto"/>
              <w:right w:val="single" w:sz="4" w:space="0" w:color="auto"/>
            </w:tcBorders>
            <w:shd w:val="clear" w:color="auto" w:fill="auto"/>
            <w:noWrap/>
            <w:vAlign w:val="center"/>
            <w:hideMark/>
          </w:tcPr>
          <w:p w14:paraId="07BBAB01" w14:textId="77777777" w:rsidR="000D712D" w:rsidRPr="0010440E" w:rsidRDefault="000D712D" w:rsidP="00B84603">
            <w:pPr>
              <w:jc w:val="right"/>
              <w:rPr>
                <w:b/>
                <w:bCs/>
                <w:color w:val="000000"/>
                <w:sz w:val="16"/>
              </w:rPr>
            </w:pPr>
            <w:r w:rsidRPr="0010440E">
              <w:rPr>
                <w:b/>
                <w:bCs/>
                <w:color w:val="000000"/>
                <w:sz w:val="16"/>
              </w:rPr>
              <w:t>59,23</w:t>
            </w:r>
          </w:p>
        </w:tc>
        <w:tc>
          <w:tcPr>
            <w:tcW w:w="627" w:type="pct"/>
            <w:tcBorders>
              <w:top w:val="nil"/>
              <w:left w:val="nil"/>
              <w:bottom w:val="single" w:sz="4" w:space="0" w:color="auto"/>
              <w:right w:val="single" w:sz="4" w:space="0" w:color="auto"/>
            </w:tcBorders>
            <w:shd w:val="clear" w:color="auto" w:fill="auto"/>
            <w:noWrap/>
            <w:vAlign w:val="center"/>
            <w:hideMark/>
          </w:tcPr>
          <w:p w14:paraId="459C01E8" w14:textId="77777777" w:rsidR="000D712D" w:rsidRPr="0010440E" w:rsidRDefault="000D712D" w:rsidP="00B84603">
            <w:pPr>
              <w:jc w:val="right"/>
              <w:rPr>
                <w:b/>
                <w:bCs/>
                <w:color w:val="000000"/>
                <w:sz w:val="16"/>
              </w:rPr>
            </w:pPr>
            <w:r w:rsidRPr="0010440E">
              <w:rPr>
                <w:b/>
                <w:bCs/>
                <w:color w:val="000000"/>
                <w:sz w:val="16"/>
              </w:rPr>
              <w:t>525</w:t>
            </w:r>
          </w:p>
        </w:tc>
        <w:tc>
          <w:tcPr>
            <w:tcW w:w="627" w:type="pct"/>
            <w:tcBorders>
              <w:top w:val="nil"/>
              <w:left w:val="nil"/>
              <w:bottom w:val="single" w:sz="4" w:space="0" w:color="auto"/>
              <w:right w:val="single" w:sz="4" w:space="0" w:color="auto"/>
            </w:tcBorders>
            <w:shd w:val="clear" w:color="auto" w:fill="auto"/>
            <w:noWrap/>
            <w:vAlign w:val="center"/>
            <w:hideMark/>
          </w:tcPr>
          <w:p w14:paraId="0D01F222" w14:textId="77777777" w:rsidR="000D712D" w:rsidRPr="0010440E" w:rsidRDefault="000D712D" w:rsidP="00B84603">
            <w:pPr>
              <w:jc w:val="right"/>
              <w:rPr>
                <w:b/>
                <w:bCs/>
                <w:color w:val="000000"/>
                <w:sz w:val="16"/>
              </w:rPr>
            </w:pPr>
            <w:r w:rsidRPr="0010440E">
              <w:rPr>
                <w:b/>
                <w:bCs/>
                <w:color w:val="000000"/>
                <w:sz w:val="16"/>
              </w:rPr>
              <w:t>27,06</w:t>
            </w:r>
          </w:p>
        </w:tc>
        <w:tc>
          <w:tcPr>
            <w:tcW w:w="627" w:type="pct"/>
            <w:tcBorders>
              <w:top w:val="nil"/>
              <w:left w:val="nil"/>
              <w:bottom w:val="single" w:sz="4" w:space="0" w:color="auto"/>
              <w:right w:val="single" w:sz="4" w:space="0" w:color="auto"/>
            </w:tcBorders>
            <w:shd w:val="clear" w:color="auto" w:fill="auto"/>
            <w:noWrap/>
            <w:vAlign w:val="center"/>
            <w:hideMark/>
          </w:tcPr>
          <w:p w14:paraId="1EB2B574" w14:textId="77777777" w:rsidR="000D712D" w:rsidRPr="0010440E" w:rsidRDefault="000D712D" w:rsidP="00B84603">
            <w:pPr>
              <w:jc w:val="right"/>
              <w:rPr>
                <w:b/>
                <w:bCs/>
                <w:color w:val="000000"/>
                <w:sz w:val="16"/>
              </w:rPr>
            </w:pPr>
            <w:r w:rsidRPr="0010440E">
              <w:rPr>
                <w:b/>
                <w:bCs/>
                <w:color w:val="000000"/>
                <w:sz w:val="16"/>
              </w:rPr>
              <w:t>266</w:t>
            </w:r>
          </w:p>
        </w:tc>
        <w:tc>
          <w:tcPr>
            <w:tcW w:w="627" w:type="pct"/>
            <w:tcBorders>
              <w:top w:val="nil"/>
              <w:left w:val="nil"/>
              <w:bottom w:val="single" w:sz="4" w:space="0" w:color="auto"/>
              <w:right w:val="single" w:sz="4" w:space="0" w:color="auto"/>
            </w:tcBorders>
            <w:shd w:val="clear" w:color="auto" w:fill="auto"/>
            <w:noWrap/>
            <w:vAlign w:val="center"/>
            <w:hideMark/>
          </w:tcPr>
          <w:p w14:paraId="48E7F855" w14:textId="77777777" w:rsidR="000D712D" w:rsidRPr="0010440E" w:rsidRDefault="000D712D" w:rsidP="00B84603">
            <w:pPr>
              <w:jc w:val="right"/>
              <w:rPr>
                <w:b/>
                <w:bCs/>
                <w:color w:val="000000"/>
                <w:sz w:val="16"/>
              </w:rPr>
            </w:pPr>
            <w:r w:rsidRPr="0010440E">
              <w:rPr>
                <w:b/>
                <w:bCs/>
                <w:color w:val="000000"/>
                <w:sz w:val="16"/>
              </w:rPr>
              <w:t>13,71</w:t>
            </w:r>
          </w:p>
        </w:tc>
      </w:tr>
    </w:tbl>
    <w:p w14:paraId="4AF6D7BA" w14:textId="77777777" w:rsidR="000D712D" w:rsidRDefault="000D712D" w:rsidP="00377B07">
      <w:pPr>
        <w:pStyle w:val="Zdrojeapozn"/>
      </w:pPr>
      <w:r w:rsidRPr="00391817">
        <w:t xml:space="preserve">Zdroj: </w:t>
      </w:r>
      <w:r w:rsidR="007B1C0A">
        <w:t xml:space="preserve">SFŽP, </w:t>
      </w:r>
      <w:r w:rsidR="0096095E">
        <w:t>MS2014+</w:t>
      </w:r>
      <w:r>
        <w:t>.</w:t>
      </w:r>
    </w:p>
    <w:p w14:paraId="7ABED7ED" w14:textId="65FC327E" w:rsidR="00ED6EFD" w:rsidRPr="00ED6EFD" w:rsidRDefault="00ED6EFD" w:rsidP="00ED6EFD">
      <w:pPr>
        <w:rPr>
          <w:i/>
          <w:sz w:val="20"/>
          <w:lang w:eastAsia="en-US"/>
        </w:rPr>
      </w:pPr>
      <w:r w:rsidRPr="00ED6EFD">
        <w:rPr>
          <w:i/>
          <w:sz w:val="20"/>
          <w:lang w:eastAsia="en-US"/>
        </w:rPr>
        <w:t>Vysvětlivky:</w:t>
      </w:r>
      <w:r>
        <w:rPr>
          <w:i/>
          <w:sz w:val="20"/>
          <w:lang w:eastAsia="en-US"/>
        </w:rPr>
        <w:t xml:space="preserve"> OSS – organizační složky státu</w:t>
      </w:r>
      <w:r w:rsidR="00E670BD">
        <w:rPr>
          <w:i/>
          <w:sz w:val="20"/>
          <w:lang w:eastAsia="en-US"/>
        </w:rPr>
        <w:t>;</w:t>
      </w:r>
      <w:r>
        <w:rPr>
          <w:i/>
          <w:sz w:val="20"/>
          <w:lang w:eastAsia="en-US"/>
        </w:rPr>
        <w:t xml:space="preserve"> SPO – státní příspěvkové organizace</w:t>
      </w:r>
      <w:r w:rsidR="00E670BD">
        <w:rPr>
          <w:i/>
          <w:sz w:val="20"/>
          <w:lang w:eastAsia="en-US"/>
        </w:rPr>
        <w:t>;</w:t>
      </w:r>
      <w:r>
        <w:rPr>
          <w:i/>
          <w:sz w:val="20"/>
          <w:lang w:eastAsia="en-US"/>
        </w:rPr>
        <w:t xml:space="preserve"> VVI – veřejné výzkumné instituce.</w:t>
      </w:r>
    </w:p>
    <w:p w14:paraId="066EABBE" w14:textId="1729EE88" w:rsidR="000D712D" w:rsidRDefault="009701D7" w:rsidP="00377B07">
      <w:pPr>
        <w:pStyle w:val="Zdrojeapozn"/>
      </w:pPr>
      <w:r>
        <w:t xml:space="preserve">Pozn.: </w:t>
      </w:r>
      <w:r w:rsidR="00E670BD">
        <w:tab/>
      </w:r>
      <w:r>
        <w:t>M</w:t>
      </w:r>
      <w:r w:rsidR="000D712D">
        <w:t>ěsíc, ve kterém byla žádost o podporu podána, není</w:t>
      </w:r>
      <w:r>
        <w:t xml:space="preserve"> </w:t>
      </w:r>
      <w:r w:rsidR="00377B07">
        <w:t>do</w:t>
      </w:r>
      <w:r>
        <w:t xml:space="preserve"> délky administrace</w:t>
      </w:r>
      <w:r w:rsidR="000D712D">
        <w:t xml:space="preserve"> započítáván.</w:t>
      </w:r>
    </w:p>
    <w:p w14:paraId="5EBF4940" w14:textId="77777777" w:rsidR="00280F1B" w:rsidRPr="00280F1B" w:rsidRDefault="00280F1B" w:rsidP="00E670BD">
      <w:pPr>
        <w:pStyle w:val="Zdrojapozn"/>
        <w:ind w:left="567"/>
        <w:rPr>
          <w:i/>
          <w:lang w:eastAsia="en-US"/>
        </w:rPr>
      </w:pPr>
      <w:r>
        <w:rPr>
          <w:i/>
          <w:lang w:eastAsia="en-US"/>
        </w:rPr>
        <w:t xml:space="preserve">Nejsou zahrnuty projekty s negativním stavem </w:t>
      </w:r>
      <w:r w:rsidR="00B37BE1">
        <w:rPr>
          <w:i/>
          <w:lang w:eastAsia="en-US"/>
        </w:rPr>
        <w:t>a data jsou očištěna</w:t>
      </w:r>
      <w:r w:rsidRPr="00280F1B">
        <w:rPr>
          <w:i/>
          <w:lang w:eastAsia="en-US"/>
        </w:rPr>
        <w:t xml:space="preserve"> o projekty, které </w:t>
      </w:r>
      <w:r w:rsidR="00B37BE1">
        <w:rPr>
          <w:i/>
          <w:lang w:eastAsia="en-US"/>
        </w:rPr>
        <w:t>se</w:t>
      </w:r>
      <w:r w:rsidRPr="00280F1B">
        <w:rPr>
          <w:i/>
          <w:lang w:eastAsia="en-US"/>
        </w:rPr>
        <w:t xml:space="preserve"> ke dni 30. 6. 2020 </w:t>
      </w:r>
      <w:r w:rsidR="00B37BE1">
        <w:rPr>
          <w:i/>
          <w:lang w:eastAsia="en-US"/>
        </w:rPr>
        <w:t xml:space="preserve">nacházely ve schvalovacím procesu </w:t>
      </w:r>
      <w:r w:rsidRPr="00280F1B">
        <w:rPr>
          <w:i/>
          <w:lang w:eastAsia="en-US"/>
        </w:rPr>
        <w:t>s délkou trvání kra</w:t>
      </w:r>
      <w:r w:rsidR="00B37BE1">
        <w:rPr>
          <w:i/>
          <w:lang w:eastAsia="en-US"/>
        </w:rPr>
        <w:t>tší než 7 měsíců.</w:t>
      </w:r>
    </w:p>
    <w:p w14:paraId="6B6A030D" w14:textId="77777777" w:rsidR="00E76684" w:rsidRPr="00E76684" w:rsidRDefault="00E76684" w:rsidP="00E76684">
      <w:pPr>
        <w:rPr>
          <w:lang w:eastAsia="en-US"/>
        </w:rPr>
      </w:pPr>
    </w:p>
    <w:p w14:paraId="5D03EBA7" w14:textId="16B056F6" w:rsidR="000A6793" w:rsidRPr="00022418" w:rsidRDefault="0096095E" w:rsidP="000A6793">
      <w:pPr>
        <w:spacing w:after="120"/>
      </w:pPr>
      <w:r w:rsidRPr="00774221">
        <w:t xml:space="preserve">U více než 40 % projektů (791) </w:t>
      </w:r>
      <w:r w:rsidR="009701D7" w:rsidRPr="00774221">
        <w:t>v </w:t>
      </w:r>
      <w:r w:rsidRPr="00774221">
        <w:t xml:space="preserve">PO 5 OPŽP byla překročena </w:t>
      </w:r>
      <w:r w:rsidR="009701D7" w:rsidRPr="00774221">
        <w:t xml:space="preserve">sedmiměsíční </w:t>
      </w:r>
      <w:r w:rsidRPr="00774221">
        <w:t xml:space="preserve">lhůta </w:t>
      </w:r>
      <w:r w:rsidR="00774221">
        <w:t xml:space="preserve">pro administrativní </w:t>
      </w:r>
      <w:r w:rsidRPr="00774221">
        <w:t>proces</w:t>
      </w:r>
      <w:r w:rsidRPr="007847CE">
        <w:t xml:space="preserve"> schvalování </w:t>
      </w:r>
      <w:r w:rsidR="009701D7">
        <w:t>žádostí o podporu</w:t>
      </w:r>
      <w:r w:rsidRPr="007847CE">
        <w:t xml:space="preserve">. U 14 % projektů (266) </w:t>
      </w:r>
      <w:r w:rsidR="009701D7">
        <w:t>trvala či trvá</w:t>
      </w:r>
      <w:r>
        <w:t xml:space="preserve"> doba schvalování</w:t>
      </w:r>
      <w:r w:rsidR="001C6F75">
        <w:t xml:space="preserve"> </w:t>
      </w:r>
      <w:r w:rsidR="009701D7">
        <w:t xml:space="preserve">žádosti o podporu </w:t>
      </w:r>
      <w:r>
        <w:t>d</w:t>
      </w:r>
      <w:r w:rsidR="009701D7">
        <w:t>éle</w:t>
      </w:r>
      <w:r>
        <w:t xml:space="preserve"> než jeden rok.</w:t>
      </w:r>
      <w:r w:rsidR="008E3C18">
        <w:t xml:space="preserve"> </w:t>
      </w:r>
      <w:r w:rsidR="008E3C18" w:rsidRPr="00C26BBC">
        <w:t>V tabulce č. 1</w:t>
      </w:r>
      <w:r w:rsidR="00C26BBC" w:rsidRPr="00C26BBC">
        <w:t>2</w:t>
      </w:r>
      <w:r w:rsidR="008E3C18">
        <w:t xml:space="preserve"> je dále uveden </w:t>
      </w:r>
      <w:r w:rsidR="008E3C18" w:rsidRPr="00022418">
        <w:t xml:space="preserve">přehled délky </w:t>
      </w:r>
      <w:r w:rsidR="00774221">
        <w:t>procesu</w:t>
      </w:r>
      <w:r w:rsidR="008E3C18" w:rsidRPr="00022418">
        <w:t xml:space="preserve"> schvalování žádostí o podporu </w:t>
      </w:r>
      <w:r w:rsidR="000A6793" w:rsidRPr="00022418">
        <w:t>s</w:t>
      </w:r>
      <w:r w:rsidR="001C6F75">
        <w:t>polufinancovaných</w:t>
      </w:r>
      <w:r w:rsidR="000A6793" w:rsidRPr="00022418">
        <w:t xml:space="preserve"> </w:t>
      </w:r>
      <w:r w:rsidR="001C6F75">
        <w:t>z </w:t>
      </w:r>
      <w:r w:rsidR="00774221">
        <w:t xml:space="preserve">podprogramu </w:t>
      </w:r>
      <w:r w:rsidR="000A6793" w:rsidRPr="00022418">
        <w:t xml:space="preserve">NZÚ – </w:t>
      </w:r>
      <w:r w:rsidR="000A6793" w:rsidRPr="00022418">
        <w:rPr>
          <w:i/>
        </w:rPr>
        <w:t>Budovy veřejného sektoru</w:t>
      </w:r>
      <w:r w:rsidR="001C6F75">
        <w:t>,</w:t>
      </w:r>
      <w:r w:rsidR="000A6793" w:rsidRPr="00022418">
        <w:rPr>
          <w:i/>
        </w:rPr>
        <w:t xml:space="preserve"> </w:t>
      </w:r>
      <w:r w:rsidR="000A6793" w:rsidRPr="00022418">
        <w:t>včetně</w:t>
      </w:r>
      <w:r w:rsidR="000A6793" w:rsidRPr="00022418">
        <w:rPr>
          <w:i/>
        </w:rPr>
        <w:t xml:space="preserve"> </w:t>
      </w:r>
      <w:r w:rsidR="000A6793" w:rsidRPr="00022418">
        <w:t>žádostí o podporu podaných ústředními institucemi.</w:t>
      </w:r>
    </w:p>
    <w:p w14:paraId="7A744F17" w14:textId="0604D823" w:rsidR="000A6793" w:rsidRPr="00022418" w:rsidRDefault="000A6793" w:rsidP="00093066">
      <w:pPr>
        <w:pStyle w:val="Nzevtabulky"/>
        <w:ind w:left="1446" w:hanging="1446"/>
      </w:pPr>
      <w:r w:rsidRPr="00022418">
        <w:t>Délka administra</w:t>
      </w:r>
      <w:r w:rsidR="00377B07">
        <w:t>tivního</w:t>
      </w:r>
      <w:r w:rsidRPr="00022418">
        <w:t xml:space="preserve"> procesu schvalování projektů s využitím </w:t>
      </w:r>
      <w:r w:rsidR="00377B07">
        <w:t xml:space="preserve">podprogramu </w:t>
      </w:r>
      <w:r w:rsidRPr="00022418">
        <w:t xml:space="preserve">NZÚ – </w:t>
      </w:r>
      <w:r w:rsidRPr="00022418">
        <w:rPr>
          <w:i/>
        </w:rPr>
        <w:t>Budovy veřejného sektoru</w:t>
      </w:r>
    </w:p>
    <w:tbl>
      <w:tblPr>
        <w:tblW w:w="5000" w:type="pct"/>
        <w:tblCellMar>
          <w:left w:w="70" w:type="dxa"/>
          <w:right w:w="70" w:type="dxa"/>
        </w:tblCellMar>
        <w:tblLook w:val="04A0" w:firstRow="1" w:lastRow="0" w:firstColumn="1" w:lastColumn="0" w:noHBand="0" w:noVBand="1"/>
      </w:tblPr>
      <w:tblGrid>
        <w:gridCol w:w="2247"/>
        <w:gridCol w:w="1136"/>
        <w:gridCol w:w="1136"/>
        <w:gridCol w:w="1136"/>
        <w:gridCol w:w="1136"/>
        <w:gridCol w:w="1136"/>
        <w:gridCol w:w="1133"/>
      </w:tblGrid>
      <w:tr w:rsidR="000A6793" w:rsidRPr="009354F6" w14:paraId="1FA9354E" w14:textId="77777777" w:rsidTr="000A6793">
        <w:trPr>
          <w:trHeight w:val="260"/>
        </w:trPr>
        <w:tc>
          <w:tcPr>
            <w:tcW w:w="1240"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5B0B14FF" w14:textId="1193B6EA" w:rsidR="000A6793" w:rsidRPr="009354F6" w:rsidRDefault="000A6793" w:rsidP="001C6F75">
            <w:pPr>
              <w:jc w:val="center"/>
              <w:rPr>
                <w:b/>
                <w:bCs/>
                <w:color w:val="000000"/>
                <w:sz w:val="18"/>
                <w:szCs w:val="18"/>
              </w:rPr>
            </w:pPr>
            <w:r w:rsidRPr="009354F6">
              <w:rPr>
                <w:b/>
                <w:bCs/>
                <w:color w:val="000000"/>
                <w:sz w:val="18"/>
                <w:szCs w:val="18"/>
              </w:rPr>
              <w:t xml:space="preserve">Právní forma </w:t>
            </w:r>
            <w:r w:rsidR="00377B07">
              <w:rPr>
                <w:b/>
                <w:bCs/>
                <w:color w:val="000000"/>
                <w:sz w:val="18"/>
                <w:szCs w:val="18"/>
              </w:rPr>
              <w:t>ž</w:t>
            </w:r>
            <w:r w:rsidRPr="009354F6">
              <w:rPr>
                <w:b/>
                <w:bCs/>
                <w:color w:val="000000"/>
                <w:sz w:val="18"/>
                <w:szCs w:val="18"/>
              </w:rPr>
              <w:t>adatele o</w:t>
            </w:r>
            <w:r w:rsidR="00774221">
              <w:rPr>
                <w:b/>
                <w:bCs/>
                <w:color w:val="000000"/>
                <w:sz w:val="18"/>
                <w:szCs w:val="18"/>
              </w:rPr>
              <w:t> </w:t>
            </w:r>
            <w:r w:rsidRPr="009354F6">
              <w:rPr>
                <w:b/>
                <w:bCs/>
                <w:color w:val="000000"/>
                <w:sz w:val="18"/>
                <w:szCs w:val="18"/>
              </w:rPr>
              <w:t>dotaci</w:t>
            </w:r>
          </w:p>
        </w:tc>
        <w:tc>
          <w:tcPr>
            <w:tcW w:w="1254" w:type="pct"/>
            <w:gridSpan w:val="2"/>
            <w:tcBorders>
              <w:top w:val="single" w:sz="4" w:space="0" w:color="auto"/>
              <w:left w:val="nil"/>
              <w:bottom w:val="single" w:sz="4" w:space="0" w:color="auto"/>
              <w:right w:val="single" w:sz="4" w:space="0" w:color="auto"/>
            </w:tcBorders>
            <w:shd w:val="clear" w:color="000000" w:fill="E5F1FF"/>
            <w:vAlign w:val="center"/>
            <w:hideMark/>
          </w:tcPr>
          <w:p w14:paraId="53316D5A" w14:textId="6ADCDEF6" w:rsidR="000A6793" w:rsidRPr="009354F6" w:rsidRDefault="000A6793">
            <w:pPr>
              <w:jc w:val="center"/>
              <w:rPr>
                <w:b/>
                <w:bCs/>
                <w:color w:val="000000"/>
                <w:sz w:val="18"/>
                <w:szCs w:val="18"/>
              </w:rPr>
            </w:pPr>
            <w:r w:rsidRPr="009354F6">
              <w:rPr>
                <w:b/>
                <w:bCs/>
                <w:color w:val="000000"/>
                <w:sz w:val="18"/>
                <w:szCs w:val="18"/>
              </w:rPr>
              <w:t>1</w:t>
            </w:r>
            <w:r w:rsidR="001C6F75" w:rsidRPr="00AB6777">
              <w:rPr>
                <w:sz w:val="16"/>
                <w:szCs w:val="16"/>
                <w:lang w:eastAsia="en-US"/>
              </w:rPr>
              <w:t>–</w:t>
            </w:r>
            <w:r w:rsidRPr="009354F6">
              <w:rPr>
                <w:b/>
                <w:bCs/>
                <w:color w:val="000000"/>
                <w:sz w:val="18"/>
                <w:szCs w:val="18"/>
              </w:rPr>
              <w:t>7 měsíců</w:t>
            </w:r>
          </w:p>
        </w:tc>
        <w:tc>
          <w:tcPr>
            <w:tcW w:w="1254" w:type="pct"/>
            <w:gridSpan w:val="2"/>
            <w:tcBorders>
              <w:top w:val="single" w:sz="4" w:space="0" w:color="auto"/>
              <w:left w:val="nil"/>
              <w:bottom w:val="single" w:sz="4" w:space="0" w:color="auto"/>
              <w:right w:val="single" w:sz="4" w:space="0" w:color="auto"/>
            </w:tcBorders>
            <w:shd w:val="clear" w:color="000000" w:fill="E5F1FF"/>
            <w:vAlign w:val="center"/>
            <w:hideMark/>
          </w:tcPr>
          <w:p w14:paraId="2A3CF30F" w14:textId="36627DCD" w:rsidR="000A6793" w:rsidRPr="009354F6" w:rsidRDefault="000A6793">
            <w:pPr>
              <w:jc w:val="center"/>
              <w:rPr>
                <w:b/>
                <w:bCs/>
                <w:color w:val="000000"/>
                <w:sz w:val="18"/>
                <w:szCs w:val="18"/>
              </w:rPr>
            </w:pPr>
            <w:r w:rsidRPr="009354F6">
              <w:rPr>
                <w:b/>
                <w:bCs/>
                <w:color w:val="000000"/>
                <w:sz w:val="18"/>
                <w:szCs w:val="18"/>
              </w:rPr>
              <w:t>8</w:t>
            </w:r>
            <w:r w:rsidR="001C6F75" w:rsidRPr="00AB6777">
              <w:rPr>
                <w:sz w:val="16"/>
                <w:szCs w:val="16"/>
                <w:lang w:eastAsia="en-US"/>
              </w:rPr>
              <w:t>–</w:t>
            </w:r>
            <w:r w:rsidRPr="009354F6">
              <w:rPr>
                <w:b/>
                <w:bCs/>
                <w:color w:val="000000"/>
                <w:sz w:val="18"/>
                <w:szCs w:val="18"/>
              </w:rPr>
              <w:t>12 měsíců</w:t>
            </w:r>
          </w:p>
        </w:tc>
        <w:tc>
          <w:tcPr>
            <w:tcW w:w="1252" w:type="pct"/>
            <w:gridSpan w:val="2"/>
            <w:tcBorders>
              <w:top w:val="single" w:sz="4" w:space="0" w:color="auto"/>
              <w:left w:val="nil"/>
              <w:bottom w:val="single" w:sz="4" w:space="0" w:color="auto"/>
              <w:right w:val="single" w:sz="4" w:space="0" w:color="auto"/>
            </w:tcBorders>
            <w:shd w:val="clear" w:color="000000" w:fill="E5F1FF"/>
            <w:vAlign w:val="center"/>
            <w:hideMark/>
          </w:tcPr>
          <w:p w14:paraId="7F45465C" w14:textId="77777777" w:rsidR="000A6793" w:rsidRPr="009354F6" w:rsidRDefault="000A6793" w:rsidP="000A6793">
            <w:pPr>
              <w:jc w:val="center"/>
              <w:rPr>
                <w:b/>
                <w:bCs/>
                <w:color w:val="000000"/>
                <w:sz w:val="18"/>
                <w:szCs w:val="18"/>
              </w:rPr>
            </w:pPr>
            <w:r w:rsidRPr="009354F6">
              <w:rPr>
                <w:b/>
                <w:bCs/>
                <w:color w:val="000000"/>
                <w:sz w:val="18"/>
                <w:szCs w:val="18"/>
              </w:rPr>
              <w:t>Déle než rok</w:t>
            </w:r>
          </w:p>
        </w:tc>
      </w:tr>
      <w:tr w:rsidR="000A6793" w:rsidRPr="009354F6" w14:paraId="61C5EC51" w14:textId="77777777" w:rsidTr="000A6793">
        <w:trPr>
          <w:trHeight w:val="260"/>
        </w:trPr>
        <w:tc>
          <w:tcPr>
            <w:tcW w:w="1240" w:type="pct"/>
            <w:vMerge/>
            <w:tcBorders>
              <w:top w:val="single" w:sz="4" w:space="0" w:color="auto"/>
              <w:left w:val="single" w:sz="4" w:space="0" w:color="auto"/>
              <w:bottom w:val="single" w:sz="4" w:space="0" w:color="auto"/>
              <w:right w:val="single" w:sz="4" w:space="0" w:color="auto"/>
            </w:tcBorders>
            <w:vAlign w:val="center"/>
            <w:hideMark/>
          </w:tcPr>
          <w:p w14:paraId="396EAACF" w14:textId="77777777" w:rsidR="000A6793" w:rsidRPr="009354F6" w:rsidRDefault="000A6793" w:rsidP="000A6793">
            <w:pPr>
              <w:jc w:val="left"/>
              <w:rPr>
                <w:b/>
                <w:bCs/>
                <w:color w:val="000000"/>
                <w:sz w:val="18"/>
                <w:szCs w:val="18"/>
              </w:rPr>
            </w:pPr>
          </w:p>
        </w:tc>
        <w:tc>
          <w:tcPr>
            <w:tcW w:w="627" w:type="pct"/>
            <w:tcBorders>
              <w:top w:val="nil"/>
              <w:left w:val="nil"/>
              <w:bottom w:val="single" w:sz="4" w:space="0" w:color="auto"/>
              <w:right w:val="single" w:sz="4" w:space="0" w:color="auto"/>
            </w:tcBorders>
            <w:shd w:val="clear" w:color="000000" w:fill="E5F1FF"/>
            <w:vAlign w:val="center"/>
            <w:hideMark/>
          </w:tcPr>
          <w:p w14:paraId="659B86E3" w14:textId="77777777" w:rsidR="000A6793" w:rsidRPr="009354F6" w:rsidRDefault="000A6793" w:rsidP="000A6793">
            <w:pPr>
              <w:jc w:val="center"/>
              <w:rPr>
                <w:b/>
                <w:bCs/>
                <w:color w:val="000000"/>
                <w:sz w:val="18"/>
                <w:szCs w:val="18"/>
              </w:rPr>
            </w:pPr>
            <w:r w:rsidRPr="009354F6">
              <w:rPr>
                <w:b/>
                <w:bCs/>
                <w:color w:val="000000"/>
                <w:sz w:val="18"/>
                <w:szCs w:val="18"/>
              </w:rPr>
              <w:t>Počet projektů</w:t>
            </w:r>
          </w:p>
        </w:tc>
        <w:tc>
          <w:tcPr>
            <w:tcW w:w="627" w:type="pct"/>
            <w:tcBorders>
              <w:top w:val="nil"/>
              <w:left w:val="nil"/>
              <w:bottom w:val="single" w:sz="4" w:space="0" w:color="auto"/>
              <w:right w:val="single" w:sz="4" w:space="0" w:color="auto"/>
            </w:tcBorders>
            <w:shd w:val="clear" w:color="000000" w:fill="E5F1FF"/>
            <w:vAlign w:val="center"/>
            <w:hideMark/>
          </w:tcPr>
          <w:p w14:paraId="1A929B71" w14:textId="77777777" w:rsidR="000A6793" w:rsidRPr="009354F6" w:rsidRDefault="000A6793" w:rsidP="000A6793">
            <w:pPr>
              <w:jc w:val="center"/>
              <w:rPr>
                <w:b/>
                <w:bCs/>
                <w:color w:val="000000"/>
                <w:sz w:val="18"/>
                <w:szCs w:val="18"/>
              </w:rPr>
            </w:pPr>
            <w:r w:rsidRPr="009354F6">
              <w:rPr>
                <w:b/>
                <w:bCs/>
                <w:color w:val="000000"/>
                <w:sz w:val="18"/>
                <w:szCs w:val="18"/>
              </w:rPr>
              <w:t>Podíl v %</w:t>
            </w:r>
          </w:p>
        </w:tc>
        <w:tc>
          <w:tcPr>
            <w:tcW w:w="627" w:type="pct"/>
            <w:tcBorders>
              <w:top w:val="nil"/>
              <w:left w:val="nil"/>
              <w:bottom w:val="single" w:sz="4" w:space="0" w:color="auto"/>
              <w:right w:val="single" w:sz="4" w:space="0" w:color="auto"/>
            </w:tcBorders>
            <w:shd w:val="clear" w:color="000000" w:fill="E5F1FF"/>
            <w:vAlign w:val="center"/>
            <w:hideMark/>
          </w:tcPr>
          <w:p w14:paraId="056203E3" w14:textId="77777777" w:rsidR="000A6793" w:rsidRPr="009354F6" w:rsidRDefault="000A6793" w:rsidP="000A6793">
            <w:pPr>
              <w:jc w:val="center"/>
              <w:rPr>
                <w:b/>
                <w:bCs/>
                <w:color w:val="000000"/>
                <w:sz w:val="18"/>
                <w:szCs w:val="18"/>
              </w:rPr>
            </w:pPr>
            <w:r w:rsidRPr="009354F6">
              <w:rPr>
                <w:b/>
                <w:bCs/>
                <w:color w:val="000000"/>
                <w:sz w:val="18"/>
                <w:szCs w:val="18"/>
              </w:rPr>
              <w:t>Počet projektů</w:t>
            </w:r>
          </w:p>
        </w:tc>
        <w:tc>
          <w:tcPr>
            <w:tcW w:w="627" w:type="pct"/>
            <w:tcBorders>
              <w:top w:val="nil"/>
              <w:left w:val="nil"/>
              <w:bottom w:val="single" w:sz="4" w:space="0" w:color="auto"/>
              <w:right w:val="single" w:sz="4" w:space="0" w:color="auto"/>
            </w:tcBorders>
            <w:shd w:val="clear" w:color="000000" w:fill="E5F1FF"/>
            <w:vAlign w:val="center"/>
            <w:hideMark/>
          </w:tcPr>
          <w:p w14:paraId="1C3BDA08" w14:textId="77777777" w:rsidR="000A6793" w:rsidRPr="009354F6" w:rsidRDefault="000A6793" w:rsidP="000A6793">
            <w:pPr>
              <w:jc w:val="center"/>
              <w:rPr>
                <w:b/>
                <w:bCs/>
                <w:color w:val="000000"/>
                <w:sz w:val="18"/>
                <w:szCs w:val="18"/>
              </w:rPr>
            </w:pPr>
            <w:r w:rsidRPr="009354F6">
              <w:rPr>
                <w:b/>
                <w:bCs/>
                <w:color w:val="000000"/>
                <w:sz w:val="18"/>
                <w:szCs w:val="18"/>
              </w:rPr>
              <w:t>Podíl v %</w:t>
            </w:r>
          </w:p>
        </w:tc>
        <w:tc>
          <w:tcPr>
            <w:tcW w:w="627" w:type="pct"/>
            <w:tcBorders>
              <w:top w:val="nil"/>
              <w:left w:val="nil"/>
              <w:bottom w:val="single" w:sz="4" w:space="0" w:color="auto"/>
              <w:right w:val="single" w:sz="4" w:space="0" w:color="auto"/>
            </w:tcBorders>
            <w:shd w:val="clear" w:color="000000" w:fill="E5F1FF"/>
            <w:vAlign w:val="center"/>
            <w:hideMark/>
          </w:tcPr>
          <w:p w14:paraId="3F283215" w14:textId="77777777" w:rsidR="000A6793" w:rsidRPr="009354F6" w:rsidRDefault="000A6793" w:rsidP="000A6793">
            <w:pPr>
              <w:jc w:val="center"/>
              <w:rPr>
                <w:b/>
                <w:bCs/>
                <w:color w:val="000000"/>
                <w:sz w:val="18"/>
                <w:szCs w:val="18"/>
              </w:rPr>
            </w:pPr>
            <w:r w:rsidRPr="009354F6">
              <w:rPr>
                <w:b/>
                <w:bCs/>
                <w:color w:val="000000"/>
                <w:sz w:val="18"/>
                <w:szCs w:val="18"/>
              </w:rPr>
              <w:t>Počet projektů</w:t>
            </w:r>
          </w:p>
        </w:tc>
        <w:tc>
          <w:tcPr>
            <w:tcW w:w="625" w:type="pct"/>
            <w:tcBorders>
              <w:top w:val="nil"/>
              <w:left w:val="nil"/>
              <w:bottom w:val="single" w:sz="4" w:space="0" w:color="auto"/>
              <w:right w:val="single" w:sz="4" w:space="0" w:color="auto"/>
            </w:tcBorders>
            <w:shd w:val="clear" w:color="000000" w:fill="E5F1FF"/>
            <w:vAlign w:val="center"/>
            <w:hideMark/>
          </w:tcPr>
          <w:p w14:paraId="04162CEB" w14:textId="77777777" w:rsidR="000A6793" w:rsidRPr="009354F6" w:rsidRDefault="000A6793" w:rsidP="000A6793">
            <w:pPr>
              <w:jc w:val="center"/>
              <w:rPr>
                <w:b/>
                <w:bCs/>
                <w:color w:val="000000"/>
                <w:sz w:val="18"/>
                <w:szCs w:val="18"/>
              </w:rPr>
            </w:pPr>
            <w:r w:rsidRPr="009354F6">
              <w:rPr>
                <w:b/>
                <w:bCs/>
                <w:color w:val="000000"/>
                <w:sz w:val="18"/>
                <w:szCs w:val="18"/>
              </w:rPr>
              <w:t>Podíl v %</w:t>
            </w:r>
          </w:p>
        </w:tc>
      </w:tr>
      <w:tr w:rsidR="000A6793" w:rsidRPr="009354F6" w14:paraId="19018D2E" w14:textId="77777777" w:rsidTr="000A6793">
        <w:trPr>
          <w:trHeight w:val="260"/>
        </w:trPr>
        <w:tc>
          <w:tcPr>
            <w:tcW w:w="1240" w:type="pct"/>
            <w:tcBorders>
              <w:top w:val="nil"/>
              <w:left w:val="single" w:sz="4" w:space="0" w:color="auto"/>
              <w:bottom w:val="single" w:sz="4" w:space="0" w:color="auto"/>
              <w:right w:val="single" w:sz="4" w:space="0" w:color="auto"/>
            </w:tcBorders>
            <w:shd w:val="clear" w:color="auto" w:fill="auto"/>
            <w:vAlign w:val="center"/>
            <w:hideMark/>
          </w:tcPr>
          <w:p w14:paraId="0107BB11" w14:textId="77777777" w:rsidR="000A6793" w:rsidRPr="009354F6" w:rsidRDefault="000A6793" w:rsidP="000A6793">
            <w:pPr>
              <w:jc w:val="left"/>
              <w:rPr>
                <w:color w:val="000000"/>
                <w:sz w:val="18"/>
                <w:szCs w:val="18"/>
              </w:rPr>
            </w:pPr>
            <w:r w:rsidRPr="009354F6">
              <w:rPr>
                <w:color w:val="000000"/>
                <w:sz w:val="18"/>
                <w:szCs w:val="18"/>
              </w:rPr>
              <w:t>Organizační složka státu</w:t>
            </w:r>
          </w:p>
        </w:tc>
        <w:tc>
          <w:tcPr>
            <w:tcW w:w="627" w:type="pct"/>
            <w:tcBorders>
              <w:top w:val="nil"/>
              <w:left w:val="nil"/>
              <w:bottom w:val="single" w:sz="4" w:space="0" w:color="auto"/>
              <w:right w:val="single" w:sz="4" w:space="0" w:color="auto"/>
            </w:tcBorders>
            <w:shd w:val="clear" w:color="auto" w:fill="auto"/>
            <w:noWrap/>
            <w:vAlign w:val="center"/>
            <w:hideMark/>
          </w:tcPr>
          <w:p w14:paraId="20A03446" w14:textId="77777777" w:rsidR="000A6793" w:rsidRPr="009354F6" w:rsidRDefault="000A6793" w:rsidP="000A6793">
            <w:pPr>
              <w:jc w:val="right"/>
              <w:rPr>
                <w:color w:val="000000"/>
                <w:sz w:val="18"/>
                <w:szCs w:val="18"/>
              </w:rPr>
            </w:pPr>
            <w:r w:rsidRPr="009354F6">
              <w:rPr>
                <w:color w:val="000000"/>
                <w:sz w:val="18"/>
                <w:szCs w:val="18"/>
              </w:rPr>
              <w:t>0</w:t>
            </w:r>
          </w:p>
        </w:tc>
        <w:tc>
          <w:tcPr>
            <w:tcW w:w="627" w:type="pct"/>
            <w:tcBorders>
              <w:top w:val="nil"/>
              <w:left w:val="nil"/>
              <w:bottom w:val="single" w:sz="4" w:space="0" w:color="auto"/>
              <w:right w:val="single" w:sz="4" w:space="0" w:color="auto"/>
            </w:tcBorders>
            <w:shd w:val="clear" w:color="auto" w:fill="auto"/>
            <w:noWrap/>
            <w:vAlign w:val="center"/>
            <w:hideMark/>
          </w:tcPr>
          <w:p w14:paraId="3D0224A4" w14:textId="77777777" w:rsidR="000A6793" w:rsidRPr="009354F6" w:rsidRDefault="000A6793" w:rsidP="000A6793">
            <w:pPr>
              <w:jc w:val="right"/>
              <w:rPr>
                <w:color w:val="000000"/>
                <w:sz w:val="18"/>
                <w:szCs w:val="18"/>
              </w:rPr>
            </w:pPr>
            <w:r w:rsidRPr="009354F6">
              <w:rPr>
                <w:color w:val="000000"/>
                <w:sz w:val="18"/>
                <w:szCs w:val="18"/>
              </w:rPr>
              <w:t>0,00</w:t>
            </w:r>
          </w:p>
        </w:tc>
        <w:tc>
          <w:tcPr>
            <w:tcW w:w="627" w:type="pct"/>
            <w:tcBorders>
              <w:top w:val="nil"/>
              <w:left w:val="nil"/>
              <w:bottom w:val="single" w:sz="4" w:space="0" w:color="auto"/>
              <w:right w:val="single" w:sz="4" w:space="0" w:color="auto"/>
            </w:tcBorders>
            <w:shd w:val="clear" w:color="auto" w:fill="auto"/>
            <w:noWrap/>
            <w:vAlign w:val="center"/>
            <w:hideMark/>
          </w:tcPr>
          <w:p w14:paraId="16448A4D" w14:textId="77777777" w:rsidR="000A6793" w:rsidRPr="009354F6" w:rsidRDefault="000A6793" w:rsidP="000A6793">
            <w:pPr>
              <w:jc w:val="right"/>
              <w:rPr>
                <w:color w:val="000000"/>
                <w:sz w:val="18"/>
                <w:szCs w:val="18"/>
              </w:rPr>
            </w:pPr>
            <w:r w:rsidRPr="009354F6">
              <w:rPr>
                <w:color w:val="000000"/>
                <w:sz w:val="18"/>
                <w:szCs w:val="18"/>
              </w:rPr>
              <w:t>4</w:t>
            </w:r>
          </w:p>
        </w:tc>
        <w:tc>
          <w:tcPr>
            <w:tcW w:w="627" w:type="pct"/>
            <w:tcBorders>
              <w:top w:val="nil"/>
              <w:left w:val="nil"/>
              <w:bottom w:val="single" w:sz="4" w:space="0" w:color="auto"/>
              <w:right w:val="single" w:sz="4" w:space="0" w:color="auto"/>
            </w:tcBorders>
            <w:shd w:val="clear" w:color="auto" w:fill="auto"/>
            <w:noWrap/>
            <w:vAlign w:val="center"/>
            <w:hideMark/>
          </w:tcPr>
          <w:p w14:paraId="5E7A582E" w14:textId="77777777" w:rsidR="000A6793" w:rsidRPr="009354F6" w:rsidRDefault="000A6793" w:rsidP="000A6793">
            <w:pPr>
              <w:jc w:val="right"/>
              <w:rPr>
                <w:color w:val="000000"/>
                <w:sz w:val="18"/>
                <w:szCs w:val="18"/>
              </w:rPr>
            </w:pPr>
            <w:r w:rsidRPr="009354F6">
              <w:rPr>
                <w:color w:val="000000"/>
                <w:sz w:val="18"/>
                <w:szCs w:val="18"/>
              </w:rPr>
              <w:t>2,06</w:t>
            </w:r>
          </w:p>
        </w:tc>
        <w:tc>
          <w:tcPr>
            <w:tcW w:w="627" w:type="pct"/>
            <w:tcBorders>
              <w:top w:val="nil"/>
              <w:left w:val="nil"/>
              <w:bottom w:val="single" w:sz="4" w:space="0" w:color="auto"/>
              <w:right w:val="single" w:sz="4" w:space="0" w:color="auto"/>
            </w:tcBorders>
            <w:shd w:val="clear" w:color="auto" w:fill="auto"/>
            <w:noWrap/>
            <w:vAlign w:val="center"/>
            <w:hideMark/>
          </w:tcPr>
          <w:p w14:paraId="1695BCFF" w14:textId="77777777" w:rsidR="000A6793" w:rsidRPr="009354F6" w:rsidRDefault="000A6793" w:rsidP="000A6793">
            <w:pPr>
              <w:jc w:val="right"/>
              <w:rPr>
                <w:color w:val="000000"/>
                <w:sz w:val="18"/>
                <w:szCs w:val="18"/>
              </w:rPr>
            </w:pPr>
            <w:r w:rsidRPr="009354F6">
              <w:rPr>
                <w:color w:val="000000"/>
                <w:sz w:val="18"/>
                <w:szCs w:val="18"/>
              </w:rPr>
              <w:t>149</w:t>
            </w:r>
          </w:p>
        </w:tc>
        <w:tc>
          <w:tcPr>
            <w:tcW w:w="625" w:type="pct"/>
            <w:tcBorders>
              <w:top w:val="nil"/>
              <w:left w:val="nil"/>
              <w:bottom w:val="single" w:sz="4" w:space="0" w:color="auto"/>
              <w:right w:val="single" w:sz="4" w:space="0" w:color="auto"/>
            </w:tcBorders>
            <w:shd w:val="clear" w:color="auto" w:fill="auto"/>
            <w:noWrap/>
            <w:vAlign w:val="center"/>
            <w:hideMark/>
          </w:tcPr>
          <w:p w14:paraId="098045C7" w14:textId="77777777" w:rsidR="000A6793" w:rsidRPr="009354F6" w:rsidRDefault="000A6793" w:rsidP="000A6793">
            <w:pPr>
              <w:jc w:val="right"/>
              <w:rPr>
                <w:color w:val="000000"/>
                <w:sz w:val="18"/>
                <w:szCs w:val="18"/>
              </w:rPr>
            </w:pPr>
            <w:r w:rsidRPr="009354F6">
              <w:rPr>
                <w:color w:val="000000"/>
                <w:sz w:val="18"/>
                <w:szCs w:val="18"/>
              </w:rPr>
              <w:t>76,80</w:t>
            </w:r>
          </w:p>
        </w:tc>
      </w:tr>
      <w:tr w:rsidR="000A6793" w:rsidRPr="009354F6" w14:paraId="5EB12B1A" w14:textId="77777777" w:rsidTr="000A6793">
        <w:trPr>
          <w:trHeight w:val="260"/>
        </w:trPr>
        <w:tc>
          <w:tcPr>
            <w:tcW w:w="1240" w:type="pct"/>
            <w:tcBorders>
              <w:top w:val="nil"/>
              <w:left w:val="single" w:sz="4" w:space="0" w:color="auto"/>
              <w:bottom w:val="single" w:sz="4" w:space="0" w:color="auto"/>
              <w:right w:val="single" w:sz="4" w:space="0" w:color="auto"/>
            </w:tcBorders>
            <w:shd w:val="clear" w:color="auto" w:fill="auto"/>
            <w:vAlign w:val="center"/>
          </w:tcPr>
          <w:p w14:paraId="6B91E5CA" w14:textId="77777777" w:rsidR="000A6793" w:rsidRPr="009354F6" w:rsidRDefault="000A6793" w:rsidP="0074637E">
            <w:pPr>
              <w:ind w:left="355" w:hanging="145"/>
              <w:jc w:val="left"/>
              <w:rPr>
                <w:b/>
                <w:i/>
                <w:color w:val="000000"/>
                <w:sz w:val="16"/>
                <w:szCs w:val="16"/>
              </w:rPr>
            </w:pPr>
            <w:r w:rsidRPr="009354F6">
              <w:rPr>
                <w:b/>
                <w:i/>
                <w:color w:val="000000"/>
                <w:sz w:val="16"/>
                <w:szCs w:val="16"/>
              </w:rPr>
              <w:t>z toho ústřední instituce</w:t>
            </w:r>
          </w:p>
        </w:tc>
        <w:tc>
          <w:tcPr>
            <w:tcW w:w="627" w:type="pct"/>
            <w:tcBorders>
              <w:top w:val="nil"/>
              <w:left w:val="nil"/>
              <w:bottom w:val="single" w:sz="4" w:space="0" w:color="auto"/>
              <w:right w:val="single" w:sz="4" w:space="0" w:color="auto"/>
            </w:tcBorders>
            <w:shd w:val="clear" w:color="auto" w:fill="auto"/>
            <w:noWrap/>
            <w:vAlign w:val="center"/>
          </w:tcPr>
          <w:p w14:paraId="57296C8B" w14:textId="77777777" w:rsidR="000A6793" w:rsidRPr="009354F6" w:rsidRDefault="000A6793" w:rsidP="000A6793">
            <w:pPr>
              <w:jc w:val="right"/>
              <w:rPr>
                <w:i/>
                <w:color w:val="000000"/>
                <w:sz w:val="16"/>
                <w:szCs w:val="16"/>
              </w:rPr>
            </w:pPr>
            <w:r w:rsidRPr="009354F6">
              <w:rPr>
                <w:b/>
                <w:bCs/>
                <w:i/>
                <w:color w:val="000000"/>
                <w:sz w:val="16"/>
                <w:szCs w:val="16"/>
              </w:rPr>
              <w:t>0</w:t>
            </w:r>
          </w:p>
        </w:tc>
        <w:tc>
          <w:tcPr>
            <w:tcW w:w="627" w:type="pct"/>
            <w:tcBorders>
              <w:top w:val="nil"/>
              <w:left w:val="nil"/>
              <w:bottom w:val="single" w:sz="4" w:space="0" w:color="auto"/>
              <w:right w:val="single" w:sz="4" w:space="0" w:color="auto"/>
            </w:tcBorders>
            <w:shd w:val="clear" w:color="auto" w:fill="auto"/>
            <w:noWrap/>
            <w:vAlign w:val="center"/>
          </w:tcPr>
          <w:p w14:paraId="6B35FB91" w14:textId="7B80F3D1" w:rsidR="000A6793" w:rsidRPr="009354F6" w:rsidRDefault="000A6793" w:rsidP="009354F6">
            <w:pPr>
              <w:jc w:val="right"/>
              <w:rPr>
                <w:i/>
                <w:color w:val="000000"/>
                <w:sz w:val="16"/>
                <w:szCs w:val="16"/>
              </w:rPr>
            </w:pPr>
          </w:p>
        </w:tc>
        <w:tc>
          <w:tcPr>
            <w:tcW w:w="627" w:type="pct"/>
            <w:tcBorders>
              <w:top w:val="nil"/>
              <w:left w:val="nil"/>
              <w:bottom w:val="single" w:sz="4" w:space="0" w:color="auto"/>
              <w:right w:val="single" w:sz="4" w:space="0" w:color="auto"/>
            </w:tcBorders>
            <w:shd w:val="clear" w:color="auto" w:fill="auto"/>
            <w:noWrap/>
            <w:vAlign w:val="center"/>
          </w:tcPr>
          <w:p w14:paraId="1100D92C" w14:textId="77777777" w:rsidR="000A6793" w:rsidRPr="009354F6" w:rsidRDefault="000A6793" w:rsidP="009354F6">
            <w:pPr>
              <w:jc w:val="right"/>
              <w:rPr>
                <w:i/>
                <w:color w:val="000000"/>
                <w:sz w:val="16"/>
                <w:szCs w:val="16"/>
              </w:rPr>
            </w:pPr>
            <w:r w:rsidRPr="009354F6">
              <w:rPr>
                <w:b/>
                <w:bCs/>
                <w:i/>
                <w:color w:val="000000"/>
                <w:sz w:val="16"/>
                <w:szCs w:val="16"/>
              </w:rPr>
              <w:t>0</w:t>
            </w:r>
          </w:p>
        </w:tc>
        <w:tc>
          <w:tcPr>
            <w:tcW w:w="627" w:type="pct"/>
            <w:tcBorders>
              <w:top w:val="nil"/>
              <w:left w:val="nil"/>
              <w:bottom w:val="single" w:sz="4" w:space="0" w:color="auto"/>
              <w:right w:val="single" w:sz="4" w:space="0" w:color="auto"/>
            </w:tcBorders>
            <w:shd w:val="clear" w:color="auto" w:fill="auto"/>
            <w:noWrap/>
            <w:vAlign w:val="center"/>
          </w:tcPr>
          <w:p w14:paraId="68982B3F" w14:textId="1D168AAB" w:rsidR="000A6793" w:rsidRPr="009354F6" w:rsidRDefault="000A6793" w:rsidP="009354F6">
            <w:pPr>
              <w:jc w:val="right"/>
              <w:rPr>
                <w:i/>
                <w:color w:val="000000"/>
                <w:sz w:val="16"/>
                <w:szCs w:val="16"/>
              </w:rPr>
            </w:pPr>
          </w:p>
        </w:tc>
        <w:tc>
          <w:tcPr>
            <w:tcW w:w="627" w:type="pct"/>
            <w:tcBorders>
              <w:top w:val="nil"/>
              <w:left w:val="nil"/>
              <w:bottom w:val="single" w:sz="4" w:space="0" w:color="auto"/>
              <w:right w:val="single" w:sz="4" w:space="0" w:color="auto"/>
            </w:tcBorders>
            <w:shd w:val="clear" w:color="auto" w:fill="auto"/>
            <w:noWrap/>
            <w:vAlign w:val="center"/>
          </w:tcPr>
          <w:p w14:paraId="30C00DEB" w14:textId="77777777" w:rsidR="000A6793" w:rsidRPr="009354F6" w:rsidRDefault="000A6793" w:rsidP="009354F6">
            <w:pPr>
              <w:jc w:val="right"/>
              <w:rPr>
                <w:i/>
                <w:color w:val="000000"/>
                <w:sz w:val="16"/>
                <w:szCs w:val="16"/>
              </w:rPr>
            </w:pPr>
            <w:r w:rsidRPr="009354F6">
              <w:rPr>
                <w:b/>
                <w:bCs/>
                <w:i/>
                <w:color w:val="000000"/>
                <w:sz w:val="16"/>
                <w:szCs w:val="16"/>
              </w:rPr>
              <w:t>31</w:t>
            </w:r>
          </w:p>
        </w:tc>
        <w:tc>
          <w:tcPr>
            <w:tcW w:w="625" w:type="pct"/>
            <w:tcBorders>
              <w:top w:val="nil"/>
              <w:left w:val="nil"/>
              <w:bottom w:val="single" w:sz="4" w:space="0" w:color="auto"/>
              <w:right w:val="single" w:sz="4" w:space="0" w:color="auto"/>
            </w:tcBorders>
            <w:shd w:val="clear" w:color="auto" w:fill="auto"/>
            <w:noWrap/>
            <w:vAlign w:val="center"/>
          </w:tcPr>
          <w:p w14:paraId="52E2B7C7" w14:textId="04D291C6" w:rsidR="000A6793" w:rsidRPr="009354F6" w:rsidRDefault="000A6793" w:rsidP="009354F6">
            <w:pPr>
              <w:jc w:val="right"/>
              <w:rPr>
                <w:i/>
                <w:color w:val="000000"/>
                <w:sz w:val="16"/>
                <w:szCs w:val="16"/>
              </w:rPr>
            </w:pPr>
          </w:p>
        </w:tc>
      </w:tr>
      <w:tr w:rsidR="000A6793" w:rsidRPr="009354F6" w14:paraId="3886A418" w14:textId="77777777" w:rsidTr="000A6793">
        <w:trPr>
          <w:trHeight w:val="260"/>
        </w:trPr>
        <w:tc>
          <w:tcPr>
            <w:tcW w:w="1240" w:type="pct"/>
            <w:tcBorders>
              <w:top w:val="nil"/>
              <w:left w:val="single" w:sz="4" w:space="0" w:color="auto"/>
              <w:bottom w:val="single" w:sz="4" w:space="0" w:color="auto"/>
              <w:right w:val="single" w:sz="4" w:space="0" w:color="auto"/>
            </w:tcBorders>
            <w:shd w:val="clear" w:color="auto" w:fill="auto"/>
            <w:vAlign w:val="center"/>
            <w:hideMark/>
          </w:tcPr>
          <w:p w14:paraId="4DCF6E2B" w14:textId="77777777" w:rsidR="000A6793" w:rsidRPr="009354F6" w:rsidRDefault="000A6793" w:rsidP="000A6793">
            <w:pPr>
              <w:jc w:val="left"/>
              <w:rPr>
                <w:color w:val="000000"/>
                <w:sz w:val="18"/>
                <w:szCs w:val="18"/>
              </w:rPr>
            </w:pPr>
            <w:r w:rsidRPr="009354F6">
              <w:rPr>
                <w:color w:val="000000"/>
                <w:sz w:val="18"/>
                <w:szCs w:val="18"/>
              </w:rPr>
              <w:t>Státní příspěvková organizace ze zákona</w:t>
            </w:r>
          </w:p>
        </w:tc>
        <w:tc>
          <w:tcPr>
            <w:tcW w:w="627" w:type="pct"/>
            <w:tcBorders>
              <w:top w:val="nil"/>
              <w:left w:val="nil"/>
              <w:bottom w:val="single" w:sz="4" w:space="0" w:color="auto"/>
              <w:right w:val="single" w:sz="4" w:space="0" w:color="auto"/>
            </w:tcBorders>
            <w:shd w:val="clear" w:color="auto" w:fill="auto"/>
            <w:noWrap/>
            <w:vAlign w:val="center"/>
            <w:hideMark/>
          </w:tcPr>
          <w:p w14:paraId="29C24CC7" w14:textId="77777777" w:rsidR="000A6793" w:rsidRPr="009354F6" w:rsidRDefault="000A6793" w:rsidP="000A6793">
            <w:pPr>
              <w:jc w:val="right"/>
              <w:rPr>
                <w:color w:val="000000"/>
                <w:sz w:val="18"/>
                <w:szCs w:val="18"/>
              </w:rPr>
            </w:pPr>
            <w:r w:rsidRPr="009354F6">
              <w:rPr>
                <w:color w:val="000000"/>
                <w:sz w:val="18"/>
                <w:szCs w:val="18"/>
              </w:rPr>
              <w:t>0</w:t>
            </w:r>
          </w:p>
        </w:tc>
        <w:tc>
          <w:tcPr>
            <w:tcW w:w="627" w:type="pct"/>
            <w:tcBorders>
              <w:top w:val="nil"/>
              <w:left w:val="nil"/>
              <w:bottom w:val="single" w:sz="4" w:space="0" w:color="auto"/>
              <w:right w:val="single" w:sz="4" w:space="0" w:color="auto"/>
            </w:tcBorders>
            <w:shd w:val="clear" w:color="auto" w:fill="auto"/>
            <w:noWrap/>
            <w:vAlign w:val="center"/>
            <w:hideMark/>
          </w:tcPr>
          <w:p w14:paraId="1E082A03" w14:textId="77777777" w:rsidR="000A6793" w:rsidRPr="009354F6" w:rsidRDefault="000A6793" w:rsidP="000A6793">
            <w:pPr>
              <w:jc w:val="right"/>
              <w:rPr>
                <w:color w:val="000000"/>
                <w:sz w:val="18"/>
                <w:szCs w:val="18"/>
              </w:rPr>
            </w:pPr>
            <w:r w:rsidRPr="009354F6">
              <w:rPr>
                <w:color w:val="000000"/>
                <w:sz w:val="18"/>
                <w:szCs w:val="18"/>
              </w:rPr>
              <w:t>0,00</w:t>
            </w:r>
          </w:p>
        </w:tc>
        <w:tc>
          <w:tcPr>
            <w:tcW w:w="627" w:type="pct"/>
            <w:tcBorders>
              <w:top w:val="nil"/>
              <w:left w:val="nil"/>
              <w:bottom w:val="single" w:sz="4" w:space="0" w:color="auto"/>
              <w:right w:val="single" w:sz="4" w:space="0" w:color="auto"/>
            </w:tcBorders>
            <w:shd w:val="clear" w:color="auto" w:fill="auto"/>
            <w:noWrap/>
            <w:vAlign w:val="center"/>
            <w:hideMark/>
          </w:tcPr>
          <w:p w14:paraId="3A408603" w14:textId="77777777" w:rsidR="000A6793" w:rsidRPr="009354F6" w:rsidRDefault="000A6793" w:rsidP="000A6793">
            <w:pPr>
              <w:jc w:val="right"/>
              <w:rPr>
                <w:color w:val="000000"/>
                <w:sz w:val="18"/>
                <w:szCs w:val="18"/>
              </w:rPr>
            </w:pPr>
            <w:r w:rsidRPr="009354F6">
              <w:rPr>
                <w:color w:val="000000"/>
                <w:sz w:val="18"/>
                <w:szCs w:val="18"/>
              </w:rPr>
              <w:t>3</w:t>
            </w:r>
          </w:p>
        </w:tc>
        <w:tc>
          <w:tcPr>
            <w:tcW w:w="627" w:type="pct"/>
            <w:tcBorders>
              <w:top w:val="nil"/>
              <w:left w:val="nil"/>
              <w:bottom w:val="single" w:sz="4" w:space="0" w:color="auto"/>
              <w:right w:val="single" w:sz="4" w:space="0" w:color="auto"/>
            </w:tcBorders>
            <w:shd w:val="clear" w:color="auto" w:fill="auto"/>
            <w:noWrap/>
            <w:vAlign w:val="center"/>
            <w:hideMark/>
          </w:tcPr>
          <w:p w14:paraId="58620185" w14:textId="77777777" w:rsidR="000A6793" w:rsidRPr="009354F6" w:rsidRDefault="000A6793" w:rsidP="000A6793">
            <w:pPr>
              <w:jc w:val="right"/>
              <w:rPr>
                <w:color w:val="000000"/>
                <w:sz w:val="18"/>
                <w:szCs w:val="18"/>
              </w:rPr>
            </w:pPr>
            <w:r w:rsidRPr="009354F6">
              <w:rPr>
                <w:color w:val="000000"/>
                <w:sz w:val="18"/>
                <w:szCs w:val="18"/>
              </w:rPr>
              <w:t>1,55</w:t>
            </w:r>
          </w:p>
        </w:tc>
        <w:tc>
          <w:tcPr>
            <w:tcW w:w="627" w:type="pct"/>
            <w:tcBorders>
              <w:top w:val="nil"/>
              <w:left w:val="nil"/>
              <w:bottom w:val="single" w:sz="4" w:space="0" w:color="auto"/>
              <w:right w:val="single" w:sz="4" w:space="0" w:color="auto"/>
            </w:tcBorders>
            <w:shd w:val="clear" w:color="auto" w:fill="auto"/>
            <w:noWrap/>
            <w:vAlign w:val="center"/>
            <w:hideMark/>
          </w:tcPr>
          <w:p w14:paraId="42E142C1" w14:textId="77777777" w:rsidR="000A6793" w:rsidRPr="009354F6" w:rsidRDefault="000A6793" w:rsidP="000A6793">
            <w:pPr>
              <w:jc w:val="right"/>
              <w:rPr>
                <w:color w:val="000000"/>
                <w:sz w:val="18"/>
                <w:szCs w:val="18"/>
              </w:rPr>
            </w:pPr>
            <w:r w:rsidRPr="009354F6">
              <w:rPr>
                <w:color w:val="000000"/>
                <w:sz w:val="18"/>
                <w:szCs w:val="18"/>
              </w:rPr>
              <w:t>33</w:t>
            </w:r>
          </w:p>
        </w:tc>
        <w:tc>
          <w:tcPr>
            <w:tcW w:w="625" w:type="pct"/>
            <w:tcBorders>
              <w:top w:val="nil"/>
              <w:left w:val="nil"/>
              <w:bottom w:val="single" w:sz="4" w:space="0" w:color="auto"/>
              <w:right w:val="single" w:sz="4" w:space="0" w:color="auto"/>
            </w:tcBorders>
            <w:shd w:val="clear" w:color="auto" w:fill="auto"/>
            <w:noWrap/>
            <w:vAlign w:val="center"/>
            <w:hideMark/>
          </w:tcPr>
          <w:p w14:paraId="56CAAE1E" w14:textId="77777777" w:rsidR="000A6793" w:rsidRPr="009354F6" w:rsidRDefault="000A6793" w:rsidP="000A6793">
            <w:pPr>
              <w:jc w:val="right"/>
              <w:rPr>
                <w:color w:val="000000"/>
                <w:sz w:val="18"/>
                <w:szCs w:val="18"/>
              </w:rPr>
            </w:pPr>
            <w:r w:rsidRPr="009354F6">
              <w:rPr>
                <w:color w:val="000000"/>
                <w:sz w:val="18"/>
                <w:szCs w:val="18"/>
              </w:rPr>
              <w:t>17,01</w:t>
            </w:r>
          </w:p>
        </w:tc>
      </w:tr>
      <w:tr w:rsidR="000A6793" w:rsidRPr="009354F6" w14:paraId="19BF03EC" w14:textId="77777777" w:rsidTr="000A6793">
        <w:trPr>
          <w:trHeight w:val="260"/>
        </w:trPr>
        <w:tc>
          <w:tcPr>
            <w:tcW w:w="1240" w:type="pct"/>
            <w:tcBorders>
              <w:top w:val="nil"/>
              <w:left w:val="single" w:sz="4" w:space="0" w:color="auto"/>
              <w:bottom w:val="single" w:sz="4" w:space="0" w:color="auto"/>
              <w:right w:val="single" w:sz="4" w:space="0" w:color="auto"/>
            </w:tcBorders>
            <w:shd w:val="clear" w:color="auto" w:fill="auto"/>
            <w:vAlign w:val="center"/>
            <w:hideMark/>
          </w:tcPr>
          <w:p w14:paraId="2051F57A" w14:textId="77777777" w:rsidR="000A6793" w:rsidRPr="009354F6" w:rsidRDefault="000A6793" w:rsidP="000A6793">
            <w:pPr>
              <w:jc w:val="left"/>
              <w:rPr>
                <w:color w:val="000000"/>
                <w:sz w:val="18"/>
                <w:szCs w:val="18"/>
              </w:rPr>
            </w:pPr>
            <w:r w:rsidRPr="009354F6">
              <w:rPr>
                <w:color w:val="000000"/>
                <w:sz w:val="18"/>
                <w:szCs w:val="18"/>
              </w:rPr>
              <w:t>Státní příspěvková organizace ostatní</w:t>
            </w:r>
          </w:p>
        </w:tc>
        <w:tc>
          <w:tcPr>
            <w:tcW w:w="627" w:type="pct"/>
            <w:tcBorders>
              <w:top w:val="nil"/>
              <w:left w:val="nil"/>
              <w:bottom w:val="single" w:sz="4" w:space="0" w:color="auto"/>
              <w:right w:val="single" w:sz="4" w:space="0" w:color="auto"/>
            </w:tcBorders>
            <w:shd w:val="clear" w:color="auto" w:fill="auto"/>
            <w:noWrap/>
            <w:vAlign w:val="center"/>
            <w:hideMark/>
          </w:tcPr>
          <w:p w14:paraId="03430B1D" w14:textId="77777777" w:rsidR="000A6793" w:rsidRPr="009354F6" w:rsidRDefault="000A6793" w:rsidP="000A6793">
            <w:pPr>
              <w:jc w:val="right"/>
              <w:rPr>
                <w:color w:val="000000"/>
                <w:sz w:val="18"/>
                <w:szCs w:val="18"/>
              </w:rPr>
            </w:pPr>
            <w:r w:rsidRPr="009354F6">
              <w:rPr>
                <w:color w:val="000000"/>
                <w:sz w:val="18"/>
                <w:szCs w:val="18"/>
              </w:rPr>
              <w:t>0</w:t>
            </w:r>
          </w:p>
        </w:tc>
        <w:tc>
          <w:tcPr>
            <w:tcW w:w="627" w:type="pct"/>
            <w:tcBorders>
              <w:top w:val="nil"/>
              <w:left w:val="nil"/>
              <w:bottom w:val="single" w:sz="4" w:space="0" w:color="auto"/>
              <w:right w:val="single" w:sz="4" w:space="0" w:color="auto"/>
            </w:tcBorders>
            <w:shd w:val="clear" w:color="auto" w:fill="auto"/>
            <w:noWrap/>
            <w:vAlign w:val="center"/>
            <w:hideMark/>
          </w:tcPr>
          <w:p w14:paraId="3E0DF715" w14:textId="77777777" w:rsidR="000A6793" w:rsidRPr="009354F6" w:rsidRDefault="000A6793" w:rsidP="000A6793">
            <w:pPr>
              <w:jc w:val="right"/>
              <w:rPr>
                <w:color w:val="000000"/>
                <w:sz w:val="18"/>
                <w:szCs w:val="18"/>
              </w:rPr>
            </w:pPr>
            <w:r w:rsidRPr="009354F6">
              <w:rPr>
                <w:color w:val="000000"/>
                <w:sz w:val="18"/>
                <w:szCs w:val="18"/>
              </w:rPr>
              <w:t>0,00</w:t>
            </w:r>
          </w:p>
        </w:tc>
        <w:tc>
          <w:tcPr>
            <w:tcW w:w="627" w:type="pct"/>
            <w:tcBorders>
              <w:top w:val="nil"/>
              <w:left w:val="nil"/>
              <w:bottom w:val="single" w:sz="4" w:space="0" w:color="auto"/>
              <w:right w:val="single" w:sz="4" w:space="0" w:color="auto"/>
            </w:tcBorders>
            <w:shd w:val="clear" w:color="auto" w:fill="auto"/>
            <w:noWrap/>
            <w:vAlign w:val="center"/>
            <w:hideMark/>
          </w:tcPr>
          <w:p w14:paraId="38CCA62A" w14:textId="77777777" w:rsidR="000A6793" w:rsidRPr="009354F6" w:rsidRDefault="000A6793" w:rsidP="000A6793">
            <w:pPr>
              <w:jc w:val="right"/>
              <w:rPr>
                <w:color w:val="000000"/>
                <w:sz w:val="18"/>
                <w:szCs w:val="18"/>
              </w:rPr>
            </w:pPr>
            <w:r w:rsidRPr="009354F6">
              <w:rPr>
                <w:color w:val="000000"/>
                <w:sz w:val="18"/>
                <w:szCs w:val="18"/>
              </w:rPr>
              <w:t>0</w:t>
            </w:r>
          </w:p>
        </w:tc>
        <w:tc>
          <w:tcPr>
            <w:tcW w:w="627" w:type="pct"/>
            <w:tcBorders>
              <w:top w:val="nil"/>
              <w:left w:val="nil"/>
              <w:bottom w:val="single" w:sz="4" w:space="0" w:color="auto"/>
              <w:right w:val="single" w:sz="4" w:space="0" w:color="auto"/>
            </w:tcBorders>
            <w:shd w:val="clear" w:color="auto" w:fill="auto"/>
            <w:noWrap/>
            <w:vAlign w:val="center"/>
            <w:hideMark/>
          </w:tcPr>
          <w:p w14:paraId="1E0F7951" w14:textId="77777777" w:rsidR="000A6793" w:rsidRPr="009354F6" w:rsidRDefault="000A6793" w:rsidP="000A6793">
            <w:pPr>
              <w:jc w:val="right"/>
              <w:rPr>
                <w:color w:val="000000"/>
                <w:sz w:val="18"/>
                <w:szCs w:val="18"/>
              </w:rPr>
            </w:pPr>
            <w:r w:rsidRPr="009354F6">
              <w:rPr>
                <w:color w:val="000000"/>
                <w:sz w:val="18"/>
                <w:szCs w:val="18"/>
              </w:rPr>
              <w:t>0,00</w:t>
            </w:r>
          </w:p>
        </w:tc>
        <w:tc>
          <w:tcPr>
            <w:tcW w:w="627" w:type="pct"/>
            <w:tcBorders>
              <w:top w:val="nil"/>
              <w:left w:val="nil"/>
              <w:bottom w:val="single" w:sz="4" w:space="0" w:color="auto"/>
              <w:right w:val="single" w:sz="4" w:space="0" w:color="auto"/>
            </w:tcBorders>
            <w:shd w:val="clear" w:color="auto" w:fill="auto"/>
            <w:noWrap/>
            <w:vAlign w:val="center"/>
            <w:hideMark/>
          </w:tcPr>
          <w:p w14:paraId="52ADED05" w14:textId="77777777" w:rsidR="000A6793" w:rsidRPr="009354F6" w:rsidRDefault="000A6793" w:rsidP="000A6793">
            <w:pPr>
              <w:jc w:val="right"/>
              <w:rPr>
                <w:color w:val="000000"/>
                <w:sz w:val="18"/>
                <w:szCs w:val="18"/>
              </w:rPr>
            </w:pPr>
            <w:r w:rsidRPr="009354F6">
              <w:rPr>
                <w:color w:val="000000"/>
                <w:sz w:val="18"/>
                <w:szCs w:val="18"/>
              </w:rPr>
              <w:t>4</w:t>
            </w:r>
          </w:p>
        </w:tc>
        <w:tc>
          <w:tcPr>
            <w:tcW w:w="625" w:type="pct"/>
            <w:tcBorders>
              <w:top w:val="nil"/>
              <w:left w:val="nil"/>
              <w:bottom w:val="single" w:sz="4" w:space="0" w:color="auto"/>
              <w:right w:val="single" w:sz="4" w:space="0" w:color="auto"/>
            </w:tcBorders>
            <w:shd w:val="clear" w:color="auto" w:fill="auto"/>
            <w:noWrap/>
            <w:vAlign w:val="center"/>
            <w:hideMark/>
          </w:tcPr>
          <w:p w14:paraId="756AB56D" w14:textId="77777777" w:rsidR="000A6793" w:rsidRPr="009354F6" w:rsidRDefault="000A6793" w:rsidP="000A6793">
            <w:pPr>
              <w:jc w:val="right"/>
              <w:rPr>
                <w:color w:val="000000"/>
                <w:sz w:val="18"/>
                <w:szCs w:val="18"/>
              </w:rPr>
            </w:pPr>
            <w:r w:rsidRPr="009354F6">
              <w:rPr>
                <w:color w:val="000000"/>
                <w:sz w:val="18"/>
                <w:szCs w:val="18"/>
              </w:rPr>
              <w:t>2,06</w:t>
            </w:r>
          </w:p>
        </w:tc>
      </w:tr>
      <w:tr w:rsidR="000A6793" w:rsidRPr="009354F6" w14:paraId="589DF51C" w14:textId="77777777" w:rsidTr="000A6793">
        <w:trPr>
          <w:trHeight w:val="260"/>
        </w:trPr>
        <w:tc>
          <w:tcPr>
            <w:tcW w:w="1240" w:type="pct"/>
            <w:tcBorders>
              <w:top w:val="nil"/>
              <w:left w:val="single" w:sz="4" w:space="0" w:color="auto"/>
              <w:bottom w:val="single" w:sz="4" w:space="0" w:color="auto"/>
              <w:right w:val="single" w:sz="4" w:space="0" w:color="auto"/>
            </w:tcBorders>
            <w:shd w:val="clear" w:color="auto" w:fill="auto"/>
            <w:vAlign w:val="center"/>
            <w:hideMark/>
          </w:tcPr>
          <w:p w14:paraId="500628CF" w14:textId="77777777" w:rsidR="000A6793" w:rsidRPr="009354F6" w:rsidRDefault="000A6793" w:rsidP="000A6793">
            <w:pPr>
              <w:jc w:val="left"/>
              <w:rPr>
                <w:color w:val="000000"/>
                <w:sz w:val="18"/>
                <w:szCs w:val="18"/>
              </w:rPr>
            </w:pPr>
            <w:r w:rsidRPr="009354F6">
              <w:rPr>
                <w:color w:val="000000"/>
                <w:sz w:val="18"/>
                <w:szCs w:val="18"/>
              </w:rPr>
              <w:t>Veřejná výzkumná instituce</w:t>
            </w:r>
          </w:p>
        </w:tc>
        <w:tc>
          <w:tcPr>
            <w:tcW w:w="627" w:type="pct"/>
            <w:tcBorders>
              <w:top w:val="nil"/>
              <w:left w:val="nil"/>
              <w:bottom w:val="single" w:sz="4" w:space="0" w:color="auto"/>
              <w:right w:val="single" w:sz="4" w:space="0" w:color="auto"/>
            </w:tcBorders>
            <w:shd w:val="clear" w:color="auto" w:fill="auto"/>
            <w:noWrap/>
            <w:vAlign w:val="center"/>
            <w:hideMark/>
          </w:tcPr>
          <w:p w14:paraId="17587042" w14:textId="77777777" w:rsidR="000A6793" w:rsidRPr="009354F6" w:rsidRDefault="000A6793" w:rsidP="000A6793">
            <w:pPr>
              <w:jc w:val="right"/>
              <w:rPr>
                <w:color w:val="000000"/>
                <w:sz w:val="18"/>
                <w:szCs w:val="18"/>
              </w:rPr>
            </w:pPr>
            <w:r w:rsidRPr="009354F6">
              <w:rPr>
                <w:color w:val="000000"/>
                <w:sz w:val="18"/>
                <w:szCs w:val="18"/>
              </w:rPr>
              <w:t>0</w:t>
            </w:r>
          </w:p>
        </w:tc>
        <w:tc>
          <w:tcPr>
            <w:tcW w:w="627" w:type="pct"/>
            <w:tcBorders>
              <w:top w:val="nil"/>
              <w:left w:val="nil"/>
              <w:bottom w:val="single" w:sz="4" w:space="0" w:color="auto"/>
              <w:right w:val="single" w:sz="4" w:space="0" w:color="auto"/>
            </w:tcBorders>
            <w:shd w:val="clear" w:color="auto" w:fill="auto"/>
            <w:noWrap/>
            <w:vAlign w:val="center"/>
            <w:hideMark/>
          </w:tcPr>
          <w:p w14:paraId="36D74C66" w14:textId="77777777" w:rsidR="000A6793" w:rsidRPr="009354F6" w:rsidRDefault="000A6793" w:rsidP="000A6793">
            <w:pPr>
              <w:jc w:val="right"/>
              <w:rPr>
                <w:color w:val="000000"/>
                <w:sz w:val="18"/>
                <w:szCs w:val="18"/>
              </w:rPr>
            </w:pPr>
            <w:r w:rsidRPr="009354F6">
              <w:rPr>
                <w:color w:val="000000"/>
                <w:sz w:val="18"/>
                <w:szCs w:val="18"/>
              </w:rPr>
              <w:t>0,00</w:t>
            </w:r>
          </w:p>
        </w:tc>
        <w:tc>
          <w:tcPr>
            <w:tcW w:w="627" w:type="pct"/>
            <w:tcBorders>
              <w:top w:val="nil"/>
              <w:left w:val="nil"/>
              <w:bottom w:val="single" w:sz="4" w:space="0" w:color="auto"/>
              <w:right w:val="single" w:sz="4" w:space="0" w:color="auto"/>
            </w:tcBorders>
            <w:shd w:val="clear" w:color="auto" w:fill="auto"/>
            <w:noWrap/>
            <w:vAlign w:val="center"/>
            <w:hideMark/>
          </w:tcPr>
          <w:p w14:paraId="7C9AB646" w14:textId="77777777" w:rsidR="000A6793" w:rsidRPr="009354F6" w:rsidRDefault="000A6793" w:rsidP="000A6793">
            <w:pPr>
              <w:jc w:val="right"/>
              <w:rPr>
                <w:color w:val="000000"/>
                <w:sz w:val="18"/>
                <w:szCs w:val="18"/>
              </w:rPr>
            </w:pPr>
            <w:r w:rsidRPr="009354F6">
              <w:rPr>
                <w:color w:val="000000"/>
                <w:sz w:val="18"/>
                <w:szCs w:val="18"/>
              </w:rPr>
              <w:t>1</w:t>
            </w:r>
          </w:p>
        </w:tc>
        <w:tc>
          <w:tcPr>
            <w:tcW w:w="627" w:type="pct"/>
            <w:tcBorders>
              <w:top w:val="nil"/>
              <w:left w:val="nil"/>
              <w:bottom w:val="single" w:sz="4" w:space="0" w:color="auto"/>
              <w:right w:val="single" w:sz="4" w:space="0" w:color="auto"/>
            </w:tcBorders>
            <w:shd w:val="clear" w:color="auto" w:fill="auto"/>
            <w:noWrap/>
            <w:vAlign w:val="center"/>
            <w:hideMark/>
          </w:tcPr>
          <w:p w14:paraId="564F97BC" w14:textId="77777777" w:rsidR="000A6793" w:rsidRPr="009354F6" w:rsidRDefault="000A6793" w:rsidP="000A6793">
            <w:pPr>
              <w:jc w:val="right"/>
              <w:rPr>
                <w:color w:val="000000"/>
                <w:sz w:val="18"/>
                <w:szCs w:val="18"/>
              </w:rPr>
            </w:pPr>
            <w:r w:rsidRPr="009354F6">
              <w:rPr>
                <w:color w:val="000000"/>
                <w:sz w:val="18"/>
                <w:szCs w:val="18"/>
              </w:rPr>
              <w:t>0,52</w:t>
            </w:r>
          </w:p>
        </w:tc>
        <w:tc>
          <w:tcPr>
            <w:tcW w:w="627" w:type="pct"/>
            <w:tcBorders>
              <w:top w:val="nil"/>
              <w:left w:val="nil"/>
              <w:bottom w:val="single" w:sz="4" w:space="0" w:color="auto"/>
              <w:right w:val="single" w:sz="4" w:space="0" w:color="auto"/>
            </w:tcBorders>
            <w:shd w:val="clear" w:color="auto" w:fill="auto"/>
            <w:noWrap/>
            <w:vAlign w:val="center"/>
            <w:hideMark/>
          </w:tcPr>
          <w:p w14:paraId="467CEE53" w14:textId="77777777" w:rsidR="000A6793" w:rsidRPr="009354F6" w:rsidRDefault="000A6793" w:rsidP="000A6793">
            <w:pPr>
              <w:jc w:val="right"/>
              <w:rPr>
                <w:color w:val="000000"/>
                <w:sz w:val="18"/>
                <w:szCs w:val="18"/>
              </w:rPr>
            </w:pPr>
            <w:r w:rsidRPr="009354F6">
              <w:rPr>
                <w:color w:val="000000"/>
                <w:sz w:val="18"/>
                <w:szCs w:val="18"/>
              </w:rPr>
              <w:t>0</w:t>
            </w:r>
          </w:p>
        </w:tc>
        <w:tc>
          <w:tcPr>
            <w:tcW w:w="625" w:type="pct"/>
            <w:tcBorders>
              <w:top w:val="nil"/>
              <w:left w:val="nil"/>
              <w:bottom w:val="single" w:sz="4" w:space="0" w:color="auto"/>
              <w:right w:val="single" w:sz="4" w:space="0" w:color="auto"/>
            </w:tcBorders>
            <w:shd w:val="clear" w:color="auto" w:fill="auto"/>
            <w:noWrap/>
            <w:vAlign w:val="center"/>
            <w:hideMark/>
          </w:tcPr>
          <w:p w14:paraId="41CFB6A0" w14:textId="77777777" w:rsidR="000A6793" w:rsidRPr="009354F6" w:rsidRDefault="000A6793" w:rsidP="000A6793">
            <w:pPr>
              <w:jc w:val="right"/>
              <w:rPr>
                <w:color w:val="000000"/>
                <w:sz w:val="18"/>
                <w:szCs w:val="18"/>
              </w:rPr>
            </w:pPr>
            <w:r w:rsidRPr="009354F6">
              <w:rPr>
                <w:color w:val="000000"/>
                <w:sz w:val="18"/>
                <w:szCs w:val="18"/>
              </w:rPr>
              <w:t>0,00</w:t>
            </w:r>
          </w:p>
        </w:tc>
      </w:tr>
      <w:tr w:rsidR="000A6793" w:rsidRPr="009354F6" w14:paraId="5E766EA9" w14:textId="77777777" w:rsidTr="000A6793">
        <w:trPr>
          <w:trHeight w:val="260"/>
        </w:trPr>
        <w:tc>
          <w:tcPr>
            <w:tcW w:w="1240" w:type="pct"/>
            <w:tcBorders>
              <w:top w:val="nil"/>
              <w:left w:val="single" w:sz="4" w:space="0" w:color="auto"/>
              <w:bottom w:val="single" w:sz="4" w:space="0" w:color="auto"/>
              <w:right w:val="single" w:sz="4" w:space="0" w:color="auto"/>
            </w:tcBorders>
            <w:shd w:val="clear" w:color="auto" w:fill="auto"/>
            <w:noWrap/>
            <w:vAlign w:val="center"/>
            <w:hideMark/>
          </w:tcPr>
          <w:p w14:paraId="3ED11CF9" w14:textId="77777777" w:rsidR="000A6793" w:rsidRPr="009354F6" w:rsidRDefault="000A6793" w:rsidP="000A6793">
            <w:pPr>
              <w:jc w:val="left"/>
              <w:rPr>
                <w:b/>
                <w:bCs/>
                <w:color w:val="000000"/>
                <w:sz w:val="18"/>
                <w:szCs w:val="18"/>
              </w:rPr>
            </w:pPr>
            <w:r w:rsidRPr="009354F6">
              <w:rPr>
                <w:b/>
                <w:bCs/>
                <w:color w:val="000000"/>
                <w:sz w:val="18"/>
                <w:szCs w:val="18"/>
              </w:rPr>
              <w:t>Celkem</w:t>
            </w:r>
          </w:p>
        </w:tc>
        <w:tc>
          <w:tcPr>
            <w:tcW w:w="627" w:type="pct"/>
            <w:tcBorders>
              <w:top w:val="nil"/>
              <w:left w:val="nil"/>
              <w:bottom w:val="single" w:sz="4" w:space="0" w:color="auto"/>
              <w:right w:val="single" w:sz="4" w:space="0" w:color="auto"/>
            </w:tcBorders>
            <w:shd w:val="clear" w:color="auto" w:fill="auto"/>
            <w:noWrap/>
            <w:vAlign w:val="center"/>
            <w:hideMark/>
          </w:tcPr>
          <w:p w14:paraId="77514236" w14:textId="77777777" w:rsidR="000A6793" w:rsidRPr="009354F6" w:rsidRDefault="000A6793" w:rsidP="000A6793">
            <w:pPr>
              <w:jc w:val="right"/>
              <w:rPr>
                <w:b/>
                <w:bCs/>
                <w:color w:val="000000"/>
                <w:sz w:val="18"/>
                <w:szCs w:val="18"/>
              </w:rPr>
            </w:pPr>
            <w:r w:rsidRPr="009354F6">
              <w:rPr>
                <w:b/>
                <w:bCs/>
                <w:color w:val="000000"/>
                <w:sz w:val="18"/>
                <w:szCs w:val="18"/>
              </w:rPr>
              <w:t>0</w:t>
            </w:r>
          </w:p>
        </w:tc>
        <w:tc>
          <w:tcPr>
            <w:tcW w:w="627" w:type="pct"/>
            <w:tcBorders>
              <w:top w:val="nil"/>
              <w:left w:val="nil"/>
              <w:bottom w:val="single" w:sz="4" w:space="0" w:color="auto"/>
              <w:right w:val="single" w:sz="4" w:space="0" w:color="auto"/>
            </w:tcBorders>
            <w:shd w:val="clear" w:color="auto" w:fill="auto"/>
            <w:noWrap/>
            <w:vAlign w:val="center"/>
            <w:hideMark/>
          </w:tcPr>
          <w:p w14:paraId="036615F2" w14:textId="77777777" w:rsidR="000A6793" w:rsidRPr="009354F6" w:rsidRDefault="000A6793" w:rsidP="000A6793">
            <w:pPr>
              <w:jc w:val="right"/>
              <w:rPr>
                <w:b/>
                <w:bCs/>
                <w:color w:val="000000"/>
                <w:sz w:val="18"/>
                <w:szCs w:val="18"/>
              </w:rPr>
            </w:pPr>
            <w:r w:rsidRPr="009354F6">
              <w:rPr>
                <w:b/>
                <w:bCs/>
                <w:color w:val="000000"/>
                <w:sz w:val="18"/>
                <w:szCs w:val="18"/>
              </w:rPr>
              <w:t>0,00</w:t>
            </w:r>
          </w:p>
        </w:tc>
        <w:tc>
          <w:tcPr>
            <w:tcW w:w="627" w:type="pct"/>
            <w:tcBorders>
              <w:top w:val="nil"/>
              <w:left w:val="nil"/>
              <w:bottom w:val="single" w:sz="4" w:space="0" w:color="auto"/>
              <w:right w:val="single" w:sz="4" w:space="0" w:color="auto"/>
            </w:tcBorders>
            <w:shd w:val="clear" w:color="auto" w:fill="auto"/>
            <w:noWrap/>
            <w:vAlign w:val="center"/>
            <w:hideMark/>
          </w:tcPr>
          <w:p w14:paraId="7E648FFF" w14:textId="77777777" w:rsidR="000A6793" w:rsidRPr="009354F6" w:rsidRDefault="000A6793" w:rsidP="000A6793">
            <w:pPr>
              <w:jc w:val="right"/>
              <w:rPr>
                <w:b/>
                <w:bCs/>
                <w:color w:val="000000"/>
                <w:sz w:val="18"/>
                <w:szCs w:val="18"/>
              </w:rPr>
            </w:pPr>
            <w:r w:rsidRPr="009354F6">
              <w:rPr>
                <w:b/>
                <w:bCs/>
                <w:color w:val="000000"/>
                <w:sz w:val="18"/>
                <w:szCs w:val="18"/>
              </w:rPr>
              <w:t>8</w:t>
            </w:r>
          </w:p>
        </w:tc>
        <w:tc>
          <w:tcPr>
            <w:tcW w:w="627" w:type="pct"/>
            <w:tcBorders>
              <w:top w:val="nil"/>
              <w:left w:val="nil"/>
              <w:bottom w:val="single" w:sz="4" w:space="0" w:color="auto"/>
              <w:right w:val="single" w:sz="4" w:space="0" w:color="auto"/>
            </w:tcBorders>
            <w:shd w:val="clear" w:color="auto" w:fill="auto"/>
            <w:noWrap/>
            <w:vAlign w:val="center"/>
            <w:hideMark/>
          </w:tcPr>
          <w:p w14:paraId="72F5147B" w14:textId="77777777" w:rsidR="000A6793" w:rsidRPr="009354F6" w:rsidRDefault="000A6793" w:rsidP="009354F6">
            <w:pPr>
              <w:jc w:val="right"/>
              <w:rPr>
                <w:b/>
                <w:bCs/>
                <w:color w:val="000000"/>
                <w:sz w:val="18"/>
                <w:szCs w:val="18"/>
              </w:rPr>
            </w:pPr>
            <w:r w:rsidRPr="009354F6">
              <w:rPr>
                <w:b/>
                <w:bCs/>
                <w:color w:val="000000"/>
                <w:sz w:val="18"/>
                <w:szCs w:val="18"/>
              </w:rPr>
              <w:t>4,1</w:t>
            </w:r>
            <w:r w:rsidR="009354F6" w:rsidRPr="009354F6">
              <w:rPr>
                <w:b/>
                <w:bCs/>
                <w:color w:val="000000"/>
                <w:sz w:val="18"/>
                <w:szCs w:val="18"/>
              </w:rPr>
              <w:t>3</w:t>
            </w:r>
          </w:p>
        </w:tc>
        <w:tc>
          <w:tcPr>
            <w:tcW w:w="627" w:type="pct"/>
            <w:tcBorders>
              <w:top w:val="nil"/>
              <w:left w:val="nil"/>
              <w:bottom w:val="single" w:sz="4" w:space="0" w:color="auto"/>
              <w:right w:val="single" w:sz="4" w:space="0" w:color="auto"/>
            </w:tcBorders>
            <w:shd w:val="clear" w:color="auto" w:fill="auto"/>
            <w:noWrap/>
            <w:vAlign w:val="center"/>
            <w:hideMark/>
          </w:tcPr>
          <w:p w14:paraId="3F1FB3C9" w14:textId="77777777" w:rsidR="000A6793" w:rsidRPr="009354F6" w:rsidRDefault="000A6793" w:rsidP="000A6793">
            <w:pPr>
              <w:jc w:val="right"/>
              <w:rPr>
                <w:b/>
                <w:bCs/>
                <w:color w:val="000000"/>
                <w:sz w:val="18"/>
                <w:szCs w:val="18"/>
              </w:rPr>
            </w:pPr>
            <w:r w:rsidRPr="009354F6">
              <w:rPr>
                <w:b/>
                <w:bCs/>
                <w:color w:val="000000"/>
                <w:sz w:val="18"/>
                <w:szCs w:val="18"/>
              </w:rPr>
              <w:t>186</w:t>
            </w:r>
          </w:p>
        </w:tc>
        <w:tc>
          <w:tcPr>
            <w:tcW w:w="625" w:type="pct"/>
            <w:tcBorders>
              <w:top w:val="nil"/>
              <w:left w:val="nil"/>
              <w:bottom w:val="single" w:sz="4" w:space="0" w:color="auto"/>
              <w:right w:val="single" w:sz="4" w:space="0" w:color="auto"/>
            </w:tcBorders>
            <w:shd w:val="clear" w:color="auto" w:fill="auto"/>
            <w:noWrap/>
            <w:vAlign w:val="center"/>
            <w:hideMark/>
          </w:tcPr>
          <w:p w14:paraId="3E40FEA9" w14:textId="77777777" w:rsidR="000A6793" w:rsidRPr="009354F6" w:rsidRDefault="000A6793" w:rsidP="009354F6">
            <w:pPr>
              <w:jc w:val="right"/>
              <w:rPr>
                <w:b/>
                <w:bCs/>
                <w:color w:val="000000"/>
                <w:sz w:val="18"/>
                <w:szCs w:val="18"/>
              </w:rPr>
            </w:pPr>
            <w:r w:rsidRPr="009354F6">
              <w:rPr>
                <w:b/>
                <w:bCs/>
                <w:color w:val="000000"/>
                <w:sz w:val="18"/>
                <w:szCs w:val="18"/>
              </w:rPr>
              <w:t>95,8</w:t>
            </w:r>
            <w:r w:rsidR="009354F6" w:rsidRPr="009354F6">
              <w:rPr>
                <w:b/>
                <w:bCs/>
                <w:color w:val="000000"/>
                <w:sz w:val="18"/>
                <w:szCs w:val="18"/>
              </w:rPr>
              <w:t>7</w:t>
            </w:r>
          </w:p>
        </w:tc>
      </w:tr>
    </w:tbl>
    <w:p w14:paraId="00803E5D" w14:textId="77777777" w:rsidR="000A6793" w:rsidRPr="00022418" w:rsidRDefault="000A6793" w:rsidP="00377B07">
      <w:pPr>
        <w:pStyle w:val="Zdrojeapozn"/>
      </w:pPr>
      <w:r w:rsidRPr="00022418">
        <w:t>Zdroj: SFŽP, MS2014+.</w:t>
      </w:r>
    </w:p>
    <w:p w14:paraId="52E517A7" w14:textId="1D2F0FA1" w:rsidR="000A6793" w:rsidRPr="00022418" w:rsidRDefault="000A6793">
      <w:pPr>
        <w:pStyle w:val="Zdrojeapozn"/>
      </w:pPr>
      <w:r w:rsidRPr="00022418">
        <w:t xml:space="preserve">Pozn.: </w:t>
      </w:r>
      <w:r w:rsidR="00E670BD">
        <w:t>M</w:t>
      </w:r>
      <w:r w:rsidRPr="00022418">
        <w:t>ěsíc, ve kterém byla žádost o podporu podána, není započítáván.</w:t>
      </w:r>
    </w:p>
    <w:p w14:paraId="39C93F68" w14:textId="435C6C4D" w:rsidR="000A6793" w:rsidRPr="00F303D7" w:rsidRDefault="000A6793" w:rsidP="000A6793">
      <w:pPr>
        <w:pStyle w:val="TextKP"/>
      </w:pPr>
      <w:r w:rsidRPr="00022418">
        <w:t xml:space="preserve">V případě žadatelů </w:t>
      </w:r>
      <w:r w:rsidR="00F76992">
        <w:t xml:space="preserve">o </w:t>
      </w:r>
      <w:r w:rsidRPr="00022418">
        <w:t>podpor</w:t>
      </w:r>
      <w:r w:rsidR="00F76992">
        <w:t>u</w:t>
      </w:r>
      <w:r w:rsidRPr="00022418">
        <w:t xml:space="preserve"> s využitím tzv. „posílení vlastních zdrojů“ z podprogramu NZÚ</w:t>
      </w:r>
      <w:r w:rsidR="00F76992">
        <w:t> </w:t>
      </w:r>
      <w:r w:rsidRPr="00022418">
        <w:t>–</w:t>
      </w:r>
      <w:r w:rsidR="00F76992">
        <w:t> </w:t>
      </w:r>
      <w:r w:rsidRPr="00022418">
        <w:rPr>
          <w:i/>
        </w:rPr>
        <w:t xml:space="preserve">Budovy veřejného sektoru </w:t>
      </w:r>
      <w:r w:rsidR="00F76992" w:rsidRPr="00FC7CB7">
        <w:t>byla</w:t>
      </w:r>
      <w:r w:rsidRPr="00022418">
        <w:t xml:space="preserve"> vždy překr</w:t>
      </w:r>
      <w:r w:rsidR="00F76992">
        <w:t>očena</w:t>
      </w:r>
      <w:r w:rsidRPr="00022418">
        <w:t xml:space="preserve"> mezní lhůta stanovená pro </w:t>
      </w:r>
      <w:r w:rsidR="00F76992">
        <w:t>proces</w:t>
      </w:r>
      <w:r w:rsidRPr="00022418">
        <w:t xml:space="preserve"> schvalování projektů </w:t>
      </w:r>
      <w:r w:rsidR="00F76992">
        <w:t>(</w:t>
      </w:r>
      <w:r w:rsidRPr="00022418">
        <w:t>od podání žádosti do vydání právního aktu</w:t>
      </w:r>
      <w:r w:rsidR="00F76992">
        <w:t>);</w:t>
      </w:r>
      <w:r w:rsidRPr="00022418">
        <w:t xml:space="preserve"> téměř u všech případů (96 %) </w:t>
      </w:r>
      <w:r w:rsidR="002A014A">
        <w:t>byl</w:t>
      </w:r>
      <w:r w:rsidRPr="00022418">
        <w:t xml:space="preserve"> právní akt vydán za déle než jeden rok o</w:t>
      </w:r>
      <w:r w:rsidR="00280F1B">
        <w:t>d</w:t>
      </w:r>
      <w:r w:rsidR="00F76992">
        <w:t xml:space="preserve"> </w:t>
      </w:r>
      <w:r w:rsidRPr="00022418">
        <w:t>prvního podání žádosti o podporu.</w:t>
      </w:r>
    </w:p>
    <w:p w14:paraId="789240A2" w14:textId="119DB033" w:rsidR="000D712D" w:rsidRPr="007847CE" w:rsidRDefault="00C2270F" w:rsidP="00CC56A1">
      <w:pPr>
        <w:pBdr>
          <w:top w:val="single" w:sz="4" w:space="1" w:color="auto"/>
          <w:left w:val="single" w:sz="4" w:space="4" w:color="auto"/>
          <w:bottom w:val="single" w:sz="4" w:space="1" w:color="auto"/>
          <w:right w:val="single" w:sz="4" w:space="4" w:color="auto"/>
        </w:pBdr>
        <w:spacing w:before="240" w:after="240"/>
      </w:pPr>
      <w:r>
        <w:t>U p</w:t>
      </w:r>
      <w:r w:rsidR="00961C92">
        <w:t>rojekt</w:t>
      </w:r>
      <w:r>
        <w:t>ů</w:t>
      </w:r>
      <w:r w:rsidR="00961C92">
        <w:t xml:space="preserve"> ústředních institucí </w:t>
      </w:r>
      <w:r>
        <w:t xml:space="preserve">je vždy překračována </w:t>
      </w:r>
      <w:r w:rsidR="00C053FB">
        <w:t xml:space="preserve">lhůta </w:t>
      </w:r>
      <w:r>
        <w:t xml:space="preserve">stanovená </w:t>
      </w:r>
      <w:r w:rsidR="00C053FB">
        <w:t xml:space="preserve">pro </w:t>
      </w:r>
      <w:r>
        <w:t xml:space="preserve">administrativní proces schvalování poskytnutí podpory. Délka administrace </w:t>
      </w:r>
      <w:r w:rsidR="00961C92">
        <w:t>žádostí o</w:t>
      </w:r>
      <w:r w:rsidR="00C053FB">
        <w:t xml:space="preserve"> </w:t>
      </w:r>
      <w:r w:rsidR="00961C92">
        <w:t>podporu podaných těmito subjekty je vždy delší než 1 rok.</w:t>
      </w:r>
    </w:p>
    <w:p w14:paraId="1DC68E79" w14:textId="77777777" w:rsidR="009354F6" w:rsidRDefault="009354F6">
      <w:pPr>
        <w:jc w:val="left"/>
        <w:rPr>
          <w:rFonts w:cstheme="minorHAnsi"/>
          <w:b/>
        </w:rPr>
      </w:pPr>
      <w:r>
        <w:rPr>
          <w:rFonts w:cstheme="minorHAnsi"/>
          <w:b/>
        </w:rPr>
        <w:br w:type="page"/>
      </w:r>
    </w:p>
    <w:p w14:paraId="6554891A" w14:textId="05AAA6C4" w:rsidR="00D51419" w:rsidRPr="00973C05" w:rsidRDefault="00973C05" w:rsidP="00161463">
      <w:pPr>
        <w:pStyle w:val="Odstavecseseznamem"/>
        <w:numPr>
          <w:ilvl w:val="0"/>
          <w:numId w:val="10"/>
        </w:numPr>
        <w:ind w:left="284" w:hanging="284"/>
        <w:outlineLvl w:val="1"/>
        <w:rPr>
          <w:rFonts w:cstheme="minorHAnsi"/>
          <w:b/>
        </w:rPr>
      </w:pPr>
      <w:r w:rsidRPr="00973C05">
        <w:rPr>
          <w:rFonts w:cstheme="minorHAnsi"/>
          <w:b/>
        </w:rPr>
        <w:lastRenderedPageBreak/>
        <w:t>Kontrolou nebylo zjištěno neúčelné a nehospodárné poskytování peněžních prostředků</w:t>
      </w:r>
      <w:r w:rsidR="00C053FB">
        <w:rPr>
          <w:rFonts w:cstheme="minorHAnsi"/>
          <w:b/>
        </w:rPr>
        <w:t>;</w:t>
      </w:r>
      <w:r w:rsidRPr="00973C05">
        <w:rPr>
          <w:rFonts w:cstheme="minorHAnsi"/>
          <w:b/>
        </w:rPr>
        <w:t xml:space="preserve"> v oblasti administrace projektů byly zjištěny procesní ned</w:t>
      </w:r>
      <w:r>
        <w:rPr>
          <w:rFonts w:cstheme="minorHAnsi"/>
          <w:b/>
        </w:rPr>
        <w:t>ostatky nezakládající sankce za </w:t>
      </w:r>
      <w:r w:rsidRPr="00973C05">
        <w:rPr>
          <w:rFonts w:cstheme="minorHAnsi"/>
          <w:b/>
        </w:rPr>
        <w:t>porušení povinností</w:t>
      </w:r>
    </w:p>
    <w:p w14:paraId="771C9FC8" w14:textId="22D443B0" w:rsidR="001F410A" w:rsidRDefault="001F410A" w:rsidP="00CC56A1">
      <w:pPr>
        <w:spacing w:before="120" w:after="120"/>
        <w:rPr>
          <w:rFonts w:cs="Arial"/>
          <w:color w:val="000000" w:themeColor="text1"/>
          <w:szCs w:val="24"/>
        </w:rPr>
      </w:pPr>
      <w:r>
        <w:t>Ke kontrole bylo vybráno 15 projektů</w:t>
      </w:r>
      <w:r w:rsidR="00B60673">
        <w:t>, které byly</w:t>
      </w:r>
      <w:r>
        <w:t xml:space="preserve"> </w:t>
      </w:r>
      <w:r w:rsidRPr="003E7F8E">
        <w:t>zaměřen</w:t>
      </w:r>
      <w:r w:rsidR="00B60673">
        <w:t>y</w:t>
      </w:r>
      <w:r w:rsidRPr="003E7F8E">
        <w:t xml:space="preserve"> na </w:t>
      </w:r>
      <w:r w:rsidR="00C90519">
        <w:t>snížení konečné spotřeby energie ve</w:t>
      </w:r>
      <w:r w:rsidR="00B60673">
        <w:t xml:space="preserve"> </w:t>
      </w:r>
      <w:r w:rsidR="00C90519">
        <w:t xml:space="preserve">veřejných budovách </w:t>
      </w:r>
      <w:r w:rsidR="00B60673">
        <w:t>a získaly</w:t>
      </w:r>
      <w:r w:rsidR="00C90519">
        <w:t xml:space="preserve"> podpor</w:t>
      </w:r>
      <w:r w:rsidR="006F6850">
        <w:t>u</w:t>
      </w:r>
      <w:r w:rsidR="00C90519">
        <w:t xml:space="preserve"> </w:t>
      </w:r>
      <w:r>
        <w:t>z</w:t>
      </w:r>
      <w:r w:rsidR="00C90519">
        <w:t> </w:t>
      </w:r>
      <w:r>
        <w:rPr>
          <w:rFonts w:cs="Arial"/>
          <w:color w:val="000000" w:themeColor="text1"/>
          <w:szCs w:val="24"/>
        </w:rPr>
        <w:t>OPŽP</w:t>
      </w:r>
      <w:r w:rsidR="00C90519">
        <w:rPr>
          <w:rFonts w:cs="Arial"/>
          <w:color w:val="000000" w:themeColor="text1"/>
          <w:szCs w:val="24"/>
        </w:rPr>
        <w:t>.</w:t>
      </w:r>
      <w:r>
        <w:t xml:space="preserve"> </w:t>
      </w:r>
      <w:r w:rsidR="00C90519">
        <w:t>D</w:t>
      </w:r>
      <w:r>
        <w:t>va</w:t>
      </w:r>
      <w:r w:rsidR="00C90519">
        <w:t xml:space="preserve"> z těchto projektů jsou realizovány ústředními institucemi (MPO a MZe)</w:t>
      </w:r>
      <w:r w:rsidR="00783C8E">
        <w:t xml:space="preserve"> a</w:t>
      </w:r>
      <w:r w:rsidR="00C90519">
        <w:t xml:space="preserve"> zahrnují také požadavek na</w:t>
      </w:r>
      <w:r w:rsidR="000F254B">
        <w:t xml:space="preserve"> </w:t>
      </w:r>
      <w:r w:rsidR="00C90519">
        <w:t>posílení vlastních zdrojů z</w:t>
      </w:r>
      <w:r w:rsidR="006F6850">
        <w:t xml:space="preserve"> podprogramu </w:t>
      </w:r>
      <w:r w:rsidR="00C90519">
        <w:t xml:space="preserve">NZÚ – </w:t>
      </w:r>
      <w:r w:rsidR="00C90519" w:rsidRPr="00565FBA">
        <w:rPr>
          <w:i/>
        </w:rPr>
        <w:t>Budovy veřejného sektoru</w:t>
      </w:r>
      <w:r w:rsidR="00C90519">
        <w:t xml:space="preserve">. Projekt MPO byl ke dni </w:t>
      </w:r>
      <w:r w:rsidR="00C90519" w:rsidRPr="008224EB">
        <w:t>30.</w:t>
      </w:r>
      <w:r w:rsidR="007B1C0A" w:rsidRPr="008224EB">
        <w:t> </w:t>
      </w:r>
      <w:r w:rsidR="00C90519" w:rsidRPr="008224EB">
        <w:t>6.</w:t>
      </w:r>
      <w:r w:rsidR="007B1C0A" w:rsidRPr="008224EB">
        <w:t> </w:t>
      </w:r>
      <w:r w:rsidR="00C90519" w:rsidRPr="008224EB">
        <w:t xml:space="preserve">2020 ve fázi před vydáním právního aktu a projekt MZe byl ve fyzické i finanční realizaci </w:t>
      </w:r>
      <w:r w:rsidR="00AD608A" w:rsidRPr="008224EB">
        <w:t>(</w:t>
      </w:r>
      <w:r w:rsidR="00B60673">
        <w:t xml:space="preserve">viz </w:t>
      </w:r>
      <w:r w:rsidR="00AD608A" w:rsidRPr="008224EB">
        <w:t>příloha č.</w:t>
      </w:r>
      <w:r w:rsidR="008224EB">
        <w:t> </w:t>
      </w:r>
      <w:r w:rsidR="00664FAD">
        <w:t>6</w:t>
      </w:r>
      <w:r w:rsidR="009354F6">
        <w:t xml:space="preserve"> </w:t>
      </w:r>
      <w:r w:rsidR="00B60673">
        <w:t xml:space="preserve">tohoto </w:t>
      </w:r>
      <w:r w:rsidR="009354F6">
        <w:t>kontrolního závěru</w:t>
      </w:r>
      <w:r w:rsidR="00AD608A" w:rsidRPr="008224EB">
        <w:t>)</w:t>
      </w:r>
      <w:r w:rsidR="001F5FAA" w:rsidRPr="008224EB">
        <w:rPr>
          <w:rFonts w:cs="Arial"/>
          <w:color w:val="000000" w:themeColor="text1"/>
          <w:szCs w:val="24"/>
        </w:rPr>
        <w:t>.</w:t>
      </w:r>
      <w:r w:rsidR="00CC56A1" w:rsidRPr="008224EB">
        <w:rPr>
          <w:rFonts w:cs="Arial"/>
          <w:color w:val="000000" w:themeColor="text1"/>
          <w:szCs w:val="24"/>
        </w:rPr>
        <w:t xml:space="preserve"> Kontrolou</w:t>
      </w:r>
      <w:r w:rsidR="00CC56A1">
        <w:rPr>
          <w:rFonts w:cs="Arial"/>
          <w:color w:val="000000" w:themeColor="text1"/>
          <w:szCs w:val="24"/>
        </w:rPr>
        <w:t xml:space="preserve"> </w:t>
      </w:r>
      <w:r w:rsidR="00783C8E">
        <w:rPr>
          <w:rFonts w:cs="Arial"/>
          <w:color w:val="000000" w:themeColor="text1"/>
          <w:szCs w:val="24"/>
        </w:rPr>
        <w:t>administrativního procesu poskytování podpory byly na</w:t>
      </w:r>
      <w:r w:rsidR="00B60673">
        <w:rPr>
          <w:rFonts w:cs="Arial"/>
          <w:color w:val="000000" w:themeColor="text1"/>
          <w:szCs w:val="24"/>
        </w:rPr>
        <w:t xml:space="preserve"> </w:t>
      </w:r>
      <w:r w:rsidR="00C90519">
        <w:rPr>
          <w:rFonts w:cs="Arial"/>
          <w:color w:val="000000" w:themeColor="text1"/>
          <w:szCs w:val="24"/>
        </w:rPr>
        <w:t>vybran</w:t>
      </w:r>
      <w:r w:rsidR="00783C8E">
        <w:rPr>
          <w:rFonts w:cs="Arial"/>
          <w:color w:val="000000" w:themeColor="text1"/>
          <w:szCs w:val="24"/>
        </w:rPr>
        <w:t>ém</w:t>
      </w:r>
      <w:r w:rsidR="00C90519">
        <w:rPr>
          <w:rFonts w:cs="Arial"/>
          <w:color w:val="000000" w:themeColor="text1"/>
          <w:szCs w:val="24"/>
        </w:rPr>
        <w:t xml:space="preserve"> vzorku projektů zjištěny níže uvedené</w:t>
      </w:r>
      <w:r w:rsidR="00973C05">
        <w:rPr>
          <w:rFonts w:cs="Arial"/>
          <w:color w:val="000000" w:themeColor="text1"/>
          <w:szCs w:val="24"/>
        </w:rPr>
        <w:t xml:space="preserve"> </w:t>
      </w:r>
      <w:r w:rsidR="00973C05" w:rsidRPr="00973C05">
        <w:rPr>
          <w:rFonts w:cs="Arial"/>
          <w:color w:val="000000" w:themeColor="text1"/>
          <w:szCs w:val="24"/>
        </w:rPr>
        <w:t>nedostatky nezakládající sankce za</w:t>
      </w:r>
      <w:r w:rsidR="00B60673">
        <w:rPr>
          <w:rFonts w:cs="Arial"/>
          <w:color w:val="000000" w:themeColor="text1"/>
          <w:szCs w:val="24"/>
        </w:rPr>
        <w:t xml:space="preserve"> </w:t>
      </w:r>
      <w:r w:rsidR="00973C05" w:rsidRPr="00973C05">
        <w:rPr>
          <w:rFonts w:cs="Arial"/>
          <w:color w:val="000000" w:themeColor="text1"/>
          <w:szCs w:val="24"/>
        </w:rPr>
        <w:t>porušení povinností</w:t>
      </w:r>
      <w:r w:rsidR="00973C05">
        <w:rPr>
          <w:rFonts w:cs="Arial"/>
          <w:color w:val="000000" w:themeColor="text1"/>
          <w:szCs w:val="24"/>
        </w:rPr>
        <w:t>.</w:t>
      </w:r>
    </w:p>
    <w:p w14:paraId="202AA6BB" w14:textId="095FB8E8" w:rsidR="00640AF2" w:rsidRDefault="00C90519" w:rsidP="00AD608A">
      <w:pPr>
        <w:spacing w:after="120"/>
      </w:pPr>
      <w:r>
        <w:t>Energetick</w:t>
      </w:r>
      <w:r w:rsidR="00ED45A6">
        <w:t>é</w:t>
      </w:r>
      <w:r>
        <w:t xml:space="preserve"> posouzení j</w:t>
      </w:r>
      <w:r w:rsidR="00ED45A6">
        <w:t>e</w:t>
      </w:r>
      <w:r>
        <w:t xml:space="preserve"> předkládán</w:t>
      </w:r>
      <w:r w:rsidR="00ED45A6">
        <w:t>o</w:t>
      </w:r>
      <w:r>
        <w:t xml:space="preserve"> žadatel</w:t>
      </w:r>
      <w:r w:rsidR="00ED45A6">
        <w:t>em</w:t>
      </w:r>
      <w:r>
        <w:t xml:space="preserve"> o podporu a m</w:t>
      </w:r>
      <w:r w:rsidR="00ED45A6">
        <w:t>á</w:t>
      </w:r>
      <w:r>
        <w:t xml:space="preserve"> </w:t>
      </w:r>
      <w:r w:rsidRPr="00A44655">
        <w:t>do</w:t>
      </w:r>
      <w:r w:rsidR="00ED45A6">
        <w:t>ložit</w:t>
      </w:r>
      <w:r>
        <w:t xml:space="preserve"> </w:t>
      </w:r>
      <w:r w:rsidRPr="00A44655">
        <w:t>spotřeb</w:t>
      </w:r>
      <w:r>
        <w:t>u</w:t>
      </w:r>
      <w:r w:rsidRPr="00A44655">
        <w:t xml:space="preserve"> energi</w:t>
      </w:r>
      <w:r>
        <w:t>í</w:t>
      </w:r>
      <w:r w:rsidRPr="00A44655">
        <w:t xml:space="preserve"> </w:t>
      </w:r>
      <w:r w:rsidRPr="001F410A">
        <w:t>za</w:t>
      </w:r>
      <w:r w:rsidR="00E364E5">
        <w:t> </w:t>
      </w:r>
      <w:r w:rsidRPr="001F410A">
        <w:t>poslední 3 roky.</w:t>
      </w:r>
      <w:r>
        <w:t xml:space="preserve"> Kontrolou doložených energetických posouzení bylo zjištěno, že u sedmi</w:t>
      </w:r>
      <w:r w:rsidR="001F410A" w:rsidRPr="00640AF2">
        <w:t xml:space="preserve"> projektů nebyla ze strany příjemců podpory doložena </w:t>
      </w:r>
      <w:r w:rsidR="001F410A">
        <w:t>e</w:t>
      </w:r>
      <w:r w:rsidR="001F410A" w:rsidRPr="00640AF2">
        <w:t>nergetická posouzení</w:t>
      </w:r>
      <w:r w:rsidR="001F410A">
        <w:t xml:space="preserve"> </w:t>
      </w:r>
      <w:r>
        <w:t xml:space="preserve">v souladu s požadavky na jejich zpracování dle </w:t>
      </w:r>
      <w:r w:rsidR="00BC1DEF">
        <w:t>metodiky</w:t>
      </w:r>
      <w:r w:rsidR="001F410A">
        <w:t xml:space="preserve"> OPŽP</w:t>
      </w:r>
      <w:r w:rsidR="00BC1DEF">
        <w:t>, resp. výchozí stav energetické náročnosti předmětných budov nebyl zpracován z údajů o spotřebě en</w:t>
      </w:r>
      <w:r w:rsidR="00973C05">
        <w:t>ergií za poslední tři roky, ale</w:t>
      </w:r>
      <w:r w:rsidR="00ED45A6">
        <w:t xml:space="preserve"> </w:t>
      </w:r>
      <w:r w:rsidR="00BC1DEF">
        <w:t>vycházel z údajů starších</w:t>
      </w:r>
      <w:r w:rsidR="001F410A">
        <w:t>.</w:t>
      </w:r>
      <w:r w:rsidR="006F5B14">
        <w:rPr>
          <w:rStyle w:val="Znakapoznpodarou"/>
        </w:rPr>
        <w:footnoteReference w:id="44"/>
      </w:r>
    </w:p>
    <w:p w14:paraId="1F4B1D24" w14:textId="6CB0B756" w:rsidR="00B509A8" w:rsidRDefault="003E1A82" w:rsidP="003E1A82">
      <w:pPr>
        <w:spacing w:after="120"/>
      </w:pPr>
      <w:r>
        <w:t xml:space="preserve">Rozhodnutí o </w:t>
      </w:r>
      <w:r w:rsidR="00973C05">
        <w:t>poskytnutí dotace, rozhodnutí o</w:t>
      </w:r>
      <w:r w:rsidR="007375A8">
        <w:t xml:space="preserve"> </w:t>
      </w:r>
      <w:r>
        <w:t>změně p</w:t>
      </w:r>
      <w:r w:rsidR="007537D0">
        <w:t>odmínek poskytnutí dotace a </w:t>
      </w:r>
      <w:r>
        <w:t xml:space="preserve">závěrečné vyhodnocení akce </w:t>
      </w:r>
      <w:r w:rsidR="007375A8">
        <w:t>vyhotovuje</w:t>
      </w:r>
      <w:r>
        <w:t xml:space="preserve"> poskytovatel dotace</w:t>
      </w:r>
      <w:r w:rsidR="00267ED8">
        <w:t xml:space="preserve"> (</w:t>
      </w:r>
      <w:r>
        <w:t>MŽP</w:t>
      </w:r>
      <w:r w:rsidR="00267ED8">
        <w:t>) na základě podkladů zprostředkujícího subjektu (SFŽP)</w:t>
      </w:r>
      <w:r>
        <w:t>.</w:t>
      </w:r>
      <w:r w:rsidR="007537D0">
        <w:t xml:space="preserve"> </w:t>
      </w:r>
      <w:r w:rsidR="001F4B10">
        <w:t>Ve čtyřech případech</w:t>
      </w:r>
      <w:r w:rsidR="007537D0">
        <w:t xml:space="preserve"> </w:t>
      </w:r>
      <w:r w:rsidR="001F4B10">
        <w:t xml:space="preserve">MŽP ve spolupráci se SFŽP vydalo </w:t>
      </w:r>
      <w:r>
        <w:t>změnov</w:t>
      </w:r>
      <w:r w:rsidR="007537D0">
        <w:t>á rozhodnutí</w:t>
      </w:r>
      <w:r w:rsidR="001F4B10">
        <w:t xml:space="preserve"> o poskytnutí dotace</w:t>
      </w:r>
      <w:r w:rsidR="00B509A8">
        <w:t xml:space="preserve"> až v době, kdy již uplynuly původní termíny pro předložení dokumentace příjemc</w:t>
      </w:r>
      <w:r w:rsidR="006C057A">
        <w:t>em</w:t>
      </w:r>
      <w:r w:rsidR="00B509A8">
        <w:t xml:space="preserve"> k závěrečnému vyhodnocení, </w:t>
      </w:r>
      <w:r>
        <w:t>ačkoliv příjemci dotací dodali příslušné dokumenty</w:t>
      </w:r>
      <w:r w:rsidR="006C057A">
        <w:t xml:space="preserve"> kompletní a</w:t>
      </w:r>
      <w:r>
        <w:t xml:space="preserve"> </w:t>
      </w:r>
      <w:r w:rsidR="00B509A8">
        <w:t>v</w:t>
      </w:r>
      <w:r w:rsidR="006C057A">
        <w:t>e stanovených</w:t>
      </w:r>
      <w:r w:rsidR="00B509A8">
        <w:t xml:space="preserve"> termínech</w:t>
      </w:r>
      <w:r>
        <w:t>.</w:t>
      </w:r>
    </w:p>
    <w:p w14:paraId="1FA9B350" w14:textId="2A0C32AE" w:rsidR="001C12AC" w:rsidRDefault="006C057A" w:rsidP="003E1A82">
      <w:pPr>
        <w:spacing w:after="120"/>
      </w:pPr>
      <w:r>
        <w:t xml:space="preserve">Dále </w:t>
      </w:r>
      <w:r w:rsidR="00B509A8">
        <w:t xml:space="preserve">bylo </w:t>
      </w:r>
      <w:r>
        <w:t xml:space="preserve">v šesti případech </w:t>
      </w:r>
      <w:r w:rsidR="00B509A8">
        <w:t>zjištěno, že MŽP ve spolupráci se SFŽP nevydalo závěrečné vyhodnocení akce,</w:t>
      </w:r>
      <w:r w:rsidR="001C12AC">
        <w:t xml:space="preserve"> čímž nepostupovalo v souladu s ustanovením</w:t>
      </w:r>
      <w:r w:rsidR="00B509A8">
        <w:t xml:space="preserve"> </w:t>
      </w:r>
      <w:r w:rsidR="001C12AC">
        <w:t>§ 6 odst. 2 vyhlášky č. 560/2006 Sb. Předmětné projekty byly ukončeny a započalo u nich pětileté monitorova</w:t>
      </w:r>
      <w:r>
        <w:t>né</w:t>
      </w:r>
      <w:r w:rsidR="001C12AC">
        <w:t xml:space="preserve"> období udržitelnosti projektu.</w:t>
      </w:r>
    </w:p>
    <w:p w14:paraId="4C50D79B" w14:textId="77742C99" w:rsidR="00580757" w:rsidRDefault="003E1A82" w:rsidP="00CC56A1">
      <w:pPr>
        <w:pStyle w:val="TextKP"/>
        <w:rPr>
          <w:szCs w:val="20"/>
        </w:rPr>
      </w:pPr>
      <w:r w:rsidRPr="001F5FAA">
        <w:t xml:space="preserve">U ukončených </w:t>
      </w:r>
      <w:r w:rsidR="004A38A1" w:rsidRPr="001F5FAA">
        <w:t>13</w:t>
      </w:r>
      <w:r w:rsidR="004A38A1">
        <w:t xml:space="preserve"> </w:t>
      </w:r>
      <w:r w:rsidRPr="001F5FAA">
        <w:t xml:space="preserve">projektů </w:t>
      </w:r>
      <w:r w:rsidR="004A38A1">
        <w:t>kontrolního</w:t>
      </w:r>
      <w:r w:rsidRPr="001F5FAA">
        <w:t xml:space="preserve"> vzorku bylo prověřováno, zda </w:t>
      </w:r>
      <w:r w:rsidR="00BC1DEF">
        <w:t xml:space="preserve">projekty </w:t>
      </w:r>
      <w:r w:rsidRPr="001F5FAA">
        <w:t xml:space="preserve">přinášejí efekty (plnění cílových hodnot indikátorů), které se od nich očekávaly. </w:t>
      </w:r>
      <w:r w:rsidRPr="001F5FAA">
        <w:rPr>
          <w:szCs w:val="20"/>
        </w:rPr>
        <w:t>Přijatelná míra naplnění hodnot indikátor</w:t>
      </w:r>
      <w:r w:rsidR="00BC1DEF">
        <w:rPr>
          <w:szCs w:val="20"/>
        </w:rPr>
        <w:t xml:space="preserve">u </w:t>
      </w:r>
      <w:r w:rsidR="006C057A">
        <w:rPr>
          <w:szCs w:val="20"/>
        </w:rPr>
        <w:t>„</w:t>
      </w:r>
      <w:r w:rsidR="006C057A">
        <w:rPr>
          <w:i/>
          <w:szCs w:val="20"/>
        </w:rPr>
        <w:t>s</w:t>
      </w:r>
      <w:r w:rsidR="00BC1DEF" w:rsidRPr="00BC1DEF">
        <w:rPr>
          <w:i/>
          <w:szCs w:val="20"/>
        </w:rPr>
        <w:t>nížení konečné spotřeby energie ve veřejných budovách</w:t>
      </w:r>
      <w:r w:rsidR="006C057A">
        <w:rPr>
          <w:szCs w:val="20"/>
        </w:rPr>
        <w:t>“</w:t>
      </w:r>
      <w:r w:rsidRPr="001F5FAA">
        <w:rPr>
          <w:szCs w:val="20"/>
        </w:rPr>
        <w:t xml:space="preserve"> byla dle pravidel OPŽP stanovena</w:t>
      </w:r>
      <w:r w:rsidR="00BC1DEF">
        <w:rPr>
          <w:szCs w:val="20"/>
        </w:rPr>
        <w:t xml:space="preserve"> právními akty o poskytnutí podpory</w:t>
      </w:r>
      <w:r w:rsidRPr="001F5FAA">
        <w:rPr>
          <w:szCs w:val="20"/>
        </w:rPr>
        <w:t xml:space="preserve"> v</w:t>
      </w:r>
      <w:r w:rsidR="00BC1DEF">
        <w:rPr>
          <w:szCs w:val="20"/>
        </w:rPr>
        <w:t> r</w:t>
      </w:r>
      <w:r w:rsidRPr="0096095E">
        <w:rPr>
          <w:szCs w:val="20"/>
        </w:rPr>
        <w:t>ozmezí</w:t>
      </w:r>
      <w:r w:rsidR="00BC1DEF">
        <w:rPr>
          <w:szCs w:val="20"/>
        </w:rPr>
        <w:t xml:space="preserve"> minimálně</w:t>
      </w:r>
      <w:r w:rsidRPr="0096095E">
        <w:rPr>
          <w:szCs w:val="20"/>
        </w:rPr>
        <w:t xml:space="preserve"> 80 </w:t>
      </w:r>
      <w:r w:rsidR="004A38A1">
        <w:rPr>
          <w:szCs w:val="20"/>
        </w:rPr>
        <w:t xml:space="preserve">% </w:t>
      </w:r>
      <w:r w:rsidR="00580757">
        <w:rPr>
          <w:szCs w:val="20"/>
        </w:rPr>
        <w:t>a</w:t>
      </w:r>
      <w:r w:rsidRPr="0096095E">
        <w:rPr>
          <w:szCs w:val="20"/>
        </w:rPr>
        <w:t>ž 100 %</w:t>
      </w:r>
      <w:r w:rsidR="00BC1DEF">
        <w:rPr>
          <w:szCs w:val="20"/>
        </w:rPr>
        <w:t xml:space="preserve"> z</w:t>
      </w:r>
      <w:r w:rsidR="004A38A1">
        <w:rPr>
          <w:szCs w:val="20"/>
        </w:rPr>
        <w:t> </w:t>
      </w:r>
      <w:r w:rsidR="00BC1DEF">
        <w:rPr>
          <w:szCs w:val="20"/>
        </w:rPr>
        <w:t>cílové hodnoty</w:t>
      </w:r>
      <w:r w:rsidR="00580757">
        <w:rPr>
          <w:szCs w:val="20"/>
        </w:rPr>
        <w:t xml:space="preserve"> předpokládaných úspor energií.</w:t>
      </w:r>
      <w:r w:rsidR="001C12AC">
        <w:rPr>
          <w:szCs w:val="20"/>
        </w:rPr>
        <w:t xml:space="preserve"> T</w:t>
      </w:r>
      <w:r w:rsidR="00580757">
        <w:rPr>
          <w:szCs w:val="20"/>
        </w:rPr>
        <w:t>ři</w:t>
      </w:r>
      <w:r w:rsidR="00580757" w:rsidRPr="00580757">
        <w:rPr>
          <w:szCs w:val="20"/>
        </w:rPr>
        <w:t xml:space="preserve"> z ukončených 13 projektů naplnil</w:t>
      </w:r>
      <w:r w:rsidR="00580757">
        <w:rPr>
          <w:szCs w:val="20"/>
        </w:rPr>
        <w:t>y</w:t>
      </w:r>
      <w:r w:rsidR="00580757" w:rsidRPr="00580757">
        <w:rPr>
          <w:szCs w:val="20"/>
        </w:rPr>
        <w:t xml:space="preserve"> nebo překročil</w:t>
      </w:r>
      <w:r w:rsidR="00F105B0">
        <w:rPr>
          <w:szCs w:val="20"/>
        </w:rPr>
        <w:t>y</w:t>
      </w:r>
      <w:r w:rsidR="00580757" w:rsidRPr="00580757">
        <w:rPr>
          <w:szCs w:val="20"/>
        </w:rPr>
        <w:t xml:space="preserve"> cílovou hodnotu</w:t>
      </w:r>
      <w:r w:rsidR="00580757">
        <w:rPr>
          <w:szCs w:val="20"/>
        </w:rPr>
        <w:t xml:space="preserve"> úspor energií</w:t>
      </w:r>
      <w:r w:rsidR="00580757" w:rsidRPr="00580757">
        <w:rPr>
          <w:szCs w:val="20"/>
        </w:rPr>
        <w:t xml:space="preserve">, zbylých 10 projektů </w:t>
      </w:r>
      <w:r w:rsidR="001C12AC">
        <w:rPr>
          <w:szCs w:val="20"/>
        </w:rPr>
        <w:t>naplnilo</w:t>
      </w:r>
      <w:r w:rsidR="00580757" w:rsidRPr="00580757">
        <w:rPr>
          <w:szCs w:val="20"/>
        </w:rPr>
        <w:t xml:space="preserve"> cílovou hodnotu v</w:t>
      </w:r>
      <w:r w:rsidR="00580757">
        <w:rPr>
          <w:szCs w:val="20"/>
        </w:rPr>
        <w:t>e</w:t>
      </w:r>
      <w:r w:rsidR="00E364E5">
        <w:rPr>
          <w:szCs w:val="20"/>
        </w:rPr>
        <w:t> </w:t>
      </w:r>
      <w:r w:rsidR="00580757">
        <w:rPr>
          <w:szCs w:val="20"/>
        </w:rPr>
        <w:t>stanoveném rozmezí.</w:t>
      </w:r>
    </w:p>
    <w:p w14:paraId="546C4374" w14:textId="77777777" w:rsidR="00CC56A1" w:rsidRPr="003E7F8E" w:rsidRDefault="00CC56A1" w:rsidP="00CC56A1">
      <w:pPr>
        <w:pStyle w:val="TextKP"/>
        <w:pBdr>
          <w:top w:val="single" w:sz="4" w:space="1" w:color="auto"/>
          <w:left w:val="single" w:sz="4" w:space="4" w:color="auto"/>
          <w:bottom w:val="single" w:sz="4" w:space="1" w:color="auto"/>
          <w:right w:val="single" w:sz="4" w:space="4" w:color="auto"/>
        </w:pBdr>
        <w:spacing w:before="240" w:after="240"/>
        <w:rPr>
          <w:bCs/>
        </w:rPr>
      </w:pPr>
      <w:r>
        <w:t>U</w:t>
      </w:r>
      <w:r w:rsidRPr="003E7F8E">
        <w:t xml:space="preserve"> kontrolou prověřených projektů nebylo zjištěno neúčelné a</w:t>
      </w:r>
      <w:r w:rsidR="004A38A1">
        <w:t>ni</w:t>
      </w:r>
      <w:r w:rsidRPr="003E7F8E">
        <w:t xml:space="preserve"> nehospodár</w:t>
      </w:r>
      <w:r>
        <w:t>né použití peněžních pro</w:t>
      </w:r>
      <w:r w:rsidR="00580757">
        <w:t>středků.</w:t>
      </w:r>
    </w:p>
    <w:p w14:paraId="5864936E" w14:textId="77777777" w:rsidR="004C0F3E" w:rsidRPr="00CC56A1" w:rsidRDefault="00CC56A1" w:rsidP="00612EA4">
      <w:pPr>
        <w:jc w:val="left"/>
        <w:outlineLvl w:val="0"/>
        <w:rPr>
          <w:b/>
          <w:noProof/>
        </w:rPr>
      </w:pPr>
      <w:r>
        <w:rPr>
          <w:rFonts w:cstheme="minorHAnsi"/>
          <w:lang w:eastAsia="en-US"/>
        </w:rPr>
        <w:br w:type="page"/>
      </w:r>
      <w:r w:rsidR="001D7420" w:rsidRPr="00CC56A1">
        <w:rPr>
          <w:b/>
          <w:noProof/>
        </w:rPr>
        <w:lastRenderedPageBreak/>
        <w:t>Seznam zkratek:</w:t>
      </w:r>
    </w:p>
    <w:tbl>
      <w:tblPr>
        <w:tblW w:w="9120" w:type="dxa"/>
        <w:tblInd w:w="-5" w:type="dxa"/>
        <w:tblCellMar>
          <w:left w:w="70" w:type="dxa"/>
          <w:right w:w="70" w:type="dxa"/>
        </w:tblCellMar>
        <w:tblLook w:val="04A0" w:firstRow="1" w:lastRow="0" w:firstColumn="1" w:lastColumn="0" w:noHBand="0" w:noVBand="1"/>
      </w:tblPr>
      <w:tblGrid>
        <w:gridCol w:w="2977"/>
        <w:gridCol w:w="6143"/>
      </w:tblGrid>
      <w:tr w:rsidR="00040FCF" w:rsidRPr="00AD608A" w14:paraId="1FA313B9" w14:textId="77777777" w:rsidTr="001B142E">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8B815" w14:textId="77777777" w:rsidR="00040FCF" w:rsidRPr="00AD608A" w:rsidRDefault="00040FCF" w:rsidP="00AD608A">
            <w:pPr>
              <w:jc w:val="left"/>
              <w:rPr>
                <w:rFonts w:ascii="Calibri" w:hAnsi="Calibri"/>
                <w:color w:val="000000"/>
                <w:szCs w:val="24"/>
              </w:rPr>
            </w:pPr>
            <w:r>
              <w:rPr>
                <w:rFonts w:ascii="Calibri" w:hAnsi="Calibri"/>
                <w:color w:val="000000"/>
                <w:szCs w:val="24"/>
              </w:rPr>
              <w:t xml:space="preserve">315 </w:t>
            </w:r>
            <w:r>
              <w:t>– MŽP</w:t>
            </w:r>
          </w:p>
        </w:tc>
        <w:tc>
          <w:tcPr>
            <w:tcW w:w="6143" w:type="dxa"/>
            <w:tcBorders>
              <w:top w:val="single" w:sz="4" w:space="0" w:color="auto"/>
              <w:left w:val="nil"/>
              <w:bottom w:val="single" w:sz="4" w:space="0" w:color="auto"/>
              <w:right w:val="single" w:sz="4" w:space="0" w:color="auto"/>
            </w:tcBorders>
            <w:shd w:val="clear" w:color="auto" w:fill="auto"/>
            <w:vAlign w:val="center"/>
          </w:tcPr>
          <w:p w14:paraId="233ABE4B" w14:textId="77777777" w:rsidR="00040FCF" w:rsidRPr="00AD608A" w:rsidRDefault="00040FCF" w:rsidP="00E364E5">
            <w:pPr>
              <w:rPr>
                <w:rFonts w:ascii="Calibri" w:hAnsi="Calibri"/>
                <w:color w:val="000000"/>
                <w:szCs w:val="24"/>
              </w:rPr>
            </w:pPr>
            <w:r>
              <w:rPr>
                <w:rFonts w:ascii="Calibri" w:hAnsi="Calibri"/>
                <w:color w:val="000000"/>
                <w:szCs w:val="24"/>
              </w:rPr>
              <w:t xml:space="preserve">kapitola státního rozpočtu 315 </w:t>
            </w:r>
            <w:r>
              <w:t xml:space="preserve">– </w:t>
            </w:r>
            <w:r w:rsidRPr="00FC7CB7">
              <w:rPr>
                <w:i/>
              </w:rPr>
              <w:t>Ministerstvo životního prostředí</w:t>
            </w:r>
          </w:p>
        </w:tc>
      </w:tr>
      <w:tr w:rsidR="000C3B5A" w:rsidRPr="00AD608A" w14:paraId="47F4D3AF" w14:textId="77777777" w:rsidTr="001B142E">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856D4" w14:textId="77777777" w:rsidR="000C3B5A" w:rsidRDefault="000C3B5A" w:rsidP="00AD608A">
            <w:pPr>
              <w:jc w:val="left"/>
              <w:rPr>
                <w:rFonts w:ascii="Calibri" w:hAnsi="Calibri"/>
                <w:color w:val="000000"/>
                <w:szCs w:val="24"/>
              </w:rPr>
            </w:pPr>
            <w:r>
              <w:rPr>
                <w:rFonts w:ascii="Calibri" w:hAnsi="Calibri"/>
                <w:color w:val="000000"/>
                <w:szCs w:val="24"/>
              </w:rPr>
              <w:t>BIS</w:t>
            </w:r>
          </w:p>
        </w:tc>
        <w:tc>
          <w:tcPr>
            <w:tcW w:w="6143" w:type="dxa"/>
            <w:tcBorders>
              <w:top w:val="single" w:sz="4" w:space="0" w:color="auto"/>
              <w:left w:val="nil"/>
              <w:bottom w:val="single" w:sz="4" w:space="0" w:color="auto"/>
              <w:right w:val="single" w:sz="4" w:space="0" w:color="auto"/>
            </w:tcBorders>
            <w:shd w:val="clear" w:color="auto" w:fill="auto"/>
            <w:vAlign w:val="center"/>
          </w:tcPr>
          <w:p w14:paraId="6267ECD0" w14:textId="77777777" w:rsidR="000C3B5A" w:rsidRDefault="000C3B5A" w:rsidP="00AD608A">
            <w:pPr>
              <w:jc w:val="left"/>
              <w:rPr>
                <w:rFonts w:ascii="Calibri" w:hAnsi="Calibri"/>
                <w:color w:val="000000"/>
                <w:szCs w:val="24"/>
              </w:rPr>
            </w:pPr>
            <w:r>
              <w:rPr>
                <w:rFonts w:ascii="Calibri" w:hAnsi="Calibri"/>
                <w:color w:val="000000"/>
                <w:szCs w:val="24"/>
              </w:rPr>
              <w:t>Bezpečnostní informační služba</w:t>
            </w:r>
          </w:p>
        </w:tc>
      </w:tr>
      <w:tr w:rsidR="00A669FE" w:rsidRPr="00AD608A" w14:paraId="55AEEC16" w14:textId="77777777" w:rsidTr="001B142E">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9BE8A" w14:textId="77777777" w:rsidR="00A669FE" w:rsidRDefault="00A669FE" w:rsidP="00AD608A">
            <w:pPr>
              <w:jc w:val="left"/>
              <w:rPr>
                <w:rFonts w:ascii="Calibri" w:hAnsi="Calibri"/>
                <w:color w:val="000000"/>
                <w:szCs w:val="24"/>
              </w:rPr>
            </w:pPr>
            <w:r>
              <w:rPr>
                <w:rFonts w:ascii="Calibri" w:hAnsi="Calibri"/>
                <w:color w:val="000000"/>
                <w:szCs w:val="24"/>
              </w:rPr>
              <w:t>CZV</w:t>
            </w:r>
          </w:p>
        </w:tc>
        <w:tc>
          <w:tcPr>
            <w:tcW w:w="6143" w:type="dxa"/>
            <w:tcBorders>
              <w:top w:val="single" w:sz="4" w:space="0" w:color="auto"/>
              <w:left w:val="nil"/>
              <w:bottom w:val="single" w:sz="4" w:space="0" w:color="auto"/>
              <w:right w:val="single" w:sz="4" w:space="0" w:color="auto"/>
            </w:tcBorders>
            <w:shd w:val="clear" w:color="auto" w:fill="auto"/>
            <w:vAlign w:val="center"/>
          </w:tcPr>
          <w:p w14:paraId="71BF5F10" w14:textId="77777777" w:rsidR="00A669FE" w:rsidRDefault="003D5728" w:rsidP="00AD608A">
            <w:pPr>
              <w:jc w:val="left"/>
              <w:rPr>
                <w:rFonts w:ascii="Calibri" w:hAnsi="Calibri"/>
                <w:color w:val="000000"/>
                <w:szCs w:val="24"/>
              </w:rPr>
            </w:pPr>
            <w:r>
              <w:rPr>
                <w:rFonts w:ascii="Calibri" w:hAnsi="Calibri"/>
                <w:color w:val="000000"/>
                <w:szCs w:val="24"/>
              </w:rPr>
              <w:t>celkové způsobilé výdaje</w:t>
            </w:r>
          </w:p>
        </w:tc>
      </w:tr>
      <w:tr w:rsidR="00AD608A" w:rsidRPr="00AD608A" w14:paraId="6E27C0FD" w14:textId="77777777" w:rsidTr="001B142E">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3EAD3"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ČBÚ</w:t>
            </w:r>
          </w:p>
        </w:tc>
        <w:tc>
          <w:tcPr>
            <w:tcW w:w="6143" w:type="dxa"/>
            <w:tcBorders>
              <w:top w:val="single" w:sz="4" w:space="0" w:color="auto"/>
              <w:left w:val="nil"/>
              <w:bottom w:val="single" w:sz="4" w:space="0" w:color="auto"/>
              <w:right w:val="single" w:sz="4" w:space="0" w:color="auto"/>
            </w:tcBorders>
            <w:shd w:val="clear" w:color="auto" w:fill="auto"/>
            <w:vAlign w:val="center"/>
            <w:hideMark/>
          </w:tcPr>
          <w:p w14:paraId="55746A88"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Český báňský úřad</w:t>
            </w:r>
          </w:p>
        </w:tc>
      </w:tr>
      <w:tr w:rsidR="00AD608A" w:rsidRPr="00AD608A" w14:paraId="1CA1CFF9"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623A519"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ČR</w:t>
            </w:r>
          </w:p>
        </w:tc>
        <w:tc>
          <w:tcPr>
            <w:tcW w:w="6143" w:type="dxa"/>
            <w:tcBorders>
              <w:top w:val="nil"/>
              <w:left w:val="nil"/>
              <w:bottom w:val="single" w:sz="4" w:space="0" w:color="auto"/>
              <w:right w:val="single" w:sz="4" w:space="0" w:color="auto"/>
            </w:tcBorders>
            <w:shd w:val="clear" w:color="auto" w:fill="auto"/>
            <w:vAlign w:val="center"/>
            <w:hideMark/>
          </w:tcPr>
          <w:p w14:paraId="208154E0"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Česká republika</w:t>
            </w:r>
          </w:p>
        </w:tc>
      </w:tr>
      <w:tr w:rsidR="00AD608A" w:rsidRPr="00AD608A" w14:paraId="47403B1F"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6B43896"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ČSÚ</w:t>
            </w:r>
          </w:p>
        </w:tc>
        <w:tc>
          <w:tcPr>
            <w:tcW w:w="6143" w:type="dxa"/>
            <w:tcBorders>
              <w:top w:val="nil"/>
              <w:left w:val="nil"/>
              <w:bottom w:val="single" w:sz="4" w:space="0" w:color="auto"/>
              <w:right w:val="single" w:sz="4" w:space="0" w:color="auto"/>
            </w:tcBorders>
            <w:shd w:val="clear" w:color="auto" w:fill="auto"/>
            <w:vAlign w:val="center"/>
            <w:hideMark/>
          </w:tcPr>
          <w:p w14:paraId="4AEB7DA7"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Český statistický úřad</w:t>
            </w:r>
          </w:p>
        </w:tc>
      </w:tr>
      <w:tr w:rsidR="00AD608A" w:rsidRPr="00AD608A" w14:paraId="28C61436"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628EABC"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DH</w:t>
            </w:r>
          </w:p>
        </w:tc>
        <w:tc>
          <w:tcPr>
            <w:tcW w:w="6143" w:type="dxa"/>
            <w:tcBorders>
              <w:top w:val="nil"/>
              <w:left w:val="nil"/>
              <w:bottom w:val="single" w:sz="4" w:space="0" w:color="auto"/>
              <w:right w:val="single" w:sz="4" w:space="0" w:color="auto"/>
            </w:tcBorders>
            <w:shd w:val="clear" w:color="auto" w:fill="auto"/>
            <w:vAlign w:val="center"/>
            <w:hideMark/>
          </w:tcPr>
          <w:p w14:paraId="6AC1D2EF" w14:textId="5A84A39B" w:rsidR="00AD608A" w:rsidRPr="00AD608A" w:rsidRDefault="00A77F91" w:rsidP="00AD608A">
            <w:pPr>
              <w:jc w:val="left"/>
              <w:rPr>
                <w:rFonts w:ascii="Calibri" w:hAnsi="Calibri"/>
                <w:color w:val="000000"/>
                <w:szCs w:val="24"/>
              </w:rPr>
            </w:pPr>
            <w:r>
              <w:rPr>
                <w:rFonts w:ascii="Calibri" w:hAnsi="Calibri"/>
                <w:color w:val="000000"/>
                <w:szCs w:val="24"/>
              </w:rPr>
              <w:t>d</w:t>
            </w:r>
            <w:r w:rsidR="00AD608A" w:rsidRPr="00AD608A">
              <w:rPr>
                <w:rFonts w:ascii="Calibri" w:hAnsi="Calibri"/>
                <w:color w:val="000000"/>
                <w:szCs w:val="24"/>
              </w:rPr>
              <w:t>osažená hodnota</w:t>
            </w:r>
          </w:p>
        </w:tc>
      </w:tr>
      <w:tr w:rsidR="00AD608A" w:rsidRPr="00AD608A" w14:paraId="5023A1D5"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20218FC" w14:textId="2D855C88" w:rsidR="00AD608A" w:rsidRDefault="00AD608A" w:rsidP="00AD608A">
            <w:pPr>
              <w:jc w:val="left"/>
              <w:rPr>
                <w:rFonts w:ascii="Calibri" w:hAnsi="Calibri"/>
                <w:color w:val="000000"/>
                <w:szCs w:val="24"/>
              </w:rPr>
            </w:pPr>
            <w:r w:rsidRPr="00AD608A">
              <w:rPr>
                <w:rFonts w:ascii="Calibri" w:hAnsi="Calibri"/>
                <w:color w:val="000000"/>
                <w:szCs w:val="24"/>
              </w:rPr>
              <w:t>EED</w:t>
            </w:r>
            <w:r w:rsidRPr="00AD608A">
              <w:rPr>
                <w:rFonts w:ascii="Calibri" w:hAnsi="Calibri"/>
                <w:color w:val="000000"/>
                <w:szCs w:val="24"/>
              </w:rPr>
              <w:br/>
            </w:r>
            <w:r w:rsidR="00A05227">
              <w:rPr>
                <w:rFonts w:ascii="Calibri" w:hAnsi="Calibri"/>
                <w:color w:val="000000"/>
                <w:szCs w:val="24"/>
              </w:rPr>
              <w:t>s</w:t>
            </w:r>
            <w:r w:rsidRPr="00AD608A">
              <w:rPr>
                <w:rFonts w:ascii="Calibri" w:hAnsi="Calibri"/>
                <w:color w:val="000000"/>
                <w:szCs w:val="24"/>
              </w:rPr>
              <w:t>měrnice 2012/27/EU</w:t>
            </w:r>
          </w:p>
          <w:p w14:paraId="35854C52" w14:textId="703BA478" w:rsidR="0074637E" w:rsidRPr="00AD608A" w:rsidRDefault="0074637E" w:rsidP="00AD608A">
            <w:pPr>
              <w:jc w:val="left"/>
              <w:rPr>
                <w:rFonts w:ascii="Calibri" w:hAnsi="Calibri"/>
                <w:color w:val="000000"/>
                <w:szCs w:val="24"/>
              </w:rPr>
            </w:pPr>
          </w:p>
        </w:tc>
        <w:tc>
          <w:tcPr>
            <w:tcW w:w="6143" w:type="dxa"/>
            <w:tcBorders>
              <w:top w:val="nil"/>
              <w:left w:val="nil"/>
              <w:bottom w:val="single" w:sz="4" w:space="0" w:color="auto"/>
              <w:right w:val="single" w:sz="4" w:space="0" w:color="auto"/>
            </w:tcBorders>
            <w:shd w:val="clear" w:color="auto" w:fill="auto"/>
            <w:vAlign w:val="center"/>
            <w:hideMark/>
          </w:tcPr>
          <w:p w14:paraId="55CDB849" w14:textId="29B97B5F" w:rsidR="00AD608A" w:rsidRPr="00AD608A" w:rsidRDefault="00A77F91" w:rsidP="00E364E5">
            <w:pPr>
              <w:rPr>
                <w:rFonts w:ascii="Calibri" w:hAnsi="Calibri"/>
                <w:color w:val="000000"/>
                <w:szCs w:val="24"/>
              </w:rPr>
            </w:pPr>
            <w:r>
              <w:rPr>
                <w:rFonts w:ascii="Calibri" w:hAnsi="Calibri"/>
                <w:color w:val="000000"/>
                <w:szCs w:val="24"/>
              </w:rPr>
              <w:t>s</w:t>
            </w:r>
            <w:r w:rsidR="00AD608A" w:rsidRPr="00AD608A">
              <w:rPr>
                <w:rFonts w:ascii="Calibri" w:hAnsi="Calibri"/>
                <w:color w:val="000000"/>
                <w:szCs w:val="24"/>
              </w:rPr>
              <w:t>měrnic</w:t>
            </w:r>
            <w:r>
              <w:rPr>
                <w:rFonts w:ascii="Calibri" w:hAnsi="Calibri"/>
                <w:color w:val="000000"/>
                <w:szCs w:val="24"/>
              </w:rPr>
              <w:t>e</w:t>
            </w:r>
            <w:r w:rsidR="00AD608A" w:rsidRPr="00AD608A">
              <w:rPr>
                <w:rFonts w:ascii="Calibri" w:hAnsi="Calibri"/>
                <w:color w:val="000000"/>
                <w:szCs w:val="24"/>
              </w:rPr>
              <w:t xml:space="preserve"> Evropského parlamentu a Rady 2012/27/E</w:t>
            </w:r>
            <w:r w:rsidR="008B16FC">
              <w:rPr>
                <w:rFonts w:ascii="Calibri" w:hAnsi="Calibri"/>
                <w:color w:val="000000"/>
                <w:szCs w:val="24"/>
              </w:rPr>
              <w:t>U</w:t>
            </w:r>
            <w:r w:rsidR="00AD608A" w:rsidRPr="00AD608A">
              <w:rPr>
                <w:rFonts w:ascii="Calibri" w:hAnsi="Calibri"/>
                <w:color w:val="000000"/>
                <w:szCs w:val="24"/>
              </w:rPr>
              <w:t xml:space="preserve"> ze dne 25. října 2012</w:t>
            </w:r>
            <w:r>
              <w:rPr>
                <w:rFonts w:ascii="Calibri" w:hAnsi="Calibri"/>
                <w:color w:val="000000"/>
                <w:szCs w:val="24"/>
              </w:rPr>
              <w:t>,</w:t>
            </w:r>
            <w:r w:rsidR="00AD608A" w:rsidRPr="00AD608A">
              <w:rPr>
                <w:rFonts w:ascii="Calibri" w:hAnsi="Calibri"/>
                <w:color w:val="000000"/>
                <w:szCs w:val="24"/>
              </w:rPr>
              <w:t xml:space="preserve"> o energetické účinnosti, o změně směrnic 2009/125/ES a 2010/30/EU a</w:t>
            </w:r>
            <w:r>
              <w:rPr>
                <w:rFonts w:ascii="Calibri" w:hAnsi="Calibri"/>
                <w:color w:val="000000"/>
                <w:szCs w:val="24"/>
              </w:rPr>
              <w:t xml:space="preserve"> </w:t>
            </w:r>
            <w:r w:rsidR="00AD608A" w:rsidRPr="00AD608A">
              <w:rPr>
                <w:rFonts w:ascii="Calibri" w:hAnsi="Calibri"/>
                <w:color w:val="000000"/>
                <w:szCs w:val="24"/>
              </w:rPr>
              <w:t>o</w:t>
            </w:r>
            <w:r>
              <w:rPr>
                <w:rFonts w:ascii="Calibri" w:hAnsi="Calibri"/>
                <w:color w:val="000000"/>
                <w:szCs w:val="24"/>
              </w:rPr>
              <w:t xml:space="preserve"> </w:t>
            </w:r>
            <w:r w:rsidR="00AD608A" w:rsidRPr="00AD608A">
              <w:rPr>
                <w:rFonts w:ascii="Calibri" w:hAnsi="Calibri"/>
                <w:color w:val="000000"/>
                <w:szCs w:val="24"/>
              </w:rPr>
              <w:t>zrušení směrnic 2004/8/ES a 2006/32/ES</w:t>
            </w:r>
          </w:p>
        </w:tc>
      </w:tr>
      <w:tr w:rsidR="00AD608A" w:rsidRPr="00AD608A" w14:paraId="487515FB"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2045601"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EK</w:t>
            </w:r>
          </w:p>
        </w:tc>
        <w:tc>
          <w:tcPr>
            <w:tcW w:w="6143" w:type="dxa"/>
            <w:tcBorders>
              <w:top w:val="nil"/>
              <w:left w:val="nil"/>
              <w:bottom w:val="single" w:sz="4" w:space="0" w:color="auto"/>
              <w:right w:val="single" w:sz="4" w:space="0" w:color="auto"/>
            </w:tcBorders>
            <w:shd w:val="clear" w:color="auto" w:fill="auto"/>
            <w:vAlign w:val="center"/>
            <w:hideMark/>
          </w:tcPr>
          <w:p w14:paraId="7B640DDF"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Evropská komise</w:t>
            </w:r>
          </w:p>
        </w:tc>
      </w:tr>
      <w:tr w:rsidR="00AD608A" w:rsidRPr="00AD608A" w14:paraId="7DE45E94"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ED9133A"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ES</w:t>
            </w:r>
          </w:p>
        </w:tc>
        <w:tc>
          <w:tcPr>
            <w:tcW w:w="6143" w:type="dxa"/>
            <w:tcBorders>
              <w:top w:val="nil"/>
              <w:left w:val="nil"/>
              <w:bottom w:val="single" w:sz="4" w:space="0" w:color="auto"/>
              <w:right w:val="single" w:sz="4" w:space="0" w:color="auto"/>
            </w:tcBorders>
            <w:shd w:val="clear" w:color="auto" w:fill="auto"/>
            <w:vAlign w:val="center"/>
            <w:hideMark/>
          </w:tcPr>
          <w:p w14:paraId="78C37820"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Evropská společenství</w:t>
            </w:r>
          </w:p>
        </w:tc>
      </w:tr>
      <w:tr w:rsidR="00AD608A" w:rsidRPr="00AD608A" w14:paraId="78C82A4E"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D0D56D1"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EU</w:t>
            </w:r>
          </w:p>
        </w:tc>
        <w:tc>
          <w:tcPr>
            <w:tcW w:w="6143" w:type="dxa"/>
            <w:tcBorders>
              <w:top w:val="nil"/>
              <w:left w:val="nil"/>
              <w:bottom w:val="single" w:sz="4" w:space="0" w:color="auto"/>
              <w:right w:val="single" w:sz="4" w:space="0" w:color="auto"/>
            </w:tcBorders>
            <w:shd w:val="clear" w:color="auto" w:fill="auto"/>
            <w:vAlign w:val="center"/>
            <w:hideMark/>
          </w:tcPr>
          <w:p w14:paraId="43C85DED"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Evropská unie</w:t>
            </w:r>
          </w:p>
        </w:tc>
      </w:tr>
      <w:tr w:rsidR="00AD608A" w:rsidRPr="00AD608A" w14:paraId="7CBE7748"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20BF10A"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EUA</w:t>
            </w:r>
          </w:p>
        </w:tc>
        <w:tc>
          <w:tcPr>
            <w:tcW w:w="6143" w:type="dxa"/>
            <w:tcBorders>
              <w:top w:val="nil"/>
              <w:left w:val="nil"/>
              <w:bottom w:val="single" w:sz="4" w:space="0" w:color="auto"/>
              <w:right w:val="single" w:sz="4" w:space="0" w:color="auto"/>
            </w:tcBorders>
            <w:shd w:val="clear" w:color="auto" w:fill="auto"/>
            <w:vAlign w:val="center"/>
            <w:hideMark/>
          </w:tcPr>
          <w:p w14:paraId="0F2AEC78" w14:textId="77777777" w:rsidR="00AD608A" w:rsidRPr="00AD608A" w:rsidRDefault="00AD608A" w:rsidP="00E364E5">
            <w:pPr>
              <w:rPr>
                <w:rFonts w:ascii="Calibri" w:hAnsi="Calibri"/>
                <w:color w:val="000000"/>
                <w:szCs w:val="24"/>
              </w:rPr>
            </w:pPr>
            <w:r w:rsidRPr="00AD608A">
              <w:rPr>
                <w:rFonts w:ascii="Calibri" w:hAnsi="Calibri"/>
                <w:color w:val="000000"/>
                <w:szCs w:val="24"/>
              </w:rPr>
              <w:t>European Union Allowance, emisní povolenka pro stacionární zdroje znečištění</w:t>
            </w:r>
          </w:p>
        </w:tc>
      </w:tr>
      <w:tr w:rsidR="00AD608A" w:rsidRPr="00AD608A" w14:paraId="3AFB53E0"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1F2EE22"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EUAA</w:t>
            </w:r>
          </w:p>
        </w:tc>
        <w:tc>
          <w:tcPr>
            <w:tcW w:w="6143" w:type="dxa"/>
            <w:tcBorders>
              <w:top w:val="nil"/>
              <w:left w:val="nil"/>
              <w:bottom w:val="single" w:sz="4" w:space="0" w:color="auto"/>
              <w:right w:val="single" w:sz="4" w:space="0" w:color="auto"/>
            </w:tcBorders>
            <w:shd w:val="clear" w:color="auto" w:fill="auto"/>
            <w:vAlign w:val="center"/>
            <w:hideMark/>
          </w:tcPr>
          <w:p w14:paraId="4FA65442" w14:textId="77777777" w:rsidR="00AD608A" w:rsidRPr="00AD608A" w:rsidRDefault="00AD608A" w:rsidP="00E364E5">
            <w:pPr>
              <w:rPr>
                <w:rFonts w:ascii="Calibri" w:hAnsi="Calibri"/>
                <w:color w:val="000000"/>
                <w:szCs w:val="24"/>
              </w:rPr>
            </w:pPr>
            <w:r w:rsidRPr="00AD608A">
              <w:rPr>
                <w:rFonts w:ascii="Calibri" w:hAnsi="Calibri"/>
                <w:color w:val="000000"/>
                <w:szCs w:val="24"/>
              </w:rPr>
              <w:t>European Union Aviation Allowance, emisní povolenka pro letecký provoz</w:t>
            </w:r>
          </w:p>
        </w:tc>
      </w:tr>
      <w:tr w:rsidR="00AD608A" w:rsidRPr="00AD608A" w14:paraId="6E9B4D8C"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6CD816E"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EU ETS</w:t>
            </w:r>
          </w:p>
        </w:tc>
        <w:tc>
          <w:tcPr>
            <w:tcW w:w="6143" w:type="dxa"/>
            <w:tcBorders>
              <w:top w:val="nil"/>
              <w:left w:val="nil"/>
              <w:bottom w:val="single" w:sz="4" w:space="0" w:color="auto"/>
              <w:right w:val="single" w:sz="4" w:space="0" w:color="auto"/>
            </w:tcBorders>
            <w:shd w:val="clear" w:color="auto" w:fill="auto"/>
            <w:vAlign w:val="center"/>
            <w:hideMark/>
          </w:tcPr>
          <w:p w14:paraId="24EB36A0" w14:textId="77777777" w:rsidR="00AD608A" w:rsidRPr="00AD608A" w:rsidRDefault="00AD608A" w:rsidP="00E364E5">
            <w:pPr>
              <w:rPr>
                <w:rFonts w:ascii="Calibri" w:hAnsi="Calibri"/>
                <w:color w:val="000000"/>
                <w:szCs w:val="24"/>
              </w:rPr>
            </w:pPr>
            <w:r w:rsidRPr="00AD608A">
              <w:rPr>
                <w:rFonts w:ascii="Calibri" w:hAnsi="Calibri"/>
                <w:color w:val="000000"/>
                <w:szCs w:val="24"/>
              </w:rPr>
              <w:t>European Union Emission Trading Scheme, systém emisního obchodování</w:t>
            </w:r>
          </w:p>
        </w:tc>
      </w:tr>
      <w:tr w:rsidR="00EE39A6" w:rsidRPr="00AD608A" w14:paraId="2FF42AE2"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56FAE141" w14:textId="77777777" w:rsidR="00EE39A6" w:rsidRPr="00AD608A" w:rsidRDefault="00A05227" w:rsidP="00AD608A">
            <w:pPr>
              <w:jc w:val="left"/>
              <w:rPr>
                <w:rFonts w:ascii="Calibri" w:hAnsi="Calibri"/>
                <w:color w:val="000000"/>
                <w:szCs w:val="24"/>
              </w:rPr>
            </w:pPr>
            <w:r>
              <w:t>i</w:t>
            </w:r>
            <w:r w:rsidR="00EE39A6">
              <w:t xml:space="preserve">ndikátor </w:t>
            </w:r>
            <w:r w:rsidR="00EE39A6" w:rsidRPr="00EE39A6">
              <w:t>32701</w:t>
            </w:r>
          </w:p>
        </w:tc>
        <w:tc>
          <w:tcPr>
            <w:tcW w:w="6143" w:type="dxa"/>
            <w:tcBorders>
              <w:top w:val="nil"/>
              <w:left w:val="nil"/>
              <w:bottom w:val="single" w:sz="4" w:space="0" w:color="auto"/>
              <w:right w:val="single" w:sz="4" w:space="0" w:color="auto"/>
            </w:tcBorders>
            <w:shd w:val="clear" w:color="auto" w:fill="auto"/>
            <w:vAlign w:val="center"/>
          </w:tcPr>
          <w:p w14:paraId="71A05BF1" w14:textId="77777777" w:rsidR="00EE39A6" w:rsidRPr="00AD608A" w:rsidRDefault="00EE39A6" w:rsidP="00E364E5">
            <w:pPr>
              <w:rPr>
                <w:rFonts w:ascii="Calibri" w:hAnsi="Calibri"/>
                <w:color w:val="000000"/>
                <w:szCs w:val="24"/>
              </w:rPr>
            </w:pPr>
            <w:r>
              <w:rPr>
                <w:rFonts w:ascii="Calibri" w:hAnsi="Calibri"/>
                <w:color w:val="000000"/>
                <w:szCs w:val="24"/>
              </w:rPr>
              <w:t xml:space="preserve">indikátor </w:t>
            </w:r>
            <w:r w:rsidRPr="00442385">
              <w:rPr>
                <w:i/>
              </w:rPr>
              <w:t>32701</w:t>
            </w:r>
            <w:r>
              <w:t xml:space="preserve"> </w:t>
            </w:r>
            <w:r w:rsidRPr="2EDFE955">
              <w:rPr>
                <w:i/>
                <w:iCs/>
              </w:rPr>
              <w:t>Snížení konečné spotřeby energie ve</w:t>
            </w:r>
            <w:r>
              <w:rPr>
                <w:i/>
                <w:iCs/>
              </w:rPr>
              <w:t xml:space="preserve"> </w:t>
            </w:r>
            <w:r w:rsidRPr="2EDFE955">
              <w:rPr>
                <w:i/>
                <w:iCs/>
              </w:rPr>
              <w:t>veřejných budovách</w:t>
            </w:r>
          </w:p>
        </w:tc>
      </w:tr>
      <w:tr w:rsidR="00AD608A" w:rsidRPr="00AD608A" w14:paraId="0214E216"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51DDD2B"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IROP</w:t>
            </w:r>
          </w:p>
        </w:tc>
        <w:tc>
          <w:tcPr>
            <w:tcW w:w="6143" w:type="dxa"/>
            <w:tcBorders>
              <w:top w:val="nil"/>
              <w:left w:val="nil"/>
              <w:bottom w:val="single" w:sz="4" w:space="0" w:color="auto"/>
              <w:right w:val="single" w:sz="4" w:space="0" w:color="auto"/>
            </w:tcBorders>
            <w:shd w:val="clear" w:color="auto" w:fill="auto"/>
            <w:vAlign w:val="center"/>
            <w:hideMark/>
          </w:tcPr>
          <w:p w14:paraId="25BA95E3" w14:textId="77777777" w:rsidR="00AD608A" w:rsidRPr="00FC7CB7" w:rsidRDefault="00AD608A" w:rsidP="00AD608A">
            <w:pPr>
              <w:jc w:val="left"/>
              <w:rPr>
                <w:rFonts w:ascii="Calibri" w:hAnsi="Calibri"/>
                <w:i/>
                <w:color w:val="000000"/>
                <w:szCs w:val="24"/>
              </w:rPr>
            </w:pPr>
            <w:r w:rsidRPr="00FC7CB7">
              <w:rPr>
                <w:rFonts w:ascii="Calibri" w:hAnsi="Calibri"/>
                <w:i/>
                <w:color w:val="000000"/>
                <w:szCs w:val="24"/>
              </w:rPr>
              <w:t>Integrovaný regionální operační program</w:t>
            </w:r>
          </w:p>
        </w:tc>
      </w:tr>
      <w:tr w:rsidR="00AD608A" w:rsidRPr="00AD608A" w14:paraId="5713100C"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6321771"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MD</w:t>
            </w:r>
          </w:p>
        </w:tc>
        <w:tc>
          <w:tcPr>
            <w:tcW w:w="6143" w:type="dxa"/>
            <w:tcBorders>
              <w:top w:val="nil"/>
              <w:left w:val="nil"/>
              <w:bottom w:val="single" w:sz="4" w:space="0" w:color="auto"/>
              <w:right w:val="single" w:sz="4" w:space="0" w:color="auto"/>
            </w:tcBorders>
            <w:shd w:val="clear" w:color="auto" w:fill="auto"/>
            <w:vAlign w:val="center"/>
            <w:hideMark/>
          </w:tcPr>
          <w:p w14:paraId="7ABA45C2"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Ministerstvo dopravy</w:t>
            </w:r>
          </w:p>
        </w:tc>
      </w:tr>
      <w:tr w:rsidR="00AD608A" w:rsidRPr="00AD608A" w14:paraId="1C0332C4"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15B7DD8"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MF</w:t>
            </w:r>
          </w:p>
        </w:tc>
        <w:tc>
          <w:tcPr>
            <w:tcW w:w="6143" w:type="dxa"/>
            <w:tcBorders>
              <w:top w:val="nil"/>
              <w:left w:val="nil"/>
              <w:bottom w:val="single" w:sz="4" w:space="0" w:color="auto"/>
              <w:right w:val="single" w:sz="4" w:space="0" w:color="auto"/>
            </w:tcBorders>
            <w:shd w:val="clear" w:color="auto" w:fill="auto"/>
            <w:vAlign w:val="center"/>
            <w:hideMark/>
          </w:tcPr>
          <w:p w14:paraId="7DF78701"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Ministerstvo financí</w:t>
            </w:r>
          </w:p>
        </w:tc>
      </w:tr>
      <w:tr w:rsidR="00AD608A" w:rsidRPr="00AD608A" w14:paraId="2A84E892"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1BF575B"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MMR</w:t>
            </w:r>
          </w:p>
        </w:tc>
        <w:tc>
          <w:tcPr>
            <w:tcW w:w="6143" w:type="dxa"/>
            <w:tcBorders>
              <w:top w:val="nil"/>
              <w:left w:val="nil"/>
              <w:bottom w:val="single" w:sz="4" w:space="0" w:color="auto"/>
              <w:right w:val="single" w:sz="4" w:space="0" w:color="auto"/>
            </w:tcBorders>
            <w:shd w:val="clear" w:color="auto" w:fill="auto"/>
            <w:vAlign w:val="center"/>
            <w:hideMark/>
          </w:tcPr>
          <w:p w14:paraId="648702D7"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Ministerstvo pro místní rozvoj</w:t>
            </w:r>
          </w:p>
        </w:tc>
      </w:tr>
      <w:tr w:rsidR="005F4EB9" w:rsidRPr="00AD608A" w14:paraId="466FF4C9"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47DAE32F" w14:textId="77777777" w:rsidR="005F4EB9" w:rsidRPr="00AD608A" w:rsidRDefault="005F4EB9" w:rsidP="00AD608A">
            <w:pPr>
              <w:jc w:val="left"/>
              <w:rPr>
                <w:rFonts w:ascii="Calibri" w:hAnsi="Calibri"/>
                <w:color w:val="000000"/>
                <w:szCs w:val="24"/>
              </w:rPr>
            </w:pPr>
            <w:r>
              <w:rPr>
                <w:rFonts w:ascii="Calibri" w:hAnsi="Calibri"/>
                <w:color w:val="000000"/>
                <w:szCs w:val="24"/>
              </w:rPr>
              <w:t>MO</w:t>
            </w:r>
          </w:p>
        </w:tc>
        <w:tc>
          <w:tcPr>
            <w:tcW w:w="6143" w:type="dxa"/>
            <w:tcBorders>
              <w:top w:val="nil"/>
              <w:left w:val="nil"/>
              <w:bottom w:val="single" w:sz="4" w:space="0" w:color="auto"/>
              <w:right w:val="single" w:sz="4" w:space="0" w:color="auto"/>
            </w:tcBorders>
            <w:shd w:val="clear" w:color="auto" w:fill="auto"/>
            <w:vAlign w:val="center"/>
          </w:tcPr>
          <w:p w14:paraId="334A5A1E" w14:textId="4BBEB311" w:rsidR="005F4EB9" w:rsidRPr="00AD608A" w:rsidRDefault="005F4EB9" w:rsidP="00253E2B">
            <w:pPr>
              <w:jc w:val="left"/>
              <w:rPr>
                <w:rFonts w:ascii="Calibri" w:hAnsi="Calibri"/>
                <w:color w:val="000000"/>
                <w:szCs w:val="24"/>
              </w:rPr>
            </w:pPr>
            <w:r w:rsidRPr="00AD608A">
              <w:rPr>
                <w:rFonts w:ascii="Calibri" w:hAnsi="Calibri"/>
                <w:color w:val="000000"/>
                <w:szCs w:val="24"/>
              </w:rPr>
              <w:t>Ministerstvo</w:t>
            </w:r>
            <w:r>
              <w:rPr>
                <w:rFonts w:ascii="Calibri" w:hAnsi="Calibri"/>
                <w:color w:val="000000"/>
                <w:szCs w:val="24"/>
              </w:rPr>
              <w:t xml:space="preserve"> </w:t>
            </w:r>
            <w:r w:rsidR="00253E2B">
              <w:rPr>
                <w:rFonts w:ascii="Calibri" w:hAnsi="Calibri"/>
                <w:color w:val="000000"/>
                <w:szCs w:val="24"/>
              </w:rPr>
              <w:t>obrany</w:t>
            </w:r>
          </w:p>
        </w:tc>
      </w:tr>
      <w:tr w:rsidR="00AD608A" w:rsidRPr="00AD608A" w14:paraId="2E304DE2"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00E8C39"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MPO</w:t>
            </w:r>
          </w:p>
        </w:tc>
        <w:tc>
          <w:tcPr>
            <w:tcW w:w="6143" w:type="dxa"/>
            <w:tcBorders>
              <w:top w:val="nil"/>
              <w:left w:val="nil"/>
              <w:bottom w:val="single" w:sz="4" w:space="0" w:color="auto"/>
              <w:right w:val="single" w:sz="4" w:space="0" w:color="auto"/>
            </w:tcBorders>
            <w:shd w:val="clear" w:color="auto" w:fill="auto"/>
            <w:vAlign w:val="center"/>
            <w:hideMark/>
          </w:tcPr>
          <w:p w14:paraId="5926524E"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Ministerstvo průmyslu a obchodu</w:t>
            </w:r>
          </w:p>
        </w:tc>
      </w:tr>
      <w:tr w:rsidR="00AD608A" w:rsidRPr="00AD608A" w14:paraId="66EEB772"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E289EE3"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MPSV</w:t>
            </w:r>
          </w:p>
        </w:tc>
        <w:tc>
          <w:tcPr>
            <w:tcW w:w="6143" w:type="dxa"/>
            <w:tcBorders>
              <w:top w:val="nil"/>
              <w:left w:val="nil"/>
              <w:bottom w:val="single" w:sz="4" w:space="0" w:color="auto"/>
              <w:right w:val="single" w:sz="4" w:space="0" w:color="auto"/>
            </w:tcBorders>
            <w:shd w:val="clear" w:color="auto" w:fill="auto"/>
            <w:vAlign w:val="center"/>
            <w:hideMark/>
          </w:tcPr>
          <w:p w14:paraId="47641E64"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Ministerstvo práce a sociálních věcí</w:t>
            </w:r>
          </w:p>
        </w:tc>
      </w:tr>
      <w:tr w:rsidR="00AD608A" w:rsidRPr="00AD608A" w14:paraId="2781C3D1"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F007770"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MS2014+</w:t>
            </w:r>
          </w:p>
        </w:tc>
        <w:tc>
          <w:tcPr>
            <w:tcW w:w="6143" w:type="dxa"/>
            <w:tcBorders>
              <w:top w:val="nil"/>
              <w:left w:val="nil"/>
              <w:bottom w:val="single" w:sz="4" w:space="0" w:color="auto"/>
              <w:right w:val="single" w:sz="4" w:space="0" w:color="auto"/>
            </w:tcBorders>
            <w:shd w:val="clear" w:color="auto" w:fill="auto"/>
            <w:vAlign w:val="center"/>
            <w:hideMark/>
          </w:tcPr>
          <w:p w14:paraId="7FF2FA85" w14:textId="6DE87EEC" w:rsidR="00AD608A" w:rsidRPr="00AD608A" w:rsidRDefault="00A77F91" w:rsidP="00E64D95">
            <w:pPr>
              <w:jc w:val="left"/>
              <w:rPr>
                <w:rFonts w:ascii="Calibri" w:hAnsi="Calibri"/>
                <w:color w:val="000000"/>
                <w:szCs w:val="24"/>
              </w:rPr>
            </w:pPr>
            <w:r>
              <w:rPr>
                <w:rFonts w:ascii="Calibri" w:hAnsi="Calibri"/>
                <w:color w:val="000000"/>
                <w:szCs w:val="24"/>
              </w:rPr>
              <w:t>m</w:t>
            </w:r>
            <w:r w:rsidR="00E64D95" w:rsidRPr="00E64D95">
              <w:rPr>
                <w:rFonts w:ascii="Calibri" w:hAnsi="Calibri"/>
                <w:color w:val="000000"/>
                <w:szCs w:val="24"/>
              </w:rPr>
              <w:t>onitorovací systém evropských strukturálních a investičních fondů pro programové období 2014–2020</w:t>
            </w:r>
          </w:p>
        </w:tc>
      </w:tr>
      <w:tr w:rsidR="00AD608A" w:rsidRPr="00AD608A" w14:paraId="63211902"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841FA60"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MSp</w:t>
            </w:r>
          </w:p>
        </w:tc>
        <w:tc>
          <w:tcPr>
            <w:tcW w:w="6143" w:type="dxa"/>
            <w:tcBorders>
              <w:top w:val="nil"/>
              <w:left w:val="nil"/>
              <w:bottom w:val="single" w:sz="4" w:space="0" w:color="auto"/>
              <w:right w:val="single" w:sz="4" w:space="0" w:color="auto"/>
            </w:tcBorders>
            <w:shd w:val="clear" w:color="auto" w:fill="auto"/>
            <w:noWrap/>
            <w:vAlign w:val="center"/>
            <w:hideMark/>
          </w:tcPr>
          <w:p w14:paraId="562EF95C"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Ministerstvo spravedlnosti</w:t>
            </w:r>
          </w:p>
        </w:tc>
      </w:tr>
      <w:tr w:rsidR="00AD608A" w:rsidRPr="00AD608A" w14:paraId="64FB2EEF"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7C952B9"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MV</w:t>
            </w:r>
          </w:p>
        </w:tc>
        <w:tc>
          <w:tcPr>
            <w:tcW w:w="6143" w:type="dxa"/>
            <w:tcBorders>
              <w:top w:val="nil"/>
              <w:left w:val="nil"/>
              <w:bottom w:val="single" w:sz="4" w:space="0" w:color="auto"/>
              <w:right w:val="single" w:sz="4" w:space="0" w:color="auto"/>
            </w:tcBorders>
            <w:shd w:val="clear" w:color="auto" w:fill="auto"/>
            <w:vAlign w:val="center"/>
            <w:hideMark/>
          </w:tcPr>
          <w:p w14:paraId="51773363"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Ministerstvo vnitra</w:t>
            </w:r>
          </w:p>
        </w:tc>
      </w:tr>
      <w:tr w:rsidR="00AD608A" w:rsidRPr="00AD608A" w14:paraId="0B635856"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3447C17"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MZd</w:t>
            </w:r>
          </w:p>
        </w:tc>
        <w:tc>
          <w:tcPr>
            <w:tcW w:w="6143" w:type="dxa"/>
            <w:tcBorders>
              <w:top w:val="nil"/>
              <w:left w:val="nil"/>
              <w:bottom w:val="single" w:sz="4" w:space="0" w:color="auto"/>
              <w:right w:val="single" w:sz="4" w:space="0" w:color="auto"/>
            </w:tcBorders>
            <w:shd w:val="clear" w:color="auto" w:fill="auto"/>
            <w:vAlign w:val="center"/>
            <w:hideMark/>
          </w:tcPr>
          <w:p w14:paraId="45593C19"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Ministerstvo zdravotnictví</w:t>
            </w:r>
          </w:p>
        </w:tc>
      </w:tr>
      <w:tr w:rsidR="00AD608A" w:rsidRPr="00AD608A" w14:paraId="4A65F238"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D409921"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MZe</w:t>
            </w:r>
          </w:p>
        </w:tc>
        <w:tc>
          <w:tcPr>
            <w:tcW w:w="6143" w:type="dxa"/>
            <w:tcBorders>
              <w:top w:val="nil"/>
              <w:left w:val="nil"/>
              <w:bottom w:val="single" w:sz="4" w:space="0" w:color="auto"/>
              <w:right w:val="single" w:sz="4" w:space="0" w:color="auto"/>
            </w:tcBorders>
            <w:shd w:val="clear" w:color="auto" w:fill="auto"/>
            <w:vAlign w:val="center"/>
            <w:hideMark/>
          </w:tcPr>
          <w:p w14:paraId="323F888A"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Ministerstvo zemědělství</w:t>
            </w:r>
          </w:p>
        </w:tc>
      </w:tr>
      <w:tr w:rsidR="00AD608A" w:rsidRPr="00AD608A" w14:paraId="46D1D98C"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40A3140"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MŽP</w:t>
            </w:r>
          </w:p>
        </w:tc>
        <w:tc>
          <w:tcPr>
            <w:tcW w:w="6143" w:type="dxa"/>
            <w:tcBorders>
              <w:top w:val="nil"/>
              <w:left w:val="nil"/>
              <w:bottom w:val="single" w:sz="4" w:space="0" w:color="auto"/>
              <w:right w:val="single" w:sz="4" w:space="0" w:color="auto"/>
            </w:tcBorders>
            <w:shd w:val="clear" w:color="auto" w:fill="auto"/>
            <w:vAlign w:val="center"/>
            <w:hideMark/>
          </w:tcPr>
          <w:p w14:paraId="56103519"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Ministerstvo životního prostředí</w:t>
            </w:r>
          </w:p>
        </w:tc>
      </w:tr>
      <w:tr w:rsidR="00AD608A" w:rsidRPr="00AD608A" w14:paraId="478D4C32"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B93A50D"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NAPEE</w:t>
            </w:r>
          </w:p>
        </w:tc>
        <w:tc>
          <w:tcPr>
            <w:tcW w:w="6143" w:type="dxa"/>
            <w:tcBorders>
              <w:top w:val="nil"/>
              <w:left w:val="nil"/>
              <w:bottom w:val="single" w:sz="4" w:space="0" w:color="auto"/>
              <w:right w:val="single" w:sz="4" w:space="0" w:color="auto"/>
            </w:tcBorders>
            <w:shd w:val="clear" w:color="auto" w:fill="auto"/>
            <w:vAlign w:val="center"/>
            <w:hideMark/>
          </w:tcPr>
          <w:p w14:paraId="6A2FD1B7" w14:textId="77777777" w:rsidR="00AD608A" w:rsidRPr="00FC7CB7" w:rsidRDefault="00AD608A" w:rsidP="00AD608A">
            <w:pPr>
              <w:jc w:val="left"/>
              <w:rPr>
                <w:rFonts w:ascii="Calibri" w:hAnsi="Calibri"/>
                <w:i/>
                <w:color w:val="000000"/>
                <w:szCs w:val="24"/>
              </w:rPr>
            </w:pPr>
            <w:r w:rsidRPr="00FC7CB7">
              <w:rPr>
                <w:rFonts w:ascii="Calibri" w:hAnsi="Calibri"/>
                <w:i/>
                <w:color w:val="000000"/>
                <w:szCs w:val="24"/>
              </w:rPr>
              <w:t>Národní akční plán energetické účinnosti ČR</w:t>
            </w:r>
          </w:p>
        </w:tc>
      </w:tr>
      <w:tr w:rsidR="00040FCF" w:rsidRPr="00AD608A" w14:paraId="77954F84"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12B0F787" w14:textId="77777777" w:rsidR="00040FCF" w:rsidRPr="00AD608A" w:rsidRDefault="00040FCF" w:rsidP="00AD608A">
            <w:pPr>
              <w:jc w:val="left"/>
              <w:rPr>
                <w:rFonts w:ascii="Calibri" w:hAnsi="Calibri"/>
                <w:color w:val="000000"/>
                <w:szCs w:val="24"/>
              </w:rPr>
            </w:pPr>
            <w:r>
              <w:rPr>
                <w:rFonts w:ascii="Calibri" w:hAnsi="Calibri"/>
                <w:color w:val="000000"/>
                <w:szCs w:val="24"/>
              </w:rPr>
              <w:t>NKÚ</w:t>
            </w:r>
          </w:p>
        </w:tc>
        <w:tc>
          <w:tcPr>
            <w:tcW w:w="6143" w:type="dxa"/>
            <w:tcBorders>
              <w:top w:val="nil"/>
              <w:left w:val="nil"/>
              <w:bottom w:val="single" w:sz="4" w:space="0" w:color="auto"/>
              <w:right w:val="single" w:sz="4" w:space="0" w:color="auto"/>
            </w:tcBorders>
            <w:shd w:val="clear" w:color="auto" w:fill="auto"/>
            <w:vAlign w:val="center"/>
          </w:tcPr>
          <w:p w14:paraId="2A14B5F5" w14:textId="77777777" w:rsidR="00040FCF" w:rsidRPr="00FC7CB7" w:rsidRDefault="00040FCF" w:rsidP="00AD608A">
            <w:pPr>
              <w:jc w:val="left"/>
              <w:rPr>
                <w:rFonts w:ascii="Calibri" w:hAnsi="Calibri"/>
                <w:color w:val="000000"/>
                <w:szCs w:val="24"/>
              </w:rPr>
            </w:pPr>
            <w:r>
              <w:rPr>
                <w:rFonts w:ascii="Calibri" w:hAnsi="Calibri"/>
                <w:color w:val="000000"/>
                <w:szCs w:val="24"/>
              </w:rPr>
              <w:t>Nejvyšší kontrolní úřad</w:t>
            </w:r>
          </w:p>
        </w:tc>
      </w:tr>
      <w:tr w:rsidR="00AD608A" w:rsidRPr="00AD608A" w14:paraId="02D5BE68"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6188127"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NNV</w:t>
            </w:r>
          </w:p>
        </w:tc>
        <w:tc>
          <w:tcPr>
            <w:tcW w:w="6143" w:type="dxa"/>
            <w:tcBorders>
              <w:top w:val="nil"/>
              <w:left w:val="nil"/>
              <w:bottom w:val="single" w:sz="4" w:space="0" w:color="auto"/>
              <w:right w:val="single" w:sz="4" w:space="0" w:color="auto"/>
            </w:tcBorders>
            <w:shd w:val="clear" w:color="auto" w:fill="auto"/>
            <w:vAlign w:val="center"/>
            <w:hideMark/>
          </w:tcPr>
          <w:p w14:paraId="651F74EE" w14:textId="0B5A0538" w:rsidR="00AD608A" w:rsidRPr="00AD608A" w:rsidRDefault="00A77F91" w:rsidP="00AD608A">
            <w:pPr>
              <w:jc w:val="left"/>
              <w:rPr>
                <w:rFonts w:ascii="Calibri" w:hAnsi="Calibri"/>
                <w:color w:val="000000"/>
                <w:szCs w:val="24"/>
              </w:rPr>
            </w:pPr>
            <w:r>
              <w:rPr>
                <w:rFonts w:ascii="Calibri" w:hAnsi="Calibri"/>
                <w:color w:val="000000"/>
                <w:szCs w:val="24"/>
              </w:rPr>
              <w:t>n</w:t>
            </w:r>
            <w:r w:rsidR="00AD608A" w:rsidRPr="00AD608A">
              <w:rPr>
                <w:rFonts w:ascii="Calibri" w:hAnsi="Calibri"/>
                <w:color w:val="000000"/>
                <w:szCs w:val="24"/>
              </w:rPr>
              <w:t>ároky z nespotřebovaných výdajů</w:t>
            </w:r>
          </w:p>
        </w:tc>
      </w:tr>
      <w:tr w:rsidR="00AD608A" w:rsidRPr="00AD608A" w14:paraId="703D2FEC"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CF65D7E"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NZÚ</w:t>
            </w:r>
          </w:p>
        </w:tc>
        <w:tc>
          <w:tcPr>
            <w:tcW w:w="6143" w:type="dxa"/>
            <w:tcBorders>
              <w:top w:val="nil"/>
              <w:left w:val="nil"/>
              <w:bottom w:val="single" w:sz="4" w:space="0" w:color="auto"/>
              <w:right w:val="single" w:sz="4" w:space="0" w:color="auto"/>
            </w:tcBorders>
            <w:shd w:val="clear" w:color="auto" w:fill="auto"/>
            <w:vAlign w:val="center"/>
            <w:hideMark/>
          </w:tcPr>
          <w:p w14:paraId="726D9013" w14:textId="1786F4F6" w:rsidR="00AD608A" w:rsidRPr="00AD608A" w:rsidRDefault="00A77F91" w:rsidP="00AD608A">
            <w:pPr>
              <w:jc w:val="left"/>
              <w:rPr>
                <w:rFonts w:ascii="Calibri" w:hAnsi="Calibri"/>
                <w:color w:val="000000"/>
                <w:szCs w:val="24"/>
              </w:rPr>
            </w:pPr>
            <w:r>
              <w:rPr>
                <w:rFonts w:ascii="Calibri" w:hAnsi="Calibri"/>
                <w:color w:val="000000"/>
                <w:szCs w:val="24"/>
              </w:rPr>
              <w:t>p</w:t>
            </w:r>
            <w:r w:rsidR="00AD608A" w:rsidRPr="00AD608A">
              <w:rPr>
                <w:rFonts w:ascii="Calibri" w:hAnsi="Calibri"/>
                <w:color w:val="000000"/>
                <w:szCs w:val="24"/>
              </w:rPr>
              <w:t xml:space="preserve">rogram </w:t>
            </w:r>
            <w:r w:rsidR="00AD608A" w:rsidRPr="00FC7CB7">
              <w:rPr>
                <w:rFonts w:ascii="Calibri" w:hAnsi="Calibri"/>
                <w:i/>
                <w:color w:val="000000"/>
                <w:szCs w:val="24"/>
              </w:rPr>
              <w:t>Nová zelená úsporám</w:t>
            </w:r>
          </w:p>
        </w:tc>
      </w:tr>
      <w:tr w:rsidR="00AD608A" w:rsidRPr="00AD608A" w14:paraId="7D6D574D"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66456DC" w14:textId="77777777" w:rsidR="00AD608A" w:rsidRPr="00AD608A" w:rsidRDefault="00FE5CEE" w:rsidP="000159D3">
            <w:pPr>
              <w:jc w:val="left"/>
              <w:rPr>
                <w:rFonts w:ascii="Calibri" w:hAnsi="Calibri"/>
                <w:color w:val="000000"/>
                <w:szCs w:val="24"/>
              </w:rPr>
            </w:pPr>
            <w:r>
              <w:rPr>
                <w:rFonts w:ascii="Calibri" w:hAnsi="Calibri"/>
                <w:color w:val="000000"/>
                <w:szCs w:val="24"/>
              </w:rPr>
              <w:t xml:space="preserve">NZÚ – </w:t>
            </w:r>
            <w:r w:rsidR="000159D3" w:rsidRPr="00565FBA">
              <w:rPr>
                <w:rFonts w:ascii="Calibri" w:hAnsi="Calibri"/>
                <w:i/>
                <w:color w:val="000000"/>
                <w:szCs w:val="24"/>
              </w:rPr>
              <w:t>Budovy veřejného sektoru</w:t>
            </w:r>
          </w:p>
        </w:tc>
        <w:tc>
          <w:tcPr>
            <w:tcW w:w="6143" w:type="dxa"/>
            <w:tcBorders>
              <w:top w:val="nil"/>
              <w:left w:val="nil"/>
              <w:bottom w:val="single" w:sz="4" w:space="0" w:color="auto"/>
              <w:right w:val="single" w:sz="4" w:space="0" w:color="auto"/>
            </w:tcBorders>
            <w:shd w:val="clear" w:color="auto" w:fill="auto"/>
            <w:vAlign w:val="center"/>
            <w:hideMark/>
          </w:tcPr>
          <w:p w14:paraId="026525F2" w14:textId="2F703D03" w:rsidR="00AD608A" w:rsidRPr="00AD608A" w:rsidRDefault="00A77F91" w:rsidP="001B142E">
            <w:pPr>
              <w:rPr>
                <w:rFonts w:ascii="Calibri" w:hAnsi="Calibri"/>
                <w:color w:val="000000"/>
                <w:szCs w:val="24"/>
              </w:rPr>
            </w:pPr>
            <w:r>
              <w:rPr>
                <w:rFonts w:ascii="Calibri" w:hAnsi="Calibri"/>
                <w:color w:val="000000"/>
                <w:szCs w:val="24"/>
              </w:rPr>
              <w:t>p</w:t>
            </w:r>
            <w:r w:rsidR="00AD608A" w:rsidRPr="00AD608A">
              <w:rPr>
                <w:rFonts w:ascii="Calibri" w:hAnsi="Calibri"/>
                <w:color w:val="000000"/>
                <w:szCs w:val="24"/>
              </w:rPr>
              <w:t xml:space="preserve">odprogram </w:t>
            </w:r>
            <w:r w:rsidR="00AD608A" w:rsidRPr="00FC7CB7">
              <w:rPr>
                <w:rFonts w:ascii="Calibri" w:hAnsi="Calibri"/>
                <w:i/>
                <w:color w:val="000000"/>
                <w:szCs w:val="24"/>
              </w:rPr>
              <w:t xml:space="preserve">Nová zelená úsporám – </w:t>
            </w:r>
            <w:r w:rsidR="001B142E" w:rsidRPr="00FC7CB7">
              <w:rPr>
                <w:rFonts w:ascii="Calibri" w:hAnsi="Calibri"/>
                <w:i/>
                <w:color w:val="000000"/>
                <w:szCs w:val="24"/>
              </w:rPr>
              <w:t>B</w:t>
            </w:r>
            <w:r w:rsidR="00AD608A" w:rsidRPr="00FC7CB7">
              <w:rPr>
                <w:rFonts w:ascii="Calibri" w:hAnsi="Calibri"/>
                <w:i/>
                <w:color w:val="000000"/>
                <w:szCs w:val="24"/>
              </w:rPr>
              <w:t>udovy veřejného sektoru</w:t>
            </w:r>
          </w:p>
        </w:tc>
      </w:tr>
      <w:tr w:rsidR="00AD608A" w:rsidRPr="00AD608A" w14:paraId="10C84F7E"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6BB337D"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OPŽP</w:t>
            </w:r>
          </w:p>
        </w:tc>
        <w:tc>
          <w:tcPr>
            <w:tcW w:w="6143" w:type="dxa"/>
            <w:tcBorders>
              <w:top w:val="nil"/>
              <w:left w:val="nil"/>
              <w:bottom w:val="single" w:sz="4" w:space="0" w:color="auto"/>
              <w:right w:val="single" w:sz="4" w:space="0" w:color="auto"/>
            </w:tcBorders>
            <w:shd w:val="clear" w:color="auto" w:fill="auto"/>
            <w:vAlign w:val="center"/>
            <w:hideMark/>
          </w:tcPr>
          <w:p w14:paraId="36B31F66" w14:textId="0514988E" w:rsidR="00AD608A" w:rsidRPr="00AD608A" w:rsidRDefault="00FF4C84" w:rsidP="00FF4C84">
            <w:pPr>
              <w:jc w:val="left"/>
              <w:rPr>
                <w:rFonts w:ascii="Calibri" w:hAnsi="Calibri"/>
                <w:color w:val="000000"/>
                <w:szCs w:val="24"/>
              </w:rPr>
            </w:pPr>
            <w:r>
              <w:rPr>
                <w:rFonts w:ascii="Calibri" w:hAnsi="Calibri"/>
                <w:color w:val="000000"/>
                <w:szCs w:val="24"/>
              </w:rPr>
              <w:t>o</w:t>
            </w:r>
            <w:r w:rsidR="00AD608A" w:rsidRPr="00AD608A">
              <w:rPr>
                <w:rFonts w:ascii="Calibri" w:hAnsi="Calibri"/>
                <w:color w:val="000000"/>
                <w:szCs w:val="24"/>
              </w:rPr>
              <w:t xml:space="preserve">perační program </w:t>
            </w:r>
            <w:r w:rsidR="00AD608A" w:rsidRPr="00FC7CB7">
              <w:rPr>
                <w:rFonts w:ascii="Calibri" w:hAnsi="Calibri"/>
                <w:i/>
                <w:color w:val="000000"/>
                <w:szCs w:val="24"/>
              </w:rPr>
              <w:t>Životní prostředí 2014–2020</w:t>
            </w:r>
          </w:p>
        </w:tc>
      </w:tr>
      <w:tr w:rsidR="00AD608A" w:rsidRPr="00AD608A" w14:paraId="174F7499" w14:textId="77777777" w:rsidTr="00FC7CB7">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F9E5A87"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OSS</w:t>
            </w:r>
          </w:p>
        </w:tc>
        <w:tc>
          <w:tcPr>
            <w:tcW w:w="6143" w:type="dxa"/>
            <w:tcBorders>
              <w:top w:val="nil"/>
              <w:left w:val="nil"/>
              <w:bottom w:val="single" w:sz="4" w:space="0" w:color="auto"/>
              <w:right w:val="single" w:sz="4" w:space="0" w:color="auto"/>
            </w:tcBorders>
            <w:shd w:val="clear" w:color="auto" w:fill="auto"/>
            <w:vAlign w:val="center"/>
            <w:hideMark/>
          </w:tcPr>
          <w:p w14:paraId="2903F15E" w14:textId="022D2A13" w:rsidR="00AD608A" w:rsidRPr="00AD608A" w:rsidRDefault="00A77F91" w:rsidP="00AD608A">
            <w:pPr>
              <w:jc w:val="left"/>
              <w:rPr>
                <w:rFonts w:ascii="Calibri" w:hAnsi="Calibri"/>
                <w:color w:val="000000"/>
                <w:szCs w:val="24"/>
              </w:rPr>
            </w:pPr>
            <w:r>
              <w:rPr>
                <w:rFonts w:ascii="Calibri" w:hAnsi="Calibri"/>
                <w:color w:val="000000"/>
                <w:szCs w:val="24"/>
              </w:rPr>
              <w:t>o</w:t>
            </w:r>
            <w:r w:rsidR="00AD608A" w:rsidRPr="00AD608A">
              <w:rPr>
                <w:rFonts w:ascii="Calibri" w:hAnsi="Calibri"/>
                <w:color w:val="000000"/>
                <w:szCs w:val="24"/>
              </w:rPr>
              <w:t>rganizační složka státu</w:t>
            </w:r>
          </w:p>
        </w:tc>
      </w:tr>
      <w:tr w:rsidR="00AD608A" w:rsidRPr="00AD608A" w14:paraId="3A80BBA7" w14:textId="77777777" w:rsidTr="00FC7CB7">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4EAED" w14:textId="77777777" w:rsidR="00AD608A" w:rsidRPr="00AD608A" w:rsidRDefault="00AD608A" w:rsidP="00D942B0">
            <w:pPr>
              <w:jc w:val="left"/>
              <w:rPr>
                <w:rFonts w:ascii="Calibri" w:hAnsi="Calibri"/>
                <w:color w:val="000000"/>
                <w:szCs w:val="24"/>
              </w:rPr>
            </w:pPr>
            <w:r w:rsidRPr="00AD608A">
              <w:rPr>
                <w:rFonts w:ascii="Calibri" w:hAnsi="Calibri"/>
                <w:color w:val="000000"/>
                <w:szCs w:val="24"/>
              </w:rPr>
              <w:lastRenderedPageBreak/>
              <w:t>Plán rekonstrukce objektů v</w:t>
            </w:r>
            <w:r w:rsidR="00D942B0">
              <w:rPr>
                <w:rFonts w:ascii="Calibri" w:hAnsi="Calibri"/>
                <w:color w:val="000000"/>
                <w:szCs w:val="24"/>
              </w:rPr>
              <w:t> </w:t>
            </w:r>
            <w:r w:rsidRPr="00AD608A">
              <w:rPr>
                <w:rFonts w:ascii="Calibri" w:hAnsi="Calibri"/>
                <w:color w:val="000000"/>
                <w:szCs w:val="24"/>
              </w:rPr>
              <w:t>působnosti čl. 5 EED</w:t>
            </w:r>
          </w:p>
        </w:tc>
        <w:tc>
          <w:tcPr>
            <w:tcW w:w="6143" w:type="dxa"/>
            <w:tcBorders>
              <w:top w:val="single" w:sz="4" w:space="0" w:color="auto"/>
              <w:left w:val="nil"/>
              <w:bottom w:val="single" w:sz="4" w:space="0" w:color="auto"/>
              <w:right w:val="single" w:sz="4" w:space="0" w:color="auto"/>
            </w:tcBorders>
            <w:shd w:val="clear" w:color="auto" w:fill="auto"/>
            <w:vAlign w:val="center"/>
            <w:hideMark/>
          </w:tcPr>
          <w:p w14:paraId="55F531B4" w14:textId="7B5E3995" w:rsidR="00AD608A" w:rsidRPr="00FC7CB7" w:rsidRDefault="00AD608A" w:rsidP="005E586C">
            <w:pPr>
              <w:rPr>
                <w:rFonts w:ascii="Calibri" w:hAnsi="Calibri"/>
                <w:i/>
                <w:color w:val="000000"/>
                <w:szCs w:val="24"/>
              </w:rPr>
            </w:pPr>
            <w:r w:rsidRPr="00FC7CB7">
              <w:rPr>
                <w:rFonts w:ascii="Calibri" w:hAnsi="Calibri"/>
                <w:i/>
                <w:color w:val="000000"/>
                <w:szCs w:val="24"/>
              </w:rPr>
              <w:t>Plán rekonstrukce objektů, v působnosti článku 5 směrnice Evropského parlamentu a Rady 2012/27/EU ze dne 25. října 2012 o energetické účinnosti</w:t>
            </w:r>
          </w:p>
        </w:tc>
      </w:tr>
      <w:tr w:rsidR="00AD608A" w:rsidRPr="00AD608A" w14:paraId="039A1F0B"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7ABD9C5"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PO</w:t>
            </w:r>
            <w:r w:rsidR="00612EA4">
              <w:rPr>
                <w:rFonts w:ascii="Calibri" w:hAnsi="Calibri"/>
                <w:color w:val="000000"/>
                <w:szCs w:val="24"/>
              </w:rPr>
              <w:t xml:space="preserve"> 5</w:t>
            </w:r>
          </w:p>
        </w:tc>
        <w:tc>
          <w:tcPr>
            <w:tcW w:w="6143" w:type="dxa"/>
            <w:tcBorders>
              <w:top w:val="nil"/>
              <w:left w:val="nil"/>
              <w:bottom w:val="single" w:sz="4" w:space="0" w:color="auto"/>
              <w:right w:val="single" w:sz="4" w:space="0" w:color="auto"/>
            </w:tcBorders>
            <w:shd w:val="clear" w:color="auto" w:fill="auto"/>
            <w:vAlign w:val="center"/>
            <w:hideMark/>
          </w:tcPr>
          <w:p w14:paraId="16CE4E2F" w14:textId="68D3F2C7" w:rsidR="00AD608A" w:rsidRPr="00AD608A" w:rsidRDefault="00060251" w:rsidP="00AD608A">
            <w:pPr>
              <w:jc w:val="left"/>
              <w:rPr>
                <w:rFonts w:ascii="Calibri" w:hAnsi="Calibri"/>
                <w:color w:val="000000"/>
                <w:szCs w:val="24"/>
              </w:rPr>
            </w:pPr>
            <w:r>
              <w:rPr>
                <w:rFonts w:ascii="Calibri" w:hAnsi="Calibri"/>
                <w:color w:val="000000"/>
                <w:szCs w:val="24"/>
              </w:rPr>
              <w:t>p</w:t>
            </w:r>
            <w:r w:rsidR="00AD608A" w:rsidRPr="00AD608A">
              <w:rPr>
                <w:rFonts w:ascii="Calibri" w:hAnsi="Calibri"/>
                <w:color w:val="000000"/>
                <w:szCs w:val="24"/>
              </w:rPr>
              <w:t>rioritní osa</w:t>
            </w:r>
            <w:r w:rsidR="00612EA4">
              <w:rPr>
                <w:rFonts w:ascii="Calibri" w:hAnsi="Calibri"/>
                <w:color w:val="000000"/>
                <w:szCs w:val="24"/>
              </w:rPr>
              <w:t xml:space="preserve"> 5</w:t>
            </w:r>
            <w:r w:rsidR="00040FCF">
              <w:rPr>
                <w:rFonts w:ascii="Calibri" w:hAnsi="Calibri"/>
                <w:color w:val="000000"/>
                <w:szCs w:val="24"/>
              </w:rPr>
              <w:t xml:space="preserve"> OPŽP</w:t>
            </w:r>
          </w:p>
        </w:tc>
      </w:tr>
      <w:tr w:rsidR="00AD608A" w:rsidRPr="00AD608A" w14:paraId="2230A6BE"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AA5A4CA"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SC</w:t>
            </w:r>
          </w:p>
        </w:tc>
        <w:tc>
          <w:tcPr>
            <w:tcW w:w="6143" w:type="dxa"/>
            <w:tcBorders>
              <w:top w:val="nil"/>
              <w:left w:val="nil"/>
              <w:bottom w:val="single" w:sz="4" w:space="0" w:color="auto"/>
              <w:right w:val="single" w:sz="4" w:space="0" w:color="auto"/>
            </w:tcBorders>
            <w:shd w:val="clear" w:color="auto" w:fill="auto"/>
            <w:vAlign w:val="center"/>
            <w:hideMark/>
          </w:tcPr>
          <w:p w14:paraId="4FAFB146" w14:textId="26159AA1" w:rsidR="00AD608A" w:rsidRPr="00AD608A" w:rsidRDefault="00060251" w:rsidP="00AD608A">
            <w:pPr>
              <w:jc w:val="left"/>
              <w:rPr>
                <w:rFonts w:ascii="Calibri" w:hAnsi="Calibri"/>
                <w:color w:val="000000"/>
                <w:szCs w:val="24"/>
              </w:rPr>
            </w:pPr>
            <w:r>
              <w:rPr>
                <w:rFonts w:ascii="Calibri" w:hAnsi="Calibri"/>
                <w:color w:val="000000"/>
                <w:szCs w:val="24"/>
              </w:rPr>
              <w:t>s</w:t>
            </w:r>
            <w:r w:rsidR="00AD608A" w:rsidRPr="00AD608A">
              <w:rPr>
                <w:rFonts w:ascii="Calibri" w:hAnsi="Calibri"/>
                <w:color w:val="000000"/>
                <w:szCs w:val="24"/>
              </w:rPr>
              <w:t>pecifický cíl</w:t>
            </w:r>
          </w:p>
        </w:tc>
      </w:tr>
      <w:tr w:rsidR="00DD35A8" w:rsidRPr="00AD608A" w14:paraId="0F2BAFA4"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3F799879" w14:textId="77777777" w:rsidR="00DD35A8" w:rsidRPr="00AD608A" w:rsidRDefault="00DD35A8" w:rsidP="00AD608A">
            <w:pPr>
              <w:jc w:val="left"/>
              <w:rPr>
                <w:rFonts w:ascii="Calibri" w:hAnsi="Calibri"/>
                <w:color w:val="000000"/>
                <w:szCs w:val="24"/>
              </w:rPr>
            </w:pPr>
            <w:r>
              <w:rPr>
                <w:rFonts w:ascii="Calibri" w:hAnsi="Calibri"/>
                <w:color w:val="000000"/>
                <w:szCs w:val="24"/>
              </w:rPr>
              <w:t>SC 5.1</w:t>
            </w:r>
          </w:p>
        </w:tc>
        <w:tc>
          <w:tcPr>
            <w:tcW w:w="6143" w:type="dxa"/>
            <w:tcBorders>
              <w:top w:val="nil"/>
              <w:left w:val="nil"/>
              <w:bottom w:val="single" w:sz="4" w:space="0" w:color="auto"/>
              <w:right w:val="single" w:sz="4" w:space="0" w:color="auto"/>
            </w:tcBorders>
            <w:shd w:val="clear" w:color="auto" w:fill="auto"/>
            <w:vAlign w:val="center"/>
          </w:tcPr>
          <w:p w14:paraId="36DB1E71" w14:textId="25D9E044" w:rsidR="00DD35A8" w:rsidRPr="00DD35A8" w:rsidRDefault="00060251" w:rsidP="00A971ED">
            <w:pPr>
              <w:spacing w:before="60"/>
            </w:pPr>
            <w:r>
              <w:rPr>
                <w:rFonts w:ascii="Calibri" w:hAnsi="Calibri"/>
                <w:color w:val="000000"/>
                <w:szCs w:val="24"/>
              </w:rPr>
              <w:t>s</w:t>
            </w:r>
            <w:r w:rsidRPr="00AD608A">
              <w:rPr>
                <w:rFonts w:ascii="Calibri" w:hAnsi="Calibri"/>
                <w:color w:val="000000"/>
                <w:szCs w:val="24"/>
              </w:rPr>
              <w:t>pecifický cíl</w:t>
            </w:r>
            <w:r>
              <w:rPr>
                <w:rFonts w:ascii="Calibri" w:hAnsi="Calibri"/>
                <w:color w:val="000000"/>
                <w:szCs w:val="24"/>
              </w:rPr>
              <w:t xml:space="preserve"> 5.1 </w:t>
            </w:r>
            <w:r w:rsidR="00040FCF">
              <w:rPr>
                <w:rFonts w:ascii="Calibri" w:hAnsi="Calibri"/>
                <w:color w:val="000000"/>
                <w:szCs w:val="24"/>
              </w:rPr>
              <w:t>„</w:t>
            </w:r>
            <w:r w:rsidR="005E586C">
              <w:rPr>
                <w:i/>
              </w:rPr>
              <w:t>s</w:t>
            </w:r>
            <w:r w:rsidR="00DD35A8" w:rsidRPr="00FC7CB7">
              <w:rPr>
                <w:i/>
              </w:rPr>
              <w:t>nížit energetickou náročnost veřejných budov a zvýšit využití obnovitelných zdrojů energie</w:t>
            </w:r>
            <w:r w:rsidR="00040FCF" w:rsidRPr="00FC7CB7">
              <w:t>“</w:t>
            </w:r>
            <w:r w:rsidR="00882B0A">
              <w:t xml:space="preserve"> prioritní osy 5 OPŽP</w:t>
            </w:r>
          </w:p>
        </w:tc>
      </w:tr>
      <w:tr w:rsidR="00DD35A8" w:rsidRPr="00AD608A" w14:paraId="3990E815"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19FDF136" w14:textId="77777777" w:rsidR="00DD35A8" w:rsidRPr="00AD608A" w:rsidRDefault="00DD35A8" w:rsidP="00AD608A">
            <w:pPr>
              <w:jc w:val="left"/>
              <w:rPr>
                <w:rFonts w:ascii="Calibri" w:hAnsi="Calibri"/>
                <w:color w:val="000000"/>
                <w:szCs w:val="24"/>
              </w:rPr>
            </w:pPr>
            <w:r>
              <w:rPr>
                <w:rFonts w:ascii="Calibri" w:hAnsi="Calibri"/>
                <w:color w:val="000000"/>
                <w:szCs w:val="24"/>
              </w:rPr>
              <w:t>SC 5.2</w:t>
            </w:r>
          </w:p>
        </w:tc>
        <w:tc>
          <w:tcPr>
            <w:tcW w:w="6143" w:type="dxa"/>
            <w:tcBorders>
              <w:top w:val="nil"/>
              <w:left w:val="nil"/>
              <w:bottom w:val="single" w:sz="4" w:space="0" w:color="auto"/>
              <w:right w:val="single" w:sz="4" w:space="0" w:color="auto"/>
            </w:tcBorders>
            <w:shd w:val="clear" w:color="auto" w:fill="auto"/>
            <w:vAlign w:val="center"/>
          </w:tcPr>
          <w:p w14:paraId="3E1B54CC" w14:textId="327D5903" w:rsidR="00DD35A8" w:rsidRPr="00AD608A" w:rsidRDefault="00060251" w:rsidP="005E586C">
            <w:pPr>
              <w:jc w:val="left"/>
              <w:rPr>
                <w:rFonts w:ascii="Calibri" w:hAnsi="Calibri"/>
                <w:color w:val="000000"/>
                <w:szCs w:val="24"/>
              </w:rPr>
            </w:pPr>
            <w:r>
              <w:rPr>
                <w:rFonts w:ascii="Calibri" w:hAnsi="Calibri"/>
                <w:color w:val="000000"/>
                <w:szCs w:val="24"/>
              </w:rPr>
              <w:t>s</w:t>
            </w:r>
            <w:r w:rsidRPr="00AD608A">
              <w:rPr>
                <w:rFonts w:ascii="Calibri" w:hAnsi="Calibri"/>
                <w:color w:val="000000"/>
                <w:szCs w:val="24"/>
              </w:rPr>
              <w:t>pecifický cíl</w:t>
            </w:r>
            <w:r>
              <w:rPr>
                <w:rFonts w:ascii="Calibri" w:hAnsi="Calibri"/>
                <w:color w:val="000000"/>
                <w:szCs w:val="24"/>
              </w:rPr>
              <w:t xml:space="preserve"> 5.2 </w:t>
            </w:r>
            <w:r w:rsidR="00040FCF">
              <w:rPr>
                <w:rFonts w:ascii="Calibri" w:hAnsi="Calibri"/>
                <w:color w:val="000000"/>
                <w:szCs w:val="24"/>
              </w:rPr>
              <w:t>„</w:t>
            </w:r>
            <w:r w:rsidR="005E586C">
              <w:rPr>
                <w:i/>
              </w:rPr>
              <w:t>d</w:t>
            </w:r>
            <w:r w:rsidR="00DD35A8" w:rsidRPr="00FC7CB7">
              <w:rPr>
                <w:i/>
              </w:rPr>
              <w:t>osáhnout vysokého energetického standardu nových veřejných budov</w:t>
            </w:r>
            <w:r w:rsidR="00040FCF" w:rsidRPr="00FC7CB7">
              <w:t>“</w:t>
            </w:r>
            <w:r w:rsidR="00882B0A">
              <w:t xml:space="preserve"> prioritní osy 5 OPŽP</w:t>
            </w:r>
          </w:p>
        </w:tc>
      </w:tr>
      <w:tr w:rsidR="00DD35A8" w:rsidRPr="00AD608A" w14:paraId="0073DE0F"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7243C88" w14:textId="77777777" w:rsidR="00DD35A8" w:rsidRPr="00AD608A" w:rsidRDefault="00DD35A8" w:rsidP="00AD608A">
            <w:pPr>
              <w:jc w:val="left"/>
              <w:rPr>
                <w:rFonts w:ascii="Calibri" w:hAnsi="Calibri"/>
                <w:color w:val="000000"/>
                <w:szCs w:val="24"/>
              </w:rPr>
            </w:pPr>
            <w:r>
              <w:rPr>
                <w:rFonts w:ascii="Calibri" w:hAnsi="Calibri"/>
                <w:color w:val="000000"/>
                <w:szCs w:val="24"/>
              </w:rPr>
              <w:t>SC 5.3</w:t>
            </w:r>
          </w:p>
        </w:tc>
        <w:tc>
          <w:tcPr>
            <w:tcW w:w="6143" w:type="dxa"/>
            <w:tcBorders>
              <w:top w:val="nil"/>
              <w:left w:val="nil"/>
              <w:bottom w:val="single" w:sz="4" w:space="0" w:color="auto"/>
              <w:right w:val="single" w:sz="4" w:space="0" w:color="auto"/>
            </w:tcBorders>
            <w:shd w:val="clear" w:color="auto" w:fill="auto"/>
            <w:vAlign w:val="center"/>
          </w:tcPr>
          <w:p w14:paraId="1432EB26" w14:textId="0DCC866F" w:rsidR="00DD35A8" w:rsidRPr="00AD608A" w:rsidRDefault="00060251" w:rsidP="005E586C">
            <w:pPr>
              <w:jc w:val="left"/>
              <w:rPr>
                <w:rFonts w:ascii="Calibri" w:hAnsi="Calibri"/>
                <w:color w:val="000000"/>
                <w:szCs w:val="24"/>
              </w:rPr>
            </w:pPr>
            <w:r>
              <w:rPr>
                <w:rFonts w:ascii="Calibri" w:hAnsi="Calibri"/>
                <w:color w:val="000000"/>
                <w:szCs w:val="24"/>
              </w:rPr>
              <w:t>s</w:t>
            </w:r>
            <w:r w:rsidRPr="00AD608A">
              <w:rPr>
                <w:rFonts w:ascii="Calibri" w:hAnsi="Calibri"/>
                <w:color w:val="000000"/>
                <w:szCs w:val="24"/>
              </w:rPr>
              <w:t>pecifický cíl</w:t>
            </w:r>
            <w:r>
              <w:rPr>
                <w:rFonts w:ascii="Calibri" w:hAnsi="Calibri"/>
                <w:color w:val="000000"/>
                <w:szCs w:val="24"/>
              </w:rPr>
              <w:t xml:space="preserve"> 5.3 </w:t>
            </w:r>
            <w:r w:rsidR="00040FCF">
              <w:rPr>
                <w:rFonts w:ascii="Calibri" w:hAnsi="Calibri"/>
                <w:color w:val="000000"/>
                <w:szCs w:val="24"/>
              </w:rPr>
              <w:t>„</w:t>
            </w:r>
            <w:r w:rsidR="005E586C">
              <w:rPr>
                <w:i/>
              </w:rPr>
              <w:t>s</w:t>
            </w:r>
            <w:r w:rsidR="00DD35A8" w:rsidRPr="00FC7CB7">
              <w:rPr>
                <w:i/>
              </w:rPr>
              <w:t>nížit energetickou náročnost a zvýšit využití obnovitelných zdrojů energie v budovách ústředních vládních institucí</w:t>
            </w:r>
            <w:r w:rsidR="00040FCF" w:rsidRPr="00FC7CB7">
              <w:t>“</w:t>
            </w:r>
            <w:r w:rsidR="00882B0A">
              <w:t xml:space="preserve"> prioritní osy 5 OPŽP</w:t>
            </w:r>
          </w:p>
        </w:tc>
      </w:tr>
      <w:tr w:rsidR="00AD608A" w:rsidRPr="00AD608A" w14:paraId="5FAC225F"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81AA356"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SPO</w:t>
            </w:r>
          </w:p>
        </w:tc>
        <w:tc>
          <w:tcPr>
            <w:tcW w:w="6143" w:type="dxa"/>
            <w:tcBorders>
              <w:top w:val="nil"/>
              <w:left w:val="nil"/>
              <w:bottom w:val="single" w:sz="4" w:space="0" w:color="auto"/>
              <w:right w:val="single" w:sz="4" w:space="0" w:color="auto"/>
            </w:tcBorders>
            <w:shd w:val="clear" w:color="auto" w:fill="auto"/>
            <w:vAlign w:val="center"/>
            <w:hideMark/>
          </w:tcPr>
          <w:p w14:paraId="30F91BCC" w14:textId="7A4E0898" w:rsidR="00AD608A" w:rsidRPr="00AD608A" w:rsidRDefault="005E586C" w:rsidP="00AD608A">
            <w:pPr>
              <w:jc w:val="left"/>
              <w:rPr>
                <w:rFonts w:ascii="Calibri" w:hAnsi="Calibri"/>
                <w:color w:val="000000"/>
                <w:szCs w:val="24"/>
              </w:rPr>
            </w:pPr>
            <w:r>
              <w:rPr>
                <w:rFonts w:ascii="Calibri" w:hAnsi="Calibri"/>
                <w:color w:val="000000"/>
                <w:szCs w:val="24"/>
              </w:rPr>
              <w:t>s</w:t>
            </w:r>
            <w:r w:rsidR="00AD608A" w:rsidRPr="00AD608A">
              <w:rPr>
                <w:rFonts w:ascii="Calibri" w:hAnsi="Calibri"/>
                <w:color w:val="000000"/>
                <w:szCs w:val="24"/>
              </w:rPr>
              <w:t>tátní příspěvková organizace</w:t>
            </w:r>
          </w:p>
        </w:tc>
      </w:tr>
      <w:tr w:rsidR="00AD608A" w:rsidRPr="00AD608A" w14:paraId="031A77D8"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9AF785E"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SFŽP</w:t>
            </w:r>
          </w:p>
        </w:tc>
        <w:tc>
          <w:tcPr>
            <w:tcW w:w="6143" w:type="dxa"/>
            <w:tcBorders>
              <w:top w:val="nil"/>
              <w:left w:val="nil"/>
              <w:bottom w:val="single" w:sz="4" w:space="0" w:color="auto"/>
              <w:right w:val="single" w:sz="4" w:space="0" w:color="auto"/>
            </w:tcBorders>
            <w:shd w:val="clear" w:color="auto" w:fill="auto"/>
            <w:vAlign w:val="center"/>
            <w:hideMark/>
          </w:tcPr>
          <w:p w14:paraId="0BA99088"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Stá</w:t>
            </w:r>
            <w:r w:rsidR="005E586C">
              <w:rPr>
                <w:rFonts w:ascii="Calibri" w:hAnsi="Calibri"/>
                <w:color w:val="000000"/>
                <w:szCs w:val="24"/>
              </w:rPr>
              <w:t>t</w:t>
            </w:r>
            <w:r w:rsidRPr="00AD608A">
              <w:rPr>
                <w:rFonts w:ascii="Calibri" w:hAnsi="Calibri"/>
                <w:color w:val="000000"/>
                <w:szCs w:val="24"/>
              </w:rPr>
              <w:t>ní fond životního prostředí České republiky</w:t>
            </w:r>
          </w:p>
        </w:tc>
      </w:tr>
      <w:tr w:rsidR="00AD608A" w:rsidRPr="00AD608A" w14:paraId="04CE97A6"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51EE9DD"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ÚSTR</w:t>
            </w:r>
          </w:p>
        </w:tc>
        <w:tc>
          <w:tcPr>
            <w:tcW w:w="6143" w:type="dxa"/>
            <w:tcBorders>
              <w:top w:val="nil"/>
              <w:left w:val="nil"/>
              <w:bottom w:val="single" w:sz="4" w:space="0" w:color="auto"/>
              <w:right w:val="single" w:sz="4" w:space="0" w:color="auto"/>
            </w:tcBorders>
            <w:shd w:val="clear" w:color="auto" w:fill="auto"/>
            <w:vAlign w:val="center"/>
            <w:hideMark/>
          </w:tcPr>
          <w:p w14:paraId="5DFE6DFE"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Ústav pro studium totalitních režimů</w:t>
            </w:r>
          </w:p>
        </w:tc>
      </w:tr>
      <w:tr w:rsidR="00E37E44" w:rsidRPr="00AD608A" w14:paraId="39394ABA"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49C5DC7" w14:textId="1EAC98DF" w:rsidR="00E37E44" w:rsidRPr="00AD608A" w:rsidRDefault="00A05227" w:rsidP="00AD608A">
            <w:pPr>
              <w:jc w:val="left"/>
              <w:rPr>
                <w:rFonts w:ascii="Calibri" w:hAnsi="Calibri"/>
                <w:color w:val="000000"/>
                <w:szCs w:val="24"/>
              </w:rPr>
            </w:pPr>
            <w:r>
              <w:rPr>
                <w:rFonts w:ascii="Calibri" w:hAnsi="Calibri"/>
                <w:color w:val="000000"/>
                <w:szCs w:val="24"/>
              </w:rPr>
              <w:t>ú</w:t>
            </w:r>
            <w:r w:rsidR="00E37E44">
              <w:rPr>
                <w:rFonts w:ascii="Calibri" w:hAnsi="Calibri"/>
                <w:color w:val="000000"/>
                <w:szCs w:val="24"/>
              </w:rPr>
              <w:t>střední instituce</w:t>
            </w:r>
          </w:p>
        </w:tc>
        <w:tc>
          <w:tcPr>
            <w:tcW w:w="6143" w:type="dxa"/>
            <w:tcBorders>
              <w:top w:val="nil"/>
              <w:left w:val="nil"/>
              <w:bottom w:val="single" w:sz="4" w:space="0" w:color="auto"/>
              <w:right w:val="single" w:sz="4" w:space="0" w:color="auto"/>
            </w:tcBorders>
            <w:shd w:val="clear" w:color="auto" w:fill="auto"/>
            <w:vAlign w:val="center"/>
          </w:tcPr>
          <w:p w14:paraId="7DC63DAE" w14:textId="5E715AFB" w:rsidR="00E37E44" w:rsidRDefault="005E586C" w:rsidP="00AD608A">
            <w:pPr>
              <w:jc w:val="left"/>
              <w:rPr>
                <w:rFonts w:ascii="Calibri" w:hAnsi="Calibri"/>
                <w:color w:val="000000"/>
                <w:szCs w:val="24"/>
              </w:rPr>
            </w:pPr>
            <w:r>
              <w:rPr>
                <w:rFonts w:ascii="Calibri" w:hAnsi="Calibri"/>
                <w:color w:val="000000"/>
                <w:szCs w:val="24"/>
              </w:rPr>
              <w:t>ú</w:t>
            </w:r>
            <w:r w:rsidR="00E37E44">
              <w:rPr>
                <w:rFonts w:ascii="Calibri" w:hAnsi="Calibri"/>
                <w:color w:val="000000"/>
                <w:szCs w:val="24"/>
              </w:rPr>
              <w:t>střední vládní instituce spadající pod čl. 5 EED</w:t>
            </w:r>
          </w:p>
        </w:tc>
      </w:tr>
      <w:tr w:rsidR="00AD608A" w:rsidRPr="00AD608A" w14:paraId="4158E42E"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5F487A0"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VH</w:t>
            </w:r>
          </w:p>
        </w:tc>
        <w:tc>
          <w:tcPr>
            <w:tcW w:w="6143" w:type="dxa"/>
            <w:tcBorders>
              <w:top w:val="nil"/>
              <w:left w:val="nil"/>
              <w:bottom w:val="single" w:sz="4" w:space="0" w:color="auto"/>
              <w:right w:val="single" w:sz="4" w:space="0" w:color="auto"/>
            </w:tcBorders>
            <w:shd w:val="clear" w:color="auto" w:fill="auto"/>
            <w:vAlign w:val="center"/>
            <w:hideMark/>
          </w:tcPr>
          <w:p w14:paraId="7103FEF5" w14:textId="3DBC4353" w:rsidR="00AD608A" w:rsidRPr="00AD608A" w:rsidRDefault="005E586C" w:rsidP="00AD608A">
            <w:pPr>
              <w:jc w:val="left"/>
              <w:rPr>
                <w:rFonts w:ascii="Calibri" w:hAnsi="Calibri"/>
                <w:color w:val="000000"/>
                <w:szCs w:val="24"/>
              </w:rPr>
            </w:pPr>
            <w:r>
              <w:rPr>
                <w:rFonts w:ascii="Calibri" w:hAnsi="Calibri"/>
                <w:color w:val="000000"/>
                <w:szCs w:val="24"/>
              </w:rPr>
              <w:t>v</w:t>
            </w:r>
            <w:r w:rsidR="00AD608A" w:rsidRPr="00AD608A">
              <w:rPr>
                <w:rFonts w:ascii="Calibri" w:hAnsi="Calibri"/>
                <w:color w:val="000000"/>
                <w:szCs w:val="24"/>
              </w:rPr>
              <w:t>ýchozí hodnota</w:t>
            </w:r>
          </w:p>
        </w:tc>
      </w:tr>
      <w:tr w:rsidR="00AD608A" w:rsidRPr="00AD608A" w14:paraId="72205BCD"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A369733"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VVI</w:t>
            </w:r>
          </w:p>
        </w:tc>
        <w:tc>
          <w:tcPr>
            <w:tcW w:w="6143" w:type="dxa"/>
            <w:tcBorders>
              <w:top w:val="nil"/>
              <w:left w:val="nil"/>
              <w:bottom w:val="single" w:sz="4" w:space="0" w:color="auto"/>
              <w:right w:val="single" w:sz="4" w:space="0" w:color="auto"/>
            </w:tcBorders>
            <w:shd w:val="clear" w:color="auto" w:fill="auto"/>
            <w:vAlign w:val="center"/>
            <w:hideMark/>
          </w:tcPr>
          <w:p w14:paraId="6B5334E0" w14:textId="7A6F8F74" w:rsidR="00AD608A" w:rsidRPr="00AD608A" w:rsidRDefault="005E586C" w:rsidP="00AD608A">
            <w:pPr>
              <w:jc w:val="left"/>
              <w:rPr>
                <w:rFonts w:ascii="Calibri" w:hAnsi="Calibri"/>
                <w:color w:val="000000"/>
                <w:szCs w:val="24"/>
              </w:rPr>
            </w:pPr>
            <w:r>
              <w:rPr>
                <w:rFonts w:ascii="Calibri" w:hAnsi="Calibri"/>
                <w:color w:val="000000"/>
                <w:szCs w:val="24"/>
              </w:rPr>
              <w:t>v</w:t>
            </w:r>
            <w:r w:rsidR="00AD608A" w:rsidRPr="00AD608A">
              <w:rPr>
                <w:rFonts w:ascii="Calibri" w:hAnsi="Calibri"/>
                <w:color w:val="000000"/>
                <w:szCs w:val="24"/>
              </w:rPr>
              <w:t>eřejné výzkumné instituce</w:t>
            </w:r>
          </w:p>
        </w:tc>
      </w:tr>
      <w:tr w:rsidR="00AD608A" w:rsidRPr="00AD608A" w14:paraId="4564AB80" w14:textId="77777777" w:rsidTr="001B142E">
        <w:trPr>
          <w:trHeight w:val="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E6EAD00" w14:textId="77777777" w:rsidR="00AD608A" w:rsidRPr="00AD608A" w:rsidRDefault="00AD608A" w:rsidP="00AD608A">
            <w:pPr>
              <w:jc w:val="left"/>
              <w:rPr>
                <w:rFonts w:ascii="Calibri" w:hAnsi="Calibri"/>
                <w:color w:val="000000"/>
                <w:szCs w:val="24"/>
              </w:rPr>
            </w:pPr>
            <w:r w:rsidRPr="00AD608A">
              <w:rPr>
                <w:rFonts w:ascii="Calibri" w:hAnsi="Calibri"/>
                <w:color w:val="000000"/>
                <w:szCs w:val="24"/>
              </w:rPr>
              <w:t>Zpráva o pokroku</w:t>
            </w:r>
          </w:p>
        </w:tc>
        <w:tc>
          <w:tcPr>
            <w:tcW w:w="6143" w:type="dxa"/>
            <w:tcBorders>
              <w:top w:val="nil"/>
              <w:left w:val="nil"/>
              <w:bottom w:val="single" w:sz="4" w:space="0" w:color="auto"/>
              <w:right w:val="single" w:sz="4" w:space="0" w:color="auto"/>
            </w:tcBorders>
            <w:shd w:val="clear" w:color="auto" w:fill="auto"/>
            <w:vAlign w:val="center"/>
            <w:hideMark/>
          </w:tcPr>
          <w:p w14:paraId="56EFB7A2" w14:textId="24DF6036" w:rsidR="00AD608A" w:rsidRPr="00FC7CB7" w:rsidRDefault="00AD608A" w:rsidP="005E586C">
            <w:pPr>
              <w:rPr>
                <w:rFonts w:ascii="Calibri" w:hAnsi="Calibri"/>
                <w:i/>
                <w:color w:val="000000"/>
                <w:szCs w:val="24"/>
              </w:rPr>
            </w:pPr>
            <w:r w:rsidRPr="00FC7CB7">
              <w:rPr>
                <w:rFonts w:ascii="Calibri" w:hAnsi="Calibri"/>
                <w:i/>
                <w:color w:val="000000"/>
                <w:szCs w:val="24"/>
              </w:rPr>
              <w:t>Zpráv</w:t>
            </w:r>
            <w:r w:rsidR="000159D3" w:rsidRPr="00FC7CB7">
              <w:rPr>
                <w:rFonts w:ascii="Calibri" w:hAnsi="Calibri"/>
                <w:i/>
                <w:color w:val="000000"/>
                <w:szCs w:val="24"/>
              </w:rPr>
              <w:t>a</w:t>
            </w:r>
            <w:r w:rsidRPr="00FC7CB7">
              <w:rPr>
                <w:rFonts w:ascii="Calibri" w:hAnsi="Calibri"/>
                <w:i/>
                <w:color w:val="000000"/>
                <w:szCs w:val="24"/>
              </w:rPr>
              <w:t xml:space="preserve"> o pokroku v oblasti plnění vnitrostátních cílů energetické účinnosti v </w:t>
            </w:r>
            <w:r w:rsidR="005E586C" w:rsidRPr="00FC7CB7">
              <w:rPr>
                <w:rFonts w:ascii="Calibri" w:hAnsi="Calibri"/>
                <w:i/>
                <w:color w:val="000000"/>
                <w:szCs w:val="24"/>
              </w:rPr>
              <w:t>Č</w:t>
            </w:r>
            <w:r w:rsidRPr="00FC7CB7">
              <w:rPr>
                <w:rFonts w:ascii="Calibri" w:hAnsi="Calibri"/>
                <w:i/>
                <w:color w:val="000000"/>
                <w:szCs w:val="24"/>
              </w:rPr>
              <w:t>eské republice podle čl. 24 směrnice 2012/27/EU o energetické účinnosti</w:t>
            </w:r>
          </w:p>
        </w:tc>
      </w:tr>
    </w:tbl>
    <w:p w14:paraId="42142BAF" w14:textId="77777777" w:rsidR="00AD608A" w:rsidRPr="00AD608A" w:rsidRDefault="00AD608A" w:rsidP="00AD608A"/>
    <w:p w14:paraId="1ADCBEC7" w14:textId="77777777" w:rsidR="005C3ACF" w:rsidRDefault="005C3ACF">
      <w:pPr>
        <w:jc w:val="left"/>
        <w:rPr>
          <w:rFonts w:cstheme="minorHAnsi"/>
          <w:b/>
          <w:strike/>
          <w:noProof/>
          <w:color w:val="000000" w:themeColor="text1"/>
          <w:szCs w:val="28"/>
        </w:rPr>
      </w:pPr>
      <w:r>
        <w:rPr>
          <w:rFonts w:cstheme="minorHAnsi"/>
          <w:b/>
          <w:strike/>
          <w:noProof/>
          <w:color w:val="000000" w:themeColor="text1"/>
          <w:szCs w:val="28"/>
        </w:rPr>
        <w:br w:type="page"/>
      </w:r>
    </w:p>
    <w:p w14:paraId="218FA8D8" w14:textId="5E867CE8" w:rsidR="00E36AA1" w:rsidRPr="00E36AA1" w:rsidRDefault="001D7420" w:rsidP="009428B0">
      <w:pPr>
        <w:pStyle w:val="Nadpis4"/>
        <w:spacing w:after="120"/>
        <w:jc w:val="both"/>
      </w:pPr>
      <w:r w:rsidRPr="00EA2276">
        <w:rPr>
          <w:rStyle w:val="Nadpis4Char"/>
          <w:b/>
          <w:bCs/>
        </w:rPr>
        <w:lastRenderedPageBreak/>
        <w:t>Příloha č. 1:</w:t>
      </w:r>
      <w:r w:rsidR="00B00381">
        <w:rPr>
          <w:rStyle w:val="Nadpis4Char"/>
          <w:b/>
          <w:bCs/>
        </w:rPr>
        <w:t xml:space="preserve"> </w:t>
      </w:r>
      <w:r w:rsidR="004D5D1A">
        <w:t>Ú</w:t>
      </w:r>
      <w:r w:rsidR="00E36AA1">
        <w:t>střední vládní instituc</w:t>
      </w:r>
      <w:r w:rsidR="004D5D1A">
        <w:t>e</w:t>
      </w:r>
      <w:r w:rsidR="00E36AA1">
        <w:t xml:space="preserve"> spadající pod č</w:t>
      </w:r>
      <w:r w:rsidR="00DF33B4">
        <w:t>l</w:t>
      </w:r>
      <w:r w:rsidR="00E36AA1">
        <w:t>. 5 EED</w:t>
      </w:r>
    </w:p>
    <w:tbl>
      <w:tblPr>
        <w:tblW w:w="5000" w:type="pct"/>
        <w:tblLayout w:type="fixed"/>
        <w:tblCellMar>
          <w:left w:w="70" w:type="dxa"/>
          <w:right w:w="70" w:type="dxa"/>
        </w:tblCellMar>
        <w:tblLook w:val="04A0" w:firstRow="1" w:lastRow="0" w:firstColumn="1" w:lastColumn="0" w:noHBand="0" w:noVBand="1"/>
      </w:tblPr>
      <w:tblGrid>
        <w:gridCol w:w="379"/>
        <w:gridCol w:w="3919"/>
        <w:gridCol w:w="422"/>
        <w:gridCol w:w="4340"/>
      </w:tblGrid>
      <w:tr w:rsidR="003C30E1" w:rsidRPr="00D942B0" w14:paraId="19C86E16" w14:textId="77777777" w:rsidTr="00D942B0">
        <w:trPr>
          <w:trHeight w:val="30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D2410" w14:textId="77777777" w:rsidR="003C30E1" w:rsidRPr="00D942B0" w:rsidRDefault="003C30E1" w:rsidP="003C30E1">
            <w:pPr>
              <w:ind w:left="-217" w:right="-141" w:firstLine="217"/>
              <w:jc w:val="left"/>
              <w:rPr>
                <w:rFonts w:cstheme="minorHAnsi"/>
                <w:color w:val="000000"/>
                <w:sz w:val="22"/>
                <w:szCs w:val="22"/>
              </w:rPr>
            </w:pPr>
            <w:r w:rsidRPr="00D942B0">
              <w:rPr>
                <w:rFonts w:cstheme="minorHAnsi"/>
                <w:color w:val="000000"/>
                <w:sz w:val="22"/>
                <w:szCs w:val="22"/>
              </w:rPr>
              <w:t>*</w:t>
            </w:r>
          </w:p>
        </w:tc>
        <w:tc>
          <w:tcPr>
            <w:tcW w:w="2163" w:type="pct"/>
            <w:tcBorders>
              <w:top w:val="single" w:sz="4" w:space="0" w:color="auto"/>
              <w:left w:val="nil"/>
              <w:bottom w:val="single" w:sz="4" w:space="0" w:color="auto"/>
              <w:right w:val="single" w:sz="4" w:space="0" w:color="auto"/>
            </w:tcBorders>
            <w:shd w:val="clear" w:color="000000" w:fill="D9D9D9"/>
            <w:noWrap/>
            <w:vAlign w:val="center"/>
            <w:hideMark/>
          </w:tcPr>
          <w:p w14:paraId="6D6D3920"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Bezpečnostní informační služba</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14:paraId="12356D20"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17</w:t>
            </w:r>
          </w:p>
        </w:tc>
        <w:tc>
          <w:tcPr>
            <w:tcW w:w="2395" w:type="pct"/>
            <w:tcBorders>
              <w:top w:val="single" w:sz="4" w:space="0" w:color="auto"/>
              <w:left w:val="nil"/>
              <w:bottom w:val="single" w:sz="4" w:space="0" w:color="auto"/>
              <w:right w:val="single" w:sz="4" w:space="0" w:color="auto"/>
            </w:tcBorders>
            <w:shd w:val="clear" w:color="auto" w:fill="auto"/>
            <w:noWrap/>
            <w:vAlign w:val="center"/>
            <w:hideMark/>
          </w:tcPr>
          <w:p w14:paraId="26A818B4"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zahraničních věcí</w:t>
            </w:r>
          </w:p>
        </w:tc>
      </w:tr>
      <w:tr w:rsidR="003C30E1" w:rsidRPr="00D942B0" w14:paraId="1BFA8406"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3933FA6A"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w:t>
            </w:r>
          </w:p>
        </w:tc>
        <w:tc>
          <w:tcPr>
            <w:tcW w:w="2163" w:type="pct"/>
            <w:tcBorders>
              <w:top w:val="nil"/>
              <w:left w:val="nil"/>
              <w:bottom w:val="single" w:sz="4" w:space="0" w:color="auto"/>
              <w:right w:val="single" w:sz="4" w:space="0" w:color="auto"/>
            </w:tcBorders>
            <w:shd w:val="clear" w:color="000000" w:fill="D9D9D9"/>
            <w:noWrap/>
            <w:vAlign w:val="center"/>
            <w:hideMark/>
          </w:tcPr>
          <w:p w14:paraId="1A1A85BC"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Akademie věd ČR</w:t>
            </w:r>
          </w:p>
        </w:tc>
        <w:tc>
          <w:tcPr>
            <w:tcW w:w="233" w:type="pct"/>
            <w:tcBorders>
              <w:top w:val="nil"/>
              <w:left w:val="nil"/>
              <w:bottom w:val="single" w:sz="4" w:space="0" w:color="auto"/>
              <w:right w:val="single" w:sz="4" w:space="0" w:color="auto"/>
            </w:tcBorders>
            <w:shd w:val="clear" w:color="auto" w:fill="auto"/>
            <w:noWrap/>
            <w:vAlign w:val="center"/>
          </w:tcPr>
          <w:p w14:paraId="06892CE1"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18</w:t>
            </w:r>
          </w:p>
        </w:tc>
        <w:tc>
          <w:tcPr>
            <w:tcW w:w="2395" w:type="pct"/>
            <w:tcBorders>
              <w:top w:val="nil"/>
              <w:left w:val="nil"/>
              <w:bottom w:val="single" w:sz="4" w:space="0" w:color="auto"/>
              <w:right w:val="single" w:sz="4" w:space="0" w:color="auto"/>
            </w:tcBorders>
            <w:shd w:val="clear" w:color="auto" w:fill="auto"/>
            <w:noWrap/>
            <w:vAlign w:val="center"/>
            <w:hideMark/>
          </w:tcPr>
          <w:p w14:paraId="578B7453"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zdravotnictví</w:t>
            </w:r>
          </w:p>
        </w:tc>
      </w:tr>
      <w:tr w:rsidR="003C30E1" w:rsidRPr="00D942B0" w14:paraId="0155918B"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74A794EC"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1</w:t>
            </w:r>
          </w:p>
        </w:tc>
        <w:tc>
          <w:tcPr>
            <w:tcW w:w="2163" w:type="pct"/>
            <w:tcBorders>
              <w:top w:val="nil"/>
              <w:left w:val="nil"/>
              <w:bottom w:val="single" w:sz="4" w:space="0" w:color="auto"/>
              <w:right w:val="single" w:sz="4" w:space="0" w:color="auto"/>
            </w:tcBorders>
            <w:shd w:val="clear" w:color="auto" w:fill="auto"/>
            <w:noWrap/>
            <w:vAlign w:val="center"/>
            <w:hideMark/>
          </w:tcPr>
          <w:p w14:paraId="5C090B28"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Česká národní banka</w:t>
            </w:r>
          </w:p>
        </w:tc>
        <w:tc>
          <w:tcPr>
            <w:tcW w:w="233" w:type="pct"/>
            <w:tcBorders>
              <w:top w:val="nil"/>
              <w:left w:val="nil"/>
              <w:bottom w:val="single" w:sz="4" w:space="0" w:color="auto"/>
              <w:right w:val="single" w:sz="4" w:space="0" w:color="auto"/>
            </w:tcBorders>
            <w:shd w:val="clear" w:color="auto" w:fill="auto"/>
            <w:noWrap/>
            <w:vAlign w:val="center"/>
          </w:tcPr>
          <w:p w14:paraId="61FDED3F"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19</w:t>
            </w:r>
          </w:p>
        </w:tc>
        <w:tc>
          <w:tcPr>
            <w:tcW w:w="2395" w:type="pct"/>
            <w:tcBorders>
              <w:top w:val="nil"/>
              <w:left w:val="nil"/>
              <w:bottom w:val="single" w:sz="4" w:space="0" w:color="auto"/>
              <w:right w:val="single" w:sz="4" w:space="0" w:color="auto"/>
            </w:tcBorders>
            <w:shd w:val="clear" w:color="auto" w:fill="auto"/>
            <w:noWrap/>
            <w:vAlign w:val="center"/>
            <w:hideMark/>
          </w:tcPr>
          <w:p w14:paraId="6583836B"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zemědělství</w:t>
            </w:r>
          </w:p>
        </w:tc>
      </w:tr>
      <w:tr w:rsidR="003C30E1" w:rsidRPr="00D942B0" w14:paraId="25AFB005"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4ABD23AA"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2</w:t>
            </w:r>
          </w:p>
        </w:tc>
        <w:tc>
          <w:tcPr>
            <w:tcW w:w="2163" w:type="pct"/>
            <w:tcBorders>
              <w:top w:val="nil"/>
              <w:left w:val="nil"/>
              <w:bottom w:val="single" w:sz="4" w:space="0" w:color="auto"/>
              <w:right w:val="single" w:sz="4" w:space="0" w:color="auto"/>
            </w:tcBorders>
            <w:shd w:val="clear" w:color="auto" w:fill="auto"/>
            <w:noWrap/>
            <w:vAlign w:val="center"/>
            <w:hideMark/>
          </w:tcPr>
          <w:p w14:paraId="550E0401"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Český báňský úřad</w:t>
            </w:r>
          </w:p>
        </w:tc>
        <w:tc>
          <w:tcPr>
            <w:tcW w:w="233" w:type="pct"/>
            <w:tcBorders>
              <w:top w:val="nil"/>
              <w:left w:val="nil"/>
              <w:bottom w:val="single" w:sz="4" w:space="0" w:color="auto"/>
              <w:right w:val="single" w:sz="4" w:space="0" w:color="auto"/>
            </w:tcBorders>
            <w:shd w:val="clear" w:color="auto" w:fill="auto"/>
            <w:noWrap/>
            <w:vAlign w:val="center"/>
          </w:tcPr>
          <w:p w14:paraId="15BC781A"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20</w:t>
            </w:r>
          </w:p>
        </w:tc>
        <w:tc>
          <w:tcPr>
            <w:tcW w:w="2395" w:type="pct"/>
            <w:tcBorders>
              <w:top w:val="nil"/>
              <w:left w:val="nil"/>
              <w:bottom w:val="single" w:sz="4" w:space="0" w:color="auto"/>
              <w:right w:val="single" w:sz="4" w:space="0" w:color="auto"/>
            </w:tcBorders>
            <w:shd w:val="clear" w:color="auto" w:fill="auto"/>
            <w:noWrap/>
            <w:vAlign w:val="center"/>
            <w:hideMark/>
          </w:tcPr>
          <w:p w14:paraId="7A5839D6"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životního prostředí</w:t>
            </w:r>
          </w:p>
        </w:tc>
      </w:tr>
      <w:tr w:rsidR="003C30E1" w:rsidRPr="00D942B0" w14:paraId="7E11B90A"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60006B3C"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3</w:t>
            </w:r>
          </w:p>
        </w:tc>
        <w:tc>
          <w:tcPr>
            <w:tcW w:w="2163" w:type="pct"/>
            <w:tcBorders>
              <w:top w:val="nil"/>
              <w:left w:val="nil"/>
              <w:bottom w:val="single" w:sz="4" w:space="0" w:color="auto"/>
              <w:right w:val="single" w:sz="4" w:space="0" w:color="auto"/>
            </w:tcBorders>
            <w:shd w:val="clear" w:color="auto" w:fill="auto"/>
            <w:noWrap/>
            <w:vAlign w:val="center"/>
            <w:hideMark/>
          </w:tcPr>
          <w:p w14:paraId="0B1EB837"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Český statistický úřad</w:t>
            </w:r>
          </w:p>
        </w:tc>
        <w:tc>
          <w:tcPr>
            <w:tcW w:w="233" w:type="pct"/>
            <w:tcBorders>
              <w:top w:val="nil"/>
              <w:left w:val="nil"/>
              <w:bottom w:val="single" w:sz="4" w:space="0" w:color="auto"/>
              <w:right w:val="single" w:sz="4" w:space="0" w:color="auto"/>
            </w:tcBorders>
            <w:shd w:val="clear" w:color="auto" w:fill="auto"/>
            <w:noWrap/>
            <w:vAlign w:val="center"/>
          </w:tcPr>
          <w:p w14:paraId="348DBA2C"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21</w:t>
            </w:r>
          </w:p>
        </w:tc>
        <w:tc>
          <w:tcPr>
            <w:tcW w:w="2395" w:type="pct"/>
            <w:tcBorders>
              <w:top w:val="nil"/>
              <w:left w:val="nil"/>
              <w:bottom w:val="single" w:sz="4" w:space="0" w:color="auto"/>
              <w:right w:val="single" w:sz="4" w:space="0" w:color="auto"/>
            </w:tcBorders>
            <w:shd w:val="clear" w:color="auto" w:fill="auto"/>
            <w:noWrap/>
            <w:vAlign w:val="center"/>
            <w:hideMark/>
          </w:tcPr>
          <w:p w14:paraId="3C2BF98F"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Národní bezpečnostní úřad</w:t>
            </w:r>
          </w:p>
        </w:tc>
      </w:tr>
      <w:tr w:rsidR="003C30E1" w:rsidRPr="00D942B0" w14:paraId="11BF02B2"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08F4A986"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4</w:t>
            </w:r>
          </w:p>
        </w:tc>
        <w:tc>
          <w:tcPr>
            <w:tcW w:w="2163" w:type="pct"/>
            <w:tcBorders>
              <w:top w:val="nil"/>
              <w:left w:val="nil"/>
              <w:bottom w:val="single" w:sz="4" w:space="0" w:color="auto"/>
              <w:right w:val="single" w:sz="4" w:space="0" w:color="auto"/>
            </w:tcBorders>
            <w:shd w:val="clear" w:color="auto" w:fill="auto"/>
            <w:noWrap/>
            <w:vAlign w:val="center"/>
            <w:hideMark/>
          </w:tcPr>
          <w:p w14:paraId="2D183AF2"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Český telekomunikační úřad</w:t>
            </w:r>
          </w:p>
        </w:tc>
        <w:tc>
          <w:tcPr>
            <w:tcW w:w="233" w:type="pct"/>
            <w:tcBorders>
              <w:top w:val="nil"/>
              <w:left w:val="nil"/>
              <w:bottom w:val="single" w:sz="4" w:space="0" w:color="auto"/>
              <w:right w:val="single" w:sz="4" w:space="0" w:color="auto"/>
            </w:tcBorders>
            <w:shd w:val="clear" w:color="auto" w:fill="auto"/>
            <w:noWrap/>
            <w:vAlign w:val="center"/>
          </w:tcPr>
          <w:p w14:paraId="159A1169"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22</w:t>
            </w:r>
          </w:p>
        </w:tc>
        <w:tc>
          <w:tcPr>
            <w:tcW w:w="2395" w:type="pct"/>
            <w:tcBorders>
              <w:top w:val="nil"/>
              <w:left w:val="nil"/>
              <w:bottom w:val="single" w:sz="4" w:space="0" w:color="auto"/>
              <w:right w:val="single" w:sz="4" w:space="0" w:color="auto"/>
            </w:tcBorders>
            <w:shd w:val="clear" w:color="auto" w:fill="auto"/>
            <w:noWrap/>
            <w:vAlign w:val="center"/>
            <w:hideMark/>
          </w:tcPr>
          <w:p w14:paraId="529AA529"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Nejvyšší kontrolní úřad</w:t>
            </w:r>
          </w:p>
        </w:tc>
      </w:tr>
      <w:tr w:rsidR="003C30E1" w:rsidRPr="00D942B0" w14:paraId="3E061562"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67D7103F"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5</w:t>
            </w:r>
          </w:p>
        </w:tc>
        <w:tc>
          <w:tcPr>
            <w:tcW w:w="2163" w:type="pct"/>
            <w:tcBorders>
              <w:top w:val="nil"/>
              <w:left w:val="nil"/>
              <w:bottom w:val="single" w:sz="4" w:space="0" w:color="auto"/>
              <w:right w:val="single" w:sz="4" w:space="0" w:color="auto"/>
            </w:tcBorders>
            <w:shd w:val="clear" w:color="auto" w:fill="auto"/>
            <w:noWrap/>
            <w:vAlign w:val="center"/>
            <w:hideMark/>
          </w:tcPr>
          <w:p w14:paraId="409739D2"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Český úřad zeměměřický a katastrální</w:t>
            </w:r>
          </w:p>
        </w:tc>
        <w:tc>
          <w:tcPr>
            <w:tcW w:w="233" w:type="pct"/>
            <w:tcBorders>
              <w:top w:val="nil"/>
              <w:left w:val="nil"/>
              <w:bottom w:val="single" w:sz="4" w:space="0" w:color="auto"/>
              <w:right w:val="single" w:sz="4" w:space="0" w:color="auto"/>
            </w:tcBorders>
            <w:shd w:val="clear" w:color="auto" w:fill="auto"/>
            <w:noWrap/>
            <w:vAlign w:val="center"/>
          </w:tcPr>
          <w:p w14:paraId="04920D93"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23</w:t>
            </w:r>
          </w:p>
        </w:tc>
        <w:tc>
          <w:tcPr>
            <w:tcW w:w="2395" w:type="pct"/>
            <w:tcBorders>
              <w:top w:val="nil"/>
              <w:left w:val="nil"/>
              <w:bottom w:val="single" w:sz="4" w:space="0" w:color="auto"/>
              <w:right w:val="single" w:sz="4" w:space="0" w:color="auto"/>
            </w:tcBorders>
            <w:shd w:val="clear" w:color="auto" w:fill="auto"/>
            <w:noWrap/>
            <w:vAlign w:val="center"/>
            <w:hideMark/>
          </w:tcPr>
          <w:p w14:paraId="721F8389"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Nejvyšší soud</w:t>
            </w:r>
          </w:p>
        </w:tc>
      </w:tr>
      <w:tr w:rsidR="003C30E1" w:rsidRPr="00D942B0" w14:paraId="6182E0DE"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0A6F18C3"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6</w:t>
            </w:r>
          </w:p>
        </w:tc>
        <w:tc>
          <w:tcPr>
            <w:tcW w:w="2163" w:type="pct"/>
            <w:tcBorders>
              <w:top w:val="nil"/>
              <w:left w:val="nil"/>
              <w:bottom w:val="single" w:sz="4" w:space="0" w:color="auto"/>
              <w:right w:val="single" w:sz="4" w:space="0" w:color="auto"/>
            </w:tcBorders>
            <w:shd w:val="clear" w:color="auto" w:fill="auto"/>
            <w:noWrap/>
            <w:vAlign w:val="center"/>
            <w:hideMark/>
          </w:tcPr>
          <w:p w14:paraId="6315A13E"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Energetický regulační úřad</w:t>
            </w:r>
          </w:p>
        </w:tc>
        <w:tc>
          <w:tcPr>
            <w:tcW w:w="233" w:type="pct"/>
            <w:tcBorders>
              <w:top w:val="nil"/>
              <w:left w:val="nil"/>
              <w:bottom w:val="single" w:sz="4" w:space="0" w:color="auto"/>
              <w:right w:val="single" w:sz="4" w:space="0" w:color="auto"/>
            </w:tcBorders>
            <w:shd w:val="clear" w:color="auto" w:fill="auto"/>
            <w:noWrap/>
            <w:vAlign w:val="center"/>
          </w:tcPr>
          <w:p w14:paraId="4FD7AE66"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24</w:t>
            </w:r>
          </w:p>
        </w:tc>
        <w:tc>
          <w:tcPr>
            <w:tcW w:w="2395" w:type="pct"/>
            <w:tcBorders>
              <w:top w:val="nil"/>
              <w:left w:val="nil"/>
              <w:bottom w:val="single" w:sz="4" w:space="0" w:color="auto"/>
              <w:right w:val="single" w:sz="4" w:space="0" w:color="auto"/>
            </w:tcBorders>
            <w:shd w:val="clear" w:color="auto" w:fill="auto"/>
            <w:noWrap/>
            <w:vAlign w:val="center"/>
            <w:hideMark/>
          </w:tcPr>
          <w:p w14:paraId="204A67F5"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Nejvyšší správní soud</w:t>
            </w:r>
          </w:p>
        </w:tc>
      </w:tr>
      <w:tr w:rsidR="003C30E1" w:rsidRPr="00D942B0" w14:paraId="77DA0F8B"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74F98DB2"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w:t>
            </w:r>
          </w:p>
        </w:tc>
        <w:tc>
          <w:tcPr>
            <w:tcW w:w="2163" w:type="pct"/>
            <w:tcBorders>
              <w:top w:val="nil"/>
              <w:left w:val="nil"/>
              <w:bottom w:val="single" w:sz="4" w:space="0" w:color="auto"/>
              <w:right w:val="single" w:sz="4" w:space="0" w:color="auto"/>
            </w:tcBorders>
            <w:shd w:val="clear" w:color="000000" w:fill="D9D9D9"/>
            <w:noWrap/>
            <w:vAlign w:val="center"/>
            <w:hideMark/>
          </w:tcPr>
          <w:p w14:paraId="24BDD8D5"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Grantová agentura České republiky</w:t>
            </w:r>
          </w:p>
        </w:tc>
        <w:tc>
          <w:tcPr>
            <w:tcW w:w="233" w:type="pct"/>
            <w:tcBorders>
              <w:top w:val="nil"/>
              <w:left w:val="nil"/>
              <w:bottom w:val="single" w:sz="4" w:space="0" w:color="auto"/>
              <w:right w:val="single" w:sz="4" w:space="0" w:color="auto"/>
            </w:tcBorders>
            <w:shd w:val="clear" w:color="auto" w:fill="auto"/>
            <w:noWrap/>
            <w:vAlign w:val="center"/>
          </w:tcPr>
          <w:p w14:paraId="22341DE6"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25</w:t>
            </w:r>
          </w:p>
        </w:tc>
        <w:tc>
          <w:tcPr>
            <w:tcW w:w="2395" w:type="pct"/>
            <w:tcBorders>
              <w:top w:val="nil"/>
              <w:left w:val="nil"/>
              <w:bottom w:val="single" w:sz="4" w:space="0" w:color="auto"/>
              <w:right w:val="single" w:sz="4" w:space="0" w:color="auto"/>
            </w:tcBorders>
            <w:shd w:val="clear" w:color="auto" w:fill="auto"/>
            <w:noWrap/>
            <w:vAlign w:val="center"/>
            <w:hideMark/>
          </w:tcPr>
          <w:p w14:paraId="446BD513"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Nejvyšší státní zastupitelství</w:t>
            </w:r>
          </w:p>
        </w:tc>
      </w:tr>
      <w:tr w:rsidR="003C30E1" w:rsidRPr="00D942B0" w14:paraId="521DC18D"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039338F1"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w:t>
            </w:r>
          </w:p>
        </w:tc>
        <w:tc>
          <w:tcPr>
            <w:tcW w:w="2163" w:type="pct"/>
            <w:tcBorders>
              <w:top w:val="nil"/>
              <w:left w:val="nil"/>
              <w:bottom w:val="single" w:sz="4" w:space="0" w:color="auto"/>
              <w:right w:val="single" w:sz="4" w:space="0" w:color="auto"/>
            </w:tcBorders>
            <w:shd w:val="clear" w:color="000000" w:fill="D9D9D9"/>
            <w:noWrap/>
            <w:vAlign w:val="center"/>
            <w:hideMark/>
          </w:tcPr>
          <w:p w14:paraId="41FC2954"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Kancelář prezidenta</w:t>
            </w:r>
            <w:r w:rsidR="000C3B5A">
              <w:rPr>
                <w:rFonts w:cstheme="minorHAnsi"/>
                <w:color w:val="000000"/>
                <w:sz w:val="22"/>
                <w:szCs w:val="22"/>
              </w:rPr>
              <w:t xml:space="preserve"> republiky</w:t>
            </w:r>
          </w:p>
        </w:tc>
        <w:tc>
          <w:tcPr>
            <w:tcW w:w="233" w:type="pct"/>
            <w:tcBorders>
              <w:top w:val="nil"/>
              <w:left w:val="nil"/>
              <w:bottom w:val="single" w:sz="4" w:space="0" w:color="auto"/>
              <w:right w:val="single" w:sz="4" w:space="0" w:color="auto"/>
            </w:tcBorders>
            <w:shd w:val="clear" w:color="auto" w:fill="auto"/>
            <w:noWrap/>
            <w:vAlign w:val="center"/>
          </w:tcPr>
          <w:p w14:paraId="01CA42B4"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26</w:t>
            </w:r>
          </w:p>
        </w:tc>
        <w:tc>
          <w:tcPr>
            <w:tcW w:w="2395" w:type="pct"/>
            <w:tcBorders>
              <w:top w:val="nil"/>
              <w:left w:val="nil"/>
              <w:bottom w:val="single" w:sz="4" w:space="0" w:color="auto"/>
              <w:right w:val="single" w:sz="4" w:space="0" w:color="auto"/>
            </w:tcBorders>
            <w:shd w:val="clear" w:color="auto" w:fill="auto"/>
            <w:noWrap/>
            <w:vAlign w:val="center"/>
            <w:hideMark/>
          </w:tcPr>
          <w:p w14:paraId="476D95EF"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Poslanecká sněmovna P</w:t>
            </w:r>
            <w:r w:rsidR="000C3B5A">
              <w:rPr>
                <w:rFonts w:cstheme="minorHAnsi"/>
                <w:color w:val="000000"/>
                <w:sz w:val="22"/>
                <w:szCs w:val="22"/>
              </w:rPr>
              <w:t xml:space="preserve">arlamentu </w:t>
            </w:r>
            <w:r w:rsidRPr="00D942B0">
              <w:rPr>
                <w:rFonts w:cstheme="minorHAnsi"/>
                <w:color w:val="000000"/>
                <w:sz w:val="22"/>
                <w:szCs w:val="22"/>
              </w:rPr>
              <w:t>ČR</w:t>
            </w:r>
          </w:p>
        </w:tc>
      </w:tr>
      <w:tr w:rsidR="003C30E1" w:rsidRPr="00D942B0" w14:paraId="2103574D"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5A9712E4"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7</w:t>
            </w:r>
          </w:p>
        </w:tc>
        <w:tc>
          <w:tcPr>
            <w:tcW w:w="2163" w:type="pct"/>
            <w:tcBorders>
              <w:top w:val="nil"/>
              <w:left w:val="nil"/>
              <w:bottom w:val="single" w:sz="4" w:space="0" w:color="auto"/>
              <w:right w:val="single" w:sz="4" w:space="0" w:color="auto"/>
            </w:tcBorders>
            <w:shd w:val="clear" w:color="auto" w:fill="auto"/>
            <w:noWrap/>
            <w:vAlign w:val="center"/>
            <w:hideMark/>
          </w:tcPr>
          <w:p w14:paraId="70BC9868" w14:textId="6872B44F" w:rsidR="003C30E1" w:rsidRPr="00D942B0" w:rsidRDefault="003C30E1" w:rsidP="00EE5A60">
            <w:pPr>
              <w:jc w:val="left"/>
              <w:rPr>
                <w:rFonts w:cstheme="minorHAnsi"/>
                <w:color w:val="000000"/>
                <w:sz w:val="22"/>
                <w:szCs w:val="22"/>
              </w:rPr>
            </w:pPr>
            <w:r w:rsidRPr="00D942B0">
              <w:rPr>
                <w:rFonts w:cstheme="minorHAnsi"/>
                <w:color w:val="000000"/>
                <w:sz w:val="22"/>
                <w:szCs w:val="22"/>
              </w:rPr>
              <w:t xml:space="preserve">Kancelář </w:t>
            </w:r>
            <w:r w:rsidR="00EE5A60">
              <w:rPr>
                <w:rFonts w:cstheme="minorHAnsi"/>
                <w:color w:val="000000"/>
                <w:sz w:val="22"/>
                <w:szCs w:val="22"/>
              </w:rPr>
              <w:t>v</w:t>
            </w:r>
            <w:r w:rsidRPr="00D942B0">
              <w:rPr>
                <w:rFonts w:cstheme="minorHAnsi"/>
                <w:color w:val="000000"/>
                <w:sz w:val="22"/>
                <w:szCs w:val="22"/>
              </w:rPr>
              <w:t>eřejného ochránce práv</w:t>
            </w:r>
          </w:p>
        </w:tc>
        <w:tc>
          <w:tcPr>
            <w:tcW w:w="233" w:type="pct"/>
            <w:tcBorders>
              <w:top w:val="nil"/>
              <w:left w:val="nil"/>
              <w:bottom w:val="single" w:sz="4" w:space="0" w:color="auto"/>
              <w:right w:val="single" w:sz="4" w:space="0" w:color="auto"/>
            </w:tcBorders>
            <w:shd w:val="clear" w:color="auto" w:fill="auto"/>
            <w:noWrap/>
            <w:vAlign w:val="center"/>
          </w:tcPr>
          <w:p w14:paraId="0E2FB6FC"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27</w:t>
            </w:r>
          </w:p>
        </w:tc>
        <w:tc>
          <w:tcPr>
            <w:tcW w:w="2395" w:type="pct"/>
            <w:tcBorders>
              <w:top w:val="nil"/>
              <w:left w:val="nil"/>
              <w:bottom w:val="single" w:sz="4" w:space="0" w:color="auto"/>
              <w:right w:val="single" w:sz="4" w:space="0" w:color="auto"/>
            </w:tcBorders>
            <w:shd w:val="clear" w:color="auto" w:fill="auto"/>
            <w:noWrap/>
            <w:vAlign w:val="center"/>
            <w:hideMark/>
          </w:tcPr>
          <w:p w14:paraId="578B95EC"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Senát P</w:t>
            </w:r>
            <w:r w:rsidR="000C3B5A">
              <w:rPr>
                <w:rFonts w:cstheme="minorHAnsi"/>
                <w:color w:val="000000"/>
                <w:sz w:val="22"/>
                <w:szCs w:val="22"/>
              </w:rPr>
              <w:t xml:space="preserve">arlamentu </w:t>
            </w:r>
            <w:r w:rsidRPr="00D942B0">
              <w:rPr>
                <w:rFonts w:cstheme="minorHAnsi"/>
                <w:color w:val="000000"/>
                <w:sz w:val="22"/>
                <w:szCs w:val="22"/>
              </w:rPr>
              <w:t>ČR</w:t>
            </w:r>
          </w:p>
        </w:tc>
      </w:tr>
      <w:tr w:rsidR="003C30E1" w:rsidRPr="00D942B0" w14:paraId="1AA077B0"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1838F347"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8</w:t>
            </w:r>
          </w:p>
        </w:tc>
        <w:tc>
          <w:tcPr>
            <w:tcW w:w="2163" w:type="pct"/>
            <w:tcBorders>
              <w:top w:val="nil"/>
              <w:left w:val="nil"/>
              <w:bottom w:val="single" w:sz="4" w:space="0" w:color="auto"/>
              <w:right w:val="single" w:sz="4" w:space="0" w:color="auto"/>
            </w:tcBorders>
            <w:shd w:val="clear" w:color="auto" w:fill="auto"/>
            <w:noWrap/>
            <w:vAlign w:val="center"/>
            <w:hideMark/>
          </w:tcPr>
          <w:p w14:paraId="5BD99726"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dopravy</w:t>
            </w:r>
          </w:p>
        </w:tc>
        <w:tc>
          <w:tcPr>
            <w:tcW w:w="233" w:type="pct"/>
            <w:tcBorders>
              <w:top w:val="nil"/>
              <w:left w:val="nil"/>
              <w:bottom w:val="single" w:sz="4" w:space="0" w:color="auto"/>
              <w:right w:val="single" w:sz="4" w:space="0" w:color="auto"/>
            </w:tcBorders>
            <w:shd w:val="clear" w:color="auto" w:fill="auto"/>
            <w:noWrap/>
            <w:vAlign w:val="center"/>
          </w:tcPr>
          <w:p w14:paraId="45887B06"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28</w:t>
            </w:r>
          </w:p>
        </w:tc>
        <w:tc>
          <w:tcPr>
            <w:tcW w:w="2395" w:type="pct"/>
            <w:tcBorders>
              <w:top w:val="nil"/>
              <w:left w:val="nil"/>
              <w:bottom w:val="single" w:sz="4" w:space="0" w:color="auto"/>
              <w:right w:val="single" w:sz="4" w:space="0" w:color="auto"/>
            </w:tcBorders>
            <w:shd w:val="clear" w:color="auto" w:fill="auto"/>
            <w:noWrap/>
            <w:vAlign w:val="center"/>
            <w:hideMark/>
          </w:tcPr>
          <w:p w14:paraId="1FE47670"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Správa státních hmotných rezerv</w:t>
            </w:r>
          </w:p>
        </w:tc>
      </w:tr>
      <w:tr w:rsidR="003C30E1" w:rsidRPr="00D942B0" w14:paraId="25FAFED8"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191C5BFA"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9</w:t>
            </w:r>
          </w:p>
        </w:tc>
        <w:tc>
          <w:tcPr>
            <w:tcW w:w="2163" w:type="pct"/>
            <w:tcBorders>
              <w:top w:val="nil"/>
              <w:left w:val="nil"/>
              <w:bottom w:val="single" w:sz="4" w:space="0" w:color="auto"/>
              <w:right w:val="single" w:sz="4" w:space="0" w:color="auto"/>
            </w:tcBorders>
            <w:shd w:val="clear" w:color="auto" w:fill="auto"/>
            <w:noWrap/>
            <w:vAlign w:val="center"/>
            <w:hideMark/>
          </w:tcPr>
          <w:p w14:paraId="700152C5"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financí</w:t>
            </w:r>
          </w:p>
        </w:tc>
        <w:tc>
          <w:tcPr>
            <w:tcW w:w="233" w:type="pct"/>
            <w:tcBorders>
              <w:top w:val="nil"/>
              <w:left w:val="nil"/>
              <w:bottom w:val="single" w:sz="4" w:space="0" w:color="auto"/>
              <w:right w:val="single" w:sz="4" w:space="0" w:color="auto"/>
            </w:tcBorders>
            <w:shd w:val="clear" w:color="auto" w:fill="auto"/>
            <w:noWrap/>
            <w:vAlign w:val="center"/>
          </w:tcPr>
          <w:p w14:paraId="7DD13E4F"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29</w:t>
            </w:r>
          </w:p>
        </w:tc>
        <w:tc>
          <w:tcPr>
            <w:tcW w:w="2395" w:type="pct"/>
            <w:tcBorders>
              <w:top w:val="nil"/>
              <w:left w:val="nil"/>
              <w:bottom w:val="single" w:sz="4" w:space="0" w:color="auto"/>
              <w:right w:val="single" w:sz="4" w:space="0" w:color="auto"/>
            </w:tcBorders>
            <w:shd w:val="clear" w:color="auto" w:fill="auto"/>
            <w:noWrap/>
            <w:vAlign w:val="center"/>
            <w:hideMark/>
          </w:tcPr>
          <w:p w14:paraId="5F504885"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Státní úřad inspekce práce</w:t>
            </w:r>
          </w:p>
        </w:tc>
      </w:tr>
      <w:tr w:rsidR="003C30E1" w:rsidRPr="00D942B0" w14:paraId="2084E3C7"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290F66DB"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10</w:t>
            </w:r>
          </w:p>
        </w:tc>
        <w:tc>
          <w:tcPr>
            <w:tcW w:w="2163" w:type="pct"/>
            <w:tcBorders>
              <w:top w:val="nil"/>
              <w:left w:val="nil"/>
              <w:bottom w:val="single" w:sz="4" w:space="0" w:color="auto"/>
              <w:right w:val="single" w:sz="4" w:space="0" w:color="auto"/>
            </w:tcBorders>
            <w:shd w:val="clear" w:color="auto" w:fill="auto"/>
            <w:noWrap/>
            <w:vAlign w:val="center"/>
            <w:hideMark/>
          </w:tcPr>
          <w:p w14:paraId="4EE9B6D9"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kultury</w:t>
            </w:r>
          </w:p>
        </w:tc>
        <w:tc>
          <w:tcPr>
            <w:tcW w:w="233" w:type="pct"/>
            <w:tcBorders>
              <w:top w:val="nil"/>
              <w:left w:val="nil"/>
              <w:bottom w:val="single" w:sz="4" w:space="0" w:color="auto"/>
              <w:right w:val="single" w:sz="4" w:space="0" w:color="auto"/>
            </w:tcBorders>
            <w:shd w:val="clear" w:color="auto" w:fill="auto"/>
            <w:noWrap/>
            <w:vAlign w:val="center"/>
          </w:tcPr>
          <w:p w14:paraId="7718941F"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30</w:t>
            </w:r>
          </w:p>
        </w:tc>
        <w:tc>
          <w:tcPr>
            <w:tcW w:w="2395" w:type="pct"/>
            <w:tcBorders>
              <w:top w:val="nil"/>
              <w:left w:val="nil"/>
              <w:bottom w:val="single" w:sz="4" w:space="0" w:color="auto"/>
              <w:right w:val="single" w:sz="4" w:space="0" w:color="auto"/>
            </w:tcBorders>
            <w:shd w:val="clear" w:color="auto" w:fill="auto"/>
            <w:noWrap/>
            <w:vAlign w:val="center"/>
            <w:hideMark/>
          </w:tcPr>
          <w:p w14:paraId="04F75BAE"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Státní úřad pro jadernou bezpečnost</w:t>
            </w:r>
          </w:p>
        </w:tc>
      </w:tr>
      <w:tr w:rsidR="003C30E1" w:rsidRPr="00D942B0" w14:paraId="1DFC2B5B"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2522FA4C"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11</w:t>
            </w:r>
          </w:p>
        </w:tc>
        <w:tc>
          <w:tcPr>
            <w:tcW w:w="2163" w:type="pct"/>
            <w:tcBorders>
              <w:top w:val="nil"/>
              <w:left w:val="nil"/>
              <w:bottom w:val="single" w:sz="4" w:space="0" w:color="auto"/>
              <w:right w:val="single" w:sz="4" w:space="0" w:color="auto"/>
            </w:tcBorders>
            <w:shd w:val="clear" w:color="auto" w:fill="auto"/>
            <w:noWrap/>
            <w:vAlign w:val="center"/>
            <w:hideMark/>
          </w:tcPr>
          <w:p w14:paraId="49E90781"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obrany</w:t>
            </w:r>
          </w:p>
        </w:tc>
        <w:tc>
          <w:tcPr>
            <w:tcW w:w="233" w:type="pct"/>
            <w:tcBorders>
              <w:top w:val="nil"/>
              <w:left w:val="nil"/>
              <w:bottom w:val="single" w:sz="4" w:space="0" w:color="auto"/>
              <w:right w:val="single" w:sz="4" w:space="0" w:color="auto"/>
            </w:tcBorders>
            <w:shd w:val="clear" w:color="auto" w:fill="auto"/>
            <w:noWrap/>
            <w:vAlign w:val="center"/>
          </w:tcPr>
          <w:p w14:paraId="0BD1CE29"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31</w:t>
            </w:r>
          </w:p>
        </w:tc>
        <w:tc>
          <w:tcPr>
            <w:tcW w:w="2395" w:type="pct"/>
            <w:tcBorders>
              <w:top w:val="nil"/>
              <w:left w:val="nil"/>
              <w:bottom w:val="single" w:sz="4" w:space="0" w:color="auto"/>
              <w:right w:val="single" w:sz="4" w:space="0" w:color="auto"/>
            </w:tcBorders>
            <w:shd w:val="clear" w:color="auto" w:fill="auto"/>
            <w:noWrap/>
            <w:vAlign w:val="center"/>
            <w:hideMark/>
          </w:tcPr>
          <w:p w14:paraId="0ADEBCC3"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Úřad pro ochranu hospodářské soutěže</w:t>
            </w:r>
          </w:p>
        </w:tc>
      </w:tr>
      <w:tr w:rsidR="003C30E1" w:rsidRPr="00D942B0" w14:paraId="442A5D54"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6E180378"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12</w:t>
            </w:r>
          </w:p>
        </w:tc>
        <w:tc>
          <w:tcPr>
            <w:tcW w:w="2163" w:type="pct"/>
            <w:tcBorders>
              <w:top w:val="nil"/>
              <w:left w:val="nil"/>
              <w:bottom w:val="single" w:sz="4" w:space="0" w:color="auto"/>
              <w:right w:val="single" w:sz="4" w:space="0" w:color="auto"/>
            </w:tcBorders>
            <w:shd w:val="clear" w:color="auto" w:fill="auto"/>
            <w:noWrap/>
            <w:vAlign w:val="center"/>
            <w:hideMark/>
          </w:tcPr>
          <w:p w14:paraId="2A4A0263"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práce a sociálních věcí</w:t>
            </w:r>
          </w:p>
        </w:tc>
        <w:tc>
          <w:tcPr>
            <w:tcW w:w="233" w:type="pct"/>
            <w:tcBorders>
              <w:top w:val="nil"/>
              <w:left w:val="nil"/>
              <w:bottom w:val="single" w:sz="4" w:space="0" w:color="auto"/>
              <w:right w:val="single" w:sz="4" w:space="0" w:color="auto"/>
            </w:tcBorders>
            <w:shd w:val="clear" w:color="auto" w:fill="auto"/>
            <w:noWrap/>
            <w:vAlign w:val="center"/>
          </w:tcPr>
          <w:p w14:paraId="744A6A1A"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32</w:t>
            </w:r>
          </w:p>
        </w:tc>
        <w:tc>
          <w:tcPr>
            <w:tcW w:w="2395" w:type="pct"/>
            <w:tcBorders>
              <w:top w:val="nil"/>
              <w:left w:val="nil"/>
              <w:bottom w:val="single" w:sz="4" w:space="0" w:color="auto"/>
              <w:right w:val="single" w:sz="4" w:space="0" w:color="auto"/>
            </w:tcBorders>
            <w:shd w:val="clear" w:color="auto" w:fill="auto"/>
            <w:noWrap/>
            <w:vAlign w:val="center"/>
            <w:hideMark/>
          </w:tcPr>
          <w:p w14:paraId="65D554FD"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Úřad pro ochranu osobních údajů</w:t>
            </w:r>
          </w:p>
        </w:tc>
      </w:tr>
      <w:tr w:rsidR="003C30E1" w:rsidRPr="00D942B0" w14:paraId="7CBCA6CE"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284B3D2E"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13</w:t>
            </w:r>
          </w:p>
        </w:tc>
        <w:tc>
          <w:tcPr>
            <w:tcW w:w="2163" w:type="pct"/>
            <w:tcBorders>
              <w:top w:val="nil"/>
              <w:left w:val="nil"/>
              <w:bottom w:val="single" w:sz="4" w:space="0" w:color="auto"/>
              <w:right w:val="single" w:sz="4" w:space="0" w:color="auto"/>
            </w:tcBorders>
            <w:shd w:val="clear" w:color="auto" w:fill="auto"/>
            <w:noWrap/>
            <w:vAlign w:val="center"/>
            <w:hideMark/>
          </w:tcPr>
          <w:p w14:paraId="6976C322"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pro místní rozvoj</w:t>
            </w:r>
          </w:p>
        </w:tc>
        <w:tc>
          <w:tcPr>
            <w:tcW w:w="233" w:type="pct"/>
            <w:tcBorders>
              <w:top w:val="nil"/>
              <w:left w:val="nil"/>
              <w:bottom w:val="single" w:sz="4" w:space="0" w:color="auto"/>
              <w:right w:val="single" w:sz="4" w:space="0" w:color="auto"/>
            </w:tcBorders>
            <w:shd w:val="clear" w:color="auto" w:fill="auto"/>
            <w:noWrap/>
            <w:vAlign w:val="center"/>
          </w:tcPr>
          <w:p w14:paraId="0C28DCC0"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33</w:t>
            </w:r>
          </w:p>
        </w:tc>
        <w:tc>
          <w:tcPr>
            <w:tcW w:w="2395" w:type="pct"/>
            <w:tcBorders>
              <w:top w:val="nil"/>
              <w:left w:val="nil"/>
              <w:bottom w:val="single" w:sz="4" w:space="0" w:color="auto"/>
              <w:right w:val="single" w:sz="4" w:space="0" w:color="auto"/>
            </w:tcBorders>
            <w:shd w:val="clear" w:color="auto" w:fill="auto"/>
            <w:noWrap/>
            <w:vAlign w:val="center"/>
            <w:hideMark/>
          </w:tcPr>
          <w:p w14:paraId="16A96CB9"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Úřad pro zastupování státu ve věcech majetkových</w:t>
            </w:r>
          </w:p>
        </w:tc>
      </w:tr>
      <w:tr w:rsidR="003C30E1" w:rsidRPr="00D942B0" w14:paraId="596CD473"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6C58367A"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14</w:t>
            </w:r>
          </w:p>
        </w:tc>
        <w:tc>
          <w:tcPr>
            <w:tcW w:w="2163" w:type="pct"/>
            <w:tcBorders>
              <w:top w:val="nil"/>
              <w:left w:val="nil"/>
              <w:bottom w:val="single" w:sz="4" w:space="0" w:color="auto"/>
              <w:right w:val="single" w:sz="4" w:space="0" w:color="auto"/>
            </w:tcBorders>
            <w:shd w:val="clear" w:color="auto" w:fill="auto"/>
            <w:noWrap/>
            <w:vAlign w:val="center"/>
            <w:hideMark/>
          </w:tcPr>
          <w:p w14:paraId="0F2EDA16"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průmyslu a obchodu</w:t>
            </w:r>
          </w:p>
        </w:tc>
        <w:tc>
          <w:tcPr>
            <w:tcW w:w="233" w:type="pct"/>
            <w:tcBorders>
              <w:top w:val="nil"/>
              <w:left w:val="nil"/>
              <w:bottom w:val="single" w:sz="4" w:space="0" w:color="auto"/>
              <w:right w:val="single" w:sz="4" w:space="0" w:color="auto"/>
            </w:tcBorders>
            <w:shd w:val="clear" w:color="auto" w:fill="auto"/>
            <w:noWrap/>
            <w:vAlign w:val="center"/>
          </w:tcPr>
          <w:p w14:paraId="137149E6"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34</w:t>
            </w:r>
          </w:p>
        </w:tc>
        <w:tc>
          <w:tcPr>
            <w:tcW w:w="2395" w:type="pct"/>
            <w:tcBorders>
              <w:top w:val="nil"/>
              <w:left w:val="nil"/>
              <w:bottom w:val="single" w:sz="4" w:space="0" w:color="auto"/>
              <w:right w:val="single" w:sz="4" w:space="0" w:color="auto"/>
            </w:tcBorders>
            <w:shd w:val="clear" w:color="auto" w:fill="auto"/>
            <w:noWrap/>
            <w:vAlign w:val="center"/>
            <w:hideMark/>
          </w:tcPr>
          <w:p w14:paraId="7C2CB01A"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Úřad průmyslového vlastnictví</w:t>
            </w:r>
          </w:p>
        </w:tc>
      </w:tr>
      <w:tr w:rsidR="003C30E1" w:rsidRPr="00D942B0" w14:paraId="7114508C"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3F1F151F"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15</w:t>
            </w:r>
          </w:p>
        </w:tc>
        <w:tc>
          <w:tcPr>
            <w:tcW w:w="2163" w:type="pct"/>
            <w:tcBorders>
              <w:top w:val="nil"/>
              <w:left w:val="nil"/>
              <w:bottom w:val="single" w:sz="4" w:space="0" w:color="auto"/>
              <w:right w:val="single" w:sz="4" w:space="0" w:color="auto"/>
            </w:tcBorders>
            <w:shd w:val="clear" w:color="auto" w:fill="auto"/>
            <w:noWrap/>
            <w:vAlign w:val="center"/>
            <w:hideMark/>
          </w:tcPr>
          <w:p w14:paraId="267A1BD5"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spravedlnosti</w:t>
            </w:r>
          </w:p>
        </w:tc>
        <w:tc>
          <w:tcPr>
            <w:tcW w:w="233" w:type="pct"/>
            <w:tcBorders>
              <w:top w:val="nil"/>
              <w:left w:val="nil"/>
              <w:bottom w:val="single" w:sz="4" w:space="0" w:color="auto"/>
              <w:right w:val="single" w:sz="4" w:space="0" w:color="auto"/>
            </w:tcBorders>
            <w:shd w:val="clear" w:color="auto" w:fill="auto"/>
            <w:noWrap/>
            <w:vAlign w:val="center"/>
          </w:tcPr>
          <w:p w14:paraId="358A7E7D"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35</w:t>
            </w:r>
          </w:p>
        </w:tc>
        <w:tc>
          <w:tcPr>
            <w:tcW w:w="2395" w:type="pct"/>
            <w:tcBorders>
              <w:top w:val="nil"/>
              <w:left w:val="nil"/>
              <w:bottom w:val="single" w:sz="4" w:space="0" w:color="auto"/>
              <w:right w:val="single" w:sz="4" w:space="0" w:color="auto"/>
            </w:tcBorders>
            <w:shd w:val="clear" w:color="auto" w:fill="auto"/>
            <w:noWrap/>
            <w:vAlign w:val="center"/>
            <w:hideMark/>
          </w:tcPr>
          <w:p w14:paraId="1D235F86"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Úřad vlády České republiky</w:t>
            </w:r>
          </w:p>
        </w:tc>
      </w:tr>
      <w:tr w:rsidR="003C30E1" w:rsidRPr="00D942B0" w14:paraId="14E81A73"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tcPr>
          <w:p w14:paraId="336305E5"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16</w:t>
            </w:r>
          </w:p>
        </w:tc>
        <w:tc>
          <w:tcPr>
            <w:tcW w:w="2163" w:type="pct"/>
            <w:tcBorders>
              <w:top w:val="nil"/>
              <w:left w:val="nil"/>
              <w:bottom w:val="single" w:sz="4" w:space="0" w:color="auto"/>
              <w:right w:val="single" w:sz="4" w:space="0" w:color="auto"/>
            </w:tcBorders>
            <w:shd w:val="clear" w:color="auto" w:fill="auto"/>
            <w:noWrap/>
            <w:vAlign w:val="center"/>
            <w:hideMark/>
          </w:tcPr>
          <w:p w14:paraId="78E5DF8E" w14:textId="137C2759" w:rsidR="003C30E1" w:rsidRPr="00D942B0" w:rsidRDefault="003C30E1" w:rsidP="00EE5A60">
            <w:pPr>
              <w:jc w:val="left"/>
              <w:rPr>
                <w:rFonts w:cstheme="minorHAnsi"/>
                <w:color w:val="000000"/>
                <w:sz w:val="22"/>
                <w:szCs w:val="22"/>
              </w:rPr>
            </w:pPr>
            <w:r w:rsidRPr="00D942B0">
              <w:rPr>
                <w:rFonts w:cstheme="minorHAnsi"/>
                <w:color w:val="000000"/>
                <w:sz w:val="22"/>
                <w:szCs w:val="22"/>
              </w:rPr>
              <w:t>Ministerstvo školství, mládeže a</w:t>
            </w:r>
            <w:r w:rsidR="00EE5A60">
              <w:rPr>
                <w:rFonts w:cstheme="minorHAnsi"/>
                <w:color w:val="000000"/>
                <w:sz w:val="22"/>
                <w:szCs w:val="22"/>
              </w:rPr>
              <w:t> </w:t>
            </w:r>
            <w:r w:rsidRPr="00D942B0">
              <w:rPr>
                <w:rFonts w:cstheme="minorHAnsi"/>
                <w:color w:val="000000"/>
                <w:sz w:val="22"/>
                <w:szCs w:val="22"/>
              </w:rPr>
              <w:t>tělovýchovy</w:t>
            </w:r>
          </w:p>
        </w:tc>
        <w:tc>
          <w:tcPr>
            <w:tcW w:w="233" w:type="pct"/>
            <w:tcBorders>
              <w:top w:val="nil"/>
              <w:left w:val="nil"/>
              <w:bottom w:val="single" w:sz="4" w:space="0" w:color="auto"/>
              <w:right w:val="single" w:sz="4" w:space="0" w:color="auto"/>
            </w:tcBorders>
            <w:shd w:val="clear" w:color="auto" w:fill="auto"/>
            <w:noWrap/>
            <w:vAlign w:val="center"/>
          </w:tcPr>
          <w:p w14:paraId="25BE41B9"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36</w:t>
            </w:r>
          </w:p>
        </w:tc>
        <w:tc>
          <w:tcPr>
            <w:tcW w:w="2395" w:type="pct"/>
            <w:tcBorders>
              <w:top w:val="nil"/>
              <w:left w:val="nil"/>
              <w:bottom w:val="single" w:sz="4" w:space="0" w:color="auto"/>
              <w:right w:val="single" w:sz="4" w:space="0" w:color="auto"/>
            </w:tcBorders>
            <w:shd w:val="clear" w:color="auto" w:fill="auto"/>
            <w:noWrap/>
            <w:vAlign w:val="center"/>
            <w:hideMark/>
          </w:tcPr>
          <w:p w14:paraId="0EEC28DB"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Ústavní soud</w:t>
            </w:r>
          </w:p>
        </w:tc>
      </w:tr>
      <w:tr w:rsidR="003C30E1" w:rsidRPr="00D942B0" w14:paraId="66616A97" w14:textId="77777777" w:rsidTr="00D942B0">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274B6CCB"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w:t>
            </w:r>
          </w:p>
        </w:tc>
        <w:tc>
          <w:tcPr>
            <w:tcW w:w="2163" w:type="pct"/>
            <w:tcBorders>
              <w:top w:val="nil"/>
              <w:left w:val="nil"/>
              <w:bottom w:val="single" w:sz="4" w:space="0" w:color="auto"/>
              <w:right w:val="single" w:sz="4" w:space="0" w:color="auto"/>
            </w:tcBorders>
            <w:shd w:val="clear" w:color="000000" w:fill="D9D9D9"/>
            <w:noWrap/>
            <w:vAlign w:val="center"/>
            <w:hideMark/>
          </w:tcPr>
          <w:p w14:paraId="1399785F"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Ministerstvo vnitra</w:t>
            </w:r>
          </w:p>
        </w:tc>
        <w:tc>
          <w:tcPr>
            <w:tcW w:w="233" w:type="pct"/>
            <w:tcBorders>
              <w:top w:val="nil"/>
              <w:left w:val="nil"/>
              <w:bottom w:val="single" w:sz="4" w:space="0" w:color="auto"/>
              <w:right w:val="single" w:sz="4" w:space="0" w:color="auto"/>
            </w:tcBorders>
            <w:shd w:val="clear" w:color="auto" w:fill="auto"/>
            <w:noWrap/>
            <w:vAlign w:val="center"/>
          </w:tcPr>
          <w:p w14:paraId="01AB9913" w14:textId="77777777" w:rsidR="003C30E1" w:rsidRPr="00D942B0" w:rsidRDefault="003C30E1" w:rsidP="003C30E1">
            <w:pPr>
              <w:ind w:right="-15"/>
              <w:jc w:val="left"/>
              <w:rPr>
                <w:rFonts w:cstheme="minorHAnsi"/>
                <w:color w:val="000000"/>
                <w:sz w:val="22"/>
                <w:szCs w:val="22"/>
              </w:rPr>
            </w:pPr>
            <w:r w:rsidRPr="00D942B0">
              <w:rPr>
                <w:rFonts w:cstheme="minorHAnsi"/>
                <w:color w:val="000000"/>
                <w:sz w:val="22"/>
                <w:szCs w:val="22"/>
              </w:rPr>
              <w:t>37</w:t>
            </w:r>
          </w:p>
        </w:tc>
        <w:tc>
          <w:tcPr>
            <w:tcW w:w="2395" w:type="pct"/>
            <w:tcBorders>
              <w:top w:val="nil"/>
              <w:left w:val="nil"/>
              <w:bottom w:val="single" w:sz="4" w:space="0" w:color="auto"/>
              <w:right w:val="single" w:sz="4" w:space="0" w:color="auto"/>
            </w:tcBorders>
            <w:shd w:val="clear" w:color="auto" w:fill="auto"/>
            <w:noWrap/>
            <w:vAlign w:val="center"/>
            <w:hideMark/>
          </w:tcPr>
          <w:p w14:paraId="2F1C2919" w14:textId="77777777" w:rsidR="003C30E1" w:rsidRPr="00D942B0" w:rsidRDefault="003C30E1" w:rsidP="003C30E1">
            <w:pPr>
              <w:jc w:val="left"/>
              <w:rPr>
                <w:rFonts w:cstheme="minorHAnsi"/>
                <w:color w:val="000000"/>
                <w:sz w:val="22"/>
                <w:szCs w:val="22"/>
              </w:rPr>
            </w:pPr>
            <w:r w:rsidRPr="00D942B0">
              <w:rPr>
                <w:rFonts w:cstheme="minorHAnsi"/>
                <w:color w:val="000000"/>
                <w:sz w:val="22"/>
                <w:szCs w:val="22"/>
              </w:rPr>
              <w:t>Vězeňská služba</w:t>
            </w:r>
            <w:r w:rsidR="00DF33B4" w:rsidRPr="00D942B0">
              <w:rPr>
                <w:rFonts w:cstheme="minorHAnsi"/>
                <w:color w:val="000000"/>
                <w:sz w:val="22"/>
                <w:szCs w:val="22"/>
              </w:rPr>
              <w:t xml:space="preserve"> České republiky</w:t>
            </w:r>
          </w:p>
        </w:tc>
      </w:tr>
    </w:tbl>
    <w:p w14:paraId="424310C7" w14:textId="77777777" w:rsidR="005C3ACF" w:rsidRDefault="005C3ACF" w:rsidP="00D942B0">
      <w:pPr>
        <w:ind w:left="426" w:hanging="426"/>
        <w:rPr>
          <w:i/>
          <w:sz w:val="20"/>
        </w:rPr>
      </w:pPr>
      <w:r>
        <w:rPr>
          <w:i/>
          <w:sz w:val="20"/>
        </w:rPr>
        <w:t xml:space="preserve">Zdroj: </w:t>
      </w:r>
      <w:r w:rsidRPr="005C3ACF">
        <w:rPr>
          <w:i/>
          <w:sz w:val="20"/>
        </w:rPr>
        <w:t>Aktualizace Plánu rekonstrukce objektů v působnosti článku 5 směrni</w:t>
      </w:r>
      <w:r w:rsidR="00D942B0">
        <w:rPr>
          <w:i/>
          <w:sz w:val="20"/>
        </w:rPr>
        <w:t xml:space="preserve">ce Evropského parlamentu a Rady </w:t>
      </w:r>
      <w:r w:rsidRPr="005C3ACF">
        <w:rPr>
          <w:i/>
          <w:sz w:val="20"/>
        </w:rPr>
        <w:t>2012/27/EU ze dne 25. října 2012 o energetické účinnosti</w:t>
      </w:r>
      <w:r>
        <w:rPr>
          <w:i/>
          <w:sz w:val="20"/>
        </w:rPr>
        <w:t>.</w:t>
      </w:r>
    </w:p>
    <w:p w14:paraId="21E767AE" w14:textId="225DFF7C" w:rsidR="00585ACB" w:rsidRDefault="005C3ACF" w:rsidP="00434414">
      <w:pPr>
        <w:ind w:left="1276" w:hanging="1276"/>
        <w:rPr>
          <w:i/>
          <w:sz w:val="20"/>
        </w:rPr>
      </w:pPr>
      <w:r>
        <w:rPr>
          <w:i/>
          <w:sz w:val="20"/>
        </w:rPr>
        <w:t xml:space="preserve">Vysvětlivka: </w:t>
      </w:r>
      <w:r w:rsidR="00585ACB">
        <w:rPr>
          <w:i/>
          <w:sz w:val="20"/>
        </w:rPr>
        <w:t xml:space="preserve">* </w:t>
      </w:r>
      <w:r w:rsidR="00434414">
        <w:rPr>
          <w:i/>
          <w:sz w:val="20"/>
        </w:rPr>
        <w:tab/>
      </w:r>
      <w:r w:rsidR="00585ACB" w:rsidRPr="00585ACB">
        <w:rPr>
          <w:i/>
          <w:sz w:val="20"/>
        </w:rPr>
        <w:t>Ze seznamu 42 povinných i</w:t>
      </w:r>
      <w:r w:rsidR="000F3363">
        <w:rPr>
          <w:i/>
          <w:sz w:val="20"/>
        </w:rPr>
        <w:t xml:space="preserve">nstitucí naplňuje obě podmínky </w:t>
      </w:r>
      <w:r w:rsidR="00585ACB">
        <w:rPr>
          <w:i/>
          <w:sz w:val="20"/>
        </w:rPr>
        <w:t>(</w:t>
      </w:r>
      <w:r w:rsidR="00585ACB" w:rsidRPr="00517ACA">
        <w:rPr>
          <w:i/>
          <w:sz w:val="20"/>
        </w:rPr>
        <w:t xml:space="preserve">případně je uplatněna výjimka podle čl. 5 odst. 2 </w:t>
      </w:r>
      <w:r w:rsidR="000C3B5A">
        <w:rPr>
          <w:i/>
          <w:sz w:val="20"/>
        </w:rPr>
        <w:t>s</w:t>
      </w:r>
      <w:r w:rsidR="00585ACB" w:rsidRPr="00517ACA">
        <w:rPr>
          <w:i/>
          <w:sz w:val="20"/>
        </w:rPr>
        <w:t>měrnice 2012/27/EU</w:t>
      </w:r>
      <w:r w:rsidR="00585ACB">
        <w:rPr>
          <w:i/>
          <w:sz w:val="20"/>
        </w:rPr>
        <w:t>)</w:t>
      </w:r>
      <w:r w:rsidR="00585ACB" w:rsidRPr="00585ACB">
        <w:rPr>
          <w:i/>
          <w:sz w:val="20"/>
        </w:rPr>
        <w:t xml:space="preserve"> 3</w:t>
      </w:r>
      <w:r w:rsidR="003C30E1">
        <w:rPr>
          <w:i/>
          <w:sz w:val="20"/>
        </w:rPr>
        <w:t>7</w:t>
      </w:r>
      <w:r w:rsidR="00585ACB" w:rsidRPr="00585ACB">
        <w:rPr>
          <w:i/>
          <w:sz w:val="20"/>
        </w:rPr>
        <w:t xml:space="preserve"> ústředních institucí, 4 instituce nemají žádné budovy</w:t>
      </w:r>
      <w:r w:rsidR="00585ACB">
        <w:rPr>
          <w:i/>
          <w:sz w:val="20"/>
        </w:rPr>
        <w:t xml:space="preserve"> (</w:t>
      </w:r>
      <w:r w:rsidR="00585ACB" w:rsidRPr="00517ACA">
        <w:rPr>
          <w:i/>
          <w:sz w:val="20"/>
        </w:rPr>
        <w:t>Kancelář prezidenta</w:t>
      </w:r>
      <w:r w:rsidR="000C3B5A">
        <w:rPr>
          <w:i/>
          <w:sz w:val="20"/>
        </w:rPr>
        <w:t xml:space="preserve"> republiky</w:t>
      </w:r>
      <w:r w:rsidR="00585ACB">
        <w:rPr>
          <w:i/>
          <w:sz w:val="20"/>
        </w:rPr>
        <w:t xml:space="preserve">, </w:t>
      </w:r>
      <w:r w:rsidR="00585ACB" w:rsidRPr="00517ACA">
        <w:rPr>
          <w:i/>
          <w:sz w:val="20"/>
        </w:rPr>
        <w:t>Akademie věd ČR</w:t>
      </w:r>
      <w:r w:rsidR="00585ACB">
        <w:rPr>
          <w:i/>
          <w:sz w:val="20"/>
        </w:rPr>
        <w:t xml:space="preserve">, </w:t>
      </w:r>
      <w:r w:rsidR="00585ACB" w:rsidRPr="00517ACA">
        <w:rPr>
          <w:i/>
          <w:sz w:val="20"/>
        </w:rPr>
        <w:t>Grantová agentura České republiky</w:t>
      </w:r>
      <w:r w:rsidR="00585ACB">
        <w:rPr>
          <w:i/>
          <w:sz w:val="20"/>
        </w:rPr>
        <w:t>,</w:t>
      </w:r>
      <w:r w:rsidR="00585ACB" w:rsidRPr="00585ACB">
        <w:rPr>
          <w:i/>
          <w:sz w:val="20"/>
        </w:rPr>
        <w:t xml:space="preserve"> </w:t>
      </w:r>
      <w:r w:rsidR="00585ACB" w:rsidRPr="00517ACA">
        <w:rPr>
          <w:i/>
          <w:sz w:val="20"/>
        </w:rPr>
        <w:t>Ministerstvo vnitra</w:t>
      </w:r>
      <w:r w:rsidR="00585ACB">
        <w:rPr>
          <w:i/>
          <w:sz w:val="20"/>
        </w:rPr>
        <w:t xml:space="preserve">), </w:t>
      </w:r>
      <w:r w:rsidR="00585ACB" w:rsidRPr="00585ACB">
        <w:rPr>
          <w:i/>
          <w:sz w:val="20"/>
        </w:rPr>
        <w:t>objekty BIS byly vzhledem k</w:t>
      </w:r>
      <w:r w:rsidR="000C3B5A">
        <w:rPr>
          <w:i/>
          <w:sz w:val="20"/>
        </w:rPr>
        <w:t xml:space="preserve"> svému </w:t>
      </w:r>
      <w:r w:rsidR="00585ACB" w:rsidRPr="00585ACB">
        <w:rPr>
          <w:i/>
          <w:sz w:val="20"/>
        </w:rPr>
        <w:t>charakteru na</w:t>
      </w:r>
      <w:r w:rsidR="00BD2790">
        <w:rPr>
          <w:i/>
          <w:sz w:val="20"/>
        </w:rPr>
        <w:t xml:space="preserve"> </w:t>
      </w:r>
      <w:r w:rsidR="00585ACB" w:rsidRPr="00585ACB">
        <w:rPr>
          <w:i/>
          <w:sz w:val="20"/>
        </w:rPr>
        <w:t>žádost BIS vyjmuty.</w:t>
      </w:r>
    </w:p>
    <w:p w14:paraId="45813954" w14:textId="77777777" w:rsidR="00585ACB" w:rsidRDefault="00585ACB" w:rsidP="00585ACB">
      <w:pPr>
        <w:ind w:left="1134" w:hanging="1134"/>
        <w:rPr>
          <w:i/>
          <w:sz w:val="20"/>
        </w:rPr>
      </w:pPr>
    </w:p>
    <w:p w14:paraId="0981316C" w14:textId="77777777" w:rsidR="003C30E1" w:rsidRDefault="003C30E1">
      <w:pPr>
        <w:jc w:val="left"/>
      </w:pPr>
      <w:r>
        <w:br w:type="page"/>
      </w:r>
    </w:p>
    <w:p w14:paraId="3C51B0E9" w14:textId="34D2FE6E" w:rsidR="00E36AA1" w:rsidRPr="00E36AA1" w:rsidRDefault="004950D1" w:rsidP="009428B0">
      <w:pPr>
        <w:pStyle w:val="Nadpis4"/>
        <w:spacing w:after="120"/>
      </w:pPr>
      <w:r>
        <w:lastRenderedPageBreak/>
        <w:t xml:space="preserve">Příloha č. </w:t>
      </w:r>
      <w:r w:rsidR="002A4EAD">
        <w:t>2</w:t>
      </w:r>
      <w:r w:rsidR="001D7420">
        <w:t>:</w:t>
      </w:r>
      <w:r w:rsidR="00B131C8">
        <w:t xml:space="preserve"> </w:t>
      </w:r>
      <w:r w:rsidR="00E36AA1">
        <w:t xml:space="preserve">Sumář rozpočtových opatření MF – </w:t>
      </w:r>
      <w:r w:rsidR="004D5D1A">
        <w:t>p</w:t>
      </w:r>
      <w:r w:rsidR="00E36AA1">
        <w:t>rogram NZÚ v letech 2017 až 2019 (v Kč)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7"/>
        <w:gridCol w:w="1866"/>
        <w:gridCol w:w="2761"/>
        <w:gridCol w:w="2566"/>
      </w:tblGrid>
      <w:tr w:rsidR="00B131C8" w:rsidRPr="00C512E7" w14:paraId="5C1D7700" w14:textId="77777777" w:rsidTr="007E1715">
        <w:trPr>
          <w:trHeight w:val="20"/>
        </w:trPr>
        <w:tc>
          <w:tcPr>
            <w:tcW w:w="1030" w:type="pct"/>
            <w:shd w:val="clear" w:color="000000" w:fill="E5F1FF"/>
            <w:noWrap/>
            <w:vAlign w:val="center"/>
            <w:hideMark/>
          </w:tcPr>
          <w:p w14:paraId="24FCA8B9" w14:textId="77777777" w:rsidR="00B131C8" w:rsidRPr="00C512E7" w:rsidRDefault="00B131C8" w:rsidP="007E1715">
            <w:pPr>
              <w:jc w:val="center"/>
              <w:rPr>
                <w:rFonts w:ascii="Calibri" w:hAnsi="Calibri" w:cs="Calibri"/>
                <w:b/>
                <w:bCs/>
                <w:color w:val="000000"/>
                <w:sz w:val="18"/>
                <w:szCs w:val="18"/>
              </w:rPr>
            </w:pPr>
            <w:r w:rsidRPr="00C512E7">
              <w:rPr>
                <w:rFonts w:ascii="Calibri" w:hAnsi="Calibri" w:cs="Calibri"/>
                <w:b/>
                <w:bCs/>
                <w:color w:val="000000"/>
                <w:sz w:val="18"/>
                <w:szCs w:val="18"/>
              </w:rPr>
              <w:t>Rok</w:t>
            </w:r>
          </w:p>
        </w:tc>
        <w:tc>
          <w:tcPr>
            <w:tcW w:w="1030" w:type="pct"/>
            <w:shd w:val="clear" w:color="000000" w:fill="E5F1FF"/>
            <w:noWrap/>
            <w:vAlign w:val="center"/>
            <w:hideMark/>
          </w:tcPr>
          <w:p w14:paraId="0BE17F07" w14:textId="77777777" w:rsidR="00B131C8" w:rsidRPr="00C512E7" w:rsidRDefault="00B131C8" w:rsidP="007E1715">
            <w:pPr>
              <w:jc w:val="center"/>
              <w:rPr>
                <w:rFonts w:ascii="Calibri" w:hAnsi="Calibri" w:cs="Calibri"/>
                <w:b/>
                <w:bCs/>
                <w:color w:val="000000"/>
                <w:sz w:val="18"/>
                <w:szCs w:val="18"/>
              </w:rPr>
            </w:pPr>
            <w:r w:rsidRPr="00C512E7">
              <w:rPr>
                <w:rFonts w:ascii="Calibri" w:hAnsi="Calibri" w:cs="Calibri"/>
                <w:b/>
                <w:bCs/>
                <w:color w:val="000000"/>
                <w:sz w:val="18"/>
                <w:szCs w:val="18"/>
              </w:rPr>
              <w:t>Kapitola</w:t>
            </w:r>
          </w:p>
        </w:tc>
        <w:tc>
          <w:tcPr>
            <w:tcW w:w="1524" w:type="pct"/>
            <w:shd w:val="clear" w:color="000000" w:fill="E5F1FF"/>
            <w:noWrap/>
            <w:vAlign w:val="center"/>
            <w:hideMark/>
          </w:tcPr>
          <w:p w14:paraId="64D2DD66" w14:textId="77777777" w:rsidR="00B131C8" w:rsidRPr="00C512E7" w:rsidRDefault="00B131C8" w:rsidP="007E1715">
            <w:pPr>
              <w:jc w:val="center"/>
              <w:rPr>
                <w:rFonts w:ascii="Calibri" w:hAnsi="Calibri" w:cs="Calibri"/>
                <w:b/>
                <w:bCs/>
                <w:color w:val="000000"/>
                <w:sz w:val="18"/>
                <w:szCs w:val="18"/>
              </w:rPr>
            </w:pPr>
            <w:r w:rsidRPr="00C512E7">
              <w:rPr>
                <w:rFonts w:ascii="Calibri" w:hAnsi="Calibri" w:cs="Calibri"/>
                <w:b/>
                <w:bCs/>
                <w:color w:val="000000"/>
                <w:sz w:val="18"/>
                <w:szCs w:val="18"/>
              </w:rPr>
              <w:t>Částka</w:t>
            </w:r>
          </w:p>
        </w:tc>
        <w:tc>
          <w:tcPr>
            <w:tcW w:w="1416" w:type="pct"/>
            <w:shd w:val="clear" w:color="000000" w:fill="E5F1FF"/>
            <w:noWrap/>
            <w:vAlign w:val="center"/>
            <w:hideMark/>
          </w:tcPr>
          <w:p w14:paraId="08847231" w14:textId="77777777" w:rsidR="00B131C8" w:rsidRPr="00C512E7" w:rsidRDefault="00B131C8" w:rsidP="007E1715">
            <w:pPr>
              <w:jc w:val="center"/>
              <w:rPr>
                <w:rFonts w:ascii="Calibri" w:hAnsi="Calibri" w:cs="Calibri"/>
                <w:b/>
                <w:bCs/>
                <w:color w:val="000000"/>
                <w:sz w:val="18"/>
                <w:szCs w:val="18"/>
              </w:rPr>
            </w:pPr>
            <w:r w:rsidRPr="00C512E7">
              <w:rPr>
                <w:rFonts w:ascii="Calibri" w:hAnsi="Calibri" w:cs="Calibri"/>
                <w:b/>
                <w:bCs/>
                <w:color w:val="000000"/>
                <w:sz w:val="18"/>
                <w:szCs w:val="18"/>
              </w:rPr>
              <w:t>Počet projektů</w:t>
            </w:r>
          </w:p>
        </w:tc>
      </w:tr>
      <w:tr w:rsidR="00B131C8" w:rsidRPr="00C512E7" w14:paraId="0533AEBD" w14:textId="77777777" w:rsidTr="007E1715">
        <w:trPr>
          <w:trHeight w:val="20"/>
        </w:trPr>
        <w:tc>
          <w:tcPr>
            <w:tcW w:w="1030" w:type="pct"/>
            <w:shd w:val="clear" w:color="auto" w:fill="auto"/>
            <w:noWrap/>
            <w:vAlign w:val="center"/>
            <w:hideMark/>
          </w:tcPr>
          <w:p w14:paraId="716B137D"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33D7901B"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MV</w:t>
            </w:r>
          </w:p>
        </w:tc>
        <w:tc>
          <w:tcPr>
            <w:tcW w:w="1524" w:type="pct"/>
            <w:shd w:val="clear" w:color="auto" w:fill="auto"/>
            <w:noWrap/>
            <w:vAlign w:val="center"/>
            <w:hideMark/>
          </w:tcPr>
          <w:p w14:paraId="6FC032A6" w14:textId="77777777" w:rsidR="00B131C8" w:rsidRPr="00C512E7" w:rsidRDefault="00B131C8" w:rsidP="004D5D1A">
            <w:pPr>
              <w:ind w:right="96"/>
              <w:jc w:val="right"/>
              <w:rPr>
                <w:rFonts w:ascii="Calibri" w:hAnsi="Calibri" w:cs="Calibri"/>
                <w:color w:val="000000"/>
                <w:sz w:val="18"/>
                <w:szCs w:val="18"/>
              </w:rPr>
            </w:pPr>
            <w:r w:rsidRPr="00C512E7">
              <w:rPr>
                <w:rFonts w:ascii="Calibri" w:hAnsi="Calibri" w:cs="Calibri"/>
                <w:color w:val="000000"/>
                <w:sz w:val="18"/>
                <w:szCs w:val="18"/>
              </w:rPr>
              <w:t>20 781 510,00</w:t>
            </w:r>
          </w:p>
        </w:tc>
        <w:tc>
          <w:tcPr>
            <w:tcW w:w="1416" w:type="pct"/>
            <w:shd w:val="clear" w:color="auto" w:fill="auto"/>
            <w:noWrap/>
            <w:vAlign w:val="center"/>
            <w:hideMark/>
          </w:tcPr>
          <w:p w14:paraId="3B63F826"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11</w:t>
            </w:r>
          </w:p>
        </w:tc>
      </w:tr>
      <w:tr w:rsidR="00B131C8" w:rsidRPr="00C512E7" w14:paraId="149C4EEA" w14:textId="77777777" w:rsidTr="007E1715">
        <w:trPr>
          <w:trHeight w:val="20"/>
        </w:trPr>
        <w:tc>
          <w:tcPr>
            <w:tcW w:w="1030" w:type="pct"/>
            <w:shd w:val="clear" w:color="auto" w:fill="auto"/>
            <w:noWrap/>
            <w:vAlign w:val="center"/>
            <w:hideMark/>
          </w:tcPr>
          <w:p w14:paraId="2AC32F7A"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1D01123F"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ÚSTR</w:t>
            </w:r>
          </w:p>
        </w:tc>
        <w:tc>
          <w:tcPr>
            <w:tcW w:w="1524" w:type="pct"/>
            <w:shd w:val="clear" w:color="auto" w:fill="auto"/>
            <w:noWrap/>
            <w:vAlign w:val="center"/>
            <w:hideMark/>
          </w:tcPr>
          <w:p w14:paraId="4D25B3D5" w14:textId="77777777" w:rsidR="00B131C8" w:rsidRPr="00C512E7" w:rsidRDefault="00B131C8" w:rsidP="004D5D1A">
            <w:pPr>
              <w:ind w:right="96"/>
              <w:jc w:val="right"/>
              <w:rPr>
                <w:rFonts w:ascii="Calibri" w:hAnsi="Calibri" w:cs="Calibri"/>
                <w:color w:val="000000"/>
                <w:sz w:val="18"/>
                <w:szCs w:val="18"/>
              </w:rPr>
            </w:pPr>
            <w:r w:rsidRPr="00C512E7">
              <w:rPr>
                <w:rFonts w:ascii="Calibri" w:hAnsi="Calibri" w:cs="Calibri"/>
                <w:color w:val="000000"/>
                <w:sz w:val="18"/>
                <w:szCs w:val="18"/>
              </w:rPr>
              <w:t>3 219 977,00</w:t>
            </w:r>
          </w:p>
        </w:tc>
        <w:tc>
          <w:tcPr>
            <w:tcW w:w="1416" w:type="pct"/>
            <w:shd w:val="clear" w:color="auto" w:fill="auto"/>
            <w:noWrap/>
            <w:vAlign w:val="center"/>
            <w:hideMark/>
          </w:tcPr>
          <w:p w14:paraId="3A70CE04"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1</w:t>
            </w:r>
          </w:p>
        </w:tc>
      </w:tr>
      <w:tr w:rsidR="00B131C8" w:rsidRPr="00C512E7" w14:paraId="49CE7D6C" w14:textId="77777777" w:rsidTr="00174730">
        <w:trPr>
          <w:trHeight w:val="20"/>
        </w:trPr>
        <w:tc>
          <w:tcPr>
            <w:tcW w:w="1030" w:type="pct"/>
            <w:shd w:val="clear" w:color="auto" w:fill="D9D9D9"/>
            <w:noWrap/>
            <w:vAlign w:val="center"/>
            <w:hideMark/>
          </w:tcPr>
          <w:p w14:paraId="4B8C2A38" w14:textId="77777777" w:rsidR="00B131C8" w:rsidRPr="00C512E7" w:rsidRDefault="00B131C8" w:rsidP="003634F0">
            <w:pPr>
              <w:jc w:val="center"/>
              <w:rPr>
                <w:rFonts w:ascii="Calibri" w:hAnsi="Calibri" w:cs="Calibri"/>
                <w:b/>
                <w:bCs/>
                <w:color w:val="000000"/>
                <w:sz w:val="18"/>
                <w:szCs w:val="18"/>
              </w:rPr>
            </w:pPr>
            <w:r w:rsidRPr="00C512E7">
              <w:rPr>
                <w:rFonts w:ascii="Calibri" w:hAnsi="Calibri" w:cs="Calibri"/>
                <w:b/>
                <w:bCs/>
                <w:color w:val="000000"/>
                <w:sz w:val="18"/>
                <w:szCs w:val="18"/>
              </w:rPr>
              <w:t>2017</w:t>
            </w:r>
          </w:p>
        </w:tc>
        <w:tc>
          <w:tcPr>
            <w:tcW w:w="1030" w:type="pct"/>
            <w:shd w:val="clear" w:color="auto" w:fill="D9D9D9"/>
            <w:noWrap/>
            <w:vAlign w:val="center"/>
            <w:hideMark/>
          </w:tcPr>
          <w:p w14:paraId="5B3C7D8F" w14:textId="77777777" w:rsidR="00B131C8" w:rsidRPr="00C512E7" w:rsidRDefault="00B131C8" w:rsidP="007E1715">
            <w:pPr>
              <w:rPr>
                <w:rFonts w:ascii="Calibri" w:hAnsi="Calibri" w:cs="Calibri"/>
                <w:b/>
                <w:bCs/>
                <w:color w:val="000000"/>
                <w:sz w:val="18"/>
                <w:szCs w:val="18"/>
              </w:rPr>
            </w:pPr>
            <w:r w:rsidRPr="00C512E7">
              <w:rPr>
                <w:rFonts w:ascii="Calibri" w:hAnsi="Calibri" w:cs="Calibri"/>
                <w:b/>
                <w:bCs/>
                <w:color w:val="000000"/>
                <w:sz w:val="18"/>
                <w:szCs w:val="18"/>
              </w:rPr>
              <w:t> </w:t>
            </w:r>
          </w:p>
        </w:tc>
        <w:tc>
          <w:tcPr>
            <w:tcW w:w="1524" w:type="pct"/>
            <w:shd w:val="clear" w:color="auto" w:fill="D9D9D9"/>
            <w:noWrap/>
            <w:vAlign w:val="center"/>
            <w:hideMark/>
          </w:tcPr>
          <w:p w14:paraId="3AA9C146" w14:textId="77777777" w:rsidR="00B131C8" w:rsidRPr="00C512E7" w:rsidRDefault="00B131C8" w:rsidP="004D5D1A">
            <w:pPr>
              <w:ind w:right="96"/>
              <w:jc w:val="right"/>
              <w:rPr>
                <w:rFonts w:ascii="Calibri" w:hAnsi="Calibri" w:cs="Calibri"/>
                <w:b/>
                <w:bCs/>
                <w:color w:val="000000"/>
                <w:sz w:val="18"/>
                <w:szCs w:val="18"/>
              </w:rPr>
            </w:pPr>
            <w:r w:rsidRPr="00C512E7">
              <w:rPr>
                <w:rFonts w:ascii="Calibri" w:hAnsi="Calibri" w:cs="Calibri"/>
                <w:b/>
                <w:bCs/>
                <w:color w:val="000000"/>
                <w:sz w:val="18"/>
                <w:szCs w:val="18"/>
              </w:rPr>
              <w:t>24 001 487,00</w:t>
            </w:r>
          </w:p>
        </w:tc>
        <w:tc>
          <w:tcPr>
            <w:tcW w:w="1416" w:type="pct"/>
            <w:shd w:val="clear" w:color="auto" w:fill="D9D9D9"/>
            <w:noWrap/>
            <w:vAlign w:val="center"/>
            <w:hideMark/>
          </w:tcPr>
          <w:p w14:paraId="1D686A9B" w14:textId="77777777" w:rsidR="00B131C8" w:rsidRPr="00C512E7" w:rsidRDefault="00B131C8" w:rsidP="007E1715">
            <w:pPr>
              <w:jc w:val="right"/>
              <w:rPr>
                <w:rFonts w:ascii="Calibri" w:hAnsi="Calibri" w:cs="Calibri"/>
                <w:b/>
                <w:bCs/>
                <w:color w:val="000000"/>
                <w:sz w:val="18"/>
                <w:szCs w:val="18"/>
              </w:rPr>
            </w:pPr>
            <w:r w:rsidRPr="00C512E7">
              <w:rPr>
                <w:rFonts w:ascii="Calibri" w:hAnsi="Calibri" w:cs="Calibri"/>
                <w:b/>
                <w:bCs/>
                <w:color w:val="000000"/>
                <w:sz w:val="18"/>
                <w:szCs w:val="18"/>
              </w:rPr>
              <w:t>12</w:t>
            </w:r>
          </w:p>
        </w:tc>
      </w:tr>
      <w:tr w:rsidR="00B131C8" w:rsidRPr="00C512E7" w14:paraId="47E85EE0" w14:textId="77777777" w:rsidTr="007E1715">
        <w:trPr>
          <w:trHeight w:val="20"/>
        </w:trPr>
        <w:tc>
          <w:tcPr>
            <w:tcW w:w="1030" w:type="pct"/>
            <w:shd w:val="clear" w:color="auto" w:fill="auto"/>
            <w:noWrap/>
            <w:vAlign w:val="center"/>
            <w:hideMark/>
          </w:tcPr>
          <w:p w14:paraId="11AE6C28"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6B77FECA"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MV</w:t>
            </w:r>
          </w:p>
        </w:tc>
        <w:tc>
          <w:tcPr>
            <w:tcW w:w="1524" w:type="pct"/>
            <w:shd w:val="clear" w:color="auto" w:fill="auto"/>
            <w:noWrap/>
            <w:vAlign w:val="center"/>
            <w:hideMark/>
          </w:tcPr>
          <w:p w14:paraId="7576776D" w14:textId="77777777" w:rsidR="00B131C8" w:rsidRPr="00C512E7" w:rsidRDefault="00B131C8" w:rsidP="004D5D1A">
            <w:pPr>
              <w:ind w:right="96"/>
              <w:jc w:val="right"/>
              <w:rPr>
                <w:rFonts w:ascii="Calibri" w:hAnsi="Calibri" w:cs="Calibri"/>
                <w:color w:val="000000"/>
                <w:sz w:val="18"/>
                <w:szCs w:val="18"/>
              </w:rPr>
            </w:pPr>
            <w:r w:rsidRPr="00C512E7">
              <w:rPr>
                <w:rFonts w:ascii="Calibri" w:hAnsi="Calibri" w:cs="Calibri"/>
                <w:color w:val="000000"/>
                <w:sz w:val="18"/>
                <w:szCs w:val="18"/>
              </w:rPr>
              <w:t>116 991 216,00</w:t>
            </w:r>
          </w:p>
        </w:tc>
        <w:tc>
          <w:tcPr>
            <w:tcW w:w="1416" w:type="pct"/>
            <w:shd w:val="clear" w:color="auto" w:fill="auto"/>
            <w:noWrap/>
            <w:vAlign w:val="center"/>
            <w:hideMark/>
          </w:tcPr>
          <w:p w14:paraId="5CD08E1A"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42</w:t>
            </w:r>
          </w:p>
        </w:tc>
      </w:tr>
      <w:tr w:rsidR="00B131C8" w:rsidRPr="00C512E7" w14:paraId="41D3F99C" w14:textId="77777777" w:rsidTr="007E1715">
        <w:trPr>
          <w:trHeight w:val="20"/>
        </w:trPr>
        <w:tc>
          <w:tcPr>
            <w:tcW w:w="1030" w:type="pct"/>
            <w:shd w:val="clear" w:color="auto" w:fill="auto"/>
            <w:noWrap/>
            <w:vAlign w:val="center"/>
            <w:hideMark/>
          </w:tcPr>
          <w:p w14:paraId="388C92A3"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03E25A33"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MD</w:t>
            </w:r>
          </w:p>
        </w:tc>
        <w:tc>
          <w:tcPr>
            <w:tcW w:w="1524" w:type="pct"/>
            <w:shd w:val="clear" w:color="auto" w:fill="auto"/>
            <w:noWrap/>
            <w:vAlign w:val="center"/>
            <w:hideMark/>
          </w:tcPr>
          <w:p w14:paraId="1DAB07FC" w14:textId="77777777" w:rsidR="00B131C8" w:rsidRPr="00C512E7" w:rsidRDefault="00B131C8" w:rsidP="004D5D1A">
            <w:pPr>
              <w:ind w:right="96"/>
              <w:jc w:val="right"/>
              <w:rPr>
                <w:rFonts w:ascii="Calibri" w:hAnsi="Calibri" w:cs="Calibri"/>
                <w:color w:val="000000"/>
                <w:sz w:val="18"/>
                <w:szCs w:val="18"/>
              </w:rPr>
            </w:pPr>
            <w:r w:rsidRPr="00C512E7">
              <w:rPr>
                <w:rFonts w:ascii="Calibri" w:hAnsi="Calibri" w:cs="Calibri"/>
                <w:color w:val="000000"/>
                <w:sz w:val="18"/>
                <w:szCs w:val="18"/>
              </w:rPr>
              <w:t>108 000 000,00</w:t>
            </w:r>
          </w:p>
        </w:tc>
        <w:tc>
          <w:tcPr>
            <w:tcW w:w="1416" w:type="pct"/>
            <w:shd w:val="clear" w:color="auto" w:fill="auto"/>
            <w:noWrap/>
            <w:vAlign w:val="center"/>
            <w:hideMark/>
          </w:tcPr>
          <w:p w14:paraId="455DFD87"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0</w:t>
            </w:r>
          </w:p>
        </w:tc>
      </w:tr>
      <w:tr w:rsidR="00B131C8" w:rsidRPr="00C512E7" w14:paraId="4FE71190" w14:textId="77777777" w:rsidTr="007E1715">
        <w:trPr>
          <w:trHeight w:val="20"/>
        </w:trPr>
        <w:tc>
          <w:tcPr>
            <w:tcW w:w="1030" w:type="pct"/>
            <w:shd w:val="clear" w:color="auto" w:fill="auto"/>
            <w:noWrap/>
            <w:vAlign w:val="center"/>
            <w:hideMark/>
          </w:tcPr>
          <w:p w14:paraId="7C1BC024"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4FA7298D"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MO</w:t>
            </w:r>
          </w:p>
        </w:tc>
        <w:tc>
          <w:tcPr>
            <w:tcW w:w="1524" w:type="pct"/>
            <w:shd w:val="clear" w:color="auto" w:fill="auto"/>
            <w:noWrap/>
            <w:vAlign w:val="center"/>
            <w:hideMark/>
          </w:tcPr>
          <w:p w14:paraId="5AF1E575" w14:textId="77777777" w:rsidR="00B131C8" w:rsidRPr="00C512E7" w:rsidRDefault="00B131C8" w:rsidP="004D5D1A">
            <w:pPr>
              <w:ind w:right="96"/>
              <w:jc w:val="right"/>
              <w:rPr>
                <w:rFonts w:ascii="Calibri" w:hAnsi="Calibri" w:cs="Calibri"/>
                <w:color w:val="000000"/>
                <w:sz w:val="18"/>
                <w:szCs w:val="18"/>
              </w:rPr>
            </w:pPr>
            <w:r w:rsidRPr="00C512E7">
              <w:rPr>
                <w:rFonts w:ascii="Calibri" w:hAnsi="Calibri" w:cs="Calibri"/>
                <w:color w:val="000000"/>
                <w:sz w:val="18"/>
                <w:szCs w:val="18"/>
              </w:rPr>
              <w:t>10 584 765,00</w:t>
            </w:r>
          </w:p>
        </w:tc>
        <w:tc>
          <w:tcPr>
            <w:tcW w:w="1416" w:type="pct"/>
            <w:shd w:val="clear" w:color="auto" w:fill="auto"/>
            <w:noWrap/>
            <w:vAlign w:val="center"/>
            <w:hideMark/>
          </w:tcPr>
          <w:p w14:paraId="0CFC8E2D"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1</w:t>
            </w:r>
          </w:p>
        </w:tc>
      </w:tr>
      <w:tr w:rsidR="00B131C8" w:rsidRPr="00C512E7" w14:paraId="169B8B13" w14:textId="77777777" w:rsidTr="007E1715">
        <w:trPr>
          <w:trHeight w:val="20"/>
        </w:trPr>
        <w:tc>
          <w:tcPr>
            <w:tcW w:w="1030" w:type="pct"/>
            <w:shd w:val="clear" w:color="auto" w:fill="auto"/>
            <w:noWrap/>
            <w:vAlign w:val="center"/>
            <w:hideMark/>
          </w:tcPr>
          <w:p w14:paraId="6E99AA82"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182F3E55"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MPSV</w:t>
            </w:r>
          </w:p>
        </w:tc>
        <w:tc>
          <w:tcPr>
            <w:tcW w:w="1524" w:type="pct"/>
            <w:shd w:val="clear" w:color="auto" w:fill="auto"/>
            <w:noWrap/>
            <w:vAlign w:val="center"/>
            <w:hideMark/>
          </w:tcPr>
          <w:p w14:paraId="6776F527" w14:textId="77777777" w:rsidR="00B131C8" w:rsidRPr="00C512E7" w:rsidRDefault="00B131C8" w:rsidP="004D5D1A">
            <w:pPr>
              <w:ind w:right="96"/>
              <w:jc w:val="right"/>
              <w:rPr>
                <w:rFonts w:ascii="Calibri" w:hAnsi="Calibri" w:cs="Calibri"/>
                <w:color w:val="000000"/>
                <w:sz w:val="18"/>
                <w:szCs w:val="18"/>
              </w:rPr>
            </w:pPr>
            <w:r w:rsidRPr="00C512E7">
              <w:rPr>
                <w:rFonts w:ascii="Calibri" w:hAnsi="Calibri" w:cs="Calibri"/>
                <w:color w:val="000000"/>
                <w:sz w:val="18"/>
                <w:szCs w:val="18"/>
              </w:rPr>
              <w:t>6 898 582,00</w:t>
            </w:r>
          </w:p>
        </w:tc>
        <w:tc>
          <w:tcPr>
            <w:tcW w:w="1416" w:type="pct"/>
            <w:shd w:val="clear" w:color="auto" w:fill="auto"/>
            <w:noWrap/>
            <w:vAlign w:val="center"/>
            <w:hideMark/>
          </w:tcPr>
          <w:p w14:paraId="59A7D4CC"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3</w:t>
            </w:r>
          </w:p>
        </w:tc>
      </w:tr>
      <w:tr w:rsidR="00B131C8" w:rsidRPr="00C512E7" w14:paraId="1C3DA91B" w14:textId="77777777" w:rsidTr="007E1715">
        <w:trPr>
          <w:trHeight w:val="20"/>
        </w:trPr>
        <w:tc>
          <w:tcPr>
            <w:tcW w:w="1030" w:type="pct"/>
            <w:shd w:val="clear" w:color="auto" w:fill="auto"/>
            <w:noWrap/>
            <w:vAlign w:val="center"/>
            <w:hideMark/>
          </w:tcPr>
          <w:p w14:paraId="68332022"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0C649617"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MZd</w:t>
            </w:r>
          </w:p>
        </w:tc>
        <w:tc>
          <w:tcPr>
            <w:tcW w:w="1524" w:type="pct"/>
            <w:shd w:val="clear" w:color="auto" w:fill="auto"/>
            <w:noWrap/>
            <w:vAlign w:val="center"/>
            <w:hideMark/>
          </w:tcPr>
          <w:p w14:paraId="09DEACC0" w14:textId="77777777" w:rsidR="00B131C8" w:rsidRPr="00C512E7" w:rsidRDefault="00B131C8" w:rsidP="004D5D1A">
            <w:pPr>
              <w:ind w:right="96"/>
              <w:jc w:val="right"/>
              <w:rPr>
                <w:rFonts w:ascii="Calibri" w:hAnsi="Calibri" w:cs="Calibri"/>
                <w:color w:val="000000"/>
                <w:sz w:val="18"/>
                <w:szCs w:val="18"/>
              </w:rPr>
            </w:pPr>
            <w:r w:rsidRPr="00C512E7">
              <w:rPr>
                <w:rFonts w:ascii="Calibri" w:hAnsi="Calibri" w:cs="Calibri"/>
                <w:color w:val="000000"/>
                <w:sz w:val="18"/>
                <w:szCs w:val="18"/>
              </w:rPr>
              <w:t>3 115 020,00</w:t>
            </w:r>
          </w:p>
        </w:tc>
        <w:tc>
          <w:tcPr>
            <w:tcW w:w="1416" w:type="pct"/>
            <w:shd w:val="clear" w:color="auto" w:fill="auto"/>
            <w:noWrap/>
            <w:vAlign w:val="center"/>
            <w:hideMark/>
          </w:tcPr>
          <w:p w14:paraId="3E9604A9"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1</w:t>
            </w:r>
          </w:p>
        </w:tc>
      </w:tr>
      <w:tr w:rsidR="00B131C8" w:rsidRPr="00C512E7" w14:paraId="498BBABA" w14:textId="77777777" w:rsidTr="007E1715">
        <w:trPr>
          <w:trHeight w:val="20"/>
        </w:trPr>
        <w:tc>
          <w:tcPr>
            <w:tcW w:w="1030" w:type="pct"/>
            <w:shd w:val="clear" w:color="auto" w:fill="auto"/>
            <w:noWrap/>
            <w:vAlign w:val="center"/>
            <w:hideMark/>
          </w:tcPr>
          <w:p w14:paraId="048D1EE5"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34E6DF81"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MZe</w:t>
            </w:r>
          </w:p>
        </w:tc>
        <w:tc>
          <w:tcPr>
            <w:tcW w:w="1524" w:type="pct"/>
            <w:shd w:val="clear" w:color="auto" w:fill="auto"/>
            <w:noWrap/>
            <w:vAlign w:val="center"/>
            <w:hideMark/>
          </w:tcPr>
          <w:p w14:paraId="18192711" w14:textId="77777777" w:rsidR="00B131C8" w:rsidRPr="00C512E7" w:rsidRDefault="00B131C8" w:rsidP="004D5D1A">
            <w:pPr>
              <w:ind w:right="96"/>
              <w:jc w:val="right"/>
              <w:rPr>
                <w:rFonts w:ascii="Calibri" w:hAnsi="Calibri" w:cs="Calibri"/>
                <w:color w:val="000000"/>
                <w:sz w:val="18"/>
                <w:szCs w:val="18"/>
              </w:rPr>
            </w:pPr>
            <w:r w:rsidRPr="00C512E7">
              <w:rPr>
                <w:rFonts w:ascii="Calibri" w:hAnsi="Calibri" w:cs="Calibri"/>
                <w:color w:val="000000"/>
                <w:sz w:val="18"/>
                <w:szCs w:val="18"/>
              </w:rPr>
              <w:t>176 000 000,00</w:t>
            </w:r>
          </w:p>
        </w:tc>
        <w:tc>
          <w:tcPr>
            <w:tcW w:w="1416" w:type="pct"/>
            <w:shd w:val="clear" w:color="auto" w:fill="auto"/>
            <w:noWrap/>
            <w:vAlign w:val="center"/>
            <w:hideMark/>
          </w:tcPr>
          <w:p w14:paraId="17FC6A6E"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0</w:t>
            </w:r>
          </w:p>
        </w:tc>
      </w:tr>
      <w:tr w:rsidR="00B131C8" w:rsidRPr="00C512E7" w14:paraId="25A5E218" w14:textId="77777777" w:rsidTr="007E1715">
        <w:trPr>
          <w:trHeight w:val="20"/>
        </w:trPr>
        <w:tc>
          <w:tcPr>
            <w:tcW w:w="1030" w:type="pct"/>
            <w:shd w:val="clear" w:color="auto" w:fill="auto"/>
            <w:noWrap/>
            <w:vAlign w:val="center"/>
            <w:hideMark/>
          </w:tcPr>
          <w:p w14:paraId="10875753"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332DD841"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ÚSTR</w:t>
            </w:r>
          </w:p>
        </w:tc>
        <w:tc>
          <w:tcPr>
            <w:tcW w:w="1524" w:type="pct"/>
            <w:shd w:val="clear" w:color="auto" w:fill="auto"/>
            <w:noWrap/>
            <w:vAlign w:val="center"/>
            <w:hideMark/>
          </w:tcPr>
          <w:p w14:paraId="00CE0BEF"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6 511 604,00</w:t>
            </w:r>
            <w:r>
              <w:rPr>
                <w:rFonts w:ascii="Calibri" w:hAnsi="Calibri" w:cs="Calibri"/>
                <w:color w:val="000000"/>
                <w:sz w:val="18"/>
                <w:szCs w:val="18"/>
              </w:rPr>
              <w:t>*</w:t>
            </w:r>
          </w:p>
        </w:tc>
        <w:tc>
          <w:tcPr>
            <w:tcW w:w="1416" w:type="pct"/>
            <w:shd w:val="clear" w:color="auto" w:fill="auto"/>
            <w:noWrap/>
            <w:vAlign w:val="center"/>
            <w:hideMark/>
          </w:tcPr>
          <w:p w14:paraId="7BAC8CE3"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1</w:t>
            </w:r>
          </w:p>
        </w:tc>
      </w:tr>
      <w:tr w:rsidR="00B131C8" w:rsidRPr="00C512E7" w14:paraId="047D0D5D" w14:textId="77777777" w:rsidTr="00174730">
        <w:trPr>
          <w:trHeight w:val="20"/>
        </w:trPr>
        <w:tc>
          <w:tcPr>
            <w:tcW w:w="1030" w:type="pct"/>
            <w:shd w:val="clear" w:color="auto" w:fill="D9D9D9"/>
            <w:noWrap/>
            <w:vAlign w:val="center"/>
            <w:hideMark/>
          </w:tcPr>
          <w:p w14:paraId="67DF7ADF" w14:textId="77777777" w:rsidR="00B131C8" w:rsidRPr="00C512E7" w:rsidRDefault="00B131C8" w:rsidP="003634F0">
            <w:pPr>
              <w:jc w:val="center"/>
              <w:rPr>
                <w:rFonts w:ascii="Calibri" w:hAnsi="Calibri" w:cs="Calibri"/>
                <w:b/>
                <w:bCs/>
                <w:color w:val="000000"/>
                <w:sz w:val="18"/>
                <w:szCs w:val="18"/>
              </w:rPr>
            </w:pPr>
            <w:r w:rsidRPr="00C512E7">
              <w:rPr>
                <w:rFonts w:ascii="Calibri" w:hAnsi="Calibri" w:cs="Calibri"/>
                <w:b/>
                <w:bCs/>
                <w:color w:val="000000"/>
                <w:sz w:val="18"/>
                <w:szCs w:val="18"/>
              </w:rPr>
              <w:t>2018</w:t>
            </w:r>
          </w:p>
        </w:tc>
        <w:tc>
          <w:tcPr>
            <w:tcW w:w="1030" w:type="pct"/>
            <w:shd w:val="clear" w:color="auto" w:fill="D9D9D9"/>
            <w:noWrap/>
            <w:vAlign w:val="center"/>
            <w:hideMark/>
          </w:tcPr>
          <w:p w14:paraId="0379BA25" w14:textId="77777777" w:rsidR="00B131C8" w:rsidRPr="00C512E7" w:rsidRDefault="00B131C8" w:rsidP="007E1715">
            <w:pPr>
              <w:rPr>
                <w:rFonts w:ascii="Calibri" w:hAnsi="Calibri" w:cs="Calibri"/>
                <w:b/>
                <w:bCs/>
                <w:color w:val="000000"/>
                <w:sz w:val="18"/>
                <w:szCs w:val="18"/>
              </w:rPr>
            </w:pPr>
            <w:r w:rsidRPr="00C512E7">
              <w:rPr>
                <w:rFonts w:ascii="Calibri" w:hAnsi="Calibri" w:cs="Calibri"/>
                <w:b/>
                <w:bCs/>
                <w:color w:val="000000"/>
                <w:sz w:val="18"/>
                <w:szCs w:val="18"/>
              </w:rPr>
              <w:t> </w:t>
            </w:r>
          </w:p>
        </w:tc>
        <w:tc>
          <w:tcPr>
            <w:tcW w:w="1524" w:type="pct"/>
            <w:shd w:val="clear" w:color="auto" w:fill="D9D9D9"/>
            <w:noWrap/>
            <w:vAlign w:val="center"/>
            <w:hideMark/>
          </w:tcPr>
          <w:p w14:paraId="6FE6DDF4" w14:textId="77777777" w:rsidR="00B131C8" w:rsidRPr="00C512E7" w:rsidRDefault="00B131C8" w:rsidP="003634F0">
            <w:pPr>
              <w:ind w:right="96"/>
              <w:jc w:val="right"/>
              <w:rPr>
                <w:rFonts w:ascii="Calibri" w:hAnsi="Calibri" w:cs="Calibri"/>
                <w:b/>
                <w:bCs/>
                <w:color w:val="000000"/>
                <w:sz w:val="18"/>
                <w:szCs w:val="18"/>
              </w:rPr>
            </w:pPr>
            <w:r w:rsidRPr="00C512E7">
              <w:rPr>
                <w:rFonts w:ascii="Calibri" w:hAnsi="Calibri" w:cs="Calibri"/>
                <w:b/>
                <w:bCs/>
                <w:color w:val="000000"/>
                <w:sz w:val="18"/>
                <w:szCs w:val="18"/>
              </w:rPr>
              <w:t>428 101 187,00</w:t>
            </w:r>
          </w:p>
        </w:tc>
        <w:tc>
          <w:tcPr>
            <w:tcW w:w="1416" w:type="pct"/>
            <w:shd w:val="clear" w:color="auto" w:fill="D9D9D9"/>
            <w:noWrap/>
            <w:vAlign w:val="center"/>
            <w:hideMark/>
          </w:tcPr>
          <w:p w14:paraId="06DDC28B" w14:textId="77777777" w:rsidR="00B131C8" w:rsidRPr="00C512E7" w:rsidRDefault="00B131C8" w:rsidP="007E1715">
            <w:pPr>
              <w:jc w:val="right"/>
              <w:rPr>
                <w:rFonts w:ascii="Calibri" w:hAnsi="Calibri" w:cs="Calibri"/>
                <w:b/>
                <w:bCs/>
                <w:color w:val="000000"/>
                <w:sz w:val="18"/>
                <w:szCs w:val="18"/>
              </w:rPr>
            </w:pPr>
            <w:r w:rsidRPr="00C512E7">
              <w:rPr>
                <w:rFonts w:ascii="Calibri" w:hAnsi="Calibri" w:cs="Calibri"/>
                <w:b/>
                <w:bCs/>
                <w:color w:val="000000"/>
                <w:sz w:val="18"/>
                <w:szCs w:val="18"/>
              </w:rPr>
              <w:t>48</w:t>
            </w:r>
          </w:p>
        </w:tc>
      </w:tr>
      <w:tr w:rsidR="00B131C8" w:rsidRPr="00C512E7" w14:paraId="5F7F5E4D" w14:textId="77777777" w:rsidTr="007E1715">
        <w:trPr>
          <w:trHeight w:val="20"/>
        </w:trPr>
        <w:tc>
          <w:tcPr>
            <w:tcW w:w="1030" w:type="pct"/>
            <w:shd w:val="clear" w:color="auto" w:fill="auto"/>
            <w:noWrap/>
            <w:vAlign w:val="center"/>
            <w:hideMark/>
          </w:tcPr>
          <w:p w14:paraId="4C766B79"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7605CDC1"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ČBÚ</w:t>
            </w:r>
          </w:p>
        </w:tc>
        <w:tc>
          <w:tcPr>
            <w:tcW w:w="1524" w:type="pct"/>
            <w:shd w:val="clear" w:color="auto" w:fill="auto"/>
            <w:noWrap/>
            <w:vAlign w:val="center"/>
            <w:hideMark/>
          </w:tcPr>
          <w:p w14:paraId="57B36C48" w14:textId="77777777" w:rsidR="00B131C8" w:rsidRPr="00C512E7" w:rsidRDefault="00B131C8" w:rsidP="003634F0">
            <w:pPr>
              <w:ind w:right="96"/>
              <w:jc w:val="right"/>
              <w:rPr>
                <w:rFonts w:ascii="Calibri" w:hAnsi="Calibri" w:cs="Calibri"/>
                <w:color w:val="000000"/>
                <w:sz w:val="18"/>
                <w:szCs w:val="18"/>
              </w:rPr>
            </w:pPr>
            <w:r w:rsidRPr="00C512E7">
              <w:rPr>
                <w:rFonts w:ascii="Calibri" w:hAnsi="Calibri" w:cs="Calibri"/>
                <w:color w:val="000000"/>
                <w:sz w:val="18"/>
                <w:szCs w:val="18"/>
              </w:rPr>
              <w:t>2 403 122,00</w:t>
            </w:r>
          </w:p>
        </w:tc>
        <w:tc>
          <w:tcPr>
            <w:tcW w:w="1416" w:type="pct"/>
            <w:shd w:val="clear" w:color="auto" w:fill="auto"/>
            <w:noWrap/>
            <w:vAlign w:val="center"/>
            <w:hideMark/>
          </w:tcPr>
          <w:p w14:paraId="194DFA13"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1</w:t>
            </w:r>
          </w:p>
        </w:tc>
      </w:tr>
      <w:tr w:rsidR="00B131C8" w:rsidRPr="00C512E7" w14:paraId="4E1D4DE6" w14:textId="77777777" w:rsidTr="007E1715">
        <w:trPr>
          <w:trHeight w:val="20"/>
        </w:trPr>
        <w:tc>
          <w:tcPr>
            <w:tcW w:w="1030" w:type="pct"/>
            <w:shd w:val="clear" w:color="auto" w:fill="auto"/>
            <w:noWrap/>
            <w:vAlign w:val="center"/>
            <w:hideMark/>
          </w:tcPr>
          <w:p w14:paraId="3451A10A"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3A9BDA25"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MO</w:t>
            </w:r>
          </w:p>
        </w:tc>
        <w:tc>
          <w:tcPr>
            <w:tcW w:w="1524" w:type="pct"/>
            <w:shd w:val="clear" w:color="auto" w:fill="auto"/>
            <w:noWrap/>
            <w:vAlign w:val="center"/>
            <w:hideMark/>
          </w:tcPr>
          <w:p w14:paraId="080C8B4C" w14:textId="77777777" w:rsidR="00B131C8" w:rsidRPr="00C512E7" w:rsidRDefault="00B131C8" w:rsidP="003634F0">
            <w:pPr>
              <w:ind w:right="96"/>
              <w:jc w:val="right"/>
              <w:rPr>
                <w:rFonts w:ascii="Calibri" w:hAnsi="Calibri" w:cs="Calibri"/>
                <w:color w:val="000000"/>
                <w:sz w:val="18"/>
                <w:szCs w:val="18"/>
              </w:rPr>
            </w:pPr>
            <w:r w:rsidRPr="00C512E7">
              <w:rPr>
                <w:rFonts w:ascii="Calibri" w:hAnsi="Calibri" w:cs="Calibri"/>
                <w:color w:val="000000"/>
                <w:sz w:val="18"/>
                <w:szCs w:val="18"/>
              </w:rPr>
              <w:t>14 947 455,00</w:t>
            </w:r>
          </w:p>
        </w:tc>
        <w:tc>
          <w:tcPr>
            <w:tcW w:w="1416" w:type="pct"/>
            <w:shd w:val="clear" w:color="auto" w:fill="auto"/>
            <w:noWrap/>
            <w:vAlign w:val="center"/>
            <w:hideMark/>
          </w:tcPr>
          <w:p w14:paraId="64488B85"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1</w:t>
            </w:r>
          </w:p>
        </w:tc>
      </w:tr>
      <w:tr w:rsidR="00B131C8" w:rsidRPr="00C512E7" w14:paraId="27E17A6F" w14:textId="77777777" w:rsidTr="007E1715">
        <w:trPr>
          <w:trHeight w:val="20"/>
        </w:trPr>
        <w:tc>
          <w:tcPr>
            <w:tcW w:w="1030" w:type="pct"/>
            <w:shd w:val="clear" w:color="auto" w:fill="auto"/>
            <w:noWrap/>
            <w:vAlign w:val="center"/>
            <w:hideMark/>
          </w:tcPr>
          <w:p w14:paraId="55424F90"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6BF32D70"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MPO</w:t>
            </w:r>
          </w:p>
        </w:tc>
        <w:tc>
          <w:tcPr>
            <w:tcW w:w="1524" w:type="pct"/>
            <w:shd w:val="clear" w:color="auto" w:fill="auto"/>
            <w:noWrap/>
            <w:vAlign w:val="center"/>
            <w:hideMark/>
          </w:tcPr>
          <w:p w14:paraId="6B2311A1" w14:textId="77777777" w:rsidR="00B131C8" w:rsidRPr="00C512E7" w:rsidRDefault="00B131C8" w:rsidP="003634F0">
            <w:pPr>
              <w:ind w:right="96"/>
              <w:jc w:val="right"/>
              <w:rPr>
                <w:rFonts w:ascii="Calibri" w:hAnsi="Calibri" w:cs="Calibri"/>
                <w:color w:val="000000"/>
                <w:sz w:val="18"/>
                <w:szCs w:val="18"/>
              </w:rPr>
            </w:pPr>
            <w:r w:rsidRPr="00C512E7">
              <w:rPr>
                <w:rFonts w:ascii="Calibri" w:hAnsi="Calibri" w:cs="Calibri"/>
                <w:color w:val="000000"/>
                <w:sz w:val="18"/>
                <w:szCs w:val="18"/>
              </w:rPr>
              <w:t>1 202 869,00</w:t>
            </w:r>
          </w:p>
        </w:tc>
        <w:tc>
          <w:tcPr>
            <w:tcW w:w="1416" w:type="pct"/>
            <w:shd w:val="clear" w:color="auto" w:fill="auto"/>
            <w:noWrap/>
            <w:vAlign w:val="center"/>
            <w:hideMark/>
          </w:tcPr>
          <w:p w14:paraId="3B6835B7"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2</w:t>
            </w:r>
          </w:p>
        </w:tc>
      </w:tr>
      <w:tr w:rsidR="00B131C8" w:rsidRPr="00C512E7" w14:paraId="0F8D8017" w14:textId="77777777" w:rsidTr="007E1715">
        <w:trPr>
          <w:trHeight w:val="20"/>
        </w:trPr>
        <w:tc>
          <w:tcPr>
            <w:tcW w:w="1030" w:type="pct"/>
            <w:shd w:val="clear" w:color="auto" w:fill="auto"/>
            <w:noWrap/>
            <w:vAlign w:val="center"/>
            <w:hideMark/>
          </w:tcPr>
          <w:p w14:paraId="1022BCB5"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1FAE3111"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MPSV</w:t>
            </w:r>
          </w:p>
        </w:tc>
        <w:tc>
          <w:tcPr>
            <w:tcW w:w="1524" w:type="pct"/>
            <w:shd w:val="clear" w:color="auto" w:fill="auto"/>
            <w:noWrap/>
            <w:vAlign w:val="center"/>
            <w:hideMark/>
          </w:tcPr>
          <w:p w14:paraId="789D0D53" w14:textId="77777777" w:rsidR="00B131C8" w:rsidRPr="00C512E7" w:rsidRDefault="00B131C8" w:rsidP="003634F0">
            <w:pPr>
              <w:ind w:right="96"/>
              <w:jc w:val="right"/>
              <w:rPr>
                <w:rFonts w:ascii="Calibri" w:hAnsi="Calibri" w:cs="Calibri"/>
                <w:color w:val="000000"/>
                <w:sz w:val="18"/>
                <w:szCs w:val="18"/>
              </w:rPr>
            </w:pPr>
            <w:r w:rsidRPr="00C512E7">
              <w:rPr>
                <w:rFonts w:ascii="Calibri" w:hAnsi="Calibri" w:cs="Calibri"/>
                <w:color w:val="000000"/>
                <w:sz w:val="18"/>
                <w:szCs w:val="18"/>
              </w:rPr>
              <w:t>9 642 540,00</w:t>
            </w:r>
          </w:p>
        </w:tc>
        <w:tc>
          <w:tcPr>
            <w:tcW w:w="1416" w:type="pct"/>
            <w:shd w:val="clear" w:color="auto" w:fill="auto"/>
            <w:noWrap/>
            <w:vAlign w:val="center"/>
            <w:hideMark/>
          </w:tcPr>
          <w:p w14:paraId="3C15132D"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2</w:t>
            </w:r>
          </w:p>
        </w:tc>
      </w:tr>
      <w:tr w:rsidR="00B131C8" w:rsidRPr="00C512E7" w14:paraId="342D2E53" w14:textId="77777777" w:rsidTr="007E1715">
        <w:trPr>
          <w:trHeight w:val="20"/>
        </w:trPr>
        <w:tc>
          <w:tcPr>
            <w:tcW w:w="1030" w:type="pct"/>
            <w:shd w:val="clear" w:color="auto" w:fill="auto"/>
            <w:noWrap/>
            <w:vAlign w:val="center"/>
            <w:hideMark/>
          </w:tcPr>
          <w:p w14:paraId="4277A48F"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02F0D041"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MSp</w:t>
            </w:r>
          </w:p>
        </w:tc>
        <w:tc>
          <w:tcPr>
            <w:tcW w:w="1524" w:type="pct"/>
            <w:shd w:val="clear" w:color="auto" w:fill="auto"/>
            <w:noWrap/>
            <w:vAlign w:val="center"/>
            <w:hideMark/>
          </w:tcPr>
          <w:p w14:paraId="6B71F9F8" w14:textId="77777777" w:rsidR="00B131C8" w:rsidRPr="00C512E7" w:rsidRDefault="00B131C8" w:rsidP="003634F0">
            <w:pPr>
              <w:ind w:right="96"/>
              <w:jc w:val="right"/>
              <w:rPr>
                <w:rFonts w:ascii="Calibri" w:hAnsi="Calibri" w:cs="Calibri"/>
                <w:color w:val="000000"/>
                <w:sz w:val="18"/>
                <w:szCs w:val="18"/>
              </w:rPr>
            </w:pPr>
            <w:r w:rsidRPr="00C512E7">
              <w:rPr>
                <w:rFonts w:ascii="Calibri" w:hAnsi="Calibri" w:cs="Calibri"/>
                <w:color w:val="000000"/>
                <w:sz w:val="18"/>
                <w:szCs w:val="18"/>
              </w:rPr>
              <w:t>9 843 517,00</w:t>
            </w:r>
          </w:p>
        </w:tc>
        <w:tc>
          <w:tcPr>
            <w:tcW w:w="1416" w:type="pct"/>
            <w:shd w:val="clear" w:color="auto" w:fill="auto"/>
            <w:noWrap/>
            <w:vAlign w:val="center"/>
            <w:hideMark/>
          </w:tcPr>
          <w:p w14:paraId="0E8F8D52"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3</w:t>
            </w:r>
          </w:p>
        </w:tc>
      </w:tr>
      <w:tr w:rsidR="00B131C8" w:rsidRPr="00C512E7" w14:paraId="0AF16DE1" w14:textId="77777777" w:rsidTr="007E1715">
        <w:trPr>
          <w:trHeight w:val="20"/>
        </w:trPr>
        <w:tc>
          <w:tcPr>
            <w:tcW w:w="1030" w:type="pct"/>
            <w:shd w:val="clear" w:color="auto" w:fill="auto"/>
            <w:noWrap/>
            <w:vAlign w:val="center"/>
            <w:hideMark/>
          </w:tcPr>
          <w:p w14:paraId="4456EE15"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55F883DA"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MV</w:t>
            </w:r>
          </w:p>
        </w:tc>
        <w:tc>
          <w:tcPr>
            <w:tcW w:w="1524" w:type="pct"/>
            <w:shd w:val="clear" w:color="auto" w:fill="auto"/>
            <w:noWrap/>
            <w:vAlign w:val="center"/>
            <w:hideMark/>
          </w:tcPr>
          <w:p w14:paraId="39E73570" w14:textId="77777777" w:rsidR="00B131C8" w:rsidRPr="00C512E7" w:rsidRDefault="00B131C8" w:rsidP="003634F0">
            <w:pPr>
              <w:ind w:right="96"/>
              <w:jc w:val="right"/>
              <w:rPr>
                <w:rFonts w:ascii="Calibri" w:hAnsi="Calibri" w:cs="Calibri"/>
                <w:color w:val="000000"/>
                <w:sz w:val="18"/>
                <w:szCs w:val="18"/>
              </w:rPr>
            </w:pPr>
            <w:r w:rsidRPr="00C512E7">
              <w:rPr>
                <w:rFonts w:ascii="Calibri" w:hAnsi="Calibri" w:cs="Calibri"/>
                <w:color w:val="000000"/>
                <w:sz w:val="18"/>
                <w:szCs w:val="18"/>
              </w:rPr>
              <w:t>140 447 269,00</w:t>
            </w:r>
          </w:p>
        </w:tc>
        <w:tc>
          <w:tcPr>
            <w:tcW w:w="1416" w:type="pct"/>
            <w:shd w:val="clear" w:color="auto" w:fill="auto"/>
            <w:noWrap/>
            <w:vAlign w:val="center"/>
            <w:hideMark/>
          </w:tcPr>
          <w:p w14:paraId="75F9CB19"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44</w:t>
            </w:r>
          </w:p>
        </w:tc>
      </w:tr>
      <w:tr w:rsidR="00B131C8" w:rsidRPr="00C512E7" w14:paraId="235B11DC" w14:textId="77777777" w:rsidTr="007E1715">
        <w:trPr>
          <w:trHeight w:val="20"/>
        </w:trPr>
        <w:tc>
          <w:tcPr>
            <w:tcW w:w="1030" w:type="pct"/>
            <w:shd w:val="clear" w:color="auto" w:fill="auto"/>
            <w:noWrap/>
            <w:vAlign w:val="center"/>
            <w:hideMark/>
          </w:tcPr>
          <w:p w14:paraId="6B110483"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06E70324"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MZd</w:t>
            </w:r>
          </w:p>
        </w:tc>
        <w:tc>
          <w:tcPr>
            <w:tcW w:w="1524" w:type="pct"/>
            <w:shd w:val="clear" w:color="auto" w:fill="auto"/>
            <w:noWrap/>
            <w:vAlign w:val="center"/>
            <w:hideMark/>
          </w:tcPr>
          <w:p w14:paraId="67701EC5" w14:textId="77777777" w:rsidR="00B131C8" w:rsidRPr="00C512E7" w:rsidRDefault="00B131C8" w:rsidP="003634F0">
            <w:pPr>
              <w:ind w:right="96"/>
              <w:jc w:val="right"/>
              <w:rPr>
                <w:rFonts w:ascii="Calibri" w:hAnsi="Calibri" w:cs="Calibri"/>
                <w:color w:val="000000"/>
                <w:sz w:val="18"/>
                <w:szCs w:val="18"/>
              </w:rPr>
            </w:pPr>
            <w:r w:rsidRPr="00C512E7">
              <w:rPr>
                <w:rFonts w:ascii="Calibri" w:hAnsi="Calibri" w:cs="Calibri"/>
                <w:color w:val="000000"/>
                <w:sz w:val="18"/>
                <w:szCs w:val="18"/>
              </w:rPr>
              <w:t>52 110 637,00</w:t>
            </w:r>
          </w:p>
        </w:tc>
        <w:tc>
          <w:tcPr>
            <w:tcW w:w="1416" w:type="pct"/>
            <w:shd w:val="clear" w:color="auto" w:fill="auto"/>
            <w:noWrap/>
            <w:vAlign w:val="center"/>
            <w:hideMark/>
          </w:tcPr>
          <w:p w14:paraId="5359493A"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7</w:t>
            </w:r>
          </w:p>
        </w:tc>
      </w:tr>
      <w:tr w:rsidR="00B131C8" w:rsidRPr="00C512E7" w14:paraId="3A62E10B" w14:textId="77777777" w:rsidTr="007E1715">
        <w:trPr>
          <w:trHeight w:val="20"/>
        </w:trPr>
        <w:tc>
          <w:tcPr>
            <w:tcW w:w="1030" w:type="pct"/>
            <w:shd w:val="clear" w:color="auto" w:fill="auto"/>
            <w:noWrap/>
            <w:vAlign w:val="center"/>
            <w:hideMark/>
          </w:tcPr>
          <w:p w14:paraId="77C8EBF3"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c>
          <w:tcPr>
            <w:tcW w:w="1030" w:type="pct"/>
            <w:shd w:val="clear" w:color="auto" w:fill="auto"/>
            <w:noWrap/>
            <w:vAlign w:val="center"/>
            <w:hideMark/>
          </w:tcPr>
          <w:p w14:paraId="7210D0F8"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MZe</w:t>
            </w:r>
          </w:p>
        </w:tc>
        <w:tc>
          <w:tcPr>
            <w:tcW w:w="1524" w:type="pct"/>
            <w:shd w:val="clear" w:color="auto" w:fill="auto"/>
            <w:noWrap/>
            <w:vAlign w:val="bottom"/>
            <w:hideMark/>
          </w:tcPr>
          <w:p w14:paraId="0A2DB880" w14:textId="77777777" w:rsidR="00B131C8" w:rsidRPr="00C512E7" w:rsidRDefault="00B131C8" w:rsidP="003634F0">
            <w:pPr>
              <w:ind w:right="96"/>
              <w:jc w:val="right"/>
              <w:rPr>
                <w:rFonts w:ascii="Calibri" w:hAnsi="Calibri" w:cs="Calibri"/>
                <w:color w:val="000000"/>
                <w:sz w:val="18"/>
                <w:szCs w:val="18"/>
              </w:rPr>
            </w:pPr>
            <w:r w:rsidRPr="00C512E7">
              <w:rPr>
                <w:rFonts w:ascii="Calibri" w:hAnsi="Calibri" w:cs="Calibri"/>
                <w:color w:val="000000"/>
                <w:sz w:val="18"/>
                <w:szCs w:val="18"/>
              </w:rPr>
              <w:t>6 340 322,00</w:t>
            </w:r>
          </w:p>
        </w:tc>
        <w:tc>
          <w:tcPr>
            <w:tcW w:w="1416" w:type="pct"/>
            <w:shd w:val="clear" w:color="auto" w:fill="auto"/>
            <w:noWrap/>
            <w:vAlign w:val="center"/>
            <w:hideMark/>
          </w:tcPr>
          <w:p w14:paraId="170BCA76" w14:textId="77777777" w:rsidR="00B131C8" w:rsidRPr="00C512E7" w:rsidRDefault="00B131C8" w:rsidP="007E1715">
            <w:pPr>
              <w:jc w:val="right"/>
              <w:rPr>
                <w:rFonts w:ascii="Calibri" w:hAnsi="Calibri" w:cs="Calibri"/>
                <w:color w:val="000000"/>
                <w:sz w:val="18"/>
                <w:szCs w:val="18"/>
              </w:rPr>
            </w:pPr>
            <w:r w:rsidRPr="00C512E7">
              <w:rPr>
                <w:rFonts w:ascii="Calibri" w:hAnsi="Calibri" w:cs="Calibri"/>
                <w:color w:val="000000"/>
                <w:sz w:val="18"/>
                <w:szCs w:val="18"/>
              </w:rPr>
              <w:t>3</w:t>
            </w:r>
          </w:p>
        </w:tc>
      </w:tr>
      <w:tr w:rsidR="00B131C8" w:rsidRPr="00C512E7" w14:paraId="0FCA73A5" w14:textId="77777777" w:rsidTr="00174730">
        <w:trPr>
          <w:trHeight w:val="20"/>
        </w:trPr>
        <w:tc>
          <w:tcPr>
            <w:tcW w:w="1030" w:type="pct"/>
            <w:shd w:val="clear" w:color="auto" w:fill="D9D9D9"/>
            <w:noWrap/>
            <w:vAlign w:val="center"/>
            <w:hideMark/>
          </w:tcPr>
          <w:p w14:paraId="7E60241B" w14:textId="77777777" w:rsidR="00B131C8" w:rsidRPr="00C512E7" w:rsidRDefault="00B131C8" w:rsidP="003634F0">
            <w:pPr>
              <w:jc w:val="center"/>
              <w:rPr>
                <w:rFonts w:ascii="Calibri" w:hAnsi="Calibri" w:cs="Calibri"/>
                <w:b/>
                <w:bCs/>
                <w:color w:val="000000"/>
                <w:sz w:val="18"/>
                <w:szCs w:val="18"/>
              </w:rPr>
            </w:pPr>
            <w:r w:rsidRPr="00C512E7">
              <w:rPr>
                <w:rFonts w:ascii="Calibri" w:hAnsi="Calibri" w:cs="Calibri"/>
                <w:b/>
                <w:bCs/>
                <w:color w:val="000000"/>
                <w:sz w:val="18"/>
                <w:szCs w:val="18"/>
              </w:rPr>
              <w:t>2019</w:t>
            </w:r>
          </w:p>
        </w:tc>
        <w:tc>
          <w:tcPr>
            <w:tcW w:w="1030" w:type="pct"/>
            <w:shd w:val="clear" w:color="auto" w:fill="D9D9D9"/>
            <w:noWrap/>
            <w:vAlign w:val="center"/>
            <w:hideMark/>
          </w:tcPr>
          <w:p w14:paraId="49561A17" w14:textId="77777777" w:rsidR="00B131C8" w:rsidRPr="00C512E7" w:rsidRDefault="00B131C8" w:rsidP="007E1715">
            <w:pPr>
              <w:rPr>
                <w:rFonts w:ascii="Calibri" w:hAnsi="Calibri" w:cs="Calibri"/>
                <w:b/>
                <w:bCs/>
                <w:color w:val="000000"/>
                <w:sz w:val="18"/>
                <w:szCs w:val="18"/>
              </w:rPr>
            </w:pPr>
            <w:r w:rsidRPr="00C512E7">
              <w:rPr>
                <w:rFonts w:ascii="Calibri" w:hAnsi="Calibri" w:cs="Calibri"/>
                <w:b/>
                <w:bCs/>
                <w:color w:val="000000"/>
                <w:sz w:val="18"/>
                <w:szCs w:val="18"/>
              </w:rPr>
              <w:t> </w:t>
            </w:r>
          </w:p>
        </w:tc>
        <w:tc>
          <w:tcPr>
            <w:tcW w:w="1524" w:type="pct"/>
            <w:shd w:val="clear" w:color="auto" w:fill="D9D9D9"/>
            <w:noWrap/>
            <w:vAlign w:val="center"/>
            <w:hideMark/>
          </w:tcPr>
          <w:p w14:paraId="0733CEFB" w14:textId="77777777" w:rsidR="00B131C8" w:rsidRPr="00C512E7" w:rsidRDefault="00B131C8" w:rsidP="003634F0">
            <w:pPr>
              <w:ind w:right="96"/>
              <w:jc w:val="right"/>
              <w:rPr>
                <w:rFonts w:ascii="Calibri" w:hAnsi="Calibri" w:cs="Calibri"/>
                <w:b/>
                <w:bCs/>
                <w:color w:val="000000"/>
                <w:sz w:val="18"/>
                <w:szCs w:val="18"/>
              </w:rPr>
            </w:pPr>
            <w:r w:rsidRPr="00C512E7">
              <w:rPr>
                <w:rFonts w:ascii="Calibri" w:hAnsi="Calibri" w:cs="Calibri"/>
                <w:b/>
                <w:bCs/>
                <w:color w:val="000000"/>
                <w:sz w:val="18"/>
                <w:szCs w:val="18"/>
              </w:rPr>
              <w:t>236 937 731,00</w:t>
            </w:r>
          </w:p>
        </w:tc>
        <w:tc>
          <w:tcPr>
            <w:tcW w:w="1416" w:type="pct"/>
            <w:shd w:val="clear" w:color="auto" w:fill="D9D9D9"/>
            <w:noWrap/>
            <w:vAlign w:val="center"/>
            <w:hideMark/>
          </w:tcPr>
          <w:p w14:paraId="699838DD" w14:textId="77777777" w:rsidR="00B131C8" w:rsidRPr="00C512E7" w:rsidRDefault="00B131C8" w:rsidP="007E1715">
            <w:pPr>
              <w:jc w:val="right"/>
              <w:rPr>
                <w:rFonts w:ascii="Calibri" w:hAnsi="Calibri" w:cs="Calibri"/>
                <w:b/>
                <w:bCs/>
                <w:color w:val="000000"/>
                <w:sz w:val="18"/>
                <w:szCs w:val="18"/>
              </w:rPr>
            </w:pPr>
            <w:r w:rsidRPr="00C512E7">
              <w:rPr>
                <w:rFonts w:ascii="Calibri" w:hAnsi="Calibri" w:cs="Calibri"/>
                <w:b/>
                <w:bCs/>
                <w:color w:val="000000"/>
                <w:sz w:val="18"/>
                <w:szCs w:val="18"/>
              </w:rPr>
              <w:t>63</w:t>
            </w:r>
          </w:p>
        </w:tc>
      </w:tr>
      <w:tr w:rsidR="00B131C8" w:rsidRPr="00C512E7" w14:paraId="31978449" w14:textId="77777777" w:rsidTr="007E1715">
        <w:trPr>
          <w:trHeight w:val="20"/>
        </w:trPr>
        <w:tc>
          <w:tcPr>
            <w:tcW w:w="1030" w:type="pct"/>
            <w:shd w:val="clear" w:color="000000" w:fill="E5F1FF"/>
            <w:noWrap/>
            <w:vAlign w:val="center"/>
            <w:hideMark/>
          </w:tcPr>
          <w:p w14:paraId="64C32FFF" w14:textId="77777777" w:rsidR="00B131C8" w:rsidRPr="00C512E7" w:rsidRDefault="00B131C8" w:rsidP="007E1715">
            <w:pPr>
              <w:rPr>
                <w:rFonts w:ascii="Calibri" w:hAnsi="Calibri" w:cs="Calibri"/>
                <w:b/>
                <w:bCs/>
                <w:color w:val="000000"/>
                <w:sz w:val="18"/>
                <w:szCs w:val="18"/>
              </w:rPr>
            </w:pPr>
            <w:r w:rsidRPr="00C512E7">
              <w:rPr>
                <w:rFonts w:ascii="Calibri" w:hAnsi="Calibri" w:cs="Calibri"/>
                <w:b/>
                <w:bCs/>
                <w:color w:val="000000"/>
                <w:sz w:val="18"/>
                <w:szCs w:val="18"/>
              </w:rPr>
              <w:t>CELKEM</w:t>
            </w:r>
          </w:p>
        </w:tc>
        <w:tc>
          <w:tcPr>
            <w:tcW w:w="1030" w:type="pct"/>
            <w:shd w:val="clear" w:color="000000" w:fill="E5F1FF"/>
            <w:noWrap/>
            <w:vAlign w:val="center"/>
            <w:hideMark/>
          </w:tcPr>
          <w:p w14:paraId="2F15262D" w14:textId="77777777" w:rsidR="00B131C8" w:rsidRPr="00C512E7" w:rsidRDefault="00B131C8" w:rsidP="007E1715">
            <w:pPr>
              <w:rPr>
                <w:rFonts w:ascii="Calibri" w:hAnsi="Calibri" w:cs="Calibri"/>
                <w:b/>
                <w:bCs/>
                <w:color w:val="000000"/>
                <w:sz w:val="18"/>
                <w:szCs w:val="18"/>
              </w:rPr>
            </w:pPr>
            <w:r w:rsidRPr="00C512E7">
              <w:rPr>
                <w:rFonts w:ascii="Calibri" w:hAnsi="Calibri" w:cs="Calibri"/>
                <w:b/>
                <w:bCs/>
                <w:color w:val="000000"/>
                <w:sz w:val="18"/>
                <w:szCs w:val="18"/>
              </w:rPr>
              <w:t> </w:t>
            </w:r>
          </w:p>
        </w:tc>
        <w:tc>
          <w:tcPr>
            <w:tcW w:w="1524" w:type="pct"/>
            <w:shd w:val="clear" w:color="000000" w:fill="E5F1FF"/>
            <w:noWrap/>
            <w:vAlign w:val="center"/>
            <w:hideMark/>
          </w:tcPr>
          <w:p w14:paraId="59664C56" w14:textId="77777777" w:rsidR="00B131C8" w:rsidRPr="00C512E7" w:rsidRDefault="00B131C8" w:rsidP="003634F0">
            <w:pPr>
              <w:ind w:right="96"/>
              <w:jc w:val="right"/>
              <w:rPr>
                <w:rFonts w:ascii="Calibri" w:hAnsi="Calibri" w:cs="Calibri"/>
                <w:b/>
                <w:bCs/>
                <w:color w:val="000000"/>
                <w:sz w:val="18"/>
                <w:szCs w:val="18"/>
              </w:rPr>
            </w:pPr>
            <w:r w:rsidRPr="00C512E7">
              <w:rPr>
                <w:rFonts w:ascii="Calibri" w:hAnsi="Calibri" w:cs="Calibri"/>
                <w:b/>
                <w:bCs/>
                <w:color w:val="000000"/>
                <w:sz w:val="18"/>
                <w:szCs w:val="18"/>
              </w:rPr>
              <w:t>689 040 405,00</w:t>
            </w:r>
          </w:p>
        </w:tc>
        <w:tc>
          <w:tcPr>
            <w:tcW w:w="1416" w:type="pct"/>
            <w:shd w:val="clear" w:color="000000" w:fill="E5F1FF"/>
            <w:noWrap/>
            <w:vAlign w:val="center"/>
            <w:hideMark/>
          </w:tcPr>
          <w:p w14:paraId="448B5DBA" w14:textId="77777777" w:rsidR="00B131C8" w:rsidRPr="00C512E7" w:rsidRDefault="00B131C8" w:rsidP="007E1715">
            <w:pPr>
              <w:rPr>
                <w:rFonts w:ascii="Calibri" w:hAnsi="Calibri" w:cs="Calibri"/>
                <w:color w:val="000000"/>
                <w:sz w:val="18"/>
                <w:szCs w:val="18"/>
              </w:rPr>
            </w:pPr>
            <w:r w:rsidRPr="00C512E7">
              <w:rPr>
                <w:rFonts w:ascii="Calibri" w:hAnsi="Calibri" w:cs="Calibri"/>
                <w:color w:val="000000"/>
                <w:sz w:val="18"/>
                <w:szCs w:val="18"/>
              </w:rPr>
              <w:t> </w:t>
            </w:r>
          </w:p>
        </w:tc>
      </w:tr>
    </w:tbl>
    <w:p w14:paraId="1CBAA496" w14:textId="77777777" w:rsidR="00B131C8" w:rsidRDefault="00B131C8" w:rsidP="00377B07">
      <w:pPr>
        <w:pStyle w:val="Zdrojeapozn"/>
      </w:pPr>
      <w:r w:rsidRPr="00DA4A55">
        <w:t xml:space="preserve">Zdroj: </w:t>
      </w:r>
      <w:r w:rsidR="00161463">
        <w:t>MF</w:t>
      </w:r>
      <w:r>
        <w:t>.</w:t>
      </w:r>
    </w:p>
    <w:p w14:paraId="3F48CD95" w14:textId="3BD7C8F9" w:rsidR="00B131C8" w:rsidRDefault="00B131C8" w:rsidP="00B131C8">
      <w:pPr>
        <w:pStyle w:val="Zdrojapozn"/>
        <w:spacing w:after="0"/>
        <w:ind w:left="993" w:hanging="993"/>
        <w:contextualSpacing/>
        <w:rPr>
          <w:i/>
        </w:rPr>
      </w:pPr>
      <w:r w:rsidRPr="00FB438A">
        <w:rPr>
          <w:i/>
          <w:szCs w:val="20"/>
        </w:rPr>
        <w:t>Vysvětlivky</w:t>
      </w:r>
      <w:r w:rsidR="00E56BA7">
        <w:rPr>
          <w:i/>
          <w:szCs w:val="20"/>
        </w:rPr>
        <w:t>:</w:t>
      </w:r>
      <w:r w:rsidR="00E56BA7" w:rsidRPr="00E56BA7">
        <w:rPr>
          <w:i/>
        </w:rPr>
        <w:t xml:space="preserve"> </w:t>
      </w:r>
      <w:r w:rsidR="003634F0">
        <w:rPr>
          <w:i/>
        </w:rPr>
        <w:tab/>
      </w:r>
      <w:r w:rsidR="00E56BA7" w:rsidRPr="00FB438A">
        <w:rPr>
          <w:i/>
        </w:rPr>
        <w:t>ČBÚ – Český báňský úřad</w:t>
      </w:r>
      <w:r w:rsidR="00E56BA7">
        <w:rPr>
          <w:i/>
        </w:rPr>
        <w:t>,</w:t>
      </w:r>
      <w:r w:rsidRPr="00FB438A">
        <w:rPr>
          <w:i/>
          <w:szCs w:val="20"/>
        </w:rPr>
        <w:t xml:space="preserve"> </w:t>
      </w:r>
      <w:r w:rsidR="00E56BA7" w:rsidRPr="00FB438A">
        <w:rPr>
          <w:i/>
          <w:szCs w:val="20"/>
        </w:rPr>
        <w:t>MD – Ministerstvo dopravy</w:t>
      </w:r>
      <w:r w:rsidR="00E56BA7">
        <w:rPr>
          <w:i/>
          <w:szCs w:val="20"/>
        </w:rPr>
        <w:t>,</w:t>
      </w:r>
      <w:r w:rsidR="00E56BA7" w:rsidRPr="00FB438A">
        <w:rPr>
          <w:i/>
          <w:szCs w:val="20"/>
        </w:rPr>
        <w:t xml:space="preserve"> </w:t>
      </w:r>
      <w:r w:rsidR="00E56BA7" w:rsidRPr="00FB438A">
        <w:rPr>
          <w:i/>
        </w:rPr>
        <w:t>MZe – Ministerstvo zemědělství</w:t>
      </w:r>
      <w:r w:rsidR="00E56BA7">
        <w:rPr>
          <w:i/>
        </w:rPr>
        <w:t>,</w:t>
      </w:r>
      <w:r w:rsidR="00E56BA7" w:rsidRPr="00FB438A">
        <w:rPr>
          <w:i/>
        </w:rPr>
        <w:t xml:space="preserve"> </w:t>
      </w:r>
      <w:r w:rsidR="00093066">
        <w:rPr>
          <w:i/>
        </w:rPr>
        <w:br/>
      </w:r>
      <w:r w:rsidR="00E56BA7" w:rsidRPr="00FB438A">
        <w:rPr>
          <w:i/>
        </w:rPr>
        <w:t>MO – Ministerstvo obrany</w:t>
      </w:r>
      <w:r w:rsidR="00E56BA7">
        <w:rPr>
          <w:i/>
        </w:rPr>
        <w:t>,</w:t>
      </w:r>
      <w:r w:rsidR="00E56BA7" w:rsidRPr="00FB438A">
        <w:rPr>
          <w:i/>
        </w:rPr>
        <w:t xml:space="preserve"> MPSV – Ministerstvo práce a sociálních věcí</w:t>
      </w:r>
      <w:r w:rsidR="00E56BA7">
        <w:rPr>
          <w:i/>
        </w:rPr>
        <w:t>,</w:t>
      </w:r>
      <w:r w:rsidR="00E56BA7" w:rsidRPr="00FB438A">
        <w:rPr>
          <w:i/>
        </w:rPr>
        <w:t xml:space="preserve"> </w:t>
      </w:r>
      <w:r w:rsidRPr="00FB438A">
        <w:rPr>
          <w:i/>
        </w:rPr>
        <w:t xml:space="preserve">MSp – Ministerstvo spravedlnosti, </w:t>
      </w:r>
      <w:r w:rsidR="00E56BA7" w:rsidRPr="00FB438A">
        <w:rPr>
          <w:i/>
        </w:rPr>
        <w:t>MV – Ministerstvo vnitra</w:t>
      </w:r>
      <w:r w:rsidR="00E56BA7">
        <w:rPr>
          <w:i/>
        </w:rPr>
        <w:t>,</w:t>
      </w:r>
      <w:r w:rsidR="00E56BA7" w:rsidRPr="00FB438A">
        <w:rPr>
          <w:i/>
        </w:rPr>
        <w:t xml:space="preserve"> MZd – Ministerstvo zdravotnictví</w:t>
      </w:r>
      <w:r w:rsidRPr="00FB438A">
        <w:rPr>
          <w:i/>
        </w:rPr>
        <w:t xml:space="preserve">, ÚSTR – Ústav </w:t>
      </w:r>
      <w:r w:rsidR="00E56BA7">
        <w:rPr>
          <w:i/>
        </w:rPr>
        <w:t>pro studium totalitních režimů.</w:t>
      </w:r>
    </w:p>
    <w:p w14:paraId="6703A4B8" w14:textId="0D483FB0" w:rsidR="00B131C8" w:rsidRPr="00392A1F" w:rsidRDefault="00B131C8" w:rsidP="004D5D1A">
      <w:pPr>
        <w:pStyle w:val="Zdrojapozn"/>
        <w:spacing w:after="0"/>
        <w:ind w:left="284" w:hanging="284"/>
        <w:contextualSpacing/>
        <w:rPr>
          <w:i/>
        </w:rPr>
      </w:pPr>
      <w:r>
        <w:rPr>
          <w:i/>
        </w:rPr>
        <w:t xml:space="preserve">* </w:t>
      </w:r>
      <w:r w:rsidR="004D5D1A">
        <w:rPr>
          <w:i/>
        </w:rPr>
        <w:tab/>
        <w:t>P</w:t>
      </w:r>
      <w:r w:rsidRPr="00C512E7">
        <w:rPr>
          <w:i/>
        </w:rPr>
        <w:t xml:space="preserve">rostředky ve výši 6 511 604 Kč byly ze strany ÚSTR vráceny </w:t>
      </w:r>
      <w:r>
        <w:rPr>
          <w:i/>
        </w:rPr>
        <w:t xml:space="preserve">zpět </w:t>
      </w:r>
      <w:r w:rsidRPr="00C512E7">
        <w:rPr>
          <w:i/>
        </w:rPr>
        <w:t>do rozpočtu kapitoly MŽP</w:t>
      </w:r>
      <w:r>
        <w:rPr>
          <w:i/>
        </w:rPr>
        <w:t>.</w:t>
      </w:r>
    </w:p>
    <w:p w14:paraId="11D30DA6" w14:textId="77777777" w:rsidR="0053519A" w:rsidRDefault="0053519A">
      <w:pPr>
        <w:jc w:val="left"/>
      </w:pPr>
    </w:p>
    <w:p w14:paraId="68BF54DF" w14:textId="77777777" w:rsidR="0053519A" w:rsidRDefault="0053519A">
      <w:pPr>
        <w:jc w:val="left"/>
      </w:pPr>
    </w:p>
    <w:p w14:paraId="0F27D85D" w14:textId="66882D17" w:rsidR="0053519A" w:rsidRDefault="0053519A" w:rsidP="0053519A">
      <w:pPr>
        <w:pStyle w:val="TextKP"/>
      </w:pPr>
      <w:r w:rsidRPr="008A2695">
        <w:t xml:space="preserve">V roce 2018 MF převedlo z rozpočtu kapitoly MŽP </w:t>
      </w:r>
      <w:r w:rsidR="005F4EB9" w:rsidRPr="008A2695">
        <w:t xml:space="preserve">do </w:t>
      </w:r>
      <w:r w:rsidRPr="008A2695">
        <w:t xml:space="preserve">programu NZÚ celkem 428 mil. Kč, z této částky celkem 284 mil. Kč nesouviselo s realizací projektů </w:t>
      </w:r>
      <w:r w:rsidR="00FE5CEE" w:rsidRPr="008A2695">
        <w:t>NZÚ</w:t>
      </w:r>
      <w:r w:rsidRPr="008A2695">
        <w:t>. MF v roce 2018 v souladu s usneseními vlády ČR převedlo z programu NZÚ peněžní prostředky</w:t>
      </w:r>
      <w:r w:rsidR="00E56BA7" w:rsidRPr="008A2695">
        <w:t xml:space="preserve"> do</w:t>
      </w:r>
      <w:r w:rsidR="005F4EB9" w:rsidRPr="008A2695">
        <w:t xml:space="preserve"> </w:t>
      </w:r>
      <w:r w:rsidR="00E56BA7" w:rsidRPr="008A2695">
        <w:t xml:space="preserve">kapitoly státního rozpočtu </w:t>
      </w:r>
      <w:r w:rsidR="00E67FBE" w:rsidRPr="008A2695">
        <w:t xml:space="preserve">329 </w:t>
      </w:r>
      <w:r w:rsidR="00E56BA7" w:rsidRPr="008A2695">
        <w:t xml:space="preserve">– </w:t>
      </w:r>
      <w:r w:rsidR="005F4EB9" w:rsidRPr="00FC7CB7">
        <w:rPr>
          <w:rFonts w:ascii="Calibri" w:hAnsi="Calibri"/>
          <w:i/>
        </w:rPr>
        <w:t>Ministerstvo zemědělství</w:t>
      </w:r>
      <w:r w:rsidRPr="008A2695">
        <w:t xml:space="preserve"> ve</w:t>
      </w:r>
      <w:r w:rsidR="005F4EB9" w:rsidRPr="008A2695">
        <w:t xml:space="preserve"> </w:t>
      </w:r>
      <w:r w:rsidRPr="008A2695">
        <w:t>výši 176 mil. Kč</w:t>
      </w:r>
      <w:r w:rsidR="00DF33B4" w:rsidRPr="008A2695">
        <w:t xml:space="preserve"> na</w:t>
      </w:r>
      <w:r w:rsidR="005F4EB9" w:rsidRPr="008A2695">
        <w:t xml:space="preserve"> </w:t>
      </w:r>
      <w:r w:rsidR="00DF33B4" w:rsidRPr="008A2695">
        <w:t>kompenzace škod způsobených jarními mrazy a</w:t>
      </w:r>
      <w:r w:rsidR="008A2695" w:rsidRPr="008A2695">
        <w:t xml:space="preserve"> </w:t>
      </w:r>
      <w:r w:rsidR="00DF33B4" w:rsidRPr="008A2695">
        <w:t>suchem v roce 2017 a d</w:t>
      </w:r>
      <w:r w:rsidR="00E56BA7" w:rsidRPr="008A2695">
        <w:t xml:space="preserve">o kapitoly státního rozpočtu 327 – </w:t>
      </w:r>
      <w:r w:rsidR="008A2695" w:rsidRPr="00FC7CB7">
        <w:rPr>
          <w:rFonts w:ascii="Calibri" w:hAnsi="Calibri"/>
          <w:i/>
        </w:rPr>
        <w:t>Ministerstvo dopravy</w:t>
      </w:r>
      <w:r w:rsidR="00E56BA7" w:rsidRPr="008A2695">
        <w:t xml:space="preserve"> </w:t>
      </w:r>
      <w:r w:rsidRPr="008A2695">
        <w:t xml:space="preserve">ve </w:t>
      </w:r>
      <w:r w:rsidRPr="001F7DC8">
        <w:t>výši 108</w:t>
      </w:r>
      <w:r w:rsidR="008224EB">
        <w:t> </w:t>
      </w:r>
      <w:r w:rsidRPr="001F7DC8">
        <w:t>mil.</w:t>
      </w:r>
      <w:r w:rsidR="008224EB">
        <w:t> </w:t>
      </w:r>
      <w:r w:rsidRPr="001F7DC8">
        <w:t>Kč</w:t>
      </w:r>
      <w:r w:rsidR="00DF33B4">
        <w:t xml:space="preserve"> </w:t>
      </w:r>
      <w:r w:rsidRPr="001F7DC8">
        <w:t>na dofinancování nové slevy z jízdného ve</w:t>
      </w:r>
      <w:r w:rsidR="008A2695">
        <w:t xml:space="preserve"> </w:t>
      </w:r>
      <w:r w:rsidRPr="001F7DC8">
        <w:t>vlacích a autobusech.</w:t>
      </w:r>
      <w:r w:rsidRPr="001F7DC8">
        <w:rPr>
          <w:rStyle w:val="Znakapoznpodarou"/>
        </w:rPr>
        <w:footnoteReference w:id="45"/>
      </w:r>
    </w:p>
    <w:p w14:paraId="06A42A1A" w14:textId="77777777" w:rsidR="00E67FBE" w:rsidRDefault="00E67FBE">
      <w:pPr>
        <w:jc w:val="left"/>
        <w:rPr>
          <w:b/>
          <w:bCs/>
        </w:rPr>
      </w:pPr>
      <w:r>
        <w:br w:type="page"/>
      </w:r>
    </w:p>
    <w:p w14:paraId="62EFD167" w14:textId="1136AD6E" w:rsidR="00F04CD4" w:rsidRDefault="00E36AA1" w:rsidP="00BD2790">
      <w:pPr>
        <w:pStyle w:val="Nadpis4"/>
        <w:tabs>
          <w:tab w:val="right" w:pos="9070"/>
        </w:tabs>
        <w:spacing w:after="120"/>
        <w:ind w:left="1338" w:hanging="1338"/>
        <w:jc w:val="both"/>
      </w:pPr>
      <w:r>
        <w:lastRenderedPageBreak/>
        <w:t>Př</w:t>
      </w:r>
      <w:r w:rsidR="00E67FBE">
        <w:t xml:space="preserve">íloha č. </w:t>
      </w:r>
      <w:r w:rsidR="00664FAD">
        <w:t>3</w:t>
      </w:r>
      <w:r w:rsidR="00E67FBE">
        <w:t>:</w:t>
      </w:r>
      <w:r w:rsidR="009428B0">
        <w:t xml:space="preserve"> </w:t>
      </w:r>
      <w:r w:rsidR="00F04CD4">
        <w:t>Předpokládaná nákladovost snížení konečné spotřeby energie ve veřejných budovách</w:t>
      </w:r>
      <w:r w:rsidR="00096F54">
        <w:tab/>
      </w:r>
      <w:r w:rsidR="00664FAD" w:rsidRPr="00143B7A">
        <w:t>(v Kč</w:t>
      </w:r>
      <w:r w:rsidR="00664FAD">
        <w:t>/GJ/rok</w:t>
      </w:r>
      <w:r w:rsidR="00664FAD" w:rsidRPr="00143B7A">
        <w:t>)</w:t>
      </w:r>
    </w:p>
    <w:tbl>
      <w:tblPr>
        <w:tblW w:w="5000" w:type="pct"/>
        <w:tblLayout w:type="fixed"/>
        <w:tblCellMar>
          <w:left w:w="70" w:type="dxa"/>
          <w:right w:w="70" w:type="dxa"/>
        </w:tblCellMar>
        <w:tblLook w:val="04A0" w:firstRow="1" w:lastRow="0" w:firstColumn="1" w:lastColumn="0" w:noHBand="0" w:noVBand="1"/>
      </w:tblPr>
      <w:tblGrid>
        <w:gridCol w:w="798"/>
        <w:gridCol w:w="532"/>
        <w:gridCol w:w="795"/>
        <w:gridCol w:w="1417"/>
        <w:gridCol w:w="1701"/>
        <w:gridCol w:w="1558"/>
        <w:gridCol w:w="708"/>
        <w:gridCol w:w="1551"/>
      </w:tblGrid>
      <w:tr w:rsidR="00202E22" w:rsidRPr="00202E22" w14:paraId="67DBC05E" w14:textId="77777777" w:rsidTr="00202E22">
        <w:trPr>
          <w:trHeight w:val="255"/>
        </w:trPr>
        <w:tc>
          <w:tcPr>
            <w:tcW w:w="440"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254151D5"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Specifický cíl</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55ED240E"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Výzva</w:t>
            </w:r>
          </w:p>
        </w:tc>
        <w:tc>
          <w:tcPr>
            <w:tcW w:w="3019" w:type="pct"/>
            <w:gridSpan w:val="4"/>
            <w:tcBorders>
              <w:top w:val="single" w:sz="4" w:space="0" w:color="auto"/>
              <w:left w:val="nil"/>
              <w:bottom w:val="single" w:sz="4" w:space="0" w:color="auto"/>
              <w:right w:val="single" w:sz="4" w:space="0" w:color="auto"/>
            </w:tcBorders>
            <w:shd w:val="clear" w:color="000000" w:fill="E5F1FF"/>
            <w:vAlign w:val="center"/>
            <w:hideMark/>
          </w:tcPr>
          <w:p w14:paraId="058D1876" w14:textId="79A81698" w:rsidR="00202E22" w:rsidRPr="00202E22" w:rsidRDefault="00202E22" w:rsidP="00A971ED">
            <w:pPr>
              <w:jc w:val="center"/>
              <w:rPr>
                <w:rFonts w:ascii="Calibri" w:hAnsi="Calibri" w:cs="Calibri"/>
                <w:b/>
                <w:bCs/>
                <w:color w:val="000000"/>
                <w:sz w:val="16"/>
                <w:szCs w:val="16"/>
              </w:rPr>
            </w:pPr>
            <w:r w:rsidRPr="00202E22">
              <w:rPr>
                <w:rFonts w:ascii="Calibri" w:hAnsi="Calibri" w:cs="Calibri"/>
                <w:b/>
                <w:bCs/>
                <w:color w:val="000000"/>
                <w:sz w:val="16"/>
                <w:szCs w:val="16"/>
              </w:rPr>
              <w:t xml:space="preserve">Evidence projektů SC 5.1 a </w:t>
            </w:r>
            <w:r w:rsidR="00882B0A">
              <w:rPr>
                <w:rFonts w:ascii="Calibri" w:hAnsi="Calibri" w:cs="Calibri"/>
                <w:b/>
                <w:bCs/>
                <w:color w:val="000000"/>
                <w:sz w:val="16"/>
                <w:szCs w:val="16"/>
              </w:rPr>
              <w:t xml:space="preserve">SC </w:t>
            </w:r>
            <w:r w:rsidRPr="00202E22">
              <w:rPr>
                <w:rFonts w:ascii="Calibri" w:hAnsi="Calibri" w:cs="Calibri"/>
                <w:b/>
                <w:bCs/>
                <w:color w:val="000000"/>
                <w:sz w:val="16"/>
                <w:szCs w:val="16"/>
              </w:rPr>
              <w:t>5.3 ke dni 30. 6. 2020</w:t>
            </w:r>
          </w:p>
        </w:tc>
        <w:tc>
          <w:tcPr>
            <w:tcW w:w="1248" w:type="pct"/>
            <w:gridSpan w:val="2"/>
            <w:tcBorders>
              <w:top w:val="single" w:sz="4" w:space="0" w:color="auto"/>
              <w:left w:val="nil"/>
              <w:bottom w:val="single" w:sz="4" w:space="0" w:color="auto"/>
              <w:right w:val="single" w:sz="4" w:space="0" w:color="auto"/>
            </w:tcBorders>
            <w:shd w:val="clear" w:color="000000" w:fill="E5F1FF"/>
            <w:vAlign w:val="center"/>
            <w:hideMark/>
          </w:tcPr>
          <w:p w14:paraId="10F02583" w14:textId="4E8A0A39" w:rsidR="00202E22" w:rsidRPr="00202E22" w:rsidRDefault="00202E22" w:rsidP="003D5728">
            <w:pPr>
              <w:jc w:val="center"/>
              <w:rPr>
                <w:rFonts w:ascii="Calibri" w:hAnsi="Calibri" w:cs="Calibri"/>
                <w:b/>
                <w:bCs/>
                <w:i/>
                <w:iCs/>
                <w:color w:val="000000"/>
                <w:sz w:val="16"/>
                <w:szCs w:val="16"/>
              </w:rPr>
            </w:pPr>
            <w:r w:rsidRPr="00202E22">
              <w:rPr>
                <w:rFonts w:ascii="Calibri" w:hAnsi="Calibri" w:cs="Calibri"/>
                <w:b/>
                <w:bCs/>
                <w:i/>
                <w:iCs/>
                <w:color w:val="000000"/>
                <w:sz w:val="16"/>
                <w:szCs w:val="16"/>
              </w:rPr>
              <w:t>z toho projekty s využitím NZÚ</w:t>
            </w:r>
            <w:r w:rsidR="003D5728">
              <w:rPr>
                <w:rFonts w:ascii="Calibri" w:hAnsi="Calibri" w:cs="Calibri"/>
                <w:b/>
                <w:bCs/>
                <w:i/>
                <w:iCs/>
                <w:color w:val="000000"/>
                <w:sz w:val="16"/>
                <w:szCs w:val="16"/>
              </w:rPr>
              <w:t> </w:t>
            </w:r>
            <w:r w:rsidRPr="00202E22">
              <w:rPr>
                <w:rFonts w:ascii="Calibri" w:hAnsi="Calibri" w:cs="Calibri"/>
                <w:b/>
                <w:bCs/>
                <w:i/>
                <w:iCs/>
                <w:color w:val="000000"/>
                <w:sz w:val="16"/>
                <w:szCs w:val="16"/>
              </w:rPr>
              <w:t>–</w:t>
            </w:r>
            <w:r w:rsidR="003D5728">
              <w:rPr>
                <w:rFonts w:ascii="Calibri" w:hAnsi="Calibri" w:cs="Calibri"/>
                <w:b/>
                <w:bCs/>
                <w:i/>
                <w:iCs/>
                <w:color w:val="000000"/>
                <w:sz w:val="16"/>
                <w:szCs w:val="16"/>
              </w:rPr>
              <w:t> </w:t>
            </w:r>
            <w:r w:rsidRPr="00202E22">
              <w:rPr>
                <w:rFonts w:ascii="Calibri" w:hAnsi="Calibri" w:cs="Calibri"/>
                <w:b/>
                <w:bCs/>
                <w:i/>
                <w:iCs/>
                <w:color w:val="000000"/>
                <w:sz w:val="16"/>
                <w:szCs w:val="16"/>
              </w:rPr>
              <w:t>Budovy veřejného sektoru</w:t>
            </w:r>
          </w:p>
        </w:tc>
      </w:tr>
      <w:tr w:rsidR="00202E22" w:rsidRPr="00202E22" w14:paraId="4B6E7A3E" w14:textId="77777777" w:rsidTr="00202E22">
        <w:trPr>
          <w:trHeight w:val="440"/>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746FD5AC" w14:textId="77777777" w:rsidR="00202E22" w:rsidRPr="00202E22" w:rsidRDefault="00202E22" w:rsidP="00202E22">
            <w:pPr>
              <w:jc w:val="left"/>
              <w:rPr>
                <w:rFonts w:ascii="Calibri" w:hAnsi="Calibri" w:cs="Calibri"/>
                <w:b/>
                <w:bCs/>
                <w:color w:val="000000"/>
                <w:sz w:val="16"/>
                <w:szCs w:val="16"/>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1652D89" w14:textId="77777777" w:rsidR="00202E22" w:rsidRPr="00202E22" w:rsidRDefault="00202E22" w:rsidP="00202E22">
            <w:pPr>
              <w:jc w:val="left"/>
              <w:rPr>
                <w:rFonts w:ascii="Calibri" w:hAnsi="Calibri" w:cs="Calibri"/>
                <w:b/>
                <w:bCs/>
                <w:color w:val="000000"/>
                <w:sz w:val="16"/>
                <w:szCs w:val="16"/>
              </w:rPr>
            </w:pPr>
          </w:p>
        </w:tc>
        <w:tc>
          <w:tcPr>
            <w:tcW w:w="439" w:type="pct"/>
            <w:tcBorders>
              <w:top w:val="nil"/>
              <w:left w:val="nil"/>
              <w:bottom w:val="single" w:sz="4" w:space="0" w:color="auto"/>
              <w:right w:val="single" w:sz="4" w:space="0" w:color="auto"/>
            </w:tcBorders>
            <w:shd w:val="clear" w:color="000000" w:fill="E5F1FF"/>
            <w:vAlign w:val="center"/>
            <w:hideMark/>
          </w:tcPr>
          <w:p w14:paraId="21909299"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Počet projektů</w:t>
            </w:r>
          </w:p>
        </w:tc>
        <w:tc>
          <w:tcPr>
            <w:tcW w:w="782" w:type="pct"/>
            <w:tcBorders>
              <w:top w:val="nil"/>
              <w:left w:val="nil"/>
              <w:bottom w:val="single" w:sz="4" w:space="0" w:color="auto"/>
              <w:right w:val="single" w:sz="4" w:space="0" w:color="auto"/>
            </w:tcBorders>
            <w:shd w:val="clear" w:color="000000" w:fill="E5F1FF"/>
            <w:vAlign w:val="center"/>
            <w:hideMark/>
          </w:tcPr>
          <w:p w14:paraId="4254C968" w14:textId="20B6FBFC" w:rsidR="00202E22" w:rsidRPr="00202E22" w:rsidRDefault="00202E22" w:rsidP="00A971ED">
            <w:pPr>
              <w:jc w:val="center"/>
              <w:rPr>
                <w:rFonts w:ascii="Calibri" w:hAnsi="Calibri" w:cs="Calibri"/>
                <w:b/>
                <w:bCs/>
                <w:color w:val="000000"/>
                <w:sz w:val="16"/>
                <w:szCs w:val="16"/>
              </w:rPr>
            </w:pPr>
            <w:r w:rsidRPr="00202E22">
              <w:rPr>
                <w:rFonts w:ascii="Calibri" w:hAnsi="Calibri" w:cs="Calibri"/>
                <w:b/>
                <w:bCs/>
                <w:color w:val="000000"/>
                <w:sz w:val="16"/>
                <w:szCs w:val="16"/>
              </w:rPr>
              <w:t xml:space="preserve">Celkové zdroje/ </w:t>
            </w:r>
            <w:r w:rsidR="00B12C09">
              <w:rPr>
                <w:rFonts w:ascii="Calibri" w:hAnsi="Calibri" w:cs="Calibri"/>
                <w:b/>
                <w:bCs/>
                <w:color w:val="000000"/>
                <w:sz w:val="16"/>
                <w:szCs w:val="16"/>
              </w:rPr>
              <w:t>p</w:t>
            </w:r>
            <w:r w:rsidRPr="00202E22">
              <w:rPr>
                <w:rFonts w:ascii="Calibri" w:hAnsi="Calibri" w:cs="Calibri"/>
                <w:b/>
                <w:bCs/>
                <w:color w:val="000000"/>
                <w:sz w:val="16"/>
                <w:szCs w:val="16"/>
              </w:rPr>
              <w:t>ředpokládaná cílová hodnota (snížení konečné spotřeby energie)</w:t>
            </w:r>
          </w:p>
        </w:tc>
        <w:tc>
          <w:tcPr>
            <w:tcW w:w="939" w:type="pct"/>
            <w:tcBorders>
              <w:top w:val="nil"/>
              <w:left w:val="nil"/>
              <w:bottom w:val="single" w:sz="4" w:space="0" w:color="auto"/>
              <w:right w:val="single" w:sz="4" w:space="0" w:color="auto"/>
            </w:tcBorders>
            <w:shd w:val="clear" w:color="000000" w:fill="E5F1FF"/>
            <w:vAlign w:val="center"/>
            <w:hideMark/>
          </w:tcPr>
          <w:p w14:paraId="49BF673F" w14:textId="26EDACC5" w:rsidR="00202E22" w:rsidRPr="00202E22" w:rsidRDefault="00202E22" w:rsidP="00A971ED">
            <w:pPr>
              <w:jc w:val="center"/>
              <w:rPr>
                <w:rFonts w:ascii="Calibri" w:hAnsi="Calibri" w:cs="Calibri"/>
                <w:b/>
                <w:bCs/>
                <w:color w:val="000000"/>
                <w:sz w:val="16"/>
                <w:szCs w:val="16"/>
              </w:rPr>
            </w:pPr>
            <w:r w:rsidRPr="00202E22">
              <w:rPr>
                <w:rFonts w:ascii="Calibri" w:hAnsi="Calibri" w:cs="Calibri"/>
                <w:b/>
                <w:bCs/>
                <w:color w:val="000000"/>
                <w:sz w:val="16"/>
                <w:szCs w:val="16"/>
              </w:rPr>
              <w:t>Celkové způsobilé výdaje/</w:t>
            </w:r>
            <w:r w:rsidR="00B12C09">
              <w:rPr>
                <w:rFonts w:ascii="Calibri" w:hAnsi="Calibri" w:cs="Calibri"/>
                <w:b/>
                <w:bCs/>
                <w:color w:val="000000"/>
                <w:sz w:val="16"/>
                <w:szCs w:val="16"/>
              </w:rPr>
              <w:t>p</w:t>
            </w:r>
            <w:r w:rsidRPr="00202E22">
              <w:rPr>
                <w:rFonts w:ascii="Calibri" w:hAnsi="Calibri" w:cs="Calibri"/>
                <w:b/>
                <w:bCs/>
                <w:color w:val="000000"/>
                <w:sz w:val="16"/>
                <w:szCs w:val="16"/>
              </w:rPr>
              <w:t>ředpokládaná cílová hodnota (snížení konečné spotřeby energie)</w:t>
            </w:r>
          </w:p>
        </w:tc>
        <w:tc>
          <w:tcPr>
            <w:tcW w:w="860" w:type="pct"/>
            <w:tcBorders>
              <w:top w:val="nil"/>
              <w:left w:val="nil"/>
              <w:bottom w:val="single" w:sz="4" w:space="0" w:color="auto"/>
              <w:right w:val="single" w:sz="4" w:space="0" w:color="auto"/>
            </w:tcBorders>
            <w:shd w:val="clear" w:color="000000" w:fill="E5F1FF"/>
            <w:vAlign w:val="center"/>
            <w:hideMark/>
          </w:tcPr>
          <w:p w14:paraId="4EE8B08E" w14:textId="0709BA37" w:rsidR="00202E22" w:rsidRPr="00202E22" w:rsidRDefault="00202E22" w:rsidP="00A971ED">
            <w:pPr>
              <w:jc w:val="center"/>
              <w:rPr>
                <w:rFonts w:ascii="Calibri" w:hAnsi="Calibri" w:cs="Calibri"/>
                <w:b/>
                <w:bCs/>
                <w:color w:val="000000"/>
                <w:sz w:val="16"/>
                <w:szCs w:val="16"/>
              </w:rPr>
            </w:pPr>
            <w:r w:rsidRPr="00202E22">
              <w:rPr>
                <w:rFonts w:ascii="Calibri" w:hAnsi="Calibri" w:cs="Calibri"/>
                <w:b/>
                <w:bCs/>
                <w:color w:val="000000"/>
                <w:sz w:val="16"/>
                <w:szCs w:val="16"/>
              </w:rPr>
              <w:t xml:space="preserve">Příspěvek EU/ </w:t>
            </w:r>
            <w:r w:rsidR="00B12C09">
              <w:rPr>
                <w:rFonts w:ascii="Calibri" w:hAnsi="Calibri" w:cs="Calibri"/>
                <w:b/>
                <w:bCs/>
                <w:color w:val="000000"/>
                <w:sz w:val="16"/>
                <w:szCs w:val="16"/>
              </w:rPr>
              <w:t>p</w:t>
            </w:r>
            <w:r w:rsidRPr="00202E22">
              <w:rPr>
                <w:rFonts w:ascii="Calibri" w:hAnsi="Calibri" w:cs="Calibri"/>
                <w:b/>
                <w:bCs/>
                <w:color w:val="000000"/>
                <w:sz w:val="16"/>
                <w:szCs w:val="16"/>
              </w:rPr>
              <w:t>ředpokládaná cílová hodnota (snížení konečné spotřeby energie)</w:t>
            </w:r>
          </w:p>
        </w:tc>
        <w:tc>
          <w:tcPr>
            <w:tcW w:w="391" w:type="pct"/>
            <w:tcBorders>
              <w:top w:val="nil"/>
              <w:left w:val="nil"/>
              <w:bottom w:val="single" w:sz="4" w:space="0" w:color="auto"/>
              <w:right w:val="single" w:sz="4" w:space="0" w:color="auto"/>
            </w:tcBorders>
            <w:shd w:val="clear" w:color="000000" w:fill="E5F1FF"/>
            <w:vAlign w:val="center"/>
            <w:hideMark/>
          </w:tcPr>
          <w:p w14:paraId="4FCA1B2A" w14:textId="77777777" w:rsidR="00202E22" w:rsidRPr="00202E22" w:rsidRDefault="00202E22" w:rsidP="00202E22">
            <w:pPr>
              <w:jc w:val="center"/>
              <w:rPr>
                <w:rFonts w:ascii="Calibri" w:hAnsi="Calibri" w:cs="Calibri"/>
                <w:b/>
                <w:bCs/>
                <w:i/>
                <w:iCs/>
                <w:color w:val="000000"/>
                <w:sz w:val="16"/>
                <w:szCs w:val="16"/>
              </w:rPr>
            </w:pPr>
            <w:r w:rsidRPr="00202E22">
              <w:rPr>
                <w:rFonts w:ascii="Calibri" w:hAnsi="Calibri" w:cs="Calibri"/>
                <w:b/>
                <w:bCs/>
                <w:i/>
                <w:iCs/>
                <w:color w:val="000000"/>
                <w:sz w:val="16"/>
                <w:szCs w:val="16"/>
              </w:rPr>
              <w:t>Počet projektů</w:t>
            </w:r>
          </w:p>
        </w:tc>
        <w:tc>
          <w:tcPr>
            <w:tcW w:w="857" w:type="pct"/>
            <w:tcBorders>
              <w:top w:val="nil"/>
              <w:left w:val="nil"/>
              <w:bottom w:val="single" w:sz="4" w:space="0" w:color="auto"/>
              <w:right w:val="single" w:sz="4" w:space="0" w:color="auto"/>
            </w:tcBorders>
            <w:shd w:val="clear" w:color="000000" w:fill="E5F1FF"/>
            <w:vAlign w:val="center"/>
            <w:hideMark/>
          </w:tcPr>
          <w:p w14:paraId="17810376" w14:textId="1B398FBF" w:rsidR="00202E22" w:rsidRPr="00202E22" w:rsidRDefault="00202E22" w:rsidP="00A971ED">
            <w:pPr>
              <w:jc w:val="center"/>
              <w:rPr>
                <w:rFonts w:ascii="Calibri" w:hAnsi="Calibri" w:cs="Calibri"/>
                <w:b/>
                <w:bCs/>
                <w:i/>
                <w:iCs/>
                <w:color w:val="000000"/>
                <w:sz w:val="16"/>
                <w:szCs w:val="16"/>
              </w:rPr>
            </w:pPr>
            <w:r w:rsidRPr="00202E22">
              <w:rPr>
                <w:rFonts w:ascii="Calibri" w:hAnsi="Calibri" w:cs="Calibri"/>
                <w:b/>
                <w:bCs/>
                <w:i/>
                <w:iCs/>
                <w:color w:val="000000"/>
                <w:sz w:val="16"/>
                <w:szCs w:val="16"/>
              </w:rPr>
              <w:t xml:space="preserve">Příspěvek NZÚ/ </w:t>
            </w:r>
            <w:r w:rsidR="00B12C09">
              <w:rPr>
                <w:rFonts w:ascii="Calibri" w:hAnsi="Calibri" w:cs="Calibri"/>
                <w:b/>
                <w:bCs/>
                <w:i/>
                <w:iCs/>
                <w:color w:val="000000"/>
                <w:sz w:val="16"/>
                <w:szCs w:val="16"/>
              </w:rPr>
              <w:t>p</w:t>
            </w:r>
            <w:r w:rsidRPr="00202E22">
              <w:rPr>
                <w:rFonts w:ascii="Calibri" w:hAnsi="Calibri" w:cs="Calibri"/>
                <w:b/>
                <w:bCs/>
                <w:i/>
                <w:iCs/>
                <w:color w:val="000000"/>
                <w:sz w:val="16"/>
                <w:szCs w:val="16"/>
              </w:rPr>
              <w:t>ředpokládaná cílová hodnota (snížení konečné spotřeby energie)</w:t>
            </w:r>
          </w:p>
        </w:tc>
      </w:tr>
      <w:tr w:rsidR="00202E22" w:rsidRPr="00202E22" w14:paraId="1A316A5A" w14:textId="77777777" w:rsidTr="00202E22">
        <w:trPr>
          <w:trHeight w:val="255"/>
        </w:trPr>
        <w:tc>
          <w:tcPr>
            <w:tcW w:w="4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547516"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SC 5.1</w:t>
            </w:r>
          </w:p>
        </w:tc>
        <w:tc>
          <w:tcPr>
            <w:tcW w:w="292" w:type="pct"/>
            <w:tcBorders>
              <w:top w:val="nil"/>
              <w:left w:val="nil"/>
              <w:bottom w:val="single" w:sz="4" w:space="0" w:color="auto"/>
              <w:right w:val="single" w:sz="4" w:space="0" w:color="auto"/>
            </w:tcBorders>
            <w:shd w:val="clear" w:color="auto" w:fill="auto"/>
            <w:noWrap/>
            <w:vAlign w:val="center"/>
            <w:hideMark/>
          </w:tcPr>
          <w:p w14:paraId="0B1CC1A9"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19</w:t>
            </w:r>
          </w:p>
        </w:tc>
        <w:tc>
          <w:tcPr>
            <w:tcW w:w="439" w:type="pct"/>
            <w:tcBorders>
              <w:top w:val="nil"/>
              <w:left w:val="nil"/>
              <w:bottom w:val="single" w:sz="4" w:space="0" w:color="auto"/>
              <w:right w:val="single" w:sz="4" w:space="0" w:color="auto"/>
            </w:tcBorders>
            <w:shd w:val="clear" w:color="auto" w:fill="auto"/>
            <w:noWrap/>
            <w:vAlign w:val="center"/>
            <w:hideMark/>
          </w:tcPr>
          <w:p w14:paraId="693E1CC0"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375</w:t>
            </w:r>
          </w:p>
        </w:tc>
        <w:tc>
          <w:tcPr>
            <w:tcW w:w="782" w:type="pct"/>
            <w:tcBorders>
              <w:top w:val="nil"/>
              <w:left w:val="nil"/>
              <w:bottom w:val="single" w:sz="4" w:space="0" w:color="auto"/>
              <w:right w:val="single" w:sz="4" w:space="0" w:color="auto"/>
            </w:tcBorders>
            <w:shd w:val="clear" w:color="auto" w:fill="auto"/>
            <w:noWrap/>
            <w:vAlign w:val="center"/>
            <w:hideMark/>
          </w:tcPr>
          <w:p w14:paraId="0EE1DFF9"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22 063</w:t>
            </w:r>
          </w:p>
        </w:tc>
        <w:tc>
          <w:tcPr>
            <w:tcW w:w="939" w:type="pct"/>
            <w:tcBorders>
              <w:top w:val="nil"/>
              <w:left w:val="nil"/>
              <w:bottom w:val="single" w:sz="4" w:space="0" w:color="auto"/>
              <w:right w:val="single" w:sz="4" w:space="0" w:color="auto"/>
            </w:tcBorders>
            <w:shd w:val="clear" w:color="auto" w:fill="auto"/>
            <w:noWrap/>
            <w:vAlign w:val="center"/>
            <w:hideMark/>
          </w:tcPr>
          <w:p w14:paraId="0A5A0E5B"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13 476</w:t>
            </w:r>
          </w:p>
        </w:tc>
        <w:tc>
          <w:tcPr>
            <w:tcW w:w="860" w:type="pct"/>
            <w:tcBorders>
              <w:top w:val="nil"/>
              <w:left w:val="nil"/>
              <w:bottom w:val="single" w:sz="4" w:space="0" w:color="auto"/>
              <w:right w:val="single" w:sz="4" w:space="0" w:color="auto"/>
            </w:tcBorders>
            <w:shd w:val="clear" w:color="auto" w:fill="auto"/>
            <w:noWrap/>
            <w:vAlign w:val="center"/>
            <w:hideMark/>
          </w:tcPr>
          <w:p w14:paraId="3BE563B2"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5 387</w:t>
            </w:r>
          </w:p>
        </w:tc>
        <w:tc>
          <w:tcPr>
            <w:tcW w:w="391" w:type="pct"/>
            <w:tcBorders>
              <w:top w:val="nil"/>
              <w:left w:val="nil"/>
              <w:bottom w:val="single" w:sz="4" w:space="0" w:color="auto"/>
              <w:right w:val="single" w:sz="4" w:space="0" w:color="auto"/>
            </w:tcBorders>
            <w:shd w:val="clear" w:color="auto" w:fill="auto"/>
            <w:noWrap/>
            <w:vAlign w:val="center"/>
            <w:hideMark/>
          </w:tcPr>
          <w:p w14:paraId="6A2E64B3"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28</w:t>
            </w:r>
          </w:p>
        </w:tc>
        <w:tc>
          <w:tcPr>
            <w:tcW w:w="857" w:type="pct"/>
            <w:tcBorders>
              <w:top w:val="nil"/>
              <w:left w:val="nil"/>
              <w:bottom w:val="single" w:sz="4" w:space="0" w:color="auto"/>
              <w:right w:val="single" w:sz="4" w:space="0" w:color="auto"/>
            </w:tcBorders>
            <w:shd w:val="clear" w:color="auto" w:fill="auto"/>
            <w:noWrap/>
            <w:vAlign w:val="center"/>
            <w:hideMark/>
          </w:tcPr>
          <w:p w14:paraId="10DA1A58"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4 285</w:t>
            </w:r>
          </w:p>
        </w:tc>
      </w:tr>
      <w:tr w:rsidR="00202E22" w:rsidRPr="00202E22" w14:paraId="4348D8E3" w14:textId="77777777" w:rsidTr="00202E22">
        <w:trPr>
          <w:trHeight w:val="255"/>
        </w:trPr>
        <w:tc>
          <w:tcPr>
            <w:tcW w:w="440" w:type="pct"/>
            <w:vMerge/>
            <w:tcBorders>
              <w:top w:val="nil"/>
              <w:left w:val="single" w:sz="4" w:space="0" w:color="auto"/>
              <w:bottom w:val="single" w:sz="4" w:space="0" w:color="auto"/>
              <w:right w:val="single" w:sz="4" w:space="0" w:color="auto"/>
            </w:tcBorders>
            <w:vAlign w:val="center"/>
            <w:hideMark/>
          </w:tcPr>
          <w:p w14:paraId="74C9C400" w14:textId="77777777" w:rsidR="00202E22" w:rsidRPr="00202E22" w:rsidRDefault="00202E22" w:rsidP="00202E22">
            <w:pPr>
              <w:jc w:val="left"/>
              <w:rPr>
                <w:rFonts w:ascii="Calibri" w:hAnsi="Calibri" w:cs="Calibri"/>
                <w:b/>
                <w:bCs/>
                <w:color w:val="000000"/>
                <w:sz w:val="16"/>
                <w:szCs w:val="16"/>
              </w:rPr>
            </w:pPr>
          </w:p>
        </w:tc>
        <w:tc>
          <w:tcPr>
            <w:tcW w:w="292" w:type="pct"/>
            <w:tcBorders>
              <w:top w:val="nil"/>
              <w:left w:val="nil"/>
              <w:bottom w:val="single" w:sz="4" w:space="0" w:color="auto"/>
              <w:right w:val="single" w:sz="4" w:space="0" w:color="auto"/>
            </w:tcBorders>
            <w:shd w:val="clear" w:color="auto" w:fill="auto"/>
            <w:noWrap/>
            <w:vAlign w:val="center"/>
            <w:hideMark/>
          </w:tcPr>
          <w:p w14:paraId="7B7134E0"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39</w:t>
            </w:r>
          </w:p>
        </w:tc>
        <w:tc>
          <w:tcPr>
            <w:tcW w:w="439" w:type="pct"/>
            <w:tcBorders>
              <w:top w:val="nil"/>
              <w:left w:val="nil"/>
              <w:bottom w:val="single" w:sz="4" w:space="0" w:color="auto"/>
              <w:right w:val="single" w:sz="4" w:space="0" w:color="auto"/>
            </w:tcBorders>
            <w:shd w:val="clear" w:color="auto" w:fill="auto"/>
            <w:noWrap/>
            <w:vAlign w:val="center"/>
            <w:hideMark/>
          </w:tcPr>
          <w:p w14:paraId="41065F66"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306</w:t>
            </w:r>
          </w:p>
        </w:tc>
        <w:tc>
          <w:tcPr>
            <w:tcW w:w="782" w:type="pct"/>
            <w:tcBorders>
              <w:top w:val="nil"/>
              <w:left w:val="nil"/>
              <w:bottom w:val="single" w:sz="4" w:space="0" w:color="auto"/>
              <w:right w:val="single" w:sz="4" w:space="0" w:color="auto"/>
            </w:tcBorders>
            <w:shd w:val="clear" w:color="auto" w:fill="auto"/>
            <w:noWrap/>
            <w:vAlign w:val="center"/>
            <w:hideMark/>
          </w:tcPr>
          <w:p w14:paraId="2C86A6CB"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21 723</w:t>
            </w:r>
          </w:p>
        </w:tc>
        <w:tc>
          <w:tcPr>
            <w:tcW w:w="939" w:type="pct"/>
            <w:tcBorders>
              <w:top w:val="nil"/>
              <w:left w:val="nil"/>
              <w:bottom w:val="single" w:sz="4" w:space="0" w:color="auto"/>
              <w:right w:val="single" w:sz="4" w:space="0" w:color="auto"/>
            </w:tcBorders>
            <w:shd w:val="clear" w:color="auto" w:fill="auto"/>
            <w:noWrap/>
            <w:vAlign w:val="center"/>
            <w:hideMark/>
          </w:tcPr>
          <w:p w14:paraId="44B99250"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12 744</w:t>
            </w:r>
          </w:p>
        </w:tc>
        <w:tc>
          <w:tcPr>
            <w:tcW w:w="860" w:type="pct"/>
            <w:tcBorders>
              <w:top w:val="nil"/>
              <w:left w:val="nil"/>
              <w:bottom w:val="single" w:sz="4" w:space="0" w:color="auto"/>
              <w:right w:val="single" w:sz="4" w:space="0" w:color="auto"/>
            </w:tcBorders>
            <w:shd w:val="clear" w:color="auto" w:fill="auto"/>
            <w:noWrap/>
            <w:vAlign w:val="center"/>
            <w:hideMark/>
          </w:tcPr>
          <w:p w14:paraId="1E2ED55D"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5 066</w:t>
            </w:r>
          </w:p>
        </w:tc>
        <w:tc>
          <w:tcPr>
            <w:tcW w:w="391" w:type="pct"/>
            <w:tcBorders>
              <w:top w:val="nil"/>
              <w:left w:val="nil"/>
              <w:bottom w:val="single" w:sz="4" w:space="0" w:color="auto"/>
              <w:right w:val="single" w:sz="4" w:space="0" w:color="auto"/>
            </w:tcBorders>
            <w:shd w:val="clear" w:color="auto" w:fill="auto"/>
            <w:noWrap/>
            <w:vAlign w:val="center"/>
            <w:hideMark/>
          </w:tcPr>
          <w:p w14:paraId="05BC2383"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35</w:t>
            </w:r>
          </w:p>
        </w:tc>
        <w:tc>
          <w:tcPr>
            <w:tcW w:w="857" w:type="pct"/>
            <w:tcBorders>
              <w:top w:val="nil"/>
              <w:left w:val="nil"/>
              <w:bottom w:val="single" w:sz="4" w:space="0" w:color="auto"/>
              <w:right w:val="single" w:sz="4" w:space="0" w:color="auto"/>
            </w:tcBorders>
            <w:shd w:val="clear" w:color="auto" w:fill="auto"/>
            <w:noWrap/>
            <w:vAlign w:val="center"/>
            <w:hideMark/>
          </w:tcPr>
          <w:p w14:paraId="1DAAFA16"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4 315</w:t>
            </w:r>
          </w:p>
        </w:tc>
      </w:tr>
      <w:tr w:rsidR="00202E22" w:rsidRPr="00202E22" w14:paraId="7536CF34" w14:textId="77777777" w:rsidTr="00202E22">
        <w:trPr>
          <w:trHeight w:val="255"/>
        </w:trPr>
        <w:tc>
          <w:tcPr>
            <w:tcW w:w="440" w:type="pct"/>
            <w:vMerge/>
            <w:tcBorders>
              <w:top w:val="nil"/>
              <w:left w:val="single" w:sz="4" w:space="0" w:color="auto"/>
              <w:bottom w:val="single" w:sz="4" w:space="0" w:color="auto"/>
              <w:right w:val="single" w:sz="4" w:space="0" w:color="auto"/>
            </w:tcBorders>
            <w:vAlign w:val="center"/>
            <w:hideMark/>
          </w:tcPr>
          <w:p w14:paraId="5CB54D76" w14:textId="77777777" w:rsidR="00202E22" w:rsidRPr="00202E22" w:rsidRDefault="00202E22" w:rsidP="00202E22">
            <w:pPr>
              <w:jc w:val="left"/>
              <w:rPr>
                <w:rFonts w:ascii="Calibri" w:hAnsi="Calibri" w:cs="Calibri"/>
                <w:b/>
                <w:bCs/>
                <w:color w:val="000000"/>
                <w:sz w:val="16"/>
                <w:szCs w:val="16"/>
              </w:rPr>
            </w:pPr>
          </w:p>
        </w:tc>
        <w:tc>
          <w:tcPr>
            <w:tcW w:w="292" w:type="pct"/>
            <w:tcBorders>
              <w:top w:val="nil"/>
              <w:left w:val="nil"/>
              <w:bottom w:val="single" w:sz="4" w:space="0" w:color="auto"/>
              <w:right w:val="single" w:sz="4" w:space="0" w:color="auto"/>
            </w:tcBorders>
            <w:shd w:val="clear" w:color="auto" w:fill="auto"/>
            <w:noWrap/>
            <w:vAlign w:val="center"/>
            <w:hideMark/>
          </w:tcPr>
          <w:p w14:paraId="32698F45"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70</w:t>
            </w:r>
          </w:p>
        </w:tc>
        <w:tc>
          <w:tcPr>
            <w:tcW w:w="439" w:type="pct"/>
            <w:tcBorders>
              <w:top w:val="nil"/>
              <w:left w:val="nil"/>
              <w:bottom w:val="single" w:sz="4" w:space="0" w:color="auto"/>
              <w:right w:val="single" w:sz="4" w:space="0" w:color="auto"/>
            </w:tcBorders>
            <w:shd w:val="clear" w:color="auto" w:fill="auto"/>
            <w:noWrap/>
            <w:vAlign w:val="center"/>
            <w:hideMark/>
          </w:tcPr>
          <w:p w14:paraId="16AA1705"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598</w:t>
            </w:r>
          </w:p>
        </w:tc>
        <w:tc>
          <w:tcPr>
            <w:tcW w:w="782" w:type="pct"/>
            <w:tcBorders>
              <w:top w:val="nil"/>
              <w:left w:val="nil"/>
              <w:bottom w:val="single" w:sz="4" w:space="0" w:color="auto"/>
              <w:right w:val="single" w:sz="4" w:space="0" w:color="auto"/>
            </w:tcBorders>
            <w:shd w:val="clear" w:color="auto" w:fill="auto"/>
            <w:noWrap/>
            <w:vAlign w:val="center"/>
            <w:hideMark/>
          </w:tcPr>
          <w:p w14:paraId="1641E333"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23 505</w:t>
            </w:r>
          </w:p>
        </w:tc>
        <w:tc>
          <w:tcPr>
            <w:tcW w:w="939" w:type="pct"/>
            <w:tcBorders>
              <w:top w:val="nil"/>
              <w:left w:val="nil"/>
              <w:bottom w:val="single" w:sz="4" w:space="0" w:color="auto"/>
              <w:right w:val="single" w:sz="4" w:space="0" w:color="auto"/>
            </w:tcBorders>
            <w:shd w:val="clear" w:color="auto" w:fill="auto"/>
            <w:noWrap/>
            <w:vAlign w:val="center"/>
            <w:hideMark/>
          </w:tcPr>
          <w:p w14:paraId="78B5E0D5"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15 288</w:t>
            </w:r>
          </w:p>
        </w:tc>
        <w:tc>
          <w:tcPr>
            <w:tcW w:w="860" w:type="pct"/>
            <w:tcBorders>
              <w:top w:val="nil"/>
              <w:left w:val="nil"/>
              <w:bottom w:val="single" w:sz="4" w:space="0" w:color="auto"/>
              <w:right w:val="single" w:sz="4" w:space="0" w:color="auto"/>
            </w:tcBorders>
            <w:shd w:val="clear" w:color="auto" w:fill="auto"/>
            <w:noWrap/>
            <w:vAlign w:val="center"/>
            <w:hideMark/>
          </w:tcPr>
          <w:p w14:paraId="747F4C41"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6 936</w:t>
            </w:r>
          </w:p>
        </w:tc>
        <w:tc>
          <w:tcPr>
            <w:tcW w:w="391" w:type="pct"/>
            <w:tcBorders>
              <w:top w:val="nil"/>
              <w:left w:val="nil"/>
              <w:bottom w:val="single" w:sz="4" w:space="0" w:color="auto"/>
              <w:right w:val="single" w:sz="4" w:space="0" w:color="auto"/>
            </w:tcBorders>
            <w:shd w:val="clear" w:color="auto" w:fill="auto"/>
            <w:noWrap/>
            <w:vAlign w:val="center"/>
            <w:hideMark/>
          </w:tcPr>
          <w:p w14:paraId="529D43A3"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70</w:t>
            </w:r>
          </w:p>
        </w:tc>
        <w:tc>
          <w:tcPr>
            <w:tcW w:w="857" w:type="pct"/>
            <w:tcBorders>
              <w:top w:val="nil"/>
              <w:left w:val="nil"/>
              <w:bottom w:val="single" w:sz="4" w:space="0" w:color="auto"/>
              <w:right w:val="single" w:sz="4" w:space="0" w:color="auto"/>
            </w:tcBorders>
            <w:shd w:val="clear" w:color="auto" w:fill="auto"/>
            <w:noWrap/>
            <w:vAlign w:val="center"/>
            <w:hideMark/>
          </w:tcPr>
          <w:p w14:paraId="76389EF3"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7 622</w:t>
            </w:r>
          </w:p>
        </w:tc>
      </w:tr>
      <w:tr w:rsidR="00202E22" w:rsidRPr="00202E22" w14:paraId="553192FC" w14:textId="77777777" w:rsidTr="00202E22">
        <w:trPr>
          <w:trHeight w:val="255"/>
        </w:trPr>
        <w:tc>
          <w:tcPr>
            <w:tcW w:w="440" w:type="pct"/>
            <w:vMerge/>
            <w:tcBorders>
              <w:top w:val="nil"/>
              <w:left w:val="single" w:sz="4" w:space="0" w:color="auto"/>
              <w:bottom w:val="single" w:sz="4" w:space="0" w:color="auto"/>
              <w:right w:val="single" w:sz="4" w:space="0" w:color="auto"/>
            </w:tcBorders>
            <w:vAlign w:val="center"/>
            <w:hideMark/>
          </w:tcPr>
          <w:p w14:paraId="52B7F2B4" w14:textId="77777777" w:rsidR="00202E22" w:rsidRPr="00202E22" w:rsidRDefault="00202E22" w:rsidP="00202E22">
            <w:pPr>
              <w:jc w:val="left"/>
              <w:rPr>
                <w:rFonts w:ascii="Calibri" w:hAnsi="Calibri" w:cs="Calibri"/>
                <w:b/>
                <w:bCs/>
                <w:color w:val="000000"/>
                <w:sz w:val="16"/>
                <w:szCs w:val="16"/>
              </w:rPr>
            </w:pPr>
          </w:p>
        </w:tc>
        <w:tc>
          <w:tcPr>
            <w:tcW w:w="292" w:type="pct"/>
            <w:tcBorders>
              <w:top w:val="nil"/>
              <w:left w:val="nil"/>
              <w:bottom w:val="single" w:sz="4" w:space="0" w:color="auto"/>
              <w:right w:val="single" w:sz="4" w:space="0" w:color="auto"/>
            </w:tcBorders>
            <w:shd w:val="clear" w:color="auto" w:fill="auto"/>
            <w:noWrap/>
            <w:vAlign w:val="center"/>
            <w:hideMark/>
          </w:tcPr>
          <w:p w14:paraId="75E6C41F"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100</w:t>
            </w:r>
          </w:p>
        </w:tc>
        <w:tc>
          <w:tcPr>
            <w:tcW w:w="439" w:type="pct"/>
            <w:tcBorders>
              <w:top w:val="nil"/>
              <w:left w:val="nil"/>
              <w:bottom w:val="single" w:sz="4" w:space="0" w:color="auto"/>
              <w:right w:val="single" w:sz="4" w:space="0" w:color="auto"/>
            </w:tcBorders>
            <w:shd w:val="clear" w:color="auto" w:fill="auto"/>
            <w:noWrap/>
            <w:vAlign w:val="center"/>
            <w:hideMark/>
          </w:tcPr>
          <w:p w14:paraId="30FEC635"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481</w:t>
            </w:r>
          </w:p>
        </w:tc>
        <w:tc>
          <w:tcPr>
            <w:tcW w:w="782" w:type="pct"/>
            <w:tcBorders>
              <w:top w:val="nil"/>
              <w:left w:val="nil"/>
              <w:bottom w:val="single" w:sz="4" w:space="0" w:color="auto"/>
              <w:right w:val="single" w:sz="4" w:space="0" w:color="auto"/>
            </w:tcBorders>
            <w:shd w:val="clear" w:color="auto" w:fill="auto"/>
            <w:noWrap/>
            <w:vAlign w:val="center"/>
            <w:hideMark/>
          </w:tcPr>
          <w:p w14:paraId="3906BD4A"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24 735</w:t>
            </w:r>
          </w:p>
        </w:tc>
        <w:tc>
          <w:tcPr>
            <w:tcW w:w="939" w:type="pct"/>
            <w:tcBorders>
              <w:top w:val="nil"/>
              <w:left w:val="nil"/>
              <w:bottom w:val="single" w:sz="4" w:space="0" w:color="auto"/>
              <w:right w:val="single" w:sz="4" w:space="0" w:color="auto"/>
            </w:tcBorders>
            <w:shd w:val="clear" w:color="auto" w:fill="auto"/>
            <w:noWrap/>
            <w:vAlign w:val="center"/>
            <w:hideMark/>
          </w:tcPr>
          <w:p w14:paraId="52989826"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17 318</w:t>
            </w:r>
          </w:p>
        </w:tc>
        <w:tc>
          <w:tcPr>
            <w:tcW w:w="860" w:type="pct"/>
            <w:tcBorders>
              <w:top w:val="nil"/>
              <w:left w:val="nil"/>
              <w:bottom w:val="single" w:sz="4" w:space="0" w:color="auto"/>
              <w:right w:val="single" w:sz="4" w:space="0" w:color="auto"/>
            </w:tcBorders>
            <w:shd w:val="clear" w:color="auto" w:fill="auto"/>
            <w:noWrap/>
            <w:vAlign w:val="center"/>
            <w:hideMark/>
          </w:tcPr>
          <w:p w14:paraId="4311C298"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7 603</w:t>
            </w:r>
          </w:p>
        </w:tc>
        <w:tc>
          <w:tcPr>
            <w:tcW w:w="391" w:type="pct"/>
            <w:tcBorders>
              <w:top w:val="nil"/>
              <w:left w:val="nil"/>
              <w:bottom w:val="single" w:sz="4" w:space="0" w:color="auto"/>
              <w:right w:val="single" w:sz="4" w:space="0" w:color="auto"/>
            </w:tcBorders>
            <w:shd w:val="clear" w:color="auto" w:fill="auto"/>
            <w:noWrap/>
            <w:vAlign w:val="center"/>
            <w:hideMark/>
          </w:tcPr>
          <w:p w14:paraId="1B63246D"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54</w:t>
            </w:r>
          </w:p>
        </w:tc>
        <w:tc>
          <w:tcPr>
            <w:tcW w:w="857" w:type="pct"/>
            <w:tcBorders>
              <w:top w:val="nil"/>
              <w:left w:val="nil"/>
              <w:bottom w:val="single" w:sz="4" w:space="0" w:color="auto"/>
              <w:right w:val="single" w:sz="4" w:space="0" w:color="auto"/>
            </w:tcBorders>
            <w:shd w:val="clear" w:color="auto" w:fill="auto"/>
            <w:noWrap/>
            <w:vAlign w:val="center"/>
            <w:hideMark/>
          </w:tcPr>
          <w:p w14:paraId="45792FF5"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8 385</w:t>
            </w:r>
          </w:p>
        </w:tc>
      </w:tr>
      <w:tr w:rsidR="00202E22" w:rsidRPr="00202E22" w14:paraId="44092E61" w14:textId="77777777" w:rsidTr="00202E22">
        <w:trPr>
          <w:trHeight w:val="255"/>
        </w:trPr>
        <w:tc>
          <w:tcPr>
            <w:tcW w:w="440" w:type="pct"/>
            <w:vMerge/>
            <w:tcBorders>
              <w:top w:val="nil"/>
              <w:left w:val="single" w:sz="4" w:space="0" w:color="auto"/>
              <w:bottom w:val="single" w:sz="4" w:space="0" w:color="auto"/>
              <w:right w:val="single" w:sz="4" w:space="0" w:color="auto"/>
            </w:tcBorders>
            <w:vAlign w:val="center"/>
            <w:hideMark/>
          </w:tcPr>
          <w:p w14:paraId="69E0A43D" w14:textId="77777777" w:rsidR="00202E22" w:rsidRPr="00202E22" w:rsidRDefault="00202E22" w:rsidP="00202E22">
            <w:pPr>
              <w:jc w:val="left"/>
              <w:rPr>
                <w:rFonts w:ascii="Calibri" w:hAnsi="Calibri" w:cs="Calibri"/>
                <w:b/>
                <w:bCs/>
                <w:color w:val="000000"/>
                <w:sz w:val="16"/>
                <w:szCs w:val="16"/>
              </w:rPr>
            </w:pPr>
          </w:p>
        </w:tc>
        <w:tc>
          <w:tcPr>
            <w:tcW w:w="292" w:type="pct"/>
            <w:tcBorders>
              <w:top w:val="nil"/>
              <w:left w:val="nil"/>
              <w:bottom w:val="single" w:sz="4" w:space="0" w:color="auto"/>
              <w:right w:val="single" w:sz="4" w:space="0" w:color="auto"/>
            </w:tcBorders>
            <w:shd w:val="clear" w:color="auto" w:fill="auto"/>
            <w:noWrap/>
            <w:vAlign w:val="center"/>
            <w:hideMark/>
          </w:tcPr>
          <w:p w14:paraId="6A099811"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121</w:t>
            </w:r>
          </w:p>
        </w:tc>
        <w:tc>
          <w:tcPr>
            <w:tcW w:w="439" w:type="pct"/>
            <w:tcBorders>
              <w:top w:val="nil"/>
              <w:left w:val="nil"/>
              <w:bottom w:val="single" w:sz="4" w:space="0" w:color="auto"/>
              <w:right w:val="single" w:sz="4" w:space="0" w:color="auto"/>
            </w:tcBorders>
            <w:shd w:val="clear" w:color="auto" w:fill="auto"/>
            <w:noWrap/>
            <w:vAlign w:val="center"/>
            <w:hideMark/>
          </w:tcPr>
          <w:p w14:paraId="0D1BB133"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607</w:t>
            </w:r>
          </w:p>
        </w:tc>
        <w:tc>
          <w:tcPr>
            <w:tcW w:w="782" w:type="pct"/>
            <w:tcBorders>
              <w:top w:val="nil"/>
              <w:left w:val="nil"/>
              <w:bottom w:val="single" w:sz="4" w:space="0" w:color="auto"/>
              <w:right w:val="single" w:sz="4" w:space="0" w:color="auto"/>
            </w:tcBorders>
            <w:shd w:val="clear" w:color="auto" w:fill="auto"/>
            <w:noWrap/>
            <w:vAlign w:val="center"/>
            <w:hideMark/>
          </w:tcPr>
          <w:p w14:paraId="7A69B004"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35 516</w:t>
            </w:r>
          </w:p>
        </w:tc>
        <w:tc>
          <w:tcPr>
            <w:tcW w:w="939" w:type="pct"/>
            <w:tcBorders>
              <w:top w:val="nil"/>
              <w:left w:val="nil"/>
              <w:bottom w:val="single" w:sz="4" w:space="0" w:color="auto"/>
              <w:right w:val="single" w:sz="4" w:space="0" w:color="auto"/>
            </w:tcBorders>
            <w:shd w:val="clear" w:color="auto" w:fill="auto"/>
            <w:noWrap/>
            <w:vAlign w:val="center"/>
            <w:hideMark/>
          </w:tcPr>
          <w:p w14:paraId="43927606"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24 064</w:t>
            </w:r>
          </w:p>
        </w:tc>
        <w:tc>
          <w:tcPr>
            <w:tcW w:w="860" w:type="pct"/>
            <w:tcBorders>
              <w:top w:val="nil"/>
              <w:left w:val="nil"/>
              <w:bottom w:val="single" w:sz="4" w:space="0" w:color="auto"/>
              <w:right w:val="single" w:sz="4" w:space="0" w:color="auto"/>
            </w:tcBorders>
            <w:shd w:val="clear" w:color="auto" w:fill="auto"/>
            <w:noWrap/>
            <w:vAlign w:val="center"/>
            <w:hideMark/>
          </w:tcPr>
          <w:p w14:paraId="64C6A5A9"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11 784</w:t>
            </w:r>
          </w:p>
        </w:tc>
        <w:tc>
          <w:tcPr>
            <w:tcW w:w="391" w:type="pct"/>
            <w:tcBorders>
              <w:top w:val="nil"/>
              <w:left w:val="nil"/>
              <w:bottom w:val="single" w:sz="4" w:space="0" w:color="auto"/>
              <w:right w:val="single" w:sz="4" w:space="0" w:color="auto"/>
            </w:tcBorders>
            <w:shd w:val="clear" w:color="auto" w:fill="auto"/>
            <w:noWrap/>
            <w:vAlign w:val="center"/>
            <w:hideMark/>
          </w:tcPr>
          <w:p w14:paraId="33CE2A4C"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3</w:t>
            </w:r>
          </w:p>
        </w:tc>
        <w:tc>
          <w:tcPr>
            <w:tcW w:w="857" w:type="pct"/>
            <w:tcBorders>
              <w:top w:val="nil"/>
              <w:left w:val="nil"/>
              <w:bottom w:val="single" w:sz="4" w:space="0" w:color="auto"/>
              <w:right w:val="single" w:sz="4" w:space="0" w:color="auto"/>
            </w:tcBorders>
            <w:shd w:val="clear" w:color="auto" w:fill="auto"/>
            <w:noWrap/>
            <w:vAlign w:val="center"/>
            <w:hideMark/>
          </w:tcPr>
          <w:p w14:paraId="073980A7"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2 819</w:t>
            </w:r>
          </w:p>
        </w:tc>
      </w:tr>
      <w:tr w:rsidR="00202E22" w:rsidRPr="00202E22" w14:paraId="3034785A" w14:textId="77777777" w:rsidTr="00202E22">
        <w:trPr>
          <w:trHeight w:val="255"/>
        </w:trPr>
        <w:tc>
          <w:tcPr>
            <w:tcW w:w="440" w:type="pct"/>
            <w:vMerge/>
            <w:tcBorders>
              <w:top w:val="nil"/>
              <w:left w:val="single" w:sz="4" w:space="0" w:color="auto"/>
              <w:bottom w:val="single" w:sz="4" w:space="0" w:color="auto"/>
              <w:right w:val="single" w:sz="4" w:space="0" w:color="auto"/>
            </w:tcBorders>
            <w:vAlign w:val="center"/>
            <w:hideMark/>
          </w:tcPr>
          <w:p w14:paraId="2F45236B" w14:textId="77777777" w:rsidR="00202E22" w:rsidRPr="00202E22" w:rsidRDefault="00202E22" w:rsidP="00202E22">
            <w:pPr>
              <w:jc w:val="left"/>
              <w:rPr>
                <w:rFonts w:ascii="Calibri" w:hAnsi="Calibri" w:cs="Calibri"/>
                <w:b/>
                <w:bCs/>
                <w:color w:val="000000"/>
                <w:sz w:val="16"/>
                <w:szCs w:val="16"/>
              </w:rPr>
            </w:pPr>
          </w:p>
        </w:tc>
        <w:tc>
          <w:tcPr>
            <w:tcW w:w="292" w:type="pct"/>
            <w:tcBorders>
              <w:top w:val="nil"/>
              <w:left w:val="nil"/>
              <w:bottom w:val="single" w:sz="4" w:space="0" w:color="auto"/>
              <w:right w:val="single" w:sz="4" w:space="0" w:color="auto"/>
            </w:tcBorders>
            <w:shd w:val="clear" w:color="auto" w:fill="auto"/>
            <w:noWrap/>
            <w:vAlign w:val="center"/>
            <w:hideMark/>
          </w:tcPr>
          <w:p w14:paraId="0A6C9418"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146</w:t>
            </w:r>
          </w:p>
        </w:tc>
        <w:tc>
          <w:tcPr>
            <w:tcW w:w="439" w:type="pct"/>
            <w:tcBorders>
              <w:top w:val="nil"/>
              <w:left w:val="nil"/>
              <w:bottom w:val="single" w:sz="4" w:space="0" w:color="auto"/>
              <w:right w:val="single" w:sz="4" w:space="0" w:color="auto"/>
            </w:tcBorders>
            <w:shd w:val="clear" w:color="auto" w:fill="auto"/>
            <w:noWrap/>
            <w:vAlign w:val="center"/>
            <w:hideMark/>
          </w:tcPr>
          <w:p w14:paraId="027A167E"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38</w:t>
            </w:r>
          </w:p>
        </w:tc>
        <w:tc>
          <w:tcPr>
            <w:tcW w:w="782" w:type="pct"/>
            <w:tcBorders>
              <w:top w:val="nil"/>
              <w:left w:val="nil"/>
              <w:bottom w:val="single" w:sz="4" w:space="0" w:color="auto"/>
              <w:right w:val="single" w:sz="4" w:space="0" w:color="auto"/>
            </w:tcBorders>
            <w:shd w:val="clear" w:color="auto" w:fill="auto"/>
            <w:noWrap/>
            <w:vAlign w:val="center"/>
            <w:hideMark/>
          </w:tcPr>
          <w:p w14:paraId="20BD94FA"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25 507</w:t>
            </w:r>
          </w:p>
        </w:tc>
        <w:tc>
          <w:tcPr>
            <w:tcW w:w="939" w:type="pct"/>
            <w:tcBorders>
              <w:top w:val="nil"/>
              <w:left w:val="nil"/>
              <w:bottom w:val="single" w:sz="4" w:space="0" w:color="auto"/>
              <w:right w:val="single" w:sz="4" w:space="0" w:color="auto"/>
            </w:tcBorders>
            <w:shd w:val="clear" w:color="auto" w:fill="auto"/>
            <w:noWrap/>
            <w:vAlign w:val="center"/>
            <w:hideMark/>
          </w:tcPr>
          <w:p w14:paraId="2408ECF4"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18 906</w:t>
            </w:r>
          </w:p>
        </w:tc>
        <w:tc>
          <w:tcPr>
            <w:tcW w:w="860" w:type="pct"/>
            <w:tcBorders>
              <w:top w:val="nil"/>
              <w:left w:val="nil"/>
              <w:bottom w:val="single" w:sz="4" w:space="0" w:color="auto"/>
              <w:right w:val="single" w:sz="4" w:space="0" w:color="auto"/>
            </w:tcBorders>
            <w:shd w:val="clear" w:color="auto" w:fill="auto"/>
            <w:noWrap/>
            <w:vAlign w:val="center"/>
            <w:hideMark/>
          </w:tcPr>
          <w:p w14:paraId="0577049E"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10 368</w:t>
            </w:r>
          </w:p>
        </w:tc>
        <w:tc>
          <w:tcPr>
            <w:tcW w:w="391" w:type="pct"/>
            <w:tcBorders>
              <w:top w:val="nil"/>
              <w:left w:val="nil"/>
              <w:bottom w:val="single" w:sz="4" w:space="0" w:color="auto"/>
              <w:right w:val="single" w:sz="4" w:space="0" w:color="auto"/>
            </w:tcBorders>
            <w:shd w:val="clear" w:color="auto" w:fill="auto"/>
            <w:noWrap/>
            <w:vAlign w:val="center"/>
            <w:hideMark/>
          </w:tcPr>
          <w:p w14:paraId="41F8C8D0"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0</w:t>
            </w:r>
          </w:p>
        </w:tc>
        <w:tc>
          <w:tcPr>
            <w:tcW w:w="857" w:type="pct"/>
            <w:tcBorders>
              <w:top w:val="nil"/>
              <w:left w:val="nil"/>
              <w:bottom w:val="single" w:sz="4" w:space="0" w:color="auto"/>
              <w:right w:val="single" w:sz="4" w:space="0" w:color="auto"/>
            </w:tcBorders>
            <w:shd w:val="clear" w:color="auto" w:fill="auto"/>
            <w:noWrap/>
            <w:vAlign w:val="center"/>
            <w:hideMark/>
          </w:tcPr>
          <w:p w14:paraId="003C9BDF" w14:textId="0A4C5BF8" w:rsidR="00202E22" w:rsidRPr="00202E22" w:rsidRDefault="00B12C09" w:rsidP="00A971ED">
            <w:pPr>
              <w:jc w:val="right"/>
              <w:rPr>
                <w:rFonts w:ascii="Calibri" w:hAnsi="Calibri" w:cs="Calibri"/>
                <w:i/>
                <w:iCs/>
                <w:color w:val="000000"/>
                <w:sz w:val="16"/>
                <w:szCs w:val="16"/>
              </w:rPr>
            </w:pPr>
            <w:r w:rsidRPr="00FF406F">
              <w:rPr>
                <w:sz w:val="16"/>
                <w:szCs w:val="16"/>
              </w:rPr>
              <w:t>–</w:t>
            </w:r>
          </w:p>
        </w:tc>
      </w:tr>
      <w:tr w:rsidR="00202E22" w:rsidRPr="00202E22" w14:paraId="637FC7C9" w14:textId="77777777" w:rsidTr="00202E22">
        <w:trPr>
          <w:trHeight w:val="255"/>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67F9F354"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SC 5.3</w:t>
            </w:r>
          </w:p>
        </w:tc>
        <w:tc>
          <w:tcPr>
            <w:tcW w:w="292" w:type="pct"/>
            <w:tcBorders>
              <w:top w:val="nil"/>
              <w:left w:val="nil"/>
              <w:bottom w:val="single" w:sz="4" w:space="0" w:color="auto"/>
              <w:right w:val="single" w:sz="4" w:space="0" w:color="auto"/>
            </w:tcBorders>
            <w:shd w:val="clear" w:color="auto" w:fill="auto"/>
            <w:noWrap/>
            <w:vAlign w:val="center"/>
            <w:hideMark/>
          </w:tcPr>
          <w:p w14:paraId="7AF8D58C" w14:textId="77777777" w:rsidR="00202E22" w:rsidRPr="00202E22" w:rsidRDefault="00202E22" w:rsidP="00202E22">
            <w:pPr>
              <w:jc w:val="center"/>
              <w:rPr>
                <w:rFonts w:ascii="Calibri" w:hAnsi="Calibri" w:cs="Calibri"/>
                <w:b/>
                <w:bCs/>
                <w:color w:val="000000"/>
                <w:sz w:val="16"/>
                <w:szCs w:val="16"/>
              </w:rPr>
            </w:pPr>
            <w:r w:rsidRPr="00202E22">
              <w:rPr>
                <w:rFonts w:ascii="Calibri" w:hAnsi="Calibri" w:cs="Calibri"/>
                <w:b/>
                <w:bCs/>
                <w:color w:val="000000"/>
                <w:sz w:val="16"/>
                <w:szCs w:val="16"/>
              </w:rPr>
              <w:t>135</w:t>
            </w:r>
          </w:p>
        </w:tc>
        <w:tc>
          <w:tcPr>
            <w:tcW w:w="439" w:type="pct"/>
            <w:tcBorders>
              <w:top w:val="nil"/>
              <w:left w:val="nil"/>
              <w:bottom w:val="single" w:sz="4" w:space="0" w:color="auto"/>
              <w:right w:val="single" w:sz="4" w:space="0" w:color="auto"/>
            </w:tcBorders>
            <w:shd w:val="clear" w:color="auto" w:fill="auto"/>
            <w:noWrap/>
            <w:vAlign w:val="center"/>
            <w:hideMark/>
          </w:tcPr>
          <w:p w14:paraId="37255B9D"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31</w:t>
            </w:r>
          </w:p>
        </w:tc>
        <w:tc>
          <w:tcPr>
            <w:tcW w:w="782" w:type="pct"/>
            <w:tcBorders>
              <w:top w:val="nil"/>
              <w:left w:val="nil"/>
              <w:bottom w:val="single" w:sz="4" w:space="0" w:color="auto"/>
              <w:right w:val="single" w:sz="4" w:space="0" w:color="auto"/>
            </w:tcBorders>
            <w:shd w:val="clear" w:color="auto" w:fill="auto"/>
            <w:noWrap/>
            <w:vAlign w:val="center"/>
            <w:hideMark/>
          </w:tcPr>
          <w:p w14:paraId="2F386456"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37 690</w:t>
            </w:r>
          </w:p>
        </w:tc>
        <w:tc>
          <w:tcPr>
            <w:tcW w:w="939" w:type="pct"/>
            <w:tcBorders>
              <w:top w:val="nil"/>
              <w:left w:val="nil"/>
              <w:bottom w:val="single" w:sz="4" w:space="0" w:color="auto"/>
              <w:right w:val="single" w:sz="4" w:space="0" w:color="auto"/>
            </w:tcBorders>
            <w:shd w:val="clear" w:color="auto" w:fill="auto"/>
            <w:noWrap/>
            <w:vAlign w:val="center"/>
            <w:hideMark/>
          </w:tcPr>
          <w:p w14:paraId="216E09F7"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17 831</w:t>
            </w:r>
          </w:p>
        </w:tc>
        <w:tc>
          <w:tcPr>
            <w:tcW w:w="860" w:type="pct"/>
            <w:tcBorders>
              <w:top w:val="nil"/>
              <w:left w:val="nil"/>
              <w:bottom w:val="single" w:sz="4" w:space="0" w:color="auto"/>
              <w:right w:val="single" w:sz="4" w:space="0" w:color="auto"/>
            </w:tcBorders>
            <w:shd w:val="clear" w:color="auto" w:fill="auto"/>
            <w:noWrap/>
            <w:vAlign w:val="center"/>
            <w:hideMark/>
          </w:tcPr>
          <w:p w14:paraId="15811097" w14:textId="77777777" w:rsidR="00202E22" w:rsidRPr="00202E22" w:rsidRDefault="00202E22" w:rsidP="00202E22">
            <w:pPr>
              <w:jc w:val="right"/>
              <w:rPr>
                <w:rFonts w:ascii="Calibri" w:hAnsi="Calibri" w:cs="Calibri"/>
                <w:color w:val="000000"/>
                <w:sz w:val="16"/>
                <w:szCs w:val="16"/>
              </w:rPr>
            </w:pPr>
            <w:r w:rsidRPr="00202E22">
              <w:rPr>
                <w:rFonts w:ascii="Calibri" w:hAnsi="Calibri" w:cs="Calibri"/>
                <w:color w:val="000000"/>
                <w:sz w:val="16"/>
                <w:szCs w:val="16"/>
              </w:rPr>
              <w:t>8 777</w:t>
            </w:r>
          </w:p>
        </w:tc>
        <w:tc>
          <w:tcPr>
            <w:tcW w:w="391" w:type="pct"/>
            <w:tcBorders>
              <w:top w:val="nil"/>
              <w:left w:val="nil"/>
              <w:bottom w:val="single" w:sz="4" w:space="0" w:color="auto"/>
              <w:right w:val="single" w:sz="4" w:space="0" w:color="auto"/>
            </w:tcBorders>
            <w:shd w:val="clear" w:color="auto" w:fill="auto"/>
            <w:noWrap/>
            <w:vAlign w:val="center"/>
            <w:hideMark/>
          </w:tcPr>
          <w:p w14:paraId="13662BC1"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8</w:t>
            </w:r>
          </w:p>
        </w:tc>
        <w:tc>
          <w:tcPr>
            <w:tcW w:w="857" w:type="pct"/>
            <w:tcBorders>
              <w:top w:val="nil"/>
              <w:left w:val="nil"/>
              <w:bottom w:val="single" w:sz="4" w:space="0" w:color="auto"/>
              <w:right w:val="single" w:sz="4" w:space="0" w:color="auto"/>
            </w:tcBorders>
            <w:shd w:val="clear" w:color="auto" w:fill="auto"/>
            <w:noWrap/>
            <w:vAlign w:val="center"/>
            <w:hideMark/>
          </w:tcPr>
          <w:p w14:paraId="51A935BF" w14:textId="77777777" w:rsidR="00202E22" w:rsidRPr="00202E22" w:rsidRDefault="00202E22" w:rsidP="00202E22">
            <w:pPr>
              <w:jc w:val="right"/>
              <w:rPr>
                <w:rFonts w:ascii="Calibri" w:hAnsi="Calibri" w:cs="Calibri"/>
                <w:i/>
                <w:iCs/>
                <w:color w:val="000000"/>
                <w:sz w:val="16"/>
                <w:szCs w:val="16"/>
              </w:rPr>
            </w:pPr>
            <w:r w:rsidRPr="00202E22">
              <w:rPr>
                <w:rFonts w:ascii="Calibri" w:hAnsi="Calibri" w:cs="Calibri"/>
                <w:i/>
                <w:iCs/>
                <w:color w:val="000000"/>
                <w:sz w:val="16"/>
                <w:szCs w:val="16"/>
              </w:rPr>
              <w:t>5 220</w:t>
            </w:r>
          </w:p>
        </w:tc>
      </w:tr>
      <w:tr w:rsidR="00202E22" w:rsidRPr="00202E22" w14:paraId="44584C4F" w14:textId="77777777" w:rsidTr="00202E22">
        <w:trPr>
          <w:trHeight w:val="255"/>
        </w:trPr>
        <w:tc>
          <w:tcPr>
            <w:tcW w:w="73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05D56" w14:textId="77777777" w:rsidR="00202E22" w:rsidRPr="00202E22" w:rsidRDefault="00202E22" w:rsidP="00202E22">
            <w:pPr>
              <w:jc w:val="left"/>
              <w:rPr>
                <w:rFonts w:ascii="Calibri" w:hAnsi="Calibri" w:cs="Calibri"/>
                <w:b/>
                <w:bCs/>
                <w:color w:val="000000"/>
                <w:sz w:val="16"/>
                <w:szCs w:val="16"/>
              </w:rPr>
            </w:pPr>
            <w:r w:rsidRPr="00202E22">
              <w:rPr>
                <w:rFonts w:ascii="Calibri" w:hAnsi="Calibri" w:cs="Calibri"/>
                <w:b/>
                <w:bCs/>
                <w:color w:val="000000"/>
                <w:sz w:val="16"/>
                <w:szCs w:val="16"/>
              </w:rPr>
              <w:t>Celkem</w:t>
            </w:r>
          </w:p>
        </w:tc>
        <w:tc>
          <w:tcPr>
            <w:tcW w:w="439" w:type="pct"/>
            <w:tcBorders>
              <w:top w:val="nil"/>
              <w:left w:val="nil"/>
              <w:bottom w:val="single" w:sz="4" w:space="0" w:color="auto"/>
              <w:right w:val="single" w:sz="4" w:space="0" w:color="auto"/>
            </w:tcBorders>
            <w:shd w:val="clear" w:color="auto" w:fill="auto"/>
            <w:noWrap/>
            <w:vAlign w:val="bottom"/>
            <w:hideMark/>
          </w:tcPr>
          <w:p w14:paraId="4CA9749F" w14:textId="77777777" w:rsidR="00202E22" w:rsidRPr="00202E22" w:rsidRDefault="00202E22" w:rsidP="00202E22">
            <w:pPr>
              <w:jc w:val="right"/>
              <w:rPr>
                <w:rFonts w:ascii="Calibri" w:hAnsi="Calibri" w:cs="Calibri"/>
                <w:b/>
                <w:bCs/>
                <w:color w:val="000000"/>
                <w:sz w:val="16"/>
                <w:szCs w:val="16"/>
              </w:rPr>
            </w:pPr>
            <w:r w:rsidRPr="00202E22">
              <w:rPr>
                <w:rFonts w:ascii="Calibri" w:hAnsi="Calibri" w:cs="Calibri"/>
                <w:b/>
                <w:bCs/>
                <w:color w:val="000000"/>
                <w:sz w:val="16"/>
                <w:szCs w:val="16"/>
              </w:rPr>
              <w:t>2 436</w:t>
            </w:r>
          </w:p>
        </w:tc>
        <w:tc>
          <w:tcPr>
            <w:tcW w:w="782" w:type="pct"/>
            <w:tcBorders>
              <w:top w:val="nil"/>
              <w:left w:val="nil"/>
              <w:bottom w:val="single" w:sz="4" w:space="0" w:color="auto"/>
              <w:right w:val="single" w:sz="4" w:space="0" w:color="auto"/>
            </w:tcBorders>
            <w:shd w:val="clear" w:color="auto" w:fill="auto"/>
            <w:noWrap/>
            <w:vAlign w:val="bottom"/>
            <w:hideMark/>
          </w:tcPr>
          <w:p w14:paraId="1BEBE370" w14:textId="2E70FACF" w:rsidR="00202E22" w:rsidRPr="00202E22" w:rsidRDefault="00882B0A" w:rsidP="00A971ED">
            <w:pPr>
              <w:jc w:val="right"/>
              <w:rPr>
                <w:rFonts w:ascii="Calibri" w:hAnsi="Calibri" w:cs="Calibri"/>
                <w:b/>
                <w:bCs/>
                <w:color w:val="000000"/>
                <w:sz w:val="16"/>
                <w:szCs w:val="16"/>
              </w:rPr>
            </w:pPr>
            <w:r w:rsidRPr="00FC7CB7">
              <w:rPr>
                <w:sz w:val="16"/>
                <w:szCs w:val="16"/>
              </w:rPr>
              <w:t>–</w:t>
            </w:r>
          </w:p>
        </w:tc>
        <w:tc>
          <w:tcPr>
            <w:tcW w:w="939" w:type="pct"/>
            <w:tcBorders>
              <w:top w:val="nil"/>
              <w:left w:val="nil"/>
              <w:bottom w:val="single" w:sz="4" w:space="0" w:color="auto"/>
              <w:right w:val="single" w:sz="4" w:space="0" w:color="auto"/>
            </w:tcBorders>
            <w:shd w:val="clear" w:color="auto" w:fill="auto"/>
            <w:noWrap/>
            <w:vAlign w:val="bottom"/>
            <w:hideMark/>
          </w:tcPr>
          <w:p w14:paraId="4380F3D6" w14:textId="3F529624" w:rsidR="00202E22" w:rsidRPr="00202E22" w:rsidRDefault="00B12C09" w:rsidP="00A971ED">
            <w:pPr>
              <w:jc w:val="right"/>
              <w:rPr>
                <w:rFonts w:ascii="Calibri" w:hAnsi="Calibri" w:cs="Calibri"/>
                <w:b/>
                <w:bCs/>
                <w:color w:val="000000"/>
                <w:sz w:val="16"/>
                <w:szCs w:val="16"/>
              </w:rPr>
            </w:pPr>
            <w:r w:rsidRPr="00FF406F">
              <w:rPr>
                <w:sz w:val="16"/>
                <w:szCs w:val="16"/>
              </w:rPr>
              <w:t>–</w:t>
            </w:r>
          </w:p>
        </w:tc>
        <w:tc>
          <w:tcPr>
            <w:tcW w:w="860" w:type="pct"/>
            <w:tcBorders>
              <w:top w:val="nil"/>
              <w:left w:val="nil"/>
              <w:bottom w:val="single" w:sz="4" w:space="0" w:color="auto"/>
              <w:right w:val="single" w:sz="4" w:space="0" w:color="auto"/>
            </w:tcBorders>
            <w:shd w:val="clear" w:color="auto" w:fill="auto"/>
            <w:noWrap/>
            <w:vAlign w:val="bottom"/>
            <w:hideMark/>
          </w:tcPr>
          <w:p w14:paraId="451742C4" w14:textId="5E56ACBB" w:rsidR="00202E22" w:rsidRPr="00202E22" w:rsidRDefault="00B12C09" w:rsidP="00A971ED">
            <w:pPr>
              <w:jc w:val="right"/>
              <w:rPr>
                <w:rFonts w:ascii="Calibri" w:hAnsi="Calibri" w:cs="Calibri"/>
                <w:b/>
                <w:bCs/>
                <w:color w:val="000000"/>
                <w:sz w:val="16"/>
                <w:szCs w:val="16"/>
              </w:rPr>
            </w:pPr>
            <w:r w:rsidRPr="00FF406F">
              <w:rPr>
                <w:sz w:val="16"/>
                <w:szCs w:val="16"/>
              </w:rPr>
              <w:t>–</w:t>
            </w:r>
          </w:p>
        </w:tc>
        <w:tc>
          <w:tcPr>
            <w:tcW w:w="391" w:type="pct"/>
            <w:tcBorders>
              <w:top w:val="nil"/>
              <w:left w:val="nil"/>
              <w:bottom w:val="single" w:sz="4" w:space="0" w:color="auto"/>
              <w:right w:val="single" w:sz="4" w:space="0" w:color="auto"/>
            </w:tcBorders>
            <w:shd w:val="clear" w:color="auto" w:fill="auto"/>
            <w:noWrap/>
            <w:vAlign w:val="bottom"/>
            <w:hideMark/>
          </w:tcPr>
          <w:p w14:paraId="286933DE" w14:textId="77777777" w:rsidR="00202E22" w:rsidRPr="00202E22" w:rsidRDefault="00202E22" w:rsidP="00202E22">
            <w:pPr>
              <w:jc w:val="right"/>
              <w:rPr>
                <w:rFonts w:ascii="Calibri" w:hAnsi="Calibri" w:cs="Calibri"/>
                <w:b/>
                <w:bCs/>
                <w:i/>
                <w:iCs/>
                <w:color w:val="000000"/>
                <w:sz w:val="16"/>
                <w:szCs w:val="16"/>
              </w:rPr>
            </w:pPr>
            <w:r w:rsidRPr="00202E22">
              <w:rPr>
                <w:rFonts w:ascii="Calibri" w:hAnsi="Calibri" w:cs="Calibri"/>
                <w:b/>
                <w:bCs/>
                <w:i/>
                <w:iCs/>
                <w:color w:val="000000"/>
                <w:sz w:val="16"/>
                <w:szCs w:val="16"/>
              </w:rPr>
              <w:t>198</w:t>
            </w:r>
          </w:p>
        </w:tc>
        <w:tc>
          <w:tcPr>
            <w:tcW w:w="857" w:type="pct"/>
            <w:tcBorders>
              <w:top w:val="nil"/>
              <w:left w:val="nil"/>
              <w:bottom w:val="single" w:sz="4" w:space="0" w:color="auto"/>
              <w:right w:val="single" w:sz="4" w:space="0" w:color="auto"/>
            </w:tcBorders>
            <w:shd w:val="clear" w:color="auto" w:fill="auto"/>
            <w:noWrap/>
            <w:vAlign w:val="bottom"/>
            <w:hideMark/>
          </w:tcPr>
          <w:p w14:paraId="66F79D3E" w14:textId="77777777" w:rsidR="00202E22" w:rsidRPr="00202E22" w:rsidRDefault="00202E22" w:rsidP="00202E22">
            <w:pPr>
              <w:jc w:val="right"/>
              <w:rPr>
                <w:rFonts w:ascii="Calibri" w:hAnsi="Calibri" w:cs="Calibri"/>
                <w:b/>
                <w:bCs/>
                <w:i/>
                <w:iCs/>
                <w:color w:val="000000"/>
                <w:sz w:val="16"/>
                <w:szCs w:val="16"/>
              </w:rPr>
            </w:pPr>
            <w:r w:rsidRPr="00202E22">
              <w:rPr>
                <w:rFonts w:ascii="Calibri" w:hAnsi="Calibri" w:cs="Calibri"/>
                <w:b/>
                <w:bCs/>
                <w:i/>
                <w:iCs/>
                <w:color w:val="000000"/>
                <w:sz w:val="16"/>
                <w:szCs w:val="16"/>
              </w:rPr>
              <w:t>-</w:t>
            </w:r>
          </w:p>
        </w:tc>
      </w:tr>
    </w:tbl>
    <w:p w14:paraId="0A74450D" w14:textId="3E2D70FA" w:rsidR="00F04CD4" w:rsidRDefault="00F04CD4" w:rsidP="00377B07">
      <w:pPr>
        <w:pStyle w:val="Zdrojeapozn"/>
      </w:pPr>
      <w:r w:rsidRPr="00D62143">
        <w:t xml:space="preserve">Zdroj: </w:t>
      </w:r>
      <w:r>
        <w:t>MS2014+,</w:t>
      </w:r>
      <w:r w:rsidR="00161463">
        <w:t xml:space="preserve"> SFŽP</w:t>
      </w:r>
      <w:r>
        <w:t>.</w:t>
      </w:r>
    </w:p>
    <w:p w14:paraId="2989A8BD" w14:textId="6C5F49D4" w:rsidR="00096F54" w:rsidRDefault="00FF3978" w:rsidP="00FF3978">
      <w:pPr>
        <w:rPr>
          <w:i/>
          <w:sz w:val="20"/>
          <w:lang w:eastAsia="en-US"/>
        </w:rPr>
      </w:pPr>
      <w:r w:rsidRPr="00096F54">
        <w:rPr>
          <w:i/>
          <w:sz w:val="20"/>
          <w:lang w:eastAsia="en-US"/>
        </w:rPr>
        <w:t xml:space="preserve">Pozn.: </w:t>
      </w:r>
      <w:r w:rsidR="00096F54" w:rsidRPr="00096F54">
        <w:rPr>
          <w:i/>
          <w:sz w:val="20"/>
          <w:lang w:eastAsia="en-US"/>
        </w:rPr>
        <w:t xml:space="preserve">Analýza </w:t>
      </w:r>
      <w:r w:rsidR="00096F54">
        <w:rPr>
          <w:i/>
          <w:sz w:val="20"/>
          <w:lang w:eastAsia="en-US"/>
        </w:rPr>
        <w:t xml:space="preserve">nákladovosti snížení konečné spotřeby energie ve veřejných budovách prostřednictvím </w:t>
      </w:r>
      <w:r w:rsidR="00096F54" w:rsidRPr="00096F54">
        <w:rPr>
          <w:i/>
          <w:sz w:val="20"/>
          <w:lang w:eastAsia="en-US"/>
        </w:rPr>
        <w:t>projektů realizovaných v rámci specifických cílů 5.1 a 5.3 PO 5 OPŽP vychází z</w:t>
      </w:r>
      <w:r w:rsidR="00BC10E2">
        <w:rPr>
          <w:i/>
          <w:sz w:val="20"/>
          <w:lang w:eastAsia="en-US"/>
        </w:rPr>
        <w:t> předložené evidence projektů ve stavu ke dni 30. </w:t>
      </w:r>
      <w:r w:rsidR="00096F54" w:rsidRPr="00096F54">
        <w:rPr>
          <w:i/>
          <w:sz w:val="20"/>
          <w:lang w:eastAsia="en-US"/>
        </w:rPr>
        <w:t xml:space="preserve">6. 2020 </w:t>
      </w:r>
      <w:r w:rsidR="00BC10E2">
        <w:rPr>
          <w:i/>
          <w:sz w:val="20"/>
          <w:lang w:eastAsia="en-US"/>
        </w:rPr>
        <w:t xml:space="preserve">a </w:t>
      </w:r>
      <w:r w:rsidR="00096F54" w:rsidRPr="00096F54">
        <w:rPr>
          <w:i/>
          <w:sz w:val="20"/>
          <w:lang w:eastAsia="en-US"/>
        </w:rPr>
        <w:t xml:space="preserve">z dat </w:t>
      </w:r>
      <w:r w:rsidR="00B12C09">
        <w:rPr>
          <w:i/>
          <w:sz w:val="20"/>
          <w:lang w:eastAsia="en-US"/>
        </w:rPr>
        <w:t>převzatých</w:t>
      </w:r>
      <w:r w:rsidR="00096F54" w:rsidRPr="00096F54">
        <w:rPr>
          <w:i/>
          <w:sz w:val="20"/>
          <w:lang w:eastAsia="en-US"/>
        </w:rPr>
        <w:t xml:space="preserve"> z</w:t>
      </w:r>
      <w:r w:rsidR="00BC10E2">
        <w:rPr>
          <w:i/>
          <w:sz w:val="20"/>
          <w:lang w:eastAsia="en-US"/>
        </w:rPr>
        <w:t xml:space="preserve"> informačního systému MS2014+</w:t>
      </w:r>
      <w:r w:rsidR="00096F54" w:rsidRPr="00096F54">
        <w:rPr>
          <w:i/>
          <w:sz w:val="20"/>
          <w:lang w:eastAsia="en-US"/>
        </w:rPr>
        <w:t xml:space="preserve">. Celkový počet projektů se rovná počtu projektů dle podkladů SFŽP, u kterých byla </w:t>
      </w:r>
      <w:r w:rsidR="00096F54">
        <w:rPr>
          <w:i/>
          <w:sz w:val="20"/>
          <w:lang w:eastAsia="en-US"/>
        </w:rPr>
        <w:t xml:space="preserve">v systému MS2014+ </w:t>
      </w:r>
      <w:r w:rsidR="00096F54" w:rsidRPr="00096F54">
        <w:rPr>
          <w:i/>
          <w:sz w:val="20"/>
          <w:lang w:eastAsia="en-US"/>
        </w:rPr>
        <w:t xml:space="preserve">evidována cílová hodnota indikátoru </w:t>
      </w:r>
      <w:r w:rsidR="00BC10E2">
        <w:rPr>
          <w:i/>
          <w:sz w:val="20"/>
          <w:lang w:eastAsia="en-US"/>
        </w:rPr>
        <w:t>„</w:t>
      </w:r>
      <w:r w:rsidR="00FF4C84">
        <w:rPr>
          <w:i/>
          <w:sz w:val="20"/>
          <w:lang w:eastAsia="en-US"/>
        </w:rPr>
        <w:t>S</w:t>
      </w:r>
      <w:r w:rsidR="00096F54" w:rsidRPr="00096F54">
        <w:rPr>
          <w:i/>
          <w:sz w:val="20"/>
          <w:lang w:eastAsia="en-US"/>
        </w:rPr>
        <w:t>nížení konečné spotřeby energie ve veřejných budovách</w:t>
      </w:r>
      <w:r w:rsidR="00BC10E2">
        <w:rPr>
          <w:i/>
          <w:sz w:val="20"/>
          <w:lang w:eastAsia="en-US"/>
        </w:rPr>
        <w:t>“</w:t>
      </w:r>
      <w:r w:rsidR="00096F54" w:rsidRPr="00096F54">
        <w:rPr>
          <w:i/>
          <w:sz w:val="20"/>
          <w:lang w:eastAsia="en-US"/>
        </w:rPr>
        <w:t xml:space="preserve">. Z celkového počtu 3 146 evidovaných projektů </w:t>
      </w:r>
      <w:r w:rsidR="00096F54">
        <w:rPr>
          <w:i/>
          <w:sz w:val="20"/>
          <w:lang w:eastAsia="en-US"/>
        </w:rPr>
        <w:t>b</w:t>
      </w:r>
      <w:r w:rsidR="00096F54" w:rsidRPr="00096F54">
        <w:rPr>
          <w:i/>
          <w:sz w:val="20"/>
          <w:lang w:eastAsia="en-US"/>
        </w:rPr>
        <w:t>yla cílová hodnota indikátoru 32701 evidována v MS2014+ u 3 085 projektů</w:t>
      </w:r>
      <w:r w:rsidR="00A971ED">
        <w:rPr>
          <w:i/>
          <w:sz w:val="20"/>
          <w:lang w:eastAsia="en-US"/>
        </w:rPr>
        <w:t>,</w:t>
      </w:r>
      <w:r w:rsidR="00096F54" w:rsidRPr="00096F54">
        <w:rPr>
          <w:i/>
          <w:sz w:val="20"/>
          <w:lang w:eastAsia="en-US"/>
        </w:rPr>
        <w:t xml:space="preserve"> z toho 2 436 projektů by</w:t>
      </w:r>
      <w:r w:rsidR="00BC10E2">
        <w:rPr>
          <w:i/>
          <w:sz w:val="20"/>
          <w:lang w:eastAsia="en-US"/>
        </w:rPr>
        <w:t>lo aktivních, tj. ke dni 30. 6. </w:t>
      </w:r>
      <w:r w:rsidR="00096F54" w:rsidRPr="00096F54">
        <w:rPr>
          <w:i/>
          <w:sz w:val="20"/>
          <w:lang w:eastAsia="en-US"/>
        </w:rPr>
        <w:t>2020 byly ve fázi před vydáním právního aktu, v realizaci nebo byly již fyzicky i finančně ukončeny.</w:t>
      </w:r>
    </w:p>
    <w:p w14:paraId="211B2A29" w14:textId="77777777" w:rsidR="00B47A4A" w:rsidRDefault="00B47A4A">
      <w:pPr>
        <w:jc w:val="left"/>
        <w:rPr>
          <w:i/>
          <w:sz w:val="20"/>
          <w:lang w:eastAsia="en-US"/>
        </w:rPr>
      </w:pPr>
      <w:r>
        <w:rPr>
          <w:i/>
          <w:sz w:val="20"/>
          <w:lang w:eastAsia="en-US"/>
        </w:rPr>
        <w:br w:type="page"/>
      </w:r>
    </w:p>
    <w:p w14:paraId="2A2D3605" w14:textId="77777777" w:rsidR="00664FAD" w:rsidRPr="00E36AA1" w:rsidRDefault="00664FAD" w:rsidP="00E34290">
      <w:pPr>
        <w:pStyle w:val="Nadpis4"/>
        <w:tabs>
          <w:tab w:val="right" w:pos="9070"/>
        </w:tabs>
        <w:spacing w:after="120"/>
      </w:pPr>
      <w:r w:rsidRPr="007B3AC1">
        <w:lastRenderedPageBreak/>
        <w:t xml:space="preserve">Příloha č. </w:t>
      </w:r>
      <w:r>
        <w:t>4</w:t>
      </w:r>
      <w:r w:rsidRPr="007B3AC1">
        <w:t>:</w:t>
      </w:r>
      <w:r>
        <w:t xml:space="preserve"> Rozpočet programu NZÚ </w:t>
      </w:r>
      <w:r>
        <w:tab/>
        <w:t>(v Kč)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1"/>
        <w:gridCol w:w="2265"/>
        <w:gridCol w:w="2267"/>
        <w:gridCol w:w="2267"/>
      </w:tblGrid>
      <w:tr w:rsidR="00664FAD" w:rsidRPr="007B3AC1" w14:paraId="6F73936E" w14:textId="77777777" w:rsidTr="001D709E">
        <w:trPr>
          <w:trHeight w:val="315"/>
        </w:trPr>
        <w:tc>
          <w:tcPr>
            <w:tcW w:w="1248" w:type="pct"/>
            <w:shd w:val="clear" w:color="000000" w:fill="E5F1FF"/>
            <w:noWrap/>
            <w:vAlign w:val="center"/>
            <w:hideMark/>
          </w:tcPr>
          <w:p w14:paraId="237E3077" w14:textId="1EA04A4C" w:rsidR="00664FAD" w:rsidRPr="007B3AC1" w:rsidRDefault="00664FAD" w:rsidP="001D709E">
            <w:pPr>
              <w:jc w:val="center"/>
              <w:rPr>
                <w:rFonts w:ascii="Calibri" w:hAnsi="Calibri"/>
                <w:b/>
                <w:bCs/>
                <w:color w:val="000000"/>
                <w:sz w:val="22"/>
                <w:szCs w:val="22"/>
              </w:rPr>
            </w:pPr>
          </w:p>
        </w:tc>
        <w:tc>
          <w:tcPr>
            <w:tcW w:w="1250" w:type="pct"/>
            <w:shd w:val="clear" w:color="000000" w:fill="E5F1FF"/>
            <w:noWrap/>
            <w:vAlign w:val="center"/>
            <w:hideMark/>
          </w:tcPr>
          <w:p w14:paraId="3B16061E" w14:textId="77777777" w:rsidR="00664FAD" w:rsidRPr="007B3AC1" w:rsidRDefault="00664FAD" w:rsidP="001D709E">
            <w:pPr>
              <w:jc w:val="center"/>
              <w:rPr>
                <w:rFonts w:ascii="Calibri" w:hAnsi="Calibri"/>
                <w:b/>
                <w:bCs/>
                <w:color w:val="000000"/>
                <w:sz w:val="22"/>
                <w:szCs w:val="22"/>
              </w:rPr>
            </w:pPr>
            <w:r w:rsidRPr="007B3AC1">
              <w:rPr>
                <w:rFonts w:ascii="Calibri" w:hAnsi="Calibri"/>
                <w:b/>
                <w:bCs/>
                <w:color w:val="000000"/>
                <w:sz w:val="22"/>
                <w:szCs w:val="22"/>
              </w:rPr>
              <w:t>2017</w:t>
            </w:r>
          </w:p>
        </w:tc>
        <w:tc>
          <w:tcPr>
            <w:tcW w:w="1251" w:type="pct"/>
            <w:shd w:val="clear" w:color="000000" w:fill="E5F1FF"/>
            <w:noWrap/>
            <w:vAlign w:val="center"/>
            <w:hideMark/>
          </w:tcPr>
          <w:p w14:paraId="56F59246" w14:textId="77777777" w:rsidR="00664FAD" w:rsidRPr="007B3AC1" w:rsidRDefault="00664FAD" w:rsidP="001D709E">
            <w:pPr>
              <w:jc w:val="center"/>
              <w:rPr>
                <w:rFonts w:ascii="Calibri" w:hAnsi="Calibri"/>
                <w:b/>
                <w:bCs/>
                <w:color w:val="000000"/>
                <w:sz w:val="22"/>
                <w:szCs w:val="22"/>
              </w:rPr>
            </w:pPr>
            <w:r w:rsidRPr="007B3AC1">
              <w:rPr>
                <w:rFonts w:ascii="Calibri" w:hAnsi="Calibri"/>
                <w:b/>
                <w:bCs/>
                <w:color w:val="000000"/>
                <w:sz w:val="22"/>
                <w:szCs w:val="22"/>
              </w:rPr>
              <w:t>2018</w:t>
            </w:r>
          </w:p>
        </w:tc>
        <w:tc>
          <w:tcPr>
            <w:tcW w:w="1251" w:type="pct"/>
            <w:shd w:val="clear" w:color="000000" w:fill="E5F1FF"/>
            <w:noWrap/>
            <w:vAlign w:val="center"/>
            <w:hideMark/>
          </w:tcPr>
          <w:p w14:paraId="25F97E6B" w14:textId="77777777" w:rsidR="00664FAD" w:rsidRPr="007B3AC1" w:rsidRDefault="00664FAD" w:rsidP="001D709E">
            <w:pPr>
              <w:jc w:val="center"/>
              <w:rPr>
                <w:rFonts w:ascii="Calibri" w:hAnsi="Calibri"/>
                <w:b/>
                <w:bCs/>
                <w:color w:val="000000"/>
                <w:sz w:val="22"/>
                <w:szCs w:val="22"/>
              </w:rPr>
            </w:pPr>
            <w:r w:rsidRPr="007B3AC1">
              <w:rPr>
                <w:rFonts w:ascii="Calibri" w:hAnsi="Calibri"/>
                <w:b/>
                <w:bCs/>
                <w:color w:val="000000"/>
                <w:sz w:val="22"/>
                <w:szCs w:val="22"/>
              </w:rPr>
              <w:t>2019</w:t>
            </w:r>
          </w:p>
        </w:tc>
      </w:tr>
      <w:tr w:rsidR="00664FAD" w:rsidRPr="007B3AC1" w14:paraId="122F347A" w14:textId="77777777" w:rsidTr="001D709E">
        <w:trPr>
          <w:trHeight w:val="20"/>
        </w:trPr>
        <w:tc>
          <w:tcPr>
            <w:tcW w:w="1248" w:type="pct"/>
            <w:shd w:val="clear" w:color="auto" w:fill="auto"/>
            <w:vAlign w:val="center"/>
            <w:hideMark/>
          </w:tcPr>
          <w:p w14:paraId="3FEBC485" w14:textId="77777777" w:rsidR="00664FAD" w:rsidRPr="007B3AC1" w:rsidRDefault="00664FAD" w:rsidP="001D709E">
            <w:pPr>
              <w:jc w:val="left"/>
              <w:rPr>
                <w:rFonts w:ascii="Calibri" w:hAnsi="Calibri"/>
                <w:color w:val="000000"/>
                <w:sz w:val="22"/>
                <w:szCs w:val="22"/>
              </w:rPr>
            </w:pPr>
            <w:r w:rsidRPr="007B3AC1">
              <w:rPr>
                <w:rFonts w:ascii="Calibri" w:hAnsi="Calibri"/>
                <w:color w:val="000000"/>
                <w:sz w:val="22"/>
                <w:szCs w:val="22"/>
              </w:rPr>
              <w:t xml:space="preserve">Schválený rozpočet </w:t>
            </w:r>
          </w:p>
        </w:tc>
        <w:tc>
          <w:tcPr>
            <w:tcW w:w="1250" w:type="pct"/>
            <w:shd w:val="clear" w:color="auto" w:fill="auto"/>
            <w:vAlign w:val="center"/>
            <w:hideMark/>
          </w:tcPr>
          <w:p w14:paraId="52DEE8F9"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2 827 150 000</w:t>
            </w:r>
          </w:p>
        </w:tc>
        <w:tc>
          <w:tcPr>
            <w:tcW w:w="1251" w:type="pct"/>
            <w:shd w:val="clear" w:color="auto" w:fill="auto"/>
            <w:vAlign w:val="center"/>
            <w:hideMark/>
          </w:tcPr>
          <w:p w14:paraId="4C9C7D4F"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2 203 392 116</w:t>
            </w:r>
          </w:p>
        </w:tc>
        <w:tc>
          <w:tcPr>
            <w:tcW w:w="1251" w:type="pct"/>
            <w:shd w:val="clear" w:color="auto" w:fill="auto"/>
            <w:vAlign w:val="center"/>
            <w:hideMark/>
          </w:tcPr>
          <w:p w14:paraId="2A802C46"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2 380 510 000</w:t>
            </w:r>
          </w:p>
        </w:tc>
      </w:tr>
      <w:tr w:rsidR="00664FAD" w:rsidRPr="007B3AC1" w14:paraId="560E2D35" w14:textId="77777777" w:rsidTr="001D709E">
        <w:trPr>
          <w:trHeight w:val="20"/>
        </w:trPr>
        <w:tc>
          <w:tcPr>
            <w:tcW w:w="1248" w:type="pct"/>
            <w:shd w:val="clear" w:color="auto" w:fill="auto"/>
            <w:vAlign w:val="center"/>
            <w:hideMark/>
          </w:tcPr>
          <w:p w14:paraId="37FCE4E4" w14:textId="77777777" w:rsidR="00664FAD" w:rsidRPr="007B3AC1" w:rsidRDefault="00664FAD" w:rsidP="001D709E">
            <w:pPr>
              <w:jc w:val="left"/>
              <w:rPr>
                <w:rFonts w:ascii="Calibri" w:hAnsi="Calibri"/>
                <w:color w:val="000000"/>
                <w:sz w:val="22"/>
                <w:szCs w:val="22"/>
              </w:rPr>
            </w:pPr>
            <w:r w:rsidRPr="007B3AC1">
              <w:rPr>
                <w:rFonts w:ascii="Calibri" w:hAnsi="Calibri"/>
                <w:color w:val="000000"/>
                <w:sz w:val="22"/>
                <w:szCs w:val="22"/>
              </w:rPr>
              <w:t xml:space="preserve">Upravený rozpočet </w:t>
            </w:r>
          </w:p>
        </w:tc>
        <w:tc>
          <w:tcPr>
            <w:tcW w:w="1250" w:type="pct"/>
            <w:shd w:val="clear" w:color="auto" w:fill="auto"/>
            <w:vAlign w:val="center"/>
            <w:hideMark/>
          </w:tcPr>
          <w:p w14:paraId="7BE5DDFC"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2 803 148 513</w:t>
            </w:r>
          </w:p>
        </w:tc>
        <w:tc>
          <w:tcPr>
            <w:tcW w:w="1251" w:type="pct"/>
            <w:shd w:val="clear" w:color="auto" w:fill="auto"/>
            <w:vAlign w:val="center"/>
            <w:hideMark/>
          </w:tcPr>
          <w:p w14:paraId="3C82009D"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1 781 802 533</w:t>
            </w:r>
          </w:p>
        </w:tc>
        <w:tc>
          <w:tcPr>
            <w:tcW w:w="1251" w:type="pct"/>
            <w:shd w:val="clear" w:color="auto" w:fill="auto"/>
            <w:vAlign w:val="center"/>
            <w:hideMark/>
          </w:tcPr>
          <w:p w14:paraId="625E4872"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2 143 572 269</w:t>
            </w:r>
          </w:p>
        </w:tc>
      </w:tr>
      <w:tr w:rsidR="00664FAD" w:rsidRPr="007B3AC1" w14:paraId="6A409F8C" w14:textId="77777777" w:rsidTr="001D709E">
        <w:trPr>
          <w:trHeight w:val="20"/>
        </w:trPr>
        <w:tc>
          <w:tcPr>
            <w:tcW w:w="1248" w:type="pct"/>
            <w:shd w:val="clear" w:color="auto" w:fill="auto"/>
            <w:vAlign w:val="center"/>
            <w:hideMark/>
          </w:tcPr>
          <w:p w14:paraId="78E92464" w14:textId="77777777" w:rsidR="00664FAD" w:rsidRPr="007B3AC1" w:rsidRDefault="00664FAD" w:rsidP="001D709E">
            <w:pPr>
              <w:jc w:val="left"/>
              <w:rPr>
                <w:rFonts w:ascii="Calibri" w:hAnsi="Calibri"/>
                <w:color w:val="000000"/>
                <w:sz w:val="22"/>
                <w:szCs w:val="22"/>
              </w:rPr>
            </w:pPr>
            <w:r w:rsidRPr="007B3AC1">
              <w:rPr>
                <w:rFonts w:ascii="Calibri" w:hAnsi="Calibri"/>
                <w:color w:val="000000"/>
                <w:sz w:val="22"/>
                <w:szCs w:val="22"/>
              </w:rPr>
              <w:t xml:space="preserve">Konečný rozpočet </w:t>
            </w:r>
          </w:p>
        </w:tc>
        <w:tc>
          <w:tcPr>
            <w:tcW w:w="1250" w:type="pct"/>
            <w:shd w:val="clear" w:color="auto" w:fill="auto"/>
            <w:vAlign w:val="center"/>
            <w:hideMark/>
          </w:tcPr>
          <w:p w14:paraId="2325FDE0"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7 796 954 254</w:t>
            </w:r>
          </w:p>
        </w:tc>
        <w:tc>
          <w:tcPr>
            <w:tcW w:w="1251" w:type="pct"/>
            <w:shd w:val="clear" w:color="auto" w:fill="auto"/>
            <w:vAlign w:val="center"/>
            <w:hideMark/>
          </w:tcPr>
          <w:p w14:paraId="0389436F"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7 942 923 135</w:t>
            </w:r>
          </w:p>
        </w:tc>
        <w:tc>
          <w:tcPr>
            <w:tcW w:w="1251" w:type="pct"/>
            <w:shd w:val="clear" w:color="auto" w:fill="auto"/>
            <w:vAlign w:val="center"/>
            <w:hideMark/>
          </w:tcPr>
          <w:p w14:paraId="43ECB09F"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8 290 017 319</w:t>
            </w:r>
          </w:p>
        </w:tc>
      </w:tr>
      <w:tr w:rsidR="00664FAD" w:rsidRPr="007B3AC1" w14:paraId="41F9C025" w14:textId="77777777" w:rsidTr="001D709E">
        <w:trPr>
          <w:trHeight w:val="20"/>
        </w:trPr>
        <w:tc>
          <w:tcPr>
            <w:tcW w:w="1248" w:type="pct"/>
            <w:shd w:val="clear" w:color="auto" w:fill="auto"/>
            <w:vAlign w:val="center"/>
            <w:hideMark/>
          </w:tcPr>
          <w:p w14:paraId="4C35AB41" w14:textId="77777777" w:rsidR="00664FAD" w:rsidRPr="007B3AC1" w:rsidRDefault="00664FAD" w:rsidP="001D709E">
            <w:pPr>
              <w:jc w:val="left"/>
              <w:rPr>
                <w:rFonts w:ascii="Calibri" w:hAnsi="Calibri"/>
                <w:color w:val="000000"/>
                <w:sz w:val="22"/>
                <w:szCs w:val="22"/>
              </w:rPr>
            </w:pPr>
            <w:r w:rsidRPr="007B3AC1">
              <w:rPr>
                <w:rFonts w:ascii="Calibri" w:hAnsi="Calibri"/>
                <w:color w:val="000000"/>
                <w:sz w:val="22"/>
                <w:szCs w:val="22"/>
              </w:rPr>
              <w:t xml:space="preserve">Skutečnost </w:t>
            </w:r>
          </w:p>
        </w:tc>
        <w:tc>
          <w:tcPr>
            <w:tcW w:w="1250" w:type="pct"/>
            <w:shd w:val="clear" w:color="auto" w:fill="auto"/>
            <w:vAlign w:val="center"/>
            <w:hideMark/>
          </w:tcPr>
          <w:p w14:paraId="41F7BDF2"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1 635 833 653</w:t>
            </w:r>
          </w:p>
        </w:tc>
        <w:tc>
          <w:tcPr>
            <w:tcW w:w="1251" w:type="pct"/>
            <w:shd w:val="clear" w:color="auto" w:fill="auto"/>
            <w:vAlign w:val="center"/>
            <w:hideMark/>
          </w:tcPr>
          <w:p w14:paraId="583EC4E1"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1 796 478 085</w:t>
            </w:r>
          </w:p>
        </w:tc>
        <w:tc>
          <w:tcPr>
            <w:tcW w:w="1251" w:type="pct"/>
            <w:shd w:val="clear" w:color="auto" w:fill="auto"/>
            <w:vAlign w:val="center"/>
            <w:hideMark/>
          </w:tcPr>
          <w:p w14:paraId="7B13CF04" w14:textId="77777777" w:rsidR="00664FAD" w:rsidRPr="007B3AC1" w:rsidRDefault="00664FAD" w:rsidP="001D709E">
            <w:pPr>
              <w:jc w:val="right"/>
              <w:rPr>
                <w:rFonts w:ascii="Calibri" w:hAnsi="Calibri"/>
                <w:color w:val="000000"/>
                <w:sz w:val="22"/>
                <w:szCs w:val="22"/>
              </w:rPr>
            </w:pPr>
            <w:r w:rsidRPr="007B3AC1">
              <w:rPr>
                <w:rFonts w:ascii="Calibri" w:hAnsi="Calibri"/>
                <w:color w:val="000000"/>
                <w:sz w:val="22"/>
                <w:szCs w:val="22"/>
              </w:rPr>
              <w:t>1 884 116 066</w:t>
            </w:r>
          </w:p>
        </w:tc>
      </w:tr>
    </w:tbl>
    <w:p w14:paraId="254D104D" w14:textId="77777777" w:rsidR="00664FAD" w:rsidRDefault="00664FAD" w:rsidP="00664FAD">
      <w:pPr>
        <w:rPr>
          <w:bCs/>
          <w:i/>
          <w:sz w:val="20"/>
        </w:rPr>
      </w:pPr>
      <w:r>
        <w:rPr>
          <w:bCs/>
          <w:i/>
          <w:sz w:val="20"/>
        </w:rPr>
        <w:t>Zdroj: MF, MŽP.</w:t>
      </w:r>
    </w:p>
    <w:p w14:paraId="1877310B" w14:textId="064EF7E4" w:rsidR="00664FAD" w:rsidRDefault="00664FAD" w:rsidP="00664FAD">
      <w:pPr>
        <w:ind w:left="993" w:hanging="993"/>
        <w:rPr>
          <w:bCs/>
          <w:i/>
          <w:sz w:val="20"/>
        </w:rPr>
      </w:pPr>
      <w:r>
        <w:rPr>
          <w:bCs/>
          <w:i/>
          <w:sz w:val="20"/>
        </w:rPr>
        <w:t xml:space="preserve">Vysvětlivka: </w:t>
      </w:r>
      <w:r w:rsidRPr="00FC7CB7">
        <w:rPr>
          <w:b/>
          <w:bCs/>
          <w:i/>
          <w:sz w:val="20"/>
        </w:rPr>
        <w:t>upravený rozpočet</w:t>
      </w:r>
      <w:r>
        <w:rPr>
          <w:bCs/>
          <w:i/>
          <w:sz w:val="20"/>
        </w:rPr>
        <w:t xml:space="preserve"> – schválený rozpočet po změnách, resp. rozpočtových opatřen</w:t>
      </w:r>
      <w:r w:rsidR="00C76677">
        <w:rPr>
          <w:bCs/>
          <w:i/>
          <w:sz w:val="20"/>
        </w:rPr>
        <w:t>í</w:t>
      </w:r>
      <w:r>
        <w:rPr>
          <w:bCs/>
          <w:i/>
          <w:sz w:val="20"/>
        </w:rPr>
        <w:t xml:space="preserve">ch; </w:t>
      </w:r>
      <w:r w:rsidRPr="00FC7CB7">
        <w:rPr>
          <w:b/>
          <w:bCs/>
          <w:i/>
          <w:sz w:val="20"/>
        </w:rPr>
        <w:t>konečný rozpočet</w:t>
      </w:r>
      <w:r>
        <w:rPr>
          <w:bCs/>
          <w:i/>
          <w:sz w:val="20"/>
        </w:rPr>
        <w:t xml:space="preserve"> – upravený rozpočet včetně nároků z nespotřebovaných výdajů.</w:t>
      </w:r>
    </w:p>
    <w:p w14:paraId="2FA12905" w14:textId="77777777" w:rsidR="00664FAD" w:rsidRDefault="00664FAD" w:rsidP="00664FAD">
      <w:pPr>
        <w:ind w:left="993" w:hanging="993"/>
        <w:rPr>
          <w:bCs/>
          <w:i/>
          <w:sz w:val="20"/>
        </w:rPr>
      </w:pPr>
    </w:p>
    <w:p w14:paraId="54AF7D3B" w14:textId="77777777" w:rsidR="000504E9" w:rsidRPr="00664FAD" w:rsidRDefault="000504E9" w:rsidP="00664FAD">
      <w:pPr>
        <w:ind w:left="993" w:hanging="993"/>
        <w:rPr>
          <w:bCs/>
          <w:i/>
          <w:sz w:val="20"/>
        </w:rPr>
      </w:pPr>
    </w:p>
    <w:p w14:paraId="6B642728" w14:textId="77777777" w:rsidR="00E36AA1" w:rsidRDefault="00F04CD4" w:rsidP="00964147">
      <w:pPr>
        <w:pStyle w:val="Nadpis4"/>
        <w:spacing w:after="120"/>
      </w:pPr>
      <w:r>
        <w:t xml:space="preserve">Příloha č. 5: </w:t>
      </w:r>
      <w:r w:rsidR="009428B0" w:rsidRPr="009428B0">
        <w:t>Přehled výnosů z dražeb emisních povolenek a jejich reporting za ČR</w:t>
      </w:r>
      <w:r w:rsidR="00553A69">
        <w:t xml:space="preserve"> (v tis. Kč)</w:t>
      </w:r>
    </w:p>
    <w:tbl>
      <w:tblPr>
        <w:tblW w:w="5000" w:type="pct"/>
        <w:tblCellMar>
          <w:left w:w="70" w:type="dxa"/>
          <w:right w:w="70" w:type="dxa"/>
        </w:tblCellMar>
        <w:tblLook w:val="04A0" w:firstRow="1" w:lastRow="0" w:firstColumn="1" w:lastColumn="0" w:noHBand="0" w:noVBand="1"/>
      </w:tblPr>
      <w:tblGrid>
        <w:gridCol w:w="692"/>
        <w:gridCol w:w="1477"/>
        <w:gridCol w:w="1390"/>
        <w:gridCol w:w="1533"/>
        <w:gridCol w:w="1393"/>
        <w:gridCol w:w="1180"/>
        <w:gridCol w:w="1395"/>
      </w:tblGrid>
      <w:tr w:rsidR="009428B0" w:rsidRPr="00FB0730" w14:paraId="077BAE04" w14:textId="77777777" w:rsidTr="009428B0">
        <w:trPr>
          <w:trHeight w:val="20"/>
        </w:trPr>
        <w:tc>
          <w:tcPr>
            <w:tcW w:w="382" w:type="pct"/>
            <w:vMerge w:val="restart"/>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7C3F2ADB" w14:textId="1E8894BC" w:rsidR="009428B0" w:rsidRPr="00FB0730" w:rsidRDefault="009428B0" w:rsidP="005D6631">
            <w:pPr>
              <w:jc w:val="center"/>
              <w:rPr>
                <w:rFonts w:ascii="Calibri" w:hAnsi="Calibri" w:cs="Calibri"/>
                <w:b/>
                <w:bCs/>
                <w:color w:val="000000"/>
                <w:sz w:val="18"/>
                <w:szCs w:val="18"/>
              </w:rPr>
            </w:pPr>
          </w:p>
        </w:tc>
        <w:tc>
          <w:tcPr>
            <w:tcW w:w="1582" w:type="pct"/>
            <w:gridSpan w:val="2"/>
            <w:tcBorders>
              <w:top w:val="single" w:sz="4" w:space="0" w:color="auto"/>
              <w:left w:val="nil"/>
              <w:bottom w:val="single" w:sz="4" w:space="0" w:color="auto"/>
              <w:right w:val="single" w:sz="4" w:space="0" w:color="auto"/>
            </w:tcBorders>
            <w:shd w:val="clear" w:color="000000" w:fill="E5F1FF"/>
            <w:vAlign w:val="center"/>
            <w:hideMark/>
          </w:tcPr>
          <w:p w14:paraId="1E5C012E" w14:textId="77777777" w:rsidR="009428B0" w:rsidRPr="00FB0730" w:rsidRDefault="009428B0" w:rsidP="005D6631">
            <w:pPr>
              <w:jc w:val="center"/>
              <w:rPr>
                <w:rFonts w:ascii="Calibri" w:hAnsi="Calibri" w:cs="Calibri"/>
                <w:b/>
                <w:bCs/>
                <w:color w:val="000000"/>
                <w:sz w:val="18"/>
                <w:szCs w:val="18"/>
              </w:rPr>
            </w:pPr>
            <w:r>
              <w:rPr>
                <w:rFonts w:ascii="Calibri" w:hAnsi="Calibri" w:cs="Calibri"/>
                <w:b/>
                <w:bCs/>
                <w:color w:val="000000"/>
                <w:sz w:val="18"/>
                <w:szCs w:val="18"/>
              </w:rPr>
              <w:t>V</w:t>
            </w:r>
            <w:r w:rsidRPr="00FB0730">
              <w:rPr>
                <w:rFonts w:ascii="Calibri" w:hAnsi="Calibri" w:cs="Calibri"/>
                <w:b/>
                <w:bCs/>
                <w:color w:val="000000"/>
                <w:sz w:val="18"/>
                <w:szCs w:val="18"/>
              </w:rPr>
              <w:t xml:space="preserve">ýnosy z dražeb emisních povolenek </w:t>
            </w:r>
            <w:r>
              <w:rPr>
                <w:rFonts w:ascii="Calibri" w:hAnsi="Calibri" w:cs="Calibri"/>
                <w:b/>
                <w:bCs/>
                <w:color w:val="000000"/>
                <w:sz w:val="18"/>
                <w:szCs w:val="18"/>
              </w:rPr>
              <w:t>c</w:t>
            </w:r>
            <w:r w:rsidRPr="00FB0730">
              <w:rPr>
                <w:rFonts w:ascii="Calibri" w:hAnsi="Calibri" w:cs="Calibri"/>
                <w:b/>
                <w:bCs/>
                <w:color w:val="000000"/>
                <w:sz w:val="18"/>
                <w:szCs w:val="18"/>
              </w:rPr>
              <w:t>elkem</w:t>
            </w:r>
          </w:p>
        </w:tc>
        <w:tc>
          <w:tcPr>
            <w:tcW w:w="1615" w:type="pct"/>
            <w:gridSpan w:val="2"/>
            <w:tcBorders>
              <w:top w:val="single" w:sz="4" w:space="0" w:color="auto"/>
              <w:left w:val="nil"/>
              <w:bottom w:val="single" w:sz="4" w:space="0" w:color="auto"/>
              <w:right w:val="single" w:sz="4" w:space="0" w:color="auto"/>
            </w:tcBorders>
            <w:shd w:val="clear" w:color="000000" w:fill="E5F1FF"/>
            <w:vAlign w:val="center"/>
            <w:hideMark/>
          </w:tcPr>
          <w:p w14:paraId="4AA611A9" w14:textId="77777777" w:rsidR="009428B0" w:rsidRPr="00FB0730" w:rsidRDefault="009428B0" w:rsidP="005D6631">
            <w:pPr>
              <w:jc w:val="center"/>
              <w:rPr>
                <w:rFonts w:ascii="Calibri" w:hAnsi="Calibri" w:cs="Calibri"/>
                <w:b/>
                <w:bCs/>
                <w:color w:val="000000"/>
                <w:sz w:val="18"/>
                <w:szCs w:val="18"/>
              </w:rPr>
            </w:pPr>
            <w:r w:rsidRPr="00FB0730">
              <w:rPr>
                <w:rFonts w:ascii="Calibri" w:hAnsi="Calibri" w:cs="Calibri"/>
                <w:b/>
                <w:bCs/>
                <w:color w:val="000000"/>
                <w:sz w:val="18"/>
                <w:szCs w:val="18"/>
              </w:rPr>
              <w:t>SFŽP, resp. MŽP</w:t>
            </w:r>
          </w:p>
        </w:tc>
        <w:tc>
          <w:tcPr>
            <w:tcW w:w="1421" w:type="pct"/>
            <w:gridSpan w:val="2"/>
            <w:tcBorders>
              <w:top w:val="single" w:sz="4" w:space="0" w:color="auto"/>
              <w:left w:val="nil"/>
              <w:bottom w:val="single" w:sz="4" w:space="0" w:color="auto"/>
              <w:right w:val="single" w:sz="4" w:space="0" w:color="auto"/>
            </w:tcBorders>
            <w:shd w:val="clear" w:color="000000" w:fill="E5F1FF"/>
            <w:vAlign w:val="center"/>
            <w:hideMark/>
          </w:tcPr>
          <w:p w14:paraId="600052F7" w14:textId="77777777" w:rsidR="009428B0" w:rsidRPr="00FB0730" w:rsidRDefault="009428B0" w:rsidP="005D6631">
            <w:pPr>
              <w:jc w:val="center"/>
              <w:rPr>
                <w:rFonts w:ascii="Calibri" w:hAnsi="Calibri" w:cs="Calibri"/>
                <w:b/>
                <w:bCs/>
                <w:color w:val="000000"/>
                <w:sz w:val="18"/>
                <w:szCs w:val="18"/>
              </w:rPr>
            </w:pPr>
            <w:r w:rsidRPr="00FB0730">
              <w:rPr>
                <w:rFonts w:ascii="Calibri" w:hAnsi="Calibri" w:cs="Calibri"/>
                <w:b/>
                <w:bCs/>
                <w:color w:val="000000"/>
                <w:sz w:val="18"/>
                <w:szCs w:val="18"/>
              </w:rPr>
              <w:t>MPO</w:t>
            </w:r>
          </w:p>
        </w:tc>
      </w:tr>
      <w:tr w:rsidR="009428B0" w:rsidRPr="00FB0730" w14:paraId="246B3899" w14:textId="77777777" w:rsidTr="009428B0">
        <w:trPr>
          <w:trHeight w:val="20"/>
        </w:trPr>
        <w:tc>
          <w:tcPr>
            <w:tcW w:w="382" w:type="pct"/>
            <w:vMerge/>
            <w:tcBorders>
              <w:top w:val="single" w:sz="4" w:space="0" w:color="auto"/>
              <w:left w:val="single" w:sz="4" w:space="0" w:color="auto"/>
              <w:bottom w:val="single" w:sz="4" w:space="0" w:color="auto"/>
              <w:right w:val="single" w:sz="4" w:space="0" w:color="auto"/>
            </w:tcBorders>
            <w:vAlign w:val="center"/>
            <w:hideMark/>
          </w:tcPr>
          <w:p w14:paraId="2ECF9297" w14:textId="77777777" w:rsidR="009428B0" w:rsidRPr="00FB0730" w:rsidRDefault="009428B0" w:rsidP="005D6631">
            <w:pPr>
              <w:rPr>
                <w:rFonts w:ascii="Calibri" w:hAnsi="Calibri" w:cs="Calibri"/>
                <w:b/>
                <w:bCs/>
                <w:color w:val="000000"/>
                <w:sz w:val="18"/>
                <w:szCs w:val="18"/>
              </w:rPr>
            </w:pPr>
          </w:p>
        </w:tc>
        <w:tc>
          <w:tcPr>
            <w:tcW w:w="815" w:type="pct"/>
            <w:tcBorders>
              <w:top w:val="nil"/>
              <w:left w:val="nil"/>
              <w:bottom w:val="single" w:sz="4" w:space="0" w:color="auto"/>
              <w:right w:val="single" w:sz="4" w:space="0" w:color="auto"/>
            </w:tcBorders>
            <w:shd w:val="clear" w:color="000000" w:fill="E5F1FF"/>
            <w:vAlign w:val="center"/>
            <w:hideMark/>
          </w:tcPr>
          <w:p w14:paraId="6C377B1A" w14:textId="77777777" w:rsidR="009428B0" w:rsidRPr="00FB0730" w:rsidRDefault="009428B0" w:rsidP="005D6631">
            <w:pPr>
              <w:jc w:val="center"/>
              <w:rPr>
                <w:rFonts w:ascii="Calibri" w:hAnsi="Calibri" w:cs="Calibri"/>
                <w:b/>
                <w:bCs/>
                <w:color w:val="000000"/>
                <w:sz w:val="18"/>
                <w:szCs w:val="18"/>
              </w:rPr>
            </w:pPr>
            <w:r w:rsidRPr="00FB0730">
              <w:rPr>
                <w:rFonts w:ascii="Calibri" w:hAnsi="Calibri" w:cs="Calibri"/>
                <w:b/>
                <w:bCs/>
                <w:color w:val="000000"/>
                <w:sz w:val="18"/>
                <w:szCs w:val="18"/>
              </w:rPr>
              <w:t>Dle reportu za ČR (</w:t>
            </w:r>
            <w:r w:rsidRPr="00E34290">
              <w:rPr>
                <w:rFonts w:ascii="Calibri" w:hAnsi="Calibri" w:cs="Calibri"/>
                <w:b/>
                <w:bCs/>
                <w:color w:val="000000"/>
                <w:sz w:val="18"/>
                <w:szCs w:val="18"/>
                <w:lang w:val="en-GB"/>
              </w:rPr>
              <w:t>Total amount of revenues generated from auctioning of allowances</w:t>
            </w:r>
            <w:r w:rsidRPr="00FB0730">
              <w:rPr>
                <w:rFonts w:ascii="Calibri" w:hAnsi="Calibri" w:cs="Calibri"/>
                <w:b/>
                <w:bCs/>
                <w:color w:val="000000"/>
                <w:sz w:val="18"/>
                <w:szCs w:val="18"/>
              </w:rPr>
              <w:t>)</w:t>
            </w:r>
          </w:p>
        </w:tc>
        <w:tc>
          <w:tcPr>
            <w:tcW w:w="767" w:type="pct"/>
            <w:tcBorders>
              <w:top w:val="nil"/>
              <w:left w:val="nil"/>
              <w:bottom w:val="single" w:sz="4" w:space="0" w:color="auto"/>
              <w:right w:val="single" w:sz="4" w:space="0" w:color="auto"/>
            </w:tcBorders>
            <w:shd w:val="clear" w:color="000000" w:fill="E5F1FF"/>
            <w:vAlign w:val="center"/>
            <w:hideMark/>
          </w:tcPr>
          <w:p w14:paraId="277A82E4" w14:textId="48AE45C9" w:rsidR="009428B0" w:rsidRPr="00FB0730" w:rsidRDefault="009428B0" w:rsidP="000504E9">
            <w:pPr>
              <w:jc w:val="center"/>
              <w:rPr>
                <w:rFonts w:ascii="Calibri" w:hAnsi="Calibri" w:cs="Calibri"/>
                <w:b/>
                <w:bCs/>
                <w:color w:val="000000"/>
                <w:sz w:val="18"/>
                <w:szCs w:val="18"/>
              </w:rPr>
            </w:pPr>
            <w:r w:rsidRPr="00FB0730">
              <w:rPr>
                <w:rFonts w:ascii="Calibri" w:hAnsi="Calibri" w:cs="Calibri"/>
                <w:b/>
                <w:bCs/>
                <w:color w:val="000000"/>
                <w:sz w:val="18"/>
                <w:szCs w:val="18"/>
              </w:rPr>
              <w:t>Výnosy z dražeb emisních povolenek dle rozpočtové položky 3114</w:t>
            </w:r>
          </w:p>
        </w:tc>
        <w:tc>
          <w:tcPr>
            <w:tcW w:w="846" w:type="pct"/>
            <w:tcBorders>
              <w:top w:val="nil"/>
              <w:left w:val="nil"/>
              <w:bottom w:val="single" w:sz="4" w:space="0" w:color="auto"/>
              <w:right w:val="single" w:sz="4" w:space="0" w:color="auto"/>
            </w:tcBorders>
            <w:shd w:val="clear" w:color="000000" w:fill="E5F1FF"/>
            <w:vAlign w:val="center"/>
            <w:hideMark/>
          </w:tcPr>
          <w:p w14:paraId="21FC34C7" w14:textId="77777777" w:rsidR="009428B0" w:rsidRPr="00FB0730" w:rsidRDefault="009428B0" w:rsidP="005D6631">
            <w:pPr>
              <w:jc w:val="center"/>
              <w:rPr>
                <w:rFonts w:ascii="Calibri" w:hAnsi="Calibri" w:cs="Calibri"/>
                <w:b/>
                <w:bCs/>
                <w:color w:val="000000"/>
                <w:sz w:val="18"/>
                <w:szCs w:val="18"/>
              </w:rPr>
            </w:pPr>
            <w:r w:rsidRPr="00FB0730">
              <w:rPr>
                <w:rFonts w:ascii="Calibri" w:hAnsi="Calibri" w:cs="Calibri"/>
                <w:b/>
                <w:bCs/>
                <w:color w:val="000000"/>
                <w:sz w:val="18"/>
                <w:szCs w:val="18"/>
              </w:rPr>
              <w:t>Dle reportu za ČR (</w:t>
            </w:r>
            <w:r w:rsidRPr="00E34290">
              <w:rPr>
                <w:rFonts w:ascii="Calibri" w:hAnsi="Calibri" w:cs="Calibri"/>
                <w:b/>
                <w:bCs/>
                <w:color w:val="000000"/>
                <w:sz w:val="18"/>
                <w:szCs w:val="18"/>
                <w:lang w:val="en-GB"/>
              </w:rPr>
              <w:t>Use of revenues from auctioning of allowances (committed</w:t>
            </w:r>
            <w:r w:rsidRPr="00FB0730">
              <w:rPr>
                <w:rFonts w:ascii="Calibri" w:hAnsi="Calibri" w:cs="Calibri"/>
                <w:b/>
                <w:bCs/>
                <w:color w:val="000000"/>
                <w:sz w:val="18"/>
                <w:szCs w:val="18"/>
              </w:rPr>
              <w:t>)</w:t>
            </w:r>
            <w:r w:rsidR="000504E9">
              <w:rPr>
                <w:rFonts w:ascii="Calibri" w:hAnsi="Calibri" w:cs="Calibri"/>
                <w:b/>
                <w:bCs/>
                <w:color w:val="000000"/>
                <w:sz w:val="18"/>
                <w:szCs w:val="18"/>
              </w:rPr>
              <w:t>)</w:t>
            </w:r>
          </w:p>
        </w:tc>
        <w:tc>
          <w:tcPr>
            <w:tcW w:w="769" w:type="pct"/>
            <w:tcBorders>
              <w:top w:val="nil"/>
              <w:left w:val="nil"/>
              <w:bottom w:val="single" w:sz="4" w:space="0" w:color="auto"/>
              <w:right w:val="single" w:sz="4" w:space="0" w:color="auto"/>
            </w:tcBorders>
            <w:shd w:val="clear" w:color="000000" w:fill="E5F1FF"/>
            <w:vAlign w:val="center"/>
            <w:hideMark/>
          </w:tcPr>
          <w:p w14:paraId="638188DD" w14:textId="77777777" w:rsidR="009428B0" w:rsidRPr="00FB0730" w:rsidRDefault="009428B0" w:rsidP="00514F16">
            <w:pPr>
              <w:jc w:val="center"/>
              <w:rPr>
                <w:rFonts w:ascii="Calibri" w:hAnsi="Calibri" w:cs="Calibri"/>
                <w:b/>
                <w:bCs/>
                <w:color w:val="000000"/>
                <w:sz w:val="18"/>
                <w:szCs w:val="18"/>
              </w:rPr>
            </w:pPr>
            <w:r w:rsidRPr="00FB0730">
              <w:rPr>
                <w:rFonts w:ascii="Calibri" w:hAnsi="Calibri" w:cs="Calibri"/>
                <w:b/>
                <w:bCs/>
                <w:color w:val="000000"/>
                <w:sz w:val="18"/>
                <w:szCs w:val="18"/>
              </w:rPr>
              <w:t>50</w:t>
            </w:r>
            <w:r w:rsidR="000504E9">
              <w:rPr>
                <w:rFonts w:ascii="Calibri" w:hAnsi="Calibri" w:cs="Calibri"/>
                <w:b/>
                <w:bCs/>
                <w:color w:val="000000"/>
                <w:sz w:val="18"/>
                <w:szCs w:val="18"/>
              </w:rPr>
              <w:t> </w:t>
            </w:r>
            <w:r w:rsidRPr="00FB0730">
              <w:rPr>
                <w:rFonts w:ascii="Calibri" w:hAnsi="Calibri" w:cs="Calibri"/>
                <w:b/>
                <w:bCs/>
                <w:color w:val="000000"/>
                <w:sz w:val="18"/>
                <w:szCs w:val="18"/>
              </w:rPr>
              <w:t>% dle ustanovení § 7 odst. 7 zákona č.</w:t>
            </w:r>
            <w:r w:rsidR="00514F16">
              <w:rPr>
                <w:rFonts w:ascii="Calibri" w:hAnsi="Calibri" w:cs="Calibri"/>
                <w:b/>
                <w:bCs/>
                <w:color w:val="000000"/>
                <w:sz w:val="18"/>
                <w:szCs w:val="18"/>
              </w:rPr>
              <w:t> </w:t>
            </w:r>
            <w:r w:rsidRPr="00FB0730">
              <w:rPr>
                <w:rFonts w:ascii="Calibri" w:hAnsi="Calibri" w:cs="Calibri"/>
                <w:b/>
                <w:bCs/>
                <w:color w:val="000000"/>
                <w:sz w:val="18"/>
                <w:szCs w:val="18"/>
              </w:rPr>
              <w:t>383/2012 Sb.</w:t>
            </w:r>
          </w:p>
        </w:tc>
        <w:tc>
          <w:tcPr>
            <w:tcW w:w="651" w:type="pct"/>
            <w:tcBorders>
              <w:top w:val="nil"/>
              <w:left w:val="nil"/>
              <w:bottom w:val="single" w:sz="4" w:space="0" w:color="auto"/>
              <w:right w:val="single" w:sz="4" w:space="0" w:color="auto"/>
            </w:tcBorders>
            <w:shd w:val="clear" w:color="000000" w:fill="E5F1FF"/>
            <w:vAlign w:val="center"/>
            <w:hideMark/>
          </w:tcPr>
          <w:p w14:paraId="7B6C6691" w14:textId="77777777" w:rsidR="009428B0" w:rsidRPr="00FB0730" w:rsidRDefault="009428B0" w:rsidP="005D6631">
            <w:pPr>
              <w:jc w:val="center"/>
              <w:rPr>
                <w:rFonts w:ascii="Calibri" w:hAnsi="Calibri" w:cs="Calibri"/>
                <w:b/>
                <w:bCs/>
                <w:color w:val="000000"/>
                <w:sz w:val="18"/>
                <w:szCs w:val="18"/>
              </w:rPr>
            </w:pPr>
            <w:r w:rsidRPr="00FB0730">
              <w:rPr>
                <w:rFonts w:ascii="Calibri" w:hAnsi="Calibri" w:cs="Calibri"/>
                <w:b/>
                <w:bCs/>
                <w:color w:val="000000"/>
                <w:sz w:val="18"/>
                <w:szCs w:val="18"/>
              </w:rPr>
              <w:t>Dle reportu za ČR (</w:t>
            </w:r>
            <w:r w:rsidRPr="00E34290">
              <w:rPr>
                <w:rFonts w:ascii="Calibri" w:hAnsi="Calibri" w:cs="Calibri"/>
                <w:b/>
                <w:bCs/>
                <w:color w:val="000000"/>
                <w:sz w:val="18"/>
                <w:szCs w:val="18"/>
                <w:lang w:val="en-GB"/>
              </w:rPr>
              <w:t>Use of revenues from auctioning of allowances (committed</w:t>
            </w:r>
            <w:r w:rsidRPr="00FB0730">
              <w:rPr>
                <w:rFonts w:ascii="Calibri" w:hAnsi="Calibri" w:cs="Calibri"/>
                <w:b/>
                <w:bCs/>
                <w:color w:val="000000"/>
                <w:sz w:val="18"/>
                <w:szCs w:val="18"/>
              </w:rPr>
              <w:t>)</w:t>
            </w:r>
            <w:r w:rsidR="000504E9">
              <w:rPr>
                <w:rFonts w:ascii="Calibri" w:hAnsi="Calibri" w:cs="Calibri"/>
                <w:b/>
                <w:bCs/>
                <w:color w:val="000000"/>
                <w:sz w:val="18"/>
                <w:szCs w:val="18"/>
              </w:rPr>
              <w:t>)</w:t>
            </w:r>
          </w:p>
        </w:tc>
        <w:tc>
          <w:tcPr>
            <w:tcW w:w="770" w:type="pct"/>
            <w:tcBorders>
              <w:top w:val="nil"/>
              <w:left w:val="nil"/>
              <w:bottom w:val="single" w:sz="4" w:space="0" w:color="auto"/>
              <w:right w:val="single" w:sz="4" w:space="0" w:color="auto"/>
            </w:tcBorders>
            <w:shd w:val="clear" w:color="000000" w:fill="E5F1FF"/>
            <w:vAlign w:val="center"/>
            <w:hideMark/>
          </w:tcPr>
          <w:p w14:paraId="08A7B22E" w14:textId="77777777" w:rsidR="009428B0" w:rsidRPr="00FB0730" w:rsidRDefault="009428B0" w:rsidP="00514F16">
            <w:pPr>
              <w:jc w:val="center"/>
              <w:rPr>
                <w:rFonts w:ascii="Calibri" w:hAnsi="Calibri" w:cs="Calibri"/>
                <w:b/>
                <w:bCs/>
                <w:color w:val="000000"/>
                <w:sz w:val="18"/>
                <w:szCs w:val="18"/>
              </w:rPr>
            </w:pPr>
            <w:r w:rsidRPr="00FB0730">
              <w:rPr>
                <w:rFonts w:ascii="Calibri" w:hAnsi="Calibri" w:cs="Calibri"/>
                <w:b/>
                <w:bCs/>
                <w:color w:val="000000"/>
                <w:sz w:val="18"/>
                <w:szCs w:val="18"/>
              </w:rPr>
              <w:t>50</w:t>
            </w:r>
            <w:r w:rsidR="000504E9">
              <w:rPr>
                <w:rFonts w:ascii="Calibri" w:hAnsi="Calibri" w:cs="Calibri"/>
                <w:b/>
                <w:bCs/>
                <w:color w:val="000000"/>
                <w:sz w:val="18"/>
                <w:szCs w:val="18"/>
              </w:rPr>
              <w:t> </w:t>
            </w:r>
            <w:r w:rsidRPr="00FB0730">
              <w:rPr>
                <w:rFonts w:ascii="Calibri" w:hAnsi="Calibri" w:cs="Calibri"/>
                <w:b/>
                <w:bCs/>
                <w:color w:val="000000"/>
                <w:sz w:val="18"/>
                <w:szCs w:val="18"/>
              </w:rPr>
              <w:t>% dle ustanovení § 7 odst. 7 zákona č.</w:t>
            </w:r>
            <w:r w:rsidR="00514F16">
              <w:rPr>
                <w:rFonts w:ascii="Calibri" w:hAnsi="Calibri" w:cs="Calibri"/>
                <w:b/>
                <w:bCs/>
                <w:color w:val="000000"/>
                <w:sz w:val="18"/>
                <w:szCs w:val="18"/>
              </w:rPr>
              <w:t> </w:t>
            </w:r>
            <w:r w:rsidRPr="00FB0730">
              <w:rPr>
                <w:rFonts w:ascii="Calibri" w:hAnsi="Calibri" w:cs="Calibri"/>
                <w:b/>
                <w:bCs/>
                <w:color w:val="000000"/>
                <w:sz w:val="18"/>
                <w:szCs w:val="18"/>
              </w:rPr>
              <w:t>383/2012 Sb.</w:t>
            </w:r>
          </w:p>
        </w:tc>
      </w:tr>
      <w:tr w:rsidR="009428B0" w:rsidRPr="00FB0730" w14:paraId="7CE14EC4" w14:textId="77777777" w:rsidTr="009428B0">
        <w:trPr>
          <w:trHeight w:val="2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40670DAA" w14:textId="77777777" w:rsidR="009428B0" w:rsidRPr="00FB0730" w:rsidRDefault="009428B0" w:rsidP="00FC7CB7">
            <w:pPr>
              <w:jc w:val="center"/>
              <w:rPr>
                <w:rFonts w:ascii="Calibri" w:hAnsi="Calibri" w:cs="Calibri"/>
                <w:color w:val="000000"/>
                <w:sz w:val="18"/>
                <w:szCs w:val="18"/>
              </w:rPr>
            </w:pPr>
            <w:r w:rsidRPr="00FB0730">
              <w:rPr>
                <w:rFonts w:ascii="Calibri" w:hAnsi="Calibri" w:cs="Calibri"/>
                <w:color w:val="000000"/>
                <w:sz w:val="18"/>
                <w:szCs w:val="18"/>
              </w:rPr>
              <w:t>2017</w:t>
            </w:r>
          </w:p>
        </w:tc>
        <w:tc>
          <w:tcPr>
            <w:tcW w:w="815" w:type="pct"/>
            <w:tcBorders>
              <w:top w:val="nil"/>
              <w:left w:val="nil"/>
              <w:bottom w:val="single" w:sz="4" w:space="0" w:color="auto"/>
              <w:right w:val="single" w:sz="4" w:space="0" w:color="auto"/>
            </w:tcBorders>
            <w:shd w:val="clear" w:color="auto" w:fill="auto"/>
            <w:noWrap/>
            <w:vAlign w:val="bottom"/>
            <w:hideMark/>
          </w:tcPr>
          <w:p w14:paraId="4C84028E" w14:textId="77777777" w:rsidR="009428B0" w:rsidRPr="00FB0730" w:rsidRDefault="009428B0" w:rsidP="005D6631">
            <w:pPr>
              <w:jc w:val="right"/>
              <w:rPr>
                <w:rFonts w:ascii="Calibri" w:hAnsi="Calibri" w:cs="Calibri"/>
                <w:color w:val="000000"/>
                <w:sz w:val="18"/>
                <w:szCs w:val="18"/>
              </w:rPr>
            </w:pPr>
            <w:r w:rsidRPr="00FB0730">
              <w:rPr>
                <w:rFonts w:ascii="Calibri" w:hAnsi="Calibri" w:cs="Calibri"/>
                <w:color w:val="000000"/>
                <w:sz w:val="18"/>
                <w:szCs w:val="18"/>
              </w:rPr>
              <w:t>5 220 326</w:t>
            </w:r>
          </w:p>
        </w:tc>
        <w:tc>
          <w:tcPr>
            <w:tcW w:w="767" w:type="pct"/>
            <w:tcBorders>
              <w:top w:val="nil"/>
              <w:left w:val="nil"/>
              <w:bottom w:val="single" w:sz="4" w:space="0" w:color="auto"/>
              <w:right w:val="single" w:sz="4" w:space="0" w:color="auto"/>
            </w:tcBorders>
            <w:shd w:val="clear" w:color="auto" w:fill="auto"/>
            <w:noWrap/>
            <w:vAlign w:val="bottom"/>
            <w:hideMark/>
          </w:tcPr>
          <w:p w14:paraId="7F62EC94" w14:textId="77777777" w:rsidR="009428B0" w:rsidRPr="00FB0730" w:rsidRDefault="009428B0" w:rsidP="005D6631">
            <w:pPr>
              <w:jc w:val="right"/>
              <w:rPr>
                <w:rFonts w:ascii="Calibri" w:hAnsi="Calibri" w:cs="Calibri"/>
                <w:color w:val="000000"/>
                <w:sz w:val="18"/>
                <w:szCs w:val="18"/>
              </w:rPr>
            </w:pPr>
            <w:r w:rsidRPr="00FB0730">
              <w:rPr>
                <w:rFonts w:ascii="Calibri" w:hAnsi="Calibri" w:cs="Calibri"/>
                <w:color w:val="000000"/>
                <w:sz w:val="18"/>
                <w:szCs w:val="18"/>
              </w:rPr>
              <w:t>5 220 325</w:t>
            </w:r>
          </w:p>
        </w:tc>
        <w:tc>
          <w:tcPr>
            <w:tcW w:w="846" w:type="pct"/>
            <w:tcBorders>
              <w:top w:val="nil"/>
              <w:left w:val="nil"/>
              <w:bottom w:val="single" w:sz="4" w:space="0" w:color="auto"/>
              <w:right w:val="single" w:sz="4" w:space="0" w:color="auto"/>
            </w:tcBorders>
            <w:shd w:val="clear" w:color="auto" w:fill="auto"/>
            <w:noWrap/>
            <w:vAlign w:val="bottom"/>
            <w:hideMark/>
          </w:tcPr>
          <w:p w14:paraId="111AF8A8" w14:textId="77777777" w:rsidR="009428B0" w:rsidRPr="00FB0730" w:rsidRDefault="009428B0" w:rsidP="005D6631">
            <w:pPr>
              <w:jc w:val="right"/>
              <w:rPr>
                <w:rFonts w:ascii="Calibri" w:hAnsi="Calibri" w:cs="Calibri"/>
                <w:color w:val="000000"/>
                <w:sz w:val="18"/>
                <w:szCs w:val="18"/>
              </w:rPr>
            </w:pPr>
            <w:r w:rsidRPr="00FB0730">
              <w:rPr>
                <w:rFonts w:ascii="Calibri" w:hAnsi="Calibri" w:cs="Calibri"/>
                <w:color w:val="000000"/>
                <w:sz w:val="18"/>
                <w:szCs w:val="18"/>
              </w:rPr>
              <w:t>2 610 163</w:t>
            </w:r>
          </w:p>
        </w:tc>
        <w:tc>
          <w:tcPr>
            <w:tcW w:w="769" w:type="pct"/>
            <w:tcBorders>
              <w:top w:val="nil"/>
              <w:left w:val="nil"/>
              <w:bottom w:val="single" w:sz="4" w:space="0" w:color="auto"/>
              <w:right w:val="single" w:sz="4" w:space="0" w:color="auto"/>
            </w:tcBorders>
            <w:shd w:val="clear" w:color="auto" w:fill="auto"/>
            <w:noWrap/>
            <w:vAlign w:val="bottom"/>
            <w:hideMark/>
          </w:tcPr>
          <w:p w14:paraId="52C2077E" w14:textId="77777777" w:rsidR="009428B0" w:rsidRPr="00FB0730" w:rsidRDefault="009428B0" w:rsidP="005D6631">
            <w:pPr>
              <w:jc w:val="right"/>
              <w:rPr>
                <w:rFonts w:ascii="Calibri" w:hAnsi="Calibri" w:cs="Calibri"/>
                <w:color w:val="000000"/>
                <w:sz w:val="18"/>
                <w:szCs w:val="18"/>
              </w:rPr>
            </w:pPr>
            <w:r w:rsidRPr="00FB0730">
              <w:rPr>
                <w:rFonts w:ascii="Calibri" w:hAnsi="Calibri" w:cs="Calibri"/>
                <w:color w:val="000000"/>
                <w:sz w:val="18"/>
                <w:szCs w:val="18"/>
              </w:rPr>
              <w:t>2 610 163</w:t>
            </w:r>
          </w:p>
        </w:tc>
        <w:tc>
          <w:tcPr>
            <w:tcW w:w="651" w:type="pct"/>
            <w:tcBorders>
              <w:top w:val="nil"/>
              <w:left w:val="nil"/>
              <w:bottom w:val="single" w:sz="4" w:space="0" w:color="auto"/>
              <w:right w:val="single" w:sz="4" w:space="0" w:color="auto"/>
            </w:tcBorders>
            <w:shd w:val="clear" w:color="auto" w:fill="auto"/>
            <w:noWrap/>
            <w:vAlign w:val="bottom"/>
            <w:hideMark/>
          </w:tcPr>
          <w:p w14:paraId="78A64B08" w14:textId="77777777" w:rsidR="009428B0" w:rsidRPr="00FB0730" w:rsidRDefault="009428B0" w:rsidP="005D6631">
            <w:pPr>
              <w:jc w:val="right"/>
              <w:rPr>
                <w:rFonts w:ascii="Calibri" w:hAnsi="Calibri" w:cs="Calibri"/>
                <w:color w:val="000000"/>
                <w:sz w:val="18"/>
                <w:szCs w:val="18"/>
              </w:rPr>
            </w:pPr>
            <w:r w:rsidRPr="00FB0730">
              <w:rPr>
                <w:rFonts w:ascii="Calibri" w:hAnsi="Calibri" w:cs="Calibri"/>
                <w:color w:val="000000"/>
                <w:sz w:val="18"/>
                <w:szCs w:val="18"/>
              </w:rPr>
              <w:t>2 610 163</w:t>
            </w:r>
          </w:p>
        </w:tc>
        <w:tc>
          <w:tcPr>
            <w:tcW w:w="770" w:type="pct"/>
            <w:tcBorders>
              <w:top w:val="nil"/>
              <w:left w:val="nil"/>
              <w:bottom w:val="single" w:sz="4" w:space="0" w:color="auto"/>
              <w:right w:val="single" w:sz="4" w:space="0" w:color="auto"/>
            </w:tcBorders>
            <w:shd w:val="clear" w:color="auto" w:fill="auto"/>
            <w:noWrap/>
            <w:vAlign w:val="bottom"/>
            <w:hideMark/>
          </w:tcPr>
          <w:p w14:paraId="1E995F14" w14:textId="77777777" w:rsidR="009428B0" w:rsidRPr="00FB0730" w:rsidRDefault="009428B0" w:rsidP="005D6631">
            <w:pPr>
              <w:jc w:val="right"/>
              <w:rPr>
                <w:rFonts w:ascii="Calibri" w:hAnsi="Calibri" w:cs="Calibri"/>
                <w:color w:val="000000"/>
                <w:sz w:val="18"/>
                <w:szCs w:val="18"/>
              </w:rPr>
            </w:pPr>
            <w:r w:rsidRPr="00FB0730">
              <w:rPr>
                <w:rFonts w:ascii="Calibri" w:hAnsi="Calibri" w:cs="Calibri"/>
                <w:color w:val="000000"/>
                <w:sz w:val="18"/>
                <w:szCs w:val="18"/>
              </w:rPr>
              <w:t>2 610 163</w:t>
            </w:r>
          </w:p>
        </w:tc>
      </w:tr>
      <w:tr w:rsidR="009428B0" w:rsidRPr="008224EB" w14:paraId="7747B163" w14:textId="77777777" w:rsidTr="008224EB">
        <w:trPr>
          <w:trHeight w:val="2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6A97A080" w14:textId="77777777" w:rsidR="009428B0" w:rsidRPr="008224EB" w:rsidRDefault="009428B0" w:rsidP="00FC7CB7">
            <w:pPr>
              <w:jc w:val="center"/>
              <w:rPr>
                <w:rFonts w:ascii="Calibri" w:hAnsi="Calibri" w:cs="Calibri"/>
                <w:color w:val="000000"/>
                <w:sz w:val="18"/>
                <w:szCs w:val="18"/>
              </w:rPr>
            </w:pPr>
            <w:r w:rsidRPr="008224EB">
              <w:rPr>
                <w:rFonts w:ascii="Calibri" w:hAnsi="Calibri" w:cs="Calibri"/>
                <w:color w:val="000000"/>
                <w:sz w:val="18"/>
                <w:szCs w:val="18"/>
              </w:rPr>
              <w:t>2018</w:t>
            </w:r>
          </w:p>
        </w:tc>
        <w:tc>
          <w:tcPr>
            <w:tcW w:w="815" w:type="pct"/>
            <w:tcBorders>
              <w:top w:val="nil"/>
              <w:left w:val="nil"/>
              <w:bottom w:val="single" w:sz="4" w:space="0" w:color="auto"/>
              <w:right w:val="single" w:sz="4" w:space="0" w:color="auto"/>
            </w:tcBorders>
            <w:shd w:val="clear" w:color="auto" w:fill="auto"/>
            <w:noWrap/>
            <w:vAlign w:val="bottom"/>
            <w:hideMark/>
          </w:tcPr>
          <w:p w14:paraId="55F52C89"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14 934 783</w:t>
            </w:r>
          </w:p>
        </w:tc>
        <w:tc>
          <w:tcPr>
            <w:tcW w:w="767" w:type="pct"/>
            <w:tcBorders>
              <w:top w:val="nil"/>
              <w:left w:val="nil"/>
              <w:bottom w:val="single" w:sz="4" w:space="0" w:color="auto"/>
              <w:right w:val="single" w:sz="4" w:space="0" w:color="auto"/>
            </w:tcBorders>
            <w:shd w:val="clear" w:color="auto" w:fill="auto"/>
            <w:noWrap/>
            <w:vAlign w:val="bottom"/>
            <w:hideMark/>
          </w:tcPr>
          <w:p w14:paraId="39BA5C09"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14 934 783</w:t>
            </w:r>
          </w:p>
        </w:tc>
        <w:tc>
          <w:tcPr>
            <w:tcW w:w="846" w:type="pct"/>
            <w:tcBorders>
              <w:top w:val="nil"/>
              <w:left w:val="nil"/>
              <w:bottom w:val="single" w:sz="4" w:space="0" w:color="auto"/>
              <w:right w:val="single" w:sz="4" w:space="0" w:color="auto"/>
            </w:tcBorders>
            <w:shd w:val="clear" w:color="auto" w:fill="auto"/>
            <w:vAlign w:val="center"/>
            <w:hideMark/>
          </w:tcPr>
          <w:p w14:paraId="3D699E0F"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1 919 392</w:t>
            </w:r>
          </w:p>
        </w:tc>
        <w:tc>
          <w:tcPr>
            <w:tcW w:w="769" w:type="pct"/>
            <w:tcBorders>
              <w:top w:val="nil"/>
              <w:left w:val="nil"/>
              <w:bottom w:val="single" w:sz="4" w:space="0" w:color="auto"/>
              <w:right w:val="single" w:sz="4" w:space="0" w:color="auto"/>
            </w:tcBorders>
            <w:shd w:val="clear" w:color="auto" w:fill="auto"/>
            <w:vAlign w:val="center"/>
            <w:hideMark/>
          </w:tcPr>
          <w:p w14:paraId="17E188A8"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6 000 000</w:t>
            </w:r>
          </w:p>
        </w:tc>
        <w:tc>
          <w:tcPr>
            <w:tcW w:w="651" w:type="pct"/>
            <w:tcBorders>
              <w:top w:val="nil"/>
              <w:left w:val="nil"/>
              <w:bottom w:val="single" w:sz="4" w:space="0" w:color="auto"/>
              <w:right w:val="single" w:sz="4" w:space="0" w:color="auto"/>
            </w:tcBorders>
            <w:shd w:val="clear" w:color="auto" w:fill="auto"/>
            <w:vAlign w:val="center"/>
            <w:hideMark/>
          </w:tcPr>
          <w:p w14:paraId="42445B64"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7 467 392</w:t>
            </w:r>
          </w:p>
        </w:tc>
        <w:tc>
          <w:tcPr>
            <w:tcW w:w="770" w:type="pct"/>
            <w:tcBorders>
              <w:top w:val="nil"/>
              <w:left w:val="nil"/>
              <w:bottom w:val="single" w:sz="4" w:space="0" w:color="auto"/>
              <w:right w:val="single" w:sz="4" w:space="0" w:color="auto"/>
            </w:tcBorders>
            <w:shd w:val="clear" w:color="auto" w:fill="auto"/>
            <w:vAlign w:val="center"/>
            <w:hideMark/>
          </w:tcPr>
          <w:p w14:paraId="5372D44F"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6 000 000</w:t>
            </w:r>
          </w:p>
        </w:tc>
      </w:tr>
      <w:tr w:rsidR="009428B0" w:rsidRPr="00FB0730" w14:paraId="70805BE8" w14:textId="77777777" w:rsidTr="008224EB">
        <w:trPr>
          <w:trHeight w:val="2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146D293D" w14:textId="77777777" w:rsidR="009428B0" w:rsidRPr="008224EB" w:rsidRDefault="009428B0" w:rsidP="00FC7CB7">
            <w:pPr>
              <w:jc w:val="center"/>
              <w:rPr>
                <w:rFonts w:ascii="Calibri" w:hAnsi="Calibri" w:cs="Calibri"/>
                <w:color w:val="000000"/>
                <w:sz w:val="18"/>
                <w:szCs w:val="18"/>
              </w:rPr>
            </w:pPr>
            <w:r w:rsidRPr="008224EB">
              <w:rPr>
                <w:rFonts w:ascii="Calibri" w:hAnsi="Calibri" w:cs="Calibri"/>
                <w:color w:val="000000"/>
                <w:sz w:val="18"/>
                <w:szCs w:val="18"/>
              </w:rPr>
              <w:t>2019</w:t>
            </w:r>
          </w:p>
        </w:tc>
        <w:tc>
          <w:tcPr>
            <w:tcW w:w="815" w:type="pct"/>
            <w:tcBorders>
              <w:top w:val="nil"/>
              <w:left w:val="nil"/>
              <w:bottom w:val="single" w:sz="4" w:space="0" w:color="auto"/>
              <w:right w:val="single" w:sz="4" w:space="0" w:color="auto"/>
            </w:tcBorders>
            <w:shd w:val="clear" w:color="auto" w:fill="auto"/>
            <w:noWrap/>
            <w:vAlign w:val="bottom"/>
            <w:hideMark/>
          </w:tcPr>
          <w:p w14:paraId="3AD3CFD1"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16 098 489</w:t>
            </w:r>
          </w:p>
        </w:tc>
        <w:tc>
          <w:tcPr>
            <w:tcW w:w="767" w:type="pct"/>
            <w:tcBorders>
              <w:top w:val="nil"/>
              <w:left w:val="nil"/>
              <w:bottom w:val="single" w:sz="4" w:space="0" w:color="auto"/>
              <w:right w:val="single" w:sz="4" w:space="0" w:color="auto"/>
            </w:tcBorders>
            <w:shd w:val="clear" w:color="auto" w:fill="auto"/>
            <w:noWrap/>
            <w:vAlign w:val="bottom"/>
            <w:hideMark/>
          </w:tcPr>
          <w:p w14:paraId="6AD869C7"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16 098 489</w:t>
            </w:r>
          </w:p>
        </w:tc>
        <w:tc>
          <w:tcPr>
            <w:tcW w:w="846" w:type="pct"/>
            <w:tcBorders>
              <w:top w:val="nil"/>
              <w:left w:val="nil"/>
              <w:bottom w:val="single" w:sz="4" w:space="0" w:color="auto"/>
              <w:right w:val="single" w:sz="4" w:space="0" w:color="auto"/>
            </w:tcBorders>
            <w:shd w:val="clear" w:color="auto" w:fill="auto"/>
            <w:vAlign w:val="center"/>
            <w:hideMark/>
          </w:tcPr>
          <w:p w14:paraId="0B5EE3DE"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2 380 510</w:t>
            </w:r>
          </w:p>
        </w:tc>
        <w:tc>
          <w:tcPr>
            <w:tcW w:w="769" w:type="pct"/>
            <w:tcBorders>
              <w:top w:val="nil"/>
              <w:left w:val="nil"/>
              <w:bottom w:val="single" w:sz="4" w:space="0" w:color="auto"/>
              <w:right w:val="single" w:sz="4" w:space="0" w:color="auto"/>
            </w:tcBorders>
            <w:shd w:val="clear" w:color="auto" w:fill="auto"/>
            <w:vAlign w:val="center"/>
            <w:hideMark/>
          </w:tcPr>
          <w:p w14:paraId="525876C4"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6 000 000</w:t>
            </w:r>
          </w:p>
        </w:tc>
        <w:tc>
          <w:tcPr>
            <w:tcW w:w="651" w:type="pct"/>
            <w:tcBorders>
              <w:top w:val="nil"/>
              <w:left w:val="nil"/>
              <w:bottom w:val="single" w:sz="4" w:space="0" w:color="auto"/>
              <w:right w:val="single" w:sz="4" w:space="0" w:color="auto"/>
            </w:tcBorders>
            <w:shd w:val="clear" w:color="auto" w:fill="auto"/>
            <w:vAlign w:val="center"/>
            <w:hideMark/>
          </w:tcPr>
          <w:p w14:paraId="26D1231C" w14:textId="77777777" w:rsidR="009428B0" w:rsidRPr="008224EB"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8 049 245</w:t>
            </w:r>
          </w:p>
        </w:tc>
        <w:tc>
          <w:tcPr>
            <w:tcW w:w="770" w:type="pct"/>
            <w:tcBorders>
              <w:top w:val="nil"/>
              <w:left w:val="nil"/>
              <w:bottom w:val="single" w:sz="4" w:space="0" w:color="auto"/>
              <w:right w:val="single" w:sz="4" w:space="0" w:color="auto"/>
            </w:tcBorders>
            <w:shd w:val="clear" w:color="auto" w:fill="auto"/>
            <w:vAlign w:val="center"/>
            <w:hideMark/>
          </w:tcPr>
          <w:p w14:paraId="403C9DD9" w14:textId="77777777" w:rsidR="009428B0" w:rsidRPr="00FB0730" w:rsidRDefault="009428B0" w:rsidP="005D6631">
            <w:pPr>
              <w:jc w:val="right"/>
              <w:rPr>
                <w:rFonts w:ascii="Calibri" w:hAnsi="Calibri" w:cs="Calibri"/>
                <w:color w:val="000000"/>
                <w:sz w:val="18"/>
                <w:szCs w:val="18"/>
              </w:rPr>
            </w:pPr>
            <w:r w:rsidRPr="008224EB">
              <w:rPr>
                <w:rFonts w:ascii="Calibri" w:hAnsi="Calibri" w:cs="Calibri"/>
                <w:color w:val="000000"/>
                <w:sz w:val="18"/>
                <w:szCs w:val="18"/>
              </w:rPr>
              <w:t>6 000 000</w:t>
            </w:r>
          </w:p>
        </w:tc>
      </w:tr>
    </w:tbl>
    <w:p w14:paraId="0752B777" w14:textId="24858B72" w:rsidR="009428B0" w:rsidRPr="00FB0730" w:rsidRDefault="009428B0" w:rsidP="009428B0">
      <w:pPr>
        <w:ind w:left="567" w:hanging="567"/>
        <w:rPr>
          <w:rFonts w:cstheme="minorHAnsi"/>
          <w:i/>
          <w:sz w:val="20"/>
        </w:rPr>
      </w:pPr>
      <w:r>
        <w:rPr>
          <w:rFonts w:cstheme="minorHAnsi"/>
          <w:i/>
          <w:sz w:val="20"/>
        </w:rPr>
        <w:t xml:space="preserve">Zdroj: </w:t>
      </w:r>
      <w:r w:rsidR="00BD2790">
        <w:rPr>
          <w:rFonts w:cstheme="minorHAnsi"/>
          <w:i/>
          <w:sz w:val="20"/>
        </w:rPr>
        <w:tab/>
      </w:r>
      <w:r w:rsidRPr="00E34290">
        <w:rPr>
          <w:rFonts w:cstheme="minorHAnsi"/>
          <w:i/>
          <w:sz w:val="20"/>
          <w:lang w:val="en-GB"/>
        </w:rPr>
        <w:t>Reporting on the use of auctioning revenues pursuant to Article 24 (2017, 2018 a 2019), Table 1: Revenues generated from auctioning of allowances in year 2017, 2018, 2019, Table 2: Use of revenues from auctioning of allowances for domestic and Union purposes pursuant to Article 3d and 10 of Directive</w:t>
      </w:r>
      <w:r>
        <w:rPr>
          <w:rFonts w:cstheme="minorHAnsi"/>
          <w:i/>
          <w:sz w:val="20"/>
        </w:rPr>
        <w:t xml:space="preserve"> 2003/87/EC (2017, 2018 a 2019), MŽP.</w:t>
      </w:r>
    </w:p>
    <w:p w14:paraId="0B54FE2A" w14:textId="77777777" w:rsidR="00E67FBE" w:rsidRPr="00E67FBE" w:rsidRDefault="00E67FBE" w:rsidP="00E67FBE"/>
    <w:p w14:paraId="56A751FF" w14:textId="7392EE57" w:rsidR="00E36AA1" w:rsidRDefault="00E36AA1" w:rsidP="00E36AA1">
      <w:pPr>
        <w:spacing w:before="120"/>
        <w:rPr>
          <w:rFonts w:cstheme="minorHAnsi"/>
        </w:rPr>
      </w:pPr>
      <w:r>
        <w:rPr>
          <w:rFonts w:cstheme="minorHAnsi"/>
        </w:rPr>
        <w:t xml:space="preserve">ČR, resp. MŽP, každoročně informuje EK o využití </w:t>
      </w:r>
      <w:r w:rsidRPr="00564EC0">
        <w:rPr>
          <w:rFonts w:cstheme="minorHAnsi"/>
        </w:rPr>
        <w:t xml:space="preserve">výnosů </w:t>
      </w:r>
      <w:r>
        <w:rPr>
          <w:rFonts w:cstheme="minorHAnsi"/>
        </w:rPr>
        <w:t>z dražeb emisních povolenek, a</w:t>
      </w:r>
      <w:r w:rsidR="00985F9A">
        <w:rPr>
          <w:rFonts w:cstheme="minorHAnsi"/>
        </w:rPr>
        <w:t> </w:t>
      </w:r>
      <w:r>
        <w:rPr>
          <w:rFonts w:cstheme="minorHAnsi"/>
        </w:rPr>
        <w:t>to</w:t>
      </w:r>
      <w:r w:rsidR="00985F9A">
        <w:rPr>
          <w:rFonts w:cstheme="minorHAnsi"/>
        </w:rPr>
        <w:t> </w:t>
      </w:r>
      <w:r>
        <w:rPr>
          <w:rFonts w:cstheme="minorHAnsi"/>
        </w:rPr>
        <w:t xml:space="preserve">pomocí aplikace </w:t>
      </w:r>
      <w:r w:rsidRPr="00FC7CB7">
        <w:rPr>
          <w:rFonts w:cstheme="minorHAnsi"/>
          <w:i/>
        </w:rPr>
        <w:t>Eionet</w:t>
      </w:r>
      <w:r>
        <w:rPr>
          <w:rFonts w:cstheme="minorHAnsi"/>
        </w:rPr>
        <w:t>.</w:t>
      </w:r>
    </w:p>
    <w:p w14:paraId="6C017B13" w14:textId="77777777" w:rsidR="00E36AA1" w:rsidRDefault="00E36AA1" w:rsidP="00E36AA1">
      <w:pPr>
        <w:spacing w:before="120"/>
        <w:rPr>
          <w:rFonts w:cstheme="minorHAnsi"/>
        </w:rPr>
      </w:pPr>
      <w:r w:rsidRPr="003C1951">
        <w:rPr>
          <w:rFonts w:cstheme="minorHAnsi"/>
        </w:rPr>
        <w:t xml:space="preserve">Reporty rozlišují prostředky určené („committed“) a vyplacené („disbursed“). Jako určené jsou vykázány prostředky, které v daném roce byly evidovány jako příjmy </w:t>
      </w:r>
      <w:r w:rsidR="000504E9">
        <w:rPr>
          <w:rFonts w:cstheme="minorHAnsi"/>
        </w:rPr>
        <w:t xml:space="preserve">programu </w:t>
      </w:r>
      <w:r w:rsidRPr="003C1951">
        <w:rPr>
          <w:rFonts w:cstheme="minorHAnsi"/>
        </w:rPr>
        <w:t>NZÚ, jako vyplacené pak částka, která byla souhrnně ve vykazovaném období vyplacena.</w:t>
      </w:r>
    </w:p>
    <w:p w14:paraId="0FDB8722" w14:textId="77777777" w:rsidR="007B1C0A" w:rsidRDefault="007B1C0A">
      <w:pPr>
        <w:jc w:val="left"/>
        <w:rPr>
          <w:rFonts w:cstheme="minorHAnsi"/>
        </w:rPr>
      </w:pPr>
      <w:r>
        <w:rPr>
          <w:rFonts w:cstheme="minorHAnsi"/>
        </w:rPr>
        <w:br w:type="page"/>
      </w:r>
    </w:p>
    <w:p w14:paraId="73DBE74F" w14:textId="44B79E7F" w:rsidR="00E36AA1" w:rsidRPr="00E36AA1" w:rsidRDefault="002B59AD" w:rsidP="009428B0">
      <w:pPr>
        <w:pStyle w:val="Nadpis4"/>
        <w:spacing w:after="120"/>
      </w:pPr>
      <w:r>
        <w:lastRenderedPageBreak/>
        <w:t xml:space="preserve">Příloha č. </w:t>
      </w:r>
      <w:r w:rsidR="00F04CD4">
        <w:t>6</w:t>
      </w:r>
      <w:r w:rsidR="00E67FBE">
        <w:t>:</w:t>
      </w:r>
      <w:r w:rsidR="009428B0">
        <w:t xml:space="preserve"> </w:t>
      </w:r>
      <w:r w:rsidR="00A827A6">
        <w:t>Projekty v</w:t>
      </w:r>
      <w:r w:rsidR="00E36AA1">
        <w:t>ybran</w:t>
      </w:r>
      <w:r w:rsidR="00A827A6">
        <w:t>é</w:t>
      </w:r>
      <w:r w:rsidR="00E36AA1">
        <w:t xml:space="preserve"> </w:t>
      </w:r>
      <w:r w:rsidR="00A827A6">
        <w:t xml:space="preserve">do kontrolního </w:t>
      </w:r>
      <w:r w:rsidR="00E36AA1">
        <w:t>vzor</w:t>
      </w:r>
      <w:r w:rsidR="00A827A6">
        <w:t>ku</w:t>
      </w:r>
    </w:p>
    <w:tbl>
      <w:tblPr>
        <w:tblW w:w="9065" w:type="dxa"/>
        <w:tblInd w:w="-5" w:type="dxa"/>
        <w:tblCellMar>
          <w:left w:w="70" w:type="dxa"/>
          <w:right w:w="70" w:type="dxa"/>
        </w:tblCellMar>
        <w:tblLook w:val="04A0" w:firstRow="1" w:lastRow="0" w:firstColumn="1" w:lastColumn="0" w:noHBand="0" w:noVBand="1"/>
      </w:tblPr>
      <w:tblGrid>
        <w:gridCol w:w="709"/>
        <w:gridCol w:w="2693"/>
        <w:gridCol w:w="2268"/>
        <w:gridCol w:w="1560"/>
        <w:gridCol w:w="1835"/>
      </w:tblGrid>
      <w:tr w:rsidR="002B59AD" w:rsidRPr="002B59AD" w14:paraId="7A1213AA" w14:textId="77777777" w:rsidTr="00E364E5">
        <w:trPr>
          <w:trHeight w:val="430"/>
        </w:trPr>
        <w:tc>
          <w:tcPr>
            <w:tcW w:w="709"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5645B83C" w14:textId="77777777" w:rsidR="002B59AD" w:rsidRPr="007630AF" w:rsidRDefault="007630AF" w:rsidP="009354F6">
            <w:pPr>
              <w:contextualSpacing/>
              <w:jc w:val="center"/>
              <w:rPr>
                <w:rFonts w:ascii="Calibri" w:hAnsi="Calibri"/>
                <w:b/>
                <w:color w:val="000000"/>
                <w:sz w:val="16"/>
                <w:szCs w:val="16"/>
              </w:rPr>
            </w:pPr>
            <w:r w:rsidRPr="007630AF">
              <w:rPr>
                <w:rFonts w:ascii="Calibri" w:hAnsi="Calibri"/>
                <w:b/>
                <w:color w:val="000000"/>
                <w:sz w:val="16"/>
                <w:szCs w:val="16"/>
              </w:rPr>
              <w:t>Poř. č.</w:t>
            </w:r>
            <w:r w:rsidR="002B59AD" w:rsidRPr="007630AF">
              <w:rPr>
                <w:rFonts w:ascii="Calibri" w:hAnsi="Calibri"/>
                <w:b/>
                <w:color w:val="000000"/>
                <w:sz w:val="16"/>
                <w:szCs w:val="16"/>
              </w:rPr>
              <w:t> </w:t>
            </w:r>
          </w:p>
        </w:tc>
        <w:tc>
          <w:tcPr>
            <w:tcW w:w="2693" w:type="dxa"/>
            <w:tcBorders>
              <w:top w:val="single" w:sz="4" w:space="0" w:color="auto"/>
              <w:left w:val="nil"/>
              <w:bottom w:val="single" w:sz="4" w:space="0" w:color="auto"/>
              <w:right w:val="single" w:sz="4" w:space="0" w:color="auto"/>
            </w:tcBorders>
            <w:shd w:val="clear" w:color="000000" w:fill="E5F1FF"/>
            <w:vAlign w:val="center"/>
            <w:hideMark/>
          </w:tcPr>
          <w:p w14:paraId="4BB9BD6C" w14:textId="77777777" w:rsidR="002B59AD" w:rsidRPr="002B59AD" w:rsidRDefault="002B59AD" w:rsidP="009354F6">
            <w:pPr>
              <w:contextualSpacing/>
              <w:jc w:val="center"/>
              <w:rPr>
                <w:rFonts w:ascii="Calibri" w:hAnsi="Calibri"/>
                <w:b/>
                <w:bCs/>
                <w:color w:val="000000"/>
                <w:sz w:val="16"/>
                <w:szCs w:val="16"/>
              </w:rPr>
            </w:pPr>
            <w:r w:rsidRPr="002B59AD">
              <w:rPr>
                <w:rFonts w:ascii="Calibri" w:hAnsi="Calibri"/>
                <w:b/>
                <w:bCs/>
                <w:color w:val="000000"/>
                <w:sz w:val="16"/>
                <w:szCs w:val="16"/>
              </w:rPr>
              <w:t>Registrační číslo projektu</w:t>
            </w:r>
          </w:p>
        </w:tc>
        <w:tc>
          <w:tcPr>
            <w:tcW w:w="2268" w:type="dxa"/>
            <w:tcBorders>
              <w:top w:val="single" w:sz="4" w:space="0" w:color="auto"/>
              <w:left w:val="nil"/>
              <w:bottom w:val="single" w:sz="4" w:space="0" w:color="auto"/>
              <w:right w:val="single" w:sz="4" w:space="0" w:color="auto"/>
            </w:tcBorders>
            <w:shd w:val="clear" w:color="000000" w:fill="E5F1FF"/>
            <w:vAlign w:val="center"/>
            <w:hideMark/>
          </w:tcPr>
          <w:p w14:paraId="2FA4BA18" w14:textId="77777777" w:rsidR="002B59AD" w:rsidRPr="002B59AD" w:rsidRDefault="002B59AD" w:rsidP="009354F6">
            <w:pPr>
              <w:contextualSpacing/>
              <w:jc w:val="center"/>
              <w:rPr>
                <w:rFonts w:ascii="Calibri" w:hAnsi="Calibri"/>
                <w:b/>
                <w:bCs/>
                <w:color w:val="000000"/>
                <w:sz w:val="16"/>
                <w:szCs w:val="16"/>
              </w:rPr>
            </w:pPr>
            <w:r w:rsidRPr="002B59AD">
              <w:rPr>
                <w:rFonts w:ascii="Calibri" w:hAnsi="Calibri"/>
                <w:b/>
                <w:bCs/>
                <w:color w:val="000000"/>
                <w:sz w:val="16"/>
                <w:szCs w:val="16"/>
              </w:rPr>
              <w:t>Žadatel</w:t>
            </w:r>
          </w:p>
        </w:tc>
        <w:tc>
          <w:tcPr>
            <w:tcW w:w="1560" w:type="dxa"/>
            <w:tcBorders>
              <w:top w:val="single" w:sz="4" w:space="0" w:color="auto"/>
              <w:left w:val="nil"/>
              <w:bottom w:val="single" w:sz="4" w:space="0" w:color="auto"/>
              <w:right w:val="single" w:sz="4" w:space="0" w:color="auto"/>
            </w:tcBorders>
            <w:shd w:val="clear" w:color="000000" w:fill="E5F1FF"/>
            <w:vAlign w:val="center"/>
            <w:hideMark/>
          </w:tcPr>
          <w:p w14:paraId="5D83E6BC" w14:textId="77777777" w:rsidR="002B59AD" w:rsidRPr="002B59AD" w:rsidRDefault="002B59AD" w:rsidP="009354F6">
            <w:pPr>
              <w:contextualSpacing/>
              <w:jc w:val="center"/>
              <w:rPr>
                <w:rFonts w:ascii="Calibri" w:hAnsi="Calibri"/>
                <w:b/>
                <w:bCs/>
                <w:color w:val="000000"/>
                <w:sz w:val="16"/>
                <w:szCs w:val="16"/>
              </w:rPr>
            </w:pPr>
            <w:r w:rsidRPr="002B59AD">
              <w:rPr>
                <w:rFonts w:ascii="Calibri" w:hAnsi="Calibri"/>
                <w:b/>
                <w:bCs/>
                <w:color w:val="000000"/>
                <w:sz w:val="16"/>
                <w:szCs w:val="16"/>
              </w:rPr>
              <w:t>CZV projektu</w:t>
            </w:r>
            <w:r w:rsidR="00050EE7">
              <w:rPr>
                <w:rFonts w:ascii="Calibri" w:hAnsi="Calibri"/>
                <w:b/>
                <w:bCs/>
                <w:color w:val="000000"/>
                <w:sz w:val="16"/>
                <w:szCs w:val="16"/>
              </w:rPr>
              <w:t xml:space="preserve"> (v Kč)</w:t>
            </w:r>
          </w:p>
        </w:tc>
        <w:tc>
          <w:tcPr>
            <w:tcW w:w="1835" w:type="dxa"/>
            <w:tcBorders>
              <w:top w:val="single" w:sz="4" w:space="0" w:color="auto"/>
              <w:left w:val="nil"/>
              <w:bottom w:val="single" w:sz="4" w:space="0" w:color="auto"/>
              <w:right w:val="single" w:sz="4" w:space="0" w:color="auto"/>
            </w:tcBorders>
            <w:shd w:val="clear" w:color="000000" w:fill="E5F1FF"/>
            <w:vAlign w:val="center"/>
            <w:hideMark/>
          </w:tcPr>
          <w:p w14:paraId="2837A718" w14:textId="77777777" w:rsidR="002B59AD" w:rsidRPr="002B59AD" w:rsidRDefault="002B59AD" w:rsidP="009354F6">
            <w:pPr>
              <w:contextualSpacing/>
              <w:jc w:val="center"/>
              <w:rPr>
                <w:rFonts w:ascii="Calibri" w:hAnsi="Calibri"/>
                <w:b/>
                <w:bCs/>
                <w:color w:val="000000"/>
                <w:sz w:val="16"/>
                <w:szCs w:val="16"/>
              </w:rPr>
            </w:pPr>
            <w:r w:rsidRPr="002B59AD">
              <w:rPr>
                <w:rFonts w:ascii="Calibri" w:hAnsi="Calibri"/>
                <w:b/>
                <w:bCs/>
                <w:color w:val="000000"/>
                <w:sz w:val="16"/>
                <w:szCs w:val="16"/>
              </w:rPr>
              <w:t>Příspěvek EU</w:t>
            </w:r>
            <w:r w:rsidR="00050EE7">
              <w:rPr>
                <w:rFonts w:ascii="Calibri" w:hAnsi="Calibri"/>
                <w:b/>
                <w:bCs/>
                <w:color w:val="000000"/>
                <w:sz w:val="16"/>
                <w:szCs w:val="16"/>
              </w:rPr>
              <w:t xml:space="preserve"> (v Kč)</w:t>
            </w:r>
          </w:p>
        </w:tc>
      </w:tr>
      <w:tr w:rsidR="007B1C0A" w:rsidRPr="002B59AD" w14:paraId="0A42BBBD" w14:textId="77777777" w:rsidTr="009354F6">
        <w:trPr>
          <w:trHeight w:val="20"/>
        </w:trPr>
        <w:tc>
          <w:tcPr>
            <w:tcW w:w="9065" w:type="dxa"/>
            <w:gridSpan w:val="5"/>
            <w:tcBorders>
              <w:top w:val="single" w:sz="4" w:space="0" w:color="auto"/>
              <w:left w:val="single" w:sz="4" w:space="0" w:color="auto"/>
              <w:bottom w:val="single" w:sz="4" w:space="0" w:color="auto"/>
              <w:right w:val="single" w:sz="4" w:space="0" w:color="auto"/>
            </w:tcBorders>
            <w:shd w:val="clear" w:color="auto" w:fill="7F7F7F"/>
            <w:vAlign w:val="center"/>
          </w:tcPr>
          <w:p w14:paraId="228959B2" w14:textId="77777777" w:rsidR="007B1C0A" w:rsidRPr="002B59AD" w:rsidRDefault="007B1C0A" w:rsidP="009354F6">
            <w:pPr>
              <w:contextualSpacing/>
              <w:jc w:val="center"/>
              <w:rPr>
                <w:rFonts w:ascii="Calibri" w:hAnsi="Calibri"/>
                <w:b/>
                <w:bCs/>
                <w:color w:val="000000"/>
                <w:sz w:val="16"/>
                <w:szCs w:val="16"/>
              </w:rPr>
            </w:pPr>
            <w:r>
              <w:rPr>
                <w:rFonts w:ascii="Calibri" w:hAnsi="Calibri"/>
                <w:b/>
                <w:bCs/>
                <w:color w:val="000000"/>
                <w:sz w:val="16"/>
                <w:szCs w:val="16"/>
              </w:rPr>
              <w:t>Ú R O V E Ň   S F Ž P</w:t>
            </w:r>
          </w:p>
        </w:tc>
      </w:tr>
      <w:tr w:rsidR="002B59AD" w:rsidRPr="002B59AD" w14:paraId="7A5A065A"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28EC5F"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1</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00C084"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CZ.05.5.18/0.0/0.0/15_019/0001600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5E67726"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Kraj Vysočina</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5B590"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13 283 138,00</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C31719"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5 313 255,20</w:t>
            </w:r>
          </w:p>
        </w:tc>
      </w:tr>
      <w:tr w:rsidR="002B59AD" w:rsidRPr="002B59AD" w14:paraId="135F5A91"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6AB296AA" w14:textId="77777777" w:rsidR="002B59AD" w:rsidRPr="002B59AD" w:rsidRDefault="002B59AD" w:rsidP="009354F6">
            <w:pPr>
              <w:contextualSpacing/>
              <w:jc w:val="left"/>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604AEE38" w14:textId="77777777" w:rsidR="002B59AD" w:rsidRPr="002B59AD" w:rsidRDefault="002B59AD">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35A1BADA" w14:textId="77777777" w:rsidR="002B59AD" w:rsidRPr="002B59AD" w:rsidRDefault="002B59AD" w:rsidP="009354F6">
            <w:pPr>
              <w:contextualSpacing/>
              <w:jc w:val="left"/>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188A153D" w14:textId="77777777" w:rsidR="002B59AD" w:rsidRPr="002B59AD" w:rsidRDefault="002B59AD" w:rsidP="009354F6">
            <w:pPr>
              <w:contextualSpacing/>
              <w:jc w:val="left"/>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045D890D" w14:textId="77777777" w:rsidR="002B59AD" w:rsidRPr="002B59AD" w:rsidRDefault="002B59AD" w:rsidP="00FC7CB7">
            <w:pPr>
              <w:ind w:right="164"/>
              <w:contextualSpacing/>
              <w:jc w:val="left"/>
              <w:rPr>
                <w:rFonts w:ascii="Calibri" w:hAnsi="Calibri"/>
                <w:color w:val="000000"/>
                <w:sz w:val="16"/>
                <w:szCs w:val="16"/>
              </w:rPr>
            </w:pPr>
          </w:p>
        </w:tc>
      </w:tr>
      <w:tr w:rsidR="002B59AD" w:rsidRPr="002B59AD" w14:paraId="30BE4DF0"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2231E9"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2</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E18B30"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CZ.05.5.18/0.0/0.0/15_019/0001874</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5A59E96"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Technická univerzita v Liberci</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C1946A"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12 933 400,00</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67A1FD"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5 173 360,00</w:t>
            </w:r>
          </w:p>
        </w:tc>
      </w:tr>
      <w:tr w:rsidR="002B59AD" w:rsidRPr="002B59AD" w14:paraId="45077654"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0FC0C0AA" w14:textId="77777777" w:rsidR="002B59AD" w:rsidRPr="002B59AD" w:rsidRDefault="002B59AD" w:rsidP="009354F6">
            <w:pPr>
              <w:contextualSpacing/>
              <w:jc w:val="left"/>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70ABF061" w14:textId="77777777" w:rsidR="002B59AD" w:rsidRPr="002B59AD" w:rsidRDefault="002B59AD">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0F31A30A" w14:textId="77777777" w:rsidR="002B59AD" w:rsidRPr="002B59AD" w:rsidRDefault="002B59AD" w:rsidP="009354F6">
            <w:pPr>
              <w:contextualSpacing/>
              <w:jc w:val="left"/>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7E487C63" w14:textId="77777777" w:rsidR="002B59AD" w:rsidRPr="002B59AD" w:rsidRDefault="002B59AD" w:rsidP="009354F6">
            <w:pPr>
              <w:contextualSpacing/>
              <w:jc w:val="left"/>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3DD8E64A" w14:textId="77777777" w:rsidR="002B59AD" w:rsidRPr="002B59AD" w:rsidRDefault="002B59AD" w:rsidP="003D5728">
            <w:pPr>
              <w:ind w:right="164"/>
              <w:contextualSpacing/>
              <w:jc w:val="left"/>
              <w:rPr>
                <w:rFonts w:ascii="Calibri" w:hAnsi="Calibri"/>
                <w:color w:val="000000"/>
                <w:sz w:val="16"/>
                <w:szCs w:val="16"/>
              </w:rPr>
            </w:pPr>
          </w:p>
        </w:tc>
      </w:tr>
      <w:tr w:rsidR="002B59AD" w:rsidRPr="002B59AD" w14:paraId="698DA703"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535F5D"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3</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7E4D5F"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CZ.05.5.18/0.0/0.0/15_019/0001918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76B2681"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Statutární město Jablonec nad Nisou</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B0F968"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8 860 805,30</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5CDCC1"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3 544 322,12</w:t>
            </w:r>
          </w:p>
        </w:tc>
      </w:tr>
      <w:tr w:rsidR="002B59AD" w:rsidRPr="002B59AD" w14:paraId="3EC0CC9E"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7A4D0231" w14:textId="77777777" w:rsidR="002B59AD" w:rsidRPr="002B59AD" w:rsidRDefault="002B59AD" w:rsidP="009354F6">
            <w:pPr>
              <w:contextualSpacing/>
              <w:jc w:val="left"/>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775A0569" w14:textId="77777777" w:rsidR="002B59AD" w:rsidRPr="002B59AD" w:rsidRDefault="002B59AD">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538E97D6" w14:textId="77777777" w:rsidR="002B59AD" w:rsidRPr="002B59AD" w:rsidRDefault="002B59AD" w:rsidP="009354F6">
            <w:pPr>
              <w:contextualSpacing/>
              <w:jc w:val="left"/>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2063CEFA" w14:textId="77777777" w:rsidR="002B59AD" w:rsidRPr="002B59AD" w:rsidRDefault="002B59AD" w:rsidP="009354F6">
            <w:pPr>
              <w:contextualSpacing/>
              <w:jc w:val="left"/>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30080551" w14:textId="77777777" w:rsidR="002B59AD" w:rsidRPr="002B59AD" w:rsidRDefault="002B59AD" w:rsidP="003D5728">
            <w:pPr>
              <w:ind w:right="164"/>
              <w:contextualSpacing/>
              <w:jc w:val="left"/>
              <w:rPr>
                <w:rFonts w:ascii="Calibri" w:hAnsi="Calibri"/>
                <w:color w:val="000000"/>
                <w:sz w:val="16"/>
                <w:szCs w:val="16"/>
              </w:rPr>
            </w:pPr>
          </w:p>
        </w:tc>
      </w:tr>
      <w:tr w:rsidR="002B59AD" w:rsidRPr="002B59AD" w14:paraId="39C9E97D"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769B39"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4</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2D9AAC"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CZ.05.5.18/0.0/0.0/15_019/0001741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A937E78"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Olomoucký kraj</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678E19"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7 254 172,00</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C31A04"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2 901 668,80</w:t>
            </w:r>
          </w:p>
        </w:tc>
      </w:tr>
      <w:tr w:rsidR="002B59AD" w:rsidRPr="002B59AD" w14:paraId="2B5B4517"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120F38AE" w14:textId="77777777" w:rsidR="002B59AD" w:rsidRPr="002B59AD" w:rsidRDefault="002B59AD" w:rsidP="009354F6">
            <w:pPr>
              <w:contextualSpacing/>
              <w:jc w:val="left"/>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6CFE1DA3" w14:textId="77777777" w:rsidR="002B59AD" w:rsidRPr="002B59AD" w:rsidRDefault="002B59AD">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6BC3D96B" w14:textId="77777777" w:rsidR="002B59AD" w:rsidRPr="002B59AD" w:rsidRDefault="002B59AD" w:rsidP="009354F6">
            <w:pPr>
              <w:contextualSpacing/>
              <w:jc w:val="left"/>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5378CA97" w14:textId="77777777" w:rsidR="002B59AD" w:rsidRPr="002B59AD" w:rsidRDefault="002B59AD" w:rsidP="009354F6">
            <w:pPr>
              <w:contextualSpacing/>
              <w:jc w:val="left"/>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5C00F246" w14:textId="77777777" w:rsidR="002B59AD" w:rsidRPr="002B59AD" w:rsidRDefault="002B59AD" w:rsidP="003D5728">
            <w:pPr>
              <w:ind w:right="164"/>
              <w:contextualSpacing/>
              <w:jc w:val="left"/>
              <w:rPr>
                <w:rFonts w:ascii="Calibri" w:hAnsi="Calibri"/>
                <w:color w:val="000000"/>
                <w:sz w:val="16"/>
                <w:szCs w:val="16"/>
              </w:rPr>
            </w:pPr>
          </w:p>
        </w:tc>
      </w:tr>
      <w:tr w:rsidR="002B59AD" w:rsidRPr="002B59AD" w14:paraId="76BFBFDC"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765F24"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5</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2CD579"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CZ.05.5.18/0.0/0.0/16_039/0004376</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A06644A"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Liberecký kraj</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4242D9"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7 524 627,00</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0B621C"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3 009 850,80</w:t>
            </w:r>
          </w:p>
        </w:tc>
      </w:tr>
      <w:tr w:rsidR="002B59AD" w:rsidRPr="002B59AD" w14:paraId="04937B33"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35304625" w14:textId="77777777" w:rsidR="002B59AD" w:rsidRPr="002B59AD" w:rsidRDefault="002B59AD" w:rsidP="009354F6">
            <w:pPr>
              <w:contextualSpacing/>
              <w:jc w:val="left"/>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17FFD096" w14:textId="77777777" w:rsidR="002B59AD" w:rsidRPr="002B59AD" w:rsidRDefault="002B59AD">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4BF1C77C" w14:textId="77777777" w:rsidR="002B59AD" w:rsidRPr="002B59AD" w:rsidRDefault="002B59AD" w:rsidP="009354F6">
            <w:pPr>
              <w:contextualSpacing/>
              <w:jc w:val="left"/>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157EB458" w14:textId="77777777" w:rsidR="002B59AD" w:rsidRPr="002B59AD" w:rsidRDefault="002B59AD" w:rsidP="009354F6">
            <w:pPr>
              <w:contextualSpacing/>
              <w:jc w:val="left"/>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38D954B5" w14:textId="77777777" w:rsidR="002B59AD" w:rsidRPr="002B59AD" w:rsidRDefault="002B59AD" w:rsidP="003D5728">
            <w:pPr>
              <w:ind w:right="164"/>
              <w:contextualSpacing/>
              <w:jc w:val="left"/>
              <w:rPr>
                <w:rFonts w:ascii="Calibri" w:hAnsi="Calibri"/>
                <w:color w:val="000000"/>
                <w:sz w:val="16"/>
                <w:szCs w:val="16"/>
              </w:rPr>
            </w:pPr>
          </w:p>
        </w:tc>
      </w:tr>
      <w:tr w:rsidR="002B59AD" w:rsidRPr="002B59AD" w14:paraId="71A5C725"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EA0608"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6</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F624B8"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CZ.05.5.18/0.0/0.0/16_039/0004527</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1EB6914"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Obec Osek nad Bečvou</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2B13FC"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12 958 223,96</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AA7DB7"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5 183 289,58</w:t>
            </w:r>
          </w:p>
        </w:tc>
      </w:tr>
      <w:tr w:rsidR="002B59AD" w:rsidRPr="002B59AD" w14:paraId="38268851"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7FD5C555" w14:textId="77777777" w:rsidR="002B59AD" w:rsidRPr="002B59AD" w:rsidRDefault="002B59AD" w:rsidP="009354F6">
            <w:pPr>
              <w:contextualSpacing/>
              <w:jc w:val="left"/>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4700477D" w14:textId="77777777" w:rsidR="002B59AD" w:rsidRPr="002B59AD" w:rsidRDefault="002B59AD">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70C358C1" w14:textId="77777777" w:rsidR="002B59AD" w:rsidRPr="002B59AD" w:rsidRDefault="002B59AD" w:rsidP="009354F6">
            <w:pPr>
              <w:contextualSpacing/>
              <w:jc w:val="left"/>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1130D5DC" w14:textId="77777777" w:rsidR="002B59AD" w:rsidRPr="002B59AD" w:rsidRDefault="002B59AD" w:rsidP="009354F6">
            <w:pPr>
              <w:contextualSpacing/>
              <w:jc w:val="left"/>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19890236" w14:textId="77777777" w:rsidR="002B59AD" w:rsidRPr="002B59AD" w:rsidRDefault="002B59AD" w:rsidP="003D5728">
            <w:pPr>
              <w:ind w:right="164"/>
              <w:contextualSpacing/>
              <w:jc w:val="left"/>
              <w:rPr>
                <w:rFonts w:ascii="Calibri" w:hAnsi="Calibri"/>
                <w:color w:val="000000"/>
                <w:sz w:val="16"/>
                <w:szCs w:val="16"/>
              </w:rPr>
            </w:pPr>
          </w:p>
        </w:tc>
      </w:tr>
      <w:tr w:rsidR="002B59AD" w:rsidRPr="002B59AD" w14:paraId="65ADCE3B"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4855D5"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7</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118E05"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CZ.05.5.18/0.0/0.0/16_039/0004381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7820DC9"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Město Humpolec</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57CC2A"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3 856 179,60</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400933"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1 542 471,84</w:t>
            </w:r>
          </w:p>
        </w:tc>
      </w:tr>
      <w:tr w:rsidR="002B59AD" w:rsidRPr="002B59AD" w14:paraId="671E52D2"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57CD8C11" w14:textId="77777777" w:rsidR="002B59AD" w:rsidRPr="002B59AD" w:rsidRDefault="002B59AD" w:rsidP="009354F6">
            <w:pPr>
              <w:contextualSpacing/>
              <w:jc w:val="left"/>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038351D4" w14:textId="77777777" w:rsidR="002B59AD" w:rsidRPr="002B59AD" w:rsidRDefault="002B59AD">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5FE6E9D6" w14:textId="77777777" w:rsidR="002B59AD" w:rsidRPr="002B59AD" w:rsidRDefault="002B59AD" w:rsidP="009354F6">
            <w:pPr>
              <w:contextualSpacing/>
              <w:jc w:val="left"/>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38A59CF2" w14:textId="77777777" w:rsidR="002B59AD" w:rsidRPr="002B59AD" w:rsidRDefault="002B59AD" w:rsidP="009354F6">
            <w:pPr>
              <w:contextualSpacing/>
              <w:jc w:val="left"/>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4482C076" w14:textId="77777777" w:rsidR="002B59AD" w:rsidRPr="002B59AD" w:rsidRDefault="002B59AD" w:rsidP="003D5728">
            <w:pPr>
              <w:ind w:right="164"/>
              <w:contextualSpacing/>
              <w:jc w:val="left"/>
              <w:rPr>
                <w:rFonts w:ascii="Calibri" w:hAnsi="Calibri"/>
                <w:color w:val="000000"/>
                <w:sz w:val="16"/>
                <w:szCs w:val="16"/>
              </w:rPr>
            </w:pPr>
          </w:p>
        </w:tc>
      </w:tr>
      <w:tr w:rsidR="002B59AD" w:rsidRPr="002B59AD" w14:paraId="42D586C6"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5C27F8"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8</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761B3B"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CZ.05.5.18/0.0/0.0/16_039/0004452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8FF5A83"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Město Roudnice nad Labem</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401048"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24 939 001,67</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BD78F1"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9 975 600,66</w:t>
            </w:r>
          </w:p>
        </w:tc>
      </w:tr>
      <w:tr w:rsidR="002B59AD" w:rsidRPr="002B59AD" w14:paraId="1BD0F740"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14A02FE0" w14:textId="77777777" w:rsidR="002B59AD" w:rsidRPr="002B59AD" w:rsidRDefault="002B59AD" w:rsidP="009354F6">
            <w:pPr>
              <w:contextualSpacing/>
              <w:jc w:val="left"/>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605964F6" w14:textId="77777777" w:rsidR="002B59AD" w:rsidRPr="002B59AD" w:rsidRDefault="002B59AD">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6083213C" w14:textId="77777777" w:rsidR="002B59AD" w:rsidRPr="002B59AD" w:rsidRDefault="002B59AD" w:rsidP="009354F6">
            <w:pPr>
              <w:contextualSpacing/>
              <w:jc w:val="left"/>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219EDBE8" w14:textId="77777777" w:rsidR="002B59AD" w:rsidRPr="002B59AD" w:rsidRDefault="002B59AD" w:rsidP="009354F6">
            <w:pPr>
              <w:contextualSpacing/>
              <w:jc w:val="left"/>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66671657" w14:textId="77777777" w:rsidR="002B59AD" w:rsidRPr="002B59AD" w:rsidRDefault="002B59AD" w:rsidP="003D5728">
            <w:pPr>
              <w:ind w:right="164"/>
              <w:contextualSpacing/>
              <w:jc w:val="left"/>
              <w:rPr>
                <w:rFonts w:ascii="Calibri" w:hAnsi="Calibri"/>
                <w:color w:val="000000"/>
                <w:sz w:val="16"/>
                <w:szCs w:val="16"/>
              </w:rPr>
            </w:pPr>
          </w:p>
        </w:tc>
      </w:tr>
      <w:tr w:rsidR="002B59AD" w:rsidRPr="002B59AD" w14:paraId="7B3BD911"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AA1E74"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9</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5F1791"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CZ.05.5.18/0.0/0.0/17_070/0005186</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A17DDD4"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Obec Markvartovice</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A60B26"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13 707 336,00</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067177"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5 482 934,40</w:t>
            </w:r>
          </w:p>
        </w:tc>
      </w:tr>
      <w:tr w:rsidR="002B59AD" w:rsidRPr="002B59AD" w14:paraId="6F5498BD"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420349B3" w14:textId="77777777" w:rsidR="002B59AD" w:rsidRPr="002B59AD" w:rsidRDefault="002B59AD" w:rsidP="009354F6">
            <w:pPr>
              <w:contextualSpacing/>
              <w:jc w:val="center"/>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132F40DB" w14:textId="77777777" w:rsidR="002B59AD" w:rsidRPr="002B59AD" w:rsidRDefault="002B59AD" w:rsidP="003D5728">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16D7C975" w14:textId="77777777" w:rsidR="002B59AD" w:rsidRPr="002B59AD" w:rsidRDefault="002B59AD" w:rsidP="009354F6">
            <w:pPr>
              <w:contextualSpacing/>
              <w:jc w:val="center"/>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6F58544F" w14:textId="77777777" w:rsidR="002B59AD" w:rsidRPr="002B59AD" w:rsidRDefault="002B59AD" w:rsidP="009354F6">
            <w:pPr>
              <w:contextualSpacing/>
              <w:jc w:val="center"/>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2AA74D7E" w14:textId="77777777" w:rsidR="002B59AD" w:rsidRPr="002B59AD" w:rsidRDefault="002B59AD" w:rsidP="003D5728">
            <w:pPr>
              <w:ind w:right="164"/>
              <w:contextualSpacing/>
              <w:jc w:val="center"/>
              <w:rPr>
                <w:rFonts w:ascii="Calibri" w:hAnsi="Calibri"/>
                <w:color w:val="000000"/>
                <w:sz w:val="16"/>
                <w:szCs w:val="16"/>
              </w:rPr>
            </w:pPr>
          </w:p>
        </w:tc>
      </w:tr>
      <w:tr w:rsidR="002B59AD" w:rsidRPr="002B59AD" w14:paraId="0283B0DD"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746CD2"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10</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7F65F7"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CZ.05.5.18/0.0/0.0/17_070/0005187</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E779EFB"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Město Neratovice</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ACC63"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8 846 283,00</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1FDD91"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3 538 513,20</w:t>
            </w:r>
          </w:p>
        </w:tc>
      </w:tr>
      <w:tr w:rsidR="002B59AD" w:rsidRPr="002B59AD" w14:paraId="3C7D7C12"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1124AFB5" w14:textId="77777777" w:rsidR="002B59AD" w:rsidRPr="002B59AD" w:rsidRDefault="002B59AD" w:rsidP="009354F6">
            <w:pPr>
              <w:contextualSpacing/>
              <w:jc w:val="center"/>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477566AE" w14:textId="77777777" w:rsidR="002B59AD" w:rsidRPr="002B59AD" w:rsidRDefault="002B59AD" w:rsidP="003D5728">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7DF10D54" w14:textId="77777777" w:rsidR="002B59AD" w:rsidRPr="002B59AD" w:rsidRDefault="002B59AD" w:rsidP="009354F6">
            <w:pPr>
              <w:contextualSpacing/>
              <w:jc w:val="center"/>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239953D7" w14:textId="77777777" w:rsidR="002B59AD" w:rsidRPr="002B59AD" w:rsidRDefault="002B59AD" w:rsidP="009354F6">
            <w:pPr>
              <w:contextualSpacing/>
              <w:jc w:val="center"/>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4C32308D" w14:textId="77777777" w:rsidR="002B59AD" w:rsidRPr="002B59AD" w:rsidRDefault="002B59AD" w:rsidP="003D5728">
            <w:pPr>
              <w:ind w:right="164"/>
              <w:contextualSpacing/>
              <w:jc w:val="center"/>
              <w:rPr>
                <w:rFonts w:ascii="Calibri" w:hAnsi="Calibri"/>
                <w:color w:val="000000"/>
                <w:sz w:val="16"/>
                <w:szCs w:val="16"/>
              </w:rPr>
            </w:pPr>
          </w:p>
        </w:tc>
      </w:tr>
      <w:tr w:rsidR="002B59AD" w:rsidRPr="002B59AD" w14:paraId="7DCB9F9C"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0D9921"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11</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B8519D"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CZ.05.5.18/0.0/0.0/17_070/0005230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B1FF0F0"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Olomoucký kraj</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6B1F86"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14 265 689,19</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A526BA"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5 706 275,67</w:t>
            </w:r>
          </w:p>
        </w:tc>
      </w:tr>
      <w:tr w:rsidR="002B59AD" w:rsidRPr="002B59AD" w14:paraId="3AE16093"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07B70F33" w14:textId="77777777" w:rsidR="002B59AD" w:rsidRPr="002B59AD" w:rsidRDefault="002B59AD" w:rsidP="009354F6">
            <w:pPr>
              <w:contextualSpacing/>
              <w:jc w:val="center"/>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14CEBDD2" w14:textId="77777777" w:rsidR="002B59AD" w:rsidRPr="002B59AD" w:rsidRDefault="002B59AD" w:rsidP="003D5728">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5A54CDCC" w14:textId="77777777" w:rsidR="002B59AD" w:rsidRPr="002B59AD" w:rsidRDefault="002B59AD" w:rsidP="009354F6">
            <w:pPr>
              <w:contextualSpacing/>
              <w:jc w:val="center"/>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0267E0E8" w14:textId="77777777" w:rsidR="002B59AD" w:rsidRPr="002B59AD" w:rsidRDefault="002B59AD" w:rsidP="009354F6">
            <w:pPr>
              <w:contextualSpacing/>
              <w:jc w:val="center"/>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662BD6EE" w14:textId="77777777" w:rsidR="002B59AD" w:rsidRPr="002B59AD" w:rsidRDefault="002B59AD" w:rsidP="003D5728">
            <w:pPr>
              <w:ind w:right="164"/>
              <w:contextualSpacing/>
              <w:jc w:val="center"/>
              <w:rPr>
                <w:rFonts w:ascii="Calibri" w:hAnsi="Calibri"/>
                <w:color w:val="000000"/>
                <w:sz w:val="16"/>
                <w:szCs w:val="16"/>
              </w:rPr>
            </w:pPr>
          </w:p>
        </w:tc>
      </w:tr>
      <w:tr w:rsidR="002B59AD" w:rsidRPr="002B59AD" w14:paraId="4F138C71"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42B866"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12</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A90874"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CZ.05.5.18/0.0/0.0/17_070/0006259</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CB63D75"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Moravskoslezský kraj</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6079E2"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10 318 126,31</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30BEC7"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4 127 250,52</w:t>
            </w:r>
          </w:p>
        </w:tc>
      </w:tr>
      <w:tr w:rsidR="002B59AD" w:rsidRPr="002B59AD" w14:paraId="335F7FE0"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3BFFB513" w14:textId="77777777" w:rsidR="002B59AD" w:rsidRPr="002B59AD" w:rsidRDefault="002B59AD" w:rsidP="009354F6">
            <w:pPr>
              <w:contextualSpacing/>
              <w:jc w:val="center"/>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5BD27490" w14:textId="77777777" w:rsidR="002B59AD" w:rsidRPr="002B59AD" w:rsidRDefault="002B59AD" w:rsidP="003D5728">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33CEB046" w14:textId="77777777" w:rsidR="002B59AD" w:rsidRPr="002B59AD" w:rsidRDefault="002B59AD" w:rsidP="009354F6">
            <w:pPr>
              <w:contextualSpacing/>
              <w:jc w:val="center"/>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1B4D3FDA" w14:textId="77777777" w:rsidR="002B59AD" w:rsidRPr="002B59AD" w:rsidRDefault="002B59AD" w:rsidP="009354F6">
            <w:pPr>
              <w:contextualSpacing/>
              <w:jc w:val="center"/>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7D97608A" w14:textId="77777777" w:rsidR="002B59AD" w:rsidRPr="002B59AD" w:rsidRDefault="002B59AD" w:rsidP="003D5728">
            <w:pPr>
              <w:ind w:right="164"/>
              <w:contextualSpacing/>
              <w:jc w:val="center"/>
              <w:rPr>
                <w:rFonts w:ascii="Calibri" w:hAnsi="Calibri"/>
                <w:color w:val="000000"/>
                <w:sz w:val="16"/>
                <w:szCs w:val="16"/>
              </w:rPr>
            </w:pPr>
          </w:p>
        </w:tc>
      </w:tr>
      <w:tr w:rsidR="002B59AD" w:rsidRPr="002B59AD" w14:paraId="098280F2" w14:textId="77777777" w:rsidTr="00FC7CB7">
        <w:trPr>
          <w:trHeight w:val="19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98405" w14:textId="77777777" w:rsidR="002B59AD" w:rsidRPr="002B59AD" w:rsidRDefault="002B59AD" w:rsidP="009354F6">
            <w:pPr>
              <w:contextualSpacing/>
              <w:jc w:val="center"/>
              <w:rPr>
                <w:rFonts w:ascii="Calibri" w:hAnsi="Calibri"/>
                <w:color w:val="000000"/>
                <w:sz w:val="16"/>
                <w:szCs w:val="16"/>
              </w:rPr>
            </w:pPr>
            <w:r w:rsidRPr="002B59AD">
              <w:rPr>
                <w:rFonts w:ascii="Calibri" w:hAnsi="Calibri"/>
                <w:color w:val="000000"/>
                <w:sz w:val="16"/>
                <w:szCs w:val="16"/>
              </w:rPr>
              <w:t>13</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0AB73D" w14:textId="77777777" w:rsidR="002B59AD" w:rsidRPr="002B59AD" w:rsidRDefault="002B59AD" w:rsidP="003D5728">
            <w:pPr>
              <w:contextualSpacing/>
              <w:jc w:val="left"/>
              <w:rPr>
                <w:rFonts w:ascii="Calibri" w:hAnsi="Calibri"/>
                <w:color w:val="000000"/>
                <w:sz w:val="16"/>
                <w:szCs w:val="16"/>
              </w:rPr>
            </w:pPr>
            <w:r w:rsidRPr="002B59AD">
              <w:rPr>
                <w:rFonts w:ascii="Calibri" w:hAnsi="Calibri"/>
                <w:color w:val="000000"/>
                <w:sz w:val="16"/>
                <w:szCs w:val="16"/>
              </w:rPr>
              <w:t>CZ.05.5.18/0.0/0.0/17_070/0006542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7249014" w14:textId="77777777" w:rsidR="002B59AD" w:rsidRPr="002B59AD" w:rsidRDefault="002B59AD" w:rsidP="009354F6">
            <w:pPr>
              <w:contextualSpacing/>
              <w:jc w:val="left"/>
              <w:rPr>
                <w:rFonts w:ascii="Calibri" w:hAnsi="Calibri"/>
                <w:color w:val="000000"/>
                <w:sz w:val="16"/>
                <w:szCs w:val="16"/>
              </w:rPr>
            </w:pPr>
            <w:r w:rsidRPr="002B59AD">
              <w:rPr>
                <w:rFonts w:ascii="Calibri" w:hAnsi="Calibri"/>
                <w:color w:val="000000"/>
                <w:sz w:val="16"/>
                <w:szCs w:val="16"/>
              </w:rPr>
              <w:t>Statutární město Jablonec nad Nisou</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B81EEB" w14:textId="77777777" w:rsidR="002B59AD" w:rsidRPr="002B59AD" w:rsidRDefault="002B59AD" w:rsidP="009354F6">
            <w:pPr>
              <w:contextualSpacing/>
              <w:jc w:val="right"/>
              <w:rPr>
                <w:rFonts w:ascii="Calibri" w:hAnsi="Calibri"/>
                <w:color w:val="000000"/>
                <w:sz w:val="16"/>
                <w:szCs w:val="16"/>
              </w:rPr>
            </w:pPr>
            <w:r w:rsidRPr="002B59AD">
              <w:rPr>
                <w:rFonts w:ascii="Calibri" w:hAnsi="Calibri"/>
                <w:color w:val="000000"/>
                <w:sz w:val="16"/>
                <w:szCs w:val="16"/>
              </w:rPr>
              <w:t>8 887 934,00</w:t>
            </w:r>
          </w:p>
        </w:tc>
        <w:tc>
          <w:tcPr>
            <w:tcW w:w="18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86D413" w14:textId="77777777" w:rsidR="002B59AD" w:rsidRPr="002B59AD" w:rsidRDefault="002B59AD" w:rsidP="003D5728">
            <w:pPr>
              <w:ind w:right="164"/>
              <w:contextualSpacing/>
              <w:jc w:val="right"/>
              <w:rPr>
                <w:rFonts w:ascii="Calibri" w:hAnsi="Calibri"/>
                <w:color w:val="000000"/>
                <w:sz w:val="16"/>
                <w:szCs w:val="16"/>
              </w:rPr>
            </w:pPr>
            <w:r w:rsidRPr="002B59AD">
              <w:rPr>
                <w:rFonts w:ascii="Calibri" w:hAnsi="Calibri"/>
                <w:color w:val="000000"/>
                <w:sz w:val="16"/>
                <w:szCs w:val="16"/>
              </w:rPr>
              <w:t>3 555 173,60</w:t>
            </w:r>
          </w:p>
        </w:tc>
      </w:tr>
      <w:tr w:rsidR="002B59AD" w:rsidRPr="002B59AD" w14:paraId="1A043F56" w14:textId="77777777" w:rsidTr="00FC7CB7">
        <w:trPr>
          <w:trHeight w:val="293"/>
        </w:trPr>
        <w:tc>
          <w:tcPr>
            <w:tcW w:w="709" w:type="dxa"/>
            <w:vMerge/>
            <w:tcBorders>
              <w:top w:val="nil"/>
              <w:left w:val="single" w:sz="4" w:space="0" w:color="auto"/>
              <w:bottom w:val="single" w:sz="4" w:space="0" w:color="auto"/>
              <w:right w:val="single" w:sz="4" w:space="0" w:color="auto"/>
            </w:tcBorders>
            <w:vAlign w:val="center"/>
            <w:hideMark/>
          </w:tcPr>
          <w:p w14:paraId="6E99858D" w14:textId="77777777" w:rsidR="002B59AD" w:rsidRPr="002B59AD" w:rsidRDefault="002B59AD" w:rsidP="009354F6">
            <w:pPr>
              <w:contextualSpacing/>
              <w:jc w:val="center"/>
              <w:rPr>
                <w:rFonts w:ascii="Calibri" w:hAnsi="Calibri"/>
                <w:color w:val="000000"/>
                <w:sz w:val="16"/>
                <w:szCs w:val="16"/>
              </w:rPr>
            </w:pPr>
          </w:p>
        </w:tc>
        <w:tc>
          <w:tcPr>
            <w:tcW w:w="2693" w:type="dxa"/>
            <w:vMerge/>
            <w:tcBorders>
              <w:top w:val="nil"/>
              <w:left w:val="single" w:sz="4" w:space="0" w:color="auto"/>
              <w:bottom w:val="single" w:sz="4" w:space="0" w:color="000000"/>
              <w:right w:val="single" w:sz="4" w:space="0" w:color="auto"/>
            </w:tcBorders>
            <w:vAlign w:val="center"/>
            <w:hideMark/>
          </w:tcPr>
          <w:p w14:paraId="12A5678E" w14:textId="77777777" w:rsidR="002B59AD" w:rsidRPr="002B59AD" w:rsidRDefault="002B59AD" w:rsidP="003D5728">
            <w:pPr>
              <w:contextualSpacing/>
              <w:jc w:val="left"/>
              <w:rPr>
                <w:rFonts w:ascii="Calibri" w:hAnsi="Calibri"/>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6E826828" w14:textId="77777777" w:rsidR="002B59AD" w:rsidRPr="002B59AD" w:rsidRDefault="002B59AD" w:rsidP="009354F6">
            <w:pPr>
              <w:contextualSpacing/>
              <w:jc w:val="center"/>
              <w:rPr>
                <w:rFonts w:ascii="Calibri" w:hAnsi="Calibri"/>
                <w:color w:val="000000"/>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1BE2C1DE" w14:textId="77777777" w:rsidR="002B59AD" w:rsidRPr="002B59AD" w:rsidRDefault="002B59AD" w:rsidP="009354F6">
            <w:pPr>
              <w:contextualSpacing/>
              <w:jc w:val="center"/>
              <w:rPr>
                <w:rFonts w:ascii="Calibri" w:hAnsi="Calibri"/>
                <w:color w:val="000000"/>
                <w:sz w:val="16"/>
                <w:szCs w:val="16"/>
              </w:rPr>
            </w:pPr>
          </w:p>
        </w:tc>
        <w:tc>
          <w:tcPr>
            <w:tcW w:w="1835" w:type="dxa"/>
            <w:vMerge/>
            <w:tcBorders>
              <w:top w:val="nil"/>
              <w:left w:val="single" w:sz="4" w:space="0" w:color="auto"/>
              <w:bottom w:val="single" w:sz="4" w:space="0" w:color="auto"/>
              <w:right w:val="single" w:sz="4" w:space="0" w:color="auto"/>
            </w:tcBorders>
            <w:vAlign w:val="center"/>
            <w:hideMark/>
          </w:tcPr>
          <w:p w14:paraId="65341486" w14:textId="77777777" w:rsidR="002B59AD" w:rsidRPr="002B59AD" w:rsidRDefault="002B59AD" w:rsidP="003D5728">
            <w:pPr>
              <w:ind w:right="164"/>
              <w:contextualSpacing/>
              <w:jc w:val="center"/>
              <w:rPr>
                <w:rFonts w:ascii="Calibri" w:hAnsi="Calibri"/>
                <w:color w:val="000000"/>
                <w:sz w:val="16"/>
                <w:szCs w:val="16"/>
              </w:rPr>
            </w:pPr>
          </w:p>
        </w:tc>
      </w:tr>
      <w:tr w:rsidR="00711DA5" w:rsidRPr="002B59AD" w14:paraId="113D61A6" w14:textId="77777777" w:rsidTr="00FC7CB7">
        <w:trPr>
          <w:trHeight w:val="20"/>
        </w:trPr>
        <w:tc>
          <w:tcPr>
            <w:tcW w:w="709" w:type="dxa"/>
            <w:vMerge w:val="restart"/>
            <w:tcBorders>
              <w:top w:val="nil"/>
              <w:left w:val="single" w:sz="4" w:space="0" w:color="auto"/>
              <w:right w:val="single" w:sz="4" w:space="0" w:color="auto"/>
            </w:tcBorders>
            <w:shd w:val="clear" w:color="auto" w:fill="auto"/>
            <w:noWrap/>
            <w:vAlign w:val="center"/>
            <w:hideMark/>
          </w:tcPr>
          <w:p w14:paraId="2FFE73E0" w14:textId="77777777" w:rsidR="00711DA5" w:rsidRPr="002B59AD" w:rsidRDefault="00711DA5" w:rsidP="009354F6">
            <w:pPr>
              <w:contextualSpacing/>
              <w:jc w:val="center"/>
              <w:rPr>
                <w:rFonts w:ascii="Calibri" w:hAnsi="Calibri"/>
                <w:color w:val="000000"/>
                <w:sz w:val="16"/>
                <w:szCs w:val="16"/>
              </w:rPr>
            </w:pPr>
            <w:r w:rsidRPr="002B59AD">
              <w:rPr>
                <w:rFonts w:ascii="Calibri" w:hAnsi="Calibri"/>
                <w:color w:val="000000"/>
                <w:sz w:val="16"/>
                <w:szCs w:val="16"/>
              </w:rPr>
              <w:t>14</w:t>
            </w:r>
          </w:p>
        </w:tc>
        <w:tc>
          <w:tcPr>
            <w:tcW w:w="2693" w:type="dxa"/>
            <w:vMerge w:val="restart"/>
            <w:tcBorders>
              <w:top w:val="nil"/>
              <w:left w:val="single" w:sz="4" w:space="0" w:color="auto"/>
              <w:bottom w:val="nil"/>
              <w:right w:val="single" w:sz="4" w:space="0" w:color="auto"/>
            </w:tcBorders>
            <w:shd w:val="clear" w:color="auto" w:fill="auto"/>
            <w:noWrap/>
            <w:vAlign w:val="center"/>
            <w:hideMark/>
          </w:tcPr>
          <w:p w14:paraId="4FB0239A" w14:textId="77777777" w:rsidR="00711DA5" w:rsidRPr="002B59AD" w:rsidRDefault="00711DA5" w:rsidP="003D5728">
            <w:pPr>
              <w:contextualSpacing/>
              <w:jc w:val="left"/>
              <w:rPr>
                <w:rFonts w:ascii="Calibri" w:hAnsi="Calibri"/>
                <w:color w:val="000000"/>
                <w:sz w:val="16"/>
                <w:szCs w:val="16"/>
              </w:rPr>
            </w:pPr>
            <w:r w:rsidRPr="002B59AD">
              <w:rPr>
                <w:rFonts w:ascii="Calibri" w:hAnsi="Calibri"/>
                <w:color w:val="000000"/>
                <w:sz w:val="16"/>
                <w:szCs w:val="16"/>
              </w:rPr>
              <w:t>CZ.05.5.18/0.0/0.0/17_070/00065541</w:t>
            </w:r>
            <w:r>
              <w:rPr>
                <w:rFonts w:ascii="Calibri" w:hAnsi="Calibri"/>
                <w:color w:val="000000"/>
                <w:sz w:val="16"/>
                <w:szCs w:val="16"/>
              </w:rPr>
              <w:t>*</w:t>
            </w:r>
          </w:p>
        </w:tc>
        <w:tc>
          <w:tcPr>
            <w:tcW w:w="2268" w:type="dxa"/>
            <w:vMerge w:val="restart"/>
            <w:tcBorders>
              <w:top w:val="nil"/>
              <w:left w:val="single" w:sz="4" w:space="0" w:color="auto"/>
              <w:right w:val="single" w:sz="4" w:space="0" w:color="auto"/>
            </w:tcBorders>
            <w:shd w:val="clear" w:color="auto" w:fill="auto"/>
            <w:vAlign w:val="center"/>
            <w:hideMark/>
          </w:tcPr>
          <w:p w14:paraId="3352B2DF" w14:textId="77777777" w:rsidR="00711DA5" w:rsidRPr="002B59AD" w:rsidRDefault="00711DA5" w:rsidP="009354F6">
            <w:pPr>
              <w:contextualSpacing/>
              <w:jc w:val="left"/>
              <w:rPr>
                <w:rFonts w:ascii="Calibri" w:hAnsi="Calibri"/>
                <w:color w:val="000000"/>
                <w:sz w:val="16"/>
                <w:szCs w:val="16"/>
              </w:rPr>
            </w:pPr>
            <w:r w:rsidRPr="002B59AD">
              <w:rPr>
                <w:rFonts w:ascii="Calibri" w:hAnsi="Calibri"/>
                <w:color w:val="000000"/>
                <w:sz w:val="16"/>
                <w:szCs w:val="16"/>
              </w:rPr>
              <w:t>Ministerstvo zemědělství</w:t>
            </w:r>
          </w:p>
        </w:tc>
        <w:tc>
          <w:tcPr>
            <w:tcW w:w="1560" w:type="dxa"/>
            <w:vMerge w:val="restart"/>
            <w:tcBorders>
              <w:top w:val="nil"/>
              <w:left w:val="single" w:sz="4" w:space="0" w:color="auto"/>
              <w:right w:val="single" w:sz="4" w:space="0" w:color="auto"/>
            </w:tcBorders>
            <w:shd w:val="clear" w:color="auto" w:fill="auto"/>
            <w:noWrap/>
            <w:vAlign w:val="center"/>
            <w:hideMark/>
          </w:tcPr>
          <w:p w14:paraId="06A4EC62" w14:textId="77777777" w:rsidR="00711DA5" w:rsidRPr="002B59AD" w:rsidRDefault="00711DA5" w:rsidP="009354F6">
            <w:pPr>
              <w:contextualSpacing/>
              <w:jc w:val="right"/>
              <w:rPr>
                <w:rFonts w:ascii="Calibri" w:hAnsi="Calibri"/>
                <w:color w:val="000000"/>
                <w:sz w:val="16"/>
                <w:szCs w:val="16"/>
              </w:rPr>
            </w:pPr>
            <w:r w:rsidRPr="002B59AD">
              <w:rPr>
                <w:rFonts w:ascii="Calibri" w:hAnsi="Calibri"/>
                <w:color w:val="000000"/>
                <w:sz w:val="16"/>
                <w:szCs w:val="16"/>
              </w:rPr>
              <w:t>5 755 535,96</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14:paraId="000D1724" w14:textId="77777777" w:rsidR="00711DA5" w:rsidRPr="002B59AD" w:rsidRDefault="00711DA5" w:rsidP="003D5728">
            <w:pPr>
              <w:ind w:right="164"/>
              <w:contextualSpacing/>
              <w:jc w:val="right"/>
              <w:rPr>
                <w:rFonts w:ascii="Calibri" w:hAnsi="Calibri"/>
                <w:color w:val="000000"/>
                <w:sz w:val="16"/>
                <w:szCs w:val="16"/>
              </w:rPr>
            </w:pPr>
            <w:r w:rsidRPr="002B59AD">
              <w:rPr>
                <w:rFonts w:ascii="Calibri" w:hAnsi="Calibri"/>
                <w:color w:val="000000"/>
                <w:sz w:val="16"/>
                <w:szCs w:val="16"/>
              </w:rPr>
              <w:t>2 014 437,58</w:t>
            </w:r>
          </w:p>
        </w:tc>
      </w:tr>
      <w:tr w:rsidR="00711DA5" w:rsidRPr="002B59AD" w14:paraId="6B97F25A" w14:textId="77777777" w:rsidTr="00FC7CB7">
        <w:trPr>
          <w:trHeight w:val="20"/>
        </w:trPr>
        <w:tc>
          <w:tcPr>
            <w:tcW w:w="709" w:type="dxa"/>
            <w:vMerge/>
            <w:tcBorders>
              <w:left w:val="single" w:sz="4" w:space="0" w:color="auto"/>
              <w:bottom w:val="single" w:sz="4" w:space="0" w:color="auto"/>
              <w:right w:val="single" w:sz="4" w:space="0" w:color="auto"/>
            </w:tcBorders>
            <w:shd w:val="clear" w:color="auto" w:fill="E5F1FF"/>
            <w:noWrap/>
            <w:vAlign w:val="center"/>
          </w:tcPr>
          <w:p w14:paraId="7AD7DF2A" w14:textId="77777777" w:rsidR="00711DA5" w:rsidRDefault="00711DA5" w:rsidP="009354F6">
            <w:pPr>
              <w:contextualSpacing/>
              <w:jc w:val="center"/>
              <w:rPr>
                <w:rFonts w:ascii="Calibri" w:hAnsi="Calibri"/>
                <w:b/>
                <w:bCs/>
                <w:color w:val="000000"/>
                <w:sz w:val="16"/>
                <w:szCs w:val="16"/>
              </w:rPr>
            </w:pPr>
          </w:p>
        </w:tc>
        <w:tc>
          <w:tcPr>
            <w:tcW w:w="2693" w:type="dxa"/>
            <w:vMerge/>
            <w:tcBorders>
              <w:left w:val="single" w:sz="4" w:space="0" w:color="auto"/>
              <w:bottom w:val="single" w:sz="4" w:space="0" w:color="auto"/>
              <w:right w:val="single" w:sz="4" w:space="0" w:color="auto"/>
            </w:tcBorders>
            <w:shd w:val="clear" w:color="auto" w:fill="E5F1FF"/>
            <w:vAlign w:val="center"/>
          </w:tcPr>
          <w:p w14:paraId="46994F27" w14:textId="77777777" w:rsidR="00711DA5" w:rsidRDefault="00711DA5" w:rsidP="009354F6">
            <w:pPr>
              <w:contextualSpacing/>
              <w:jc w:val="center"/>
              <w:rPr>
                <w:rFonts w:ascii="Calibri" w:hAnsi="Calibri"/>
                <w:b/>
                <w:bCs/>
                <w:color w:val="000000"/>
                <w:sz w:val="16"/>
                <w:szCs w:val="16"/>
              </w:rPr>
            </w:pPr>
          </w:p>
        </w:tc>
        <w:tc>
          <w:tcPr>
            <w:tcW w:w="2268" w:type="dxa"/>
            <w:vMerge/>
            <w:tcBorders>
              <w:left w:val="single" w:sz="4" w:space="0" w:color="auto"/>
              <w:bottom w:val="single" w:sz="4" w:space="0" w:color="auto"/>
              <w:right w:val="single" w:sz="4" w:space="0" w:color="auto"/>
            </w:tcBorders>
            <w:shd w:val="clear" w:color="auto" w:fill="E5F1FF"/>
            <w:vAlign w:val="center"/>
          </w:tcPr>
          <w:p w14:paraId="027E6D67" w14:textId="77777777" w:rsidR="00711DA5" w:rsidRDefault="00711DA5" w:rsidP="009354F6">
            <w:pPr>
              <w:contextualSpacing/>
              <w:jc w:val="center"/>
              <w:rPr>
                <w:rFonts w:ascii="Calibri" w:hAnsi="Calibri"/>
                <w:b/>
                <w:bCs/>
                <w:color w:val="000000"/>
                <w:sz w:val="16"/>
                <w:szCs w:val="16"/>
              </w:rPr>
            </w:pPr>
          </w:p>
        </w:tc>
        <w:tc>
          <w:tcPr>
            <w:tcW w:w="1560" w:type="dxa"/>
            <w:vMerge/>
            <w:tcBorders>
              <w:left w:val="single" w:sz="4" w:space="0" w:color="auto"/>
              <w:bottom w:val="single" w:sz="4" w:space="0" w:color="auto"/>
              <w:right w:val="single" w:sz="4" w:space="0" w:color="auto"/>
            </w:tcBorders>
            <w:shd w:val="clear" w:color="auto" w:fill="E5F1FF"/>
            <w:vAlign w:val="center"/>
          </w:tcPr>
          <w:p w14:paraId="4737C0EA" w14:textId="77777777" w:rsidR="00711DA5" w:rsidRDefault="00711DA5" w:rsidP="009354F6">
            <w:pPr>
              <w:contextualSpacing/>
              <w:jc w:val="center"/>
              <w:rPr>
                <w:rFonts w:ascii="Calibri" w:hAnsi="Calibri"/>
                <w:b/>
                <w:bCs/>
                <w:color w:val="000000"/>
                <w:sz w:val="16"/>
                <w:szCs w:val="16"/>
              </w:rPr>
            </w:pP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0A933" w14:textId="77777777" w:rsidR="00711DA5" w:rsidRPr="00711DA5" w:rsidRDefault="00711DA5" w:rsidP="009354F6">
            <w:pPr>
              <w:contextualSpacing/>
              <w:jc w:val="right"/>
              <w:rPr>
                <w:rFonts w:ascii="Calibri" w:hAnsi="Calibri"/>
                <w:bCs/>
                <w:color w:val="000000"/>
                <w:sz w:val="16"/>
                <w:szCs w:val="16"/>
              </w:rPr>
            </w:pPr>
            <w:r w:rsidRPr="00711DA5">
              <w:rPr>
                <w:rFonts w:ascii="Calibri" w:hAnsi="Calibri"/>
                <w:bCs/>
                <w:color w:val="000000"/>
                <w:sz w:val="16"/>
                <w:szCs w:val="16"/>
              </w:rPr>
              <w:t>2 589 991,20</w:t>
            </w:r>
            <w:r>
              <w:rPr>
                <w:rFonts w:ascii="Calibri" w:hAnsi="Calibri"/>
                <w:bCs/>
                <w:color w:val="000000"/>
                <w:sz w:val="16"/>
                <w:szCs w:val="16"/>
              </w:rPr>
              <w:t>**</w:t>
            </w:r>
          </w:p>
        </w:tc>
      </w:tr>
      <w:tr w:rsidR="007B1C0A" w:rsidRPr="002B59AD" w14:paraId="131731F7" w14:textId="77777777" w:rsidTr="009354F6">
        <w:trPr>
          <w:trHeight w:val="20"/>
        </w:trPr>
        <w:tc>
          <w:tcPr>
            <w:tcW w:w="9065" w:type="dxa"/>
            <w:gridSpan w:val="5"/>
            <w:tcBorders>
              <w:top w:val="single" w:sz="4" w:space="0" w:color="auto"/>
              <w:left w:val="single" w:sz="4" w:space="0" w:color="auto"/>
              <w:bottom w:val="single" w:sz="4" w:space="0" w:color="auto"/>
              <w:right w:val="single" w:sz="4" w:space="0" w:color="auto"/>
            </w:tcBorders>
            <w:shd w:val="clear" w:color="auto" w:fill="7F7F7F"/>
            <w:noWrap/>
            <w:vAlign w:val="center"/>
          </w:tcPr>
          <w:p w14:paraId="3F3944F5" w14:textId="77777777" w:rsidR="007B1C0A" w:rsidRDefault="007B1C0A" w:rsidP="009354F6">
            <w:pPr>
              <w:contextualSpacing/>
              <w:jc w:val="center"/>
              <w:rPr>
                <w:rFonts w:ascii="Calibri" w:hAnsi="Calibri"/>
                <w:b/>
                <w:bCs/>
                <w:color w:val="000000"/>
                <w:sz w:val="16"/>
                <w:szCs w:val="16"/>
              </w:rPr>
            </w:pPr>
            <w:r>
              <w:rPr>
                <w:rFonts w:ascii="Calibri" w:hAnsi="Calibri"/>
                <w:b/>
                <w:bCs/>
                <w:color w:val="000000"/>
                <w:sz w:val="16"/>
                <w:szCs w:val="16"/>
              </w:rPr>
              <w:t>Ú R O V E Ň   M P O</w:t>
            </w:r>
          </w:p>
        </w:tc>
      </w:tr>
      <w:tr w:rsidR="00711DA5" w:rsidRPr="002B59AD" w14:paraId="301F81A0" w14:textId="77777777" w:rsidTr="00FC7CB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7BE484BA" w14:textId="77777777" w:rsidR="007B1C0A" w:rsidRDefault="007630AF" w:rsidP="009354F6">
            <w:pPr>
              <w:contextualSpacing/>
              <w:jc w:val="center"/>
              <w:rPr>
                <w:rFonts w:ascii="Calibri" w:hAnsi="Calibri"/>
                <w:b/>
                <w:bCs/>
                <w:color w:val="000000"/>
                <w:sz w:val="16"/>
                <w:szCs w:val="16"/>
              </w:rPr>
            </w:pPr>
            <w:r>
              <w:rPr>
                <w:rFonts w:ascii="Calibri" w:hAnsi="Calibri"/>
                <w:b/>
                <w:bCs/>
                <w:color w:val="000000"/>
                <w:sz w:val="16"/>
                <w:szCs w:val="16"/>
              </w:rPr>
              <w:t>Poř. č.</w:t>
            </w:r>
          </w:p>
        </w:tc>
        <w:tc>
          <w:tcPr>
            <w:tcW w:w="2693" w:type="dxa"/>
            <w:tcBorders>
              <w:top w:val="single" w:sz="4" w:space="0" w:color="auto"/>
              <w:left w:val="single" w:sz="4" w:space="0" w:color="auto"/>
              <w:bottom w:val="single" w:sz="4" w:space="0" w:color="auto"/>
              <w:right w:val="single" w:sz="4" w:space="0" w:color="auto"/>
            </w:tcBorders>
            <w:shd w:val="clear" w:color="auto" w:fill="E5F1FF"/>
            <w:vAlign w:val="center"/>
          </w:tcPr>
          <w:p w14:paraId="08C4D606" w14:textId="77777777" w:rsidR="007B1C0A" w:rsidRPr="007B1C0A" w:rsidRDefault="007B1C0A" w:rsidP="009354F6">
            <w:pPr>
              <w:contextualSpacing/>
              <w:jc w:val="center"/>
              <w:rPr>
                <w:rFonts w:ascii="Calibri" w:hAnsi="Calibri"/>
                <w:b/>
                <w:bCs/>
                <w:color w:val="000000"/>
                <w:sz w:val="16"/>
                <w:szCs w:val="16"/>
              </w:rPr>
            </w:pPr>
            <w:r w:rsidRPr="007B1C0A">
              <w:rPr>
                <w:rFonts w:ascii="Calibri" w:hAnsi="Calibri"/>
                <w:b/>
                <w:bCs/>
                <w:color w:val="000000"/>
                <w:sz w:val="16"/>
                <w:szCs w:val="16"/>
              </w:rPr>
              <w:t>Registrační číslo projektu</w:t>
            </w:r>
          </w:p>
        </w:tc>
        <w:tc>
          <w:tcPr>
            <w:tcW w:w="2268" w:type="dxa"/>
            <w:tcBorders>
              <w:top w:val="single" w:sz="4" w:space="0" w:color="auto"/>
              <w:left w:val="single" w:sz="4" w:space="0" w:color="auto"/>
              <w:bottom w:val="single" w:sz="4" w:space="0" w:color="auto"/>
              <w:right w:val="single" w:sz="4" w:space="0" w:color="auto"/>
            </w:tcBorders>
            <w:shd w:val="clear" w:color="auto" w:fill="E5F1FF"/>
            <w:vAlign w:val="center"/>
          </w:tcPr>
          <w:p w14:paraId="025360CD" w14:textId="77777777" w:rsidR="007B1C0A" w:rsidRPr="007B1C0A" w:rsidRDefault="007B1C0A" w:rsidP="009354F6">
            <w:pPr>
              <w:contextualSpacing/>
              <w:jc w:val="center"/>
              <w:rPr>
                <w:rFonts w:ascii="Calibri" w:hAnsi="Calibri"/>
                <w:b/>
                <w:bCs/>
                <w:color w:val="000000"/>
                <w:sz w:val="16"/>
                <w:szCs w:val="16"/>
              </w:rPr>
            </w:pPr>
            <w:r w:rsidRPr="007B1C0A">
              <w:rPr>
                <w:rFonts w:ascii="Calibri" w:hAnsi="Calibri"/>
                <w:b/>
                <w:bCs/>
                <w:color w:val="000000"/>
                <w:sz w:val="16"/>
                <w:szCs w:val="16"/>
              </w:rPr>
              <w:t>Žadatel</w:t>
            </w:r>
          </w:p>
        </w:tc>
        <w:tc>
          <w:tcPr>
            <w:tcW w:w="1560" w:type="dxa"/>
            <w:tcBorders>
              <w:top w:val="single" w:sz="4" w:space="0" w:color="auto"/>
              <w:left w:val="single" w:sz="4" w:space="0" w:color="auto"/>
              <w:bottom w:val="single" w:sz="4" w:space="0" w:color="auto"/>
              <w:right w:val="single" w:sz="4" w:space="0" w:color="auto"/>
            </w:tcBorders>
            <w:shd w:val="clear" w:color="auto" w:fill="E5F1FF"/>
            <w:vAlign w:val="center"/>
          </w:tcPr>
          <w:p w14:paraId="53B549ED" w14:textId="77777777" w:rsidR="007B1C0A" w:rsidRPr="007B1C0A" w:rsidRDefault="007B1C0A" w:rsidP="009354F6">
            <w:pPr>
              <w:contextualSpacing/>
              <w:jc w:val="center"/>
              <w:rPr>
                <w:rFonts w:ascii="Calibri" w:hAnsi="Calibri"/>
                <w:b/>
                <w:bCs/>
                <w:color w:val="000000"/>
                <w:sz w:val="16"/>
                <w:szCs w:val="16"/>
              </w:rPr>
            </w:pPr>
            <w:r w:rsidRPr="007B1C0A">
              <w:rPr>
                <w:rFonts w:ascii="Calibri" w:hAnsi="Calibri"/>
                <w:b/>
                <w:bCs/>
                <w:color w:val="000000"/>
                <w:sz w:val="16"/>
                <w:szCs w:val="16"/>
              </w:rPr>
              <w:t>CZV projektu</w:t>
            </w:r>
            <w:r w:rsidR="00050EE7">
              <w:rPr>
                <w:rFonts w:ascii="Calibri" w:hAnsi="Calibri"/>
                <w:b/>
                <w:bCs/>
                <w:color w:val="000000"/>
                <w:sz w:val="16"/>
                <w:szCs w:val="16"/>
              </w:rPr>
              <w:t xml:space="preserve"> (v Kč)</w:t>
            </w:r>
          </w:p>
        </w:tc>
        <w:tc>
          <w:tcPr>
            <w:tcW w:w="1835" w:type="dxa"/>
            <w:tcBorders>
              <w:top w:val="single" w:sz="4" w:space="0" w:color="auto"/>
              <w:left w:val="single" w:sz="4" w:space="0" w:color="auto"/>
              <w:bottom w:val="single" w:sz="4" w:space="0" w:color="auto"/>
              <w:right w:val="single" w:sz="4" w:space="0" w:color="auto"/>
            </w:tcBorders>
            <w:shd w:val="clear" w:color="auto" w:fill="E5F1FF"/>
            <w:vAlign w:val="center"/>
          </w:tcPr>
          <w:p w14:paraId="6CE1DE71" w14:textId="77777777" w:rsidR="007B1C0A" w:rsidRPr="007B1C0A" w:rsidRDefault="00711DA5" w:rsidP="009354F6">
            <w:pPr>
              <w:contextualSpacing/>
              <w:jc w:val="center"/>
              <w:rPr>
                <w:rFonts w:ascii="Calibri" w:hAnsi="Calibri"/>
                <w:b/>
                <w:bCs/>
                <w:color w:val="000000"/>
                <w:sz w:val="16"/>
                <w:szCs w:val="16"/>
              </w:rPr>
            </w:pPr>
            <w:r>
              <w:rPr>
                <w:rFonts w:ascii="Calibri" w:hAnsi="Calibri"/>
                <w:b/>
                <w:bCs/>
                <w:color w:val="000000"/>
                <w:sz w:val="16"/>
                <w:szCs w:val="16"/>
              </w:rPr>
              <w:t>Peněžní</w:t>
            </w:r>
            <w:r w:rsidR="007B1C0A" w:rsidRPr="007B1C0A">
              <w:rPr>
                <w:rFonts w:ascii="Calibri" w:hAnsi="Calibri"/>
                <w:b/>
                <w:bCs/>
                <w:color w:val="000000"/>
                <w:sz w:val="16"/>
                <w:szCs w:val="16"/>
              </w:rPr>
              <w:t xml:space="preserve"> prostředk</w:t>
            </w:r>
            <w:r>
              <w:rPr>
                <w:rFonts w:ascii="Calibri" w:hAnsi="Calibri"/>
                <w:b/>
                <w:bCs/>
                <w:color w:val="000000"/>
                <w:sz w:val="16"/>
                <w:szCs w:val="16"/>
              </w:rPr>
              <w:t>y ze státního rozpočtu</w:t>
            </w:r>
            <w:r w:rsidR="00050EE7">
              <w:rPr>
                <w:rFonts w:ascii="Calibri" w:hAnsi="Calibri"/>
                <w:b/>
                <w:bCs/>
                <w:color w:val="000000"/>
                <w:sz w:val="16"/>
                <w:szCs w:val="16"/>
              </w:rPr>
              <w:t xml:space="preserve"> (v Kč)</w:t>
            </w:r>
          </w:p>
        </w:tc>
      </w:tr>
      <w:tr w:rsidR="00711DA5" w:rsidRPr="002B59AD" w14:paraId="301C0608" w14:textId="77777777" w:rsidTr="00FC7CB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BC923E" w14:textId="77777777" w:rsidR="007B1C0A" w:rsidRPr="007B1C0A" w:rsidRDefault="007B1C0A" w:rsidP="009354F6">
            <w:pPr>
              <w:contextualSpacing/>
              <w:jc w:val="center"/>
              <w:rPr>
                <w:rFonts w:ascii="Calibri" w:hAnsi="Calibri"/>
                <w:color w:val="000000"/>
                <w:sz w:val="16"/>
                <w:szCs w:val="16"/>
              </w:rPr>
            </w:pPr>
            <w:r w:rsidRPr="007B1C0A">
              <w:rPr>
                <w:rFonts w:ascii="Calibri" w:hAnsi="Calibri"/>
                <w:color w:val="000000"/>
                <w:sz w:val="16"/>
                <w:szCs w:val="16"/>
              </w:rPr>
              <w:t>15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33A6D" w14:textId="77777777" w:rsidR="007B1C0A" w:rsidRPr="007B1C0A" w:rsidRDefault="007B1C0A" w:rsidP="009354F6">
            <w:pPr>
              <w:contextualSpacing/>
              <w:jc w:val="center"/>
              <w:rPr>
                <w:rFonts w:ascii="Calibri" w:hAnsi="Calibri"/>
                <w:color w:val="000000"/>
                <w:sz w:val="16"/>
                <w:szCs w:val="16"/>
              </w:rPr>
            </w:pPr>
            <w:r w:rsidRPr="007B1C0A">
              <w:rPr>
                <w:rFonts w:ascii="Calibri" w:hAnsi="Calibri"/>
                <w:color w:val="000000"/>
                <w:sz w:val="16"/>
                <w:szCs w:val="16"/>
              </w:rPr>
              <w:t>CZ.05.5.18/0.0/0.0/17_070/0006459*</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542A3" w14:textId="1E0B70E2" w:rsidR="007B1C0A" w:rsidRPr="007B1C0A" w:rsidRDefault="007B1C0A" w:rsidP="00BD2790">
            <w:pPr>
              <w:contextualSpacing/>
              <w:jc w:val="left"/>
              <w:rPr>
                <w:rFonts w:ascii="Calibri" w:hAnsi="Calibri"/>
                <w:color w:val="000000"/>
                <w:sz w:val="16"/>
                <w:szCs w:val="16"/>
              </w:rPr>
            </w:pPr>
            <w:r w:rsidRPr="007B1C0A">
              <w:rPr>
                <w:rFonts w:ascii="Calibri" w:hAnsi="Calibri"/>
                <w:color w:val="000000"/>
                <w:sz w:val="16"/>
                <w:szCs w:val="16"/>
              </w:rPr>
              <w:t>Ministerstvo průmyslu a</w:t>
            </w:r>
            <w:r w:rsidR="00BD2790">
              <w:rPr>
                <w:rFonts w:ascii="Calibri" w:hAnsi="Calibri"/>
                <w:color w:val="000000"/>
                <w:sz w:val="16"/>
                <w:szCs w:val="16"/>
              </w:rPr>
              <w:t> </w:t>
            </w:r>
            <w:r w:rsidRPr="007B1C0A">
              <w:rPr>
                <w:rFonts w:ascii="Calibri" w:hAnsi="Calibri"/>
                <w:color w:val="000000"/>
                <w:sz w:val="16"/>
                <w:szCs w:val="16"/>
              </w:rPr>
              <w:t>obchodu</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A354A" w14:textId="77777777" w:rsidR="007B1C0A" w:rsidRPr="007B1C0A" w:rsidRDefault="007B1C0A" w:rsidP="009354F6">
            <w:pPr>
              <w:contextualSpacing/>
              <w:jc w:val="right"/>
              <w:rPr>
                <w:rFonts w:ascii="Calibri" w:hAnsi="Calibri"/>
                <w:color w:val="000000"/>
                <w:sz w:val="16"/>
                <w:szCs w:val="16"/>
              </w:rPr>
            </w:pPr>
            <w:r w:rsidRPr="007B1C0A">
              <w:rPr>
                <w:rFonts w:ascii="Calibri" w:hAnsi="Calibri"/>
                <w:color w:val="000000"/>
                <w:sz w:val="16"/>
                <w:szCs w:val="16"/>
              </w:rPr>
              <w:t>82 326 192,99</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B3C0F" w14:textId="77777777" w:rsidR="007B1C0A" w:rsidRPr="00711DA5" w:rsidRDefault="007B1C0A" w:rsidP="009354F6">
            <w:pPr>
              <w:contextualSpacing/>
              <w:jc w:val="right"/>
              <w:rPr>
                <w:rFonts w:ascii="Calibri" w:hAnsi="Calibri"/>
                <w:color w:val="000000"/>
                <w:sz w:val="16"/>
                <w:szCs w:val="16"/>
              </w:rPr>
            </w:pPr>
            <w:r w:rsidRPr="00711DA5">
              <w:rPr>
                <w:rFonts w:ascii="Calibri" w:hAnsi="Calibri"/>
                <w:color w:val="000000"/>
                <w:sz w:val="16"/>
                <w:szCs w:val="16"/>
              </w:rPr>
              <w:t>2 286 924,20</w:t>
            </w:r>
          </w:p>
        </w:tc>
      </w:tr>
      <w:tr w:rsidR="00665D9D" w:rsidRPr="002B59AD" w14:paraId="2F2AEA70" w14:textId="77777777" w:rsidTr="00FC7CB7">
        <w:trPr>
          <w:trHeight w:val="20"/>
        </w:trPr>
        <w:tc>
          <w:tcPr>
            <w:tcW w:w="56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0410A" w14:textId="53483CD0" w:rsidR="00665D9D" w:rsidRPr="002B59AD" w:rsidRDefault="00A827A6" w:rsidP="00A827A6">
            <w:pPr>
              <w:contextualSpacing/>
              <w:jc w:val="left"/>
              <w:rPr>
                <w:rFonts w:ascii="Calibri" w:hAnsi="Calibri"/>
                <w:b/>
                <w:bCs/>
                <w:color w:val="000000"/>
                <w:sz w:val="16"/>
                <w:szCs w:val="16"/>
              </w:rPr>
            </w:pPr>
            <w:r>
              <w:rPr>
                <w:rFonts w:ascii="Calibri" w:hAnsi="Calibri"/>
                <w:b/>
                <w:bCs/>
                <w:color w:val="000000"/>
                <w:sz w:val="16"/>
                <w:szCs w:val="16"/>
              </w:rPr>
              <w:t>V</w:t>
            </w:r>
            <w:r w:rsidR="00665D9D" w:rsidRPr="002B59AD">
              <w:rPr>
                <w:rFonts w:ascii="Calibri" w:hAnsi="Calibri"/>
                <w:b/>
                <w:bCs/>
                <w:color w:val="000000"/>
                <w:sz w:val="16"/>
                <w:szCs w:val="16"/>
              </w:rPr>
              <w:t>ybrané projekty SC 5.1</w:t>
            </w:r>
            <w:r>
              <w:rPr>
                <w:rFonts w:ascii="Calibri" w:hAnsi="Calibri"/>
                <w:b/>
                <w:bCs/>
                <w:color w:val="000000"/>
                <w:sz w:val="16"/>
                <w:szCs w:val="16"/>
              </w:rPr>
              <w:t xml:space="preserve"> celkem</w:t>
            </w:r>
          </w:p>
        </w:tc>
        <w:tc>
          <w:tcPr>
            <w:tcW w:w="1560" w:type="dxa"/>
            <w:tcBorders>
              <w:top w:val="nil"/>
              <w:left w:val="nil"/>
              <w:bottom w:val="single" w:sz="4" w:space="0" w:color="auto"/>
              <w:right w:val="single" w:sz="4" w:space="0" w:color="auto"/>
            </w:tcBorders>
            <w:shd w:val="clear" w:color="auto" w:fill="auto"/>
            <w:noWrap/>
            <w:vAlign w:val="center"/>
            <w:hideMark/>
          </w:tcPr>
          <w:p w14:paraId="766BF831" w14:textId="77777777" w:rsidR="00665D9D" w:rsidRDefault="00711DA5" w:rsidP="009354F6">
            <w:pPr>
              <w:contextualSpacing/>
              <w:jc w:val="right"/>
              <w:rPr>
                <w:rFonts w:ascii="Times New Roman" w:hAnsi="Times New Roman"/>
                <w:b/>
                <w:bCs/>
                <w:color w:val="000000"/>
                <w:sz w:val="16"/>
                <w:szCs w:val="16"/>
              </w:rPr>
            </w:pPr>
            <w:r w:rsidRPr="00711DA5">
              <w:rPr>
                <w:rFonts w:ascii="Calibri" w:hAnsi="Calibri"/>
                <w:b/>
                <w:bCs/>
                <w:color w:val="000000"/>
                <w:sz w:val="16"/>
                <w:szCs w:val="16"/>
              </w:rPr>
              <w:t>235 716 644,98</w:t>
            </w:r>
          </w:p>
        </w:tc>
        <w:tc>
          <w:tcPr>
            <w:tcW w:w="1835" w:type="dxa"/>
            <w:tcBorders>
              <w:top w:val="nil"/>
              <w:left w:val="nil"/>
              <w:bottom w:val="single" w:sz="4" w:space="0" w:color="auto"/>
              <w:right w:val="single" w:sz="4" w:space="0" w:color="auto"/>
            </w:tcBorders>
            <w:shd w:val="clear" w:color="auto" w:fill="auto"/>
            <w:noWrap/>
            <w:vAlign w:val="center"/>
            <w:hideMark/>
          </w:tcPr>
          <w:p w14:paraId="271D6EA8" w14:textId="77777777" w:rsidR="00665D9D" w:rsidRDefault="00711DA5" w:rsidP="009354F6">
            <w:pPr>
              <w:contextualSpacing/>
              <w:jc w:val="right"/>
              <w:rPr>
                <w:b/>
                <w:bCs/>
                <w:color w:val="000000"/>
                <w:sz w:val="16"/>
                <w:szCs w:val="16"/>
              </w:rPr>
            </w:pPr>
            <w:r w:rsidRPr="00711DA5">
              <w:rPr>
                <w:rFonts w:ascii="Calibri" w:hAnsi="Calibri"/>
                <w:b/>
                <w:bCs/>
                <w:color w:val="000000"/>
                <w:sz w:val="16"/>
                <w:szCs w:val="16"/>
              </w:rPr>
              <w:t>65 945 319,37</w:t>
            </w:r>
          </w:p>
        </w:tc>
      </w:tr>
    </w:tbl>
    <w:p w14:paraId="1C70A880" w14:textId="77777777" w:rsidR="002B59AD" w:rsidRDefault="00964147" w:rsidP="002B59AD">
      <w:pPr>
        <w:rPr>
          <w:i/>
          <w:sz w:val="20"/>
        </w:rPr>
      </w:pPr>
      <w:r w:rsidRPr="00D34710">
        <w:rPr>
          <w:i/>
          <w:sz w:val="20"/>
        </w:rPr>
        <w:t>Zdroj:</w:t>
      </w:r>
      <w:r>
        <w:rPr>
          <w:i/>
          <w:sz w:val="20"/>
        </w:rPr>
        <w:t xml:space="preserve"> MS2014+,</w:t>
      </w:r>
      <w:r w:rsidR="00161463">
        <w:rPr>
          <w:i/>
          <w:sz w:val="20"/>
        </w:rPr>
        <w:t xml:space="preserve"> MŽP, SFŽP</w:t>
      </w:r>
      <w:r>
        <w:rPr>
          <w:i/>
          <w:sz w:val="20"/>
        </w:rPr>
        <w:t>.</w:t>
      </w:r>
    </w:p>
    <w:p w14:paraId="28FCF9DD" w14:textId="4E8C1E43" w:rsidR="00761D71" w:rsidRDefault="00761D71" w:rsidP="00A669FE">
      <w:pPr>
        <w:ind w:left="284" w:hanging="284"/>
        <w:rPr>
          <w:i/>
          <w:sz w:val="20"/>
        </w:rPr>
      </w:pPr>
      <w:r>
        <w:rPr>
          <w:i/>
          <w:sz w:val="20"/>
        </w:rPr>
        <w:t xml:space="preserve">* </w:t>
      </w:r>
      <w:r w:rsidR="00D34710">
        <w:rPr>
          <w:i/>
          <w:sz w:val="20"/>
        </w:rPr>
        <w:tab/>
        <w:t>P</w:t>
      </w:r>
      <w:r>
        <w:rPr>
          <w:i/>
          <w:sz w:val="20"/>
        </w:rPr>
        <w:t>rojekt spolufinancovan</w:t>
      </w:r>
      <w:r w:rsidR="00A669FE">
        <w:rPr>
          <w:i/>
          <w:sz w:val="20"/>
        </w:rPr>
        <w:t>ý</w:t>
      </w:r>
      <w:r>
        <w:rPr>
          <w:i/>
          <w:sz w:val="20"/>
        </w:rPr>
        <w:t xml:space="preserve"> z</w:t>
      </w:r>
      <w:r w:rsidR="00A669FE">
        <w:rPr>
          <w:i/>
          <w:sz w:val="20"/>
        </w:rPr>
        <w:t xml:space="preserve"> podprogramu </w:t>
      </w:r>
      <w:r w:rsidR="00FE5CEE">
        <w:rPr>
          <w:i/>
          <w:sz w:val="20"/>
        </w:rPr>
        <w:t xml:space="preserve">NZÚ – </w:t>
      </w:r>
      <w:r w:rsidR="00565FBA">
        <w:rPr>
          <w:i/>
          <w:sz w:val="20"/>
        </w:rPr>
        <w:t>Budovy veřejného sektoru</w:t>
      </w:r>
      <w:r>
        <w:rPr>
          <w:i/>
          <w:sz w:val="20"/>
        </w:rPr>
        <w:t>.</w:t>
      </w:r>
    </w:p>
    <w:p w14:paraId="0C0A5214" w14:textId="7071C289" w:rsidR="00711DA5" w:rsidRDefault="00711DA5" w:rsidP="00A669FE">
      <w:pPr>
        <w:ind w:left="284" w:hanging="284"/>
        <w:rPr>
          <w:i/>
          <w:sz w:val="20"/>
        </w:rPr>
      </w:pPr>
      <w:r>
        <w:rPr>
          <w:i/>
          <w:sz w:val="20"/>
        </w:rPr>
        <w:t>**</w:t>
      </w:r>
      <w:r w:rsidR="00D34710">
        <w:rPr>
          <w:i/>
          <w:sz w:val="20"/>
        </w:rPr>
        <w:tab/>
        <w:t>P</w:t>
      </w:r>
      <w:r>
        <w:rPr>
          <w:i/>
          <w:sz w:val="20"/>
        </w:rPr>
        <w:t>eněžní prostředky ze státního rozpočtu</w:t>
      </w:r>
      <w:r w:rsidR="00D34710">
        <w:rPr>
          <w:i/>
          <w:sz w:val="20"/>
        </w:rPr>
        <w:t>.</w:t>
      </w:r>
    </w:p>
    <w:p w14:paraId="02FB84FD" w14:textId="77777777" w:rsidR="00ED708C" w:rsidRDefault="00ED708C" w:rsidP="002B59AD">
      <w:pPr>
        <w:rPr>
          <w:i/>
          <w:sz w:val="20"/>
        </w:rPr>
      </w:pPr>
    </w:p>
    <w:sectPr w:rsidR="00ED708C" w:rsidSect="00E60983">
      <w:footerReference w:type="defaul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B4D42" w14:textId="77777777" w:rsidR="00E428DB" w:rsidRDefault="00E428DB">
      <w:r>
        <w:separator/>
      </w:r>
    </w:p>
  </w:endnote>
  <w:endnote w:type="continuationSeparator" w:id="0">
    <w:p w14:paraId="0A447A81" w14:textId="77777777" w:rsidR="00E428DB" w:rsidRDefault="00E4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imes New Roman CE obyeejné">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FA5E" w14:textId="77777777" w:rsidR="00E428DB" w:rsidRDefault="00E428D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3E42B10E" w14:textId="77777777" w:rsidR="00E428DB" w:rsidRDefault="00E428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02A3A" w14:textId="77777777" w:rsidR="00E428DB" w:rsidRDefault="00E428DB" w:rsidP="00AC339B">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57DA" w14:textId="77777777" w:rsidR="00E428DB" w:rsidRDefault="00E428DB" w:rsidP="0068280A">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168461"/>
      <w:docPartObj>
        <w:docPartGallery w:val="Page Numbers (Bottom of Page)"/>
        <w:docPartUnique/>
      </w:docPartObj>
    </w:sdtPr>
    <w:sdtEndPr/>
    <w:sdtContent>
      <w:p w14:paraId="3A14E70C" w14:textId="78C2BA1F" w:rsidR="00E428DB" w:rsidRDefault="00E428DB" w:rsidP="00AC339B">
        <w:pPr>
          <w:pStyle w:val="Zpat"/>
          <w:jc w:val="center"/>
        </w:pPr>
        <w:r>
          <w:fldChar w:fldCharType="begin"/>
        </w:r>
        <w:r>
          <w:instrText>PAGE   \* MERGEFORMAT</w:instrText>
        </w:r>
        <w:r>
          <w:fldChar w:fldCharType="separate"/>
        </w:r>
        <w:r w:rsidR="00D778A9">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35ED7" w14:textId="77777777" w:rsidR="00E428DB" w:rsidRDefault="00E428DB">
      <w:r>
        <w:separator/>
      </w:r>
    </w:p>
  </w:footnote>
  <w:footnote w:type="continuationSeparator" w:id="0">
    <w:p w14:paraId="7EF73C39" w14:textId="77777777" w:rsidR="00E428DB" w:rsidRDefault="00E428DB">
      <w:r>
        <w:continuationSeparator/>
      </w:r>
    </w:p>
  </w:footnote>
  <w:footnote w:id="1">
    <w:p w14:paraId="3879C1C5" w14:textId="77777777" w:rsidR="00E428DB" w:rsidRPr="00CB3E98" w:rsidRDefault="00E428DB" w:rsidP="00CB3E98">
      <w:pPr>
        <w:pStyle w:val="TextKP"/>
        <w:spacing w:after="0"/>
        <w:ind w:left="284" w:hanging="284"/>
      </w:pPr>
      <w:r w:rsidRPr="00CB3E98">
        <w:rPr>
          <w:rStyle w:val="Znakapoznpodarou"/>
          <w:sz w:val="20"/>
          <w:szCs w:val="20"/>
        </w:rPr>
        <w:footnoteRef/>
      </w:r>
      <w:r w:rsidRPr="00CB3E98">
        <w:rPr>
          <w:sz w:val="20"/>
          <w:szCs w:val="20"/>
        </w:rPr>
        <w:t xml:space="preserve"> </w:t>
      </w:r>
      <w:r>
        <w:rPr>
          <w:sz w:val="20"/>
          <w:szCs w:val="20"/>
        </w:rPr>
        <w:tab/>
      </w:r>
      <w:r w:rsidRPr="00CB3E98">
        <w:rPr>
          <w:sz w:val="20"/>
          <w:szCs w:val="20"/>
        </w:rPr>
        <w:t>Oprávněnými žadateli jsou organizační složky státu, příspěvkové organizace, samosprávné územní celky a</w:t>
      </w:r>
      <w:r>
        <w:rPr>
          <w:sz w:val="20"/>
          <w:szCs w:val="20"/>
        </w:rPr>
        <w:t> </w:t>
      </w:r>
      <w:r w:rsidRPr="00CB3E98">
        <w:rPr>
          <w:sz w:val="20"/>
          <w:szCs w:val="20"/>
        </w:rPr>
        <w:t>jejich podřízené organizace, veřejné výzkumné instituce, vysoké školy, školy a školská zařízení, školské právnické osoby, nestátní neziskové organizace (obecně prospěšné společnosti, nadace, nadační fondy, ústavy, spolky) aj.</w:t>
      </w:r>
    </w:p>
  </w:footnote>
  <w:footnote w:id="2">
    <w:p w14:paraId="320B6F38" w14:textId="3034DCB2" w:rsidR="00E428DB" w:rsidRPr="00CB3E98" w:rsidRDefault="00E428DB" w:rsidP="004D7B0B">
      <w:pPr>
        <w:pStyle w:val="Textpoznpodarou"/>
      </w:pPr>
      <w:r w:rsidRPr="00610379">
        <w:rPr>
          <w:rStyle w:val="Znakapoznpodarou"/>
        </w:rPr>
        <w:footnoteRef/>
      </w:r>
      <w:r w:rsidRPr="00CB3E98">
        <w:t xml:space="preserve"> </w:t>
      </w:r>
      <w:r>
        <w:tab/>
      </w:r>
      <w:r w:rsidRPr="00CB3E98">
        <w:t>Přehled ústředních vládních institucí je uveden v příloze č. 1</w:t>
      </w:r>
      <w:r>
        <w:t xml:space="preserve"> tohoto</w:t>
      </w:r>
      <w:r w:rsidRPr="00CB3E98">
        <w:t xml:space="preserve"> kontrolního </w:t>
      </w:r>
      <w:r>
        <w:t>závěru</w:t>
      </w:r>
      <w:r w:rsidRPr="00CB3E98">
        <w:t>.</w:t>
      </w:r>
    </w:p>
  </w:footnote>
  <w:footnote w:id="3">
    <w:p w14:paraId="7BB68A36" w14:textId="65A3609B" w:rsidR="00E428DB" w:rsidRPr="00CB3E98" w:rsidRDefault="00E428DB" w:rsidP="004D7B0B">
      <w:pPr>
        <w:pStyle w:val="Textpoznpodarou"/>
      </w:pPr>
      <w:r w:rsidRPr="00610379">
        <w:rPr>
          <w:rStyle w:val="Znakapoznpodarou"/>
        </w:rPr>
        <w:footnoteRef/>
      </w:r>
      <w:r w:rsidRPr="00CB3E98">
        <w:t xml:space="preserve"> </w:t>
      </w:r>
      <w:r>
        <w:tab/>
      </w:r>
      <w:r w:rsidRPr="00CB3E98">
        <w:t>Směrnice Evropského parlamentu a Rady 2012/27/EU</w:t>
      </w:r>
      <w:r w:rsidRPr="00AA59FB">
        <w:t xml:space="preserve"> </w:t>
      </w:r>
      <w:r w:rsidRPr="00CB3E98">
        <w:t>ze dne 25. října 2012, o energetické účinnosti, o změně směrnic 2009/125/ES a</w:t>
      </w:r>
      <w:r>
        <w:t xml:space="preserve"> </w:t>
      </w:r>
      <w:r w:rsidRPr="00CB3E98">
        <w:t>2010/30/EU a o zrušení směrnic 2004/8/ES a 2006/32/ES (dále také „</w:t>
      </w:r>
      <w:r>
        <w:t>s</w:t>
      </w:r>
      <w:r w:rsidRPr="00CB3E98">
        <w:t>měrnice 2012/27/EU“ nebo také „EED“).</w:t>
      </w:r>
    </w:p>
  </w:footnote>
  <w:footnote w:id="4">
    <w:p w14:paraId="24E135C6" w14:textId="77777777" w:rsidR="00E428DB" w:rsidRPr="00CB3E98" w:rsidRDefault="00E428DB" w:rsidP="004D7B0B">
      <w:pPr>
        <w:pStyle w:val="Textpoznpodarou"/>
      </w:pPr>
      <w:r w:rsidRPr="00610379">
        <w:rPr>
          <w:rStyle w:val="Znakapoznpodarou"/>
        </w:rPr>
        <w:footnoteRef/>
      </w:r>
      <w:r w:rsidRPr="00694EC5">
        <w:t xml:space="preserve"> </w:t>
      </w:r>
      <w:r>
        <w:tab/>
      </w:r>
      <w:r w:rsidRPr="00CB3E98">
        <w:t>Monitorovací systém evropských strukturálních a investičních fondů pro programové období 2014–2020 (dále též „MS2014+“).</w:t>
      </w:r>
    </w:p>
  </w:footnote>
  <w:footnote w:id="5">
    <w:p w14:paraId="6ED8C604" w14:textId="77777777" w:rsidR="00E428DB" w:rsidRPr="00CB3E98" w:rsidRDefault="00E428DB" w:rsidP="004D7B0B">
      <w:pPr>
        <w:pStyle w:val="Textpoznpodarou"/>
      </w:pPr>
      <w:r w:rsidRPr="00610379">
        <w:rPr>
          <w:rStyle w:val="Znakapoznpodarou"/>
        </w:rPr>
        <w:footnoteRef/>
      </w:r>
      <w:r w:rsidRPr="00CB3E98">
        <w:t xml:space="preserve"> </w:t>
      </w:r>
      <w:r>
        <w:tab/>
      </w:r>
      <w:r w:rsidRPr="00CB3E98">
        <w:t>Příjem žádostí v rámci výzvy č. 135 byl ukončen ke dni 3. 2. 2020. V roce 2019 byla dále vyhlášena výzva č.</w:t>
      </w:r>
      <w:r>
        <w:t> </w:t>
      </w:r>
      <w:r w:rsidRPr="00CB3E98">
        <w:t>152 s celkovou alokací 0,5 mld. Kč, u níž bude příjem žádostí ukončen 31. 5. 2021.</w:t>
      </w:r>
    </w:p>
  </w:footnote>
  <w:footnote w:id="6">
    <w:p w14:paraId="0D318689" w14:textId="77777777" w:rsidR="00E428DB" w:rsidRPr="00CB3E98" w:rsidRDefault="00E428DB" w:rsidP="004D7B0B">
      <w:pPr>
        <w:pStyle w:val="Textpoznpodarou"/>
      </w:pPr>
      <w:r w:rsidRPr="00610379">
        <w:rPr>
          <w:rStyle w:val="Znakapoznpodarou"/>
        </w:rPr>
        <w:footnoteRef/>
      </w:r>
      <w:r w:rsidRPr="00CB3E98">
        <w:t xml:space="preserve"> </w:t>
      </w:r>
      <w:r>
        <w:tab/>
      </w:r>
      <w:r w:rsidRPr="00CB3E98">
        <w:t>Kontrolní akce byla u MPO ukončena 20. 10. 2020. Hodnoty úspor energie u ústředních institucí za rok 2020 budou známy do konce dubna roku 2021.</w:t>
      </w:r>
    </w:p>
  </w:footnote>
  <w:footnote w:id="7">
    <w:p w14:paraId="4002EBA5" w14:textId="721DFFFC" w:rsidR="00E428DB" w:rsidRPr="00CB3E98" w:rsidRDefault="00E428DB" w:rsidP="004D7B0B">
      <w:pPr>
        <w:pStyle w:val="Textpoznpodarou"/>
      </w:pPr>
      <w:r w:rsidRPr="00610379">
        <w:rPr>
          <w:rStyle w:val="Znakapoznpodarou"/>
        </w:rPr>
        <w:footnoteRef/>
      </w:r>
      <w:r w:rsidRPr="00694EC5">
        <w:t xml:space="preserve"> </w:t>
      </w:r>
      <w:r>
        <w:tab/>
      </w:r>
      <w:r w:rsidRPr="00CB3E98">
        <w:t xml:space="preserve">MPO vede </w:t>
      </w:r>
      <w:r w:rsidRPr="00610379">
        <w:rPr>
          <w:i/>
        </w:rPr>
        <w:t>Systém monitoringu spotřeby energie</w:t>
      </w:r>
      <w:r w:rsidRPr="00CB3E98">
        <w:t xml:space="preserve">. </w:t>
      </w:r>
      <w:r w:rsidRPr="00610379">
        <w:rPr>
          <w:i/>
        </w:rPr>
        <w:t>Systém monitoringu spotřeby energie</w:t>
      </w:r>
      <w:r w:rsidRPr="00CB3E98">
        <w:t xml:space="preserve"> je neveřejným informačním systémem veřejné správy, který slouží k vedení údajů o budovách vlastněných a</w:t>
      </w:r>
      <w:r>
        <w:t xml:space="preserve"> </w:t>
      </w:r>
      <w:r w:rsidRPr="00CB3E98">
        <w:t>užívaných ústředními institucemi o celkové energeticky vztažné ploše nad 250 m</w:t>
      </w:r>
      <w:r w:rsidRPr="00610379">
        <w:rPr>
          <w:vertAlign w:val="superscript"/>
        </w:rPr>
        <w:t>2</w:t>
      </w:r>
      <w:r w:rsidRPr="00CB3E98">
        <w:t xml:space="preserve"> a jejich spotřebě energie (ustanovení § 9b odst. 3 a ustanovení § 11 odst. 1 zákona č. 406/2000 Sb., o hospodaření energi</w:t>
      </w:r>
      <w:r>
        <w:t>í</w:t>
      </w:r>
      <w:r w:rsidRPr="00CB3E98">
        <w:t>).</w:t>
      </w:r>
    </w:p>
  </w:footnote>
  <w:footnote w:id="8">
    <w:p w14:paraId="4B16E36B" w14:textId="77777777" w:rsidR="00E428DB" w:rsidRPr="00CB3E98" w:rsidRDefault="00E428DB" w:rsidP="004D7B0B">
      <w:pPr>
        <w:pStyle w:val="Textpoznpodarou"/>
      </w:pPr>
      <w:r w:rsidRPr="00610379">
        <w:rPr>
          <w:rStyle w:val="Znakapoznpodarou"/>
        </w:rPr>
        <w:footnoteRef/>
      </w:r>
      <w:r w:rsidRPr="00694EC5">
        <w:t xml:space="preserve"> </w:t>
      </w:r>
      <w:r>
        <w:tab/>
      </w:r>
      <w:r w:rsidRPr="00CB3E98">
        <w:t>Kontrolní akce NKÚ č. 16/09</w:t>
      </w:r>
      <w:r>
        <w:t xml:space="preserve"> </w:t>
      </w:r>
      <w:r>
        <w:rPr>
          <w:rFonts w:cstheme="minorHAnsi"/>
        </w:rPr>
        <w:t>–</w:t>
      </w:r>
      <w:r w:rsidRPr="00CB3E98">
        <w:t xml:space="preserve"> </w:t>
      </w:r>
      <w:r w:rsidRPr="00E428DB">
        <w:rPr>
          <w:i/>
        </w:rPr>
        <w:t>Nároky z nespotřebovaných výdajů vykazované organizačními složkami státu</w:t>
      </w:r>
      <w:r w:rsidRPr="00CB3E98">
        <w:t>.</w:t>
      </w:r>
    </w:p>
  </w:footnote>
  <w:footnote w:id="9">
    <w:p w14:paraId="481F6ED7" w14:textId="77777777" w:rsidR="00E428DB" w:rsidRPr="00CB3E98" w:rsidRDefault="00E428DB" w:rsidP="004D7B0B">
      <w:pPr>
        <w:pStyle w:val="Textpoznpodarou"/>
      </w:pPr>
      <w:r w:rsidRPr="00610379">
        <w:rPr>
          <w:rStyle w:val="Znakapoznpodarou"/>
        </w:rPr>
        <w:footnoteRef/>
      </w:r>
      <w:r w:rsidRPr="00CB3E98">
        <w:t xml:space="preserve"> </w:t>
      </w:r>
      <w:r>
        <w:tab/>
      </w:r>
      <w:r w:rsidRPr="00CB3E98">
        <w:t xml:space="preserve">Projekty s využitím posílení vlastních zdrojů z podprogramu NZÚ – </w:t>
      </w:r>
      <w:r w:rsidRPr="00610379">
        <w:rPr>
          <w:i/>
        </w:rPr>
        <w:t>Budovy veřejného sektoru</w:t>
      </w:r>
      <w:r w:rsidRPr="00CB3E98">
        <w:t xml:space="preserve"> jsou administrovány dle pravidel OPŽP.</w:t>
      </w:r>
    </w:p>
  </w:footnote>
  <w:footnote w:id="10">
    <w:p w14:paraId="78EC0851" w14:textId="77777777" w:rsidR="00E428DB" w:rsidRPr="00CB3E98" w:rsidRDefault="00E428DB" w:rsidP="004D7B0B">
      <w:pPr>
        <w:pStyle w:val="Textpoznpodarou"/>
      </w:pPr>
      <w:r w:rsidRPr="00610379">
        <w:rPr>
          <w:rStyle w:val="Znakapoznpodarou"/>
        </w:rPr>
        <w:footnoteRef/>
      </w:r>
      <w:r w:rsidRPr="00CB3E98">
        <w:t xml:space="preserve"> </w:t>
      </w:r>
      <w:r>
        <w:tab/>
      </w:r>
      <w:r w:rsidRPr="00CB3E98">
        <w:t>Lhůta běží od data ukončení příjmu žádostí o podporu u kolové výzvy, v případě průběžných výzev od data podání dané žádosti o podporu v MS2014+ do vydání právního aktu.</w:t>
      </w:r>
    </w:p>
  </w:footnote>
  <w:footnote w:id="11">
    <w:p w14:paraId="1207FFF1" w14:textId="77777777" w:rsidR="00E428DB" w:rsidRPr="00CB3E98" w:rsidRDefault="00E428DB" w:rsidP="004D7B0B">
      <w:pPr>
        <w:pStyle w:val="Textpoznpodarou"/>
      </w:pPr>
      <w:r w:rsidRPr="00610379">
        <w:rPr>
          <w:rStyle w:val="Znakapoznpodarou"/>
        </w:rPr>
        <w:footnoteRef/>
      </w:r>
      <w:r w:rsidRPr="00CB3E98">
        <w:t xml:space="preserve"> </w:t>
      </w:r>
      <w:r>
        <w:tab/>
      </w:r>
      <w:r w:rsidRPr="00CB3E98">
        <w:t>Vyhláška č. 560/2006 Sb., o účasti státního rozpočtu na financování programů reprodukce majetku.</w:t>
      </w:r>
    </w:p>
  </w:footnote>
  <w:footnote w:id="12">
    <w:p w14:paraId="57F28569" w14:textId="77777777" w:rsidR="00E428DB" w:rsidRPr="00717681" w:rsidRDefault="00E428DB" w:rsidP="004D7B0B">
      <w:pPr>
        <w:pStyle w:val="Textpoznpodarou"/>
      </w:pPr>
      <w:r w:rsidRPr="00610379">
        <w:rPr>
          <w:rStyle w:val="Znakapoznpodarou"/>
        </w:rPr>
        <w:footnoteRef/>
      </w:r>
      <w:r w:rsidRPr="00694EC5">
        <w:t xml:space="preserve"> </w:t>
      </w:r>
      <w:r>
        <w:tab/>
      </w:r>
      <w:r w:rsidRPr="00717681">
        <w:t>Ustanovení § 3 zákona č. 406/2000 Sb.,</w:t>
      </w:r>
      <w:r w:rsidRPr="00717681">
        <w:rPr>
          <w:rFonts w:cstheme="minorHAnsi"/>
          <w:bCs/>
        </w:rPr>
        <w:t xml:space="preserve"> o hospodaření energií.</w:t>
      </w:r>
    </w:p>
  </w:footnote>
  <w:footnote w:id="13">
    <w:p w14:paraId="0DF4E437" w14:textId="77777777" w:rsidR="00E428DB" w:rsidRPr="00717681" w:rsidRDefault="00E428DB" w:rsidP="004D7B0B">
      <w:pPr>
        <w:pStyle w:val="Textpoznpodarou"/>
      </w:pPr>
      <w:r w:rsidRPr="00610379">
        <w:rPr>
          <w:rStyle w:val="Znakapoznpodarou"/>
        </w:rPr>
        <w:footnoteRef/>
      </w:r>
      <w:r w:rsidRPr="00694EC5">
        <w:t xml:space="preserve"> </w:t>
      </w:r>
      <w:r>
        <w:tab/>
      </w:r>
      <w:r w:rsidRPr="00717681">
        <w:t>Usnesení vlády České republiky ze dne 18. května 2015 č. 362</w:t>
      </w:r>
      <w:r>
        <w:t>,</w:t>
      </w:r>
      <w:r w:rsidRPr="00717681">
        <w:t xml:space="preserve"> </w:t>
      </w:r>
      <w:r w:rsidRPr="00610379">
        <w:rPr>
          <w:i/>
        </w:rPr>
        <w:t>o Státní energetické koncepci České republiky</w:t>
      </w:r>
      <w:r w:rsidRPr="00717681">
        <w:t>.</w:t>
      </w:r>
    </w:p>
  </w:footnote>
  <w:footnote w:id="14">
    <w:p w14:paraId="06E3C802" w14:textId="77777777" w:rsidR="00E428DB" w:rsidRPr="00717681" w:rsidRDefault="00E428DB" w:rsidP="004D7B0B">
      <w:pPr>
        <w:pStyle w:val="Textpoznpodarou"/>
      </w:pPr>
      <w:r w:rsidRPr="00610379">
        <w:rPr>
          <w:rStyle w:val="Znakapoznpodarou"/>
        </w:rPr>
        <w:footnoteRef/>
      </w:r>
      <w:r w:rsidRPr="00694EC5">
        <w:t xml:space="preserve"> </w:t>
      </w:r>
      <w:r>
        <w:tab/>
      </w:r>
      <w:r w:rsidRPr="00717681">
        <w:t>V kontrolovaném období platily 4. a 5. verze NAPEE.</w:t>
      </w:r>
    </w:p>
  </w:footnote>
  <w:footnote w:id="15">
    <w:p w14:paraId="6B7CA6C7" w14:textId="77777777" w:rsidR="00E428DB" w:rsidRPr="00717681" w:rsidRDefault="00E428DB" w:rsidP="004D7B0B">
      <w:pPr>
        <w:pStyle w:val="Textpoznpodarou"/>
      </w:pPr>
      <w:r w:rsidRPr="00610379">
        <w:rPr>
          <w:rStyle w:val="Znakapoznpodarou"/>
        </w:rPr>
        <w:footnoteRef/>
      </w:r>
      <w:r w:rsidRPr="00694EC5">
        <w:t xml:space="preserve"> </w:t>
      </w:r>
      <w:r>
        <w:tab/>
      </w:r>
      <w:r w:rsidRPr="00717681">
        <w:t>Členské státy, které si zvolily alternativní přístup, musí do roku 2020 docílit úspor v objemu, který se rovná alespoň objemu dosaženému splněním 3% podílu renovace podle „standardního“ přístupu, je tedy možné do cílové hodnoty pro daný rok započítat nadbytek úspor vzniklých v předchozích letech.</w:t>
      </w:r>
    </w:p>
  </w:footnote>
  <w:footnote w:id="16">
    <w:p w14:paraId="28170705" w14:textId="1C45C99B" w:rsidR="00E428DB" w:rsidRPr="00717681" w:rsidRDefault="00E428DB" w:rsidP="004D7B0B">
      <w:pPr>
        <w:pStyle w:val="Textpoznpodarou"/>
      </w:pPr>
      <w:r w:rsidRPr="00610379">
        <w:rPr>
          <w:rStyle w:val="Znakapoznpodarou"/>
        </w:rPr>
        <w:footnoteRef/>
      </w:r>
      <w:r w:rsidRPr="00717681">
        <w:t xml:space="preserve"> </w:t>
      </w:r>
      <w:r>
        <w:tab/>
      </w:r>
      <w:r w:rsidRPr="00717681">
        <w:t>Usnesení vlády České republiky ze dne 16. března 2015 č. 185</w:t>
      </w:r>
      <w:r>
        <w:t>,</w:t>
      </w:r>
      <w:r w:rsidRPr="00717681">
        <w:t xml:space="preserve"> </w:t>
      </w:r>
      <w:r w:rsidRPr="004D7B0B">
        <w:t>k plánu rekonstrukce objektů v působnosti článku 5 směrnice Evropského parlamentu a Rady 2012/27/EU ze dne 25. října 2012 o energetické účinnosti pro rok 2015 s výhledem do roku 2020</w:t>
      </w:r>
      <w:r>
        <w:t>,</w:t>
      </w:r>
      <w:r w:rsidRPr="00717681">
        <w:t xml:space="preserve"> a </w:t>
      </w:r>
      <w:r>
        <w:t>u</w:t>
      </w:r>
      <w:r w:rsidRPr="00717681">
        <w:t>snesení vlády České republiky ze dne 14. prosince 2015 č. 1035</w:t>
      </w:r>
      <w:r>
        <w:t>,</w:t>
      </w:r>
      <w:r w:rsidRPr="00717681">
        <w:t xml:space="preserve"> </w:t>
      </w:r>
      <w:r w:rsidRPr="004D7B0B">
        <w:t>k Plánu rekonstrukce objektů v působnosti článku 5 směrnice Evropského parlamentu a Rady 2012/27/EU ze dne 25. října 2012 o energetické účinnosti, pro rok 2016 s výhledem do roku 2020</w:t>
      </w:r>
      <w:r w:rsidRPr="006F66BF">
        <w:t>.</w:t>
      </w:r>
    </w:p>
  </w:footnote>
  <w:footnote w:id="17">
    <w:p w14:paraId="167525DB" w14:textId="77777777" w:rsidR="00E428DB" w:rsidRPr="00717681" w:rsidRDefault="00E428DB" w:rsidP="004D7B0B">
      <w:pPr>
        <w:pStyle w:val="Textpoznpodarou"/>
      </w:pPr>
      <w:r w:rsidRPr="00610379">
        <w:rPr>
          <w:rStyle w:val="Znakapoznpodarou"/>
        </w:rPr>
        <w:footnoteRef/>
      </w:r>
      <w:r w:rsidRPr="00694EC5">
        <w:t xml:space="preserve"> </w:t>
      </w:r>
      <w:r>
        <w:tab/>
      </w:r>
      <w:r w:rsidRPr="00717681">
        <w:t>Unesení vlády České republiky ze dne 5. června 2017 č. 430</w:t>
      </w:r>
      <w:r>
        <w:t>,</w:t>
      </w:r>
      <w:r w:rsidRPr="00717681">
        <w:t xml:space="preserve"> </w:t>
      </w:r>
      <w:r w:rsidRPr="009F3B35">
        <w:rPr>
          <w:i/>
        </w:rPr>
        <w:t>k aktualizaci Plánu rekonstrukce objektů v působnosti článku 5 směrnice Evropského parlamentu a Rady 2012/27/EU ze dne 25. října 2012 o energetické účinnosti</w:t>
      </w:r>
      <w:r w:rsidRPr="00717681">
        <w:t>.</w:t>
      </w:r>
    </w:p>
  </w:footnote>
  <w:footnote w:id="18">
    <w:p w14:paraId="273A10A3" w14:textId="77777777" w:rsidR="00E428DB" w:rsidRPr="00717681" w:rsidRDefault="00E428DB" w:rsidP="004D7B0B">
      <w:pPr>
        <w:pStyle w:val="Textpoznpodarou"/>
      </w:pPr>
      <w:r w:rsidRPr="00610379">
        <w:rPr>
          <w:rStyle w:val="Znakapoznpodarou"/>
        </w:rPr>
        <w:footnoteRef/>
      </w:r>
      <w:r w:rsidRPr="00717681">
        <w:t xml:space="preserve"> </w:t>
      </w:r>
      <w:r>
        <w:tab/>
      </w:r>
      <w:r w:rsidRPr="00717681">
        <w:t>Usnesení vlády České republiky ze dne 17. října 2018 č. 669</w:t>
      </w:r>
      <w:r>
        <w:t>,</w:t>
      </w:r>
      <w:r w:rsidRPr="00717681">
        <w:t xml:space="preserve"> </w:t>
      </w:r>
      <w:r w:rsidRPr="00610379">
        <w:rPr>
          <w:i/>
        </w:rPr>
        <w:t>o Implementačním plánu Strategického rámce Česká republika 2030</w:t>
      </w:r>
      <w:r w:rsidRPr="00717681">
        <w:t>.</w:t>
      </w:r>
    </w:p>
  </w:footnote>
  <w:footnote w:id="19">
    <w:p w14:paraId="799CFB07" w14:textId="77777777" w:rsidR="00E428DB" w:rsidRPr="00717681" w:rsidRDefault="00E428DB" w:rsidP="004D7B0B">
      <w:pPr>
        <w:pStyle w:val="Textpoznpodarou"/>
      </w:pPr>
      <w:r w:rsidRPr="00610379">
        <w:rPr>
          <w:rStyle w:val="Znakapoznpodarou"/>
        </w:rPr>
        <w:footnoteRef/>
      </w:r>
      <w:r w:rsidRPr="00694EC5">
        <w:t xml:space="preserve"> </w:t>
      </w:r>
      <w:r>
        <w:tab/>
      </w:r>
      <w:r w:rsidRPr="00E34290">
        <w:rPr>
          <w:lang w:val="en-GB"/>
        </w:rPr>
        <w:t>Sustainable Development Goals</w:t>
      </w:r>
      <w:r w:rsidRPr="00717681">
        <w:t>.</w:t>
      </w:r>
    </w:p>
  </w:footnote>
  <w:footnote w:id="20">
    <w:p w14:paraId="16573621" w14:textId="77777777" w:rsidR="00E428DB" w:rsidRPr="00717681" w:rsidRDefault="00E428DB" w:rsidP="004D7B0B">
      <w:pPr>
        <w:pStyle w:val="Textpoznpodarou"/>
      </w:pPr>
      <w:r w:rsidRPr="00610379">
        <w:rPr>
          <w:rStyle w:val="Znakapoznpodarou"/>
        </w:rPr>
        <w:footnoteRef/>
      </w:r>
      <w:r w:rsidRPr="00694EC5">
        <w:t xml:space="preserve"> </w:t>
      </w:r>
      <w:r>
        <w:tab/>
      </w:r>
      <w:r w:rsidRPr="00E34290">
        <w:rPr>
          <w:lang w:val="en-GB"/>
        </w:rPr>
        <w:t>Goal 7 – Ensure access to affordable, reliable, sustainable and modern energy for all</w:t>
      </w:r>
      <w:r w:rsidRPr="00717681">
        <w:t>.</w:t>
      </w:r>
    </w:p>
  </w:footnote>
  <w:footnote w:id="21">
    <w:p w14:paraId="2AC449C2" w14:textId="77777777" w:rsidR="00E428DB" w:rsidRPr="00717681" w:rsidRDefault="00E428DB" w:rsidP="004D7B0B">
      <w:pPr>
        <w:pStyle w:val="Textpoznpodarou"/>
      </w:pPr>
      <w:r w:rsidRPr="00610379">
        <w:rPr>
          <w:rStyle w:val="Znakapoznpodarou"/>
        </w:rPr>
        <w:footnoteRef/>
      </w:r>
      <w:r w:rsidRPr="00694EC5">
        <w:t xml:space="preserve"> </w:t>
      </w:r>
      <w:r>
        <w:tab/>
      </w:r>
      <w:r w:rsidRPr="00717681">
        <w:t>SC 5.3 byl do programového dokumentu OPŽP nově zařazen v prosinci 2018. Tento nový specifický cíl přímo souvisí s naplňováním závazku ČR dle čl. 5 EED. Do této doby byly projekty ústředních institucí financovány v rámci SC 5.1.</w:t>
      </w:r>
    </w:p>
  </w:footnote>
  <w:footnote w:id="22">
    <w:p w14:paraId="474E730A" w14:textId="42AA34FC" w:rsidR="00E428DB" w:rsidRPr="00717681" w:rsidRDefault="00E428DB" w:rsidP="004D7B0B">
      <w:pPr>
        <w:pStyle w:val="Textpoznpodarou"/>
      </w:pPr>
      <w:r w:rsidRPr="00610379">
        <w:rPr>
          <w:rStyle w:val="Znakapoznpodarou"/>
        </w:rPr>
        <w:footnoteRef/>
      </w:r>
      <w:r w:rsidRPr="00717681">
        <w:t xml:space="preserve"> </w:t>
      </w:r>
      <w:r>
        <w:tab/>
      </w:r>
      <w:r w:rsidRPr="00717681">
        <w:t xml:space="preserve">EUA </w:t>
      </w:r>
      <w:r>
        <w:t xml:space="preserve">– </w:t>
      </w:r>
      <w:r w:rsidRPr="00717681">
        <w:t>European Union Allowance, emisní povolenka pro stacionární zdroje znečištění.</w:t>
      </w:r>
    </w:p>
  </w:footnote>
  <w:footnote w:id="23">
    <w:p w14:paraId="27A01F20" w14:textId="24115023" w:rsidR="00E428DB" w:rsidRPr="00717681" w:rsidRDefault="00E428DB" w:rsidP="004D7B0B">
      <w:pPr>
        <w:pStyle w:val="Textpoznpodarou"/>
      </w:pPr>
      <w:r w:rsidRPr="00610379">
        <w:rPr>
          <w:rStyle w:val="Znakapoznpodarou"/>
        </w:rPr>
        <w:footnoteRef/>
      </w:r>
      <w:r w:rsidRPr="00717681">
        <w:t xml:space="preserve"> </w:t>
      </w:r>
      <w:r>
        <w:tab/>
      </w:r>
      <w:r w:rsidRPr="00717681">
        <w:t xml:space="preserve">EUAA </w:t>
      </w:r>
      <w:r>
        <w:t xml:space="preserve">– </w:t>
      </w:r>
      <w:r w:rsidRPr="00717681">
        <w:t>European Union Aviation Allowance, emisní povolenka pro letecký provoz.</w:t>
      </w:r>
    </w:p>
  </w:footnote>
  <w:footnote w:id="24">
    <w:p w14:paraId="44D6D5F5" w14:textId="7034D581" w:rsidR="00E428DB" w:rsidRPr="00717681" w:rsidRDefault="00E428DB" w:rsidP="004D7B0B">
      <w:pPr>
        <w:pStyle w:val="Textpoznpodarou"/>
      </w:pPr>
      <w:r w:rsidRPr="00610379">
        <w:rPr>
          <w:rStyle w:val="Znakapoznpodarou"/>
        </w:rPr>
        <w:footnoteRef/>
      </w:r>
      <w:r w:rsidRPr="00717681">
        <w:t xml:space="preserve"> </w:t>
      </w:r>
      <w:r>
        <w:tab/>
      </w:r>
      <w:r w:rsidRPr="00717681">
        <w:t>EU ETS</w:t>
      </w:r>
      <w:r>
        <w:t xml:space="preserve"> –</w:t>
      </w:r>
      <w:r w:rsidRPr="00717681">
        <w:t xml:space="preserve"> European Union Emission Trading Scheme; systém emisního obchodování, kterého se ČR jako člen EU účastní.</w:t>
      </w:r>
    </w:p>
  </w:footnote>
  <w:footnote w:id="25">
    <w:p w14:paraId="00DAEEDA" w14:textId="058018FA" w:rsidR="00E428DB" w:rsidRPr="00717681" w:rsidRDefault="00E428DB" w:rsidP="004D7B0B">
      <w:pPr>
        <w:pStyle w:val="Textpoznpodarou"/>
      </w:pPr>
      <w:r w:rsidRPr="00610379">
        <w:rPr>
          <w:rStyle w:val="Znakapoznpodarou"/>
        </w:rPr>
        <w:footnoteRef/>
      </w:r>
      <w:r w:rsidRPr="00694EC5">
        <w:t xml:space="preserve"> </w:t>
      </w:r>
      <w:r>
        <w:tab/>
      </w:r>
      <w:r w:rsidRPr="00717681">
        <w:t xml:space="preserve">Podprogramy programu NZÚ v kontrolovaném období byly: </w:t>
      </w:r>
      <w:r w:rsidRPr="004D7B0B">
        <w:t>Nová zelená úsporám – Rodinné domy</w:t>
      </w:r>
      <w:r w:rsidRPr="00717681">
        <w:t xml:space="preserve">, </w:t>
      </w:r>
      <w:r w:rsidRPr="004D7B0B">
        <w:t>Nová zelená úsporám – Bytové domy</w:t>
      </w:r>
      <w:r w:rsidRPr="00717681">
        <w:t xml:space="preserve">, </w:t>
      </w:r>
      <w:r w:rsidRPr="004D7B0B">
        <w:t>Nová zelená úsporám – Budovy veřejného sektoru</w:t>
      </w:r>
      <w:r w:rsidRPr="00717681">
        <w:t xml:space="preserve">, </w:t>
      </w:r>
      <w:r w:rsidRPr="004D7B0B">
        <w:t xml:space="preserve">Nová zelená </w:t>
      </w:r>
      <w:r w:rsidR="008745BB">
        <w:br/>
      </w:r>
      <w:r w:rsidRPr="004D7B0B">
        <w:t>úsporám – Náklady státu na administraci</w:t>
      </w:r>
      <w:r w:rsidRPr="00717681">
        <w:t>.</w:t>
      </w:r>
    </w:p>
  </w:footnote>
  <w:footnote w:id="26">
    <w:p w14:paraId="6A09C250" w14:textId="77777777" w:rsidR="00E428DB" w:rsidRPr="00717681" w:rsidRDefault="00E428DB" w:rsidP="004D7B0B">
      <w:pPr>
        <w:pStyle w:val="Textpoznpodarou"/>
      </w:pPr>
      <w:r w:rsidRPr="00610379">
        <w:rPr>
          <w:rStyle w:val="Znakapoznpodarou"/>
        </w:rPr>
        <w:footnoteRef/>
      </w:r>
      <w:r w:rsidRPr="00717681">
        <w:t xml:space="preserve"> </w:t>
      </w:r>
      <w:r>
        <w:tab/>
      </w:r>
      <w:r w:rsidRPr="00717681">
        <w:t>Usnesení vlády České republiky ze dne 6. listopadu 2013 č. 848</w:t>
      </w:r>
      <w:r>
        <w:t>,</w:t>
      </w:r>
      <w:r w:rsidRPr="00717681">
        <w:t xml:space="preserve"> </w:t>
      </w:r>
      <w:r w:rsidRPr="004D7B0B">
        <w:t>k Dokumentaci programu Nová zelená úsporám identifikační číslo programu 115 280</w:t>
      </w:r>
      <w:r w:rsidRPr="00717681">
        <w:t>.</w:t>
      </w:r>
    </w:p>
  </w:footnote>
  <w:footnote w:id="27">
    <w:p w14:paraId="13705BD8" w14:textId="4D6DDE34" w:rsidR="00E428DB" w:rsidRPr="00717681" w:rsidRDefault="00E428DB" w:rsidP="004D7B0B">
      <w:pPr>
        <w:pStyle w:val="Textpoznpodarou"/>
      </w:pPr>
      <w:r w:rsidRPr="00610379">
        <w:rPr>
          <w:rStyle w:val="Znakapoznpodarou"/>
        </w:rPr>
        <w:footnoteRef/>
      </w:r>
      <w:r w:rsidRPr="00717681">
        <w:t xml:space="preserve"> </w:t>
      </w:r>
      <w:r>
        <w:tab/>
      </w:r>
      <w:r w:rsidRPr="00717681">
        <w:t>Alokace programu NZÚ je závislá na výnosu ČR z dražeb emisních povolenek. Cena jedné emisní povolenky se v letech 2017 až 2020 zvyšovala, viz část IV. bod 3 tohoto kontrolního závěru.</w:t>
      </w:r>
    </w:p>
  </w:footnote>
  <w:footnote w:id="28">
    <w:p w14:paraId="5880382C" w14:textId="38EB741F" w:rsidR="00E428DB" w:rsidRPr="00717681" w:rsidRDefault="00E428DB" w:rsidP="004D7B0B">
      <w:pPr>
        <w:pStyle w:val="Textpoznpodarou"/>
      </w:pPr>
      <w:r w:rsidRPr="00610379">
        <w:rPr>
          <w:rStyle w:val="Znakapoznpodarou"/>
        </w:rPr>
        <w:footnoteRef/>
      </w:r>
      <w:r w:rsidRPr="00694EC5">
        <w:t xml:space="preserve"> </w:t>
      </w:r>
      <w:r>
        <w:tab/>
      </w:r>
      <w:r w:rsidRPr="00717681">
        <w:t>Usnesení vlády České republiky ze dne 2. listopadu 2016 č. 955</w:t>
      </w:r>
      <w:r>
        <w:t>,</w:t>
      </w:r>
      <w:r w:rsidRPr="00717681">
        <w:t xml:space="preserve"> </w:t>
      </w:r>
      <w:r w:rsidRPr="00610379">
        <w:rPr>
          <w:i/>
        </w:rPr>
        <w:t>ke 2. změně Dokumentace programu Nová zelená úsporám identifikační číslo 115</w:t>
      </w:r>
      <w:r>
        <w:rPr>
          <w:i/>
        </w:rPr>
        <w:t> </w:t>
      </w:r>
      <w:r w:rsidRPr="00610379">
        <w:rPr>
          <w:i/>
        </w:rPr>
        <w:t>280</w:t>
      </w:r>
      <w:r>
        <w:t>,</w:t>
      </w:r>
      <w:r w:rsidRPr="00717681">
        <w:t xml:space="preserve"> a </w:t>
      </w:r>
      <w:r>
        <w:t>u</w:t>
      </w:r>
      <w:r w:rsidRPr="00717681">
        <w:t>snesení vlády České republiky ze dne 30. července 2019 č. 554</w:t>
      </w:r>
      <w:r>
        <w:t>,</w:t>
      </w:r>
      <w:r w:rsidRPr="00717681">
        <w:t xml:space="preserve"> </w:t>
      </w:r>
      <w:r w:rsidRPr="00610379">
        <w:rPr>
          <w:i/>
        </w:rPr>
        <w:t>k</w:t>
      </w:r>
      <w:r>
        <w:rPr>
          <w:i/>
        </w:rPr>
        <w:t xml:space="preserve">e </w:t>
      </w:r>
      <w:r w:rsidRPr="00610379">
        <w:rPr>
          <w:i/>
        </w:rPr>
        <w:t>3. změně Dokumentace programu Nová zelená úsporám identifikační číslo 115 280</w:t>
      </w:r>
      <w:r w:rsidRPr="00717681">
        <w:t>.</w:t>
      </w:r>
    </w:p>
  </w:footnote>
  <w:footnote w:id="29">
    <w:p w14:paraId="49F7CD7F" w14:textId="77777777" w:rsidR="00E428DB" w:rsidRPr="00717681" w:rsidRDefault="00E428DB" w:rsidP="004D7B0B">
      <w:pPr>
        <w:pStyle w:val="Textpoznpodarou"/>
      </w:pPr>
      <w:r w:rsidRPr="005E1606">
        <w:rPr>
          <w:rStyle w:val="Znakapoznpodarou"/>
        </w:rPr>
        <w:footnoteRef/>
      </w:r>
      <w:r w:rsidRPr="00717681">
        <w:t xml:space="preserve"> </w:t>
      </w:r>
      <w:r>
        <w:tab/>
      </w:r>
      <w:r w:rsidRPr="00717681">
        <w:t>Zákon č. 218/2000 Sb., o rozpočtových pravidlech a o změně některých souvisejících zákonů (rozpočtová pravidla).</w:t>
      </w:r>
    </w:p>
  </w:footnote>
  <w:footnote w:id="30">
    <w:p w14:paraId="42934EFD" w14:textId="77777777" w:rsidR="00E428DB" w:rsidRPr="004B526D" w:rsidRDefault="00E428DB" w:rsidP="004D7B0B">
      <w:pPr>
        <w:pStyle w:val="Textpoznpodarou"/>
      </w:pPr>
      <w:r w:rsidRPr="004B526D">
        <w:rPr>
          <w:rStyle w:val="Znakapoznpodarou"/>
        </w:rPr>
        <w:footnoteRef/>
      </w:r>
      <w:r w:rsidRPr="004B526D">
        <w:t xml:space="preserve"> </w:t>
      </w:r>
      <w:r>
        <w:tab/>
      </w:r>
      <w:r w:rsidRPr="004B526D">
        <w:t>Usnesením vlády České republiky ze dne 2. listopadu 2016 č. 955</w:t>
      </w:r>
      <w:r>
        <w:t>,</w:t>
      </w:r>
      <w:r w:rsidRPr="004B526D">
        <w:t xml:space="preserve"> </w:t>
      </w:r>
      <w:r w:rsidRPr="0080205A">
        <w:rPr>
          <w:i/>
        </w:rPr>
        <w:t>ke 2. změně Dokumentace programu Nová zelená úsporám identifikační číslo 115 280</w:t>
      </w:r>
      <w:r w:rsidRPr="004B526D">
        <w:t>.</w:t>
      </w:r>
    </w:p>
  </w:footnote>
  <w:footnote w:id="31">
    <w:p w14:paraId="284A0F30" w14:textId="77777777" w:rsidR="00E428DB" w:rsidRPr="004B526D" w:rsidRDefault="00E428DB" w:rsidP="004D7B0B">
      <w:pPr>
        <w:pStyle w:val="Textpoznpodarou"/>
      </w:pPr>
      <w:r w:rsidRPr="004B526D">
        <w:rPr>
          <w:rStyle w:val="Znakapoznpodarou"/>
        </w:rPr>
        <w:footnoteRef/>
      </w:r>
      <w:r>
        <w:tab/>
      </w:r>
      <w:r w:rsidRPr="004B526D">
        <w:t>Směrnice MŽP č. 7/2017</w:t>
      </w:r>
      <w:r>
        <w:t>,</w:t>
      </w:r>
      <w:r w:rsidRPr="004B526D">
        <w:t xml:space="preserve"> o poskytování finančních prostředků z podprogramu Nová zelená úsporám – Budovy veřejného sektoru formou posílení vlastních zdrojů žadatele u schválených žádostí o podporu z Operačního programu Životního prostředí (první verze duben 2017)</w:t>
      </w:r>
      <w:r>
        <w:t>, a</w:t>
      </w:r>
      <w:r w:rsidRPr="004B526D">
        <w:t xml:space="preserve"> </w:t>
      </w:r>
      <w:r w:rsidRPr="005E1606">
        <w:rPr>
          <w:i/>
        </w:rPr>
        <w:t>Metodický pokyn samostatného oddělení programu Nová zelená úsporám Ministerstva životního prostředí pro administraci žádostí o podporu v rámci podprogramu Nová zelená úsporám – Budovy veřejného sektoru formou posílení vlastních zdrojů žadatele u schválených žádostí v rámci výzev specifického cíle 5.1 a 5.3 Operačního programu Životního prostřed</w:t>
      </w:r>
      <w:r w:rsidRPr="004B526D">
        <w:t>í (první verze květen 2017).</w:t>
      </w:r>
    </w:p>
  </w:footnote>
  <w:footnote w:id="32">
    <w:p w14:paraId="3C355EA8" w14:textId="10BF94DA" w:rsidR="00E428DB" w:rsidRPr="004B526D" w:rsidRDefault="00E428DB" w:rsidP="004D7B0B">
      <w:pPr>
        <w:pStyle w:val="Textpoznpodarou"/>
      </w:pPr>
      <w:r w:rsidRPr="004B526D">
        <w:rPr>
          <w:rStyle w:val="Znakapoznpodarou"/>
        </w:rPr>
        <w:footnoteRef/>
      </w:r>
      <w:r w:rsidRPr="004B526D">
        <w:t xml:space="preserve"> </w:t>
      </w:r>
      <w:r>
        <w:tab/>
      </w:r>
      <w:r w:rsidRPr="004B526D">
        <w:t>Usnesením vlády České republiky ze dne 30. března 2015 č. 229</w:t>
      </w:r>
      <w:r>
        <w:t>,</w:t>
      </w:r>
      <w:r w:rsidRPr="004B526D">
        <w:t xml:space="preserve"> </w:t>
      </w:r>
      <w:r w:rsidRPr="005E1606">
        <w:rPr>
          <w:i/>
        </w:rPr>
        <w:t>o změně Dokumentace programu Nová zelená úsporám</w:t>
      </w:r>
      <w:r>
        <w:t>,</w:t>
      </w:r>
      <w:r w:rsidRPr="004B526D">
        <w:t xml:space="preserve"> byl program NZÚ prodloužen do 31. 8. 2024. Současná alokace peněžních prostředků určených na</w:t>
      </w:r>
      <w:r>
        <w:t xml:space="preserve"> </w:t>
      </w:r>
      <w:r w:rsidRPr="004B526D">
        <w:t>budovy veřejného sektoru dle platné dokumentace programu NZÚ činí 5,5 mld. Kč. Objem disponibilních prostředků NZÚ je závislý na výnosu ČR z dražeb emisních povolenek.</w:t>
      </w:r>
    </w:p>
  </w:footnote>
  <w:footnote w:id="33">
    <w:p w14:paraId="667D320A" w14:textId="360E5D08" w:rsidR="00E428DB" w:rsidRPr="004B526D" w:rsidRDefault="00E428DB" w:rsidP="004D7B0B">
      <w:pPr>
        <w:pStyle w:val="Textpoznpodarou"/>
      </w:pPr>
      <w:r w:rsidRPr="004B526D">
        <w:rPr>
          <w:rStyle w:val="Znakapoznpodarou"/>
        </w:rPr>
        <w:footnoteRef/>
      </w:r>
      <w:r w:rsidRPr="004B526D">
        <w:t xml:space="preserve"> </w:t>
      </w:r>
      <w:r>
        <w:tab/>
      </w:r>
      <w:r w:rsidRPr="004B526D">
        <w:rPr>
          <w:rFonts w:eastAsia="Calibri"/>
        </w:rPr>
        <w:t xml:space="preserve">Kontrolovaného období se týká 5. až 8. </w:t>
      </w:r>
      <w:r>
        <w:rPr>
          <w:rFonts w:eastAsia="Calibri"/>
        </w:rPr>
        <w:t>z</w:t>
      </w:r>
      <w:r w:rsidRPr="004B526D">
        <w:rPr>
          <w:rFonts w:eastAsia="Calibri"/>
        </w:rPr>
        <w:t>práv</w:t>
      </w:r>
      <w:r>
        <w:rPr>
          <w:rFonts w:eastAsia="Calibri"/>
        </w:rPr>
        <w:t>a</w:t>
      </w:r>
      <w:r w:rsidRPr="004B526D">
        <w:rPr>
          <w:rFonts w:eastAsia="Calibri"/>
        </w:rPr>
        <w:t xml:space="preserve"> o pokroku v oblasti plnění vnitrostátních cílů energetické účinnosti v České republice podle čl. 24 směrnice 2012/27/EU o energetické účinnosti.</w:t>
      </w:r>
    </w:p>
  </w:footnote>
  <w:footnote w:id="34">
    <w:p w14:paraId="6BF58FC2" w14:textId="77777777" w:rsidR="00E428DB" w:rsidRPr="004B526D" w:rsidRDefault="00E428DB" w:rsidP="004D7B0B">
      <w:pPr>
        <w:pStyle w:val="Textpoznpodarou"/>
      </w:pPr>
      <w:r w:rsidRPr="004B526D">
        <w:rPr>
          <w:rStyle w:val="Znakapoznpodarou"/>
        </w:rPr>
        <w:footnoteRef/>
      </w:r>
      <w:r w:rsidRPr="004B526D">
        <w:t xml:space="preserve"> </w:t>
      </w:r>
      <w:r>
        <w:tab/>
      </w:r>
      <w:r w:rsidRPr="004B526D">
        <w:t>Vyhláška č. 118/2013 Sb., o energetických specialistech.</w:t>
      </w:r>
    </w:p>
  </w:footnote>
  <w:footnote w:id="35">
    <w:p w14:paraId="4698F56B" w14:textId="195A31D5" w:rsidR="00E428DB" w:rsidRPr="004B526D" w:rsidRDefault="00E428DB" w:rsidP="004D7B0B">
      <w:pPr>
        <w:pStyle w:val="Textpoznpodarou"/>
      </w:pPr>
      <w:r w:rsidRPr="004B526D">
        <w:rPr>
          <w:rStyle w:val="Znakapoznpodarou"/>
        </w:rPr>
        <w:footnoteRef/>
      </w:r>
      <w:r w:rsidRPr="004B526D">
        <w:t xml:space="preserve"> </w:t>
      </w:r>
      <w:r>
        <w:tab/>
      </w:r>
      <w:r w:rsidRPr="004B526D">
        <w:t>V </w:t>
      </w:r>
      <w:r w:rsidRPr="005E1606">
        <w:rPr>
          <w:i/>
        </w:rPr>
        <w:t>Systému monitoringu spotřeby energie</w:t>
      </w:r>
      <w:r w:rsidRPr="004B526D">
        <w:t xml:space="preserve"> je rozlišováno pět fází projektu: „</w:t>
      </w:r>
      <w:r>
        <w:t>i</w:t>
      </w:r>
      <w:r w:rsidRPr="004B526D">
        <w:t>dea“, „</w:t>
      </w:r>
      <w:r>
        <w:t>p</w:t>
      </w:r>
      <w:r w:rsidRPr="004B526D">
        <w:t>lán“, „</w:t>
      </w:r>
      <w:r>
        <w:t>p</w:t>
      </w:r>
      <w:r w:rsidRPr="004B526D">
        <w:t>rojekt“, „</w:t>
      </w:r>
      <w:r>
        <w:t>r</w:t>
      </w:r>
      <w:r w:rsidRPr="004B526D">
        <w:t>ealizace“ a „</w:t>
      </w:r>
      <w:r>
        <w:t>p</w:t>
      </w:r>
      <w:r w:rsidRPr="004B526D">
        <w:t>o dokončení realizace“.</w:t>
      </w:r>
    </w:p>
  </w:footnote>
  <w:footnote w:id="36">
    <w:p w14:paraId="750BF218" w14:textId="77777777" w:rsidR="00E428DB" w:rsidRDefault="00E428DB" w:rsidP="004D7B0B">
      <w:pPr>
        <w:pStyle w:val="Textpoznpodarou"/>
      </w:pPr>
      <w:r>
        <w:rPr>
          <w:rStyle w:val="Znakapoznpodarou"/>
        </w:rPr>
        <w:footnoteRef/>
      </w:r>
      <w:r>
        <w:t xml:space="preserve"> </w:t>
      </w:r>
      <w:r>
        <w:tab/>
      </w:r>
      <w:r w:rsidRPr="00257D1C">
        <w:t>Energeticky vztažná plocha je definována v</w:t>
      </w:r>
      <w:r>
        <w:t> ustanovení § 2 odst. 1 z</w:t>
      </w:r>
      <w:r w:rsidRPr="00257D1C">
        <w:t>ákon</w:t>
      </w:r>
      <w:r>
        <w:t>a č. 406/2000 Sb.</w:t>
      </w:r>
    </w:p>
  </w:footnote>
  <w:footnote w:id="37">
    <w:p w14:paraId="665375F5" w14:textId="086A17FC" w:rsidR="00E428DB" w:rsidRPr="004B526D" w:rsidRDefault="00E428DB" w:rsidP="004D7B0B">
      <w:pPr>
        <w:pStyle w:val="Textpoznpodarou"/>
      </w:pPr>
      <w:r w:rsidRPr="004B526D">
        <w:rPr>
          <w:rStyle w:val="Znakapoznpodarou"/>
        </w:rPr>
        <w:footnoteRef/>
      </w:r>
      <w:r w:rsidRPr="004B526D">
        <w:t xml:space="preserve"> </w:t>
      </w:r>
      <w:r>
        <w:tab/>
      </w:r>
      <w:r w:rsidRPr="004B526D">
        <w:t>U</w:t>
      </w:r>
      <w:r w:rsidRPr="004B526D">
        <w:rPr>
          <w:rFonts w:cs="Calibri"/>
          <w:color w:val="000000"/>
        </w:rPr>
        <w:t xml:space="preserve">stanovení § 7 zákona č. 383/2012 Sb., o </w:t>
      </w:r>
      <w:r w:rsidRPr="004B526D">
        <w:t>podmínkách obchodování s povolenkami na</w:t>
      </w:r>
      <w:r>
        <w:t xml:space="preserve"> </w:t>
      </w:r>
      <w:r w:rsidRPr="004B526D">
        <w:t>emise skleníkových plynů.</w:t>
      </w:r>
    </w:p>
  </w:footnote>
  <w:footnote w:id="38">
    <w:p w14:paraId="2AE11FEE" w14:textId="4362DC51" w:rsidR="00E428DB" w:rsidRPr="004B526D" w:rsidRDefault="00E428DB" w:rsidP="004D7B0B">
      <w:pPr>
        <w:pStyle w:val="Textpoznpodarou"/>
      </w:pPr>
      <w:r w:rsidRPr="004B526D">
        <w:rPr>
          <w:rStyle w:val="Znakapoznpodarou"/>
        </w:rPr>
        <w:footnoteRef/>
      </w:r>
      <w:r w:rsidRPr="004B526D">
        <w:t xml:space="preserve"> </w:t>
      </w:r>
      <w:r>
        <w:tab/>
      </w:r>
      <w:r w:rsidRPr="004B526D">
        <w:t>Výnos z dražeb emisních povolenek, není-li stanoveno jinak, je účelově vázán na dodatečné financování činností vedoucích ke snižování emisí skleníkových plynů, na podporu inovací v průmyslu, na opatření, jejichž cílem je</w:t>
      </w:r>
      <w:r>
        <w:t xml:space="preserve"> </w:t>
      </w:r>
      <w:r w:rsidRPr="004B526D">
        <w:t>zvýšit energetickou účinnost včetně výstavby a rekonstrukce soustav zásobování tepelnou energií, snižování energetické náročnosti budov a zvyšování účinnosti užití energie v průmyslu a energetice, na</w:t>
      </w:r>
      <w:r>
        <w:t> </w:t>
      </w:r>
      <w:r w:rsidRPr="004B526D">
        <w:t>podporu vědy a</w:t>
      </w:r>
      <w:r>
        <w:t xml:space="preserve"> </w:t>
      </w:r>
      <w:r w:rsidRPr="004B526D">
        <w:t>výzkumu v oblasti efektivního nakládání se zdroji, na podporu úspor energie na straně spotřebitelů, na</w:t>
      </w:r>
      <w:r>
        <w:t xml:space="preserve"> </w:t>
      </w:r>
      <w:r w:rsidRPr="004B526D">
        <w:t>adaptační opatření, na plnění mezinárodních závazků České republiky a rozvojovou pomoc v</w:t>
      </w:r>
      <w:r>
        <w:t> </w:t>
      </w:r>
      <w:r w:rsidRPr="004B526D">
        <w:t>oblasti ochrany klimatu, na náklady spojené s fungováním a správou Evropského systému obchodování a</w:t>
      </w:r>
      <w:r>
        <w:t> </w:t>
      </w:r>
      <w:r w:rsidRPr="004B526D">
        <w:t>správou rejstříku a</w:t>
      </w:r>
      <w:r>
        <w:t xml:space="preserve"> </w:t>
      </w:r>
      <w:r w:rsidRPr="004B526D">
        <w:t>na</w:t>
      </w:r>
      <w:r>
        <w:t xml:space="preserve"> </w:t>
      </w:r>
      <w:r w:rsidRPr="004B526D">
        <w:t xml:space="preserve">podporu výzkumu, vývoje, výroby a zavádění vhodných technologií a akcí vědecko- </w:t>
      </w:r>
      <w:r>
        <w:br/>
        <w:t>-</w:t>
      </w:r>
      <w:r w:rsidRPr="004B526D">
        <w:t>technického rozvoje v oblasti snižování emisí skleníkových plynů z dopravy, zejména z civilního letectví.</w:t>
      </w:r>
    </w:p>
  </w:footnote>
  <w:footnote w:id="39">
    <w:p w14:paraId="1992C4D4" w14:textId="11D6ED17" w:rsidR="00E428DB" w:rsidRPr="004B526D" w:rsidRDefault="00E428DB" w:rsidP="004D7B0B">
      <w:pPr>
        <w:pStyle w:val="Textpoznpodarou"/>
        <w:rPr>
          <w:strike/>
        </w:rPr>
      </w:pPr>
      <w:r w:rsidRPr="004B526D">
        <w:rPr>
          <w:rStyle w:val="Znakapoznpodarou"/>
          <w:rFonts w:eastAsiaTheme="majorEastAsia"/>
        </w:rPr>
        <w:footnoteRef/>
      </w:r>
      <w:r w:rsidRPr="004B526D">
        <w:t xml:space="preserve"> </w:t>
      </w:r>
      <w:r>
        <w:tab/>
      </w:r>
      <w:r w:rsidRPr="004B526D">
        <w:t>Zákon č. 1/2020 Sb., kterým se mění zákon č. 383/2012 Sb., o podmínkách obchodování s povolenkami na</w:t>
      </w:r>
      <w:r>
        <w:t xml:space="preserve"> </w:t>
      </w:r>
      <w:r w:rsidRPr="004B526D">
        <w:t>emise skleníkových plynů, ve znění pozdějších předpisů, a zákon č. 458/2000 Sb., o podmínkách podnikání a o výkonu státní správy v energetických odvětvích a o změně některých zákonů (energetický zákon), ve</w:t>
      </w:r>
      <w:r>
        <w:t xml:space="preserve"> </w:t>
      </w:r>
      <w:r w:rsidRPr="004B526D">
        <w:t>znění pozdějších předpisů.</w:t>
      </w:r>
    </w:p>
  </w:footnote>
  <w:footnote w:id="40">
    <w:p w14:paraId="2E95CAEA" w14:textId="77777777" w:rsidR="00E428DB" w:rsidRPr="00792CC4" w:rsidRDefault="00E428DB" w:rsidP="004D7B0B">
      <w:pPr>
        <w:pStyle w:val="Textpoznpodarou"/>
      </w:pPr>
      <w:r w:rsidRPr="00792CC4">
        <w:rPr>
          <w:rStyle w:val="Znakapoznpodarou"/>
        </w:rPr>
        <w:footnoteRef/>
      </w:r>
      <w:r w:rsidRPr="00792CC4">
        <w:t xml:space="preserve"> </w:t>
      </w:r>
      <w:r>
        <w:tab/>
      </w:r>
      <w:r w:rsidRPr="00792CC4">
        <w:t>Ustanovení § 2 odst. 1 zákona č. 388/1991 Sb., o Státním fondu životního prostředí České republiky.</w:t>
      </w:r>
    </w:p>
  </w:footnote>
  <w:footnote w:id="41">
    <w:p w14:paraId="43963AF0" w14:textId="5D619BB3" w:rsidR="00E428DB" w:rsidRPr="00792CC4" w:rsidRDefault="00E428DB" w:rsidP="004D7B0B">
      <w:pPr>
        <w:pStyle w:val="Textpoznpodarou"/>
      </w:pPr>
      <w:r w:rsidRPr="00792CC4">
        <w:rPr>
          <w:rStyle w:val="Znakapoznpodarou"/>
        </w:rPr>
        <w:footnoteRef/>
      </w:r>
      <w:r w:rsidRPr="00792CC4">
        <w:t xml:space="preserve"> </w:t>
      </w:r>
      <w:r>
        <w:tab/>
      </w:r>
      <w:r w:rsidRPr="00792CC4">
        <w:t>Směrnice Evropského parlamentu a Rady (EU) 2018/410 ze dne 14. března 2018, kterou se mění směrnice 2003/87/ES za účelem posílení nákladově efektivních způsobů snižování emisí a investic do nízkouhlíkových technologií a rozhodnutí (EU) 2015/1814. Směrnice Evropského parlamentu a Rady 2003/87/ES ze dne 13.</w:t>
      </w:r>
      <w:r>
        <w:t> </w:t>
      </w:r>
      <w:r w:rsidRPr="00792CC4">
        <w:t>října 2003</w:t>
      </w:r>
      <w:r>
        <w:t>,</w:t>
      </w:r>
      <w:r w:rsidRPr="00792CC4">
        <w:t xml:space="preserve"> o vytvoření systému pro obchodování s povolenkami na emise skleníkových plynů ve</w:t>
      </w:r>
      <w:r>
        <w:t> </w:t>
      </w:r>
      <w:r w:rsidRPr="00792CC4">
        <w:t>Společenství a o změně směrnice Rady 96/61/ES.</w:t>
      </w:r>
    </w:p>
  </w:footnote>
  <w:footnote w:id="42">
    <w:p w14:paraId="755FF169" w14:textId="77777777" w:rsidR="00E428DB" w:rsidRPr="00792CC4" w:rsidRDefault="00E428DB" w:rsidP="004D7B0B">
      <w:pPr>
        <w:pStyle w:val="Textpoznpodarou"/>
      </w:pPr>
      <w:r w:rsidRPr="00792CC4">
        <w:rPr>
          <w:rStyle w:val="Znakapoznpodarou"/>
        </w:rPr>
        <w:footnoteRef/>
      </w:r>
      <w:r w:rsidRPr="00792CC4">
        <w:t xml:space="preserve"> </w:t>
      </w:r>
      <w:r>
        <w:tab/>
        <w:t xml:space="preserve">Viz </w:t>
      </w:r>
      <w:r w:rsidRPr="00792CC4">
        <w:t>https://cdr.eionet.europa.eu/cz/eu/mmr/art17_auctioning.</w:t>
      </w:r>
    </w:p>
  </w:footnote>
  <w:footnote w:id="43">
    <w:p w14:paraId="7CBD3C62" w14:textId="20668134" w:rsidR="00E428DB" w:rsidRPr="00792CC4" w:rsidRDefault="00E428DB" w:rsidP="004D7B0B">
      <w:pPr>
        <w:pStyle w:val="Textpoznpodarou"/>
      </w:pPr>
      <w:r w:rsidRPr="00792CC4">
        <w:rPr>
          <w:rStyle w:val="Znakapoznpodarou"/>
        </w:rPr>
        <w:footnoteRef/>
      </w:r>
      <w:r w:rsidRPr="00792CC4">
        <w:t xml:space="preserve"> </w:t>
      </w:r>
      <w:r>
        <w:tab/>
      </w:r>
      <w:r w:rsidRPr="00792CC4">
        <w:t>Prověřovaný soubor projektů zahrnoval pouze aktivní projekty (2 487 projektů) evidované ve SC 5.1, SC 5.2 a</w:t>
      </w:r>
      <w:r>
        <w:t> </w:t>
      </w:r>
      <w:r w:rsidRPr="00792CC4">
        <w:t>SC 5.3 PO 5 OPŽP. Soubor byl dále očištěn o projekty, které</w:t>
      </w:r>
      <w:r>
        <w:t xml:space="preserve"> </w:t>
      </w:r>
      <w:r w:rsidRPr="00792CC4">
        <w:t>byly ke dni 30. 6. 2020 ve schvalovacím procesu s délkou trvání kratší než 7 měsíců (547 projektů)</w:t>
      </w:r>
      <w:r>
        <w:t>.</w:t>
      </w:r>
      <w:r w:rsidRPr="00792CC4">
        <w:t xml:space="preserve"> </w:t>
      </w:r>
      <w:r>
        <w:t>K</w:t>
      </w:r>
      <w:r w:rsidRPr="00792CC4">
        <w:t>onečný soubor prověřovaných dat tak obsahoval údaje o</w:t>
      </w:r>
      <w:r>
        <w:t> </w:t>
      </w:r>
      <w:r w:rsidRPr="00792CC4">
        <w:t>1 940 projektech, z toho 1 767 projektů mělo vydaný právní akt (91 %).</w:t>
      </w:r>
    </w:p>
  </w:footnote>
  <w:footnote w:id="44">
    <w:p w14:paraId="02C26388" w14:textId="50EE122E" w:rsidR="00E428DB" w:rsidRPr="006F5B14" w:rsidRDefault="00E428DB" w:rsidP="004D7B0B">
      <w:pPr>
        <w:pStyle w:val="Textpoznpodarou"/>
      </w:pPr>
      <w:r w:rsidRPr="00E364E5">
        <w:rPr>
          <w:rStyle w:val="Znakapoznpodarou"/>
        </w:rPr>
        <w:footnoteRef/>
      </w:r>
      <w:r w:rsidRPr="00694EC5">
        <w:t xml:space="preserve"> </w:t>
      </w:r>
      <w:r>
        <w:tab/>
      </w:r>
      <w:r w:rsidRPr="006F5B14">
        <w:t xml:space="preserve">Závazný vzor a metodický postup </w:t>
      </w:r>
      <w:r>
        <w:t xml:space="preserve">OPŽP, který de facto uvádí stejné požadavky na zpracování energetických posouzení, jako klade </w:t>
      </w:r>
      <w:r w:rsidRPr="006F5B14">
        <w:t>vyhlášk</w:t>
      </w:r>
      <w:r>
        <w:t>a</w:t>
      </w:r>
      <w:r w:rsidRPr="006F5B14">
        <w:t xml:space="preserve"> č. 480/2012 Sb., o energetickém auditu a energetickém posudku</w:t>
      </w:r>
      <w:r>
        <w:t>, na zpracování energetických posudků</w:t>
      </w:r>
      <w:r w:rsidRPr="006F5B14">
        <w:t>.</w:t>
      </w:r>
    </w:p>
  </w:footnote>
  <w:footnote w:id="45">
    <w:p w14:paraId="7671097B" w14:textId="6AA05FC7" w:rsidR="00E428DB" w:rsidRPr="00B131C8" w:rsidRDefault="00E428DB" w:rsidP="004D7B0B">
      <w:pPr>
        <w:pStyle w:val="Textpoznpodarou"/>
      </w:pPr>
      <w:r w:rsidRPr="00E364E5">
        <w:rPr>
          <w:rStyle w:val="Znakapoznpodarou"/>
        </w:rPr>
        <w:footnoteRef/>
      </w:r>
      <w:r w:rsidRPr="00B131C8">
        <w:t xml:space="preserve"> </w:t>
      </w:r>
      <w:r>
        <w:tab/>
      </w:r>
      <w:r w:rsidRPr="00B131C8">
        <w:t xml:space="preserve">Usnesení vlády </w:t>
      </w:r>
      <w:r w:rsidRPr="00F06E60">
        <w:t>České republiky</w:t>
      </w:r>
      <w:r w:rsidRPr="00B131C8">
        <w:t xml:space="preserve"> ze dne 18. dubna 2018 č. 242</w:t>
      </w:r>
      <w:r>
        <w:t>,</w:t>
      </w:r>
      <w:r w:rsidRPr="00B131C8">
        <w:t xml:space="preserve"> </w:t>
      </w:r>
      <w:r w:rsidRPr="00E364E5">
        <w:rPr>
          <w:i/>
        </w:rPr>
        <w:t>o zajištění finančních prostředků na</w:t>
      </w:r>
      <w:r>
        <w:rPr>
          <w:i/>
        </w:rPr>
        <w:t> </w:t>
      </w:r>
      <w:r w:rsidRPr="00E364E5">
        <w:rPr>
          <w:i/>
        </w:rPr>
        <w:t>kompenzace škod způsobených jarními mrazy a suchem v roce 2017</w:t>
      </w:r>
      <w:r>
        <w:t>, a u</w:t>
      </w:r>
      <w:r w:rsidRPr="00B131C8">
        <w:t xml:space="preserve">snesení vlády </w:t>
      </w:r>
      <w:r w:rsidRPr="00F06E60">
        <w:t>České republiky</w:t>
      </w:r>
      <w:r w:rsidRPr="00B131C8">
        <w:t xml:space="preserve"> ze</w:t>
      </w:r>
      <w:r>
        <w:t> </w:t>
      </w:r>
      <w:r w:rsidRPr="00B131C8">
        <w:t>dne</w:t>
      </w:r>
      <w:r>
        <w:t xml:space="preserve"> </w:t>
      </w:r>
      <w:r w:rsidRPr="00B131C8">
        <w:t>6. června 2018 č. 352</w:t>
      </w:r>
      <w:r>
        <w:t>,</w:t>
      </w:r>
      <w:r w:rsidRPr="00B131C8">
        <w:t xml:space="preserve"> </w:t>
      </w:r>
      <w:r w:rsidRPr="00E364E5">
        <w:rPr>
          <w:i/>
        </w:rPr>
        <w:t>o dofinancování rozpočtu regionálního školství a podpoře lékařských fakult v</w:t>
      </w:r>
      <w:r>
        <w:rPr>
          <w:i/>
        </w:rPr>
        <w:t> </w:t>
      </w:r>
      <w:r w:rsidRPr="00E364E5">
        <w:rPr>
          <w:i/>
        </w:rPr>
        <w:t>roce 2018 a o změně usnesení vlády ze dne 27. března 2018 č. 206, o zavedení nové slevy z jízdného ve vlacích a</w:t>
      </w:r>
      <w:r>
        <w:rPr>
          <w:i/>
        </w:rPr>
        <w:t> </w:t>
      </w:r>
      <w:r w:rsidRPr="00E364E5">
        <w:rPr>
          <w:i/>
        </w:rPr>
        <w:t>autobusech pro seniory, děti, žáky a studenty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E294" w14:textId="77777777" w:rsidR="00D778A9" w:rsidRDefault="00D778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B802F" w14:textId="77777777" w:rsidR="00D778A9" w:rsidRDefault="00D778A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497D" w14:textId="77777777" w:rsidR="00D778A9" w:rsidRDefault="00D778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67"/>
    <w:multiLevelType w:val="hybridMultilevel"/>
    <w:tmpl w:val="BBEE2DA2"/>
    <w:lvl w:ilvl="0" w:tplc="EADC8260">
      <w:start w:val="1"/>
      <w:numFmt w:val="ordinal"/>
      <w:lvlText w:val="1.1.%1"/>
      <w:lvlJc w:val="right"/>
      <w:pPr>
        <w:ind w:left="360" w:hanging="360"/>
      </w:pPr>
      <w:rPr>
        <w:rFonts w:hint="default"/>
      </w:rPr>
    </w:lvl>
    <w:lvl w:ilvl="1" w:tplc="2B920512">
      <w:start w:val="1"/>
      <w:numFmt w:val="decimal"/>
      <w:pStyle w:val="N2"/>
      <w:lvlText w:val="1.%2"/>
      <w:lvlJc w:val="left"/>
      <w:pPr>
        <w:ind w:left="2880" w:hanging="360"/>
      </w:pPr>
      <w:rPr>
        <w:rFonts w:hint="default"/>
      </w:rPr>
    </w:lvl>
    <w:lvl w:ilvl="2" w:tplc="BD807A8E" w:tentative="1">
      <w:start w:val="1"/>
      <w:numFmt w:val="lowerRoman"/>
      <w:lvlText w:val="%3."/>
      <w:lvlJc w:val="right"/>
      <w:pPr>
        <w:ind w:left="3600" w:hanging="180"/>
      </w:pPr>
    </w:lvl>
    <w:lvl w:ilvl="3" w:tplc="31202756" w:tentative="1">
      <w:start w:val="1"/>
      <w:numFmt w:val="decimal"/>
      <w:lvlText w:val="%4."/>
      <w:lvlJc w:val="left"/>
      <w:pPr>
        <w:ind w:left="4320" w:hanging="360"/>
      </w:pPr>
    </w:lvl>
    <w:lvl w:ilvl="4" w:tplc="9B1A9E1E" w:tentative="1">
      <w:start w:val="1"/>
      <w:numFmt w:val="lowerLetter"/>
      <w:lvlText w:val="%5."/>
      <w:lvlJc w:val="left"/>
      <w:pPr>
        <w:ind w:left="5040" w:hanging="360"/>
      </w:pPr>
    </w:lvl>
    <w:lvl w:ilvl="5" w:tplc="7332E194" w:tentative="1">
      <w:start w:val="1"/>
      <w:numFmt w:val="lowerRoman"/>
      <w:lvlText w:val="%6."/>
      <w:lvlJc w:val="right"/>
      <w:pPr>
        <w:ind w:left="5760" w:hanging="180"/>
      </w:pPr>
    </w:lvl>
    <w:lvl w:ilvl="6" w:tplc="7B04B444" w:tentative="1">
      <w:start w:val="1"/>
      <w:numFmt w:val="decimal"/>
      <w:lvlText w:val="%7."/>
      <w:lvlJc w:val="left"/>
      <w:pPr>
        <w:ind w:left="6480" w:hanging="360"/>
      </w:pPr>
    </w:lvl>
    <w:lvl w:ilvl="7" w:tplc="3F62DD9C" w:tentative="1">
      <w:start w:val="1"/>
      <w:numFmt w:val="lowerLetter"/>
      <w:lvlText w:val="%8."/>
      <w:lvlJc w:val="left"/>
      <w:pPr>
        <w:ind w:left="7200" w:hanging="360"/>
      </w:pPr>
    </w:lvl>
    <w:lvl w:ilvl="8" w:tplc="29D64E14" w:tentative="1">
      <w:start w:val="1"/>
      <w:numFmt w:val="lowerRoman"/>
      <w:lvlText w:val="%9."/>
      <w:lvlJc w:val="right"/>
      <w:pPr>
        <w:ind w:left="7920" w:hanging="180"/>
      </w:pPr>
    </w:lvl>
  </w:abstractNum>
  <w:abstractNum w:abstractNumId="1" w15:restartNumberingAfterBreak="0">
    <w:nsid w:val="05665822"/>
    <w:multiLevelType w:val="hybridMultilevel"/>
    <w:tmpl w:val="ABD45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FB62B6"/>
    <w:multiLevelType w:val="hybridMultilevel"/>
    <w:tmpl w:val="341C9346"/>
    <w:lvl w:ilvl="0" w:tplc="55F86256">
      <w:start w:val="1"/>
      <w:numFmt w:val="upperRoman"/>
      <w:pStyle w:val="Styl1-I"/>
      <w:lvlText w:val="%1."/>
      <w:lvlJc w:val="left"/>
      <w:pPr>
        <w:ind w:left="720" w:hanging="360"/>
      </w:pPr>
      <w:rPr>
        <w:b/>
      </w:rPr>
    </w:lvl>
    <w:lvl w:ilvl="1" w:tplc="F0E8B4E8">
      <w:start w:val="1"/>
      <w:numFmt w:val="lowerLetter"/>
      <w:lvlText w:val="%2."/>
      <w:lvlJc w:val="left"/>
      <w:pPr>
        <w:ind w:left="1440" w:hanging="360"/>
      </w:pPr>
    </w:lvl>
    <w:lvl w:ilvl="2" w:tplc="D3A4D86C">
      <w:start w:val="1"/>
      <w:numFmt w:val="lowerRoman"/>
      <w:lvlText w:val="%3."/>
      <w:lvlJc w:val="right"/>
      <w:pPr>
        <w:ind w:left="2160" w:hanging="180"/>
      </w:pPr>
    </w:lvl>
    <w:lvl w:ilvl="3" w:tplc="423EC580">
      <w:start w:val="1"/>
      <w:numFmt w:val="decimal"/>
      <w:lvlText w:val="%4."/>
      <w:lvlJc w:val="left"/>
      <w:pPr>
        <w:ind w:left="2880" w:hanging="360"/>
      </w:pPr>
    </w:lvl>
    <w:lvl w:ilvl="4" w:tplc="53708A80">
      <w:start w:val="1"/>
      <w:numFmt w:val="lowerLetter"/>
      <w:lvlText w:val="%5."/>
      <w:lvlJc w:val="left"/>
      <w:pPr>
        <w:ind w:left="3600" w:hanging="360"/>
      </w:pPr>
    </w:lvl>
    <w:lvl w:ilvl="5" w:tplc="C3669E3A">
      <w:start w:val="1"/>
      <w:numFmt w:val="lowerRoman"/>
      <w:lvlText w:val="%6."/>
      <w:lvlJc w:val="right"/>
      <w:pPr>
        <w:ind w:left="4320" w:hanging="180"/>
      </w:pPr>
    </w:lvl>
    <w:lvl w:ilvl="6" w:tplc="BA2E017E">
      <w:start w:val="1"/>
      <w:numFmt w:val="decimal"/>
      <w:lvlText w:val="%7."/>
      <w:lvlJc w:val="left"/>
      <w:pPr>
        <w:ind w:left="5040" w:hanging="360"/>
      </w:pPr>
    </w:lvl>
    <w:lvl w:ilvl="7" w:tplc="AFF60418">
      <w:start w:val="1"/>
      <w:numFmt w:val="lowerLetter"/>
      <w:lvlText w:val="%8."/>
      <w:lvlJc w:val="left"/>
      <w:pPr>
        <w:ind w:left="5760" w:hanging="360"/>
      </w:pPr>
    </w:lvl>
    <w:lvl w:ilvl="8" w:tplc="63BCC024">
      <w:start w:val="1"/>
      <w:numFmt w:val="lowerRoman"/>
      <w:lvlText w:val="%9."/>
      <w:lvlJc w:val="right"/>
      <w:pPr>
        <w:ind w:left="6480" w:hanging="180"/>
      </w:pPr>
    </w:lvl>
  </w:abstractNum>
  <w:abstractNum w:abstractNumId="3" w15:restartNumberingAfterBreak="0">
    <w:nsid w:val="0BB14889"/>
    <w:multiLevelType w:val="hybridMultilevel"/>
    <w:tmpl w:val="FAD088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DE037A"/>
    <w:multiLevelType w:val="multilevel"/>
    <w:tmpl w:val="7F86C4CC"/>
    <w:lvl w:ilvl="0">
      <w:start w:val="1"/>
      <w:numFmt w:val="decimal"/>
      <w:pStyle w:val="N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26A8F"/>
    <w:multiLevelType w:val="multilevel"/>
    <w:tmpl w:val="1DDE0E7E"/>
    <w:lvl w:ilvl="0">
      <w:start w:val="1"/>
      <w:numFmt w:val="upperRoman"/>
      <w:pStyle w:val="lnek1"/>
      <w:suff w:val="nothing"/>
      <w:lvlText w:val="Čl. %1"/>
      <w:lvlJc w:val="left"/>
      <w:pPr>
        <w:ind w:left="48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nek2"/>
      <w:isLgl/>
      <w:lvlText w:val="%1.%2"/>
      <w:lvlJc w:val="left"/>
      <w:pPr>
        <w:tabs>
          <w:tab w:val="num" w:pos="624"/>
        </w:tabs>
        <w:ind w:left="624" w:hanging="624"/>
      </w:pPr>
      <w:rPr>
        <w:rFonts w:ascii="Times New Roman" w:hAnsi="Times New Roman" w:hint="default"/>
        <w:b/>
        <w:i w:val="0"/>
      </w:rPr>
    </w:lvl>
    <w:lvl w:ilvl="2">
      <w:start w:val="1"/>
      <w:numFmt w:val="decimal"/>
      <w:pStyle w:val="lnek3"/>
      <w:isLgl/>
      <w:lvlText w:val="%1.%2.%3"/>
      <w:lvlJc w:val="left"/>
      <w:pPr>
        <w:tabs>
          <w:tab w:val="num" w:pos="1277"/>
        </w:tabs>
        <w:ind w:left="653" w:hanging="11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21"/>
        </w:tabs>
        <w:ind w:left="1721" w:hanging="360"/>
      </w:pPr>
      <w:rPr>
        <w:rFonts w:hint="default"/>
        <w:b/>
        <w:i w:val="0"/>
        <w:sz w:val="28"/>
        <w:szCs w:val="28"/>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53F4F20"/>
    <w:multiLevelType w:val="hybridMultilevel"/>
    <w:tmpl w:val="847E4586"/>
    <w:lvl w:ilvl="0" w:tplc="F66C53D2">
      <w:start w:val="1"/>
      <w:numFmt w:val="bullet"/>
      <w:lvlText w:val="ـ"/>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5882F90"/>
    <w:multiLevelType w:val="multilevel"/>
    <w:tmpl w:val="E4F2B46E"/>
    <w:lvl w:ilvl="0">
      <w:start w:val="1"/>
      <w:numFmt w:val="decimal"/>
      <w:pStyle w:val="Nzevtabul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BAB1D34"/>
    <w:multiLevelType w:val="hybridMultilevel"/>
    <w:tmpl w:val="F84C2C06"/>
    <w:lvl w:ilvl="0" w:tplc="F66C53D2">
      <w:start w:val="1"/>
      <w:numFmt w:val="bullet"/>
      <w:lvlText w:val="ـ"/>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0074EE"/>
    <w:multiLevelType w:val="hybridMultilevel"/>
    <w:tmpl w:val="4A1433BA"/>
    <w:lvl w:ilvl="0" w:tplc="51E4F1E6">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02F7261"/>
    <w:multiLevelType w:val="hybridMultilevel"/>
    <w:tmpl w:val="9E22F94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683165D"/>
    <w:multiLevelType w:val="hybridMultilevel"/>
    <w:tmpl w:val="648E0E0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2" w15:restartNumberingAfterBreak="0">
    <w:nsid w:val="27EF2F35"/>
    <w:multiLevelType w:val="hybridMultilevel"/>
    <w:tmpl w:val="3396807E"/>
    <w:lvl w:ilvl="0" w:tplc="58C6F928">
      <w:start w:val="1"/>
      <w:numFmt w:val="ordinal"/>
      <w:pStyle w:val="N3"/>
      <w:lvlText w:val="1.1.%1"/>
      <w:lvlJc w:val="right"/>
      <w:pPr>
        <w:ind w:left="360" w:hanging="360"/>
      </w:pPr>
      <w:rPr>
        <w:rFonts w:hint="default"/>
      </w:rPr>
    </w:lvl>
    <w:lvl w:ilvl="1" w:tplc="368AD4E8">
      <w:start w:val="1"/>
      <w:numFmt w:val="lowerLetter"/>
      <w:lvlText w:val="%2."/>
      <w:lvlJc w:val="left"/>
      <w:pPr>
        <w:ind w:left="1440" w:hanging="360"/>
      </w:pPr>
    </w:lvl>
    <w:lvl w:ilvl="2" w:tplc="6430225A">
      <w:start w:val="1"/>
      <w:numFmt w:val="decimal"/>
      <w:lvlText w:val="%3"/>
      <w:lvlJc w:val="right"/>
      <w:pPr>
        <w:ind w:left="2160" w:hanging="180"/>
      </w:pPr>
      <w:rPr>
        <w:rFonts w:hint="default"/>
      </w:rPr>
    </w:lvl>
    <w:lvl w:ilvl="3" w:tplc="57FA9A40" w:tentative="1">
      <w:start w:val="1"/>
      <w:numFmt w:val="decimal"/>
      <w:lvlText w:val="%4."/>
      <w:lvlJc w:val="left"/>
      <w:pPr>
        <w:ind w:left="2880" w:hanging="360"/>
      </w:pPr>
    </w:lvl>
    <w:lvl w:ilvl="4" w:tplc="2970188C" w:tentative="1">
      <w:start w:val="1"/>
      <w:numFmt w:val="lowerLetter"/>
      <w:lvlText w:val="%5."/>
      <w:lvlJc w:val="left"/>
      <w:pPr>
        <w:ind w:left="3600" w:hanging="360"/>
      </w:pPr>
    </w:lvl>
    <w:lvl w:ilvl="5" w:tplc="23500924" w:tentative="1">
      <w:start w:val="1"/>
      <w:numFmt w:val="lowerRoman"/>
      <w:lvlText w:val="%6."/>
      <w:lvlJc w:val="right"/>
      <w:pPr>
        <w:ind w:left="4320" w:hanging="180"/>
      </w:pPr>
    </w:lvl>
    <w:lvl w:ilvl="6" w:tplc="20002AEE" w:tentative="1">
      <w:start w:val="1"/>
      <w:numFmt w:val="decimal"/>
      <w:lvlText w:val="%7."/>
      <w:lvlJc w:val="left"/>
      <w:pPr>
        <w:ind w:left="5040" w:hanging="360"/>
      </w:pPr>
    </w:lvl>
    <w:lvl w:ilvl="7" w:tplc="2FE6F6CA" w:tentative="1">
      <w:start w:val="1"/>
      <w:numFmt w:val="lowerLetter"/>
      <w:lvlText w:val="%8."/>
      <w:lvlJc w:val="left"/>
      <w:pPr>
        <w:ind w:left="5760" w:hanging="360"/>
      </w:pPr>
    </w:lvl>
    <w:lvl w:ilvl="8" w:tplc="25E642E4" w:tentative="1">
      <w:start w:val="1"/>
      <w:numFmt w:val="lowerRoman"/>
      <w:lvlText w:val="%9."/>
      <w:lvlJc w:val="right"/>
      <w:pPr>
        <w:ind w:left="6480" w:hanging="180"/>
      </w:pPr>
    </w:lvl>
  </w:abstractNum>
  <w:abstractNum w:abstractNumId="13" w15:restartNumberingAfterBreak="0">
    <w:nsid w:val="2B575C21"/>
    <w:multiLevelType w:val="hybridMultilevel"/>
    <w:tmpl w:val="5E986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F13AE3"/>
    <w:multiLevelType w:val="hybridMultilevel"/>
    <w:tmpl w:val="85603F02"/>
    <w:lvl w:ilvl="0" w:tplc="94564D3C">
      <w:start w:val="1"/>
      <w:numFmt w:val="decimal"/>
      <w:pStyle w:val="Bezmezer"/>
      <w:lvlText w:val="Graf č. %1: "/>
      <w:lvlJc w:val="left"/>
      <w:pPr>
        <w:ind w:left="502" w:hanging="360"/>
      </w:pPr>
      <w:rPr>
        <w:rFonts w:hint="default"/>
        <w:b/>
      </w:rPr>
    </w:lvl>
    <w:lvl w:ilvl="1" w:tplc="8E70C4CE" w:tentative="1">
      <w:start w:val="1"/>
      <w:numFmt w:val="lowerLetter"/>
      <w:lvlText w:val="%2."/>
      <w:lvlJc w:val="left"/>
      <w:pPr>
        <w:ind w:left="1222" w:hanging="360"/>
      </w:pPr>
    </w:lvl>
    <w:lvl w:ilvl="2" w:tplc="B8F6682C" w:tentative="1">
      <w:start w:val="1"/>
      <w:numFmt w:val="lowerRoman"/>
      <w:lvlText w:val="%3."/>
      <w:lvlJc w:val="right"/>
      <w:pPr>
        <w:ind w:left="1942" w:hanging="180"/>
      </w:pPr>
    </w:lvl>
    <w:lvl w:ilvl="3" w:tplc="DA08E77E" w:tentative="1">
      <w:start w:val="1"/>
      <w:numFmt w:val="decimal"/>
      <w:lvlText w:val="%4."/>
      <w:lvlJc w:val="left"/>
      <w:pPr>
        <w:ind w:left="2662" w:hanging="360"/>
      </w:pPr>
    </w:lvl>
    <w:lvl w:ilvl="4" w:tplc="8BE2E2BE" w:tentative="1">
      <w:start w:val="1"/>
      <w:numFmt w:val="lowerLetter"/>
      <w:lvlText w:val="%5."/>
      <w:lvlJc w:val="left"/>
      <w:pPr>
        <w:ind w:left="3382" w:hanging="360"/>
      </w:pPr>
    </w:lvl>
    <w:lvl w:ilvl="5" w:tplc="3F922768" w:tentative="1">
      <w:start w:val="1"/>
      <w:numFmt w:val="lowerRoman"/>
      <w:lvlText w:val="%6."/>
      <w:lvlJc w:val="right"/>
      <w:pPr>
        <w:ind w:left="4102" w:hanging="180"/>
      </w:pPr>
    </w:lvl>
    <w:lvl w:ilvl="6" w:tplc="15F600F2" w:tentative="1">
      <w:start w:val="1"/>
      <w:numFmt w:val="decimal"/>
      <w:lvlText w:val="%7."/>
      <w:lvlJc w:val="left"/>
      <w:pPr>
        <w:ind w:left="4822" w:hanging="360"/>
      </w:pPr>
    </w:lvl>
    <w:lvl w:ilvl="7" w:tplc="7AA221DE" w:tentative="1">
      <w:start w:val="1"/>
      <w:numFmt w:val="lowerLetter"/>
      <w:lvlText w:val="%8."/>
      <w:lvlJc w:val="left"/>
      <w:pPr>
        <w:ind w:left="5542" w:hanging="360"/>
      </w:pPr>
    </w:lvl>
    <w:lvl w:ilvl="8" w:tplc="8C621E28" w:tentative="1">
      <w:start w:val="1"/>
      <w:numFmt w:val="lowerRoman"/>
      <w:lvlText w:val="%9."/>
      <w:lvlJc w:val="right"/>
      <w:pPr>
        <w:ind w:left="6262" w:hanging="180"/>
      </w:pPr>
    </w:lvl>
  </w:abstractNum>
  <w:abstractNum w:abstractNumId="15" w15:restartNumberingAfterBreak="0">
    <w:nsid w:val="2F020A0E"/>
    <w:multiLevelType w:val="hybridMultilevel"/>
    <w:tmpl w:val="21B44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521483"/>
    <w:multiLevelType w:val="hybridMultilevel"/>
    <w:tmpl w:val="43347B7C"/>
    <w:lvl w:ilvl="0" w:tplc="3D3A5106">
      <w:start w:val="1"/>
      <w:numFmt w:val="decimal"/>
      <w:lvlText w:val="Tabulka č. %1: X"/>
      <w:lvlJc w:val="left"/>
      <w:pPr>
        <w:ind w:left="720" w:hanging="360"/>
      </w:pPr>
      <w:rPr>
        <w:rFonts w:hint="default"/>
      </w:rPr>
    </w:lvl>
    <w:lvl w:ilvl="1" w:tplc="EBA49AD4">
      <w:start w:val="1"/>
      <w:numFmt w:val="decimal"/>
      <w:pStyle w:val="Nzevtabulky"/>
      <w:suff w:val="space"/>
      <w:lvlText w:val="Tabulka č. %2:"/>
      <w:lvlJc w:val="left"/>
      <w:pPr>
        <w:ind w:left="1135" w:hanging="567"/>
      </w:pPr>
      <w:rPr>
        <w:rFonts w:hint="default"/>
        <w:b/>
      </w:rPr>
    </w:lvl>
    <w:lvl w:ilvl="2" w:tplc="D026FD26">
      <w:start w:val="1"/>
      <w:numFmt w:val="lowerRoman"/>
      <w:lvlText w:val="%3."/>
      <w:lvlJc w:val="right"/>
      <w:pPr>
        <w:ind w:left="2160" w:hanging="180"/>
      </w:pPr>
    </w:lvl>
    <w:lvl w:ilvl="3" w:tplc="22E2BE42">
      <w:start w:val="1"/>
      <w:numFmt w:val="decimal"/>
      <w:lvlText w:val="%4."/>
      <w:lvlJc w:val="left"/>
      <w:pPr>
        <w:ind w:left="2880" w:hanging="360"/>
      </w:pPr>
      <w:rPr>
        <w:rFonts w:hint="default"/>
      </w:rPr>
    </w:lvl>
    <w:lvl w:ilvl="4" w:tplc="7BA02E32" w:tentative="1">
      <w:start w:val="1"/>
      <w:numFmt w:val="lowerLetter"/>
      <w:lvlText w:val="%5."/>
      <w:lvlJc w:val="left"/>
      <w:pPr>
        <w:ind w:left="3600" w:hanging="360"/>
      </w:pPr>
    </w:lvl>
    <w:lvl w:ilvl="5" w:tplc="B6D8018C" w:tentative="1">
      <w:start w:val="1"/>
      <w:numFmt w:val="lowerRoman"/>
      <w:lvlText w:val="%6."/>
      <w:lvlJc w:val="right"/>
      <w:pPr>
        <w:ind w:left="4320" w:hanging="180"/>
      </w:pPr>
    </w:lvl>
    <w:lvl w:ilvl="6" w:tplc="C7E2D036" w:tentative="1">
      <w:start w:val="1"/>
      <w:numFmt w:val="decimal"/>
      <w:lvlText w:val="%7."/>
      <w:lvlJc w:val="left"/>
      <w:pPr>
        <w:ind w:left="5040" w:hanging="360"/>
      </w:pPr>
    </w:lvl>
    <w:lvl w:ilvl="7" w:tplc="4A60AFFE" w:tentative="1">
      <w:start w:val="1"/>
      <w:numFmt w:val="lowerLetter"/>
      <w:lvlText w:val="%8."/>
      <w:lvlJc w:val="left"/>
      <w:pPr>
        <w:ind w:left="5760" w:hanging="360"/>
      </w:pPr>
    </w:lvl>
    <w:lvl w:ilvl="8" w:tplc="15026098" w:tentative="1">
      <w:start w:val="1"/>
      <w:numFmt w:val="lowerRoman"/>
      <w:lvlText w:val="%9."/>
      <w:lvlJc w:val="right"/>
      <w:pPr>
        <w:ind w:left="6480" w:hanging="180"/>
      </w:pPr>
    </w:lvl>
  </w:abstractNum>
  <w:abstractNum w:abstractNumId="17" w15:restartNumberingAfterBreak="0">
    <w:nsid w:val="368418EF"/>
    <w:multiLevelType w:val="hybridMultilevel"/>
    <w:tmpl w:val="BF048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430C90"/>
    <w:multiLevelType w:val="multilevel"/>
    <w:tmpl w:val="7292AD2A"/>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6D47B3"/>
    <w:multiLevelType w:val="hybridMultilevel"/>
    <w:tmpl w:val="AC50F884"/>
    <w:lvl w:ilvl="0" w:tplc="3AF896FE">
      <w:start w:val="1"/>
      <w:numFmt w:val="decimal"/>
      <w:lvlText w:val="%1."/>
      <w:lvlJc w:val="left"/>
      <w:pPr>
        <w:tabs>
          <w:tab w:val="num" w:pos="720"/>
        </w:tabs>
        <w:ind w:left="720" w:hanging="720"/>
      </w:pPr>
    </w:lvl>
    <w:lvl w:ilvl="1" w:tplc="2C5E8858">
      <w:start w:val="1"/>
      <w:numFmt w:val="decimal"/>
      <w:lvlText w:val="%2."/>
      <w:lvlJc w:val="left"/>
      <w:pPr>
        <w:tabs>
          <w:tab w:val="num" w:pos="1440"/>
        </w:tabs>
        <w:ind w:left="1440" w:hanging="720"/>
      </w:pPr>
    </w:lvl>
    <w:lvl w:ilvl="2" w:tplc="2056DB9A">
      <w:start w:val="1"/>
      <w:numFmt w:val="decimal"/>
      <w:lvlText w:val="%3."/>
      <w:lvlJc w:val="left"/>
      <w:pPr>
        <w:tabs>
          <w:tab w:val="num" w:pos="2160"/>
        </w:tabs>
        <w:ind w:left="2160" w:hanging="720"/>
      </w:pPr>
    </w:lvl>
    <w:lvl w:ilvl="3" w:tplc="4B14C58A">
      <w:start w:val="1"/>
      <w:numFmt w:val="decimal"/>
      <w:lvlText w:val="%4."/>
      <w:lvlJc w:val="left"/>
      <w:pPr>
        <w:tabs>
          <w:tab w:val="num" w:pos="2880"/>
        </w:tabs>
        <w:ind w:left="2880" w:hanging="720"/>
      </w:pPr>
    </w:lvl>
    <w:lvl w:ilvl="4" w:tplc="D7CAFA8C">
      <w:start w:val="1"/>
      <w:numFmt w:val="decimal"/>
      <w:lvlText w:val="%5."/>
      <w:lvlJc w:val="left"/>
      <w:pPr>
        <w:tabs>
          <w:tab w:val="num" w:pos="3600"/>
        </w:tabs>
        <w:ind w:left="3600" w:hanging="720"/>
      </w:pPr>
    </w:lvl>
    <w:lvl w:ilvl="5" w:tplc="7A522894">
      <w:start w:val="1"/>
      <w:numFmt w:val="decimal"/>
      <w:lvlText w:val="%6."/>
      <w:lvlJc w:val="left"/>
      <w:pPr>
        <w:tabs>
          <w:tab w:val="num" w:pos="4320"/>
        </w:tabs>
        <w:ind w:left="4320" w:hanging="720"/>
      </w:pPr>
    </w:lvl>
    <w:lvl w:ilvl="6" w:tplc="4498E8C4">
      <w:start w:val="1"/>
      <w:numFmt w:val="decimal"/>
      <w:lvlText w:val="%7."/>
      <w:lvlJc w:val="left"/>
      <w:pPr>
        <w:tabs>
          <w:tab w:val="num" w:pos="5040"/>
        </w:tabs>
        <w:ind w:left="5040" w:hanging="720"/>
      </w:pPr>
    </w:lvl>
    <w:lvl w:ilvl="7" w:tplc="58F2BA54">
      <w:start w:val="1"/>
      <w:numFmt w:val="decimal"/>
      <w:lvlText w:val="%8."/>
      <w:lvlJc w:val="left"/>
      <w:pPr>
        <w:tabs>
          <w:tab w:val="num" w:pos="5760"/>
        </w:tabs>
        <w:ind w:left="5760" w:hanging="720"/>
      </w:pPr>
    </w:lvl>
    <w:lvl w:ilvl="8" w:tplc="D270A470">
      <w:start w:val="1"/>
      <w:numFmt w:val="decimal"/>
      <w:lvlText w:val="%9."/>
      <w:lvlJc w:val="left"/>
      <w:pPr>
        <w:tabs>
          <w:tab w:val="num" w:pos="6480"/>
        </w:tabs>
        <w:ind w:left="6480" w:hanging="720"/>
      </w:pPr>
    </w:lvl>
  </w:abstractNum>
  <w:abstractNum w:abstractNumId="20" w15:restartNumberingAfterBreak="0">
    <w:nsid w:val="41D66F95"/>
    <w:multiLevelType w:val="multilevel"/>
    <w:tmpl w:val="BFACA0CC"/>
    <w:styleLink w:val="Styl2"/>
    <w:lvl w:ilvl="0">
      <w:start w:val="1"/>
      <w:numFmt w:val="decimal"/>
      <w:lvlText w:val="%1."/>
      <w:lvlJc w:val="left"/>
      <w:pPr>
        <w:ind w:left="646" w:hanging="362"/>
      </w:pPr>
      <w:rPr>
        <w:rFonts w:hint="default"/>
      </w:rPr>
    </w:lvl>
    <w:lvl w:ilvl="1">
      <w:start w:val="1"/>
      <w:numFmt w:val="decimal"/>
      <w:isLgl/>
      <w:lvlText w:val="%1.%2"/>
      <w:lvlJc w:val="left"/>
      <w:pPr>
        <w:ind w:left="646" w:hanging="362"/>
      </w:pPr>
      <w:rPr>
        <w:rFonts w:hint="default"/>
      </w:rPr>
    </w:lvl>
    <w:lvl w:ilvl="2">
      <w:start w:val="1"/>
      <w:numFmt w:val="decimal"/>
      <w:isLgl/>
      <w:lvlText w:val="%1.%2.%3"/>
      <w:lvlJc w:val="left"/>
      <w:pPr>
        <w:ind w:left="646" w:hanging="362"/>
      </w:pPr>
      <w:rPr>
        <w:rFonts w:hint="default"/>
      </w:rPr>
    </w:lvl>
    <w:lvl w:ilvl="3">
      <w:start w:val="1"/>
      <w:numFmt w:val="decimal"/>
      <w:isLgl/>
      <w:lvlText w:val="%1.%2.%3.%4"/>
      <w:lvlJc w:val="left"/>
      <w:pPr>
        <w:ind w:left="646" w:hanging="362"/>
      </w:pPr>
      <w:rPr>
        <w:rFonts w:hint="default"/>
      </w:rPr>
    </w:lvl>
    <w:lvl w:ilvl="4">
      <w:start w:val="1"/>
      <w:numFmt w:val="decimal"/>
      <w:isLgl/>
      <w:lvlText w:val="%1.%2.%3.%4.%5"/>
      <w:lvlJc w:val="left"/>
      <w:pPr>
        <w:ind w:left="646" w:hanging="362"/>
      </w:pPr>
      <w:rPr>
        <w:rFonts w:hint="default"/>
      </w:rPr>
    </w:lvl>
    <w:lvl w:ilvl="5">
      <w:start w:val="1"/>
      <w:numFmt w:val="decimal"/>
      <w:isLgl/>
      <w:lvlText w:val="%1.%2.%3.%4.%5.%6"/>
      <w:lvlJc w:val="left"/>
      <w:pPr>
        <w:ind w:left="646" w:hanging="362"/>
      </w:pPr>
      <w:rPr>
        <w:rFonts w:hint="default"/>
      </w:rPr>
    </w:lvl>
    <w:lvl w:ilvl="6">
      <w:start w:val="1"/>
      <w:numFmt w:val="decimal"/>
      <w:isLgl/>
      <w:lvlText w:val="%1.%2.%3.%4.%5.%6.%7"/>
      <w:lvlJc w:val="left"/>
      <w:pPr>
        <w:ind w:left="646" w:hanging="362"/>
      </w:pPr>
      <w:rPr>
        <w:rFonts w:hint="default"/>
      </w:rPr>
    </w:lvl>
    <w:lvl w:ilvl="7">
      <w:start w:val="1"/>
      <w:numFmt w:val="decimal"/>
      <w:isLgl/>
      <w:lvlText w:val="%1.%2.%3.%4.%5.%6.%7.%8"/>
      <w:lvlJc w:val="left"/>
      <w:pPr>
        <w:ind w:left="646" w:hanging="362"/>
      </w:pPr>
      <w:rPr>
        <w:rFonts w:hint="default"/>
      </w:rPr>
    </w:lvl>
    <w:lvl w:ilvl="8">
      <w:start w:val="1"/>
      <w:numFmt w:val="decimal"/>
      <w:isLgl/>
      <w:lvlText w:val="%1.%2.%3.%4.%5.%6.%7.%8.%9"/>
      <w:lvlJc w:val="left"/>
      <w:pPr>
        <w:ind w:left="646" w:hanging="362"/>
      </w:pPr>
      <w:rPr>
        <w:rFonts w:hint="default"/>
      </w:rPr>
    </w:lvl>
  </w:abstractNum>
  <w:abstractNum w:abstractNumId="21" w15:restartNumberingAfterBreak="0">
    <w:nsid w:val="471543A1"/>
    <w:multiLevelType w:val="hybridMultilevel"/>
    <w:tmpl w:val="7D92D1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F9A02F7"/>
    <w:multiLevelType w:val="hybridMultilevel"/>
    <w:tmpl w:val="FB7AFDF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0A20C46"/>
    <w:multiLevelType w:val="hybridMultilevel"/>
    <w:tmpl w:val="051C7582"/>
    <w:lvl w:ilvl="0" w:tplc="F66C53D2">
      <w:start w:val="1"/>
      <w:numFmt w:val="bullet"/>
      <w:lvlText w:val="ـ"/>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3F814A9"/>
    <w:multiLevelType w:val="hybridMultilevel"/>
    <w:tmpl w:val="8D1A80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B255583"/>
    <w:multiLevelType w:val="hybridMultilevel"/>
    <w:tmpl w:val="A2923544"/>
    <w:lvl w:ilvl="0" w:tplc="0405000F">
      <w:start w:val="1"/>
      <w:numFmt w:val="decimal"/>
      <w:lvlText w:val="%1."/>
      <w:lvlJc w:val="left"/>
      <w:pPr>
        <w:ind w:left="720" w:hanging="360"/>
      </w:pPr>
    </w:lvl>
    <w:lvl w:ilvl="1" w:tplc="DD5E0D96">
      <w:numFmt w:val="bullet"/>
      <w:lvlText w:val="-"/>
      <w:lvlJc w:val="left"/>
      <w:pPr>
        <w:ind w:left="1440" w:hanging="360"/>
      </w:pPr>
      <w:rPr>
        <w:rFonts w:ascii="Calibri" w:eastAsia="Times New Roman" w:hAnsi="Calibri" w:cs="Calibri" w:hint="default"/>
        <w:color w:val="auto"/>
      </w:rPr>
    </w:lvl>
    <w:lvl w:ilvl="2" w:tplc="E1005A76" w:tentative="1">
      <w:start w:val="1"/>
      <w:numFmt w:val="lowerRoman"/>
      <w:lvlText w:val="%3."/>
      <w:lvlJc w:val="right"/>
      <w:pPr>
        <w:ind w:left="2160" w:hanging="180"/>
      </w:pPr>
    </w:lvl>
    <w:lvl w:ilvl="3" w:tplc="CA022B88" w:tentative="1">
      <w:start w:val="1"/>
      <w:numFmt w:val="decimal"/>
      <w:lvlText w:val="%4."/>
      <w:lvlJc w:val="left"/>
      <w:pPr>
        <w:ind w:left="2880" w:hanging="360"/>
      </w:pPr>
    </w:lvl>
    <w:lvl w:ilvl="4" w:tplc="64265EB2" w:tentative="1">
      <w:start w:val="1"/>
      <w:numFmt w:val="lowerLetter"/>
      <w:lvlText w:val="%5."/>
      <w:lvlJc w:val="left"/>
      <w:pPr>
        <w:ind w:left="3600" w:hanging="360"/>
      </w:pPr>
    </w:lvl>
    <w:lvl w:ilvl="5" w:tplc="4754F574" w:tentative="1">
      <w:start w:val="1"/>
      <w:numFmt w:val="lowerRoman"/>
      <w:lvlText w:val="%6."/>
      <w:lvlJc w:val="right"/>
      <w:pPr>
        <w:ind w:left="4320" w:hanging="180"/>
      </w:pPr>
    </w:lvl>
    <w:lvl w:ilvl="6" w:tplc="1E12E730" w:tentative="1">
      <w:start w:val="1"/>
      <w:numFmt w:val="decimal"/>
      <w:lvlText w:val="%7."/>
      <w:lvlJc w:val="left"/>
      <w:pPr>
        <w:ind w:left="5040" w:hanging="360"/>
      </w:pPr>
    </w:lvl>
    <w:lvl w:ilvl="7" w:tplc="C0E484E6" w:tentative="1">
      <w:start w:val="1"/>
      <w:numFmt w:val="lowerLetter"/>
      <w:lvlText w:val="%8."/>
      <w:lvlJc w:val="left"/>
      <w:pPr>
        <w:ind w:left="5760" w:hanging="360"/>
      </w:pPr>
    </w:lvl>
    <w:lvl w:ilvl="8" w:tplc="CC3EDB6E" w:tentative="1">
      <w:start w:val="1"/>
      <w:numFmt w:val="lowerRoman"/>
      <w:lvlText w:val="%9."/>
      <w:lvlJc w:val="right"/>
      <w:pPr>
        <w:ind w:left="6480" w:hanging="180"/>
      </w:pPr>
    </w:lvl>
  </w:abstractNum>
  <w:abstractNum w:abstractNumId="26" w15:restartNumberingAfterBreak="0">
    <w:nsid w:val="609446DF"/>
    <w:multiLevelType w:val="hybridMultilevel"/>
    <w:tmpl w:val="12BC1A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0C4DB8"/>
    <w:multiLevelType w:val="hybridMultilevel"/>
    <w:tmpl w:val="90C65E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74107EB"/>
    <w:multiLevelType w:val="hybridMultilevel"/>
    <w:tmpl w:val="CD6E9468"/>
    <w:lvl w:ilvl="0" w:tplc="1EDA123E">
      <w:start w:val="1"/>
      <w:numFmt w:val="decimal"/>
      <w:pStyle w:val="Styl1-1"/>
      <w:lvlText w:val="%1."/>
      <w:lvlJc w:val="left"/>
      <w:pPr>
        <w:ind w:left="9433" w:hanging="360"/>
      </w:pPr>
      <w:rPr>
        <w:b w:val="0"/>
      </w:rPr>
    </w:lvl>
    <w:lvl w:ilvl="1" w:tplc="205E3AEE">
      <w:start w:val="1"/>
      <w:numFmt w:val="lowerLetter"/>
      <w:lvlText w:val="%2."/>
      <w:lvlJc w:val="left"/>
      <w:pPr>
        <w:ind w:left="9161" w:hanging="360"/>
      </w:pPr>
    </w:lvl>
    <w:lvl w:ilvl="2" w:tplc="37727B68">
      <w:start w:val="1"/>
      <w:numFmt w:val="lowerRoman"/>
      <w:lvlText w:val="%3."/>
      <w:lvlJc w:val="right"/>
      <w:pPr>
        <w:ind w:left="9881" w:hanging="180"/>
      </w:pPr>
    </w:lvl>
    <w:lvl w:ilvl="3" w:tplc="A6C8F0BE">
      <w:start w:val="1"/>
      <w:numFmt w:val="decimal"/>
      <w:lvlText w:val="%4."/>
      <w:lvlJc w:val="left"/>
      <w:pPr>
        <w:ind w:left="10601" w:hanging="360"/>
      </w:pPr>
    </w:lvl>
    <w:lvl w:ilvl="4" w:tplc="5CA0FF0A">
      <w:start w:val="1"/>
      <w:numFmt w:val="lowerLetter"/>
      <w:lvlText w:val="%5."/>
      <w:lvlJc w:val="left"/>
      <w:pPr>
        <w:ind w:left="11321" w:hanging="360"/>
      </w:pPr>
    </w:lvl>
    <w:lvl w:ilvl="5" w:tplc="DF18412E">
      <w:start w:val="1"/>
      <w:numFmt w:val="lowerRoman"/>
      <w:lvlText w:val="%6."/>
      <w:lvlJc w:val="right"/>
      <w:pPr>
        <w:ind w:left="12041" w:hanging="180"/>
      </w:pPr>
    </w:lvl>
    <w:lvl w:ilvl="6" w:tplc="CFFEFE3C">
      <w:start w:val="1"/>
      <w:numFmt w:val="decimal"/>
      <w:lvlText w:val="%7."/>
      <w:lvlJc w:val="left"/>
      <w:pPr>
        <w:ind w:left="12761" w:hanging="360"/>
      </w:pPr>
    </w:lvl>
    <w:lvl w:ilvl="7" w:tplc="D38AFA14">
      <w:start w:val="1"/>
      <w:numFmt w:val="lowerLetter"/>
      <w:lvlText w:val="%8."/>
      <w:lvlJc w:val="left"/>
      <w:pPr>
        <w:ind w:left="13481" w:hanging="360"/>
      </w:pPr>
    </w:lvl>
    <w:lvl w:ilvl="8" w:tplc="6B0C1714">
      <w:start w:val="1"/>
      <w:numFmt w:val="lowerRoman"/>
      <w:lvlText w:val="%9."/>
      <w:lvlJc w:val="right"/>
      <w:pPr>
        <w:ind w:left="14201" w:hanging="180"/>
      </w:pPr>
    </w:lvl>
  </w:abstractNum>
  <w:abstractNum w:abstractNumId="29" w15:restartNumberingAfterBreak="0">
    <w:nsid w:val="68D574DB"/>
    <w:multiLevelType w:val="hybridMultilevel"/>
    <w:tmpl w:val="A2923544"/>
    <w:lvl w:ilvl="0" w:tplc="0405000F">
      <w:start w:val="1"/>
      <w:numFmt w:val="decimal"/>
      <w:lvlText w:val="%1."/>
      <w:lvlJc w:val="left"/>
      <w:pPr>
        <w:ind w:left="720" w:hanging="360"/>
      </w:pPr>
    </w:lvl>
    <w:lvl w:ilvl="1" w:tplc="DD5E0D96">
      <w:numFmt w:val="bullet"/>
      <w:lvlText w:val="-"/>
      <w:lvlJc w:val="left"/>
      <w:pPr>
        <w:ind w:left="1440" w:hanging="360"/>
      </w:pPr>
      <w:rPr>
        <w:rFonts w:ascii="Calibri" w:eastAsia="Times New Roman" w:hAnsi="Calibri" w:cs="Calibri" w:hint="default"/>
        <w:color w:val="auto"/>
      </w:rPr>
    </w:lvl>
    <w:lvl w:ilvl="2" w:tplc="E1005A76" w:tentative="1">
      <w:start w:val="1"/>
      <w:numFmt w:val="lowerRoman"/>
      <w:lvlText w:val="%3."/>
      <w:lvlJc w:val="right"/>
      <w:pPr>
        <w:ind w:left="2160" w:hanging="180"/>
      </w:pPr>
    </w:lvl>
    <w:lvl w:ilvl="3" w:tplc="CA022B88" w:tentative="1">
      <w:start w:val="1"/>
      <w:numFmt w:val="decimal"/>
      <w:lvlText w:val="%4."/>
      <w:lvlJc w:val="left"/>
      <w:pPr>
        <w:ind w:left="2880" w:hanging="360"/>
      </w:pPr>
    </w:lvl>
    <w:lvl w:ilvl="4" w:tplc="64265EB2" w:tentative="1">
      <w:start w:val="1"/>
      <w:numFmt w:val="lowerLetter"/>
      <w:lvlText w:val="%5."/>
      <w:lvlJc w:val="left"/>
      <w:pPr>
        <w:ind w:left="3600" w:hanging="360"/>
      </w:pPr>
    </w:lvl>
    <w:lvl w:ilvl="5" w:tplc="4754F574" w:tentative="1">
      <w:start w:val="1"/>
      <w:numFmt w:val="lowerRoman"/>
      <w:lvlText w:val="%6."/>
      <w:lvlJc w:val="right"/>
      <w:pPr>
        <w:ind w:left="4320" w:hanging="180"/>
      </w:pPr>
    </w:lvl>
    <w:lvl w:ilvl="6" w:tplc="1E12E730" w:tentative="1">
      <w:start w:val="1"/>
      <w:numFmt w:val="decimal"/>
      <w:lvlText w:val="%7."/>
      <w:lvlJc w:val="left"/>
      <w:pPr>
        <w:ind w:left="5040" w:hanging="360"/>
      </w:pPr>
    </w:lvl>
    <w:lvl w:ilvl="7" w:tplc="C0E484E6" w:tentative="1">
      <w:start w:val="1"/>
      <w:numFmt w:val="lowerLetter"/>
      <w:lvlText w:val="%8."/>
      <w:lvlJc w:val="left"/>
      <w:pPr>
        <w:ind w:left="5760" w:hanging="360"/>
      </w:pPr>
    </w:lvl>
    <w:lvl w:ilvl="8" w:tplc="CC3EDB6E" w:tentative="1">
      <w:start w:val="1"/>
      <w:numFmt w:val="lowerRoman"/>
      <w:lvlText w:val="%9."/>
      <w:lvlJc w:val="right"/>
      <w:pPr>
        <w:ind w:left="6480" w:hanging="180"/>
      </w:pPr>
    </w:lvl>
  </w:abstractNum>
  <w:abstractNum w:abstractNumId="30" w15:restartNumberingAfterBreak="0">
    <w:nsid w:val="691B774F"/>
    <w:multiLevelType w:val="hybridMultilevel"/>
    <w:tmpl w:val="64963762"/>
    <w:lvl w:ilvl="0" w:tplc="EC4A7F40">
      <w:start w:val="1"/>
      <w:numFmt w:val="bullet"/>
      <w:pStyle w:val="Fous"/>
      <w:lvlText w:val=""/>
      <w:lvlJc w:val="left"/>
      <w:pPr>
        <w:tabs>
          <w:tab w:val="num" w:pos="722"/>
        </w:tabs>
        <w:ind w:left="722" w:hanging="382"/>
      </w:pPr>
      <w:rPr>
        <w:rFonts w:ascii="Symbol" w:hAnsi="Symbol" w:hint="default"/>
      </w:rPr>
    </w:lvl>
    <w:lvl w:ilvl="1" w:tplc="4D10C794" w:tentative="1">
      <w:start w:val="1"/>
      <w:numFmt w:val="bullet"/>
      <w:lvlText w:val="o"/>
      <w:lvlJc w:val="left"/>
      <w:pPr>
        <w:tabs>
          <w:tab w:val="num" w:pos="1442"/>
        </w:tabs>
        <w:ind w:left="1442" w:hanging="360"/>
      </w:pPr>
      <w:rPr>
        <w:rFonts w:ascii="Courier New" w:hAnsi="Courier New" w:hint="default"/>
      </w:rPr>
    </w:lvl>
    <w:lvl w:ilvl="2" w:tplc="EF0C45CE" w:tentative="1">
      <w:start w:val="1"/>
      <w:numFmt w:val="bullet"/>
      <w:lvlText w:val=""/>
      <w:lvlJc w:val="left"/>
      <w:pPr>
        <w:tabs>
          <w:tab w:val="num" w:pos="2162"/>
        </w:tabs>
        <w:ind w:left="2162" w:hanging="360"/>
      </w:pPr>
      <w:rPr>
        <w:rFonts w:ascii="Wingdings" w:hAnsi="Wingdings" w:hint="default"/>
      </w:rPr>
    </w:lvl>
    <w:lvl w:ilvl="3" w:tplc="4EE89D6A" w:tentative="1">
      <w:start w:val="1"/>
      <w:numFmt w:val="bullet"/>
      <w:lvlText w:val=""/>
      <w:lvlJc w:val="left"/>
      <w:pPr>
        <w:tabs>
          <w:tab w:val="num" w:pos="2882"/>
        </w:tabs>
        <w:ind w:left="2882" w:hanging="360"/>
      </w:pPr>
      <w:rPr>
        <w:rFonts w:ascii="Symbol" w:hAnsi="Symbol" w:hint="default"/>
      </w:rPr>
    </w:lvl>
    <w:lvl w:ilvl="4" w:tplc="5BF404A8" w:tentative="1">
      <w:start w:val="1"/>
      <w:numFmt w:val="bullet"/>
      <w:lvlText w:val="o"/>
      <w:lvlJc w:val="left"/>
      <w:pPr>
        <w:tabs>
          <w:tab w:val="num" w:pos="3602"/>
        </w:tabs>
        <w:ind w:left="3602" w:hanging="360"/>
      </w:pPr>
      <w:rPr>
        <w:rFonts w:ascii="Courier New" w:hAnsi="Courier New" w:hint="default"/>
      </w:rPr>
    </w:lvl>
    <w:lvl w:ilvl="5" w:tplc="03343642" w:tentative="1">
      <w:start w:val="1"/>
      <w:numFmt w:val="bullet"/>
      <w:lvlText w:val=""/>
      <w:lvlJc w:val="left"/>
      <w:pPr>
        <w:tabs>
          <w:tab w:val="num" w:pos="4322"/>
        </w:tabs>
        <w:ind w:left="4322" w:hanging="360"/>
      </w:pPr>
      <w:rPr>
        <w:rFonts w:ascii="Wingdings" w:hAnsi="Wingdings" w:hint="default"/>
      </w:rPr>
    </w:lvl>
    <w:lvl w:ilvl="6" w:tplc="0BE234B2" w:tentative="1">
      <w:start w:val="1"/>
      <w:numFmt w:val="bullet"/>
      <w:lvlText w:val=""/>
      <w:lvlJc w:val="left"/>
      <w:pPr>
        <w:tabs>
          <w:tab w:val="num" w:pos="5042"/>
        </w:tabs>
        <w:ind w:left="5042" w:hanging="360"/>
      </w:pPr>
      <w:rPr>
        <w:rFonts w:ascii="Symbol" w:hAnsi="Symbol" w:hint="default"/>
      </w:rPr>
    </w:lvl>
    <w:lvl w:ilvl="7" w:tplc="00EA65D2" w:tentative="1">
      <w:start w:val="1"/>
      <w:numFmt w:val="bullet"/>
      <w:lvlText w:val="o"/>
      <w:lvlJc w:val="left"/>
      <w:pPr>
        <w:tabs>
          <w:tab w:val="num" w:pos="5762"/>
        </w:tabs>
        <w:ind w:left="5762" w:hanging="360"/>
      </w:pPr>
      <w:rPr>
        <w:rFonts w:ascii="Courier New" w:hAnsi="Courier New" w:hint="default"/>
      </w:rPr>
    </w:lvl>
    <w:lvl w:ilvl="8" w:tplc="915AC2AA" w:tentative="1">
      <w:start w:val="1"/>
      <w:numFmt w:val="bullet"/>
      <w:lvlText w:val=""/>
      <w:lvlJc w:val="left"/>
      <w:pPr>
        <w:tabs>
          <w:tab w:val="num" w:pos="6482"/>
        </w:tabs>
        <w:ind w:left="6482" w:hanging="360"/>
      </w:pPr>
      <w:rPr>
        <w:rFonts w:ascii="Wingdings" w:hAnsi="Wingdings" w:hint="default"/>
      </w:rPr>
    </w:lvl>
  </w:abstractNum>
  <w:abstractNum w:abstractNumId="31" w15:restartNumberingAfterBreak="0">
    <w:nsid w:val="6A866DA0"/>
    <w:multiLevelType w:val="hybridMultilevel"/>
    <w:tmpl w:val="E728AC18"/>
    <w:lvl w:ilvl="0" w:tplc="53C03C7A">
      <w:start w:val="1"/>
      <w:numFmt w:val="decimal"/>
      <w:pStyle w:val="Styl1"/>
      <w:lvlText w:val="%1."/>
      <w:lvlJc w:val="left"/>
      <w:pPr>
        <w:ind w:left="357" w:hanging="357"/>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specVanish w:val="0"/>
      </w:rPr>
    </w:lvl>
    <w:lvl w:ilvl="1" w:tplc="98489F90">
      <w:start w:val="1"/>
      <w:numFmt w:val="lowerLetter"/>
      <w:lvlText w:val="%2."/>
      <w:lvlJc w:val="left"/>
      <w:pPr>
        <w:ind w:left="1440" w:hanging="360"/>
      </w:pPr>
    </w:lvl>
    <w:lvl w:ilvl="2" w:tplc="F864D9E6">
      <w:start w:val="1"/>
      <w:numFmt w:val="lowerRoman"/>
      <w:lvlText w:val="%3."/>
      <w:lvlJc w:val="right"/>
      <w:pPr>
        <w:ind w:left="2160" w:hanging="180"/>
      </w:pPr>
    </w:lvl>
    <w:lvl w:ilvl="3" w:tplc="F264764E">
      <w:start w:val="1"/>
      <w:numFmt w:val="decimal"/>
      <w:lvlText w:val="%4."/>
      <w:lvlJc w:val="left"/>
      <w:pPr>
        <w:ind w:left="2880" w:hanging="360"/>
      </w:pPr>
    </w:lvl>
    <w:lvl w:ilvl="4" w:tplc="1D24723E">
      <w:start w:val="1"/>
      <w:numFmt w:val="lowerLetter"/>
      <w:lvlText w:val="%5."/>
      <w:lvlJc w:val="left"/>
      <w:pPr>
        <w:ind w:left="3600" w:hanging="360"/>
      </w:pPr>
    </w:lvl>
    <w:lvl w:ilvl="5" w:tplc="1CF2DC86">
      <w:start w:val="1"/>
      <w:numFmt w:val="lowerRoman"/>
      <w:lvlText w:val="%6."/>
      <w:lvlJc w:val="right"/>
      <w:pPr>
        <w:ind w:left="4320" w:hanging="180"/>
      </w:pPr>
    </w:lvl>
    <w:lvl w:ilvl="6" w:tplc="BD169A1E">
      <w:start w:val="1"/>
      <w:numFmt w:val="decimal"/>
      <w:lvlText w:val="%7."/>
      <w:lvlJc w:val="left"/>
      <w:pPr>
        <w:ind w:left="5040" w:hanging="360"/>
      </w:pPr>
    </w:lvl>
    <w:lvl w:ilvl="7" w:tplc="E2D8F364">
      <w:start w:val="1"/>
      <w:numFmt w:val="lowerLetter"/>
      <w:lvlText w:val="%8."/>
      <w:lvlJc w:val="left"/>
      <w:pPr>
        <w:ind w:left="5760" w:hanging="360"/>
      </w:pPr>
    </w:lvl>
    <w:lvl w:ilvl="8" w:tplc="DE5882FE">
      <w:start w:val="1"/>
      <w:numFmt w:val="lowerRoman"/>
      <w:lvlText w:val="%9."/>
      <w:lvlJc w:val="right"/>
      <w:pPr>
        <w:ind w:left="6480" w:hanging="180"/>
      </w:pPr>
    </w:lvl>
  </w:abstractNum>
  <w:abstractNum w:abstractNumId="32" w15:restartNumberingAfterBreak="0">
    <w:nsid w:val="6E9F2BE1"/>
    <w:multiLevelType w:val="hybridMultilevel"/>
    <w:tmpl w:val="C694CF44"/>
    <w:lvl w:ilvl="0" w:tplc="0405000F">
      <w:start w:val="1"/>
      <w:numFmt w:val="decimal"/>
      <w:lvlText w:val="%1."/>
      <w:lvlJc w:val="left"/>
      <w:pPr>
        <w:ind w:left="720" w:hanging="360"/>
      </w:pPr>
    </w:lvl>
    <w:lvl w:ilvl="1" w:tplc="9A1A7ECC" w:tentative="1">
      <w:start w:val="1"/>
      <w:numFmt w:val="lowerLetter"/>
      <w:lvlText w:val="%2."/>
      <w:lvlJc w:val="left"/>
      <w:pPr>
        <w:ind w:left="1440" w:hanging="360"/>
      </w:pPr>
    </w:lvl>
    <w:lvl w:ilvl="2" w:tplc="E1005A76" w:tentative="1">
      <w:start w:val="1"/>
      <w:numFmt w:val="lowerRoman"/>
      <w:lvlText w:val="%3."/>
      <w:lvlJc w:val="right"/>
      <w:pPr>
        <w:ind w:left="2160" w:hanging="180"/>
      </w:pPr>
    </w:lvl>
    <w:lvl w:ilvl="3" w:tplc="CA022B88" w:tentative="1">
      <w:start w:val="1"/>
      <w:numFmt w:val="decimal"/>
      <w:lvlText w:val="%4."/>
      <w:lvlJc w:val="left"/>
      <w:pPr>
        <w:ind w:left="2880" w:hanging="360"/>
      </w:pPr>
    </w:lvl>
    <w:lvl w:ilvl="4" w:tplc="64265EB2" w:tentative="1">
      <w:start w:val="1"/>
      <w:numFmt w:val="lowerLetter"/>
      <w:lvlText w:val="%5."/>
      <w:lvlJc w:val="left"/>
      <w:pPr>
        <w:ind w:left="3600" w:hanging="360"/>
      </w:pPr>
    </w:lvl>
    <w:lvl w:ilvl="5" w:tplc="4754F574" w:tentative="1">
      <w:start w:val="1"/>
      <w:numFmt w:val="lowerRoman"/>
      <w:lvlText w:val="%6."/>
      <w:lvlJc w:val="right"/>
      <w:pPr>
        <w:ind w:left="4320" w:hanging="180"/>
      </w:pPr>
    </w:lvl>
    <w:lvl w:ilvl="6" w:tplc="1E12E730" w:tentative="1">
      <w:start w:val="1"/>
      <w:numFmt w:val="decimal"/>
      <w:lvlText w:val="%7."/>
      <w:lvlJc w:val="left"/>
      <w:pPr>
        <w:ind w:left="5040" w:hanging="360"/>
      </w:pPr>
    </w:lvl>
    <w:lvl w:ilvl="7" w:tplc="C0E484E6" w:tentative="1">
      <w:start w:val="1"/>
      <w:numFmt w:val="lowerLetter"/>
      <w:lvlText w:val="%8."/>
      <w:lvlJc w:val="left"/>
      <w:pPr>
        <w:ind w:left="5760" w:hanging="360"/>
      </w:pPr>
    </w:lvl>
    <w:lvl w:ilvl="8" w:tplc="CC3EDB6E" w:tentative="1">
      <w:start w:val="1"/>
      <w:numFmt w:val="lowerRoman"/>
      <w:lvlText w:val="%9."/>
      <w:lvlJc w:val="right"/>
      <w:pPr>
        <w:ind w:left="6480" w:hanging="180"/>
      </w:pPr>
    </w:lvl>
  </w:abstractNum>
  <w:abstractNum w:abstractNumId="33" w15:restartNumberingAfterBreak="0">
    <w:nsid w:val="733E5A09"/>
    <w:multiLevelType w:val="hybridMultilevel"/>
    <w:tmpl w:val="1250E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AD794D"/>
    <w:multiLevelType w:val="hybridMultilevel"/>
    <w:tmpl w:val="131678CC"/>
    <w:lvl w:ilvl="0" w:tplc="F7F05CC2">
      <w:start w:val="1"/>
      <w:numFmt w:val="bullet"/>
      <w:lvlText w:val="-"/>
      <w:lvlJc w:val="left"/>
      <w:pPr>
        <w:ind w:left="862" w:hanging="360"/>
      </w:pPr>
      <w:rPr>
        <w:rFonts w:ascii="Calibri" w:hAnsi="Calibri" w:hint="default"/>
      </w:rPr>
    </w:lvl>
    <w:lvl w:ilvl="1" w:tplc="DD5E0D96">
      <w:numFmt w:val="bullet"/>
      <w:lvlText w:val="-"/>
      <w:lvlJc w:val="left"/>
      <w:pPr>
        <w:ind w:left="1582" w:hanging="360"/>
      </w:pPr>
      <w:rPr>
        <w:rFonts w:ascii="Calibri" w:eastAsia="Times New Roman" w:hAnsi="Calibri" w:cs="Calibri" w:hint="default"/>
        <w:color w:val="auto"/>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5" w15:restartNumberingAfterBreak="0">
    <w:nsid w:val="77BA7906"/>
    <w:multiLevelType w:val="hybridMultilevel"/>
    <w:tmpl w:val="5478ED4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786A4E5C"/>
    <w:multiLevelType w:val="hybridMultilevel"/>
    <w:tmpl w:val="B5A88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0329B6"/>
    <w:multiLevelType w:val="hybridMultilevel"/>
    <w:tmpl w:val="C0D6667C"/>
    <w:lvl w:ilvl="0" w:tplc="E0A24272">
      <w:start w:val="1"/>
      <w:numFmt w:val="decimal"/>
      <w:pStyle w:val="tabulka"/>
      <w:lvlText w:val="Tabulka č. %1:"/>
      <w:lvlJc w:val="left"/>
      <w:pPr>
        <w:ind w:left="6314" w:hanging="360"/>
      </w:pPr>
      <w:rPr>
        <w:rFonts w:hint="default"/>
        <w:b w:val="0"/>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specVanish w:val="0"/>
      </w:rPr>
    </w:lvl>
    <w:lvl w:ilvl="1" w:tplc="5E44EEBA">
      <w:start w:val="1"/>
      <w:numFmt w:val="lowerLetter"/>
      <w:lvlText w:val="%2."/>
      <w:lvlJc w:val="left"/>
      <w:pPr>
        <w:ind w:left="1440" w:hanging="360"/>
      </w:pPr>
    </w:lvl>
    <w:lvl w:ilvl="2" w:tplc="D512B9BE">
      <w:start w:val="1"/>
      <w:numFmt w:val="lowerRoman"/>
      <w:lvlText w:val="%3."/>
      <w:lvlJc w:val="right"/>
      <w:pPr>
        <w:ind w:left="2160" w:hanging="180"/>
      </w:pPr>
    </w:lvl>
    <w:lvl w:ilvl="3" w:tplc="600AF70A">
      <w:start w:val="1"/>
      <w:numFmt w:val="decimal"/>
      <w:lvlText w:val="%4."/>
      <w:lvlJc w:val="left"/>
      <w:pPr>
        <w:ind w:left="2880" w:hanging="360"/>
      </w:pPr>
    </w:lvl>
    <w:lvl w:ilvl="4" w:tplc="F9D4F6E8">
      <w:start w:val="1"/>
      <w:numFmt w:val="lowerLetter"/>
      <w:lvlText w:val="%5."/>
      <w:lvlJc w:val="left"/>
      <w:pPr>
        <w:ind w:left="3600" w:hanging="360"/>
      </w:pPr>
    </w:lvl>
    <w:lvl w:ilvl="5" w:tplc="ED3CCCD0">
      <w:start w:val="1"/>
      <w:numFmt w:val="lowerRoman"/>
      <w:lvlText w:val="%6."/>
      <w:lvlJc w:val="right"/>
      <w:pPr>
        <w:ind w:left="4320" w:hanging="180"/>
      </w:pPr>
    </w:lvl>
    <w:lvl w:ilvl="6" w:tplc="BEA0A3F6">
      <w:start w:val="1"/>
      <w:numFmt w:val="decimal"/>
      <w:lvlText w:val="%7."/>
      <w:lvlJc w:val="left"/>
      <w:pPr>
        <w:ind w:left="5040" w:hanging="360"/>
      </w:pPr>
    </w:lvl>
    <w:lvl w:ilvl="7" w:tplc="96AA6310">
      <w:start w:val="1"/>
      <w:numFmt w:val="lowerLetter"/>
      <w:lvlText w:val="%8."/>
      <w:lvlJc w:val="left"/>
      <w:pPr>
        <w:ind w:left="5760" w:hanging="360"/>
      </w:pPr>
    </w:lvl>
    <w:lvl w:ilvl="8" w:tplc="E2349B90">
      <w:start w:val="1"/>
      <w:numFmt w:val="lowerRoman"/>
      <w:lvlText w:val="%9."/>
      <w:lvlJc w:val="right"/>
      <w:pPr>
        <w:ind w:left="6480" w:hanging="180"/>
      </w:pPr>
    </w:lvl>
  </w:abstractNum>
  <w:num w:numId="1">
    <w:abstractNumId w:val="5"/>
  </w:num>
  <w:num w:numId="2">
    <w:abstractNumId w:val="30"/>
  </w:num>
  <w:num w:numId="3">
    <w:abstractNumId w:val="16"/>
  </w:num>
  <w:num w:numId="4">
    <w:abstractNumId w:val="4"/>
  </w:num>
  <w:num w:numId="5">
    <w:abstractNumId w:val="0"/>
  </w:num>
  <w:num w:numId="6">
    <w:abstractNumId w:val="12"/>
  </w:num>
  <w:num w:numId="7">
    <w:abstractNumId w:val="20"/>
  </w:num>
  <w:num w:numId="8">
    <w:abstractNumId w:val="37"/>
  </w:num>
  <w:num w:numId="9">
    <w:abstractNumId w:val="14"/>
  </w:num>
  <w:num w:numId="10">
    <w:abstractNumId w:val="25"/>
  </w:num>
  <w:num w:numId="11">
    <w:abstractNumId w:val="7"/>
  </w:num>
  <w:num w:numId="12">
    <w:abstractNumId w:val="18"/>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7"/>
  </w:num>
  <w:num w:numId="18">
    <w:abstractNumId w:val="33"/>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6"/>
  </w:num>
  <w:num w:numId="22">
    <w:abstractNumId w:val="32"/>
  </w:num>
  <w:num w:numId="23">
    <w:abstractNumId w:val="19"/>
  </w:num>
  <w:num w:numId="24">
    <w:abstractNumId w:val="3"/>
  </w:num>
  <w:num w:numId="25">
    <w:abstractNumId w:val="22"/>
  </w:num>
  <w:num w:numId="26">
    <w:abstractNumId w:val="10"/>
  </w:num>
  <w:num w:numId="27">
    <w:abstractNumId w:val="24"/>
  </w:num>
  <w:num w:numId="28">
    <w:abstractNumId w:val="35"/>
  </w:num>
  <w:num w:numId="29">
    <w:abstractNumId w:val="1"/>
  </w:num>
  <w:num w:numId="30">
    <w:abstractNumId w:val="6"/>
  </w:num>
  <w:num w:numId="31">
    <w:abstractNumId w:val="17"/>
  </w:num>
  <w:num w:numId="32">
    <w:abstractNumId w:val="23"/>
  </w:num>
  <w:num w:numId="33">
    <w:abstractNumId w:val="8"/>
  </w:num>
  <w:num w:numId="34">
    <w:abstractNumId w:val="34"/>
  </w:num>
  <w:num w:numId="35">
    <w:abstractNumId w:val="15"/>
  </w:num>
  <w:num w:numId="36">
    <w:abstractNumId w:val="21"/>
  </w:num>
  <w:num w:numId="37">
    <w:abstractNumId w:val="9"/>
  </w:num>
  <w:num w:numId="38">
    <w:abstractNumId w:val="29"/>
  </w:num>
  <w:num w:numId="39">
    <w:abstractNumId w:val="13"/>
  </w:num>
  <w:num w:numId="40">
    <w:abstractNumId w:val="16"/>
  </w:num>
  <w:num w:numId="41">
    <w:abstractNumId w:val="0"/>
  </w:num>
  <w:num w:numId="42">
    <w:abstractNumId w:val="0"/>
  </w:num>
  <w:num w:numId="43">
    <w:abstractNumId w:val="16"/>
  </w:num>
  <w:num w:numId="44">
    <w:abstractNumId w:val="16"/>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F2"/>
    <w:rsid w:val="00001048"/>
    <w:rsid w:val="00001308"/>
    <w:rsid w:val="000013A5"/>
    <w:rsid w:val="000017C6"/>
    <w:rsid w:val="000022CA"/>
    <w:rsid w:val="00002D56"/>
    <w:rsid w:val="00004843"/>
    <w:rsid w:val="000049B3"/>
    <w:rsid w:val="0000515B"/>
    <w:rsid w:val="00005C11"/>
    <w:rsid w:val="00005EA6"/>
    <w:rsid w:val="0000654A"/>
    <w:rsid w:val="00006575"/>
    <w:rsid w:val="00006A49"/>
    <w:rsid w:val="000076CA"/>
    <w:rsid w:val="000076DC"/>
    <w:rsid w:val="0000775B"/>
    <w:rsid w:val="00007918"/>
    <w:rsid w:val="00007FFD"/>
    <w:rsid w:val="00010542"/>
    <w:rsid w:val="00010881"/>
    <w:rsid w:val="00011FAC"/>
    <w:rsid w:val="00012F18"/>
    <w:rsid w:val="00013A0F"/>
    <w:rsid w:val="00013E03"/>
    <w:rsid w:val="00014A92"/>
    <w:rsid w:val="00014CB9"/>
    <w:rsid w:val="00014D44"/>
    <w:rsid w:val="00014F37"/>
    <w:rsid w:val="000155EE"/>
    <w:rsid w:val="000159D3"/>
    <w:rsid w:val="00015A63"/>
    <w:rsid w:val="000161C5"/>
    <w:rsid w:val="000163CA"/>
    <w:rsid w:val="0001697E"/>
    <w:rsid w:val="00016B15"/>
    <w:rsid w:val="00016C30"/>
    <w:rsid w:val="0001708C"/>
    <w:rsid w:val="000173B5"/>
    <w:rsid w:val="000206E1"/>
    <w:rsid w:val="00020DB2"/>
    <w:rsid w:val="00021451"/>
    <w:rsid w:val="000220A3"/>
    <w:rsid w:val="00022418"/>
    <w:rsid w:val="0002290A"/>
    <w:rsid w:val="00022FC2"/>
    <w:rsid w:val="00022FC4"/>
    <w:rsid w:val="000230A3"/>
    <w:rsid w:val="00024854"/>
    <w:rsid w:val="00025AC2"/>
    <w:rsid w:val="00026CB1"/>
    <w:rsid w:val="00027882"/>
    <w:rsid w:val="000278F1"/>
    <w:rsid w:val="00027CE3"/>
    <w:rsid w:val="0003017D"/>
    <w:rsid w:val="00030C9F"/>
    <w:rsid w:val="000311E1"/>
    <w:rsid w:val="0003124C"/>
    <w:rsid w:val="0003306C"/>
    <w:rsid w:val="00033719"/>
    <w:rsid w:val="00033DFA"/>
    <w:rsid w:val="00033FB5"/>
    <w:rsid w:val="000341CD"/>
    <w:rsid w:val="000348F1"/>
    <w:rsid w:val="00034BDE"/>
    <w:rsid w:val="00035A25"/>
    <w:rsid w:val="00035F07"/>
    <w:rsid w:val="000373FB"/>
    <w:rsid w:val="00037F4A"/>
    <w:rsid w:val="000401FE"/>
    <w:rsid w:val="000406B6"/>
    <w:rsid w:val="00040CA3"/>
    <w:rsid w:val="00040E7A"/>
    <w:rsid w:val="00040FCF"/>
    <w:rsid w:val="00041201"/>
    <w:rsid w:val="00041493"/>
    <w:rsid w:val="00041623"/>
    <w:rsid w:val="000423E7"/>
    <w:rsid w:val="00042AFC"/>
    <w:rsid w:val="000450C4"/>
    <w:rsid w:val="00046471"/>
    <w:rsid w:val="000465BA"/>
    <w:rsid w:val="00046B2F"/>
    <w:rsid w:val="000504E9"/>
    <w:rsid w:val="0005097D"/>
    <w:rsid w:val="00050EE7"/>
    <w:rsid w:val="00052457"/>
    <w:rsid w:val="0005306F"/>
    <w:rsid w:val="000533BD"/>
    <w:rsid w:val="000537C9"/>
    <w:rsid w:val="00053EBB"/>
    <w:rsid w:val="000540D5"/>
    <w:rsid w:val="00054F7C"/>
    <w:rsid w:val="000554FF"/>
    <w:rsid w:val="00056850"/>
    <w:rsid w:val="00056D90"/>
    <w:rsid w:val="00057281"/>
    <w:rsid w:val="00060251"/>
    <w:rsid w:val="000606F4"/>
    <w:rsid w:val="000607AD"/>
    <w:rsid w:val="0006091C"/>
    <w:rsid w:val="00063016"/>
    <w:rsid w:val="000633B1"/>
    <w:rsid w:val="00063D8C"/>
    <w:rsid w:val="00064732"/>
    <w:rsid w:val="00064908"/>
    <w:rsid w:val="000653DE"/>
    <w:rsid w:val="00067058"/>
    <w:rsid w:val="00067CA8"/>
    <w:rsid w:val="0007148D"/>
    <w:rsid w:val="00071774"/>
    <w:rsid w:val="00071BC4"/>
    <w:rsid w:val="0007201D"/>
    <w:rsid w:val="00072D49"/>
    <w:rsid w:val="0007313D"/>
    <w:rsid w:val="000734DF"/>
    <w:rsid w:val="00073EB2"/>
    <w:rsid w:val="00074563"/>
    <w:rsid w:val="00074564"/>
    <w:rsid w:val="00074596"/>
    <w:rsid w:val="000751B8"/>
    <w:rsid w:val="0007526C"/>
    <w:rsid w:val="000753AE"/>
    <w:rsid w:val="00075DF6"/>
    <w:rsid w:val="000763D7"/>
    <w:rsid w:val="00076920"/>
    <w:rsid w:val="0007751A"/>
    <w:rsid w:val="000807FE"/>
    <w:rsid w:val="0008086D"/>
    <w:rsid w:val="00080A12"/>
    <w:rsid w:val="000816AF"/>
    <w:rsid w:val="000817E9"/>
    <w:rsid w:val="000818A3"/>
    <w:rsid w:val="00081930"/>
    <w:rsid w:val="00081A40"/>
    <w:rsid w:val="00081CC2"/>
    <w:rsid w:val="00082B47"/>
    <w:rsid w:val="00083C5D"/>
    <w:rsid w:val="00083E82"/>
    <w:rsid w:val="00084150"/>
    <w:rsid w:val="00084B69"/>
    <w:rsid w:val="00085249"/>
    <w:rsid w:val="0008554B"/>
    <w:rsid w:val="0008578C"/>
    <w:rsid w:val="00085EB5"/>
    <w:rsid w:val="00086127"/>
    <w:rsid w:val="00086892"/>
    <w:rsid w:val="00090196"/>
    <w:rsid w:val="00091F7A"/>
    <w:rsid w:val="00092B1E"/>
    <w:rsid w:val="00092F80"/>
    <w:rsid w:val="00093066"/>
    <w:rsid w:val="000939C5"/>
    <w:rsid w:val="00093EDD"/>
    <w:rsid w:val="0009501C"/>
    <w:rsid w:val="000954AD"/>
    <w:rsid w:val="0009563B"/>
    <w:rsid w:val="00095886"/>
    <w:rsid w:val="0009696A"/>
    <w:rsid w:val="00096F54"/>
    <w:rsid w:val="00097112"/>
    <w:rsid w:val="000974F8"/>
    <w:rsid w:val="00097C81"/>
    <w:rsid w:val="000A105B"/>
    <w:rsid w:val="000A13E2"/>
    <w:rsid w:val="000A1605"/>
    <w:rsid w:val="000A21B1"/>
    <w:rsid w:val="000A2806"/>
    <w:rsid w:val="000A2BCA"/>
    <w:rsid w:val="000A4695"/>
    <w:rsid w:val="000A4C77"/>
    <w:rsid w:val="000A55CD"/>
    <w:rsid w:val="000A6793"/>
    <w:rsid w:val="000A67CE"/>
    <w:rsid w:val="000A7D65"/>
    <w:rsid w:val="000B07F2"/>
    <w:rsid w:val="000B0BFB"/>
    <w:rsid w:val="000B1D38"/>
    <w:rsid w:val="000B210E"/>
    <w:rsid w:val="000B3BC7"/>
    <w:rsid w:val="000B3D9D"/>
    <w:rsid w:val="000B3E7F"/>
    <w:rsid w:val="000B465C"/>
    <w:rsid w:val="000B50FD"/>
    <w:rsid w:val="000B5139"/>
    <w:rsid w:val="000B54A0"/>
    <w:rsid w:val="000B5D4A"/>
    <w:rsid w:val="000B5FE8"/>
    <w:rsid w:val="000C091E"/>
    <w:rsid w:val="000C1D64"/>
    <w:rsid w:val="000C1DFD"/>
    <w:rsid w:val="000C226C"/>
    <w:rsid w:val="000C2291"/>
    <w:rsid w:val="000C2413"/>
    <w:rsid w:val="000C2678"/>
    <w:rsid w:val="000C290D"/>
    <w:rsid w:val="000C2E41"/>
    <w:rsid w:val="000C3071"/>
    <w:rsid w:val="000C387F"/>
    <w:rsid w:val="000C3B5A"/>
    <w:rsid w:val="000C4D53"/>
    <w:rsid w:val="000C580F"/>
    <w:rsid w:val="000C5C4C"/>
    <w:rsid w:val="000C6244"/>
    <w:rsid w:val="000C64A3"/>
    <w:rsid w:val="000C6CB1"/>
    <w:rsid w:val="000C7F4F"/>
    <w:rsid w:val="000C7FBA"/>
    <w:rsid w:val="000D0D17"/>
    <w:rsid w:val="000D1E29"/>
    <w:rsid w:val="000D2C9A"/>
    <w:rsid w:val="000D2E34"/>
    <w:rsid w:val="000D2EB6"/>
    <w:rsid w:val="000D366B"/>
    <w:rsid w:val="000D3775"/>
    <w:rsid w:val="000D3B4C"/>
    <w:rsid w:val="000D42D3"/>
    <w:rsid w:val="000D44D5"/>
    <w:rsid w:val="000D4526"/>
    <w:rsid w:val="000D48A5"/>
    <w:rsid w:val="000D4A83"/>
    <w:rsid w:val="000D4CC7"/>
    <w:rsid w:val="000D54C3"/>
    <w:rsid w:val="000D582E"/>
    <w:rsid w:val="000D5D39"/>
    <w:rsid w:val="000D600A"/>
    <w:rsid w:val="000D6A51"/>
    <w:rsid w:val="000D6FBB"/>
    <w:rsid w:val="000D6FDD"/>
    <w:rsid w:val="000D712D"/>
    <w:rsid w:val="000D71E5"/>
    <w:rsid w:val="000D78F1"/>
    <w:rsid w:val="000E0135"/>
    <w:rsid w:val="000E0A1D"/>
    <w:rsid w:val="000E0BF4"/>
    <w:rsid w:val="000E179A"/>
    <w:rsid w:val="000E1952"/>
    <w:rsid w:val="000E24E9"/>
    <w:rsid w:val="000E2A91"/>
    <w:rsid w:val="000E2BAD"/>
    <w:rsid w:val="000E2EC7"/>
    <w:rsid w:val="000E30A7"/>
    <w:rsid w:val="000E34E4"/>
    <w:rsid w:val="000E3CC2"/>
    <w:rsid w:val="000E40ED"/>
    <w:rsid w:val="000E4382"/>
    <w:rsid w:val="000E43D3"/>
    <w:rsid w:val="000E5368"/>
    <w:rsid w:val="000E63A0"/>
    <w:rsid w:val="000E75E3"/>
    <w:rsid w:val="000E786D"/>
    <w:rsid w:val="000E7CBF"/>
    <w:rsid w:val="000F0A00"/>
    <w:rsid w:val="000F0ED2"/>
    <w:rsid w:val="000F13A7"/>
    <w:rsid w:val="000F254B"/>
    <w:rsid w:val="000F3363"/>
    <w:rsid w:val="000F410A"/>
    <w:rsid w:val="000F5459"/>
    <w:rsid w:val="000F5815"/>
    <w:rsid w:val="000F5841"/>
    <w:rsid w:val="000F58EE"/>
    <w:rsid w:val="000F5AEA"/>
    <w:rsid w:val="000F612E"/>
    <w:rsid w:val="000F645C"/>
    <w:rsid w:val="000F6627"/>
    <w:rsid w:val="000F67CA"/>
    <w:rsid w:val="000F6DA8"/>
    <w:rsid w:val="000F75AF"/>
    <w:rsid w:val="000F780C"/>
    <w:rsid w:val="000F7A20"/>
    <w:rsid w:val="000F7BF4"/>
    <w:rsid w:val="000F7F38"/>
    <w:rsid w:val="00100A98"/>
    <w:rsid w:val="001013C0"/>
    <w:rsid w:val="00101DBF"/>
    <w:rsid w:val="00102121"/>
    <w:rsid w:val="0010226B"/>
    <w:rsid w:val="00102668"/>
    <w:rsid w:val="00103945"/>
    <w:rsid w:val="00103D72"/>
    <w:rsid w:val="001040B2"/>
    <w:rsid w:val="0010422E"/>
    <w:rsid w:val="001048AC"/>
    <w:rsid w:val="00104CE3"/>
    <w:rsid w:val="0010571B"/>
    <w:rsid w:val="00106228"/>
    <w:rsid w:val="0010633C"/>
    <w:rsid w:val="001068DD"/>
    <w:rsid w:val="00107329"/>
    <w:rsid w:val="001073E8"/>
    <w:rsid w:val="001073F3"/>
    <w:rsid w:val="00107E74"/>
    <w:rsid w:val="00107EB4"/>
    <w:rsid w:val="00107FBD"/>
    <w:rsid w:val="00110759"/>
    <w:rsid w:val="00110862"/>
    <w:rsid w:val="00112826"/>
    <w:rsid w:val="00113182"/>
    <w:rsid w:val="00114075"/>
    <w:rsid w:val="001149F4"/>
    <w:rsid w:val="00114BF6"/>
    <w:rsid w:val="00115517"/>
    <w:rsid w:val="00115867"/>
    <w:rsid w:val="00115996"/>
    <w:rsid w:val="00116174"/>
    <w:rsid w:val="001161CE"/>
    <w:rsid w:val="001166DF"/>
    <w:rsid w:val="001167E0"/>
    <w:rsid w:val="00116B86"/>
    <w:rsid w:val="00117065"/>
    <w:rsid w:val="001172E8"/>
    <w:rsid w:val="001174D3"/>
    <w:rsid w:val="001175AE"/>
    <w:rsid w:val="00117F40"/>
    <w:rsid w:val="00120321"/>
    <w:rsid w:val="001204B8"/>
    <w:rsid w:val="0012114C"/>
    <w:rsid w:val="001216F9"/>
    <w:rsid w:val="00121A60"/>
    <w:rsid w:val="001220CF"/>
    <w:rsid w:val="001227BA"/>
    <w:rsid w:val="00122A22"/>
    <w:rsid w:val="00122BBB"/>
    <w:rsid w:val="0012317D"/>
    <w:rsid w:val="0012318F"/>
    <w:rsid w:val="00123291"/>
    <w:rsid w:val="0012364D"/>
    <w:rsid w:val="0012368E"/>
    <w:rsid w:val="00123F07"/>
    <w:rsid w:val="00125199"/>
    <w:rsid w:val="00125387"/>
    <w:rsid w:val="00125619"/>
    <w:rsid w:val="0012619F"/>
    <w:rsid w:val="00126733"/>
    <w:rsid w:val="00126DD8"/>
    <w:rsid w:val="001273FD"/>
    <w:rsid w:val="00127457"/>
    <w:rsid w:val="0012752F"/>
    <w:rsid w:val="00130322"/>
    <w:rsid w:val="001305CA"/>
    <w:rsid w:val="0013075E"/>
    <w:rsid w:val="00130DE6"/>
    <w:rsid w:val="0013137B"/>
    <w:rsid w:val="00131417"/>
    <w:rsid w:val="00131936"/>
    <w:rsid w:val="0013221B"/>
    <w:rsid w:val="001324CC"/>
    <w:rsid w:val="00132EB8"/>
    <w:rsid w:val="0013337B"/>
    <w:rsid w:val="00133FF7"/>
    <w:rsid w:val="001344E8"/>
    <w:rsid w:val="00134572"/>
    <w:rsid w:val="001345D1"/>
    <w:rsid w:val="001351CE"/>
    <w:rsid w:val="001352EB"/>
    <w:rsid w:val="00135B76"/>
    <w:rsid w:val="00136072"/>
    <w:rsid w:val="00136A1E"/>
    <w:rsid w:val="00136B28"/>
    <w:rsid w:val="00136DF1"/>
    <w:rsid w:val="0013722C"/>
    <w:rsid w:val="00137474"/>
    <w:rsid w:val="001377D1"/>
    <w:rsid w:val="00137821"/>
    <w:rsid w:val="001379FA"/>
    <w:rsid w:val="00137A11"/>
    <w:rsid w:val="00137BF1"/>
    <w:rsid w:val="00140681"/>
    <w:rsid w:val="00140F19"/>
    <w:rsid w:val="001418D9"/>
    <w:rsid w:val="0014202A"/>
    <w:rsid w:val="00142C5F"/>
    <w:rsid w:val="00142FAA"/>
    <w:rsid w:val="00143329"/>
    <w:rsid w:val="00143B7A"/>
    <w:rsid w:val="00144411"/>
    <w:rsid w:val="001446EC"/>
    <w:rsid w:val="001451AB"/>
    <w:rsid w:val="00145240"/>
    <w:rsid w:val="001459A9"/>
    <w:rsid w:val="00145CE3"/>
    <w:rsid w:val="00145E1E"/>
    <w:rsid w:val="00146072"/>
    <w:rsid w:val="00146F68"/>
    <w:rsid w:val="001475F7"/>
    <w:rsid w:val="00151483"/>
    <w:rsid w:val="0015179B"/>
    <w:rsid w:val="001525ED"/>
    <w:rsid w:val="0015309C"/>
    <w:rsid w:val="00153633"/>
    <w:rsid w:val="00153799"/>
    <w:rsid w:val="0015394B"/>
    <w:rsid w:val="00153BEA"/>
    <w:rsid w:val="00153BF8"/>
    <w:rsid w:val="001540BD"/>
    <w:rsid w:val="0015429D"/>
    <w:rsid w:val="00154F85"/>
    <w:rsid w:val="00154F9B"/>
    <w:rsid w:val="00155733"/>
    <w:rsid w:val="00155CDE"/>
    <w:rsid w:val="00156690"/>
    <w:rsid w:val="0015677A"/>
    <w:rsid w:val="0015697C"/>
    <w:rsid w:val="00156E2E"/>
    <w:rsid w:val="00157147"/>
    <w:rsid w:val="00157AC3"/>
    <w:rsid w:val="00157B20"/>
    <w:rsid w:val="00157CA2"/>
    <w:rsid w:val="001603B6"/>
    <w:rsid w:val="001612C3"/>
    <w:rsid w:val="00161463"/>
    <w:rsid w:val="00161937"/>
    <w:rsid w:val="001623DF"/>
    <w:rsid w:val="00162A64"/>
    <w:rsid w:val="00162D5C"/>
    <w:rsid w:val="00163196"/>
    <w:rsid w:val="00163701"/>
    <w:rsid w:val="00163AC0"/>
    <w:rsid w:val="00163EF9"/>
    <w:rsid w:val="0016411A"/>
    <w:rsid w:val="001648D1"/>
    <w:rsid w:val="001648E9"/>
    <w:rsid w:val="00164A9C"/>
    <w:rsid w:val="00164CCA"/>
    <w:rsid w:val="00164D4D"/>
    <w:rsid w:val="001667B9"/>
    <w:rsid w:val="00166F1C"/>
    <w:rsid w:val="00167B45"/>
    <w:rsid w:val="00170325"/>
    <w:rsid w:val="001705BA"/>
    <w:rsid w:val="00170BA4"/>
    <w:rsid w:val="00170FBD"/>
    <w:rsid w:val="001713B0"/>
    <w:rsid w:val="001718FB"/>
    <w:rsid w:val="00171B60"/>
    <w:rsid w:val="00172AE0"/>
    <w:rsid w:val="00173640"/>
    <w:rsid w:val="001736D6"/>
    <w:rsid w:val="0017386D"/>
    <w:rsid w:val="001738B0"/>
    <w:rsid w:val="00173C51"/>
    <w:rsid w:val="001740F8"/>
    <w:rsid w:val="001741F3"/>
    <w:rsid w:val="00174730"/>
    <w:rsid w:val="0017575A"/>
    <w:rsid w:val="001774F7"/>
    <w:rsid w:val="001779CB"/>
    <w:rsid w:val="00182367"/>
    <w:rsid w:val="001824BB"/>
    <w:rsid w:val="001825BA"/>
    <w:rsid w:val="001826FD"/>
    <w:rsid w:val="00183315"/>
    <w:rsid w:val="0018365F"/>
    <w:rsid w:val="00183922"/>
    <w:rsid w:val="00183BBE"/>
    <w:rsid w:val="00184145"/>
    <w:rsid w:val="00185125"/>
    <w:rsid w:val="00185165"/>
    <w:rsid w:val="00185546"/>
    <w:rsid w:val="0018594E"/>
    <w:rsid w:val="0018682B"/>
    <w:rsid w:val="00186EEB"/>
    <w:rsid w:val="00187CAE"/>
    <w:rsid w:val="00187DE8"/>
    <w:rsid w:val="0019032B"/>
    <w:rsid w:val="00190895"/>
    <w:rsid w:val="00190F8B"/>
    <w:rsid w:val="00191156"/>
    <w:rsid w:val="001915B3"/>
    <w:rsid w:val="00191882"/>
    <w:rsid w:val="00191964"/>
    <w:rsid w:val="00191F96"/>
    <w:rsid w:val="0019202D"/>
    <w:rsid w:val="00192620"/>
    <w:rsid w:val="00192978"/>
    <w:rsid w:val="00192A25"/>
    <w:rsid w:val="00192B17"/>
    <w:rsid w:val="00192F57"/>
    <w:rsid w:val="00193093"/>
    <w:rsid w:val="001931FA"/>
    <w:rsid w:val="00193877"/>
    <w:rsid w:val="001945E1"/>
    <w:rsid w:val="00195D0B"/>
    <w:rsid w:val="001961E4"/>
    <w:rsid w:val="00196962"/>
    <w:rsid w:val="00196F23"/>
    <w:rsid w:val="00197062"/>
    <w:rsid w:val="001975B0"/>
    <w:rsid w:val="00197603"/>
    <w:rsid w:val="001A01AE"/>
    <w:rsid w:val="001A0A3A"/>
    <w:rsid w:val="001A0F1D"/>
    <w:rsid w:val="001A11F3"/>
    <w:rsid w:val="001A2021"/>
    <w:rsid w:val="001A2490"/>
    <w:rsid w:val="001A24A2"/>
    <w:rsid w:val="001A3190"/>
    <w:rsid w:val="001A3EE3"/>
    <w:rsid w:val="001A475F"/>
    <w:rsid w:val="001A4F8F"/>
    <w:rsid w:val="001A5689"/>
    <w:rsid w:val="001A56D8"/>
    <w:rsid w:val="001A57B6"/>
    <w:rsid w:val="001A57E4"/>
    <w:rsid w:val="001A58A5"/>
    <w:rsid w:val="001A5D0C"/>
    <w:rsid w:val="001A677E"/>
    <w:rsid w:val="001A6785"/>
    <w:rsid w:val="001A6940"/>
    <w:rsid w:val="001A702E"/>
    <w:rsid w:val="001A78DB"/>
    <w:rsid w:val="001A7A52"/>
    <w:rsid w:val="001B0290"/>
    <w:rsid w:val="001B0DCF"/>
    <w:rsid w:val="001B0E4D"/>
    <w:rsid w:val="001B0F86"/>
    <w:rsid w:val="001B125D"/>
    <w:rsid w:val="001B142E"/>
    <w:rsid w:val="001B1D2E"/>
    <w:rsid w:val="001B23CD"/>
    <w:rsid w:val="001B2407"/>
    <w:rsid w:val="001B2B17"/>
    <w:rsid w:val="001B2FA9"/>
    <w:rsid w:val="001B4062"/>
    <w:rsid w:val="001B4319"/>
    <w:rsid w:val="001B508A"/>
    <w:rsid w:val="001B5255"/>
    <w:rsid w:val="001B56CA"/>
    <w:rsid w:val="001B61DF"/>
    <w:rsid w:val="001B629C"/>
    <w:rsid w:val="001B6C7B"/>
    <w:rsid w:val="001B7184"/>
    <w:rsid w:val="001B739F"/>
    <w:rsid w:val="001C0388"/>
    <w:rsid w:val="001C0D76"/>
    <w:rsid w:val="001C0F20"/>
    <w:rsid w:val="001C12AC"/>
    <w:rsid w:val="001C135B"/>
    <w:rsid w:val="001C1386"/>
    <w:rsid w:val="001C148F"/>
    <w:rsid w:val="001C182F"/>
    <w:rsid w:val="001C1AB5"/>
    <w:rsid w:val="001C288F"/>
    <w:rsid w:val="001C29F6"/>
    <w:rsid w:val="001C3514"/>
    <w:rsid w:val="001C3690"/>
    <w:rsid w:val="001C3C63"/>
    <w:rsid w:val="001C4409"/>
    <w:rsid w:val="001C4598"/>
    <w:rsid w:val="001C48A0"/>
    <w:rsid w:val="001C4A50"/>
    <w:rsid w:val="001C5505"/>
    <w:rsid w:val="001C6C81"/>
    <w:rsid w:val="001C6F75"/>
    <w:rsid w:val="001C73AB"/>
    <w:rsid w:val="001C7673"/>
    <w:rsid w:val="001C7D85"/>
    <w:rsid w:val="001D0A44"/>
    <w:rsid w:val="001D0D8F"/>
    <w:rsid w:val="001D1420"/>
    <w:rsid w:val="001D271D"/>
    <w:rsid w:val="001D280A"/>
    <w:rsid w:val="001D2881"/>
    <w:rsid w:val="001D2F76"/>
    <w:rsid w:val="001D2FFE"/>
    <w:rsid w:val="001D30BB"/>
    <w:rsid w:val="001D38BE"/>
    <w:rsid w:val="001D4032"/>
    <w:rsid w:val="001D53E3"/>
    <w:rsid w:val="001D5D55"/>
    <w:rsid w:val="001D6055"/>
    <w:rsid w:val="001D63B1"/>
    <w:rsid w:val="001D64F4"/>
    <w:rsid w:val="001D6AD5"/>
    <w:rsid w:val="001D6B20"/>
    <w:rsid w:val="001D6ECC"/>
    <w:rsid w:val="001D709E"/>
    <w:rsid w:val="001D7420"/>
    <w:rsid w:val="001D78E4"/>
    <w:rsid w:val="001D7E3F"/>
    <w:rsid w:val="001E087E"/>
    <w:rsid w:val="001E0D97"/>
    <w:rsid w:val="001E0E96"/>
    <w:rsid w:val="001E17F3"/>
    <w:rsid w:val="001E1C5E"/>
    <w:rsid w:val="001E22F4"/>
    <w:rsid w:val="001E25ED"/>
    <w:rsid w:val="001E2669"/>
    <w:rsid w:val="001E2999"/>
    <w:rsid w:val="001E4AE9"/>
    <w:rsid w:val="001E5C32"/>
    <w:rsid w:val="001E5EB0"/>
    <w:rsid w:val="001E6AA9"/>
    <w:rsid w:val="001E6F26"/>
    <w:rsid w:val="001E7076"/>
    <w:rsid w:val="001F1401"/>
    <w:rsid w:val="001F1DD2"/>
    <w:rsid w:val="001F2362"/>
    <w:rsid w:val="001F24C3"/>
    <w:rsid w:val="001F2829"/>
    <w:rsid w:val="001F3C30"/>
    <w:rsid w:val="001F3E4E"/>
    <w:rsid w:val="001F410A"/>
    <w:rsid w:val="001F428C"/>
    <w:rsid w:val="001F4B10"/>
    <w:rsid w:val="001F5AA5"/>
    <w:rsid w:val="001F5C5F"/>
    <w:rsid w:val="001F5FAA"/>
    <w:rsid w:val="001F618D"/>
    <w:rsid w:val="001F64E7"/>
    <w:rsid w:val="001F6B43"/>
    <w:rsid w:val="001F6CF2"/>
    <w:rsid w:val="001F6D77"/>
    <w:rsid w:val="001F7C0E"/>
    <w:rsid w:val="001F7DC8"/>
    <w:rsid w:val="001F7F0A"/>
    <w:rsid w:val="00202350"/>
    <w:rsid w:val="00202752"/>
    <w:rsid w:val="00202869"/>
    <w:rsid w:val="00202E22"/>
    <w:rsid w:val="00204071"/>
    <w:rsid w:val="00204FD5"/>
    <w:rsid w:val="00205790"/>
    <w:rsid w:val="00205868"/>
    <w:rsid w:val="00205F89"/>
    <w:rsid w:val="002068A8"/>
    <w:rsid w:val="00207ECE"/>
    <w:rsid w:val="002101DA"/>
    <w:rsid w:val="002105C0"/>
    <w:rsid w:val="00210B42"/>
    <w:rsid w:val="00211381"/>
    <w:rsid w:val="002118D5"/>
    <w:rsid w:val="00211B6B"/>
    <w:rsid w:val="00211F5F"/>
    <w:rsid w:val="00212C77"/>
    <w:rsid w:val="00213118"/>
    <w:rsid w:val="002131CD"/>
    <w:rsid w:val="00213575"/>
    <w:rsid w:val="00213A2C"/>
    <w:rsid w:val="00215386"/>
    <w:rsid w:val="00215B71"/>
    <w:rsid w:val="00216372"/>
    <w:rsid w:val="00216D7D"/>
    <w:rsid w:val="002174E5"/>
    <w:rsid w:val="0021750C"/>
    <w:rsid w:val="0021797B"/>
    <w:rsid w:val="0022037B"/>
    <w:rsid w:val="00220380"/>
    <w:rsid w:val="00220492"/>
    <w:rsid w:val="00220ED5"/>
    <w:rsid w:val="00220F37"/>
    <w:rsid w:val="00221476"/>
    <w:rsid w:val="00221933"/>
    <w:rsid w:val="00221D7A"/>
    <w:rsid w:val="0022230F"/>
    <w:rsid w:val="002223C3"/>
    <w:rsid w:val="00222517"/>
    <w:rsid w:val="002226A5"/>
    <w:rsid w:val="00222A90"/>
    <w:rsid w:val="00222D12"/>
    <w:rsid w:val="0022312B"/>
    <w:rsid w:val="00223EA4"/>
    <w:rsid w:val="002247E7"/>
    <w:rsid w:val="002254E8"/>
    <w:rsid w:val="0022656C"/>
    <w:rsid w:val="00226971"/>
    <w:rsid w:val="00226E22"/>
    <w:rsid w:val="002272BF"/>
    <w:rsid w:val="002275A2"/>
    <w:rsid w:val="00227F68"/>
    <w:rsid w:val="00230CC5"/>
    <w:rsid w:val="0023125A"/>
    <w:rsid w:val="00231A74"/>
    <w:rsid w:val="00232265"/>
    <w:rsid w:val="00232333"/>
    <w:rsid w:val="00232364"/>
    <w:rsid w:val="00232E75"/>
    <w:rsid w:val="00233C15"/>
    <w:rsid w:val="00233F43"/>
    <w:rsid w:val="0023416D"/>
    <w:rsid w:val="0023421C"/>
    <w:rsid w:val="00234507"/>
    <w:rsid w:val="00234544"/>
    <w:rsid w:val="002345D9"/>
    <w:rsid w:val="00234894"/>
    <w:rsid w:val="002352D3"/>
    <w:rsid w:val="002364FF"/>
    <w:rsid w:val="00237349"/>
    <w:rsid w:val="002373B2"/>
    <w:rsid w:val="002373F3"/>
    <w:rsid w:val="002374F1"/>
    <w:rsid w:val="0023789E"/>
    <w:rsid w:val="002378F4"/>
    <w:rsid w:val="00237D99"/>
    <w:rsid w:val="00240271"/>
    <w:rsid w:val="00240C0B"/>
    <w:rsid w:val="00240ED2"/>
    <w:rsid w:val="002414C1"/>
    <w:rsid w:val="0024209B"/>
    <w:rsid w:val="00243050"/>
    <w:rsid w:val="00243101"/>
    <w:rsid w:val="00243BB9"/>
    <w:rsid w:val="00244421"/>
    <w:rsid w:val="00245215"/>
    <w:rsid w:val="0024522B"/>
    <w:rsid w:val="0024570C"/>
    <w:rsid w:val="002460D5"/>
    <w:rsid w:val="00246562"/>
    <w:rsid w:val="00246566"/>
    <w:rsid w:val="0024693B"/>
    <w:rsid w:val="002477AE"/>
    <w:rsid w:val="00247F62"/>
    <w:rsid w:val="002511EB"/>
    <w:rsid w:val="00251869"/>
    <w:rsid w:val="00251899"/>
    <w:rsid w:val="002518AD"/>
    <w:rsid w:val="00252BF5"/>
    <w:rsid w:val="00252C51"/>
    <w:rsid w:val="00252ECA"/>
    <w:rsid w:val="0025357C"/>
    <w:rsid w:val="002535AD"/>
    <w:rsid w:val="00253E2B"/>
    <w:rsid w:val="00254C6F"/>
    <w:rsid w:val="00255813"/>
    <w:rsid w:val="00255BB1"/>
    <w:rsid w:val="002566E0"/>
    <w:rsid w:val="00256AD5"/>
    <w:rsid w:val="00256CC9"/>
    <w:rsid w:val="002572B1"/>
    <w:rsid w:val="002576AA"/>
    <w:rsid w:val="00257D1C"/>
    <w:rsid w:val="00257F25"/>
    <w:rsid w:val="002605DD"/>
    <w:rsid w:val="00260BC6"/>
    <w:rsid w:val="00261783"/>
    <w:rsid w:val="00261C23"/>
    <w:rsid w:val="00262398"/>
    <w:rsid w:val="00262762"/>
    <w:rsid w:val="00262A21"/>
    <w:rsid w:val="00262D89"/>
    <w:rsid w:val="00262EAB"/>
    <w:rsid w:val="00262FB4"/>
    <w:rsid w:val="0026353F"/>
    <w:rsid w:val="002635C5"/>
    <w:rsid w:val="00263B7B"/>
    <w:rsid w:val="00263D3E"/>
    <w:rsid w:val="00264405"/>
    <w:rsid w:val="0026459B"/>
    <w:rsid w:val="00266A89"/>
    <w:rsid w:val="002671F0"/>
    <w:rsid w:val="00267E25"/>
    <w:rsid w:val="00267ED8"/>
    <w:rsid w:val="00270130"/>
    <w:rsid w:val="002701A7"/>
    <w:rsid w:val="00270620"/>
    <w:rsid w:val="002706ED"/>
    <w:rsid w:val="002708CC"/>
    <w:rsid w:val="00270CDC"/>
    <w:rsid w:val="002713DB"/>
    <w:rsid w:val="00271B1D"/>
    <w:rsid w:val="00272B28"/>
    <w:rsid w:val="00272E9A"/>
    <w:rsid w:val="00273136"/>
    <w:rsid w:val="00273402"/>
    <w:rsid w:val="002735E7"/>
    <w:rsid w:val="00274033"/>
    <w:rsid w:val="002749C8"/>
    <w:rsid w:val="00274E8A"/>
    <w:rsid w:val="002752C1"/>
    <w:rsid w:val="002753B3"/>
    <w:rsid w:val="00275EE4"/>
    <w:rsid w:val="00276FF6"/>
    <w:rsid w:val="00277776"/>
    <w:rsid w:val="00277BFD"/>
    <w:rsid w:val="00277D34"/>
    <w:rsid w:val="002807D6"/>
    <w:rsid w:val="00280DC3"/>
    <w:rsid w:val="00280F1B"/>
    <w:rsid w:val="002815AE"/>
    <w:rsid w:val="00281B07"/>
    <w:rsid w:val="00282581"/>
    <w:rsid w:val="00282BAD"/>
    <w:rsid w:val="0028357C"/>
    <w:rsid w:val="0028359C"/>
    <w:rsid w:val="002835FF"/>
    <w:rsid w:val="002839DD"/>
    <w:rsid w:val="00284123"/>
    <w:rsid w:val="00284200"/>
    <w:rsid w:val="00285237"/>
    <w:rsid w:val="002854D9"/>
    <w:rsid w:val="0028654E"/>
    <w:rsid w:val="00286E5F"/>
    <w:rsid w:val="00287830"/>
    <w:rsid w:val="00287BDB"/>
    <w:rsid w:val="0029063F"/>
    <w:rsid w:val="00291164"/>
    <w:rsid w:val="0029136A"/>
    <w:rsid w:val="00291440"/>
    <w:rsid w:val="00292714"/>
    <w:rsid w:val="00292A31"/>
    <w:rsid w:val="002934E6"/>
    <w:rsid w:val="00293D4F"/>
    <w:rsid w:val="0029445C"/>
    <w:rsid w:val="002951BF"/>
    <w:rsid w:val="00295369"/>
    <w:rsid w:val="00296345"/>
    <w:rsid w:val="00297272"/>
    <w:rsid w:val="002973DD"/>
    <w:rsid w:val="00297E31"/>
    <w:rsid w:val="00297E67"/>
    <w:rsid w:val="002A014A"/>
    <w:rsid w:val="002A0C28"/>
    <w:rsid w:val="002A177B"/>
    <w:rsid w:val="002A1999"/>
    <w:rsid w:val="002A2771"/>
    <w:rsid w:val="002A2845"/>
    <w:rsid w:val="002A351B"/>
    <w:rsid w:val="002A3BF4"/>
    <w:rsid w:val="002A4704"/>
    <w:rsid w:val="002A4EAD"/>
    <w:rsid w:val="002A53D6"/>
    <w:rsid w:val="002A5499"/>
    <w:rsid w:val="002A59EC"/>
    <w:rsid w:val="002A5A1D"/>
    <w:rsid w:val="002A5DBA"/>
    <w:rsid w:val="002A73FB"/>
    <w:rsid w:val="002A749D"/>
    <w:rsid w:val="002A761E"/>
    <w:rsid w:val="002B06B0"/>
    <w:rsid w:val="002B0CBB"/>
    <w:rsid w:val="002B0E20"/>
    <w:rsid w:val="002B1045"/>
    <w:rsid w:val="002B19C9"/>
    <w:rsid w:val="002B260B"/>
    <w:rsid w:val="002B3D1B"/>
    <w:rsid w:val="002B454E"/>
    <w:rsid w:val="002B4712"/>
    <w:rsid w:val="002B4830"/>
    <w:rsid w:val="002B4B7F"/>
    <w:rsid w:val="002B59AD"/>
    <w:rsid w:val="002B5DDD"/>
    <w:rsid w:val="002B62A8"/>
    <w:rsid w:val="002B6F3B"/>
    <w:rsid w:val="002B7513"/>
    <w:rsid w:val="002B7954"/>
    <w:rsid w:val="002C03D6"/>
    <w:rsid w:val="002C07EA"/>
    <w:rsid w:val="002C16A2"/>
    <w:rsid w:val="002C20AE"/>
    <w:rsid w:val="002C22D1"/>
    <w:rsid w:val="002C2A84"/>
    <w:rsid w:val="002C3038"/>
    <w:rsid w:val="002C38A0"/>
    <w:rsid w:val="002C435D"/>
    <w:rsid w:val="002C48ED"/>
    <w:rsid w:val="002C4B59"/>
    <w:rsid w:val="002C4C83"/>
    <w:rsid w:val="002C4FE0"/>
    <w:rsid w:val="002C512B"/>
    <w:rsid w:val="002C563B"/>
    <w:rsid w:val="002C56BC"/>
    <w:rsid w:val="002C6264"/>
    <w:rsid w:val="002C6349"/>
    <w:rsid w:val="002C6582"/>
    <w:rsid w:val="002C6EBA"/>
    <w:rsid w:val="002C70A4"/>
    <w:rsid w:val="002C713D"/>
    <w:rsid w:val="002C7F4B"/>
    <w:rsid w:val="002D0144"/>
    <w:rsid w:val="002D0662"/>
    <w:rsid w:val="002D10BB"/>
    <w:rsid w:val="002D10EF"/>
    <w:rsid w:val="002D142F"/>
    <w:rsid w:val="002D1491"/>
    <w:rsid w:val="002D15F4"/>
    <w:rsid w:val="002D18FE"/>
    <w:rsid w:val="002D1924"/>
    <w:rsid w:val="002D2796"/>
    <w:rsid w:val="002D381B"/>
    <w:rsid w:val="002D44C3"/>
    <w:rsid w:val="002D4584"/>
    <w:rsid w:val="002D4A40"/>
    <w:rsid w:val="002D52C0"/>
    <w:rsid w:val="002D55EA"/>
    <w:rsid w:val="002D5618"/>
    <w:rsid w:val="002D6229"/>
    <w:rsid w:val="002D6948"/>
    <w:rsid w:val="002D6BE7"/>
    <w:rsid w:val="002D71BC"/>
    <w:rsid w:val="002D71F3"/>
    <w:rsid w:val="002D72E3"/>
    <w:rsid w:val="002E03C7"/>
    <w:rsid w:val="002E15D3"/>
    <w:rsid w:val="002E24A5"/>
    <w:rsid w:val="002E24DA"/>
    <w:rsid w:val="002E256D"/>
    <w:rsid w:val="002E2E28"/>
    <w:rsid w:val="002E38F8"/>
    <w:rsid w:val="002E3B39"/>
    <w:rsid w:val="002E3E20"/>
    <w:rsid w:val="002E43BD"/>
    <w:rsid w:val="002E45D8"/>
    <w:rsid w:val="002E5678"/>
    <w:rsid w:val="002E5C27"/>
    <w:rsid w:val="002E69A2"/>
    <w:rsid w:val="002E6BC7"/>
    <w:rsid w:val="002E6BEE"/>
    <w:rsid w:val="002E6C2E"/>
    <w:rsid w:val="002E6CA6"/>
    <w:rsid w:val="002E6E3A"/>
    <w:rsid w:val="002E6E55"/>
    <w:rsid w:val="002E74A3"/>
    <w:rsid w:val="002E74E3"/>
    <w:rsid w:val="002E78BA"/>
    <w:rsid w:val="002F063F"/>
    <w:rsid w:val="002F1065"/>
    <w:rsid w:val="002F16C6"/>
    <w:rsid w:val="002F187E"/>
    <w:rsid w:val="002F1F06"/>
    <w:rsid w:val="002F217B"/>
    <w:rsid w:val="002F26EC"/>
    <w:rsid w:val="002F2A66"/>
    <w:rsid w:val="002F3287"/>
    <w:rsid w:val="002F3783"/>
    <w:rsid w:val="002F43C7"/>
    <w:rsid w:val="002F528C"/>
    <w:rsid w:val="002F585D"/>
    <w:rsid w:val="002F5952"/>
    <w:rsid w:val="002F61F7"/>
    <w:rsid w:val="002F649F"/>
    <w:rsid w:val="002F6C5B"/>
    <w:rsid w:val="002F713B"/>
    <w:rsid w:val="002F71C0"/>
    <w:rsid w:val="002F7982"/>
    <w:rsid w:val="00300145"/>
    <w:rsid w:val="003001D5"/>
    <w:rsid w:val="0030065C"/>
    <w:rsid w:val="003015B3"/>
    <w:rsid w:val="00301842"/>
    <w:rsid w:val="0030191C"/>
    <w:rsid w:val="00301CA4"/>
    <w:rsid w:val="00302344"/>
    <w:rsid w:val="00302BC3"/>
    <w:rsid w:val="00302C62"/>
    <w:rsid w:val="00302E8D"/>
    <w:rsid w:val="00303652"/>
    <w:rsid w:val="00303B7B"/>
    <w:rsid w:val="00303C96"/>
    <w:rsid w:val="0030477A"/>
    <w:rsid w:val="003047CE"/>
    <w:rsid w:val="00304834"/>
    <w:rsid w:val="00304B23"/>
    <w:rsid w:val="00304C43"/>
    <w:rsid w:val="0030514A"/>
    <w:rsid w:val="00305307"/>
    <w:rsid w:val="00306186"/>
    <w:rsid w:val="003064F6"/>
    <w:rsid w:val="003066A0"/>
    <w:rsid w:val="003068B4"/>
    <w:rsid w:val="00306CD3"/>
    <w:rsid w:val="00307511"/>
    <w:rsid w:val="003079E6"/>
    <w:rsid w:val="00307ED3"/>
    <w:rsid w:val="00310311"/>
    <w:rsid w:val="00310635"/>
    <w:rsid w:val="0031149E"/>
    <w:rsid w:val="003116B6"/>
    <w:rsid w:val="00312385"/>
    <w:rsid w:val="00312E24"/>
    <w:rsid w:val="0031392F"/>
    <w:rsid w:val="00313966"/>
    <w:rsid w:val="00314009"/>
    <w:rsid w:val="0031451C"/>
    <w:rsid w:val="00314D53"/>
    <w:rsid w:val="00314FC1"/>
    <w:rsid w:val="00314FD0"/>
    <w:rsid w:val="003158BC"/>
    <w:rsid w:val="0031625B"/>
    <w:rsid w:val="0031664A"/>
    <w:rsid w:val="00316A3C"/>
    <w:rsid w:val="00317341"/>
    <w:rsid w:val="00317662"/>
    <w:rsid w:val="003176F8"/>
    <w:rsid w:val="00317CFE"/>
    <w:rsid w:val="003217C7"/>
    <w:rsid w:val="00323C5E"/>
    <w:rsid w:val="00324526"/>
    <w:rsid w:val="0032598C"/>
    <w:rsid w:val="00325D3A"/>
    <w:rsid w:val="003268D9"/>
    <w:rsid w:val="003268F7"/>
    <w:rsid w:val="00327066"/>
    <w:rsid w:val="003274B7"/>
    <w:rsid w:val="00327772"/>
    <w:rsid w:val="00327954"/>
    <w:rsid w:val="00327F01"/>
    <w:rsid w:val="00330217"/>
    <w:rsid w:val="003310B1"/>
    <w:rsid w:val="003311C6"/>
    <w:rsid w:val="00331537"/>
    <w:rsid w:val="003315C8"/>
    <w:rsid w:val="00332B39"/>
    <w:rsid w:val="00332B94"/>
    <w:rsid w:val="00333455"/>
    <w:rsid w:val="0033479F"/>
    <w:rsid w:val="00334AF1"/>
    <w:rsid w:val="00334BE4"/>
    <w:rsid w:val="003356D1"/>
    <w:rsid w:val="00335CAC"/>
    <w:rsid w:val="0033628A"/>
    <w:rsid w:val="00336320"/>
    <w:rsid w:val="00336573"/>
    <w:rsid w:val="00336A97"/>
    <w:rsid w:val="00336C53"/>
    <w:rsid w:val="00337D35"/>
    <w:rsid w:val="00340688"/>
    <w:rsid w:val="00340C92"/>
    <w:rsid w:val="00340C93"/>
    <w:rsid w:val="00340C9E"/>
    <w:rsid w:val="003417AC"/>
    <w:rsid w:val="00341B8C"/>
    <w:rsid w:val="00341CC7"/>
    <w:rsid w:val="0034241F"/>
    <w:rsid w:val="003435D8"/>
    <w:rsid w:val="003435F4"/>
    <w:rsid w:val="00343A84"/>
    <w:rsid w:val="00343C41"/>
    <w:rsid w:val="003449B2"/>
    <w:rsid w:val="00344A67"/>
    <w:rsid w:val="00345461"/>
    <w:rsid w:val="00345462"/>
    <w:rsid w:val="00345A4A"/>
    <w:rsid w:val="0034651C"/>
    <w:rsid w:val="00346743"/>
    <w:rsid w:val="00346EE2"/>
    <w:rsid w:val="00351499"/>
    <w:rsid w:val="003514C8"/>
    <w:rsid w:val="0035297F"/>
    <w:rsid w:val="00352AC9"/>
    <w:rsid w:val="003534EB"/>
    <w:rsid w:val="00353820"/>
    <w:rsid w:val="00354A50"/>
    <w:rsid w:val="0035528E"/>
    <w:rsid w:val="003559EB"/>
    <w:rsid w:val="003563B6"/>
    <w:rsid w:val="00356653"/>
    <w:rsid w:val="00356B17"/>
    <w:rsid w:val="00360359"/>
    <w:rsid w:val="0036121E"/>
    <w:rsid w:val="0036331E"/>
    <w:rsid w:val="00363336"/>
    <w:rsid w:val="003634F0"/>
    <w:rsid w:val="003635E0"/>
    <w:rsid w:val="003644B3"/>
    <w:rsid w:val="003648F0"/>
    <w:rsid w:val="00364CED"/>
    <w:rsid w:val="00364F31"/>
    <w:rsid w:val="003650A3"/>
    <w:rsid w:val="003651D5"/>
    <w:rsid w:val="00366BED"/>
    <w:rsid w:val="00366C71"/>
    <w:rsid w:val="00366F6F"/>
    <w:rsid w:val="00367109"/>
    <w:rsid w:val="00367A3A"/>
    <w:rsid w:val="00367D8B"/>
    <w:rsid w:val="003701F9"/>
    <w:rsid w:val="00370427"/>
    <w:rsid w:val="00370B50"/>
    <w:rsid w:val="00370C19"/>
    <w:rsid w:val="00371081"/>
    <w:rsid w:val="0037243E"/>
    <w:rsid w:val="003727AA"/>
    <w:rsid w:val="0037284A"/>
    <w:rsid w:val="00372B5C"/>
    <w:rsid w:val="00373532"/>
    <w:rsid w:val="00373DBA"/>
    <w:rsid w:val="0037457A"/>
    <w:rsid w:val="0037563C"/>
    <w:rsid w:val="003759F3"/>
    <w:rsid w:val="00376827"/>
    <w:rsid w:val="00376954"/>
    <w:rsid w:val="00376B94"/>
    <w:rsid w:val="003770F9"/>
    <w:rsid w:val="003778D9"/>
    <w:rsid w:val="00377B07"/>
    <w:rsid w:val="00377B8C"/>
    <w:rsid w:val="00381309"/>
    <w:rsid w:val="003818C0"/>
    <w:rsid w:val="00381B97"/>
    <w:rsid w:val="003826FB"/>
    <w:rsid w:val="00382CD2"/>
    <w:rsid w:val="00382D7E"/>
    <w:rsid w:val="0038332A"/>
    <w:rsid w:val="003835E2"/>
    <w:rsid w:val="00383FFB"/>
    <w:rsid w:val="003853CB"/>
    <w:rsid w:val="003858C3"/>
    <w:rsid w:val="00386218"/>
    <w:rsid w:val="0038632C"/>
    <w:rsid w:val="0038641B"/>
    <w:rsid w:val="003869A8"/>
    <w:rsid w:val="00386DAD"/>
    <w:rsid w:val="00387374"/>
    <w:rsid w:val="0038743A"/>
    <w:rsid w:val="00387C3C"/>
    <w:rsid w:val="003907C1"/>
    <w:rsid w:val="003917B0"/>
    <w:rsid w:val="003917F1"/>
    <w:rsid w:val="00391817"/>
    <w:rsid w:val="0039183F"/>
    <w:rsid w:val="003918C0"/>
    <w:rsid w:val="00391AE4"/>
    <w:rsid w:val="00391E8A"/>
    <w:rsid w:val="0039239F"/>
    <w:rsid w:val="00392AE0"/>
    <w:rsid w:val="00393082"/>
    <w:rsid w:val="003933EE"/>
    <w:rsid w:val="0039341B"/>
    <w:rsid w:val="00394706"/>
    <w:rsid w:val="00395194"/>
    <w:rsid w:val="00395264"/>
    <w:rsid w:val="00396331"/>
    <w:rsid w:val="00397679"/>
    <w:rsid w:val="00397683"/>
    <w:rsid w:val="003979D1"/>
    <w:rsid w:val="00397D4C"/>
    <w:rsid w:val="003A0458"/>
    <w:rsid w:val="003A08C4"/>
    <w:rsid w:val="003A152B"/>
    <w:rsid w:val="003A305F"/>
    <w:rsid w:val="003A33C5"/>
    <w:rsid w:val="003A3CFF"/>
    <w:rsid w:val="003A4882"/>
    <w:rsid w:val="003A4F7B"/>
    <w:rsid w:val="003A51FA"/>
    <w:rsid w:val="003A5619"/>
    <w:rsid w:val="003A570B"/>
    <w:rsid w:val="003A6E65"/>
    <w:rsid w:val="003A76D8"/>
    <w:rsid w:val="003A7F8D"/>
    <w:rsid w:val="003B025A"/>
    <w:rsid w:val="003B107B"/>
    <w:rsid w:val="003B14D3"/>
    <w:rsid w:val="003B191D"/>
    <w:rsid w:val="003B1AF9"/>
    <w:rsid w:val="003B2326"/>
    <w:rsid w:val="003B26C9"/>
    <w:rsid w:val="003B2748"/>
    <w:rsid w:val="003B2799"/>
    <w:rsid w:val="003B3819"/>
    <w:rsid w:val="003B3B3E"/>
    <w:rsid w:val="003B3DCE"/>
    <w:rsid w:val="003B465B"/>
    <w:rsid w:val="003B4C9F"/>
    <w:rsid w:val="003B4E15"/>
    <w:rsid w:val="003B5475"/>
    <w:rsid w:val="003B605D"/>
    <w:rsid w:val="003B64DC"/>
    <w:rsid w:val="003B6672"/>
    <w:rsid w:val="003B680D"/>
    <w:rsid w:val="003B6842"/>
    <w:rsid w:val="003B6AA0"/>
    <w:rsid w:val="003B6CF7"/>
    <w:rsid w:val="003B6E15"/>
    <w:rsid w:val="003B6FEA"/>
    <w:rsid w:val="003B73C5"/>
    <w:rsid w:val="003B7607"/>
    <w:rsid w:val="003B774B"/>
    <w:rsid w:val="003B797E"/>
    <w:rsid w:val="003C07D6"/>
    <w:rsid w:val="003C1951"/>
    <w:rsid w:val="003C19F7"/>
    <w:rsid w:val="003C2106"/>
    <w:rsid w:val="003C2967"/>
    <w:rsid w:val="003C30E1"/>
    <w:rsid w:val="003C3243"/>
    <w:rsid w:val="003C3FF3"/>
    <w:rsid w:val="003C54F4"/>
    <w:rsid w:val="003C59F9"/>
    <w:rsid w:val="003C6352"/>
    <w:rsid w:val="003C684B"/>
    <w:rsid w:val="003C72AA"/>
    <w:rsid w:val="003D0AEA"/>
    <w:rsid w:val="003D0CCD"/>
    <w:rsid w:val="003D16FF"/>
    <w:rsid w:val="003D1944"/>
    <w:rsid w:val="003D1A10"/>
    <w:rsid w:val="003D1B1E"/>
    <w:rsid w:val="003D1C64"/>
    <w:rsid w:val="003D2162"/>
    <w:rsid w:val="003D2219"/>
    <w:rsid w:val="003D2409"/>
    <w:rsid w:val="003D2AB0"/>
    <w:rsid w:val="003D2CB1"/>
    <w:rsid w:val="003D31DD"/>
    <w:rsid w:val="003D352D"/>
    <w:rsid w:val="003D36AF"/>
    <w:rsid w:val="003D381D"/>
    <w:rsid w:val="003D3D08"/>
    <w:rsid w:val="003D48B7"/>
    <w:rsid w:val="003D4A51"/>
    <w:rsid w:val="003D528D"/>
    <w:rsid w:val="003D5728"/>
    <w:rsid w:val="003D57AC"/>
    <w:rsid w:val="003D5C5B"/>
    <w:rsid w:val="003D642F"/>
    <w:rsid w:val="003D6607"/>
    <w:rsid w:val="003D7541"/>
    <w:rsid w:val="003D7CCE"/>
    <w:rsid w:val="003E0898"/>
    <w:rsid w:val="003E1001"/>
    <w:rsid w:val="003E107E"/>
    <w:rsid w:val="003E12C3"/>
    <w:rsid w:val="003E1A82"/>
    <w:rsid w:val="003E21C6"/>
    <w:rsid w:val="003E240F"/>
    <w:rsid w:val="003E2511"/>
    <w:rsid w:val="003E2909"/>
    <w:rsid w:val="003E3003"/>
    <w:rsid w:val="003E3221"/>
    <w:rsid w:val="003E3B01"/>
    <w:rsid w:val="003E3DE8"/>
    <w:rsid w:val="003E3F26"/>
    <w:rsid w:val="003E3F2B"/>
    <w:rsid w:val="003E5E6F"/>
    <w:rsid w:val="003E7D91"/>
    <w:rsid w:val="003E7EBC"/>
    <w:rsid w:val="003E7F8E"/>
    <w:rsid w:val="003F0544"/>
    <w:rsid w:val="003F0709"/>
    <w:rsid w:val="003F073F"/>
    <w:rsid w:val="003F24EC"/>
    <w:rsid w:val="003F25B9"/>
    <w:rsid w:val="003F2997"/>
    <w:rsid w:val="003F2E07"/>
    <w:rsid w:val="003F375A"/>
    <w:rsid w:val="003F4506"/>
    <w:rsid w:val="003F4660"/>
    <w:rsid w:val="003F494D"/>
    <w:rsid w:val="003F5F38"/>
    <w:rsid w:val="003F6CA9"/>
    <w:rsid w:val="003F6E5E"/>
    <w:rsid w:val="003F7670"/>
    <w:rsid w:val="003F79B8"/>
    <w:rsid w:val="003F7B3E"/>
    <w:rsid w:val="00400122"/>
    <w:rsid w:val="00400454"/>
    <w:rsid w:val="00400C5E"/>
    <w:rsid w:val="00400E75"/>
    <w:rsid w:val="0040120A"/>
    <w:rsid w:val="004015E6"/>
    <w:rsid w:val="004019C0"/>
    <w:rsid w:val="00401E51"/>
    <w:rsid w:val="004028F7"/>
    <w:rsid w:val="00402EC4"/>
    <w:rsid w:val="00402F03"/>
    <w:rsid w:val="0040416B"/>
    <w:rsid w:val="00404FA2"/>
    <w:rsid w:val="0040503B"/>
    <w:rsid w:val="004051C9"/>
    <w:rsid w:val="004052D0"/>
    <w:rsid w:val="0040559D"/>
    <w:rsid w:val="004062DF"/>
    <w:rsid w:val="004064C9"/>
    <w:rsid w:val="0040702C"/>
    <w:rsid w:val="004072FD"/>
    <w:rsid w:val="0040733D"/>
    <w:rsid w:val="00407E27"/>
    <w:rsid w:val="00407FF7"/>
    <w:rsid w:val="004101D0"/>
    <w:rsid w:val="0041121A"/>
    <w:rsid w:val="00411C2A"/>
    <w:rsid w:val="00411EBB"/>
    <w:rsid w:val="0041379A"/>
    <w:rsid w:val="00413E42"/>
    <w:rsid w:val="00414C09"/>
    <w:rsid w:val="00414F42"/>
    <w:rsid w:val="00415957"/>
    <w:rsid w:val="00415E3A"/>
    <w:rsid w:val="0041777A"/>
    <w:rsid w:val="004177E4"/>
    <w:rsid w:val="00420D14"/>
    <w:rsid w:val="00421361"/>
    <w:rsid w:val="004215CE"/>
    <w:rsid w:val="00421724"/>
    <w:rsid w:val="00421C95"/>
    <w:rsid w:val="00422449"/>
    <w:rsid w:val="00422992"/>
    <w:rsid w:val="00422999"/>
    <w:rsid w:val="00422B7B"/>
    <w:rsid w:val="004234F6"/>
    <w:rsid w:val="004257CC"/>
    <w:rsid w:val="004259A5"/>
    <w:rsid w:val="00425B36"/>
    <w:rsid w:val="00425B7E"/>
    <w:rsid w:val="00425E27"/>
    <w:rsid w:val="00425E9E"/>
    <w:rsid w:val="00425F5C"/>
    <w:rsid w:val="00426A05"/>
    <w:rsid w:val="0042725A"/>
    <w:rsid w:val="00427324"/>
    <w:rsid w:val="0043109D"/>
    <w:rsid w:val="00431284"/>
    <w:rsid w:val="00431869"/>
    <w:rsid w:val="00431BC5"/>
    <w:rsid w:val="00433A75"/>
    <w:rsid w:val="00434414"/>
    <w:rsid w:val="00434577"/>
    <w:rsid w:val="00435339"/>
    <w:rsid w:val="004358CC"/>
    <w:rsid w:val="0043638F"/>
    <w:rsid w:val="00437B29"/>
    <w:rsid w:val="00441004"/>
    <w:rsid w:val="004418C1"/>
    <w:rsid w:val="004418EA"/>
    <w:rsid w:val="004418EE"/>
    <w:rsid w:val="0044275D"/>
    <w:rsid w:val="004438E3"/>
    <w:rsid w:val="00443CE7"/>
    <w:rsid w:val="00443E20"/>
    <w:rsid w:val="00444132"/>
    <w:rsid w:val="0044441C"/>
    <w:rsid w:val="004446DE"/>
    <w:rsid w:val="004447B8"/>
    <w:rsid w:val="00444B57"/>
    <w:rsid w:val="00444BBD"/>
    <w:rsid w:val="0044594B"/>
    <w:rsid w:val="00445980"/>
    <w:rsid w:val="00445A25"/>
    <w:rsid w:val="00445AB5"/>
    <w:rsid w:val="00445BEE"/>
    <w:rsid w:val="00446055"/>
    <w:rsid w:val="00446121"/>
    <w:rsid w:val="00446C7F"/>
    <w:rsid w:val="00446FDB"/>
    <w:rsid w:val="0044749C"/>
    <w:rsid w:val="00447599"/>
    <w:rsid w:val="00447C08"/>
    <w:rsid w:val="00447FFA"/>
    <w:rsid w:val="00450026"/>
    <w:rsid w:val="00450421"/>
    <w:rsid w:val="00450FFE"/>
    <w:rsid w:val="00451B06"/>
    <w:rsid w:val="00451E43"/>
    <w:rsid w:val="00451EC3"/>
    <w:rsid w:val="00451EE1"/>
    <w:rsid w:val="0045271B"/>
    <w:rsid w:val="00452925"/>
    <w:rsid w:val="0045362F"/>
    <w:rsid w:val="00454B37"/>
    <w:rsid w:val="00456840"/>
    <w:rsid w:val="00460A15"/>
    <w:rsid w:val="004617EE"/>
    <w:rsid w:val="00461861"/>
    <w:rsid w:val="00461DF3"/>
    <w:rsid w:val="00462A22"/>
    <w:rsid w:val="00463224"/>
    <w:rsid w:val="00463E6E"/>
    <w:rsid w:val="00464812"/>
    <w:rsid w:val="00464ED2"/>
    <w:rsid w:val="00465572"/>
    <w:rsid w:val="004667E8"/>
    <w:rsid w:val="00467196"/>
    <w:rsid w:val="004704F4"/>
    <w:rsid w:val="004706DA"/>
    <w:rsid w:val="00470C4E"/>
    <w:rsid w:val="004714D4"/>
    <w:rsid w:val="00471EAD"/>
    <w:rsid w:val="004723AC"/>
    <w:rsid w:val="004726EF"/>
    <w:rsid w:val="00472931"/>
    <w:rsid w:val="0047322F"/>
    <w:rsid w:val="0047356F"/>
    <w:rsid w:val="00473F77"/>
    <w:rsid w:val="004741F9"/>
    <w:rsid w:val="004748BB"/>
    <w:rsid w:val="0047498E"/>
    <w:rsid w:val="00475152"/>
    <w:rsid w:val="00475C43"/>
    <w:rsid w:val="00475D2A"/>
    <w:rsid w:val="004760E2"/>
    <w:rsid w:val="0047677F"/>
    <w:rsid w:val="004770C2"/>
    <w:rsid w:val="004779AC"/>
    <w:rsid w:val="00477D25"/>
    <w:rsid w:val="00481090"/>
    <w:rsid w:val="004813C2"/>
    <w:rsid w:val="00481E5D"/>
    <w:rsid w:val="00482432"/>
    <w:rsid w:val="00482AAC"/>
    <w:rsid w:val="00483276"/>
    <w:rsid w:val="00483543"/>
    <w:rsid w:val="00483A99"/>
    <w:rsid w:val="00484170"/>
    <w:rsid w:val="00484D11"/>
    <w:rsid w:val="0048523F"/>
    <w:rsid w:val="0048559A"/>
    <w:rsid w:val="00486175"/>
    <w:rsid w:val="0048649C"/>
    <w:rsid w:val="0048738C"/>
    <w:rsid w:val="00487841"/>
    <w:rsid w:val="00487942"/>
    <w:rsid w:val="00487BDB"/>
    <w:rsid w:val="004906BB"/>
    <w:rsid w:val="00491321"/>
    <w:rsid w:val="00491B0E"/>
    <w:rsid w:val="0049254B"/>
    <w:rsid w:val="00492CC7"/>
    <w:rsid w:val="0049303D"/>
    <w:rsid w:val="00493829"/>
    <w:rsid w:val="00493B5E"/>
    <w:rsid w:val="00493B9A"/>
    <w:rsid w:val="00493BC6"/>
    <w:rsid w:val="00494374"/>
    <w:rsid w:val="00494465"/>
    <w:rsid w:val="004944FB"/>
    <w:rsid w:val="0049464E"/>
    <w:rsid w:val="00494725"/>
    <w:rsid w:val="00494C4F"/>
    <w:rsid w:val="004950D1"/>
    <w:rsid w:val="00495CCA"/>
    <w:rsid w:val="00496042"/>
    <w:rsid w:val="004960AD"/>
    <w:rsid w:val="004963CB"/>
    <w:rsid w:val="0049645D"/>
    <w:rsid w:val="0049648F"/>
    <w:rsid w:val="004966C3"/>
    <w:rsid w:val="00496AEC"/>
    <w:rsid w:val="00497BE6"/>
    <w:rsid w:val="004A0B7B"/>
    <w:rsid w:val="004A0FCC"/>
    <w:rsid w:val="004A1940"/>
    <w:rsid w:val="004A1C61"/>
    <w:rsid w:val="004A242A"/>
    <w:rsid w:val="004A2586"/>
    <w:rsid w:val="004A2D5A"/>
    <w:rsid w:val="004A2FB9"/>
    <w:rsid w:val="004A38A1"/>
    <w:rsid w:val="004A3BCB"/>
    <w:rsid w:val="004A4321"/>
    <w:rsid w:val="004A5523"/>
    <w:rsid w:val="004A567C"/>
    <w:rsid w:val="004A6038"/>
    <w:rsid w:val="004A6B4A"/>
    <w:rsid w:val="004A6B9C"/>
    <w:rsid w:val="004B041F"/>
    <w:rsid w:val="004B0609"/>
    <w:rsid w:val="004B20E6"/>
    <w:rsid w:val="004B3095"/>
    <w:rsid w:val="004B32A5"/>
    <w:rsid w:val="004B3940"/>
    <w:rsid w:val="004B504A"/>
    <w:rsid w:val="004B526D"/>
    <w:rsid w:val="004B5359"/>
    <w:rsid w:val="004B5A27"/>
    <w:rsid w:val="004B5BBD"/>
    <w:rsid w:val="004B5BC0"/>
    <w:rsid w:val="004B5C34"/>
    <w:rsid w:val="004B6C39"/>
    <w:rsid w:val="004B72E1"/>
    <w:rsid w:val="004B7B13"/>
    <w:rsid w:val="004C0F3E"/>
    <w:rsid w:val="004C154A"/>
    <w:rsid w:val="004C1BC3"/>
    <w:rsid w:val="004C1DCF"/>
    <w:rsid w:val="004C2735"/>
    <w:rsid w:val="004C3463"/>
    <w:rsid w:val="004C37F9"/>
    <w:rsid w:val="004C3B13"/>
    <w:rsid w:val="004C3B35"/>
    <w:rsid w:val="004C4080"/>
    <w:rsid w:val="004C44CE"/>
    <w:rsid w:val="004C4773"/>
    <w:rsid w:val="004C496A"/>
    <w:rsid w:val="004C4B5E"/>
    <w:rsid w:val="004C4BA9"/>
    <w:rsid w:val="004C5853"/>
    <w:rsid w:val="004C58FE"/>
    <w:rsid w:val="004C67D7"/>
    <w:rsid w:val="004C7568"/>
    <w:rsid w:val="004C7D21"/>
    <w:rsid w:val="004D03C8"/>
    <w:rsid w:val="004D073E"/>
    <w:rsid w:val="004D0F76"/>
    <w:rsid w:val="004D1254"/>
    <w:rsid w:val="004D1949"/>
    <w:rsid w:val="004D254A"/>
    <w:rsid w:val="004D2849"/>
    <w:rsid w:val="004D2D96"/>
    <w:rsid w:val="004D2E47"/>
    <w:rsid w:val="004D408D"/>
    <w:rsid w:val="004D4311"/>
    <w:rsid w:val="004D4428"/>
    <w:rsid w:val="004D459F"/>
    <w:rsid w:val="004D532F"/>
    <w:rsid w:val="004D5D1A"/>
    <w:rsid w:val="004D6856"/>
    <w:rsid w:val="004D69D2"/>
    <w:rsid w:val="004D70EF"/>
    <w:rsid w:val="004D7B0B"/>
    <w:rsid w:val="004E0133"/>
    <w:rsid w:val="004E0688"/>
    <w:rsid w:val="004E093D"/>
    <w:rsid w:val="004E0C94"/>
    <w:rsid w:val="004E0CE8"/>
    <w:rsid w:val="004E130B"/>
    <w:rsid w:val="004E1670"/>
    <w:rsid w:val="004E1A34"/>
    <w:rsid w:val="004E1F5C"/>
    <w:rsid w:val="004E2288"/>
    <w:rsid w:val="004E3744"/>
    <w:rsid w:val="004E3761"/>
    <w:rsid w:val="004E3B73"/>
    <w:rsid w:val="004E440A"/>
    <w:rsid w:val="004E441B"/>
    <w:rsid w:val="004E493E"/>
    <w:rsid w:val="004E554A"/>
    <w:rsid w:val="004E630E"/>
    <w:rsid w:val="004E6757"/>
    <w:rsid w:val="004E6F7D"/>
    <w:rsid w:val="004E7E02"/>
    <w:rsid w:val="004F1A3C"/>
    <w:rsid w:val="004F1BF7"/>
    <w:rsid w:val="004F1C9C"/>
    <w:rsid w:val="004F1F7B"/>
    <w:rsid w:val="004F1F84"/>
    <w:rsid w:val="004F251C"/>
    <w:rsid w:val="004F30C6"/>
    <w:rsid w:val="004F38B8"/>
    <w:rsid w:val="004F3EB7"/>
    <w:rsid w:val="004F55A9"/>
    <w:rsid w:val="004F5D01"/>
    <w:rsid w:val="004F61E1"/>
    <w:rsid w:val="004F637F"/>
    <w:rsid w:val="004F6C54"/>
    <w:rsid w:val="004F6D91"/>
    <w:rsid w:val="004F78C4"/>
    <w:rsid w:val="004F790D"/>
    <w:rsid w:val="004F7CB6"/>
    <w:rsid w:val="00500103"/>
    <w:rsid w:val="00500384"/>
    <w:rsid w:val="00500C81"/>
    <w:rsid w:val="00500CD4"/>
    <w:rsid w:val="00500F30"/>
    <w:rsid w:val="00501478"/>
    <w:rsid w:val="00503558"/>
    <w:rsid w:val="00503609"/>
    <w:rsid w:val="005036A1"/>
    <w:rsid w:val="00504920"/>
    <w:rsid w:val="00504CA7"/>
    <w:rsid w:val="00505436"/>
    <w:rsid w:val="00505B0C"/>
    <w:rsid w:val="0050620E"/>
    <w:rsid w:val="00506C0F"/>
    <w:rsid w:val="00506E5A"/>
    <w:rsid w:val="005073BC"/>
    <w:rsid w:val="00507B53"/>
    <w:rsid w:val="00507B98"/>
    <w:rsid w:val="00510048"/>
    <w:rsid w:val="005100AF"/>
    <w:rsid w:val="005103CE"/>
    <w:rsid w:val="00510588"/>
    <w:rsid w:val="00511758"/>
    <w:rsid w:val="00513738"/>
    <w:rsid w:val="00514A1C"/>
    <w:rsid w:val="00514E98"/>
    <w:rsid w:val="00514EC4"/>
    <w:rsid w:val="00514F16"/>
    <w:rsid w:val="00515168"/>
    <w:rsid w:val="00515414"/>
    <w:rsid w:val="005156CF"/>
    <w:rsid w:val="00515983"/>
    <w:rsid w:val="00515A08"/>
    <w:rsid w:val="005160E9"/>
    <w:rsid w:val="00516423"/>
    <w:rsid w:val="00516E7C"/>
    <w:rsid w:val="005176B2"/>
    <w:rsid w:val="00520758"/>
    <w:rsid w:val="005215B9"/>
    <w:rsid w:val="0052181D"/>
    <w:rsid w:val="00521BA0"/>
    <w:rsid w:val="00521E91"/>
    <w:rsid w:val="00522132"/>
    <w:rsid w:val="00522617"/>
    <w:rsid w:val="00522C5F"/>
    <w:rsid w:val="00523022"/>
    <w:rsid w:val="005236EB"/>
    <w:rsid w:val="00523E05"/>
    <w:rsid w:val="005240A0"/>
    <w:rsid w:val="00524138"/>
    <w:rsid w:val="00524664"/>
    <w:rsid w:val="00524D9F"/>
    <w:rsid w:val="0052514D"/>
    <w:rsid w:val="005252E3"/>
    <w:rsid w:val="00525ABC"/>
    <w:rsid w:val="00525F55"/>
    <w:rsid w:val="00526022"/>
    <w:rsid w:val="0052623C"/>
    <w:rsid w:val="00526A1A"/>
    <w:rsid w:val="005278A2"/>
    <w:rsid w:val="00531C69"/>
    <w:rsid w:val="00532C7E"/>
    <w:rsid w:val="00533500"/>
    <w:rsid w:val="0053365D"/>
    <w:rsid w:val="0053376A"/>
    <w:rsid w:val="0053407D"/>
    <w:rsid w:val="005340AA"/>
    <w:rsid w:val="00534531"/>
    <w:rsid w:val="0053519A"/>
    <w:rsid w:val="005378E6"/>
    <w:rsid w:val="005379B0"/>
    <w:rsid w:val="00540922"/>
    <w:rsid w:val="005432D5"/>
    <w:rsid w:val="0054362F"/>
    <w:rsid w:val="00543DCC"/>
    <w:rsid w:val="00543F9B"/>
    <w:rsid w:val="0054403B"/>
    <w:rsid w:val="00544638"/>
    <w:rsid w:val="00544EA9"/>
    <w:rsid w:val="005457D9"/>
    <w:rsid w:val="00545807"/>
    <w:rsid w:val="00545831"/>
    <w:rsid w:val="005469A2"/>
    <w:rsid w:val="00546BA6"/>
    <w:rsid w:val="005473BB"/>
    <w:rsid w:val="005479A1"/>
    <w:rsid w:val="00550706"/>
    <w:rsid w:val="005516BD"/>
    <w:rsid w:val="0055186B"/>
    <w:rsid w:val="00551DE1"/>
    <w:rsid w:val="005531D4"/>
    <w:rsid w:val="00553552"/>
    <w:rsid w:val="00553A69"/>
    <w:rsid w:val="00553AE3"/>
    <w:rsid w:val="00553E7B"/>
    <w:rsid w:val="005548BC"/>
    <w:rsid w:val="00554E97"/>
    <w:rsid w:val="00554FD1"/>
    <w:rsid w:val="005556FA"/>
    <w:rsid w:val="00555739"/>
    <w:rsid w:val="00555861"/>
    <w:rsid w:val="00555929"/>
    <w:rsid w:val="005560C6"/>
    <w:rsid w:val="005569A1"/>
    <w:rsid w:val="0055768F"/>
    <w:rsid w:val="00557A02"/>
    <w:rsid w:val="00557F59"/>
    <w:rsid w:val="0056045B"/>
    <w:rsid w:val="00560705"/>
    <w:rsid w:val="00560B19"/>
    <w:rsid w:val="0056119B"/>
    <w:rsid w:val="00561AB3"/>
    <w:rsid w:val="00561C12"/>
    <w:rsid w:val="00561C80"/>
    <w:rsid w:val="00562447"/>
    <w:rsid w:val="00562ED3"/>
    <w:rsid w:val="005633F6"/>
    <w:rsid w:val="005638B9"/>
    <w:rsid w:val="00564759"/>
    <w:rsid w:val="00565798"/>
    <w:rsid w:val="005657B7"/>
    <w:rsid w:val="00565FBA"/>
    <w:rsid w:val="00566D84"/>
    <w:rsid w:val="00567090"/>
    <w:rsid w:val="00567584"/>
    <w:rsid w:val="00567E3C"/>
    <w:rsid w:val="00567E7A"/>
    <w:rsid w:val="005705FF"/>
    <w:rsid w:val="005708C2"/>
    <w:rsid w:val="005709C2"/>
    <w:rsid w:val="00570BC3"/>
    <w:rsid w:val="00570E13"/>
    <w:rsid w:val="00570E30"/>
    <w:rsid w:val="005718D3"/>
    <w:rsid w:val="0057196B"/>
    <w:rsid w:val="00571D13"/>
    <w:rsid w:val="00571E93"/>
    <w:rsid w:val="005721AF"/>
    <w:rsid w:val="00572393"/>
    <w:rsid w:val="00572A5E"/>
    <w:rsid w:val="00572DAD"/>
    <w:rsid w:val="00572E8A"/>
    <w:rsid w:val="0057307B"/>
    <w:rsid w:val="00573215"/>
    <w:rsid w:val="0057383A"/>
    <w:rsid w:val="0057405E"/>
    <w:rsid w:val="00574CD1"/>
    <w:rsid w:val="00575409"/>
    <w:rsid w:val="005762B3"/>
    <w:rsid w:val="00576613"/>
    <w:rsid w:val="005770AE"/>
    <w:rsid w:val="00577C68"/>
    <w:rsid w:val="00577EEB"/>
    <w:rsid w:val="0058010B"/>
    <w:rsid w:val="00580757"/>
    <w:rsid w:val="005808C5"/>
    <w:rsid w:val="00580A62"/>
    <w:rsid w:val="00581146"/>
    <w:rsid w:val="005811A3"/>
    <w:rsid w:val="0058123E"/>
    <w:rsid w:val="0058137F"/>
    <w:rsid w:val="00581B0F"/>
    <w:rsid w:val="00582401"/>
    <w:rsid w:val="00582AE7"/>
    <w:rsid w:val="00582F15"/>
    <w:rsid w:val="00583020"/>
    <w:rsid w:val="00583E18"/>
    <w:rsid w:val="0058425F"/>
    <w:rsid w:val="00585ACB"/>
    <w:rsid w:val="00585D37"/>
    <w:rsid w:val="00586A57"/>
    <w:rsid w:val="00587181"/>
    <w:rsid w:val="005873F2"/>
    <w:rsid w:val="00587C83"/>
    <w:rsid w:val="00587D38"/>
    <w:rsid w:val="00590250"/>
    <w:rsid w:val="00590439"/>
    <w:rsid w:val="005904C2"/>
    <w:rsid w:val="00590E83"/>
    <w:rsid w:val="005914EE"/>
    <w:rsid w:val="00591800"/>
    <w:rsid w:val="00592367"/>
    <w:rsid w:val="005935C6"/>
    <w:rsid w:val="00593F84"/>
    <w:rsid w:val="005940F6"/>
    <w:rsid w:val="00594D1B"/>
    <w:rsid w:val="00594E1A"/>
    <w:rsid w:val="00595062"/>
    <w:rsid w:val="00596C3C"/>
    <w:rsid w:val="005975C4"/>
    <w:rsid w:val="00597C1E"/>
    <w:rsid w:val="005A0002"/>
    <w:rsid w:val="005A010D"/>
    <w:rsid w:val="005A049B"/>
    <w:rsid w:val="005A0642"/>
    <w:rsid w:val="005A14E0"/>
    <w:rsid w:val="005A2AFA"/>
    <w:rsid w:val="005A46A6"/>
    <w:rsid w:val="005A4F13"/>
    <w:rsid w:val="005A5172"/>
    <w:rsid w:val="005A52E9"/>
    <w:rsid w:val="005A5424"/>
    <w:rsid w:val="005A5B99"/>
    <w:rsid w:val="005A5F90"/>
    <w:rsid w:val="005A68D1"/>
    <w:rsid w:val="005A6CA4"/>
    <w:rsid w:val="005A6D6B"/>
    <w:rsid w:val="005A6EF4"/>
    <w:rsid w:val="005A702E"/>
    <w:rsid w:val="005A77B9"/>
    <w:rsid w:val="005A79D4"/>
    <w:rsid w:val="005B01AD"/>
    <w:rsid w:val="005B03A4"/>
    <w:rsid w:val="005B0929"/>
    <w:rsid w:val="005B0AB1"/>
    <w:rsid w:val="005B0C11"/>
    <w:rsid w:val="005B14C8"/>
    <w:rsid w:val="005B1ABF"/>
    <w:rsid w:val="005B2371"/>
    <w:rsid w:val="005B2A6A"/>
    <w:rsid w:val="005B3673"/>
    <w:rsid w:val="005B4628"/>
    <w:rsid w:val="005B4D4A"/>
    <w:rsid w:val="005B6146"/>
    <w:rsid w:val="005B627B"/>
    <w:rsid w:val="005B695C"/>
    <w:rsid w:val="005B7134"/>
    <w:rsid w:val="005B75CD"/>
    <w:rsid w:val="005B7E37"/>
    <w:rsid w:val="005C0059"/>
    <w:rsid w:val="005C1AAE"/>
    <w:rsid w:val="005C1D2B"/>
    <w:rsid w:val="005C21BA"/>
    <w:rsid w:val="005C2276"/>
    <w:rsid w:val="005C26C2"/>
    <w:rsid w:val="005C2858"/>
    <w:rsid w:val="005C3828"/>
    <w:rsid w:val="005C3ACF"/>
    <w:rsid w:val="005C3EB5"/>
    <w:rsid w:val="005C4970"/>
    <w:rsid w:val="005C5281"/>
    <w:rsid w:val="005C529F"/>
    <w:rsid w:val="005C5D8E"/>
    <w:rsid w:val="005C6021"/>
    <w:rsid w:val="005C6279"/>
    <w:rsid w:val="005C68F6"/>
    <w:rsid w:val="005C748F"/>
    <w:rsid w:val="005C7620"/>
    <w:rsid w:val="005D080F"/>
    <w:rsid w:val="005D0F2B"/>
    <w:rsid w:val="005D138B"/>
    <w:rsid w:val="005D154A"/>
    <w:rsid w:val="005D1944"/>
    <w:rsid w:val="005D19A2"/>
    <w:rsid w:val="005D1DAF"/>
    <w:rsid w:val="005D219A"/>
    <w:rsid w:val="005D2716"/>
    <w:rsid w:val="005D29D3"/>
    <w:rsid w:val="005D3169"/>
    <w:rsid w:val="005D3189"/>
    <w:rsid w:val="005D35F2"/>
    <w:rsid w:val="005D3BFA"/>
    <w:rsid w:val="005D40F3"/>
    <w:rsid w:val="005D44DF"/>
    <w:rsid w:val="005D4521"/>
    <w:rsid w:val="005D4E5F"/>
    <w:rsid w:val="005D585D"/>
    <w:rsid w:val="005D6281"/>
    <w:rsid w:val="005D6631"/>
    <w:rsid w:val="005D687C"/>
    <w:rsid w:val="005D6A6E"/>
    <w:rsid w:val="005D6BD0"/>
    <w:rsid w:val="005D6CAD"/>
    <w:rsid w:val="005D743A"/>
    <w:rsid w:val="005D7A5C"/>
    <w:rsid w:val="005E1606"/>
    <w:rsid w:val="005E1FB4"/>
    <w:rsid w:val="005E3739"/>
    <w:rsid w:val="005E4B35"/>
    <w:rsid w:val="005E4CE2"/>
    <w:rsid w:val="005E4DD0"/>
    <w:rsid w:val="005E5078"/>
    <w:rsid w:val="005E5673"/>
    <w:rsid w:val="005E577D"/>
    <w:rsid w:val="005E586C"/>
    <w:rsid w:val="005E661E"/>
    <w:rsid w:val="005E6DD1"/>
    <w:rsid w:val="005E7BF4"/>
    <w:rsid w:val="005E7FB6"/>
    <w:rsid w:val="005F0246"/>
    <w:rsid w:val="005F07A8"/>
    <w:rsid w:val="005F143E"/>
    <w:rsid w:val="005F1E2E"/>
    <w:rsid w:val="005F2388"/>
    <w:rsid w:val="005F3F4C"/>
    <w:rsid w:val="005F4097"/>
    <w:rsid w:val="005F4556"/>
    <w:rsid w:val="005F4AC8"/>
    <w:rsid w:val="005F4EB9"/>
    <w:rsid w:val="005F59CF"/>
    <w:rsid w:val="005F667F"/>
    <w:rsid w:val="005F66F7"/>
    <w:rsid w:val="005F74EF"/>
    <w:rsid w:val="005F7960"/>
    <w:rsid w:val="00600C92"/>
    <w:rsid w:val="00600D17"/>
    <w:rsid w:val="006010DA"/>
    <w:rsid w:val="006018A9"/>
    <w:rsid w:val="00601A08"/>
    <w:rsid w:val="00602800"/>
    <w:rsid w:val="00602EF7"/>
    <w:rsid w:val="00603386"/>
    <w:rsid w:val="00603F57"/>
    <w:rsid w:val="00603F5F"/>
    <w:rsid w:val="00603F90"/>
    <w:rsid w:val="0060437B"/>
    <w:rsid w:val="006050C3"/>
    <w:rsid w:val="00605120"/>
    <w:rsid w:val="00605700"/>
    <w:rsid w:val="00605BCD"/>
    <w:rsid w:val="00606375"/>
    <w:rsid w:val="00606388"/>
    <w:rsid w:val="00607000"/>
    <w:rsid w:val="00610379"/>
    <w:rsid w:val="00610711"/>
    <w:rsid w:val="00611525"/>
    <w:rsid w:val="00611F3D"/>
    <w:rsid w:val="00612711"/>
    <w:rsid w:val="00612EA4"/>
    <w:rsid w:val="00613228"/>
    <w:rsid w:val="00613588"/>
    <w:rsid w:val="0061379E"/>
    <w:rsid w:val="00613DF9"/>
    <w:rsid w:val="00614291"/>
    <w:rsid w:val="006143D8"/>
    <w:rsid w:val="00614E7A"/>
    <w:rsid w:val="00614F2E"/>
    <w:rsid w:val="0061526A"/>
    <w:rsid w:val="006157C9"/>
    <w:rsid w:val="00615895"/>
    <w:rsid w:val="006158B8"/>
    <w:rsid w:val="00615D7F"/>
    <w:rsid w:val="00616317"/>
    <w:rsid w:val="0061690E"/>
    <w:rsid w:val="0061691A"/>
    <w:rsid w:val="006200A7"/>
    <w:rsid w:val="006201A3"/>
    <w:rsid w:val="00620984"/>
    <w:rsid w:val="00620A88"/>
    <w:rsid w:val="006216B8"/>
    <w:rsid w:val="006217E3"/>
    <w:rsid w:val="00622573"/>
    <w:rsid w:val="00623726"/>
    <w:rsid w:val="0062472E"/>
    <w:rsid w:val="00624A48"/>
    <w:rsid w:val="00625117"/>
    <w:rsid w:val="00625308"/>
    <w:rsid w:val="006257F4"/>
    <w:rsid w:val="00627161"/>
    <w:rsid w:val="0062773E"/>
    <w:rsid w:val="006304D0"/>
    <w:rsid w:val="00630561"/>
    <w:rsid w:val="00630982"/>
    <w:rsid w:val="00630B90"/>
    <w:rsid w:val="006319E7"/>
    <w:rsid w:val="00631D22"/>
    <w:rsid w:val="00631E97"/>
    <w:rsid w:val="0063216C"/>
    <w:rsid w:val="00633AB3"/>
    <w:rsid w:val="00633E5F"/>
    <w:rsid w:val="00633EEB"/>
    <w:rsid w:val="0063458D"/>
    <w:rsid w:val="00634800"/>
    <w:rsid w:val="0063489E"/>
    <w:rsid w:val="00634A42"/>
    <w:rsid w:val="00635314"/>
    <w:rsid w:val="00635A9B"/>
    <w:rsid w:val="006361B3"/>
    <w:rsid w:val="00636EEA"/>
    <w:rsid w:val="00640AF2"/>
    <w:rsid w:val="00640BDF"/>
    <w:rsid w:val="00640E8A"/>
    <w:rsid w:val="006416FC"/>
    <w:rsid w:val="00641B48"/>
    <w:rsid w:val="006425CE"/>
    <w:rsid w:val="006430A0"/>
    <w:rsid w:val="0064313C"/>
    <w:rsid w:val="006437E7"/>
    <w:rsid w:val="00643B88"/>
    <w:rsid w:val="006441C4"/>
    <w:rsid w:val="0064439D"/>
    <w:rsid w:val="0064448A"/>
    <w:rsid w:val="00644867"/>
    <w:rsid w:val="00644A87"/>
    <w:rsid w:val="00644D8F"/>
    <w:rsid w:val="00644F23"/>
    <w:rsid w:val="00645321"/>
    <w:rsid w:val="006457FE"/>
    <w:rsid w:val="00645B03"/>
    <w:rsid w:val="00645CC6"/>
    <w:rsid w:val="00647066"/>
    <w:rsid w:val="006517BB"/>
    <w:rsid w:val="0065190B"/>
    <w:rsid w:val="00651C46"/>
    <w:rsid w:val="006524E4"/>
    <w:rsid w:val="006525AE"/>
    <w:rsid w:val="00652614"/>
    <w:rsid w:val="0065263C"/>
    <w:rsid w:val="00652D96"/>
    <w:rsid w:val="006531C3"/>
    <w:rsid w:val="006533E0"/>
    <w:rsid w:val="00655842"/>
    <w:rsid w:val="00656932"/>
    <w:rsid w:val="00656C8D"/>
    <w:rsid w:val="00657664"/>
    <w:rsid w:val="0066080E"/>
    <w:rsid w:val="00660D3D"/>
    <w:rsid w:val="00661687"/>
    <w:rsid w:val="0066181D"/>
    <w:rsid w:val="00661C4F"/>
    <w:rsid w:val="00662813"/>
    <w:rsid w:val="00662821"/>
    <w:rsid w:val="00663CB5"/>
    <w:rsid w:val="00664D92"/>
    <w:rsid w:val="00664FAD"/>
    <w:rsid w:val="00665D98"/>
    <w:rsid w:val="00665D9D"/>
    <w:rsid w:val="0066642B"/>
    <w:rsid w:val="00666F14"/>
    <w:rsid w:val="0066733D"/>
    <w:rsid w:val="0066764B"/>
    <w:rsid w:val="006678A7"/>
    <w:rsid w:val="00667ADC"/>
    <w:rsid w:val="00667E65"/>
    <w:rsid w:val="006713A2"/>
    <w:rsid w:val="0067164A"/>
    <w:rsid w:val="00671827"/>
    <w:rsid w:val="006735FC"/>
    <w:rsid w:val="00673662"/>
    <w:rsid w:val="006737DB"/>
    <w:rsid w:val="00673CC9"/>
    <w:rsid w:val="006749F0"/>
    <w:rsid w:val="00674FC4"/>
    <w:rsid w:val="00675B12"/>
    <w:rsid w:val="00675DD1"/>
    <w:rsid w:val="00676486"/>
    <w:rsid w:val="00676F67"/>
    <w:rsid w:val="00677279"/>
    <w:rsid w:val="00677BF5"/>
    <w:rsid w:val="00680058"/>
    <w:rsid w:val="00680598"/>
    <w:rsid w:val="00680B87"/>
    <w:rsid w:val="00680ED4"/>
    <w:rsid w:val="0068280A"/>
    <w:rsid w:val="00682CE0"/>
    <w:rsid w:val="0068383D"/>
    <w:rsid w:val="00683FC8"/>
    <w:rsid w:val="006847C6"/>
    <w:rsid w:val="00684C33"/>
    <w:rsid w:val="006851F6"/>
    <w:rsid w:val="00685A8E"/>
    <w:rsid w:val="00686322"/>
    <w:rsid w:val="00686602"/>
    <w:rsid w:val="00687168"/>
    <w:rsid w:val="006871FA"/>
    <w:rsid w:val="0068740B"/>
    <w:rsid w:val="00687484"/>
    <w:rsid w:val="00687B81"/>
    <w:rsid w:val="0069060A"/>
    <w:rsid w:val="00690A45"/>
    <w:rsid w:val="006912B8"/>
    <w:rsid w:val="006912FF"/>
    <w:rsid w:val="006914C5"/>
    <w:rsid w:val="00691E03"/>
    <w:rsid w:val="0069278B"/>
    <w:rsid w:val="006940FA"/>
    <w:rsid w:val="00694A3D"/>
    <w:rsid w:val="00694EC5"/>
    <w:rsid w:val="00694F91"/>
    <w:rsid w:val="00694FD2"/>
    <w:rsid w:val="00696AFF"/>
    <w:rsid w:val="00697086"/>
    <w:rsid w:val="006973A4"/>
    <w:rsid w:val="00697473"/>
    <w:rsid w:val="00697672"/>
    <w:rsid w:val="00697D89"/>
    <w:rsid w:val="006A09DE"/>
    <w:rsid w:val="006A0A40"/>
    <w:rsid w:val="006A0C1A"/>
    <w:rsid w:val="006A0D74"/>
    <w:rsid w:val="006A1B04"/>
    <w:rsid w:val="006A2283"/>
    <w:rsid w:val="006A2BA1"/>
    <w:rsid w:val="006A41EF"/>
    <w:rsid w:val="006A46A5"/>
    <w:rsid w:val="006A5415"/>
    <w:rsid w:val="006A5737"/>
    <w:rsid w:val="006A596F"/>
    <w:rsid w:val="006A5AE7"/>
    <w:rsid w:val="006A5D52"/>
    <w:rsid w:val="006A6318"/>
    <w:rsid w:val="006A709D"/>
    <w:rsid w:val="006A71EF"/>
    <w:rsid w:val="006A78AB"/>
    <w:rsid w:val="006A7ABC"/>
    <w:rsid w:val="006A7C3C"/>
    <w:rsid w:val="006A7D49"/>
    <w:rsid w:val="006B009E"/>
    <w:rsid w:val="006B1227"/>
    <w:rsid w:val="006B18A8"/>
    <w:rsid w:val="006B233D"/>
    <w:rsid w:val="006B2349"/>
    <w:rsid w:val="006B23A6"/>
    <w:rsid w:val="006B2C7B"/>
    <w:rsid w:val="006B3520"/>
    <w:rsid w:val="006B3A94"/>
    <w:rsid w:val="006B3B48"/>
    <w:rsid w:val="006B4757"/>
    <w:rsid w:val="006B498E"/>
    <w:rsid w:val="006B5AE3"/>
    <w:rsid w:val="006B5DA1"/>
    <w:rsid w:val="006B7E95"/>
    <w:rsid w:val="006C057A"/>
    <w:rsid w:val="006C28E7"/>
    <w:rsid w:val="006C2F1D"/>
    <w:rsid w:val="006C2FC4"/>
    <w:rsid w:val="006C3E33"/>
    <w:rsid w:val="006C4C76"/>
    <w:rsid w:val="006C4D78"/>
    <w:rsid w:val="006C52C5"/>
    <w:rsid w:val="006C5ABD"/>
    <w:rsid w:val="006C5C24"/>
    <w:rsid w:val="006C6157"/>
    <w:rsid w:val="006C63A8"/>
    <w:rsid w:val="006C6CA6"/>
    <w:rsid w:val="006C72CF"/>
    <w:rsid w:val="006C7356"/>
    <w:rsid w:val="006D0253"/>
    <w:rsid w:val="006D05D5"/>
    <w:rsid w:val="006D07F6"/>
    <w:rsid w:val="006D0D07"/>
    <w:rsid w:val="006D0E50"/>
    <w:rsid w:val="006D1086"/>
    <w:rsid w:val="006D1651"/>
    <w:rsid w:val="006D1CDC"/>
    <w:rsid w:val="006D1E1D"/>
    <w:rsid w:val="006D463B"/>
    <w:rsid w:val="006D563B"/>
    <w:rsid w:val="006D5ADA"/>
    <w:rsid w:val="006D5AEE"/>
    <w:rsid w:val="006D6908"/>
    <w:rsid w:val="006D7080"/>
    <w:rsid w:val="006D7144"/>
    <w:rsid w:val="006D7563"/>
    <w:rsid w:val="006E084B"/>
    <w:rsid w:val="006E1D05"/>
    <w:rsid w:val="006E1DB7"/>
    <w:rsid w:val="006E2482"/>
    <w:rsid w:val="006E3DD5"/>
    <w:rsid w:val="006E3E2C"/>
    <w:rsid w:val="006E40F8"/>
    <w:rsid w:val="006E5474"/>
    <w:rsid w:val="006E5933"/>
    <w:rsid w:val="006E635F"/>
    <w:rsid w:val="006E6402"/>
    <w:rsid w:val="006E69BF"/>
    <w:rsid w:val="006E78C0"/>
    <w:rsid w:val="006F0C20"/>
    <w:rsid w:val="006F0C8C"/>
    <w:rsid w:val="006F1524"/>
    <w:rsid w:val="006F21F9"/>
    <w:rsid w:val="006F2E2A"/>
    <w:rsid w:val="006F3777"/>
    <w:rsid w:val="006F46F9"/>
    <w:rsid w:val="006F4AEF"/>
    <w:rsid w:val="006F4BAB"/>
    <w:rsid w:val="006F4DC9"/>
    <w:rsid w:val="006F4F46"/>
    <w:rsid w:val="006F502C"/>
    <w:rsid w:val="006F5124"/>
    <w:rsid w:val="006F5B14"/>
    <w:rsid w:val="006F5D3A"/>
    <w:rsid w:val="006F5DC0"/>
    <w:rsid w:val="006F5FB4"/>
    <w:rsid w:val="006F66BF"/>
    <w:rsid w:val="006F6850"/>
    <w:rsid w:val="006F705E"/>
    <w:rsid w:val="007004AC"/>
    <w:rsid w:val="007006F5"/>
    <w:rsid w:val="00700A41"/>
    <w:rsid w:val="00700FA5"/>
    <w:rsid w:val="0070172E"/>
    <w:rsid w:val="00701A19"/>
    <w:rsid w:val="00701A7D"/>
    <w:rsid w:val="00701EB4"/>
    <w:rsid w:val="00702083"/>
    <w:rsid w:val="0070280B"/>
    <w:rsid w:val="00702823"/>
    <w:rsid w:val="00702B5F"/>
    <w:rsid w:val="00702F8C"/>
    <w:rsid w:val="0070350F"/>
    <w:rsid w:val="007035C7"/>
    <w:rsid w:val="0070388F"/>
    <w:rsid w:val="00703BE9"/>
    <w:rsid w:val="00703D7B"/>
    <w:rsid w:val="007041E4"/>
    <w:rsid w:val="00704357"/>
    <w:rsid w:val="00704EA8"/>
    <w:rsid w:val="00704F6B"/>
    <w:rsid w:val="00705178"/>
    <w:rsid w:val="007052F2"/>
    <w:rsid w:val="007059A0"/>
    <w:rsid w:val="00706156"/>
    <w:rsid w:val="0070665A"/>
    <w:rsid w:val="00706D88"/>
    <w:rsid w:val="00707960"/>
    <w:rsid w:val="0071038F"/>
    <w:rsid w:val="0071044B"/>
    <w:rsid w:val="007106FD"/>
    <w:rsid w:val="00711130"/>
    <w:rsid w:val="0071152D"/>
    <w:rsid w:val="00711B28"/>
    <w:rsid w:val="00711DA5"/>
    <w:rsid w:val="00711EF3"/>
    <w:rsid w:val="00712184"/>
    <w:rsid w:val="00713D4E"/>
    <w:rsid w:val="00714587"/>
    <w:rsid w:val="0071458C"/>
    <w:rsid w:val="007152D1"/>
    <w:rsid w:val="007155C0"/>
    <w:rsid w:val="00715706"/>
    <w:rsid w:val="0071654C"/>
    <w:rsid w:val="00716A7C"/>
    <w:rsid w:val="00716ECF"/>
    <w:rsid w:val="0071736B"/>
    <w:rsid w:val="007173B0"/>
    <w:rsid w:val="00717681"/>
    <w:rsid w:val="00717AB6"/>
    <w:rsid w:val="00717E29"/>
    <w:rsid w:val="00720409"/>
    <w:rsid w:val="007204D3"/>
    <w:rsid w:val="007208E0"/>
    <w:rsid w:val="00721746"/>
    <w:rsid w:val="00721E27"/>
    <w:rsid w:val="0072223E"/>
    <w:rsid w:val="00722444"/>
    <w:rsid w:val="0072281F"/>
    <w:rsid w:val="0072317F"/>
    <w:rsid w:val="007231F0"/>
    <w:rsid w:val="00723575"/>
    <w:rsid w:val="00723F7F"/>
    <w:rsid w:val="00724D15"/>
    <w:rsid w:val="007253FC"/>
    <w:rsid w:val="0072555C"/>
    <w:rsid w:val="0072561F"/>
    <w:rsid w:val="00725C6B"/>
    <w:rsid w:val="00725EBC"/>
    <w:rsid w:val="0072670E"/>
    <w:rsid w:val="00726E43"/>
    <w:rsid w:val="00726F95"/>
    <w:rsid w:val="00727659"/>
    <w:rsid w:val="007276C3"/>
    <w:rsid w:val="007279D2"/>
    <w:rsid w:val="00727BE9"/>
    <w:rsid w:val="00730A39"/>
    <w:rsid w:val="007315B1"/>
    <w:rsid w:val="0073188E"/>
    <w:rsid w:val="00731D0D"/>
    <w:rsid w:val="007329D2"/>
    <w:rsid w:val="007336E5"/>
    <w:rsid w:val="007338A0"/>
    <w:rsid w:val="00734205"/>
    <w:rsid w:val="0073442F"/>
    <w:rsid w:val="00735322"/>
    <w:rsid w:val="007368B9"/>
    <w:rsid w:val="00736A2A"/>
    <w:rsid w:val="0073750B"/>
    <w:rsid w:val="007375A8"/>
    <w:rsid w:val="00737615"/>
    <w:rsid w:val="00740716"/>
    <w:rsid w:val="00740942"/>
    <w:rsid w:val="00740DBD"/>
    <w:rsid w:val="00740FD3"/>
    <w:rsid w:val="007410DA"/>
    <w:rsid w:val="00741161"/>
    <w:rsid w:val="00742BFB"/>
    <w:rsid w:val="007435B5"/>
    <w:rsid w:val="00743B5D"/>
    <w:rsid w:val="00743B6C"/>
    <w:rsid w:val="00743BDB"/>
    <w:rsid w:val="0074637E"/>
    <w:rsid w:val="007464C1"/>
    <w:rsid w:val="007467C7"/>
    <w:rsid w:val="00746FB8"/>
    <w:rsid w:val="00747051"/>
    <w:rsid w:val="00747332"/>
    <w:rsid w:val="007500D6"/>
    <w:rsid w:val="007514D8"/>
    <w:rsid w:val="00752C58"/>
    <w:rsid w:val="00752DA4"/>
    <w:rsid w:val="00753048"/>
    <w:rsid w:val="00753311"/>
    <w:rsid w:val="007537D0"/>
    <w:rsid w:val="00753BE1"/>
    <w:rsid w:val="00755B8E"/>
    <w:rsid w:val="00755E55"/>
    <w:rsid w:val="00756531"/>
    <w:rsid w:val="00756B74"/>
    <w:rsid w:val="00756C0B"/>
    <w:rsid w:val="00757BF0"/>
    <w:rsid w:val="00760398"/>
    <w:rsid w:val="0076063D"/>
    <w:rsid w:val="007607DE"/>
    <w:rsid w:val="00760A47"/>
    <w:rsid w:val="00760D50"/>
    <w:rsid w:val="0076179E"/>
    <w:rsid w:val="00761D71"/>
    <w:rsid w:val="00761ED7"/>
    <w:rsid w:val="007630AF"/>
    <w:rsid w:val="00763629"/>
    <w:rsid w:val="007639F8"/>
    <w:rsid w:val="00763E8A"/>
    <w:rsid w:val="00764E9B"/>
    <w:rsid w:val="0076517A"/>
    <w:rsid w:val="00765AF7"/>
    <w:rsid w:val="00765D08"/>
    <w:rsid w:val="007661E4"/>
    <w:rsid w:val="007669D2"/>
    <w:rsid w:val="00766AB9"/>
    <w:rsid w:val="00766EBB"/>
    <w:rsid w:val="00766F63"/>
    <w:rsid w:val="0077000F"/>
    <w:rsid w:val="0077094B"/>
    <w:rsid w:val="00770FA8"/>
    <w:rsid w:val="007721BB"/>
    <w:rsid w:val="007741C7"/>
    <w:rsid w:val="00774221"/>
    <w:rsid w:val="0077423A"/>
    <w:rsid w:val="0077471E"/>
    <w:rsid w:val="00774F5B"/>
    <w:rsid w:val="00774FD8"/>
    <w:rsid w:val="007750C7"/>
    <w:rsid w:val="007757F3"/>
    <w:rsid w:val="007759D3"/>
    <w:rsid w:val="00775B97"/>
    <w:rsid w:val="00775C38"/>
    <w:rsid w:val="00775E1A"/>
    <w:rsid w:val="0077637F"/>
    <w:rsid w:val="007763B5"/>
    <w:rsid w:val="007763F6"/>
    <w:rsid w:val="00776522"/>
    <w:rsid w:val="0077780A"/>
    <w:rsid w:val="0077795F"/>
    <w:rsid w:val="00777D36"/>
    <w:rsid w:val="007815C7"/>
    <w:rsid w:val="00782095"/>
    <w:rsid w:val="007824CF"/>
    <w:rsid w:val="0078279F"/>
    <w:rsid w:val="00782C8B"/>
    <w:rsid w:val="00783607"/>
    <w:rsid w:val="007838DF"/>
    <w:rsid w:val="00783BA7"/>
    <w:rsid w:val="00783C0D"/>
    <w:rsid w:val="00783C8E"/>
    <w:rsid w:val="007843F1"/>
    <w:rsid w:val="00784431"/>
    <w:rsid w:val="00784784"/>
    <w:rsid w:val="007847CE"/>
    <w:rsid w:val="00784BE6"/>
    <w:rsid w:val="00784E92"/>
    <w:rsid w:val="00784EFC"/>
    <w:rsid w:val="007850F1"/>
    <w:rsid w:val="0078604A"/>
    <w:rsid w:val="00786198"/>
    <w:rsid w:val="00787D15"/>
    <w:rsid w:val="0079102C"/>
    <w:rsid w:val="007912B2"/>
    <w:rsid w:val="00791536"/>
    <w:rsid w:val="007921B3"/>
    <w:rsid w:val="007923C6"/>
    <w:rsid w:val="0079253B"/>
    <w:rsid w:val="0079299D"/>
    <w:rsid w:val="00792CC4"/>
    <w:rsid w:val="0079397B"/>
    <w:rsid w:val="00793E3B"/>
    <w:rsid w:val="00793EFF"/>
    <w:rsid w:val="00794F79"/>
    <w:rsid w:val="00795130"/>
    <w:rsid w:val="00795C54"/>
    <w:rsid w:val="00796116"/>
    <w:rsid w:val="0079719D"/>
    <w:rsid w:val="00797E70"/>
    <w:rsid w:val="007A00C3"/>
    <w:rsid w:val="007A08CA"/>
    <w:rsid w:val="007A151E"/>
    <w:rsid w:val="007A229F"/>
    <w:rsid w:val="007A3767"/>
    <w:rsid w:val="007A3AAD"/>
    <w:rsid w:val="007A4046"/>
    <w:rsid w:val="007A4079"/>
    <w:rsid w:val="007A583C"/>
    <w:rsid w:val="007A5968"/>
    <w:rsid w:val="007A59CF"/>
    <w:rsid w:val="007A5A3E"/>
    <w:rsid w:val="007A5F9F"/>
    <w:rsid w:val="007A61AF"/>
    <w:rsid w:val="007A6F9D"/>
    <w:rsid w:val="007A7240"/>
    <w:rsid w:val="007A7686"/>
    <w:rsid w:val="007A76A7"/>
    <w:rsid w:val="007A7763"/>
    <w:rsid w:val="007A7B58"/>
    <w:rsid w:val="007A7D25"/>
    <w:rsid w:val="007A7F77"/>
    <w:rsid w:val="007B0069"/>
    <w:rsid w:val="007B0359"/>
    <w:rsid w:val="007B0604"/>
    <w:rsid w:val="007B0C58"/>
    <w:rsid w:val="007B1193"/>
    <w:rsid w:val="007B11F2"/>
    <w:rsid w:val="007B1C0A"/>
    <w:rsid w:val="007B2BB6"/>
    <w:rsid w:val="007B2EDD"/>
    <w:rsid w:val="007B3311"/>
    <w:rsid w:val="007B3975"/>
    <w:rsid w:val="007B39B2"/>
    <w:rsid w:val="007B39D6"/>
    <w:rsid w:val="007B3AC1"/>
    <w:rsid w:val="007B3D2C"/>
    <w:rsid w:val="007B479E"/>
    <w:rsid w:val="007B499C"/>
    <w:rsid w:val="007B5DBD"/>
    <w:rsid w:val="007B6416"/>
    <w:rsid w:val="007B7A08"/>
    <w:rsid w:val="007C05F0"/>
    <w:rsid w:val="007C09C6"/>
    <w:rsid w:val="007C0D6B"/>
    <w:rsid w:val="007C17E5"/>
    <w:rsid w:val="007C1883"/>
    <w:rsid w:val="007C1DB8"/>
    <w:rsid w:val="007C337A"/>
    <w:rsid w:val="007C3F03"/>
    <w:rsid w:val="007C425E"/>
    <w:rsid w:val="007C4924"/>
    <w:rsid w:val="007C4A16"/>
    <w:rsid w:val="007C60F9"/>
    <w:rsid w:val="007C683F"/>
    <w:rsid w:val="007C720D"/>
    <w:rsid w:val="007C7802"/>
    <w:rsid w:val="007C7B73"/>
    <w:rsid w:val="007D060D"/>
    <w:rsid w:val="007D07B0"/>
    <w:rsid w:val="007D08A5"/>
    <w:rsid w:val="007D0C49"/>
    <w:rsid w:val="007D0E28"/>
    <w:rsid w:val="007D1401"/>
    <w:rsid w:val="007D16A8"/>
    <w:rsid w:val="007D1CB6"/>
    <w:rsid w:val="007D2341"/>
    <w:rsid w:val="007D2AC3"/>
    <w:rsid w:val="007D333B"/>
    <w:rsid w:val="007D3346"/>
    <w:rsid w:val="007D3448"/>
    <w:rsid w:val="007D38D4"/>
    <w:rsid w:val="007D3938"/>
    <w:rsid w:val="007D4472"/>
    <w:rsid w:val="007D47E0"/>
    <w:rsid w:val="007D4FBD"/>
    <w:rsid w:val="007D5297"/>
    <w:rsid w:val="007D59CA"/>
    <w:rsid w:val="007D5BC9"/>
    <w:rsid w:val="007D5CC5"/>
    <w:rsid w:val="007D65A2"/>
    <w:rsid w:val="007D6A24"/>
    <w:rsid w:val="007D6E52"/>
    <w:rsid w:val="007D6F4B"/>
    <w:rsid w:val="007D7D96"/>
    <w:rsid w:val="007E09B6"/>
    <w:rsid w:val="007E0A9C"/>
    <w:rsid w:val="007E1715"/>
    <w:rsid w:val="007E1810"/>
    <w:rsid w:val="007E2320"/>
    <w:rsid w:val="007E2D2C"/>
    <w:rsid w:val="007E321F"/>
    <w:rsid w:val="007E33AE"/>
    <w:rsid w:val="007E3442"/>
    <w:rsid w:val="007E4329"/>
    <w:rsid w:val="007E4921"/>
    <w:rsid w:val="007E4D90"/>
    <w:rsid w:val="007E4F20"/>
    <w:rsid w:val="007E51E6"/>
    <w:rsid w:val="007E588A"/>
    <w:rsid w:val="007E600E"/>
    <w:rsid w:val="007E616B"/>
    <w:rsid w:val="007E6545"/>
    <w:rsid w:val="007E68E5"/>
    <w:rsid w:val="007E79FA"/>
    <w:rsid w:val="007F08F8"/>
    <w:rsid w:val="007F132B"/>
    <w:rsid w:val="007F25D3"/>
    <w:rsid w:val="007F2E73"/>
    <w:rsid w:val="007F2F5D"/>
    <w:rsid w:val="007F344D"/>
    <w:rsid w:val="007F38EC"/>
    <w:rsid w:val="007F47ED"/>
    <w:rsid w:val="007F5D14"/>
    <w:rsid w:val="007F682A"/>
    <w:rsid w:val="007F70A3"/>
    <w:rsid w:val="007F7384"/>
    <w:rsid w:val="007F7854"/>
    <w:rsid w:val="007F7CD4"/>
    <w:rsid w:val="0080001A"/>
    <w:rsid w:val="008002EA"/>
    <w:rsid w:val="0080066D"/>
    <w:rsid w:val="008009D8"/>
    <w:rsid w:val="00801307"/>
    <w:rsid w:val="0080194A"/>
    <w:rsid w:val="00801AD5"/>
    <w:rsid w:val="00801C3E"/>
    <w:rsid w:val="0080205A"/>
    <w:rsid w:val="00802443"/>
    <w:rsid w:val="008024A6"/>
    <w:rsid w:val="0080261C"/>
    <w:rsid w:val="00802658"/>
    <w:rsid w:val="008038EA"/>
    <w:rsid w:val="00803926"/>
    <w:rsid w:val="00803A36"/>
    <w:rsid w:val="0080489A"/>
    <w:rsid w:val="00804D47"/>
    <w:rsid w:val="00804EB3"/>
    <w:rsid w:val="00804FE9"/>
    <w:rsid w:val="00807C54"/>
    <w:rsid w:val="00810805"/>
    <w:rsid w:val="00810E6C"/>
    <w:rsid w:val="008116EA"/>
    <w:rsid w:val="00811E6B"/>
    <w:rsid w:val="0081295E"/>
    <w:rsid w:val="008134F7"/>
    <w:rsid w:val="0081355B"/>
    <w:rsid w:val="00813827"/>
    <w:rsid w:val="00813BB0"/>
    <w:rsid w:val="0081425B"/>
    <w:rsid w:val="00814624"/>
    <w:rsid w:val="008146D8"/>
    <w:rsid w:val="0081508A"/>
    <w:rsid w:val="008153D7"/>
    <w:rsid w:val="00815416"/>
    <w:rsid w:val="00815D8A"/>
    <w:rsid w:val="00815E6A"/>
    <w:rsid w:val="00816609"/>
    <w:rsid w:val="0081661F"/>
    <w:rsid w:val="00816917"/>
    <w:rsid w:val="00816B0A"/>
    <w:rsid w:val="008172D5"/>
    <w:rsid w:val="008175E1"/>
    <w:rsid w:val="00820447"/>
    <w:rsid w:val="00820B09"/>
    <w:rsid w:val="008213D8"/>
    <w:rsid w:val="0082164F"/>
    <w:rsid w:val="00821E34"/>
    <w:rsid w:val="00821EB4"/>
    <w:rsid w:val="008223ED"/>
    <w:rsid w:val="008224EB"/>
    <w:rsid w:val="008243D1"/>
    <w:rsid w:val="00824675"/>
    <w:rsid w:val="0082528D"/>
    <w:rsid w:val="008272E7"/>
    <w:rsid w:val="00831C69"/>
    <w:rsid w:val="00831C73"/>
    <w:rsid w:val="00831C75"/>
    <w:rsid w:val="00831E12"/>
    <w:rsid w:val="0083389F"/>
    <w:rsid w:val="008338B7"/>
    <w:rsid w:val="00834BCB"/>
    <w:rsid w:val="00834CF7"/>
    <w:rsid w:val="0083524E"/>
    <w:rsid w:val="00835505"/>
    <w:rsid w:val="00835C96"/>
    <w:rsid w:val="00836ABE"/>
    <w:rsid w:val="00837926"/>
    <w:rsid w:val="00837B57"/>
    <w:rsid w:val="008402F5"/>
    <w:rsid w:val="00840D06"/>
    <w:rsid w:val="008424E1"/>
    <w:rsid w:val="008430DC"/>
    <w:rsid w:val="008433C4"/>
    <w:rsid w:val="008437A5"/>
    <w:rsid w:val="00843D71"/>
    <w:rsid w:val="00844B85"/>
    <w:rsid w:val="00844C3F"/>
    <w:rsid w:val="0084542D"/>
    <w:rsid w:val="008454E3"/>
    <w:rsid w:val="008454E9"/>
    <w:rsid w:val="0084583B"/>
    <w:rsid w:val="00846575"/>
    <w:rsid w:val="00846F14"/>
    <w:rsid w:val="008479A2"/>
    <w:rsid w:val="0085026E"/>
    <w:rsid w:val="00850ABF"/>
    <w:rsid w:val="00850C9E"/>
    <w:rsid w:val="00850F9A"/>
    <w:rsid w:val="00851804"/>
    <w:rsid w:val="0085206E"/>
    <w:rsid w:val="00852FFB"/>
    <w:rsid w:val="008534DD"/>
    <w:rsid w:val="0085365C"/>
    <w:rsid w:val="00853899"/>
    <w:rsid w:val="00853A6C"/>
    <w:rsid w:val="0085491E"/>
    <w:rsid w:val="0085523E"/>
    <w:rsid w:val="00855259"/>
    <w:rsid w:val="0085572D"/>
    <w:rsid w:val="0085643B"/>
    <w:rsid w:val="0085691B"/>
    <w:rsid w:val="008573D2"/>
    <w:rsid w:val="00860447"/>
    <w:rsid w:val="0086117D"/>
    <w:rsid w:val="00861290"/>
    <w:rsid w:val="00861B62"/>
    <w:rsid w:val="00861DAF"/>
    <w:rsid w:val="00862071"/>
    <w:rsid w:val="00862642"/>
    <w:rsid w:val="00862BB7"/>
    <w:rsid w:val="00862EC0"/>
    <w:rsid w:val="00863F6F"/>
    <w:rsid w:val="008640B8"/>
    <w:rsid w:val="008640E2"/>
    <w:rsid w:val="008648DA"/>
    <w:rsid w:val="00865326"/>
    <w:rsid w:val="008656CE"/>
    <w:rsid w:val="00865C21"/>
    <w:rsid w:val="00867E22"/>
    <w:rsid w:val="00867FAF"/>
    <w:rsid w:val="008702D3"/>
    <w:rsid w:val="008708C9"/>
    <w:rsid w:val="00870919"/>
    <w:rsid w:val="00870B87"/>
    <w:rsid w:val="00870F3D"/>
    <w:rsid w:val="00871F25"/>
    <w:rsid w:val="00873A30"/>
    <w:rsid w:val="0087443F"/>
    <w:rsid w:val="00874469"/>
    <w:rsid w:val="008745BB"/>
    <w:rsid w:val="008749E8"/>
    <w:rsid w:val="00874D11"/>
    <w:rsid w:val="00874FEC"/>
    <w:rsid w:val="008767C5"/>
    <w:rsid w:val="00876EE8"/>
    <w:rsid w:val="008770E2"/>
    <w:rsid w:val="00877800"/>
    <w:rsid w:val="00877B7A"/>
    <w:rsid w:val="00877F46"/>
    <w:rsid w:val="008816DA"/>
    <w:rsid w:val="00881BB8"/>
    <w:rsid w:val="00881D59"/>
    <w:rsid w:val="0088235F"/>
    <w:rsid w:val="00882B0A"/>
    <w:rsid w:val="00882EAC"/>
    <w:rsid w:val="00882F3F"/>
    <w:rsid w:val="00883339"/>
    <w:rsid w:val="0088361B"/>
    <w:rsid w:val="00883660"/>
    <w:rsid w:val="00883C25"/>
    <w:rsid w:val="008846AE"/>
    <w:rsid w:val="00884931"/>
    <w:rsid w:val="00884B80"/>
    <w:rsid w:val="00884CE3"/>
    <w:rsid w:val="0088541C"/>
    <w:rsid w:val="008854D7"/>
    <w:rsid w:val="00885CB4"/>
    <w:rsid w:val="00886452"/>
    <w:rsid w:val="008868D1"/>
    <w:rsid w:val="00886C0D"/>
    <w:rsid w:val="00886EBD"/>
    <w:rsid w:val="00886F57"/>
    <w:rsid w:val="008871A9"/>
    <w:rsid w:val="00887D59"/>
    <w:rsid w:val="00890242"/>
    <w:rsid w:val="00890F01"/>
    <w:rsid w:val="00892166"/>
    <w:rsid w:val="008922E8"/>
    <w:rsid w:val="008924F1"/>
    <w:rsid w:val="00892FA3"/>
    <w:rsid w:val="00893152"/>
    <w:rsid w:val="00893299"/>
    <w:rsid w:val="00893989"/>
    <w:rsid w:val="00893C30"/>
    <w:rsid w:val="00893E5C"/>
    <w:rsid w:val="00894697"/>
    <w:rsid w:val="008948F8"/>
    <w:rsid w:val="00894D34"/>
    <w:rsid w:val="0089525F"/>
    <w:rsid w:val="0089533C"/>
    <w:rsid w:val="00895791"/>
    <w:rsid w:val="00895E3B"/>
    <w:rsid w:val="00896149"/>
    <w:rsid w:val="008964DE"/>
    <w:rsid w:val="008966C1"/>
    <w:rsid w:val="00896C26"/>
    <w:rsid w:val="00896D59"/>
    <w:rsid w:val="00896D5E"/>
    <w:rsid w:val="0089700B"/>
    <w:rsid w:val="0089702D"/>
    <w:rsid w:val="00897F41"/>
    <w:rsid w:val="008A0F75"/>
    <w:rsid w:val="008A1300"/>
    <w:rsid w:val="008A1604"/>
    <w:rsid w:val="008A1DEB"/>
    <w:rsid w:val="008A1F2D"/>
    <w:rsid w:val="008A249D"/>
    <w:rsid w:val="008A2695"/>
    <w:rsid w:val="008A29AA"/>
    <w:rsid w:val="008A3292"/>
    <w:rsid w:val="008A4C46"/>
    <w:rsid w:val="008A588F"/>
    <w:rsid w:val="008A6798"/>
    <w:rsid w:val="008A696D"/>
    <w:rsid w:val="008A69DF"/>
    <w:rsid w:val="008A6B0D"/>
    <w:rsid w:val="008A6DAE"/>
    <w:rsid w:val="008A7B3C"/>
    <w:rsid w:val="008B00C3"/>
    <w:rsid w:val="008B0101"/>
    <w:rsid w:val="008B03CF"/>
    <w:rsid w:val="008B0DA1"/>
    <w:rsid w:val="008B0FAE"/>
    <w:rsid w:val="008B16FC"/>
    <w:rsid w:val="008B172F"/>
    <w:rsid w:val="008B216A"/>
    <w:rsid w:val="008B22AA"/>
    <w:rsid w:val="008B361A"/>
    <w:rsid w:val="008B3705"/>
    <w:rsid w:val="008B38F9"/>
    <w:rsid w:val="008B4029"/>
    <w:rsid w:val="008B45F1"/>
    <w:rsid w:val="008B5043"/>
    <w:rsid w:val="008B566D"/>
    <w:rsid w:val="008B5E0B"/>
    <w:rsid w:val="008B6670"/>
    <w:rsid w:val="008B7145"/>
    <w:rsid w:val="008C043E"/>
    <w:rsid w:val="008C0E52"/>
    <w:rsid w:val="008C19DA"/>
    <w:rsid w:val="008C1CD5"/>
    <w:rsid w:val="008C2804"/>
    <w:rsid w:val="008C302E"/>
    <w:rsid w:val="008C4658"/>
    <w:rsid w:val="008C4C30"/>
    <w:rsid w:val="008C5461"/>
    <w:rsid w:val="008C5ABA"/>
    <w:rsid w:val="008C5BFD"/>
    <w:rsid w:val="008C6807"/>
    <w:rsid w:val="008C6AEC"/>
    <w:rsid w:val="008C7591"/>
    <w:rsid w:val="008C75B3"/>
    <w:rsid w:val="008D0B02"/>
    <w:rsid w:val="008D1BAD"/>
    <w:rsid w:val="008D1BD9"/>
    <w:rsid w:val="008D246C"/>
    <w:rsid w:val="008D2B63"/>
    <w:rsid w:val="008D2E72"/>
    <w:rsid w:val="008D3400"/>
    <w:rsid w:val="008D362B"/>
    <w:rsid w:val="008D40E4"/>
    <w:rsid w:val="008D4B9B"/>
    <w:rsid w:val="008D4ED9"/>
    <w:rsid w:val="008D515E"/>
    <w:rsid w:val="008D5927"/>
    <w:rsid w:val="008D5BFC"/>
    <w:rsid w:val="008D69AF"/>
    <w:rsid w:val="008D746A"/>
    <w:rsid w:val="008D7954"/>
    <w:rsid w:val="008D7E8F"/>
    <w:rsid w:val="008D7EEB"/>
    <w:rsid w:val="008E05DB"/>
    <w:rsid w:val="008E0B55"/>
    <w:rsid w:val="008E0C4C"/>
    <w:rsid w:val="008E2182"/>
    <w:rsid w:val="008E32CA"/>
    <w:rsid w:val="008E3315"/>
    <w:rsid w:val="008E3AD5"/>
    <w:rsid w:val="008E3B17"/>
    <w:rsid w:val="008E3C18"/>
    <w:rsid w:val="008E537F"/>
    <w:rsid w:val="008E559B"/>
    <w:rsid w:val="008E6664"/>
    <w:rsid w:val="008E71D0"/>
    <w:rsid w:val="008E743B"/>
    <w:rsid w:val="008F0B5C"/>
    <w:rsid w:val="008F0B9D"/>
    <w:rsid w:val="008F0E80"/>
    <w:rsid w:val="008F1074"/>
    <w:rsid w:val="008F18A1"/>
    <w:rsid w:val="008F2CE5"/>
    <w:rsid w:val="008F47F6"/>
    <w:rsid w:val="008F53D1"/>
    <w:rsid w:val="008F5477"/>
    <w:rsid w:val="008F54F6"/>
    <w:rsid w:val="008F5565"/>
    <w:rsid w:val="008F56E2"/>
    <w:rsid w:val="008F5794"/>
    <w:rsid w:val="008F6DAB"/>
    <w:rsid w:val="008F7300"/>
    <w:rsid w:val="008F76A5"/>
    <w:rsid w:val="008F777B"/>
    <w:rsid w:val="008F79F7"/>
    <w:rsid w:val="008F7EA9"/>
    <w:rsid w:val="009001B2"/>
    <w:rsid w:val="00900B2E"/>
    <w:rsid w:val="00900DD0"/>
    <w:rsid w:val="0090149C"/>
    <w:rsid w:val="00901AC9"/>
    <w:rsid w:val="00901DC8"/>
    <w:rsid w:val="00902114"/>
    <w:rsid w:val="009023CC"/>
    <w:rsid w:val="00902FF8"/>
    <w:rsid w:val="00903D49"/>
    <w:rsid w:val="00903EB6"/>
    <w:rsid w:val="00903F0B"/>
    <w:rsid w:val="009052C3"/>
    <w:rsid w:val="00905712"/>
    <w:rsid w:val="009061B9"/>
    <w:rsid w:val="00906280"/>
    <w:rsid w:val="00906599"/>
    <w:rsid w:val="00906C6C"/>
    <w:rsid w:val="00907E5C"/>
    <w:rsid w:val="00907E95"/>
    <w:rsid w:val="00910238"/>
    <w:rsid w:val="009103CF"/>
    <w:rsid w:val="00910B10"/>
    <w:rsid w:val="00911340"/>
    <w:rsid w:val="00911982"/>
    <w:rsid w:val="00912B63"/>
    <w:rsid w:val="0091354D"/>
    <w:rsid w:val="00913E40"/>
    <w:rsid w:val="0091418F"/>
    <w:rsid w:val="00914343"/>
    <w:rsid w:val="00914879"/>
    <w:rsid w:val="0091490C"/>
    <w:rsid w:val="00914DA4"/>
    <w:rsid w:val="009160F4"/>
    <w:rsid w:val="009161B7"/>
    <w:rsid w:val="00916226"/>
    <w:rsid w:val="00916704"/>
    <w:rsid w:val="00916A43"/>
    <w:rsid w:val="00916A6A"/>
    <w:rsid w:val="00916B48"/>
    <w:rsid w:val="00916D5B"/>
    <w:rsid w:val="00916DA0"/>
    <w:rsid w:val="00917B5E"/>
    <w:rsid w:val="00920186"/>
    <w:rsid w:val="0092048E"/>
    <w:rsid w:val="00920F94"/>
    <w:rsid w:val="009214D4"/>
    <w:rsid w:val="00921832"/>
    <w:rsid w:val="009218DF"/>
    <w:rsid w:val="009221B7"/>
    <w:rsid w:val="00922B9E"/>
    <w:rsid w:val="00923097"/>
    <w:rsid w:val="00923467"/>
    <w:rsid w:val="00923B1D"/>
    <w:rsid w:val="00923C5D"/>
    <w:rsid w:val="00924002"/>
    <w:rsid w:val="0092528D"/>
    <w:rsid w:val="00925367"/>
    <w:rsid w:val="0092625E"/>
    <w:rsid w:val="00926AB1"/>
    <w:rsid w:val="0092754F"/>
    <w:rsid w:val="00927952"/>
    <w:rsid w:val="00927982"/>
    <w:rsid w:val="00930B50"/>
    <w:rsid w:val="00930C2D"/>
    <w:rsid w:val="00931249"/>
    <w:rsid w:val="00932059"/>
    <w:rsid w:val="0093223A"/>
    <w:rsid w:val="00932597"/>
    <w:rsid w:val="00932B00"/>
    <w:rsid w:val="00932BDC"/>
    <w:rsid w:val="00933026"/>
    <w:rsid w:val="00933E12"/>
    <w:rsid w:val="00934275"/>
    <w:rsid w:val="0093467A"/>
    <w:rsid w:val="009347AD"/>
    <w:rsid w:val="00934C1C"/>
    <w:rsid w:val="00935045"/>
    <w:rsid w:val="009350E4"/>
    <w:rsid w:val="00935465"/>
    <w:rsid w:val="009354F6"/>
    <w:rsid w:val="00935FA4"/>
    <w:rsid w:val="009367D7"/>
    <w:rsid w:val="00937344"/>
    <w:rsid w:val="009373D3"/>
    <w:rsid w:val="0093781B"/>
    <w:rsid w:val="009378D1"/>
    <w:rsid w:val="00937D61"/>
    <w:rsid w:val="00940AC4"/>
    <w:rsid w:val="00940AE1"/>
    <w:rsid w:val="009413CA"/>
    <w:rsid w:val="00941773"/>
    <w:rsid w:val="00941988"/>
    <w:rsid w:val="00941CA0"/>
    <w:rsid w:val="009420F8"/>
    <w:rsid w:val="009428B0"/>
    <w:rsid w:val="0094328B"/>
    <w:rsid w:val="00943387"/>
    <w:rsid w:val="009437B0"/>
    <w:rsid w:val="009438A2"/>
    <w:rsid w:val="00943D1B"/>
    <w:rsid w:val="009443FF"/>
    <w:rsid w:val="009446E4"/>
    <w:rsid w:val="00944EB3"/>
    <w:rsid w:val="00945165"/>
    <w:rsid w:val="00946C3B"/>
    <w:rsid w:val="00947377"/>
    <w:rsid w:val="00947953"/>
    <w:rsid w:val="00947A4F"/>
    <w:rsid w:val="00947B93"/>
    <w:rsid w:val="00947BAD"/>
    <w:rsid w:val="009504E4"/>
    <w:rsid w:val="00950902"/>
    <w:rsid w:val="00950FB2"/>
    <w:rsid w:val="009514D1"/>
    <w:rsid w:val="0095163C"/>
    <w:rsid w:val="009525D6"/>
    <w:rsid w:val="0095324F"/>
    <w:rsid w:val="00953509"/>
    <w:rsid w:val="00953532"/>
    <w:rsid w:val="0095359D"/>
    <w:rsid w:val="00953817"/>
    <w:rsid w:val="009549C9"/>
    <w:rsid w:val="00954E07"/>
    <w:rsid w:val="00955247"/>
    <w:rsid w:val="009555D1"/>
    <w:rsid w:val="009559D4"/>
    <w:rsid w:val="009568A6"/>
    <w:rsid w:val="009570F9"/>
    <w:rsid w:val="0095743B"/>
    <w:rsid w:val="00960410"/>
    <w:rsid w:val="0096051D"/>
    <w:rsid w:val="009606A9"/>
    <w:rsid w:val="0096095E"/>
    <w:rsid w:val="00960CA0"/>
    <w:rsid w:val="00960E9E"/>
    <w:rsid w:val="00961000"/>
    <w:rsid w:val="009613A5"/>
    <w:rsid w:val="00961C92"/>
    <w:rsid w:val="00961EE5"/>
    <w:rsid w:val="00962577"/>
    <w:rsid w:val="0096375E"/>
    <w:rsid w:val="00963960"/>
    <w:rsid w:val="00964147"/>
    <w:rsid w:val="00964271"/>
    <w:rsid w:val="009643C2"/>
    <w:rsid w:val="0096472F"/>
    <w:rsid w:val="00964E70"/>
    <w:rsid w:val="00965D78"/>
    <w:rsid w:val="00966142"/>
    <w:rsid w:val="00966DE0"/>
    <w:rsid w:val="00966F9D"/>
    <w:rsid w:val="009701D7"/>
    <w:rsid w:val="009707E6"/>
    <w:rsid w:val="009711E1"/>
    <w:rsid w:val="00971CD9"/>
    <w:rsid w:val="00971DEA"/>
    <w:rsid w:val="009722AA"/>
    <w:rsid w:val="009734D4"/>
    <w:rsid w:val="009736A0"/>
    <w:rsid w:val="009736FF"/>
    <w:rsid w:val="00973787"/>
    <w:rsid w:val="009737C7"/>
    <w:rsid w:val="00973BE9"/>
    <w:rsid w:val="00973C05"/>
    <w:rsid w:val="00974495"/>
    <w:rsid w:val="0097452C"/>
    <w:rsid w:val="00974BEA"/>
    <w:rsid w:val="00976196"/>
    <w:rsid w:val="009763AE"/>
    <w:rsid w:val="0097646F"/>
    <w:rsid w:val="00976D6B"/>
    <w:rsid w:val="0097700E"/>
    <w:rsid w:val="00977ABF"/>
    <w:rsid w:val="00980B44"/>
    <w:rsid w:val="00980D4A"/>
    <w:rsid w:val="00981862"/>
    <w:rsid w:val="00981D55"/>
    <w:rsid w:val="00981EA2"/>
    <w:rsid w:val="0098270B"/>
    <w:rsid w:val="0098322E"/>
    <w:rsid w:val="00983796"/>
    <w:rsid w:val="0098386E"/>
    <w:rsid w:val="00983957"/>
    <w:rsid w:val="009847C8"/>
    <w:rsid w:val="00984890"/>
    <w:rsid w:val="0098498A"/>
    <w:rsid w:val="00984A4A"/>
    <w:rsid w:val="0098534A"/>
    <w:rsid w:val="00985F43"/>
    <w:rsid w:val="00985F9A"/>
    <w:rsid w:val="0098605C"/>
    <w:rsid w:val="00986619"/>
    <w:rsid w:val="00986D17"/>
    <w:rsid w:val="0098714B"/>
    <w:rsid w:val="0098771D"/>
    <w:rsid w:val="00987C16"/>
    <w:rsid w:val="00987C9E"/>
    <w:rsid w:val="00990395"/>
    <w:rsid w:val="009907AD"/>
    <w:rsid w:val="00990AF9"/>
    <w:rsid w:val="00990C77"/>
    <w:rsid w:val="009912FB"/>
    <w:rsid w:val="00992319"/>
    <w:rsid w:val="00993FBD"/>
    <w:rsid w:val="00994EB0"/>
    <w:rsid w:val="0099537C"/>
    <w:rsid w:val="0099670B"/>
    <w:rsid w:val="00996B9C"/>
    <w:rsid w:val="00996ED6"/>
    <w:rsid w:val="00997C3E"/>
    <w:rsid w:val="009A077C"/>
    <w:rsid w:val="009A0986"/>
    <w:rsid w:val="009A2C4C"/>
    <w:rsid w:val="009A34D1"/>
    <w:rsid w:val="009A35AC"/>
    <w:rsid w:val="009A4760"/>
    <w:rsid w:val="009A48D1"/>
    <w:rsid w:val="009A5A6E"/>
    <w:rsid w:val="009A5BF7"/>
    <w:rsid w:val="009A5E3D"/>
    <w:rsid w:val="009A63EB"/>
    <w:rsid w:val="009A73D1"/>
    <w:rsid w:val="009A754E"/>
    <w:rsid w:val="009A7EAB"/>
    <w:rsid w:val="009B0845"/>
    <w:rsid w:val="009B135C"/>
    <w:rsid w:val="009B1371"/>
    <w:rsid w:val="009B15F1"/>
    <w:rsid w:val="009B2545"/>
    <w:rsid w:val="009B272B"/>
    <w:rsid w:val="009B281D"/>
    <w:rsid w:val="009B2C1B"/>
    <w:rsid w:val="009B3414"/>
    <w:rsid w:val="009B366A"/>
    <w:rsid w:val="009B3739"/>
    <w:rsid w:val="009B4276"/>
    <w:rsid w:val="009B4EF4"/>
    <w:rsid w:val="009B4F1B"/>
    <w:rsid w:val="009B502D"/>
    <w:rsid w:val="009B511D"/>
    <w:rsid w:val="009B5375"/>
    <w:rsid w:val="009B5B10"/>
    <w:rsid w:val="009B66AC"/>
    <w:rsid w:val="009B6BB9"/>
    <w:rsid w:val="009B6E6F"/>
    <w:rsid w:val="009B77AE"/>
    <w:rsid w:val="009B7E8D"/>
    <w:rsid w:val="009B7EA3"/>
    <w:rsid w:val="009C04DD"/>
    <w:rsid w:val="009C04F3"/>
    <w:rsid w:val="009C081F"/>
    <w:rsid w:val="009C247D"/>
    <w:rsid w:val="009C32EF"/>
    <w:rsid w:val="009C4D97"/>
    <w:rsid w:val="009C50C6"/>
    <w:rsid w:val="009C6541"/>
    <w:rsid w:val="009C70B7"/>
    <w:rsid w:val="009C7D5D"/>
    <w:rsid w:val="009D056C"/>
    <w:rsid w:val="009D0870"/>
    <w:rsid w:val="009D0BAF"/>
    <w:rsid w:val="009D0CE6"/>
    <w:rsid w:val="009D1419"/>
    <w:rsid w:val="009D14F4"/>
    <w:rsid w:val="009D185F"/>
    <w:rsid w:val="009D1DE3"/>
    <w:rsid w:val="009D2109"/>
    <w:rsid w:val="009D22F1"/>
    <w:rsid w:val="009D2DF2"/>
    <w:rsid w:val="009D308D"/>
    <w:rsid w:val="009D37B9"/>
    <w:rsid w:val="009D3A7B"/>
    <w:rsid w:val="009D471C"/>
    <w:rsid w:val="009D4A1E"/>
    <w:rsid w:val="009D50C4"/>
    <w:rsid w:val="009D52C4"/>
    <w:rsid w:val="009D5372"/>
    <w:rsid w:val="009D601E"/>
    <w:rsid w:val="009D6062"/>
    <w:rsid w:val="009D6C3F"/>
    <w:rsid w:val="009D6E50"/>
    <w:rsid w:val="009E06B3"/>
    <w:rsid w:val="009E10FD"/>
    <w:rsid w:val="009E1ADF"/>
    <w:rsid w:val="009E2165"/>
    <w:rsid w:val="009E269E"/>
    <w:rsid w:val="009E26CF"/>
    <w:rsid w:val="009E2CE7"/>
    <w:rsid w:val="009E2EE8"/>
    <w:rsid w:val="009E34BE"/>
    <w:rsid w:val="009E36BA"/>
    <w:rsid w:val="009E3A98"/>
    <w:rsid w:val="009E401B"/>
    <w:rsid w:val="009E6309"/>
    <w:rsid w:val="009E6798"/>
    <w:rsid w:val="009E6BE3"/>
    <w:rsid w:val="009E6FB1"/>
    <w:rsid w:val="009E70C0"/>
    <w:rsid w:val="009E74B8"/>
    <w:rsid w:val="009E7685"/>
    <w:rsid w:val="009E7839"/>
    <w:rsid w:val="009E7ABD"/>
    <w:rsid w:val="009E7DFC"/>
    <w:rsid w:val="009F0120"/>
    <w:rsid w:val="009F2202"/>
    <w:rsid w:val="009F23EE"/>
    <w:rsid w:val="009F2863"/>
    <w:rsid w:val="009F2976"/>
    <w:rsid w:val="009F39B7"/>
    <w:rsid w:val="009F3B35"/>
    <w:rsid w:val="009F3B7C"/>
    <w:rsid w:val="009F3DEA"/>
    <w:rsid w:val="009F43DE"/>
    <w:rsid w:val="009F49F4"/>
    <w:rsid w:val="009F4A10"/>
    <w:rsid w:val="009F4E3E"/>
    <w:rsid w:val="009F4F96"/>
    <w:rsid w:val="009F5044"/>
    <w:rsid w:val="009F5329"/>
    <w:rsid w:val="009F54E4"/>
    <w:rsid w:val="009F5A6D"/>
    <w:rsid w:val="009F5B8A"/>
    <w:rsid w:val="009F5DFD"/>
    <w:rsid w:val="009F5F83"/>
    <w:rsid w:val="009F682D"/>
    <w:rsid w:val="009F69E7"/>
    <w:rsid w:val="009F706F"/>
    <w:rsid w:val="009F7600"/>
    <w:rsid w:val="009F7B1D"/>
    <w:rsid w:val="00A000FE"/>
    <w:rsid w:val="00A0097C"/>
    <w:rsid w:val="00A0186C"/>
    <w:rsid w:val="00A01B29"/>
    <w:rsid w:val="00A01C12"/>
    <w:rsid w:val="00A021DE"/>
    <w:rsid w:val="00A02383"/>
    <w:rsid w:val="00A03F02"/>
    <w:rsid w:val="00A0427F"/>
    <w:rsid w:val="00A04503"/>
    <w:rsid w:val="00A0481D"/>
    <w:rsid w:val="00A05227"/>
    <w:rsid w:val="00A05B00"/>
    <w:rsid w:val="00A06469"/>
    <w:rsid w:val="00A06C25"/>
    <w:rsid w:val="00A073C0"/>
    <w:rsid w:val="00A07A20"/>
    <w:rsid w:val="00A109E9"/>
    <w:rsid w:val="00A10ED4"/>
    <w:rsid w:val="00A11508"/>
    <w:rsid w:val="00A118F4"/>
    <w:rsid w:val="00A11C69"/>
    <w:rsid w:val="00A123FF"/>
    <w:rsid w:val="00A132E4"/>
    <w:rsid w:val="00A134BE"/>
    <w:rsid w:val="00A134C3"/>
    <w:rsid w:val="00A135CB"/>
    <w:rsid w:val="00A1385E"/>
    <w:rsid w:val="00A1420B"/>
    <w:rsid w:val="00A14653"/>
    <w:rsid w:val="00A15024"/>
    <w:rsid w:val="00A15B84"/>
    <w:rsid w:val="00A15C84"/>
    <w:rsid w:val="00A15CFF"/>
    <w:rsid w:val="00A1624D"/>
    <w:rsid w:val="00A162C3"/>
    <w:rsid w:val="00A164D5"/>
    <w:rsid w:val="00A1660A"/>
    <w:rsid w:val="00A17063"/>
    <w:rsid w:val="00A171EE"/>
    <w:rsid w:val="00A17C4E"/>
    <w:rsid w:val="00A17DE7"/>
    <w:rsid w:val="00A2032D"/>
    <w:rsid w:val="00A20D1D"/>
    <w:rsid w:val="00A2105D"/>
    <w:rsid w:val="00A21943"/>
    <w:rsid w:val="00A21960"/>
    <w:rsid w:val="00A21F17"/>
    <w:rsid w:val="00A22136"/>
    <w:rsid w:val="00A2213A"/>
    <w:rsid w:val="00A22304"/>
    <w:rsid w:val="00A22856"/>
    <w:rsid w:val="00A22C92"/>
    <w:rsid w:val="00A22D59"/>
    <w:rsid w:val="00A23056"/>
    <w:rsid w:val="00A233D5"/>
    <w:rsid w:val="00A241B5"/>
    <w:rsid w:val="00A242AF"/>
    <w:rsid w:val="00A246A2"/>
    <w:rsid w:val="00A268B2"/>
    <w:rsid w:val="00A2696F"/>
    <w:rsid w:val="00A26C55"/>
    <w:rsid w:val="00A27D38"/>
    <w:rsid w:val="00A30C28"/>
    <w:rsid w:val="00A31EC4"/>
    <w:rsid w:val="00A31F16"/>
    <w:rsid w:val="00A32735"/>
    <w:rsid w:val="00A32828"/>
    <w:rsid w:val="00A32A0C"/>
    <w:rsid w:val="00A32FE5"/>
    <w:rsid w:val="00A34CFA"/>
    <w:rsid w:val="00A35329"/>
    <w:rsid w:val="00A35731"/>
    <w:rsid w:val="00A40236"/>
    <w:rsid w:val="00A40DDA"/>
    <w:rsid w:val="00A4134F"/>
    <w:rsid w:val="00A413A0"/>
    <w:rsid w:val="00A4178E"/>
    <w:rsid w:val="00A42DC9"/>
    <w:rsid w:val="00A430B5"/>
    <w:rsid w:val="00A432DD"/>
    <w:rsid w:val="00A4360F"/>
    <w:rsid w:val="00A4382C"/>
    <w:rsid w:val="00A44ED9"/>
    <w:rsid w:val="00A455B2"/>
    <w:rsid w:val="00A4584A"/>
    <w:rsid w:val="00A470B0"/>
    <w:rsid w:val="00A53411"/>
    <w:rsid w:val="00A53445"/>
    <w:rsid w:val="00A53859"/>
    <w:rsid w:val="00A53E26"/>
    <w:rsid w:val="00A5491F"/>
    <w:rsid w:val="00A556C5"/>
    <w:rsid w:val="00A55774"/>
    <w:rsid w:val="00A5614D"/>
    <w:rsid w:val="00A56CDA"/>
    <w:rsid w:val="00A57105"/>
    <w:rsid w:val="00A571BF"/>
    <w:rsid w:val="00A57290"/>
    <w:rsid w:val="00A574C6"/>
    <w:rsid w:val="00A57C26"/>
    <w:rsid w:val="00A6023D"/>
    <w:rsid w:val="00A60B27"/>
    <w:rsid w:val="00A60CF5"/>
    <w:rsid w:val="00A61974"/>
    <w:rsid w:val="00A61BB2"/>
    <w:rsid w:val="00A62436"/>
    <w:rsid w:val="00A6358C"/>
    <w:rsid w:val="00A639E5"/>
    <w:rsid w:val="00A63B00"/>
    <w:rsid w:val="00A6477D"/>
    <w:rsid w:val="00A6621F"/>
    <w:rsid w:val="00A66674"/>
    <w:rsid w:val="00A669FE"/>
    <w:rsid w:val="00A66FF0"/>
    <w:rsid w:val="00A67C2A"/>
    <w:rsid w:val="00A7142D"/>
    <w:rsid w:val="00A72925"/>
    <w:rsid w:val="00A72B2F"/>
    <w:rsid w:val="00A73544"/>
    <w:rsid w:val="00A73981"/>
    <w:rsid w:val="00A73E54"/>
    <w:rsid w:val="00A74017"/>
    <w:rsid w:val="00A74046"/>
    <w:rsid w:val="00A74130"/>
    <w:rsid w:val="00A75A39"/>
    <w:rsid w:val="00A76143"/>
    <w:rsid w:val="00A763AD"/>
    <w:rsid w:val="00A76400"/>
    <w:rsid w:val="00A776F3"/>
    <w:rsid w:val="00A77710"/>
    <w:rsid w:val="00A77F91"/>
    <w:rsid w:val="00A807B7"/>
    <w:rsid w:val="00A8092D"/>
    <w:rsid w:val="00A80C51"/>
    <w:rsid w:val="00A811B4"/>
    <w:rsid w:val="00A811E7"/>
    <w:rsid w:val="00A81891"/>
    <w:rsid w:val="00A819A4"/>
    <w:rsid w:val="00A81A5D"/>
    <w:rsid w:val="00A81B22"/>
    <w:rsid w:val="00A82198"/>
    <w:rsid w:val="00A823F2"/>
    <w:rsid w:val="00A827A6"/>
    <w:rsid w:val="00A82A9D"/>
    <w:rsid w:val="00A83005"/>
    <w:rsid w:val="00A83EDB"/>
    <w:rsid w:val="00A8401B"/>
    <w:rsid w:val="00A840E1"/>
    <w:rsid w:val="00A84630"/>
    <w:rsid w:val="00A84B83"/>
    <w:rsid w:val="00A84D78"/>
    <w:rsid w:val="00A84DB2"/>
    <w:rsid w:val="00A86844"/>
    <w:rsid w:val="00A8686A"/>
    <w:rsid w:val="00A86881"/>
    <w:rsid w:val="00A86A22"/>
    <w:rsid w:val="00A86BF4"/>
    <w:rsid w:val="00A87CED"/>
    <w:rsid w:val="00A87FBE"/>
    <w:rsid w:val="00A90370"/>
    <w:rsid w:val="00A905FE"/>
    <w:rsid w:val="00A907E6"/>
    <w:rsid w:val="00A9123E"/>
    <w:rsid w:val="00A9235E"/>
    <w:rsid w:val="00A929C1"/>
    <w:rsid w:val="00A93036"/>
    <w:rsid w:val="00A946AF"/>
    <w:rsid w:val="00A94916"/>
    <w:rsid w:val="00A94D5A"/>
    <w:rsid w:val="00A94FA5"/>
    <w:rsid w:val="00A96383"/>
    <w:rsid w:val="00A96720"/>
    <w:rsid w:val="00A96DC3"/>
    <w:rsid w:val="00A971ED"/>
    <w:rsid w:val="00AA0083"/>
    <w:rsid w:val="00AA1B87"/>
    <w:rsid w:val="00AA1C44"/>
    <w:rsid w:val="00AA225D"/>
    <w:rsid w:val="00AA2FA3"/>
    <w:rsid w:val="00AA3995"/>
    <w:rsid w:val="00AA3A85"/>
    <w:rsid w:val="00AA3DEC"/>
    <w:rsid w:val="00AA4232"/>
    <w:rsid w:val="00AA4B94"/>
    <w:rsid w:val="00AA4CA8"/>
    <w:rsid w:val="00AA53F9"/>
    <w:rsid w:val="00AA595A"/>
    <w:rsid w:val="00AA59FB"/>
    <w:rsid w:val="00AA5F2E"/>
    <w:rsid w:val="00AA61F8"/>
    <w:rsid w:val="00AA66C1"/>
    <w:rsid w:val="00AA6827"/>
    <w:rsid w:val="00AA6868"/>
    <w:rsid w:val="00AA791E"/>
    <w:rsid w:val="00AA7F15"/>
    <w:rsid w:val="00AB0984"/>
    <w:rsid w:val="00AB12DE"/>
    <w:rsid w:val="00AB1695"/>
    <w:rsid w:val="00AB18C2"/>
    <w:rsid w:val="00AB245C"/>
    <w:rsid w:val="00AB28AB"/>
    <w:rsid w:val="00AB32E8"/>
    <w:rsid w:val="00AB3DF5"/>
    <w:rsid w:val="00AB4E2D"/>
    <w:rsid w:val="00AB5083"/>
    <w:rsid w:val="00AB52E8"/>
    <w:rsid w:val="00AB59C6"/>
    <w:rsid w:val="00AB5AF6"/>
    <w:rsid w:val="00AB5C41"/>
    <w:rsid w:val="00AB5FBE"/>
    <w:rsid w:val="00AB646B"/>
    <w:rsid w:val="00AB6846"/>
    <w:rsid w:val="00AB7171"/>
    <w:rsid w:val="00AB718F"/>
    <w:rsid w:val="00AB77D0"/>
    <w:rsid w:val="00AC14A1"/>
    <w:rsid w:val="00AC2CC8"/>
    <w:rsid w:val="00AC339B"/>
    <w:rsid w:val="00AC3661"/>
    <w:rsid w:val="00AC53B1"/>
    <w:rsid w:val="00AC5BF2"/>
    <w:rsid w:val="00AC5D3D"/>
    <w:rsid w:val="00AC5DF3"/>
    <w:rsid w:val="00AC6A0C"/>
    <w:rsid w:val="00AC7367"/>
    <w:rsid w:val="00AD0C18"/>
    <w:rsid w:val="00AD1319"/>
    <w:rsid w:val="00AD18C1"/>
    <w:rsid w:val="00AD230A"/>
    <w:rsid w:val="00AD346A"/>
    <w:rsid w:val="00AD362A"/>
    <w:rsid w:val="00AD39E0"/>
    <w:rsid w:val="00AD3A93"/>
    <w:rsid w:val="00AD45A5"/>
    <w:rsid w:val="00AD468F"/>
    <w:rsid w:val="00AD5085"/>
    <w:rsid w:val="00AD521D"/>
    <w:rsid w:val="00AD579B"/>
    <w:rsid w:val="00AD608A"/>
    <w:rsid w:val="00AD748B"/>
    <w:rsid w:val="00AE0A48"/>
    <w:rsid w:val="00AE19D4"/>
    <w:rsid w:val="00AE1BB6"/>
    <w:rsid w:val="00AE2F87"/>
    <w:rsid w:val="00AE3229"/>
    <w:rsid w:val="00AE3356"/>
    <w:rsid w:val="00AE3BCC"/>
    <w:rsid w:val="00AE3CC5"/>
    <w:rsid w:val="00AE3CD3"/>
    <w:rsid w:val="00AE3D61"/>
    <w:rsid w:val="00AE6966"/>
    <w:rsid w:val="00AE727E"/>
    <w:rsid w:val="00AE7919"/>
    <w:rsid w:val="00AF012B"/>
    <w:rsid w:val="00AF01BD"/>
    <w:rsid w:val="00AF0364"/>
    <w:rsid w:val="00AF1204"/>
    <w:rsid w:val="00AF12C8"/>
    <w:rsid w:val="00AF1961"/>
    <w:rsid w:val="00AF1A75"/>
    <w:rsid w:val="00AF20C6"/>
    <w:rsid w:val="00AF2742"/>
    <w:rsid w:val="00AF2C3D"/>
    <w:rsid w:val="00AF2CF9"/>
    <w:rsid w:val="00AF5077"/>
    <w:rsid w:val="00AF5093"/>
    <w:rsid w:val="00AF520B"/>
    <w:rsid w:val="00AF6850"/>
    <w:rsid w:val="00AF7520"/>
    <w:rsid w:val="00AF7825"/>
    <w:rsid w:val="00AF7B38"/>
    <w:rsid w:val="00B00381"/>
    <w:rsid w:val="00B0068E"/>
    <w:rsid w:val="00B006E9"/>
    <w:rsid w:val="00B01A20"/>
    <w:rsid w:val="00B01AD9"/>
    <w:rsid w:val="00B01F72"/>
    <w:rsid w:val="00B02142"/>
    <w:rsid w:val="00B023BF"/>
    <w:rsid w:val="00B02B92"/>
    <w:rsid w:val="00B02D8F"/>
    <w:rsid w:val="00B02E18"/>
    <w:rsid w:val="00B03351"/>
    <w:rsid w:val="00B0449B"/>
    <w:rsid w:val="00B04A02"/>
    <w:rsid w:val="00B05B52"/>
    <w:rsid w:val="00B05C2B"/>
    <w:rsid w:val="00B0613F"/>
    <w:rsid w:val="00B061EF"/>
    <w:rsid w:val="00B06244"/>
    <w:rsid w:val="00B06364"/>
    <w:rsid w:val="00B067EA"/>
    <w:rsid w:val="00B06A3D"/>
    <w:rsid w:val="00B07343"/>
    <w:rsid w:val="00B073F3"/>
    <w:rsid w:val="00B07526"/>
    <w:rsid w:val="00B07B72"/>
    <w:rsid w:val="00B101BD"/>
    <w:rsid w:val="00B10E13"/>
    <w:rsid w:val="00B10E90"/>
    <w:rsid w:val="00B111DD"/>
    <w:rsid w:val="00B1137C"/>
    <w:rsid w:val="00B113E3"/>
    <w:rsid w:val="00B11829"/>
    <w:rsid w:val="00B119AD"/>
    <w:rsid w:val="00B11DA5"/>
    <w:rsid w:val="00B12534"/>
    <w:rsid w:val="00B12970"/>
    <w:rsid w:val="00B12C09"/>
    <w:rsid w:val="00B131C8"/>
    <w:rsid w:val="00B13D24"/>
    <w:rsid w:val="00B13E78"/>
    <w:rsid w:val="00B14581"/>
    <w:rsid w:val="00B159E8"/>
    <w:rsid w:val="00B15E5E"/>
    <w:rsid w:val="00B15EFE"/>
    <w:rsid w:val="00B161C3"/>
    <w:rsid w:val="00B162B9"/>
    <w:rsid w:val="00B16520"/>
    <w:rsid w:val="00B16AFB"/>
    <w:rsid w:val="00B16ECD"/>
    <w:rsid w:val="00B17079"/>
    <w:rsid w:val="00B17119"/>
    <w:rsid w:val="00B17393"/>
    <w:rsid w:val="00B1798F"/>
    <w:rsid w:val="00B20345"/>
    <w:rsid w:val="00B211FC"/>
    <w:rsid w:val="00B21A63"/>
    <w:rsid w:val="00B21BE6"/>
    <w:rsid w:val="00B21D23"/>
    <w:rsid w:val="00B22727"/>
    <w:rsid w:val="00B22A64"/>
    <w:rsid w:val="00B243C2"/>
    <w:rsid w:val="00B24537"/>
    <w:rsid w:val="00B2456B"/>
    <w:rsid w:val="00B2481D"/>
    <w:rsid w:val="00B24E97"/>
    <w:rsid w:val="00B25DF7"/>
    <w:rsid w:val="00B27851"/>
    <w:rsid w:val="00B278DE"/>
    <w:rsid w:val="00B27EEE"/>
    <w:rsid w:val="00B30002"/>
    <w:rsid w:val="00B3042E"/>
    <w:rsid w:val="00B30B38"/>
    <w:rsid w:val="00B30D38"/>
    <w:rsid w:val="00B31246"/>
    <w:rsid w:val="00B31F1F"/>
    <w:rsid w:val="00B33410"/>
    <w:rsid w:val="00B33667"/>
    <w:rsid w:val="00B33967"/>
    <w:rsid w:val="00B33D10"/>
    <w:rsid w:val="00B34122"/>
    <w:rsid w:val="00B34C14"/>
    <w:rsid w:val="00B34C9F"/>
    <w:rsid w:val="00B355D9"/>
    <w:rsid w:val="00B3645F"/>
    <w:rsid w:val="00B376DC"/>
    <w:rsid w:val="00B379C8"/>
    <w:rsid w:val="00B37BE1"/>
    <w:rsid w:val="00B4005D"/>
    <w:rsid w:val="00B40E17"/>
    <w:rsid w:val="00B41FFF"/>
    <w:rsid w:val="00B422C4"/>
    <w:rsid w:val="00B4262F"/>
    <w:rsid w:val="00B42715"/>
    <w:rsid w:val="00B43416"/>
    <w:rsid w:val="00B4415A"/>
    <w:rsid w:val="00B44749"/>
    <w:rsid w:val="00B44979"/>
    <w:rsid w:val="00B44EB7"/>
    <w:rsid w:val="00B458A1"/>
    <w:rsid w:val="00B45D90"/>
    <w:rsid w:val="00B45EF2"/>
    <w:rsid w:val="00B46F61"/>
    <w:rsid w:val="00B46F6B"/>
    <w:rsid w:val="00B470FA"/>
    <w:rsid w:val="00B47389"/>
    <w:rsid w:val="00B47A4A"/>
    <w:rsid w:val="00B47C22"/>
    <w:rsid w:val="00B50238"/>
    <w:rsid w:val="00B509A8"/>
    <w:rsid w:val="00B509E7"/>
    <w:rsid w:val="00B511D0"/>
    <w:rsid w:val="00B51722"/>
    <w:rsid w:val="00B5204D"/>
    <w:rsid w:val="00B5211C"/>
    <w:rsid w:val="00B5256B"/>
    <w:rsid w:val="00B52B7F"/>
    <w:rsid w:val="00B52F43"/>
    <w:rsid w:val="00B533B3"/>
    <w:rsid w:val="00B53D7A"/>
    <w:rsid w:val="00B5418E"/>
    <w:rsid w:val="00B5472B"/>
    <w:rsid w:val="00B54A4A"/>
    <w:rsid w:val="00B56110"/>
    <w:rsid w:val="00B56A76"/>
    <w:rsid w:val="00B60673"/>
    <w:rsid w:val="00B608E7"/>
    <w:rsid w:val="00B60FEF"/>
    <w:rsid w:val="00B61023"/>
    <w:rsid w:val="00B615B4"/>
    <w:rsid w:val="00B63E23"/>
    <w:rsid w:val="00B6465F"/>
    <w:rsid w:val="00B6487F"/>
    <w:rsid w:val="00B651A8"/>
    <w:rsid w:val="00B66266"/>
    <w:rsid w:val="00B667F9"/>
    <w:rsid w:val="00B66889"/>
    <w:rsid w:val="00B67746"/>
    <w:rsid w:val="00B67C32"/>
    <w:rsid w:val="00B7091A"/>
    <w:rsid w:val="00B7187D"/>
    <w:rsid w:val="00B725F7"/>
    <w:rsid w:val="00B72983"/>
    <w:rsid w:val="00B72E42"/>
    <w:rsid w:val="00B72F9A"/>
    <w:rsid w:val="00B74319"/>
    <w:rsid w:val="00B743AF"/>
    <w:rsid w:val="00B751BD"/>
    <w:rsid w:val="00B75850"/>
    <w:rsid w:val="00B75B71"/>
    <w:rsid w:val="00B75FFB"/>
    <w:rsid w:val="00B7675A"/>
    <w:rsid w:val="00B76D71"/>
    <w:rsid w:val="00B77201"/>
    <w:rsid w:val="00B77AD5"/>
    <w:rsid w:val="00B8004A"/>
    <w:rsid w:val="00B80282"/>
    <w:rsid w:val="00B80759"/>
    <w:rsid w:val="00B80786"/>
    <w:rsid w:val="00B80BB3"/>
    <w:rsid w:val="00B80F3D"/>
    <w:rsid w:val="00B812FA"/>
    <w:rsid w:val="00B813ED"/>
    <w:rsid w:val="00B82023"/>
    <w:rsid w:val="00B821F5"/>
    <w:rsid w:val="00B82B1F"/>
    <w:rsid w:val="00B82D4E"/>
    <w:rsid w:val="00B8338B"/>
    <w:rsid w:val="00B8391E"/>
    <w:rsid w:val="00B84603"/>
    <w:rsid w:val="00B84B62"/>
    <w:rsid w:val="00B84F28"/>
    <w:rsid w:val="00B862D0"/>
    <w:rsid w:val="00B863C8"/>
    <w:rsid w:val="00B86977"/>
    <w:rsid w:val="00B8700E"/>
    <w:rsid w:val="00B90202"/>
    <w:rsid w:val="00B908F3"/>
    <w:rsid w:val="00B90902"/>
    <w:rsid w:val="00B91BFE"/>
    <w:rsid w:val="00B92057"/>
    <w:rsid w:val="00B92502"/>
    <w:rsid w:val="00B925B6"/>
    <w:rsid w:val="00B92FF5"/>
    <w:rsid w:val="00B93A57"/>
    <w:rsid w:val="00B94440"/>
    <w:rsid w:val="00B961F2"/>
    <w:rsid w:val="00B96289"/>
    <w:rsid w:val="00B96731"/>
    <w:rsid w:val="00B9710D"/>
    <w:rsid w:val="00BA09ED"/>
    <w:rsid w:val="00BA0B31"/>
    <w:rsid w:val="00BA0E10"/>
    <w:rsid w:val="00BA2783"/>
    <w:rsid w:val="00BA3894"/>
    <w:rsid w:val="00BA3A98"/>
    <w:rsid w:val="00BA3B24"/>
    <w:rsid w:val="00BA4545"/>
    <w:rsid w:val="00BA45D0"/>
    <w:rsid w:val="00BA4B02"/>
    <w:rsid w:val="00BA521F"/>
    <w:rsid w:val="00BA5CCC"/>
    <w:rsid w:val="00BA64AB"/>
    <w:rsid w:val="00BA6697"/>
    <w:rsid w:val="00BB09B8"/>
    <w:rsid w:val="00BB115D"/>
    <w:rsid w:val="00BB1D6F"/>
    <w:rsid w:val="00BB20A0"/>
    <w:rsid w:val="00BB219B"/>
    <w:rsid w:val="00BB2488"/>
    <w:rsid w:val="00BB24FC"/>
    <w:rsid w:val="00BB2A16"/>
    <w:rsid w:val="00BB2E29"/>
    <w:rsid w:val="00BB3230"/>
    <w:rsid w:val="00BB365D"/>
    <w:rsid w:val="00BB3C62"/>
    <w:rsid w:val="00BB3DDE"/>
    <w:rsid w:val="00BB42E2"/>
    <w:rsid w:val="00BB4B15"/>
    <w:rsid w:val="00BB5184"/>
    <w:rsid w:val="00BB5322"/>
    <w:rsid w:val="00BB5D97"/>
    <w:rsid w:val="00BB5DC3"/>
    <w:rsid w:val="00BB5EDB"/>
    <w:rsid w:val="00BB6742"/>
    <w:rsid w:val="00BB6CA3"/>
    <w:rsid w:val="00BB6DC8"/>
    <w:rsid w:val="00BB7558"/>
    <w:rsid w:val="00BB7974"/>
    <w:rsid w:val="00BB7C08"/>
    <w:rsid w:val="00BB7F3D"/>
    <w:rsid w:val="00BC04E0"/>
    <w:rsid w:val="00BC0B1A"/>
    <w:rsid w:val="00BC0D2F"/>
    <w:rsid w:val="00BC10E2"/>
    <w:rsid w:val="00BC14FB"/>
    <w:rsid w:val="00BC1621"/>
    <w:rsid w:val="00BC1729"/>
    <w:rsid w:val="00BC1DEF"/>
    <w:rsid w:val="00BC20B3"/>
    <w:rsid w:val="00BC2245"/>
    <w:rsid w:val="00BC2AB0"/>
    <w:rsid w:val="00BC3581"/>
    <w:rsid w:val="00BC3B81"/>
    <w:rsid w:val="00BC490C"/>
    <w:rsid w:val="00BC4E89"/>
    <w:rsid w:val="00BC5778"/>
    <w:rsid w:val="00BC5A51"/>
    <w:rsid w:val="00BC659D"/>
    <w:rsid w:val="00BC65D6"/>
    <w:rsid w:val="00BC6774"/>
    <w:rsid w:val="00BC6FC3"/>
    <w:rsid w:val="00BC790F"/>
    <w:rsid w:val="00BD1527"/>
    <w:rsid w:val="00BD15FE"/>
    <w:rsid w:val="00BD1905"/>
    <w:rsid w:val="00BD2790"/>
    <w:rsid w:val="00BD3232"/>
    <w:rsid w:val="00BD3471"/>
    <w:rsid w:val="00BD3618"/>
    <w:rsid w:val="00BD4746"/>
    <w:rsid w:val="00BD4B32"/>
    <w:rsid w:val="00BD4C5E"/>
    <w:rsid w:val="00BD4F0B"/>
    <w:rsid w:val="00BD5341"/>
    <w:rsid w:val="00BD5694"/>
    <w:rsid w:val="00BD70F0"/>
    <w:rsid w:val="00BD77FD"/>
    <w:rsid w:val="00BD7E24"/>
    <w:rsid w:val="00BD7EA3"/>
    <w:rsid w:val="00BE05E1"/>
    <w:rsid w:val="00BE2D92"/>
    <w:rsid w:val="00BE2E61"/>
    <w:rsid w:val="00BE487A"/>
    <w:rsid w:val="00BE4D4A"/>
    <w:rsid w:val="00BE5DA1"/>
    <w:rsid w:val="00BE6CED"/>
    <w:rsid w:val="00BE7709"/>
    <w:rsid w:val="00BE7E59"/>
    <w:rsid w:val="00BF00EF"/>
    <w:rsid w:val="00BF0578"/>
    <w:rsid w:val="00BF05EB"/>
    <w:rsid w:val="00BF08BE"/>
    <w:rsid w:val="00BF13AB"/>
    <w:rsid w:val="00BF1522"/>
    <w:rsid w:val="00BF2373"/>
    <w:rsid w:val="00BF35B6"/>
    <w:rsid w:val="00BF38EA"/>
    <w:rsid w:val="00BF3962"/>
    <w:rsid w:val="00BF3A76"/>
    <w:rsid w:val="00BF411D"/>
    <w:rsid w:val="00BF4767"/>
    <w:rsid w:val="00BF5D38"/>
    <w:rsid w:val="00BF618B"/>
    <w:rsid w:val="00BF626C"/>
    <w:rsid w:val="00BF63B7"/>
    <w:rsid w:val="00BF679D"/>
    <w:rsid w:val="00BF6B82"/>
    <w:rsid w:val="00BF6E48"/>
    <w:rsid w:val="00BF7FF2"/>
    <w:rsid w:val="00C00B5E"/>
    <w:rsid w:val="00C015EA"/>
    <w:rsid w:val="00C01BCB"/>
    <w:rsid w:val="00C01FCA"/>
    <w:rsid w:val="00C02972"/>
    <w:rsid w:val="00C02A66"/>
    <w:rsid w:val="00C034CC"/>
    <w:rsid w:val="00C042B6"/>
    <w:rsid w:val="00C04958"/>
    <w:rsid w:val="00C04ACC"/>
    <w:rsid w:val="00C051F8"/>
    <w:rsid w:val="00C053FB"/>
    <w:rsid w:val="00C05802"/>
    <w:rsid w:val="00C06804"/>
    <w:rsid w:val="00C07835"/>
    <w:rsid w:val="00C07CB0"/>
    <w:rsid w:val="00C07D0C"/>
    <w:rsid w:val="00C10880"/>
    <w:rsid w:val="00C10AF0"/>
    <w:rsid w:val="00C10CDF"/>
    <w:rsid w:val="00C12224"/>
    <w:rsid w:val="00C13D76"/>
    <w:rsid w:val="00C13DB1"/>
    <w:rsid w:val="00C1436A"/>
    <w:rsid w:val="00C1441E"/>
    <w:rsid w:val="00C149CB"/>
    <w:rsid w:val="00C14A51"/>
    <w:rsid w:val="00C150B4"/>
    <w:rsid w:val="00C155D4"/>
    <w:rsid w:val="00C15E16"/>
    <w:rsid w:val="00C1621B"/>
    <w:rsid w:val="00C16BA4"/>
    <w:rsid w:val="00C172E8"/>
    <w:rsid w:val="00C179C4"/>
    <w:rsid w:val="00C17B6B"/>
    <w:rsid w:val="00C17CFA"/>
    <w:rsid w:val="00C201BB"/>
    <w:rsid w:val="00C202DB"/>
    <w:rsid w:val="00C205FD"/>
    <w:rsid w:val="00C2124B"/>
    <w:rsid w:val="00C21A39"/>
    <w:rsid w:val="00C21EF3"/>
    <w:rsid w:val="00C2270F"/>
    <w:rsid w:val="00C23117"/>
    <w:rsid w:val="00C2370A"/>
    <w:rsid w:val="00C2460A"/>
    <w:rsid w:val="00C2480F"/>
    <w:rsid w:val="00C249DF"/>
    <w:rsid w:val="00C24A34"/>
    <w:rsid w:val="00C24CE6"/>
    <w:rsid w:val="00C24E57"/>
    <w:rsid w:val="00C26754"/>
    <w:rsid w:val="00C26BBC"/>
    <w:rsid w:val="00C26C4A"/>
    <w:rsid w:val="00C27323"/>
    <w:rsid w:val="00C276AD"/>
    <w:rsid w:val="00C279E0"/>
    <w:rsid w:val="00C27A5F"/>
    <w:rsid w:val="00C310DF"/>
    <w:rsid w:val="00C31500"/>
    <w:rsid w:val="00C31B43"/>
    <w:rsid w:val="00C31BA9"/>
    <w:rsid w:val="00C31D62"/>
    <w:rsid w:val="00C31D6B"/>
    <w:rsid w:val="00C31D81"/>
    <w:rsid w:val="00C32A72"/>
    <w:rsid w:val="00C32CB9"/>
    <w:rsid w:val="00C32D2A"/>
    <w:rsid w:val="00C3302D"/>
    <w:rsid w:val="00C3303F"/>
    <w:rsid w:val="00C340EA"/>
    <w:rsid w:val="00C35298"/>
    <w:rsid w:val="00C3578F"/>
    <w:rsid w:val="00C36090"/>
    <w:rsid w:val="00C363E5"/>
    <w:rsid w:val="00C36D73"/>
    <w:rsid w:val="00C3729B"/>
    <w:rsid w:val="00C37E4C"/>
    <w:rsid w:val="00C4004C"/>
    <w:rsid w:val="00C40076"/>
    <w:rsid w:val="00C40656"/>
    <w:rsid w:val="00C40AC6"/>
    <w:rsid w:val="00C40AE5"/>
    <w:rsid w:val="00C425D5"/>
    <w:rsid w:val="00C425F2"/>
    <w:rsid w:val="00C42982"/>
    <w:rsid w:val="00C42A8F"/>
    <w:rsid w:val="00C42D89"/>
    <w:rsid w:val="00C43779"/>
    <w:rsid w:val="00C43BB8"/>
    <w:rsid w:val="00C43E1F"/>
    <w:rsid w:val="00C43F6F"/>
    <w:rsid w:val="00C442DF"/>
    <w:rsid w:val="00C4469C"/>
    <w:rsid w:val="00C44B50"/>
    <w:rsid w:val="00C44D5A"/>
    <w:rsid w:val="00C44DF9"/>
    <w:rsid w:val="00C45F58"/>
    <w:rsid w:val="00C465C8"/>
    <w:rsid w:val="00C46B05"/>
    <w:rsid w:val="00C46F9B"/>
    <w:rsid w:val="00C475E4"/>
    <w:rsid w:val="00C505CB"/>
    <w:rsid w:val="00C50EE5"/>
    <w:rsid w:val="00C512E7"/>
    <w:rsid w:val="00C51694"/>
    <w:rsid w:val="00C5215F"/>
    <w:rsid w:val="00C52920"/>
    <w:rsid w:val="00C52DA8"/>
    <w:rsid w:val="00C5310E"/>
    <w:rsid w:val="00C53DBC"/>
    <w:rsid w:val="00C53F58"/>
    <w:rsid w:val="00C5642E"/>
    <w:rsid w:val="00C570BD"/>
    <w:rsid w:val="00C572AE"/>
    <w:rsid w:val="00C575A6"/>
    <w:rsid w:val="00C57856"/>
    <w:rsid w:val="00C578B2"/>
    <w:rsid w:val="00C57FD7"/>
    <w:rsid w:val="00C5E050"/>
    <w:rsid w:val="00C602E5"/>
    <w:rsid w:val="00C608CC"/>
    <w:rsid w:val="00C611C9"/>
    <w:rsid w:val="00C61F33"/>
    <w:rsid w:val="00C62130"/>
    <w:rsid w:val="00C62474"/>
    <w:rsid w:val="00C62B7E"/>
    <w:rsid w:val="00C6389F"/>
    <w:rsid w:val="00C63F96"/>
    <w:rsid w:val="00C642E8"/>
    <w:rsid w:val="00C646FA"/>
    <w:rsid w:val="00C64D37"/>
    <w:rsid w:val="00C655AE"/>
    <w:rsid w:val="00C65901"/>
    <w:rsid w:val="00C661BC"/>
    <w:rsid w:val="00C663CC"/>
    <w:rsid w:val="00C66405"/>
    <w:rsid w:val="00C67100"/>
    <w:rsid w:val="00C679D3"/>
    <w:rsid w:val="00C67E56"/>
    <w:rsid w:val="00C67E8E"/>
    <w:rsid w:val="00C70271"/>
    <w:rsid w:val="00C70DD7"/>
    <w:rsid w:val="00C711F9"/>
    <w:rsid w:val="00C725FC"/>
    <w:rsid w:val="00C7265B"/>
    <w:rsid w:val="00C72996"/>
    <w:rsid w:val="00C72B37"/>
    <w:rsid w:val="00C72D7E"/>
    <w:rsid w:val="00C72F61"/>
    <w:rsid w:val="00C7337B"/>
    <w:rsid w:val="00C7340E"/>
    <w:rsid w:val="00C73631"/>
    <w:rsid w:val="00C744A5"/>
    <w:rsid w:val="00C74E55"/>
    <w:rsid w:val="00C755DC"/>
    <w:rsid w:val="00C75C29"/>
    <w:rsid w:val="00C7601C"/>
    <w:rsid w:val="00C761C5"/>
    <w:rsid w:val="00C762E4"/>
    <w:rsid w:val="00C76677"/>
    <w:rsid w:val="00C76845"/>
    <w:rsid w:val="00C76907"/>
    <w:rsid w:val="00C76CAB"/>
    <w:rsid w:val="00C77024"/>
    <w:rsid w:val="00C771EE"/>
    <w:rsid w:val="00C8075F"/>
    <w:rsid w:val="00C8127F"/>
    <w:rsid w:val="00C8134A"/>
    <w:rsid w:val="00C81CBD"/>
    <w:rsid w:val="00C82D87"/>
    <w:rsid w:val="00C83287"/>
    <w:rsid w:val="00C8371D"/>
    <w:rsid w:val="00C83D4F"/>
    <w:rsid w:val="00C844A4"/>
    <w:rsid w:val="00C8486F"/>
    <w:rsid w:val="00C848F7"/>
    <w:rsid w:val="00C8502F"/>
    <w:rsid w:val="00C856A3"/>
    <w:rsid w:val="00C861E3"/>
    <w:rsid w:val="00C8735C"/>
    <w:rsid w:val="00C87381"/>
    <w:rsid w:val="00C87C5E"/>
    <w:rsid w:val="00C90519"/>
    <w:rsid w:val="00C90947"/>
    <w:rsid w:val="00C90CC4"/>
    <w:rsid w:val="00C91000"/>
    <w:rsid w:val="00C913DE"/>
    <w:rsid w:val="00C9154A"/>
    <w:rsid w:val="00C91666"/>
    <w:rsid w:val="00C91777"/>
    <w:rsid w:val="00C923D3"/>
    <w:rsid w:val="00C92D4E"/>
    <w:rsid w:val="00C93FC7"/>
    <w:rsid w:val="00C945A7"/>
    <w:rsid w:val="00C945FA"/>
    <w:rsid w:val="00C96EFD"/>
    <w:rsid w:val="00C973B4"/>
    <w:rsid w:val="00C97793"/>
    <w:rsid w:val="00C97E3F"/>
    <w:rsid w:val="00C97EF2"/>
    <w:rsid w:val="00CA0D9F"/>
    <w:rsid w:val="00CA0EAF"/>
    <w:rsid w:val="00CA17E1"/>
    <w:rsid w:val="00CA20A9"/>
    <w:rsid w:val="00CA237E"/>
    <w:rsid w:val="00CA2791"/>
    <w:rsid w:val="00CA2DF7"/>
    <w:rsid w:val="00CA2F06"/>
    <w:rsid w:val="00CA2FF1"/>
    <w:rsid w:val="00CA3135"/>
    <w:rsid w:val="00CA39AC"/>
    <w:rsid w:val="00CA3E74"/>
    <w:rsid w:val="00CA4037"/>
    <w:rsid w:val="00CA40AE"/>
    <w:rsid w:val="00CA6409"/>
    <w:rsid w:val="00CA69E8"/>
    <w:rsid w:val="00CA7701"/>
    <w:rsid w:val="00CB073B"/>
    <w:rsid w:val="00CB0A46"/>
    <w:rsid w:val="00CB0E68"/>
    <w:rsid w:val="00CB16BE"/>
    <w:rsid w:val="00CB2494"/>
    <w:rsid w:val="00CB24FB"/>
    <w:rsid w:val="00CB34FE"/>
    <w:rsid w:val="00CB3664"/>
    <w:rsid w:val="00CB3C81"/>
    <w:rsid w:val="00CB3D85"/>
    <w:rsid w:val="00CB3D8E"/>
    <w:rsid w:val="00CB3E98"/>
    <w:rsid w:val="00CB3EA4"/>
    <w:rsid w:val="00CB3FBB"/>
    <w:rsid w:val="00CB4A4C"/>
    <w:rsid w:val="00CB51B4"/>
    <w:rsid w:val="00CB5367"/>
    <w:rsid w:val="00CB5AA5"/>
    <w:rsid w:val="00CB6023"/>
    <w:rsid w:val="00CB6433"/>
    <w:rsid w:val="00CB6C02"/>
    <w:rsid w:val="00CB707D"/>
    <w:rsid w:val="00CB72E4"/>
    <w:rsid w:val="00CB7428"/>
    <w:rsid w:val="00CB766C"/>
    <w:rsid w:val="00CB775C"/>
    <w:rsid w:val="00CC0BD2"/>
    <w:rsid w:val="00CC16D8"/>
    <w:rsid w:val="00CC1A74"/>
    <w:rsid w:val="00CC22E5"/>
    <w:rsid w:val="00CC24F8"/>
    <w:rsid w:val="00CC30B7"/>
    <w:rsid w:val="00CC3844"/>
    <w:rsid w:val="00CC39A9"/>
    <w:rsid w:val="00CC3C64"/>
    <w:rsid w:val="00CC40EA"/>
    <w:rsid w:val="00CC56A1"/>
    <w:rsid w:val="00CC57FB"/>
    <w:rsid w:val="00CC5E59"/>
    <w:rsid w:val="00CC64C6"/>
    <w:rsid w:val="00CC67BD"/>
    <w:rsid w:val="00CC717E"/>
    <w:rsid w:val="00CC7774"/>
    <w:rsid w:val="00CC784A"/>
    <w:rsid w:val="00CC7ADF"/>
    <w:rsid w:val="00CD0285"/>
    <w:rsid w:val="00CD0A39"/>
    <w:rsid w:val="00CD1AAA"/>
    <w:rsid w:val="00CD212C"/>
    <w:rsid w:val="00CD2DCE"/>
    <w:rsid w:val="00CD3B12"/>
    <w:rsid w:val="00CD4864"/>
    <w:rsid w:val="00CD53C6"/>
    <w:rsid w:val="00CD5A6D"/>
    <w:rsid w:val="00CD6516"/>
    <w:rsid w:val="00CE0212"/>
    <w:rsid w:val="00CE06D0"/>
    <w:rsid w:val="00CE0C12"/>
    <w:rsid w:val="00CE1007"/>
    <w:rsid w:val="00CE1B26"/>
    <w:rsid w:val="00CE1D08"/>
    <w:rsid w:val="00CE2734"/>
    <w:rsid w:val="00CE292C"/>
    <w:rsid w:val="00CE4C53"/>
    <w:rsid w:val="00CE4F3A"/>
    <w:rsid w:val="00CE5465"/>
    <w:rsid w:val="00CE6207"/>
    <w:rsid w:val="00CE6727"/>
    <w:rsid w:val="00CE7241"/>
    <w:rsid w:val="00CE76BF"/>
    <w:rsid w:val="00CE78F8"/>
    <w:rsid w:val="00CE7FF1"/>
    <w:rsid w:val="00CF0870"/>
    <w:rsid w:val="00CF0C6F"/>
    <w:rsid w:val="00CF17E2"/>
    <w:rsid w:val="00CF1D23"/>
    <w:rsid w:val="00CF1D5E"/>
    <w:rsid w:val="00CF25F1"/>
    <w:rsid w:val="00CF2BA1"/>
    <w:rsid w:val="00CF2CBD"/>
    <w:rsid w:val="00CF476C"/>
    <w:rsid w:val="00CF4781"/>
    <w:rsid w:val="00CF4818"/>
    <w:rsid w:val="00CF49C7"/>
    <w:rsid w:val="00CF4DDA"/>
    <w:rsid w:val="00CF51CB"/>
    <w:rsid w:val="00CF5469"/>
    <w:rsid w:val="00CF57E5"/>
    <w:rsid w:val="00D004F3"/>
    <w:rsid w:val="00D006E6"/>
    <w:rsid w:val="00D021FB"/>
    <w:rsid w:val="00D03571"/>
    <w:rsid w:val="00D03600"/>
    <w:rsid w:val="00D0362E"/>
    <w:rsid w:val="00D0413E"/>
    <w:rsid w:val="00D04960"/>
    <w:rsid w:val="00D04CDA"/>
    <w:rsid w:val="00D05D57"/>
    <w:rsid w:val="00D05E75"/>
    <w:rsid w:val="00D065A3"/>
    <w:rsid w:val="00D065B6"/>
    <w:rsid w:val="00D067E5"/>
    <w:rsid w:val="00D06914"/>
    <w:rsid w:val="00D06D37"/>
    <w:rsid w:val="00D0773F"/>
    <w:rsid w:val="00D0785A"/>
    <w:rsid w:val="00D10DEB"/>
    <w:rsid w:val="00D11A8E"/>
    <w:rsid w:val="00D11E8F"/>
    <w:rsid w:val="00D12915"/>
    <w:rsid w:val="00D129ED"/>
    <w:rsid w:val="00D1320E"/>
    <w:rsid w:val="00D1349B"/>
    <w:rsid w:val="00D135CA"/>
    <w:rsid w:val="00D13955"/>
    <w:rsid w:val="00D13C6F"/>
    <w:rsid w:val="00D15D72"/>
    <w:rsid w:val="00D163B8"/>
    <w:rsid w:val="00D16655"/>
    <w:rsid w:val="00D168AA"/>
    <w:rsid w:val="00D16B79"/>
    <w:rsid w:val="00D17102"/>
    <w:rsid w:val="00D17CC2"/>
    <w:rsid w:val="00D20136"/>
    <w:rsid w:val="00D20383"/>
    <w:rsid w:val="00D211FA"/>
    <w:rsid w:val="00D21DE8"/>
    <w:rsid w:val="00D220B7"/>
    <w:rsid w:val="00D2242F"/>
    <w:rsid w:val="00D22727"/>
    <w:rsid w:val="00D228D5"/>
    <w:rsid w:val="00D232F1"/>
    <w:rsid w:val="00D2361B"/>
    <w:rsid w:val="00D23724"/>
    <w:rsid w:val="00D239DE"/>
    <w:rsid w:val="00D23C17"/>
    <w:rsid w:val="00D24849"/>
    <w:rsid w:val="00D24C3F"/>
    <w:rsid w:val="00D25441"/>
    <w:rsid w:val="00D255E0"/>
    <w:rsid w:val="00D257B3"/>
    <w:rsid w:val="00D26147"/>
    <w:rsid w:val="00D27577"/>
    <w:rsid w:val="00D31548"/>
    <w:rsid w:val="00D318DB"/>
    <w:rsid w:val="00D321F1"/>
    <w:rsid w:val="00D32B5F"/>
    <w:rsid w:val="00D33890"/>
    <w:rsid w:val="00D33ADB"/>
    <w:rsid w:val="00D33D1E"/>
    <w:rsid w:val="00D34710"/>
    <w:rsid w:val="00D3489F"/>
    <w:rsid w:val="00D34B03"/>
    <w:rsid w:val="00D34B5A"/>
    <w:rsid w:val="00D356C2"/>
    <w:rsid w:val="00D35D0D"/>
    <w:rsid w:val="00D36A50"/>
    <w:rsid w:val="00D36DC5"/>
    <w:rsid w:val="00D3722D"/>
    <w:rsid w:val="00D37365"/>
    <w:rsid w:val="00D374C6"/>
    <w:rsid w:val="00D37E46"/>
    <w:rsid w:val="00D40C02"/>
    <w:rsid w:val="00D42A44"/>
    <w:rsid w:val="00D42DA4"/>
    <w:rsid w:val="00D435DC"/>
    <w:rsid w:val="00D437B2"/>
    <w:rsid w:val="00D44637"/>
    <w:rsid w:val="00D44857"/>
    <w:rsid w:val="00D45A60"/>
    <w:rsid w:val="00D466C2"/>
    <w:rsid w:val="00D472BB"/>
    <w:rsid w:val="00D474B9"/>
    <w:rsid w:val="00D474DE"/>
    <w:rsid w:val="00D476B1"/>
    <w:rsid w:val="00D5009E"/>
    <w:rsid w:val="00D50568"/>
    <w:rsid w:val="00D50AF7"/>
    <w:rsid w:val="00D51419"/>
    <w:rsid w:val="00D515F8"/>
    <w:rsid w:val="00D51887"/>
    <w:rsid w:val="00D52775"/>
    <w:rsid w:val="00D52B5F"/>
    <w:rsid w:val="00D53DB6"/>
    <w:rsid w:val="00D546DC"/>
    <w:rsid w:val="00D54E1D"/>
    <w:rsid w:val="00D55264"/>
    <w:rsid w:val="00D552E5"/>
    <w:rsid w:val="00D5580A"/>
    <w:rsid w:val="00D55E0E"/>
    <w:rsid w:val="00D55F31"/>
    <w:rsid w:val="00D561CA"/>
    <w:rsid w:val="00D57627"/>
    <w:rsid w:val="00D57C0F"/>
    <w:rsid w:val="00D601D8"/>
    <w:rsid w:val="00D60310"/>
    <w:rsid w:val="00D60881"/>
    <w:rsid w:val="00D60BF6"/>
    <w:rsid w:val="00D63187"/>
    <w:rsid w:val="00D641A8"/>
    <w:rsid w:val="00D6580C"/>
    <w:rsid w:val="00D65EEE"/>
    <w:rsid w:val="00D66012"/>
    <w:rsid w:val="00D66D0F"/>
    <w:rsid w:val="00D67332"/>
    <w:rsid w:val="00D6734B"/>
    <w:rsid w:val="00D67A92"/>
    <w:rsid w:val="00D67B4C"/>
    <w:rsid w:val="00D70A70"/>
    <w:rsid w:val="00D714F3"/>
    <w:rsid w:val="00D71944"/>
    <w:rsid w:val="00D726AD"/>
    <w:rsid w:val="00D7292B"/>
    <w:rsid w:val="00D7294E"/>
    <w:rsid w:val="00D73570"/>
    <w:rsid w:val="00D73611"/>
    <w:rsid w:val="00D74A3D"/>
    <w:rsid w:val="00D7510A"/>
    <w:rsid w:val="00D75209"/>
    <w:rsid w:val="00D75822"/>
    <w:rsid w:val="00D75CB2"/>
    <w:rsid w:val="00D76EB4"/>
    <w:rsid w:val="00D76EEF"/>
    <w:rsid w:val="00D76F95"/>
    <w:rsid w:val="00D778A9"/>
    <w:rsid w:val="00D80547"/>
    <w:rsid w:val="00D8277A"/>
    <w:rsid w:val="00D829BA"/>
    <w:rsid w:val="00D82A11"/>
    <w:rsid w:val="00D82EAE"/>
    <w:rsid w:val="00D82F48"/>
    <w:rsid w:val="00D8341A"/>
    <w:rsid w:val="00D8361B"/>
    <w:rsid w:val="00D83910"/>
    <w:rsid w:val="00D839CD"/>
    <w:rsid w:val="00D84653"/>
    <w:rsid w:val="00D8684F"/>
    <w:rsid w:val="00D87BF1"/>
    <w:rsid w:val="00D87E75"/>
    <w:rsid w:val="00D90857"/>
    <w:rsid w:val="00D90EAF"/>
    <w:rsid w:val="00D9105C"/>
    <w:rsid w:val="00D91440"/>
    <w:rsid w:val="00D9186B"/>
    <w:rsid w:val="00D92559"/>
    <w:rsid w:val="00D92E24"/>
    <w:rsid w:val="00D92F8A"/>
    <w:rsid w:val="00D93463"/>
    <w:rsid w:val="00D941BC"/>
    <w:rsid w:val="00D942B0"/>
    <w:rsid w:val="00D9443B"/>
    <w:rsid w:val="00D949B1"/>
    <w:rsid w:val="00D949E4"/>
    <w:rsid w:val="00D95007"/>
    <w:rsid w:val="00D9500B"/>
    <w:rsid w:val="00D955A6"/>
    <w:rsid w:val="00D96272"/>
    <w:rsid w:val="00D9655A"/>
    <w:rsid w:val="00D96846"/>
    <w:rsid w:val="00D97822"/>
    <w:rsid w:val="00DA039C"/>
    <w:rsid w:val="00DA0524"/>
    <w:rsid w:val="00DA0573"/>
    <w:rsid w:val="00DA08DB"/>
    <w:rsid w:val="00DA1103"/>
    <w:rsid w:val="00DA119F"/>
    <w:rsid w:val="00DA2831"/>
    <w:rsid w:val="00DA2841"/>
    <w:rsid w:val="00DA289B"/>
    <w:rsid w:val="00DA2FC3"/>
    <w:rsid w:val="00DA3174"/>
    <w:rsid w:val="00DA32DE"/>
    <w:rsid w:val="00DA3D6B"/>
    <w:rsid w:val="00DA40D2"/>
    <w:rsid w:val="00DA459C"/>
    <w:rsid w:val="00DA45DB"/>
    <w:rsid w:val="00DA4606"/>
    <w:rsid w:val="00DA4891"/>
    <w:rsid w:val="00DA6054"/>
    <w:rsid w:val="00DA62BC"/>
    <w:rsid w:val="00DA774E"/>
    <w:rsid w:val="00DB035F"/>
    <w:rsid w:val="00DB0E57"/>
    <w:rsid w:val="00DB0EC9"/>
    <w:rsid w:val="00DB0F91"/>
    <w:rsid w:val="00DB1753"/>
    <w:rsid w:val="00DB179B"/>
    <w:rsid w:val="00DB369F"/>
    <w:rsid w:val="00DB3900"/>
    <w:rsid w:val="00DB4144"/>
    <w:rsid w:val="00DB4933"/>
    <w:rsid w:val="00DB4A03"/>
    <w:rsid w:val="00DB5062"/>
    <w:rsid w:val="00DB5348"/>
    <w:rsid w:val="00DB5438"/>
    <w:rsid w:val="00DB6E7F"/>
    <w:rsid w:val="00DB6F56"/>
    <w:rsid w:val="00DB7C31"/>
    <w:rsid w:val="00DC093D"/>
    <w:rsid w:val="00DC0CAF"/>
    <w:rsid w:val="00DC0E48"/>
    <w:rsid w:val="00DC1A90"/>
    <w:rsid w:val="00DC1C54"/>
    <w:rsid w:val="00DC1E44"/>
    <w:rsid w:val="00DC272A"/>
    <w:rsid w:val="00DC3945"/>
    <w:rsid w:val="00DC4075"/>
    <w:rsid w:val="00DC605B"/>
    <w:rsid w:val="00DC6369"/>
    <w:rsid w:val="00DC6530"/>
    <w:rsid w:val="00DC692C"/>
    <w:rsid w:val="00DC6F75"/>
    <w:rsid w:val="00DC7D28"/>
    <w:rsid w:val="00DD0683"/>
    <w:rsid w:val="00DD070B"/>
    <w:rsid w:val="00DD0A02"/>
    <w:rsid w:val="00DD0FB5"/>
    <w:rsid w:val="00DD186F"/>
    <w:rsid w:val="00DD1E16"/>
    <w:rsid w:val="00DD20C8"/>
    <w:rsid w:val="00DD26BA"/>
    <w:rsid w:val="00DD3073"/>
    <w:rsid w:val="00DD3079"/>
    <w:rsid w:val="00DD30C3"/>
    <w:rsid w:val="00DD3178"/>
    <w:rsid w:val="00DD31CF"/>
    <w:rsid w:val="00DD35A8"/>
    <w:rsid w:val="00DD3A5F"/>
    <w:rsid w:val="00DD3B29"/>
    <w:rsid w:val="00DD3E15"/>
    <w:rsid w:val="00DD509C"/>
    <w:rsid w:val="00DD5264"/>
    <w:rsid w:val="00DD5591"/>
    <w:rsid w:val="00DD5B44"/>
    <w:rsid w:val="00DD5E11"/>
    <w:rsid w:val="00DD5E91"/>
    <w:rsid w:val="00DD7500"/>
    <w:rsid w:val="00DD7BD5"/>
    <w:rsid w:val="00DE226B"/>
    <w:rsid w:val="00DE271B"/>
    <w:rsid w:val="00DE3836"/>
    <w:rsid w:val="00DE3B28"/>
    <w:rsid w:val="00DE3FA1"/>
    <w:rsid w:val="00DE4A6C"/>
    <w:rsid w:val="00DE50FC"/>
    <w:rsid w:val="00DE6CB3"/>
    <w:rsid w:val="00DE6F6D"/>
    <w:rsid w:val="00DE77E7"/>
    <w:rsid w:val="00DF00F4"/>
    <w:rsid w:val="00DF03DA"/>
    <w:rsid w:val="00DF0BE6"/>
    <w:rsid w:val="00DF133D"/>
    <w:rsid w:val="00DF19B4"/>
    <w:rsid w:val="00DF277E"/>
    <w:rsid w:val="00DF27D6"/>
    <w:rsid w:val="00DF29CE"/>
    <w:rsid w:val="00DF2CB9"/>
    <w:rsid w:val="00DF33B4"/>
    <w:rsid w:val="00DF3528"/>
    <w:rsid w:val="00DF3BD6"/>
    <w:rsid w:val="00DF3F31"/>
    <w:rsid w:val="00DF51D3"/>
    <w:rsid w:val="00DF52CE"/>
    <w:rsid w:val="00DF554C"/>
    <w:rsid w:val="00DF571D"/>
    <w:rsid w:val="00DF5E86"/>
    <w:rsid w:val="00DF673C"/>
    <w:rsid w:val="00DF6FF5"/>
    <w:rsid w:val="00DF75F9"/>
    <w:rsid w:val="00E0040E"/>
    <w:rsid w:val="00E00ABA"/>
    <w:rsid w:val="00E01705"/>
    <w:rsid w:val="00E0183F"/>
    <w:rsid w:val="00E02459"/>
    <w:rsid w:val="00E027FB"/>
    <w:rsid w:val="00E03382"/>
    <w:rsid w:val="00E03926"/>
    <w:rsid w:val="00E0464D"/>
    <w:rsid w:val="00E04DF1"/>
    <w:rsid w:val="00E04F66"/>
    <w:rsid w:val="00E04FB5"/>
    <w:rsid w:val="00E05083"/>
    <w:rsid w:val="00E05220"/>
    <w:rsid w:val="00E054EA"/>
    <w:rsid w:val="00E0579F"/>
    <w:rsid w:val="00E05DA7"/>
    <w:rsid w:val="00E05E70"/>
    <w:rsid w:val="00E064D8"/>
    <w:rsid w:val="00E069A0"/>
    <w:rsid w:val="00E06E7C"/>
    <w:rsid w:val="00E0766B"/>
    <w:rsid w:val="00E079D8"/>
    <w:rsid w:val="00E079E2"/>
    <w:rsid w:val="00E07EAF"/>
    <w:rsid w:val="00E11385"/>
    <w:rsid w:val="00E11420"/>
    <w:rsid w:val="00E118ED"/>
    <w:rsid w:val="00E124DB"/>
    <w:rsid w:val="00E13477"/>
    <w:rsid w:val="00E13C1D"/>
    <w:rsid w:val="00E15315"/>
    <w:rsid w:val="00E155D9"/>
    <w:rsid w:val="00E15F05"/>
    <w:rsid w:val="00E16148"/>
    <w:rsid w:val="00E168FD"/>
    <w:rsid w:val="00E202FC"/>
    <w:rsid w:val="00E20595"/>
    <w:rsid w:val="00E213A2"/>
    <w:rsid w:val="00E21482"/>
    <w:rsid w:val="00E21F99"/>
    <w:rsid w:val="00E22AF0"/>
    <w:rsid w:val="00E22E88"/>
    <w:rsid w:val="00E2307F"/>
    <w:rsid w:val="00E230A0"/>
    <w:rsid w:val="00E23FD4"/>
    <w:rsid w:val="00E240D9"/>
    <w:rsid w:val="00E2467E"/>
    <w:rsid w:val="00E25576"/>
    <w:rsid w:val="00E25D0B"/>
    <w:rsid w:val="00E25FE1"/>
    <w:rsid w:val="00E2602E"/>
    <w:rsid w:val="00E2621B"/>
    <w:rsid w:val="00E26467"/>
    <w:rsid w:val="00E26720"/>
    <w:rsid w:val="00E26BAF"/>
    <w:rsid w:val="00E26F2C"/>
    <w:rsid w:val="00E27615"/>
    <w:rsid w:val="00E27913"/>
    <w:rsid w:val="00E303A9"/>
    <w:rsid w:val="00E308CC"/>
    <w:rsid w:val="00E3150C"/>
    <w:rsid w:val="00E3172E"/>
    <w:rsid w:val="00E31ACC"/>
    <w:rsid w:val="00E31C97"/>
    <w:rsid w:val="00E324CE"/>
    <w:rsid w:val="00E3388A"/>
    <w:rsid w:val="00E33C0B"/>
    <w:rsid w:val="00E34290"/>
    <w:rsid w:val="00E3500D"/>
    <w:rsid w:val="00E353AD"/>
    <w:rsid w:val="00E364E5"/>
    <w:rsid w:val="00E36741"/>
    <w:rsid w:val="00E36A24"/>
    <w:rsid w:val="00E36AA1"/>
    <w:rsid w:val="00E37159"/>
    <w:rsid w:val="00E3781B"/>
    <w:rsid w:val="00E37883"/>
    <w:rsid w:val="00E379F7"/>
    <w:rsid w:val="00E37BE8"/>
    <w:rsid w:val="00E37E44"/>
    <w:rsid w:val="00E37FB9"/>
    <w:rsid w:val="00E417BA"/>
    <w:rsid w:val="00E41939"/>
    <w:rsid w:val="00E42233"/>
    <w:rsid w:val="00E424E4"/>
    <w:rsid w:val="00E428DB"/>
    <w:rsid w:val="00E43061"/>
    <w:rsid w:val="00E43BF8"/>
    <w:rsid w:val="00E4421E"/>
    <w:rsid w:val="00E44806"/>
    <w:rsid w:val="00E44C22"/>
    <w:rsid w:val="00E45024"/>
    <w:rsid w:val="00E4507C"/>
    <w:rsid w:val="00E45833"/>
    <w:rsid w:val="00E45A33"/>
    <w:rsid w:val="00E461C1"/>
    <w:rsid w:val="00E46CCC"/>
    <w:rsid w:val="00E470C4"/>
    <w:rsid w:val="00E4736D"/>
    <w:rsid w:val="00E4744C"/>
    <w:rsid w:val="00E47B57"/>
    <w:rsid w:val="00E47F44"/>
    <w:rsid w:val="00E50051"/>
    <w:rsid w:val="00E50A5D"/>
    <w:rsid w:val="00E50B22"/>
    <w:rsid w:val="00E50DAB"/>
    <w:rsid w:val="00E51A1E"/>
    <w:rsid w:val="00E54736"/>
    <w:rsid w:val="00E54B48"/>
    <w:rsid w:val="00E563B5"/>
    <w:rsid w:val="00E56BA7"/>
    <w:rsid w:val="00E57DC3"/>
    <w:rsid w:val="00E60127"/>
    <w:rsid w:val="00E60704"/>
    <w:rsid w:val="00E60983"/>
    <w:rsid w:val="00E60AA9"/>
    <w:rsid w:val="00E61A61"/>
    <w:rsid w:val="00E61EC5"/>
    <w:rsid w:val="00E624E7"/>
    <w:rsid w:val="00E62FF8"/>
    <w:rsid w:val="00E63167"/>
    <w:rsid w:val="00E63963"/>
    <w:rsid w:val="00E644CB"/>
    <w:rsid w:val="00E64588"/>
    <w:rsid w:val="00E6484E"/>
    <w:rsid w:val="00E64BA3"/>
    <w:rsid w:val="00E64D94"/>
    <w:rsid w:val="00E64D95"/>
    <w:rsid w:val="00E64EC9"/>
    <w:rsid w:val="00E65F6A"/>
    <w:rsid w:val="00E66294"/>
    <w:rsid w:val="00E664AA"/>
    <w:rsid w:val="00E66982"/>
    <w:rsid w:val="00E66C13"/>
    <w:rsid w:val="00E66C7C"/>
    <w:rsid w:val="00E66F1C"/>
    <w:rsid w:val="00E670BD"/>
    <w:rsid w:val="00E67640"/>
    <w:rsid w:val="00E67BDE"/>
    <w:rsid w:val="00E67DCB"/>
    <w:rsid w:val="00E67FBE"/>
    <w:rsid w:val="00E707A2"/>
    <w:rsid w:val="00E70B78"/>
    <w:rsid w:val="00E70C23"/>
    <w:rsid w:val="00E70F8C"/>
    <w:rsid w:val="00E71164"/>
    <w:rsid w:val="00E718BF"/>
    <w:rsid w:val="00E729B6"/>
    <w:rsid w:val="00E72BB7"/>
    <w:rsid w:val="00E72C79"/>
    <w:rsid w:val="00E72D7F"/>
    <w:rsid w:val="00E72E5D"/>
    <w:rsid w:val="00E73158"/>
    <w:rsid w:val="00E739D7"/>
    <w:rsid w:val="00E75066"/>
    <w:rsid w:val="00E75A70"/>
    <w:rsid w:val="00E75F22"/>
    <w:rsid w:val="00E76684"/>
    <w:rsid w:val="00E76C03"/>
    <w:rsid w:val="00E8024F"/>
    <w:rsid w:val="00E80589"/>
    <w:rsid w:val="00E80BFF"/>
    <w:rsid w:val="00E80CB1"/>
    <w:rsid w:val="00E81463"/>
    <w:rsid w:val="00E814B1"/>
    <w:rsid w:val="00E81978"/>
    <w:rsid w:val="00E81B49"/>
    <w:rsid w:val="00E8214A"/>
    <w:rsid w:val="00E827F9"/>
    <w:rsid w:val="00E829A8"/>
    <w:rsid w:val="00E829AA"/>
    <w:rsid w:val="00E832F5"/>
    <w:rsid w:val="00E838DB"/>
    <w:rsid w:val="00E857A1"/>
    <w:rsid w:val="00E85B44"/>
    <w:rsid w:val="00E8617B"/>
    <w:rsid w:val="00E86CAF"/>
    <w:rsid w:val="00E8731C"/>
    <w:rsid w:val="00E878A2"/>
    <w:rsid w:val="00E90672"/>
    <w:rsid w:val="00E91970"/>
    <w:rsid w:val="00E91B89"/>
    <w:rsid w:val="00E9342D"/>
    <w:rsid w:val="00E93890"/>
    <w:rsid w:val="00E9406E"/>
    <w:rsid w:val="00E94605"/>
    <w:rsid w:val="00E953BE"/>
    <w:rsid w:val="00E96180"/>
    <w:rsid w:val="00E9642B"/>
    <w:rsid w:val="00E96825"/>
    <w:rsid w:val="00E96D39"/>
    <w:rsid w:val="00E97892"/>
    <w:rsid w:val="00E97FB5"/>
    <w:rsid w:val="00EA2276"/>
    <w:rsid w:val="00EA22F9"/>
    <w:rsid w:val="00EA2D11"/>
    <w:rsid w:val="00EA3185"/>
    <w:rsid w:val="00EA3B3C"/>
    <w:rsid w:val="00EA4114"/>
    <w:rsid w:val="00EA41D6"/>
    <w:rsid w:val="00EA4233"/>
    <w:rsid w:val="00EA4376"/>
    <w:rsid w:val="00EA438F"/>
    <w:rsid w:val="00EA50D8"/>
    <w:rsid w:val="00EA54A6"/>
    <w:rsid w:val="00EA5875"/>
    <w:rsid w:val="00EA5D74"/>
    <w:rsid w:val="00EA608F"/>
    <w:rsid w:val="00EA7ED7"/>
    <w:rsid w:val="00EB0A5C"/>
    <w:rsid w:val="00EB1143"/>
    <w:rsid w:val="00EB137F"/>
    <w:rsid w:val="00EB16DD"/>
    <w:rsid w:val="00EB17A4"/>
    <w:rsid w:val="00EB2D9F"/>
    <w:rsid w:val="00EB3193"/>
    <w:rsid w:val="00EB3963"/>
    <w:rsid w:val="00EB3D2E"/>
    <w:rsid w:val="00EB3F11"/>
    <w:rsid w:val="00EB471C"/>
    <w:rsid w:val="00EB4F7E"/>
    <w:rsid w:val="00EB612D"/>
    <w:rsid w:val="00EB6739"/>
    <w:rsid w:val="00EB79D0"/>
    <w:rsid w:val="00EB7C43"/>
    <w:rsid w:val="00EB7F4D"/>
    <w:rsid w:val="00EC0A1A"/>
    <w:rsid w:val="00EC14D8"/>
    <w:rsid w:val="00EC1826"/>
    <w:rsid w:val="00EC22D2"/>
    <w:rsid w:val="00EC2E5F"/>
    <w:rsid w:val="00EC3A70"/>
    <w:rsid w:val="00EC3E3A"/>
    <w:rsid w:val="00EC44B5"/>
    <w:rsid w:val="00EC4A42"/>
    <w:rsid w:val="00EC4E2D"/>
    <w:rsid w:val="00EC550A"/>
    <w:rsid w:val="00EC6101"/>
    <w:rsid w:val="00EC6809"/>
    <w:rsid w:val="00EC6ED7"/>
    <w:rsid w:val="00EC7091"/>
    <w:rsid w:val="00EC79C0"/>
    <w:rsid w:val="00EC7BAF"/>
    <w:rsid w:val="00EC7BBE"/>
    <w:rsid w:val="00EC7BC3"/>
    <w:rsid w:val="00ED0347"/>
    <w:rsid w:val="00ED036A"/>
    <w:rsid w:val="00ED03A6"/>
    <w:rsid w:val="00ED03BE"/>
    <w:rsid w:val="00ED062B"/>
    <w:rsid w:val="00ED0824"/>
    <w:rsid w:val="00ED0940"/>
    <w:rsid w:val="00ED13D8"/>
    <w:rsid w:val="00ED17B2"/>
    <w:rsid w:val="00ED1848"/>
    <w:rsid w:val="00ED1B6A"/>
    <w:rsid w:val="00ED2B31"/>
    <w:rsid w:val="00ED3A85"/>
    <w:rsid w:val="00ED3BE7"/>
    <w:rsid w:val="00ED45A6"/>
    <w:rsid w:val="00ED4A29"/>
    <w:rsid w:val="00ED4B7D"/>
    <w:rsid w:val="00ED4FC2"/>
    <w:rsid w:val="00ED57AB"/>
    <w:rsid w:val="00ED59EF"/>
    <w:rsid w:val="00ED5FD2"/>
    <w:rsid w:val="00ED5FD7"/>
    <w:rsid w:val="00ED64B0"/>
    <w:rsid w:val="00ED6EFD"/>
    <w:rsid w:val="00ED6F56"/>
    <w:rsid w:val="00ED708C"/>
    <w:rsid w:val="00EE0773"/>
    <w:rsid w:val="00EE0B9E"/>
    <w:rsid w:val="00EE19B3"/>
    <w:rsid w:val="00EE1D78"/>
    <w:rsid w:val="00EE259B"/>
    <w:rsid w:val="00EE287B"/>
    <w:rsid w:val="00EE2ABC"/>
    <w:rsid w:val="00EE2AFA"/>
    <w:rsid w:val="00EE3789"/>
    <w:rsid w:val="00EE3809"/>
    <w:rsid w:val="00EE39A6"/>
    <w:rsid w:val="00EE3EFC"/>
    <w:rsid w:val="00EE41CB"/>
    <w:rsid w:val="00EE4942"/>
    <w:rsid w:val="00EE4CC3"/>
    <w:rsid w:val="00EE5A60"/>
    <w:rsid w:val="00EE69AC"/>
    <w:rsid w:val="00EE6C02"/>
    <w:rsid w:val="00EE7EDB"/>
    <w:rsid w:val="00EF04A0"/>
    <w:rsid w:val="00EF05A6"/>
    <w:rsid w:val="00EF12EA"/>
    <w:rsid w:val="00EF28F7"/>
    <w:rsid w:val="00EF2986"/>
    <w:rsid w:val="00EF2DB3"/>
    <w:rsid w:val="00EF33AC"/>
    <w:rsid w:val="00EF43A5"/>
    <w:rsid w:val="00EF47F7"/>
    <w:rsid w:val="00EF49D2"/>
    <w:rsid w:val="00EF563F"/>
    <w:rsid w:val="00EF5AB6"/>
    <w:rsid w:val="00EF6B84"/>
    <w:rsid w:val="00EF6D2C"/>
    <w:rsid w:val="00EF7753"/>
    <w:rsid w:val="00EF78DE"/>
    <w:rsid w:val="00EF7C7B"/>
    <w:rsid w:val="00F006B5"/>
    <w:rsid w:val="00F015B8"/>
    <w:rsid w:val="00F01607"/>
    <w:rsid w:val="00F01650"/>
    <w:rsid w:val="00F01968"/>
    <w:rsid w:val="00F0198C"/>
    <w:rsid w:val="00F02159"/>
    <w:rsid w:val="00F021EF"/>
    <w:rsid w:val="00F02C5C"/>
    <w:rsid w:val="00F02E9D"/>
    <w:rsid w:val="00F0357D"/>
    <w:rsid w:val="00F04945"/>
    <w:rsid w:val="00F049FA"/>
    <w:rsid w:val="00F04CD4"/>
    <w:rsid w:val="00F057A9"/>
    <w:rsid w:val="00F05864"/>
    <w:rsid w:val="00F059D8"/>
    <w:rsid w:val="00F060AD"/>
    <w:rsid w:val="00F0616B"/>
    <w:rsid w:val="00F0654C"/>
    <w:rsid w:val="00F06BB4"/>
    <w:rsid w:val="00F06E60"/>
    <w:rsid w:val="00F07D07"/>
    <w:rsid w:val="00F101A1"/>
    <w:rsid w:val="00F10342"/>
    <w:rsid w:val="00F105B0"/>
    <w:rsid w:val="00F126C9"/>
    <w:rsid w:val="00F1293C"/>
    <w:rsid w:val="00F13716"/>
    <w:rsid w:val="00F13863"/>
    <w:rsid w:val="00F13992"/>
    <w:rsid w:val="00F13B58"/>
    <w:rsid w:val="00F13F6F"/>
    <w:rsid w:val="00F14556"/>
    <w:rsid w:val="00F150CA"/>
    <w:rsid w:val="00F15F35"/>
    <w:rsid w:val="00F165F9"/>
    <w:rsid w:val="00F166B5"/>
    <w:rsid w:val="00F1672A"/>
    <w:rsid w:val="00F16ABB"/>
    <w:rsid w:val="00F16C1F"/>
    <w:rsid w:val="00F16DF8"/>
    <w:rsid w:val="00F17372"/>
    <w:rsid w:val="00F20039"/>
    <w:rsid w:val="00F2045E"/>
    <w:rsid w:val="00F208B9"/>
    <w:rsid w:val="00F21001"/>
    <w:rsid w:val="00F21958"/>
    <w:rsid w:val="00F21AF2"/>
    <w:rsid w:val="00F21B31"/>
    <w:rsid w:val="00F22FD2"/>
    <w:rsid w:val="00F2369C"/>
    <w:rsid w:val="00F2433A"/>
    <w:rsid w:val="00F24E82"/>
    <w:rsid w:val="00F2513A"/>
    <w:rsid w:val="00F25209"/>
    <w:rsid w:val="00F26C3D"/>
    <w:rsid w:val="00F27CE4"/>
    <w:rsid w:val="00F306E7"/>
    <w:rsid w:val="00F31967"/>
    <w:rsid w:val="00F31A9E"/>
    <w:rsid w:val="00F31C71"/>
    <w:rsid w:val="00F3272E"/>
    <w:rsid w:val="00F32D6C"/>
    <w:rsid w:val="00F3358F"/>
    <w:rsid w:val="00F33EA8"/>
    <w:rsid w:val="00F35C41"/>
    <w:rsid w:val="00F36A65"/>
    <w:rsid w:val="00F36B07"/>
    <w:rsid w:val="00F37A27"/>
    <w:rsid w:val="00F37CD1"/>
    <w:rsid w:val="00F37DEE"/>
    <w:rsid w:val="00F40B5A"/>
    <w:rsid w:val="00F40BBA"/>
    <w:rsid w:val="00F41884"/>
    <w:rsid w:val="00F42ED4"/>
    <w:rsid w:val="00F43C51"/>
    <w:rsid w:val="00F43CBE"/>
    <w:rsid w:val="00F443E4"/>
    <w:rsid w:val="00F448D8"/>
    <w:rsid w:val="00F451ED"/>
    <w:rsid w:val="00F45802"/>
    <w:rsid w:val="00F4635A"/>
    <w:rsid w:val="00F46909"/>
    <w:rsid w:val="00F469B7"/>
    <w:rsid w:val="00F47C3C"/>
    <w:rsid w:val="00F47E09"/>
    <w:rsid w:val="00F50C4F"/>
    <w:rsid w:val="00F51305"/>
    <w:rsid w:val="00F5134F"/>
    <w:rsid w:val="00F52315"/>
    <w:rsid w:val="00F52614"/>
    <w:rsid w:val="00F529F4"/>
    <w:rsid w:val="00F52BFB"/>
    <w:rsid w:val="00F535CC"/>
    <w:rsid w:val="00F53B34"/>
    <w:rsid w:val="00F54F06"/>
    <w:rsid w:val="00F551C9"/>
    <w:rsid w:val="00F553A4"/>
    <w:rsid w:val="00F55E4D"/>
    <w:rsid w:val="00F5623F"/>
    <w:rsid w:val="00F5633C"/>
    <w:rsid w:val="00F565BF"/>
    <w:rsid w:val="00F56AF2"/>
    <w:rsid w:val="00F56F21"/>
    <w:rsid w:val="00F56F53"/>
    <w:rsid w:val="00F5738A"/>
    <w:rsid w:val="00F5788B"/>
    <w:rsid w:val="00F57D04"/>
    <w:rsid w:val="00F60ADE"/>
    <w:rsid w:val="00F610AC"/>
    <w:rsid w:val="00F611A5"/>
    <w:rsid w:val="00F611E0"/>
    <w:rsid w:val="00F62AB9"/>
    <w:rsid w:val="00F6311F"/>
    <w:rsid w:val="00F63293"/>
    <w:rsid w:val="00F64128"/>
    <w:rsid w:val="00F6435D"/>
    <w:rsid w:val="00F64364"/>
    <w:rsid w:val="00F64C4A"/>
    <w:rsid w:val="00F6541F"/>
    <w:rsid w:val="00F658D4"/>
    <w:rsid w:val="00F65B50"/>
    <w:rsid w:val="00F66A27"/>
    <w:rsid w:val="00F66E12"/>
    <w:rsid w:val="00F6737A"/>
    <w:rsid w:val="00F6792F"/>
    <w:rsid w:val="00F67DAF"/>
    <w:rsid w:val="00F703A5"/>
    <w:rsid w:val="00F71157"/>
    <w:rsid w:val="00F71DD8"/>
    <w:rsid w:val="00F72449"/>
    <w:rsid w:val="00F73D97"/>
    <w:rsid w:val="00F73DC1"/>
    <w:rsid w:val="00F74328"/>
    <w:rsid w:val="00F7506F"/>
    <w:rsid w:val="00F758A1"/>
    <w:rsid w:val="00F758D5"/>
    <w:rsid w:val="00F75E12"/>
    <w:rsid w:val="00F760C7"/>
    <w:rsid w:val="00F7658E"/>
    <w:rsid w:val="00F76968"/>
    <w:rsid w:val="00F76992"/>
    <w:rsid w:val="00F76CAE"/>
    <w:rsid w:val="00F76D01"/>
    <w:rsid w:val="00F779A5"/>
    <w:rsid w:val="00F805A0"/>
    <w:rsid w:val="00F81886"/>
    <w:rsid w:val="00F818B8"/>
    <w:rsid w:val="00F81EFB"/>
    <w:rsid w:val="00F8239E"/>
    <w:rsid w:val="00F82A4C"/>
    <w:rsid w:val="00F83481"/>
    <w:rsid w:val="00F83EDF"/>
    <w:rsid w:val="00F83F97"/>
    <w:rsid w:val="00F85603"/>
    <w:rsid w:val="00F85D68"/>
    <w:rsid w:val="00F85F74"/>
    <w:rsid w:val="00F86229"/>
    <w:rsid w:val="00F87AAC"/>
    <w:rsid w:val="00F9016E"/>
    <w:rsid w:val="00F90690"/>
    <w:rsid w:val="00F9085C"/>
    <w:rsid w:val="00F90D39"/>
    <w:rsid w:val="00F90E5C"/>
    <w:rsid w:val="00F90FD8"/>
    <w:rsid w:val="00F910D4"/>
    <w:rsid w:val="00F92098"/>
    <w:rsid w:val="00F9333B"/>
    <w:rsid w:val="00F93528"/>
    <w:rsid w:val="00F93716"/>
    <w:rsid w:val="00F938D5"/>
    <w:rsid w:val="00F93909"/>
    <w:rsid w:val="00F93C50"/>
    <w:rsid w:val="00F948F9"/>
    <w:rsid w:val="00F94A05"/>
    <w:rsid w:val="00F95027"/>
    <w:rsid w:val="00F9577F"/>
    <w:rsid w:val="00F96464"/>
    <w:rsid w:val="00F97155"/>
    <w:rsid w:val="00F97240"/>
    <w:rsid w:val="00F9789A"/>
    <w:rsid w:val="00F97DE1"/>
    <w:rsid w:val="00FA0098"/>
    <w:rsid w:val="00FA0954"/>
    <w:rsid w:val="00FA09D7"/>
    <w:rsid w:val="00FA0E1D"/>
    <w:rsid w:val="00FA0FCD"/>
    <w:rsid w:val="00FA100F"/>
    <w:rsid w:val="00FA1662"/>
    <w:rsid w:val="00FA16FB"/>
    <w:rsid w:val="00FA1FA5"/>
    <w:rsid w:val="00FA1FE2"/>
    <w:rsid w:val="00FA221A"/>
    <w:rsid w:val="00FA2D87"/>
    <w:rsid w:val="00FA2EA7"/>
    <w:rsid w:val="00FA37FC"/>
    <w:rsid w:val="00FA3909"/>
    <w:rsid w:val="00FA3956"/>
    <w:rsid w:val="00FA4DF5"/>
    <w:rsid w:val="00FA51F7"/>
    <w:rsid w:val="00FA5800"/>
    <w:rsid w:val="00FA5EC0"/>
    <w:rsid w:val="00FA5FDC"/>
    <w:rsid w:val="00FA609E"/>
    <w:rsid w:val="00FA6106"/>
    <w:rsid w:val="00FA626E"/>
    <w:rsid w:val="00FA68BE"/>
    <w:rsid w:val="00FA68C6"/>
    <w:rsid w:val="00FA739B"/>
    <w:rsid w:val="00FA7E8D"/>
    <w:rsid w:val="00FB06A9"/>
    <w:rsid w:val="00FB06CF"/>
    <w:rsid w:val="00FB0A6F"/>
    <w:rsid w:val="00FB189E"/>
    <w:rsid w:val="00FB2207"/>
    <w:rsid w:val="00FB23A4"/>
    <w:rsid w:val="00FB2BD1"/>
    <w:rsid w:val="00FB30C9"/>
    <w:rsid w:val="00FB354E"/>
    <w:rsid w:val="00FB603F"/>
    <w:rsid w:val="00FB6778"/>
    <w:rsid w:val="00FB69E9"/>
    <w:rsid w:val="00FB6A48"/>
    <w:rsid w:val="00FB7422"/>
    <w:rsid w:val="00FB7557"/>
    <w:rsid w:val="00FB77E7"/>
    <w:rsid w:val="00FB7820"/>
    <w:rsid w:val="00FC010F"/>
    <w:rsid w:val="00FC0BD1"/>
    <w:rsid w:val="00FC0CCD"/>
    <w:rsid w:val="00FC1847"/>
    <w:rsid w:val="00FC19F0"/>
    <w:rsid w:val="00FC33F4"/>
    <w:rsid w:val="00FC3C20"/>
    <w:rsid w:val="00FC4641"/>
    <w:rsid w:val="00FC48A5"/>
    <w:rsid w:val="00FC4955"/>
    <w:rsid w:val="00FC4B08"/>
    <w:rsid w:val="00FC4C50"/>
    <w:rsid w:val="00FC5769"/>
    <w:rsid w:val="00FC58DA"/>
    <w:rsid w:val="00FC64A7"/>
    <w:rsid w:val="00FC6674"/>
    <w:rsid w:val="00FC68CA"/>
    <w:rsid w:val="00FC68CB"/>
    <w:rsid w:val="00FC6CAC"/>
    <w:rsid w:val="00FC7553"/>
    <w:rsid w:val="00FC7AD6"/>
    <w:rsid w:val="00FC7CB7"/>
    <w:rsid w:val="00FD0652"/>
    <w:rsid w:val="00FD073D"/>
    <w:rsid w:val="00FD0EFD"/>
    <w:rsid w:val="00FD1667"/>
    <w:rsid w:val="00FD194A"/>
    <w:rsid w:val="00FD32C7"/>
    <w:rsid w:val="00FD35E8"/>
    <w:rsid w:val="00FD3981"/>
    <w:rsid w:val="00FD451E"/>
    <w:rsid w:val="00FD470F"/>
    <w:rsid w:val="00FD56AE"/>
    <w:rsid w:val="00FD5902"/>
    <w:rsid w:val="00FD594F"/>
    <w:rsid w:val="00FD59CF"/>
    <w:rsid w:val="00FD6FC2"/>
    <w:rsid w:val="00FD7522"/>
    <w:rsid w:val="00FD77A8"/>
    <w:rsid w:val="00FD7B12"/>
    <w:rsid w:val="00FD7B67"/>
    <w:rsid w:val="00FD7BFE"/>
    <w:rsid w:val="00FD7C78"/>
    <w:rsid w:val="00FE06C5"/>
    <w:rsid w:val="00FE09A8"/>
    <w:rsid w:val="00FE0BA2"/>
    <w:rsid w:val="00FE1774"/>
    <w:rsid w:val="00FE1969"/>
    <w:rsid w:val="00FE1DF1"/>
    <w:rsid w:val="00FE27E9"/>
    <w:rsid w:val="00FE2BE7"/>
    <w:rsid w:val="00FE2CF1"/>
    <w:rsid w:val="00FE2FC0"/>
    <w:rsid w:val="00FE315A"/>
    <w:rsid w:val="00FE33A0"/>
    <w:rsid w:val="00FE37EA"/>
    <w:rsid w:val="00FE478B"/>
    <w:rsid w:val="00FE4D9A"/>
    <w:rsid w:val="00FE4F6E"/>
    <w:rsid w:val="00FE5631"/>
    <w:rsid w:val="00FE5B22"/>
    <w:rsid w:val="00FE5CEE"/>
    <w:rsid w:val="00FE5FBD"/>
    <w:rsid w:val="00FE6A4A"/>
    <w:rsid w:val="00FE7158"/>
    <w:rsid w:val="00FE7242"/>
    <w:rsid w:val="00FE76EB"/>
    <w:rsid w:val="00FF0072"/>
    <w:rsid w:val="00FF040C"/>
    <w:rsid w:val="00FF051C"/>
    <w:rsid w:val="00FF1325"/>
    <w:rsid w:val="00FF2DD8"/>
    <w:rsid w:val="00FF3978"/>
    <w:rsid w:val="00FF41CD"/>
    <w:rsid w:val="00FF45F8"/>
    <w:rsid w:val="00FF4C84"/>
    <w:rsid w:val="00FF4D01"/>
    <w:rsid w:val="00FF4F68"/>
    <w:rsid w:val="00FF5179"/>
    <w:rsid w:val="00FF52D1"/>
    <w:rsid w:val="00FF619D"/>
    <w:rsid w:val="00FF65BF"/>
    <w:rsid w:val="00FF6A18"/>
    <w:rsid w:val="00FF73A7"/>
    <w:rsid w:val="00FF77CC"/>
    <w:rsid w:val="00FF7D7B"/>
    <w:rsid w:val="0190C7C4"/>
    <w:rsid w:val="02390957"/>
    <w:rsid w:val="0266BE73"/>
    <w:rsid w:val="0297B645"/>
    <w:rsid w:val="02A24182"/>
    <w:rsid w:val="02B5F3EB"/>
    <w:rsid w:val="02C9CEED"/>
    <w:rsid w:val="02EFC512"/>
    <w:rsid w:val="02FFF7C3"/>
    <w:rsid w:val="030C0F22"/>
    <w:rsid w:val="03865BFF"/>
    <w:rsid w:val="0406CE14"/>
    <w:rsid w:val="0451E341"/>
    <w:rsid w:val="04757F64"/>
    <w:rsid w:val="0493B590"/>
    <w:rsid w:val="058734E8"/>
    <w:rsid w:val="05CD87C6"/>
    <w:rsid w:val="06331AC2"/>
    <w:rsid w:val="0646DA23"/>
    <w:rsid w:val="06649E1B"/>
    <w:rsid w:val="068E6382"/>
    <w:rsid w:val="06AF74F0"/>
    <w:rsid w:val="06C845BD"/>
    <w:rsid w:val="06F7E450"/>
    <w:rsid w:val="0709BBED"/>
    <w:rsid w:val="0736E5F7"/>
    <w:rsid w:val="07F82CB1"/>
    <w:rsid w:val="07F8A8A2"/>
    <w:rsid w:val="0809AB1E"/>
    <w:rsid w:val="08589DBE"/>
    <w:rsid w:val="08F6441B"/>
    <w:rsid w:val="09052888"/>
    <w:rsid w:val="0971C8FD"/>
    <w:rsid w:val="09729EF2"/>
    <w:rsid w:val="09AA8E66"/>
    <w:rsid w:val="0A0371C4"/>
    <w:rsid w:val="0AB39ED9"/>
    <w:rsid w:val="0AB8D7FF"/>
    <w:rsid w:val="0B37CB80"/>
    <w:rsid w:val="0BEDCB4C"/>
    <w:rsid w:val="0BEFB71C"/>
    <w:rsid w:val="0BF21051"/>
    <w:rsid w:val="0C2304B0"/>
    <w:rsid w:val="0C37E17C"/>
    <w:rsid w:val="0D4FCF62"/>
    <w:rsid w:val="0D67DD3E"/>
    <w:rsid w:val="0DFA5B23"/>
    <w:rsid w:val="0E00E700"/>
    <w:rsid w:val="0E46B99B"/>
    <w:rsid w:val="0E867269"/>
    <w:rsid w:val="0EB13C03"/>
    <w:rsid w:val="0F06181C"/>
    <w:rsid w:val="0F1AC7E6"/>
    <w:rsid w:val="0F39E8E3"/>
    <w:rsid w:val="0F910A8D"/>
    <w:rsid w:val="0FDC1412"/>
    <w:rsid w:val="101205D1"/>
    <w:rsid w:val="1028EA34"/>
    <w:rsid w:val="10977D96"/>
    <w:rsid w:val="10E179C7"/>
    <w:rsid w:val="113887C2"/>
    <w:rsid w:val="1185751F"/>
    <w:rsid w:val="11ADD632"/>
    <w:rsid w:val="11E99B1D"/>
    <w:rsid w:val="12015A20"/>
    <w:rsid w:val="1229F684"/>
    <w:rsid w:val="123FD7D9"/>
    <w:rsid w:val="12743D74"/>
    <w:rsid w:val="12CF0E9B"/>
    <w:rsid w:val="12DCBD8B"/>
    <w:rsid w:val="13095B25"/>
    <w:rsid w:val="133C5FCD"/>
    <w:rsid w:val="1344ACA6"/>
    <w:rsid w:val="135F3BA5"/>
    <w:rsid w:val="13991348"/>
    <w:rsid w:val="13B08D46"/>
    <w:rsid w:val="13BFEB44"/>
    <w:rsid w:val="14214655"/>
    <w:rsid w:val="1423A4E1"/>
    <w:rsid w:val="1445B15F"/>
    <w:rsid w:val="14CD18E0"/>
    <w:rsid w:val="153D5D14"/>
    <w:rsid w:val="154BB694"/>
    <w:rsid w:val="156B677D"/>
    <w:rsid w:val="1593CD4D"/>
    <w:rsid w:val="15A06C19"/>
    <w:rsid w:val="15ED5808"/>
    <w:rsid w:val="16101C8E"/>
    <w:rsid w:val="16965132"/>
    <w:rsid w:val="1818D43E"/>
    <w:rsid w:val="182F1CD6"/>
    <w:rsid w:val="183D15EC"/>
    <w:rsid w:val="185A1687"/>
    <w:rsid w:val="199961F6"/>
    <w:rsid w:val="19C2FFB1"/>
    <w:rsid w:val="1A0FF34C"/>
    <w:rsid w:val="1A1DF7CF"/>
    <w:rsid w:val="1A7BBC11"/>
    <w:rsid w:val="1AB6C2A4"/>
    <w:rsid w:val="1ABC4A9C"/>
    <w:rsid w:val="1AC349C5"/>
    <w:rsid w:val="1B0FED07"/>
    <w:rsid w:val="1B949D77"/>
    <w:rsid w:val="1BC283D1"/>
    <w:rsid w:val="1BC3046E"/>
    <w:rsid w:val="1BDD3FC5"/>
    <w:rsid w:val="1BEB5072"/>
    <w:rsid w:val="1C6F8294"/>
    <w:rsid w:val="1C7B3A69"/>
    <w:rsid w:val="1D7FF65E"/>
    <w:rsid w:val="1DCD5302"/>
    <w:rsid w:val="1EAE3770"/>
    <w:rsid w:val="1EF23081"/>
    <w:rsid w:val="1F30762C"/>
    <w:rsid w:val="208D3953"/>
    <w:rsid w:val="208F7B3D"/>
    <w:rsid w:val="20A69E1E"/>
    <w:rsid w:val="21D30349"/>
    <w:rsid w:val="22B2F01C"/>
    <w:rsid w:val="22F2C382"/>
    <w:rsid w:val="23304762"/>
    <w:rsid w:val="239DC54D"/>
    <w:rsid w:val="23A9E991"/>
    <w:rsid w:val="24044B0A"/>
    <w:rsid w:val="2445B145"/>
    <w:rsid w:val="257A0F41"/>
    <w:rsid w:val="26348C3E"/>
    <w:rsid w:val="267C678E"/>
    <w:rsid w:val="2749332D"/>
    <w:rsid w:val="279C090F"/>
    <w:rsid w:val="27FA8D02"/>
    <w:rsid w:val="282D4CFB"/>
    <w:rsid w:val="2895EB99"/>
    <w:rsid w:val="28DD26A9"/>
    <w:rsid w:val="29183477"/>
    <w:rsid w:val="2929E4CF"/>
    <w:rsid w:val="2962552C"/>
    <w:rsid w:val="29C7F904"/>
    <w:rsid w:val="2B6BA68B"/>
    <w:rsid w:val="2BFB532B"/>
    <w:rsid w:val="2C1D54DE"/>
    <w:rsid w:val="2D23A406"/>
    <w:rsid w:val="2D2A402E"/>
    <w:rsid w:val="2DC1C118"/>
    <w:rsid w:val="2E123B09"/>
    <w:rsid w:val="2E442A23"/>
    <w:rsid w:val="2E93D8C0"/>
    <w:rsid w:val="2E94BCEF"/>
    <w:rsid w:val="2EB7FECF"/>
    <w:rsid w:val="2EDFE955"/>
    <w:rsid w:val="2F2343D4"/>
    <w:rsid w:val="2FDAC450"/>
    <w:rsid w:val="3084F8AE"/>
    <w:rsid w:val="30ABE120"/>
    <w:rsid w:val="30EFC760"/>
    <w:rsid w:val="314CD6E4"/>
    <w:rsid w:val="31E9A860"/>
    <w:rsid w:val="3223A582"/>
    <w:rsid w:val="328201FA"/>
    <w:rsid w:val="32BEDC3C"/>
    <w:rsid w:val="33E381E2"/>
    <w:rsid w:val="34246D98"/>
    <w:rsid w:val="343DED20"/>
    <w:rsid w:val="345E1AAD"/>
    <w:rsid w:val="34A64D30"/>
    <w:rsid w:val="351FAD00"/>
    <w:rsid w:val="356C09A9"/>
    <w:rsid w:val="35C03DF9"/>
    <w:rsid w:val="35E13632"/>
    <w:rsid w:val="3683F5FE"/>
    <w:rsid w:val="36A7BBF1"/>
    <w:rsid w:val="36DED346"/>
    <w:rsid w:val="36EA1B79"/>
    <w:rsid w:val="36EA33AB"/>
    <w:rsid w:val="3768A35E"/>
    <w:rsid w:val="37823AFA"/>
    <w:rsid w:val="38B2DAEC"/>
    <w:rsid w:val="38B9E82D"/>
    <w:rsid w:val="38C7CF68"/>
    <w:rsid w:val="38E1C5D5"/>
    <w:rsid w:val="38EF85CE"/>
    <w:rsid w:val="39874171"/>
    <w:rsid w:val="399555A4"/>
    <w:rsid w:val="3A51773A"/>
    <w:rsid w:val="3A5CEB60"/>
    <w:rsid w:val="3A8B553B"/>
    <w:rsid w:val="3BC5EC63"/>
    <w:rsid w:val="3BD30CC6"/>
    <w:rsid w:val="3BE616D2"/>
    <w:rsid w:val="3BF896DE"/>
    <w:rsid w:val="3C11E41E"/>
    <w:rsid w:val="3C2D9669"/>
    <w:rsid w:val="3C3C1481"/>
    <w:rsid w:val="3D948C22"/>
    <w:rsid w:val="3D98F4AC"/>
    <w:rsid w:val="3DF8354C"/>
    <w:rsid w:val="3E5C7ABB"/>
    <w:rsid w:val="3F105E28"/>
    <w:rsid w:val="3F581926"/>
    <w:rsid w:val="405AE332"/>
    <w:rsid w:val="407AA967"/>
    <w:rsid w:val="4130301D"/>
    <w:rsid w:val="421EEBB8"/>
    <w:rsid w:val="426D0F55"/>
    <w:rsid w:val="4289E5DB"/>
    <w:rsid w:val="42E7D389"/>
    <w:rsid w:val="43E07D4F"/>
    <w:rsid w:val="44026718"/>
    <w:rsid w:val="448CE9CB"/>
    <w:rsid w:val="459FE378"/>
    <w:rsid w:val="45EB1934"/>
    <w:rsid w:val="461AB0EB"/>
    <w:rsid w:val="46457B99"/>
    <w:rsid w:val="4678B664"/>
    <w:rsid w:val="46CD3E68"/>
    <w:rsid w:val="47106494"/>
    <w:rsid w:val="47A853D0"/>
    <w:rsid w:val="489A2F98"/>
    <w:rsid w:val="4963E966"/>
    <w:rsid w:val="499843D5"/>
    <w:rsid w:val="49B5A83A"/>
    <w:rsid w:val="4A4694F3"/>
    <w:rsid w:val="4AC8622E"/>
    <w:rsid w:val="4B8909B2"/>
    <w:rsid w:val="4BB3C027"/>
    <w:rsid w:val="4BCBE2E7"/>
    <w:rsid w:val="4BD8CD40"/>
    <w:rsid w:val="4C25932D"/>
    <w:rsid w:val="4C3482E2"/>
    <w:rsid w:val="4C40FD74"/>
    <w:rsid w:val="4CE90AE2"/>
    <w:rsid w:val="4DAFC435"/>
    <w:rsid w:val="4DDDFB5D"/>
    <w:rsid w:val="4DF45BD8"/>
    <w:rsid w:val="4E395362"/>
    <w:rsid w:val="4E9E72DF"/>
    <w:rsid w:val="4EB79B3C"/>
    <w:rsid w:val="4F280E62"/>
    <w:rsid w:val="4F463E17"/>
    <w:rsid w:val="4F4E5A8C"/>
    <w:rsid w:val="4F612566"/>
    <w:rsid w:val="4F623298"/>
    <w:rsid w:val="4FDD1ECB"/>
    <w:rsid w:val="4FFB6BE8"/>
    <w:rsid w:val="50072A33"/>
    <w:rsid w:val="50E35277"/>
    <w:rsid w:val="5104A0F8"/>
    <w:rsid w:val="51583696"/>
    <w:rsid w:val="515F5EA3"/>
    <w:rsid w:val="518592F7"/>
    <w:rsid w:val="51F6BC5B"/>
    <w:rsid w:val="524AF7A2"/>
    <w:rsid w:val="525FAF24"/>
    <w:rsid w:val="53094D70"/>
    <w:rsid w:val="534D7DCA"/>
    <w:rsid w:val="534E399C"/>
    <w:rsid w:val="53A9B134"/>
    <w:rsid w:val="53BB8918"/>
    <w:rsid w:val="54055513"/>
    <w:rsid w:val="54873B7F"/>
    <w:rsid w:val="54AF5D79"/>
    <w:rsid w:val="5581A11C"/>
    <w:rsid w:val="5670E490"/>
    <w:rsid w:val="5685DA5E"/>
    <w:rsid w:val="570E01D4"/>
    <w:rsid w:val="5716101D"/>
    <w:rsid w:val="575DB0C5"/>
    <w:rsid w:val="57768CDB"/>
    <w:rsid w:val="581E4469"/>
    <w:rsid w:val="5849E125"/>
    <w:rsid w:val="589E43AA"/>
    <w:rsid w:val="58EEDF4F"/>
    <w:rsid w:val="59606853"/>
    <w:rsid w:val="5966D366"/>
    <w:rsid w:val="597C056E"/>
    <w:rsid w:val="5AD5DEA9"/>
    <w:rsid w:val="5AFEFE4D"/>
    <w:rsid w:val="5B2E99D1"/>
    <w:rsid w:val="5B3FE6B6"/>
    <w:rsid w:val="5B7F7FD5"/>
    <w:rsid w:val="5C0D3941"/>
    <w:rsid w:val="5D10A5FD"/>
    <w:rsid w:val="5DAA4F51"/>
    <w:rsid w:val="5DC3101A"/>
    <w:rsid w:val="5DFA5245"/>
    <w:rsid w:val="5E579B2C"/>
    <w:rsid w:val="5EB98750"/>
    <w:rsid w:val="5ED3E0CE"/>
    <w:rsid w:val="5F510A34"/>
    <w:rsid w:val="5F97367A"/>
    <w:rsid w:val="5FCF7020"/>
    <w:rsid w:val="5FE03901"/>
    <w:rsid w:val="601B689C"/>
    <w:rsid w:val="6057E767"/>
    <w:rsid w:val="6075BD1E"/>
    <w:rsid w:val="60EDF26F"/>
    <w:rsid w:val="61149443"/>
    <w:rsid w:val="616663E9"/>
    <w:rsid w:val="619437B6"/>
    <w:rsid w:val="6195CE07"/>
    <w:rsid w:val="61D50D17"/>
    <w:rsid w:val="61FFA731"/>
    <w:rsid w:val="6275C572"/>
    <w:rsid w:val="627ADA46"/>
    <w:rsid w:val="63319E68"/>
    <w:rsid w:val="6344818D"/>
    <w:rsid w:val="647E54AD"/>
    <w:rsid w:val="64E18CEA"/>
    <w:rsid w:val="64EE5795"/>
    <w:rsid w:val="654263B2"/>
    <w:rsid w:val="65B56136"/>
    <w:rsid w:val="65D65D0F"/>
    <w:rsid w:val="66179B20"/>
    <w:rsid w:val="6619C940"/>
    <w:rsid w:val="672055E5"/>
    <w:rsid w:val="67CCFA4D"/>
    <w:rsid w:val="67E3C276"/>
    <w:rsid w:val="68050F8B"/>
    <w:rsid w:val="680F2725"/>
    <w:rsid w:val="682499E8"/>
    <w:rsid w:val="68274C37"/>
    <w:rsid w:val="682D7ACE"/>
    <w:rsid w:val="682F12E5"/>
    <w:rsid w:val="6866C8F4"/>
    <w:rsid w:val="68746E7B"/>
    <w:rsid w:val="68CEFB2F"/>
    <w:rsid w:val="68EF1CD1"/>
    <w:rsid w:val="691C7BE9"/>
    <w:rsid w:val="692B917C"/>
    <w:rsid w:val="69535ADC"/>
    <w:rsid w:val="6959C3C0"/>
    <w:rsid w:val="697C7105"/>
    <w:rsid w:val="69FE2E90"/>
    <w:rsid w:val="6A3E1D9B"/>
    <w:rsid w:val="6A42242C"/>
    <w:rsid w:val="6A8AED32"/>
    <w:rsid w:val="6AA9CE32"/>
    <w:rsid w:val="6AE0E526"/>
    <w:rsid w:val="6B07C386"/>
    <w:rsid w:val="6BF3B6BD"/>
    <w:rsid w:val="6C8DEF81"/>
    <w:rsid w:val="6C9704AB"/>
    <w:rsid w:val="6CE29848"/>
    <w:rsid w:val="6D209B9C"/>
    <w:rsid w:val="6E0FDF10"/>
    <w:rsid w:val="6E65404C"/>
    <w:rsid w:val="6ED531E7"/>
    <w:rsid w:val="6F6B6D06"/>
    <w:rsid w:val="6FDD346E"/>
    <w:rsid w:val="717BD937"/>
    <w:rsid w:val="71A528A3"/>
    <w:rsid w:val="71B4112D"/>
    <w:rsid w:val="71F7D92C"/>
    <w:rsid w:val="7270A1CA"/>
    <w:rsid w:val="72E3A1D3"/>
    <w:rsid w:val="7314C10D"/>
    <w:rsid w:val="73CB6F30"/>
    <w:rsid w:val="73EC6B09"/>
    <w:rsid w:val="743C7E8A"/>
    <w:rsid w:val="7440A186"/>
    <w:rsid w:val="74671C16"/>
    <w:rsid w:val="748F79CE"/>
    <w:rsid w:val="754CA122"/>
    <w:rsid w:val="75B5D481"/>
    <w:rsid w:val="75D84EEB"/>
    <w:rsid w:val="76508692"/>
    <w:rsid w:val="765F7169"/>
    <w:rsid w:val="7691A2C3"/>
    <w:rsid w:val="76C6BFA1"/>
    <w:rsid w:val="76E1A3F8"/>
    <w:rsid w:val="77184360"/>
    <w:rsid w:val="7731A1A8"/>
    <w:rsid w:val="7759DAA9"/>
    <w:rsid w:val="77B71FBC"/>
    <w:rsid w:val="780A071D"/>
    <w:rsid w:val="7817800E"/>
    <w:rsid w:val="7867E23F"/>
    <w:rsid w:val="788A9245"/>
    <w:rsid w:val="78CE5A44"/>
    <w:rsid w:val="78F65C6B"/>
    <w:rsid w:val="790A7ADA"/>
    <w:rsid w:val="7922082F"/>
    <w:rsid w:val="7A17E48E"/>
    <w:rsid w:val="7A8C39E5"/>
    <w:rsid w:val="7B972890"/>
    <w:rsid w:val="7BB4B467"/>
    <w:rsid w:val="7BF3BE48"/>
    <w:rsid w:val="7C222823"/>
    <w:rsid w:val="7C7CE705"/>
    <w:rsid w:val="7D2DB757"/>
    <w:rsid w:val="7D77A966"/>
    <w:rsid w:val="7D7ED9C4"/>
    <w:rsid w:val="7E2795F8"/>
    <w:rsid w:val="7E34B7CB"/>
    <w:rsid w:val="7E5F755D"/>
    <w:rsid w:val="7EAA4720"/>
    <w:rsid w:val="7EBD33D7"/>
    <w:rsid w:val="7F71113E"/>
    <w:rsid w:val="7FC36659"/>
    <w:rsid w:val="7FCC0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4FE71"/>
  <w15:docId w15:val="{46DED73E-5319-438A-845C-6036D6EB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atentStyles>
  <w:style w:type="paragraph" w:default="1" w:styleId="Normln">
    <w:name w:val="Normal"/>
    <w:qFormat/>
    <w:rsid w:val="001A7A52"/>
    <w:pPr>
      <w:jc w:val="both"/>
    </w:pPr>
    <w:rPr>
      <w:rFonts w:asciiTheme="minorHAnsi" w:hAnsiTheme="minorHAnsi"/>
      <w:sz w:val="24"/>
    </w:rPr>
  </w:style>
  <w:style w:type="paragraph" w:styleId="Nadpis1">
    <w:name w:val="heading 1"/>
    <w:aliases w:val="Nadpis 1 Char,vlevo 18b."/>
    <w:basedOn w:val="Normln"/>
    <w:next w:val="Normln"/>
    <w:link w:val="Nadpis1Char1"/>
    <w:uiPriority w:val="9"/>
    <w:qFormat/>
    <w:rsid w:val="00E37883"/>
    <w:pPr>
      <w:keepNext/>
      <w:outlineLvl w:val="0"/>
    </w:pPr>
    <w:rPr>
      <w:b/>
      <w:bCs/>
      <w:sz w:val="28"/>
      <w:szCs w:val="34"/>
      <w:u w:val="single"/>
    </w:rPr>
  </w:style>
  <w:style w:type="paragraph" w:styleId="Nadpis2">
    <w:name w:val="heading 2"/>
    <w:aliases w:val="H2,POŘ-Nadpis 2,vlevo 16b."/>
    <w:basedOn w:val="Normln"/>
    <w:next w:val="Normln"/>
    <w:link w:val="Nadpis2Char"/>
    <w:uiPriority w:val="9"/>
    <w:qFormat/>
    <w:rsid w:val="00445CE4"/>
    <w:pPr>
      <w:keepNext/>
      <w:autoSpaceDE w:val="0"/>
      <w:autoSpaceDN w:val="0"/>
      <w:adjustRightInd w:val="0"/>
      <w:outlineLvl w:val="1"/>
    </w:pPr>
    <w:rPr>
      <w:rFonts w:eastAsia="SimSun"/>
      <w:b/>
    </w:rPr>
  </w:style>
  <w:style w:type="paragraph" w:styleId="Nadpis3">
    <w:name w:val="heading 3"/>
    <w:aliases w:val="H3,Vysvětlivky,vlevo 14b."/>
    <w:basedOn w:val="Normln"/>
    <w:next w:val="Normln"/>
    <w:link w:val="Nadpis3Char"/>
    <w:uiPriority w:val="9"/>
    <w:qFormat/>
    <w:rsid w:val="00445CE4"/>
    <w:pPr>
      <w:keepNext/>
      <w:jc w:val="center"/>
      <w:outlineLvl w:val="2"/>
    </w:pPr>
    <w:rPr>
      <w:b/>
      <w:bCs/>
      <w:color w:val="000000"/>
    </w:rPr>
  </w:style>
  <w:style w:type="paragraph" w:styleId="Nadpis4">
    <w:name w:val="heading 4"/>
    <w:aliases w:val="příloha"/>
    <w:basedOn w:val="Normln"/>
    <w:next w:val="Normln"/>
    <w:link w:val="Nadpis4Char"/>
    <w:uiPriority w:val="9"/>
    <w:qFormat/>
    <w:rsid w:val="0010633C"/>
    <w:pPr>
      <w:keepNext/>
      <w:jc w:val="left"/>
      <w:outlineLvl w:val="3"/>
    </w:pPr>
    <w:rPr>
      <w:b/>
      <w:bCs/>
    </w:rPr>
  </w:style>
  <w:style w:type="paragraph" w:styleId="Nadpis5">
    <w:name w:val="heading 5"/>
    <w:basedOn w:val="Normln"/>
    <w:next w:val="Normln"/>
    <w:link w:val="Nadpis5Char"/>
    <w:uiPriority w:val="9"/>
    <w:qFormat/>
    <w:rsid w:val="00445CE4"/>
    <w:pPr>
      <w:keepNext/>
      <w:spacing w:before="240" w:after="120"/>
      <w:outlineLvl w:val="4"/>
    </w:pPr>
    <w:rPr>
      <w:b/>
      <w:noProof/>
    </w:rPr>
  </w:style>
  <w:style w:type="paragraph" w:styleId="Nadpis6">
    <w:name w:val="heading 6"/>
    <w:aliases w:val="střed 14b."/>
    <w:basedOn w:val="Normln"/>
    <w:next w:val="Normln"/>
    <w:link w:val="Nadpis6Char"/>
    <w:uiPriority w:val="9"/>
    <w:qFormat/>
    <w:rsid w:val="00445CE4"/>
    <w:pPr>
      <w:keepNext/>
      <w:spacing w:before="360"/>
      <w:ind w:firstLine="720"/>
      <w:outlineLvl w:val="5"/>
    </w:pPr>
    <w:rPr>
      <w:b/>
      <w:bCs/>
      <w:noProof/>
      <w:u w:val="single"/>
    </w:rPr>
  </w:style>
  <w:style w:type="paragraph" w:styleId="Nadpis7">
    <w:name w:val="heading 7"/>
    <w:basedOn w:val="Normln"/>
    <w:next w:val="Normln"/>
    <w:link w:val="Nadpis7Char"/>
    <w:uiPriority w:val="9"/>
    <w:qFormat/>
    <w:rsid w:val="002E15D3"/>
    <w:pPr>
      <w:keepNext/>
      <w:ind w:left="1296" w:hanging="1296"/>
      <w:outlineLvl w:val="6"/>
    </w:pPr>
    <w:rPr>
      <w:rFonts w:ascii="Arial" w:hAnsi="Arial"/>
      <w:b/>
      <w:bCs/>
      <w:color w:val="0000FF"/>
      <w:sz w:val="22"/>
    </w:rPr>
  </w:style>
  <w:style w:type="paragraph" w:styleId="Nadpis8">
    <w:name w:val="heading 8"/>
    <w:basedOn w:val="Normln"/>
    <w:next w:val="Normln"/>
    <w:link w:val="Nadpis8Char"/>
    <w:uiPriority w:val="9"/>
    <w:qFormat/>
    <w:rsid w:val="00445CE4"/>
    <w:pPr>
      <w:keepNext/>
      <w:jc w:val="center"/>
      <w:outlineLvl w:val="7"/>
    </w:pPr>
    <w:rPr>
      <w:b/>
      <w:bCs/>
      <w:noProof/>
    </w:rPr>
  </w:style>
  <w:style w:type="paragraph" w:styleId="Nadpis9">
    <w:name w:val="heading 9"/>
    <w:basedOn w:val="Normln"/>
    <w:next w:val="Normln"/>
    <w:link w:val="Nadpis9Char"/>
    <w:uiPriority w:val="9"/>
    <w:qFormat/>
    <w:rsid w:val="002E15D3"/>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445CE4"/>
    <w:rPr>
      <w:b/>
      <w:bCs/>
      <w:sz w:val="32"/>
    </w:rPr>
  </w:style>
  <w:style w:type="paragraph" w:customStyle="1" w:styleId="odsazen">
    <w:name w:val="odsazený"/>
    <w:basedOn w:val="Normln"/>
    <w:rsid w:val="00445CE4"/>
    <w:pPr>
      <w:spacing w:before="120"/>
      <w:ind w:firstLine="567"/>
    </w:pPr>
    <w:rPr>
      <w:iCs/>
    </w:rPr>
  </w:style>
  <w:style w:type="paragraph" w:styleId="Zkladntext">
    <w:name w:val="Body Text"/>
    <w:aliases w:val="?????1,Body ...,Body Text Char,Body Text Char Char,Body Text Char Char Char,Body Text Char1 Char Char,Body Text Char2 Char,Corps de texte INTSUM,Nornální,Základní text - D,Základní text Char,b,Číslovaný seznam (i),Текст1"/>
    <w:basedOn w:val="Normln"/>
    <w:link w:val="ZkladntextChar1"/>
    <w:rsid w:val="00445CE4"/>
    <w:rPr>
      <w:b/>
      <w:bCs/>
      <w:sz w:val="28"/>
      <w:szCs w:val="28"/>
    </w:rPr>
  </w:style>
  <w:style w:type="paragraph" w:styleId="Zkladntextodsazen2">
    <w:name w:val="Body Text Indent 2"/>
    <w:basedOn w:val="Normln"/>
    <w:link w:val="Zkladntextodsazen2Char"/>
    <w:semiHidden/>
    <w:rsid w:val="00445CE4"/>
    <w:pPr>
      <w:ind w:left="1080" w:hanging="1080"/>
    </w:pPr>
  </w:style>
  <w:style w:type="paragraph" w:customStyle="1" w:styleId="vod">
    <w:name w:val="Úvod"/>
    <w:basedOn w:val="Normln"/>
    <w:rsid w:val="00445CE4"/>
    <w:pPr>
      <w:keepNext/>
      <w:spacing w:before="360" w:after="240"/>
      <w:outlineLvl w:val="0"/>
    </w:pPr>
    <w:rPr>
      <w:b/>
      <w:bCs/>
      <w:sz w:val="28"/>
      <w:szCs w:val="28"/>
    </w:rPr>
  </w:style>
  <w:style w:type="paragraph" w:customStyle="1" w:styleId="PlainText1">
    <w:name w:val="Plain Text1"/>
    <w:basedOn w:val="Normln"/>
    <w:rsid w:val="00445CE4"/>
    <w:rPr>
      <w:rFonts w:ascii="Courier New" w:hAnsi="Courier New"/>
    </w:rPr>
  </w:style>
  <w:style w:type="paragraph" w:styleId="Zkladntextodsazen">
    <w:name w:val="Body Text Indent"/>
    <w:aliases w:val=" Char Char Char, Char Char Char Char Char, Char Char1, Char Char1 Char Char,Základní text odsazený Char Char,Základní text odsazený Char Char Char Char,Základní text odsazený Char1,Základní text odsazený Char1 Char Char"/>
    <w:basedOn w:val="Normln"/>
    <w:link w:val="ZkladntextodsazenChar"/>
    <w:semiHidden/>
    <w:rsid w:val="00445CE4"/>
    <w:pPr>
      <w:ind w:firstLine="720"/>
    </w:pPr>
  </w:style>
  <w:style w:type="paragraph" w:styleId="Zkladntext3">
    <w:name w:val="Body Text 3"/>
    <w:basedOn w:val="Normln"/>
    <w:link w:val="Zkladntext3Char"/>
    <w:semiHidden/>
    <w:rsid w:val="00445CE4"/>
    <w:pPr>
      <w:keepNext/>
      <w:keepLines/>
    </w:pPr>
    <w:rPr>
      <w:b/>
      <w:bCs/>
    </w:rPr>
  </w:style>
  <w:style w:type="paragraph" w:styleId="Zkladntext2">
    <w:name w:val="Body Text 2"/>
    <w:basedOn w:val="Normln"/>
    <w:link w:val="Zkladntext2Char"/>
    <w:semiHidden/>
    <w:rsid w:val="00445CE4"/>
    <w:pPr>
      <w:spacing w:after="120" w:line="480" w:lineRule="auto"/>
    </w:pPr>
  </w:style>
  <w:style w:type="paragraph" w:customStyle="1" w:styleId="BodyText21">
    <w:name w:val="Body Text 21"/>
    <w:basedOn w:val="Normln"/>
    <w:rsid w:val="00445CE4"/>
    <w:pPr>
      <w:overflowPunct w:val="0"/>
      <w:autoSpaceDE w:val="0"/>
      <w:autoSpaceDN w:val="0"/>
      <w:adjustRightInd w:val="0"/>
      <w:spacing w:after="120"/>
      <w:textAlignment w:val="baseline"/>
    </w:pPr>
  </w:style>
  <w:style w:type="paragraph" w:styleId="Zpat">
    <w:name w:val="footer"/>
    <w:basedOn w:val="Normln"/>
    <w:link w:val="ZpatChar"/>
    <w:uiPriority w:val="99"/>
    <w:rsid w:val="00445CE4"/>
    <w:pPr>
      <w:tabs>
        <w:tab w:val="center" w:pos="4536"/>
        <w:tab w:val="right" w:pos="9072"/>
      </w:tabs>
    </w:pPr>
  </w:style>
  <w:style w:type="character" w:styleId="slostrnky">
    <w:name w:val="page number"/>
    <w:basedOn w:val="Standardnpsmoodstavce"/>
    <w:semiHidden/>
    <w:rsid w:val="00445CE4"/>
  </w:style>
  <w:style w:type="paragraph" w:styleId="Zhlav">
    <w:name w:val="header"/>
    <w:basedOn w:val="Normln"/>
    <w:link w:val="ZhlavChar"/>
    <w:uiPriority w:val="99"/>
    <w:rsid w:val="00445CE4"/>
    <w:pPr>
      <w:tabs>
        <w:tab w:val="center" w:pos="4536"/>
        <w:tab w:val="right" w:pos="9072"/>
      </w:tabs>
    </w:pPr>
  </w:style>
  <w:style w:type="character" w:styleId="Odkaznakoment">
    <w:name w:val="annotation reference"/>
    <w:basedOn w:val="Standardnpsmoodstavce"/>
    <w:uiPriority w:val="99"/>
    <w:semiHidden/>
    <w:rsid w:val="00445CE4"/>
    <w:rPr>
      <w:sz w:val="16"/>
      <w:szCs w:val="16"/>
    </w:rPr>
  </w:style>
  <w:style w:type="paragraph" w:styleId="Textkomente">
    <w:name w:val="annotation text"/>
    <w:basedOn w:val="Normln"/>
    <w:link w:val="TextkomenteChar"/>
    <w:uiPriority w:val="99"/>
    <w:rsid w:val="00445CE4"/>
  </w:style>
  <w:style w:type="paragraph" w:styleId="Zkladntextodsazen3">
    <w:name w:val="Body Text Indent 3"/>
    <w:basedOn w:val="Normln"/>
    <w:link w:val="Zkladntextodsazen3Char"/>
    <w:semiHidden/>
    <w:rsid w:val="00445CE4"/>
    <w:pPr>
      <w:tabs>
        <w:tab w:val="center" w:pos="4535"/>
      </w:tabs>
      <w:ind w:left="360"/>
    </w:pPr>
    <w:rPr>
      <w:noProof/>
    </w:rPr>
  </w:style>
  <w:style w:type="paragraph" w:customStyle="1" w:styleId="Styl10">
    <w:name w:val="Styl1"/>
    <w:basedOn w:val="Normln"/>
    <w:rsid w:val="00445CE4"/>
    <w:pPr>
      <w:widowControl w:val="0"/>
      <w:autoSpaceDE w:val="0"/>
      <w:autoSpaceDN w:val="0"/>
      <w:adjustRightInd w:val="0"/>
      <w:spacing w:before="120"/>
      <w:ind w:firstLine="709"/>
    </w:pPr>
    <w:rPr>
      <w:noProof/>
    </w:rPr>
  </w:style>
  <w:style w:type="paragraph" w:customStyle="1" w:styleId="Odstavec">
    <w:name w:val="Odstavec"/>
    <w:basedOn w:val="Normln"/>
    <w:rsid w:val="00445CE4"/>
    <w:pPr>
      <w:spacing w:before="120"/>
      <w:ind w:firstLine="709"/>
    </w:pPr>
    <w:rPr>
      <w:noProof/>
    </w:rPr>
  </w:style>
  <w:style w:type="paragraph" w:styleId="Bezmezer">
    <w:name w:val="No Spacing"/>
    <w:aliases w:val="Graf"/>
    <w:uiPriority w:val="1"/>
    <w:qFormat/>
    <w:rsid w:val="00C97EF2"/>
    <w:pPr>
      <w:numPr>
        <w:numId w:val="9"/>
      </w:numPr>
      <w:ind w:left="357" w:hanging="357"/>
    </w:pPr>
    <w:rPr>
      <w:rFonts w:asciiTheme="minorHAnsi" w:hAnsiTheme="minorHAnsi"/>
      <w:sz w:val="24"/>
      <w:szCs w:val="24"/>
      <w:lang w:eastAsia="en-US"/>
    </w:rPr>
  </w:style>
  <w:style w:type="paragraph" w:styleId="Odstavecseseznamem">
    <w:name w:val="List Paragraph"/>
    <w:aliases w:val="Dot pt,Indicator Text,LISTA,List Paragraph (Czech Tourism),List Paragraph Char Char Char,List Paragraph à moi,List Paragraph_0,List Paragraph_1,Nad,Nadpis pro KZ,No Spacing1,Numbered Para 1,Odstavec_muj,můj Nadpis 2,odrážky"/>
    <w:basedOn w:val="Normln"/>
    <w:link w:val="OdstavecseseznamemChar"/>
    <w:uiPriority w:val="34"/>
    <w:qFormat/>
    <w:rsid w:val="00814C74"/>
    <w:pPr>
      <w:ind w:left="708"/>
    </w:pPr>
  </w:style>
  <w:style w:type="character" w:styleId="Siln">
    <w:name w:val="Strong"/>
    <w:basedOn w:val="Standardnpsmoodstavce"/>
    <w:uiPriority w:val="22"/>
    <w:qFormat/>
    <w:rsid w:val="00B35C94"/>
    <w:rPr>
      <w:b/>
      <w:bCs/>
    </w:rPr>
  </w:style>
  <w:style w:type="character" w:styleId="Znakapoznpodarou">
    <w:name w:val="footnote reference"/>
    <w:aliases w:val="12 b.,BVI fnr Char Char Char,Char1 Char Char Char,Footnote Char Char Char,Footnote reference number Char Char Char,Footnote symbol Char Char Char,Ref Char Char Char,Times 10 Point Char Char Char,de nota al pie Char Char Char,4_G"/>
    <w:basedOn w:val="Standardnpsmoodstavce"/>
    <w:link w:val="BVIfnrCharChar"/>
    <w:uiPriority w:val="99"/>
    <w:rsid w:val="00DC76F7"/>
    <w:rPr>
      <w:vertAlign w:val="superscript"/>
    </w:rPr>
  </w:style>
  <w:style w:type="paragraph" w:styleId="Textpoznpodarou">
    <w:name w:val="footnote text"/>
    <w:aliases w:val="Char,Char Char Char1,Char Char1,FSR footnote,Footnote,Footnote Text Char1,Fußnote,Geneva 9,Plonk,Schriftart: 10 pt,Schriftart: 8 pt,Schriftart: 9 pt,Text pozn. pod čarou1,Text pozn. pod čarou_martin_ang,f,fn,lábléc,pozn. pod čarou,o"/>
    <w:basedOn w:val="Normln"/>
    <w:link w:val="TextpoznpodarouChar"/>
    <w:autoRedefine/>
    <w:uiPriority w:val="99"/>
    <w:rsid w:val="004D7B0B"/>
    <w:pPr>
      <w:ind w:left="284" w:hanging="284"/>
      <w:contextualSpacing/>
    </w:pPr>
    <w:rPr>
      <w:sz w:val="20"/>
    </w:rPr>
  </w:style>
  <w:style w:type="character" w:customStyle="1" w:styleId="TextpoznpodarouChar">
    <w:name w:val="Text pozn. pod čarou Char"/>
    <w:aliases w:val="Char Char,Char Char Char1 Char,Char Char1 Char,FSR footnote Char,Footnote Char,Footnote Text Char1 Char,Fußnote Char,Geneva 9 Char,Plonk Char,Schriftart: 10 pt Char,Schriftart: 8 pt Char,Schriftart: 9 pt Char,f Char,fn Char"/>
    <w:basedOn w:val="Standardnpsmoodstavce"/>
    <w:link w:val="Textpoznpodarou"/>
    <w:uiPriority w:val="99"/>
    <w:rsid w:val="004D7B0B"/>
    <w:rPr>
      <w:rFonts w:asciiTheme="minorHAnsi" w:hAnsiTheme="minorHAnsi"/>
    </w:rPr>
  </w:style>
  <w:style w:type="paragraph" w:styleId="Nzev">
    <w:name w:val="Title"/>
    <w:aliases w:val="Pod čarou"/>
    <w:basedOn w:val="Normln"/>
    <w:link w:val="NzevChar"/>
    <w:uiPriority w:val="10"/>
    <w:qFormat/>
    <w:rsid w:val="00EB4F7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pPr>
    <w:rPr>
      <w:rFonts w:cs="Times New Roman CE obyeejné"/>
      <w:bCs/>
      <w:i/>
      <w:sz w:val="20"/>
      <w:szCs w:val="28"/>
    </w:rPr>
  </w:style>
  <w:style w:type="character" w:customStyle="1" w:styleId="NzevChar">
    <w:name w:val="Název Char"/>
    <w:aliases w:val="Pod čarou Char"/>
    <w:basedOn w:val="Standardnpsmoodstavce"/>
    <w:link w:val="Nzev"/>
    <w:uiPriority w:val="10"/>
    <w:rsid w:val="00EB4F7E"/>
    <w:rPr>
      <w:rFonts w:asciiTheme="minorHAnsi" w:hAnsiTheme="minorHAnsi" w:cs="Times New Roman CE obyeejné"/>
      <w:bCs/>
      <w:i/>
      <w:szCs w:val="28"/>
    </w:rPr>
  </w:style>
  <w:style w:type="character" w:styleId="Hypertextovodkaz">
    <w:name w:val="Hyperlink"/>
    <w:basedOn w:val="Standardnpsmoodstavce"/>
    <w:uiPriority w:val="99"/>
    <w:rsid w:val="00FE449A"/>
    <w:rPr>
      <w:color w:val="0000FF"/>
      <w:u w:val="single"/>
    </w:rPr>
  </w:style>
  <w:style w:type="paragraph" w:styleId="Prosttext">
    <w:name w:val="Plain Text"/>
    <w:basedOn w:val="Normln"/>
    <w:link w:val="ProsttextChar"/>
    <w:uiPriority w:val="99"/>
    <w:unhideWhenUsed/>
    <w:rsid w:val="00CC77E3"/>
    <w:rPr>
      <w:rFonts w:ascii="Consolas" w:eastAsia="Calibri" w:hAnsi="Consolas"/>
      <w:sz w:val="21"/>
      <w:szCs w:val="21"/>
    </w:rPr>
  </w:style>
  <w:style w:type="character" w:customStyle="1" w:styleId="ProsttextChar">
    <w:name w:val="Prostý text Char"/>
    <w:basedOn w:val="Standardnpsmoodstavce"/>
    <w:link w:val="Prosttext"/>
    <w:uiPriority w:val="99"/>
    <w:rsid w:val="00CC77E3"/>
    <w:rPr>
      <w:rFonts w:ascii="Consolas" w:eastAsia="Calibri" w:hAnsi="Consolas"/>
      <w:sz w:val="21"/>
      <w:szCs w:val="21"/>
      <w:lang w:eastAsia="en-US"/>
    </w:rPr>
  </w:style>
  <w:style w:type="table" w:styleId="Mkatabulky">
    <w:name w:val="Table Grid"/>
    <w:basedOn w:val="Normlntabulka"/>
    <w:uiPriority w:val="39"/>
    <w:rsid w:val="00CA6F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ulek">
    <w:name w:val="caption"/>
    <w:basedOn w:val="Normln"/>
    <w:next w:val="Normln"/>
    <w:uiPriority w:val="35"/>
    <w:unhideWhenUsed/>
    <w:qFormat/>
    <w:rsid w:val="00891AB3"/>
    <w:pPr>
      <w:spacing w:after="200"/>
    </w:pPr>
    <w:rPr>
      <w:rFonts w:ascii="Arial" w:eastAsia="Calibri" w:hAnsi="Arial"/>
      <w:b/>
      <w:bCs/>
      <w:color w:val="4F81BD"/>
      <w:sz w:val="18"/>
      <w:szCs w:val="18"/>
    </w:rPr>
  </w:style>
  <w:style w:type="paragraph" w:styleId="Textbubliny">
    <w:name w:val="Balloon Text"/>
    <w:basedOn w:val="Normln"/>
    <w:link w:val="TextbublinyChar"/>
    <w:uiPriority w:val="99"/>
    <w:semiHidden/>
    <w:unhideWhenUsed/>
    <w:rsid w:val="001711B8"/>
    <w:rPr>
      <w:rFonts w:ascii="Tahoma" w:hAnsi="Tahoma" w:cs="Tahoma"/>
      <w:sz w:val="16"/>
      <w:szCs w:val="16"/>
    </w:rPr>
  </w:style>
  <w:style w:type="character" w:customStyle="1" w:styleId="TextbublinyChar">
    <w:name w:val="Text bubliny Char"/>
    <w:basedOn w:val="Standardnpsmoodstavce"/>
    <w:link w:val="Textbubliny"/>
    <w:uiPriority w:val="99"/>
    <w:semiHidden/>
    <w:rsid w:val="001711B8"/>
    <w:rPr>
      <w:rFonts w:ascii="Tahoma" w:hAnsi="Tahoma" w:cs="Tahoma"/>
      <w:sz w:val="16"/>
      <w:szCs w:val="16"/>
      <w:lang w:val="en-US" w:eastAsia="en-US"/>
    </w:rPr>
  </w:style>
  <w:style w:type="paragraph" w:customStyle="1" w:styleId="normalodsazene3">
    <w:name w:val="normalodsazene3"/>
    <w:basedOn w:val="Normln"/>
    <w:rsid w:val="00834C0F"/>
    <w:pPr>
      <w:spacing w:before="30" w:after="75"/>
    </w:pPr>
    <w:rPr>
      <w:rFonts w:ascii="Verdana" w:hAnsi="Verdana"/>
      <w:color w:val="585858"/>
      <w:sz w:val="26"/>
      <w:szCs w:val="26"/>
    </w:rPr>
  </w:style>
  <w:style w:type="paragraph" w:styleId="Normlnweb">
    <w:name w:val="Normal (Web)"/>
    <w:basedOn w:val="Normln"/>
    <w:uiPriority w:val="99"/>
    <w:unhideWhenUsed/>
    <w:rsid w:val="004B5A40"/>
    <w:pPr>
      <w:spacing w:before="100" w:beforeAutospacing="1" w:after="100" w:afterAutospacing="1"/>
    </w:pPr>
  </w:style>
  <w:style w:type="paragraph" w:customStyle="1" w:styleId="Odstavecseseznamem1">
    <w:name w:val="Odstavec se seznamem1"/>
    <w:aliases w:val="Odstavec se seznamem2"/>
    <w:basedOn w:val="Normln"/>
    <w:uiPriority w:val="34"/>
    <w:qFormat/>
    <w:rsid w:val="0055636A"/>
    <w:pPr>
      <w:spacing w:after="200" w:line="276" w:lineRule="auto"/>
      <w:ind w:left="720"/>
      <w:contextualSpacing/>
    </w:pPr>
    <w:rPr>
      <w:rFonts w:ascii="Calibri" w:hAnsi="Calibri"/>
      <w:sz w:val="22"/>
      <w:szCs w:val="22"/>
    </w:rPr>
  </w:style>
  <w:style w:type="character" w:customStyle="1" w:styleId="bbtext">
    <w:name w:val="bbtext"/>
    <w:basedOn w:val="Standardnpsmoodstavce"/>
    <w:rsid w:val="005F012E"/>
  </w:style>
  <w:style w:type="paragraph" w:customStyle="1" w:styleId="lnek3">
    <w:name w:val="článek3"/>
    <w:basedOn w:val="Normln"/>
    <w:rsid w:val="00E579E8"/>
    <w:pPr>
      <w:numPr>
        <w:ilvl w:val="2"/>
        <w:numId w:val="1"/>
      </w:numPr>
      <w:tabs>
        <w:tab w:val="clear" w:pos="1277"/>
      </w:tabs>
      <w:spacing w:after="120"/>
      <w:ind w:left="2220" w:hanging="360"/>
    </w:pPr>
  </w:style>
  <w:style w:type="paragraph" w:customStyle="1" w:styleId="lnek1">
    <w:name w:val="článek1"/>
    <w:basedOn w:val="Normln"/>
    <w:next w:val="lnek2"/>
    <w:rsid w:val="00E579E8"/>
    <w:pPr>
      <w:keepNext/>
      <w:keepLines/>
      <w:numPr>
        <w:numId w:val="1"/>
      </w:numPr>
      <w:spacing w:before="240" w:after="240"/>
      <w:jc w:val="center"/>
    </w:pPr>
    <w:rPr>
      <w:b/>
      <w:sz w:val="28"/>
      <w:szCs w:val="28"/>
    </w:rPr>
  </w:style>
  <w:style w:type="paragraph" w:customStyle="1" w:styleId="lnek2">
    <w:name w:val="článek2"/>
    <w:basedOn w:val="Normln"/>
    <w:next w:val="lnek3"/>
    <w:rsid w:val="00E579E8"/>
    <w:pPr>
      <w:numPr>
        <w:ilvl w:val="1"/>
        <w:numId w:val="1"/>
      </w:numPr>
      <w:spacing w:before="120" w:after="120"/>
    </w:pPr>
    <w:rPr>
      <w:b/>
    </w:rPr>
  </w:style>
  <w:style w:type="paragraph" w:customStyle="1" w:styleId="NormlnKZ">
    <w:name w:val="Normální KZ"/>
    <w:basedOn w:val="Normln"/>
    <w:rsid w:val="006A7F16"/>
    <w:pPr>
      <w:spacing w:after="120"/>
      <w:ind w:firstLine="425"/>
    </w:pPr>
    <w:rPr>
      <w:sz w:val="22"/>
    </w:rPr>
  </w:style>
  <w:style w:type="paragraph" w:customStyle="1" w:styleId="Fous">
    <w:name w:val="Fous"/>
    <w:basedOn w:val="Normln"/>
    <w:rsid w:val="006A7F16"/>
    <w:pPr>
      <w:numPr>
        <w:numId w:val="2"/>
      </w:numPr>
      <w:tabs>
        <w:tab w:val="clear" w:pos="722"/>
        <w:tab w:val="num" w:pos="360"/>
      </w:tabs>
      <w:ind w:left="360" w:hanging="360"/>
    </w:pPr>
    <w:rPr>
      <w:sz w:val="22"/>
    </w:rPr>
  </w:style>
  <w:style w:type="paragraph" w:customStyle="1" w:styleId="Default">
    <w:name w:val="Default"/>
    <w:uiPriority w:val="99"/>
    <w:rsid w:val="00C50826"/>
    <w:pPr>
      <w:autoSpaceDE w:val="0"/>
      <w:autoSpaceDN w:val="0"/>
      <w:adjustRightInd w:val="0"/>
    </w:pPr>
    <w:rPr>
      <w:rFonts w:ascii="Arial" w:hAnsi="Arial" w:cs="Arial"/>
      <w:color w:val="000000"/>
      <w:sz w:val="24"/>
      <w:szCs w:val="24"/>
      <w:lang w:eastAsia="en-US"/>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A30E79"/>
    <w:pPr>
      <w:spacing w:after="160" w:line="240" w:lineRule="exact"/>
    </w:pPr>
    <w:rPr>
      <w:vertAlign w:val="superscript"/>
    </w:rPr>
  </w:style>
  <w:style w:type="character" w:styleId="Zdraznn">
    <w:name w:val="Emphasis"/>
    <w:basedOn w:val="Standardnpsmoodstavce"/>
    <w:uiPriority w:val="20"/>
    <w:qFormat/>
    <w:rsid w:val="00524340"/>
    <w:rPr>
      <w:b/>
      <w:bCs/>
      <w:i w:val="0"/>
      <w:iCs w:val="0"/>
    </w:rPr>
  </w:style>
  <w:style w:type="character" w:customStyle="1" w:styleId="st1">
    <w:name w:val="st1"/>
    <w:basedOn w:val="Standardnpsmoodstavce"/>
    <w:rsid w:val="004C70C2"/>
  </w:style>
  <w:style w:type="character" w:customStyle="1" w:styleId="cizojazycne">
    <w:name w:val="cizojazycne"/>
    <w:basedOn w:val="Standardnpsmoodstavce"/>
    <w:rsid w:val="004C70C2"/>
  </w:style>
  <w:style w:type="character" w:customStyle="1" w:styleId="red-icon">
    <w:name w:val="red-icon"/>
    <w:basedOn w:val="Standardnpsmoodstavce"/>
    <w:rsid w:val="00A91E58"/>
  </w:style>
  <w:style w:type="character" w:customStyle="1" w:styleId="black-icon">
    <w:name w:val="black-icon"/>
    <w:basedOn w:val="Standardnpsmoodstavce"/>
    <w:rsid w:val="00A91E58"/>
  </w:style>
  <w:style w:type="character" w:customStyle="1" w:styleId="hps">
    <w:name w:val="hps"/>
    <w:basedOn w:val="Standardnpsmoodstavce"/>
    <w:rsid w:val="00692B18"/>
  </w:style>
  <w:style w:type="character" w:customStyle="1" w:styleId="shorttext">
    <w:name w:val="short_text"/>
    <w:basedOn w:val="Standardnpsmoodstavce"/>
    <w:rsid w:val="00692B18"/>
  </w:style>
  <w:style w:type="character" w:customStyle="1" w:styleId="Nadpis3Char">
    <w:name w:val="Nadpis 3 Char"/>
    <w:aliases w:val="H3 Char,Vysvětlivky Char,vlevo 14b. Char"/>
    <w:basedOn w:val="Standardnpsmoodstavce"/>
    <w:link w:val="Nadpis3"/>
    <w:uiPriority w:val="9"/>
    <w:rsid w:val="00174C92"/>
    <w:rPr>
      <w:b/>
      <w:bCs/>
      <w:color w:val="000000"/>
    </w:rPr>
  </w:style>
  <w:style w:type="character" w:customStyle="1" w:styleId="ZpatChar">
    <w:name w:val="Zápatí Char"/>
    <w:basedOn w:val="Standardnpsmoodstavce"/>
    <w:link w:val="Zpat"/>
    <w:uiPriority w:val="99"/>
    <w:rsid w:val="003D7541"/>
    <w:rPr>
      <w:sz w:val="24"/>
      <w:szCs w:val="24"/>
      <w:lang w:eastAsia="en-US"/>
    </w:rPr>
  </w:style>
  <w:style w:type="character" w:customStyle="1" w:styleId="OdstavecseseznamemChar">
    <w:name w:val="Odstavec se seznamem Char"/>
    <w:aliases w:val="Dot pt Char,Indicator Text Char,LISTA Char,List Paragraph (Czech Tourism) Char,List Paragraph Char Char Char Char,List Paragraph à moi Char,List Paragraph_0 Char,List Paragraph_1 Char,Nad Char,Nadpis pro KZ Char,odrážky Char"/>
    <w:basedOn w:val="Standardnpsmoodstavce"/>
    <w:link w:val="Odstavecseseznamem"/>
    <w:uiPriority w:val="34"/>
    <w:qFormat/>
    <w:locked/>
    <w:rsid w:val="00CF2CBD"/>
    <w:rPr>
      <w:sz w:val="24"/>
      <w:szCs w:val="24"/>
      <w:lang w:eastAsia="en-US"/>
    </w:rPr>
  </w:style>
  <w:style w:type="character" w:customStyle="1" w:styleId="Nadpis7Char">
    <w:name w:val="Nadpis 7 Char"/>
    <w:basedOn w:val="Standardnpsmoodstavce"/>
    <w:link w:val="Nadpis7"/>
    <w:uiPriority w:val="9"/>
    <w:rsid w:val="002E15D3"/>
    <w:rPr>
      <w:rFonts w:ascii="Arial" w:hAnsi="Arial"/>
      <w:b/>
      <w:bCs/>
      <w:color w:val="0000FF"/>
      <w:sz w:val="22"/>
      <w:szCs w:val="24"/>
      <w:lang w:eastAsia="en-US"/>
    </w:rPr>
  </w:style>
  <w:style w:type="character" w:customStyle="1" w:styleId="Nadpis9Char">
    <w:name w:val="Nadpis 9 Char"/>
    <w:basedOn w:val="Standardnpsmoodstavce"/>
    <w:link w:val="Nadpis9"/>
    <w:uiPriority w:val="9"/>
    <w:rsid w:val="002E15D3"/>
    <w:rPr>
      <w:rFonts w:ascii="Cambria" w:hAnsi="Cambria"/>
      <w:sz w:val="22"/>
      <w:szCs w:val="22"/>
      <w:lang w:eastAsia="en-US"/>
    </w:rPr>
  </w:style>
  <w:style w:type="character" w:customStyle="1" w:styleId="ZhlavChar">
    <w:name w:val="Záhlaví Char"/>
    <w:basedOn w:val="Standardnpsmoodstavce"/>
    <w:link w:val="Zhlav"/>
    <w:uiPriority w:val="99"/>
    <w:rsid w:val="0024209B"/>
    <w:rPr>
      <w:sz w:val="24"/>
      <w:szCs w:val="24"/>
      <w:lang w:eastAsia="en-US"/>
    </w:rPr>
  </w:style>
  <w:style w:type="character" w:customStyle="1" w:styleId="Nadpis5Char">
    <w:name w:val="Nadpis 5 Char"/>
    <w:basedOn w:val="Standardnpsmoodstavce"/>
    <w:link w:val="Nadpis5"/>
    <w:uiPriority w:val="9"/>
    <w:rsid w:val="006441C4"/>
    <w:rPr>
      <w:b/>
      <w:noProof/>
      <w:sz w:val="24"/>
      <w:szCs w:val="24"/>
      <w:lang w:eastAsia="en-US"/>
    </w:rPr>
  </w:style>
  <w:style w:type="character" w:customStyle="1" w:styleId="TextkomenteChar">
    <w:name w:val="Text komentáře Char"/>
    <w:basedOn w:val="Standardnpsmoodstavce"/>
    <w:link w:val="Textkomente"/>
    <w:uiPriority w:val="99"/>
    <w:rsid w:val="00D75209"/>
    <w:rPr>
      <w:lang w:eastAsia="en-US"/>
    </w:rPr>
  </w:style>
  <w:style w:type="paragraph" w:styleId="Revize">
    <w:name w:val="Revision"/>
    <w:hidden/>
    <w:uiPriority w:val="99"/>
    <w:semiHidden/>
    <w:rsid w:val="00F208B9"/>
    <w:rPr>
      <w:sz w:val="24"/>
      <w:szCs w:val="24"/>
      <w:lang w:eastAsia="en-US"/>
    </w:rPr>
  </w:style>
  <w:style w:type="paragraph" w:styleId="Pedmtkomente">
    <w:name w:val="annotation subject"/>
    <w:basedOn w:val="Textkomente"/>
    <w:next w:val="Textkomente"/>
    <w:link w:val="PedmtkomenteChar"/>
    <w:uiPriority w:val="99"/>
    <w:semiHidden/>
    <w:unhideWhenUsed/>
    <w:rsid w:val="009B2545"/>
    <w:rPr>
      <w:b/>
      <w:bCs/>
    </w:rPr>
  </w:style>
  <w:style w:type="character" w:customStyle="1" w:styleId="PedmtkomenteChar">
    <w:name w:val="Předmět komentáře Char"/>
    <w:basedOn w:val="TextkomenteChar"/>
    <w:link w:val="Pedmtkomente"/>
    <w:uiPriority w:val="99"/>
    <w:semiHidden/>
    <w:rsid w:val="009B2545"/>
    <w:rPr>
      <w:b/>
      <w:bCs/>
      <w:lang w:eastAsia="en-US"/>
    </w:rPr>
  </w:style>
  <w:style w:type="paragraph" w:customStyle="1" w:styleId="Poznmka">
    <w:name w:val="Poznámka"/>
    <w:basedOn w:val="Normln"/>
    <w:link w:val="PoznmkaChar"/>
    <w:autoRedefine/>
    <w:qFormat/>
    <w:rsid w:val="00C3302D"/>
    <w:pPr>
      <w:spacing w:before="60"/>
    </w:pPr>
    <w:rPr>
      <w:i/>
      <w:szCs w:val="18"/>
    </w:rPr>
  </w:style>
  <w:style w:type="character" w:customStyle="1" w:styleId="PoznmkaChar">
    <w:name w:val="Poznámka Char"/>
    <w:link w:val="Poznmka"/>
    <w:rsid w:val="00C3302D"/>
    <w:rPr>
      <w:rFonts w:asciiTheme="minorHAnsi" w:hAnsiTheme="minorHAnsi"/>
      <w:i/>
      <w:szCs w:val="18"/>
      <w:lang w:eastAsia="en-US"/>
    </w:rPr>
  </w:style>
  <w:style w:type="paragraph" w:customStyle="1" w:styleId="Nzevtabulky">
    <w:name w:val="Název tabulky"/>
    <w:basedOn w:val="Normln"/>
    <w:qFormat/>
    <w:rsid w:val="00B52B7F"/>
    <w:pPr>
      <w:keepNext/>
      <w:numPr>
        <w:ilvl w:val="1"/>
        <w:numId w:val="3"/>
      </w:numPr>
      <w:spacing w:before="240" w:after="120"/>
    </w:pPr>
    <w:rPr>
      <w:rFonts w:cs="Arial"/>
      <w:szCs w:val="22"/>
    </w:rPr>
  </w:style>
  <w:style w:type="paragraph" w:customStyle="1" w:styleId="Zdroj">
    <w:name w:val="Zdroj"/>
    <w:basedOn w:val="Normln"/>
    <w:link w:val="ZdrojChar"/>
    <w:qFormat/>
    <w:rsid w:val="007F2E73"/>
    <w:pPr>
      <w:ind w:left="57"/>
    </w:pPr>
    <w:rPr>
      <w:i/>
      <w:sz w:val="20"/>
      <w:szCs w:val="18"/>
    </w:rPr>
  </w:style>
  <w:style w:type="character" w:customStyle="1" w:styleId="ZdrojChar">
    <w:name w:val="Zdroj Char"/>
    <w:basedOn w:val="Standardnpsmoodstavce"/>
    <w:link w:val="Zdroj"/>
    <w:locked/>
    <w:rsid w:val="007F2E73"/>
    <w:rPr>
      <w:rFonts w:asciiTheme="minorHAnsi" w:hAnsiTheme="minorHAnsi"/>
      <w:i/>
      <w:szCs w:val="18"/>
    </w:rPr>
  </w:style>
  <w:style w:type="character" w:customStyle="1" w:styleId="Nadpis2Char">
    <w:name w:val="Nadpis 2 Char"/>
    <w:aliases w:val="H2 Char,POŘ-Nadpis 2 Char,vlevo 16b. Char"/>
    <w:basedOn w:val="Standardnpsmoodstavce"/>
    <w:link w:val="Nadpis2"/>
    <w:uiPriority w:val="9"/>
    <w:rsid w:val="00C21EF3"/>
    <w:rPr>
      <w:rFonts w:eastAsia="SimSun"/>
      <w:b/>
      <w:sz w:val="24"/>
    </w:rPr>
  </w:style>
  <w:style w:type="character" w:customStyle="1" w:styleId="Nadpis6Char">
    <w:name w:val="Nadpis 6 Char"/>
    <w:aliases w:val="střed 14b. Char"/>
    <w:basedOn w:val="Standardnpsmoodstavce"/>
    <w:link w:val="Nadpis6"/>
    <w:uiPriority w:val="9"/>
    <w:rsid w:val="00C21EF3"/>
    <w:rPr>
      <w:b/>
      <w:bCs/>
      <w:noProof/>
      <w:sz w:val="24"/>
      <w:szCs w:val="24"/>
      <w:u w:val="single"/>
      <w:lang w:eastAsia="en-US"/>
    </w:rPr>
  </w:style>
  <w:style w:type="paragraph" w:styleId="Citt">
    <w:name w:val="Quote"/>
    <w:basedOn w:val="Normln"/>
    <w:next w:val="Normln"/>
    <w:link w:val="CittChar"/>
    <w:uiPriority w:val="29"/>
    <w:qFormat/>
    <w:rsid w:val="00C21EF3"/>
    <w:pPr>
      <w:spacing w:before="120"/>
    </w:pPr>
    <w:rPr>
      <w:rFonts w:ascii="Arial" w:eastAsiaTheme="minorHAnsi" w:hAnsi="Arial" w:cstheme="minorBidi"/>
      <w:i/>
      <w:iCs/>
      <w:color w:val="000000" w:themeColor="text1"/>
      <w:sz w:val="22"/>
      <w:szCs w:val="22"/>
    </w:rPr>
  </w:style>
  <w:style w:type="character" w:customStyle="1" w:styleId="CittChar">
    <w:name w:val="Citát Char"/>
    <w:basedOn w:val="Standardnpsmoodstavce"/>
    <w:link w:val="Citt"/>
    <w:uiPriority w:val="29"/>
    <w:rsid w:val="00C21EF3"/>
    <w:rPr>
      <w:rFonts w:ascii="Arial" w:eastAsiaTheme="minorHAnsi" w:hAnsi="Arial" w:cstheme="minorBidi"/>
      <w:i/>
      <w:iCs/>
      <w:color w:val="000000" w:themeColor="text1"/>
      <w:sz w:val="22"/>
      <w:szCs w:val="22"/>
      <w:lang w:eastAsia="en-US"/>
    </w:rPr>
  </w:style>
  <w:style w:type="paragraph" w:customStyle="1" w:styleId="N1">
    <w:name w:val="N1"/>
    <w:basedOn w:val="Normln"/>
    <w:qFormat/>
    <w:rsid w:val="00C21EF3"/>
    <w:pPr>
      <w:keepNext/>
      <w:numPr>
        <w:numId w:val="4"/>
      </w:numPr>
      <w:spacing w:before="240" w:after="240"/>
    </w:pPr>
    <w:rPr>
      <w:rFonts w:ascii="Arial" w:eastAsiaTheme="minorHAnsi" w:hAnsi="Arial" w:cstheme="minorBidi"/>
      <w:b/>
      <w:i/>
      <w:szCs w:val="22"/>
    </w:rPr>
  </w:style>
  <w:style w:type="paragraph" w:customStyle="1" w:styleId="N2">
    <w:name w:val="N2"/>
    <w:basedOn w:val="Normln"/>
    <w:link w:val="N2Char"/>
    <w:qFormat/>
    <w:rsid w:val="00DD3178"/>
    <w:pPr>
      <w:numPr>
        <w:ilvl w:val="1"/>
        <w:numId w:val="5"/>
      </w:numPr>
      <w:spacing w:before="240" w:after="240"/>
    </w:pPr>
    <w:rPr>
      <w:rFonts w:eastAsiaTheme="minorHAnsi" w:cstheme="minorBidi"/>
      <w:b/>
      <w:szCs w:val="22"/>
    </w:rPr>
  </w:style>
  <w:style w:type="character" w:customStyle="1" w:styleId="N2Char">
    <w:name w:val="N2 Char"/>
    <w:basedOn w:val="OdstavecseseznamemChar"/>
    <w:link w:val="N2"/>
    <w:rsid w:val="00DD3178"/>
    <w:rPr>
      <w:rFonts w:asciiTheme="minorHAnsi" w:eastAsiaTheme="minorHAnsi" w:hAnsiTheme="minorHAnsi" w:cstheme="minorBidi"/>
      <w:b/>
      <w:sz w:val="24"/>
      <w:szCs w:val="22"/>
      <w:lang w:eastAsia="en-US"/>
    </w:rPr>
  </w:style>
  <w:style w:type="paragraph" w:customStyle="1" w:styleId="N3">
    <w:name w:val="N3"/>
    <w:basedOn w:val="Normln"/>
    <w:link w:val="N3Char"/>
    <w:qFormat/>
    <w:rsid w:val="00C21EF3"/>
    <w:pPr>
      <w:keepNext/>
      <w:numPr>
        <w:numId w:val="6"/>
      </w:numPr>
      <w:spacing w:before="240" w:after="240"/>
    </w:pPr>
    <w:rPr>
      <w:rFonts w:ascii="Arial" w:eastAsiaTheme="minorHAnsi" w:hAnsi="Arial" w:cstheme="minorBidi"/>
      <w:i/>
      <w:sz w:val="22"/>
      <w:szCs w:val="22"/>
    </w:rPr>
  </w:style>
  <w:style w:type="character" w:customStyle="1" w:styleId="N3Char">
    <w:name w:val="N3 Char"/>
    <w:basedOn w:val="OdstavecseseznamemChar"/>
    <w:link w:val="N3"/>
    <w:rsid w:val="00C21EF3"/>
    <w:rPr>
      <w:rFonts w:ascii="Arial" w:eastAsiaTheme="minorHAnsi" w:hAnsi="Arial" w:cstheme="minorBidi"/>
      <w:i/>
      <w:sz w:val="22"/>
      <w:szCs w:val="22"/>
      <w:lang w:eastAsia="en-US"/>
    </w:rPr>
  </w:style>
  <w:style w:type="paragraph" w:styleId="Normlnodsazen">
    <w:name w:val="Normal Indent"/>
    <w:basedOn w:val="Normln"/>
    <w:uiPriority w:val="99"/>
    <w:semiHidden/>
    <w:unhideWhenUsed/>
    <w:rsid w:val="00C21EF3"/>
    <w:pPr>
      <w:spacing w:before="120"/>
      <w:ind w:left="708"/>
    </w:pPr>
    <w:rPr>
      <w:rFonts w:ascii="Arial" w:eastAsiaTheme="minorHAnsi" w:hAnsi="Arial" w:cstheme="minorBidi"/>
      <w:sz w:val="22"/>
      <w:szCs w:val="22"/>
    </w:rPr>
  </w:style>
  <w:style w:type="table" w:customStyle="1" w:styleId="Mkatabulky1">
    <w:name w:val="Mřížka tabulky1"/>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C21EF3"/>
  </w:style>
  <w:style w:type="numbering" w:customStyle="1" w:styleId="Bezseznamu2">
    <w:name w:val="Bez seznamu2"/>
    <w:next w:val="Bezseznamu"/>
    <w:uiPriority w:val="99"/>
    <w:semiHidden/>
    <w:unhideWhenUsed/>
    <w:rsid w:val="00C21EF3"/>
  </w:style>
  <w:style w:type="numbering" w:customStyle="1" w:styleId="Bezseznamu3">
    <w:name w:val="Bez seznamu3"/>
    <w:next w:val="Bezseznamu"/>
    <w:uiPriority w:val="99"/>
    <w:semiHidden/>
    <w:unhideWhenUsed/>
    <w:rsid w:val="00C21EF3"/>
  </w:style>
  <w:style w:type="paragraph" w:customStyle="1" w:styleId="Nadpis71">
    <w:name w:val="Nadpis 71"/>
    <w:basedOn w:val="Normln"/>
    <w:next w:val="Normln"/>
    <w:uiPriority w:val="9"/>
    <w:unhideWhenUsed/>
    <w:qFormat/>
    <w:rsid w:val="0093467A"/>
    <w:pPr>
      <w:keepNext/>
      <w:keepLines/>
      <w:spacing w:before="200"/>
      <w:outlineLvl w:val="6"/>
    </w:pPr>
    <w:rPr>
      <w:rFonts w:ascii="Cambria" w:hAnsi="Cambria"/>
      <w:i/>
      <w:iCs/>
      <w:color w:val="404040"/>
      <w:lang w:val="en-US"/>
    </w:rPr>
  </w:style>
  <w:style w:type="numbering" w:customStyle="1" w:styleId="Bezseznamu11">
    <w:name w:val="Bez seznamu11"/>
    <w:next w:val="Bezseznamu"/>
    <w:uiPriority w:val="99"/>
    <w:semiHidden/>
    <w:unhideWhenUsed/>
    <w:rsid w:val="00C21EF3"/>
  </w:style>
  <w:style w:type="paragraph" w:customStyle="1" w:styleId="Citt1">
    <w:name w:val="Citát1"/>
    <w:basedOn w:val="Normln"/>
    <w:next w:val="Normln"/>
    <w:uiPriority w:val="29"/>
    <w:qFormat/>
    <w:rsid w:val="00C21EF3"/>
    <w:pPr>
      <w:spacing w:before="120"/>
    </w:pPr>
    <w:rPr>
      <w:rFonts w:ascii="Arial" w:eastAsia="Calibri" w:hAnsi="Arial"/>
      <w:i/>
      <w:iCs/>
      <w:color w:val="000000"/>
      <w:sz w:val="22"/>
      <w:szCs w:val="22"/>
    </w:rPr>
  </w:style>
  <w:style w:type="table" w:customStyle="1" w:styleId="Mkatabulky21">
    <w:name w:val="Mřížka tabulky21"/>
    <w:basedOn w:val="Normlntabulka"/>
    <w:next w:val="Mkatabulky"/>
    <w:uiPriority w:val="59"/>
    <w:rsid w:val="00C21E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1">
    <w:name w:val="Nadpis 7 Char1"/>
    <w:basedOn w:val="Standardnpsmoodstavce"/>
    <w:uiPriority w:val="9"/>
    <w:semiHidden/>
    <w:rsid w:val="00C21EF3"/>
    <w:rPr>
      <w:rFonts w:ascii="Cambria" w:eastAsia="Times New Roman" w:hAnsi="Cambria" w:cs="Times New Roman"/>
      <w:i/>
      <w:iCs/>
      <w:color w:val="404040"/>
      <w:sz w:val="24"/>
      <w:szCs w:val="24"/>
      <w:lang w:val="en-US" w:eastAsia="en-US"/>
    </w:rPr>
  </w:style>
  <w:style w:type="character" w:customStyle="1" w:styleId="CittChar1">
    <w:name w:val="Citát Char1"/>
    <w:basedOn w:val="Standardnpsmoodstavce"/>
    <w:uiPriority w:val="29"/>
    <w:rsid w:val="00C21EF3"/>
    <w:rPr>
      <w:i/>
      <w:iCs/>
      <w:color w:val="000000"/>
      <w:sz w:val="24"/>
      <w:szCs w:val="24"/>
      <w:lang w:val="en-US" w:eastAsia="en-US"/>
    </w:rPr>
  </w:style>
  <w:style w:type="table" w:customStyle="1" w:styleId="Mkatabulky3">
    <w:name w:val="Mřížka tabulky3"/>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4Char">
    <w:name w:val="Nadpis 4 Char"/>
    <w:aliases w:val="příloha Char"/>
    <w:basedOn w:val="Standardnpsmoodstavce"/>
    <w:link w:val="Nadpis4"/>
    <w:uiPriority w:val="9"/>
    <w:rsid w:val="0010633C"/>
    <w:rPr>
      <w:rFonts w:asciiTheme="minorHAnsi" w:hAnsiTheme="minorHAnsi"/>
      <w:b/>
      <w:bCs/>
      <w:sz w:val="24"/>
    </w:rPr>
  </w:style>
  <w:style w:type="numbering" w:customStyle="1" w:styleId="Bezseznamu4">
    <w:name w:val="Bez seznamu4"/>
    <w:next w:val="Bezseznamu"/>
    <w:uiPriority w:val="99"/>
    <w:semiHidden/>
    <w:unhideWhenUsed/>
    <w:rsid w:val="00C21EF3"/>
  </w:style>
  <w:style w:type="paragraph" w:styleId="Nadpisobsahu">
    <w:name w:val="TOC Heading"/>
    <w:basedOn w:val="Nadpis1"/>
    <w:next w:val="Normln"/>
    <w:uiPriority w:val="39"/>
    <w:qFormat/>
    <w:rsid w:val="00C21EF3"/>
    <w:pPr>
      <w:keepLines/>
      <w:spacing w:before="240" w:line="259" w:lineRule="auto"/>
      <w:jc w:val="left"/>
      <w:outlineLvl w:val="9"/>
    </w:pPr>
    <w:rPr>
      <w:rFonts w:ascii="Calibri Light" w:hAnsi="Calibri Light"/>
      <w:b w:val="0"/>
      <w:bCs w:val="0"/>
      <w:color w:val="2E74B5"/>
      <w:sz w:val="32"/>
      <w:szCs w:val="32"/>
    </w:rPr>
  </w:style>
  <w:style w:type="paragraph" w:styleId="Obsah2">
    <w:name w:val="toc 2"/>
    <w:basedOn w:val="Normln"/>
    <w:next w:val="Normln"/>
    <w:autoRedefine/>
    <w:uiPriority w:val="39"/>
    <w:unhideWhenUsed/>
    <w:rsid w:val="00C21EF3"/>
    <w:pPr>
      <w:ind w:left="240"/>
    </w:pPr>
    <w:rPr>
      <w:rFonts w:ascii="Calibri" w:hAnsi="Calibri"/>
    </w:rPr>
  </w:style>
  <w:style w:type="paragraph" w:styleId="Obsah3">
    <w:name w:val="toc 3"/>
    <w:basedOn w:val="Normln"/>
    <w:next w:val="Normln"/>
    <w:autoRedefine/>
    <w:uiPriority w:val="39"/>
    <w:unhideWhenUsed/>
    <w:rsid w:val="00C21EF3"/>
    <w:pPr>
      <w:tabs>
        <w:tab w:val="left" w:pos="960"/>
        <w:tab w:val="right" w:leader="dot" w:pos="9062"/>
      </w:tabs>
      <w:ind w:left="480"/>
    </w:pPr>
    <w:rPr>
      <w:rFonts w:ascii="Calibri" w:hAnsi="Calibri"/>
      <w:noProof/>
    </w:rPr>
  </w:style>
  <w:style w:type="paragraph" w:styleId="Rozloendokumentu">
    <w:name w:val="Document Map"/>
    <w:basedOn w:val="Normln"/>
    <w:link w:val="RozloendokumentuChar"/>
    <w:semiHidden/>
    <w:rsid w:val="00C21EF3"/>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C21EF3"/>
    <w:rPr>
      <w:rFonts w:ascii="Tahoma" w:hAnsi="Tahoma" w:cs="Tahoma"/>
      <w:shd w:val="clear" w:color="auto" w:fill="000080"/>
      <w:lang w:eastAsia="en-US"/>
    </w:rPr>
  </w:style>
  <w:style w:type="paragraph" w:styleId="Zkladntext-prvnodsazen">
    <w:name w:val="Body Text First Indent"/>
    <w:basedOn w:val="Zkladntext"/>
    <w:link w:val="Zkladntext-prvnodsazenChar"/>
    <w:rsid w:val="00C21EF3"/>
    <w:pPr>
      <w:spacing w:after="120"/>
      <w:ind w:firstLine="210"/>
      <w:jc w:val="left"/>
    </w:pPr>
    <w:rPr>
      <w:rFonts w:ascii="Calibri" w:hAnsi="Calibri"/>
      <w:b w:val="0"/>
      <w:bCs w:val="0"/>
      <w:sz w:val="24"/>
      <w:szCs w:val="24"/>
    </w:rPr>
  </w:style>
  <w:style w:type="character" w:customStyle="1" w:styleId="ZkladntextChar1">
    <w:name w:val="Základní text Char1"/>
    <w:aliases w:val="?????1 Char,Body ... Char,Body Text Char Char1,Body Text Char Char Char1,Body Text Char Char Char Char,Body Text Char1 Char Char Char,Body Text Char2 Char Char,Corps de texte INTSUM Char,Nornální Char,Základní text - D Char,b Char"/>
    <w:basedOn w:val="Standardnpsmoodstavce"/>
    <w:link w:val="Zkladntext"/>
    <w:rsid w:val="00C21EF3"/>
    <w:rPr>
      <w:b/>
      <w:bCs/>
      <w:sz w:val="28"/>
      <w:szCs w:val="28"/>
      <w:lang w:eastAsia="en-US"/>
    </w:rPr>
  </w:style>
  <w:style w:type="character" w:customStyle="1" w:styleId="Zkladntext-prvnodsazenChar">
    <w:name w:val="Základní text - první odsazený Char"/>
    <w:basedOn w:val="ZkladntextChar1"/>
    <w:link w:val="Zkladntext-prvnodsazen"/>
    <w:rsid w:val="00C21EF3"/>
    <w:rPr>
      <w:rFonts w:ascii="Calibri" w:hAnsi="Calibri"/>
      <w:b w:val="0"/>
      <w:bCs w:val="0"/>
      <w:sz w:val="24"/>
      <w:szCs w:val="24"/>
      <w:lang w:eastAsia="en-US"/>
    </w:rPr>
  </w:style>
  <w:style w:type="table" w:customStyle="1" w:styleId="Mkatabulky6">
    <w:name w:val="Mřížka tabulky6"/>
    <w:basedOn w:val="Normlntabulka"/>
    <w:next w:val="Mkatabulky"/>
    <w:rsid w:val="00C21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21EF3"/>
  </w:style>
  <w:style w:type="numbering" w:customStyle="1" w:styleId="Bezseznamu5">
    <w:name w:val="Bez seznamu5"/>
    <w:next w:val="Bezseznamu"/>
    <w:uiPriority w:val="99"/>
    <w:semiHidden/>
    <w:unhideWhenUsed/>
    <w:rsid w:val="00C21EF3"/>
  </w:style>
  <w:style w:type="table" w:customStyle="1" w:styleId="Mkatabulky7">
    <w:name w:val="Mřížka tabulky7"/>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2">
    <w:name w:val="Bez seznamu12"/>
    <w:next w:val="Bezseznamu"/>
    <w:uiPriority w:val="99"/>
    <w:semiHidden/>
    <w:unhideWhenUsed/>
    <w:rsid w:val="00C21EF3"/>
  </w:style>
  <w:style w:type="table" w:customStyle="1" w:styleId="Mkatabulky31">
    <w:name w:val="Mřížka tabulky31"/>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71">
    <w:name w:val="Mřížka tabulky71"/>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6">
    <w:name w:val="Bez seznamu6"/>
    <w:next w:val="Bezseznamu"/>
    <w:uiPriority w:val="99"/>
    <w:semiHidden/>
    <w:unhideWhenUsed/>
    <w:rsid w:val="00C21EF3"/>
  </w:style>
  <w:style w:type="paragraph" w:customStyle="1" w:styleId="Nadpis21">
    <w:name w:val="Nadpis 21"/>
    <w:basedOn w:val="Normln"/>
    <w:next w:val="Normln"/>
    <w:unhideWhenUsed/>
    <w:qFormat/>
    <w:rsid w:val="00C21EF3"/>
    <w:pPr>
      <w:keepNext/>
      <w:keepLines/>
      <w:spacing w:before="200"/>
      <w:outlineLvl w:val="1"/>
    </w:pPr>
    <w:rPr>
      <w:rFonts w:ascii="Cambria" w:hAnsi="Cambria"/>
      <w:b/>
      <w:bCs/>
      <w:color w:val="4F81BD"/>
      <w:sz w:val="26"/>
      <w:szCs w:val="26"/>
    </w:rPr>
  </w:style>
  <w:style w:type="paragraph" w:customStyle="1" w:styleId="Nadpis31">
    <w:name w:val="Nadpis 31"/>
    <w:basedOn w:val="Normln"/>
    <w:next w:val="Normln"/>
    <w:uiPriority w:val="9"/>
    <w:unhideWhenUsed/>
    <w:qFormat/>
    <w:rsid w:val="00C21EF3"/>
    <w:pPr>
      <w:keepNext/>
      <w:keepLines/>
      <w:spacing w:before="40"/>
      <w:outlineLvl w:val="2"/>
    </w:pPr>
    <w:rPr>
      <w:rFonts w:ascii="Cambria" w:hAnsi="Cambria"/>
      <w:color w:val="243F60"/>
    </w:rPr>
  </w:style>
  <w:style w:type="paragraph" w:customStyle="1" w:styleId="Nadpis41">
    <w:name w:val="Nadpis 41"/>
    <w:basedOn w:val="Normln"/>
    <w:next w:val="Normln"/>
    <w:uiPriority w:val="9"/>
    <w:unhideWhenUsed/>
    <w:qFormat/>
    <w:rsid w:val="00C21EF3"/>
    <w:pPr>
      <w:keepNext/>
      <w:keepLines/>
      <w:spacing w:before="40"/>
      <w:outlineLvl w:val="3"/>
    </w:pPr>
    <w:rPr>
      <w:rFonts w:ascii="Cambria" w:hAnsi="Cambria"/>
      <w:i/>
      <w:iCs/>
      <w:color w:val="365F91"/>
      <w:sz w:val="22"/>
      <w:szCs w:val="22"/>
    </w:rPr>
  </w:style>
  <w:style w:type="table" w:customStyle="1" w:styleId="Mkatabulky9">
    <w:name w:val="Mřížka tabulky9"/>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uiPriority w:val="5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59"/>
    <w:rsid w:val="00C21EF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
    <w:name w:val="Mřížka tabulky51"/>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39"/>
    <w:rsid w:val="00C21EF3"/>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61">
    <w:name w:val="Mřížka tabulky61"/>
    <w:basedOn w:val="Normlntabulka"/>
    <w:next w:val="Mkatabulky"/>
    <w:rsid w:val="00C21EF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1">
    <w:name w:val="Nadpis 2 Char1"/>
    <w:basedOn w:val="Standardnpsmoodstavce"/>
    <w:uiPriority w:val="9"/>
    <w:semiHidden/>
    <w:rsid w:val="00C21EF3"/>
    <w:rPr>
      <w:rFonts w:ascii="Calibri Light" w:eastAsia="Times New Roman" w:hAnsi="Calibri Light" w:cs="Times New Roman"/>
      <w:color w:val="2E74B5"/>
      <w:sz w:val="26"/>
      <w:szCs w:val="26"/>
    </w:rPr>
  </w:style>
  <w:style w:type="character" w:customStyle="1" w:styleId="Nadpis7Char2">
    <w:name w:val="Nadpis 7 Char2"/>
    <w:basedOn w:val="Standardnpsmoodstavce"/>
    <w:uiPriority w:val="9"/>
    <w:semiHidden/>
    <w:rsid w:val="00C21EF3"/>
    <w:rPr>
      <w:rFonts w:ascii="Calibri Light" w:eastAsia="Times New Roman" w:hAnsi="Calibri Light" w:cs="Times New Roman"/>
      <w:i/>
      <w:iCs/>
      <w:color w:val="1F4D78"/>
    </w:rPr>
  </w:style>
  <w:style w:type="character" w:customStyle="1" w:styleId="CittChar2">
    <w:name w:val="Citát Char2"/>
    <w:basedOn w:val="Standardnpsmoodstavce"/>
    <w:uiPriority w:val="29"/>
    <w:rsid w:val="00C21EF3"/>
    <w:rPr>
      <w:rFonts w:cs="Times New Roman"/>
      <w:i/>
      <w:iCs/>
      <w:color w:val="404040"/>
    </w:rPr>
  </w:style>
  <w:style w:type="character" w:customStyle="1" w:styleId="CittChar21">
    <w:name w:val="Citát Char21"/>
    <w:basedOn w:val="Standardnpsmoodstavce"/>
    <w:uiPriority w:val="29"/>
    <w:rsid w:val="00C21EF3"/>
    <w:rPr>
      <w:rFonts w:cs="Times New Roman"/>
      <w:i/>
      <w:iCs/>
      <w:color w:val="404040"/>
    </w:rPr>
  </w:style>
  <w:style w:type="character" w:customStyle="1" w:styleId="Nadpis3Char1">
    <w:name w:val="Nadpis 3 Char1"/>
    <w:basedOn w:val="Standardnpsmoodstavce"/>
    <w:uiPriority w:val="9"/>
    <w:semiHidden/>
    <w:rsid w:val="00C21EF3"/>
    <w:rPr>
      <w:rFonts w:ascii="Calibri Light" w:eastAsia="Times New Roman" w:hAnsi="Calibri Light" w:cs="Times New Roman"/>
      <w:color w:val="1F4D78"/>
      <w:sz w:val="24"/>
      <w:szCs w:val="24"/>
    </w:rPr>
  </w:style>
  <w:style w:type="character" w:customStyle="1" w:styleId="Nadpis4Char1">
    <w:name w:val="Nadpis 4 Char1"/>
    <w:basedOn w:val="Standardnpsmoodstavce"/>
    <w:uiPriority w:val="9"/>
    <w:semiHidden/>
    <w:rsid w:val="00C21EF3"/>
    <w:rPr>
      <w:rFonts w:ascii="Calibri Light" w:eastAsia="Times New Roman" w:hAnsi="Calibri Light" w:cs="Times New Roman"/>
      <w:i/>
      <w:iCs/>
      <w:color w:val="2E74B5"/>
    </w:rPr>
  </w:style>
  <w:style w:type="numbering" w:customStyle="1" w:styleId="Bezseznamu7">
    <w:name w:val="Bez seznamu7"/>
    <w:next w:val="Bezseznamu"/>
    <w:uiPriority w:val="99"/>
    <w:semiHidden/>
    <w:unhideWhenUsed/>
    <w:rsid w:val="00C21EF3"/>
  </w:style>
  <w:style w:type="numbering" w:customStyle="1" w:styleId="Bezseznamu13">
    <w:name w:val="Bez seznamu13"/>
    <w:next w:val="Bezseznamu"/>
    <w:uiPriority w:val="99"/>
    <w:semiHidden/>
    <w:unhideWhenUsed/>
    <w:rsid w:val="00C21EF3"/>
  </w:style>
  <w:style w:type="numbering" w:customStyle="1" w:styleId="Bezseznamu111">
    <w:name w:val="Bez seznamu111"/>
    <w:next w:val="Bezseznamu"/>
    <w:uiPriority w:val="99"/>
    <w:semiHidden/>
    <w:unhideWhenUsed/>
    <w:rsid w:val="00C21EF3"/>
  </w:style>
  <w:style w:type="numbering" w:customStyle="1" w:styleId="Bezseznamu21">
    <w:name w:val="Bez seznamu21"/>
    <w:next w:val="Bezseznamu"/>
    <w:uiPriority w:val="99"/>
    <w:semiHidden/>
    <w:unhideWhenUsed/>
    <w:rsid w:val="00C21EF3"/>
  </w:style>
  <w:style w:type="numbering" w:customStyle="1" w:styleId="Bezseznamu31">
    <w:name w:val="Bez seznamu31"/>
    <w:next w:val="Bezseznamu"/>
    <w:uiPriority w:val="99"/>
    <w:semiHidden/>
    <w:unhideWhenUsed/>
    <w:rsid w:val="00C21EF3"/>
  </w:style>
  <w:style w:type="numbering" w:customStyle="1" w:styleId="Bezseznamu1111">
    <w:name w:val="Bez seznamu1111"/>
    <w:next w:val="Bezseznamu"/>
    <w:uiPriority w:val="99"/>
    <w:semiHidden/>
    <w:unhideWhenUsed/>
    <w:rsid w:val="00C21EF3"/>
  </w:style>
  <w:style w:type="numbering" w:customStyle="1" w:styleId="Bezseznamu41">
    <w:name w:val="Bez seznamu41"/>
    <w:next w:val="Bezseznamu"/>
    <w:uiPriority w:val="99"/>
    <w:semiHidden/>
    <w:unhideWhenUsed/>
    <w:rsid w:val="00C21EF3"/>
  </w:style>
  <w:style w:type="character" w:styleId="slodku">
    <w:name w:val="line number"/>
    <w:basedOn w:val="Standardnpsmoodstavce"/>
    <w:uiPriority w:val="99"/>
    <w:semiHidden/>
    <w:unhideWhenUsed/>
    <w:rsid w:val="00C21EF3"/>
  </w:style>
  <w:style w:type="paragraph" w:customStyle="1" w:styleId="Hlava">
    <w:name w:val="Hlava"/>
    <w:basedOn w:val="Normln"/>
    <w:link w:val="HlavaChar"/>
    <w:qFormat/>
    <w:rsid w:val="00C21EF3"/>
    <w:pPr>
      <w:suppressAutoHyphens/>
      <w:jc w:val="center"/>
    </w:pPr>
    <w:rPr>
      <w:lang w:eastAsia="ar-SA"/>
    </w:rPr>
  </w:style>
  <w:style w:type="character" w:customStyle="1" w:styleId="HlavaChar">
    <w:name w:val="Hlava Char"/>
    <w:link w:val="Hlava"/>
    <w:rsid w:val="00C21EF3"/>
    <w:rPr>
      <w:sz w:val="24"/>
      <w:szCs w:val="24"/>
      <w:lang w:eastAsia="ar-SA"/>
    </w:rPr>
  </w:style>
  <w:style w:type="paragraph" w:customStyle="1" w:styleId="BodyText22">
    <w:name w:val="Body Text 22"/>
    <w:basedOn w:val="Normln"/>
    <w:rsid w:val="00C21EF3"/>
    <w:pPr>
      <w:overflowPunct w:val="0"/>
      <w:autoSpaceDE w:val="0"/>
      <w:autoSpaceDN w:val="0"/>
      <w:adjustRightInd w:val="0"/>
      <w:ind w:firstLine="709"/>
      <w:textAlignment w:val="baseline"/>
    </w:pPr>
  </w:style>
  <w:style w:type="numbering" w:customStyle="1" w:styleId="Styl2">
    <w:name w:val="Styl2"/>
    <w:uiPriority w:val="99"/>
    <w:rsid w:val="006F2E2A"/>
    <w:pPr>
      <w:numPr>
        <w:numId w:val="7"/>
      </w:numPr>
    </w:pPr>
  </w:style>
  <w:style w:type="paragraph" w:customStyle="1" w:styleId="Pa18">
    <w:name w:val="Pa18"/>
    <w:basedOn w:val="Normln"/>
    <w:next w:val="Normln"/>
    <w:rsid w:val="0079253B"/>
    <w:pPr>
      <w:autoSpaceDE w:val="0"/>
      <w:autoSpaceDN w:val="0"/>
      <w:adjustRightInd w:val="0"/>
      <w:spacing w:line="211" w:lineRule="atLeast"/>
      <w:jc w:val="left"/>
    </w:pPr>
    <w:rPr>
      <w:rFonts w:ascii="Calibri" w:hAnsi="Calibri"/>
      <w:szCs w:val="24"/>
    </w:rPr>
  </w:style>
  <w:style w:type="character" w:customStyle="1" w:styleId="A14">
    <w:name w:val="A14"/>
    <w:rsid w:val="0079253B"/>
    <w:rPr>
      <w:b/>
      <w:color w:val="000000"/>
      <w:sz w:val="54"/>
    </w:rPr>
  </w:style>
  <w:style w:type="paragraph" w:customStyle="1" w:styleId="Pa19">
    <w:name w:val="Pa19"/>
    <w:basedOn w:val="Normln"/>
    <w:next w:val="Normln"/>
    <w:rsid w:val="0079253B"/>
    <w:pPr>
      <w:autoSpaceDE w:val="0"/>
      <w:autoSpaceDN w:val="0"/>
      <w:adjustRightInd w:val="0"/>
      <w:spacing w:line="211" w:lineRule="atLeast"/>
      <w:jc w:val="left"/>
    </w:pPr>
    <w:rPr>
      <w:rFonts w:ascii="Calibri" w:hAnsi="Calibri"/>
      <w:szCs w:val="24"/>
    </w:rPr>
  </w:style>
  <w:style w:type="paragraph" w:customStyle="1" w:styleId="Zkladn">
    <w:name w:val="Základní"/>
    <w:basedOn w:val="Normln"/>
    <w:rsid w:val="00554FD1"/>
    <w:pPr>
      <w:spacing w:before="120"/>
    </w:pPr>
    <w:rPr>
      <w:rFonts w:ascii="Arial" w:hAnsi="Arial"/>
      <w:szCs w:val="24"/>
      <w:lang w:eastAsia="en-US"/>
    </w:rPr>
  </w:style>
  <w:style w:type="character" w:customStyle="1" w:styleId="tabulkaChar">
    <w:name w:val="tabulka Char"/>
    <w:basedOn w:val="Standardnpsmoodstavce"/>
    <w:link w:val="tabulka"/>
    <w:locked/>
    <w:rsid w:val="00A57C26"/>
    <w:rPr>
      <w:rFonts w:asciiTheme="minorHAnsi" w:hAnsiTheme="minorHAnsi" w:cstheme="minorHAnsi"/>
      <w:sz w:val="24"/>
      <w:szCs w:val="24"/>
    </w:rPr>
  </w:style>
  <w:style w:type="paragraph" w:customStyle="1" w:styleId="tabulka">
    <w:name w:val="tabulka"/>
    <w:basedOn w:val="Normln"/>
    <w:link w:val="tabulkaChar"/>
    <w:qFormat/>
    <w:rsid w:val="00A57C26"/>
    <w:pPr>
      <w:keepNext/>
      <w:numPr>
        <w:numId w:val="8"/>
      </w:numPr>
      <w:ind w:left="357" w:hanging="357"/>
    </w:pPr>
    <w:rPr>
      <w:rFonts w:cstheme="minorHAnsi"/>
      <w:szCs w:val="24"/>
    </w:rPr>
  </w:style>
  <w:style w:type="paragraph" w:customStyle="1" w:styleId="l4">
    <w:name w:val="l4"/>
    <w:basedOn w:val="Normln"/>
    <w:rsid w:val="00916704"/>
    <w:pPr>
      <w:spacing w:before="100" w:beforeAutospacing="1" w:after="100" w:afterAutospacing="1"/>
      <w:jc w:val="left"/>
    </w:pPr>
    <w:rPr>
      <w:rFonts w:ascii="Times New Roman" w:hAnsi="Times New Roman"/>
      <w:szCs w:val="24"/>
    </w:rPr>
  </w:style>
  <w:style w:type="paragraph" w:customStyle="1" w:styleId="Nzevtabulka">
    <w:name w:val="Název tabulka"/>
    <w:basedOn w:val="Normln"/>
    <w:link w:val="NzevtabulkaChar"/>
    <w:qFormat/>
    <w:rsid w:val="008C1CD5"/>
    <w:pPr>
      <w:keepNext/>
      <w:numPr>
        <w:numId w:val="11"/>
      </w:numPr>
      <w:ind w:left="357" w:hanging="357"/>
    </w:pPr>
    <w:rPr>
      <w:rFonts w:cstheme="minorHAnsi"/>
      <w:szCs w:val="24"/>
      <w:lang w:eastAsia="en-US"/>
    </w:rPr>
  </w:style>
  <w:style w:type="character" w:customStyle="1" w:styleId="NzevtabulkaChar">
    <w:name w:val="Název tabulka Char"/>
    <w:basedOn w:val="Standardnpsmoodstavce"/>
    <w:link w:val="Nzevtabulka"/>
    <w:locked/>
    <w:rsid w:val="008C1CD5"/>
    <w:rPr>
      <w:rFonts w:asciiTheme="minorHAnsi" w:hAnsiTheme="minorHAnsi" w:cstheme="minorHAnsi"/>
      <w:sz w:val="24"/>
      <w:szCs w:val="24"/>
      <w:lang w:eastAsia="en-US"/>
    </w:rPr>
  </w:style>
  <w:style w:type="character" w:customStyle="1" w:styleId="Nadpis8Char">
    <w:name w:val="Nadpis 8 Char"/>
    <w:basedOn w:val="Standardnpsmoodstavce"/>
    <w:link w:val="Nadpis8"/>
    <w:uiPriority w:val="9"/>
    <w:rsid w:val="008C1CD5"/>
    <w:rPr>
      <w:rFonts w:asciiTheme="minorHAnsi" w:hAnsiTheme="minorHAnsi"/>
      <w:b/>
      <w:bCs/>
      <w:noProof/>
      <w:sz w:val="24"/>
    </w:rPr>
  </w:style>
  <w:style w:type="paragraph" w:styleId="Obsah1">
    <w:name w:val="toc 1"/>
    <w:basedOn w:val="Normln"/>
    <w:next w:val="Normln"/>
    <w:autoRedefine/>
    <w:uiPriority w:val="39"/>
    <w:unhideWhenUsed/>
    <w:rsid w:val="008C1CD5"/>
    <w:pPr>
      <w:tabs>
        <w:tab w:val="left" w:pos="440"/>
        <w:tab w:val="right" w:leader="dot" w:pos="9060"/>
      </w:tabs>
      <w:spacing w:after="60"/>
      <w:ind w:left="284" w:hanging="284"/>
    </w:pPr>
    <w:rPr>
      <w:szCs w:val="24"/>
      <w:lang w:eastAsia="en-US"/>
    </w:rPr>
  </w:style>
  <w:style w:type="character" w:customStyle="1" w:styleId="TextpoznpodarouChar1">
    <w:name w:val="Text pozn. pod čarou Char1"/>
    <w:basedOn w:val="Standardnpsmoodstavce"/>
    <w:uiPriority w:val="99"/>
    <w:semiHidden/>
    <w:rsid w:val="008C1CD5"/>
    <w:rPr>
      <w:sz w:val="20"/>
      <w:szCs w:val="20"/>
    </w:rPr>
  </w:style>
  <w:style w:type="paragraph" w:customStyle="1" w:styleId="Standard">
    <w:name w:val="Standard"/>
    <w:rsid w:val="008C1CD5"/>
    <w:pPr>
      <w:widowControl w:val="0"/>
      <w:suppressAutoHyphens/>
      <w:autoSpaceDN w:val="0"/>
      <w:textAlignment w:val="baseline"/>
    </w:pPr>
    <w:rPr>
      <w:kern w:val="3"/>
      <w:lang w:bidi="hi-IN"/>
    </w:rPr>
  </w:style>
  <w:style w:type="paragraph" w:customStyle="1" w:styleId="p7">
    <w:name w:val="p7"/>
    <w:basedOn w:val="Normln"/>
    <w:rsid w:val="008C1CD5"/>
    <w:pPr>
      <w:spacing w:before="100" w:beforeAutospacing="1" w:after="100" w:afterAutospacing="1"/>
      <w:jc w:val="left"/>
    </w:pPr>
    <w:rPr>
      <w:rFonts w:ascii="Times New Roman" w:hAnsi="Times New Roman"/>
      <w:szCs w:val="24"/>
    </w:rPr>
  </w:style>
  <w:style w:type="character" w:customStyle="1" w:styleId="s2">
    <w:name w:val="s2"/>
    <w:basedOn w:val="Standardnpsmoodstavce"/>
    <w:rsid w:val="008C1CD5"/>
  </w:style>
  <w:style w:type="paragraph" w:customStyle="1" w:styleId="p6">
    <w:name w:val="p6"/>
    <w:basedOn w:val="Normln"/>
    <w:rsid w:val="008C1CD5"/>
    <w:pPr>
      <w:spacing w:before="100" w:beforeAutospacing="1" w:after="100" w:afterAutospacing="1"/>
      <w:jc w:val="left"/>
    </w:pPr>
    <w:rPr>
      <w:rFonts w:ascii="Times New Roman" w:hAnsi="Times New Roman"/>
      <w:szCs w:val="24"/>
    </w:rPr>
  </w:style>
  <w:style w:type="character" w:customStyle="1" w:styleId="s3">
    <w:name w:val="s3"/>
    <w:basedOn w:val="Standardnpsmoodstavce"/>
    <w:rsid w:val="008C1CD5"/>
  </w:style>
  <w:style w:type="paragraph" w:styleId="Podnadpis">
    <w:name w:val="Subtitle"/>
    <w:aliases w:val="tabulka 1. řádek"/>
    <w:basedOn w:val="Normln"/>
    <w:next w:val="Normln"/>
    <w:link w:val="PodnadpisChar"/>
    <w:uiPriority w:val="11"/>
    <w:qFormat/>
    <w:rsid w:val="008C1CD5"/>
    <w:pPr>
      <w:numPr>
        <w:ilvl w:val="1"/>
      </w:numPr>
      <w:contextualSpacing/>
      <w:jc w:val="center"/>
    </w:pPr>
    <w:rPr>
      <w:rFonts w:eastAsiaTheme="minorEastAsia" w:cstheme="minorBidi"/>
      <w:b/>
      <w:sz w:val="22"/>
      <w:szCs w:val="22"/>
      <w:lang w:eastAsia="en-US"/>
    </w:rPr>
  </w:style>
  <w:style w:type="character" w:customStyle="1" w:styleId="PodnadpisChar">
    <w:name w:val="Podnadpis Char"/>
    <w:aliases w:val="tabulka 1. řádek Char"/>
    <w:basedOn w:val="Standardnpsmoodstavce"/>
    <w:link w:val="Podnadpis"/>
    <w:uiPriority w:val="11"/>
    <w:rsid w:val="008C1CD5"/>
    <w:rPr>
      <w:rFonts w:asciiTheme="minorHAnsi" w:eastAsiaTheme="minorEastAsia" w:hAnsiTheme="minorHAnsi" w:cstheme="minorBidi"/>
      <w:b/>
      <w:sz w:val="22"/>
      <w:szCs w:val="22"/>
      <w:lang w:eastAsia="en-US"/>
    </w:rPr>
  </w:style>
  <w:style w:type="character" w:customStyle="1" w:styleId="StylIChar">
    <w:name w:val="Styl I. Char"/>
    <w:link w:val="StylI"/>
    <w:locked/>
    <w:rsid w:val="008C1CD5"/>
    <w:rPr>
      <w:rFonts w:ascii="Arial" w:eastAsia="Calibri" w:hAnsi="Arial" w:cs="Arial"/>
    </w:rPr>
  </w:style>
  <w:style w:type="paragraph" w:customStyle="1" w:styleId="StylI">
    <w:name w:val="Styl I."/>
    <w:basedOn w:val="Odstavecseseznamem"/>
    <w:link w:val="StylIChar"/>
    <w:qFormat/>
    <w:rsid w:val="008C1CD5"/>
    <w:pPr>
      <w:numPr>
        <w:numId w:val="12"/>
      </w:numPr>
      <w:spacing w:before="120" w:after="240"/>
      <w:ind w:left="357" w:hanging="357"/>
    </w:pPr>
    <w:rPr>
      <w:rFonts w:ascii="Arial" w:eastAsia="Calibri" w:hAnsi="Arial" w:cs="Arial"/>
      <w:sz w:val="20"/>
    </w:rPr>
  </w:style>
  <w:style w:type="paragraph" w:customStyle="1" w:styleId="Stylaa">
    <w:name w:val="Styl aa)"/>
    <w:basedOn w:val="Odstavecseseznamem"/>
    <w:qFormat/>
    <w:rsid w:val="008C1CD5"/>
    <w:pPr>
      <w:numPr>
        <w:ilvl w:val="3"/>
        <w:numId w:val="12"/>
      </w:numPr>
      <w:tabs>
        <w:tab w:val="num" w:pos="360"/>
      </w:tabs>
      <w:spacing w:before="120" w:after="240"/>
      <w:ind w:left="357" w:hanging="357"/>
    </w:pPr>
    <w:rPr>
      <w:rFonts w:ascii="Arial" w:eastAsia="Calibri" w:hAnsi="Arial" w:cs="Arial"/>
      <w:sz w:val="22"/>
      <w:szCs w:val="22"/>
      <w:lang w:eastAsia="en-US"/>
    </w:rPr>
  </w:style>
  <w:style w:type="paragraph" w:customStyle="1" w:styleId="Styla">
    <w:name w:val="Styl a)"/>
    <w:basedOn w:val="Odstavecseseznamem"/>
    <w:qFormat/>
    <w:rsid w:val="008C1CD5"/>
    <w:pPr>
      <w:numPr>
        <w:ilvl w:val="2"/>
        <w:numId w:val="12"/>
      </w:numPr>
      <w:tabs>
        <w:tab w:val="num" w:pos="360"/>
      </w:tabs>
      <w:spacing w:before="120" w:after="240"/>
      <w:ind w:left="357" w:hanging="357"/>
    </w:pPr>
    <w:rPr>
      <w:rFonts w:ascii="Arial" w:eastAsia="Calibri" w:hAnsi="Arial" w:cs="Arial"/>
      <w:sz w:val="22"/>
      <w:szCs w:val="22"/>
      <w:lang w:eastAsia="en-US"/>
    </w:rPr>
  </w:style>
  <w:style w:type="character" w:customStyle="1" w:styleId="Styl1Char">
    <w:name w:val="Styl   1. Char"/>
    <w:link w:val="Styl1"/>
    <w:locked/>
    <w:rsid w:val="008C1CD5"/>
    <w:rPr>
      <w:rFonts w:ascii="Arial" w:eastAsia="Calibri" w:hAnsi="Arial" w:cs="Arial"/>
    </w:rPr>
  </w:style>
  <w:style w:type="paragraph" w:customStyle="1" w:styleId="Styl1">
    <w:name w:val="Styl   1."/>
    <w:basedOn w:val="Normln"/>
    <w:link w:val="Styl1Char"/>
    <w:qFormat/>
    <w:rsid w:val="008C1CD5"/>
    <w:pPr>
      <w:numPr>
        <w:numId w:val="13"/>
      </w:numPr>
      <w:spacing w:before="120" w:after="240"/>
    </w:pPr>
    <w:rPr>
      <w:rFonts w:ascii="Arial" w:eastAsia="Calibri" w:hAnsi="Arial" w:cs="Arial"/>
      <w:sz w:val="20"/>
    </w:rPr>
  </w:style>
  <w:style w:type="numbering" w:customStyle="1" w:styleId="StylI-aa">
    <w:name w:val="Styl I-aa)"/>
    <w:uiPriority w:val="99"/>
    <w:rsid w:val="008C1CD5"/>
    <w:pPr>
      <w:numPr>
        <w:numId w:val="12"/>
      </w:numPr>
    </w:pPr>
  </w:style>
  <w:style w:type="character" w:customStyle="1" w:styleId="Styl1-IChar">
    <w:name w:val="Styl1 - I. Char"/>
    <w:link w:val="Styl1-I"/>
    <w:locked/>
    <w:rsid w:val="008C1CD5"/>
    <w:rPr>
      <w:rFonts w:ascii="Arial" w:hAnsi="Arial" w:cs="Arial"/>
    </w:rPr>
  </w:style>
  <w:style w:type="paragraph" w:customStyle="1" w:styleId="Styl1-I">
    <w:name w:val="Styl1 - I."/>
    <w:basedOn w:val="Normln"/>
    <w:link w:val="Styl1-IChar"/>
    <w:qFormat/>
    <w:rsid w:val="008C1CD5"/>
    <w:pPr>
      <w:numPr>
        <w:numId w:val="14"/>
      </w:numPr>
      <w:overflowPunct w:val="0"/>
      <w:autoSpaceDE w:val="0"/>
      <w:autoSpaceDN w:val="0"/>
      <w:adjustRightInd w:val="0"/>
      <w:spacing w:before="120" w:after="240"/>
      <w:ind w:left="357" w:hanging="357"/>
    </w:pPr>
    <w:rPr>
      <w:rFonts w:ascii="Arial" w:hAnsi="Arial" w:cs="Arial"/>
      <w:sz w:val="20"/>
    </w:rPr>
  </w:style>
  <w:style w:type="character" w:customStyle="1" w:styleId="Styl1-1Char">
    <w:name w:val="Styl1 - 1. Char"/>
    <w:link w:val="Styl1-1"/>
    <w:locked/>
    <w:rsid w:val="008C1CD5"/>
    <w:rPr>
      <w:rFonts w:ascii="Arial" w:hAnsi="Arial" w:cs="Arial"/>
    </w:rPr>
  </w:style>
  <w:style w:type="paragraph" w:customStyle="1" w:styleId="Styl1-1">
    <w:name w:val="Styl1 - 1."/>
    <w:basedOn w:val="Normln"/>
    <w:link w:val="Styl1-1Char"/>
    <w:qFormat/>
    <w:rsid w:val="008C1CD5"/>
    <w:pPr>
      <w:numPr>
        <w:numId w:val="15"/>
      </w:numPr>
      <w:overflowPunct w:val="0"/>
      <w:autoSpaceDE w:val="0"/>
      <w:autoSpaceDN w:val="0"/>
      <w:adjustRightInd w:val="0"/>
      <w:spacing w:before="120" w:after="240"/>
      <w:ind w:left="357" w:hanging="357"/>
    </w:pPr>
    <w:rPr>
      <w:rFonts w:ascii="Arial" w:hAnsi="Arial" w:cs="Arial"/>
      <w:sz w:val="20"/>
    </w:rPr>
  </w:style>
  <w:style w:type="character" w:customStyle="1" w:styleId="Nadpis20">
    <w:name w:val="Nadpis #2_"/>
    <w:basedOn w:val="Standardnpsmoodstavce"/>
    <w:link w:val="Nadpis22"/>
    <w:locked/>
    <w:rsid w:val="008C1CD5"/>
    <w:rPr>
      <w:b/>
      <w:bCs/>
      <w:shd w:val="clear" w:color="auto" w:fill="FFFFFF"/>
    </w:rPr>
  </w:style>
  <w:style w:type="paragraph" w:customStyle="1" w:styleId="Nadpis22">
    <w:name w:val="Nadpis #2"/>
    <w:basedOn w:val="Normln"/>
    <w:link w:val="Nadpis20"/>
    <w:rsid w:val="008C1CD5"/>
    <w:pPr>
      <w:widowControl w:val="0"/>
      <w:shd w:val="clear" w:color="auto" w:fill="FFFFFF"/>
      <w:ind w:left="340"/>
      <w:outlineLvl w:val="1"/>
    </w:pPr>
    <w:rPr>
      <w:rFonts w:ascii="Times New Roman" w:hAnsi="Times New Roman"/>
      <w:b/>
      <w:bCs/>
      <w:sz w:val="20"/>
    </w:rPr>
  </w:style>
  <w:style w:type="character" w:customStyle="1" w:styleId="Zkladntext0">
    <w:name w:val="Základní text_"/>
    <w:basedOn w:val="Standardnpsmoodstavce"/>
    <w:link w:val="Zkladntext1"/>
    <w:locked/>
    <w:rsid w:val="008C1CD5"/>
    <w:rPr>
      <w:shd w:val="clear" w:color="auto" w:fill="FFFFFF"/>
    </w:rPr>
  </w:style>
  <w:style w:type="paragraph" w:customStyle="1" w:styleId="Zkladntext1">
    <w:name w:val="Základní text1"/>
    <w:basedOn w:val="Normln"/>
    <w:link w:val="Zkladntext0"/>
    <w:rsid w:val="008C1CD5"/>
    <w:pPr>
      <w:widowControl w:val="0"/>
      <w:shd w:val="clear" w:color="auto" w:fill="FFFFFF"/>
      <w:spacing w:after="260"/>
    </w:pPr>
    <w:rPr>
      <w:rFonts w:ascii="Times New Roman" w:hAnsi="Times New Roman"/>
      <w:sz w:val="20"/>
    </w:rPr>
  </w:style>
  <w:style w:type="character" w:customStyle="1" w:styleId="Nadpis1Char1">
    <w:name w:val="Nadpis 1 Char1"/>
    <w:aliases w:val="Nadpis 1 Char Char,vlevo 18b. Char"/>
    <w:basedOn w:val="Standardnpsmoodstavce"/>
    <w:link w:val="Nadpis1"/>
    <w:uiPriority w:val="9"/>
    <w:rsid w:val="00D75822"/>
    <w:rPr>
      <w:rFonts w:asciiTheme="minorHAnsi" w:hAnsiTheme="minorHAnsi"/>
      <w:b/>
      <w:bCs/>
      <w:sz w:val="28"/>
      <w:szCs w:val="34"/>
      <w:u w:val="single"/>
    </w:rPr>
  </w:style>
  <w:style w:type="character" w:customStyle="1" w:styleId="Zkladntextodsazen2Char">
    <w:name w:val="Základní text odsazený 2 Char"/>
    <w:basedOn w:val="Standardnpsmoodstavce"/>
    <w:link w:val="Zkladntextodsazen2"/>
    <w:semiHidden/>
    <w:rsid w:val="00D75822"/>
    <w:rPr>
      <w:rFonts w:asciiTheme="minorHAnsi" w:hAnsiTheme="minorHAnsi"/>
      <w:sz w:val="24"/>
    </w:rPr>
  </w:style>
  <w:style w:type="character" w:customStyle="1" w:styleId="ZkladntextodsazenChar">
    <w:name w:val="Základní text odsazený Char"/>
    <w:aliases w:val=" Char Char Char Char, Char Char Char Char Char Char, Char Char1 Char, Char Char1 Char Char Char,Základní text odsazený Char Char Char,Základní text odsazený Char Char Char Char Char,Základní text odsazený Char1 Char"/>
    <w:basedOn w:val="Standardnpsmoodstavce"/>
    <w:link w:val="Zkladntextodsazen"/>
    <w:semiHidden/>
    <w:rsid w:val="00D75822"/>
    <w:rPr>
      <w:rFonts w:asciiTheme="minorHAnsi" w:hAnsiTheme="minorHAnsi"/>
      <w:sz w:val="24"/>
    </w:rPr>
  </w:style>
  <w:style w:type="character" w:customStyle="1" w:styleId="Zkladntext3Char">
    <w:name w:val="Základní text 3 Char"/>
    <w:basedOn w:val="Standardnpsmoodstavce"/>
    <w:link w:val="Zkladntext3"/>
    <w:semiHidden/>
    <w:rsid w:val="00D75822"/>
    <w:rPr>
      <w:rFonts w:asciiTheme="minorHAnsi" w:hAnsiTheme="minorHAnsi"/>
      <w:b/>
      <w:bCs/>
      <w:sz w:val="24"/>
    </w:rPr>
  </w:style>
  <w:style w:type="character" w:customStyle="1" w:styleId="Zkladntext2Char">
    <w:name w:val="Základní text 2 Char"/>
    <w:basedOn w:val="Standardnpsmoodstavce"/>
    <w:link w:val="Zkladntext2"/>
    <w:semiHidden/>
    <w:rsid w:val="00D75822"/>
    <w:rPr>
      <w:rFonts w:asciiTheme="minorHAnsi" w:hAnsiTheme="minorHAnsi"/>
      <w:sz w:val="24"/>
    </w:rPr>
  </w:style>
  <w:style w:type="character" w:customStyle="1" w:styleId="Zkladntextodsazen3Char">
    <w:name w:val="Základní text odsazený 3 Char"/>
    <w:basedOn w:val="Standardnpsmoodstavce"/>
    <w:link w:val="Zkladntextodsazen3"/>
    <w:semiHidden/>
    <w:rsid w:val="00D75822"/>
    <w:rPr>
      <w:rFonts w:asciiTheme="minorHAnsi" w:hAnsiTheme="minorHAnsi"/>
      <w:noProof/>
      <w:sz w:val="24"/>
    </w:rPr>
  </w:style>
  <w:style w:type="paragraph" w:customStyle="1" w:styleId="TextKP">
    <w:name w:val="Text KP"/>
    <w:basedOn w:val="Normln"/>
    <w:link w:val="TextKPChar"/>
    <w:qFormat/>
    <w:rsid w:val="001D280A"/>
    <w:pPr>
      <w:spacing w:before="120" w:after="120"/>
    </w:pPr>
    <w:rPr>
      <w:rFonts w:cstheme="minorHAnsi"/>
      <w:szCs w:val="24"/>
      <w:lang w:eastAsia="en-US"/>
    </w:rPr>
  </w:style>
  <w:style w:type="character" w:customStyle="1" w:styleId="TextKPChar">
    <w:name w:val="Text KP Char"/>
    <w:basedOn w:val="Standardnpsmoodstavce"/>
    <w:link w:val="TextKP"/>
    <w:rsid w:val="001D280A"/>
    <w:rPr>
      <w:rFonts w:asciiTheme="minorHAnsi" w:hAnsiTheme="minorHAnsi" w:cstheme="minorHAnsi"/>
      <w:sz w:val="24"/>
      <w:szCs w:val="24"/>
      <w:lang w:eastAsia="en-US"/>
    </w:rPr>
  </w:style>
  <w:style w:type="paragraph" w:styleId="Obsah9">
    <w:name w:val="toc 9"/>
    <w:basedOn w:val="Normln"/>
    <w:next w:val="Normln"/>
    <w:autoRedefine/>
    <w:uiPriority w:val="39"/>
    <w:semiHidden/>
    <w:unhideWhenUsed/>
    <w:rsid w:val="00921832"/>
    <w:pPr>
      <w:spacing w:after="100"/>
      <w:ind w:left="1920"/>
    </w:pPr>
  </w:style>
  <w:style w:type="character" w:customStyle="1" w:styleId="TextChar">
    <w:name w:val="Text Char"/>
    <w:basedOn w:val="Standardnpsmoodstavce"/>
    <w:link w:val="Text"/>
    <w:locked/>
    <w:rsid w:val="00F27CE4"/>
    <w:rPr>
      <w:rFonts w:ascii="Calibri" w:hAnsi="Calibri" w:cs="Calibri"/>
    </w:rPr>
  </w:style>
  <w:style w:type="paragraph" w:customStyle="1" w:styleId="Text">
    <w:name w:val="Text"/>
    <w:basedOn w:val="Normln"/>
    <w:link w:val="TextChar"/>
    <w:rsid w:val="00F27CE4"/>
    <w:pPr>
      <w:spacing w:before="120" w:after="120"/>
    </w:pPr>
    <w:rPr>
      <w:rFonts w:ascii="Calibri" w:hAnsi="Calibri" w:cs="Calibri"/>
      <w:sz w:val="20"/>
    </w:rPr>
  </w:style>
  <w:style w:type="table" w:styleId="Prosttabulka2">
    <w:name w:val="Plain Table 2"/>
    <w:basedOn w:val="Normlntabulka"/>
    <w:uiPriority w:val="42"/>
    <w:rsid w:val="003F073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Zdrojapozn">
    <w:name w:val="Zdroj a pozn."/>
    <w:basedOn w:val="Normln"/>
    <w:link w:val="ZdrojapoznChar"/>
    <w:qFormat/>
    <w:rsid w:val="00E06E7C"/>
    <w:pPr>
      <w:spacing w:after="120"/>
    </w:pPr>
    <w:rPr>
      <w:rFonts w:ascii="Calibri" w:hAnsi="Calibri"/>
      <w:sz w:val="20"/>
      <w:szCs w:val="24"/>
    </w:rPr>
  </w:style>
  <w:style w:type="character" w:customStyle="1" w:styleId="ZdrojapoznChar">
    <w:name w:val="Zdroj a pozn. Char"/>
    <w:basedOn w:val="Standardnpsmoodstavce"/>
    <w:link w:val="Zdrojapozn"/>
    <w:rsid w:val="00E06E7C"/>
    <w:rPr>
      <w:rFonts w:ascii="Calibri" w:hAnsi="Calibri"/>
      <w:szCs w:val="24"/>
    </w:rPr>
  </w:style>
  <w:style w:type="paragraph" w:customStyle="1" w:styleId="Zdrojeapozn">
    <w:name w:val="Zdroje a pozn."/>
    <w:basedOn w:val="Normln"/>
    <w:next w:val="Normln"/>
    <w:link w:val="ZdrojeapoznChar"/>
    <w:autoRedefine/>
    <w:qFormat/>
    <w:rsid w:val="00E670BD"/>
    <w:pPr>
      <w:ind w:left="567" w:hanging="567"/>
    </w:pPr>
    <w:rPr>
      <w:rFonts w:ascii="Calibri" w:eastAsia="Calibri" w:hAnsi="Calibri" w:cs="Calibri"/>
      <w:i/>
      <w:sz w:val="20"/>
      <w:szCs w:val="22"/>
      <w:lang w:eastAsia="en-US"/>
    </w:rPr>
  </w:style>
  <w:style w:type="character" w:customStyle="1" w:styleId="ZdrojeapoznChar">
    <w:name w:val="Zdroje a pozn. Char"/>
    <w:basedOn w:val="Standardnpsmoodstavce"/>
    <w:link w:val="Zdrojeapozn"/>
    <w:rsid w:val="00E670BD"/>
    <w:rPr>
      <w:rFonts w:ascii="Calibri" w:eastAsia="Calibri" w:hAnsi="Calibri" w:cs="Calibri"/>
      <w:i/>
      <w:szCs w:val="22"/>
      <w:lang w:eastAsia="en-US"/>
    </w:rPr>
  </w:style>
  <w:style w:type="table" w:styleId="Prosttabulka1">
    <w:name w:val="Plain Table 1"/>
    <w:basedOn w:val="Normlntabulka"/>
    <w:uiPriority w:val="41"/>
    <w:rsid w:val="006B7E95"/>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11">
    <w:name w:val="Prostá tabulka 11"/>
    <w:basedOn w:val="Normlntabulka"/>
    <w:next w:val="Prosttabulka1"/>
    <w:uiPriority w:val="41"/>
    <w:rsid w:val="0071736B"/>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15">
    <w:name w:val="A15"/>
    <w:rsid w:val="0041379A"/>
    <w:rPr>
      <w:color w:val="000000"/>
      <w:sz w:val="36"/>
      <w:szCs w:val="36"/>
    </w:rPr>
  </w:style>
  <w:style w:type="paragraph" w:styleId="Textvysvtlivek">
    <w:name w:val="endnote text"/>
    <w:basedOn w:val="Normln"/>
    <w:link w:val="TextvysvtlivekChar"/>
    <w:uiPriority w:val="99"/>
    <w:semiHidden/>
    <w:unhideWhenUsed/>
    <w:rsid w:val="00870F3D"/>
    <w:rPr>
      <w:sz w:val="20"/>
    </w:rPr>
  </w:style>
  <w:style w:type="character" w:customStyle="1" w:styleId="TextvysvtlivekChar">
    <w:name w:val="Text vysvětlivek Char"/>
    <w:basedOn w:val="Standardnpsmoodstavce"/>
    <w:link w:val="Textvysvtlivek"/>
    <w:uiPriority w:val="99"/>
    <w:semiHidden/>
    <w:rsid w:val="00870F3D"/>
    <w:rPr>
      <w:rFonts w:asciiTheme="minorHAnsi" w:hAnsiTheme="minorHAnsi"/>
    </w:rPr>
  </w:style>
  <w:style w:type="character" w:styleId="Odkaznavysvtlivky">
    <w:name w:val="endnote reference"/>
    <w:basedOn w:val="Standardnpsmoodstavce"/>
    <w:uiPriority w:val="99"/>
    <w:semiHidden/>
    <w:unhideWhenUsed/>
    <w:rsid w:val="00870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847">
      <w:bodyDiv w:val="1"/>
      <w:marLeft w:val="0"/>
      <w:marRight w:val="0"/>
      <w:marTop w:val="0"/>
      <w:marBottom w:val="0"/>
      <w:divBdr>
        <w:top w:val="none" w:sz="0" w:space="0" w:color="auto"/>
        <w:left w:val="none" w:sz="0" w:space="0" w:color="auto"/>
        <w:bottom w:val="none" w:sz="0" w:space="0" w:color="auto"/>
        <w:right w:val="none" w:sz="0" w:space="0" w:color="auto"/>
      </w:divBdr>
    </w:div>
    <w:div w:id="51584778">
      <w:bodyDiv w:val="1"/>
      <w:marLeft w:val="0"/>
      <w:marRight w:val="0"/>
      <w:marTop w:val="0"/>
      <w:marBottom w:val="0"/>
      <w:divBdr>
        <w:top w:val="none" w:sz="0" w:space="0" w:color="auto"/>
        <w:left w:val="none" w:sz="0" w:space="0" w:color="auto"/>
        <w:bottom w:val="none" w:sz="0" w:space="0" w:color="auto"/>
        <w:right w:val="none" w:sz="0" w:space="0" w:color="auto"/>
      </w:divBdr>
    </w:div>
    <w:div w:id="174344992">
      <w:bodyDiv w:val="1"/>
      <w:marLeft w:val="0"/>
      <w:marRight w:val="0"/>
      <w:marTop w:val="0"/>
      <w:marBottom w:val="0"/>
      <w:divBdr>
        <w:top w:val="none" w:sz="0" w:space="0" w:color="auto"/>
        <w:left w:val="none" w:sz="0" w:space="0" w:color="auto"/>
        <w:bottom w:val="none" w:sz="0" w:space="0" w:color="auto"/>
        <w:right w:val="none" w:sz="0" w:space="0" w:color="auto"/>
      </w:divBdr>
    </w:div>
    <w:div w:id="238292655">
      <w:bodyDiv w:val="1"/>
      <w:marLeft w:val="0"/>
      <w:marRight w:val="0"/>
      <w:marTop w:val="0"/>
      <w:marBottom w:val="0"/>
      <w:divBdr>
        <w:top w:val="none" w:sz="0" w:space="0" w:color="auto"/>
        <w:left w:val="none" w:sz="0" w:space="0" w:color="auto"/>
        <w:bottom w:val="none" w:sz="0" w:space="0" w:color="auto"/>
        <w:right w:val="none" w:sz="0" w:space="0" w:color="auto"/>
      </w:divBdr>
    </w:div>
    <w:div w:id="410275501">
      <w:bodyDiv w:val="1"/>
      <w:marLeft w:val="0"/>
      <w:marRight w:val="0"/>
      <w:marTop w:val="0"/>
      <w:marBottom w:val="0"/>
      <w:divBdr>
        <w:top w:val="none" w:sz="0" w:space="0" w:color="auto"/>
        <w:left w:val="none" w:sz="0" w:space="0" w:color="auto"/>
        <w:bottom w:val="none" w:sz="0" w:space="0" w:color="auto"/>
        <w:right w:val="none" w:sz="0" w:space="0" w:color="auto"/>
      </w:divBdr>
    </w:div>
    <w:div w:id="492183250">
      <w:bodyDiv w:val="1"/>
      <w:marLeft w:val="0"/>
      <w:marRight w:val="0"/>
      <w:marTop w:val="0"/>
      <w:marBottom w:val="0"/>
      <w:divBdr>
        <w:top w:val="none" w:sz="0" w:space="0" w:color="auto"/>
        <w:left w:val="none" w:sz="0" w:space="0" w:color="auto"/>
        <w:bottom w:val="none" w:sz="0" w:space="0" w:color="auto"/>
        <w:right w:val="none" w:sz="0" w:space="0" w:color="auto"/>
      </w:divBdr>
    </w:div>
    <w:div w:id="538517618">
      <w:bodyDiv w:val="1"/>
      <w:marLeft w:val="0"/>
      <w:marRight w:val="0"/>
      <w:marTop w:val="0"/>
      <w:marBottom w:val="0"/>
      <w:divBdr>
        <w:top w:val="none" w:sz="0" w:space="0" w:color="auto"/>
        <w:left w:val="none" w:sz="0" w:space="0" w:color="auto"/>
        <w:bottom w:val="none" w:sz="0" w:space="0" w:color="auto"/>
        <w:right w:val="none" w:sz="0" w:space="0" w:color="auto"/>
      </w:divBdr>
    </w:div>
    <w:div w:id="568346666">
      <w:bodyDiv w:val="1"/>
      <w:marLeft w:val="0"/>
      <w:marRight w:val="0"/>
      <w:marTop w:val="0"/>
      <w:marBottom w:val="0"/>
      <w:divBdr>
        <w:top w:val="none" w:sz="0" w:space="0" w:color="auto"/>
        <w:left w:val="none" w:sz="0" w:space="0" w:color="auto"/>
        <w:bottom w:val="none" w:sz="0" w:space="0" w:color="auto"/>
        <w:right w:val="none" w:sz="0" w:space="0" w:color="auto"/>
      </w:divBdr>
    </w:div>
    <w:div w:id="700715284">
      <w:bodyDiv w:val="1"/>
      <w:marLeft w:val="0"/>
      <w:marRight w:val="0"/>
      <w:marTop w:val="0"/>
      <w:marBottom w:val="0"/>
      <w:divBdr>
        <w:top w:val="none" w:sz="0" w:space="0" w:color="auto"/>
        <w:left w:val="none" w:sz="0" w:space="0" w:color="auto"/>
        <w:bottom w:val="none" w:sz="0" w:space="0" w:color="auto"/>
        <w:right w:val="none" w:sz="0" w:space="0" w:color="auto"/>
      </w:divBdr>
    </w:div>
    <w:div w:id="834220784">
      <w:bodyDiv w:val="1"/>
      <w:marLeft w:val="0"/>
      <w:marRight w:val="0"/>
      <w:marTop w:val="0"/>
      <w:marBottom w:val="0"/>
      <w:divBdr>
        <w:top w:val="none" w:sz="0" w:space="0" w:color="auto"/>
        <w:left w:val="none" w:sz="0" w:space="0" w:color="auto"/>
        <w:bottom w:val="none" w:sz="0" w:space="0" w:color="auto"/>
        <w:right w:val="none" w:sz="0" w:space="0" w:color="auto"/>
      </w:divBdr>
    </w:div>
    <w:div w:id="852188055">
      <w:bodyDiv w:val="1"/>
      <w:marLeft w:val="0"/>
      <w:marRight w:val="0"/>
      <w:marTop w:val="0"/>
      <w:marBottom w:val="0"/>
      <w:divBdr>
        <w:top w:val="none" w:sz="0" w:space="0" w:color="auto"/>
        <w:left w:val="none" w:sz="0" w:space="0" w:color="auto"/>
        <w:bottom w:val="none" w:sz="0" w:space="0" w:color="auto"/>
        <w:right w:val="none" w:sz="0" w:space="0" w:color="auto"/>
      </w:divBdr>
    </w:div>
    <w:div w:id="885947575">
      <w:bodyDiv w:val="1"/>
      <w:marLeft w:val="0"/>
      <w:marRight w:val="0"/>
      <w:marTop w:val="0"/>
      <w:marBottom w:val="0"/>
      <w:divBdr>
        <w:top w:val="none" w:sz="0" w:space="0" w:color="auto"/>
        <w:left w:val="none" w:sz="0" w:space="0" w:color="auto"/>
        <w:bottom w:val="none" w:sz="0" w:space="0" w:color="auto"/>
        <w:right w:val="none" w:sz="0" w:space="0" w:color="auto"/>
      </w:divBdr>
    </w:div>
    <w:div w:id="1020274432">
      <w:bodyDiv w:val="1"/>
      <w:marLeft w:val="0"/>
      <w:marRight w:val="0"/>
      <w:marTop w:val="0"/>
      <w:marBottom w:val="0"/>
      <w:divBdr>
        <w:top w:val="none" w:sz="0" w:space="0" w:color="auto"/>
        <w:left w:val="none" w:sz="0" w:space="0" w:color="auto"/>
        <w:bottom w:val="none" w:sz="0" w:space="0" w:color="auto"/>
        <w:right w:val="none" w:sz="0" w:space="0" w:color="auto"/>
      </w:divBdr>
    </w:div>
    <w:div w:id="1094283695">
      <w:bodyDiv w:val="1"/>
      <w:marLeft w:val="0"/>
      <w:marRight w:val="0"/>
      <w:marTop w:val="0"/>
      <w:marBottom w:val="0"/>
      <w:divBdr>
        <w:top w:val="none" w:sz="0" w:space="0" w:color="auto"/>
        <w:left w:val="none" w:sz="0" w:space="0" w:color="auto"/>
        <w:bottom w:val="none" w:sz="0" w:space="0" w:color="auto"/>
        <w:right w:val="none" w:sz="0" w:space="0" w:color="auto"/>
      </w:divBdr>
    </w:div>
    <w:div w:id="1269852996">
      <w:bodyDiv w:val="1"/>
      <w:marLeft w:val="0"/>
      <w:marRight w:val="0"/>
      <w:marTop w:val="0"/>
      <w:marBottom w:val="0"/>
      <w:divBdr>
        <w:top w:val="none" w:sz="0" w:space="0" w:color="auto"/>
        <w:left w:val="none" w:sz="0" w:space="0" w:color="auto"/>
        <w:bottom w:val="none" w:sz="0" w:space="0" w:color="auto"/>
        <w:right w:val="none" w:sz="0" w:space="0" w:color="auto"/>
      </w:divBdr>
    </w:div>
    <w:div w:id="1317807660">
      <w:bodyDiv w:val="1"/>
      <w:marLeft w:val="0"/>
      <w:marRight w:val="0"/>
      <w:marTop w:val="0"/>
      <w:marBottom w:val="0"/>
      <w:divBdr>
        <w:top w:val="none" w:sz="0" w:space="0" w:color="auto"/>
        <w:left w:val="none" w:sz="0" w:space="0" w:color="auto"/>
        <w:bottom w:val="none" w:sz="0" w:space="0" w:color="auto"/>
        <w:right w:val="none" w:sz="0" w:space="0" w:color="auto"/>
      </w:divBdr>
    </w:div>
    <w:div w:id="1325083791">
      <w:bodyDiv w:val="1"/>
      <w:marLeft w:val="0"/>
      <w:marRight w:val="0"/>
      <w:marTop w:val="0"/>
      <w:marBottom w:val="0"/>
      <w:divBdr>
        <w:top w:val="none" w:sz="0" w:space="0" w:color="auto"/>
        <w:left w:val="none" w:sz="0" w:space="0" w:color="auto"/>
        <w:bottom w:val="none" w:sz="0" w:space="0" w:color="auto"/>
        <w:right w:val="none" w:sz="0" w:space="0" w:color="auto"/>
      </w:divBdr>
    </w:div>
    <w:div w:id="1351298480">
      <w:bodyDiv w:val="1"/>
      <w:marLeft w:val="0"/>
      <w:marRight w:val="0"/>
      <w:marTop w:val="0"/>
      <w:marBottom w:val="0"/>
      <w:divBdr>
        <w:top w:val="none" w:sz="0" w:space="0" w:color="auto"/>
        <w:left w:val="none" w:sz="0" w:space="0" w:color="auto"/>
        <w:bottom w:val="none" w:sz="0" w:space="0" w:color="auto"/>
        <w:right w:val="none" w:sz="0" w:space="0" w:color="auto"/>
      </w:divBdr>
    </w:div>
    <w:div w:id="1418206233">
      <w:bodyDiv w:val="1"/>
      <w:marLeft w:val="0"/>
      <w:marRight w:val="0"/>
      <w:marTop w:val="0"/>
      <w:marBottom w:val="0"/>
      <w:divBdr>
        <w:top w:val="none" w:sz="0" w:space="0" w:color="auto"/>
        <w:left w:val="none" w:sz="0" w:space="0" w:color="auto"/>
        <w:bottom w:val="none" w:sz="0" w:space="0" w:color="auto"/>
        <w:right w:val="none" w:sz="0" w:space="0" w:color="auto"/>
      </w:divBdr>
    </w:div>
    <w:div w:id="1446075500">
      <w:bodyDiv w:val="1"/>
      <w:marLeft w:val="0"/>
      <w:marRight w:val="0"/>
      <w:marTop w:val="0"/>
      <w:marBottom w:val="0"/>
      <w:divBdr>
        <w:top w:val="none" w:sz="0" w:space="0" w:color="auto"/>
        <w:left w:val="none" w:sz="0" w:space="0" w:color="auto"/>
        <w:bottom w:val="none" w:sz="0" w:space="0" w:color="auto"/>
        <w:right w:val="none" w:sz="0" w:space="0" w:color="auto"/>
      </w:divBdr>
    </w:div>
    <w:div w:id="1721513435">
      <w:bodyDiv w:val="1"/>
      <w:marLeft w:val="0"/>
      <w:marRight w:val="0"/>
      <w:marTop w:val="0"/>
      <w:marBottom w:val="0"/>
      <w:divBdr>
        <w:top w:val="none" w:sz="0" w:space="0" w:color="auto"/>
        <w:left w:val="none" w:sz="0" w:space="0" w:color="auto"/>
        <w:bottom w:val="none" w:sz="0" w:space="0" w:color="auto"/>
        <w:right w:val="none" w:sz="0" w:space="0" w:color="auto"/>
      </w:divBdr>
    </w:div>
    <w:div w:id="1742210637">
      <w:bodyDiv w:val="1"/>
      <w:marLeft w:val="0"/>
      <w:marRight w:val="0"/>
      <w:marTop w:val="0"/>
      <w:marBottom w:val="0"/>
      <w:divBdr>
        <w:top w:val="none" w:sz="0" w:space="0" w:color="auto"/>
        <w:left w:val="none" w:sz="0" w:space="0" w:color="auto"/>
        <w:bottom w:val="none" w:sz="0" w:space="0" w:color="auto"/>
        <w:right w:val="none" w:sz="0" w:space="0" w:color="auto"/>
      </w:divBdr>
    </w:div>
    <w:div w:id="1825703372">
      <w:bodyDiv w:val="1"/>
      <w:marLeft w:val="0"/>
      <w:marRight w:val="0"/>
      <w:marTop w:val="0"/>
      <w:marBottom w:val="0"/>
      <w:divBdr>
        <w:top w:val="none" w:sz="0" w:space="0" w:color="auto"/>
        <w:left w:val="none" w:sz="0" w:space="0" w:color="auto"/>
        <w:bottom w:val="none" w:sz="0" w:space="0" w:color="auto"/>
        <w:right w:val="none" w:sz="0" w:space="0" w:color="auto"/>
      </w:divBdr>
    </w:div>
    <w:div w:id="1838618484">
      <w:bodyDiv w:val="1"/>
      <w:marLeft w:val="0"/>
      <w:marRight w:val="0"/>
      <w:marTop w:val="0"/>
      <w:marBottom w:val="0"/>
      <w:divBdr>
        <w:top w:val="none" w:sz="0" w:space="0" w:color="auto"/>
        <w:left w:val="none" w:sz="0" w:space="0" w:color="auto"/>
        <w:bottom w:val="none" w:sz="0" w:space="0" w:color="auto"/>
        <w:right w:val="none" w:sz="0" w:space="0" w:color="auto"/>
      </w:divBdr>
    </w:div>
    <w:div w:id="1855026686">
      <w:bodyDiv w:val="1"/>
      <w:marLeft w:val="0"/>
      <w:marRight w:val="0"/>
      <w:marTop w:val="0"/>
      <w:marBottom w:val="0"/>
      <w:divBdr>
        <w:top w:val="none" w:sz="0" w:space="0" w:color="auto"/>
        <w:left w:val="none" w:sz="0" w:space="0" w:color="auto"/>
        <w:bottom w:val="none" w:sz="0" w:space="0" w:color="auto"/>
        <w:right w:val="none" w:sz="0" w:space="0" w:color="auto"/>
      </w:divBdr>
    </w:div>
    <w:div w:id="1968854368">
      <w:bodyDiv w:val="1"/>
      <w:marLeft w:val="0"/>
      <w:marRight w:val="0"/>
      <w:marTop w:val="0"/>
      <w:marBottom w:val="0"/>
      <w:divBdr>
        <w:top w:val="none" w:sz="0" w:space="0" w:color="auto"/>
        <w:left w:val="none" w:sz="0" w:space="0" w:color="auto"/>
        <w:bottom w:val="none" w:sz="0" w:space="0" w:color="auto"/>
        <w:right w:val="none" w:sz="0" w:space="0" w:color="auto"/>
      </w:divBdr>
    </w:div>
    <w:div w:id="208903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1\PECHOVA\20_05%20Energie\Z&#193;V&#282;R\Kopie%20-%20z&#225;v&#283;r%20tabulk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36357411845258"/>
          <c:y val="7.4660500291525392E-2"/>
          <c:w val="0.73895412529955495"/>
          <c:h val="0.63643218213826791"/>
        </c:manualLayout>
      </c:layout>
      <c:barChart>
        <c:barDir val="col"/>
        <c:grouping val="clustered"/>
        <c:varyColors val="0"/>
        <c:ser>
          <c:idx val="0"/>
          <c:order val="0"/>
          <c:tx>
            <c:v>Příjmy ČR z dražeb emisních povolenek celkem</c:v>
          </c:tx>
          <c:spPr>
            <a:solidFill>
              <a:srgbClr val="BD2A33"/>
            </a:solidFill>
            <a:ln>
              <a:solidFill>
                <a:srgbClr val="BD2A3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List1!$D$3:$D$5</c:f>
              <c:numCache>
                <c:formatCode>General</c:formatCode>
                <c:ptCount val="3"/>
                <c:pt idx="0">
                  <c:v>2017</c:v>
                </c:pt>
                <c:pt idx="1">
                  <c:v>2018</c:v>
                </c:pt>
                <c:pt idx="2">
                  <c:v>2019</c:v>
                </c:pt>
              </c:numCache>
            </c:numRef>
          </c:cat>
          <c:val>
            <c:numRef>
              <c:f>List1!$B$10:$B$12</c:f>
              <c:numCache>
                <c:formatCode>#\ ##0.0</c:formatCode>
                <c:ptCount val="3"/>
                <c:pt idx="0">
                  <c:v>5.22</c:v>
                </c:pt>
                <c:pt idx="1">
                  <c:v>14.93</c:v>
                </c:pt>
                <c:pt idx="2">
                  <c:v>16.100000000000001</c:v>
                </c:pt>
              </c:numCache>
            </c:numRef>
          </c:val>
          <c:extLst>
            <c:ext xmlns:c16="http://schemas.microsoft.com/office/drawing/2014/chart" uri="{C3380CC4-5D6E-409C-BE32-E72D297353CC}">
              <c16:uniqueId val="{00000000-CA97-4E4D-B42F-2EEE76B08CE2}"/>
            </c:ext>
          </c:extLst>
        </c:ser>
        <c:ser>
          <c:idx val="1"/>
          <c:order val="1"/>
          <c:tx>
            <c:v>Rozpočet programu Nová zelená úsporám</c:v>
          </c:tx>
          <c:spPr>
            <a:solidFill>
              <a:srgbClr val="004595"/>
            </a:solidFill>
            <a:ln>
              <a:solidFill>
                <a:srgbClr val="004595"/>
              </a:solidFill>
            </a:ln>
            <a:effectLst/>
          </c:spPr>
          <c:invertIfNegative val="0"/>
          <c:dLbls>
            <c:dLbl>
              <c:idx val="0"/>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bg1"/>
                      </a:solidFill>
                      <a:latin typeface="+mn-lt"/>
                      <a:ea typeface="+mn-ea"/>
                      <a:cs typeface="+mn-cs"/>
                    </a:defRPr>
                  </a:pPr>
                  <a:endParaRPr lang="cs-CZ"/>
                </a:p>
              </c:txPr>
              <c:dLblPos val="ctr"/>
              <c:showLegendKey val="0"/>
              <c:showVal val="1"/>
              <c:showCatName val="0"/>
              <c:showSerName val="0"/>
              <c:showPercent val="0"/>
              <c:showBubbleSize val="0"/>
              <c:extLst>
                <c:ext xmlns:c16="http://schemas.microsoft.com/office/drawing/2014/chart" uri="{C3380CC4-5D6E-409C-BE32-E72D297353CC}">
                  <c16:uniqueId val="{00000001-CA97-4E4D-B42F-2EEE76B08CE2}"/>
                </c:ext>
              </c:extLst>
            </c:dLbl>
            <c:dLbl>
              <c:idx val="1"/>
              <c:layout>
                <c:manualLayout>
                  <c:x val="0"/>
                  <c:y val="6.2922499532993184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A97-4E4D-B42F-2EEE76B08C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List1!$D$3:$D$5</c:f>
              <c:numCache>
                <c:formatCode>General</c:formatCode>
                <c:ptCount val="3"/>
                <c:pt idx="0">
                  <c:v>2017</c:v>
                </c:pt>
                <c:pt idx="1">
                  <c:v>2018</c:v>
                </c:pt>
                <c:pt idx="2">
                  <c:v>2019</c:v>
                </c:pt>
              </c:numCache>
            </c:numRef>
          </c:cat>
          <c:val>
            <c:numRef>
              <c:f>List1!$E$3:$E$5</c:f>
              <c:numCache>
                <c:formatCode>General</c:formatCode>
                <c:ptCount val="3"/>
                <c:pt idx="0">
                  <c:v>2.8</c:v>
                </c:pt>
                <c:pt idx="1">
                  <c:v>1.8</c:v>
                </c:pt>
                <c:pt idx="2">
                  <c:v>2.1</c:v>
                </c:pt>
              </c:numCache>
            </c:numRef>
          </c:val>
          <c:extLst>
            <c:ext xmlns:c16="http://schemas.microsoft.com/office/drawing/2014/chart" uri="{C3380CC4-5D6E-409C-BE32-E72D297353CC}">
              <c16:uniqueId val="{00000003-CA97-4E4D-B42F-2EEE76B08CE2}"/>
            </c:ext>
          </c:extLst>
        </c:ser>
        <c:dLbls>
          <c:showLegendKey val="0"/>
          <c:showVal val="0"/>
          <c:showCatName val="0"/>
          <c:showSerName val="0"/>
          <c:showPercent val="0"/>
          <c:showBubbleSize val="0"/>
        </c:dLbls>
        <c:gapWidth val="219"/>
        <c:axId val="1176898640"/>
        <c:axId val="1176899472"/>
      </c:barChart>
      <c:lineChart>
        <c:grouping val="stacked"/>
        <c:varyColors val="0"/>
        <c:ser>
          <c:idx val="2"/>
          <c:order val="2"/>
          <c:tx>
            <c:v>Cena 1 emisní povolenky</c:v>
          </c:tx>
          <c:spPr>
            <a:ln w="44450" cap="rnd">
              <a:solidFill>
                <a:srgbClr val="C3C5C6"/>
              </a:solidFill>
              <a:round/>
            </a:ln>
            <a:effectLst/>
          </c:spPr>
          <c:marker>
            <c:symbol val="circle"/>
            <c:size val="5"/>
            <c:spPr>
              <a:solidFill>
                <a:schemeClr val="tx1"/>
              </a:solidFill>
              <a:ln w="9525">
                <a:solidFill>
                  <a:schemeClr val="tx1"/>
                </a:solidFill>
              </a:ln>
              <a:effectLst/>
            </c:spPr>
          </c:marker>
          <c:dLbls>
            <c:dLbl>
              <c:idx val="0"/>
              <c:layout>
                <c:manualLayout>
                  <c:x val="2.9255105488051582E-2"/>
                  <c:y val="5.3373237181256975E-3"/>
                </c:manualLayout>
              </c:layout>
              <c:spPr>
                <a:solidFill>
                  <a:sysClr val="window" lastClr="FFFFFF"/>
                </a:solidFill>
                <a:ln>
                  <a:solidFill>
                    <a:sysClr val="windowText" lastClr="000000"/>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 xmlns:c16="http://schemas.microsoft.com/office/drawing/2014/chart" uri="{C3380CC4-5D6E-409C-BE32-E72D297353CC}">
                  <c16:uniqueId val="{00000004-CA97-4E4D-B42F-2EEE76B08CE2}"/>
                </c:ext>
              </c:extLst>
            </c:dLbl>
            <c:dLbl>
              <c:idx val="1"/>
              <c:layout>
                <c:manualLayout>
                  <c:x val="4.3082987558852093E-2"/>
                  <c:y val="2.007046354060785E-2"/>
                </c:manualLayout>
              </c:layout>
              <c:spPr>
                <a:solidFill>
                  <a:sysClr val="window" lastClr="FFFFFF"/>
                </a:solidFill>
                <a:ln>
                  <a:solidFill>
                    <a:sysClr val="windowText" lastClr="000000"/>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5.4226056716415366E-2"/>
                      <c:h val="4.5221820721263947E-2"/>
                    </c:manualLayout>
                  </c15:layout>
                </c:ext>
                <c:ext xmlns:c16="http://schemas.microsoft.com/office/drawing/2014/chart" uri="{C3380CC4-5D6E-409C-BE32-E72D297353CC}">
                  <c16:uniqueId val="{00000005-CA97-4E4D-B42F-2EEE76B08CE2}"/>
                </c:ext>
              </c:extLst>
            </c:dLbl>
            <c:dLbl>
              <c:idx val="2"/>
              <c:layout>
                <c:manualLayout>
                  <c:x val="3.1243173811194392E-2"/>
                  <c:y val="1.3888968647502513E-2"/>
                </c:manualLayout>
              </c:layout>
              <c:spPr>
                <a:solidFill>
                  <a:sysClr val="window" lastClr="FFFFFF"/>
                </a:solidFill>
                <a:ln>
                  <a:solidFill>
                    <a:sysClr val="windowText" lastClr="000000"/>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 xmlns:c16="http://schemas.microsoft.com/office/drawing/2014/chart" uri="{C3380CC4-5D6E-409C-BE32-E72D297353CC}">
                  <c16:uniqueId val="{00000006-CA97-4E4D-B42F-2EEE76B08CE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List1!$G$3:$G$5</c:f>
              <c:numCache>
                <c:formatCode>General</c:formatCode>
                <c:ptCount val="3"/>
                <c:pt idx="0">
                  <c:v>144</c:v>
                </c:pt>
                <c:pt idx="1">
                  <c:v>399</c:v>
                </c:pt>
                <c:pt idx="2">
                  <c:v>607</c:v>
                </c:pt>
              </c:numCache>
            </c:numRef>
          </c:val>
          <c:smooth val="0"/>
          <c:extLst>
            <c:ext xmlns:c16="http://schemas.microsoft.com/office/drawing/2014/chart" uri="{C3380CC4-5D6E-409C-BE32-E72D297353CC}">
              <c16:uniqueId val="{00000007-CA97-4E4D-B42F-2EEE76B08CE2}"/>
            </c:ext>
          </c:extLst>
        </c:ser>
        <c:dLbls>
          <c:showLegendKey val="0"/>
          <c:showVal val="0"/>
          <c:showCatName val="0"/>
          <c:showSerName val="0"/>
          <c:showPercent val="0"/>
          <c:showBubbleSize val="0"/>
        </c:dLbls>
        <c:marker val="1"/>
        <c:smooth val="0"/>
        <c:axId val="1365392448"/>
        <c:axId val="1365390784"/>
      </c:lineChart>
      <c:catAx>
        <c:axId val="117689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176899472"/>
        <c:crosses val="autoZero"/>
        <c:auto val="1"/>
        <c:lblAlgn val="ctr"/>
        <c:lblOffset val="100"/>
        <c:noMultiLvlLbl val="0"/>
      </c:catAx>
      <c:valAx>
        <c:axId val="117689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cs-CZ" sz="1200">
                    <a:solidFill>
                      <a:sysClr val="windowText" lastClr="000000"/>
                    </a:solidFill>
                  </a:rPr>
                  <a:t>v mld. Kč</a:t>
                </a:r>
              </a:p>
            </c:rich>
          </c:tx>
          <c:layout>
            <c:manualLayout>
              <c:xMode val="edge"/>
              <c:yMode val="edge"/>
              <c:x val="1.4028414926395069E-2"/>
              <c:y val="0.360015262776547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cs-CZ"/>
            </a:p>
          </c:tx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176898640"/>
        <c:crosses val="autoZero"/>
        <c:crossBetween val="between"/>
        <c:majorUnit val="4"/>
      </c:valAx>
      <c:valAx>
        <c:axId val="1365390784"/>
        <c:scaling>
          <c:orientation val="minMax"/>
        </c:scaling>
        <c:delete val="0"/>
        <c:axPos val="r"/>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cs-CZ" sz="1200">
                    <a:solidFill>
                      <a:sysClr val="windowText" lastClr="000000"/>
                    </a:solidFill>
                  </a:rPr>
                  <a:t>cena 1 emisní povolenky v Kč</a:t>
                </a:r>
              </a:p>
            </c:rich>
          </c:tx>
          <c:layout>
            <c:manualLayout>
              <c:xMode val="edge"/>
              <c:yMode val="edge"/>
              <c:x val="0.92842451215337218"/>
              <c:y val="0.203708939092359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cs-CZ"/>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365392448"/>
        <c:crosses val="max"/>
        <c:crossBetween val="between"/>
        <c:majorUnit val="150"/>
      </c:valAx>
      <c:catAx>
        <c:axId val="1365392448"/>
        <c:scaling>
          <c:orientation val="minMax"/>
        </c:scaling>
        <c:delete val="1"/>
        <c:axPos val="b"/>
        <c:majorTickMark val="out"/>
        <c:minorTickMark val="none"/>
        <c:tickLblPos val="nextTo"/>
        <c:crossAx val="1365390784"/>
        <c:crossesAt val="0"/>
        <c:auto val="1"/>
        <c:lblAlgn val="ctr"/>
        <c:lblOffset val="100"/>
        <c:noMultiLvlLbl val="0"/>
      </c:catAx>
      <c:spPr>
        <a:noFill/>
        <a:ln>
          <a:noFill/>
        </a:ln>
        <a:effectLst/>
      </c:spPr>
    </c:plotArea>
    <c:legend>
      <c:legendPos val="b"/>
      <c:layout>
        <c:manualLayout>
          <c:xMode val="edge"/>
          <c:yMode val="edge"/>
          <c:x val="9.6212230896880468E-3"/>
          <c:y val="0.79935326094163861"/>
          <c:w val="0.99037877691031195"/>
          <c:h val="0.1821282651913453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67C8-2C01-4ECC-9A5D-5D9CA6877A28}">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38B52D9-05C5-401F-9408-AED6596E0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86D2D-E3EE-4292-AD7E-3A26B8A0022F}">
  <ds:schemaRefs>
    <ds:schemaRef ds:uri="http://schemas.microsoft.com/sharepoint/v3/contenttype/forms"/>
  </ds:schemaRefs>
</ds:datastoreItem>
</file>

<file path=customXml/itemProps4.xml><?xml version="1.0" encoding="utf-8"?>
<ds:datastoreItem xmlns:ds="http://schemas.openxmlformats.org/officeDocument/2006/customXml" ds:itemID="{716D6B87-018F-46BD-AC49-FD29C921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29C11687.dotm</Template>
  <TotalTime>1</TotalTime>
  <Pages>27</Pages>
  <Words>8980</Words>
  <Characters>49081</Characters>
  <Application>Microsoft Office Word</Application>
  <DocSecurity>0</DocSecurity>
  <Lines>409</Lines>
  <Paragraphs>115</Paragraphs>
  <ScaleCrop>false</ScaleCrop>
  <HeadingPairs>
    <vt:vector size="2" baseType="variant">
      <vt:variant>
        <vt:lpstr>Název</vt:lpstr>
      </vt:variant>
      <vt:variant>
        <vt:i4>1</vt:i4>
      </vt:variant>
    </vt:vector>
  </HeadingPairs>
  <TitlesOfParts>
    <vt:vector size="1" baseType="lpstr">
      <vt:lpstr>Kontrolní závěr z kontrolní akce NKÚ č. 20/05 - Podpora energetických úspor u veřejných budov</vt:lpstr>
    </vt:vector>
  </TitlesOfParts>
  <Company>NKU</Company>
  <LinksUpToDate>false</LinksUpToDate>
  <CharactersWithSpaces>57946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20/05 - Podpora energetických úspor u veřejných budov</dc:title>
  <dc:subject>Kontrolní závěr z kontrolní akce NKÚ č. 17/19 - Peněžní prostředky vynakládané vybranými nemocnicemi na úhradu nákladů z činnosti</dc:subject>
  <dc:creator>Nejvyšší kontrolní úřad</dc:creator>
  <cp:keywords>kontrolní závěr; energetické úspory; veřejné budovy</cp:keywords>
  <cp:lastModifiedBy>KOKRDA Daniel</cp:lastModifiedBy>
  <cp:revision>3</cp:revision>
  <cp:lastPrinted>2021-02-16T08:13:00Z</cp:lastPrinted>
  <dcterms:created xsi:type="dcterms:W3CDTF">2021-03-12T08:20:00Z</dcterms:created>
  <dcterms:modified xsi:type="dcterms:W3CDTF">2021-03-12T08:20:00Z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18/09-NKU30/1213/18</vt:lpwstr>
  </property>
  <property fmtid="{D5CDD505-2E9C-101B-9397-08002B2CF9AE}" pid="5" name="CJ_PostaDoruc_PisemnostOdpovedNa_Pisemnost">
    <vt:lpwstr>XXX-XXX-XXX</vt:lpwstr>
  </property>
  <property fmtid="{D5CDD505-2E9C-101B-9397-08002B2CF9AE}" pid="6" name="CJ_Spis_Pisemnost">
    <vt:lpwstr>530/200/18</vt:lpwstr>
  </property>
  <property fmtid="{D5CDD505-2E9C-101B-9397-08002B2CF9AE}" pid="7" name="Contact_PostaOdes_All">
    <vt:lpwstr>ROZDĚLOVNÍK...</vt:lpwstr>
  </property>
  <property fmtid="{D5CDD505-2E9C-101B-9397-08002B2CF9AE}" pid="8" name="ContentTypeId">
    <vt:lpwstr>0x0101002F7A625AE9F5AB4A939F92BCAA7FEC02</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17.12.2018</vt:lpwstr>
  </property>
  <property fmtid="{D5CDD505-2E9C-101B-9397-08002B2CF9AE}" pid="12" name="DisplayName_CisloObalky_PostaOdes">
    <vt:lpwstr>{DisplayName_CisloObalky_PostaOdes}</vt:lpwstr>
  </property>
  <property fmtid="{D5CDD505-2E9C-101B-9397-08002B2CF9AE}" pid="13" name="DisplayName_CJCol">
    <vt:lpwstr>18/09-NKU30/1213/18</vt:lpwstr>
  </property>
  <property fmtid="{D5CDD505-2E9C-101B-9397-08002B2CF9AE}" pid="14" name="DisplayName_SlozkaStupenUtajeniCollection_Slozka_Pisemnost">
    <vt:lpwstr/>
  </property>
  <property fmtid="{D5CDD505-2E9C-101B-9397-08002B2CF9AE}" pid="15" name="DisplayName_SpisovyUzel_PoziceZodpo_Pisemnost">
    <vt:lpwstr>Členové Úřadu</vt:lpwstr>
  </property>
  <property fmtid="{D5CDD505-2E9C-101B-9397-08002B2CF9AE}" pid="16" name="DisplayName_UserPoriz_Pisemnost">
    <vt:lpwstr>Romana Grešová</vt:lpwstr>
  </property>
  <property fmtid="{D5CDD505-2E9C-101B-9397-08002B2CF9AE}" pid="17" name="DuvodZmeny_SlozkaStupenUtajeniCollection_Slozka_Pisemnost">
    <vt:lpwstr/>
  </property>
  <property fmtid="{D5CDD505-2E9C-101B-9397-08002B2CF9AE}" pid="18" name="EC_Pisemnost">
    <vt:lpwstr>18-15817/NKU</vt:lpwstr>
  </property>
  <property fmtid="{D5CDD505-2E9C-101B-9397-08002B2CF9AE}" pid="19" name="Key_BarCode_Pisemnost">
    <vt:lpwstr>*B000326671*</vt:lpwstr>
  </property>
  <property fmtid="{D5CDD505-2E9C-101B-9397-08002B2CF9AE}" pid="20" name="KRukam">
    <vt:lpwstr>{KRukam}</vt:lpwstr>
  </property>
  <property fmtid="{D5CDD505-2E9C-101B-9397-08002B2CF9AE}" pid="21" name="NameAddress_Contact_SpisovyUzel_PoziceZodpo_Pisemnost">
    <vt:lpwstr>ADRESÁT SU...</vt:lpwstr>
  </property>
  <property fmtid="{D5CDD505-2E9C-101B-9397-08002B2CF9AE}" pid="22" name="Odkaz">
    <vt:lpwstr>ODKAZ</vt:lpwstr>
  </property>
  <property fmtid="{D5CDD505-2E9C-101B-9397-08002B2CF9AE}" pid="23" name="Password_PisemnostTypZpristupneniInformaciZOSZ_Pisemnost">
    <vt:lpwstr>ZOSZ_Password</vt:lpwstr>
  </property>
  <property fmtid="{D5CDD505-2E9C-101B-9397-08002B2CF9AE}" pid="24" name="PocetListuDokumentu_Pisemnost">
    <vt:lpwstr>1</vt:lpwstr>
  </property>
  <property fmtid="{D5CDD505-2E9C-101B-9397-08002B2CF9AE}" pid="25" name="PocetListu_Pisemnost">
    <vt:lpwstr>1</vt:lpwstr>
  </property>
  <property fmtid="{D5CDD505-2E9C-101B-9397-08002B2CF9AE}" pid="26" name="PocetPriloh_Pisemnost">
    <vt:lpwstr>POČET PŘÍLOH</vt:lpwstr>
  </property>
  <property fmtid="{D5CDD505-2E9C-101B-9397-08002B2CF9AE}" pid="27" name="Podpis">
    <vt:lpwstr/>
  </property>
  <property fmtid="{D5CDD505-2E9C-101B-9397-08002B2CF9AE}" pid="28" name="PostalAddress_Contact_SpisovyUzel_PoziceZodpo_Pisemnost">
    <vt:lpwstr>ADRESA SU...</vt:lpwstr>
  </property>
  <property fmtid="{D5CDD505-2E9C-101B-9397-08002B2CF9AE}" pid="29" name="RC">
    <vt:lpwstr/>
  </property>
  <property fmtid="{D5CDD505-2E9C-101B-9397-08002B2CF9AE}" pid="30" name="SkartacniZnakLhuta_PisemnostZnak">
    <vt:lpwstr>?/?</vt:lpwstr>
  </property>
  <property fmtid="{D5CDD505-2E9C-101B-9397-08002B2CF9AE}" pid="31" name="SmlouvaCislo">
    <vt:lpwstr>ČÍSLO SMLOUVY</vt:lpwstr>
  </property>
  <property fmtid="{D5CDD505-2E9C-101B-9397-08002B2CF9AE}" pid="32" name="SZ_Spis_Pisemnost">
    <vt:lpwstr>18/09</vt:lpwstr>
  </property>
  <property fmtid="{D5CDD505-2E9C-101B-9397-08002B2CF9AE}" pid="33" name="TEST">
    <vt:lpwstr>testovací pole</vt:lpwstr>
  </property>
  <property fmtid="{D5CDD505-2E9C-101B-9397-08002B2CF9AE}" pid="34" name="TypPrilohy_Pisemnost">
    <vt:lpwstr>TYP PŘÍLOHY</vt:lpwstr>
  </property>
  <property fmtid="{D5CDD505-2E9C-101B-9397-08002B2CF9AE}" pid="35" name="UserName_PisemnostTypZpristupneniInformaciZOSZ_Pisemnost">
    <vt:lpwstr>ZOSZ_UserName</vt:lpwstr>
  </property>
  <property fmtid="{D5CDD505-2E9C-101B-9397-08002B2CF9AE}" pid="36" name="Vec_Pisemnost">
    <vt:lpwstr>Návrh kontrolního závěru 18/09 do připomínek</vt:lpwstr>
  </property>
  <property fmtid="{D5CDD505-2E9C-101B-9397-08002B2CF9AE}" pid="37" name="Zkratka_SpisovyUzel_PoziceZodpo_Pisemnost">
    <vt:lpwstr>30</vt:lpwstr>
  </property>
</Properties>
</file>