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69BA36" w14:textId="77777777" w:rsidR="008E6616" w:rsidRPr="007F1D90" w:rsidRDefault="008E6616" w:rsidP="007F1D90">
      <w:pPr>
        <w:pStyle w:val="Nzev"/>
        <w:spacing w:line="280" w:lineRule="atLeast"/>
        <w:outlineLvl w:val="0"/>
        <w:rPr>
          <w:rFonts w:asciiTheme="minorHAnsi" w:hAnsiTheme="minorHAnsi" w:cstheme="minorHAnsi"/>
          <w:szCs w:val="22"/>
        </w:rPr>
      </w:pPr>
      <w:bookmarkStart w:id="0" w:name="_GoBack"/>
      <w:bookmarkEnd w:id="0"/>
      <w:r w:rsidRPr="007F1D90">
        <w:rPr>
          <w:rFonts w:asciiTheme="minorHAnsi" w:hAnsiTheme="minorHAnsi" w:cstheme="minorHAnsi"/>
          <w:noProof/>
          <w:szCs w:val="22"/>
        </w:rPr>
        <w:drawing>
          <wp:anchor distT="0" distB="0" distL="114300" distR="114300" simplePos="0" relativeHeight="251658240" behindDoc="0" locked="0" layoutInCell="1" allowOverlap="1" wp14:anchorId="32BA8149" wp14:editId="6DAF228C">
            <wp:simplePos x="0" y="0"/>
            <wp:positionH relativeFrom="margin">
              <wp:posOffset>2555240</wp:posOffset>
            </wp:positionH>
            <wp:positionV relativeFrom="paragraph">
              <wp:posOffset>16287</wp:posOffset>
            </wp:positionV>
            <wp:extent cx="764433" cy="540000"/>
            <wp:effectExtent l="0" t="0" r="0" b="0"/>
            <wp:wrapTopAndBottom/>
            <wp:docPr id="6" name="obrázek 4" descr="NKU_logo-transp-rgb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04072" name="Picture 4" descr="NKU_logo-transp-rgb300dpi"/>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764433" cy="540000"/>
                    </a:xfrm>
                    <a:prstGeom prst="rect">
                      <a:avLst/>
                    </a:prstGeom>
                    <a:noFill/>
                  </pic:spPr>
                </pic:pic>
              </a:graphicData>
            </a:graphic>
            <wp14:sizeRelH relativeFrom="page">
              <wp14:pctWidth>0</wp14:pctWidth>
            </wp14:sizeRelH>
            <wp14:sizeRelV relativeFrom="page">
              <wp14:pctHeight>0</wp14:pctHeight>
            </wp14:sizeRelV>
          </wp:anchor>
        </w:drawing>
      </w:r>
    </w:p>
    <w:p w14:paraId="2C196497" w14:textId="77777777" w:rsidR="008E6616" w:rsidRPr="007F1D90" w:rsidRDefault="008E6616" w:rsidP="007F1D90">
      <w:pPr>
        <w:pStyle w:val="Nzev"/>
        <w:spacing w:line="280" w:lineRule="atLeast"/>
        <w:outlineLvl w:val="0"/>
        <w:rPr>
          <w:rFonts w:asciiTheme="minorHAnsi" w:hAnsiTheme="minorHAnsi" w:cstheme="minorHAnsi"/>
          <w:szCs w:val="22"/>
        </w:rPr>
      </w:pPr>
    </w:p>
    <w:p w14:paraId="6534BD76" w14:textId="77777777" w:rsidR="00B949D5" w:rsidRPr="007F1D90" w:rsidRDefault="00B949D5" w:rsidP="007F1D90">
      <w:pPr>
        <w:pStyle w:val="Nzev"/>
        <w:spacing w:line="280" w:lineRule="atLeast"/>
        <w:outlineLvl w:val="0"/>
        <w:rPr>
          <w:rFonts w:asciiTheme="minorHAnsi" w:hAnsiTheme="minorHAnsi" w:cstheme="minorHAnsi"/>
          <w:szCs w:val="22"/>
        </w:rPr>
      </w:pPr>
    </w:p>
    <w:p w14:paraId="33553215" w14:textId="77777777" w:rsidR="008E6616" w:rsidRPr="007F1D90" w:rsidRDefault="008E6616" w:rsidP="007F1D90">
      <w:pPr>
        <w:pStyle w:val="Nzev"/>
        <w:spacing w:line="280" w:lineRule="atLeast"/>
        <w:outlineLvl w:val="0"/>
        <w:rPr>
          <w:rFonts w:asciiTheme="minorHAnsi" w:hAnsiTheme="minorHAnsi" w:cstheme="minorHAnsi"/>
          <w:sz w:val="28"/>
          <w:szCs w:val="28"/>
        </w:rPr>
      </w:pPr>
      <w:r w:rsidRPr="007F1D90">
        <w:rPr>
          <w:rFonts w:asciiTheme="minorHAnsi" w:hAnsiTheme="minorHAnsi" w:cstheme="minorHAnsi"/>
          <w:sz w:val="28"/>
          <w:szCs w:val="28"/>
        </w:rPr>
        <w:t>Kontrolní závěr z kontrolní akce</w:t>
      </w:r>
    </w:p>
    <w:p w14:paraId="666F1DC7" w14:textId="77777777" w:rsidR="008E6616" w:rsidRPr="00482426" w:rsidRDefault="008E6616" w:rsidP="007F1D90">
      <w:pPr>
        <w:pStyle w:val="Nzev"/>
        <w:spacing w:line="280" w:lineRule="atLeast"/>
        <w:outlineLvl w:val="0"/>
        <w:rPr>
          <w:rFonts w:asciiTheme="minorHAnsi" w:hAnsiTheme="minorHAnsi" w:cstheme="minorHAnsi"/>
          <w:sz w:val="24"/>
          <w:szCs w:val="24"/>
        </w:rPr>
      </w:pPr>
    </w:p>
    <w:p w14:paraId="4FD64671" w14:textId="77777777" w:rsidR="008E6616" w:rsidRPr="007F1D90" w:rsidRDefault="008E6616" w:rsidP="007F1D90">
      <w:pPr>
        <w:spacing w:after="0" w:line="280" w:lineRule="atLeast"/>
        <w:jc w:val="center"/>
        <w:rPr>
          <w:rFonts w:cstheme="minorHAnsi"/>
          <w:b/>
          <w:bCs/>
          <w:sz w:val="28"/>
          <w:szCs w:val="28"/>
        </w:rPr>
      </w:pPr>
      <w:r w:rsidRPr="007F1D90">
        <w:rPr>
          <w:rFonts w:cstheme="minorHAnsi"/>
          <w:b/>
          <w:bCs/>
          <w:sz w:val="28"/>
          <w:szCs w:val="28"/>
        </w:rPr>
        <w:t>1</w:t>
      </w:r>
      <w:r w:rsidR="009A67C7">
        <w:rPr>
          <w:rFonts w:cstheme="minorHAnsi"/>
          <w:b/>
          <w:bCs/>
          <w:sz w:val="28"/>
          <w:szCs w:val="28"/>
        </w:rPr>
        <w:t>9</w:t>
      </w:r>
      <w:r w:rsidRPr="007F1D90">
        <w:rPr>
          <w:rFonts w:cstheme="minorHAnsi"/>
          <w:b/>
          <w:bCs/>
          <w:sz w:val="28"/>
          <w:szCs w:val="28"/>
        </w:rPr>
        <w:t>/</w:t>
      </w:r>
      <w:r w:rsidR="009A67C7">
        <w:rPr>
          <w:rFonts w:cstheme="minorHAnsi"/>
          <w:b/>
          <w:bCs/>
          <w:sz w:val="28"/>
          <w:szCs w:val="28"/>
        </w:rPr>
        <w:t>18</w:t>
      </w:r>
    </w:p>
    <w:p w14:paraId="6A592D26" w14:textId="77777777" w:rsidR="008E6616" w:rsidRPr="00482426" w:rsidRDefault="008E6616" w:rsidP="007F1D90">
      <w:pPr>
        <w:pStyle w:val="Nzev"/>
        <w:spacing w:line="280" w:lineRule="atLeast"/>
        <w:outlineLvl w:val="0"/>
        <w:rPr>
          <w:rFonts w:asciiTheme="minorHAnsi" w:hAnsiTheme="minorHAnsi" w:cstheme="minorHAnsi"/>
          <w:sz w:val="24"/>
          <w:szCs w:val="24"/>
        </w:rPr>
      </w:pPr>
    </w:p>
    <w:p w14:paraId="7A25EB4F" w14:textId="77777777" w:rsidR="008E6616" w:rsidRPr="007F1D90" w:rsidRDefault="001972CD" w:rsidP="007F1D90">
      <w:pPr>
        <w:spacing w:after="0" w:line="280" w:lineRule="atLeast"/>
        <w:jc w:val="center"/>
        <w:rPr>
          <w:rFonts w:cstheme="minorHAnsi"/>
          <w:b/>
          <w:noProof/>
          <w:sz w:val="28"/>
          <w:szCs w:val="28"/>
        </w:rPr>
      </w:pPr>
      <w:r w:rsidRPr="007F1D90">
        <w:rPr>
          <w:rFonts w:cstheme="minorHAnsi"/>
          <w:b/>
          <w:noProof/>
          <w:sz w:val="28"/>
          <w:szCs w:val="28"/>
        </w:rPr>
        <w:t>P</w:t>
      </w:r>
      <w:r w:rsidR="009A67C7">
        <w:rPr>
          <w:rFonts w:cstheme="minorHAnsi"/>
          <w:b/>
          <w:noProof/>
          <w:sz w:val="28"/>
          <w:szCs w:val="28"/>
        </w:rPr>
        <w:t xml:space="preserve">odpory poskytované Podpůrným a garančním rolnickým a lesnickým fondem, a.s. </w:t>
      </w:r>
    </w:p>
    <w:p w14:paraId="1BC1341B" w14:textId="77777777" w:rsidR="008D6D1E" w:rsidRPr="00482426" w:rsidRDefault="008D6D1E" w:rsidP="00482426">
      <w:pPr>
        <w:spacing w:after="0" w:line="280" w:lineRule="atLeast"/>
        <w:rPr>
          <w:rFonts w:cstheme="minorHAnsi"/>
          <w:sz w:val="24"/>
          <w:szCs w:val="24"/>
        </w:rPr>
      </w:pPr>
    </w:p>
    <w:p w14:paraId="5DF8B3C4" w14:textId="77777777" w:rsidR="009A0492" w:rsidRPr="007F1D90" w:rsidRDefault="009A0492" w:rsidP="007F1D90">
      <w:pPr>
        <w:tabs>
          <w:tab w:val="left" w:pos="7988"/>
        </w:tabs>
        <w:spacing w:after="0" w:line="280" w:lineRule="atLeast"/>
        <w:jc w:val="both"/>
        <w:rPr>
          <w:rFonts w:cstheme="minorHAnsi"/>
          <w:sz w:val="24"/>
          <w:szCs w:val="24"/>
          <w:highlight w:val="yellow"/>
        </w:rPr>
      </w:pPr>
    </w:p>
    <w:p w14:paraId="29155CBE" w14:textId="77777777" w:rsidR="008E6616" w:rsidRPr="007F1D90" w:rsidRDefault="008E6616" w:rsidP="007F1D90">
      <w:pPr>
        <w:spacing w:after="0" w:line="280" w:lineRule="atLeast"/>
        <w:jc w:val="both"/>
        <w:rPr>
          <w:rFonts w:cstheme="minorHAnsi"/>
          <w:sz w:val="24"/>
          <w:szCs w:val="24"/>
        </w:rPr>
      </w:pPr>
      <w:r w:rsidRPr="007F1D90">
        <w:rPr>
          <w:rFonts w:cstheme="minorHAnsi"/>
          <w:sz w:val="24"/>
          <w:szCs w:val="24"/>
        </w:rPr>
        <w:t>Kontrolní akce byla zařazena do plánu kontrolní činnosti Nejvyššího kontrolního úřadu (dále také „NKÚ“) na rok 201</w:t>
      </w:r>
      <w:r w:rsidR="00FA73C6">
        <w:rPr>
          <w:rFonts w:cstheme="minorHAnsi"/>
          <w:sz w:val="24"/>
          <w:szCs w:val="24"/>
        </w:rPr>
        <w:t>9</w:t>
      </w:r>
      <w:r w:rsidRPr="007F1D90">
        <w:rPr>
          <w:rFonts w:cstheme="minorHAnsi"/>
          <w:sz w:val="24"/>
          <w:szCs w:val="24"/>
        </w:rPr>
        <w:t xml:space="preserve"> pod číslem 1</w:t>
      </w:r>
      <w:r w:rsidR="001972CD" w:rsidRPr="007F1D90">
        <w:rPr>
          <w:rFonts w:cstheme="minorHAnsi"/>
          <w:sz w:val="24"/>
          <w:szCs w:val="24"/>
        </w:rPr>
        <w:t>9</w:t>
      </w:r>
      <w:r w:rsidR="009A67C7">
        <w:rPr>
          <w:rFonts w:cstheme="minorHAnsi"/>
          <w:sz w:val="24"/>
          <w:szCs w:val="24"/>
        </w:rPr>
        <w:t>/18</w:t>
      </w:r>
      <w:r w:rsidRPr="007F1D90">
        <w:rPr>
          <w:rFonts w:cstheme="minorHAnsi"/>
          <w:sz w:val="24"/>
          <w:szCs w:val="24"/>
        </w:rPr>
        <w:t>. Kontrolní akci řídil a kontrolní závěr vypracoval člen NKÚ Ing.</w:t>
      </w:r>
      <w:r w:rsidR="00612F02" w:rsidRPr="007F1D90">
        <w:rPr>
          <w:rFonts w:cstheme="minorHAnsi"/>
          <w:sz w:val="24"/>
          <w:szCs w:val="24"/>
        </w:rPr>
        <w:t xml:space="preserve"> </w:t>
      </w:r>
      <w:r w:rsidR="001972CD" w:rsidRPr="007F1D90">
        <w:rPr>
          <w:rFonts w:cstheme="minorHAnsi"/>
          <w:sz w:val="24"/>
          <w:szCs w:val="24"/>
        </w:rPr>
        <w:t xml:space="preserve">Jan </w:t>
      </w:r>
      <w:proofErr w:type="spellStart"/>
      <w:r w:rsidR="001972CD" w:rsidRPr="007F1D90">
        <w:rPr>
          <w:rFonts w:cstheme="minorHAnsi"/>
          <w:sz w:val="24"/>
          <w:szCs w:val="24"/>
        </w:rPr>
        <w:t>Kinšt</w:t>
      </w:r>
      <w:proofErr w:type="spellEnd"/>
      <w:r w:rsidRPr="007F1D90">
        <w:rPr>
          <w:rFonts w:cstheme="minorHAnsi"/>
          <w:sz w:val="24"/>
          <w:szCs w:val="24"/>
        </w:rPr>
        <w:t>.</w:t>
      </w:r>
    </w:p>
    <w:p w14:paraId="3393A623" w14:textId="77777777" w:rsidR="008E6616" w:rsidRPr="007F1D90" w:rsidRDefault="008E6616" w:rsidP="007F1D90">
      <w:pPr>
        <w:spacing w:after="0" w:line="280" w:lineRule="atLeast"/>
        <w:jc w:val="both"/>
        <w:rPr>
          <w:rFonts w:cstheme="minorHAnsi"/>
          <w:sz w:val="24"/>
          <w:szCs w:val="24"/>
          <w:highlight w:val="yellow"/>
        </w:rPr>
      </w:pPr>
    </w:p>
    <w:p w14:paraId="425960A2" w14:textId="01758148" w:rsidR="00130B2E" w:rsidRPr="007F1D90" w:rsidRDefault="008E6616" w:rsidP="00506CA0">
      <w:pPr>
        <w:jc w:val="both"/>
        <w:rPr>
          <w:rFonts w:cstheme="minorHAnsi"/>
          <w:sz w:val="24"/>
          <w:szCs w:val="24"/>
        </w:rPr>
      </w:pPr>
      <w:r w:rsidRPr="007F1D90">
        <w:rPr>
          <w:rFonts w:cstheme="minorHAnsi"/>
          <w:sz w:val="24"/>
          <w:szCs w:val="24"/>
        </w:rPr>
        <w:t xml:space="preserve">Cílem kontroly bylo </w:t>
      </w:r>
      <w:bookmarkStart w:id="1" w:name="_Toc506383339"/>
      <w:bookmarkStart w:id="2" w:name="_Toc256000068"/>
      <w:bookmarkStart w:id="3" w:name="_Toc256000035"/>
      <w:bookmarkStart w:id="4" w:name="_Toc256000002"/>
      <w:r w:rsidRPr="007F1D90">
        <w:rPr>
          <w:rFonts w:cstheme="minorHAnsi"/>
          <w:sz w:val="24"/>
          <w:szCs w:val="24"/>
        </w:rPr>
        <w:t>prověřit</w:t>
      </w:r>
      <w:r w:rsidR="0073031A" w:rsidRPr="007F1D90">
        <w:rPr>
          <w:rFonts w:cstheme="minorHAnsi"/>
          <w:sz w:val="24"/>
          <w:szCs w:val="24"/>
        </w:rPr>
        <w:t xml:space="preserve">, </w:t>
      </w:r>
      <w:r w:rsidR="00506CA0">
        <w:rPr>
          <w:rFonts w:cstheme="minorHAnsi"/>
          <w:sz w:val="24"/>
          <w:szCs w:val="24"/>
        </w:rPr>
        <w:t>jak Ministerstvo zemědě</w:t>
      </w:r>
      <w:r w:rsidR="007A1093">
        <w:rPr>
          <w:rFonts w:cstheme="minorHAnsi"/>
          <w:sz w:val="24"/>
          <w:szCs w:val="24"/>
        </w:rPr>
        <w:t>lství řídí činnost Podpůrného a </w:t>
      </w:r>
      <w:r w:rsidR="00506CA0">
        <w:rPr>
          <w:rFonts w:cstheme="minorHAnsi"/>
          <w:sz w:val="24"/>
          <w:szCs w:val="24"/>
        </w:rPr>
        <w:t>garančního rolnického a lesnického fondu, a.s., a vyhodnotit systém poskytování podpor prostřednictvím tohoto fondu včetně nastavení podpor a podmínek pro jejich čerpání.</w:t>
      </w:r>
      <w:bookmarkEnd w:id="1"/>
      <w:bookmarkEnd w:id="2"/>
      <w:bookmarkEnd w:id="3"/>
      <w:bookmarkEnd w:id="4"/>
    </w:p>
    <w:p w14:paraId="79DD1179" w14:textId="77777777" w:rsidR="008E6616" w:rsidRPr="007F1D90" w:rsidRDefault="008E6616" w:rsidP="007F1D90">
      <w:pPr>
        <w:shd w:val="clear" w:color="auto" w:fill="FFFFFF" w:themeFill="background1"/>
        <w:spacing w:after="0" w:line="280" w:lineRule="atLeast"/>
        <w:jc w:val="both"/>
        <w:rPr>
          <w:rFonts w:cstheme="minorHAnsi"/>
          <w:sz w:val="24"/>
          <w:szCs w:val="24"/>
        </w:rPr>
      </w:pPr>
      <w:r w:rsidRPr="007F1D90">
        <w:rPr>
          <w:rFonts w:cstheme="minorHAnsi"/>
          <w:sz w:val="24"/>
          <w:szCs w:val="24"/>
        </w:rPr>
        <w:t>Kontrolované osoby:</w:t>
      </w:r>
    </w:p>
    <w:p w14:paraId="30F43B01" w14:textId="515ED749" w:rsidR="00506CA0" w:rsidRPr="00506CA0" w:rsidRDefault="00506CA0" w:rsidP="00506CA0">
      <w:pPr>
        <w:spacing w:after="0" w:line="240" w:lineRule="auto"/>
        <w:jc w:val="both"/>
        <w:rPr>
          <w:rFonts w:cstheme="minorHAnsi"/>
          <w:sz w:val="24"/>
          <w:szCs w:val="24"/>
        </w:rPr>
      </w:pPr>
      <w:r w:rsidRPr="00506CA0">
        <w:rPr>
          <w:rFonts w:cstheme="minorHAnsi"/>
          <w:sz w:val="24"/>
          <w:szCs w:val="24"/>
        </w:rPr>
        <w:t>Ministe</w:t>
      </w:r>
      <w:r w:rsidR="006D7982">
        <w:rPr>
          <w:rFonts w:cstheme="minorHAnsi"/>
          <w:sz w:val="24"/>
          <w:szCs w:val="24"/>
        </w:rPr>
        <w:t>rstvo zemědělství</w:t>
      </w:r>
      <w:r w:rsidR="00271302">
        <w:rPr>
          <w:rFonts w:cstheme="minorHAnsi"/>
          <w:sz w:val="24"/>
          <w:szCs w:val="24"/>
        </w:rPr>
        <w:t xml:space="preserve"> (dále také „</w:t>
      </w:r>
      <w:proofErr w:type="spellStart"/>
      <w:r w:rsidR="00271302">
        <w:rPr>
          <w:rFonts w:cstheme="minorHAnsi"/>
          <w:sz w:val="24"/>
          <w:szCs w:val="24"/>
        </w:rPr>
        <w:t>MZe</w:t>
      </w:r>
      <w:proofErr w:type="spellEnd"/>
      <w:r w:rsidR="00271302">
        <w:rPr>
          <w:rFonts w:cstheme="minorHAnsi"/>
          <w:sz w:val="24"/>
          <w:szCs w:val="24"/>
        </w:rPr>
        <w:t>“)</w:t>
      </w:r>
      <w:r w:rsidR="00493ABB">
        <w:rPr>
          <w:rFonts w:cstheme="minorHAnsi"/>
          <w:sz w:val="24"/>
          <w:szCs w:val="24"/>
        </w:rPr>
        <w:t>;</w:t>
      </w:r>
    </w:p>
    <w:p w14:paraId="24886C82" w14:textId="7DB9175A" w:rsidR="00506CA0" w:rsidRPr="00506CA0" w:rsidRDefault="00506CA0" w:rsidP="00506CA0">
      <w:pPr>
        <w:spacing w:after="0" w:line="240" w:lineRule="auto"/>
        <w:jc w:val="both"/>
        <w:rPr>
          <w:rFonts w:cstheme="minorHAnsi"/>
          <w:sz w:val="24"/>
          <w:szCs w:val="24"/>
        </w:rPr>
      </w:pPr>
      <w:r w:rsidRPr="00506CA0">
        <w:rPr>
          <w:rFonts w:cstheme="minorHAnsi"/>
          <w:sz w:val="24"/>
          <w:szCs w:val="24"/>
        </w:rPr>
        <w:t xml:space="preserve">Podpůrný a garanční rolnický a lesnický fond, a.s., Praha </w:t>
      </w:r>
      <w:r w:rsidR="009643CD">
        <w:rPr>
          <w:rFonts w:cstheme="minorHAnsi"/>
          <w:sz w:val="24"/>
          <w:szCs w:val="24"/>
        </w:rPr>
        <w:t>(dále také „PGRLF“)</w:t>
      </w:r>
      <w:r w:rsidR="00493ABB">
        <w:rPr>
          <w:rFonts w:cstheme="minorHAnsi"/>
          <w:sz w:val="24"/>
          <w:szCs w:val="24"/>
        </w:rPr>
        <w:t>.</w:t>
      </w:r>
    </w:p>
    <w:p w14:paraId="20B77438" w14:textId="77777777" w:rsidR="00130B2E" w:rsidRPr="007F1D90" w:rsidRDefault="00130B2E" w:rsidP="007F1D90">
      <w:pPr>
        <w:spacing w:after="0" w:line="280" w:lineRule="atLeast"/>
        <w:jc w:val="both"/>
        <w:rPr>
          <w:rFonts w:cstheme="minorHAnsi"/>
          <w:sz w:val="24"/>
          <w:szCs w:val="24"/>
        </w:rPr>
      </w:pPr>
    </w:p>
    <w:p w14:paraId="38F25CA4" w14:textId="77777777" w:rsidR="00130B2E" w:rsidRPr="007F1D90" w:rsidRDefault="00130B2E" w:rsidP="007F1D90">
      <w:pPr>
        <w:spacing w:after="0" w:line="280" w:lineRule="atLeast"/>
        <w:jc w:val="both"/>
        <w:rPr>
          <w:rFonts w:cstheme="minorHAnsi"/>
          <w:sz w:val="24"/>
          <w:szCs w:val="24"/>
        </w:rPr>
      </w:pPr>
      <w:r w:rsidRPr="007F1D90">
        <w:rPr>
          <w:rFonts w:cstheme="minorHAnsi"/>
          <w:sz w:val="24"/>
          <w:szCs w:val="24"/>
        </w:rPr>
        <w:t>Kontrolováno bylo období od roku 2014 do roku 2018, v případě věcných souvislostí i období předcházející a následující.</w:t>
      </w:r>
    </w:p>
    <w:p w14:paraId="44D8C051" w14:textId="77777777" w:rsidR="008E6616" w:rsidRPr="007F1D90" w:rsidRDefault="008E6616" w:rsidP="007F1D90">
      <w:pPr>
        <w:spacing w:after="0" w:line="280" w:lineRule="atLeast"/>
        <w:jc w:val="both"/>
        <w:rPr>
          <w:rFonts w:cstheme="minorHAnsi"/>
          <w:sz w:val="24"/>
          <w:szCs w:val="24"/>
          <w:highlight w:val="yellow"/>
        </w:rPr>
      </w:pPr>
    </w:p>
    <w:p w14:paraId="4A56BADE" w14:textId="77777777" w:rsidR="00624215" w:rsidRPr="007F1D90" w:rsidRDefault="00130B2E" w:rsidP="007F1D90">
      <w:pPr>
        <w:spacing w:after="0" w:line="280" w:lineRule="atLeast"/>
        <w:jc w:val="both"/>
        <w:rPr>
          <w:rFonts w:cstheme="minorHAnsi"/>
          <w:sz w:val="24"/>
          <w:szCs w:val="24"/>
        </w:rPr>
      </w:pPr>
      <w:r w:rsidRPr="007F1D90">
        <w:rPr>
          <w:rFonts w:cstheme="minorHAnsi"/>
          <w:sz w:val="24"/>
          <w:szCs w:val="24"/>
        </w:rPr>
        <w:t xml:space="preserve">Kontrola byla prováděna u kontrolovaných osob v době od </w:t>
      </w:r>
      <w:r w:rsidR="00506CA0">
        <w:rPr>
          <w:rFonts w:cstheme="minorHAnsi"/>
          <w:sz w:val="24"/>
          <w:szCs w:val="24"/>
        </w:rPr>
        <w:t>července 2019</w:t>
      </w:r>
      <w:r w:rsidRPr="007F1D90">
        <w:rPr>
          <w:rFonts w:cstheme="minorHAnsi"/>
          <w:sz w:val="24"/>
          <w:szCs w:val="24"/>
        </w:rPr>
        <w:t xml:space="preserve"> do </w:t>
      </w:r>
      <w:r w:rsidR="00506CA0">
        <w:rPr>
          <w:rFonts w:cstheme="minorHAnsi"/>
          <w:sz w:val="24"/>
          <w:szCs w:val="24"/>
        </w:rPr>
        <w:t>ledna 2020</w:t>
      </w:r>
      <w:r w:rsidRPr="007F1D90">
        <w:rPr>
          <w:rFonts w:cstheme="minorHAnsi"/>
          <w:sz w:val="24"/>
          <w:szCs w:val="24"/>
        </w:rPr>
        <w:t>.</w:t>
      </w:r>
    </w:p>
    <w:p w14:paraId="7C4BAF83" w14:textId="77777777" w:rsidR="00130B2E" w:rsidRPr="007F1D90" w:rsidRDefault="00130B2E" w:rsidP="007F1D90">
      <w:pPr>
        <w:spacing w:after="0" w:line="280" w:lineRule="atLeast"/>
        <w:jc w:val="both"/>
        <w:rPr>
          <w:rFonts w:cstheme="minorHAnsi"/>
          <w:sz w:val="24"/>
          <w:szCs w:val="24"/>
        </w:rPr>
      </w:pPr>
    </w:p>
    <w:p w14:paraId="7E991EC2" w14:textId="77777777" w:rsidR="00130B2E" w:rsidRPr="007F1D90" w:rsidRDefault="00130B2E" w:rsidP="007F1D90">
      <w:pPr>
        <w:spacing w:after="0" w:line="280" w:lineRule="atLeast"/>
        <w:jc w:val="both"/>
        <w:rPr>
          <w:rFonts w:cstheme="minorHAnsi"/>
          <w:sz w:val="24"/>
          <w:szCs w:val="24"/>
          <w:highlight w:val="yellow"/>
        </w:rPr>
      </w:pPr>
    </w:p>
    <w:p w14:paraId="533E0784" w14:textId="4E5F994A" w:rsidR="008E6616" w:rsidRPr="005D342D" w:rsidRDefault="008E6616" w:rsidP="00482426">
      <w:pPr>
        <w:spacing w:after="120" w:line="280" w:lineRule="atLeast"/>
        <w:jc w:val="both"/>
        <w:rPr>
          <w:rFonts w:cstheme="minorHAnsi"/>
          <w:sz w:val="24"/>
          <w:szCs w:val="24"/>
        </w:rPr>
      </w:pPr>
      <w:r w:rsidRPr="005D342D">
        <w:rPr>
          <w:rFonts w:cstheme="minorHAnsi"/>
          <w:b/>
          <w:bCs/>
          <w:i/>
          <w:iCs/>
          <w:sz w:val="24"/>
          <w:szCs w:val="24"/>
        </w:rPr>
        <w:t xml:space="preserve">K o l e g i u m   N K Ú  </w:t>
      </w:r>
      <w:r w:rsidRPr="005D342D">
        <w:rPr>
          <w:rFonts w:cstheme="minorHAnsi"/>
          <w:sz w:val="24"/>
          <w:szCs w:val="24"/>
        </w:rPr>
        <w:t xml:space="preserve"> na svém</w:t>
      </w:r>
      <w:r w:rsidR="00920CA5" w:rsidRPr="005D342D">
        <w:rPr>
          <w:rFonts w:cstheme="minorHAnsi"/>
          <w:sz w:val="24"/>
          <w:szCs w:val="24"/>
        </w:rPr>
        <w:t xml:space="preserve"> </w:t>
      </w:r>
      <w:r w:rsidR="00F8138F">
        <w:rPr>
          <w:rFonts w:cstheme="minorHAnsi"/>
          <w:sz w:val="24"/>
          <w:szCs w:val="24"/>
        </w:rPr>
        <w:t>VIII</w:t>
      </w:r>
      <w:r w:rsidRPr="005D342D">
        <w:rPr>
          <w:rFonts w:cstheme="minorHAnsi"/>
          <w:sz w:val="24"/>
          <w:szCs w:val="24"/>
        </w:rPr>
        <w:t xml:space="preserve">. jednání, </w:t>
      </w:r>
      <w:r w:rsidR="0026522A">
        <w:rPr>
          <w:rFonts w:cstheme="minorHAnsi"/>
          <w:sz w:val="24"/>
          <w:szCs w:val="24"/>
        </w:rPr>
        <w:t xml:space="preserve">které se </w:t>
      </w:r>
      <w:r w:rsidRPr="005D342D">
        <w:rPr>
          <w:rFonts w:cstheme="minorHAnsi"/>
          <w:sz w:val="24"/>
          <w:szCs w:val="24"/>
        </w:rPr>
        <w:t>kona</w:t>
      </w:r>
      <w:r w:rsidR="0026522A">
        <w:rPr>
          <w:rFonts w:cstheme="minorHAnsi"/>
          <w:sz w:val="24"/>
          <w:szCs w:val="24"/>
        </w:rPr>
        <w:t>lo</w:t>
      </w:r>
      <w:r w:rsidRPr="005D342D">
        <w:rPr>
          <w:rFonts w:cstheme="minorHAnsi"/>
          <w:sz w:val="24"/>
          <w:szCs w:val="24"/>
        </w:rPr>
        <w:t xml:space="preserve"> dne</w:t>
      </w:r>
      <w:r w:rsidR="009A67C7">
        <w:rPr>
          <w:rFonts w:cstheme="minorHAnsi"/>
          <w:sz w:val="24"/>
          <w:szCs w:val="24"/>
        </w:rPr>
        <w:t xml:space="preserve"> </w:t>
      </w:r>
      <w:r w:rsidR="00F8138F">
        <w:rPr>
          <w:rFonts w:cstheme="minorHAnsi"/>
          <w:sz w:val="24"/>
          <w:szCs w:val="24"/>
        </w:rPr>
        <w:t>18. května 2020</w:t>
      </w:r>
      <w:r w:rsidR="00493ABB">
        <w:rPr>
          <w:rFonts w:cstheme="minorHAnsi"/>
          <w:sz w:val="24"/>
          <w:szCs w:val="24"/>
        </w:rPr>
        <w:t>,</w:t>
      </w:r>
    </w:p>
    <w:p w14:paraId="0DB3235B" w14:textId="55CBA7E8" w:rsidR="008E6616" w:rsidRPr="005D342D" w:rsidRDefault="008E6616" w:rsidP="00482426">
      <w:pPr>
        <w:pStyle w:val="NormlnKZ"/>
        <w:spacing w:line="280" w:lineRule="atLeast"/>
        <w:ind w:firstLine="0"/>
        <w:rPr>
          <w:rFonts w:asciiTheme="minorHAnsi" w:hAnsiTheme="minorHAnsi" w:cstheme="minorHAnsi"/>
          <w:sz w:val="24"/>
        </w:rPr>
      </w:pPr>
      <w:proofErr w:type="gramStart"/>
      <w:r w:rsidRPr="005D342D">
        <w:rPr>
          <w:rFonts w:asciiTheme="minorHAnsi" w:hAnsiTheme="minorHAnsi" w:cstheme="minorHAnsi"/>
          <w:b/>
          <w:bCs/>
          <w:i/>
          <w:iCs/>
          <w:sz w:val="24"/>
        </w:rPr>
        <w:t xml:space="preserve">s c h v á l i l o  </w:t>
      </w:r>
      <w:r w:rsidR="002F122F" w:rsidRPr="005D342D">
        <w:rPr>
          <w:rFonts w:asciiTheme="minorHAnsi" w:hAnsiTheme="minorHAnsi" w:cstheme="minorHAnsi"/>
          <w:sz w:val="24"/>
        </w:rPr>
        <w:t xml:space="preserve"> usnesením č.</w:t>
      </w:r>
      <w:proofErr w:type="gramEnd"/>
      <w:r w:rsidR="00DD6075" w:rsidRPr="005D342D">
        <w:rPr>
          <w:rFonts w:asciiTheme="minorHAnsi" w:hAnsiTheme="minorHAnsi" w:cstheme="minorHAnsi"/>
          <w:sz w:val="24"/>
        </w:rPr>
        <w:t xml:space="preserve"> </w:t>
      </w:r>
      <w:r w:rsidR="008A1186">
        <w:rPr>
          <w:rFonts w:asciiTheme="minorHAnsi" w:hAnsiTheme="minorHAnsi" w:cstheme="minorHAnsi"/>
          <w:sz w:val="24"/>
        </w:rPr>
        <w:t>8</w:t>
      </w:r>
      <w:r w:rsidR="00C32638" w:rsidRPr="00F8138F">
        <w:rPr>
          <w:rFonts w:asciiTheme="minorHAnsi" w:hAnsiTheme="minorHAnsi" w:cstheme="minorHAnsi"/>
          <w:sz w:val="24"/>
        </w:rPr>
        <w:t>/</w:t>
      </w:r>
      <w:r w:rsidR="00F8138F">
        <w:rPr>
          <w:rFonts w:asciiTheme="minorHAnsi" w:hAnsiTheme="minorHAnsi" w:cstheme="minorHAnsi"/>
          <w:sz w:val="24"/>
        </w:rPr>
        <w:t>VIII</w:t>
      </w:r>
      <w:r w:rsidR="00B6357B" w:rsidRPr="00F8138F">
        <w:rPr>
          <w:rFonts w:asciiTheme="minorHAnsi" w:hAnsiTheme="minorHAnsi" w:cstheme="minorHAnsi"/>
          <w:sz w:val="24"/>
        </w:rPr>
        <w:t>/</w:t>
      </w:r>
      <w:r w:rsidR="00B6357B">
        <w:rPr>
          <w:rFonts w:asciiTheme="minorHAnsi" w:hAnsiTheme="minorHAnsi" w:cstheme="minorHAnsi"/>
          <w:sz w:val="24"/>
        </w:rPr>
        <w:t>2020</w:t>
      </w:r>
    </w:p>
    <w:p w14:paraId="2C6009B7" w14:textId="77777777" w:rsidR="00FF0146" w:rsidRPr="007F1D90" w:rsidRDefault="008E6616" w:rsidP="00482426">
      <w:pPr>
        <w:pStyle w:val="NormlnKZ"/>
        <w:spacing w:line="280" w:lineRule="atLeast"/>
        <w:ind w:firstLine="0"/>
        <w:rPr>
          <w:rFonts w:asciiTheme="minorHAnsi" w:hAnsiTheme="minorHAnsi" w:cstheme="minorHAnsi"/>
          <w:sz w:val="24"/>
        </w:rPr>
      </w:pPr>
      <w:r w:rsidRPr="007F1D90">
        <w:rPr>
          <w:rFonts w:asciiTheme="minorHAnsi" w:hAnsiTheme="minorHAnsi" w:cstheme="minorHAnsi"/>
          <w:b/>
          <w:bCs/>
          <w:i/>
          <w:iCs/>
          <w:sz w:val="24"/>
        </w:rPr>
        <w:t>k o n t r o l n í   z á v ě r</w:t>
      </w:r>
      <w:r w:rsidRPr="007F1D90">
        <w:rPr>
          <w:rFonts w:asciiTheme="minorHAnsi" w:hAnsiTheme="minorHAnsi" w:cstheme="minorHAnsi"/>
          <w:sz w:val="24"/>
        </w:rPr>
        <w:t xml:space="preserve">   v tomto znění:</w:t>
      </w:r>
    </w:p>
    <w:p w14:paraId="7B617909" w14:textId="77777777" w:rsidR="00D7630D" w:rsidRDefault="00D7630D" w:rsidP="007F1D90">
      <w:pPr>
        <w:pStyle w:val="NormlnKZ"/>
        <w:spacing w:after="0" w:line="280" w:lineRule="atLeast"/>
        <w:ind w:firstLine="0"/>
        <w:rPr>
          <w:rFonts w:asciiTheme="minorHAnsi" w:hAnsiTheme="minorHAnsi" w:cstheme="minorHAnsi"/>
          <w:sz w:val="24"/>
          <w:highlight w:val="yellow"/>
        </w:rPr>
      </w:pPr>
    </w:p>
    <w:p w14:paraId="656D3A04" w14:textId="77777777" w:rsidR="00482426" w:rsidRPr="007F1D90" w:rsidRDefault="00482426" w:rsidP="007F1D90">
      <w:pPr>
        <w:pStyle w:val="NormlnKZ"/>
        <w:spacing w:after="0" w:line="280" w:lineRule="atLeast"/>
        <w:ind w:firstLine="0"/>
        <w:rPr>
          <w:rFonts w:asciiTheme="minorHAnsi" w:hAnsiTheme="minorHAnsi" w:cstheme="minorHAnsi"/>
          <w:sz w:val="24"/>
          <w:highlight w:val="yellow"/>
        </w:rPr>
      </w:pPr>
    </w:p>
    <w:p w14:paraId="2A578D16" w14:textId="77777777" w:rsidR="003C20A4" w:rsidRPr="007F1D90" w:rsidRDefault="003C20A4" w:rsidP="007F1D90">
      <w:pPr>
        <w:pStyle w:val="NormlnKZ"/>
        <w:spacing w:after="0" w:line="280" w:lineRule="atLeast"/>
        <w:ind w:firstLine="0"/>
        <w:rPr>
          <w:rFonts w:asciiTheme="minorHAnsi" w:hAnsiTheme="minorHAnsi" w:cstheme="minorHAnsi"/>
          <w:sz w:val="24"/>
          <w:highlight w:val="yellow"/>
        </w:rPr>
        <w:sectPr w:rsidR="003C20A4" w:rsidRPr="007F1D90" w:rsidSect="00E00956">
          <w:headerReference w:type="even" r:id="rId12"/>
          <w:headerReference w:type="default" r:id="rId13"/>
          <w:footerReference w:type="even" r:id="rId14"/>
          <w:footerReference w:type="default" r:id="rId15"/>
          <w:headerReference w:type="first" r:id="rId16"/>
          <w:footerReference w:type="first" r:id="rId17"/>
          <w:type w:val="continuous"/>
          <w:pgSz w:w="11906" w:h="16838"/>
          <w:pgMar w:top="1418" w:right="1418" w:bottom="1418" w:left="1418" w:header="709" w:footer="709" w:gutter="0"/>
          <w:cols w:space="708"/>
          <w:titlePg/>
          <w:docGrid w:linePitch="360"/>
        </w:sectPr>
      </w:pPr>
    </w:p>
    <w:p w14:paraId="7BCC5277" w14:textId="77777777" w:rsidR="003E693A" w:rsidRDefault="003E693A" w:rsidP="003E693A">
      <w:pPr>
        <w:rPr>
          <w:lang w:eastAsia="cs-CZ"/>
        </w:rPr>
      </w:pPr>
    </w:p>
    <w:p w14:paraId="41D7033A" w14:textId="65284B31" w:rsidR="003E693A" w:rsidRPr="00AA545D" w:rsidRDefault="003E693A" w:rsidP="003E693A">
      <w:pPr>
        <w:jc w:val="center"/>
        <w:rPr>
          <w:rStyle w:val="A4"/>
          <w:rFonts w:ascii="Calibri Light" w:hAnsi="Calibri Light" w:cs="Calibri Light"/>
          <w:b/>
          <w:sz w:val="40"/>
          <w:szCs w:val="40"/>
        </w:rPr>
      </w:pPr>
      <w:r w:rsidRPr="00AA545D">
        <w:rPr>
          <w:rStyle w:val="A4"/>
          <w:b/>
          <w:color w:val="BDD6EE" w:themeColor="accent1" w:themeTint="66"/>
          <w:sz w:val="40"/>
          <w:szCs w:val="40"/>
        </w:rPr>
        <w:t xml:space="preserve">Podpory </w:t>
      </w:r>
      <w:r w:rsidR="003E3766" w:rsidRPr="00AA545D">
        <w:rPr>
          <w:rStyle w:val="A4"/>
          <w:b/>
          <w:color w:val="BDD6EE" w:themeColor="accent1" w:themeTint="66"/>
          <w:sz w:val="40"/>
          <w:szCs w:val="40"/>
        </w:rPr>
        <w:t xml:space="preserve">poskytnuté </w:t>
      </w:r>
      <w:r w:rsidRPr="00AA545D">
        <w:rPr>
          <w:rStyle w:val="A4"/>
          <w:b/>
          <w:color w:val="BDD6EE" w:themeColor="accent1" w:themeTint="66"/>
          <w:sz w:val="40"/>
          <w:szCs w:val="40"/>
        </w:rPr>
        <w:t>P</w:t>
      </w:r>
      <w:r w:rsidR="005E4B6F" w:rsidRPr="00AA545D">
        <w:rPr>
          <w:rStyle w:val="A4"/>
          <w:b/>
          <w:color w:val="BDD6EE" w:themeColor="accent1" w:themeTint="66"/>
          <w:sz w:val="40"/>
          <w:szCs w:val="40"/>
        </w:rPr>
        <w:t>odpůrným a garančním rolnickým a lesnickým fondem</w:t>
      </w:r>
      <w:r w:rsidR="0067147B">
        <w:rPr>
          <w:rStyle w:val="A4"/>
          <w:b/>
          <w:color w:val="BDD6EE" w:themeColor="accent1" w:themeTint="66"/>
          <w:sz w:val="40"/>
          <w:szCs w:val="40"/>
        </w:rPr>
        <w:t>, a.s.,</w:t>
      </w:r>
      <w:r w:rsidR="00AA545D" w:rsidRPr="00AA545D">
        <w:rPr>
          <w:rStyle w:val="A4"/>
          <w:b/>
          <w:color w:val="BDD6EE" w:themeColor="accent1" w:themeTint="66"/>
          <w:sz w:val="40"/>
          <w:szCs w:val="40"/>
        </w:rPr>
        <w:br/>
      </w:r>
      <w:r w:rsidR="00434719" w:rsidRPr="00AA545D">
        <w:rPr>
          <w:rStyle w:val="A4"/>
          <w:b/>
          <w:color w:val="BDD6EE" w:themeColor="accent1" w:themeTint="66"/>
          <w:sz w:val="40"/>
          <w:szCs w:val="40"/>
        </w:rPr>
        <w:t>v letech 2014–</w:t>
      </w:r>
      <w:r w:rsidRPr="00AA545D">
        <w:rPr>
          <w:rStyle w:val="A4"/>
          <w:b/>
          <w:color w:val="BDD6EE" w:themeColor="accent1" w:themeTint="66"/>
          <w:sz w:val="40"/>
          <w:szCs w:val="40"/>
        </w:rPr>
        <w:t>2018</w:t>
      </w:r>
    </w:p>
    <w:p w14:paraId="70A3AC2C" w14:textId="77777777" w:rsidR="003E693A" w:rsidRDefault="003E693A" w:rsidP="00995903">
      <w:pPr>
        <w:jc w:val="center"/>
        <w:rPr>
          <w:rStyle w:val="A1"/>
          <w:rFonts w:ascii="Calibri Light" w:hAnsi="Calibri Light" w:cs="Calibri Light"/>
        </w:rPr>
      </w:pPr>
    </w:p>
    <w:p w14:paraId="52110799" w14:textId="77777777" w:rsidR="003E693A" w:rsidRPr="00383FAC" w:rsidRDefault="003E693A" w:rsidP="00995903">
      <w:pPr>
        <w:jc w:val="center"/>
        <w:rPr>
          <w:rStyle w:val="A1"/>
          <w:rFonts w:ascii="Calibri Light" w:hAnsi="Calibri Light" w:cs="Calibri Light"/>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left w:w="70" w:type="dxa"/>
          <w:bottom w:w="113" w:type="dxa"/>
          <w:right w:w="70" w:type="dxa"/>
        </w:tblCellMar>
        <w:tblLook w:val="04A0" w:firstRow="1" w:lastRow="0" w:firstColumn="1" w:lastColumn="0" w:noHBand="0" w:noVBand="1"/>
      </w:tblPr>
      <w:tblGrid>
        <w:gridCol w:w="4533"/>
        <w:gridCol w:w="4533"/>
      </w:tblGrid>
      <w:tr w:rsidR="008F4FCD" w14:paraId="55C61EA5" w14:textId="77777777" w:rsidTr="00886FB6">
        <w:trPr>
          <w:trHeight w:val="1077"/>
        </w:trPr>
        <w:tc>
          <w:tcPr>
            <w:tcW w:w="4533" w:type="dxa"/>
            <w:vAlign w:val="center"/>
          </w:tcPr>
          <w:p w14:paraId="725D5CE9" w14:textId="77777777" w:rsidR="008F4FCD" w:rsidRDefault="008F4FCD" w:rsidP="00187EEA">
            <w:pPr>
              <w:jc w:val="center"/>
              <w:rPr>
                <w:rStyle w:val="A5"/>
              </w:rPr>
            </w:pPr>
            <w:r>
              <w:rPr>
                <w:rStyle w:val="A5"/>
              </w:rPr>
              <w:t>6,2 mld. Kč</w:t>
            </w:r>
          </w:p>
          <w:p w14:paraId="02C238CE" w14:textId="77777777" w:rsidR="008F4FCD" w:rsidRDefault="008F4FCD" w:rsidP="00187EEA">
            <w:pPr>
              <w:jc w:val="center"/>
              <w:rPr>
                <w:b/>
                <w:sz w:val="20"/>
                <w:szCs w:val="20"/>
              </w:rPr>
            </w:pPr>
            <w:r>
              <w:rPr>
                <w:b/>
                <w:sz w:val="20"/>
                <w:szCs w:val="20"/>
              </w:rPr>
              <w:t>výše vyplacených podpor PGRLF</w:t>
            </w:r>
          </w:p>
          <w:p w14:paraId="7009E883" w14:textId="77777777" w:rsidR="008F4FCD" w:rsidRPr="00546E28" w:rsidRDefault="008F4FCD" w:rsidP="00187EEA">
            <w:pPr>
              <w:jc w:val="center"/>
              <w:rPr>
                <w:b/>
                <w:bCs/>
                <w:color w:val="000000"/>
                <w:sz w:val="20"/>
                <w:szCs w:val="20"/>
              </w:rPr>
            </w:pPr>
          </w:p>
        </w:tc>
        <w:tc>
          <w:tcPr>
            <w:tcW w:w="4533" w:type="dxa"/>
          </w:tcPr>
          <w:p w14:paraId="4729D3D7" w14:textId="77777777" w:rsidR="008F4FCD" w:rsidRPr="00E71B16" w:rsidRDefault="008F4FCD" w:rsidP="00187EEA">
            <w:pPr>
              <w:jc w:val="center"/>
              <w:rPr>
                <w:rStyle w:val="A5"/>
                <w:sz w:val="32"/>
                <w:szCs w:val="32"/>
              </w:rPr>
            </w:pPr>
            <w:r>
              <w:rPr>
                <w:rStyle w:val="A5"/>
                <w:sz w:val="32"/>
                <w:szCs w:val="32"/>
              </w:rPr>
              <w:t>81,6</w:t>
            </w:r>
            <w:r w:rsidRPr="00E71B16">
              <w:rPr>
                <w:rStyle w:val="A5"/>
                <w:sz w:val="32"/>
                <w:szCs w:val="32"/>
              </w:rPr>
              <w:t xml:space="preserve"> %</w:t>
            </w:r>
          </w:p>
          <w:p w14:paraId="2AB0BF64" w14:textId="6091EB2A" w:rsidR="008F4FCD" w:rsidRDefault="008F4FCD" w:rsidP="00187EEA">
            <w:pPr>
              <w:jc w:val="center"/>
              <w:rPr>
                <w:b/>
                <w:sz w:val="20"/>
                <w:szCs w:val="20"/>
              </w:rPr>
            </w:pPr>
            <w:r>
              <w:rPr>
                <w:b/>
                <w:bCs/>
                <w:noProof/>
                <w:color w:val="000000"/>
                <w:sz w:val="40"/>
                <w:szCs w:val="40"/>
                <w:lang w:eastAsia="cs-CZ"/>
              </w:rPr>
              <mc:AlternateContent>
                <mc:Choice Requires="wps">
                  <w:drawing>
                    <wp:anchor distT="0" distB="0" distL="114300" distR="114300" simplePos="0" relativeHeight="251658243" behindDoc="0" locked="0" layoutInCell="1" allowOverlap="1" wp14:anchorId="3E3693CD" wp14:editId="4ED107B3">
                      <wp:simplePos x="0" y="0"/>
                      <wp:positionH relativeFrom="column">
                        <wp:posOffset>-86360</wp:posOffset>
                      </wp:positionH>
                      <wp:positionV relativeFrom="paragraph">
                        <wp:posOffset>140970</wp:posOffset>
                      </wp:positionV>
                      <wp:extent cx="200025" cy="647700"/>
                      <wp:effectExtent l="19050" t="0" r="47625" b="19050"/>
                      <wp:wrapNone/>
                      <wp:docPr id="3" name="Dvojitá šipka 3"/>
                      <wp:cNvGraphicFramePr/>
                      <a:graphic xmlns:a="http://schemas.openxmlformats.org/drawingml/2006/main">
                        <a:graphicData uri="http://schemas.microsoft.com/office/word/2010/wordprocessingShape">
                          <wps:wsp>
                            <wps:cNvSpPr/>
                            <wps:spPr>
                              <a:xfrm>
                                <a:off x="0" y="0"/>
                                <a:ext cx="200025" cy="647700"/>
                              </a:xfrm>
                              <a:prstGeom prst="chevron">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5C4413"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Dvojitá šipka 3" o:spid="_x0000_s1026" type="#_x0000_t55" style="position:absolute;margin-left:-6.8pt;margin-top:11.1pt;width:15.75pt;height:51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RCNfgIAAEEFAAAOAAAAZHJzL2Uyb0RvYy54bWysVM1O3DAQvlfqO1i+l2SXBdoVWbQCUVVC&#10;FBUqzsaxiVvH4469m92+Dc9S9b06drIBAeqh6iXxeP6/+cbHJ5vWsrXCYMBVfLJXcqachNq4+4p/&#10;vTl/956zEIWrhQWnKr5VgZ8s3r457vxcTaEBWytkFMSFeecr3sTo50URZKNaEfbAK0dKDdiKSCLe&#10;FzWKjqK3tpiW5WHRAdYeQaoQ6PasV/JFjq+1kvGz1kFFZitOtcX8xfy9S99icSzm9yh8Y+RQhviH&#10;KlphHCUdQ52JKNgKzYtQrZEIAXTck9AWoLWRKvdA3UzKZ91cN8Kr3AuBE/wIU/h/YeXl+gqZqSu+&#10;z5kTLY3obA3fTPz1wH4/GP9dsP0EUufDnGyv/RUOUqBj6nijsU1/6oVtMrDbEVi1iUzSJU2qnB5w&#10;Jkl1ODs6KjPwxaOzxxA/KmhZOlScpr9G6BEV64sQKSdZ76xISPX0FeRT3FqVirDui9LUTsqZ55GJ&#10;pE4tsrUgCggplYuTXtWIWvXXB1TfrqTRI6fMAVNkbawdYw8BEklfxu5rHeyTq8o8HJ3LvxXWO48e&#10;OTO4ODq3xgG+FsBSV0Pm3n4HUg9NQukO6i0NG6HfguDluSG4L0SIVwKJ9rQgtMrxM320ha7iMJw4&#10;awB/vnaf7ImNpOWsozWqePixEqg4s58c8fTDZDZLe5eF2cHRlAR8qrl7qnGr9hRoTBN6NLzMx2Qf&#10;7e6oEdpb2vhlykoq4STlJsJE3AmnsV9vejOkWi6zGe2aF/HCXXuZgidUE5duNrcC/cC5SGS9hN3K&#10;ifkz3vW2ydPBchVBm0zKR1wHvGlPM3GGNyU9BE/lbPX48i3+AAAA//8DAFBLAwQUAAYACAAAACEA&#10;4zF1E98AAAAJAQAADwAAAGRycy9kb3ducmV2LnhtbEyPwU7DMAyG70i8Q2Qkblu6MNatNJ3QNCQE&#10;JwbinDWmrdbYVZN2hacnO8HJsvzp9/fn28m1YsTeN0waFvMEBFLJtqFKw8f702wNwgdD1rRMqOEb&#10;PWyL66vcZJbP9IbjIVQihpDPjIY6hC6T0pc1OuPn3CHF2xf3zoS49pW0vTnHcNdKlSQr6UxD8UNt&#10;OtzVWJ4Og9PwvAufL+l9yuP+R70m+2EZ5Im1vr2ZHh9ABJzCHwwX/agORXQ68kDWi1bDbHG3iqgG&#10;pRSIC5BuQBzjVEsFssjl/wbFLwAAAP//AwBQSwECLQAUAAYACAAAACEAtoM4kv4AAADhAQAAEwAA&#10;AAAAAAAAAAAAAAAAAAAAW0NvbnRlbnRfVHlwZXNdLnhtbFBLAQItABQABgAIAAAAIQA4/SH/1gAA&#10;AJQBAAALAAAAAAAAAAAAAAAAAC8BAABfcmVscy8ucmVsc1BLAQItABQABgAIAAAAIQAeJRCNfgIA&#10;AEEFAAAOAAAAAAAAAAAAAAAAAC4CAABkcnMvZTJvRG9jLnhtbFBLAQItABQABgAIAAAAIQDjMXUT&#10;3wAAAAkBAAAPAAAAAAAAAAAAAAAAANgEAABkcnMvZG93bnJldi54bWxQSwUGAAAAAAQABADzAAAA&#10;5AUAAAAA&#10;" adj="10800" fillcolor="#5b9bd5 [3204]" strokecolor="#1f4d78 [1604]" strokeweight="1pt"/>
                  </w:pict>
                </mc:Fallback>
              </mc:AlternateContent>
            </w:r>
            <w:r>
              <w:rPr>
                <w:b/>
                <w:sz w:val="20"/>
                <w:szCs w:val="20"/>
              </w:rPr>
              <w:t xml:space="preserve">nenávratné podpory </w:t>
            </w:r>
          </w:p>
          <w:p w14:paraId="58F79F4B" w14:textId="77777777" w:rsidR="00995903" w:rsidRDefault="00995903" w:rsidP="00187EEA">
            <w:pPr>
              <w:jc w:val="center"/>
              <w:rPr>
                <w:b/>
                <w:sz w:val="20"/>
                <w:szCs w:val="20"/>
              </w:rPr>
            </w:pPr>
          </w:p>
          <w:p w14:paraId="59AB2276" w14:textId="77777777" w:rsidR="008F4FCD" w:rsidRPr="00E71B16" w:rsidRDefault="008F4FCD" w:rsidP="00187EEA">
            <w:pPr>
              <w:jc w:val="center"/>
              <w:rPr>
                <w:rStyle w:val="A5"/>
                <w:sz w:val="32"/>
                <w:szCs w:val="32"/>
              </w:rPr>
            </w:pPr>
            <w:r>
              <w:rPr>
                <w:rStyle w:val="A5"/>
                <w:sz w:val="32"/>
                <w:szCs w:val="32"/>
              </w:rPr>
              <w:t>18,4</w:t>
            </w:r>
            <w:r w:rsidRPr="00E71B16">
              <w:rPr>
                <w:rStyle w:val="A5"/>
                <w:sz w:val="32"/>
                <w:szCs w:val="32"/>
              </w:rPr>
              <w:t xml:space="preserve"> %</w:t>
            </w:r>
          </w:p>
          <w:p w14:paraId="1555FF7B" w14:textId="417B46C0" w:rsidR="008F4FCD" w:rsidRDefault="008F4FCD" w:rsidP="00187EEA">
            <w:pPr>
              <w:jc w:val="center"/>
              <w:rPr>
                <w:b/>
                <w:sz w:val="20"/>
                <w:szCs w:val="20"/>
              </w:rPr>
            </w:pPr>
            <w:r>
              <w:rPr>
                <w:b/>
                <w:sz w:val="20"/>
                <w:szCs w:val="20"/>
              </w:rPr>
              <w:t>návratné podpory (úvěry)</w:t>
            </w:r>
          </w:p>
          <w:p w14:paraId="3155FFCE" w14:textId="77777777" w:rsidR="00995903" w:rsidRDefault="00995903" w:rsidP="00187EEA">
            <w:pPr>
              <w:jc w:val="center"/>
              <w:rPr>
                <w:b/>
                <w:sz w:val="20"/>
                <w:szCs w:val="20"/>
              </w:rPr>
            </w:pPr>
          </w:p>
          <w:p w14:paraId="1F36D9C4" w14:textId="77777777" w:rsidR="008F4FCD" w:rsidRPr="00E71B16" w:rsidRDefault="008F4FCD" w:rsidP="00187EEA">
            <w:pPr>
              <w:jc w:val="center"/>
              <w:rPr>
                <w:rStyle w:val="A5"/>
                <w:sz w:val="32"/>
                <w:szCs w:val="32"/>
              </w:rPr>
            </w:pPr>
            <w:r>
              <w:rPr>
                <w:rStyle w:val="A5"/>
                <w:sz w:val="32"/>
                <w:szCs w:val="32"/>
              </w:rPr>
              <w:t>0</w:t>
            </w:r>
            <w:r w:rsidRPr="00E71B16">
              <w:rPr>
                <w:rStyle w:val="A5"/>
                <w:sz w:val="32"/>
                <w:szCs w:val="32"/>
              </w:rPr>
              <w:t xml:space="preserve"> %</w:t>
            </w:r>
          </w:p>
          <w:p w14:paraId="164D0401" w14:textId="77777777" w:rsidR="008F4FCD" w:rsidRDefault="008F4FCD" w:rsidP="00187EEA">
            <w:pPr>
              <w:jc w:val="center"/>
              <w:rPr>
                <w:b/>
                <w:sz w:val="20"/>
                <w:szCs w:val="20"/>
              </w:rPr>
            </w:pPr>
            <w:r>
              <w:rPr>
                <w:b/>
                <w:sz w:val="20"/>
                <w:szCs w:val="20"/>
              </w:rPr>
              <w:t>garance</w:t>
            </w:r>
          </w:p>
          <w:p w14:paraId="239F5F00" w14:textId="77777777" w:rsidR="008F4FCD" w:rsidRDefault="008F4FCD" w:rsidP="00187EEA">
            <w:pPr>
              <w:rPr>
                <w:b/>
                <w:sz w:val="20"/>
                <w:szCs w:val="20"/>
              </w:rPr>
            </w:pPr>
          </w:p>
          <w:p w14:paraId="340C452A" w14:textId="77777777" w:rsidR="008F4FCD" w:rsidRPr="00422A93" w:rsidRDefault="008F4FCD" w:rsidP="00187EEA">
            <w:pPr>
              <w:rPr>
                <w:rFonts w:ascii="Calibri Light" w:hAnsi="Calibri Light" w:cs="Calibri Light"/>
                <w:color w:val="000000"/>
                <w:sz w:val="20"/>
                <w:szCs w:val="20"/>
              </w:rPr>
            </w:pPr>
          </w:p>
        </w:tc>
      </w:tr>
      <w:tr w:rsidR="003E693A" w14:paraId="553CC778" w14:textId="77777777" w:rsidTr="00187EEA">
        <w:tblPrEx>
          <w:tblCellMar>
            <w:left w:w="170" w:type="dxa"/>
            <w:right w:w="170" w:type="dxa"/>
          </w:tblCellMar>
        </w:tblPrEx>
        <w:tc>
          <w:tcPr>
            <w:tcW w:w="4533" w:type="dxa"/>
            <w:vAlign w:val="center"/>
          </w:tcPr>
          <w:p w14:paraId="2C92773C" w14:textId="77777777" w:rsidR="003E693A" w:rsidRDefault="003E693A" w:rsidP="00187EEA">
            <w:pPr>
              <w:jc w:val="center"/>
              <w:rPr>
                <w:rStyle w:val="A5"/>
              </w:rPr>
            </w:pPr>
          </w:p>
          <w:p w14:paraId="09F503BB" w14:textId="692B20AC" w:rsidR="003E693A" w:rsidRDefault="003E693A" w:rsidP="00187EEA">
            <w:pPr>
              <w:jc w:val="center"/>
              <w:rPr>
                <w:rStyle w:val="A5"/>
              </w:rPr>
            </w:pPr>
            <w:r>
              <w:rPr>
                <w:rStyle w:val="A5"/>
              </w:rPr>
              <w:t>63 tis</w:t>
            </w:r>
            <w:r w:rsidR="00493ABB">
              <w:rPr>
                <w:rStyle w:val="A5"/>
              </w:rPr>
              <w:t>íc</w:t>
            </w:r>
          </w:p>
          <w:p w14:paraId="179CC2A0" w14:textId="77777777" w:rsidR="003E693A" w:rsidRPr="00546E28" w:rsidRDefault="003E693A" w:rsidP="00187EEA">
            <w:pPr>
              <w:jc w:val="center"/>
              <w:rPr>
                <w:rFonts w:ascii="Calibri" w:hAnsi="Calibri" w:cs="Calibri"/>
                <w:b/>
                <w:bCs/>
                <w:color w:val="000000"/>
                <w:sz w:val="40"/>
                <w:szCs w:val="40"/>
              </w:rPr>
            </w:pPr>
            <w:r>
              <w:rPr>
                <w:b/>
                <w:color w:val="000000" w:themeColor="text1"/>
                <w:sz w:val="20"/>
                <w:szCs w:val="20"/>
                <w14:textOutline w14:w="9525" w14:cap="rnd" w14:cmpd="sng" w14:algn="ctr">
                  <w14:noFill/>
                  <w14:prstDash w14:val="solid"/>
                  <w14:bevel/>
                </w14:textOutline>
              </w:rPr>
              <w:t>podaných žádostí o podporu</w:t>
            </w:r>
          </w:p>
        </w:tc>
        <w:tc>
          <w:tcPr>
            <w:tcW w:w="4533" w:type="dxa"/>
            <w:vAlign w:val="center"/>
          </w:tcPr>
          <w:p w14:paraId="73E3359C" w14:textId="77777777" w:rsidR="003E693A" w:rsidRDefault="003E693A" w:rsidP="00187EEA">
            <w:pPr>
              <w:jc w:val="center"/>
              <w:rPr>
                <w:rStyle w:val="A5"/>
              </w:rPr>
            </w:pPr>
          </w:p>
          <w:p w14:paraId="6E8C986E" w14:textId="72BC1BBF" w:rsidR="003E693A" w:rsidRDefault="003E693A" w:rsidP="00187EEA">
            <w:pPr>
              <w:jc w:val="center"/>
              <w:rPr>
                <w:rStyle w:val="A5"/>
              </w:rPr>
            </w:pPr>
            <w:r>
              <w:rPr>
                <w:rStyle w:val="A5"/>
              </w:rPr>
              <w:t>56 tis</w:t>
            </w:r>
            <w:r w:rsidR="00493ABB">
              <w:rPr>
                <w:rStyle w:val="A5"/>
              </w:rPr>
              <w:t>íc</w:t>
            </w:r>
          </w:p>
          <w:p w14:paraId="22C0B06B" w14:textId="77777777" w:rsidR="003E693A" w:rsidRPr="002D0F91" w:rsidRDefault="003E693A" w:rsidP="00187EEA">
            <w:pPr>
              <w:jc w:val="center"/>
              <w:rPr>
                <w:rStyle w:val="A1"/>
                <w:rFonts w:ascii="Calibri Light" w:hAnsi="Calibri Light" w:cs="Calibri Light"/>
                <w:sz w:val="20"/>
              </w:rPr>
            </w:pPr>
            <w:r>
              <w:rPr>
                <w:b/>
                <w:color w:val="000000" w:themeColor="text1"/>
                <w:sz w:val="20"/>
                <w:szCs w:val="20"/>
                <w14:textOutline w14:w="9525" w14:cap="rnd" w14:cmpd="sng" w14:algn="ctr">
                  <w14:noFill/>
                  <w14:prstDash w14:val="solid"/>
                  <w14:bevel/>
                </w14:textOutline>
              </w:rPr>
              <w:t>schválených žádostí o podporu</w:t>
            </w:r>
          </w:p>
        </w:tc>
      </w:tr>
    </w:tbl>
    <w:p w14:paraId="17BD3531" w14:textId="77777777" w:rsidR="003E693A" w:rsidRPr="00383FAC" w:rsidRDefault="003E693A" w:rsidP="003E693A">
      <w:pPr>
        <w:rPr>
          <w:rStyle w:val="A1"/>
          <w:rFonts w:ascii="Calibri Light" w:hAnsi="Calibri Light" w:cs="Calibri Light"/>
        </w:rPr>
      </w:pPr>
    </w:p>
    <w:p w14:paraId="50AE502C" w14:textId="77777777" w:rsidR="00757C5A" w:rsidRPr="005A0F2F" w:rsidRDefault="003E693A" w:rsidP="005A0F2F">
      <w:pPr>
        <w:rPr>
          <w:lang w:eastAsia="cs-CZ"/>
        </w:rPr>
      </w:pPr>
      <w:r>
        <w:rPr>
          <w:lang w:eastAsia="cs-CZ"/>
        </w:rPr>
        <w:br w:type="page"/>
      </w:r>
    </w:p>
    <w:p w14:paraId="4A468ABD" w14:textId="77777777" w:rsidR="0001060B" w:rsidRDefault="001E1138" w:rsidP="00995903">
      <w:pPr>
        <w:pStyle w:val="Nadpis1"/>
        <w:numPr>
          <w:ilvl w:val="0"/>
          <w:numId w:val="0"/>
        </w:numPr>
        <w:spacing w:before="0" w:after="0"/>
        <w:ind w:left="357" w:hanging="357"/>
        <w:rPr>
          <w:sz w:val="28"/>
          <w:szCs w:val="28"/>
        </w:rPr>
      </w:pPr>
      <w:r w:rsidRPr="007F1D90">
        <w:rPr>
          <w:sz w:val="28"/>
          <w:szCs w:val="28"/>
        </w:rPr>
        <w:lastRenderedPageBreak/>
        <w:t>I. Shrnutí a vyhodnocení</w:t>
      </w:r>
    </w:p>
    <w:p w14:paraId="0F455DF0" w14:textId="77777777" w:rsidR="000C75AA" w:rsidRDefault="000C75AA" w:rsidP="00995903">
      <w:pPr>
        <w:spacing w:after="0" w:line="240" w:lineRule="auto"/>
        <w:rPr>
          <w:lang w:eastAsia="cs-CZ"/>
        </w:rPr>
      </w:pPr>
    </w:p>
    <w:p w14:paraId="73317B87" w14:textId="7B711087" w:rsidR="00BF20BE" w:rsidRDefault="00BF20BE" w:rsidP="00995903">
      <w:pPr>
        <w:pStyle w:val="Odstavecseseznamem"/>
        <w:tabs>
          <w:tab w:val="left" w:pos="426"/>
        </w:tabs>
        <w:spacing w:after="240" w:line="280" w:lineRule="atLeast"/>
        <w:ind w:left="0"/>
        <w:contextualSpacing w:val="0"/>
        <w:jc w:val="both"/>
        <w:rPr>
          <w:rFonts w:cstheme="minorHAnsi"/>
          <w:b/>
          <w:sz w:val="24"/>
          <w:szCs w:val="24"/>
        </w:rPr>
      </w:pPr>
      <w:r>
        <w:rPr>
          <w:lang w:eastAsia="cs-CZ"/>
        </w:rPr>
        <w:t>1.1</w:t>
      </w:r>
      <w:r>
        <w:rPr>
          <w:lang w:eastAsia="cs-CZ"/>
        </w:rPr>
        <w:tab/>
      </w:r>
      <w:r w:rsidRPr="0017724A">
        <w:rPr>
          <w:rFonts w:cstheme="minorHAnsi"/>
          <w:sz w:val="24"/>
          <w:szCs w:val="24"/>
        </w:rPr>
        <w:t xml:space="preserve">NKÚ </w:t>
      </w:r>
      <w:r>
        <w:rPr>
          <w:rFonts w:cstheme="minorHAnsi"/>
          <w:sz w:val="24"/>
          <w:szCs w:val="24"/>
        </w:rPr>
        <w:t>provedl kontrolu programů podpory poskytovan</w:t>
      </w:r>
      <w:r w:rsidR="009643CD">
        <w:rPr>
          <w:rFonts w:cstheme="minorHAnsi"/>
          <w:sz w:val="24"/>
          <w:szCs w:val="24"/>
        </w:rPr>
        <w:t>é</w:t>
      </w:r>
      <w:r w:rsidR="00D777F5">
        <w:rPr>
          <w:rFonts w:cstheme="minorHAnsi"/>
          <w:sz w:val="24"/>
          <w:szCs w:val="24"/>
        </w:rPr>
        <w:t xml:space="preserve"> prostřednictvím Podpůrného a </w:t>
      </w:r>
      <w:r>
        <w:rPr>
          <w:rFonts w:cstheme="minorHAnsi"/>
          <w:sz w:val="24"/>
          <w:szCs w:val="24"/>
        </w:rPr>
        <w:t>garančního rolnického a lesnického fondu</w:t>
      </w:r>
      <w:r w:rsidRPr="0017724A">
        <w:rPr>
          <w:rFonts w:cstheme="minorHAnsi"/>
          <w:sz w:val="24"/>
          <w:szCs w:val="24"/>
        </w:rPr>
        <w:t xml:space="preserve"> a.s. </w:t>
      </w:r>
      <w:r w:rsidRPr="00AC7DD5">
        <w:rPr>
          <w:rFonts w:cstheme="minorHAnsi"/>
          <w:sz w:val="24"/>
          <w:szCs w:val="24"/>
        </w:rPr>
        <w:t>Cílem kontrolní akce</w:t>
      </w:r>
      <w:r w:rsidRPr="00020089">
        <w:rPr>
          <w:rFonts w:cstheme="minorHAnsi"/>
          <w:sz w:val="24"/>
          <w:szCs w:val="24"/>
        </w:rPr>
        <w:t xml:space="preserve"> bylo prověřit, jak Ministerstvo zemědělství řídí činnost Podpůrného a garančního rolnického a lesnického fondu, a.s., a vyhodnotit systém poskytování podpor prostřednictvím tohoto fondu včetně nastavení podpor a podmínek pro jejich čerpání. </w:t>
      </w:r>
      <w:r>
        <w:rPr>
          <w:rFonts w:cstheme="minorHAnsi"/>
          <w:sz w:val="24"/>
          <w:szCs w:val="24"/>
        </w:rPr>
        <w:t xml:space="preserve">PGRLF je akciovou společností, jejímž jediným </w:t>
      </w:r>
      <w:r w:rsidR="009643CD">
        <w:rPr>
          <w:rFonts w:cstheme="minorHAnsi"/>
          <w:sz w:val="24"/>
          <w:szCs w:val="24"/>
        </w:rPr>
        <w:t>akcionářem</w:t>
      </w:r>
      <w:r>
        <w:rPr>
          <w:rFonts w:cstheme="minorHAnsi"/>
          <w:sz w:val="24"/>
          <w:szCs w:val="24"/>
        </w:rPr>
        <w:t xml:space="preserve"> je </w:t>
      </w:r>
      <w:r w:rsidR="00D51825">
        <w:rPr>
          <w:rFonts w:cstheme="minorHAnsi"/>
          <w:sz w:val="24"/>
          <w:szCs w:val="24"/>
        </w:rPr>
        <w:t>Česká republika</w:t>
      </w:r>
      <w:r>
        <w:rPr>
          <w:rFonts w:cstheme="minorHAnsi"/>
          <w:sz w:val="24"/>
          <w:szCs w:val="24"/>
        </w:rPr>
        <w:t>.</w:t>
      </w:r>
    </w:p>
    <w:p w14:paraId="4C5CE4DA" w14:textId="77777777" w:rsidR="00BF20BE" w:rsidRPr="00AD6E68" w:rsidRDefault="00BF20BE" w:rsidP="00995903">
      <w:pPr>
        <w:pStyle w:val="Odstavecseseznamem"/>
        <w:numPr>
          <w:ilvl w:val="1"/>
          <w:numId w:val="28"/>
        </w:numPr>
        <w:tabs>
          <w:tab w:val="left" w:pos="426"/>
        </w:tabs>
        <w:spacing w:after="240" w:line="280" w:lineRule="atLeast"/>
        <w:ind w:left="0" w:firstLine="0"/>
        <w:contextualSpacing w:val="0"/>
        <w:jc w:val="both"/>
        <w:rPr>
          <w:rFonts w:cstheme="minorHAnsi"/>
          <w:sz w:val="24"/>
          <w:szCs w:val="24"/>
        </w:rPr>
      </w:pPr>
      <w:r w:rsidRPr="00020089">
        <w:rPr>
          <w:rFonts w:cstheme="minorHAnsi"/>
          <w:sz w:val="24"/>
          <w:szCs w:val="24"/>
        </w:rPr>
        <w:t>Kontrola byla prov</w:t>
      </w:r>
      <w:r w:rsidRPr="004C5782">
        <w:rPr>
          <w:rFonts w:cstheme="minorHAnsi"/>
          <w:sz w:val="24"/>
          <w:szCs w:val="24"/>
        </w:rPr>
        <w:t xml:space="preserve">edena u </w:t>
      </w:r>
      <w:proofErr w:type="spellStart"/>
      <w:proofErr w:type="gramStart"/>
      <w:r w:rsidRPr="004C5782">
        <w:rPr>
          <w:rFonts w:cstheme="minorHAnsi"/>
          <w:sz w:val="24"/>
          <w:szCs w:val="24"/>
        </w:rPr>
        <w:t>MZe</w:t>
      </w:r>
      <w:proofErr w:type="spellEnd"/>
      <w:proofErr w:type="gramEnd"/>
      <w:r w:rsidRPr="00020089">
        <w:rPr>
          <w:rFonts w:cstheme="minorHAnsi"/>
          <w:sz w:val="24"/>
          <w:szCs w:val="24"/>
        </w:rPr>
        <w:t>, které</w:t>
      </w:r>
      <w:r>
        <w:rPr>
          <w:rFonts w:cstheme="minorHAnsi"/>
          <w:sz w:val="24"/>
          <w:szCs w:val="24"/>
        </w:rPr>
        <w:t xml:space="preserve"> vykonává jménem státu akcionářská práva a je zároveň poskytovatelem dotací PGRLF, které jsou rozhoduj</w:t>
      </w:r>
      <w:r w:rsidR="00CD18F7">
        <w:rPr>
          <w:rFonts w:cstheme="minorHAnsi"/>
          <w:sz w:val="24"/>
          <w:szCs w:val="24"/>
        </w:rPr>
        <w:t>ícím zdrojem podpor. Dále pak u </w:t>
      </w:r>
      <w:r>
        <w:rPr>
          <w:rFonts w:cstheme="minorHAnsi"/>
          <w:sz w:val="24"/>
          <w:szCs w:val="24"/>
        </w:rPr>
        <w:t xml:space="preserve">PGRLF, který uzavírá s příjemci podpory smluvní vztahy a podpory </w:t>
      </w:r>
      <w:r w:rsidR="00D51825">
        <w:rPr>
          <w:rFonts w:cstheme="minorHAnsi"/>
          <w:sz w:val="24"/>
          <w:szCs w:val="24"/>
        </w:rPr>
        <w:t xml:space="preserve">jim </w:t>
      </w:r>
      <w:r>
        <w:rPr>
          <w:rFonts w:cstheme="minorHAnsi"/>
          <w:sz w:val="24"/>
          <w:szCs w:val="24"/>
        </w:rPr>
        <w:t xml:space="preserve">vyplácí. </w:t>
      </w:r>
      <w:r w:rsidRPr="00020089">
        <w:rPr>
          <w:rFonts w:cstheme="minorHAnsi"/>
          <w:sz w:val="24"/>
          <w:szCs w:val="24"/>
        </w:rPr>
        <w:t xml:space="preserve">Kontrolovaným obdobím byly roky 2014 až 2018, v případě věcných souvislostí i období předcházející a následující. </w:t>
      </w:r>
      <w:r>
        <w:rPr>
          <w:rFonts w:cstheme="minorHAnsi"/>
          <w:sz w:val="24"/>
          <w:szCs w:val="24"/>
        </w:rPr>
        <w:t xml:space="preserve">Za toto období poskytl PGRLF na podporách příjemcům </w:t>
      </w:r>
      <w:r w:rsidRPr="00911606">
        <w:rPr>
          <w:rFonts w:cstheme="minorHAnsi"/>
          <w:sz w:val="24"/>
          <w:szCs w:val="24"/>
        </w:rPr>
        <w:t xml:space="preserve">celkem </w:t>
      </w:r>
      <w:r w:rsidR="007E36A1" w:rsidRPr="00911606">
        <w:rPr>
          <w:rFonts w:cstheme="minorHAnsi"/>
          <w:sz w:val="24"/>
          <w:szCs w:val="24"/>
        </w:rPr>
        <w:t>6,2</w:t>
      </w:r>
      <w:r w:rsidR="006D2DC7">
        <w:rPr>
          <w:rFonts w:cstheme="minorHAnsi"/>
          <w:sz w:val="24"/>
          <w:szCs w:val="24"/>
        </w:rPr>
        <w:t> </w:t>
      </w:r>
      <w:r>
        <w:rPr>
          <w:rFonts w:cstheme="minorHAnsi"/>
          <w:sz w:val="24"/>
          <w:szCs w:val="24"/>
        </w:rPr>
        <w:t>mld. Kč, a to ve formě nenávratných a návratných</w:t>
      </w:r>
      <w:r w:rsidR="009643CD">
        <w:rPr>
          <w:rFonts w:cstheme="minorHAnsi"/>
          <w:sz w:val="24"/>
          <w:szCs w:val="24"/>
        </w:rPr>
        <w:t xml:space="preserve"> podpor</w:t>
      </w:r>
      <w:r>
        <w:rPr>
          <w:rFonts w:cstheme="minorHAnsi"/>
          <w:sz w:val="24"/>
          <w:szCs w:val="24"/>
        </w:rPr>
        <w:t xml:space="preserve"> </w:t>
      </w:r>
      <w:r w:rsidR="009643CD">
        <w:rPr>
          <w:rFonts w:cstheme="minorHAnsi"/>
          <w:sz w:val="24"/>
          <w:szCs w:val="24"/>
        </w:rPr>
        <w:t>(</w:t>
      </w:r>
      <w:r>
        <w:rPr>
          <w:rFonts w:cstheme="minorHAnsi"/>
          <w:sz w:val="24"/>
          <w:szCs w:val="24"/>
        </w:rPr>
        <w:t>úvěrů</w:t>
      </w:r>
      <w:r w:rsidR="009643CD" w:rsidRPr="00AD6E68">
        <w:rPr>
          <w:rFonts w:cstheme="minorHAnsi"/>
          <w:sz w:val="24"/>
          <w:szCs w:val="24"/>
        </w:rPr>
        <w:t>)</w:t>
      </w:r>
      <w:r w:rsidRPr="00AD6E68">
        <w:rPr>
          <w:rFonts w:cstheme="minorHAnsi"/>
          <w:sz w:val="24"/>
          <w:szCs w:val="24"/>
        </w:rPr>
        <w:t>.</w:t>
      </w:r>
    </w:p>
    <w:p w14:paraId="22C44DF2" w14:textId="3B4305C1" w:rsidR="00BF20BE" w:rsidRPr="00AD6E68" w:rsidRDefault="00BF20BE" w:rsidP="00995903">
      <w:pPr>
        <w:pStyle w:val="Odstavecseseznamem"/>
        <w:numPr>
          <w:ilvl w:val="1"/>
          <w:numId w:val="28"/>
        </w:numPr>
        <w:tabs>
          <w:tab w:val="left" w:pos="426"/>
        </w:tabs>
        <w:spacing w:after="0" w:line="240" w:lineRule="auto"/>
        <w:ind w:left="0" w:firstLine="0"/>
        <w:contextualSpacing w:val="0"/>
        <w:jc w:val="both"/>
        <w:rPr>
          <w:rFonts w:cstheme="minorHAnsi"/>
          <w:b/>
          <w:sz w:val="24"/>
          <w:szCs w:val="24"/>
        </w:rPr>
      </w:pPr>
      <w:r w:rsidRPr="00AD6E68">
        <w:rPr>
          <w:rFonts w:cstheme="minorHAnsi"/>
          <w:b/>
          <w:sz w:val="24"/>
          <w:szCs w:val="24"/>
        </w:rPr>
        <w:t xml:space="preserve">NKÚ kontrolou </w:t>
      </w:r>
      <w:r w:rsidR="00F5485A" w:rsidRPr="00AD6E68">
        <w:rPr>
          <w:rFonts w:cstheme="minorHAnsi"/>
          <w:b/>
          <w:sz w:val="24"/>
          <w:szCs w:val="24"/>
        </w:rPr>
        <w:t xml:space="preserve">u </w:t>
      </w:r>
      <w:proofErr w:type="spellStart"/>
      <w:proofErr w:type="gramStart"/>
      <w:r w:rsidR="00F5485A" w:rsidRPr="00AD6E68">
        <w:rPr>
          <w:rFonts w:cstheme="minorHAnsi"/>
          <w:b/>
          <w:sz w:val="24"/>
          <w:szCs w:val="24"/>
        </w:rPr>
        <w:t>MZe</w:t>
      </w:r>
      <w:proofErr w:type="spellEnd"/>
      <w:proofErr w:type="gramEnd"/>
      <w:r w:rsidR="00F5485A" w:rsidRPr="00AD6E68">
        <w:rPr>
          <w:rFonts w:cstheme="minorHAnsi"/>
          <w:b/>
          <w:sz w:val="24"/>
          <w:szCs w:val="24"/>
        </w:rPr>
        <w:t xml:space="preserve"> </w:t>
      </w:r>
      <w:r w:rsidRPr="00AD6E68">
        <w:rPr>
          <w:rFonts w:cstheme="minorHAnsi"/>
          <w:b/>
          <w:sz w:val="24"/>
          <w:szCs w:val="24"/>
        </w:rPr>
        <w:t>zjistil</w:t>
      </w:r>
      <w:r w:rsidR="00F5485A" w:rsidRPr="00AD6E68">
        <w:rPr>
          <w:rFonts w:cstheme="minorHAnsi"/>
          <w:b/>
          <w:sz w:val="24"/>
          <w:szCs w:val="24"/>
        </w:rPr>
        <w:t xml:space="preserve"> nedostatky ve strategickém</w:t>
      </w:r>
      <w:r w:rsidR="00995903" w:rsidRPr="00AD6E68">
        <w:rPr>
          <w:rFonts w:cstheme="minorHAnsi"/>
          <w:b/>
          <w:sz w:val="24"/>
          <w:szCs w:val="24"/>
        </w:rPr>
        <w:t xml:space="preserve"> </w:t>
      </w:r>
      <w:r w:rsidR="00F5485A" w:rsidRPr="00AD6E68">
        <w:rPr>
          <w:rFonts w:cstheme="minorHAnsi"/>
          <w:b/>
          <w:sz w:val="24"/>
          <w:szCs w:val="24"/>
        </w:rPr>
        <w:t>řízení</w:t>
      </w:r>
      <w:r w:rsidR="00996737" w:rsidRPr="00AD6E68">
        <w:rPr>
          <w:rFonts w:cstheme="minorHAnsi"/>
          <w:b/>
          <w:sz w:val="24"/>
          <w:szCs w:val="24"/>
        </w:rPr>
        <w:t xml:space="preserve"> činnosti PGRLF. </w:t>
      </w:r>
      <w:proofErr w:type="spellStart"/>
      <w:r w:rsidRPr="00AD6E68">
        <w:rPr>
          <w:rFonts w:cstheme="minorHAnsi"/>
          <w:b/>
          <w:sz w:val="24"/>
          <w:szCs w:val="24"/>
        </w:rPr>
        <w:t>MZe</w:t>
      </w:r>
      <w:proofErr w:type="spellEnd"/>
      <w:r w:rsidRPr="00AD6E68">
        <w:rPr>
          <w:rFonts w:cstheme="minorHAnsi"/>
          <w:b/>
          <w:sz w:val="24"/>
          <w:szCs w:val="24"/>
        </w:rPr>
        <w:t xml:space="preserve"> u</w:t>
      </w:r>
      <w:r w:rsidR="00AD6E68">
        <w:rPr>
          <w:rFonts w:cstheme="minorHAnsi"/>
          <w:b/>
          <w:sz w:val="24"/>
          <w:szCs w:val="24"/>
        </w:rPr>
        <w:t> </w:t>
      </w:r>
      <w:r w:rsidRPr="00AD6E68">
        <w:rPr>
          <w:rFonts w:cstheme="minorHAnsi"/>
          <w:b/>
          <w:sz w:val="24"/>
          <w:szCs w:val="24"/>
        </w:rPr>
        <w:t>programů podpor realizovaných prostřednictvím PGRLF nestanovilo vhodné ukazatele k</w:t>
      </w:r>
      <w:r w:rsidR="004C63A7" w:rsidRPr="00AD6E68">
        <w:rPr>
          <w:rFonts w:cstheme="minorHAnsi"/>
          <w:b/>
          <w:sz w:val="24"/>
          <w:szCs w:val="24"/>
        </w:rPr>
        <w:t>e sledování</w:t>
      </w:r>
      <w:r w:rsidR="00AD6E68">
        <w:rPr>
          <w:rFonts w:cstheme="minorHAnsi"/>
          <w:b/>
          <w:sz w:val="24"/>
          <w:szCs w:val="24"/>
        </w:rPr>
        <w:t xml:space="preserve"> </w:t>
      </w:r>
      <w:r w:rsidRPr="00AD6E68">
        <w:rPr>
          <w:rFonts w:cstheme="minorHAnsi"/>
          <w:b/>
          <w:sz w:val="24"/>
          <w:szCs w:val="24"/>
        </w:rPr>
        <w:t>naplnění cílů programů, ani jejich očekávané cílové hodnoty</w:t>
      </w:r>
      <w:r w:rsidR="00D51825" w:rsidRPr="00AD6E68">
        <w:rPr>
          <w:rFonts w:cstheme="minorHAnsi"/>
          <w:b/>
          <w:sz w:val="24"/>
          <w:szCs w:val="24"/>
        </w:rPr>
        <w:t xml:space="preserve">. </w:t>
      </w:r>
      <w:proofErr w:type="spellStart"/>
      <w:r w:rsidR="00D51825" w:rsidRPr="00AD6E68">
        <w:rPr>
          <w:rFonts w:cstheme="minorHAnsi"/>
          <w:b/>
          <w:sz w:val="24"/>
          <w:szCs w:val="24"/>
        </w:rPr>
        <w:t>MZe</w:t>
      </w:r>
      <w:proofErr w:type="spellEnd"/>
      <w:r w:rsidR="00D51825" w:rsidRPr="00AD6E68">
        <w:rPr>
          <w:rFonts w:cstheme="minorHAnsi"/>
          <w:b/>
          <w:sz w:val="24"/>
          <w:szCs w:val="24"/>
        </w:rPr>
        <w:t xml:space="preserve"> tak</w:t>
      </w:r>
      <w:r w:rsidR="005F078C" w:rsidRPr="00AD6E68">
        <w:rPr>
          <w:rFonts w:cstheme="minorHAnsi"/>
          <w:b/>
          <w:sz w:val="24"/>
          <w:szCs w:val="24"/>
        </w:rPr>
        <w:t xml:space="preserve"> nemůže</w:t>
      </w:r>
      <w:r w:rsidRPr="00AD6E68">
        <w:rPr>
          <w:rFonts w:cstheme="minorHAnsi"/>
          <w:b/>
          <w:sz w:val="24"/>
          <w:szCs w:val="24"/>
        </w:rPr>
        <w:t xml:space="preserve"> vyhodnotit, jak </w:t>
      </w:r>
      <w:r w:rsidR="00D51825" w:rsidRPr="00AD6E68">
        <w:rPr>
          <w:rFonts w:cstheme="minorHAnsi"/>
          <w:b/>
          <w:sz w:val="24"/>
          <w:szCs w:val="24"/>
        </w:rPr>
        <w:t xml:space="preserve">jednotlivé programy podpor </w:t>
      </w:r>
      <w:r w:rsidRPr="00AD6E68">
        <w:rPr>
          <w:rFonts w:cstheme="minorHAnsi"/>
          <w:b/>
          <w:sz w:val="24"/>
          <w:szCs w:val="24"/>
        </w:rPr>
        <w:t>přispívají k rozvoji daného sektoru</w:t>
      </w:r>
      <w:r w:rsidR="00F62055" w:rsidRPr="00AD6E68">
        <w:rPr>
          <w:rFonts w:cstheme="minorHAnsi"/>
          <w:b/>
          <w:sz w:val="24"/>
          <w:szCs w:val="24"/>
        </w:rPr>
        <w:t>,</w:t>
      </w:r>
      <w:r w:rsidRPr="00AD6E68">
        <w:rPr>
          <w:rFonts w:cstheme="minorHAnsi"/>
          <w:b/>
          <w:sz w:val="24"/>
          <w:szCs w:val="24"/>
        </w:rPr>
        <w:t xml:space="preserve"> </w:t>
      </w:r>
      <w:r w:rsidR="00F62055" w:rsidRPr="00AD6E68">
        <w:rPr>
          <w:rFonts w:cstheme="minorHAnsi"/>
          <w:b/>
          <w:sz w:val="24"/>
          <w:szCs w:val="24"/>
        </w:rPr>
        <w:t>což</w:t>
      </w:r>
      <w:r w:rsidRPr="00AD6E68">
        <w:rPr>
          <w:rFonts w:cstheme="minorHAnsi"/>
          <w:b/>
          <w:sz w:val="24"/>
          <w:szCs w:val="24"/>
        </w:rPr>
        <w:t xml:space="preserve"> je rizikem pro účelnost vynakládaných prostředků státního rozpočtu. </w:t>
      </w:r>
      <w:r w:rsidR="004C63A7" w:rsidRPr="00AD6E68" w:rsidDel="00A567D0">
        <w:rPr>
          <w:rFonts w:cstheme="minorHAnsi"/>
          <w:b/>
          <w:sz w:val="24"/>
          <w:szCs w:val="24"/>
        </w:rPr>
        <w:t xml:space="preserve">Poskytování dotace ze strany </w:t>
      </w:r>
      <w:proofErr w:type="spellStart"/>
      <w:r w:rsidR="004C63A7" w:rsidRPr="00AD6E68" w:rsidDel="00A567D0">
        <w:rPr>
          <w:rFonts w:cstheme="minorHAnsi"/>
          <w:b/>
          <w:sz w:val="24"/>
          <w:szCs w:val="24"/>
        </w:rPr>
        <w:t>MZe</w:t>
      </w:r>
      <w:proofErr w:type="spellEnd"/>
      <w:r w:rsidR="004C63A7" w:rsidRPr="00AD6E68" w:rsidDel="00A567D0">
        <w:rPr>
          <w:rFonts w:cstheme="minorHAnsi"/>
          <w:b/>
          <w:sz w:val="24"/>
          <w:szCs w:val="24"/>
        </w:rPr>
        <w:t xml:space="preserve"> probíhalo v souladu s příslušnými zákony. </w:t>
      </w:r>
      <w:proofErr w:type="spellStart"/>
      <w:r w:rsidRPr="00AD6E68">
        <w:rPr>
          <w:rFonts w:cstheme="minorHAnsi"/>
          <w:b/>
          <w:sz w:val="24"/>
          <w:szCs w:val="24"/>
        </w:rPr>
        <w:t>M</w:t>
      </w:r>
      <w:r w:rsidR="00D51825" w:rsidRPr="00AD6E68">
        <w:rPr>
          <w:rFonts w:cstheme="minorHAnsi"/>
          <w:b/>
          <w:sz w:val="24"/>
          <w:szCs w:val="24"/>
        </w:rPr>
        <w:t>Ze</w:t>
      </w:r>
      <w:proofErr w:type="spellEnd"/>
      <w:r w:rsidRPr="00AD6E68">
        <w:rPr>
          <w:rFonts w:cstheme="minorHAnsi"/>
          <w:b/>
          <w:sz w:val="24"/>
          <w:szCs w:val="24"/>
        </w:rPr>
        <w:t xml:space="preserve"> schvalovalo</w:t>
      </w:r>
      <w:r w:rsidR="00E53463" w:rsidRPr="00AD6E68">
        <w:rPr>
          <w:rFonts w:cstheme="minorHAnsi"/>
          <w:b/>
          <w:sz w:val="24"/>
          <w:szCs w:val="24"/>
        </w:rPr>
        <w:t xml:space="preserve"> z pozice jediného akcionáře</w:t>
      </w:r>
      <w:r w:rsidRPr="00AD6E68">
        <w:rPr>
          <w:rFonts w:cstheme="minorHAnsi"/>
          <w:b/>
          <w:sz w:val="24"/>
          <w:szCs w:val="24"/>
        </w:rPr>
        <w:t xml:space="preserve"> s velkým zpožděním některé významné dokumenty důležité pro</w:t>
      </w:r>
      <w:r w:rsidR="007A5CF8" w:rsidRPr="00AD6E68">
        <w:rPr>
          <w:rFonts w:cstheme="minorHAnsi"/>
          <w:b/>
          <w:sz w:val="24"/>
          <w:szCs w:val="24"/>
        </w:rPr>
        <w:t xml:space="preserve"> řízení</w:t>
      </w:r>
      <w:r w:rsidRPr="00AD6E68">
        <w:rPr>
          <w:rFonts w:cstheme="minorHAnsi"/>
          <w:b/>
          <w:sz w:val="24"/>
          <w:szCs w:val="24"/>
        </w:rPr>
        <w:t xml:space="preserve"> PGRLF.</w:t>
      </w:r>
      <w:r w:rsidR="00E943C0" w:rsidRPr="00AD6E68">
        <w:rPr>
          <w:rFonts w:cstheme="minorHAnsi"/>
          <w:b/>
          <w:sz w:val="24"/>
          <w:szCs w:val="24"/>
        </w:rPr>
        <w:t xml:space="preserve"> </w:t>
      </w:r>
      <w:r w:rsidRPr="00AD6E68">
        <w:rPr>
          <w:rFonts w:cstheme="minorHAnsi"/>
          <w:b/>
          <w:sz w:val="24"/>
          <w:szCs w:val="24"/>
        </w:rPr>
        <w:t>NKÚ je dále názoru, že právní forma PGRLF jako</w:t>
      </w:r>
      <w:r w:rsidR="00F62055" w:rsidRPr="00AD6E68">
        <w:rPr>
          <w:rFonts w:cstheme="minorHAnsi"/>
          <w:b/>
          <w:sz w:val="24"/>
          <w:szCs w:val="24"/>
        </w:rPr>
        <w:t xml:space="preserve"> akciové společnosti</w:t>
      </w:r>
      <w:r w:rsidR="00D4391A" w:rsidRPr="00AD6E68">
        <w:rPr>
          <w:rFonts w:cstheme="minorHAnsi"/>
          <w:b/>
          <w:sz w:val="24"/>
          <w:szCs w:val="24"/>
        </w:rPr>
        <w:t xml:space="preserve"> neodpovíd</w:t>
      </w:r>
      <w:r w:rsidR="003A3940" w:rsidRPr="00AD6E68">
        <w:rPr>
          <w:rFonts w:cstheme="minorHAnsi"/>
          <w:b/>
          <w:sz w:val="24"/>
          <w:szCs w:val="24"/>
        </w:rPr>
        <w:t>á</w:t>
      </w:r>
      <w:r w:rsidR="00C3138C" w:rsidRPr="00AD6E68">
        <w:rPr>
          <w:rFonts w:cstheme="minorHAnsi"/>
          <w:b/>
          <w:sz w:val="24"/>
          <w:szCs w:val="24"/>
        </w:rPr>
        <w:t xml:space="preserve"> obecným principům</w:t>
      </w:r>
      <w:r w:rsidR="002C5F19" w:rsidRPr="00AD6E68">
        <w:rPr>
          <w:rFonts w:cstheme="minorHAnsi"/>
          <w:b/>
          <w:sz w:val="24"/>
          <w:szCs w:val="24"/>
        </w:rPr>
        <w:t xml:space="preserve"> vlastnické politiky státu, a to </w:t>
      </w:r>
      <w:r w:rsidR="004C63A7" w:rsidRPr="00AD6E68">
        <w:rPr>
          <w:rFonts w:cstheme="minorHAnsi"/>
          <w:b/>
          <w:sz w:val="24"/>
          <w:szCs w:val="24"/>
        </w:rPr>
        <w:t xml:space="preserve">s ohledem </w:t>
      </w:r>
      <w:r w:rsidR="00EC61B8" w:rsidRPr="00AD6E68">
        <w:rPr>
          <w:rFonts w:cstheme="minorHAnsi"/>
          <w:b/>
          <w:sz w:val="24"/>
          <w:szCs w:val="24"/>
        </w:rPr>
        <w:t>na cíle</w:t>
      </w:r>
      <w:r w:rsidR="004C63A7" w:rsidRPr="00AD6E68">
        <w:rPr>
          <w:rFonts w:cstheme="minorHAnsi"/>
          <w:b/>
          <w:sz w:val="24"/>
          <w:szCs w:val="24"/>
        </w:rPr>
        <w:t>, které PGRLF plní</w:t>
      </w:r>
      <w:r w:rsidR="00EC61B8" w:rsidRPr="00AD6E68">
        <w:rPr>
          <w:rFonts w:cstheme="minorHAnsi"/>
          <w:b/>
          <w:sz w:val="24"/>
          <w:szCs w:val="24"/>
        </w:rPr>
        <w:t xml:space="preserve"> a pro jejichž plnění</w:t>
      </w:r>
      <w:r w:rsidR="004C63A7" w:rsidRPr="00AD6E68">
        <w:rPr>
          <w:rFonts w:cstheme="minorHAnsi"/>
          <w:b/>
          <w:sz w:val="24"/>
          <w:szCs w:val="24"/>
        </w:rPr>
        <w:t xml:space="preserve"> je zásadn</w:t>
      </w:r>
      <w:r w:rsidR="008A3E3B" w:rsidRPr="00AD6E68">
        <w:rPr>
          <w:rFonts w:cstheme="minorHAnsi"/>
          <w:b/>
          <w:sz w:val="24"/>
          <w:szCs w:val="24"/>
        </w:rPr>
        <w:t>ě finančně závislý</w:t>
      </w:r>
      <w:r w:rsidR="004C63A7" w:rsidRPr="00AD6E68">
        <w:rPr>
          <w:rFonts w:cstheme="minorHAnsi"/>
          <w:b/>
          <w:sz w:val="24"/>
          <w:szCs w:val="24"/>
        </w:rPr>
        <w:t xml:space="preserve"> na </w:t>
      </w:r>
      <w:r w:rsidR="00EC61B8" w:rsidRPr="00AD6E68">
        <w:rPr>
          <w:rFonts w:cstheme="minorHAnsi"/>
          <w:b/>
          <w:sz w:val="24"/>
          <w:szCs w:val="24"/>
        </w:rPr>
        <w:t xml:space="preserve">státu jako </w:t>
      </w:r>
      <w:r w:rsidR="004C63A7" w:rsidRPr="00AD6E68">
        <w:rPr>
          <w:rFonts w:cstheme="minorHAnsi"/>
          <w:b/>
          <w:sz w:val="24"/>
          <w:szCs w:val="24"/>
        </w:rPr>
        <w:t xml:space="preserve">svém </w:t>
      </w:r>
      <w:r w:rsidR="00423EC9" w:rsidRPr="00AD6E68">
        <w:rPr>
          <w:rFonts w:cstheme="minorHAnsi"/>
          <w:b/>
          <w:sz w:val="24"/>
          <w:szCs w:val="24"/>
        </w:rPr>
        <w:t xml:space="preserve">jediném </w:t>
      </w:r>
      <w:r w:rsidR="009643CD" w:rsidRPr="00AD6E68">
        <w:rPr>
          <w:rFonts w:cstheme="minorHAnsi"/>
          <w:b/>
          <w:sz w:val="24"/>
          <w:szCs w:val="24"/>
        </w:rPr>
        <w:t>akcionáři</w:t>
      </w:r>
      <w:r w:rsidRPr="00AD6E68">
        <w:rPr>
          <w:rFonts w:cstheme="minorHAnsi"/>
          <w:b/>
          <w:sz w:val="24"/>
          <w:szCs w:val="24"/>
        </w:rPr>
        <w:t xml:space="preserve">. </w:t>
      </w:r>
    </w:p>
    <w:p w14:paraId="0FBFECFB" w14:textId="77777777" w:rsidR="00995903" w:rsidRPr="00AD6E68" w:rsidRDefault="00995903" w:rsidP="00995903">
      <w:pPr>
        <w:spacing w:after="0" w:line="240" w:lineRule="auto"/>
        <w:jc w:val="both"/>
        <w:rPr>
          <w:rFonts w:cstheme="minorHAnsi"/>
          <w:sz w:val="24"/>
          <w:szCs w:val="24"/>
        </w:rPr>
      </w:pPr>
    </w:p>
    <w:p w14:paraId="5FEF1314" w14:textId="0EED895D" w:rsidR="00BF20BE" w:rsidRDefault="005712EF" w:rsidP="00995903">
      <w:pPr>
        <w:pStyle w:val="Odstavecseseznamem"/>
        <w:numPr>
          <w:ilvl w:val="1"/>
          <w:numId w:val="28"/>
        </w:numPr>
        <w:tabs>
          <w:tab w:val="left" w:pos="426"/>
        </w:tabs>
        <w:spacing w:after="0" w:line="240" w:lineRule="auto"/>
        <w:ind w:left="0" w:firstLine="0"/>
        <w:contextualSpacing w:val="0"/>
        <w:jc w:val="both"/>
        <w:rPr>
          <w:rFonts w:cstheme="minorHAnsi"/>
          <w:sz w:val="24"/>
          <w:szCs w:val="24"/>
        </w:rPr>
      </w:pPr>
      <w:r>
        <w:rPr>
          <w:rFonts w:cstheme="minorHAnsi"/>
          <w:sz w:val="24"/>
          <w:szCs w:val="24"/>
        </w:rPr>
        <w:t>S</w:t>
      </w:r>
      <w:r w:rsidR="00BF20BE" w:rsidRPr="000A607B">
        <w:rPr>
          <w:rFonts w:cstheme="minorHAnsi"/>
          <w:sz w:val="24"/>
          <w:szCs w:val="24"/>
        </w:rPr>
        <w:t>hrnutí a vyhodnocení vychází z těchto hlavních zjištění z kontroly</w:t>
      </w:r>
      <w:r w:rsidR="0016730C">
        <w:rPr>
          <w:rStyle w:val="Znakapoznpodarou"/>
          <w:rFonts w:cstheme="minorHAnsi"/>
          <w:sz w:val="24"/>
          <w:szCs w:val="24"/>
        </w:rPr>
        <w:footnoteReference w:id="2"/>
      </w:r>
      <w:r w:rsidR="00BF20BE" w:rsidRPr="000A607B">
        <w:rPr>
          <w:rFonts w:cstheme="minorHAnsi"/>
          <w:sz w:val="24"/>
          <w:szCs w:val="24"/>
        </w:rPr>
        <w:t>:</w:t>
      </w:r>
    </w:p>
    <w:p w14:paraId="49BB802A" w14:textId="77777777" w:rsidR="00995903" w:rsidRPr="00995903" w:rsidRDefault="00995903" w:rsidP="00995903">
      <w:pPr>
        <w:spacing w:after="0" w:line="240" w:lineRule="auto"/>
        <w:jc w:val="both"/>
        <w:rPr>
          <w:rFonts w:cstheme="minorHAnsi"/>
          <w:sz w:val="24"/>
          <w:szCs w:val="24"/>
        </w:rPr>
      </w:pPr>
    </w:p>
    <w:p w14:paraId="4FDEA2C4" w14:textId="0CBE86ED" w:rsidR="004C63A7" w:rsidRDefault="00BF20BE" w:rsidP="00995903">
      <w:pPr>
        <w:pStyle w:val="Odstavecseseznamem"/>
        <w:numPr>
          <w:ilvl w:val="0"/>
          <w:numId w:val="29"/>
        </w:numPr>
        <w:tabs>
          <w:tab w:val="left" w:pos="284"/>
        </w:tabs>
        <w:spacing w:after="0" w:line="240" w:lineRule="auto"/>
        <w:ind w:left="0" w:firstLine="0"/>
        <w:contextualSpacing w:val="0"/>
        <w:jc w:val="both"/>
        <w:rPr>
          <w:rFonts w:cstheme="minorHAnsi"/>
          <w:sz w:val="24"/>
          <w:szCs w:val="24"/>
        </w:rPr>
      </w:pPr>
      <w:proofErr w:type="spellStart"/>
      <w:r>
        <w:rPr>
          <w:rFonts w:cstheme="minorHAnsi"/>
          <w:sz w:val="24"/>
          <w:szCs w:val="24"/>
        </w:rPr>
        <w:t>MZe</w:t>
      </w:r>
      <w:proofErr w:type="spellEnd"/>
      <w:r>
        <w:rPr>
          <w:rFonts w:cstheme="minorHAnsi"/>
          <w:sz w:val="24"/>
          <w:szCs w:val="24"/>
        </w:rPr>
        <w:t xml:space="preserve"> nestanovilo vhodnou soustavu ukazatelů, na</w:t>
      </w:r>
      <w:r w:rsidR="00AD6E68">
        <w:rPr>
          <w:rFonts w:cstheme="minorHAnsi"/>
          <w:sz w:val="24"/>
          <w:szCs w:val="24"/>
        </w:rPr>
        <w:t xml:space="preserve"> jejichž</w:t>
      </w:r>
      <w:r>
        <w:rPr>
          <w:rFonts w:cstheme="minorHAnsi"/>
          <w:sz w:val="24"/>
          <w:szCs w:val="24"/>
        </w:rPr>
        <w:t xml:space="preserve"> základě by bylo možné vyhodnotit účelnost podpory poskytovan</w:t>
      </w:r>
      <w:r w:rsidR="005712EF">
        <w:rPr>
          <w:rFonts w:cstheme="minorHAnsi"/>
          <w:sz w:val="24"/>
          <w:szCs w:val="24"/>
        </w:rPr>
        <w:t>é</w:t>
      </w:r>
      <w:r>
        <w:rPr>
          <w:rFonts w:cstheme="minorHAnsi"/>
          <w:sz w:val="24"/>
          <w:szCs w:val="24"/>
        </w:rPr>
        <w:t xml:space="preserve"> prostře</w:t>
      </w:r>
      <w:r w:rsidR="00D777F5">
        <w:rPr>
          <w:rFonts w:cstheme="minorHAnsi"/>
          <w:sz w:val="24"/>
          <w:szCs w:val="24"/>
        </w:rPr>
        <w:t>dnictvím PGRLF. V koncepčních i </w:t>
      </w:r>
      <w:r>
        <w:rPr>
          <w:rFonts w:cstheme="minorHAnsi"/>
          <w:sz w:val="24"/>
          <w:szCs w:val="24"/>
        </w:rPr>
        <w:t>programových dokumentech týkajících se PGRLF jsou cíle, kterých má být podporou dosaženo, stanoveny jen velmi obecně. Nemají charakter SMART</w:t>
      </w:r>
      <w:r w:rsidR="005F69F2">
        <w:rPr>
          <w:rStyle w:val="Znakapoznpodarou"/>
          <w:rFonts w:cstheme="minorHAnsi"/>
          <w:sz w:val="24"/>
          <w:szCs w:val="24"/>
        </w:rPr>
        <w:footnoteReference w:id="3"/>
      </w:r>
      <w:r>
        <w:rPr>
          <w:rFonts w:cstheme="minorHAnsi"/>
          <w:sz w:val="24"/>
          <w:szCs w:val="24"/>
        </w:rPr>
        <w:t xml:space="preserve">, zejména nejsou specifické, měřitelné a časově vymezené. </w:t>
      </w:r>
      <w:proofErr w:type="spellStart"/>
      <w:r w:rsidR="00E53463">
        <w:rPr>
          <w:rFonts w:cstheme="minorHAnsi"/>
          <w:sz w:val="24"/>
          <w:szCs w:val="24"/>
        </w:rPr>
        <w:t>MZe</w:t>
      </w:r>
      <w:proofErr w:type="spellEnd"/>
      <w:r w:rsidR="00E53463">
        <w:rPr>
          <w:rFonts w:cstheme="minorHAnsi"/>
          <w:sz w:val="24"/>
          <w:szCs w:val="24"/>
        </w:rPr>
        <w:t xml:space="preserve"> tak j</w:t>
      </w:r>
      <w:r w:rsidRPr="004A5A8C">
        <w:rPr>
          <w:rFonts w:cstheme="minorHAnsi"/>
          <w:sz w:val="24"/>
          <w:szCs w:val="24"/>
        </w:rPr>
        <w:t>ednotlivé programy nemůže vyhodnocovat</w:t>
      </w:r>
      <w:r>
        <w:rPr>
          <w:rFonts w:cstheme="minorHAnsi"/>
          <w:sz w:val="24"/>
          <w:szCs w:val="24"/>
        </w:rPr>
        <w:t xml:space="preserve"> z hlediska jejich účelnosti</w:t>
      </w:r>
      <w:r w:rsidRPr="004A5A8C">
        <w:rPr>
          <w:rFonts w:cstheme="minorHAnsi"/>
          <w:sz w:val="24"/>
          <w:szCs w:val="24"/>
        </w:rPr>
        <w:t>, může pouze sle</w:t>
      </w:r>
      <w:r>
        <w:rPr>
          <w:rFonts w:cstheme="minorHAnsi"/>
          <w:sz w:val="24"/>
          <w:szCs w:val="24"/>
        </w:rPr>
        <w:t xml:space="preserve">dovat počet schválených žádostí, </w:t>
      </w:r>
      <w:r w:rsidRPr="004A5A8C">
        <w:rPr>
          <w:rFonts w:cstheme="minorHAnsi"/>
          <w:sz w:val="24"/>
          <w:szCs w:val="24"/>
        </w:rPr>
        <w:t xml:space="preserve">počet podpořených osob, objem vyplacených finančních </w:t>
      </w:r>
      <w:r w:rsidRPr="00C869FD">
        <w:rPr>
          <w:rFonts w:cstheme="minorHAnsi"/>
          <w:sz w:val="24"/>
          <w:szCs w:val="24"/>
        </w:rPr>
        <w:t xml:space="preserve">prostředků apod. </w:t>
      </w:r>
      <w:r w:rsidR="004C63A7">
        <w:rPr>
          <w:rFonts w:cstheme="minorHAnsi"/>
          <w:sz w:val="24"/>
          <w:szCs w:val="24"/>
        </w:rPr>
        <w:t>(viz také odst. 4.</w:t>
      </w:r>
      <w:r w:rsidR="00FC5E18">
        <w:rPr>
          <w:rFonts w:cstheme="minorHAnsi"/>
          <w:sz w:val="24"/>
          <w:szCs w:val="24"/>
        </w:rPr>
        <w:t>1</w:t>
      </w:r>
      <w:r w:rsidR="004C63A7">
        <w:rPr>
          <w:rFonts w:cstheme="minorHAnsi"/>
          <w:sz w:val="24"/>
          <w:szCs w:val="24"/>
        </w:rPr>
        <w:t xml:space="preserve"> až 4.</w:t>
      </w:r>
      <w:r w:rsidR="00A06398">
        <w:rPr>
          <w:rFonts w:cstheme="minorHAnsi"/>
          <w:sz w:val="24"/>
          <w:szCs w:val="24"/>
        </w:rPr>
        <w:t>7</w:t>
      </w:r>
      <w:r w:rsidR="004C63A7">
        <w:rPr>
          <w:rFonts w:cstheme="minorHAnsi"/>
          <w:sz w:val="24"/>
          <w:szCs w:val="24"/>
        </w:rPr>
        <w:t>).</w:t>
      </w:r>
    </w:p>
    <w:p w14:paraId="6C9D9A7E" w14:textId="77777777" w:rsidR="00995903" w:rsidRPr="00995903" w:rsidRDefault="00995903" w:rsidP="00995903">
      <w:pPr>
        <w:tabs>
          <w:tab w:val="left" w:pos="284"/>
        </w:tabs>
        <w:spacing w:after="0" w:line="240" w:lineRule="auto"/>
        <w:jc w:val="both"/>
        <w:rPr>
          <w:rFonts w:cstheme="minorHAnsi"/>
          <w:sz w:val="24"/>
          <w:szCs w:val="24"/>
        </w:rPr>
      </w:pPr>
    </w:p>
    <w:p w14:paraId="2B171B70" w14:textId="07C1AD81" w:rsidR="00BF20BE" w:rsidRDefault="007154EE" w:rsidP="00995903">
      <w:pPr>
        <w:pStyle w:val="Odstavecseseznamem"/>
        <w:numPr>
          <w:ilvl w:val="0"/>
          <w:numId w:val="29"/>
        </w:numPr>
        <w:tabs>
          <w:tab w:val="left" w:pos="284"/>
        </w:tabs>
        <w:spacing w:after="0" w:line="240" w:lineRule="auto"/>
        <w:ind w:left="0" w:firstLine="0"/>
        <w:contextualSpacing w:val="0"/>
        <w:jc w:val="both"/>
        <w:rPr>
          <w:rFonts w:cstheme="minorHAnsi"/>
          <w:sz w:val="24"/>
          <w:szCs w:val="24"/>
        </w:rPr>
      </w:pPr>
      <w:r w:rsidRPr="00C869FD">
        <w:rPr>
          <w:rFonts w:cstheme="minorHAnsi"/>
          <w:sz w:val="24"/>
          <w:szCs w:val="24"/>
        </w:rPr>
        <w:t xml:space="preserve">Proces vydávání rozhodnutí o poskytnutí dotace PGRLF byl v souladu s příslušnými zákony </w:t>
      </w:r>
      <w:r w:rsidR="00BF20BE" w:rsidRPr="00C869FD">
        <w:rPr>
          <w:rFonts w:cstheme="minorHAnsi"/>
          <w:sz w:val="24"/>
          <w:szCs w:val="24"/>
        </w:rPr>
        <w:t xml:space="preserve">(viz také odst. </w:t>
      </w:r>
      <w:r w:rsidRPr="00C869FD">
        <w:rPr>
          <w:rFonts w:cstheme="minorHAnsi"/>
          <w:sz w:val="24"/>
          <w:szCs w:val="24"/>
        </w:rPr>
        <w:t>4.</w:t>
      </w:r>
      <w:r w:rsidR="00A06398">
        <w:rPr>
          <w:rFonts w:cstheme="minorHAnsi"/>
          <w:sz w:val="24"/>
          <w:szCs w:val="24"/>
        </w:rPr>
        <w:t>8</w:t>
      </w:r>
      <w:r w:rsidRPr="00C869FD">
        <w:rPr>
          <w:rFonts w:cstheme="minorHAnsi"/>
          <w:sz w:val="24"/>
          <w:szCs w:val="24"/>
        </w:rPr>
        <w:t xml:space="preserve"> až 4.</w:t>
      </w:r>
      <w:r w:rsidR="00A06398">
        <w:rPr>
          <w:rFonts w:cstheme="minorHAnsi"/>
          <w:sz w:val="24"/>
          <w:szCs w:val="24"/>
        </w:rPr>
        <w:t>9</w:t>
      </w:r>
      <w:r w:rsidR="00BF20BE" w:rsidRPr="00C869FD">
        <w:rPr>
          <w:rFonts w:cstheme="minorHAnsi"/>
          <w:sz w:val="24"/>
          <w:szCs w:val="24"/>
        </w:rPr>
        <w:t>).</w:t>
      </w:r>
    </w:p>
    <w:p w14:paraId="2C29EAB5" w14:textId="77777777" w:rsidR="00995903" w:rsidRPr="00995903" w:rsidRDefault="00995903" w:rsidP="00995903">
      <w:pPr>
        <w:tabs>
          <w:tab w:val="left" w:pos="284"/>
        </w:tabs>
        <w:spacing w:after="0" w:line="240" w:lineRule="auto"/>
        <w:jc w:val="both"/>
        <w:rPr>
          <w:rFonts w:cstheme="minorHAnsi"/>
          <w:sz w:val="24"/>
          <w:szCs w:val="24"/>
        </w:rPr>
      </w:pPr>
    </w:p>
    <w:p w14:paraId="3084502F" w14:textId="65BEE550" w:rsidR="00BF20BE" w:rsidRDefault="00BF20BE" w:rsidP="00995903">
      <w:pPr>
        <w:pStyle w:val="Odstavecseseznamem"/>
        <w:numPr>
          <w:ilvl w:val="0"/>
          <w:numId w:val="29"/>
        </w:numPr>
        <w:tabs>
          <w:tab w:val="left" w:pos="284"/>
        </w:tabs>
        <w:spacing w:after="0" w:line="240" w:lineRule="auto"/>
        <w:ind w:left="0" w:firstLine="0"/>
        <w:contextualSpacing w:val="0"/>
        <w:jc w:val="both"/>
        <w:rPr>
          <w:rFonts w:cstheme="minorHAnsi"/>
          <w:sz w:val="24"/>
          <w:szCs w:val="24"/>
        </w:rPr>
      </w:pPr>
      <w:proofErr w:type="spellStart"/>
      <w:r>
        <w:rPr>
          <w:rFonts w:cstheme="minorHAnsi"/>
          <w:sz w:val="24"/>
          <w:szCs w:val="24"/>
        </w:rPr>
        <w:t>MZe</w:t>
      </w:r>
      <w:proofErr w:type="spellEnd"/>
      <w:r>
        <w:rPr>
          <w:rFonts w:cstheme="minorHAnsi"/>
          <w:sz w:val="24"/>
          <w:szCs w:val="24"/>
        </w:rPr>
        <w:t xml:space="preserve"> </w:t>
      </w:r>
      <w:r w:rsidR="005B1236">
        <w:rPr>
          <w:rFonts w:cstheme="minorHAnsi"/>
          <w:sz w:val="24"/>
          <w:szCs w:val="24"/>
        </w:rPr>
        <w:t xml:space="preserve">v roli jediného akcionáře </w:t>
      </w:r>
      <w:r>
        <w:rPr>
          <w:rFonts w:cstheme="minorHAnsi"/>
          <w:sz w:val="24"/>
          <w:szCs w:val="24"/>
        </w:rPr>
        <w:t>schvalovalo významné strategické dokumenty týkající se PGRLF a je</w:t>
      </w:r>
      <w:r w:rsidR="00E53463">
        <w:rPr>
          <w:rFonts w:cstheme="minorHAnsi"/>
          <w:sz w:val="24"/>
          <w:szCs w:val="24"/>
        </w:rPr>
        <w:t>ho</w:t>
      </w:r>
      <w:r>
        <w:rPr>
          <w:rFonts w:cstheme="minorHAnsi"/>
          <w:sz w:val="24"/>
          <w:szCs w:val="24"/>
        </w:rPr>
        <w:t xml:space="preserve"> </w:t>
      </w:r>
      <w:r w:rsidR="00C869FD">
        <w:rPr>
          <w:rFonts w:cstheme="minorHAnsi"/>
          <w:sz w:val="24"/>
          <w:szCs w:val="24"/>
        </w:rPr>
        <w:t>ročn</w:t>
      </w:r>
      <w:r>
        <w:rPr>
          <w:rFonts w:cstheme="minorHAnsi"/>
          <w:sz w:val="24"/>
          <w:szCs w:val="24"/>
        </w:rPr>
        <w:t xml:space="preserve">í plány často s velkým zpožděním. Tyto dokumenty jsou přitom důležité </w:t>
      </w:r>
      <w:r w:rsidR="00B542BA">
        <w:rPr>
          <w:rFonts w:cstheme="minorHAnsi"/>
          <w:sz w:val="24"/>
          <w:szCs w:val="24"/>
        </w:rPr>
        <w:t xml:space="preserve">pro </w:t>
      </w:r>
      <w:r w:rsidR="00BA6D7D">
        <w:rPr>
          <w:rFonts w:cstheme="minorHAnsi"/>
          <w:sz w:val="24"/>
          <w:szCs w:val="24"/>
        </w:rPr>
        <w:t xml:space="preserve">řízení PGRLF. </w:t>
      </w:r>
      <w:r>
        <w:rPr>
          <w:rFonts w:cstheme="minorHAnsi"/>
          <w:sz w:val="24"/>
          <w:szCs w:val="24"/>
        </w:rPr>
        <w:t xml:space="preserve">S velkým zpožděním </w:t>
      </w:r>
      <w:r w:rsidDel="00D4602F">
        <w:rPr>
          <w:rFonts w:cstheme="minorHAnsi"/>
          <w:sz w:val="24"/>
          <w:szCs w:val="24"/>
        </w:rPr>
        <w:t>také</w:t>
      </w:r>
      <w:r>
        <w:rPr>
          <w:rFonts w:cstheme="minorHAnsi"/>
          <w:sz w:val="24"/>
          <w:szCs w:val="24"/>
        </w:rPr>
        <w:t xml:space="preserve"> </w:t>
      </w:r>
      <w:proofErr w:type="spellStart"/>
      <w:r>
        <w:rPr>
          <w:rFonts w:cstheme="minorHAnsi"/>
          <w:sz w:val="24"/>
          <w:szCs w:val="24"/>
        </w:rPr>
        <w:t>MZe</w:t>
      </w:r>
      <w:proofErr w:type="spellEnd"/>
      <w:r w:rsidR="00D4602F">
        <w:rPr>
          <w:rFonts w:cstheme="minorHAnsi"/>
          <w:sz w:val="24"/>
          <w:szCs w:val="24"/>
        </w:rPr>
        <w:t xml:space="preserve"> </w:t>
      </w:r>
      <w:r>
        <w:rPr>
          <w:rFonts w:cstheme="minorHAnsi"/>
          <w:sz w:val="24"/>
          <w:szCs w:val="24"/>
        </w:rPr>
        <w:t xml:space="preserve">stanovovalo výkonové ukazatele rozhodné pro </w:t>
      </w:r>
      <w:r>
        <w:rPr>
          <w:rFonts w:cstheme="minorHAnsi"/>
          <w:sz w:val="24"/>
          <w:szCs w:val="24"/>
        </w:rPr>
        <w:lastRenderedPageBreak/>
        <w:t xml:space="preserve">stanovení výše odměn členů </w:t>
      </w:r>
      <w:r w:rsidR="0074754B">
        <w:rPr>
          <w:rFonts w:cstheme="minorHAnsi"/>
          <w:sz w:val="24"/>
          <w:szCs w:val="24"/>
        </w:rPr>
        <w:t>představenstva</w:t>
      </w:r>
      <w:r>
        <w:rPr>
          <w:rFonts w:cstheme="minorHAnsi"/>
          <w:sz w:val="24"/>
          <w:szCs w:val="24"/>
        </w:rPr>
        <w:t xml:space="preserve"> PGRLF ve většině roků kontrolovaného období</w:t>
      </w:r>
      <w:r w:rsidR="008E36F9">
        <w:rPr>
          <w:rFonts w:cstheme="minorHAnsi"/>
          <w:sz w:val="24"/>
          <w:szCs w:val="24"/>
        </w:rPr>
        <w:t>.</w:t>
      </w:r>
      <w:r>
        <w:rPr>
          <w:rFonts w:cstheme="minorHAnsi"/>
          <w:sz w:val="24"/>
          <w:szCs w:val="24"/>
        </w:rPr>
        <w:t xml:space="preserve"> </w:t>
      </w:r>
      <w:r w:rsidR="00A749BD">
        <w:rPr>
          <w:rFonts w:cstheme="minorHAnsi"/>
          <w:sz w:val="24"/>
          <w:szCs w:val="24"/>
        </w:rPr>
        <w:t>Docházelo tak k porušování harmonogramů</w:t>
      </w:r>
      <w:r w:rsidR="00B3481B">
        <w:rPr>
          <w:rFonts w:cstheme="minorHAnsi"/>
          <w:sz w:val="24"/>
          <w:szCs w:val="24"/>
        </w:rPr>
        <w:t xml:space="preserve"> stanovených </w:t>
      </w:r>
      <w:r w:rsidR="008E36F9">
        <w:rPr>
          <w:rFonts w:cstheme="minorHAnsi"/>
          <w:sz w:val="24"/>
          <w:szCs w:val="24"/>
        </w:rPr>
        <w:t>m</w:t>
      </w:r>
      <w:r w:rsidR="00B3481B">
        <w:rPr>
          <w:rFonts w:cstheme="minorHAnsi"/>
          <w:sz w:val="24"/>
          <w:szCs w:val="24"/>
        </w:rPr>
        <w:t>inistrem</w:t>
      </w:r>
      <w:r w:rsidR="00A749BD">
        <w:rPr>
          <w:rFonts w:cstheme="minorHAnsi"/>
          <w:sz w:val="24"/>
          <w:szCs w:val="24"/>
        </w:rPr>
        <w:t xml:space="preserve"> zemědělství </w:t>
      </w:r>
      <w:r w:rsidR="00B3481B">
        <w:rPr>
          <w:rFonts w:cstheme="minorHAnsi"/>
          <w:sz w:val="24"/>
          <w:szCs w:val="24"/>
        </w:rPr>
        <w:t>(viz také odst. 4</w:t>
      </w:r>
      <w:r w:rsidR="00B3481B" w:rsidRPr="00C869FD">
        <w:rPr>
          <w:rFonts w:cstheme="minorHAnsi"/>
          <w:sz w:val="24"/>
          <w:szCs w:val="24"/>
        </w:rPr>
        <w:t>.</w:t>
      </w:r>
      <w:r w:rsidR="003E7D05">
        <w:rPr>
          <w:rFonts w:cstheme="minorHAnsi"/>
          <w:sz w:val="24"/>
          <w:szCs w:val="24"/>
        </w:rPr>
        <w:t>1</w:t>
      </w:r>
      <w:r w:rsidR="00A06398">
        <w:rPr>
          <w:rFonts w:cstheme="minorHAnsi"/>
          <w:sz w:val="24"/>
          <w:szCs w:val="24"/>
        </w:rPr>
        <w:t>0</w:t>
      </w:r>
      <w:r w:rsidR="00B3481B" w:rsidRPr="00C869FD">
        <w:rPr>
          <w:rFonts w:cstheme="minorHAnsi"/>
          <w:sz w:val="24"/>
          <w:szCs w:val="24"/>
        </w:rPr>
        <w:t xml:space="preserve"> až 4.1</w:t>
      </w:r>
      <w:r w:rsidR="00A06398">
        <w:rPr>
          <w:rFonts w:cstheme="minorHAnsi"/>
          <w:sz w:val="24"/>
          <w:szCs w:val="24"/>
        </w:rPr>
        <w:t>3</w:t>
      </w:r>
      <w:r w:rsidR="00B3481B">
        <w:rPr>
          <w:rFonts w:cstheme="minorHAnsi"/>
          <w:sz w:val="24"/>
          <w:szCs w:val="24"/>
        </w:rPr>
        <w:t>)</w:t>
      </w:r>
      <w:r w:rsidR="00A0271E">
        <w:rPr>
          <w:rFonts w:cstheme="minorHAnsi"/>
          <w:sz w:val="24"/>
          <w:szCs w:val="24"/>
        </w:rPr>
        <w:t>.</w:t>
      </w:r>
      <w:r w:rsidR="00A749BD">
        <w:rPr>
          <w:rFonts w:cstheme="minorHAnsi"/>
          <w:sz w:val="24"/>
          <w:szCs w:val="24"/>
        </w:rPr>
        <w:t xml:space="preserve"> </w:t>
      </w:r>
    </w:p>
    <w:p w14:paraId="278F8814" w14:textId="77777777" w:rsidR="00995903" w:rsidRPr="00995903" w:rsidRDefault="00995903" w:rsidP="00995903">
      <w:pPr>
        <w:tabs>
          <w:tab w:val="left" w:pos="284"/>
        </w:tabs>
        <w:spacing w:after="0" w:line="240" w:lineRule="auto"/>
        <w:jc w:val="both"/>
        <w:rPr>
          <w:rFonts w:cstheme="minorHAnsi"/>
          <w:sz w:val="24"/>
          <w:szCs w:val="24"/>
        </w:rPr>
      </w:pPr>
    </w:p>
    <w:p w14:paraId="5F04F343" w14:textId="54A34446" w:rsidR="00BF20BE" w:rsidRDefault="00BF20BE" w:rsidP="00995903">
      <w:pPr>
        <w:pStyle w:val="Odstavecseseznamem"/>
        <w:numPr>
          <w:ilvl w:val="0"/>
          <w:numId w:val="29"/>
        </w:numPr>
        <w:tabs>
          <w:tab w:val="left" w:pos="284"/>
        </w:tabs>
        <w:spacing w:after="0" w:line="240" w:lineRule="auto"/>
        <w:ind w:left="0" w:firstLine="0"/>
        <w:contextualSpacing w:val="0"/>
        <w:jc w:val="both"/>
        <w:rPr>
          <w:rFonts w:cstheme="minorHAnsi"/>
          <w:sz w:val="24"/>
          <w:szCs w:val="24"/>
        </w:rPr>
      </w:pPr>
      <w:r>
        <w:rPr>
          <w:rFonts w:cstheme="minorHAnsi"/>
          <w:sz w:val="24"/>
          <w:szCs w:val="24"/>
        </w:rPr>
        <w:t xml:space="preserve">Právní forma PGRLF jako akciové společnosti vzhledem ke zcela převažujícímu charakteru jeho činnosti dle názoru NKÚ neodpovídá </w:t>
      </w:r>
      <w:r w:rsidR="005E4B6F">
        <w:rPr>
          <w:rFonts w:cstheme="minorHAnsi"/>
          <w:sz w:val="24"/>
          <w:szCs w:val="24"/>
        </w:rPr>
        <w:t>obecným principům</w:t>
      </w:r>
      <w:r w:rsidR="00D51825">
        <w:rPr>
          <w:rFonts w:cstheme="minorHAnsi"/>
          <w:sz w:val="24"/>
          <w:szCs w:val="24"/>
        </w:rPr>
        <w:t xml:space="preserve"> </w:t>
      </w:r>
      <w:r w:rsidR="0018664A">
        <w:rPr>
          <w:rFonts w:cstheme="minorHAnsi"/>
          <w:sz w:val="24"/>
          <w:szCs w:val="24"/>
        </w:rPr>
        <w:t xml:space="preserve">navrženým Ministerstvem financí a schváleným vládou ve </w:t>
      </w:r>
      <w:r w:rsidRPr="00AF0220">
        <w:rPr>
          <w:rFonts w:cstheme="minorHAnsi"/>
          <w:i/>
          <w:sz w:val="24"/>
          <w:szCs w:val="24"/>
        </w:rPr>
        <w:t>Strategi</w:t>
      </w:r>
      <w:r w:rsidR="0018664A" w:rsidRPr="00AF0220">
        <w:rPr>
          <w:rFonts w:cstheme="minorHAnsi"/>
          <w:i/>
          <w:sz w:val="24"/>
          <w:szCs w:val="24"/>
        </w:rPr>
        <w:t>i</w:t>
      </w:r>
      <w:r w:rsidR="000D3999" w:rsidRPr="00AF0220">
        <w:rPr>
          <w:rFonts w:cstheme="minorHAnsi"/>
          <w:i/>
          <w:sz w:val="24"/>
          <w:szCs w:val="24"/>
        </w:rPr>
        <w:t xml:space="preserve"> vlastnické politiky státu</w:t>
      </w:r>
      <w:r w:rsidR="0018664A">
        <w:rPr>
          <w:rFonts w:cstheme="minorHAnsi"/>
          <w:sz w:val="24"/>
          <w:szCs w:val="24"/>
        </w:rPr>
        <w:t>.</w:t>
      </w:r>
      <w:r w:rsidR="009A261F">
        <w:rPr>
          <w:rFonts w:cstheme="minorHAnsi"/>
          <w:sz w:val="24"/>
          <w:szCs w:val="24"/>
        </w:rPr>
        <w:t xml:space="preserve"> </w:t>
      </w:r>
      <w:r>
        <w:rPr>
          <w:rFonts w:cstheme="minorHAnsi"/>
          <w:sz w:val="24"/>
          <w:szCs w:val="24"/>
        </w:rPr>
        <w:t>PGRLF je typicky společnost provádějící</w:t>
      </w:r>
      <w:r w:rsidR="005E4B6F">
        <w:rPr>
          <w:rFonts w:cstheme="minorHAnsi"/>
          <w:sz w:val="24"/>
          <w:szCs w:val="24"/>
        </w:rPr>
        <w:t xml:space="preserve"> podporu určitého segmentu hospodářské politiky</w:t>
      </w:r>
      <w:r>
        <w:rPr>
          <w:rFonts w:cstheme="minorHAnsi"/>
          <w:sz w:val="24"/>
          <w:szCs w:val="24"/>
        </w:rPr>
        <w:t xml:space="preserve">. </w:t>
      </w:r>
      <w:r w:rsidR="005E4B6F">
        <w:rPr>
          <w:rFonts w:cstheme="minorHAnsi"/>
          <w:sz w:val="24"/>
          <w:szCs w:val="24"/>
        </w:rPr>
        <w:t>Základním zdrojem pro plnění těchto úkolů jsou dotace</w:t>
      </w:r>
      <w:r>
        <w:rPr>
          <w:rFonts w:cstheme="minorHAnsi"/>
          <w:sz w:val="24"/>
          <w:szCs w:val="24"/>
        </w:rPr>
        <w:t xml:space="preserve"> ze státn</w:t>
      </w:r>
      <w:r w:rsidR="00015B48">
        <w:rPr>
          <w:rFonts w:cstheme="minorHAnsi"/>
          <w:sz w:val="24"/>
          <w:szCs w:val="24"/>
        </w:rPr>
        <w:t>ího rozpočtu, ze kterých</w:t>
      </w:r>
      <w:r>
        <w:rPr>
          <w:rFonts w:cstheme="minorHAnsi"/>
          <w:sz w:val="24"/>
          <w:szCs w:val="24"/>
        </w:rPr>
        <w:t xml:space="preserve"> poskytuje podpory subjektům v </w:t>
      </w:r>
      <w:r w:rsidR="002C5FF7">
        <w:rPr>
          <w:rFonts w:cstheme="minorHAnsi"/>
          <w:sz w:val="24"/>
          <w:szCs w:val="24"/>
        </w:rPr>
        <w:t>zemědělském</w:t>
      </w:r>
      <w:r>
        <w:rPr>
          <w:rFonts w:cstheme="minorHAnsi"/>
          <w:sz w:val="24"/>
          <w:szCs w:val="24"/>
        </w:rPr>
        <w:t xml:space="preserve"> sektoru</w:t>
      </w:r>
      <w:r w:rsidR="00256A31">
        <w:rPr>
          <w:rFonts w:cstheme="minorHAnsi"/>
          <w:sz w:val="24"/>
          <w:szCs w:val="24"/>
        </w:rPr>
        <w:t>.</w:t>
      </w:r>
      <w:r>
        <w:rPr>
          <w:rFonts w:cstheme="minorHAnsi"/>
          <w:sz w:val="24"/>
          <w:szCs w:val="24"/>
        </w:rPr>
        <w:t xml:space="preserve"> </w:t>
      </w:r>
      <w:r w:rsidR="005E4B6F">
        <w:rPr>
          <w:rFonts w:cstheme="minorHAnsi"/>
          <w:sz w:val="24"/>
          <w:szCs w:val="24"/>
        </w:rPr>
        <w:t xml:space="preserve">PGRLF je při plnění svých úkolů zásadně </w:t>
      </w:r>
      <w:r w:rsidR="00D35436">
        <w:rPr>
          <w:rFonts w:cstheme="minorHAnsi"/>
          <w:sz w:val="24"/>
          <w:szCs w:val="24"/>
        </w:rPr>
        <w:t xml:space="preserve">finančně </w:t>
      </w:r>
      <w:r w:rsidR="005E4B6F">
        <w:rPr>
          <w:rFonts w:cstheme="minorHAnsi"/>
          <w:sz w:val="24"/>
          <w:szCs w:val="24"/>
        </w:rPr>
        <w:t>závislý na státu jako svém jediném akcionáři</w:t>
      </w:r>
      <w:r>
        <w:rPr>
          <w:rFonts w:cstheme="minorHAnsi"/>
          <w:sz w:val="24"/>
          <w:szCs w:val="24"/>
        </w:rPr>
        <w:t xml:space="preserve"> (viz také odst. </w:t>
      </w:r>
      <w:r w:rsidRPr="00C869FD">
        <w:rPr>
          <w:rFonts w:cstheme="minorHAnsi"/>
          <w:sz w:val="24"/>
          <w:szCs w:val="24"/>
        </w:rPr>
        <w:t>4</w:t>
      </w:r>
      <w:r w:rsidR="000B2B35" w:rsidRPr="00C869FD">
        <w:rPr>
          <w:rFonts w:cstheme="minorHAnsi"/>
          <w:sz w:val="24"/>
          <w:szCs w:val="24"/>
        </w:rPr>
        <w:t>.1</w:t>
      </w:r>
      <w:r w:rsidR="00A06398">
        <w:rPr>
          <w:rFonts w:cstheme="minorHAnsi"/>
          <w:sz w:val="24"/>
          <w:szCs w:val="24"/>
        </w:rPr>
        <w:t>4</w:t>
      </w:r>
      <w:r w:rsidRPr="00C869FD">
        <w:rPr>
          <w:rFonts w:cstheme="minorHAnsi"/>
          <w:sz w:val="24"/>
          <w:szCs w:val="24"/>
        </w:rPr>
        <w:t xml:space="preserve"> až 4.2</w:t>
      </w:r>
      <w:r w:rsidR="00A06398">
        <w:rPr>
          <w:rFonts w:cstheme="minorHAnsi"/>
          <w:sz w:val="24"/>
          <w:szCs w:val="24"/>
        </w:rPr>
        <w:t>1</w:t>
      </w:r>
      <w:r w:rsidRPr="00C869FD">
        <w:rPr>
          <w:rFonts w:cstheme="minorHAnsi"/>
          <w:sz w:val="24"/>
          <w:szCs w:val="24"/>
        </w:rPr>
        <w:t>).</w:t>
      </w:r>
    </w:p>
    <w:p w14:paraId="5BF54986" w14:textId="7B65DB02" w:rsidR="000A607B" w:rsidRPr="00AA545D" w:rsidRDefault="000A607B" w:rsidP="00995903">
      <w:pPr>
        <w:spacing w:after="0" w:line="240" w:lineRule="auto"/>
        <w:rPr>
          <w:rFonts w:ascii="Calibri" w:hAnsi="Calibri" w:cs="Calibri"/>
          <w:sz w:val="24"/>
          <w:szCs w:val="24"/>
        </w:rPr>
      </w:pPr>
    </w:p>
    <w:p w14:paraId="0D8FE00E" w14:textId="77777777" w:rsidR="00C3138C" w:rsidRPr="00AA545D" w:rsidRDefault="00C3138C" w:rsidP="00AA545D">
      <w:pPr>
        <w:spacing w:after="0" w:line="240" w:lineRule="auto"/>
        <w:rPr>
          <w:rFonts w:ascii="Calibri" w:hAnsi="Calibri" w:cs="Calibri"/>
          <w:sz w:val="24"/>
          <w:szCs w:val="24"/>
          <w:lang w:eastAsia="cs-CZ"/>
        </w:rPr>
      </w:pPr>
    </w:p>
    <w:p w14:paraId="6C128101" w14:textId="77777777" w:rsidR="007D3809" w:rsidRPr="007F1D90" w:rsidRDefault="007D3809" w:rsidP="00EE0546">
      <w:pPr>
        <w:pStyle w:val="Nadpis1"/>
        <w:numPr>
          <w:ilvl w:val="0"/>
          <w:numId w:val="0"/>
        </w:numPr>
        <w:spacing w:before="0" w:after="0"/>
        <w:rPr>
          <w:sz w:val="28"/>
          <w:szCs w:val="28"/>
        </w:rPr>
      </w:pPr>
      <w:r w:rsidRPr="007F1D90">
        <w:rPr>
          <w:sz w:val="28"/>
          <w:szCs w:val="28"/>
        </w:rPr>
        <w:t>II. Informace o kontrolované oblasti</w:t>
      </w:r>
    </w:p>
    <w:p w14:paraId="1CEBEFB6" w14:textId="77777777" w:rsidR="0073031A" w:rsidRPr="008454AE" w:rsidRDefault="0073031A" w:rsidP="00EE0546">
      <w:pPr>
        <w:spacing w:after="0" w:line="240" w:lineRule="auto"/>
        <w:rPr>
          <w:rFonts w:cstheme="minorHAnsi"/>
          <w:sz w:val="24"/>
          <w:szCs w:val="24"/>
          <w:lang w:eastAsia="cs-CZ"/>
        </w:rPr>
      </w:pPr>
    </w:p>
    <w:p w14:paraId="2257E5C5" w14:textId="77777777" w:rsidR="008D6D1E" w:rsidRPr="006000A5" w:rsidRDefault="00506CA0" w:rsidP="00EE0546">
      <w:pPr>
        <w:spacing w:after="0" w:line="240" w:lineRule="auto"/>
        <w:jc w:val="both"/>
        <w:rPr>
          <w:rFonts w:cstheme="minorHAnsi"/>
          <w:b/>
          <w:sz w:val="24"/>
          <w:szCs w:val="24"/>
        </w:rPr>
      </w:pPr>
      <w:r>
        <w:rPr>
          <w:rFonts w:cstheme="minorHAnsi"/>
          <w:b/>
          <w:sz w:val="24"/>
          <w:szCs w:val="24"/>
        </w:rPr>
        <w:t xml:space="preserve">Institucionální rámec </w:t>
      </w:r>
      <w:r w:rsidR="00D30996">
        <w:rPr>
          <w:rFonts w:cstheme="minorHAnsi"/>
          <w:b/>
          <w:sz w:val="24"/>
          <w:szCs w:val="24"/>
        </w:rPr>
        <w:t>a typy podpor poskytovaných PGRLF</w:t>
      </w:r>
    </w:p>
    <w:p w14:paraId="1F425307" w14:textId="77777777" w:rsidR="00EE0546" w:rsidRPr="00A0271E" w:rsidRDefault="00EE0546" w:rsidP="00EE0546">
      <w:pPr>
        <w:spacing w:after="0" w:line="240" w:lineRule="auto"/>
        <w:rPr>
          <w:rFonts w:cstheme="minorHAnsi"/>
          <w:sz w:val="24"/>
          <w:szCs w:val="24"/>
          <w:lang w:eastAsia="cs-CZ"/>
        </w:rPr>
      </w:pPr>
    </w:p>
    <w:p w14:paraId="21168970" w14:textId="11D15A81" w:rsidR="00794D64" w:rsidRPr="00A0271E" w:rsidRDefault="003A57FB" w:rsidP="0015214A">
      <w:pPr>
        <w:pStyle w:val="Odstavecseseznamem"/>
        <w:numPr>
          <w:ilvl w:val="0"/>
          <w:numId w:val="3"/>
        </w:numPr>
        <w:tabs>
          <w:tab w:val="left" w:pos="426"/>
        </w:tabs>
        <w:spacing w:after="0" w:line="240" w:lineRule="auto"/>
        <w:ind w:left="0" w:firstLine="0"/>
        <w:contextualSpacing w:val="0"/>
        <w:jc w:val="both"/>
        <w:rPr>
          <w:rFonts w:cstheme="minorHAnsi"/>
          <w:sz w:val="24"/>
          <w:szCs w:val="24"/>
        </w:rPr>
      </w:pPr>
      <w:r w:rsidRPr="00A0271E">
        <w:rPr>
          <w:rFonts w:cstheme="minorHAnsi"/>
          <w:b/>
          <w:sz w:val="24"/>
          <w:szCs w:val="24"/>
        </w:rPr>
        <w:t>Ministerstvo zemědělství</w:t>
      </w:r>
      <w:r w:rsidRPr="00A0271E">
        <w:rPr>
          <w:rFonts w:cstheme="minorHAnsi"/>
          <w:sz w:val="24"/>
          <w:szCs w:val="24"/>
        </w:rPr>
        <w:t xml:space="preserve"> je </w:t>
      </w:r>
      <w:r w:rsidR="00AD612D" w:rsidRPr="00A0271E">
        <w:rPr>
          <w:rFonts w:cstheme="minorHAnsi"/>
          <w:sz w:val="24"/>
          <w:szCs w:val="24"/>
        </w:rPr>
        <w:t>odpovědné za poskytování dotací do</w:t>
      </w:r>
      <w:r w:rsidR="00B812D2" w:rsidRPr="00A0271E">
        <w:rPr>
          <w:rFonts w:cstheme="minorHAnsi"/>
          <w:sz w:val="24"/>
          <w:szCs w:val="24"/>
        </w:rPr>
        <w:t xml:space="preserve"> </w:t>
      </w:r>
      <w:r w:rsidR="00AD612D" w:rsidRPr="00A0271E">
        <w:rPr>
          <w:rFonts w:cstheme="minorHAnsi"/>
          <w:sz w:val="24"/>
          <w:szCs w:val="24"/>
        </w:rPr>
        <w:t xml:space="preserve">zemědělství. V jeho rozpočtové kapitole jsou soustředěny </w:t>
      </w:r>
      <w:r w:rsidR="000C0E30" w:rsidRPr="00A0271E">
        <w:rPr>
          <w:rFonts w:cstheme="minorHAnsi"/>
          <w:sz w:val="24"/>
          <w:szCs w:val="24"/>
        </w:rPr>
        <w:t xml:space="preserve">i </w:t>
      </w:r>
      <w:r w:rsidR="00AD612D" w:rsidRPr="00A0271E">
        <w:rPr>
          <w:rFonts w:cstheme="minorHAnsi"/>
          <w:sz w:val="24"/>
          <w:szCs w:val="24"/>
        </w:rPr>
        <w:t xml:space="preserve">prostředky na poskytování podpor prostřednictvím PGRLF. </w:t>
      </w:r>
      <w:proofErr w:type="spellStart"/>
      <w:r w:rsidR="000C0E30" w:rsidRPr="00A0271E">
        <w:rPr>
          <w:rFonts w:cstheme="minorHAnsi"/>
          <w:sz w:val="24"/>
          <w:szCs w:val="24"/>
        </w:rPr>
        <w:t>MZe</w:t>
      </w:r>
      <w:proofErr w:type="spellEnd"/>
      <w:r w:rsidR="000C0E30" w:rsidRPr="00A0271E">
        <w:rPr>
          <w:rFonts w:cstheme="minorHAnsi"/>
          <w:sz w:val="24"/>
          <w:szCs w:val="24"/>
        </w:rPr>
        <w:t xml:space="preserve"> také vykonává vlastnická práva státu</w:t>
      </w:r>
      <w:r w:rsidR="00130538">
        <w:rPr>
          <w:rStyle w:val="Znakapoznpodarou"/>
          <w:rFonts w:cstheme="minorHAnsi"/>
          <w:sz w:val="24"/>
          <w:szCs w:val="24"/>
        </w:rPr>
        <w:footnoteReference w:id="4"/>
      </w:r>
      <w:r w:rsidR="000C0E30" w:rsidRPr="00A0271E">
        <w:rPr>
          <w:rFonts w:cstheme="minorHAnsi"/>
          <w:sz w:val="24"/>
          <w:szCs w:val="24"/>
        </w:rPr>
        <w:t xml:space="preserve">, který je jediným </w:t>
      </w:r>
      <w:r w:rsidR="009643CD" w:rsidRPr="00A0271E">
        <w:rPr>
          <w:rFonts w:cstheme="minorHAnsi"/>
          <w:sz w:val="24"/>
          <w:szCs w:val="24"/>
        </w:rPr>
        <w:t>akcionářem</w:t>
      </w:r>
      <w:r w:rsidR="000C0E30" w:rsidRPr="00A0271E">
        <w:rPr>
          <w:rFonts w:cstheme="minorHAnsi"/>
          <w:sz w:val="24"/>
          <w:szCs w:val="24"/>
        </w:rPr>
        <w:t xml:space="preserve"> </w:t>
      </w:r>
      <w:r w:rsidR="00B812D2" w:rsidRPr="00A0271E">
        <w:rPr>
          <w:rFonts w:cstheme="minorHAnsi"/>
          <w:sz w:val="24"/>
          <w:szCs w:val="24"/>
        </w:rPr>
        <w:t>PGRLF</w:t>
      </w:r>
      <w:r w:rsidR="000C0E30" w:rsidRPr="00A0271E">
        <w:rPr>
          <w:rFonts w:cstheme="minorHAnsi"/>
          <w:sz w:val="24"/>
          <w:szCs w:val="24"/>
        </w:rPr>
        <w:t>.</w:t>
      </w:r>
      <w:r w:rsidR="00B812D2" w:rsidRPr="00A0271E">
        <w:rPr>
          <w:rFonts w:cstheme="minorHAnsi"/>
          <w:sz w:val="24"/>
          <w:szCs w:val="24"/>
        </w:rPr>
        <w:t xml:space="preserve"> </w:t>
      </w:r>
      <w:r w:rsidR="00AD612D" w:rsidRPr="00A0271E">
        <w:rPr>
          <w:rFonts w:cstheme="minorHAnsi"/>
          <w:sz w:val="24"/>
          <w:szCs w:val="24"/>
        </w:rPr>
        <w:t>Jako poskytovatel dotace je odpovědn</w:t>
      </w:r>
      <w:r w:rsidR="003845F0" w:rsidRPr="00A0271E">
        <w:rPr>
          <w:rFonts w:cstheme="minorHAnsi"/>
          <w:sz w:val="24"/>
          <w:szCs w:val="24"/>
        </w:rPr>
        <w:t>é</w:t>
      </w:r>
      <w:r w:rsidR="00AD612D" w:rsidRPr="00A0271E">
        <w:rPr>
          <w:rFonts w:cstheme="minorHAnsi"/>
          <w:sz w:val="24"/>
          <w:szCs w:val="24"/>
        </w:rPr>
        <w:t xml:space="preserve"> za kontrolu </w:t>
      </w:r>
      <w:r w:rsidR="003C6A10" w:rsidRPr="00A0271E">
        <w:rPr>
          <w:rFonts w:cstheme="minorHAnsi"/>
          <w:sz w:val="24"/>
          <w:szCs w:val="24"/>
        </w:rPr>
        <w:t xml:space="preserve">finančních prostředků </w:t>
      </w:r>
      <w:r w:rsidR="00AD612D" w:rsidRPr="00A0271E">
        <w:rPr>
          <w:rFonts w:cstheme="minorHAnsi"/>
          <w:sz w:val="24"/>
          <w:szCs w:val="24"/>
        </w:rPr>
        <w:t>poskytnutých</w:t>
      </w:r>
      <w:r w:rsidR="003845F0" w:rsidRPr="00A0271E">
        <w:rPr>
          <w:rFonts w:cstheme="minorHAnsi"/>
          <w:sz w:val="24"/>
          <w:szCs w:val="24"/>
        </w:rPr>
        <w:t xml:space="preserve"> PGRLF</w:t>
      </w:r>
      <w:r w:rsidR="00771804" w:rsidRPr="00A0271E">
        <w:rPr>
          <w:rFonts w:cstheme="minorHAnsi"/>
          <w:sz w:val="24"/>
          <w:szCs w:val="24"/>
        </w:rPr>
        <w:t xml:space="preserve"> ze státního rozpočtu</w:t>
      </w:r>
      <w:r w:rsidR="00AD612D" w:rsidRPr="00A0271E">
        <w:rPr>
          <w:rFonts w:cstheme="minorHAnsi"/>
          <w:sz w:val="24"/>
          <w:szCs w:val="24"/>
        </w:rPr>
        <w:t xml:space="preserve">. </w:t>
      </w:r>
    </w:p>
    <w:p w14:paraId="4D5457E7" w14:textId="77777777" w:rsidR="00EE0546" w:rsidRPr="00EE0546" w:rsidRDefault="00EE0546" w:rsidP="00EE0546">
      <w:pPr>
        <w:spacing w:after="0" w:line="240" w:lineRule="auto"/>
        <w:jc w:val="both"/>
        <w:rPr>
          <w:rFonts w:cstheme="minorHAnsi"/>
          <w:sz w:val="24"/>
          <w:szCs w:val="24"/>
        </w:rPr>
      </w:pPr>
    </w:p>
    <w:p w14:paraId="78A3637A" w14:textId="2B8BDBFB" w:rsidR="00B33BD0" w:rsidRDefault="003A57FB" w:rsidP="00EE0546">
      <w:pPr>
        <w:pStyle w:val="Odstavecseseznamem"/>
        <w:numPr>
          <w:ilvl w:val="0"/>
          <w:numId w:val="3"/>
        </w:numPr>
        <w:tabs>
          <w:tab w:val="left" w:pos="426"/>
        </w:tabs>
        <w:spacing w:after="0" w:line="240" w:lineRule="auto"/>
        <w:ind w:left="0" w:firstLine="0"/>
        <w:contextualSpacing w:val="0"/>
        <w:jc w:val="both"/>
        <w:rPr>
          <w:rFonts w:cstheme="minorHAnsi"/>
          <w:sz w:val="24"/>
          <w:szCs w:val="24"/>
        </w:rPr>
      </w:pPr>
      <w:r w:rsidRPr="00794D64">
        <w:rPr>
          <w:rFonts w:cstheme="minorHAnsi"/>
          <w:b/>
          <w:sz w:val="24"/>
          <w:szCs w:val="24"/>
        </w:rPr>
        <w:t>Podpůrný a garanční rolnický a lesnický fond, a.s.</w:t>
      </w:r>
      <w:r w:rsidR="00A0271E">
        <w:rPr>
          <w:rFonts w:cstheme="minorHAnsi"/>
          <w:b/>
          <w:sz w:val="24"/>
          <w:szCs w:val="24"/>
        </w:rPr>
        <w:t>,</w:t>
      </w:r>
      <w:r w:rsidR="0035245E" w:rsidRPr="003B1190">
        <w:rPr>
          <w:rStyle w:val="Znakapoznpodarou"/>
          <w:rFonts w:cstheme="minorHAnsi"/>
          <w:sz w:val="24"/>
          <w:szCs w:val="24"/>
        </w:rPr>
        <w:footnoteReference w:id="5"/>
      </w:r>
      <w:r w:rsidRPr="00794D64">
        <w:rPr>
          <w:rFonts w:cstheme="minorHAnsi"/>
          <w:sz w:val="24"/>
          <w:szCs w:val="24"/>
        </w:rPr>
        <w:t xml:space="preserve"> </w:t>
      </w:r>
      <w:r w:rsidR="002B6215" w:rsidRPr="00794D64">
        <w:rPr>
          <w:rFonts w:cstheme="minorHAnsi"/>
          <w:sz w:val="24"/>
          <w:szCs w:val="24"/>
        </w:rPr>
        <w:t>je obchodní společností, ve které 100</w:t>
      </w:r>
      <w:r w:rsidR="00EE0546">
        <w:rPr>
          <w:rFonts w:cstheme="minorHAnsi"/>
          <w:sz w:val="24"/>
          <w:szCs w:val="24"/>
        </w:rPr>
        <w:t> </w:t>
      </w:r>
      <w:r w:rsidR="002B6215" w:rsidRPr="00794D64">
        <w:rPr>
          <w:rFonts w:cstheme="minorHAnsi"/>
          <w:sz w:val="24"/>
          <w:szCs w:val="24"/>
        </w:rPr>
        <w:t>% akcií vlastní Česká republika. Hlavní</w:t>
      </w:r>
      <w:r w:rsidR="005712EF">
        <w:rPr>
          <w:rFonts w:cstheme="minorHAnsi"/>
          <w:sz w:val="24"/>
          <w:szCs w:val="24"/>
        </w:rPr>
        <w:t xml:space="preserve">m předmětem </w:t>
      </w:r>
      <w:r w:rsidR="002B6215" w:rsidRPr="00794D64">
        <w:rPr>
          <w:rFonts w:cstheme="minorHAnsi"/>
          <w:sz w:val="24"/>
          <w:szCs w:val="24"/>
        </w:rPr>
        <w:t>činnos</w:t>
      </w:r>
      <w:r w:rsidR="005712EF">
        <w:rPr>
          <w:rFonts w:cstheme="minorHAnsi"/>
          <w:sz w:val="24"/>
          <w:szCs w:val="24"/>
        </w:rPr>
        <w:t>ti</w:t>
      </w:r>
      <w:r w:rsidR="002B6215" w:rsidRPr="00794D64">
        <w:rPr>
          <w:rFonts w:cstheme="minorHAnsi"/>
          <w:sz w:val="24"/>
          <w:szCs w:val="24"/>
        </w:rPr>
        <w:t xml:space="preserve"> PGRLF je poskytování podpor podle </w:t>
      </w:r>
      <w:r w:rsidR="00242BDA">
        <w:rPr>
          <w:rFonts w:cstheme="minorHAnsi"/>
          <w:sz w:val="24"/>
          <w:szCs w:val="24"/>
        </w:rPr>
        <w:t xml:space="preserve">ustanovení </w:t>
      </w:r>
      <w:r w:rsidR="002B6215" w:rsidRPr="00794D64">
        <w:rPr>
          <w:rFonts w:cstheme="minorHAnsi"/>
          <w:sz w:val="24"/>
          <w:szCs w:val="24"/>
        </w:rPr>
        <w:t>§</w:t>
      </w:r>
      <w:r w:rsidR="00EE0546">
        <w:rPr>
          <w:rFonts w:cstheme="minorHAnsi"/>
          <w:sz w:val="24"/>
          <w:szCs w:val="24"/>
        </w:rPr>
        <w:t> </w:t>
      </w:r>
      <w:r w:rsidR="002B6215" w:rsidRPr="00794D64">
        <w:rPr>
          <w:rFonts w:cstheme="minorHAnsi"/>
          <w:sz w:val="24"/>
          <w:szCs w:val="24"/>
        </w:rPr>
        <w:t>2da zákona č. 252/1997 Sb., o</w:t>
      </w:r>
      <w:r w:rsidR="00EE0546">
        <w:rPr>
          <w:rFonts w:cstheme="minorHAnsi"/>
          <w:sz w:val="24"/>
          <w:szCs w:val="24"/>
        </w:rPr>
        <w:t> </w:t>
      </w:r>
      <w:r w:rsidR="002B6215" w:rsidRPr="00794D64">
        <w:rPr>
          <w:rFonts w:cstheme="minorHAnsi"/>
          <w:sz w:val="24"/>
          <w:szCs w:val="24"/>
        </w:rPr>
        <w:t>zemědělství. Mezi další vykonávané činnosti PGRLF patří správa majetkových podílů ve vlastněných společnostech, správa vlastních a</w:t>
      </w:r>
      <w:r w:rsidR="00AF0220">
        <w:rPr>
          <w:rFonts w:cstheme="minorHAnsi"/>
          <w:sz w:val="24"/>
          <w:szCs w:val="24"/>
        </w:rPr>
        <w:t> </w:t>
      </w:r>
      <w:r w:rsidR="002B6215" w:rsidRPr="00794D64">
        <w:rPr>
          <w:rFonts w:cstheme="minorHAnsi"/>
          <w:sz w:val="24"/>
          <w:szCs w:val="24"/>
        </w:rPr>
        <w:t>z rozhodnutí vlády na PGRLF postoupených pohledávek a zhodnocování dočasně volných finančních prostředků.</w:t>
      </w:r>
    </w:p>
    <w:p w14:paraId="547D82E5" w14:textId="77777777" w:rsidR="00EE0546" w:rsidRPr="00EE0546" w:rsidRDefault="00EE0546" w:rsidP="00EE0546">
      <w:pPr>
        <w:spacing w:after="0" w:line="240" w:lineRule="auto"/>
        <w:jc w:val="both"/>
        <w:rPr>
          <w:rFonts w:cstheme="minorHAnsi"/>
          <w:sz w:val="24"/>
          <w:szCs w:val="24"/>
        </w:rPr>
      </w:pPr>
    </w:p>
    <w:p w14:paraId="2F2C3EB3" w14:textId="1BD04B59" w:rsidR="004B6831" w:rsidRPr="00EE0546" w:rsidRDefault="00B33BD0" w:rsidP="00EE0546">
      <w:pPr>
        <w:pStyle w:val="Odstavecseseznamem"/>
        <w:numPr>
          <w:ilvl w:val="0"/>
          <w:numId w:val="3"/>
        </w:numPr>
        <w:tabs>
          <w:tab w:val="left" w:pos="426"/>
        </w:tabs>
        <w:autoSpaceDE w:val="0"/>
        <w:autoSpaceDN w:val="0"/>
        <w:adjustRightInd w:val="0"/>
        <w:spacing w:after="0" w:line="240" w:lineRule="auto"/>
        <w:ind w:left="0" w:firstLine="0"/>
        <w:contextualSpacing w:val="0"/>
        <w:jc w:val="both"/>
        <w:rPr>
          <w:rFonts w:cstheme="minorHAnsi"/>
          <w:sz w:val="24"/>
          <w:szCs w:val="24"/>
        </w:rPr>
      </w:pPr>
      <w:r w:rsidRPr="004B6831">
        <w:rPr>
          <w:rFonts w:cstheme="minorHAnsi"/>
          <w:sz w:val="24"/>
          <w:szCs w:val="24"/>
        </w:rPr>
        <w:t xml:space="preserve">PGRLF byl založen v roce 1993 a jeho </w:t>
      </w:r>
      <w:r w:rsidR="005712EF">
        <w:rPr>
          <w:rFonts w:cstheme="minorHAnsi"/>
          <w:sz w:val="24"/>
          <w:szCs w:val="24"/>
        </w:rPr>
        <w:t xml:space="preserve">účelem </w:t>
      </w:r>
      <w:r w:rsidR="00E02ECB">
        <w:rPr>
          <w:rFonts w:cstheme="minorHAnsi"/>
          <w:sz w:val="24"/>
          <w:szCs w:val="24"/>
        </w:rPr>
        <w:t>je</w:t>
      </w:r>
      <w:r w:rsidRPr="004B6831">
        <w:rPr>
          <w:rFonts w:cstheme="minorHAnsi"/>
          <w:sz w:val="24"/>
          <w:szCs w:val="24"/>
        </w:rPr>
        <w:t xml:space="preserve"> poskytovat podpory zemědělským podnikatelům jak formou </w:t>
      </w:r>
      <w:r w:rsidR="00C869FD">
        <w:rPr>
          <w:rFonts w:cstheme="minorHAnsi"/>
          <w:sz w:val="24"/>
          <w:szCs w:val="24"/>
        </w:rPr>
        <w:t xml:space="preserve">částečné kompenzace pojištění, </w:t>
      </w:r>
      <w:r w:rsidRPr="004B6831">
        <w:rPr>
          <w:rFonts w:cstheme="minorHAnsi"/>
          <w:sz w:val="24"/>
          <w:szCs w:val="24"/>
        </w:rPr>
        <w:t>subvence části úroků z úvěrů, tak formou poskytování záruk</w:t>
      </w:r>
      <w:r w:rsidR="00E02ECB">
        <w:rPr>
          <w:rFonts w:cstheme="minorHAnsi"/>
          <w:sz w:val="24"/>
          <w:szCs w:val="24"/>
        </w:rPr>
        <w:t xml:space="preserve"> (garancí)</w:t>
      </w:r>
      <w:r w:rsidRPr="004B6831">
        <w:rPr>
          <w:rFonts w:cstheme="minorHAnsi"/>
          <w:sz w:val="24"/>
          <w:szCs w:val="24"/>
        </w:rPr>
        <w:t xml:space="preserve"> na úvěry poskytované komerčními bankami a jinými finančními subjekty. Z tohoto důvodu byla zvolena forma obchodní společnosti. V průběhu let PGRLF postupně utlumoval poskytování garancí, od roku 201</w:t>
      </w:r>
      <w:r w:rsidR="00242BDA">
        <w:rPr>
          <w:rFonts w:cstheme="minorHAnsi"/>
          <w:sz w:val="24"/>
          <w:szCs w:val="24"/>
        </w:rPr>
        <w:t>1 je neposkytuje vůbec. Od roku </w:t>
      </w:r>
      <w:r w:rsidRPr="004B6831">
        <w:rPr>
          <w:rFonts w:cstheme="minorHAnsi"/>
          <w:sz w:val="24"/>
          <w:szCs w:val="24"/>
        </w:rPr>
        <w:t>2015 poskytuje PGRLF jiný typ finančního nástroje – úvěry. Jejich podí</w:t>
      </w:r>
      <w:r w:rsidR="004B6831">
        <w:rPr>
          <w:rFonts w:cstheme="minorHAnsi"/>
          <w:sz w:val="24"/>
          <w:szCs w:val="24"/>
        </w:rPr>
        <w:t xml:space="preserve">l na celkových podporách činil </w:t>
      </w:r>
      <w:r w:rsidR="00F110F2">
        <w:rPr>
          <w:rFonts w:cstheme="minorHAnsi"/>
          <w:sz w:val="24"/>
          <w:szCs w:val="24"/>
        </w:rPr>
        <w:t>18,4</w:t>
      </w:r>
      <w:r w:rsidRPr="004B6831">
        <w:rPr>
          <w:rFonts w:cstheme="minorHAnsi"/>
          <w:sz w:val="24"/>
          <w:szCs w:val="24"/>
        </w:rPr>
        <w:t xml:space="preserve"> % z celkového objemu vyplacených podpor za obd</w:t>
      </w:r>
      <w:r w:rsidR="00CB21F2">
        <w:rPr>
          <w:rFonts w:cstheme="minorHAnsi"/>
          <w:sz w:val="24"/>
          <w:szCs w:val="24"/>
        </w:rPr>
        <w:t>obí 2014</w:t>
      </w:r>
      <w:r w:rsidR="00CB21F2" w:rsidRPr="0035245E">
        <w:rPr>
          <w:rFonts w:cstheme="minorHAnsi"/>
          <w:sz w:val="24"/>
          <w:szCs w:val="24"/>
        </w:rPr>
        <w:t>–</w:t>
      </w:r>
      <w:r w:rsidRPr="004B6831">
        <w:rPr>
          <w:rFonts w:cstheme="minorHAnsi"/>
          <w:sz w:val="24"/>
          <w:szCs w:val="24"/>
        </w:rPr>
        <w:t>2018</w:t>
      </w:r>
      <w:r w:rsidR="00EF4C76">
        <w:rPr>
          <w:rFonts w:cstheme="minorHAnsi"/>
          <w:sz w:val="24"/>
          <w:szCs w:val="24"/>
        </w:rPr>
        <w:t xml:space="preserve">, jak ukazuje </w:t>
      </w:r>
      <w:r w:rsidR="001D507F">
        <w:rPr>
          <w:rFonts w:cstheme="minorHAnsi"/>
          <w:sz w:val="24"/>
          <w:szCs w:val="24"/>
        </w:rPr>
        <w:t>t</w:t>
      </w:r>
      <w:r w:rsidR="00EF4C76">
        <w:rPr>
          <w:rFonts w:cstheme="minorHAnsi"/>
          <w:sz w:val="24"/>
          <w:szCs w:val="24"/>
        </w:rPr>
        <w:t>abulka č. 1</w:t>
      </w:r>
      <w:r w:rsidR="00862012">
        <w:rPr>
          <w:rFonts w:cstheme="minorHAnsi"/>
          <w:sz w:val="24"/>
          <w:szCs w:val="24"/>
        </w:rPr>
        <w:t>.</w:t>
      </w:r>
    </w:p>
    <w:p w14:paraId="4F6E2AC6" w14:textId="77777777" w:rsidR="004B6831" w:rsidRDefault="004B6831" w:rsidP="00EE0546">
      <w:pPr>
        <w:pStyle w:val="Odstavecseseznamem"/>
        <w:autoSpaceDE w:val="0"/>
        <w:autoSpaceDN w:val="0"/>
        <w:adjustRightInd w:val="0"/>
        <w:spacing w:after="0" w:line="240" w:lineRule="auto"/>
        <w:ind w:left="0"/>
        <w:contextualSpacing w:val="0"/>
        <w:jc w:val="both"/>
        <w:rPr>
          <w:rFonts w:cstheme="minorHAnsi"/>
          <w:sz w:val="24"/>
          <w:szCs w:val="24"/>
        </w:rPr>
      </w:pPr>
    </w:p>
    <w:p w14:paraId="1EA84C17" w14:textId="2686E706" w:rsidR="00B33BD0" w:rsidRPr="004B6831" w:rsidRDefault="00B33BD0" w:rsidP="00AA545D">
      <w:pPr>
        <w:pStyle w:val="Odstavecseseznamem"/>
        <w:keepNext/>
        <w:autoSpaceDE w:val="0"/>
        <w:autoSpaceDN w:val="0"/>
        <w:adjustRightInd w:val="0"/>
        <w:spacing w:before="120" w:after="40" w:line="240" w:lineRule="auto"/>
        <w:ind w:left="0"/>
        <w:contextualSpacing w:val="0"/>
        <w:jc w:val="both"/>
        <w:rPr>
          <w:rFonts w:cstheme="minorHAnsi"/>
          <w:b/>
          <w:sz w:val="24"/>
          <w:szCs w:val="24"/>
        </w:rPr>
      </w:pPr>
      <w:r w:rsidRPr="004B6831">
        <w:rPr>
          <w:rFonts w:cstheme="minorHAnsi"/>
          <w:b/>
          <w:sz w:val="24"/>
          <w:szCs w:val="24"/>
        </w:rPr>
        <w:lastRenderedPageBreak/>
        <w:t xml:space="preserve">Tabulka č. </w:t>
      </w:r>
      <w:r w:rsidRPr="004B6831">
        <w:rPr>
          <w:rFonts w:cstheme="minorHAnsi"/>
          <w:b/>
          <w:i/>
          <w:sz w:val="24"/>
          <w:szCs w:val="24"/>
        </w:rPr>
        <w:fldChar w:fldCharType="begin"/>
      </w:r>
      <w:r w:rsidRPr="004B6831">
        <w:rPr>
          <w:rFonts w:cstheme="minorHAnsi"/>
          <w:b/>
          <w:sz w:val="24"/>
          <w:szCs w:val="24"/>
        </w:rPr>
        <w:instrText xml:space="preserve"> SEQ Tabulka_č. \* ARABIC </w:instrText>
      </w:r>
      <w:r w:rsidRPr="004B6831">
        <w:rPr>
          <w:rFonts w:cstheme="minorHAnsi"/>
          <w:b/>
          <w:i/>
          <w:sz w:val="24"/>
          <w:szCs w:val="24"/>
        </w:rPr>
        <w:fldChar w:fldCharType="separate"/>
      </w:r>
      <w:r w:rsidR="0018720A">
        <w:rPr>
          <w:rFonts w:cstheme="minorHAnsi"/>
          <w:b/>
          <w:noProof/>
          <w:sz w:val="24"/>
          <w:szCs w:val="24"/>
        </w:rPr>
        <w:t>1</w:t>
      </w:r>
      <w:r w:rsidRPr="004B6831">
        <w:rPr>
          <w:rFonts w:cstheme="minorHAnsi"/>
          <w:b/>
          <w:i/>
          <w:sz w:val="24"/>
          <w:szCs w:val="24"/>
        </w:rPr>
        <w:fldChar w:fldCharType="end"/>
      </w:r>
      <w:r w:rsidRPr="004B6831">
        <w:rPr>
          <w:rFonts w:cstheme="minorHAnsi"/>
          <w:b/>
          <w:sz w:val="24"/>
          <w:szCs w:val="24"/>
        </w:rPr>
        <w:t>: Přehled vyplacených podpor za je</w:t>
      </w:r>
      <w:r w:rsidR="00CB21F2">
        <w:rPr>
          <w:rFonts w:cstheme="minorHAnsi"/>
          <w:b/>
          <w:sz w:val="24"/>
          <w:szCs w:val="24"/>
        </w:rPr>
        <w:t>dnotlivé programy v letech 2014</w:t>
      </w:r>
      <w:r w:rsidR="00CB21F2" w:rsidRPr="00CB21F2">
        <w:rPr>
          <w:rFonts w:cstheme="minorHAnsi"/>
          <w:b/>
          <w:sz w:val="24"/>
          <w:szCs w:val="24"/>
        </w:rPr>
        <w:t>–</w:t>
      </w:r>
      <w:r w:rsidRPr="00CB21F2">
        <w:rPr>
          <w:rFonts w:cstheme="minorHAnsi"/>
          <w:b/>
          <w:sz w:val="24"/>
          <w:szCs w:val="24"/>
        </w:rPr>
        <w:t>2</w:t>
      </w:r>
      <w:r w:rsidRPr="004B6831">
        <w:rPr>
          <w:rFonts w:cstheme="minorHAnsi"/>
          <w:b/>
          <w:sz w:val="24"/>
          <w:szCs w:val="24"/>
        </w:rPr>
        <w:t>018</w:t>
      </w:r>
    </w:p>
    <w:tbl>
      <w:tblPr>
        <w:tblW w:w="90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694"/>
        <w:gridCol w:w="3316"/>
        <w:gridCol w:w="3005"/>
      </w:tblGrid>
      <w:tr w:rsidR="00B33BD0" w:rsidRPr="007F1D90" w14:paraId="2A8D7015" w14:textId="77777777" w:rsidTr="00AA545D">
        <w:trPr>
          <w:trHeight w:val="283"/>
        </w:trPr>
        <w:tc>
          <w:tcPr>
            <w:tcW w:w="2694" w:type="dxa"/>
            <w:shd w:val="clear" w:color="auto" w:fill="E5F1FF"/>
            <w:vAlign w:val="center"/>
            <w:hideMark/>
          </w:tcPr>
          <w:p w14:paraId="397BDAB5" w14:textId="77777777" w:rsidR="00B33BD0" w:rsidRPr="007F1D90" w:rsidRDefault="00B33BD0" w:rsidP="00AA545D">
            <w:pPr>
              <w:keepNext/>
              <w:spacing w:after="0" w:line="280" w:lineRule="atLeast"/>
              <w:ind w:left="214"/>
              <w:jc w:val="center"/>
              <w:rPr>
                <w:rFonts w:cstheme="minorHAnsi"/>
                <w:b/>
                <w:bCs/>
                <w:color w:val="000000"/>
                <w:sz w:val="20"/>
                <w:szCs w:val="20"/>
                <w:lang w:eastAsia="cs-CZ"/>
              </w:rPr>
            </w:pPr>
            <w:r>
              <w:rPr>
                <w:rFonts w:cstheme="minorHAnsi"/>
                <w:b/>
                <w:bCs/>
                <w:color w:val="000000"/>
                <w:sz w:val="20"/>
                <w:szCs w:val="20"/>
              </w:rPr>
              <w:t>Typ podpory</w:t>
            </w:r>
          </w:p>
        </w:tc>
        <w:tc>
          <w:tcPr>
            <w:tcW w:w="3316" w:type="dxa"/>
            <w:shd w:val="clear" w:color="auto" w:fill="E5F1FF"/>
            <w:vAlign w:val="center"/>
            <w:hideMark/>
          </w:tcPr>
          <w:p w14:paraId="5F822F1D" w14:textId="77777777" w:rsidR="00B33BD0" w:rsidRPr="007F1D90" w:rsidRDefault="00B33BD0" w:rsidP="00AA545D">
            <w:pPr>
              <w:keepNext/>
              <w:spacing w:after="0" w:line="280" w:lineRule="atLeast"/>
              <w:jc w:val="center"/>
              <w:rPr>
                <w:rFonts w:cstheme="minorHAnsi"/>
                <w:b/>
                <w:bCs/>
                <w:color w:val="000000"/>
                <w:sz w:val="20"/>
                <w:szCs w:val="20"/>
              </w:rPr>
            </w:pPr>
            <w:r>
              <w:rPr>
                <w:rFonts w:cstheme="minorHAnsi"/>
                <w:b/>
                <w:bCs/>
                <w:color w:val="000000"/>
                <w:sz w:val="20"/>
                <w:szCs w:val="20"/>
              </w:rPr>
              <w:t xml:space="preserve">Objem vyplacených podpor </w:t>
            </w:r>
            <w:r w:rsidR="00244C4A">
              <w:rPr>
                <w:rFonts w:cstheme="minorHAnsi"/>
                <w:b/>
                <w:bCs/>
                <w:color w:val="000000"/>
                <w:sz w:val="20"/>
                <w:szCs w:val="20"/>
              </w:rPr>
              <w:t>v tis. Kč</w:t>
            </w:r>
          </w:p>
        </w:tc>
        <w:tc>
          <w:tcPr>
            <w:tcW w:w="3005" w:type="dxa"/>
            <w:shd w:val="clear" w:color="auto" w:fill="E5F1FF"/>
            <w:vAlign w:val="center"/>
            <w:hideMark/>
          </w:tcPr>
          <w:p w14:paraId="205651D1" w14:textId="77777777" w:rsidR="00B33BD0" w:rsidRPr="007F1D90" w:rsidRDefault="00244C4A" w:rsidP="00AA545D">
            <w:pPr>
              <w:keepNext/>
              <w:spacing w:after="0" w:line="280" w:lineRule="atLeast"/>
              <w:jc w:val="center"/>
              <w:rPr>
                <w:rFonts w:cstheme="minorHAnsi"/>
                <w:b/>
                <w:bCs/>
                <w:color w:val="000000"/>
                <w:sz w:val="20"/>
                <w:szCs w:val="20"/>
              </w:rPr>
            </w:pPr>
            <w:r>
              <w:rPr>
                <w:rFonts w:cstheme="minorHAnsi"/>
                <w:b/>
                <w:bCs/>
                <w:color w:val="000000"/>
                <w:sz w:val="20"/>
                <w:szCs w:val="20"/>
              </w:rPr>
              <w:t xml:space="preserve">Objem vyplacených podpor </w:t>
            </w:r>
            <w:r w:rsidR="00B33BD0">
              <w:rPr>
                <w:rFonts w:cstheme="minorHAnsi"/>
                <w:b/>
                <w:bCs/>
                <w:color w:val="000000"/>
                <w:sz w:val="20"/>
                <w:szCs w:val="20"/>
              </w:rPr>
              <w:t>v %</w:t>
            </w:r>
          </w:p>
        </w:tc>
      </w:tr>
      <w:tr w:rsidR="00B33BD0" w:rsidRPr="007F1D90" w14:paraId="21BC115A" w14:textId="77777777" w:rsidTr="00AA545D">
        <w:trPr>
          <w:trHeight w:val="283"/>
        </w:trPr>
        <w:tc>
          <w:tcPr>
            <w:tcW w:w="2694" w:type="dxa"/>
            <w:shd w:val="clear" w:color="auto" w:fill="auto"/>
            <w:vAlign w:val="center"/>
            <w:hideMark/>
          </w:tcPr>
          <w:p w14:paraId="0F118F1A" w14:textId="77777777" w:rsidR="00B33BD0" w:rsidRPr="007F1D90" w:rsidRDefault="00B33BD0" w:rsidP="00AA545D">
            <w:pPr>
              <w:keepNext/>
              <w:spacing w:after="0" w:line="280" w:lineRule="atLeast"/>
              <w:ind w:left="113"/>
              <w:rPr>
                <w:rFonts w:cstheme="minorHAnsi"/>
                <w:bCs/>
                <w:color w:val="000000"/>
                <w:sz w:val="20"/>
                <w:szCs w:val="20"/>
              </w:rPr>
            </w:pPr>
            <w:r>
              <w:rPr>
                <w:rFonts w:cstheme="minorHAnsi"/>
                <w:bCs/>
                <w:color w:val="000000"/>
                <w:sz w:val="20"/>
                <w:szCs w:val="20"/>
              </w:rPr>
              <w:t>Podpora komerčních úvěrů</w:t>
            </w:r>
          </w:p>
        </w:tc>
        <w:tc>
          <w:tcPr>
            <w:tcW w:w="3316" w:type="dxa"/>
            <w:shd w:val="clear" w:color="auto" w:fill="auto"/>
            <w:noWrap/>
            <w:vAlign w:val="center"/>
          </w:tcPr>
          <w:p w14:paraId="2FAB9823" w14:textId="77777777" w:rsidR="00B33BD0" w:rsidRPr="0061038E" w:rsidRDefault="00B33BD0" w:rsidP="00AA545D">
            <w:pPr>
              <w:keepNext/>
              <w:spacing w:after="0" w:line="280" w:lineRule="atLeast"/>
              <w:ind w:left="113" w:right="835"/>
              <w:jc w:val="right"/>
              <w:rPr>
                <w:rFonts w:cstheme="minorHAnsi"/>
                <w:bCs/>
                <w:color w:val="000000"/>
                <w:sz w:val="20"/>
                <w:szCs w:val="20"/>
              </w:rPr>
            </w:pPr>
            <w:r w:rsidRPr="0061038E">
              <w:rPr>
                <w:rFonts w:cstheme="minorHAnsi"/>
                <w:bCs/>
                <w:color w:val="000000"/>
                <w:sz w:val="20"/>
                <w:szCs w:val="20"/>
              </w:rPr>
              <w:t xml:space="preserve">2 </w:t>
            </w:r>
            <w:r w:rsidR="00591FF3">
              <w:rPr>
                <w:rFonts w:cstheme="minorHAnsi"/>
                <w:bCs/>
                <w:color w:val="000000"/>
                <w:sz w:val="20"/>
                <w:szCs w:val="20"/>
              </w:rPr>
              <w:t>793</w:t>
            </w:r>
            <w:r w:rsidRPr="0061038E">
              <w:rPr>
                <w:rFonts w:cstheme="minorHAnsi"/>
                <w:bCs/>
                <w:color w:val="000000"/>
                <w:sz w:val="20"/>
                <w:szCs w:val="20"/>
              </w:rPr>
              <w:t> </w:t>
            </w:r>
            <w:r w:rsidR="00591FF3">
              <w:rPr>
                <w:rFonts w:cstheme="minorHAnsi"/>
                <w:bCs/>
                <w:color w:val="000000"/>
                <w:sz w:val="20"/>
                <w:szCs w:val="20"/>
              </w:rPr>
              <w:t>790</w:t>
            </w:r>
          </w:p>
        </w:tc>
        <w:tc>
          <w:tcPr>
            <w:tcW w:w="3005" w:type="dxa"/>
            <w:shd w:val="clear" w:color="auto" w:fill="auto"/>
            <w:noWrap/>
            <w:vAlign w:val="center"/>
          </w:tcPr>
          <w:p w14:paraId="64F83953" w14:textId="77777777" w:rsidR="00B33BD0" w:rsidRPr="00602D06" w:rsidRDefault="00602D06" w:rsidP="00AA545D">
            <w:pPr>
              <w:keepNext/>
              <w:spacing w:after="0" w:line="280" w:lineRule="atLeast"/>
              <w:ind w:right="835"/>
              <w:jc w:val="right"/>
              <w:rPr>
                <w:rFonts w:cstheme="minorHAnsi"/>
                <w:bCs/>
                <w:color w:val="000000"/>
                <w:sz w:val="20"/>
                <w:szCs w:val="20"/>
              </w:rPr>
            </w:pPr>
            <w:r w:rsidRPr="00602D06">
              <w:rPr>
                <w:rFonts w:cstheme="minorHAnsi"/>
                <w:bCs/>
                <w:color w:val="000000"/>
                <w:sz w:val="20"/>
                <w:szCs w:val="20"/>
              </w:rPr>
              <w:t>45</w:t>
            </w:r>
            <w:r w:rsidR="00EF4C76">
              <w:rPr>
                <w:rFonts w:cstheme="minorHAnsi"/>
                <w:bCs/>
                <w:color w:val="000000"/>
                <w:sz w:val="20"/>
                <w:szCs w:val="20"/>
              </w:rPr>
              <w:t>,0</w:t>
            </w:r>
            <w:r w:rsidR="00B33BD0" w:rsidRPr="00602D06">
              <w:rPr>
                <w:rFonts w:cstheme="minorHAnsi"/>
                <w:bCs/>
                <w:color w:val="000000"/>
                <w:sz w:val="20"/>
                <w:szCs w:val="20"/>
              </w:rPr>
              <w:t xml:space="preserve"> %</w:t>
            </w:r>
          </w:p>
        </w:tc>
      </w:tr>
      <w:tr w:rsidR="00B33BD0" w:rsidRPr="007F1D90" w14:paraId="5515CB78" w14:textId="77777777" w:rsidTr="00AA545D">
        <w:trPr>
          <w:trHeight w:val="283"/>
        </w:trPr>
        <w:tc>
          <w:tcPr>
            <w:tcW w:w="2694" w:type="dxa"/>
            <w:shd w:val="clear" w:color="auto" w:fill="auto"/>
            <w:noWrap/>
            <w:vAlign w:val="center"/>
            <w:hideMark/>
          </w:tcPr>
          <w:p w14:paraId="46F26843" w14:textId="77777777" w:rsidR="00B33BD0" w:rsidRPr="007F1D90" w:rsidRDefault="00B33BD0" w:rsidP="00AA545D">
            <w:pPr>
              <w:keepNext/>
              <w:spacing w:after="0" w:line="280" w:lineRule="atLeast"/>
              <w:ind w:left="113"/>
              <w:rPr>
                <w:rFonts w:cstheme="minorHAnsi"/>
                <w:bCs/>
                <w:color w:val="000000"/>
                <w:sz w:val="20"/>
                <w:szCs w:val="20"/>
              </w:rPr>
            </w:pPr>
            <w:r>
              <w:rPr>
                <w:rFonts w:cstheme="minorHAnsi"/>
                <w:bCs/>
                <w:color w:val="000000"/>
                <w:sz w:val="20"/>
                <w:szCs w:val="20"/>
              </w:rPr>
              <w:t>Podpora pojištění</w:t>
            </w:r>
          </w:p>
        </w:tc>
        <w:tc>
          <w:tcPr>
            <w:tcW w:w="3316" w:type="dxa"/>
            <w:shd w:val="clear" w:color="auto" w:fill="auto"/>
            <w:noWrap/>
            <w:vAlign w:val="center"/>
          </w:tcPr>
          <w:p w14:paraId="5C969F84" w14:textId="77777777" w:rsidR="00B33BD0" w:rsidRPr="0061038E" w:rsidRDefault="00B33BD0" w:rsidP="00AA545D">
            <w:pPr>
              <w:keepNext/>
              <w:spacing w:after="0" w:line="280" w:lineRule="atLeast"/>
              <w:ind w:left="113" w:right="835"/>
              <w:jc w:val="right"/>
              <w:rPr>
                <w:rFonts w:cstheme="minorHAnsi"/>
                <w:bCs/>
                <w:color w:val="000000"/>
                <w:sz w:val="20"/>
                <w:szCs w:val="20"/>
              </w:rPr>
            </w:pPr>
            <w:r w:rsidRPr="0061038E">
              <w:rPr>
                <w:rFonts w:cstheme="minorHAnsi"/>
                <w:bCs/>
                <w:color w:val="000000"/>
                <w:sz w:val="20"/>
                <w:szCs w:val="20"/>
              </w:rPr>
              <w:t>2</w:t>
            </w:r>
            <w:r w:rsidR="004B6831">
              <w:rPr>
                <w:rFonts w:cstheme="minorHAnsi"/>
                <w:bCs/>
                <w:color w:val="000000"/>
                <w:sz w:val="20"/>
                <w:szCs w:val="20"/>
              </w:rPr>
              <w:t> </w:t>
            </w:r>
            <w:r w:rsidRPr="0061038E">
              <w:rPr>
                <w:rFonts w:cstheme="minorHAnsi"/>
                <w:bCs/>
                <w:color w:val="000000"/>
                <w:sz w:val="20"/>
                <w:szCs w:val="20"/>
              </w:rPr>
              <w:t>2</w:t>
            </w:r>
            <w:r w:rsidR="00591FF3">
              <w:rPr>
                <w:rFonts w:cstheme="minorHAnsi"/>
                <w:bCs/>
                <w:color w:val="000000"/>
                <w:sz w:val="20"/>
                <w:szCs w:val="20"/>
              </w:rPr>
              <w:t>77</w:t>
            </w:r>
            <w:r w:rsidR="004B6831">
              <w:rPr>
                <w:rFonts w:cstheme="minorHAnsi"/>
                <w:bCs/>
                <w:color w:val="000000"/>
                <w:sz w:val="20"/>
                <w:szCs w:val="20"/>
              </w:rPr>
              <w:t xml:space="preserve"> </w:t>
            </w:r>
            <w:r w:rsidR="00591FF3">
              <w:rPr>
                <w:rFonts w:cstheme="minorHAnsi"/>
                <w:bCs/>
                <w:color w:val="000000"/>
                <w:sz w:val="20"/>
                <w:szCs w:val="20"/>
              </w:rPr>
              <w:t>25</w:t>
            </w:r>
            <w:r w:rsidR="00564182">
              <w:rPr>
                <w:rFonts w:cstheme="minorHAnsi"/>
                <w:bCs/>
                <w:color w:val="000000"/>
                <w:sz w:val="20"/>
                <w:szCs w:val="20"/>
              </w:rPr>
              <w:t>4</w:t>
            </w:r>
          </w:p>
        </w:tc>
        <w:tc>
          <w:tcPr>
            <w:tcW w:w="3005" w:type="dxa"/>
            <w:shd w:val="clear" w:color="auto" w:fill="auto"/>
            <w:noWrap/>
            <w:vAlign w:val="center"/>
          </w:tcPr>
          <w:p w14:paraId="1972683E" w14:textId="77777777" w:rsidR="00B33BD0" w:rsidRPr="00602D06" w:rsidRDefault="00602D06" w:rsidP="00AA545D">
            <w:pPr>
              <w:keepNext/>
              <w:spacing w:after="0" w:line="280" w:lineRule="atLeast"/>
              <w:ind w:right="835"/>
              <w:jc w:val="right"/>
              <w:rPr>
                <w:rFonts w:cstheme="minorHAnsi"/>
                <w:bCs/>
                <w:color w:val="000000"/>
                <w:sz w:val="20"/>
                <w:szCs w:val="20"/>
              </w:rPr>
            </w:pPr>
            <w:r w:rsidRPr="00602D06">
              <w:rPr>
                <w:rFonts w:cstheme="minorHAnsi"/>
                <w:bCs/>
                <w:color w:val="000000"/>
                <w:sz w:val="20"/>
                <w:szCs w:val="20"/>
              </w:rPr>
              <w:t>36,6</w:t>
            </w:r>
            <w:r w:rsidR="00B33BD0" w:rsidRPr="00602D06">
              <w:rPr>
                <w:rFonts w:cstheme="minorHAnsi"/>
                <w:bCs/>
                <w:color w:val="000000"/>
                <w:sz w:val="20"/>
                <w:szCs w:val="20"/>
              </w:rPr>
              <w:t xml:space="preserve"> %</w:t>
            </w:r>
          </w:p>
        </w:tc>
      </w:tr>
      <w:tr w:rsidR="00B33BD0" w:rsidRPr="007F1D90" w14:paraId="7DA25EA2" w14:textId="77777777" w:rsidTr="00AA545D">
        <w:trPr>
          <w:trHeight w:val="283"/>
        </w:trPr>
        <w:tc>
          <w:tcPr>
            <w:tcW w:w="2694" w:type="dxa"/>
            <w:shd w:val="clear" w:color="auto" w:fill="auto"/>
            <w:vAlign w:val="center"/>
            <w:hideMark/>
          </w:tcPr>
          <w:p w14:paraId="402B963B" w14:textId="77777777" w:rsidR="00B33BD0" w:rsidRPr="007F1D90" w:rsidRDefault="00B33BD0" w:rsidP="00AA545D">
            <w:pPr>
              <w:keepNext/>
              <w:spacing w:after="0" w:line="280" w:lineRule="atLeast"/>
              <w:ind w:left="113"/>
              <w:rPr>
                <w:rFonts w:cstheme="minorHAnsi"/>
                <w:bCs/>
                <w:color w:val="000000"/>
                <w:sz w:val="20"/>
                <w:szCs w:val="20"/>
              </w:rPr>
            </w:pPr>
            <w:r>
              <w:rPr>
                <w:rFonts w:cstheme="minorHAnsi"/>
                <w:bCs/>
                <w:color w:val="000000"/>
                <w:sz w:val="20"/>
                <w:szCs w:val="20"/>
              </w:rPr>
              <w:t>Úvěry poskytované PGRLF</w:t>
            </w:r>
            <w:r w:rsidR="00B64149">
              <w:rPr>
                <w:rFonts w:cstheme="minorHAnsi"/>
                <w:bCs/>
                <w:color w:val="000000"/>
                <w:sz w:val="20"/>
                <w:szCs w:val="20"/>
              </w:rPr>
              <w:t>*</w:t>
            </w:r>
          </w:p>
        </w:tc>
        <w:tc>
          <w:tcPr>
            <w:tcW w:w="3316" w:type="dxa"/>
            <w:shd w:val="clear" w:color="auto" w:fill="auto"/>
            <w:noWrap/>
            <w:vAlign w:val="center"/>
          </w:tcPr>
          <w:p w14:paraId="632F34E4" w14:textId="77777777" w:rsidR="00B33BD0" w:rsidRPr="007F1D90" w:rsidRDefault="004B6831" w:rsidP="00AA545D">
            <w:pPr>
              <w:keepNext/>
              <w:spacing w:after="0" w:line="280" w:lineRule="atLeast"/>
              <w:ind w:right="835"/>
              <w:jc w:val="right"/>
              <w:rPr>
                <w:rFonts w:cstheme="minorHAnsi"/>
                <w:bCs/>
                <w:color w:val="000000"/>
                <w:sz w:val="20"/>
                <w:szCs w:val="20"/>
              </w:rPr>
            </w:pPr>
            <w:r>
              <w:rPr>
                <w:rFonts w:cstheme="minorHAnsi"/>
                <w:bCs/>
                <w:color w:val="000000"/>
                <w:sz w:val="20"/>
                <w:szCs w:val="20"/>
              </w:rPr>
              <w:t>1 145 564</w:t>
            </w:r>
          </w:p>
        </w:tc>
        <w:tc>
          <w:tcPr>
            <w:tcW w:w="3005" w:type="dxa"/>
            <w:shd w:val="clear" w:color="auto" w:fill="auto"/>
            <w:noWrap/>
            <w:vAlign w:val="center"/>
          </w:tcPr>
          <w:p w14:paraId="250CF867" w14:textId="77777777" w:rsidR="00B33BD0" w:rsidRPr="00602D06" w:rsidRDefault="00602D06" w:rsidP="00AA545D">
            <w:pPr>
              <w:keepNext/>
              <w:spacing w:after="0" w:line="280" w:lineRule="atLeast"/>
              <w:ind w:right="835"/>
              <w:jc w:val="right"/>
              <w:rPr>
                <w:rFonts w:cstheme="minorHAnsi"/>
                <w:bCs/>
                <w:color w:val="000000"/>
                <w:sz w:val="20"/>
                <w:szCs w:val="20"/>
              </w:rPr>
            </w:pPr>
            <w:r w:rsidRPr="00602D06">
              <w:rPr>
                <w:rFonts w:cstheme="minorHAnsi"/>
                <w:bCs/>
                <w:color w:val="000000"/>
                <w:sz w:val="20"/>
                <w:szCs w:val="20"/>
              </w:rPr>
              <w:t>18,4</w:t>
            </w:r>
            <w:r w:rsidR="00B33BD0" w:rsidRPr="00602D06">
              <w:rPr>
                <w:rFonts w:cstheme="minorHAnsi"/>
                <w:bCs/>
                <w:color w:val="000000"/>
                <w:sz w:val="20"/>
                <w:szCs w:val="20"/>
              </w:rPr>
              <w:t xml:space="preserve"> %</w:t>
            </w:r>
          </w:p>
        </w:tc>
      </w:tr>
      <w:tr w:rsidR="00B33BD0" w:rsidRPr="007F1D90" w14:paraId="06903B8F" w14:textId="77777777" w:rsidTr="00AA545D">
        <w:trPr>
          <w:trHeight w:val="283"/>
        </w:trPr>
        <w:tc>
          <w:tcPr>
            <w:tcW w:w="2694" w:type="dxa"/>
            <w:shd w:val="clear" w:color="auto" w:fill="E7E6E6" w:themeFill="background2"/>
            <w:noWrap/>
            <w:vAlign w:val="center"/>
            <w:hideMark/>
          </w:tcPr>
          <w:p w14:paraId="5915572C" w14:textId="77777777" w:rsidR="00B33BD0" w:rsidRPr="007F1D90" w:rsidRDefault="00B33BD0" w:rsidP="00AA545D">
            <w:pPr>
              <w:keepNext/>
              <w:spacing w:after="0" w:line="280" w:lineRule="atLeast"/>
              <w:ind w:left="113"/>
              <w:rPr>
                <w:rFonts w:cstheme="minorHAnsi"/>
                <w:b/>
                <w:bCs/>
                <w:color w:val="000000"/>
                <w:sz w:val="20"/>
                <w:szCs w:val="20"/>
              </w:rPr>
            </w:pPr>
            <w:r w:rsidRPr="007F1D90">
              <w:rPr>
                <w:rFonts w:cstheme="minorHAnsi"/>
                <w:b/>
                <w:bCs/>
                <w:color w:val="000000"/>
                <w:sz w:val="20"/>
                <w:szCs w:val="20"/>
              </w:rPr>
              <w:t>Celk</w:t>
            </w:r>
            <w:r>
              <w:rPr>
                <w:rFonts w:cstheme="minorHAnsi"/>
                <w:b/>
                <w:bCs/>
                <w:color w:val="000000"/>
                <w:sz w:val="20"/>
                <w:szCs w:val="20"/>
              </w:rPr>
              <w:t>em</w:t>
            </w:r>
          </w:p>
        </w:tc>
        <w:tc>
          <w:tcPr>
            <w:tcW w:w="3316" w:type="dxa"/>
            <w:shd w:val="clear" w:color="auto" w:fill="E7E6E6" w:themeFill="background2"/>
            <w:noWrap/>
            <w:vAlign w:val="center"/>
          </w:tcPr>
          <w:p w14:paraId="22BE2999" w14:textId="77777777" w:rsidR="00B33BD0" w:rsidRPr="003B1190" w:rsidRDefault="004B6831" w:rsidP="00AA545D">
            <w:pPr>
              <w:keepNext/>
              <w:spacing w:after="0" w:line="280" w:lineRule="atLeast"/>
              <w:ind w:left="113" w:right="835"/>
              <w:jc w:val="right"/>
              <w:rPr>
                <w:rFonts w:cstheme="minorHAnsi"/>
                <w:b/>
                <w:bCs/>
                <w:color w:val="000000"/>
                <w:sz w:val="20"/>
                <w:szCs w:val="20"/>
              </w:rPr>
            </w:pPr>
            <w:r>
              <w:rPr>
                <w:rFonts w:cstheme="minorHAnsi"/>
                <w:b/>
                <w:bCs/>
                <w:color w:val="000000"/>
                <w:sz w:val="20"/>
                <w:szCs w:val="20"/>
              </w:rPr>
              <w:t>6</w:t>
            </w:r>
            <w:r w:rsidR="00B33BD0" w:rsidRPr="003B1190">
              <w:rPr>
                <w:rFonts w:cstheme="minorHAnsi"/>
                <w:b/>
                <w:bCs/>
                <w:color w:val="000000"/>
                <w:sz w:val="20"/>
                <w:szCs w:val="20"/>
              </w:rPr>
              <w:t xml:space="preserve"> </w:t>
            </w:r>
            <w:r>
              <w:rPr>
                <w:rFonts w:cstheme="minorHAnsi"/>
                <w:b/>
                <w:bCs/>
                <w:color w:val="000000"/>
                <w:sz w:val="20"/>
                <w:szCs w:val="20"/>
              </w:rPr>
              <w:t>216</w:t>
            </w:r>
            <w:r w:rsidR="00B33BD0" w:rsidRPr="003B1190">
              <w:rPr>
                <w:rFonts w:cstheme="minorHAnsi"/>
                <w:b/>
                <w:bCs/>
                <w:color w:val="000000"/>
                <w:sz w:val="20"/>
                <w:szCs w:val="20"/>
              </w:rPr>
              <w:t> </w:t>
            </w:r>
            <w:r w:rsidR="00564182">
              <w:rPr>
                <w:rFonts w:cstheme="minorHAnsi"/>
                <w:b/>
                <w:bCs/>
                <w:color w:val="000000"/>
                <w:sz w:val="20"/>
                <w:szCs w:val="20"/>
              </w:rPr>
              <w:t>608</w:t>
            </w:r>
          </w:p>
        </w:tc>
        <w:tc>
          <w:tcPr>
            <w:tcW w:w="3005" w:type="dxa"/>
            <w:shd w:val="clear" w:color="auto" w:fill="E7E6E6" w:themeFill="background2"/>
            <w:noWrap/>
            <w:vAlign w:val="center"/>
          </w:tcPr>
          <w:p w14:paraId="744E9AA9" w14:textId="167438AB" w:rsidR="00B33BD0" w:rsidRPr="007F1D90" w:rsidRDefault="00AA545D" w:rsidP="00AA545D">
            <w:pPr>
              <w:keepNext/>
              <w:spacing w:after="0" w:line="280" w:lineRule="atLeast"/>
              <w:ind w:right="835"/>
              <w:jc w:val="right"/>
              <w:rPr>
                <w:rFonts w:cstheme="minorHAnsi"/>
                <w:b/>
                <w:bCs/>
                <w:color w:val="000000"/>
                <w:sz w:val="20"/>
                <w:szCs w:val="20"/>
              </w:rPr>
            </w:pPr>
            <w:r>
              <w:rPr>
                <w:rFonts w:cstheme="minorHAnsi"/>
                <w:b/>
                <w:bCs/>
                <w:color w:val="000000"/>
                <w:sz w:val="20"/>
                <w:szCs w:val="20"/>
              </w:rPr>
              <w:t>100 %</w:t>
            </w:r>
          </w:p>
        </w:tc>
      </w:tr>
    </w:tbl>
    <w:p w14:paraId="6649A1A8" w14:textId="28B2539D" w:rsidR="00B33BD0" w:rsidRDefault="00B33BD0" w:rsidP="00AA545D">
      <w:pPr>
        <w:keepNext/>
        <w:spacing w:before="40" w:after="0" w:line="240" w:lineRule="auto"/>
        <w:ind w:left="567" w:hanging="567"/>
        <w:jc w:val="both"/>
        <w:rPr>
          <w:rFonts w:cstheme="minorHAnsi"/>
          <w:sz w:val="20"/>
          <w:szCs w:val="20"/>
        </w:rPr>
      </w:pPr>
      <w:r w:rsidRPr="007F1D90">
        <w:rPr>
          <w:rFonts w:cstheme="minorHAnsi"/>
          <w:b/>
          <w:sz w:val="20"/>
          <w:szCs w:val="20"/>
        </w:rPr>
        <w:t>Zdroj:</w:t>
      </w:r>
      <w:r w:rsidR="00C869FD">
        <w:rPr>
          <w:rFonts w:cstheme="minorHAnsi"/>
          <w:sz w:val="20"/>
          <w:szCs w:val="20"/>
        </w:rPr>
        <w:t xml:space="preserve"> </w:t>
      </w:r>
      <w:r w:rsidR="001D507F">
        <w:rPr>
          <w:rFonts w:cstheme="minorHAnsi"/>
          <w:sz w:val="20"/>
          <w:szCs w:val="20"/>
        </w:rPr>
        <w:t>v</w:t>
      </w:r>
      <w:r w:rsidR="00C869FD">
        <w:rPr>
          <w:rFonts w:cstheme="minorHAnsi"/>
          <w:sz w:val="20"/>
          <w:szCs w:val="20"/>
        </w:rPr>
        <w:t>ýroční zpráva</w:t>
      </w:r>
      <w:r w:rsidR="00602D06">
        <w:rPr>
          <w:rFonts w:cstheme="minorHAnsi"/>
          <w:sz w:val="20"/>
          <w:szCs w:val="20"/>
        </w:rPr>
        <w:t xml:space="preserve"> PGRLF</w:t>
      </w:r>
      <w:r w:rsidR="00C869FD">
        <w:rPr>
          <w:rFonts w:cstheme="minorHAnsi"/>
          <w:sz w:val="20"/>
          <w:szCs w:val="20"/>
        </w:rPr>
        <w:t xml:space="preserve"> za rok 2018</w:t>
      </w:r>
      <w:r w:rsidR="00242BDA">
        <w:rPr>
          <w:rFonts w:cstheme="minorHAnsi"/>
          <w:sz w:val="20"/>
          <w:szCs w:val="20"/>
        </w:rPr>
        <w:t>.</w:t>
      </w:r>
    </w:p>
    <w:p w14:paraId="31CB9987" w14:textId="5C3E7F08" w:rsidR="00B64149" w:rsidRDefault="00B64149" w:rsidP="008A1186">
      <w:pPr>
        <w:spacing w:after="0" w:line="240" w:lineRule="auto"/>
        <w:ind w:left="567" w:hanging="567"/>
        <w:jc w:val="both"/>
        <w:rPr>
          <w:rFonts w:cstheme="minorHAnsi"/>
          <w:sz w:val="20"/>
          <w:szCs w:val="20"/>
        </w:rPr>
      </w:pPr>
      <w:r w:rsidRPr="00B64149">
        <w:rPr>
          <w:rFonts w:cstheme="minorHAnsi"/>
          <w:bCs/>
          <w:sz w:val="20"/>
          <w:szCs w:val="20"/>
        </w:rPr>
        <w:t>*</w:t>
      </w:r>
      <w:r>
        <w:rPr>
          <w:rFonts w:cstheme="minorHAnsi"/>
          <w:bCs/>
          <w:sz w:val="20"/>
          <w:szCs w:val="20"/>
        </w:rPr>
        <w:t xml:space="preserve"> </w:t>
      </w:r>
      <w:r w:rsidR="001D507F">
        <w:rPr>
          <w:rFonts w:cstheme="minorHAnsi"/>
          <w:bCs/>
          <w:sz w:val="20"/>
          <w:szCs w:val="20"/>
        </w:rPr>
        <w:t>Č</w:t>
      </w:r>
      <w:r>
        <w:rPr>
          <w:rFonts w:cstheme="minorHAnsi"/>
          <w:bCs/>
          <w:sz w:val="20"/>
          <w:szCs w:val="20"/>
        </w:rPr>
        <w:t>ástka včetně hodnoty poskytovaných úvěrů (jistiny)</w:t>
      </w:r>
      <w:r w:rsidR="00242BDA">
        <w:rPr>
          <w:rFonts w:cstheme="minorHAnsi"/>
          <w:bCs/>
          <w:sz w:val="20"/>
          <w:szCs w:val="20"/>
        </w:rPr>
        <w:t>.</w:t>
      </w:r>
    </w:p>
    <w:p w14:paraId="6ACD8E4E" w14:textId="77777777" w:rsidR="00506CA0" w:rsidRDefault="00506CA0" w:rsidP="00EE0546">
      <w:pPr>
        <w:spacing w:after="0" w:line="240" w:lineRule="auto"/>
        <w:jc w:val="both"/>
        <w:rPr>
          <w:rFonts w:cstheme="minorHAnsi"/>
          <w:b/>
          <w:sz w:val="24"/>
          <w:szCs w:val="24"/>
        </w:rPr>
      </w:pPr>
    </w:p>
    <w:p w14:paraId="6AD9445D" w14:textId="7DAF0D46" w:rsidR="00417387" w:rsidRPr="00AD612D" w:rsidRDefault="002B6215" w:rsidP="00EE0546">
      <w:pPr>
        <w:pStyle w:val="Odstavecseseznamem"/>
        <w:numPr>
          <w:ilvl w:val="0"/>
          <w:numId w:val="3"/>
        </w:numPr>
        <w:tabs>
          <w:tab w:val="left" w:pos="426"/>
        </w:tabs>
        <w:spacing w:after="0" w:line="240" w:lineRule="auto"/>
        <w:ind w:left="0" w:firstLine="0"/>
        <w:contextualSpacing w:val="0"/>
        <w:jc w:val="both"/>
        <w:rPr>
          <w:rFonts w:cstheme="minorHAnsi"/>
          <w:sz w:val="24"/>
          <w:szCs w:val="24"/>
        </w:rPr>
      </w:pPr>
      <w:r w:rsidRPr="00417387">
        <w:rPr>
          <w:rFonts w:cstheme="minorHAnsi"/>
          <w:sz w:val="24"/>
          <w:szCs w:val="24"/>
        </w:rPr>
        <w:t xml:space="preserve">Činnost PGRLF se zaměřuje především na poskytování finančních </w:t>
      </w:r>
      <w:r w:rsidR="003845F0">
        <w:rPr>
          <w:rFonts w:cstheme="minorHAnsi"/>
          <w:sz w:val="24"/>
          <w:szCs w:val="24"/>
        </w:rPr>
        <w:t xml:space="preserve">podpor </w:t>
      </w:r>
      <w:r w:rsidRPr="00417387">
        <w:rPr>
          <w:rFonts w:cstheme="minorHAnsi"/>
          <w:sz w:val="24"/>
          <w:szCs w:val="24"/>
        </w:rPr>
        <w:t xml:space="preserve">podnikatelským subjektům v sektoru zemědělské prvovýroby, zpracování zemědělských produktů či lesního hospodářství a zpracování </w:t>
      </w:r>
      <w:r w:rsidRPr="003845F0">
        <w:rPr>
          <w:rFonts w:cstheme="minorHAnsi"/>
          <w:sz w:val="24"/>
          <w:szCs w:val="24"/>
        </w:rPr>
        <w:t xml:space="preserve">dřeva. </w:t>
      </w:r>
      <w:r w:rsidR="0035245E" w:rsidRPr="003845F0">
        <w:rPr>
          <w:rFonts w:cstheme="minorHAnsi"/>
          <w:sz w:val="24"/>
          <w:szCs w:val="24"/>
        </w:rPr>
        <w:t xml:space="preserve">Některé podpory poskytuje také obcím a dobrovolným svazkům obcí ve venkovských oblastech. </w:t>
      </w:r>
      <w:r w:rsidR="00417387" w:rsidRPr="003845F0">
        <w:rPr>
          <w:rFonts w:cstheme="minorHAnsi"/>
          <w:sz w:val="24"/>
          <w:szCs w:val="24"/>
        </w:rPr>
        <w:t>Programy</w:t>
      </w:r>
      <w:r w:rsidR="00417387" w:rsidRPr="00AD612D">
        <w:rPr>
          <w:rFonts w:cstheme="minorHAnsi"/>
          <w:sz w:val="24"/>
          <w:szCs w:val="24"/>
        </w:rPr>
        <w:t xml:space="preserve"> podpor </w:t>
      </w:r>
      <w:r w:rsidR="00766DB6">
        <w:rPr>
          <w:rFonts w:cstheme="minorHAnsi"/>
          <w:sz w:val="24"/>
          <w:szCs w:val="24"/>
        </w:rPr>
        <w:t xml:space="preserve">rozdělené do tří oblastí (viz </w:t>
      </w:r>
      <w:r w:rsidR="001D507F">
        <w:rPr>
          <w:rFonts w:cstheme="minorHAnsi"/>
          <w:sz w:val="24"/>
          <w:szCs w:val="24"/>
        </w:rPr>
        <w:t>t</w:t>
      </w:r>
      <w:r w:rsidR="00766DB6">
        <w:rPr>
          <w:rFonts w:cstheme="minorHAnsi"/>
          <w:sz w:val="24"/>
          <w:szCs w:val="24"/>
        </w:rPr>
        <w:t>abulka č. 1)</w:t>
      </w:r>
      <w:r w:rsidR="006E74E5">
        <w:rPr>
          <w:rFonts w:cstheme="minorHAnsi"/>
          <w:sz w:val="24"/>
          <w:szCs w:val="24"/>
        </w:rPr>
        <w:t xml:space="preserve"> </w:t>
      </w:r>
      <w:r w:rsidR="00766DB6">
        <w:rPr>
          <w:rFonts w:cstheme="minorHAnsi"/>
          <w:sz w:val="24"/>
          <w:szCs w:val="24"/>
        </w:rPr>
        <w:t>lze stručně charakterizovat takto</w:t>
      </w:r>
      <w:r w:rsidR="00417387" w:rsidRPr="00AD612D">
        <w:rPr>
          <w:rFonts w:cstheme="minorHAnsi"/>
          <w:sz w:val="24"/>
          <w:szCs w:val="24"/>
        </w:rPr>
        <w:t>:</w:t>
      </w:r>
    </w:p>
    <w:p w14:paraId="2C2091B5" w14:textId="77777777" w:rsidR="00417387" w:rsidRPr="00417387" w:rsidRDefault="00417387" w:rsidP="00EE0546">
      <w:pPr>
        <w:pStyle w:val="Odstavecseseznamem"/>
        <w:numPr>
          <w:ilvl w:val="0"/>
          <w:numId w:val="8"/>
        </w:numPr>
        <w:spacing w:after="0" w:line="240" w:lineRule="auto"/>
        <w:ind w:left="426" w:hanging="426"/>
        <w:contextualSpacing w:val="0"/>
        <w:jc w:val="both"/>
        <w:rPr>
          <w:rFonts w:cstheme="minorHAnsi"/>
          <w:sz w:val="24"/>
          <w:szCs w:val="24"/>
        </w:rPr>
      </w:pPr>
      <w:r w:rsidRPr="00C72C4B">
        <w:rPr>
          <w:rFonts w:cstheme="minorHAnsi"/>
          <w:b/>
          <w:sz w:val="24"/>
          <w:szCs w:val="24"/>
        </w:rPr>
        <w:t>Podpora komerčních úvěrů</w:t>
      </w:r>
      <w:r w:rsidRPr="00966BE2">
        <w:rPr>
          <w:rFonts w:cstheme="minorHAnsi"/>
          <w:sz w:val="24"/>
          <w:szCs w:val="24"/>
        </w:rPr>
        <w:t xml:space="preserve"> –</w:t>
      </w:r>
      <w:r w:rsidR="003845F0">
        <w:rPr>
          <w:rFonts w:cstheme="minorHAnsi"/>
          <w:sz w:val="24"/>
          <w:szCs w:val="24"/>
        </w:rPr>
        <w:t xml:space="preserve"> </w:t>
      </w:r>
      <w:r w:rsidRPr="00966BE2">
        <w:rPr>
          <w:rFonts w:cstheme="minorHAnsi"/>
          <w:sz w:val="24"/>
          <w:szCs w:val="24"/>
        </w:rPr>
        <w:t>poskytování finančních prostředků určených pro snížení úrokového zatížení</w:t>
      </w:r>
      <w:r w:rsidR="003845F0">
        <w:rPr>
          <w:rFonts w:cstheme="minorHAnsi"/>
          <w:sz w:val="24"/>
          <w:szCs w:val="24"/>
        </w:rPr>
        <w:t xml:space="preserve">, </w:t>
      </w:r>
      <w:r w:rsidRPr="00966BE2">
        <w:rPr>
          <w:rFonts w:cstheme="minorHAnsi"/>
          <w:sz w:val="24"/>
          <w:szCs w:val="24"/>
        </w:rPr>
        <w:t xml:space="preserve">od roku 2015 finanční podpora pro snížení jistiny komerčních úvěrů na nákup půdy. </w:t>
      </w:r>
    </w:p>
    <w:p w14:paraId="78829236" w14:textId="4FD47A9A" w:rsidR="00417387" w:rsidRPr="00E7405F" w:rsidRDefault="00417387" w:rsidP="00EE0546">
      <w:pPr>
        <w:pStyle w:val="Odstavecseseznamem"/>
        <w:numPr>
          <w:ilvl w:val="0"/>
          <w:numId w:val="8"/>
        </w:numPr>
        <w:spacing w:after="0" w:line="240" w:lineRule="auto"/>
        <w:ind w:left="426" w:hanging="426"/>
        <w:contextualSpacing w:val="0"/>
        <w:jc w:val="both"/>
        <w:rPr>
          <w:rFonts w:cstheme="minorHAnsi"/>
          <w:sz w:val="24"/>
          <w:szCs w:val="24"/>
        </w:rPr>
      </w:pPr>
      <w:r>
        <w:rPr>
          <w:rFonts w:cstheme="minorHAnsi"/>
          <w:b/>
          <w:sz w:val="24"/>
          <w:szCs w:val="24"/>
        </w:rPr>
        <w:t>P</w:t>
      </w:r>
      <w:r w:rsidRPr="00E7405F">
        <w:rPr>
          <w:rFonts w:cstheme="minorHAnsi"/>
          <w:b/>
          <w:sz w:val="24"/>
          <w:szCs w:val="24"/>
        </w:rPr>
        <w:t>odpora pojištění</w:t>
      </w:r>
      <w:r w:rsidRPr="00E7405F">
        <w:rPr>
          <w:rFonts w:cstheme="minorHAnsi"/>
          <w:sz w:val="24"/>
          <w:szCs w:val="24"/>
        </w:rPr>
        <w:t xml:space="preserve"> – </w:t>
      </w:r>
      <w:r w:rsidR="003845F0">
        <w:rPr>
          <w:rFonts w:cstheme="minorHAnsi"/>
          <w:sz w:val="24"/>
          <w:szCs w:val="24"/>
        </w:rPr>
        <w:t>poskytování finančních prostředků jako částečná kompenzace pojistného vynaloženého na zemědělské pojištění. C</w:t>
      </w:r>
      <w:r w:rsidRPr="00E7405F">
        <w:rPr>
          <w:rFonts w:cstheme="minorHAnsi"/>
          <w:sz w:val="24"/>
          <w:szCs w:val="24"/>
        </w:rPr>
        <w:t xml:space="preserve">ílem je zpřístupnění pojistné ochrany širokému okruhu zemědělců a tím dosažení vyššího zajištění podnikatelských aktivit proti nepředvídatelným rizikům. </w:t>
      </w:r>
    </w:p>
    <w:p w14:paraId="44300A11" w14:textId="77777777" w:rsidR="0035245E" w:rsidRPr="00A87FF6" w:rsidRDefault="00417387" w:rsidP="00EE0546">
      <w:pPr>
        <w:pStyle w:val="Odstavecseseznamem"/>
        <w:numPr>
          <w:ilvl w:val="0"/>
          <w:numId w:val="8"/>
        </w:numPr>
        <w:spacing w:after="0" w:line="240" w:lineRule="auto"/>
        <w:ind w:left="425" w:hanging="425"/>
        <w:contextualSpacing w:val="0"/>
        <w:jc w:val="both"/>
        <w:rPr>
          <w:rFonts w:cstheme="minorHAnsi"/>
          <w:sz w:val="24"/>
          <w:szCs w:val="24"/>
        </w:rPr>
      </w:pPr>
      <w:r w:rsidRPr="0035245E">
        <w:rPr>
          <w:rFonts w:cstheme="minorHAnsi"/>
          <w:b/>
          <w:sz w:val="24"/>
          <w:szCs w:val="24"/>
        </w:rPr>
        <w:t>Úvěry poskytované PGRLF</w:t>
      </w:r>
      <w:r w:rsidRPr="0035245E">
        <w:rPr>
          <w:rFonts w:cstheme="minorHAnsi"/>
          <w:sz w:val="24"/>
          <w:szCs w:val="24"/>
        </w:rPr>
        <w:t xml:space="preserve"> – </w:t>
      </w:r>
      <w:r w:rsidR="00A87FF6" w:rsidRPr="0035245E">
        <w:rPr>
          <w:rFonts w:cstheme="minorHAnsi"/>
          <w:sz w:val="24"/>
          <w:szCs w:val="24"/>
        </w:rPr>
        <w:t xml:space="preserve">poskytování úročených úvěrů přímo PGRLF </w:t>
      </w:r>
      <w:r w:rsidR="00A87FF6">
        <w:rPr>
          <w:rFonts w:cstheme="minorHAnsi"/>
          <w:sz w:val="24"/>
          <w:szCs w:val="24"/>
        </w:rPr>
        <w:t xml:space="preserve">jako </w:t>
      </w:r>
      <w:r w:rsidRPr="0035245E">
        <w:rPr>
          <w:rFonts w:cstheme="minorHAnsi"/>
          <w:sz w:val="24"/>
          <w:szCs w:val="24"/>
        </w:rPr>
        <w:t>podpora nákupu zemědělské půdy, podpora zemědělských farem při zaměstnávání znevýhodněných osob na trhu práce, na pořízení investičního majetku</w:t>
      </w:r>
      <w:r w:rsidR="0035245E">
        <w:rPr>
          <w:rFonts w:cstheme="minorHAnsi"/>
          <w:sz w:val="24"/>
          <w:szCs w:val="24"/>
        </w:rPr>
        <w:t xml:space="preserve"> či provozní úvěry</w:t>
      </w:r>
      <w:r w:rsidRPr="0035245E">
        <w:rPr>
          <w:rFonts w:cstheme="minorHAnsi"/>
          <w:sz w:val="24"/>
          <w:szCs w:val="24"/>
        </w:rPr>
        <w:t xml:space="preserve">. </w:t>
      </w:r>
    </w:p>
    <w:p w14:paraId="0350368E" w14:textId="77777777" w:rsidR="00EE0546" w:rsidRDefault="00EE0546" w:rsidP="00EE0546">
      <w:pPr>
        <w:spacing w:after="0" w:line="240" w:lineRule="auto"/>
        <w:jc w:val="both"/>
        <w:rPr>
          <w:rFonts w:cstheme="minorHAnsi"/>
          <w:sz w:val="24"/>
          <w:szCs w:val="24"/>
        </w:rPr>
      </w:pPr>
    </w:p>
    <w:p w14:paraId="01FF101C" w14:textId="3FFC1348" w:rsidR="00460D94" w:rsidRDefault="00766DB6" w:rsidP="00EE0546">
      <w:pPr>
        <w:spacing w:after="0" w:line="240" w:lineRule="auto"/>
        <w:jc w:val="both"/>
        <w:rPr>
          <w:rFonts w:cstheme="minorHAnsi"/>
          <w:sz w:val="24"/>
          <w:szCs w:val="24"/>
        </w:rPr>
      </w:pPr>
      <w:r>
        <w:rPr>
          <w:rFonts w:cstheme="minorHAnsi"/>
          <w:sz w:val="24"/>
          <w:szCs w:val="24"/>
        </w:rPr>
        <w:t>P</w:t>
      </w:r>
      <w:r w:rsidR="00A74DB7" w:rsidRPr="00A74DB7">
        <w:rPr>
          <w:rFonts w:cstheme="minorHAnsi"/>
          <w:sz w:val="24"/>
          <w:szCs w:val="24"/>
        </w:rPr>
        <w:t xml:space="preserve">odrobnější specifikace </w:t>
      </w:r>
      <w:r>
        <w:rPr>
          <w:rFonts w:cstheme="minorHAnsi"/>
          <w:sz w:val="24"/>
          <w:szCs w:val="24"/>
        </w:rPr>
        <w:t xml:space="preserve">programů podpor </w:t>
      </w:r>
      <w:r w:rsidR="00A74DB7" w:rsidRPr="00A74DB7">
        <w:rPr>
          <w:rFonts w:cstheme="minorHAnsi"/>
          <w:sz w:val="24"/>
          <w:szCs w:val="24"/>
        </w:rPr>
        <w:t>je uvedena v příloze</w:t>
      </w:r>
      <w:r w:rsidR="001D507F">
        <w:rPr>
          <w:rFonts w:cstheme="minorHAnsi"/>
          <w:sz w:val="24"/>
          <w:szCs w:val="24"/>
        </w:rPr>
        <w:t xml:space="preserve"> č. 1 tohoto kontrolního závěru</w:t>
      </w:r>
      <w:r w:rsidR="00A74DB7" w:rsidRPr="00A74DB7">
        <w:rPr>
          <w:rFonts w:cstheme="minorHAnsi"/>
          <w:sz w:val="24"/>
          <w:szCs w:val="24"/>
        </w:rPr>
        <w:t>.</w:t>
      </w:r>
    </w:p>
    <w:p w14:paraId="3119C529" w14:textId="77777777" w:rsidR="00244C4A" w:rsidRDefault="00244C4A" w:rsidP="00EE0546">
      <w:pPr>
        <w:spacing w:after="0" w:line="240" w:lineRule="auto"/>
        <w:jc w:val="both"/>
        <w:rPr>
          <w:rFonts w:cstheme="minorHAnsi"/>
          <w:b/>
          <w:sz w:val="24"/>
          <w:szCs w:val="24"/>
        </w:rPr>
      </w:pPr>
    </w:p>
    <w:p w14:paraId="4DE97094" w14:textId="61BA32B1" w:rsidR="00487D1F" w:rsidRDefault="00506CA0" w:rsidP="00EE0546">
      <w:pPr>
        <w:spacing w:after="0" w:line="240" w:lineRule="auto"/>
        <w:jc w:val="both"/>
        <w:rPr>
          <w:rFonts w:cstheme="minorHAnsi"/>
          <w:b/>
          <w:sz w:val="24"/>
          <w:szCs w:val="24"/>
        </w:rPr>
      </w:pPr>
      <w:r>
        <w:rPr>
          <w:rFonts w:cstheme="minorHAnsi"/>
          <w:b/>
          <w:sz w:val="24"/>
          <w:szCs w:val="24"/>
        </w:rPr>
        <w:t xml:space="preserve">Proces poskytování </w:t>
      </w:r>
      <w:r w:rsidR="006000A5">
        <w:rPr>
          <w:rFonts w:cstheme="minorHAnsi"/>
          <w:b/>
          <w:sz w:val="24"/>
          <w:szCs w:val="24"/>
        </w:rPr>
        <w:t>podpor</w:t>
      </w:r>
    </w:p>
    <w:p w14:paraId="3F37A6C4" w14:textId="77777777" w:rsidR="00EE0546" w:rsidRPr="00EE0546" w:rsidRDefault="00EE0546" w:rsidP="00EE0546">
      <w:pPr>
        <w:spacing w:after="0" w:line="240" w:lineRule="auto"/>
        <w:jc w:val="both"/>
        <w:rPr>
          <w:rFonts w:cstheme="minorHAnsi"/>
          <w:sz w:val="24"/>
          <w:szCs w:val="24"/>
        </w:rPr>
      </w:pPr>
    </w:p>
    <w:p w14:paraId="0F90CA1D" w14:textId="2478E0EE" w:rsidR="002120A8" w:rsidRDefault="00487D1F" w:rsidP="00EE0546">
      <w:pPr>
        <w:pStyle w:val="Odstavecseseznamem"/>
        <w:keepNext/>
        <w:numPr>
          <w:ilvl w:val="0"/>
          <w:numId w:val="3"/>
        </w:numPr>
        <w:tabs>
          <w:tab w:val="left" w:pos="426"/>
        </w:tabs>
        <w:spacing w:after="0" w:line="240" w:lineRule="auto"/>
        <w:ind w:left="0" w:firstLine="0"/>
        <w:contextualSpacing w:val="0"/>
        <w:jc w:val="both"/>
        <w:rPr>
          <w:rFonts w:cstheme="minorHAnsi"/>
          <w:sz w:val="24"/>
          <w:szCs w:val="24"/>
        </w:rPr>
      </w:pPr>
      <w:proofErr w:type="spellStart"/>
      <w:r w:rsidRPr="00784B49">
        <w:rPr>
          <w:rFonts w:cstheme="minorHAnsi"/>
          <w:sz w:val="24"/>
          <w:szCs w:val="24"/>
        </w:rPr>
        <w:t>MZe</w:t>
      </w:r>
      <w:proofErr w:type="spellEnd"/>
      <w:r w:rsidRPr="00784B49">
        <w:rPr>
          <w:rFonts w:cstheme="minorHAnsi"/>
          <w:sz w:val="24"/>
          <w:szCs w:val="24"/>
        </w:rPr>
        <w:t xml:space="preserve"> přiděluje PGRLF </w:t>
      </w:r>
      <w:r w:rsidR="001B7213">
        <w:rPr>
          <w:rFonts w:cstheme="minorHAnsi"/>
          <w:sz w:val="24"/>
          <w:szCs w:val="24"/>
        </w:rPr>
        <w:t xml:space="preserve">prostředky na poskytování podpor </w:t>
      </w:r>
      <w:r w:rsidR="006C4822">
        <w:rPr>
          <w:rFonts w:cstheme="minorHAnsi"/>
          <w:sz w:val="24"/>
          <w:szCs w:val="24"/>
        </w:rPr>
        <w:t>na základě rozhodnutí o </w:t>
      </w:r>
      <w:r w:rsidRPr="00784B49">
        <w:rPr>
          <w:rFonts w:cstheme="minorHAnsi"/>
          <w:sz w:val="24"/>
          <w:szCs w:val="24"/>
        </w:rPr>
        <w:t>poskytnutí dotace dle rozpočtových pravid</w:t>
      </w:r>
      <w:r w:rsidR="00532CC8">
        <w:rPr>
          <w:rFonts w:cstheme="minorHAnsi"/>
          <w:sz w:val="24"/>
          <w:szCs w:val="24"/>
        </w:rPr>
        <w:t>e</w:t>
      </w:r>
      <w:r w:rsidRPr="00784B49">
        <w:rPr>
          <w:rFonts w:cstheme="minorHAnsi"/>
          <w:sz w:val="24"/>
          <w:szCs w:val="24"/>
        </w:rPr>
        <w:t>l</w:t>
      </w:r>
      <w:r w:rsidRPr="000C75AA">
        <w:rPr>
          <w:vertAlign w:val="superscript"/>
        </w:rPr>
        <w:footnoteReference w:id="6"/>
      </w:r>
      <w:r w:rsidR="000C75AA" w:rsidRPr="00784B49">
        <w:rPr>
          <w:rFonts w:cstheme="minorHAnsi"/>
          <w:sz w:val="24"/>
          <w:szCs w:val="24"/>
        </w:rPr>
        <w:t>.</w:t>
      </w:r>
      <w:r w:rsidRPr="00784B49">
        <w:rPr>
          <w:rFonts w:cstheme="minorHAnsi"/>
          <w:sz w:val="24"/>
          <w:szCs w:val="24"/>
        </w:rPr>
        <w:t xml:space="preserve"> </w:t>
      </w:r>
      <w:r w:rsidR="00771804" w:rsidRPr="00784B49">
        <w:rPr>
          <w:rFonts w:cstheme="minorHAnsi"/>
          <w:sz w:val="24"/>
          <w:szCs w:val="24"/>
        </w:rPr>
        <w:t>V</w:t>
      </w:r>
      <w:r w:rsidRPr="00784B49">
        <w:rPr>
          <w:rFonts w:cstheme="minorHAnsi"/>
          <w:sz w:val="24"/>
          <w:szCs w:val="24"/>
        </w:rPr>
        <w:t> letech 2014</w:t>
      </w:r>
      <w:r w:rsidR="006C4822" w:rsidRPr="0035245E">
        <w:rPr>
          <w:rFonts w:cstheme="minorHAnsi"/>
          <w:sz w:val="24"/>
          <w:szCs w:val="24"/>
        </w:rPr>
        <w:t>–</w:t>
      </w:r>
      <w:r w:rsidRPr="00784B49">
        <w:rPr>
          <w:rFonts w:cstheme="minorHAnsi"/>
          <w:sz w:val="24"/>
          <w:szCs w:val="24"/>
        </w:rPr>
        <w:t>2018</w:t>
      </w:r>
      <w:r w:rsidR="00771804" w:rsidRPr="00784B49">
        <w:rPr>
          <w:rFonts w:cstheme="minorHAnsi"/>
          <w:sz w:val="24"/>
          <w:szCs w:val="24"/>
        </w:rPr>
        <w:t xml:space="preserve"> poskytlo </w:t>
      </w:r>
      <w:proofErr w:type="spellStart"/>
      <w:r w:rsidR="00771804" w:rsidRPr="00784B49">
        <w:rPr>
          <w:rFonts w:cstheme="minorHAnsi"/>
          <w:sz w:val="24"/>
          <w:szCs w:val="24"/>
        </w:rPr>
        <w:t>MZe</w:t>
      </w:r>
      <w:proofErr w:type="spellEnd"/>
      <w:r w:rsidRPr="00784B49">
        <w:rPr>
          <w:rFonts w:cstheme="minorHAnsi"/>
          <w:sz w:val="24"/>
          <w:szCs w:val="24"/>
        </w:rPr>
        <w:t xml:space="preserve"> PGRLF dotace v celkové výši </w:t>
      </w:r>
      <w:r w:rsidR="009F1E47" w:rsidRPr="00784B49">
        <w:rPr>
          <w:rFonts w:cstheme="minorHAnsi"/>
          <w:sz w:val="24"/>
          <w:szCs w:val="24"/>
        </w:rPr>
        <w:t>6 871 333 </w:t>
      </w:r>
      <w:r w:rsidR="00F110F2" w:rsidRPr="00784B49">
        <w:rPr>
          <w:rFonts w:cstheme="minorHAnsi"/>
          <w:sz w:val="24"/>
          <w:szCs w:val="24"/>
        </w:rPr>
        <w:t xml:space="preserve">tis. </w:t>
      </w:r>
      <w:r w:rsidRPr="00784B49">
        <w:rPr>
          <w:rFonts w:cstheme="minorHAnsi"/>
          <w:sz w:val="24"/>
          <w:szCs w:val="24"/>
        </w:rPr>
        <w:t>Kč</w:t>
      </w:r>
      <w:r w:rsidR="009F1E47" w:rsidRPr="00784B49">
        <w:rPr>
          <w:rFonts w:cstheme="minorHAnsi"/>
          <w:sz w:val="24"/>
          <w:szCs w:val="24"/>
        </w:rPr>
        <w:t xml:space="preserve"> (po provedeném finančním vypořádání)</w:t>
      </w:r>
      <w:r w:rsidR="000C75AA" w:rsidRPr="00784B49">
        <w:rPr>
          <w:rFonts w:cstheme="minorHAnsi"/>
          <w:sz w:val="24"/>
          <w:szCs w:val="24"/>
        </w:rPr>
        <w:t>. Tyto přidělené finanční prostředky PGRLF dále na základě smlouvy</w:t>
      </w:r>
      <w:r w:rsidR="000C75AA" w:rsidRPr="000C75AA">
        <w:rPr>
          <w:vertAlign w:val="superscript"/>
        </w:rPr>
        <w:footnoteReference w:id="7"/>
      </w:r>
      <w:r w:rsidR="000C75AA" w:rsidRPr="00784B49">
        <w:rPr>
          <w:rFonts w:cstheme="minorHAnsi"/>
          <w:sz w:val="24"/>
          <w:szCs w:val="24"/>
          <w:vertAlign w:val="superscript"/>
        </w:rPr>
        <w:t xml:space="preserve"> </w:t>
      </w:r>
      <w:r w:rsidR="000C75AA" w:rsidRPr="00784B49">
        <w:rPr>
          <w:rFonts w:cstheme="minorHAnsi"/>
          <w:sz w:val="24"/>
          <w:szCs w:val="24"/>
        </w:rPr>
        <w:t>poskytuje příjemcům podpor.</w:t>
      </w:r>
      <w:r w:rsidR="00F25091" w:rsidRPr="00784B49">
        <w:rPr>
          <w:rFonts w:cstheme="minorHAnsi"/>
          <w:sz w:val="24"/>
          <w:szCs w:val="24"/>
        </w:rPr>
        <w:t xml:space="preserve"> </w:t>
      </w:r>
      <w:r w:rsidR="00F110F2" w:rsidRPr="00784B49">
        <w:rPr>
          <w:rFonts w:cstheme="minorHAnsi"/>
          <w:sz w:val="24"/>
          <w:szCs w:val="24"/>
        </w:rPr>
        <w:t>Z přidělených finančních prostředků PGRLF v kontrolovaném období vyplatil podpory a</w:t>
      </w:r>
      <w:r w:rsidR="006C4822">
        <w:rPr>
          <w:rFonts w:cstheme="minorHAnsi"/>
          <w:sz w:val="24"/>
          <w:szCs w:val="24"/>
        </w:rPr>
        <w:t> </w:t>
      </w:r>
      <w:r w:rsidR="000A607B">
        <w:rPr>
          <w:rFonts w:cstheme="minorHAnsi"/>
          <w:sz w:val="24"/>
          <w:szCs w:val="24"/>
        </w:rPr>
        <w:t>po</w:t>
      </w:r>
      <w:r w:rsidR="00F110F2" w:rsidRPr="00784B49">
        <w:rPr>
          <w:rFonts w:cstheme="minorHAnsi"/>
          <w:sz w:val="24"/>
          <w:szCs w:val="24"/>
        </w:rPr>
        <w:t>skytl úvěry v celkové výši 6 216 608 tis. Kč</w:t>
      </w:r>
      <w:r w:rsidR="002D24CD">
        <w:rPr>
          <w:rStyle w:val="Znakapoznpodarou"/>
          <w:rFonts w:cstheme="minorHAnsi"/>
          <w:sz w:val="24"/>
          <w:szCs w:val="24"/>
        </w:rPr>
        <w:footnoteReference w:id="8"/>
      </w:r>
      <w:r w:rsidR="00F110F2" w:rsidRPr="00784B49">
        <w:rPr>
          <w:rFonts w:cstheme="minorHAnsi"/>
          <w:sz w:val="24"/>
          <w:szCs w:val="24"/>
        </w:rPr>
        <w:t xml:space="preserve">. </w:t>
      </w:r>
      <w:r w:rsidR="00EF4C76">
        <w:rPr>
          <w:rFonts w:cstheme="minorHAnsi"/>
          <w:sz w:val="24"/>
          <w:szCs w:val="24"/>
        </w:rPr>
        <w:t xml:space="preserve">Přehled základních finančních údajů obsahuje </w:t>
      </w:r>
      <w:r w:rsidR="001D507F">
        <w:rPr>
          <w:rFonts w:cstheme="minorHAnsi"/>
          <w:sz w:val="24"/>
          <w:szCs w:val="24"/>
        </w:rPr>
        <w:t>t</w:t>
      </w:r>
      <w:r w:rsidR="00EF4C76">
        <w:rPr>
          <w:rFonts w:cstheme="minorHAnsi"/>
          <w:sz w:val="24"/>
          <w:szCs w:val="24"/>
        </w:rPr>
        <w:t>abulka č. 2.</w:t>
      </w:r>
    </w:p>
    <w:p w14:paraId="40A6870A" w14:textId="77777777" w:rsidR="000A607B" w:rsidRPr="00EE0546" w:rsidRDefault="000A607B" w:rsidP="00EE0546">
      <w:pPr>
        <w:spacing w:after="0" w:line="240" w:lineRule="auto"/>
        <w:rPr>
          <w:rFonts w:cstheme="minorHAnsi"/>
          <w:sz w:val="24"/>
          <w:szCs w:val="24"/>
        </w:rPr>
      </w:pPr>
    </w:p>
    <w:p w14:paraId="4F974F91" w14:textId="77777777" w:rsidR="00487D1F" w:rsidRPr="002120A8" w:rsidRDefault="00487D1F" w:rsidP="00363B0C">
      <w:pPr>
        <w:pStyle w:val="Odstavecseseznamem"/>
        <w:keepNext/>
        <w:spacing w:before="120" w:after="40" w:line="240" w:lineRule="auto"/>
        <w:ind w:left="1418" w:hanging="1418"/>
        <w:contextualSpacing w:val="0"/>
        <w:jc w:val="both"/>
        <w:rPr>
          <w:rFonts w:cstheme="minorHAnsi"/>
          <w:b/>
          <w:sz w:val="24"/>
          <w:szCs w:val="24"/>
        </w:rPr>
      </w:pPr>
      <w:r w:rsidRPr="002120A8">
        <w:rPr>
          <w:rFonts w:cstheme="minorHAnsi"/>
          <w:b/>
          <w:sz w:val="24"/>
          <w:szCs w:val="24"/>
        </w:rPr>
        <w:lastRenderedPageBreak/>
        <w:t xml:space="preserve">Tabulka č. 2: </w:t>
      </w:r>
      <w:r w:rsidR="000C75AA" w:rsidRPr="002120A8">
        <w:rPr>
          <w:rFonts w:cstheme="minorHAnsi"/>
          <w:b/>
          <w:sz w:val="24"/>
          <w:szCs w:val="24"/>
        </w:rPr>
        <w:t xml:space="preserve">Výše poskytnutých </w:t>
      </w:r>
      <w:r w:rsidR="00602D06">
        <w:rPr>
          <w:rFonts w:cstheme="minorHAnsi"/>
          <w:b/>
          <w:sz w:val="24"/>
          <w:szCs w:val="24"/>
        </w:rPr>
        <w:t>dotací</w:t>
      </w:r>
      <w:r w:rsidRPr="002120A8">
        <w:rPr>
          <w:rFonts w:cstheme="minorHAnsi"/>
          <w:b/>
          <w:sz w:val="24"/>
          <w:szCs w:val="24"/>
        </w:rPr>
        <w:t xml:space="preserve"> </w:t>
      </w:r>
      <w:r w:rsidR="00F25091" w:rsidRPr="002120A8">
        <w:rPr>
          <w:rFonts w:cstheme="minorHAnsi"/>
          <w:b/>
          <w:sz w:val="24"/>
          <w:szCs w:val="24"/>
        </w:rPr>
        <w:t>PGR</w:t>
      </w:r>
      <w:r w:rsidR="00E02ECB">
        <w:rPr>
          <w:rFonts w:cstheme="minorHAnsi"/>
          <w:b/>
          <w:sz w:val="24"/>
          <w:szCs w:val="24"/>
        </w:rPr>
        <w:t>LF</w:t>
      </w:r>
      <w:r w:rsidR="00F25091" w:rsidRPr="002120A8">
        <w:rPr>
          <w:rFonts w:cstheme="minorHAnsi"/>
          <w:b/>
          <w:sz w:val="24"/>
          <w:szCs w:val="24"/>
        </w:rPr>
        <w:t xml:space="preserve"> ze státního rozpočtu a v</w:t>
      </w:r>
      <w:r w:rsidR="00602D06">
        <w:rPr>
          <w:rFonts w:cstheme="minorHAnsi"/>
          <w:b/>
          <w:sz w:val="24"/>
          <w:szCs w:val="24"/>
        </w:rPr>
        <w:t>ý</w:t>
      </w:r>
      <w:r w:rsidR="00F25091" w:rsidRPr="002120A8">
        <w:rPr>
          <w:rFonts w:cstheme="minorHAnsi"/>
          <w:b/>
          <w:sz w:val="24"/>
          <w:szCs w:val="24"/>
        </w:rPr>
        <w:t xml:space="preserve">še </w:t>
      </w:r>
      <w:r w:rsidR="00602D06">
        <w:rPr>
          <w:rFonts w:cstheme="minorHAnsi"/>
          <w:b/>
          <w:sz w:val="24"/>
          <w:szCs w:val="24"/>
        </w:rPr>
        <w:t xml:space="preserve">vyplacených podpor PGRLF </w:t>
      </w:r>
      <w:r w:rsidR="002120A8">
        <w:rPr>
          <w:rFonts w:cstheme="minorHAnsi"/>
          <w:b/>
          <w:sz w:val="24"/>
          <w:szCs w:val="24"/>
        </w:rPr>
        <w:t>(v tis. Kč)</w:t>
      </w:r>
    </w:p>
    <w:tbl>
      <w:tblPr>
        <w:tblW w:w="4944" w:type="pct"/>
        <w:tblCellMar>
          <w:left w:w="70" w:type="dxa"/>
          <w:right w:w="70" w:type="dxa"/>
        </w:tblCellMar>
        <w:tblLook w:val="04A0" w:firstRow="1" w:lastRow="0" w:firstColumn="1" w:lastColumn="0" w:noHBand="0" w:noVBand="1"/>
      </w:tblPr>
      <w:tblGrid>
        <w:gridCol w:w="1094"/>
        <w:gridCol w:w="1988"/>
        <w:gridCol w:w="2271"/>
        <w:gridCol w:w="1907"/>
        <w:gridCol w:w="1701"/>
      </w:tblGrid>
      <w:tr w:rsidR="00363B0C" w14:paraId="760BDB64" w14:textId="77777777" w:rsidTr="00363B0C">
        <w:trPr>
          <w:trHeight w:val="283"/>
        </w:trPr>
        <w:tc>
          <w:tcPr>
            <w:tcW w:w="611" w:type="pct"/>
            <w:tcBorders>
              <w:top w:val="single" w:sz="4" w:space="0" w:color="auto"/>
              <w:left w:val="single" w:sz="4" w:space="0" w:color="auto"/>
              <w:bottom w:val="single" w:sz="4" w:space="0" w:color="auto"/>
              <w:right w:val="single" w:sz="4" w:space="0" w:color="auto"/>
            </w:tcBorders>
            <w:shd w:val="clear" w:color="auto" w:fill="E5F1FF"/>
            <w:vAlign w:val="center"/>
            <w:hideMark/>
          </w:tcPr>
          <w:p w14:paraId="7AD44BB5" w14:textId="77777777" w:rsidR="00363B0C" w:rsidRPr="00A7398B" w:rsidRDefault="00363B0C" w:rsidP="00363B0C">
            <w:pPr>
              <w:keepNext/>
              <w:spacing w:after="0" w:line="240" w:lineRule="auto"/>
              <w:jc w:val="center"/>
              <w:rPr>
                <w:rFonts w:cstheme="minorHAnsi"/>
                <w:b/>
                <w:color w:val="000000"/>
                <w:sz w:val="20"/>
                <w:szCs w:val="20"/>
                <w:lang w:eastAsia="cs-CZ"/>
              </w:rPr>
            </w:pPr>
            <w:r w:rsidRPr="00A7398B">
              <w:rPr>
                <w:rFonts w:cstheme="minorHAnsi"/>
                <w:b/>
                <w:color w:val="000000"/>
                <w:sz w:val="20"/>
                <w:szCs w:val="20"/>
              </w:rPr>
              <w:t>Rok</w:t>
            </w:r>
          </w:p>
        </w:tc>
        <w:tc>
          <w:tcPr>
            <w:tcW w:w="1109" w:type="pct"/>
            <w:tcBorders>
              <w:top w:val="single" w:sz="4" w:space="0" w:color="auto"/>
              <w:left w:val="nil"/>
              <w:bottom w:val="single" w:sz="4" w:space="0" w:color="auto"/>
              <w:right w:val="single" w:sz="4" w:space="0" w:color="auto"/>
            </w:tcBorders>
            <w:shd w:val="clear" w:color="auto" w:fill="E5F1FF"/>
            <w:vAlign w:val="center"/>
            <w:hideMark/>
          </w:tcPr>
          <w:p w14:paraId="0E30518B" w14:textId="77777777" w:rsidR="00363B0C" w:rsidRPr="00A7398B" w:rsidRDefault="00363B0C" w:rsidP="00363B0C">
            <w:pPr>
              <w:keepNext/>
              <w:spacing w:after="0" w:line="240" w:lineRule="auto"/>
              <w:jc w:val="center"/>
              <w:rPr>
                <w:rFonts w:cstheme="minorHAnsi"/>
                <w:b/>
                <w:color w:val="000000"/>
                <w:sz w:val="20"/>
                <w:szCs w:val="20"/>
              </w:rPr>
            </w:pPr>
            <w:r>
              <w:rPr>
                <w:rFonts w:cstheme="minorHAnsi"/>
                <w:b/>
                <w:color w:val="000000"/>
                <w:sz w:val="20"/>
                <w:szCs w:val="20"/>
              </w:rPr>
              <w:t>Výše poskytnuté dotace</w:t>
            </w:r>
            <w:r w:rsidRPr="00A7398B">
              <w:rPr>
                <w:rFonts w:cstheme="minorHAnsi"/>
                <w:b/>
                <w:color w:val="000000"/>
                <w:sz w:val="20"/>
                <w:szCs w:val="20"/>
              </w:rPr>
              <w:t xml:space="preserve"> </w:t>
            </w:r>
          </w:p>
        </w:tc>
        <w:tc>
          <w:tcPr>
            <w:tcW w:w="1267" w:type="pct"/>
            <w:tcBorders>
              <w:top w:val="single" w:sz="4" w:space="0" w:color="auto"/>
              <w:left w:val="nil"/>
              <w:bottom w:val="single" w:sz="4" w:space="0" w:color="auto"/>
              <w:right w:val="single" w:sz="4" w:space="0" w:color="auto"/>
            </w:tcBorders>
            <w:shd w:val="clear" w:color="auto" w:fill="E5F1FF"/>
            <w:vAlign w:val="center"/>
            <w:hideMark/>
          </w:tcPr>
          <w:p w14:paraId="6EB50C46" w14:textId="77777777" w:rsidR="00363B0C" w:rsidRPr="00A7398B" w:rsidRDefault="00363B0C" w:rsidP="00363B0C">
            <w:pPr>
              <w:keepNext/>
              <w:spacing w:after="0" w:line="240" w:lineRule="auto"/>
              <w:jc w:val="center"/>
              <w:rPr>
                <w:rFonts w:cstheme="minorHAnsi"/>
                <w:b/>
                <w:color w:val="000000"/>
                <w:sz w:val="20"/>
                <w:szCs w:val="20"/>
              </w:rPr>
            </w:pPr>
            <w:r w:rsidRPr="00A7398B">
              <w:rPr>
                <w:rFonts w:cstheme="minorHAnsi"/>
                <w:b/>
                <w:color w:val="000000"/>
                <w:sz w:val="20"/>
                <w:szCs w:val="20"/>
              </w:rPr>
              <w:t xml:space="preserve">Čerpání dle finančního vypořádání </w:t>
            </w:r>
          </w:p>
        </w:tc>
        <w:tc>
          <w:tcPr>
            <w:tcW w:w="1064" w:type="pct"/>
            <w:tcBorders>
              <w:top w:val="single" w:sz="4" w:space="0" w:color="auto"/>
              <w:left w:val="nil"/>
              <w:bottom w:val="single" w:sz="4" w:space="0" w:color="auto"/>
              <w:right w:val="single" w:sz="4" w:space="0" w:color="auto"/>
            </w:tcBorders>
            <w:shd w:val="clear" w:color="auto" w:fill="E5F1FF"/>
            <w:vAlign w:val="center"/>
            <w:hideMark/>
          </w:tcPr>
          <w:p w14:paraId="32A4BDE9" w14:textId="77777777" w:rsidR="00363B0C" w:rsidRPr="00A7398B" w:rsidRDefault="00363B0C" w:rsidP="00363B0C">
            <w:pPr>
              <w:keepNext/>
              <w:spacing w:after="0" w:line="240" w:lineRule="auto"/>
              <w:jc w:val="center"/>
              <w:rPr>
                <w:rFonts w:cstheme="minorHAnsi"/>
                <w:b/>
                <w:color w:val="000000"/>
                <w:sz w:val="20"/>
                <w:szCs w:val="20"/>
              </w:rPr>
            </w:pPr>
            <w:r>
              <w:rPr>
                <w:rFonts w:cstheme="minorHAnsi"/>
                <w:b/>
                <w:color w:val="000000"/>
                <w:sz w:val="20"/>
                <w:szCs w:val="20"/>
              </w:rPr>
              <w:t>Vrácené dotace do státního rozpočtu</w:t>
            </w:r>
          </w:p>
        </w:tc>
        <w:tc>
          <w:tcPr>
            <w:tcW w:w="949" w:type="pct"/>
            <w:tcBorders>
              <w:top w:val="single" w:sz="4" w:space="0" w:color="auto"/>
              <w:left w:val="nil"/>
              <w:bottom w:val="single" w:sz="4" w:space="0" w:color="auto"/>
              <w:right w:val="single" w:sz="4" w:space="0" w:color="auto"/>
            </w:tcBorders>
            <w:shd w:val="clear" w:color="auto" w:fill="E5F1FF"/>
            <w:vAlign w:val="center"/>
            <w:hideMark/>
          </w:tcPr>
          <w:p w14:paraId="75165D72" w14:textId="77777777" w:rsidR="00363B0C" w:rsidRPr="00A7398B" w:rsidRDefault="00363B0C" w:rsidP="00363B0C">
            <w:pPr>
              <w:keepNext/>
              <w:spacing w:after="0" w:line="240" w:lineRule="auto"/>
              <w:jc w:val="center"/>
              <w:rPr>
                <w:rFonts w:cstheme="minorHAnsi"/>
                <w:b/>
                <w:color w:val="000000"/>
                <w:sz w:val="20"/>
                <w:szCs w:val="20"/>
              </w:rPr>
            </w:pPr>
            <w:r>
              <w:rPr>
                <w:rFonts w:cstheme="minorHAnsi"/>
                <w:b/>
                <w:color w:val="000000"/>
                <w:sz w:val="20"/>
                <w:szCs w:val="20"/>
              </w:rPr>
              <w:t>Vyplacené podpory PGRLF*</w:t>
            </w:r>
          </w:p>
        </w:tc>
      </w:tr>
      <w:tr w:rsidR="00363B0C" w14:paraId="02F909FD" w14:textId="77777777" w:rsidTr="00363B0C">
        <w:trPr>
          <w:trHeight w:val="283"/>
        </w:trPr>
        <w:tc>
          <w:tcPr>
            <w:tcW w:w="611" w:type="pct"/>
            <w:tcBorders>
              <w:top w:val="nil"/>
              <w:left w:val="single" w:sz="4" w:space="0" w:color="auto"/>
              <w:bottom w:val="single" w:sz="4" w:space="0" w:color="auto"/>
              <w:right w:val="single" w:sz="4" w:space="0" w:color="auto"/>
            </w:tcBorders>
            <w:shd w:val="clear" w:color="auto" w:fill="auto"/>
            <w:noWrap/>
            <w:vAlign w:val="center"/>
            <w:hideMark/>
          </w:tcPr>
          <w:p w14:paraId="3FEC8AA2" w14:textId="77777777" w:rsidR="00363B0C" w:rsidRPr="00A7398B" w:rsidRDefault="00363B0C" w:rsidP="00363B0C">
            <w:pPr>
              <w:keepNext/>
              <w:spacing w:after="0" w:line="240" w:lineRule="auto"/>
              <w:jc w:val="center"/>
              <w:rPr>
                <w:rFonts w:cstheme="minorHAnsi"/>
                <w:color w:val="000000"/>
                <w:sz w:val="20"/>
                <w:szCs w:val="20"/>
              </w:rPr>
            </w:pPr>
            <w:r w:rsidRPr="00A7398B">
              <w:rPr>
                <w:rFonts w:cstheme="minorHAnsi"/>
                <w:color w:val="000000"/>
                <w:sz w:val="20"/>
                <w:szCs w:val="20"/>
              </w:rPr>
              <w:t>2014</w:t>
            </w:r>
          </w:p>
        </w:tc>
        <w:tc>
          <w:tcPr>
            <w:tcW w:w="1109" w:type="pct"/>
            <w:tcBorders>
              <w:top w:val="nil"/>
              <w:left w:val="nil"/>
              <w:bottom w:val="single" w:sz="4" w:space="0" w:color="auto"/>
              <w:right w:val="single" w:sz="4" w:space="0" w:color="auto"/>
            </w:tcBorders>
            <w:shd w:val="clear" w:color="auto" w:fill="auto"/>
            <w:noWrap/>
            <w:vAlign w:val="center"/>
            <w:hideMark/>
          </w:tcPr>
          <w:p w14:paraId="40BF6BD7" w14:textId="77777777" w:rsidR="00363B0C" w:rsidRPr="00A7398B" w:rsidRDefault="00363B0C" w:rsidP="00363B0C">
            <w:pPr>
              <w:keepNext/>
              <w:spacing w:after="0" w:line="240" w:lineRule="auto"/>
              <w:ind w:right="459"/>
              <w:jc w:val="right"/>
              <w:rPr>
                <w:rFonts w:cstheme="minorHAnsi"/>
                <w:color w:val="000000"/>
                <w:sz w:val="20"/>
                <w:szCs w:val="20"/>
              </w:rPr>
            </w:pPr>
            <w:r w:rsidRPr="00A7398B">
              <w:rPr>
                <w:rFonts w:cstheme="minorHAnsi"/>
                <w:color w:val="000000"/>
                <w:sz w:val="20"/>
                <w:szCs w:val="20"/>
              </w:rPr>
              <w:t>1 201 33</w:t>
            </w:r>
            <w:r>
              <w:rPr>
                <w:rFonts w:cstheme="minorHAnsi"/>
                <w:color w:val="000000"/>
                <w:sz w:val="20"/>
                <w:szCs w:val="20"/>
              </w:rPr>
              <w:t>4</w:t>
            </w:r>
          </w:p>
        </w:tc>
        <w:tc>
          <w:tcPr>
            <w:tcW w:w="1267" w:type="pct"/>
            <w:tcBorders>
              <w:top w:val="nil"/>
              <w:left w:val="nil"/>
              <w:bottom w:val="single" w:sz="4" w:space="0" w:color="auto"/>
              <w:right w:val="single" w:sz="4" w:space="0" w:color="auto"/>
            </w:tcBorders>
            <w:shd w:val="clear" w:color="auto" w:fill="auto"/>
            <w:noWrap/>
            <w:vAlign w:val="center"/>
            <w:hideMark/>
          </w:tcPr>
          <w:p w14:paraId="0A98DCDE" w14:textId="0924BCE5" w:rsidR="00363B0C" w:rsidRPr="00A7398B" w:rsidRDefault="00363B0C" w:rsidP="00363B0C">
            <w:pPr>
              <w:keepNext/>
              <w:spacing w:after="0" w:line="240" w:lineRule="auto"/>
              <w:ind w:right="459"/>
              <w:jc w:val="right"/>
              <w:rPr>
                <w:rFonts w:cstheme="minorHAnsi"/>
                <w:color w:val="000000"/>
                <w:sz w:val="20"/>
                <w:szCs w:val="20"/>
              </w:rPr>
            </w:pPr>
            <w:r w:rsidRPr="00A7398B">
              <w:rPr>
                <w:rFonts w:cstheme="minorHAnsi"/>
                <w:color w:val="000000"/>
                <w:sz w:val="20"/>
                <w:szCs w:val="20"/>
              </w:rPr>
              <w:t>8</w:t>
            </w:r>
            <w:r>
              <w:rPr>
                <w:rFonts w:cstheme="minorHAnsi"/>
                <w:color w:val="000000"/>
                <w:sz w:val="20"/>
                <w:szCs w:val="20"/>
              </w:rPr>
              <w:t>61 516</w:t>
            </w:r>
          </w:p>
        </w:tc>
        <w:tc>
          <w:tcPr>
            <w:tcW w:w="1064" w:type="pct"/>
            <w:tcBorders>
              <w:top w:val="nil"/>
              <w:left w:val="nil"/>
              <w:bottom w:val="single" w:sz="4" w:space="0" w:color="auto"/>
              <w:right w:val="single" w:sz="4" w:space="0" w:color="auto"/>
            </w:tcBorders>
            <w:shd w:val="clear" w:color="auto" w:fill="auto"/>
            <w:noWrap/>
            <w:vAlign w:val="center"/>
            <w:hideMark/>
          </w:tcPr>
          <w:p w14:paraId="255DE83F" w14:textId="368B5958" w:rsidR="00363B0C" w:rsidRPr="00A7398B" w:rsidRDefault="00363B0C" w:rsidP="00363B0C">
            <w:pPr>
              <w:keepNext/>
              <w:spacing w:after="0" w:line="240" w:lineRule="auto"/>
              <w:ind w:right="459"/>
              <w:jc w:val="right"/>
              <w:rPr>
                <w:rFonts w:cstheme="minorHAnsi"/>
                <w:color w:val="000000"/>
                <w:sz w:val="20"/>
                <w:szCs w:val="20"/>
              </w:rPr>
            </w:pPr>
            <w:r>
              <w:rPr>
                <w:rFonts w:cstheme="minorHAnsi"/>
                <w:color w:val="000000"/>
                <w:sz w:val="20"/>
                <w:szCs w:val="20"/>
              </w:rPr>
              <w:t>339 817</w:t>
            </w:r>
          </w:p>
        </w:tc>
        <w:tc>
          <w:tcPr>
            <w:tcW w:w="949" w:type="pct"/>
            <w:tcBorders>
              <w:top w:val="nil"/>
              <w:left w:val="nil"/>
              <w:bottom w:val="single" w:sz="4" w:space="0" w:color="auto"/>
              <w:right w:val="single" w:sz="4" w:space="0" w:color="auto"/>
            </w:tcBorders>
            <w:shd w:val="clear" w:color="auto" w:fill="auto"/>
            <w:noWrap/>
            <w:vAlign w:val="center"/>
            <w:hideMark/>
          </w:tcPr>
          <w:p w14:paraId="1EA38A30" w14:textId="77777777" w:rsidR="00363B0C" w:rsidRPr="00D66911" w:rsidRDefault="00363B0C" w:rsidP="00363B0C">
            <w:pPr>
              <w:keepNext/>
              <w:spacing w:after="0" w:line="240" w:lineRule="auto"/>
              <w:ind w:right="459"/>
              <w:jc w:val="right"/>
              <w:rPr>
                <w:rFonts w:cstheme="minorHAnsi"/>
                <w:color w:val="000000"/>
                <w:sz w:val="20"/>
                <w:szCs w:val="20"/>
              </w:rPr>
            </w:pPr>
            <w:r w:rsidRPr="00D66911">
              <w:rPr>
                <w:color w:val="000000"/>
                <w:sz w:val="20"/>
                <w:szCs w:val="20"/>
                <w:lang w:eastAsia="cs-CZ"/>
              </w:rPr>
              <w:t>910 743</w:t>
            </w:r>
          </w:p>
        </w:tc>
      </w:tr>
      <w:tr w:rsidR="00363B0C" w14:paraId="58E4ECCE" w14:textId="77777777" w:rsidTr="00363B0C">
        <w:trPr>
          <w:trHeight w:val="283"/>
        </w:trPr>
        <w:tc>
          <w:tcPr>
            <w:tcW w:w="611" w:type="pct"/>
            <w:tcBorders>
              <w:top w:val="nil"/>
              <w:left w:val="single" w:sz="4" w:space="0" w:color="auto"/>
              <w:bottom w:val="single" w:sz="4" w:space="0" w:color="auto"/>
              <w:right w:val="single" w:sz="4" w:space="0" w:color="auto"/>
            </w:tcBorders>
            <w:shd w:val="clear" w:color="auto" w:fill="auto"/>
            <w:noWrap/>
            <w:vAlign w:val="center"/>
            <w:hideMark/>
          </w:tcPr>
          <w:p w14:paraId="2700EB61" w14:textId="77777777" w:rsidR="00363B0C" w:rsidRPr="00A7398B" w:rsidRDefault="00363B0C" w:rsidP="00363B0C">
            <w:pPr>
              <w:keepNext/>
              <w:spacing w:after="0" w:line="240" w:lineRule="auto"/>
              <w:jc w:val="center"/>
              <w:rPr>
                <w:rFonts w:cstheme="minorHAnsi"/>
                <w:color w:val="000000"/>
                <w:sz w:val="20"/>
                <w:szCs w:val="20"/>
              </w:rPr>
            </w:pPr>
            <w:r w:rsidRPr="00A7398B">
              <w:rPr>
                <w:rFonts w:cstheme="minorHAnsi"/>
                <w:color w:val="000000"/>
                <w:sz w:val="20"/>
                <w:szCs w:val="20"/>
              </w:rPr>
              <w:t>2015</w:t>
            </w:r>
          </w:p>
        </w:tc>
        <w:tc>
          <w:tcPr>
            <w:tcW w:w="1109" w:type="pct"/>
            <w:tcBorders>
              <w:top w:val="nil"/>
              <w:left w:val="nil"/>
              <w:bottom w:val="single" w:sz="4" w:space="0" w:color="auto"/>
              <w:right w:val="single" w:sz="4" w:space="0" w:color="auto"/>
            </w:tcBorders>
            <w:shd w:val="clear" w:color="auto" w:fill="auto"/>
            <w:noWrap/>
            <w:vAlign w:val="center"/>
            <w:hideMark/>
          </w:tcPr>
          <w:p w14:paraId="24881D7D" w14:textId="59A626F4" w:rsidR="00363B0C" w:rsidRPr="00A7398B" w:rsidRDefault="00363B0C" w:rsidP="00363B0C">
            <w:pPr>
              <w:keepNext/>
              <w:spacing w:after="0" w:line="240" w:lineRule="auto"/>
              <w:ind w:right="459"/>
              <w:jc w:val="right"/>
              <w:rPr>
                <w:rFonts w:cstheme="minorHAnsi"/>
                <w:color w:val="000000"/>
                <w:sz w:val="20"/>
                <w:szCs w:val="20"/>
              </w:rPr>
            </w:pPr>
            <w:r>
              <w:rPr>
                <w:rFonts w:cstheme="minorHAnsi"/>
                <w:color w:val="000000"/>
                <w:sz w:val="20"/>
                <w:szCs w:val="20"/>
              </w:rPr>
              <w:t>1 839 817</w:t>
            </w:r>
          </w:p>
        </w:tc>
        <w:tc>
          <w:tcPr>
            <w:tcW w:w="1267" w:type="pct"/>
            <w:tcBorders>
              <w:top w:val="nil"/>
              <w:left w:val="nil"/>
              <w:bottom w:val="single" w:sz="4" w:space="0" w:color="auto"/>
              <w:right w:val="single" w:sz="4" w:space="0" w:color="auto"/>
            </w:tcBorders>
            <w:shd w:val="clear" w:color="auto" w:fill="auto"/>
            <w:noWrap/>
            <w:vAlign w:val="center"/>
            <w:hideMark/>
          </w:tcPr>
          <w:p w14:paraId="14E0102A" w14:textId="77777777" w:rsidR="00363B0C" w:rsidRPr="00A7398B" w:rsidRDefault="00363B0C" w:rsidP="00363B0C">
            <w:pPr>
              <w:keepNext/>
              <w:spacing w:after="0" w:line="240" w:lineRule="auto"/>
              <w:ind w:right="459"/>
              <w:jc w:val="right"/>
              <w:rPr>
                <w:rFonts w:cstheme="minorHAnsi"/>
                <w:color w:val="000000"/>
                <w:sz w:val="20"/>
                <w:szCs w:val="20"/>
              </w:rPr>
            </w:pPr>
            <w:r w:rsidRPr="00A7398B">
              <w:rPr>
                <w:rFonts w:cstheme="minorHAnsi"/>
                <w:color w:val="000000"/>
                <w:sz w:val="20"/>
                <w:szCs w:val="20"/>
              </w:rPr>
              <w:t>1</w:t>
            </w:r>
            <w:r>
              <w:rPr>
                <w:rFonts w:cstheme="minorHAnsi"/>
                <w:color w:val="000000"/>
                <w:sz w:val="20"/>
                <w:szCs w:val="20"/>
              </w:rPr>
              <w:t xml:space="preserve"> 117 812</w:t>
            </w:r>
          </w:p>
        </w:tc>
        <w:tc>
          <w:tcPr>
            <w:tcW w:w="1064" w:type="pct"/>
            <w:tcBorders>
              <w:top w:val="nil"/>
              <w:left w:val="nil"/>
              <w:bottom w:val="single" w:sz="4" w:space="0" w:color="auto"/>
              <w:right w:val="single" w:sz="4" w:space="0" w:color="auto"/>
            </w:tcBorders>
            <w:shd w:val="clear" w:color="auto" w:fill="auto"/>
            <w:noWrap/>
            <w:vAlign w:val="center"/>
            <w:hideMark/>
          </w:tcPr>
          <w:p w14:paraId="72D8E73B" w14:textId="66508192" w:rsidR="00363B0C" w:rsidRPr="00A7398B" w:rsidRDefault="00363B0C" w:rsidP="00363B0C">
            <w:pPr>
              <w:keepNext/>
              <w:spacing w:after="0" w:line="240" w:lineRule="auto"/>
              <w:ind w:right="459"/>
              <w:jc w:val="right"/>
              <w:rPr>
                <w:rFonts w:cstheme="minorHAnsi"/>
                <w:color w:val="000000"/>
                <w:sz w:val="20"/>
                <w:szCs w:val="20"/>
              </w:rPr>
            </w:pPr>
            <w:r>
              <w:rPr>
                <w:rFonts w:cstheme="minorHAnsi"/>
                <w:color w:val="000000"/>
                <w:sz w:val="20"/>
                <w:szCs w:val="20"/>
              </w:rPr>
              <w:t>722 005</w:t>
            </w:r>
          </w:p>
        </w:tc>
        <w:tc>
          <w:tcPr>
            <w:tcW w:w="949" w:type="pct"/>
            <w:tcBorders>
              <w:top w:val="nil"/>
              <w:left w:val="nil"/>
              <w:bottom w:val="single" w:sz="4" w:space="0" w:color="auto"/>
              <w:right w:val="single" w:sz="4" w:space="0" w:color="auto"/>
            </w:tcBorders>
            <w:shd w:val="clear" w:color="auto" w:fill="auto"/>
            <w:noWrap/>
            <w:vAlign w:val="center"/>
            <w:hideMark/>
          </w:tcPr>
          <w:p w14:paraId="062BC9AF" w14:textId="77777777" w:rsidR="00363B0C" w:rsidRPr="00D66911" w:rsidRDefault="00363B0C" w:rsidP="00363B0C">
            <w:pPr>
              <w:keepNext/>
              <w:spacing w:after="0" w:line="240" w:lineRule="auto"/>
              <w:ind w:right="459"/>
              <w:jc w:val="right"/>
              <w:rPr>
                <w:rFonts w:cstheme="minorHAnsi"/>
                <w:color w:val="000000"/>
                <w:sz w:val="20"/>
                <w:szCs w:val="20"/>
              </w:rPr>
            </w:pPr>
            <w:r w:rsidRPr="00D66911">
              <w:rPr>
                <w:color w:val="000000"/>
                <w:sz w:val="20"/>
                <w:szCs w:val="20"/>
                <w:lang w:eastAsia="cs-CZ"/>
              </w:rPr>
              <w:t>934 759</w:t>
            </w:r>
          </w:p>
        </w:tc>
      </w:tr>
      <w:tr w:rsidR="00363B0C" w14:paraId="60A0CE51" w14:textId="77777777" w:rsidTr="00363B0C">
        <w:trPr>
          <w:trHeight w:val="283"/>
        </w:trPr>
        <w:tc>
          <w:tcPr>
            <w:tcW w:w="611" w:type="pct"/>
            <w:tcBorders>
              <w:top w:val="nil"/>
              <w:left w:val="single" w:sz="4" w:space="0" w:color="auto"/>
              <w:bottom w:val="single" w:sz="4" w:space="0" w:color="auto"/>
              <w:right w:val="single" w:sz="4" w:space="0" w:color="auto"/>
            </w:tcBorders>
            <w:shd w:val="clear" w:color="auto" w:fill="auto"/>
            <w:noWrap/>
            <w:vAlign w:val="center"/>
            <w:hideMark/>
          </w:tcPr>
          <w:p w14:paraId="615D7772" w14:textId="77777777" w:rsidR="00363B0C" w:rsidRPr="00A7398B" w:rsidRDefault="00363B0C" w:rsidP="00363B0C">
            <w:pPr>
              <w:keepNext/>
              <w:spacing w:after="0" w:line="240" w:lineRule="auto"/>
              <w:jc w:val="center"/>
              <w:rPr>
                <w:rFonts w:cstheme="minorHAnsi"/>
                <w:color w:val="000000"/>
                <w:sz w:val="20"/>
                <w:szCs w:val="20"/>
              </w:rPr>
            </w:pPr>
            <w:r w:rsidRPr="00A7398B">
              <w:rPr>
                <w:rFonts w:cstheme="minorHAnsi"/>
                <w:color w:val="000000"/>
                <w:sz w:val="20"/>
                <w:szCs w:val="20"/>
              </w:rPr>
              <w:t>2016</w:t>
            </w:r>
          </w:p>
        </w:tc>
        <w:tc>
          <w:tcPr>
            <w:tcW w:w="1109" w:type="pct"/>
            <w:tcBorders>
              <w:top w:val="nil"/>
              <w:left w:val="nil"/>
              <w:bottom w:val="single" w:sz="4" w:space="0" w:color="auto"/>
              <w:right w:val="single" w:sz="4" w:space="0" w:color="auto"/>
            </w:tcBorders>
            <w:shd w:val="clear" w:color="auto" w:fill="auto"/>
            <w:noWrap/>
            <w:vAlign w:val="center"/>
            <w:hideMark/>
          </w:tcPr>
          <w:p w14:paraId="25992FAA" w14:textId="606C4F16" w:rsidR="00363B0C" w:rsidRPr="00A7398B" w:rsidRDefault="00363B0C" w:rsidP="00363B0C">
            <w:pPr>
              <w:keepNext/>
              <w:spacing w:after="0" w:line="240" w:lineRule="auto"/>
              <w:ind w:right="459"/>
              <w:jc w:val="right"/>
              <w:rPr>
                <w:rFonts w:cstheme="minorHAnsi"/>
                <w:color w:val="000000"/>
                <w:sz w:val="20"/>
                <w:szCs w:val="20"/>
              </w:rPr>
            </w:pPr>
            <w:r>
              <w:rPr>
                <w:rFonts w:cstheme="minorHAnsi"/>
                <w:color w:val="000000"/>
                <w:sz w:val="20"/>
                <w:szCs w:val="20"/>
              </w:rPr>
              <w:t>1 622 005</w:t>
            </w:r>
          </w:p>
        </w:tc>
        <w:tc>
          <w:tcPr>
            <w:tcW w:w="1267" w:type="pct"/>
            <w:tcBorders>
              <w:top w:val="nil"/>
              <w:left w:val="nil"/>
              <w:bottom w:val="single" w:sz="4" w:space="0" w:color="auto"/>
              <w:right w:val="single" w:sz="4" w:space="0" w:color="auto"/>
            </w:tcBorders>
            <w:shd w:val="clear" w:color="auto" w:fill="auto"/>
            <w:noWrap/>
            <w:vAlign w:val="center"/>
            <w:hideMark/>
          </w:tcPr>
          <w:p w14:paraId="00C6427C" w14:textId="77777777" w:rsidR="00363B0C" w:rsidRPr="00A7398B" w:rsidRDefault="00363B0C" w:rsidP="00363B0C">
            <w:pPr>
              <w:keepNext/>
              <w:spacing w:after="0" w:line="240" w:lineRule="auto"/>
              <w:ind w:right="459"/>
              <w:jc w:val="right"/>
              <w:rPr>
                <w:rFonts w:cstheme="minorHAnsi"/>
                <w:color w:val="000000"/>
                <w:sz w:val="20"/>
                <w:szCs w:val="20"/>
              </w:rPr>
            </w:pPr>
            <w:r>
              <w:rPr>
                <w:rFonts w:cstheme="minorHAnsi"/>
                <w:color w:val="000000"/>
                <w:sz w:val="20"/>
                <w:szCs w:val="20"/>
              </w:rPr>
              <w:t>1 622 005</w:t>
            </w:r>
          </w:p>
        </w:tc>
        <w:tc>
          <w:tcPr>
            <w:tcW w:w="1064" w:type="pct"/>
            <w:tcBorders>
              <w:top w:val="nil"/>
              <w:left w:val="nil"/>
              <w:bottom w:val="single" w:sz="4" w:space="0" w:color="auto"/>
              <w:right w:val="single" w:sz="4" w:space="0" w:color="auto"/>
            </w:tcBorders>
            <w:shd w:val="clear" w:color="auto" w:fill="auto"/>
            <w:noWrap/>
            <w:vAlign w:val="center"/>
            <w:hideMark/>
          </w:tcPr>
          <w:p w14:paraId="50F14B97" w14:textId="77777777" w:rsidR="00363B0C" w:rsidRPr="00A7398B" w:rsidRDefault="00363B0C" w:rsidP="00363B0C">
            <w:pPr>
              <w:keepNext/>
              <w:spacing w:after="0" w:line="240" w:lineRule="auto"/>
              <w:ind w:right="459"/>
              <w:jc w:val="right"/>
              <w:rPr>
                <w:rFonts w:cstheme="minorHAnsi"/>
                <w:color w:val="000000"/>
                <w:sz w:val="20"/>
                <w:szCs w:val="20"/>
              </w:rPr>
            </w:pPr>
            <w:r w:rsidRPr="00A7398B">
              <w:rPr>
                <w:rFonts w:cstheme="minorHAnsi"/>
                <w:color w:val="000000"/>
                <w:sz w:val="20"/>
                <w:szCs w:val="20"/>
              </w:rPr>
              <w:t>0</w:t>
            </w:r>
          </w:p>
        </w:tc>
        <w:tc>
          <w:tcPr>
            <w:tcW w:w="949" w:type="pct"/>
            <w:tcBorders>
              <w:top w:val="nil"/>
              <w:left w:val="nil"/>
              <w:bottom w:val="single" w:sz="4" w:space="0" w:color="auto"/>
              <w:right w:val="single" w:sz="4" w:space="0" w:color="auto"/>
            </w:tcBorders>
            <w:shd w:val="clear" w:color="auto" w:fill="auto"/>
            <w:noWrap/>
            <w:vAlign w:val="center"/>
            <w:hideMark/>
          </w:tcPr>
          <w:p w14:paraId="53EDB0B4" w14:textId="77777777" w:rsidR="00363B0C" w:rsidRPr="00D66911" w:rsidRDefault="00363B0C" w:rsidP="00363B0C">
            <w:pPr>
              <w:keepNext/>
              <w:spacing w:after="0" w:line="240" w:lineRule="auto"/>
              <w:ind w:right="459"/>
              <w:jc w:val="right"/>
              <w:rPr>
                <w:rFonts w:cstheme="minorHAnsi"/>
                <w:color w:val="000000"/>
                <w:sz w:val="20"/>
                <w:szCs w:val="20"/>
              </w:rPr>
            </w:pPr>
            <w:r w:rsidRPr="00D66911">
              <w:rPr>
                <w:color w:val="000000"/>
                <w:sz w:val="20"/>
                <w:szCs w:val="20"/>
                <w:lang w:eastAsia="cs-CZ"/>
              </w:rPr>
              <w:t>1 535 236</w:t>
            </w:r>
          </w:p>
        </w:tc>
      </w:tr>
      <w:tr w:rsidR="00363B0C" w14:paraId="58EF5EDD" w14:textId="77777777" w:rsidTr="00363B0C">
        <w:trPr>
          <w:trHeight w:val="283"/>
        </w:trPr>
        <w:tc>
          <w:tcPr>
            <w:tcW w:w="611" w:type="pct"/>
            <w:tcBorders>
              <w:top w:val="nil"/>
              <w:left w:val="single" w:sz="4" w:space="0" w:color="auto"/>
              <w:bottom w:val="single" w:sz="4" w:space="0" w:color="auto"/>
              <w:right w:val="single" w:sz="4" w:space="0" w:color="auto"/>
            </w:tcBorders>
            <w:shd w:val="clear" w:color="auto" w:fill="auto"/>
            <w:noWrap/>
            <w:vAlign w:val="center"/>
            <w:hideMark/>
          </w:tcPr>
          <w:p w14:paraId="1417ECF8" w14:textId="77777777" w:rsidR="00363B0C" w:rsidRPr="00A7398B" w:rsidRDefault="00363B0C" w:rsidP="00363B0C">
            <w:pPr>
              <w:keepNext/>
              <w:spacing w:after="0" w:line="240" w:lineRule="auto"/>
              <w:jc w:val="center"/>
              <w:rPr>
                <w:rFonts w:cstheme="minorHAnsi"/>
                <w:color w:val="000000"/>
                <w:sz w:val="20"/>
                <w:szCs w:val="20"/>
              </w:rPr>
            </w:pPr>
            <w:r w:rsidRPr="00A7398B">
              <w:rPr>
                <w:rFonts w:cstheme="minorHAnsi"/>
                <w:color w:val="000000"/>
                <w:sz w:val="20"/>
                <w:szCs w:val="20"/>
              </w:rPr>
              <w:t>2017</w:t>
            </w:r>
          </w:p>
        </w:tc>
        <w:tc>
          <w:tcPr>
            <w:tcW w:w="1109" w:type="pct"/>
            <w:tcBorders>
              <w:top w:val="nil"/>
              <w:left w:val="nil"/>
              <w:bottom w:val="single" w:sz="4" w:space="0" w:color="auto"/>
              <w:right w:val="single" w:sz="4" w:space="0" w:color="auto"/>
            </w:tcBorders>
            <w:shd w:val="clear" w:color="auto" w:fill="auto"/>
            <w:noWrap/>
            <w:vAlign w:val="center"/>
            <w:hideMark/>
          </w:tcPr>
          <w:p w14:paraId="679681C3" w14:textId="5589F11A" w:rsidR="00363B0C" w:rsidRPr="00A7398B" w:rsidRDefault="00363B0C" w:rsidP="00363B0C">
            <w:pPr>
              <w:keepNext/>
              <w:spacing w:after="0" w:line="240" w:lineRule="auto"/>
              <w:ind w:right="459"/>
              <w:jc w:val="right"/>
              <w:rPr>
                <w:rFonts w:cstheme="minorHAnsi"/>
                <w:color w:val="000000"/>
                <w:sz w:val="20"/>
                <w:szCs w:val="20"/>
              </w:rPr>
            </w:pPr>
            <w:r>
              <w:rPr>
                <w:rFonts w:cstheme="minorHAnsi"/>
                <w:color w:val="000000"/>
                <w:sz w:val="20"/>
                <w:szCs w:val="20"/>
              </w:rPr>
              <w:t>1 770 000</w:t>
            </w:r>
          </w:p>
        </w:tc>
        <w:tc>
          <w:tcPr>
            <w:tcW w:w="1267" w:type="pct"/>
            <w:tcBorders>
              <w:top w:val="nil"/>
              <w:left w:val="nil"/>
              <w:bottom w:val="single" w:sz="4" w:space="0" w:color="auto"/>
              <w:right w:val="single" w:sz="4" w:space="0" w:color="auto"/>
            </w:tcBorders>
            <w:shd w:val="clear" w:color="auto" w:fill="auto"/>
            <w:noWrap/>
            <w:vAlign w:val="center"/>
            <w:hideMark/>
          </w:tcPr>
          <w:p w14:paraId="13FCF17B" w14:textId="72B49FC7" w:rsidR="00363B0C" w:rsidRPr="00A7398B" w:rsidRDefault="00363B0C" w:rsidP="00363B0C">
            <w:pPr>
              <w:keepNext/>
              <w:spacing w:after="0" w:line="240" w:lineRule="auto"/>
              <w:ind w:right="459"/>
              <w:jc w:val="right"/>
              <w:rPr>
                <w:rFonts w:cstheme="minorHAnsi"/>
                <w:color w:val="000000"/>
                <w:sz w:val="20"/>
                <w:szCs w:val="20"/>
              </w:rPr>
            </w:pPr>
            <w:r>
              <w:rPr>
                <w:rFonts w:cstheme="minorHAnsi"/>
                <w:color w:val="000000"/>
                <w:sz w:val="20"/>
                <w:szCs w:val="20"/>
              </w:rPr>
              <w:t>1 770 000</w:t>
            </w:r>
          </w:p>
        </w:tc>
        <w:tc>
          <w:tcPr>
            <w:tcW w:w="1064" w:type="pct"/>
            <w:tcBorders>
              <w:top w:val="nil"/>
              <w:left w:val="nil"/>
              <w:bottom w:val="single" w:sz="4" w:space="0" w:color="auto"/>
              <w:right w:val="single" w:sz="4" w:space="0" w:color="auto"/>
            </w:tcBorders>
            <w:shd w:val="clear" w:color="auto" w:fill="auto"/>
            <w:noWrap/>
            <w:vAlign w:val="center"/>
            <w:hideMark/>
          </w:tcPr>
          <w:p w14:paraId="69C8B4C7" w14:textId="77777777" w:rsidR="00363B0C" w:rsidRPr="00A7398B" w:rsidRDefault="00363B0C" w:rsidP="00363B0C">
            <w:pPr>
              <w:keepNext/>
              <w:spacing w:after="0" w:line="240" w:lineRule="auto"/>
              <w:ind w:right="459"/>
              <w:jc w:val="right"/>
              <w:rPr>
                <w:rFonts w:cstheme="minorHAnsi"/>
                <w:color w:val="000000"/>
                <w:sz w:val="20"/>
                <w:szCs w:val="20"/>
              </w:rPr>
            </w:pPr>
            <w:r w:rsidRPr="00A7398B">
              <w:rPr>
                <w:rFonts w:cstheme="minorHAnsi"/>
                <w:color w:val="000000"/>
                <w:sz w:val="20"/>
                <w:szCs w:val="20"/>
              </w:rPr>
              <w:t>0</w:t>
            </w:r>
          </w:p>
        </w:tc>
        <w:tc>
          <w:tcPr>
            <w:tcW w:w="949" w:type="pct"/>
            <w:tcBorders>
              <w:top w:val="nil"/>
              <w:left w:val="nil"/>
              <w:bottom w:val="single" w:sz="4" w:space="0" w:color="auto"/>
              <w:right w:val="single" w:sz="4" w:space="0" w:color="auto"/>
            </w:tcBorders>
            <w:shd w:val="clear" w:color="auto" w:fill="auto"/>
            <w:noWrap/>
            <w:vAlign w:val="center"/>
            <w:hideMark/>
          </w:tcPr>
          <w:p w14:paraId="53CC1FDE" w14:textId="77777777" w:rsidR="00363B0C" w:rsidRPr="00D66911" w:rsidRDefault="00363B0C" w:rsidP="00363B0C">
            <w:pPr>
              <w:keepNext/>
              <w:spacing w:after="0" w:line="240" w:lineRule="auto"/>
              <w:ind w:right="459"/>
              <w:jc w:val="right"/>
              <w:rPr>
                <w:rFonts w:cstheme="minorHAnsi"/>
                <w:color w:val="000000"/>
                <w:sz w:val="20"/>
                <w:szCs w:val="20"/>
              </w:rPr>
            </w:pPr>
            <w:r w:rsidRPr="00D66911">
              <w:rPr>
                <w:color w:val="000000"/>
                <w:sz w:val="20"/>
                <w:szCs w:val="20"/>
                <w:lang w:eastAsia="cs-CZ"/>
              </w:rPr>
              <w:t>1 604 843</w:t>
            </w:r>
          </w:p>
        </w:tc>
      </w:tr>
      <w:tr w:rsidR="00363B0C" w14:paraId="15921A5F" w14:textId="77777777" w:rsidTr="00363B0C">
        <w:trPr>
          <w:trHeight w:val="283"/>
        </w:trPr>
        <w:tc>
          <w:tcPr>
            <w:tcW w:w="611" w:type="pct"/>
            <w:tcBorders>
              <w:top w:val="nil"/>
              <w:left w:val="single" w:sz="4" w:space="0" w:color="auto"/>
              <w:bottom w:val="single" w:sz="4" w:space="0" w:color="auto"/>
              <w:right w:val="single" w:sz="4" w:space="0" w:color="auto"/>
            </w:tcBorders>
            <w:shd w:val="clear" w:color="auto" w:fill="auto"/>
            <w:noWrap/>
            <w:vAlign w:val="center"/>
            <w:hideMark/>
          </w:tcPr>
          <w:p w14:paraId="72172E9B" w14:textId="77777777" w:rsidR="00363B0C" w:rsidRPr="00A7398B" w:rsidRDefault="00363B0C" w:rsidP="00363B0C">
            <w:pPr>
              <w:keepNext/>
              <w:spacing w:after="0" w:line="240" w:lineRule="auto"/>
              <w:jc w:val="center"/>
              <w:rPr>
                <w:rFonts w:cstheme="minorHAnsi"/>
                <w:color w:val="000000"/>
                <w:sz w:val="20"/>
                <w:szCs w:val="20"/>
              </w:rPr>
            </w:pPr>
            <w:r w:rsidRPr="00A7398B">
              <w:rPr>
                <w:rFonts w:cstheme="minorHAnsi"/>
                <w:color w:val="000000"/>
                <w:sz w:val="20"/>
                <w:szCs w:val="20"/>
              </w:rPr>
              <w:t>2018</w:t>
            </w:r>
          </w:p>
        </w:tc>
        <w:tc>
          <w:tcPr>
            <w:tcW w:w="1109" w:type="pct"/>
            <w:tcBorders>
              <w:top w:val="nil"/>
              <w:left w:val="nil"/>
              <w:bottom w:val="single" w:sz="4" w:space="0" w:color="auto"/>
              <w:right w:val="single" w:sz="4" w:space="0" w:color="auto"/>
            </w:tcBorders>
            <w:shd w:val="clear" w:color="auto" w:fill="auto"/>
            <w:noWrap/>
            <w:vAlign w:val="center"/>
            <w:hideMark/>
          </w:tcPr>
          <w:p w14:paraId="599BD418" w14:textId="2952D6BB" w:rsidR="00363B0C" w:rsidRPr="00A7398B" w:rsidRDefault="00363B0C" w:rsidP="00363B0C">
            <w:pPr>
              <w:keepNext/>
              <w:spacing w:after="0" w:line="240" w:lineRule="auto"/>
              <w:ind w:right="459"/>
              <w:jc w:val="right"/>
              <w:rPr>
                <w:rFonts w:cstheme="minorHAnsi"/>
                <w:color w:val="000000"/>
                <w:sz w:val="20"/>
                <w:szCs w:val="20"/>
              </w:rPr>
            </w:pPr>
            <w:r>
              <w:rPr>
                <w:rFonts w:cstheme="minorHAnsi"/>
                <w:color w:val="000000"/>
                <w:sz w:val="20"/>
                <w:szCs w:val="20"/>
              </w:rPr>
              <w:t>1 500 000</w:t>
            </w:r>
          </w:p>
        </w:tc>
        <w:tc>
          <w:tcPr>
            <w:tcW w:w="1267" w:type="pct"/>
            <w:tcBorders>
              <w:top w:val="nil"/>
              <w:left w:val="nil"/>
              <w:bottom w:val="single" w:sz="4" w:space="0" w:color="auto"/>
              <w:right w:val="single" w:sz="4" w:space="0" w:color="auto"/>
            </w:tcBorders>
            <w:shd w:val="clear" w:color="auto" w:fill="auto"/>
            <w:noWrap/>
            <w:vAlign w:val="center"/>
            <w:hideMark/>
          </w:tcPr>
          <w:p w14:paraId="4A247EA6" w14:textId="0E464240" w:rsidR="00363B0C" w:rsidRPr="00A7398B" w:rsidRDefault="00363B0C" w:rsidP="00363B0C">
            <w:pPr>
              <w:keepNext/>
              <w:spacing w:after="0" w:line="240" w:lineRule="auto"/>
              <w:ind w:right="459"/>
              <w:jc w:val="right"/>
              <w:rPr>
                <w:rFonts w:cstheme="minorHAnsi"/>
                <w:color w:val="000000"/>
                <w:sz w:val="20"/>
                <w:szCs w:val="20"/>
              </w:rPr>
            </w:pPr>
            <w:r>
              <w:rPr>
                <w:rFonts w:cstheme="minorHAnsi"/>
                <w:color w:val="000000"/>
                <w:sz w:val="20"/>
                <w:szCs w:val="20"/>
              </w:rPr>
              <w:t>1 500 000</w:t>
            </w:r>
          </w:p>
        </w:tc>
        <w:tc>
          <w:tcPr>
            <w:tcW w:w="1064" w:type="pct"/>
            <w:tcBorders>
              <w:top w:val="nil"/>
              <w:left w:val="nil"/>
              <w:bottom w:val="single" w:sz="4" w:space="0" w:color="auto"/>
              <w:right w:val="single" w:sz="4" w:space="0" w:color="auto"/>
            </w:tcBorders>
            <w:shd w:val="clear" w:color="auto" w:fill="auto"/>
            <w:noWrap/>
            <w:vAlign w:val="center"/>
            <w:hideMark/>
          </w:tcPr>
          <w:p w14:paraId="751B8FA7" w14:textId="77777777" w:rsidR="00363B0C" w:rsidRPr="00A7398B" w:rsidRDefault="00363B0C" w:rsidP="00363B0C">
            <w:pPr>
              <w:keepNext/>
              <w:spacing w:after="0" w:line="240" w:lineRule="auto"/>
              <w:ind w:right="459"/>
              <w:jc w:val="right"/>
              <w:rPr>
                <w:rFonts w:cstheme="minorHAnsi"/>
                <w:color w:val="000000"/>
                <w:sz w:val="20"/>
                <w:szCs w:val="20"/>
              </w:rPr>
            </w:pPr>
            <w:r w:rsidRPr="00A7398B">
              <w:rPr>
                <w:rFonts w:cstheme="minorHAnsi"/>
                <w:color w:val="000000"/>
                <w:sz w:val="20"/>
                <w:szCs w:val="20"/>
              </w:rPr>
              <w:t>0</w:t>
            </w:r>
          </w:p>
        </w:tc>
        <w:tc>
          <w:tcPr>
            <w:tcW w:w="949" w:type="pct"/>
            <w:tcBorders>
              <w:top w:val="nil"/>
              <w:left w:val="nil"/>
              <w:bottom w:val="single" w:sz="4" w:space="0" w:color="auto"/>
              <w:right w:val="single" w:sz="4" w:space="0" w:color="auto"/>
            </w:tcBorders>
            <w:shd w:val="clear" w:color="auto" w:fill="auto"/>
            <w:noWrap/>
            <w:vAlign w:val="center"/>
            <w:hideMark/>
          </w:tcPr>
          <w:p w14:paraId="3D62E258" w14:textId="77777777" w:rsidR="00363B0C" w:rsidRPr="00D66911" w:rsidRDefault="00363B0C" w:rsidP="00363B0C">
            <w:pPr>
              <w:keepNext/>
              <w:spacing w:after="0" w:line="240" w:lineRule="auto"/>
              <w:ind w:right="459"/>
              <w:jc w:val="right"/>
              <w:rPr>
                <w:rFonts w:cstheme="minorHAnsi"/>
                <w:color w:val="000000"/>
                <w:sz w:val="20"/>
                <w:szCs w:val="20"/>
              </w:rPr>
            </w:pPr>
            <w:r w:rsidRPr="00D66911">
              <w:rPr>
                <w:color w:val="000000"/>
                <w:sz w:val="20"/>
                <w:szCs w:val="20"/>
                <w:lang w:eastAsia="cs-CZ"/>
              </w:rPr>
              <w:t>1 231 027</w:t>
            </w:r>
          </w:p>
        </w:tc>
      </w:tr>
      <w:tr w:rsidR="00363B0C" w14:paraId="54C2E226" w14:textId="77777777" w:rsidTr="00363B0C">
        <w:trPr>
          <w:trHeight w:val="283"/>
        </w:trPr>
        <w:tc>
          <w:tcPr>
            <w:tcW w:w="611" w:type="pct"/>
            <w:tcBorders>
              <w:top w:val="nil"/>
              <w:left w:val="single" w:sz="4" w:space="0" w:color="auto"/>
              <w:bottom w:val="single" w:sz="4" w:space="0" w:color="auto"/>
              <w:right w:val="single" w:sz="4" w:space="0" w:color="auto"/>
            </w:tcBorders>
            <w:shd w:val="clear" w:color="auto" w:fill="E7E6E6"/>
            <w:noWrap/>
            <w:vAlign w:val="center"/>
            <w:hideMark/>
          </w:tcPr>
          <w:p w14:paraId="210A5E2B" w14:textId="77777777" w:rsidR="00363B0C" w:rsidRPr="00BC6F83" w:rsidRDefault="00363B0C" w:rsidP="00363B0C">
            <w:pPr>
              <w:keepNext/>
              <w:spacing w:after="0" w:line="240" w:lineRule="auto"/>
              <w:jc w:val="center"/>
              <w:rPr>
                <w:rFonts w:cstheme="minorHAnsi"/>
                <w:b/>
                <w:color w:val="000000"/>
                <w:sz w:val="20"/>
                <w:szCs w:val="20"/>
              </w:rPr>
            </w:pPr>
            <w:r w:rsidRPr="00BC6F83">
              <w:rPr>
                <w:rFonts w:cstheme="minorHAnsi"/>
                <w:b/>
                <w:color w:val="000000"/>
                <w:sz w:val="20"/>
                <w:szCs w:val="20"/>
              </w:rPr>
              <w:t>Celkem</w:t>
            </w:r>
          </w:p>
        </w:tc>
        <w:tc>
          <w:tcPr>
            <w:tcW w:w="1109" w:type="pct"/>
            <w:tcBorders>
              <w:top w:val="nil"/>
              <w:left w:val="nil"/>
              <w:bottom w:val="single" w:sz="4" w:space="0" w:color="auto"/>
              <w:right w:val="single" w:sz="4" w:space="0" w:color="auto"/>
            </w:tcBorders>
            <w:shd w:val="clear" w:color="auto" w:fill="E7E6E6"/>
            <w:noWrap/>
            <w:vAlign w:val="center"/>
            <w:hideMark/>
          </w:tcPr>
          <w:p w14:paraId="060F2D19" w14:textId="77777777" w:rsidR="00363B0C" w:rsidRPr="00BC6F83" w:rsidRDefault="00363B0C" w:rsidP="00363B0C">
            <w:pPr>
              <w:keepNext/>
              <w:spacing w:after="0" w:line="240" w:lineRule="auto"/>
              <w:ind w:right="459"/>
              <w:jc w:val="right"/>
              <w:rPr>
                <w:rFonts w:cstheme="minorHAnsi"/>
                <w:b/>
                <w:color w:val="000000"/>
                <w:sz w:val="20"/>
                <w:szCs w:val="20"/>
              </w:rPr>
            </w:pPr>
            <w:r w:rsidRPr="00BC6F83">
              <w:rPr>
                <w:rFonts w:cstheme="minorHAnsi"/>
                <w:b/>
                <w:color w:val="000000"/>
                <w:sz w:val="20"/>
                <w:szCs w:val="20"/>
              </w:rPr>
              <w:t>7 933 15</w:t>
            </w:r>
            <w:r>
              <w:rPr>
                <w:rFonts w:cstheme="minorHAnsi"/>
                <w:b/>
                <w:color w:val="000000"/>
                <w:sz w:val="20"/>
                <w:szCs w:val="20"/>
              </w:rPr>
              <w:t>6</w:t>
            </w:r>
          </w:p>
        </w:tc>
        <w:tc>
          <w:tcPr>
            <w:tcW w:w="1267" w:type="pct"/>
            <w:tcBorders>
              <w:top w:val="nil"/>
              <w:left w:val="nil"/>
              <w:bottom w:val="single" w:sz="4" w:space="0" w:color="auto"/>
              <w:right w:val="single" w:sz="4" w:space="0" w:color="auto"/>
            </w:tcBorders>
            <w:shd w:val="clear" w:color="auto" w:fill="E7E6E6"/>
            <w:noWrap/>
            <w:vAlign w:val="center"/>
            <w:hideMark/>
          </w:tcPr>
          <w:p w14:paraId="0F41D334" w14:textId="77777777" w:rsidR="00363B0C" w:rsidRPr="00BC6F83" w:rsidRDefault="00363B0C" w:rsidP="00363B0C">
            <w:pPr>
              <w:keepNext/>
              <w:spacing w:after="0" w:line="240" w:lineRule="auto"/>
              <w:ind w:right="459"/>
              <w:jc w:val="right"/>
              <w:rPr>
                <w:rFonts w:cstheme="minorHAnsi"/>
                <w:b/>
                <w:color w:val="000000"/>
                <w:sz w:val="20"/>
                <w:szCs w:val="20"/>
              </w:rPr>
            </w:pPr>
            <w:r w:rsidRPr="00BC6F83">
              <w:rPr>
                <w:rFonts w:cstheme="minorHAnsi"/>
                <w:b/>
                <w:color w:val="000000"/>
                <w:sz w:val="20"/>
                <w:szCs w:val="20"/>
              </w:rPr>
              <w:t>6 871</w:t>
            </w:r>
            <w:r>
              <w:rPr>
                <w:rFonts w:cstheme="minorHAnsi"/>
                <w:b/>
                <w:color w:val="000000"/>
                <w:sz w:val="20"/>
                <w:szCs w:val="20"/>
              </w:rPr>
              <w:t> </w:t>
            </w:r>
            <w:r w:rsidRPr="00BC6F83">
              <w:rPr>
                <w:rFonts w:cstheme="minorHAnsi"/>
                <w:b/>
                <w:color w:val="000000"/>
                <w:sz w:val="20"/>
                <w:szCs w:val="20"/>
              </w:rPr>
              <w:t>33</w:t>
            </w:r>
            <w:r>
              <w:rPr>
                <w:rFonts w:cstheme="minorHAnsi"/>
                <w:b/>
                <w:color w:val="000000"/>
                <w:sz w:val="20"/>
                <w:szCs w:val="20"/>
              </w:rPr>
              <w:t>3</w:t>
            </w:r>
          </w:p>
        </w:tc>
        <w:tc>
          <w:tcPr>
            <w:tcW w:w="1064" w:type="pct"/>
            <w:tcBorders>
              <w:top w:val="nil"/>
              <w:left w:val="nil"/>
              <w:bottom w:val="single" w:sz="4" w:space="0" w:color="auto"/>
              <w:right w:val="single" w:sz="4" w:space="0" w:color="auto"/>
            </w:tcBorders>
            <w:shd w:val="clear" w:color="auto" w:fill="E7E6E6"/>
            <w:noWrap/>
            <w:vAlign w:val="center"/>
            <w:hideMark/>
          </w:tcPr>
          <w:p w14:paraId="6B50316D" w14:textId="4D6DC1DC" w:rsidR="00363B0C" w:rsidRPr="00BC6F83" w:rsidRDefault="00363B0C" w:rsidP="00363B0C">
            <w:pPr>
              <w:keepNext/>
              <w:spacing w:after="0" w:line="240" w:lineRule="auto"/>
              <w:ind w:right="459"/>
              <w:jc w:val="right"/>
              <w:rPr>
                <w:rFonts w:cstheme="minorHAnsi"/>
                <w:b/>
                <w:color w:val="000000"/>
                <w:sz w:val="20"/>
                <w:szCs w:val="20"/>
              </w:rPr>
            </w:pPr>
            <w:r>
              <w:rPr>
                <w:rFonts w:cstheme="minorHAnsi"/>
                <w:b/>
                <w:color w:val="000000"/>
                <w:sz w:val="20"/>
                <w:szCs w:val="20"/>
              </w:rPr>
              <w:t>1 061 822</w:t>
            </w:r>
          </w:p>
        </w:tc>
        <w:tc>
          <w:tcPr>
            <w:tcW w:w="949" w:type="pct"/>
            <w:tcBorders>
              <w:top w:val="nil"/>
              <w:left w:val="nil"/>
              <w:bottom w:val="single" w:sz="4" w:space="0" w:color="auto"/>
              <w:right w:val="single" w:sz="4" w:space="0" w:color="auto"/>
            </w:tcBorders>
            <w:shd w:val="clear" w:color="auto" w:fill="E7E6E6"/>
            <w:noWrap/>
            <w:vAlign w:val="center"/>
            <w:hideMark/>
          </w:tcPr>
          <w:p w14:paraId="7E8523FF" w14:textId="77777777" w:rsidR="00363B0C" w:rsidRPr="00D66911" w:rsidRDefault="00363B0C" w:rsidP="00363B0C">
            <w:pPr>
              <w:keepNext/>
              <w:spacing w:after="0" w:line="240" w:lineRule="auto"/>
              <w:ind w:right="459"/>
              <w:jc w:val="right"/>
              <w:rPr>
                <w:rFonts w:cstheme="minorHAnsi"/>
                <w:b/>
                <w:color w:val="000000"/>
                <w:sz w:val="20"/>
                <w:szCs w:val="20"/>
              </w:rPr>
            </w:pPr>
            <w:r w:rsidRPr="00D66911">
              <w:rPr>
                <w:b/>
                <w:color w:val="000000"/>
                <w:sz w:val="20"/>
                <w:szCs w:val="20"/>
                <w:lang w:eastAsia="cs-CZ"/>
              </w:rPr>
              <w:t>6 216 608</w:t>
            </w:r>
          </w:p>
        </w:tc>
      </w:tr>
    </w:tbl>
    <w:p w14:paraId="536AB707" w14:textId="5CE904F7" w:rsidR="001E53BD" w:rsidRDefault="00487D1F" w:rsidP="00363B0C">
      <w:pPr>
        <w:keepNext/>
        <w:spacing w:before="40" w:after="0" w:line="240" w:lineRule="auto"/>
        <w:rPr>
          <w:rFonts w:cstheme="minorHAnsi"/>
          <w:color w:val="000000"/>
          <w:sz w:val="20"/>
          <w:szCs w:val="20"/>
        </w:rPr>
      </w:pPr>
      <w:r w:rsidRPr="0061038E">
        <w:rPr>
          <w:rFonts w:cstheme="minorHAnsi"/>
          <w:b/>
          <w:color w:val="000000"/>
          <w:sz w:val="20"/>
          <w:szCs w:val="20"/>
        </w:rPr>
        <w:t>Zdroj:</w:t>
      </w:r>
      <w:r w:rsidRPr="0061038E">
        <w:rPr>
          <w:rFonts w:cstheme="minorHAnsi"/>
          <w:color w:val="000000"/>
          <w:sz w:val="20"/>
          <w:szCs w:val="20"/>
        </w:rPr>
        <w:t xml:space="preserve"> </w:t>
      </w:r>
      <w:r w:rsidR="00D04C78">
        <w:rPr>
          <w:rFonts w:cstheme="minorHAnsi"/>
          <w:color w:val="000000"/>
          <w:sz w:val="20"/>
          <w:szCs w:val="20"/>
        </w:rPr>
        <w:t>r</w:t>
      </w:r>
      <w:r w:rsidRPr="0061038E">
        <w:rPr>
          <w:rFonts w:cstheme="minorHAnsi"/>
          <w:color w:val="000000"/>
          <w:sz w:val="20"/>
          <w:szCs w:val="20"/>
        </w:rPr>
        <w:t xml:space="preserve">ozhodnutí o dotaci, </w:t>
      </w:r>
      <w:r w:rsidR="002D24CD">
        <w:rPr>
          <w:rFonts w:cstheme="minorHAnsi"/>
          <w:color w:val="000000"/>
          <w:sz w:val="20"/>
          <w:szCs w:val="20"/>
        </w:rPr>
        <w:t>finanční vypořádání</w:t>
      </w:r>
      <w:r w:rsidRPr="0061038E">
        <w:rPr>
          <w:rFonts w:cstheme="minorHAnsi"/>
          <w:color w:val="000000"/>
          <w:sz w:val="20"/>
          <w:szCs w:val="20"/>
        </w:rPr>
        <w:t xml:space="preserve"> se státním rozpočtem</w:t>
      </w:r>
      <w:r w:rsidR="00B107F5">
        <w:rPr>
          <w:rFonts w:cstheme="minorHAnsi"/>
          <w:color w:val="000000"/>
          <w:sz w:val="20"/>
          <w:szCs w:val="20"/>
        </w:rPr>
        <w:t xml:space="preserve">, </w:t>
      </w:r>
      <w:r w:rsidR="00D04C78">
        <w:rPr>
          <w:rFonts w:cstheme="minorHAnsi"/>
          <w:color w:val="000000"/>
          <w:sz w:val="20"/>
          <w:szCs w:val="20"/>
        </w:rPr>
        <w:t>v</w:t>
      </w:r>
      <w:r w:rsidR="00B107F5">
        <w:rPr>
          <w:rFonts w:cstheme="minorHAnsi"/>
          <w:color w:val="000000"/>
          <w:sz w:val="20"/>
          <w:szCs w:val="20"/>
        </w:rPr>
        <w:t>ýroční zpráva</w:t>
      </w:r>
      <w:r w:rsidR="00A66C56">
        <w:rPr>
          <w:rFonts w:cstheme="minorHAnsi"/>
          <w:color w:val="000000"/>
          <w:sz w:val="20"/>
          <w:szCs w:val="20"/>
        </w:rPr>
        <w:t xml:space="preserve"> PGRLF</w:t>
      </w:r>
      <w:r w:rsidR="00B107F5">
        <w:rPr>
          <w:rFonts w:cstheme="minorHAnsi"/>
          <w:color w:val="000000"/>
          <w:sz w:val="20"/>
          <w:szCs w:val="20"/>
        </w:rPr>
        <w:t xml:space="preserve"> za rok 2018</w:t>
      </w:r>
      <w:r w:rsidR="00DA0F1C">
        <w:rPr>
          <w:rFonts w:cstheme="minorHAnsi"/>
          <w:color w:val="000000"/>
          <w:sz w:val="20"/>
          <w:szCs w:val="20"/>
        </w:rPr>
        <w:t>.</w:t>
      </w:r>
    </w:p>
    <w:p w14:paraId="3FFC5E9C" w14:textId="4884E21C" w:rsidR="00C06343" w:rsidRPr="0061038E" w:rsidRDefault="00B107F5" w:rsidP="008A1186">
      <w:pPr>
        <w:spacing w:line="240" w:lineRule="auto"/>
        <w:rPr>
          <w:rFonts w:cstheme="minorHAnsi"/>
          <w:color w:val="000000"/>
          <w:sz w:val="20"/>
          <w:szCs w:val="20"/>
        </w:rPr>
      </w:pPr>
      <w:r>
        <w:rPr>
          <w:rFonts w:cstheme="minorHAnsi"/>
          <w:color w:val="000000"/>
          <w:sz w:val="20"/>
          <w:szCs w:val="20"/>
        </w:rPr>
        <w:t>*</w:t>
      </w:r>
      <w:r w:rsidR="00D04C78">
        <w:rPr>
          <w:rFonts w:cstheme="minorHAnsi"/>
          <w:color w:val="000000"/>
          <w:sz w:val="20"/>
          <w:szCs w:val="20"/>
        </w:rPr>
        <w:t xml:space="preserve"> Č</w:t>
      </w:r>
      <w:r>
        <w:rPr>
          <w:rFonts w:cstheme="minorHAnsi"/>
          <w:color w:val="000000"/>
          <w:sz w:val="20"/>
          <w:szCs w:val="20"/>
        </w:rPr>
        <w:t>ástka včetně hodnoty poskytovaných úvěrů od PGRLF</w:t>
      </w:r>
      <w:r w:rsidR="00EF1779">
        <w:rPr>
          <w:rFonts w:cstheme="minorHAnsi"/>
          <w:color w:val="000000"/>
          <w:sz w:val="20"/>
          <w:szCs w:val="20"/>
        </w:rPr>
        <w:t>.</w:t>
      </w:r>
    </w:p>
    <w:p w14:paraId="4FC6630F" w14:textId="647DC226" w:rsidR="00845FAE" w:rsidRPr="00EE0546" w:rsidRDefault="006000A5" w:rsidP="00EE0546">
      <w:pPr>
        <w:pStyle w:val="Odstavecseseznamem"/>
        <w:numPr>
          <w:ilvl w:val="0"/>
          <w:numId w:val="3"/>
        </w:numPr>
        <w:tabs>
          <w:tab w:val="left" w:pos="426"/>
        </w:tabs>
        <w:spacing w:after="0" w:line="240" w:lineRule="auto"/>
        <w:ind w:left="0" w:firstLine="0"/>
        <w:contextualSpacing w:val="0"/>
        <w:jc w:val="both"/>
        <w:rPr>
          <w:rFonts w:cstheme="minorHAnsi"/>
          <w:sz w:val="24"/>
          <w:szCs w:val="24"/>
        </w:rPr>
      </w:pPr>
      <w:r w:rsidRPr="00EE0546">
        <w:rPr>
          <w:rFonts w:cstheme="minorHAnsi"/>
          <w:sz w:val="24"/>
          <w:szCs w:val="24"/>
        </w:rPr>
        <w:t xml:space="preserve">Při poskytování podpor je PGRLF povinen postupovat dle </w:t>
      </w:r>
      <w:r w:rsidR="00DA0F1C" w:rsidRPr="00EE0546">
        <w:rPr>
          <w:rFonts w:cstheme="minorHAnsi"/>
          <w:sz w:val="24"/>
          <w:szCs w:val="24"/>
        </w:rPr>
        <w:t>ustanovení § 2da zákona o </w:t>
      </w:r>
      <w:r w:rsidRPr="00EE0546">
        <w:rPr>
          <w:rFonts w:cstheme="minorHAnsi"/>
          <w:sz w:val="24"/>
          <w:szCs w:val="24"/>
        </w:rPr>
        <w:t xml:space="preserve">zemědělství. </w:t>
      </w:r>
      <w:r w:rsidR="00BC6F83" w:rsidRPr="00EE0546">
        <w:rPr>
          <w:rFonts w:cstheme="minorHAnsi"/>
          <w:sz w:val="24"/>
          <w:szCs w:val="24"/>
        </w:rPr>
        <w:t>Toto ustanovení určuje mj. typy podpor, které PGRLF může poskytovat, náležitosti programů podpor, podmínky, které PGRLF ověřuj</w:t>
      </w:r>
      <w:r w:rsidR="00DA0F1C" w:rsidRPr="00EE0546">
        <w:rPr>
          <w:rFonts w:cstheme="minorHAnsi"/>
          <w:sz w:val="24"/>
          <w:szCs w:val="24"/>
        </w:rPr>
        <w:t>e při rozhodování o žádostech o </w:t>
      </w:r>
      <w:r w:rsidR="00BC6F83" w:rsidRPr="00EE0546">
        <w:rPr>
          <w:rFonts w:cstheme="minorHAnsi"/>
          <w:sz w:val="24"/>
          <w:szCs w:val="24"/>
        </w:rPr>
        <w:t>podporu</w:t>
      </w:r>
      <w:r w:rsidR="00D04C78">
        <w:rPr>
          <w:rFonts w:cstheme="minorHAnsi"/>
          <w:sz w:val="24"/>
          <w:szCs w:val="24"/>
        </w:rPr>
        <w:t>,</w:t>
      </w:r>
      <w:r w:rsidR="00BC6F83" w:rsidRPr="00EE0546">
        <w:rPr>
          <w:rFonts w:cstheme="minorHAnsi"/>
          <w:sz w:val="24"/>
          <w:szCs w:val="24"/>
        </w:rPr>
        <w:t xml:space="preserve"> a proces námitkového řízení.</w:t>
      </w:r>
    </w:p>
    <w:p w14:paraId="08D30EDE" w14:textId="77777777" w:rsidR="00845FAE" w:rsidRPr="00EE0546" w:rsidRDefault="00845FAE" w:rsidP="00EE0546">
      <w:pPr>
        <w:pStyle w:val="Odstavecseseznamem"/>
        <w:spacing w:after="0" w:line="240" w:lineRule="auto"/>
        <w:ind w:left="0"/>
        <w:contextualSpacing w:val="0"/>
        <w:jc w:val="both"/>
        <w:rPr>
          <w:rFonts w:cstheme="minorHAnsi"/>
          <w:sz w:val="24"/>
          <w:szCs w:val="24"/>
        </w:rPr>
      </w:pPr>
    </w:p>
    <w:p w14:paraId="23EE1B04" w14:textId="77777777" w:rsidR="00845FAE" w:rsidRPr="00EE0546" w:rsidRDefault="00845FAE" w:rsidP="00EE0546">
      <w:pPr>
        <w:pStyle w:val="Odstavecseseznamem"/>
        <w:numPr>
          <w:ilvl w:val="0"/>
          <w:numId w:val="3"/>
        </w:numPr>
        <w:tabs>
          <w:tab w:val="left" w:pos="426"/>
        </w:tabs>
        <w:spacing w:after="0" w:line="240" w:lineRule="auto"/>
        <w:ind w:left="0" w:firstLine="0"/>
        <w:contextualSpacing w:val="0"/>
        <w:jc w:val="both"/>
        <w:rPr>
          <w:rFonts w:cstheme="minorHAnsi"/>
          <w:sz w:val="24"/>
          <w:szCs w:val="24"/>
        </w:rPr>
      </w:pPr>
      <w:r w:rsidRPr="00EE0546">
        <w:rPr>
          <w:rFonts w:ascii="Calibri" w:eastAsia="Times New Roman" w:hAnsi="Calibri" w:cs="Calibri"/>
          <w:sz w:val="24"/>
          <w:szCs w:val="24"/>
        </w:rPr>
        <w:t xml:space="preserve">Klíčovým prvkem při poskytování podpor PGRLF je rozhodování o žádostech o podporu dle </w:t>
      </w:r>
      <w:r w:rsidR="00DA0F1C" w:rsidRPr="00EE0546">
        <w:rPr>
          <w:rFonts w:ascii="Calibri" w:eastAsia="Times New Roman" w:hAnsi="Calibri" w:cs="Calibri"/>
          <w:sz w:val="24"/>
          <w:szCs w:val="24"/>
        </w:rPr>
        <w:t xml:space="preserve">ustanovení </w:t>
      </w:r>
      <w:r w:rsidRPr="00EE0546">
        <w:rPr>
          <w:rFonts w:ascii="Calibri" w:eastAsia="Times New Roman" w:hAnsi="Calibri" w:cs="Calibri"/>
          <w:sz w:val="24"/>
          <w:szCs w:val="24"/>
        </w:rPr>
        <w:t xml:space="preserve">§ 2da odst. 8 zákona o zemědělství, který uvádí: </w:t>
      </w:r>
    </w:p>
    <w:p w14:paraId="008F1D0F" w14:textId="3E0AF6E7" w:rsidR="00845FAE" w:rsidRPr="00EE0546" w:rsidRDefault="00845FAE" w:rsidP="00EE0546">
      <w:pPr>
        <w:spacing w:after="0" w:line="240" w:lineRule="auto"/>
        <w:rPr>
          <w:i/>
          <w:sz w:val="24"/>
          <w:szCs w:val="24"/>
          <w:lang w:eastAsia="cs-CZ"/>
        </w:rPr>
      </w:pPr>
      <w:r w:rsidRPr="006829C1">
        <w:rPr>
          <w:sz w:val="24"/>
          <w:szCs w:val="24"/>
          <w:lang w:eastAsia="cs-CZ"/>
        </w:rPr>
        <w:t>„</w:t>
      </w:r>
      <w:r w:rsidRPr="00EE0546">
        <w:rPr>
          <w:i/>
          <w:sz w:val="24"/>
          <w:szCs w:val="24"/>
          <w:lang w:eastAsia="cs-CZ"/>
        </w:rPr>
        <w:t>Podpůrný fond při rozhodování o žádosti o podporu posuzuje:</w:t>
      </w:r>
    </w:p>
    <w:p w14:paraId="0D5A6932" w14:textId="77777777" w:rsidR="00845FAE" w:rsidRPr="00EE0546" w:rsidRDefault="00845FAE" w:rsidP="00EE0546">
      <w:pPr>
        <w:pStyle w:val="Odstavecseseznamem"/>
        <w:numPr>
          <w:ilvl w:val="0"/>
          <w:numId w:val="18"/>
        </w:numPr>
        <w:spacing w:after="0" w:line="240" w:lineRule="auto"/>
        <w:ind w:left="567" w:hanging="283"/>
        <w:contextualSpacing w:val="0"/>
        <w:jc w:val="both"/>
        <w:rPr>
          <w:i/>
          <w:sz w:val="24"/>
          <w:szCs w:val="24"/>
          <w:lang w:eastAsia="cs-CZ"/>
        </w:rPr>
      </w:pPr>
      <w:r w:rsidRPr="00EE0546">
        <w:rPr>
          <w:i/>
          <w:sz w:val="24"/>
          <w:szCs w:val="24"/>
          <w:lang w:eastAsia="cs-CZ"/>
        </w:rPr>
        <w:t>splnění formálních náležitostí žádosti o podporu stanovených programem podpory,</w:t>
      </w:r>
    </w:p>
    <w:p w14:paraId="6082651A" w14:textId="77777777" w:rsidR="00845FAE" w:rsidRPr="00EE0546" w:rsidRDefault="00845FAE" w:rsidP="00EE0546">
      <w:pPr>
        <w:pStyle w:val="Odstavecseseznamem"/>
        <w:numPr>
          <w:ilvl w:val="0"/>
          <w:numId w:val="18"/>
        </w:numPr>
        <w:spacing w:after="0" w:line="240" w:lineRule="auto"/>
        <w:ind w:left="567" w:hanging="283"/>
        <w:contextualSpacing w:val="0"/>
        <w:jc w:val="both"/>
        <w:rPr>
          <w:i/>
          <w:sz w:val="24"/>
          <w:szCs w:val="24"/>
          <w:lang w:eastAsia="cs-CZ"/>
        </w:rPr>
      </w:pPr>
      <w:r w:rsidRPr="00EE0546">
        <w:rPr>
          <w:i/>
          <w:sz w:val="24"/>
          <w:szCs w:val="24"/>
          <w:lang w:eastAsia="cs-CZ"/>
        </w:rPr>
        <w:t>splnění podmínek stanovených programem podpory na žadatele o podporu,</w:t>
      </w:r>
    </w:p>
    <w:p w14:paraId="056D75CC" w14:textId="77777777" w:rsidR="00845FAE" w:rsidRPr="00EE0546" w:rsidRDefault="00845FAE" w:rsidP="00EE0546">
      <w:pPr>
        <w:pStyle w:val="Odstavecseseznamem"/>
        <w:numPr>
          <w:ilvl w:val="0"/>
          <w:numId w:val="18"/>
        </w:numPr>
        <w:spacing w:after="0" w:line="240" w:lineRule="auto"/>
        <w:ind w:left="567" w:hanging="283"/>
        <w:contextualSpacing w:val="0"/>
        <w:jc w:val="both"/>
        <w:rPr>
          <w:i/>
          <w:sz w:val="24"/>
          <w:szCs w:val="24"/>
          <w:lang w:eastAsia="cs-CZ"/>
        </w:rPr>
      </w:pPr>
      <w:r w:rsidRPr="00EE0546">
        <w:rPr>
          <w:i/>
          <w:sz w:val="24"/>
          <w:szCs w:val="24"/>
          <w:lang w:eastAsia="cs-CZ"/>
        </w:rPr>
        <w:t>ekonomická a právní rizika spojená s podklady a dokumenty předloženými společně se žádostí o podporu,</w:t>
      </w:r>
    </w:p>
    <w:p w14:paraId="534CB8B9" w14:textId="77777777" w:rsidR="00845FAE" w:rsidRPr="00EE0546" w:rsidRDefault="00845FAE" w:rsidP="00EE0546">
      <w:pPr>
        <w:pStyle w:val="Odstavecseseznamem"/>
        <w:numPr>
          <w:ilvl w:val="0"/>
          <w:numId w:val="18"/>
        </w:numPr>
        <w:spacing w:after="0" w:line="240" w:lineRule="auto"/>
        <w:ind w:left="567" w:hanging="283"/>
        <w:contextualSpacing w:val="0"/>
        <w:jc w:val="both"/>
        <w:rPr>
          <w:i/>
          <w:sz w:val="24"/>
          <w:szCs w:val="24"/>
          <w:lang w:eastAsia="cs-CZ"/>
        </w:rPr>
      </w:pPr>
      <w:r w:rsidRPr="00EE0546">
        <w:rPr>
          <w:i/>
          <w:sz w:val="24"/>
          <w:szCs w:val="24"/>
          <w:lang w:eastAsia="cs-CZ"/>
        </w:rPr>
        <w:t xml:space="preserve">dostatečnost a kvalitu zajištění poskytovaného žadatelem o podporu nebo třetí osobou a </w:t>
      </w:r>
    </w:p>
    <w:p w14:paraId="41577217" w14:textId="77777777" w:rsidR="00845FAE" w:rsidRPr="006829C1" w:rsidRDefault="00845FAE" w:rsidP="00EE0546">
      <w:pPr>
        <w:pStyle w:val="Odstavecseseznamem"/>
        <w:numPr>
          <w:ilvl w:val="0"/>
          <w:numId w:val="18"/>
        </w:numPr>
        <w:spacing w:after="0" w:line="240" w:lineRule="auto"/>
        <w:ind w:left="567" w:hanging="283"/>
        <w:contextualSpacing w:val="0"/>
        <w:jc w:val="both"/>
        <w:rPr>
          <w:sz w:val="24"/>
          <w:szCs w:val="24"/>
          <w:lang w:eastAsia="cs-CZ"/>
        </w:rPr>
      </w:pPr>
      <w:r w:rsidRPr="00EE0546">
        <w:rPr>
          <w:i/>
          <w:sz w:val="24"/>
          <w:szCs w:val="24"/>
          <w:lang w:eastAsia="cs-CZ"/>
        </w:rPr>
        <w:t>ekonomická a právní rizika žadatele o podporu.</w:t>
      </w:r>
      <w:r w:rsidRPr="006829C1">
        <w:rPr>
          <w:sz w:val="24"/>
          <w:szCs w:val="24"/>
          <w:lang w:eastAsia="cs-CZ"/>
        </w:rPr>
        <w:t>“</w:t>
      </w:r>
    </w:p>
    <w:p w14:paraId="52C0B0E0" w14:textId="77777777" w:rsidR="00845FAE" w:rsidRPr="00EE0546" w:rsidRDefault="00845FAE" w:rsidP="00EE0546">
      <w:pPr>
        <w:pStyle w:val="Odstavecseseznamem"/>
        <w:spacing w:after="0" w:line="240" w:lineRule="auto"/>
        <w:ind w:left="0"/>
        <w:contextualSpacing w:val="0"/>
        <w:jc w:val="both"/>
        <w:rPr>
          <w:rFonts w:cstheme="minorHAnsi"/>
          <w:sz w:val="24"/>
          <w:szCs w:val="24"/>
        </w:rPr>
      </w:pPr>
    </w:p>
    <w:p w14:paraId="454E5705" w14:textId="0A5BD766" w:rsidR="00506CA0" w:rsidRDefault="00EC4967" w:rsidP="00616BA7">
      <w:pPr>
        <w:pStyle w:val="Odstavecseseznamem"/>
        <w:numPr>
          <w:ilvl w:val="0"/>
          <w:numId w:val="3"/>
        </w:numPr>
        <w:tabs>
          <w:tab w:val="left" w:pos="426"/>
        </w:tabs>
        <w:spacing w:after="0" w:line="240" w:lineRule="auto"/>
        <w:ind w:left="0" w:firstLine="0"/>
        <w:contextualSpacing w:val="0"/>
        <w:jc w:val="both"/>
        <w:rPr>
          <w:rFonts w:cstheme="minorHAnsi"/>
          <w:sz w:val="24"/>
          <w:szCs w:val="24"/>
        </w:rPr>
      </w:pPr>
      <w:r w:rsidRPr="00EE0546">
        <w:rPr>
          <w:rFonts w:cstheme="minorHAnsi"/>
          <w:sz w:val="24"/>
          <w:szCs w:val="24"/>
        </w:rPr>
        <w:t>Podle ustanovení § 2da odst. 4 zákona o zemědělství</w:t>
      </w:r>
      <w:r w:rsidR="002F75CF" w:rsidRPr="00EE0546">
        <w:rPr>
          <w:rFonts w:cstheme="minorHAnsi"/>
          <w:sz w:val="24"/>
          <w:szCs w:val="24"/>
        </w:rPr>
        <w:t xml:space="preserve"> f</w:t>
      </w:r>
      <w:r w:rsidR="002F75CF" w:rsidRPr="00EE0546">
        <w:rPr>
          <w:sz w:val="24"/>
          <w:szCs w:val="24"/>
        </w:rPr>
        <w:t>inanční prostředky ze státního rozpočtu určené na financování podpor se pro účely jejich zúčtování se státním rozpočtem považují za čerpané dnem uzavření smlouvy s příjemcem podpory, a to v rozsahu celého sjednaného závazku k jejich vyplacení.</w:t>
      </w:r>
      <w:r w:rsidR="002F75CF" w:rsidRPr="00EE0546">
        <w:rPr>
          <w:rFonts w:cstheme="minorHAnsi"/>
          <w:sz w:val="24"/>
          <w:szCs w:val="24"/>
        </w:rPr>
        <w:t xml:space="preserve"> </w:t>
      </w:r>
      <w:r w:rsidR="00BF03E1" w:rsidRPr="00EE0546">
        <w:rPr>
          <w:rFonts w:cstheme="minorHAnsi"/>
          <w:sz w:val="24"/>
          <w:szCs w:val="24"/>
        </w:rPr>
        <w:t>O</w:t>
      </w:r>
      <w:r w:rsidR="00081C7D" w:rsidRPr="00EE0546">
        <w:rPr>
          <w:rFonts w:cstheme="minorHAnsi"/>
          <w:sz w:val="24"/>
          <w:szCs w:val="24"/>
        </w:rPr>
        <w:t>kamžik</w:t>
      </w:r>
      <w:r w:rsidR="00BF03E1" w:rsidRPr="00EE0546">
        <w:rPr>
          <w:rFonts w:cstheme="minorHAnsi"/>
          <w:sz w:val="24"/>
          <w:szCs w:val="24"/>
        </w:rPr>
        <w:t>em</w:t>
      </w:r>
      <w:r w:rsidR="00DA0F1C" w:rsidRPr="00EE0546">
        <w:rPr>
          <w:rFonts w:cstheme="minorHAnsi"/>
          <w:sz w:val="24"/>
          <w:szCs w:val="24"/>
        </w:rPr>
        <w:t xml:space="preserve"> uzavření smlouvy o </w:t>
      </w:r>
      <w:r w:rsidR="00081C7D" w:rsidRPr="00EE0546">
        <w:rPr>
          <w:rFonts w:cstheme="minorHAnsi"/>
          <w:sz w:val="24"/>
          <w:szCs w:val="24"/>
        </w:rPr>
        <w:t>podpoře s</w:t>
      </w:r>
      <w:r w:rsidR="00771804" w:rsidRPr="00EE0546">
        <w:rPr>
          <w:rFonts w:cstheme="minorHAnsi"/>
          <w:sz w:val="24"/>
          <w:szCs w:val="24"/>
        </w:rPr>
        <w:t> </w:t>
      </w:r>
      <w:r w:rsidR="00081C7D" w:rsidRPr="00EE0546">
        <w:rPr>
          <w:rFonts w:cstheme="minorHAnsi"/>
          <w:sz w:val="24"/>
          <w:szCs w:val="24"/>
        </w:rPr>
        <w:t>příjemcem</w:t>
      </w:r>
      <w:r w:rsidR="000B3D69" w:rsidRPr="00EE0546">
        <w:rPr>
          <w:rFonts w:cstheme="minorHAnsi"/>
          <w:sz w:val="24"/>
          <w:szCs w:val="24"/>
        </w:rPr>
        <w:t xml:space="preserve"> se smlouvou určené finanční prostředky stávají předmětem so</w:t>
      </w:r>
      <w:r w:rsidR="00D94066" w:rsidRPr="00EE0546">
        <w:rPr>
          <w:rFonts w:cstheme="minorHAnsi"/>
          <w:sz w:val="24"/>
          <w:szCs w:val="24"/>
        </w:rPr>
        <w:t>ukromoprávního vztahu mezi PGRLF</w:t>
      </w:r>
      <w:r w:rsidR="000B3D69" w:rsidRPr="00EE0546">
        <w:rPr>
          <w:rFonts w:cstheme="minorHAnsi"/>
          <w:sz w:val="24"/>
          <w:szCs w:val="24"/>
        </w:rPr>
        <w:t xml:space="preserve"> jako akciovou společností a příjemcem podpory</w:t>
      </w:r>
      <w:r w:rsidR="00081C7D" w:rsidRPr="00EE0546">
        <w:rPr>
          <w:rFonts w:cstheme="minorHAnsi"/>
          <w:sz w:val="24"/>
          <w:szCs w:val="24"/>
        </w:rPr>
        <w:t>.</w:t>
      </w:r>
    </w:p>
    <w:p w14:paraId="006315E3" w14:textId="77777777" w:rsidR="00616BA7" w:rsidRPr="00616BA7" w:rsidRDefault="00616BA7" w:rsidP="00616BA7">
      <w:pPr>
        <w:spacing w:after="0" w:line="240" w:lineRule="auto"/>
        <w:jc w:val="both"/>
        <w:rPr>
          <w:rFonts w:cstheme="minorHAnsi"/>
          <w:sz w:val="24"/>
          <w:szCs w:val="24"/>
        </w:rPr>
      </w:pPr>
    </w:p>
    <w:p w14:paraId="696D25E4" w14:textId="77777777" w:rsidR="000D3999" w:rsidRPr="00EE0546" w:rsidRDefault="000D3999" w:rsidP="00616BA7">
      <w:pPr>
        <w:pStyle w:val="Odstavecseseznamem"/>
        <w:numPr>
          <w:ilvl w:val="0"/>
          <w:numId w:val="3"/>
        </w:numPr>
        <w:tabs>
          <w:tab w:val="left" w:pos="426"/>
        </w:tabs>
        <w:spacing w:after="0" w:line="240" w:lineRule="auto"/>
        <w:ind w:left="0" w:firstLine="0"/>
        <w:contextualSpacing w:val="0"/>
        <w:jc w:val="both"/>
        <w:rPr>
          <w:rFonts w:cstheme="minorHAnsi"/>
          <w:sz w:val="24"/>
          <w:szCs w:val="24"/>
        </w:rPr>
      </w:pPr>
      <w:proofErr w:type="spellStart"/>
      <w:r w:rsidRPr="00EE0546">
        <w:rPr>
          <w:rFonts w:cstheme="minorHAnsi"/>
          <w:sz w:val="24"/>
          <w:szCs w:val="24"/>
        </w:rPr>
        <w:t>MZe</w:t>
      </w:r>
      <w:proofErr w:type="spellEnd"/>
      <w:r w:rsidRPr="00EE0546">
        <w:rPr>
          <w:rFonts w:cstheme="minorHAnsi"/>
          <w:sz w:val="24"/>
          <w:szCs w:val="24"/>
        </w:rPr>
        <w:t xml:space="preserve"> poskytovalo v kontrolovaném období prostředky dotace </w:t>
      </w:r>
      <w:r w:rsidR="002F75CF" w:rsidRPr="00EE0546">
        <w:rPr>
          <w:rFonts w:cstheme="minorHAnsi"/>
          <w:sz w:val="24"/>
          <w:szCs w:val="24"/>
        </w:rPr>
        <w:t xml:space="preserve">PGRLF </w:t>
      </w:r>
      <w:r w:rsidRPr="00EE0546">
        <w:rPr>
          <w:rFonts w:cstheme="minorHAnsi"/>
          <w:sz w:val="24"/>
          <w:szCs w:val="24"/>
        </w:rPr>
        <w:t>vždy v několika částech během daného rozpočtového roku. Např. v roce 2018 převedl</w:t>
      </w:r>
      <w:r w:rsidR="002F75CF" w:rsidRPr="00EE0546">
        <w:rPr>
          <w:rFonts w:cstheme="minorHAnsi"/>
          <w:sz w:val="24"/>
          <w:szCs w:val="24"/>
        </w:rPr>
        <w:t>o</w:t>
      </w:r>
      <w:r w:rsidRPr="00EE0546">
        <w:rPr>
          <w:rFonts w:cstheme="minorHAnsi"/>
          <w:sz w:val="24"/>
          <w:szCs w:val="24"/>
        </w:rPr>
        <w:t xml:space="preserve"> první část z celkové rozpočtované dotace ve výši 1,5 mld. Kč na účet PGRLF v lednu 2018, a to ve výši 1,0 mld. Kč, </w:t>
      </w:r>
      <w:r w:rsidR="002E3516" w:rsidRPr="00EE0546">
        <w:rPr>
          <w:rFonts w:cstheme="minorHAnsi"/>
          <w:sz w:val="24"/>
          <w:szCs w:val="24"/>
        </w:rPr>
        <w:t>a v květnu zbývající 0,5 mld. Kč.</w:t>
      </w:r>
    </w:p>
    <w:p w14:paraId="1B539C2F" w14:textId="77777777" w:rsidR="004E4F89" w:rsidRPr="00363B0C" w:rsidRDefault="004E4F89" w:rsidP="00363B0C">
      <w:pPr>
        <w:spacing w:after="0" w:line="240" w:lineRule="auto"/>
        <w:rPr>
          <w:rFonts w:ascii="Calibri" w:hAnsi="Calibri" w:cs="Calibri"/>
          <w:sz w:val="24"/>
        </w:rPr>
      </w:pPr>
    </w:p>
    <w:p w14:paraId="719B7051" w14:textId="77777777" w:rsidR="002F75CF" w:rsidRPr="00363B0C" w:rsidRDefault="002F75CF" w:rsidP="00363B0C">
      <w:pPr>
        <w:spacing w:after="0" w:line="240" w:lineRule="auto"/>
        <w:rPr>
          <w:rFonts w:ascii="Calibri" w:hAnsi="Calibri" w:cs="Calibri"/>
          <w:sz w:val="24"/>
        </w:rPr>
      </w:pPr>
    </w:p>
    <w:p w14:paraId="7330CAEF" w14:textId="77777777" w:rsidR="007D3809" w:rsidRPr="007F1D90" w:rsidRDefault="007D3809" w:rsidP="00616BA7">
      <w:pPr>
        <w:pStyle w:val="Nadpis1"/>
        <w:numPr>
          <w:ilvl w:val="0"/>
          <w:numId w:val="0"/>
        </w:numPr>
        <w:spacing w:before="0" w:after="0"/>
        <w:ind w:left="357" w:hanging="357"/>
        <w:rPr>
          <w:sz w:val="28"/>
          <w:szCs w:val="28"/>
        </w:rPr>
      </w:pPr>
      <w:r w:rsidRPr="007F1D90">
        <w:rPr>
          <w:sz w:val="28"/>
          <w:szCs w:val="28"/>
        </w:rPr>
        <w:t>III. Rozsah kontroly</w:t>
      </w:r>
    </w:p>
    <w:p w14:paraId="31E6283D" w14:textId="77777777" w:rsidR="007D3809" w:rsidRPr="007F1D90" w:rsidRDefault="007D3809" w:rsidP="00616BA7">
      <w:pPr>
        <w:spacing w:after="0" w:line="240" w:lineRule="auto"/>
        <w:jc w:val="both"/>
        <w:rPr>
          <w:rFonts w:cstheme="minorHAnsi"/>
          <w:sz w:val="24"/>
          <w:szCs w:val="24"/>
        </w:rPr>
      </w:pPr>
    </w:p>
    <w:p w14:paraId="65A277E9" w14:textId="39FE7543" w:rsidR="0017724A" w:rsidRDefault="0017724A" w:rsidP="00616BA7">
      <w:pPr>
        <w:pStyle w:val="Odstavecseseznamem"/>
        <w:numPr>
          <w:ilvl w:val="1"/>
          <w:numId w:val="2"/>
        </w:numPr>
        <w:tabs>
          <w:tab w:val="left" w:pos="426"/>
        </w:tabs>
        <w:spacing w:after="0" w:line="240" w:lineRule="auto"/>
        <w:ind w:left="0" w:firstLine="0"/>
        <w:contextualSpacing w:val="0"/>
        <w:jc w:val="both"/>
        <w:rPr>
          <w:rFonts w:cstheme="minorHAnsi"/>
          <w:sz w:val="24"/>
          <w:szCs w:val="24"/>
        </w:rPr>
      </w:pPr>
      <w:r w:rsidRPr="0017724A">
        <w:rPr>
          <w:rFonts w:cstheme="minorHAnsi"/>
          <w:sz w:val="24"/>
          <w:szCs w:val="24"/>
        </w:rPr>
        <w:t>Předmětem kontroly NKÚ byly podpory poskytované Podpůrným a garančním rolnickým a lesnickým fondem</w:t>
      </w:r>
      <w:r w:rsidR="000E1621">
        <w:rPr>
          <w:rFonts w:cstheme="minorHAnsi"/>
          <w:sz w:val="24"/>
          <w:szCs w:val="24"/>
        </w:rPr>
        <w:t>,</w:t>
      </w:r>
      <w:r w:rsidRPr="0017724A">
        <w:rPr>
          <w:rFonts w:cstheme="minorHAnsi"/>
          <w:sz w:val="24"/>
          <w:szCs w:val="24"/>
        </w:rPr>
        <w:t xml:space="preserve"> a.s. Kontrolovaným obdobím byly roky 2014 až 2018, v případě věcných souvislostí i obdo</w:t>
      </w:r>
      <w:r>
        <w:rPr>
          <w:rFonts w:cstheme="minorHAnsi"/>
          <w:sz w:val="24"/>
          <w:szCs w:val="24"/>
        </w:rPr>
        <w:t>bí předcházející a následující.</w:t>
      </w:r>
      <w:r w:rsidR="00AB7949">
        <w:rPr>
          <w:rFonts w:cstheme="minorHAnsi"/>
          <w:sz w:val="24"/>
          <w:szCs w:val="24"/>
        </w:rPr>
        <w:t xml:space="preserve"> Ko</w:t>
      </w:r>
      <w:r w:rsidR="00DA0F1C">
        <w:rPr>
          <w:rFonts w:cstheme="minorHAnsi"/>
          <w:sz w:val="24"/>
          <w:szCs w:val="24"/>
        </w:rPr>
        <w:t xml:space="preserve">ntrolovanými osobami byly </w:t>
      </w:r>
      <w:proofErr w:type="spellStart"/>
      <w:r w:rsidR="00DA0F1C">
        <w:rPr>
          <w:rFonts w:cstheme="minorHAnsi"/>
          <w:sz w:val="24"/>
          <w:szCs w:val="24"/>
        </w:rPr>
        <w:t>MZe</w:t>
      </w:r>
      <w:proofErr w:type="spellEnd"/>
      <w:r w:rsidR="00DA0F1C">
        <w:rPr>
          <w:rFonts w:cstheme="minorHAnsi"/>
          <w:sz w:val="24"/>
          <w:szCs w:val="24"/>
        </w:rPr>
        <w:t xml:space="preserve"> a </w:t>
      </w:r>
      <w:r w:rsidR="00AB7949">
        <w:rPr>
          <w:rFonts w:cstheme="minorHAnsi"/>
          <w:sz w:val="24"/>
          <w:szCs w:val="24"/>
        </w:rPr>
        <w:t>PGRLF, které, každ</w:t>
      </w:r>
      <w:r w:rsidR="00D04C78">
        <w:rPr>
          <w:rFonts w:cstheme="minorHAnsi"/>
          <w:sz w:val="24"/>
          <w:szCs w:val="24"/>
        </w:rPr>
        <w:t>ý</w:t>
      </w:r>
      <w:r w:rsidR="00AB7949">
        <w:rPr>
          <w:rFonts w:cstheme="minorHAnsi"/>
          <w:sz w:val="24"/>
          <w:szCs w:val="24"/>
        </w:rPr>
        <w:t xml:space="preserve"> v mezích své působnosti, jsou zodpovědné za programy podpor a jejich realizaci</w:t>
      </w:r>
      <w:r w:rsidR="00EA7014">
        <w:rPr>
          <w:rFonts w:cstheme="minorHAnsi"/>
          <w:sz w:val="24"/>
          <w:szCs w:val="24"/>
        </w:rPr>
        <w:t>,</w:t>
      </w:r>
      <w:r w:rsidR="00AB7949">
        <w:rPr>
          <w:rFonts w:cstheme="minorHAnsi"/>
          <w:sz w:val="24"/>
          <w:szCs w:val="24"/>
        </w:rPr>
        <w:t xml:space="preserve"> a </w:t>
      </w:r>
      <w:r w:rsidR="00361A7F">
        <w:rPr>
          <w:rFonts w:cstheme="minorHAnsi"/>
          <w:sz w:val="24"/>
          <w:szCs w:val="24"/>
        </w:rPr>
        <w:t>společně tak tvoří</w:t>
      </w:r>
      <w:r w:rsidR="00D37FA7">
        <w:rPr>
          <w:rFonts w:cstheme="minorHAnsi"/>
          <w:sz w:val="24"/>
          <w:szCs w:val="24"/>
        </w:rPr>
        <w:t xml:space="preserve"> institucionální rámec finančního</w:t>
      </w:r>
      <w:r w:rsidR="00AB7949">
        <w:rPr>
          <w:rFonts w:cstheme="minorHAnsi"/>
          <w:sz w:val="24"/>
          <w:szCs w:val="24"/>
        </w:rPr>
        <w:t xml:space="preserve"> mechanismu</w:t>
      </w:r>
      <w:r w:rsidR="007154EE">
        <w:rPr>
          <w:rFonts w:cstheme="minorHAnsi"/>
          <w:sz w:val="24"/>
          <w:szCs w:val="24"/>
        </w:rPr>
        <w:t xml:space="preserve"> podpory</w:t>
      </w:r>
      <w:r w:rsidR="00AB7949">
        <w:rPr>
          <w:rFonts w:cstheme="minorHAnsi"/>
          <w:sz w:val="24"/>
          <w:szCs w:val="24"/>
        </w:rPr>
        <w:t>.</w:t>
      </w:r>
    </w:p>
    <w:p w14:paraId="24DF17FD" w14:textId="2178C668" w:rsidR="00764B23" w:rsidRDefault="0017724A" w:rsidP="00616BA7">
      <w:pPr>
        <w:pStyle w:val="Odstavecseseznamem"/>
        <w:numPr>
          <w:ilvl w:val="1"/>
          <w:numId w:val="2"/>
        </w:numPr>
        <w:tabs>
          <w:tab w:val="left" w:pos="426"/>
        </w:tabs>
        <w:spacing w:after="0" w:line="240" w:lineRule="auto"/>
        <w:ind w:left="0" w:firstLine="0"/>
        <w:contextualSpacing w:val="0"/>
        <w:jc w:val="both"/>
        <w:rPr>
          <w:rFonts w:cstheme="minorHAnsi"/>
          <w:b/>
          <w:sz w:val="24"/>
          <w:szCs w:val="24"/>
        </w:rPr>
      </w:pPr>
      <w:r w:rsidRPr="00831ECE">
        <w:rPr>
          <w:rFonts w:cstheme="minorHAnsi"/>
          <w:b/>
          <w:sz w:val="24"/>
          <w:szCs w:val="24"/>
        </w:rPr>
        <w:lastRenderedPageBreak/>
        <w:t>Cílem kontroly bylo prověřit</w:t>
      </w:r>
      <w:r w:rsidR="00B32744" w:rsidRPr="00831ECE">
        <w:rPr>
          <w:rFonts w:cstheme="minorHAnsi"/>
          <w:b/>
          <w:sz w:val="24"/>
          <w:szCs w:val="24"/>
        </w:rPr>
        <w:t xml:space="preserve">, jak Ministerstvo </w:t>
      </w:r>
      <w:r w:rsidR="008C274F" w:rsidRPr="00831ECE">
        <w:rPr>
          <w:rFonts w:cstheme="minorHAnsi"/>
          <w:b/>
          <w:sz w:val="24"/>
          <w:szCs w:val="24"/>
        </w:rPr>
        <w:t>zemědě</w:t>
      </w:r>
      <w:r w:rsidR="00DA0F1C">
        <w:rPr>
          <w:rFonts w:cstheme="minorHAnsi"/>
          <w:b/>
          <w:sz w:val="24"/>
          <w:szCs w:val="24"/>
        </w:rPr>
        <w:t>lství řídí činnost Podpůrného a </w:t>
      </w:r>
      <w:r w:rsidR="008C274F" w:rsidRPr="00831ECE">
        <w:rPr>
          <w:rFonts w:cstheme="minorHAnsi"/>
          <w:b/>
          <w:sz w:val="24"/>
          <w:szCs w:val="24"/>
        </w:rPr>
        <w:t xml:space="preserve">garančního rolnického a lesnického fondu, a.s., a vyhodnotit systém poskytování podpor prostřednictvím tohoto fondu včetně nastavení podpor a podmínek pro jejich čerpání.  </w:t>
      </w:r>
    </w:p>
    <w:p w14:paraId="3160553B" w14:textId="77777777" w:rsidR="00616BA7" w:rsidRPr="00616BA7" w:rsidRDefault="00616BA7" w:rsidP="00616BA7">
      <w:pPr>
        <w:spacing w:after="0" w:line="240" w:lineRule="auto"/>
        <w:jc w:val="both"/>
        <w:rPr>
          <w:rFonts w:cstheme="minorHAnsi"/>
          <w:sz w:val="24"/>
          <w:szCs w:val="24"/>
        </w:rPr>
      </w:pPr>
    </w:p>
    <w:p w14:paraId="1DA7FF6E" w14:textId="3C1C8148" w:rsidR="00764B23" w:rsidRDefault="0017724A" w:rsidP="00616BA7">
      <w:pPr>
        <w:pStyle w:val="Odstavecseseznamem"/>
        <w:numPr>
          <w:ilvl w:val="1"/>
          <w:numId w:val="2"/>
        </w:numPr>
        <w:tabs>
          <w:tab w:val="left" w:pos="426"/>
        </w:tabs>
        <w:spacing w:after="0" w:line="240" w:lineRule="auto"/>
        <w:ind w:left="0" w:firstLine="0"/>
        <w:contextualSpacing w:val="0"/>
        <w:jc w:val="both"/>
        <w:rPr>
          <w:rFonts w:cstheme="minorHAnsi"/>
          <w:sz w:val="24"/>
          <w:szCs w:val="24"/>
        </w:rPr>
      </w:pPr>
      <w:r w:rsidRPr="00764B23">
        <w:rPr>
          <w:rFonts w:cstheme="minorHAnsi"/>
          <w:sz w:val="24"/>
          <w:szCs w:val="24"/>
        </w:rPr>
        <w:t xml:space="preserve">U </w:t>
      </w:r>
      <w:proofErr w:type="spellStart"/>
      <w:proofErr w:type="gramStart"/>
      <w:r w:rsidRPr="00764B23">
        <w:rPr>
          <w:rFonts w:cstheme="minorHAnsi"/>
          <w:sz w:val="24"/>
          <w:szCs w:val="24"/>
        </w:rPr>
        <w:t>MZe</w:t>
      </w:r>
      <w:proofErr w:type="spellEnd"/>
      <w:proofErr w:type="gramEnd"/>
      <w:r w:rsidRPr="00764B23">
        <w:rPr>
          <w:rFonts w:cstheme="minorHAnsi"/>
          <w:sz w:val="24"/>
          <w:szCs w:val="24"/>
        </w:rPr>
        <w:t xml:space="preserve"> byla kontrola zaměřena na činnost </w:t>
      </w:r>
      <w:proofErr w:type="spellStart"/>
      <w:r w:rsidRPr="00764B23">
        <w:rPr>
          <w:rFonts w:cstheme="minorHAnsi"/>
          <w:sz w:val="24"/>
          <w:szCs w:val="24"/>
        </w:rPr>
        <w:t>MZe</w:t>
      </w:r>
      <w:proofErr w:type="spellEnd"/>
      <w:r w:rsidRPr="00764B23">
        <w:rPr>
          <w:rFonts w:cstheme="minorHAnsi"/>
          <w:sz w:val="24"/>
          <w:szCs w:val="24"/>
        </w:rPr>
        <w:t xml:space="preserve"> j</w:t>
      </w:r>
      <w:r w:rsidR="00DA0F1C">
        <w:rPr>
          <w:rFonts w:cstheme="minorHAnsi"/>
          <w:sz w:val="24"/>
          <w:szCs w:val="24"/>
        </w:rPr>
        <w:t>akožto zakladatele, akcionáře a </w:t>
      </w:r>
      <w:r w:rsidRPr="00764B23">
        <w:rPr>
          <w:rFonts w:cstheme="minorHAnsi"/>
          <w:sz w:val="24"/>
          <w:szCs w:val="24"/>
        </w:rPr>
        <w:t xml:space="preserve">poskytovatele finančních prostředků PGRLF. Jednalo se především o nastavení strategických cílů a jejich provázanost s dalšími resortními strategiemi a cíli, výkon akcionářských práv, stanovení cílů </w:t>
      </w:r>
      <w:r w:rsidR="009D5D25">
        <w:rPr>
          <w:rFonts w:cstheme="minorHAnsi"/>
          <w:sz w:val="24"/>
          <w:szCs w:val="24"/>
        </w:rPr>
        <w:t xml:space="preserve">a </w:t>
      </w:r>
      <w:r w:rsidRPr="00764B23">
        <w:rPr>
          <w:rFonts w:cstheme="minorHAnsi"/>
          <w:sz w:val="24"/>
          <w:szCs w:val="24"/>
        </w:rPr>
        <w:t>sledování účelnosti podpor a vyhodnocování účinků a přínosů poskytovaných podpor</w:t>
      </w:r>
      <w:r w:rsidR="001C7CC2">
        <w:rPr>
          <w:rFonts w:cstheme="minorHAnsi"/>
          <w:sz w:val="24"/>
          <w:szCs w:val="24"/>
        </w:rPr>
        <w:t xml:space="preserve">. </w:t>
      </w:r>
      <w:r w:rsidR="001C7CC2" w:rsidRPr="00B107F5">
        <w:rPr>
          <w:rFonts w:cstheme="minorHAnsi"/>
          <w:sz w:val="24"/>
          <w:szCs w:val="24"/>
        </w:rPr>
        <w:t>NKÚ také hodnotil státem zvolenou právní formu PGRLF jako akciové společnosti s ohledem na úkoly, které plní</w:t>
      </w:r>
      <w:r w:rsidRPr="00B107F5">
        <w:rPr>
          <w:rFonts w:cstheme="minorHAnsi"/>
          <w:sz w:val="24"/>
          <w:szCs w:val="24"/>
        </w:rPr>
        <w:t xml:space="preserve">. </w:t>
      </w:r>
    </w:p>
    <w:p w14:paraId="2C9887E4" w14:textId="77777777" w:rsidR="00616BA7" w:rsidRPr="00616BA7" w:rsidRDefault="00616BA7" w:rsidP="00616BA7">
      <w:pPr>
        <w:spacing w:after="0" w:line="240" w:lineRule="auto"/>
        <w:jc w:val="both"/>
        <w:rPr>
          <w:rFonts w:cstheme="minorHAnsi"/>
          <w:sz w:val="24"/>
          <w:szCs w:val="24"/>
        </w:rPr>
      </w:pPr>
    </w:p>
    <w:p w14:paraId="50FEF37B" w14:textId="12D1A46E" w:rsidR="00A567D0" w:rsidRDefault="001C7CC2" w:rsidP="00616BA7">
      <w:pPr>
        <w:pStyle w:val="Odstavecseseznamem"/>
        <w:numPr>
          <w:ilvl w:val="1"/>
          <w:numId w:val="2"/>
        </w:numPr>
        <w:tabs>
          <w:tab w:val="left" w:pos="426"/>
        </w:tabs>
        <w:spacing w:after="0" w:line="240" w:lineRule="auto"/>
        <w:ind w:left="0" w:firstLine="0"/>
        <w:contextualSpacing w:val="0"/>
        <w:jc w:val="both"/>
        <w:rPr>
          <w:rFonts w:cstheme="minorHAnsi"/>
          <w:sz w:val="24"/>
          <w:szCs w:val="24"/>
        </w:rPr>
      </w:pPr>
      <w:r>
        <w:rPr>
          <w:rFonts w:cstheme="minorHAnsi"/>
          <w:sz w:val="24"/>
          <w:szCs w:val="24"/>
        </w:rPr>
        <w:t>U PGRLF bylo cílem ověřit</w:t>
      </w:r>
      <w:r w:rsidR="00361A7F">
        <w:rPr>
          <w:rFonts w:cstheme="minorHAnsi"/>
          <w:sz w:val="24"/>
          <w:szCs w:val="24"/>
        </w:rPr>
        <w:t xml:space="preserve"> jeho činnost</w:t>
      </w:r>
      <w:r w:rsidR="00717212">
        <w:rPr>
          <w:rFonts w:cstheme="minorHAnsi"/>
          <w:sz w:val="24"/>
          <w:szCs w:val="24"/>
        </w:rPr>
        <w:t xml:space="preserve"> při poskytování podpor dle </w:t>
      </w:r>
      <w:r w:rsidR="00DA0F1C">
        <w:rPr>
          <w:rFonts w:cstheme="minorHAnsi"/>
          <w:sz w:val="24"/>
          <w:szCs w:val="24"/>
        </w:rPr>
        <w:t xml:space="preserve">ustanovení </w:t>
      </w:r>
      <w:r w:rsidR="00717212">
        <w:rPr>
          <w:rFonts w:cstheme="minorHAnsi"/>
          <w:sz w:val="24"/>
          <w:szCs w:val="24"/>
        </w:rPr>
        <w:t>§ 2da z</w:t>
      </w:r>
      <w:r w:rsidR="00D913C1">
        <w:rPr>
          <w:rFonts w:cstheme="minorHAnsi"/>
          <w:sz w:val="24"/>
          <w:szCs w:val="24"/>
        </w:rPr>
        <w:t xml:space="preserve">ákona o zemědělství, zejména </w:t>
      </w:r>
      <w:r w:rsidR="00717212">
        <w:rPr>
          <w:rFonts w:cstheme="minorHAnsi"/>
          <w:sz w:val="24"/>
          <w:szCs w:val="24"/>
        </w:rPr>
        <w:t xml:space="preserve">posuzování </w:t>
      </w:r>
      <w:r w:rsidR="0017724A" w:rsidRPr="00764B23">
        <w:rPr>
          <w:rFonts w:cstheme="minorHAnsi"/>
          <w:sz w:val="24"/>
          <w:szCs w:val="24"/>
        </w:rPr>
        <w:t>žádostí</w:t>
      </w:r>
      <w:r w:rsidR="00717212">
        <w:rPr>
          <w:rFonts w:cstheme="minorHAnsi"/>
          <w:sz w:val="24"/>
          <w:szCs w:val="24"/>
        </w:rPr>
        <w:t xml:space="preserve"> o podporu</w:t>
      </w:r>
      <w:r w:rsidR="00845FAE">
        <w:rPr>
          <w:rFonts w:cstheme="minorHAnsi"/>
          <w:sz w:val="24"/>
          <w:szCs w:val="24"/>
        </w:rPr>
        <w:t xml:space="preserve"> podle jeho odst. 8</w:t>
      </w:r>
      <w:r w:rsidR="000A607B">
        <w:rPr>
          <w:rFonts w:cstheme="minorHAnsi"/>
          <w:sz w:val="24"/>
          <w:szCs w:val="24"/>
        </w:rPr>
        <w:t>, tedy do okamžiku uzavření smlouvy s příjemcem podpory, kdy se finanční prostředky určené smlouvou stávají předmětem soukromoprávního vztahu</w:t>
      </w:r>
      <w:r w:rsidR="0017724A" w:rsidRPr="00764B23">
        <w:rPr>
          <w:rFonts w:cstheme="minorHAnsi"/>
          <w:sz w:val="24"/>
          <w:szCs w:val="24"/>
        </w:rPr>
        <w:t xml:space="preserve">. </w:t>
      </w:r>
      <w:r w:rsidR="003D0B2E">
        <w:rPr>
          <w:rFonts w:cstheme="minorHAnsi"/>
          <w:sz w:val="24"/>
          <w:szCs w:val="24"/>
        </w:rPr>
        <w:t>Z</w:t>
      </w:r>
      <w:r w:rsidR="000E1621">
        <w:rPr>
          <w:rFonts w:cstheme="minorHAnsi"/>
          <w:sz w:val="24"/>
          <w:szCs w:val="24"/>
        </w:rPr>
        <w:t>áměrem</w:t>
      </w:r>
      <w:r w:rsidR="00AB7949">
        <w:rPr>
          <w:rFonts w:cstheme="minorHAnsi"/>
          <w:sz w:val="24"/>
          <w:szCs w:val="24"/>
        </w:rPr>
        <w:t xml:space="preserve"> NKÚ</w:t>
      </w:r>
      <w:r w:rsidR="003D0B2E">
        <w:rPr>
          <w:rFonts w:cstheme="minorHAnsi"/>
          <w:sz w:val="24"/>
          <w:szCs w:val="24"/>
        </w:rPr>
        <w:t xml:space="preserve"> bylo</w:t>
      </w:r>
      <w:r w:rsidR="008C09A0">
        <w:rPr>
          <w:rFonts w:cstheme="minorHAnsi"/>
          <w:sz w:val="24"/>
          <w:szCs w:val="24"/>
        </w:rPr>
        <w:t>,</w:t>
      </w:r>
      <w:r w:rsidR="00AB7949">
        <w:rPr>
          <w:rFonts w:cstheme="minorHAnsi"/>
          <w:sz w:val="24"/>
          <w:szCs w:val="24"/>
        </w:rPr>
        <w:t xml:space="preserve"> v souladu se schválených cílem této kontrolní akce, vyhodnotit nastavení systému </w:t>
      </w:r>
      <w:r w:rsidR="002C3722">
        <w:rPr>
          <w:rFonts w:cstheme="minorHAnsi"/>
          <w:sz w:val="24"/>
          <w:szCs w:val="24"/>
        </w:rPr>
        <w:t>administrace</w:t>
      </w:r>
      <w:r w:rsidR="005C28F1">
        <w:rPr>
          <w:rFonts w:cstheme="minorHAnsi"/>
          <w:sz w:val="24"/>
          <w:szCs w:val="24"/>
        </w:rPr>
        <w:t xml:space="preserve"> žádostí</w:t>
      </w:r>
      <w:r w:rsidR="00EF1779">
        <w:rPr>
          <w:rFonts w:cstheme="minorHAnsi"/>
          <w:sz w:val="24"/>
          <w:szCs w:val="24"/>
        </w:rPr>
        <w:t xml:space="preserve"> a </w:t>
      </w:r>
      <w:r w:rsidR="00AB7949">
        <w:rPr>
          <w:rFonts w:cstheme="minorHAnsi"/>
          <w:sz w:val="24"/>
          <w:szCs w:val="24"/>
        </w:rPr>
        <w:t>poskytování podpor u PGRLF jakožto jejich poskyt</w:t>
      </w:r>
      <w:r w:rsidR="00DA0F1C">
        <w:rPr>
          <w:rFonts w:cstheme="minorHAnsi"/>
          <w:sz w:val="24"/>
          <w:szCs w:val="24"/>
        </w:rPr>
        <w:t>ovatele a </w:t>
      </w:r>
      <w:r w:rsidR="00AB7949">
        <w:rPr>
          <w:rFonts w:cstheme="minorHAnsi"/>
          <w:sz w:val="24"/>
          <w:szCs w:val="24"/>
        </w:rPr>
        <w:t xml:space="preserve">dále provést </w:t>
      </w:r>
      <w:r>
        <w:rPr>
          <w:rFonts w:cstheme="minorHAnsi"/>
          <w:sz w:val="24"/>
          <w:szCs w:val="24"/>
        </w:rPr>
        <w:t>ověření</w:t>
      </w:r>
      <w:r w:rsidR="00F059B7">
        <w:rPr>
          <w:rFonts w:cstheme="minorHAnsi"/>
          <w:sz w:val="24"/>
          <w:szCs w:val="24"/>
        </w:rPr>
        <w:t xml:space="preserve"> na vzorku vybraných žádostí o podporu</w:t>
      </w:r>
      <w:r>
        <w:rPr>
          <w:rFonts w:cstheme="minorHAnsi"/>
          <w:sz w:val="24"/>
          <w:szCs w:val="24"/>
        </w:rPr>
        <w:t>, které PGRLF administroval</w:t>
      </w:r>
      <w:r w:rsidR="00F059B7">
        <w:rPr>
          <w:rFonts w:cstheme="minorHAnsi"/>
          <w:sz w:val="24"/>
          <w:szCs w:val="24"/>
        </w:rPr>
        <w:t xml:space="preserve">. </w:t>
      </w:r>
      <w:r w:rsidR="004C63A7">
        <w:rPr>
          <w:rFonts w:cstheme="minorHAnsi"/>
          <w:sz w:val="24"/>
          <w:szCs w:val="24"/>
        </w:rPr>
        <w:t xml:space="preserve">Proto </w:t>
      </w:r>
      <w:r w:rsidR="008C09A0">
        <w:rPr>
          <w:rFonts w:cstheme="minorHAnsi"/>
          <w:sz w:val="24"/>
          <w:szCs w:val="24"/>
        </w:rPr>
        <w:t xml:space="preserve">NKÚ </w:t>
      </w:r>
      <w:r w:rsidR="00EF1779">
        <w:rPr>
          <w:rFonts w:cstheme="minorHAnsi"/>
          <w:sz w:val="24"/>
          <w:szCs w:val="24"/>
        </w:rPr>
        <w:t>požádal PGRLF o </w:t>
      </w:r>
      <w:r w:rsidR="004C63A7">
        <w:rPr>
          <w:rFonts w:cstheme="minorHAnsi"/>
          <w:sz w:val="24"/>
          <w:szCs w:val="24"/>
        </w:rPr>
        <w:t>předložení vnitřních předpisů, kterými jsou závazně upraveny postupy administrace žádostí vedoucí k rozhodnutí o poskytnutí podpory</w:t>
      </w:r>
      <w:r w:rsidR="00712BA4">
        <w:rPr>
          <w:rFonts w:cstheme="minorHAnsi"/>
          <w:sz w:val="24"/>
          <w:szCs w:val="24"/>
        </w:rPr>
        <w:t xml:space="preserve">, aby mohl posoudit nastavení systému s ohledem na plnění zejména § 2da odst. 8 zákona o zemědělství, </w:t>
      </w:r>
      <w:r w:rsidR="004C63A7">
        <w:rPr>
          <w:rFonts w:cstheme="minorHAnsi"/>
          <w:sz w:val="24"/>
          <w:szCs w:val="24"/>
        </w:rPr>
        <w:t>a dále o náhled do informačního systém</w:t>
      </w:r>
      <w:r w:rsidR="00712BA4">
        <w:rPr>
          <w:rFonts w:cstheme="minorHAnsi"/>
          <w:sz w:val="24"/>
          <w:szCs w:val="24"/>
        </w:rPr>
        <w:t>u, kde by</w:t>
      </w:r>
      <w:r w:rsidR="00712BA4">
        <w:rPr>
          <w:rFonts w:ascii="Calibri" w:eastAsia="Times New Roman" w:hAnsi="Calibri" w:cs="Calibri"/>
          <w:sz w:val="24"/>
          <w:szCs w:val="24"/>
        </w:rPr>
        <w:t xml:space="preserve"> NKÚ ověřil postup PGRLF mezi přijetí</w:t>
      </w:r>
      <w:r w:rsidR="00EF1779">
        <w:rPr>
          <w:rFonts w:ascii="Calibri" w:eastAsia="Times New Roman" w:hAnsi="Calibri" w:cs="Calibri"/>
          <w:sz w:val="24"/>
          <w:szCs w:val="24"/>
        </w:rPr>
        <w:t>m žádosti a uzavřením smlouvy o </w:t>
      </w:r>
      <w:r w:rsidR="00712BA4">
        <w:rPr>
          <w:rFonts w:ascii="Calibri" w:eastAsia="Times New Roman" w:hAnsi="Calibri" w:cs="Calibri"/>
          <w:sz w:val="24"/>
          <w:szCs w:val="24"/>
        </w:rPr>
        <w:t>podpoře s příjemcem na vybraném vzorku.</w:t>
      </w:r>
      <w:r w:rsidR="00712BA4" w:rsidRPr="00764B23">
        <w:rPr>
          <w:rFonts w:cstheme="minorHAnsi"/>
          <w:sz w:val="24"/>
          <w:szCs w:val="24"/>
        </w:rPr>
        <w:t xml:space="preserve"> </w:t>
      </w:r>
    </w:p>
    <w:p w14:paraId="0F9DCF5B" w14:textId="77777777" w:rsidR="00616BA7" w:rsidRPr="00616BA7" w:rsidRDefault="00616BA7" w:rsidP="00616BA7">
      <w:pPr>
        <w:spacing w:after="0" w:line="240" w:lineRule="auto"/>
        <w:jc w:val="both"/>
        <w:rPr>
          <w:rFonts w:cstheme="minorHAnsi"/>
          <w:sz w:val="24"/>
          <w:szCs w:val="24"/>
        </w:rPr>
      </w:pPr>
    </w:p>
    <w:p w14:paraId="5FCF8B53" w14:textId="148E5295" w:rsidR="00F059B7" w:rsidRPr="00616BA7" w:rsidRDefault="00F059B7" w:rsidP="00616BA7">
      <w:pPr>
        <w:pStyle w:val="Odstavecseseznamem"/>
        <w:numPr>
          <w:ilvl w:val="1"/>
          <w:numId w:val="2"/>
        </w:numPr>
        <w:tabs>
          <w:tab w:val="left" w:pos="426"/>
        </w:tabs>
        <w:spacing w:after="0" w:line="240" w:lineRule="auto"/>
        <w:ind w:left="0" w:firstLine="0"/>
        <w:contextualSpacing w:val="0"/>
        <w:jc w:val="both"/>
        <w:rPr>
          <w:rFonts w:cstheme="minorHAnsi"/>
          <w:sz w:val="24"/>
          <w:szCs w:val="24"/>
        </w:rPr>
      </w:pPr>
      <w:r w:rsidRPr="00764B23">
        <w:rPr>
          <w:rFonts w:cstheme="minorHAnsi"/>
          <w:sz w:val="24"/>
          <w:szCs w:val="24"/>
        </w:rPr>
        <w:t>Z databáze všech klientů PGRLF, kteří požádali o podporu v</w:t>
      </w:r>
      <w:r w:rsidR="00AB691C">
        <w:rPr>
          <w:rFonts w:cstheme="minorHAnsi"/>
          <w:sz w:val="24"/>
          <w:szCs w:val="24"/>
        </w:rPr>
        <w:t> </w:t>
      </w:r>
      <w:r w:rsidRPr="00764B23">
        <w:rPr>
          <w:rFonts w:cstheme="minorHAnsi"/>
          <w:sz w:val="24"/>
          <w:szCs w:val="24"/>
        </w:rPr>
        <w:t>kontrolovaném</w:t>
      </w:r>
      <w:r w:rsidR="00AB691C">
        <w:rPr>
          <w:rFonts w:cstheme="minorHAnsi"/>
          <w:sz w:val="24"/>
          <w:szCs w:val="24"/>
        </w:rPr>
        <w:t xml:space="preserve"> </w:t>
      </w:r>
      <w:r w:rsidRPr="00764B23">
        <w:rPr>
          <w:rFonts w:cstheme="minorHAnsi"/>
          <w:sz w:val="24"/>
          <w:szCs w:val="24"/>
        </w:rPr>
        <w:t>období</w:t>
      </w:r>
      <w:r w:rsidR="00AB691C">
        <w:rPr>
          <w:rFonts w:cstheme="minorHAnsi"/>
          <w:sz w:val="24"/>
          <w:szCs w:val="24"/>
        </w:rPr>
        <w:t xml:space="preserve"> </w:t>
      </w:r>
      <w:r w:rsidR="00616BA7">
        <w:rPr>
          <w:rFonts w:cstheme="minorHAnsi"/>
          <w:sz w:val="24"/>
          <w:szCs w:val="24"/>
        </w:rPr>
        <w:br/>
      </w:r>
      <w:r w:rsidRPr="00764B23">
        <w:rPr>
          <w:rFonts w:cstheme="minorHAnsi"/>
          <w:sz w:val="24"/>
          <w:szCs w:val="24"/>
        </w:rPr>
        <w:t>2014–2018</w:t>
      </w:r>
      <w:r w:rsidR="0016730C">
        <w:rPr>
          <w:rStyle w:val="Znakapoznpodarou"/>
          <w:rFonts w:cstheme="minorHAnsi"/>
          <w:sz w:val="24"/>
          <w:szCs w:val="24"/>
        </w:rPr>
        <w:footnoteReference w:id="9"/>
      </w:r>
      <w:r w:rsidRPr="00764B23">
        <w:rPr>
          <w:rFonts w:cstheme="minorHAnsi"/>
          <w:sz w:val="24"/>
          <w:szCs w:val="24"/>
        </w:rPr>
        <w:t xml:space="preserve">, byl vybrán vzorek 41 žádostí o podporu za účelem ověření funkčnosti nastaveného systému administrace podpor. Vzorek </w:t>
      </w:r>
      <w:r>
        <w:rPr>
          <w:rFonts w:cstheme="minorHAnsi"/>
          <w:sz w:val="24"/>
          <w:szCs w:val="24"/>
        </w:rPr>
        <w:t xml:space="preserve">byl vybrán tak, aby pokryl podpory za celé kontrolované období a zároveň </w:t>
      </w:r>
      <w:r w:rsidR="000E1621">
        <w:rPr>
          <w:rFonts w:cstheme="minorHAnsi"/>
          <w:sz w:val="24"/>
          <w:szCs w:val="24"/>
        </w:rPr>
        <w:t xml:space="preserve">aby </w:t>
      </w:r>
      <w:r>
        <w:rPr>
          <w:rFonts w:cstheme="minorHAnsi"/>
          <w:sz w:val="24"/>
          <w:szCs w:val="24"/>
        </w:rPr>
        <w:t xml:space="preserve">byly jednotlivé typy podpor zastoupeny poměrně tak, </w:t>
      </w:r>
      <w:r w:rsidR="000E1621">
        <w:rPr>
          <w:rFonts w:cstheme="minorHAnsi"/>
          <w:sz w:val="24"/>
          <w:szCs w:val="24"/>
        </w:rPr>
        <w:t>jak byly rozloženy jednotlivé typy podpor v předložené databázi klientů PGRLF</w:t>
      </w:r>
      <w:r>
        <w:rPr>
          <w:rFonts w:cstheme="minorHAnsi"/>
          <w:sz w:val="24"/>
          <w:szCs w:val="24"/>
        </w:rPr>
        <w:t xml:space="preserve">. </w:t>
      </w:r>
      <w:r w:rsidRPr="00F115F6">
        <w:rPr>
          <w:sz w:val="24"/>
          <w:szCs w:val="24"/>
        </w:rPr>
        <w:t>Kontrolovaný objem peněžních prostředků činil 14 075 363 Kč.</w:t>
      </w:r>
    </w:p>
    <w:p w14:paraId="680E2717" w14:textId="77777777" w:rsidR="00616BA7" w:rsidRPr="00616BA7" w:rsidRDefault="00616BA7" w:rsidP="00616BA7">
      <w:pPr>
        <w:spacing w:after="0" w:line="240" w:lineRule="auto"/>
        <w:jc w:val="both"/>
        <w:rPr>
          <w:rFonts w:cstheme="minorHAnsi"/>
          <w:sz w:val="24"/>
          <w:szCs w:val="24"/>
        </w:rPr>
      </w:pPr>
    </w:p>
    <w:p w14:paraId="3820E098" w14:textId="739CF7AF" w:rsidR="00FD729D" w:rsidRDefault="00F059B7" w:rsidP="00616BA7">
      <w:pPr>
        <w:pStyle w:val="Odstavecseseznamem"/>
        <w:numPr>
          <w:ilvl w:val="1"/>
          <w:numId w:val="2"/>
        </w:numPr>
        <w:tabs>
          <w:tab w:val="left" w:pos="426"/>
        </w:tabs>
        <w:spacing w:after="0" w:line="240" w:lineRule="auto"/>
        <w:ind w:left="0" w:firstLine="0"/>
        <w:contextualSpacing w:val="0"/>
        <w:jc w:val="both"/>
        <w:rPr>
          <w:rFonts w:cstheme="minorHAnsi"/>
          <w:sz w:val="24"/>
          <w:szCs w:val="24"/>
        </w:rPr>
      </w:pPr>
      <w:r>
        <w:rPr>
          <w:rFonts w:cstheme="minorHAnsi"/>
          <w:sz w:val="24"/>
          <w:szCs w:val="24"/>
        </w:rPr>
        <w:t>NKÚ si byl vědom omezení, které pro je</w:t>
      </w:r>
      <w:r w:rsidR="0076704B">
        <w:rPr>
          <w:rFonts w:cstheme="minorHAnsi"/>
          <w:sz w:val="24"/>
          <w:szCs w:val="24"/>
        </w:rPr>
        <w:t xml:space="preserve">ho </w:t>
      </w:r>
      <w:r w:rsidR="003D0B2E">
        <w:rPr>
          <w:rFonts w:cstheme="minorHAnsi"/>
          <w:sz w:val="24"/>
          <w:szCs w:val="24"/>
        </w:rPr>
        <w:t>působnost</w:t>
      </w:r>
      <w:r w:rsidR="0076704B">
        <w:rPr>
          <w:rFonts w:cstheme="minorHAnsi"/>
          <w:sz w:val="24"/>
          <w:szCs w:val="24"/>
        </w:rPr>
        <w:t xml:space="preserve"> ke kontrole vyplývá ze skutečnosti, </w:t>
      </w:r>
      <w:r w:rsidR="003D0B2E" w:rsidRPr="00886FB6">
        <w:rPr>
          <w:rFonts w:cstheme="minorHAnsi"/>
          <w:sz w:val="24"/>
          <w:szCs w:val="24"/>
        </w:rPr>
        <w:t>že příjemcem dotace ze státního rozpočtu je PGRLF</w:t>
      </w:r>
      <w:r w:rsidR="00DB1460" w:rsidRPr="00DB1460">
        <w:rPr>
          <w:rFonts w:cstheme="minorHAnsi"/>
          <w:sz w:val="24"/>
          <w:szCs w:val="24"/>
        </w:rPr>
        <w:t xml:space="preserve">, nikoliv </w:t>
      </w:r>
      <w:r w:rsidR="00026017">
        <w:rPr>
          <w:rFonts w:cstheme="minorHAnsi"/>
          <w:sz w:val="24"/>
          <w:szCs w:val="24"/>
        </w:rPr>
        <w:t xml:space="preserve">koneční </w:t>
      </w:r>
      <w:r w:rsidR="00DB1460" w:rsidRPr="00DB1460">
        <w:rPr>
          <w:rFonts w:cstheme="minorHAnsi"/>
          <w:sz w:val="24"/>
          <w:szCs w:val="24"/>
        </w:rPr>
        <w:t xml:space="preserve">příjemci podpor. </w:t>
      </w:r>
      <w:r w:rsidR="00DB1460" w:rsidRPr="00886FB6">
        <w:rPr>
          <w:rFonts w:cstheme="minorHAnsi"/>
          <w:sz w:val="24"/>
          <w:szCs w:val="24"/>
        </w:rPr>
        <w:t>Smlouvy s</w:t>
      </w:r>
      <w:r w:rsidR="00D04C78">
        <w:rPr>
          <w:rFonts w:cstheme="minorHAnsi"/>
          <w:sz w:val="24"/>
          <w:szCs w:val="24"/>
        </w:rPr>
        <w:t> </w:t>
      </w:r>
      <w:r w:rsidR="00026017">
        <w:rPr>
          <w:rFonts w:cstheme="minorHAnsi"/>
          <w:sz w:val="24"/>
          <w:szCs w:val="24"/>
        </w:rPr>
        <w:t>konečnými</w:t>
      </w:r>
      <w:r w:rsidR="00D04C78">
        <w:rPr>
          <w:rFonts w:cstheme="minorHAnsi"/>
          <w:sz w:val="24"/>
          <w:szCs w:val="24"/>
        </w:rPr>
        <w:t xml:space="preserve"> </w:t>
      </w:r>
      <w:r w:rsidR="00DB1460" w:rsidRPr="00886FB6">
        <w:rPr>
          <w:rFonts w:cstheme="minorHAnsi"/>
          <w:sz w:val="24"/>
          <w:szCs w:val="24"/>
        </w:rPr>
        <w:t xml:space="preserve">příjemci podpor </w:t>
      </w:r>
      <w:r w:rsidR="00026017">
        <w:rPr>
          <w:rFonts w:cstheme="minorHAnsi"/>
          <w:sz w:val="24"/>
          <w:szCs w:val="24"/>
        </w:rPr>
        <w:t xml:space="preserve">uzavírá </w:t>
      </w:r>
      <w:r w:rsidR="00DB1460" w:rsidRPr="00886FB6">
        <w:rPr>
          <w:rFonts w:cstheme="minorHAnsi"/>
          <w:sz w:val="24"/>
          <w:szCs w:val="24"/>
        </w:rPr>
        <w:t xml:space="preserve">PGRLF, jakožto akciová společnost, svým jménem, nikoli jménem státu. V právním vztahu mezi PGRLF a </w:t>
      </w:r>
      <w:r w:rsidR="007561FE">
        <w:rPr>
          <w:rFonts w:cstheme="minorHAnsi"/>
          <w:sz w:val="24"/>
          <w:szCs w:val="24"/>
        </w:rPr>
        <w:t>konečnými</w:t>
      </w:r>
      <w:r w:rsidR="00DB1460">
        <w:rPr>
          <w:rFonts w:cstheme="minorHAnsi"/>
          <w:sz w:val="24"/>
          <w:szCs w:val="24"/>
        </w:rPr>
        <w:t xml:space="preserve"> </w:t>
      </w:r>
      <w:r w:rsidR="00DB1460" w:rsidRPr="00886FB6">
        <w:rPr>
          <w:rFonts w:cstheme="minorHAnsi"/>
          <w:sz w:val="24"/>
          <w:szCs w:val="24"/>
        </w:rPr>
        <w:t>příjemci podpor se tak již o</w:t>
      </w:r>
      <w:r w:rsidR="00D04C78">
        <w:rPr>
          <w:rFonts w:cstheme="minorHAnsi"/>
          <w:sz w:val="24"/>
          <w:szCs w:val="24"/>
        </w:rPr>
        <w:t> </w:t>
      </w:r>
      <w:r w:rsidR="00DB1460" w:rsidRPr="00886FB6">
        <w:rPr>
          <w:rFonts w:cstheme="minorHAnsi"/>
          <w:sz w:val="24"/>
          <w:szCs w:val="24"/>
        </w:rPr>
        <w:t>prostředky státního rozpočtu nejedná</w:t>
      </w:r>
      <w:r w:rsidR="00DB1460" w:rsidRPr="00DB1460">
        <w:rPr>
          <w:rFonts w:cstheme="minorHAnsi"/>
          <w:sz w:val="24"/>
          <w:szCs w:val="24"/>
        </w:rPr>
        <w:t xml:space="preserve"> </w:t>
      </w:r>
      <w:r w:rsidR="00DB1460">
        <w:rPr>
          <w:rFonts w:cstheme="minorHAnsi"/>
          <w:sz w:val="24"/>
          <w:szCs w:val="24"/>
        </w:rPr>
        <w:t xml:space="preserve">a </w:t>
      </w:r>
      <w:r w:rsidR="0076704B">
        <w:rPr>
          <w:rFonts w:cstheme="minorHAnsi"/>
          <w:sz w:val="24"/>
          <w:szCs w:val="24"/>
        </w:rPr>
        <w:t>uzavřením smlouvy o podpoře se určené finanční prostředky stávají předmětem soukromoprávního vztahu</w:t>
      </w:r>
      <w:r w:rsidR="001C7CC2">
        <w:rPr>
          <w:rFonts w:cstheme="minorHAnsi"/>
          <w:sz w:val="24"/>
          <w:szCs w:val="24"/>
        </w:rPr>
        <w:t xml:space="preserve"> (</w:t>
      </w:r>
      <w:r w:rsidR="00D04C78">
        <w:rPr>
          <w:rFonts w:cstheme="minorHAnsi"/>
          <w:sz w:val="24"/>
          <w:szCs w:val="24"/>
        </w:rPr>
        <w:t>viz</w:t>
      </w:r>
      <w:r w:rsidR="001C7CC2">
        <w:rPr>
          <w:rFonts w:cstheme="minorHAnsi"/>
          <w:sz w:val="24"/>
          <w:szCs w:val="24"/>
        </w:rPr>
        <w:t xml:space="preserve"> odst. 2.8)</w:t>
      </w:r>
      <w:r w:rsidR="000E1621">
        <w:rPr>
          <w:rFonts w:cstheme="minorHAnsi"/>
          <w:sz w:val="24"/>
          <w:szCs w:val="24"/>
        </w:rPr>
        <w:t>.</w:t>
      </w:r>
      <w:r w:rsidR="00905147">
        <w:rPr>
          <w:rFonts w:cstheme="minorHAnsi"/>
          <w:sz w:val="24"/>
          <w:szCs w:val="24"/>
        </w:rPr>
        <w:t xml:space="preserve"> </w:t>
      </w:r>
      <w:r w:rsidR="000E1621">
        <w:rPr>
          <w:rFonts w:cstheme="minorHAnsi"/>
          <w:sz w:val="24"/>
          <w:szCs w:val="24"/>
        </w:rPr>
        <w:t>N</w:t>
      </w:r>
      <w:r w:rsidR="008A1186">
        <w:rPr>
          <w:rFonts w:cstheme="minorHAnsi"/>
          <w:sz w:val="24"/>
          <w:szCs w:val="24"/>
        </w:rPr>
        <w:t>KÚ proto n</w:t>
      </w:r>
      <w:r>
        <w:rPr>
          <w:rFonts w:cstheme="minorHAnsi"/>
          <w:sz w:val="24"/>
          <w:szCs w:val="24"/>
        </w:rPr>
        <w:t>emohl, oproti kontrolním akcím prováděným u</w:t>
      </w:r>
      <w:r w:rsidR="00A51894">
        <w:rPr>
          <w:rFonts w:cstheme="minorHAnsi"/>
          <w:sz w:val="24"/>
          <w:szCs w:val="24"/>
        </w:rPr>
        <w:t xml:space="preserve"> jiných poskytovatelů </w:t>
      </w:r>
      <w:r w:rsidR="007B679A">
        <w:rPr>
          <w:rFonts w:cstheme="minorHAnsi"/>
          <w:sz w:val="24"/>
          <w:szCs w:val="24"/>
        </w:rPr>
        <w:t xml:space="preserve">finanční </w:t>
      </w:r>
      <w:r w:rsidR="00A51894">
        <w:rPr>
          <w:rFonts w:cstheme="minorHAnsi"/>
          <w:sz w:val="24"/>
          <w:szCs w:val="24"/>
        </w:rPr>
        <w:t>podpory</w:t>
      </w:r>
      <w:r>
        <w:rPr>
          <w:rFonts w:cstheme="minorHAnsi"/>
          <w:sz w:val="24"/>
          <w:szCs w:val="24"/>
        </w:rPr>
        <w:t>, kte</w:t>
      </w:r>
      <w:r w:rsidR="00133F1A">
        <w:rPr>
          <w:rFonts w:cstheme="minorHAnsi"/>
          <w:sz w:val="24"/>
          <w:szCs w:val="24"/>
        </w:rPr>
        <w:t>ří</w:t>
      </w:r>
      <w:r>
        <w:rPr>
          <w:rFonts w:cstheme="minorHAnsi"/>
          <w:sz w:val="24"/>
          <w:szCs w:val="24"/>
        </w:rPr>
        <w:t xml:space="preserve"> jsou veřejnoprávními subjekty, provést kontrol</w:t>
      </w:r>
      <w:r w:rsidR="00EC61B8">
        <w:rPr>
          <w:rFonts w:cstheme="minorHAnsi"/>
          <w:sz w:val="24"/>
          <w:szCs w:val="24"/>
        </w:rPr>
        <w:t>ní ověření</w:t>
      </w:r>
      <w:r>
        <w:rPr>
          <w:rFonts w:cstheme="minorHAnsi"/>
          <w:sz w:val="24"/>
          <w:szCs w:val="24"/>
        </w:rPr>
        <w:t xml:space="preserve"> až do úrovně konečného příjemce</w:t>
      </w:r>
      <w:r w:rsidR="006E05E9">
        <w:rPr>
          <w:rFonts w:cstheme="minorHAnsi"/>
          <w:sz w:val="24"/>
          <w:szCs w:val="24"/>
        </w:rPr>
        <w:t xml:space="preserve"> podpory</w:t>
      </w:r>
      <w:r>
        <w:rPr>
          <w:rFonts w:cstheme="minorHAnsi"/>
          <w:sz w:val="24"/>
          <w:szCs w:val="24"/>
        </w:rPr>
        <w:t xml:space="preserve">. </w:t>
      </w:r>
    </w:p>
    <w:p w14:paraId="742BA84C" w14:textId="77777777" w:rsidR="00616BA7" w:rsidRPr="00616BA7" w:rsidRDefault="00616BA7" w:rsidP="00616BA7">
      <w:pPr>
        <w:spacing w:after="0" w:line="240" w:lineRule="auto"/>
        <w:jc w:val="both"/>
        <w:rPr>
          <w:rFonts w:cstheme="minorHAnsi"/>
          <w:sz w:val="24"/>
          <w:szCs w:val="24"/>
        </w:rPr>
      </w:pPr>
    </w:p>
    <w:p w14:paraId="60550135" w14:textId="685AC757" w:rsidR="00DA1331" w:rsidRDefault="00DA1331" w:rsidP="00616BA7">
      <w:pPr>
        <w:pStyle w:val="Odstavecseseznamem"/>
        <w:numPr>
          <w:ilvl w:val="1"/>
          <w:numId w:val="2"/>
        </w:numPr>
        <w:tabs>
          <w:tab w:val="left" w:pos="426"/>
        </w:tabs>
        <w:spacing w:after="0" w:line="240" w:lineRule="auto"/>
        <w:ind w:left="0" w:firstLine="0"/>
        <w:contextualSpacing w:val="0"/>
        <w:jc w:val="both"/>
        <w:rPr>
          <w:rFonts w:cstheme="minorHAnsi"/>
          <w:sz w:val="24"/>
          <w:szCs w:val="24"/>
        </w:rPr>
      </w:pPr>
      <w:r w:rsidRPr="005F5385">
        <w:rPr>
          <w:rFonts w:cstheme="minorHAnsi"/>
          <w:sz w:val="24"/>
          <w:szCs w:val="24"/>
        </w:rPr>
        <w:t>PGRLF nem</w:t>
      </w:r>
      <w:r w:rsidR="000E1621" w:rsidRPr="005F5385">
        <w:rPr>
          <w:rFonts w:cstheme="minorHAnsi"/>
          <w:sz w:val="24"/>
          <w:szCs w:val="24"/>
        </w:rPr>
        <w:t>á</w:t>
      </w:r>
      <w:r w:rsidRPr="005F5385">
        <w:rPr>
          <w:rFonts w:cstheme="minorHAnsi"/>
          <w:sz w:val="24"/>
          <w:szCs w:val="24"/>
        </w:rPr>
        <w:t xml:space="preserve"> zákonnou povinno</w:t>
      </w:r>
      <w:r>
        <w:rPr>
          <w:rFonts w:cstheme="minorHAnsi"/>
          <w:sz w:val="24"/>
          <w:szCs w:val="24"/>
        </w:rPr>
        <w:t>st vytvářet vnitřní předpisy týkající se procesu administrace žádostí o podporu, ale logicky v zájmu unifikace</w:t>
      </w:r>
      <w:r w:rsidR="00187EEA">
        <w:rPr>
          <w:rFonts w:cstheme="minorHAnsi"/>
          <w:sz w:val="24"/>
          <w:szCs w:val="24"/>
        </w:rPr>
        <w:t xml:space="preserve"> a transparen</w:t>
      </w:r>
      <w:r w:rsidR="005F58F2">
        <w:rPr>
          <w:rFonts w:cstheme="minorHAnsi"/>
          <w:sz w:val="24"/>
          <w:szCs w:val="24"/>
        </w:rPr>
        <w:t>tnosti procesu</w:t>
      </w:r>
      <w:r w:rsidR="00187EEA">
        <w:rPr>
          <w:rFonts w:cstheme="minorHAnsi"/>
          <w:sz w:val="24"/>
          <w:szCs w:val="24"/>
        </w:rPr>
        <w:t xml:space="preserve"> tyto předpisy vydal. </w:t>
      </w:r>
      <w:r w:rsidR="00EB5D66">
        <w:rPr>
          <w:rFonts w:cstheme="minorHAnsi"/>
          <w:sz w:val="24"/>
          <w:szCs w:val="24"/>
        </w:rPr>
        <w:t xml:space="preserve">PGRLF </w:t>
      </w:r>
      <w:r w:rsidR="00187EEA">
        <w:rPr>
          <w:rFonts w:cstheme="minorHAnsi"/>
          <w:sz w:val="24"/>
          <w:szCs w:val="24"/>
        </w:rPr>
        <w:t xml:space="preserve">však </w:t>
      </w:r>
      <w:r w:rsidR="00EB5D66">
        <w:rPr>
          <w:rFonts w:cstheme="minorHAnsi"/>
          <w:sz w:val="24"/>
          <w:szCs w:val="24"/>
        </w:rPr>
        <w:t xml:space="preserve">nemá povinnost oddělovat procesy ani předpisy související s prostředky od </w:t>
      </w:r>
      <w:proofErr w:type="spellStart"/>
      <w:proofErr w:type="gramStart"/>
      <w:r w:rsidR="00EB5D66">
        <w:rPr>
          <w:rFonts w:cstheme="minorHAnsi"/>
          <w:sz w:val="24"/>
          <w:szCs w:val="24"/>
        </w:rPr>
        <w:t>MZe</w:t>
      </w:r>
      <w:proofErr w:type="spellEnd"/>
      <w:proofErr w:type="gramEnd"/>
      <w:r w:rsidR="00EB5D66">
        <w:rPr>
          <w:rFonts w:cstheme="minorHAnsi"/>
          <w:sz w:val="24"/>
          <w:szCs w:val="24"/>
        </w:rPr>
        <w:t xml:space="preserve"> od jiných činností společnosti. </w:t>
      </w:r>
      <w:r w:rsidR="008C6DC7" w:rsidRPr="00886FB6">
        <w:rPr>
          <w:iCs/>
          <w:sz w:val="24"/>
          <w:szCs w:val="24"/>
        </w:rPr>
        <w:t>Předpisy společnosti jsou vzájemně propojen</w:t>
      </w:r>
      <w:r w:rsidR="0015214A">
        <w:rPr>
          <w:iCs/>
          <w:sz w:val="24"/>
          <w:szCs w:val="24"/>
        </w:rPr>
        <w:t>y</w:t>
      </w:r>
      <w:r w:rsidR="008C6DC7" w:rsidRPr="00886FB6">
        <w:rPr>
          <w:iCs/>
          <w:sz w:val="24"/>
          <w:szCs w:val="24"/>
        </w:rPr>
        <w:t xml:space="preserve"> a hospodaření s prostředky od </w:t>
      </w:r>
      <w:proofErr w:type="spellStart"/>
      <w:proofErr w:type="gramStart"/>
      <w:r w:rsidR="008C6DC7" w:rsidRPr="00886FB6">
        <w:rPr>
          <w:iCs/>
          <w:sz w:val="24"/>
          <w:szCs w:val="24"/>
        </w:rPr>
        <w:t>MZe</w:t>
      </w:r>
      <w:proofErr w:type="spellEnd"/>
      <w:proofErr w:type="gramEnd"/>
      <w:r w:rsidR="008C6DC7" w:rsidRPr="00886FB6">
        <w:rPr>
          <w:iCs/>
          <w:sz w:val="24"/>
          <w:szCs w:val="24"/>
        </w:rPr>
        <w:t xml:space="preserve"> a dalšími prostředky také probíhá ve vzájemné souvislosti, nikoliv odděleně. </w:t>
      </w:r>
      <w:r w:rsidR="00EB5D66">
        <w:rPr>
          <w:rFonts w:cstheme="minorHAnsi"/>
          <w:sz w:val="24"/>
          <w:szCs w:val="24"/>
        </w:rPr>
        <w:t xml:space="preserve">NKÚ nemá </w:t>
      </w:r>
      <w:r w:rsidR="003D0B2E">
        <w:rPr>
          <w:rFonts w:cstheme="minorHAnsi"/>
          <w:sz w:val="24"/>
          <w:szCs w:val="24"/>
        </w:rPr>
        <w:t xml:space="preserve">působnost </w:t>
      </w:r>
      <w:r w:rsidR="00EB5D66">
        <w:rPr>
          <w:rFonts w:cstheme="minorHAnsi"/>
          <w:sz w:val="24"/>
          <w:szCs w:val="24"/>
        </w:rPr>
        <w:t xml:space="preserve">kontrolovat veškeré prostředky, se </w:t>
      </w:r>
      <w:r w:rsidR="00EB5D66">
        <w:rPr>
          <w:rFonts w:cstheme="minorHAnsi"/>
          <w:sz w:val="24"/>
          <w:szCs w:val="24"/>
        </w:rPr>
        <w:lastRenderedPageBreak/>
        <w:t>kterými PGRLF jako soukromopráv</w:t>
      </w:r>
      <w:r w:rsidR="00905147">
        <w:rPr>
          <w:rFonts w:cstheme="minorHAnsi"/>
          <w:sz w:val="24"/>
          <w:szCs w:val="24"/>
        </w:rPr>
        <w:t>ní subjekt hospodaří,</w:t>
      </w:r>
      <w:r w:rsidR="00EB5D66">
        <w:rPr>
          <w:rFonts w:cstheme="minorHAnsi"/>
          <w:sz w:val="24"/>
          <w:szCs w:val="24"/>
        </w:rPr>
        <w:t xml:space="preserve"> na čemž nemění nic ani skutečnost, že prostředky získané z dotace od </w:t>
      </w:r>
      <w:proofErr w:type="spellStart"/>
      <w:proofErr w:type="gramStart"/>
      <w:r w:rsidR="00EB5D66">
        <w:rPr>
          <w:rFonts w:cstheme="minorHAnsi"/>
          <w:sz w:val="24"/>
          <w:szCs w:val="24"/>
        </w:rPr>
        <w:t>MZe</w:t>
      </w:r>
      <w:proofErr w:type="spellEnd"/>
      <w:proofErr w:type="gramEnd"/>
      <w:r w:rsidR="00EB5D66">
        <w:rPr>
          <w:rFonts w:cstheme="minorHAnsi"/>
          <w:sz w:val="24"/>
          <w:szCs w:val="24"/>
        </w:rPr>
        <w:t xml:space="preserve"> jsou</w:t>
      </w:r>
      <w:r w:rsidR="007F3AA3">
        <w:rPr>
          <w:rFonts w:cstheme="minorHAnsi"/>
          <w:sz w:val="24"/>
          <w:szCs w:val="24"/>
        </w:rPr>
        <w:t xml:space="preserve"> pro jeho činnost významné</w:t>
      </w:r>
      <w:r w:rsidR="00EB5D66">
        <w:rPr>
          <w:rFonts w:cstheme="minorHAnsi"/>
          <w:sz w:val="24"/>
          <w:szCs w:val="24"/>
        </w:rPr>
        <w:t xml:space="preserve">. Za platné právní úpravy tak </w:t>
      </w:r>
      <w:r w:rsidR="0015214A">
        <w:rPr>
          <w:rFonts w:cstheme="minorHAnsi"/>
          <w:sz w:val="24"/>
          <w:szCs w:val="24"/>
        </w:rPr>
        <w:t>chybí</w:t>
      </w:r>
      <w:r w:rsidR="00EB5D66">
        <w:rPr>
          <w:rFonts w:cstheme="minorHAnsi"/>
          <w:sz w:val="24"/>
          <w:szCs w:val="24"/>
        </w:rPr>
        <w:t xml:space="preserve"> potřebná právní opora pro to, aby své vnitřní předpisy </w:t>
      </w:r>
      <w:r>
        <w:rPr>
          <w:rFonts w:cstheme="minorHAnsi"/>
          <w:sz w:val="24"/>
          <w:szCs w:val="24"/>
        </w:rPr>
        <w:t>týkající se administrace žádostí o podporu</w:t>
      </w:r>
      <w:r w:rsidR="00EB5D66">
        <w:rPr>
          <w:rFonts w:cstheme="minorHAnsi"/>
          <w:sz w:val="24"/>
          <w:szCs w:val="24"/>
        </w:rPr>
        <w:t xml:space="preserve"> nebo náhledy do informačního systému</w:t>
      </w:r>
      <w:r w:rsidR="00187EEA">
        <w:rPr>
          <w:rFonts w:cstheme="minorHAnsi"/>
          <w:sz w:val="24"/>
          <w:szCs w:val="24"/>
        </w:rPr>
        <w:t xml:space="preserve">, </w:t>
      </w:r>
      <w:r w:rsidR="00EB5D66">
        <w:rPr>
          <w:rFonts w:cstheme="minorHAnsi"/>
          <w:sz w:val="24"/>
          <w:szCs w:val="24"/>
        </w:rPr>
        <w:t>na</w:t>
      </w:r>
      <w:r w:rsidR="0015214A">
        <w:rPr>
          <w:rFonts w:cstheme="minorHAnsi"/>
          <w:sz w:val="24"/>
          <w:szCs w:val="24"/>
        </w:rPr>
        <w:t xml:space="preserve"> jejichž</w:t>
      </w:r>
      <w:r w:rsidR="00EB5D66">
        <w:rPr>
          <w:rFonts w:cstheme="minorHAnsi"/>
          <w:sz w:val="24"/>
          <w:szCs w:val="24"/>
        </w:rPr>
        <w:t xml:space="preserve"> základě by NKÚ ověřil systém a proces administrace podpor</w:t>
      </w:r>
      <w:r w:rsidR="005F58F2">
        <w:rPr>
          <w:rFonts w:cstheme="minorHAnsi"/>
          <w:sz w:val="24"/>
          <w:szCs w:val="24"/>
        </w:rPr>
        <w:t>,</w:t>
      </w:r>
      <w:r w:rsidR="00EB5D66">
        <w:rPr>
          <w:rFonts w:cstheme="minorHAnsi"/>
          <w:sz w:val="24"/>
          <w:szCs w:val="24"/>
        </w:rPr>
        <w:t xml:space="preserve"> musel NKÚ poskytnout. </w:t>
      </w:r>
      <w:r w:rsidR="00F963DA">
        <w:rPr>
          <w:rFonts w:cstheme="minorHAnsi"/>
          <w:sz w:val="24"/>
          <w:szCs w:val="24"/>
        </w:rPr>
        <w:t xml:space="preserve">Jejich neposkytnutím se tak </w:t>
      </w:r>
      <w:r w:rsidR="0063307A">
        <w:rPr>
          <w:rFonts w:cstheme="minorHAnsi"/>
          <w:sz w:val="24"/>
          <w:szCs w:val="24"/>
        </w:rPr>
        <w:t xml:space="preserve">PGRLF </w:t>
      </w:r>
      <w:r w:rsidR="00F963DA">
        <w:rPr>
          <w:rFonts w:cstheme="minorHAnsi"/>
          <w:sz w:val="24"/>
          <w:szCs w:val="24"/>
        </w:rPr>
        <w:t>nedopustil porušení zákonných povinností.</w:t>
      </w:r>
    </w:p>
    <w:p w14:paraId="0FFA4312" w14:textId="77777777" w:rsidR="00616BA7" w:rsidRPr="00616BA7" w:rsidRDefault="00616BA7" w:rsidP="00616BA7">
      <w:pPr>
        <w:spacing w:after="0" w:line="240" w:lineRule="auto"/>
        <w:jc w:val="both"/>
        <w:rPr>
          <w:rFonts w:cstheme="minorHAnsi"/>
          <w:sz w:val="24"/>
          <w:szCs w:val="24"/>
        </w:rPr>
      </w:pPr>
    </w:p>
    <w:p w14:paraId="381C2DDD" w14:textId="44503D4F" w:rsidR="00187EEA" w:rsidRPr="00616BA7" w:rsidRDefault="00DA1331" w:rsidP="00616BA7">
      <w:pPr>
        <w:pStyle w:val="Odstavecseseznamem"/>
        <w:numPr>
          <w:ilvl w:val="1"/>
          <w:numId w:val="2"/>
        </w:numPr>
        <w:tabs>
          <w:tab w:val="left" w:pos="426"/>
        </w:tabs>
        <w:spacing w:after="0" w:line="240" w:lineRule="auto"/>
        <w:ind w:left="0" w:firstLine="0"/>
        <w:contextualSpacing w:val="0"/>
        <w:jc w:val="both"/>
        <w:rPr>
          <w:rFonts w:cstheme="minorHAnsi"/>
          <w:sz w:val="24"/>
          <w:szCs w:val="24"/>
        </w:rPr>
      </w:pPr>
      <w:r w:rsidRPr="009F54CB">
        <w:rPr>
          <w:rFonts w:ascii="Calibri" w:eastAsia="Times New Roman" w:hAnsi="Calibri" w:cs="Calibri"/>
          <w:sz w:val="24"/>
          <w:szCs w:val="24"/>
        </w:rPr>
        <w:t xml:space="preserve">PGRLF </w:t>
      </w:r>
      <w:r w:rsidR="00F963DA">
        <w:rPr>
          <w:rFonts w:ascii="Calibri" w:eastAsia="Times New Roman" w:hAnsi="Calibri" w:cs="Calibri"/>
          <w:sz w:val="24"/>
          <w:szCs w:val="24"/>
        </w:rPr>
        <w:t>předložil</w:t>
      </w:r>
      <w:r w:rsidRPr="009F54CB">
        <w:rPr>
          <w:rFonts w:ascii="Calibri" w:eastAsia="Times New Roman" w:hAnsi="Calibri" w:cs="Calibri"/>
          <w:sz w:val="24"/>
          <w:szCs w:val="24"/>
        </w:rPr>
        <w:t xml:space="preserve"> </w:t>
      </w:r>
      <w:r w:rsidRPr="00F963DA">
        <w:rPr>
          <w:rFonts w:ascii="Calibri" w:eastAsia="Times New Roman" w:hAnsi="Calibri" w:cs="Calibri"/>
          <w:i/>
          <w:sz w:val="24"/>
          <w:szCs w:val="24"/>
        </w:rPr>
        <w:t>Popis procesů pro potřeby Nejvyššího kontrolního úř</w:t>
      </w:r>
      <w:r w:rsidR="00DF367A" w:rsidRPr="00F963DA">
        <w:rPr>
          <w:rFonts w:ascii="Calibri" w:eastAsia="Times New Roman" w:hAnsi="Calibri" w:cs="Calibri"/>
          <w:i/>
          <w:sz w:val="24"/>
          <w:szCs w:val="24"/>
        </w:rPr>
        <w:t>adu</w:t>
      </w:r>
      <w:r w:rsidR="0014290B">
        <w:rPr>
          <w:rFonts w:ascii="Calibri" w:eastAsia="Times New Roman" w:hAnsi="Calibri" w:cs="Calibri"/>
          <w:i/>
          <w:sz w:val="24"/>
          <w:szCs w:val="24"/>
        </w:rPr>
        <w:t xml:space="preserve"> </w:t>
      </w:r>
      <w:r w:rsidR="0014290B">
        <w:rPr>
          <w:rFonts w:ascii="Calibri" w:eastAsia="Times New Roman" w:hAnsi="Calibri" w:cs="Calibri"/>
          <w:sz w:val="24"/>
          <w:szCs w:val="24"/>
        </w:rPr>
        <w:t>(dále také „Popis procesů“)</w:t>
      </w:r>
      <w:r w:rsidRPr="009F54CB">
        <w:rPr>
          <w:rFonts w:ascii="Calibri" w:eastAsia="Times New Roman" w:hAnsi="Calibri" w:cs="Calibri"/>
          <w:sz w:val="24"/>
          <w:szCs w:val="24"/>
        </w:rPr>
        <w:t xml:space="preserve">, </w:t>
      </w:r>
      <w:r>
        <w:rPr>
          <w:rFonts w:ascii="Calibri" w:eastAsia="Times New Roman" w:hAnsi="Calibri" w:cs="Calibri"/>
          <w:sz w:val="24"/>
          <w:szCs w:val="24"/>
        </w:rPr>
        <w:t>jako ad hoc</w:t>
      </w:r>
      <w:r w:rsidRPr="009F54CB">
        <w:rPr>
          <w:rFonts w:ascii="Calibri" w:eastAsia="Times New Roman" w:hAnsi="Calibri" w:cs="Calibri"/>
          <w:sz w:val="24"/>
          <w:szCs w:val="24"/>
        </w:rPr>
        <w:t xml:space="preserve"> vytvořený dokument pro </w:t>
      </w:r>
      <w:r w:rsidR="002C0A48">
        <w:rPr>
          <w:rFonts w:ascii="Calibri" w:eastAsia="Times New Roman" w:hAnsi="Calibri" w:cs="Calibri"/>
          <w:sz w:val="24"/>
          <w:szCs w:val="24"/>
        </w:rPr>
        <w:t>potřeby kontrolní akce</w:t>
      </w:r>
      <w:r w:rsidRPr="009F54CB">
        <w:rPr>
          <w:rFonts w:ascii="Calibri" w:eastAsia="Times New Roman" w:hAnsi="Calibri" w:cs="Calibri"/>
          <w:sz w:val="24"/>
          <w:szCs w:val="24"/>
        </w:rPr>
        <w:t xml:space="preserve"> NKÚ, ve kterém popsal způsob administrace jednotlivých podpor od přijetí </w:t>
      </w:r>
      <w:r w:rsidR="00506B39">
        <w:rPr>
          <w:rFonts w:ascii="Calibri" w:eastAsia="Times New Roman" w:hAnsi="Calibri" w:cs="Calibri"/>
          <w:sz w:val="24"/>
          <w:szCs w:val="24"/>
        </w:rPr>
        <w:t xml:space="preserve">žádostí o podporu </w:t>
      </w:r>
      <w:r w:rsidRPr="009F54CB">
        <w:rPr>
          <w:rFonts w:ascii="Calibri" w:eastAsia="Times New Roman" w:hAnsi="Calibri" w:cs="Calibri"/>
          <w:sz w:val="24"/>
          <w:szCs w:val="24"/>
        </w:rPr>
        <w:t xml:space="preserve">až po výkon kontrol na místě u příjemců podpor. </w:t>
      </w:r>
      <w:r w:rsidR="00312D65">
        <w:rPr>
          <w:rFonts w:ascii="Calibri" w:eastAsia="Times New Roman" w:hAnsi="Calibri" w:cs="Calibri"/>
          <w:sz w:val="24"/>
          <w:szCs w:val="24"/>
        </w:rPr>
        <w:t xml:space="preserve">Obdobně namísto náhledů do informačního systému PGRLF zpřístupnil </w:t>
      </w:r>
      <w:r w:rsidR="00255BC9">
        <w:rPr>
          <w:rFonts w:ascii="Calibri" w:eastAsia="Times New Roman" w:hAnsi="Calibri" w:cs="Calibri"/>
          <w:sz w:val="24"/>
          <w:szCs w:val="24"/>
        </w:rPr>
        <w:t xml:space="preserve">PGRLF </w:t>
      </w:r>
      <w:r w:rsidR="00312D65">
        <w:rPr>
          <w:rFonts w:ascii="Calibri" w:eastAsia="Times New Roman" w:hAnsi="Calibri" w:cs="Calibri"/>
          <w:sz w:val="24"/>
          <w:szCs w:val="24"/>
        </w:rPr>
        <w:t>kontrolujícím některé dokumenty, zejména žá</w:t>
      </w:r>
      <w:r w:rsidR="00EF1779">
        <w:rPr>
          <w:rFonts w:ascii="Calibri" w:eastAsia="Times New Roman" w:hAnsi="Calibri" w:cs="Calibri"/>
          <w:sz w:val="24"/>
          <w:szCs w:val="24"/>
        </w:rPr>
        <w:t>dosti o podporu a </w:t>
      </w:r>
      <w:r w:rsidR="00312D65">
        <w:rPr>
          <w:rFonts w:ascii="Calibri" w:eastAsia="Times New Roman" w:hAnsi="Calibri" w:cs="Calibri"/>
          <w:sz w:val="24"/>
          <w:szCs w:val="24"/>
        </w:rPr>
        <w:t xml:space="preserve">smlouvy uzavřené s příjemci. Skutečnosti zjištěné z těchto </w:t>
      </w:r>
      <w:r w:rsidR="00255BC9">
        <w:rPr>
          <w:rFonts w:ascii="Calibri" w:eastAsia="Times New Roman" w:hAnsi="Calibri" w:cs="Calibri"/>
          <w:sz w:val="24"/>
          <w:szCs w:val="24"/>
        </w:rPr>
        <w:t>předložených dokumentů</w:t>
      </w:r>
      <w:r w:rsidR="00EF1779">
        <w:rPr>
          <w:rFonts w:ascii="Calibri" w:eastAsia="Times New Roman" w:hAnsi="Calibri" w:cs="Calibri"/>
          <w:sz w:val="24"/>
          <w:szCs w:val="24"/>
        </w:rPr>
        <w:t xml:space="preserve"> a </w:t>
      </w:r>
      <w:r w:rsidR="00312D65">
        <w:rPr>
          <w:rFonts w:ascii="Calibri" w:eastAsia="Times New Roman" w:hAnsi="Calibri" w:cs="Calibri"/>
          <w:sz w:val="24"/>
          <w:szCs w:val="24"/>
        </w:rPr>
        <w:t xml:space="preserve">odpovědí na dotazy, které PGRLF poskytl, vzal NKÚ </w:t>
      </w:r>
      <w:r w:rsidR="00255BC9">
        <w:rPr>
          <w:rFonts w:ascii="Calibri" w:eastAsia="Times New Roman" w:hAnsi="Calibri" w:cs="Calibri"/>
          <w:sz w:val="24"/>
          <w:szCs w:val="24"/>
        </w:rPr>
        <w:t>jako podpůrné</w:t>
      </w:r>
      <w:r w:rsidR="00312D65">
        <w:rPr>
          <w:rFonts w:ascii="Calibri" w:eastAsia="Times New Roman" w:hAnsi="Calibri" w:cs="Calibri"/>
          <w:sz w:val="24"/>
          <w:szCs w:val="24"/>
        </w:rPr>
        <w:t xml:space="preserve"> důkaz</w:t>
      </w:r>
      <w:r w:rsidR="00255BC9">
        <w:rPr>
          <w:rFonts w:ascii="Calibri" w:eastAsia="Times New Roman" w:hAnsi="Calibri" w:cs="Calibri"/>
          <w:sz w:val="24"/>
          <w:szCs w:val="24"/>
        </w:rPr>
        <w:t>y</w:t>
      </w:r>
      <w:r w:rsidR="00312D65">
        <w:rPr>
          <w:rFonts w:ascii="Calibri" w:eastAsia="Times New Roman" w:hAnsi="Calibri" w:cs="Calibri"/>
          <w:sz w:val="24"/>
          <w:szCs w:val="24"/>
        </w:rPr>
        <w:t xml:space="preserve">, ale nikoliv jako </w:t>
      </w:r>
      <w:r w:rsidR="00676B2F">
        <w:rPr>
          <w:rFonts w:ascii="Calibri" w:eastAsia="Times New Roman" w:hAnsi="Calibri" w:cs="Calibri"/>
          <w:sz w:val="24"/>
          <w:szCs w:val="24"/>
        </w:rPr>
        <w:t xml:space="preserve">dostatečné </w:t>
      </w:r>
      <w:r w:rsidR="00312D65">
        <w:rPr>
          <w:rFonts w:ascii="Calibri" w:eastAsia="Times New Roman" w:hAnsi="Calibri" w:cs="Calibri"/>
          <w:sz w:val="24"/>
          <w:szCs w:val="24"/>
        </w:rPr>
        <w:t>důkaz</w:t>
      </w:r>
      <w:r w:rsidR="00255BC9">
        <w:rPr>
          <w:rFonts w:ascii="Calibri" w:eastAsia="Times New Roman" w:hAnsi="Calibri" w:cs="Calibri"/>
          <w:sz w:val="24"/>
          <w:szCs w:val="24"/>
        </w:rPr>
        <w:t xml:space="preserve">y, </w:t>
      </w:r>
      <w:r w:rsidR="007F09FD">
        <w:rPr>
          <w:rFonts w:ascii="Calibri" w:eastAsia="Times New Roman" w:hAnsi="Calibri" w:cs="Calibri"/>
          <w:sz w:val="24"/>
          <w:szCs w:val="24"/>
        </w:rPr>
        <w:t>na</w:t>
      </w:r>
      <w:r w:rsidR="0015214A">
        <w:rPr>
          <w:rFonts w:ascii="Calibri" w:eastAsia="Times New Roman" w:hAnsi="Calibri" w:cs="Calibri"/>
          <w:sz w:val="24"/>
          <w:szCs w:val="24"/>
        </w:rPr>
        <w:t xml:space="preserve"> jejichž</w:t>
      </w:r>
      <w:r w:rsidR="007F09FD">
        <w:rPr>
          <w:rFonts w:ascii="Calibri" w:eastAsia="Times New Roman" w:hAnsi="Calibri" w:cs="Calibri"/>
          <w:sz w:val="24"/>
          <w:szCs w:val="24"/>
        </w:rPr>
        <w:t xml:space="preserve"> základě by NKÚ mohl vyhodnotit</w:t>
      </w:r>
      <w:r w:rsidR="00676B2F">
        <w:rPr>
          <w:rFonts w:ascii="Calibri" w:eastAsia="Times New Roman" w:hAnsi="Calibri" w:cs="Calibri"/>
          <w:sz w:val="24"/>
          <w:szCs w:val="24"/>
        </w:rPr>
        <w:t xml:space="preserve"> </w:t>
      </w:r>
      <w:r w:rsidR="00B4606F" w:rsidRPr="00E51C73">
        <w:rPr>
          <w:rFonts w:cstheme="minorHAnsi"/>
          <w:sz w:val="24"/>
          <w:szCs w:val="24"/>
        </w:rPr>
        <w:t>systém poskytování podpor PGRLF</w:t>
      </w:r>
      <w:r w:rsidR="00255BC9">
        <w:rPr>
          <w:rFonts w:ascii="Calibri" w:eastAsia="Times New Roman" w:hAnsi="Calibri" w:cs="Calibri"/>
          <w:sz w:val="24"/>
          <w:szCs w:val="24"/>
        </w:rPr>
        <w:t>.</w:t>
      </w:r>
    </w:p>
    <w:p w14:paraId="413D218C" w14:textId="77777777" w:rsidR="00616BA7" w:rsidRPr="00616BA7" w:rsidRDefault="00616BA7" w:rsidP="00616BA7">
      <w:pPr>
        <w:spacing w:after="0" w:line="240" w:lineRule="auto"/>
        <w:jc w:val="both"/>
        <w:rPr>
          <w:rFonts w:cstheme="minorHAnsi"/>
          <w:sz w:val="24"/>
          <w:szCs w:val="24"/>
        </w:rPr>
      </w:pPr>
    </w:p>
    <w:p w14:paraId="2C18486F" w14:textId="73ECD975" w:rsidR="00EB5D66" w:rsidRDefault="0014290B" w:rsidP="00616BA7">
      <w:pPr>
        <w:pStyle w:val="Odstavecseseznamem"/>
        <w:numPr>
          <w:ilvl w:val="1"/>
          <w:numId w:val="2"/>
        </w:numPr>
        <w:tabs>
          <w:tab w:val="left" w:pos="426"/>
        </w:tabs>
        <w:spacing w:after="0" w:line="240" w:lineRule="auto"/>
        <w:ind w:left="0" w:firstLine="0"/>
        <w:contextualSpacing w:val="0"/>
        <w:jc w:val="both"/>
        <w:rPr>
          <w:rFonts w:cstheme="minorHAnsi"/>
          <w:sz w:val="24"/>
          <w:szCs w:val="24"/>
        </w:rPr>
      </w:pPr>
      <w:r w:rsidRPr="005F5385">
        <w:rPr>
          <w:rFonts w:cstheme="minorHAnsi"/>
          <w:sz w:val="24"/>
          <w:szCs w:val="24"/>
        </w:rPr>
        <w:t xml:space="preserve">NKÚ </w:t>
      </w:r>
      <w:r w:rsidR="00A97F6B">
        <w:rPr>
          <w:rFonts w:cstheme="minorHAnsi"/>
          <w:sz w:val="24"/>
          <w:szCs w:val="24"/>
        </w:rPr>
        <w:t>proto</w:t>
      </w:r>
      <w:r w:rsidR="005F5385" w:rsidRPr="005F5385">
        <w:rPr>
          <w:rFonts w:cstheme="minorHAnsi"/>
          <w:sz w:val="24"/>
          <w:szCs w:val="24"/>
        </w:rPr>
        <w:t xml:space="preserve"> </w:t>
      </w:r>
      <w:r w:rsidR="005F5385">
        <w:rPr>
          <w:rFonts w:cstheme="minorHAnsi"/>
          <w:sz w:val="24"/>
          <w:szCs w:val="24"/>
        </w:rPr>
        <w:t>uvádí</w:t>
      </w:r>
      <w:r w:rsidRPr="005F5385">
        <w:rPr>
          <w:rFonts w:cstheme="minorHAnsi"/>
          <w:sz w:val="24"/>
          <w:szCs w:val="24"/>
        </w:rPr>
        <w:t xml:space="preserve"> v</w:t>
      </w:r>
      <w:r w:rsidR="00503D09" w:rsidRPr="005F5385">
        <w:rPr>
          <w:rFonts w:cstheme="minorHAnsi"/>
          <w:sz w:val="24"/>
          <w:szCs w:val="24"/>
        </w:rPr>
        <w:t> části IV. toho</w:t>
      </w:r>
      <w:r w:rsidRPr="005F5385">
        <w:rPr>
          <w:rFonts w:cstheme="minorHAnsi"/>
          <w:sz w:val="24"/>
          <w:szCs w:val="24"/>
        </w:rPr>
        <w:t>to kontroln</w:t>
      </w:r>
      <w:r w:rsidR="00503D09" w:rsidRPr="005F5385">
        <w:rPr>
          <w:rFonts w:cstheme="minorHAnsi"/>
          <w:sz w:val="24"/>
          <w:szCs w:val="24"/>
        </w:rPr>
        <w:t>ího</w:t>
      </w:r>
      <w:r w:rsidR="0063307A" w:rsidRPr="005F5385">
        <w:rPr>
          <w:rFonts w:cstheme="minorHAnsi"/>
          <w:sz w:val="24"/>
          <w:szCs w:val="24"/>
        </w:rPr>
        <w:t xml:space="preserve"> závěru pouze</w:t>
      </w:r>
      <w:r w:rsidR="00503D09" w:rsidRPr="005F5385">
        <w:rPr>
          <w:rFonts w:cstheme="minorHAnsi"/>
          <w:sz w:val="24"/>
          <w:szCs w:val="24"/>
        </w:rPr>
        <w:t xml:space="preserve"> skutečnosti zjištěné kontrolou</w:t>
      </w:r>
      <w:r w:rsidRPr="005F5385">
        <w:rPr>
          <w:rFonts w:cstheme="minorHAnsi"/>
          <w:sz w:val="24"/>
          <w:szCs w:val="24"/>
        </w:rPr>
        <w:t xml:space="preserve"> u</w:t>
      </w:r>
      <w:r w:rsidR="00DA321C" w:rsidRPr="005F5385">
        <w:rPr>
          <w:rFonts w:cstheme="minorHAnsi"/>
          <w:sz w:val="24"/>
          <w:szCs w:val="24"/>
        </w:rPr>
        <w:t xml:space="preserve"> </w:t>
      </w:r>
      <w:proofErr w:type="spellStart"/>
      <w:proofErr w:type="gramStart"/>
      <w:r w:rsidRPr="005F5385">
        <w:rPr>
          <w:rFonts w:cstheme="minorHAnsi"/>
          <w:sz w:val="24"/>
          <w:szCs w:val="24"/>
        </w:rPr>
        <w:t>MZe</w:t>
      </w:r>
      <w:proofErr w:type="spellEnd"/>
      <w:proofErr w:type="gramEnd"/>
      <w:r w:rsidR="00503D09" w:rsidRPr="005F5385">
        <w:rPr>
          <w:rFonts w:cstheme="minorHAnsi"/>
          <w:sz w:val="24"/>
          <w:szCs w:val="24"/>
        </w:rPr>
        <w:t>, kter</w:t>
      </w:r>
      <w:r w:rsidR="005F078C" w:rsidRPr="005F5385">
        <w:rPr>
          <w:rFonts w:cstheme="minorHAnsi"/>
          <w:sz w:val="24"/>
          <w:szCs w:val="24"/>
        </w:rPr>
        <w:t>é</w:t>
      </w:r>
      <w:r w:rsidR="00503D09" w:rsidRPr="005F5385">
        <w:rPr>
          <w:rFonts w:cstheme="minorHAnsi"/>
          <w:sz w:val="24"/>
          <w:szCs w:val="24"/>
        </w:rPr>
        <w:t xml:space="preserve"> celkově shrnul a vyhodnotil v části I.</w:t>
      </w:r>
      <w:r w:rsidRPr="005F5385">
        <w:rPr>
          <w:rFonts w:cstheme="minorHAnsi"/>
          <w:sz w:val="24"/>
          <w:szCs w:val="24"/>
        </w:rPr>
        <w:t xml:space="preserve"> </w:t>
      </w:r>
    </w:p>
    <w:p w14:paraId="605F607A" w14:textId="77777777" w:rsidR="00616BA7" w:rsidRPr="00616BA7" w:rsidRDefault="00616BA7" w:rsidP="00616BA7">
      <w:pPr>
        <w:spacing w:after="0" w:line="240" w:lineRule="auto"/>
        <w:jc w:val="both"/>
        <w:rPr>
          <w:rFonts w:cstheme="minorHAnsi"/>
          <w:sz w:val="24"/>
          <w:szCs w:val="24"/>
        </w:rPr>
      </w:pPr>
    </w:p>
    <w:p w14:paraId="3A9F994D" w14:textId="273F189E" w:rsidR="00A3672F" w:rsidRPr="00616BA7" w:rsidRDefault="00973345" w:rsidP="00616BA7">
      <w:pPr>
        <w:pStyle w:val="Odstavecseseznamem"/>
        <w:spacing w:after="0" w:line="240" w:lineRule="auto"/>
        <w:ind w:left="567" w:hanging="567"/>
        <w:contextualSpacing w:val="0"/>
        <w:jc w:val="both"/>
        <w:rPr>
          <w:rFonts w:cstheme="minorHAnsi"/>
          <w:sz w:val="20"/>
          <w:szCs w:val="24"/>
        </w:rPr>
      </w:pPr>
      <w:r w:rsidRPr="006829C1">
        <w:rPr>
          <w:rFonts w:cstheme="minorHAnsi"/>
          <w:b/>
          <w:sz w:val="20"/>
          <w:szCs w:val="24"/>
        </w:rPr>
        <w:t>Pozn</w:t>
      </w:r>
      <w:r w:rsidR="0015214A">
        <w:rPr>
          <w:rFonts w:cstheme="minorHAnsi"/>
          <w:b/>
          <w:sz w:val="20"/>
          <w:szCs w:val="24"/>
        </w:rPr>
        <w:t>.</w:t>
      </w:r>
      <w:r w:rsidRPr="006829C1">
        <w:rPr>
          <w:rFonts w:cstheme="minorHAnsi"/>
          <w:b/>
          <w:sz w:val="20"/>
          <w:szCs w:val="24"/>
        </w:rPr>
        <w:t>:</w:t>
      </w:r>
      <w:r w:rsidRPr="00616BA7">
        <w:rPr>
          <w:rFonts w:cstheme="minorHAnsi"/>
          <w:sz w:val="20"/>
          <w:szCs w:val="24"/>
        </w:rPr>
        <w:t xml:space="preserve"> </w:t>
      </w:r>
      <w:r w:rsidR="00A3672F" w:rsidRPr="00616BA7">
        <w:rPr>
          <w:rFonts w:cstheme="minorHAnsi"/>
          <w:sz w:val="20"/>
          <w:szCs w:val="24"/>
        </w:rPr>
        <w:t>Právní předpisy uvedené v tomto kontrolním závěru jsou aplikovány ve znění účinném pro kontrolované období.</w:t>
      </w:r>
    </w:p>
    <w:p w14:paraId="17C8E3AF" w14:textId="6BB19DFF" w:rsidR="00D37FA7" w:rsidRDefault="00D37FA7" w:rsidP="00616BA7">
      <w:pPr>
        <w:pStyle w:val="Odstavecseseznamem"/>
        <w:spacing w:after="0" w:line="240" w:lineRule="auto"/>
        <w:ind w:left="0"/>
        <w:contextualSpacing w:val="0"/>
        <w:jc w:val="both"/>
        <w:rPr>
          <w:rFonts w:cstheme="minorHAnsi"/>
          <w:sz w:val="24"/>
          <w:szCs w:val="24"/>
        </w:rPr>
      </w:pPr>
    </w:p>
    <w:p w14:paraId="18073C9F" w14:textId="77777777" w:rsidR="00363B0C" w:rsidRPr="00C547A7" w:rsidRDefault="00363B0C" w:rsidP="00616BA7">
      <w:pPr>
        <w:pStyle w:val="Odstavecseseznamem"/>
        <w:spacing w:after="0" w:line="240" w:lineRule="auto"/>
        <w:ind w:left="0"/>
        <w:contextualSpacing w:val="0"/>
        <w:jc w:val="both"/>
        <w:rPr>
          <w:rFonts w:cstheme="minorHAnsi"/>
          <w:sz w:val="24"/>
          <w:szCs w:val="24"/>
        </w:rPr>
      </w:pPr>
    </w:p>
    <w:p w14:paraId="10D379B5" w14:textId="77777777" w:rsidR="00D00324" w:rsidRDefault="004C008F" w:rsidP="00616BA7">
      <w:pPr>
        <w:pStyle w:val="Nadpis1"/>
        <w:numPr>
          <w:ilvl w:val="0"/>
          <w:numId w:val="0"/>
        </w:numPr>
        <w:spacing w:before="0" w:after="0"/>
        <w:ind w:left="357" w:hanging="357"/>
        <w:rPr>
          <w:sz w:val="28"/>
          <w:szCs w:val="28"/>
        </w:rPr>
      </w:pPr>
      <w:r w:rsidRPr="007F1D90">
        <w:rPr>
          <w:sz w:val="28"/>
          <w:szCs w:val="28"/>
        </w:rPr>
        <w:t>IV. Podrobn</w:t>
      </w:r>
      <w:r>
        <w:rPr>
          <w:sz w:val="28"/>
          <w:szCs w:val="28"/>
        </w:rPr>
        <w:t>é skutečnosti zjištěné kontrolou</w:t>
      </w:r>
    </w:p>
    <w:p w14:paraId="1BF0D306" w14:textId="77777777" w:rsidR="001E53BD" w:rsidRPr="001E53BD" w:rsidRDefault="001E53BD" w:rsidP="00616BA7">
      <w:pPr>
        <w:spacing w:after="0" w:line="240" w:lineRule="auto"/>
        <w:rPr>
          <w:lang w:eastAsia="cs-CZ"/>
        </w:rPr>
      </w:pPr>
    </w:p>
    <w:p w14:paraId="00DC3E7D" w14:textId="51E67DE7" w:rsidR="004C008F" w:rsidRDefault="00D00324" w:rsidP="00903334">
      <w:pPr>
        <w:pStyle w:val="Odstavecseseznamem"/>
        <w:numPr>
          <w:ilvl w:val="0"/>
          <w:numId w:val="31"/>
        </w:numPr>
        <w:spacing w:after="0" w:line="240" w:lineRule="auto"/>
        <w:ind w:left="284" w:hanging="284"/>
        <w:contextualSpacing w:val="0"/>
        <w:jc w:val="both"/>
        <w:rPr>
          <w:sz w:val="24"/>
          <w:szCs w:val="24"/>
        </w:rPr>
      </w:pPr>
      <w:proofErr w:type="spellStart"/>
      <w:r>
        <w:rPr>
          <w:b/>
          <w:i/>
          <w:color w:val="FF0000"/>
          <w:sz w:val="24"/>
          <w:szCs w:val="24"/>
        </w:rPr>
        <w:t>MZe</w:t>
      </w:r>
      <w:proofErr w:type="spellEnd"/>
      <w:r>
        <w:rPr>
          <w:b/>
          <w:i/>
          <w:color w:val="FF0000"/>
          <w:sz w:val="24"/>
          <w:szCs w:val="24"/>
        </w:rPr>
        <w:t xml:space="preserve"> </w:t>
      </w:r>
      <w:r w:rsidRPr="0033477A">
        <w:rPr>
          <w:rFonts w:cstheme="minorHAnsi"/>
          <w:b/>
          <w:i/>
          <w:color w:val="FF0000"/>
          <w:sz w:val="24"/>
          <w:szCs w:val="24"/>
        </w:rPr>
        <w:t>nestanovilo vhodné ukazatele</w:t>
      </w:r>
      <w:r>
        <w:rPr>
          <w:rFonts w:cstheme="minorHAnsi"/>
          <w:b/>
          <w:i/>
          <w:color w:val="FF0000"/>
          <w:sz w:val="24"/>
          <w:szCs w:val="24"/>
        </w:rPr>
        <w:t xml:space="preserve"> ani</w:t>
      </w:r>
      <w:r w:rsidRPr="0033477A">
        <w:rPr>
          <w:rFonts w:cstheme="minorHAnsi"/>
          <w:b/>
          <w:i/>
          <w:color w:val="FF0000"/>
          <w:sz w:val="24"/>
          <w:szCs w:val="24"/>
        </w:rPr>
        <w:t xml:space="preserve"> cílové hodnoty ukazatelů pro hodnocení</w:t>
      </w:r>
      <w:r>
        <w:rPr>
          <w:rFonts w:cstheme="minorHAnsi"/>
          <w:b/>
          <w:i/>
          <w:color w:val="FF0000"/>
          <w:sz w:val="24"/>
          <w:szCs w:val="24"/>
        </w:rPr>
        <w:t xml:space="preserve"> plnění cílů programů podpor</w:t>
      </w:r>
      <w:r w:rsidR="00F126F3">
        <w:rPr>
          <w:rFonts w:cstheme="minorHAnsi"/>
          <w:b/>
          <w:i/>
          <w:color w:val="FF0000"/>
          <w:sz w:val="24"/>
          <w:szCs w:val="24"/>
        </w:rPr>
        <w:t>,</w:t>
      </w:r>
      <w:r>
        <w:rPr>
          <w:rFonts w:cstheme="minorHAnsi"/>
          <w:b/>
          <w:i/>
          <w:color w:val="FF0000"/>
          <w:sz w:val="24"/>
          <w:szCs w:val="24"/>
        </w:rPr>
        <w:t xml:space="preserve"> a nemůže tak vyhodnotit, jak programy přispívají k plnění strategických cílů.</w:t>
      </w:r>
    </w:p>
    <w:p w14:paraId="1C55E275" w14:textId="77777777" w:rsidR="00D00324" w:rsidRDefault="00D00324" w:rsidP="00616BA7">
      <w:pPr>
        <w:pStyle w:val="Odstavecseseznamem"/>
        <w:spacing w:after="0" w:line="240" w:lineRule="auto"/>
        <w:ind w:left="0"/>
        <w:contextualSpacing w:val="0"/>
        <w:jc w:val="both"/>
        <w:rPr>
          <w:sz w:val="24"/>
          <w:szCs w:val="24"/>
        </w:rPr>
      </w:pPr>
    </w:p>
    <w:p w14:paraId="25DD59F4" w14:textId="77777777" w:rsidR="00A86756" w:rsidRPr="001E53BD" w:rsidRDefault="00A86756" w:rsidP="00903334">
      <w:pPr>
        <w:pStyle w:val="Odstavecseseznamem"/>
        <w:numPr>
          <w:ilvl w:val="0"/>
          <w:numId w:val="4"/>
        </w:numPr>
        <w:tabs>
          <w:tab w:val="left" w:pos="426"/>
        </w:tabs>
        <w:spacing w:after="0" w:line="240" w:lineRule="auto"/>
        <w:ind w:left="0" w:firstLine="0"/>
        <w:contextualSpacing w:val="0"/>
        <w:jc w:val="both"/>
        <w:rPr>
          <w:sz w:val="24"/>
          <w:szCs w:val="24"/>
        </w:rPr>
      </w:pPr>
      <w:r w:rsidRPr="00740D34">
        <w:rPr>
          <w:sz w:val="24"/>
          <w:szCs w:val="24"/>
          <w:lang w:eastAsia="cs-CZ"/>
        </w:rPr>
        <w:t>Za účelné se považuje takové použití veřejných prostředků, které zajistí optimální míru dosažení cílů při plnění stanovených úkolů.</w:t>
      </w:r>
      <w:r>
        <w:rPr>
          <w:rStyle w:val="Znakapoznpodarou"/>
          <w:sz w:val="24"/>
          <w:szCs w:val="24"/>
          <w:lang w:eastAsia="cs-CZ"/>
        </w:rPr>
        <w:footnoteReference w:id="10"/>
      </w:r>
      <w:r w:rsidRPr="00740D34">
        <w:rPr>
          <w:sz w:val="24"/>
          <w:szCs w:val="24"/>
          <w:lang w:eastAsia="cs-CZ"/>
        </w:rPr>
        <w:t xml:space="preserve"> </w:t>
      </w:r>
      <w:proofErr w:type="spellStart"/>
      <w:r w:rsidRPr="00740D34">
        <w:rPr>
          <w:sz w:val="24"/>
          <w:szCs w:val="24"/>
          <w:lang w:eastAsia="cs-CZ"/>
        </w:rPr>
        <w:t>MZe</w:t>
      </w:r>
      <w:proofErr w:type="spellEnd"/>
      <w:r w:rsidRPr="00740D34">
        <w:rPr>
          <w:sz w:val="24"/>
          <w:szCs w:val="24"/>
          <w:lang w:eastAsia="cs-CZ"/>
        </w:rPr>
        <w:t xml:space="preserve"> stanovuje své cíle ve strategických dokumentech, ze kterých vychází jednotlivé programy podpor realizované PGRLF. Cíle ve strategiích a cíle jednotlivých programů podpory by měly být nastaveny v souladu s principy SMART, aby bylo možné </w:t>
      </w:r>
      <w:r w:rsidR="00A51894">
        <w:rPr>
          <w:sz w:val="24"/>
          <w:szCs w:val="24"/>
          <w:lang w:eastAsia="cs-CZ"/>
        </w:rPr>
        <w:t>sledovat účelnost</w:t>
      </w:r>
      <w:r w:rsidRPr="00740D34">
        <w:rPr>
          <w:sz w:val="24"/>
          <w:szCs w:val="24"/>
          <w:lang w:eastAsia="cs-CZ"/>
        </w:rPr>
        <w:t xml:space="preserve"> realizovaných programů podpor. </w:t>
      </w:r>
    </w:p>
    <w:p w14:paraId="37D0B481" w14:textId="77777777" w:rsidR="00A86756" w:rsidRPr="00F57D48" w:rsidRDefault="00A86756" w:rsidP="00616BA7">
      <w:pPr>
        <w:pStyle w:val="Odstavecseseznamem"/>
        <w:spacing w:after="0" w:line="240" w:lineRule="auto"/>
        <w:ind w:left="0"/>
        <w:contextualSpacing w:val="0"/>
        <w:jc w:val="both"/>
        <w:rPr>
          <w:lang w:eastAsia="cs-CZ"/>
        </w:rPr>
      </w:pPr>
    </w:p>
    <w:p w14:paraId="617CAAB0" w14:textId="45F815EA" w:rsidR="00A86756" w:rsidRPr="007875B1" w:rsidRDefault="00A86756" w:rsidP="00903334">
      <w:pPr>
        <w:pStyle w:val="Odstavecseseznamem"/>
        <w:numPr>
          <w:ilvl w:val="0"/>
          <w:numId w:val="4"/>
        </w:numPr>
        <w:tabs>
          <w:tab w:val="left" w:pos="426"/>
        </w:tabs>
        <w:spacing w:after="0" w:line="240" w:lineRule="auto"/>
        <w:ind w:left="0" w:firstLine="0"/>
        <w:contextualSpacing w:val="0"/>
        <w:jc w:val="both"/>
        <w:rPr>
          <w:sz w:val="24"/>
          <w:szCs w:val="24"/>
        </w:rPr>
      </w:pPr>
      <w:r w:rsidRPr="007875B1">
        <w:rPr>
          <w:rFonts w:cstheme="minorHAnsi"/>
          <w:sz w:val="24"/>
          <w:szCs w:val="24"/>
        </w:rPr>
        <w:t xml:space="preserve">NKÚ </w:t>
      </w:r>
      <w:r w:rsidR="001542A3">
        <w:rPr>
          <w:rFonts w:cstheme="minorHAnsi"/>
          <w:sz w:val="24"/>
          <w:szCs w:val="24"/>
        </w:rPr>
        <w:t>kontrolou ověřoval</w:t>
      </w:r>
      <w:r w:rsidRPr="007875B1">
        <w:rPr>
          <w:rFonts w:cstheme="minorHAnsi"/>
          <w:sz w:val="24"/>
          <w:szCs w:val="24"/>
        </w:rPr>
        <w:t xml:space="preserve">, zda </w:t>
      </w:r>
      <w:proofErr w:type="spellStart"/>
      <w:r w:rsidRPr="007875B1">
        <w:rPr>
          <w:rFonts w:cstheme="minorHAnsi"/>
          <w:sz w:val="24"/>
          <w:szCs w:val="24"/>
        </w:rPr>
        <w:t>MZe</w:t>
      </w:r>
      <w:proofErr w:type="spellEnd"/>
      <w:r w:rsidRPr="007875B1">
        <w:rPr>
          <w:rFonts w:cstheme="minorHAnsi"/>
          <w:sz w:val="24"/>
          <w:szCs w:val="24"/>
        </w:rPr>
        <w:t xml:space="preserve"> stanovilo strategické cíle a zda jednotlivé programy podpory poskytované prostřednictvím PGRLF vycházejí z analýzy stavu sektoru</w:t>
      </w:r>
      <w:r w:rsidR="00E418CF">
        <w:rPr>
          <w:rFonts w:cstheme="minorHAnsi"/>
          <w:sz w:val="24"/>
          <w:szCs w:val="24"/>
        </w:rPr>
        <w:t>, navazují na strategické cíle a obsahují cíle,</w:t>
      </w:r>
      <w:r w:rsidR="00E418CF" w:rsidRPr="00E418CF">
        <w:rPr>
          <w:rFonts w:cstheme="minorHAnsi"/>
          <w:sz w:val="24"/>
          <w:szCs w:val="24"/>
        </w:rPr>
        <w:t xml:space="preserve"> </w:t>
      </w:r>
      <w:r w:rsidR="00E418CF" w:rsidRPr="007875B1">
        <w:rPr>
          <w:rFonts w:cstheme="minorHAnsi"/>
          <w:sz w:val="24"/>
          <w:szCs w:val="24"/>
        </w:rPr>
        <w:t xml:space="preserve">kterých má být realizací </w:t>
      </w:r>
      <w:r w:rsidR="00E418CF">
        <w:rPr>
          <w:rFonts w:cstheme="minorHAnsi"/>
          <w:sz w:val="24"/>
          <w:szCs w:val="24"/>
        </w:rPr>
        <w:t xml:space="preserve">programů </w:t>
      </w:r>
      <w:r w:rsidR="00E418CF" w:rsidRPr="007875B1">
        <w:rPr>
          <w:rFonts w:cstheme="minorHAnsi"/>
          <w:sz w:val="24"/>
          <w:szCs w:val="24"/>
        </w:rPr>
        <w:t>dosaženo</w:t>
      </w:r>
      <w:r w:rsidR="00F126F3">
        <w:rPr>
          <w:rFonts w:cstheme="minorHAnsi"/>
          <w:sz w:val="24"/>
          <w:szCs w:val="24"/>
        </w:rPr>
        <w:t>,</w:t>
      </w:r>
      <w:r w:rsidR="00E418CF" w:rsidRPr="007875B1">
        <w:rPr>
          <w:rFonts w:cstheme="minorHAnsi"/>
          <w:sz w:val="24"/>
          <w:szCs w:val="24"/>
        </w:rPr>
        <w:t xml:space="preserve"> a zda tyto cíle splňují kritéria </w:t>
      </w:r>
      <w:r w:rsidR="00E418CF">
        <w:rPr>
          <w:rFonts w:cstheme="minorHAnsi"/>
          <w:sz w:val="24"/>
          <w:szCs w:val="24"/>
        </w:rPr>
        <w:t>SMART.</w:t>
      </w:r>
      <w:r w:rsidR="00EC2D22">
        <w:rPr>
          <w:rFonts w:cstheme="minorHAnsi"/>
          <w:sz w:val="24"/>
          <w:szCs w:val="24"/>
        </w:rPr>
        <w:t xml:space="preserve"> </w:t>
      </w:r>
      <w:r w:rsidRPr="007875B1">
        <w:rPr>
          <w:rFonts w:cstheme="minorHAnsi"/>
          <w:sz w:val="24"/>
          <w:szCs w:val="24"/>
        </w:rPr>
        <w:t xml:space="preserve">Dále bylo ověřeno, zda </w:t>
      </w:r>
      <w:proofErr w:type="spellStart"/>
      <w:r w:rsidR="00E418CF">
        <w:rPr>
          <w:rFonts w:cstheme="minorHAnsi"/>
          <w:sz w:val="24"/>
          <w:szCs w:val="24"/>
        </w:rPr>
        <w:t>MZe</w:t>
      </w:r>
      <w:proofErr w:type="spellEnd"/>
      <w:r w:rsidR="00E418CF">
        <w:rPr>
          <w:rFonts w:cstheme="minorHAnsi"/>
          <w:sz w:val="24"/>
          <w:szCs w:val="24"/>
        </w:rPr>
        <w:t xml:space="preserve"> sleduje a vyhodnocuje plnění cílů programů podpor.</w:t>
      </w:r>
      <w:r w:rsidR="00A57853">
        <w:rPr>
          <w:rFonts w:cstheme="minorHAnsi"/>
          <w:sz w:val="24"/>
          <w:szCs w:val="24"/>
        </w:rPr>
        <w:t xml:space="preserve"> </w:t>
      </w:r>
      <w:r w:rsidRPr="007875B1">
        <w:rPr>
          <w:rFonts w:cstheme="minorHAnsi"/>
          <w:sz w:val="24"/>
          <w:szCs w:val="24"/>
        </w:rPr>
        <w:t xml:space="preserve">V zákoně </w:t>
      </w:r>
      <w:r w:rsidR="00A97F6B">
        <w:rPr>
          <w:rFonts w:cstheme="minorHAnsi"/>
          <w:sz w:val="24"/>
          <w:szCs w:val="24"/>
        </w:rPr>
        <w:t xml:space="preserve">o zemědělství, </w:t>
      </w:r>
      <w:r w:rsidR="00D43AA9">
        <w:rPr>
          <w:rFonts w:cstheme="minorHAnsi"/>
          <w:sz w:val="24"/>
          <w:szCs w:val="24"/>
        </w:rPr>
        <w:t xml:space="preserve">a to </w:t>
      </w:r>
      <w:r w:rsidR="00DA0F1C">
        <w:rPr>
          <w:rFonts w:cstheme="minorHAnsi"/>
          <w:sz w:val="24"/>
          <w:szCs w:val="24"/>
        </w:rPr>
        <w:t xml:space="preserve">v ustanovení </w:t>
      </w:r>
      <w:r w:rsidR="00A97F6B">
        <w:rPr>
          <w:rFonts w:cstheme="minorHAnsi"/>
          <w:sz w:val="24"/>
          <w:szCs w:val="24"/>
        </w:rPr>
        <w:t>§ 2da v odst.</w:t>
      </w:r>
      <w:r w:rsidRPr="007875B1">
        <w:rPr>
          <w:rFonts w:cstheme="minorHAnsi"/>
          <w:sz w:val="24"/>
          <w:szCs w:val="24"/>
        </w:rPr>
        <w:t xml:space="preserve"> 7 písm</w:t>
      </w:r>
      <w:r w:rsidR="00973345">
        <w:rPr>
          <w:rFonts w:cstheme="minorHAnsi"/>
          <w:sz w:val="24"/>
          <w:szCs w:val="24"/>
        </w:rPr>
        <w:t>.</w:t>
      </w:r>
      <w:r w:rsidRPr="007875B1">
        <w:rPr>
          <w:rFonts w:cstheme="minorHAnsi"/>
          <w:sz w:val="24"/>
          <w:szCs w:val="24"/>
        </w:rPr>
        <w:t xml:space="preserve"> e) </w:t>
      </w:r>
      <w:r w:rsidR="00C053EE">
        <w:rPr>
          <w:rFonts w:cstheme="minorHAnsi"/>
          <w:sz w:val="24"/>
          <w:szCs w:val="24"/>
        </w:rPr>
        <w:t>a l)</w:t>
      </w:r>
      <w:r w:rsidR="00D43AA9">
        <w:rPr>
          <w:rFonts w:cstheme="minorHAnsi"/>
          <w:sz w:val="24"/>
          <w:szCs w:val="24"/>
        </w:rPr>
        <w:t>,</w:t>
      </w:r>
      <w:r w:rsidR="00C053EE">
        <w:rPr>
          <w:rFonts w:cstheme="minorHAnsi"/>
          <w:sz w:val="24"/>
          <w:szCs w:val="24"/>
        </w:rPr>
        <w:t xml:space="preserve"> </w:t>
      </w:r>
      <w:r w:rsidR="00637A81">
        <w:rPr>
          <w:rFonts w:cstheme="minorHAnsi"/>
          <w:sz w:val="24"/>
          <w:szCs w:val="24"/>
        </w:rPr>
        <w:t xml:space="preserve">je </w:t>
      </w:r>
      <w:r w:rsidRPr="007875B1">
        <w:rPr>
          <w:rFonts w:cstheme="minorHAnsi"/>
          <w:sz w:val="24"/>
          <w:szCs w:val="24"/>
        </w:rPr>
        <w:t>stanoveno, že program podpory má obsahovat cíl podpory</w:t>
      </w:r>
      <w:r w:rsidR="00C053EE">
        <w:rPr>
          <w:rFonts w:cstheme="minorHAnsi"/>
          <w:sz w:val="24"/>
          <w:szCs w:val="24"/>
        </w:rPr>
        <w:t xml:space="preserve"> a způsob</w:t>
      </w:r>
      <w:r w:rsidR="00A97F6B">
        <w:rPr>
          <w:rFonts w:cstheme="minorHAnsi"/>
          <w:sz w:val="24"/>
          <w:szCs w:val="24"/>
        </w:rPr>
        <w:t xml:space="preserve"> hodnocení</w:t>
      </w:r>
      <w:r w:rsidR="00C053EE">
        <w:rPr>
          <w:rFonts w:cstheme="minorHAnsi"/>
          <w:sz w:val="24"/>
          <w:szCs w:val="24"/>
        </w:rPr>
        <w:t xml:space="preserve"> naplnění cíle podpory</w:t>
      </w:r>
      <w:r w:rsidRPr="007875B1">
        <w:rPr>
          <w:rFonts w:cstheme="minorHAnsi"/>
          <w:sz w:val="24"/>
          <w:szCs w:val="24"/>
        </w:rPr>
        <w:t xml:space="preserve">. </w:t>
      </w:r>
    </w:p>
    <w:p w14:paraId="06ACFBEE" w14:textId="03724846" w:rsidR="00A86756" w:rsidRDefault="00A86756" w:rsidP="00616BA7">
      <w:pPr>
        <w:pStyle w:val="Odstavecseseznamem"/>
        <w:spacing w:after="0" w:line="240" w:lineRule="auto"/>
        <w:ind w:left="0"/>
        <w:contextualSpacing w:val="0"/>
        <w:jc w:val="both"/>
        <w:rPr>
          <w:sz w:val="24"/>
          <w:szCs w:val="24"/>
        </w:rPr>
      </w:pPr>
    </w:p>
    <w:p w14:paraId="524B4E91" w14:textId="77777777" w:rsidR="00F556BB" w:rsidRPr="007875B1" w:rsidRDefault="00F556BB" w:rsidP="00616BA7">
      <w:pPr>
        <w:pStyle w:val="Odstavecseseznamem"/>
        <w:spacing w:after="0" w:line="240" w:lineRule="auto"/>
        <w:ind w:left="0"/>
        <w:contextualSpacing w:val="0"/>
        <w:jc w:val="both"/>
        <w:rPr>
          <w:sz w:val="24"/>
          <w:szCs w:val="24"/>
        </w:rPr>
      </w:pPr>
    </w:p>
    <w:p w14:paraId="354992B5" w14:textId="77777777" w:rsidR="00A86756" w:rsidRPr="0033477A" w:rsidRDefault="00A86756" w:rsidP="00903334">
      <w:pPr>
        <w:pStyle w:val="Odstavecseseznamem"/>
        <w:numPr>
          <w:ilvl w:val="0"/>
          <w:numId w:val="4"/>
        </w:numPr>
        <w:tabs>
          <w:tab w:val="left" w:pos="426"/>
        </w:tabs>
        <w:spacing w:after="0" w:line="240" w:lineRule="auto"/>
        <w:ind w:left="0" w:firstLine="0"/>
        <w:contextualSpacing w:val="0"/>
        <w:jc w:val="both"/>
        <w:rPr>
          <w:sz w:val="24"/>
          <w:szCs w:val="24"/>
        </w:rPr>
      </w:pPr>
      <w:r w:rsidRPr="0094331E">
        <w:rPr>
          <w:rFonts w:cstheme="minorHAnsi"/>
          <w:i/>
          <w:sz w:val="24"/>
          <w:szCs w:val="24"/>
        </w:rPr>
        <w:lastRenderedPageBreak/>
        <w:t>Strategie pro růst – české zemědělství a potravinářství v rámci společné zemědělské politiky EU po roce 2013</w:t>
      </w:r>
      <w:r w:rsidRPr="0094331E">
        <w:rPr>
          <w:rFonts w:cstheme="minorHAnsi"/>
          <w:sz w:val="24"/>
          <w:szCs w:val="24"/>
        </w:rPr>
        <w:t xml:space="preserve"> </w:t>
      </w:r>
      <w:r w:rsidR="0003171E" w:rsidRPr="0094331E">
        <w:rPr>
          <w:rFonts w:cstheme="minorHAnsi"/>
          <w:sz w:val="24"/>
          <w:szCs w:val="24"/>
        </w:rPr>
        <w:t>(dále také „Strategie pro růst“)</w:t>
      </w:r>
      <w:r w:rsidR="0003171E" w:rsidRPr="0094331E">
        <w:rPr>
          <w:rStyle w:val="Znakapoznpodarou"/>
          <w:rFonts w:cstheme="minorHAnsi"/>
          <w:sz w:val="24"/>
          <w:szCs w:val="24"/>
        </w:rPr>
        <w:footnoteReference w:id="11"/>
      </w:r>
      <w:r w:rsidR="0003171E" w:rsidRPr="00F126F3">
        <w:rPr>
          <w:rFonts w:cstheme="minorHAnsi"/>
          <w:sz w:val="24"/>
          <w:szCs w:val="24"/>
        </w:rPr>
        <w:t xml:space="preserve"> </w:t>
      </w:r>
      <w:r w:rsidRPr="0033477A">
        <w:rPr>
          <w:rFonts w:cstheme="minorHAnsi"/>
          <w:sz w:val="24"/>
          <w:szCs w:val="24"/>
        </w:rPr>
        <w:t xml:space="preserve">obsahuje analýzu stávajícího stavu sektoru zemědělství a potravinářství, očekávaný vývoj vnějších podmínek, hlavní strategický cíl, strategické oblasti a cíle v oblasti českého zemědělství a potravinářství a opatření k jejich dosažení. V této strategii však není uvedeno, prostřednictvím jakých programů má být těchto cílů dosaženo. Stanovené cíle nesplňují kritéria SMART. PGRLF není v této strategii zmíněn. </w:t>
      </w:r>
    </w:p>
    <w:p w14:paraId="628DFAE6" w14:textId="77777777" w:rsidR="00A86756" w:rsidRPr="0033477A" w:rsidRDefault="00A86756" w:rsidP="00616BA7">
      <w:pPr>
        <w:pStyle w:val="Odstavecseseznamem"/>
        <w:spacing w:after="0" w:line="240" w:lineRule="auto"/>
        <w:ind w:left="0"/>
        <w:contextualSpacing w:val="0"/>
        <w:jc w:val="both"/>
        <w:rPr>
          <w:sz w:val="24"/>
          <w:szCs w:val="24"/>
        </w:rPr>
      </w:pPr>
    </w:p>
    <w:p w14:paraId="7BDF3EE4" w14:textId="166B37AA" w:rsidR="000C6A18" w:rsidRPr="00D53CE0" w:rsidRDefault="0003171E" w:rsidP="00903334">
      <w:pPr>
        <w:pStyle w:val="Odstavecseseznamem"/>
        <w:numPr>
          <w:ilvl w:val="0"/>
          <w:numId w:val="4"/>
        </w:numPr>
        <w:tabs>
          <w:tab w:val="left" w:pos="426"/>
        </w:tabs>
        <w:spacing w:after="0" w:line="240" w:lineRule="auto"/>
        <w:ind w:left="0" w:firstLine="0"/>
        <w:contextualSpacing w:val="0"/>
        <w:jc w:val="both"/>
        <w:rPr>
          <w:sz w:val="24"/>
          <w:szCs w:val="24"/>
        </w:rPr>
      </w:pPr>
      <w:r w:rsidRPr="0094331E">
        <w:rPr>
          <w:rFonts w:cstheme="minorHAnsi"/>
          <w:sz w:val="24"/>
          <w:szCs w:val="24"/>
        </w:rPr>
        <w:t xml:space="preserve">Na výše </w:t>
      </w:r>
      <w:r w:rsidR="00DB1460">
        <w:rPr>
          <w:rFonts w:cstheme="minorHAnsi"/>
          <w:sz w:val="24"/>
          <w:szCs w:val="24"/>
        </w:rPr>
        <w:t>uvedenou</w:t>
      </w:r>
      <w:r w:rsidRPr="0094331E">
        <w:rPr>
          <w:rFonts w:cstheme="minorHAnsi"/>
          <w:sz w:val="24"/>
          <w:szCs w:val="24"/>
        </w:rPr>
        <w:t xml:space="preserve"> Strategii pro růst navazuje </w:t>
      </w:r>
      <w:r w:rsidR="00A86756" w:rsidRPr="0094331E">
        <w:rPr>
          <w:rFonts w:cstheme="minorHAnsi"/>
          <w:i/>
          <w:sz w:val="24"/>
          <w:szCs w:val="24"/>
        </w:rPr>
        <w:t>Strategie resortu Ministerstva zemědělství České republiky s výhledem do roku 2030</w:t>
      </w:r>
      <w:r w:rsidRPr="0094331E">
        <w:rPr>
          <w:rFonts w:cstheme="minorHAnsi"/>
          <w:sz w:val="24"/>
          <w:szCs w:val="24"/>
        </w:rPr>
        <w:t xml:space="preserve"> (dále také „Strategie </w:t>
      </w:r>
      <w:proofErr w:type="spellStart"/>
      <w:r w:rsidRPr="0094331E">
        <w:rPr>
          <w:rFonts w:cstheme="minorHAnsi"/>
          <w:sz w:val="24"/>
          <w:szCs w:val="24"/>
        </w:rPr>
        <w:t>MZe</w:t>
      </w:r>
      <w:proofErr w:type="spellEnd"/>
      <w:r w:rsidRPr="0094331E">
        <w:rPr>
          <w:rFonts w:cstheme="minorHAnsi"/>
          <w:sz w:val="24"/>
          <w:szCs w:val="24"/>
        </w:rPr>
        <w:t xml:space="preserve"> 2030“)</w:t>
      </w:r>
      <w:r w:rsidRPr="0094331E">
        <w:rPr>
          <w:rStyle w:val="Znakapoznpodarou"/>
          <w:rFonts w:cstheme="minorHAnsi"/>
          <w:sz w:val="24"/>
          <w:szCs w:val="24"/>
        </w:rPr>
        <w:footnoteReference w:id="12"/>
      </w:r>
      <w:r w:rsidR="00637A81">
        <w:rPr>
          <w:rFonts w:cstheme="minorHAnsi"/>
          <w:sz w:val="24"/>
          <w:szCs w:val="24"/>
        </w:rPr>
        <w:t>.</w:t>
      </w:r>
      <w:r w:rsidR="00A86756" w:rsidRPr="00F126F3">
        <w:rPr>
          <w:rFonts w:cstheme="minorHAnsi"/>
          <w:sz w:val="24"/>
          <w:szCs w:val="24"/>
        </w:rPr>
        <w:t xml:space="preserve"> </w:t>
      </w:r>
      <w:r w:rsidR="00A86756">
        <w:rPr>
          <w:rFonts w:cstheme="minorHAnsi"/>
          <w:sz w:val="24"/>
          <w:szCs w:val="24"/>
        </w:rPr>
        <w:t xml:space="preserve">Tato strategie </w:t>
      </w:r>
      <w:r w:rsidR="00A86756" w:rsidRPr="0033477A">
        <w:rPr>
          <w:rFonts w:cstheme="minorHAnsi"/>
          <w:sz w:val="24"/>
          <w:szCs w:val="24"/>
        </w:rPr>
        <w:t>definuje dlouhodobou vizi Ministerstva zemědělství. Analyzuje mimo jiné stav sektoru zemědělství, potravinářství a lesního hospodářství, obsahuje očekávaný vývoj vnějších podmínek v těchto oblastech, obsahuje hlavní priority</w:t>
      </w:r>
      <w:r w:rsidR="00B56757">
        <w:rPr>
          <w:rFonts w:cstheme="minorHAnsi"/>
          <w:sz w:val="24"/>
          <w:szCs w:val="24"/>
        </w:rPr>
        <w:t>,</w:t>
      </w:r>
      <w:r w:rsidR="00A86756" w:rsidRPr="0033477A">
        <w:rPr>
          <w:rFonts w:cstheme="minorHAnsi"/>
          <w:sz w:val="24"/>
          <w:szCs w:val="24"/>
        </w:rPr>
        <w:t xml:space="preserve"> strategické a dílčí cíle zemědělství</w:t>
      </w:r>
      <w:r w:rsidR="00B56757">
        <w:rPr>
          <w:rFonts w:cstheme="minorHAnsi"/>
          <w:sz w:val="24"/>
          <w:szCs w:val="24"/>
        </w:rPr>
        <w:t>,</w:t>
      </w:r>
      <w:r w:rsidR="00A86756" w:rsidRPr="0033477A">
        <w:rPr>
          <w:rFonts w:cstheme="minorHAnsi"/>
          <w:sz w:val="24"/>
          <w:szCs w:val="24"/>
        </w:rPr>
        <w:t xml:space="preserve"> potravinářství a lesního hospodářství, které se rozpadají do jednotlivých opatření. </w:t>
      </w:r>
      <w:r w:rsidR="00A86756" w:rsidRPr="00D112CB">
        <w:rPr>
          <w:rFonts w:cstheme="minorHAnsi"/>
          <w:sz w:val="24"/>
          <w:szCs w:val="24"/>
        </w:rPr>
        <w:t xml:space="preserve">Na strategické cíle uvedené ve Strategii </w:t>
      </w:r>
      <w:proofErr w:type="spellStart"/>
      <w:r w:rsidR="008C4608">
        <w:rPr>
          <w:rFonts w:cstheme="minorHAnsi"/>
          <w:sz w:val="24"/>
          <w:szCs w:val="24"/>
        </w:rPr>
        <w:t>MZe</w:t>
      </w:r>
      <w:proofErr w:type="spellEnd"/>
      <w:r w:rsidR="008C4608">
        <w:rPr>
          <w:rFonts w:cstheme="minorHAnsi"/>
          <w:sz w:val="24"/>
          <w:szCs w:val="24"/>
        </w:rPr>
        <w:t xml:space="preserve"> </w:t>
      </w:r>
      <w:r w:rsidR="00A86756" w:rsidRPr="00D112CB">
        <w:rPr>
          <w:rFonts w:cstheme="minorHAnsi"/>
          <w:sz w:val="24"/>
          <w:szCs w:val="24"/>
        </w:rPr>
        <w:t>2030 navazují indikativní ukazatele</w:t>
      </w:r>
      <w:r w:rsidR="00FC4024">
        <w:rPr>
          <w:rFonts w:cstheme="minorHAnsi"/>
          <w:sz w:val="24"/>
          <w:szCs w:val="24"/>
        </w:rPr>
        <w:t xml:space="preserve"> strategických cílů</w:t>
      </w:r>
      <w:r w:rsidR="00A86756" w:rsidRPr="00D112CB">
        <w:rPr>
          <w:rFonts w:cstheme="minorHAnsi"/>
          <w:sz w:val="24"/>
          <w:szCs w:val="24"/>
        </w:rPr>
        <w:t>, které mají stanovenou hodnotu</w:t>
      </w:r>
      <w:r w:rsidR="004F5090">
        <w:rPr>
          <w:rFonts w:cstheme="minorHAnsi"/>
          <w:sz w:val="24"/>
          <w:szCs w:val="24"/>
        </w:rPr>
        <w:t xml:space="preserve"> </w:t>
      </w:r>
      <w:r w:rsidR="00B227BD">
        <w:rPr>
          <w:rFonts w:cstheme="minorHAnsi"/>
          <w:sz w:val="24"/>
          <w:szCs w:val="24"/>
        </w:rPr>
        <w:t>z roku 2016</w:t>
      </w:r>
      <w:r w:rsidR="00A86756" w:rsidRPr="00D112CB">
        <w:rPr>
          <w:rFonts w:cstheme="minorHAnsi"/>
          <w:sz w:val="24"/>
          <w:szCs w:val="24"/>
        </w:rPr>
        <w:t xml:space="preserve"> a indikativn</w:t>
      </w:r>
      <w:r w:rsidR="00031555">
        <w:rPr>
          <w:rFonts w:cstheme="minorHAnsi"/>
          <w:sz w:val="24"/>
          <w:szCs w:val="24"/>
        </w:rPr>
        <w:t>í hodnotu pro roky 2020, 2025 a </w:t>
      </w:r>
      <w:r w:rsidR="00A86756" w:rsidRPr="00D112CB">
        <w:rPr>
          <w:rFonts w:cstheme="minorHAnsi"/>
          <w:sz w:val="24"/>
          <w:szCs w:val="24"/>
        </w:rPr>
        <w:t>2030. U každého indikativního ukazatele pro oblast zemědělství a potravinářství je uveden obsah jeho plnění, který se dá považovat za stanovený cíl a splňuje kritéria SMART</w:t>
      </w:r>
      <w:r w:rsidR="00A86756" w:rsidRPr="00D53CE0">
        <w:rPr>
          <w:rFonts w:cstheme="minorHAnsi"/>
          <w:sz w:val="24"/>
          <w:szCs w:val="24"/>
        </w:rPr>
        <w:t>.</w:t>
      </w:r>
      <w:r w:rsidR="008C4608" w:rsidRPr="00D53CE0">
        <w:rPr>
          <w:rFonts w:cstheme="minorHAnsi"/>
          <w:sz w:val="24"/>
          <w:szCs w:val="24"/>
        </w:rPr>
        <w:t xml:space="preserve"> K</w:t>
      </w:r>
      <w:r w:rsidR="00C053EE">
        <w:rPr>
          <w:rFonts w:cstheme="minorHAnsi"/>
          <w:sz w:val="24"/>
          <w:szCs w:val="24"/>
        </w:rPr>
        <w:t>e</w:t>
      </w:r>
      <w:r w:rsidR="00D43AA9">
        <w:rPr>
          <w:rFonts w:cstheme="minorHAnsi"/>
          <w:sz w:val="24"/>
          <w:szCs w:val="24"/>
        </w:rPr>
        <w:t xml:space="preserve"> </w:t>
      </w:r>
      <w:r w:rsidR="008C4608" w:rsidRPr="00D53CE0">
        <w:rPr>
          <w:rFonts w:cstheme="minorHAnsi"/>
          <w:sz w:val="24"/>
          <w:szCs w:val="24"/>
        </w:rPr>
        <w:t xml:space="preserve">Strategii </w:t>
      </w:r>
      <w:proofErr w:type="spellStart"/>
      <w:r w:rsidR="008C4608" w:rsidRPr="00D53CE0">
        <w:rPr>
          <w:rFonts w:cstheme="minorHAnsi"/>
          <w:sz w:val="24"/>
          <w:szCs w:val="24"/>
        </w:rPr>
        <w:t>MZe</w:t>
      </w:r>
      <w:proofErr w:type="spellEnd"/>
      <w:r w:rsidR="008C4608" w:rsidRPr="00D53CE0">
        <w:rPr>
          <w:rFonts w:cstheme="minorHAnsi"/>
          <w:sz w:val="24"/>
          <w:szCs w:val="24"/>
        </w:rPr>
        <w:t xml:space="preserve"> 2030 je vypracován </w:t>
      </w:r>
      <w:r w:rsidR="008C4608" w:rsidRPr="0094331E">
        <w:rPr>
          <w:rFonts w:cstheme="minorHAnsi"/>
          <w:i/>
          <w:sz w:val="24"/>
          <w:szCs w:val="24"/>
        </w:rPr>
        <w:t>Implementační plán Strategie resortu Ministerstva zemědělství na období 2017</w:t>
      </w:r>
      <w:r w:rsidR="00F126F3">
        <w:rPr>
          <w:rFonts w:cstheme="minorHAnsi"/>
          <w:i/>
          <w:sz w:val="24"/>
          <w:szCs w:val="24"/>
        </w:rPr>
        <w:t>–</w:t>
      </w:r>
      <w:r w:rsidR="008C4608" w:rsidRPr="0094331E">
        <w:rPr>
          <w:rFonts w:cstheme="minorHAnsi"/>
          <w:i/>
          <w:sz w:val="24"/>
          <w:szCs w:val="24"/>
        </w:rPr>
        <w:t>2020</w:t>
      </w:r>
      <w:r>
        <w:rPr>
          <w:rStyle w:val="Znakapoznpodarou"/>
          <w:rFonts w:cstheme="minorHAnsi"/>
          <w:sz w:val="24"/>
          <w:szCs w:val="24"/>
        </w:rPr>
        <w:footnoteReference w:id="13"/>
      </w:r>
      <w:r w:rsidR="008C4608" w:rsidRPr="00D53CE0">
        <w:rPr>
          <w:rFonts w:cstheme="minorHAnsi"/>
          <w:sz w:val="24"/>
          <w:szCs w:val="24"/>
        </w:rPr>
        <w:t>. Implementační plán propojuje jednotlivá o</w:t>
      </w:r>
      <w:r w:rsidR="00031555">
        <w:rPr>
          <w:rFonts w:cstheme="minorHAnsi"/>
          <w:sz w:val="24"/>
          <w:szCs w:val="24"/>
        </w:rPr>
        <w:t>patření se strategickými cíli a </w:t>
      </w:r>
      <w:r w:rsidR="008C4608" w:rsidRPr="00D53CE0">
        <w:rPr>
          <w:rFonts w:cstheme="minorHAnsi"/>
          <w:sz w:val="24"/>
          <w:szCs w:val="24"/>
        </w:rPr>
        <w:t>konkrétními programy podpor</w:t>
      </w:r>
      <w:r w:rsidR="004F0B22">
        <w:rPr>
          <w:rFonts w:cstheme="minorHAnsi"/>
          <w:sz w:val="24"/>
          <w:szCs w:val="24"/>
        </w:rPr>
        <w:t xml:space="preserve"> realizovanými PGRLF</w:t>
      </w:r>
      <w:r w:rsidR="008C4608" w:rsidRPr="00D53CE0">
        <w:rPr>
          <w:rFonts w:cstheme="minorHAnsi"/>
          <w:sz w:val="24"/>
          <w:szCs w:val="24"/>
        </w:rPr>
        <w:t>.</w:t>
      </w:r>
    </w:p>
    <w:p w14:paraId="3E7C9BE7" w14:textId="77777777" w:rsidR="000C6A18" w:rsidRPr="000C6A18" w:rsidRDefault="000C6A18" w:rsidP="00616BA7">
      <w:pPr>
        <w:pStyle w:val="Odstavecseseznamem"/>
        <w:spacing w:after="0" w:line="240" w:lineRule="auto"/>
        <w:ind w:left="0"/>
        <w:contextualSpacing w:val="0"/>
        <w:jc w:val="both"/>
        <w:rPr>
          <w:sz w:val="24"/>
          <w:szCs w:val="24"/>
        </w:rPr>
      </w:pPr>
    </w:p>
    <w:p w14:paraId="4D75B61F" w14:textId="2930F5EF" w:rsidR="00A86756" w:rsidRDefault="000C6A18" w:rsidP="00903334">
      <w:pPr>
        <w:pStyle w:val="Odstavecseseznamem"/>
        <w:numPr>
          <w:ilvl w:val="0"/>
          <w:numId w:val="4"/>
        </w:numPr>
        <w:tabs>
          <w:tab w:val="left" w:pos="426"/>
        </w:tabs>
        <w:spacing w:after="0" w:line="240" w:lineRule="auto"/>
        <w:ind w:left="0" w:firstLine="0"/>
        <w:contextualSpacing w:val="0"/>
        <w:jc w:val="both"/>
        <w:rPr>
          <w:sz w:val="24"/>
          <w:szCs w:val="24"/>
        </w:rPr>
      </w:pPr>
      <w:proofErr w:type="spellStart"/>
      <w:r w:rsidRPr="00BF190C">
        <w:rPr>
          <w:sz w:val="24"/>
          <w:szCs w:val="24"/>
        </w:rPr>
        <w:t>MZe</w:t>
      </w:r>
      <w:proofErr w:type="spellEnd"/>
      <w:r w:rsidRPr="00BF190C">
        <w:rPr>
          <w:sz w:val="24"/>
          <w:szCs w:val="24"/>
        </w:rPr>
        <w:t xml:space="preserve"> pro období </w:t>
      </w:r>
      <w:r w:rsidR="00C053EE">
        <w:rPr>
          <w:sz w:val="24"/>
          <w:szCs w:val="24"/>
        </w:rPr>
        <w:t xml:space="preserve">let </w:t>
      </w:r>
      <w:r w:rsidR="00031555">
        <w:rPr>
          <w:sz w:val="24"/>
          <w:szCs w:val="24"/>
        </w:rPr>
        <w:t>2014</w:t>
      </w:r>
      <w:r w:rsidR="00031555" w:rsidRPr="0035245E">
        <w:rPr>
          <w:rFonts w:cstheme="minorHAnsi"/>
          <w:sz w:val="24"/>
          <w:szCs w:val="24"/>
        </w:rPr>
        <w:t>–</w:t>
      </w:r>
      <w:r w:rsidRPr="00BF190C">
        <w:rPr>
          <w:sz w:val="24"/>
          <w:szCs w:val="24"/>
        </w:rPr>
        <w:t xml:space="preserve">2018 schválilo strategické a koncepční materiály PGRLF, a to </w:t>
      </w:r>
      <w:r w:rsidR="00422032" w:rsidRPr="0094331E">
        <w:rPr>
          <w:i/>
          <w:sz w:val="24"/>
          <w:szCs w:val="24"/>
        </w:rPr>
        <w:t>Koncepci rozvoje obchodní společnosti Podpůrný a garanční rolnický a lesnický fond, a.s.</w:t>
      </w:r>
      <w:r w:rsidR="00422032">
        <w:rPr>
          <w:sz w:val="24"/>
          <w:szCs w:val="24"/>
        </w:rPr>
        <w:t xml:space="preserve"> </w:t>
      </w:r>
      <w:r w:rsidR="00422032" w:rsidRPr="006829C1">
        <w:rPr>
          <w:i/>
          <w:sz w:val="24"/>
          <w:szCs w:val="24"/>
        </w:rPr>
        <w:t xml:space="preserve">pro </w:t>
      </w:r>
      <w:r w:rsidR="00DD5A51" w:rsidRPr="006829C1">
        <w:rPr>
          <w:i/>
          <w:sz w:val="24"/>
          <w:szCs w:val="24"/>
        </w:rPr>
        <w:t xml:space="preserve">rok 2014 </w:t>
      </w:r>
      <w:r w:rsidR="00DD5A51">
        <w:rPr>
          <w:sz w:val="24"/>
          <w:szCs w:val="24"/>
        </w:rPr>
        <w:t>(dále také</w:t>
      </w:r>
      <w:r w:rsidR="00422032">
        <w:rPr>
          <w:sz w:val="24"/>
          <w:szCs w:val="24"/>
        </w:rPr>
        <w:t xml:space="preserve"> „Koncepce PGRLF 2014“)</w:t>
      </w:r>
      <w:r w:rsidRPr="00BF190C">
        <w:rPr>
          <w:sz w:val="24"/>
          <w:szCs w:val="24"/>
        </w:rPr>
        <w:t xml:space="preserve">, </w:t>
      </w:r>
      <w:r w:rsidR="00422032" w:rsidRPr="0094331E">
        <w:rPr>
          <w:i/>
          <w:sz w:val="24"/>
          <w:szCs w:val="24"/>
        </w:rPr>
        <w:t>Koncepci rozvoje Podpůrného a garančního rolnického a lesnického fondu, a.s. na rok 2015 s výhledem do roku</w:t>
      </w:r>
      <w:r w:rsidR="00DD5A51" w:rsidRPr="0094331E">
        <w:rPr>
          <w:i/>
          <w:sz w:val="24"/>
          <w:szCs w:val="24"/>
        </w:rPr>
        <w:t xml:space="preserve"> 2020</w:t>
      </w:r>
      <w:r w:rsidR="00DD5A51">
        <w:rPr>
          <w:sz w:val="24"/>
          <w:szCs w:val="24"/>
        </w:rPr>
        <w:t xml:space="preserve"> (dále také</w:t>
      </w:r>
      <w:r w:rsidR="00422032">
        <w:rPr>
          <w:sz w:val="24"/>
          <w:szCs w:val="24"/>
        </w:rPr>
        <w:t xml:space="preserve"> „Koncepce PGRLF 2015“)</w:t>
      </w:r>
      <w:r w:rsidRPr="00BF190C">
        <w:rPr>
          <w:sz w:val="24"/>
          <w:szCs w:val="24"/>
        </w:rPr>
        <w:t xml:space="preserve"> a</w:t>
      </w:r>
      <w:r w:rsidR="00422032">
        <w:rPr>
          <w:sz w:val="24"/>
          <w:szCs w:val="24"/>
        </w:rPr>
        <w:t xml:space="preserve"> </w:t>
      </w:r>
      <w:r w:rsidR="00422032" w:rsidRPr="0094331E">
        <w:rPr>
          <w:i/>
          <w:sz w:val="24"/>
          <w:szCs w:val="24"/>
        </w:rPr>
        <w:t>Strategii rozvoje společnosti Podpůrný a garanční rolnický a lesnický fond, a.s. pro roky 2016</w:t>
      </w:r>
      <w:r w:rsidR="00117F85">
        <w:rPr>
          <w:sz w:val="24"/>
          <w:szCs w:val="24"/>
        </w:rPr>
        <w:t>–</w:t>
      </w:r>
      <w:r w:rsidR="00422032" w:rsidRPr="0094331E">
        <w:rPr>
          <w:i/>
          <w:sz w:val="24"/>
          <w:szCs w:val="24"/>
        </w:rPr>
        <w:t>2020</w:t>
      </w:r>
      <w:r w:rsidRPr="00BF190C">
        <w:rPr>
          <w:sz w:val="24"/>
          <w:szCs w:val="24"/>
        </w:rPr>
        <w:t xml:space="preserve"> </w:t>
      </w:r>
      <w:r w:rsidR="00422032">
        <w:rPr>
          <w:sz w:val="24"/>
          <w:szCs w:val="24"/>
        </w:rPr>
        <w:t>(dále</w:t>
      </w:r>
      <w:r w:rsidR="00DD5A51">
        <w:rPr>
          <w:sz w:val="24"/>
          <w:szCs w:val="24"/>
        </w:rPr>
        <w:t xml:space="preserve"> také</w:t>
      </w:r>
      <w:r w:rsidR="00422032">
        <w:rPr>
          <w:sz w:val="24"/>
          <w:szCs w:val="24"/>
        </w:rPr>
        <w:t xml:space="preserve"> </w:t>
      </w:r>
      <w:r w:rsidR="00DD5A51">
        <w:rPr>
          <w:sz w:val="24"/>
          <w:szCs w:val="24"/>
        </w:rPr>
        <w:t>„</w:t>
      </w:r>
      <w:r w:rsidR="00422032">
        <w:rPr>
          <w:sz w:val="24"/>
          <w:szCs w:val="24"/>
        </w:rPr>
        <w:t>Strategie</w:t>
      </w:r>
      <w:r w:rsidR="0015214A">
        <w:rPr>
          <w:sz w:val="24"/>
          <w:szCs w:val="24"/>
        </w:rPr>
        <w:t xml:space="preserve"> PGRLF</w:t>
      </w:r>
      <w:r w:rsidR="00031555">
        <w:rPr>
          <w:sz w:val="24"/>
          <w:szCs w:val="24"/>
        </w:rPr>
        <w:t xml:space="preserve"> 2016</w:t>
      </w:r>
      <w:r w:rsidR="00031555" w:rsidRPr="0035245E">
        <w:rPr>
          <w:rFonts w:cstheme="minorHAnsi"/>
          <w:sz w:val="24"/>
          <w:szCs w:val="24"/>
        </w:rPr>
        <w:t>–</w:t>
      </w:r>
      <w:r w:rsidRPr="00BF190C">
        <w:rPr>
          <w:sz w:val="24"/>
          <w:szCs w:val="24"/>
        </w:rPr>
        <w:t>2020</w:t>
      </w:r>
      <w:r w:rsidR="00DD5A51">
        <w:rPr>
          <w:sz w:val="24"/>
          <w:szCs w:val="24"/>
        </w:rPr>
        <w:t>“)</w:t>
      </w:r>
      <w:r w:rsidRPr="00BF190C">
        <w:rPr>
          <w:sz w:val="24"/>
          <w:szCs w:val="24"/>
        </w:rPr>
        <w:t>. Tyto materiály obsahují jen velmi obecně formulov</w:t>
      </w:r>
      <w:r w:rsidR="00320366">
        <w:rPr>
          <w:sz w:val="24"/>
          <w:szCs w:val="24"/>
        </w:rPr>
        <w:t>ané cíle související s resortními strategiemi</w:t>
      </w:r>
      <w:r>
        <w:rPr>
          <w:rStyle w:val="Znakapoznpodarou"/>
          <w:sz w:val="24"/>
          <w:szCs w:val="24"/>
        </w:rPr>
        <w:footnoteReference w:id="14"/>
      </w:r>
      <w:r w:rsidR="00AE6658">
        <w:rPr>
          <w:sz w:val="24"/>
          <w:szCs w:val="24"/>
        </w:rPr>
        <w:t>. St</w:t>
      </w:r>
      <w:r w:rsidR="00D53CE0">
        <w:rPr>
          <w:sz w:val="24"/>
          <w:szCs w:val="24"/>
        </w:rPr>
        <w:t>anovené cíle nejsou</w:t>
      </w:r>
      <w:r w:rsidR="00D53CE0" w:rsidRPr="00D53CE0">
        <w:rPr>
          <w:sz w:val="24"/>
          <w:szCs w:val="24"/>
          <w:lang w:eastAsia="cs-CZ"/>
        </w:rPr>
        <w:t xml:space="preserve"> </w:t>
      </w:r>
      <w:r w:rsidR="00D53CE0">
        <w:rPr>
          <w:sz w:val="24"/>
          <w:szCs w:val="24"/>
          <w:lang w:eastAsia="cs-CZ"/>
        </w:rPr>
        <w:t>konkrétní, měřitelné, dosažitelné, relevantní a časově vymezené. Žádný z cílů nesplňuje kritéria SMART. Stanove</w:t>
      </w:r>
      <w:r w:rsidR="006703BF">
        <w:rPr>
          <w:sz w:val="24"/>
          <w:szCs w:val="24"/>
          <w:lang w:eastAsia="cs-CZ"/>
        </w:rPr>
        <w:t xml:space="preserve">né cíle navazující na resortní strategie nelze vyhodnocovat. </w:t>
      </w:r>
    </w:p>
    <w:p w14:paraId="37D8AEDC" w14:textId="77777777" w:rsidR="00BF190C" w:rsidRPr="00BF190C" w:rsidRDefault="00BF190C" w:rsidP="00616BA7">
      <w:pPr>
        <w:pStyle w:val="Odstavecseseznamem"/>
        <w:spacing w:after="0" w:line="240" w:lineRule="auto"/>
        <w:ind w:left="0"/>
        <w:contextualSpacing w:val="0"/>
        <w:jc w:val="both"/>
        <w:rPr>
          <w:sz w:val="24"/>
          <w:szCs w:val="24"/>
        </w:rPr>
      </w:pPr>
    </w:p>
    <w:p w14:paraId="0EB90178" w14:textId="6481534C" w:rsidR="001E53BD" w:rsidRPr="00616BA7" w:rsidRDefault="00A86756" w:rsidP="00903334">
      <w:pPr>
        <w:pStyle w:val="Odstavecseseznamem"/>
        <w:keepNext/>
        <w:numPr>
          <w:ilvl w:val="0"/>
          <w:numId w:val="4"/>
        </w:numPr>
        <w:tabs>
          <w:tab w:val="left" w:pos="426"/>
        </w:tabs>
        <w:spacing w:after="0" w:line="240" w:lineRule="auto"/>
        <w:ind w:left="0" w:firstLine="0"/>
        <w:contextualSpacing w:val="0"/>
        <w:jc w:val="both"/>
        <w:rPr>
          <w:sz w:val="24"/>
          <w:szCs w:val="24"/>
        </w:rPr>
      </w:pPr>
      <w:r w:rsidRPr="002D24CD">
        <w:rPr>
          <w:rFonts w:cstheme="minorHAnsi"/>
          <w:sz w:val="24"/>
          <w:szCs w:val="24"/>
        </w:rPr>
        <w:t>Programy podpor realizované PGRLF v letech 2016 až 2018</w:t>
      </w:r>
      <w:r w:rsidR="00CB33A7" w:rsidRPr="002D24CD">
        <w:rPr>
          <w:rFonts w:cstheme="minorHAnsi"/>
          <w:sz w:val="24"/>
          <w:szCs w:val="24"/>
        </w:rPr>
        <w:t xml:space="preserve"> (od roku schválení Strategie </w:t>
      </w:r>
      <w:proofErr w:type="spellStart"/>
      <w:r w:rsidR="00CB33A7" w:rsidRPr="002D24CD">
        <w:rPr>
          <w:rFonts w:cstheme="minorHAnsi"/>
          <w:sz w:val="24"/>
          <w:szCs w:val="24"/>
        </w:rPr>
        <w:t>MZe</w:t>
      </w:r>
      <w:proofErr w:type="spellEnd"/>
      <w:r w:rsidR="00CB33A7" w:rsidRPr="002D24CD">
        <w:rPr>
          <w:rFonts w:cstheme="minorHAnsi"/>
          <w:sz w:val="24"/>
          <w:szCs w:val="24"/>
        </w:rPr>
        <w:t xml:space="preserve"> 2030)</w:t>
      </w:r>
      <w:r w:rsidRPr="002D24CD">
        <w:rPr>
          <w:rFonts w:cstheme="minorHAnsi"/>
          <w:sz w:val="24"/>
          <w:szCs w:val="24"/>
        </w:rPr>
        <w:t xml:space="preserve"> vycházejí ze strategických a dílčích cílů a z opatření, kter</w:t>
      </w:r>
      <w:r w:rsidR="00A60B6C" w:rsidRPr="002D24CD">
        <w:rPr>
          <w:rFonts w:cstheme="minorHAnsi"/>
          <w:sz w:val="24"/>
          <w:szCs w:val="24"/>
        </w:rPr>
        <w:t>á</w:t>
      </w:r>
      <w:r w:rsidRPr="005206AF">
        <w:rPr>
          <w:rFonts w:cstheme="minorHAnsi"/>
          <w:sz w:val="24"/>
          <w:szCs w:val="24"/>
        </w:rPr>
        <w:t xml:space="preserve"> na ně navazují. Cíle stanovené na úrovni jednotlivých programů podpor PGRLF nejsou specifické, měřitelné ani časově vymezené. Žádný z</w:t>
      </w:r>
      <w:r w:rsidR="0003171E" w:rsidRPr="002D24CD">
        <w:rPr>
          <w:rFonts w:cstheme="minorHAnsi"/>
          <w:sz w:val="24"/>
          <w:szCs w:val="24"/>
        </w:rPr>
        <w:t> </w:t>
      </w:r>
      <w:r w:rsidRPr="002D24CD">
        <w:rPr>
          <w:rFonts w:cstheme="minorHAnsi"/>
          <w:sz w:val="24"/>
          <w:szCs w:val="24"/>
        </w:rPr>
        <w:t>cílů</w:t>
      </w:r>
      <w:r w:rsidR="0003171E" w:rsidRPr="002D24CD">
        <w:rPr>
          <w:rFonts w:cstheme="minorHAnsi"/>
          <w:sz w:val="24"/>
          <w:szCs w:val="24"/>
        </w:rPr>
        <w:t xml:space="preserve"> tak</w:t>
      </w:r>
      <w:r w:rsidRPr="002D24CD">
        <w:rPr>
          <w:rFonts w:cstheme="minorHAnsi"/>
          <w:sz w:val="24"/>
          <w:szCs w:val="24"/>
        </w:rPr>
        <w:t xml:space="preserve"> nesplňuje kritéria SMART. Cíle stanovené u jednotlivých programů podpor nespecifikují, čeho přesně mají dosáhnout a v jakém časovém rozmezí. Stanovené cíle, případně účel uvedený u programů, jsou velmi obecné a plnění cílů programů a dosahování účinků a přínosů poskytovaných podpor tak ne</w:t>
      </w:r>
      <w:r w:rsidR="002417EA" w:rsidRPr="002D24CD">
        <w:rPr>
          <w:rFonts w:cstheme="minorHAnsi"/>
          <w:sz w:val="24"/>
          <w:szCs w:val="24"/>
        </w:rPr>
        <w:t>ní možné sledovat a hodnotit.</w:t>
      </w:r>
      <w:r w:rsidR="00361A7F" w:rsidRPr="002D24CD">
        <w:rPr>
          <w:rFonts w:cstheme="minorHAnsi"/>
          <w:sz w:val="24"/>
          <w:szCs w:val="24"/>
        </w:rPr>
        <w:t xml:space="preserve"> </w:t>
      </w:r>
    </w:p>
    <w:p w14:paraId="75F20890" w14:textId="77777777" w:rsidR="00616BA7" w:rsidRPr="00616BA7" w:rsidRDefault="00616BA7" w:rsidP="00616BA7">
      <w:pPr>
        <w:spacing w:after="0" w:line="240" w:lineRule="auto"/>
        <w:rPr>
          <w:rFonts w:ascii="Calibri" w:hAnsi="Calibri" w:cs="Calibri"/>
          <w:sz w:val="24"/>
          <w:szCs w:val="24"/>
        </w:rPr>
      </w:pPr>
    </w:p>
    <w:p w14:paraId="6A7A205F" w14:textId="541B0491" w:rsidR="009E4EFD" w:rsidRPr="00572A09" w:rsidRDefault="00361A7F" w:rsidP="00616BA7">
      <w:pPr>
        <w:pStyle w:val="Odstavecseseznamem"/>
        <w:keepNext/>
        <w:spacing w:after="0" w:line="240" w:lineRule="auto"/>
        <w:ind w:left="0"/>
        <w:contextualSpacing w:val="0"/>
        <w:jc w:val="both"/>
        <w:rPr>
          <w:sz w:val="24"/>
          <w:szCs w:val="24"/>
        </w:rPr>
      </w:pPr>
      <w:r>
        <w:rPr>
          <w:rFonts w:cstheme="minorHAnsi"/>
          <w:sz w:val="24"/>
          <w:szCs w:val="24"/>
        </w:rPr>
        <w:lastRenderedPageBreak/>
        <w:t>Příklady takto obecně nastavených cílů u programů podpory jsou obsaženy v </w:t>
      </w:r>
      <w:r w:rsidR="0015214A">
        <w:rPr>
          <w:rFonts w:cstheme="minorHAnsi"/>
          <w:sz w:val="24"/>
          <w:szCs w:val="24"/>
        </w:rPr>
        <w:t>p</w:t>
      </w:r>
      <w:r>
        <w:rPr>
          <w:rFonts w:cstheme="minorHAnsi"/>
          <w:sz w:val="24"/>
          <w:szCs w:val="24"/>
        </w:rPr>
        <w:t>říkladu č. 1.</w:t>
      </w:r>
    </w:p>
    <w:p w14:paraId="6A38DD29" w14:textId="434A9F6C" w:rsidR="002417EA" w:rsidRPr="0094331E" w:rsidRDefault="002417EA" w:rsidP="00616BA7">
      <w:pPr>
        <w:pStyle w:val="Titulek"/>
        <w:keepNext/>
        <w:spacing w:before="240" w:after="40"/>
        <w:rPr>
          <w:b/>
          <w:iCs w:val="0"/>
          <w:color w:val="000000" w:themeColor="text1"/>
          <w:sz w:val="24"/>
          <w:szCs w:val="24"/>
        </w:rPr>
      </w:pPr>
      <w:r w:rsidRPr="00787F7B">
        <w:rPr>
          <w:b/>
          <w:i w:val="0"/>
          <w:color w:val="000000" w:themeColor="text1"/>
          <w:sz w:val="24"/>
          <w:szCs w:val="24"/>
        </w:rPr>
        <w:t xml:space="preserve">Příklad č. </w:t>
      </w:r>
      <w:r w:rsidRPr="0015214A">
        <w:rPr>
          <w:b/>
          <w:i w:val="0"/>
          <w:color w:val="000000" w:themeColor="text1"/>
          <w:sz w:val="24"/>
          <w:szCs w:val="24"/>
        </w:rPr>
        <w:fldChar w:fldCharType="begin"/>
      </w:r>
      <w:r w:rsidRPr="0015214A">
        <w:rPr>
          <w:b/>
          <w:i w:val="0"/>
          <w:color w:val="000000" w:themeColor="text1"/>
          <w:sz w:val="24"/>
          <w:szCs w:val="24"/>
        </w:rPr>
        <w:instrText xml:space="preserve"> SEQ Příklad \* ARABIC </w:instrText>
      </w:r>
      <w:r w:rsidRPr="0015214A">
        <w:rPr>
          <w:b/>
          <w:i w:val="0"/>
          <w:color w:val="000000" w:themeColor="text1"/>
          <w:sz w:val="24"/>
          <w:szCs w:val="24"/>
        </w:rPr>
        <w:fldChar w:fldCharType="separate"/>
      </w:r>
      <w:r w:rsidR="0018720A">
        <w:rPr>
          <w:b/>
          <w:i w:val="0"/>
          <w:noProof/>
          <w:color w:val="000000" w:themeColor="text1"/>
          <w:sz w:val="24"/>
          <w:szCs w:val="24"/>
        </w:rPr>
        <w:t>1</w:t>
      </w:r>
      <w:r w:rsidRPr="0015214A">
        <w:rPr>
          <w:b/>
          <w:i w:val="0"/>
          <w:color w:val="000000" w:themeColor="text1"/>
          <w:sz w:val="24"/>
          <w:szCs w:val="24"/>
        </w:rPr>
        <w:fldChar w:fldCharType="end"/>
      </w:r>
      <w:r w:rsidR="00797A6C" w:rsidRPr="005C2121">
        <w:rPr>
          <w:b/>
          <w:i w:val="0"/>
          <w:color w:val="000000" w:themeColor="text1"/>
          <w:sz w:val="24"/>
          <w:szCs w:val="24"/>
        </w:rPr>
        <w:t>: Cíle na úrovni</w:t>
      </w:r>
      <w:r w:rsidRPr="005C2121">
        <w:rPr>
          <w:b/>
          <w:i w:val="0"/>
          <w:color w:val="000000" w:themeColor="text1"/>
          <w:sz w:val="24"/>
          <w:szCs w:val="24"/>
        </w:rPr>
        <w:t xml:space="preserve"> jednotlivých programů podpor realizovaných PGRLF</w:t>
      </w:r>
    </w:p>
    <w:tbl>
      <w:tblPr>
        <w:tblStyle w:val="Mkatabulky"/>
        <w:tblW w:w="0" w:type="auto"/>
        <w:tblLook w:val="04A0" w:firstRow="1" w:lastRow="0" w:firstColumn="1" w:lastColumn="0" w:noHBand="0" w:noVBand="1"/>
      </w:tblPr>
      <w:tblGrid>
        <w:gridCol w:w="4531"/>
        <w:gridCol w:w="4531"/>
      </w:tblGrid>
      <w:tr w:rsidR="00377D70" w14:paraId="68576464" w14:textId="77777777" w:rsidTr="005C3B72">
        <w:trPr>
          <w:trHeight w:val="227"/>
        </w:trPr>
        <w:tc>
          <w:tcPr>
            <w:tcW w:w="4531" w:type="dxa"/>
            <w:shd w:val="clear" w:color="auto" w:fill="E5F1FF"/>
            <w:vAlign w:val="center"/>
          </w:tcPr>
          <w:p w14:paraId="22896961" w14:textId="77777777" w:rsidR="00377D70" w:rsidRPr="005C3B72" w:rsidRDefault="00377D70" w:rsidP="00616BA7">
            <w:pPr>
              <w:pStyle w:val="Odstavecseseznamem"/>
              <w:keepNext/>
              <w:ind w:left="0"/>
              <w:contextualSpacing w:val="0"/>
              <w:jc w:val="center"/>
              <w:rPr>
                <w:b/>
                <w:sz w:val="20"/>
                <w:szCs w:val="20"/>
              </w:rPr>
            </w:pPr>
            <w:r w:rsidRPr="005C3B72">
              <w:rPr>
                <w:b/>
                <w:sz w:val="20"/>
                <w:szCs w:val="20"/>
              </w:rPr>
              <w:t>Program podpory</w:t>
            </w:r>
          </w:p>
        </w:tc>
        <w:tc>
          <w:tcPr>
            <w:tcW w:w="4531" w:type="dxa"/>
            <w:shd w:val="clear" w:color="auto" w:fill="E5F1FF"/>
            <w:vAlign w:val="center"/>
          </w:tcPr>
          <w:p w14:paraId="0C9C6EE8" w14:textId="77777777" w:rsidR="00377D70" w:rsidRPr="005C3B72" w:rsidRDefault="00377D70" w:rsidP="00616BA7">
            <w:pPr>
              <w:pStyle w:val="Odstavecseseznamem"/>
              <w:keepNext/>
              <w:ind w:left="0"/>
              <w:contextualSpacing w:val="0"/>
              <w:jc w:val="center"/>
              <w:rPr>
                <w:b/>
                <w:sz w:val="20"/>
                <w:szCs w:val="20"/>
              </w:rPr>
            </w:pPr>
            <w:r w:rsidRPr="005C3B72">
              <w:rPr>
                <w:b/>
                <w:sz w:val="20"/>
                <w:szCs w:val="20"/>
              </w:rPr>
              <w:t>Cíl</w:t>
            </w:r>
          </w:p>
        </w:tc>
      </w:tr>
      <w:tr w:rsidR="00377D70" w14:paraId="2044C70C" w14:textId="77777777" w:rsidTr="005C3B72">
        <w:trPr>
          <w:trHeight w:val="227"/>
        </w:trPr>
        <w:tc>
          <w:tcPr>
            <w:tcW w:w="4531" w:type="dxa"/>
            <w:vAlign w:val="center"/>
          </w:tcPr>
          <w:p w14:paraId="7BB32D50" w14:textId="77777777" w:rsidR="00377D70" w:rsidRPr="008A748E" w:rsidRDefault="008A748E" w:rsidP="00616BA7">
            <w:pPr>
              <w:pStyle w:val="Odstavecseseznamem"/>
              <w:keepNext/>
              <w:ind w:left="0"/>
              <w:contextualSpacing w:val="0"/>
              <w:rPr>
                <w:sz w:val="20"/>
                <w:szCs w:val="20"/>
              </w:rPr>
            </w:pPr>
            <w:r w:rsidRPr="008A748E">
              <w:rPr>
                <w:sz w:val="20"/>
                <w:szCs w:val="20"/>
              </w:rPr>
              <w:t>Program poskytování finanční podpory pojištění produkce lesních školek</w:t>
            </w:r>
          </w:p>
        </w:tc>
        <w:tc>
          <w:tcPr>
            <w:tcW w:w="4531" w:type="dxa"/>
            <w:vAlign w:val="center"/>
          </w:tcPr>
          <w:p w14:paraId="23DE3FDD" w14:textId="77777777" w:rsidR="00377D70" w:rsidRPr="008A748E" w:rsidRDefault="008A748E" w:rsidP="00616BA7">
            <w:pPr>
              <w:pStyle w:val="Odstavecseseznamem"/>
              <w:keepNext/>
              <w:ind w:left="0"/>
              <w:contextualSpacing w:val="0"/>
              <w:jc w:val="both"/>
              <w:rPr>
                <w:sz w:val="20"/>
                <w:szCs w:val="20"/>
              </w:rPr>
            </w:pPr>
            <w:r w:rsidRPr="008A748E">
              <w:rPr>
                <w:sz w:val="20"/>
                <w:szCs w:val="20"/>
              </w:rPr>
              <w:t xml:space="preserve">Zpřístupnění pojistné ochrany sadebního materiálu lesních dřevin pěstovaného v lesních školkách, dosažení větší </w:t>
            </w:r>
            <w:proofErr w:type="spellStart"/>
            <w:r w:rsidRPr="008A748E">
              <w:rPr>
                <w:sz w:val="20"/>
                <w:szCs w:val="20"/>
              </w:rPr>
              <w:t>propojištěnosti</w:t>
            </w:r>
            <w:proofErr w:type="spellEnd"/>
            <w:r w:rsidRPr="008A748E">
              <w:rPr>
                <w:sz w:val="20"/>
                <w:szCs w:val="20"/>
              </w:rPr>
              <w:t>.</w:t>
            </w:r>
          </w:p>
        </w:tc>
      </w:tr>
      <w:tr w:rsidR="00377D70" w14:paraId="6A328CE2" w14:textId="77777777" w:rsidTr="005C3B72">
        <w:trPr>
          <w:trHeight w:val="227"/>
        </w:trPr>
        <w:tc>
          <w:tcPr>
            <w:tcW w:w="4531" w:type="dxa"/>
            <w:vAlign w:val="center"/>
          </w:tcPr>
          <w:p w14:paraId="0994CEF6" w14:textId="77777777" w:rsidR="00377D70" w:rsidRPr="008A748E" w:rsidRDefault="008A748E" w:rsidP="00616BA7">
            <w:pPr>
              <w:pStyle w:val="Odstavecseseznamem"/>
              <w:keepNext/>
              <w:ind w:left="0"/>
              <w:contextualSpacing w:val="0"/>
              <w:rPr>
                <w:sz w:val="20"/>
                <w:szCs w:val="20"/>
              </w:rPr>
            </w:pPr>
            <w:r w:rsidRPr="008A748E">
              <w:rPr>
                <w:sz w:val="20"/>
                <w:szCs w:val="20"/>
              </w:rPr>
              <w:t>Program „Podpora nákupu půdy“</w:t>
            </w:r>
          </w:p>
        </w:tc>
        <w:tc>
          <w:tcPr>
            <w:tcW w:w="4531" w:type="dxa"/>
            <w:vAlign w:val="center"/>
          </w:tcPr>
          <w:p w14:paraId="2CD45E4D" w14:textId="77777777" w:rsidR="00377D70" w:rsidRPr="008A748E" w:rsidRDefault="008A748E" w:rsidP="00616BA7">
            <w:pPr>
              <w:pStyle w:val="Odstavecseseznamem"/>
              <w:keepNext/>
              <w:ind w:left="0"/>
              <w:contextualSpacing w:val="0"/>
              <w:jc w:val="both"/>
              <w:rPr>
                <w:sz w:val="20"/>
                <w:szCs w:val="20"/>
              </w:rPr>
            </w:pPr>
            <w:r w:rsidRPr="008A748E">
              <w:rPr>
                <w:sz w:val="20"/>
                <w:szCs w:val="20"/>
              </w:rPr>
              <w:t>Cílem předkládaného programu podpory je zpřístupnit pořízení zemědělské půdy jako primárního výrobního prostředku zemědělských prvovýrobců.</w:t>
            </w:r>
          </w:p>
        </w:tc>
      </w:tr>
    </w:tbl>
    <w:p w14:paraId="30539CEF" w14:textId="5DA7BE8C" w:rsidR="00A86756" w:rsidRPr="0094331E" w:rsidRDefault="005C2121" w:rsidP="00157D5A">
      <w:pPr>
        <w:pStyle w:val="Odstavecseseznamem"/>
        <w:keepNext/>
        <w:spacing w:before="120" w:after="0" w:line="240" w:lineRule="auto"/>
        <w:ind w:left="0"/>
        <w:contextualSpacing w:val="0"/>
        <w:jc w:val="both"/>
        <w:rPr>
          <w:sz w:val="20"/>
          <w:szCs w:val="20"/>
        </w:rPr>
      </w:pPr>
      <w:r w:rsidRPr="0094331E">
        <w:rPr>
          <w:sz w:val="20"/>
          <w:szCs w:val="20"/>
        </w:rPr>
        <w:t xml:space="preserve">U programů </w:t>
      </w:r>
      <w:r w:rsidRPr="00787F7B">
        <w:rPr>
          <w:i/>
          <w:sz w:val="20"/>
          <w:szCs w:val="20"/>
        </w:rPr>
        <w:t>Finanční podpora pojištění produkce lesních školek</w:t>
      </w:r>
      <w:r w:rsidRPr="0094331E">
        <w:rPr>
          <w:sz w:val="20"/>
          <w:szCs w:val="20"/>
        </w:rPr>
        <w:t xml:space="preserve"> a </w:t>
      </w:r>
      <w:r w:rsidRPr="00787F7B">
        <w:rPr>
          <w:i/>
          <w:sz w:val="20"/>
          <w:szCs w:val="20"/>
        </w:rPr>
        <w:t>Podpora nákupu půdy</w:t>
      </w:r>
      <w:r w:rsidRPr="0094331E">
        <w:rPr>
          <w:sz w:val="20"/>
          <w:szCs w:val="20"/>
        </w:rPr>
        <w:t xml:space="preserve"> byly stanoveny indikátory </w:t>
      </w:r>
      <w:r w:rsidRPr="0094331E">
        <w:rPr>
          <w:i/>
          <w:sz w:val="20"/>
          <w:szCs w:val="20"/>
        </w:rPr>
        <w:t>celkový počet žádostí</w:t>
      </w:r>
      <w:r w:rsidRPr="0094331E">
        <w:rPr>
          <w:sz w:val="20"/>
          <w:szCs w:val="20"/>
        </w:rPr>
        <w:t xml:space="preserve"> a </w:t>
      </w:r>
      <w:r w:rsidRPr="0094331E">
        <w:rPr>
          <w:i/>
          <w:sz w:val="20"/>
          <w:szCs w:val="20"/>
        </w:rPr>
        <w:t>objem poskytnuté podpory</w:t>
      </w:r>
      <w:r w:rsidR="00B35A3C" w:rsidRPr="00B35A3C">
        <w:rPr>
          <w:sz w:val="20"/>
          <w:szCs w:val="20"/>
        </w:rPr>
        <w:t>. Takové ukazatele</w:t>
      </w:r>
      <w:r w:rsidRPr="0094331E">
        <w:rPr>
          <w:sz w:val="20"/>
          <w:szCs w:val="20"/>
        </w:rPr>
        <w:t xml:space="preserve"> nevypovídají o věcném plnění stanovených cílů, kterými jsou větší </w:t>
      </w:r>
      <w:proofErr w:type="spellStart"/>
      <w:r w:rsidRPr="0094331E">
        <w:rPr>
          <w:sz w:val="20"/>
          <w:szCs w:val="20"/>
        </w:rPr>
        <w:t>propojištěnost</w:t>
      </w:r>
      <w:proofErr w:type="spellEnd"/>
      <w:r w:rsidRPr="0094331E">
        <w:rPr>
          <w:sz w:val="20"/>
          <w:szCs w:val="20"/>
        </w:rPr>
        <w:t xml:space="preserve"> a zpřístupnění pořízení zemědělské půdy (tedy jaké zvýšení </w:t>
      </w:r>
      <w:proofErr w:type="spellStart"/>
      <w:r w:rsidRPr="0094331E">
        <w:rPr>
          <w:sz w:val="20"/>
          <w:szCs w:val="20"/>
        </w:rPr>
        <w:t>propojištěnosti</w:t>
      </w:r>
      <w:proofErr w:type="spellEnd"/>
      <w:r w:rsidRPr="0094331E">
        <w:rPr>
          <w:sz w:val="20"/>
          <w:szCs w:val="20"/>
        </w:rPr>
        <w:t xml:space="preserve"> či pořízení zeměděl</w:t>
      </w:r>
      <w:r w:rsidR="00291E46" w:rsidRPr="0094331E">
        <w:rPr>
          <w:sz w:val="20"/>
          <w:szCs w:val="20"/>
        </w:rPr>
        <w:t>ské půdy má být programy podpor</w:t>
      </w:r>
      <w:r w:rsidR="00F963DA">
        <w:rPr>
          <w:sz w:val="20"/>
          <w:szCs w:val="20"/>
        </w:rPr>
        <w:t xml:space="preserve"> poskytovanými</w:t>
      </w:r>
      <w:r w:rsidRPr="0094331E">
        <w:rPr>
          <w:sz w:val="20"/>
          <w:szCs w:val="20"/>
        </w:rPr>
        <w:t xml:space="preserve"> prostřednictvím PGRLF v jakém časovém období dosaženo).</w:t>
      </w:r>
    </w:p>
    <w:p w14:paraId="080B287B" w14:textId="77777777" w:rsidR="00616BA7" w:rsidRPr="00616BA7" w:rsidRDefault="00616BA7" w:rsidP="00616BA7">
      <w:pPr>
        <w:spacing w:after="0" w:line="240" w:lineRule="auto"/>
        <w:rPr>
          <w:rFonts w:ascii="Calibri" w:hAnsi="Calibri" w:cs="Calibri"/>
          <w:sz w:val="24"/>
          <w:szCs w:val="24"/>
        </w:rPr>
      </w:pPr>
    </w:p>
    <w:p w14:paraId="427D44FA" w14:textId="71560CE1" w:rsidR="00DD5A51" w:rsidRPr="00086CFC" w:rsidRDefault="005D6D9E" w:rsidP="00616BA7">
      <w:pPr>
        <w:pStyle w:val="Odstavecseseznamem"/>
        <w:numPr>
          <w:ilvl w:val="0"/>
          <w:numId w:val="4"/>
        </w:numPr>
        <w:tabs>
          <w:tab w:val="left" w:pos="426"/>
        </w:tabs>
        <w:spacing w:after="0" w:line="280" w:lineRule="atLeast"/>
        <w:ind w:left="0" w:firstLine="0"/>
        <w:jc w:val="both"/>
        <w:rPr>
          <w:sz w:val="24"/>
          <w:szCs w:val="24"/>
        </w:rPr>
      </w:pPr>
      <w:r>
        <w:rPr>
          <w:rFonts w:cstheme="minorHAnsi"/>
          <w:sz w:val="24"/>
          <w:szCs w:val="24"/>
        </w:rPr>
        <w:t>U jednotlivých programů podpor sledovalo</w:t>
      </w:r>
      <w:r w:rsidR="00A86756" w:rsidRPr="004A5A8C">
        <w:rPr>
          <w:rFonts w:cstheme="minorHAnsi"/>
          <w:sz w:val="24"/>
          <w:szCs w:val="24"/>
        </w:rPr>
        <w:t xml:space="preserve"> </w:t>
      </w:r>
      <w:proofErr w:type="spellStart"/>
      <w:r w:rsidR="00A86756" w:rsidRPr="004A5A8C">
        <w:rPr>
          <w:rFonts w:cstheme="minorHAnsi"/>
          <w:sz w:val="24"/>
          <w:szCs w:val="24"/>
        </w:rPr>
        <w:t>MZe</w:t>
      </w:r>
      <w:proofErr w:type="spellEnd"/>
      <w:r w:rsidR="00A86756" w:rsidRPr="004A5A8C">
        <w:rPr>
          <w:rFonts w:cstheme="minorHAnsi"/>
          <w:sz w:val="24"/>
          <w:szCs w:val="24"/>
        </w:rPr>
        <w:t xml:space="preserve"> pouze počet schválených žádostí/počet podpořených osob, objem vyplacených finančních prostředků nebo objem poskytnutých úvěrů. Kvůli absenci vhodných ukazatelů a především kvůli nestanovení cílo</w:t>
      </w:r>
      <w:r w:rsidR="00086CFC">
        <w:rPr>
          <w:rFonts w:cstheme="minorHAnsi"/>
          <w:sz w:val="24"/>
          <w:szCs w:val="24"/>
        </w:rPr>
        <w:t>vých hodnot ukazatelů nelze</w:t>
      </w:r>
      <w:r w:rsidR="00A86756" w:rsidRPr="004A5A8C">
        <w:rPr>
          <w:rFonts w:cstheme="minorHAnsi"/>
          <w:sz w:val="24"/>
          <w:szCs w:val="24"/>
        </w:rPr>
        <w:t xml:space="preserve"> </w:t>
      </w:r>
      <w:r w:rsidR="009E4EFD">
        <w:rPr>
          <w:rFonts w:cstheme="minorHAnsi"/>
          <w:sz w:val="24"/>
          <w:szCs w:val="24"/>
        </w:rPr>
        <w:t xml:space="preserve">sledovat a </w:t>
      </w:r>
      <w:r w:rsidR="00A86756" w:rsidRPr="004A5A8C">
        <w:rPr>
          <w:rFonts w:cstheme="minorHAnsi"/>
          <w:sz w:val="24"/>
          <w:szCs w:val="24"/>
        </w:rPr>
        <w:t>vyhodnotit, jak program</w:t>
      </w:r>
      <w:r w:rsidR="00757B71">
        <w:rPr>
          <w:rFonts w:cstheme="minorHAnsi"/>
          <w:sz w:val="24"/>
          <w:szCs w:val="24"/>
        </w:rPr>
        <w:t>y</w:t>
      </w:r>
      <w:r w:rsidR="00A86756" w:rsidRPr="004A5A8C">
        <w:rPr>
          <w:rFonts w:cstheme="minorHAnsi"/>
          <w:sz w:val="24"/>
          <w:szCs w:val="24"/>
        </w:rPr>
        <w:t xml:space="preserve"> </w:t>
      </w:r>
      <w:r w:rsidR="00291E46">
        <w:rPr>
          <w:rFonts w:cstheme="minorHAnsi"/>
          <w:sz w:val="24"/>
          <w:szCs w:val="24"/>
        </w:rPr>
        <w:t xml:space="preserve">podpor </w:t>
      </w:r>
      <w:r w:rsidR="00A86756" w:rsidRPr="004A5A8C">
        <w:rPr>
          <w:rFonts w:cstheme="minorHAnsi"/>
          <w:sz w:val="24"/>
          <w:szCs w:val="24"/>
        </w:rPr>
        <w:t>naplňuj</w:t>
      </w:r>
      <w:r w:rsidR="00757B71">
        <w:rPr>
          <w:rFonts w:cstheme="minorHAnsi"/>
          <w:sz w:val="24"/>
          <w:szCs w:val="24"/>
        </w:rPr>
        <w:t>í</w:t>
      </w:r>
      <w:r w:rsidR="00A86756" w:rsidRPr="004A5A8C">
        <w:rPr>
          <w:rFonts w:cstheme="minorHAnsi"/>
          <w:sz w:val="24"/>
          <w:szCs w:val="24"/>
        </w:rPr>
        <w:t xml:space="preserve"> strategické cíle, jak přispív</w:t>
      </w:r>
      <w:r w:rsidR="00757B71">
        <w:rPr>
          <w:rFonts w:cstheme="minorHAnsi"/>
          <w:sz w:val="24"/>
          <w:szCs w:val="24"/>
        </w:rPr>
        <w:t>ají</w:t>
      </w:r>
      <w:r w:rsidR="00086CFC">
        <w:rPr>
          <w:rFonts w:cstheme="minorHAnsi"/>
          <w:sz w:val="24"/>
          <w:szCs w:val="24"/>
        </w:rPr>
        <w:t xml:space="preserve"> k rozvoji resortu</w:t>
      </w:r>
      <w:r w:rsidR="00DB1460">
        <w:rPr>
          <w:rFonts w:cstheme="minorHAnsi"/>
          <w:sz w:val="24"/>
          <w:szCs w:val="24"/>
        </w:rPr>
        <w:t xml:space="preserve"> zemědělství</w:t>
      </w:r>
      <w:r w:rsidR="00086CFC">
        <w:rPr>
          <w:rFonts w:cstheme="minorHAnsi"/>
          <w:sz w:val="24"/>
          <w:szCs w:val="24"/>
        </w:rPr>
        <w:t xml:space="preserve">, </w:t>
      </w:r>
      <w:r w:rsidR="00A86756" w:rsidRPr="004A5A8C">
        <w:rPr>
          <w:rFonts w:cstheme="minorHAnsi"/>
          <w:sz w:val="24"/>
          <w:szCs w:val="24"/>
        </w:rPr>
        <w:t>jaké m</w:t>
      </w:r>
      <w:r w:rsidR="00757B71">
        <w:rPr>
          <w:rFonts w:cstheme="minorHAnsi"/>
          <w:sz w:val="24"/>
          <w:szCs w:val="24"/>
        </w:rPr>
        <w:t>ají</w:t>
      </w:r>
      <w:r w:rsidR="00A86756" w:rsidRPr="004A5A8C">
        <w:rPr>
          <w:rFonts w:cstheme="minorHAnsi"/>
          <w:sz w:val="24"/>
          <w:szCs w:val="24"/>
        </w:rPr>
        <w:t xml:space="preserve"> účinky a dopady. </w:t>
      </w:r>
      <w:proofErr w:type="spellStart"/>
      <w:r w:rsidR="00BB54A2">
        <w:rPr>
          <w:rFonts w:cstheme="minorHAnsi"/>
          <w:sz w:val="24"/>
          <w:szCs w:val="24"/>
        </w:rPr>
        <w:t>MZe</w:t>
      </w:r>
      <w:proofErr w:type="spellEnd"/>
      <w:r w:rsidR="00BB54A2">
        <w:rPr>
          <w:rFonts w:cstheme="minorHAnsi"/>
          <w:sz w:val="24"/>
          <w:szCs w:val="24"/>
        </w:rPr>
        <w:t xml:space="preserve"> sice nastavilo způsob hodnocení programů podpory, </w:t>
      </w:r>
      <w:r w:rsidR="007677D1">
        <w:rPr>
          <w:rFonts w:cstheme="minorHAnsi"/>
          <w:sz w:val="24"/>
          <w:szCs w:val="24"/>
        </w:rPr>
        <w:t xml:space="preserve">NKÚ </w:t>
      </w:r>
      <w:r w:rsidR="00BB54A2">
        <w:rPr>
          <w:rFonts w:cstheme="minorHAnsi"/>
          <w:sz w:val="24"/>
          <w:szCs w:val="24"/>
        </w:rPr>
        <w:t xml:space="preserve">však </w:t>
      </w:r>
      <w:r w:rsidR="007677D1">
        <w:rPr>
          <w:rFonts w:cstheme="minorHAnsi"/>
          <w:sz w:val="24"/>
          <w:szCs w:val="24"/>
        </w:rPr>
        <w:t xml:space="preserve">považuje takto nastavený způsob vyhodnocování </w:t>
      </w:r>
      <w:r w:rsidR="00813E8E">
        <w:rPr>
          <w:rFonts w:cstheme="minorHAnsi"/>
          <w:sz w:val="24"/>
          <w:szCs w:val="24"/>
        </w:rPr>
        <w:t xml:space="preserve">plnění cílů </w:t>
      </w:r>
      <w:r w:rsidR="00D5377C">
        <w:rPr>
          <w:rFonts w:cstheme="minorHAnsi"/>
          <w:sz w:val="24"/>
          <w:szCs w:val="24"/>
        </w:rPr>
        <w:t>programů podpor za nedostatečný.</w:t>
      </w:r>
    </w:p>
    <w:p w14:paraId="5ACBFFA3" w14:textId="77777777" w:rsidR="00086CFC" w:rsidRDefault="00086CFC" w:rsidP="00086CFC">
      <w:pPr>
        <w:pStyle w:val="Odstavecseseznamem"/>
        <w:spacing w:after="0" w:line="280" w:lineRule="atLeast"/>
        <w:ind w:left="0"/>
        <w:jc w:val="both"/>
        <w:rPr>
          <w:sz w:val="24"/>
          <w:szCs w:val="24"/>
        </w:rPr>
      </w:pPr>
    </w:p>
    <w:p w14:paraId="5F1B01BB" w14:textId="3C6E0F42" w:rsidR="00D00324" w:rsidRPr="00886FB6" w:rsidRDefault="003B0C56" w:rsidP="00903334">
      <w:pPr>
        <w:pStyle w:val="Odstavecseseznamem"/>
        <w:numPr>
          <w:ilvl w:val="0"/>
          <w:numId w:val="31"/>
        </w:numPr>
        <w:spacing w:after="0" w:line="280" w:lineRule="atLeast"/>
        <w:ind w:left="284" w:hanging="284"/>
        <w:jc w:val="both"/>
        <w:rPr>
          <w:b/>
          <w:i/>
          <w:sz w:val="24"/>
          <w:szCs w:val="24"/>
        </w:rPr>
      </w:pPr>
      <w:r w:rsidRPr="00886FB6">
        <w:rPr>
          <w:b/>
          <w:i/>
          <w:color w:val="FF0000"/>
          <w:sz w:val="24"/>
          <w:szCs w:val="24"/>
        </w:rPr>
        <w:t>Poskytování</w:t>
      </w:r>
      <w:r w:rsidR="00D00324" w:rsidRPr="00886FB6">
        <w:rPr>
          <w:b/>
          <w:i/>
          <w:color w:val="FF0000"/>
          <w:sz w:val="24"/>
          <w:szCs w:val="24"/>
        </w:rPr>
        <w:t xml:space="preserve"> dotace </w:t>
      </w:r>
      <w:r w:rsidRPr="00886FB6">
        <w:rPr>
          <w:b/>
          <w:i/>
          <w:color w:val="FF0000"/>
          <w:sz w:val="24"/>
          <w:szCs w:val="24"/>
        </w:rPr>
        <w:t xml:space="preserve">ze strany </w:t>
      </w:r>
      <w:proofErr w:type="spellStart"/>
      <w:r w:rsidR="00D00324" w:rsidRPr="00886FB6">
        <w:rPr>
          <w:b/>
          <w:i/>
          <w:color w:val="FF0000"/>
          <w:sz w:val="24"/>
          <w:szCs w:val="24"/>
        </w:rPr>
        <w:t>MZe</w:t>
      </w:r>
      <w:proofErr w:type="spellEnd"/>
      <w:r w:rsidR="00D00324" w:rsidRPr="00886FB6">
        <w:rPr>
          <w:b/>
          <w:i/>
          <w:color w:val="FF0000"/>
          <w:sz w:val="24"/>
          <w:szCs w:val="24"/>
        </w:rPr>
        <w:t xml:space="preserve"> </w:t>
      </w:r>
      <w:r w:rsidRPr="00886FB6">
        <w:rPr>
          <w:b/>
          <w:i/>
          <w:color w:val="FF0000"/>
          <w:sz w:val="24"/>
          <w:szCs w:val="24"/>
        </w:rPr>
        <w:t xml:space="preserve">probíhalo </w:t>
      </w:r>
      <w:r w:rsidR="00D00324" w:rsidRPr="00886FB6">
        <w:rPr>
          <w:b/>
          <w:i/>
          <w:color w:val="FF0000"/>
          <w:sz w:val="24"/>
          <w:szCs w:val="24"/>
        </w:rPr>
        <w:t>v souladu s</w:t>
      </w:r>
      <w:r w:rsidRPr="00886FB6">
        <w:rPr>
          <w:b/>
          <w:i/>
          <w:color w:val="FF0000"/>
          <w:sz w:val="24"/>
          <w:szCs w:val="24"/>
        </w:rPr>
        <w:t> právními předpisy</w:t>
      </w:r>
      <w:r w:rsidR="0015214A">
        <w:rPr>
          <w:b/>
          <w:i/>
          <w:color w:val="FF0000"/>
          <w:sz w:val="24"/>
          <w:szCs w:val="24"/>
        </w:rPr>
        <w:t>.</w:t>
      </w:r>
    </w:p>
    <w:p w14:paraId="2A1E43E4" w14:textId="77777777" w:rsidR="00D00324" w:rsidRPr="00086CFC" w:rsidRDefault="00D00324" w:rsidP="00903334">
      <w:pPr>
        <w:pStyle w:val="Odstavecseseznamem"/>
        <w:spacing w:after="0" w:line="240" w:lineRule="auto"/>
        <w:ind w:left="0"/>
        <w:contextualSpacing w:val="0"/>
        <w:jc w:val="both"/>
        <w:rPr>
          <w:sz w:val="24"/>
          <w:szCs w:val="24"/>
        </w:rPr>
      </w:pPr>
    </w:p>
    <w:p w14:paraId="661F5D50" w14:textId="3FB9B77C" w:rsidR="003B0C56" w:rsidRDefault="003B0C56" w:rsidP="00903334">
      <w:pPr>
        <w:pStyle w:val="Odstavecseseznamem"/>
        <w:numPr>
          <w:ilvl w:val="0"/>
          <w:numId w:val="4"/>
        </w:numPr>
        <w:tabs>
          <w:tab w:val="left" w:pos="426"/>
        </w:tabs>
        <w:spacing w:after="0" w:line="240" w:lineRule="auto"/>
        <w:ind w:left="0" w:firstLine="0"/>
        <w:contextualSpacing w:val="0"/>
        <w:jc w:val="both"/>
        <w:rPr>
          <w:sz w:val="24"/>
          <w:szCs w:val="24"/>
        </w:rPr>
      </w:pPr>
      <w:r>
        <w:rPr>
          <w:sz w:val="24"/>
          <w:szCs w:val="24"/>
        </w:rPr>
        <w:t>NKÚ kontrolou ověřoval plnění zákonných povinností</w:t>
      </w:r>
      <w:r w:rsidRPr="00CF6654">
        <w:rPr>
          <w:sz w:val="24"/>
          <w:szCs w:val="24"/>
        </w:rPr>
        <w:t xml:space="preserve"> </w:t>
      </w:r>
      <w:proofErr w:type="spellStart"/>
      <w:r w:rsidRPr="00CF6654">
        <w:rPr>
          <w:sz w:val="24"/>
          <w:szCs w:val="24"/>
        </w:rPr>
        <w:t>MZe</w:t>
      </w:r>
      <w:proofErr w:type="spellEnd"/>
      <w:r w:rsidRPr="00CF6654">
        <w:rPr>
          <w:sz w:val="24"/>
          <w:szCs w:val="24"/>
        </w:rPr>
        <w:t xml:space="preserve"> </w:t>
      </w:r>
      <w:r>
        <w:rPr>
          <w:sz w:val="24"/>
          <w:szCs w:val="24"/>
        </w:rPr>
        <w:t xml:space="preserve">v roli poskytovatele dotace ze státního rozpočtu, tedy zda </w:t>
      </w:r>
      <w:proofErr w:type="spellStart"/>
      <w:r>
        <w:rPr>
          <w:sz w:val="24"/>
          <w:szCs w:val="24"/>
        </w:rPr>
        <w:t>MZe</w:t>
      </w:r>
      <w:proofErr w:type="spellEnd"/>
      <w:r>
        <w:rPr>
          <w:sz w:val="24"/>
          <w:szCs w:val="24"/>
        </w:rPr>
        <w:t xml:space="preserve"> </w:t>
      </w:r>
      <w:r w:rsidRPr="00CF6654">
        <w:rPr>
          <w:sz w:val="24"/>
          <w:szCs w:val="24"/>
        </w:rPr>
        <w:t xml:space="preserve">poskytoval dotace PGRLF v souladu </w:t>
      </w:r>
      <w:r w:rsidR="00057E1D">
        <w:rPr>
          <w:rFonts w:cstheme="minorHAnsi"/>
          <w:sz w:val="24"/>
          <w:szCs w:val="24"/>
        </w:rPr>
        <w:t>se zákonem č. </w:t>
      </w:r>
      <w:r w:rsidR="00057E1D" w:rsidRPr="000775DD">
        <w:rPr>
          <w:rFonts w:cstheme="minorHAnsi"/>
          <w:sz w:val="24"/>
          <w:szCs w:val="24"/>
        </w:rPr>
        <w:t>218/2000</w:t>
      </w:r>
      <w:r w:rsidR="00A0721B">
        <w:rPr>
          <w:rFonts w:cstheme="minorHAnsi"/>
          <w:sz w:val="24"/>
          <w:szCs w:val="24"/>
        </w:rPr>
        <w:t> </w:t>
      </w:r>
      <w:r w:rsidR="00057E1D" w:rsidRPr="000775DD">
        <w:rPr>
          <w:rFonts w:cstheme="minorHAnsi"/>
          <w:sz w:val="24"/>
          <w:szCs w:val="24"/>
        </w:rPr>
        <w:t>Sb., o rozpočtových pravidlech a o změně některých souvisejících zákonů</w:t>
      </w:r>
      <w:r w:rsidR="00057E1D">
        <w:rPr>
          <w:rFonts w:cstheme="minorHAnsi"/>
          <w:sz w:val="24"/>
          <w:szCs w:val="24"/>
        </w:rPr>
        <w:t xml:space="preserve"> (rozpočtová pravidla</w:t>
      </w:r>
      <w:r w:rsidR="00057E1D">
        <w:rPr>
          <w:sz w:val="24"/>
          <w:szCs w:val="24"/>
        </w:rPr>
        <w:t>)</w:t>
      </w:r>
      <w:r w:rsidR="00A0721B">
        <w:rPr>
          <w:sz w:val="24"/>
          <w:szCs w:val="24"/>
        </w:rPr>
        <w:t>,</w:t>
      </w:r>
      <w:r w:rsidR="00057E1D">
        <w:rPr>
          <w:sz w:val="24"/>
          <w:szCs w:val="24"/>
        </w:rPr>
        <w:t xml:space="preserve"> </w:t>
      </w:r>
      <w:r w:rsidRPr="00CF6654">
        <w:rPr>
          <w:sz w:val="24"/>
          <w:szCs w:val="24"/>
        </w:rPr>
        <w:t xml:space="preserve">a zákonem </w:t>
      </w:r>
      <w:r w:rsidR="00057E1D">
        <w:rPr>
          <w:sz w:val="24"/>
          <w:szCs w:val="24"/>
        </w:rPr>
        <w:t xml:space="preserve">č. 320/2001 Sb., </w:t>
      </w:r>
      <w:r w:rsidRPr="00CF6654">
        <w:rPr>
          <w:sz w:val="24"/>
          <w:szCs w:val="24"/>
        </w:rPr>
        <w:t>o finanční kontrole</w:t>
      </w:r>
      <w:r w:rsidR="00532CC8">
        <w:rPr>
          <w:sz w:val="24"/>
          <w:szCs w:val="24"/>
        </w:rPr>
        <w:t xml:space="preserve"> ve veřejné správě a </w:t>
      </w:r>
      <w:r w:rsidR="00057E1D">
        <w:rPr>
          <w:sz w:val="24"/>
          <w:szCs w:val="24"/>
        </w:rPr>
        <w:t>o</w:t>
      </w:r>
      <w:r w:rsidR="00532CC8">
        <w:rPr>
          <w:sz w:val="24"/>
          <w:szCs w:val="24"/>
        </w:rPr>
        <w:t> </w:t>
      </w:r>
      <w:r w:rsidR="00057E1D">
        <w:rPr>
          <w:sz w:val="24"/>
          <w:szCs w:val="24"/>
        </w:rPr>
        <w:t>změně některých zákonů</w:t>
      </w:r>
      <w:r w:rsidR="00A0721B">
        <w:rPr>
          <w:sz w:val="24"/>
          <w:szCs w:val="24"/>
        </w:rPr>
        <w:t xml:space="preserve"> (zákon o finanční kontrole)</w:t>
      </w:r>
      <w:r w:rsidRPr="00CF6654">
        <w:rPr>
          <w:sz w:val="24"/>
          <w:szCs w:val="24"/>
        </w:rPr>
        <w:t>. Kontrolou byly ověřeny žádosti o</w:t>
      </w:r>
      <w:r w:rsidR="00532CC8">
        <w:rPr>
          <w:sz w:val="24"/>
          <w:szCs w:val="24"/>
        </w:rPr>
        <w:t> </w:t>
      </w:r>
      <w:r w:rsidRPr="00CF6654">
        <w:rPr>
          <w:sz w:val="24"/>
          <w:szCs w:val="24"/>
        </w:rPr>
        <w:t>dotaci, doklady o provedení kontroly před vznikem závazku, rozhodnutí o dotaci, doklady o</w:t>
      </w:r>
      <w:r w:rsidR="00532CC8">
        <w:rPr>
          <w:sz w:val="24"/>
          <w:szCs w:val="24"/>
        </w:rPr>
        <w:t> </w:t>
      </w:r>
      <w:r w:rsidRPr="00CF6654">
        <w:rPr>
          <w:sz w:val="24"/>
          <w:szCs w:val="24"/>
        </w:rPr>
        <w:t xml:space="preserve">převodu finančních prostředků, doklady o zaúčtování finančních prostředků a finanční vypořádání se státním rozpočtem. </w:t>
      </w:r>
    </w:p>
    <w:p w14:paraId="42233364" w14:textId="77777777" w:rsidR="00AA168C" w:rsidRPr="00AA168C" w:rsidRDefault="00AA168C" w:rsidP="00AA168C">
      <w:pPr>
        <w:tabs>
          <w:tab w:val="left" w:pos="426"/>
        </w:tabs>
        <w:spacing w:after="0" w:line="240" w:lineRule="auto"/>
        <w:jc w:val="both"/>
        <w:rPr>
          <w:sz w:val="24"/>
          <w:szCs w:val="24"/>
        </w:rPr>
      </w:pPr>
    </w:p>
    <w:p w14:paraId="5C4BBDF2" w14:textId="41EE0CA7" w:rsidR="00086CFC" w:rsidRPr="00AA168C" w:rsidRDefault="003B0C56" w:rsidP="00AA168C">
      <w:pPr>
        <w:pStyle w:val="Odstavecseseznamem"/>
        <w:numPr>
          <w:ilvl w:val="0"/>
          <w:numId w:val="4"/>
        </w:numPr>
        <w:tabs>
          <w:tab w:val="left" w:pos="426"/>
        </w:tabs>
        <w:spacing w:after="0" w:line="240" w:lineRule="auto"/>
        <w:ind w:left="0" w:firstLine="0"/>
        <w:contextualSpacing w:val="0"/>
        <w:jc w:val="both"/>
        <w:rPr>
          <w:sz w:val="24"/>
          <w:szCs w:val="24"/>
        </w:rPr>
      </w:pPr>
      <w:r>
        <w:rPr>
          <w:rFonts w:cstheme="minorHAnsi"/>
          <w:bCs/>
          <w:iCs/>
          <w:sz w:val="24"/>
          <w:szCs w:val="24"/>
        </w:rPr>
        <w:t>NKÚ nezjistil v této oblasti nedostatky, ověřované dokumenty splňovaly požadavky právních předpisů.</w:t>
      </w:r>
    </w:p>
    <w:p w14:paraId="64684B31" w14:textId="77777777" w:rsidR="00AA168C" w:rsidRPr="00AA168C" w:rsidRDefault="00AA168C" w:rsidP="00AA168C">
      <w:pPr>
        <w:spacing w:after="0" w:line="240" w:lineRule="auto"/>
        <w:jc w:val="both"/>
        <w:rPr>
          <w:sz w:val="24"/>
          <w:szCs w:val="24"/>
        </w:rPr>
      </w:pPr>
    </w:p>
    <w:p w14:paraId="0282746D" w14:textId="4717B6CB" w:rsidR="00495142" w:rsidRPr="00FF5919" w:rsidRDefault="00D00324" w:rsidP="00AA168C">
      <w:pPr>
        <w:spacing w:after="0" w:line="240" w:lineRule="auto"/>
        <w:ind w:left="284" w:hanging="284"/>
        <w:jc w:val="both"/>
        <w:rPr>
          <w:rFonts w:cstheme="minorHAnsi"/>
          <w:b/>
          <w:i/>
          <w:color w:val="FF0000"/>
          <w:sz w:val="24"/>
          <w:szCs w:val="24"/>
        </w:rPr>
      </w:pPr>
      <w:r w:rsidRPr="00886FB6">
        <w:rPr>
          <w:rFonts w:cstheme="minorHAnsi"/>
          <w:b/>
          <w:i/>
          <w:color w:val="FF0000"/>
          <w:sz w:val="24"/>
          <w:szCs w:val="24"/>
        </w:rPr>
        <w:t>C.</w:t>
      </w:r>
      <w:r w:rsidR="00495142" w:rsidRPr="00903B52">
        <w:rPr>
          <w:b/>
          <w:i/>
          <w:color w:val="FF0000"/>
          <w:sz w:val="24"/>
          <w:szCs w:val="24"/>
        </w:rPr>
        <w:t xml:space="preserve"> </w:t>
      </w:r>
      <w:r w:rsidR="00AA168C">
        <w:rPr>
          <w:b/>
          <w:i/>
          <w:color w:val="FF0000"/>
          <w:sz w:val="24"/>
          <w:szCs w:val="24"/>
        </w:rPr>
        <w:tab/>
      </w:r>
      <w:proofErr w:type="spellStart"/>
      <w:r w:rsidR="00495142">
        <w:rPr>
          <w:b/>
          <w:i/>
          <w:color w:val="FF0000"/>
          <w:sz w:val="24"/>
          <w:szCs w:val="24"/>
        </w:rPr>
        <w:t>MZe</w:t>
      </w:r>
      <w:proofErr w:type="spellEnd"/>
      <w:r w:rsidR="00495142">
        <w:rPr>
          <w:b/>
          <w:i/>
          <w:color w:val="FF0000"/>
          <w:sz w:val="24"/>
          <w:szCs w:val="24"/>
        </w:rPr>
        <w:t xml:space="preserve"> schvalovalo </w:t>
      </w:r>
      <w:r w:rsidR="0094331E">
        <w:rPr>
          <w:b/>
          <w:i/>
          <w:color w:val="FF0000"/>
          <w:sz w:val="24"/>
          <w:szCs w:val="24"/>
        </w:rPr>
        <w:t xml:space="preserve">strategické a plánovací dokumenty </w:t>
      </w:r>
      <w:r w:rsidR="00495142">
        <w:rPr>
          <w:rFonts w:cstheme="minorHAnsi"/>
          <w:b/>
          <w:i/>
          <w:color w:val="FF0000"/>
          <w:sz w:val="24"/>
          <w:szCs w:val="24"/>
        </w:rPr>
        <w:t>se značným zpožděním</w:t>
      </w:r>
      <w:r w:rsidR="0094331E">
        <w:rPr>
          <w:rFonts w:cstheme="minorHAnsi"/>
          <w:b/>
          <w:i/>
          <w:color w:val="FF0000"/>
          <w:sz w:val="24"/>
          <w:szCs w:val="24"/>
        </w:rPr>
        <w:t xml:space="preserve">, </w:t>
      </w:r>
      <w:r w:rsidR="00F06A42">
        <w:rPr>
          <w:rFonts w:cstheme="minorHAnsi"/>
          <w:b/>
          <w:i/>
          <w:color w:val="FF0000"/>
          <w:sz w:val="24"/>
          <w:szCs w:val="24"/>
        </w:rPr>
        <w:t xml:space="preserve">což je nedostatkem </w:t>
      </w:r>
      <w:r w:rsidR="00035A26">
        <w:rPr>
          <w:rFonts w:cstheme="minorHAnsi"/>
          <w:b/>
          <w:i/>
          <w:color w:val="FF0000"/>
          <w:sz w:val="24"/>
          <w:szCs w:val="24"/>
        </w:rPr>
        <w:t>řádného</w:t>
      </w:r>
      <w:r w:rsidR="00495142">
        <w:rPr>
          <w:rFonts w:cstheme="minorHAnsi"/>
          <w:b/>
          <w:i/>
          <w:color w:val="FF0000"/>
          <w:sz w:val="24"/>
          <w:szCs w:val="24"/>
        </w:rPr>
        <w:t xml:space="preserve"> </w:t>
      </w:r>
      <w:r w:rsidR="00F963DA">
        <w:rPr>
          <w:rFonts w:cstheme="minorHAnsi"/>
          <w:b/>
          <w:i/>
          <w:color w:val="FF0000"/>
          <w:sz w:val="24"/>
          <w:szCs w:val="24"/>
        </w:rPr>
        <w:t>výkonu</w:t>
      </w:r>
      <w:r w:rsidR="00291E46">
        <w:rPr>
          <w:rFonts w:cstheme="minorHAnsi"/>
          <w:b/>
          <w:i/>
          <w:color w:val="FF0000"/>
          <w:sz w:val="24"/>
          <w:szCs w:val="24"/>
        </w:rPr>
        <w:t xml:space="preserve"> akcionářských práv</w:t>
      </w:r>
      <w:r w:rsidR="000870D5">
        <w:rPr>
          <w:rFonts w:cstheme="minorHAnsi"/>
          <w:b/>
          <w:i/>
          <w:color w:val="FF0000"/>
          <w:sz w:val="24"/>
          <w:szCs w:val="24"/>
        </w:rPr>
        <w:t>.</w:t>
      </w:r>
      <w:r w:rsidR="00495142">
        <w:rPr>
          <w:sz w:val="24"/>
          <w:szCs w:val="24"/>
        </w:rPr>
        <w:t xml:space="preserve"> </w:t>
      </w:r>
    </w:p>
    <w:p w14:paraId="61B92641" w14:textId="77777777" w:rsidR="00495142" w:rsidRPr="001559C3" w:rsidRDefault="00495142" w:rsidP="00903334">
      <w:pPr>
        <w:pStyle w:val="Odstavecseseznamem"/>
        <w:spacing w:after="0" w:line="240" w:lineRule="auto"/>
        <w:ind w:left="0"/>
        <w:contextualSpacing w:val="0"/>
        <w:jc w:val="both"/>
        <w:rPr>
          <w:sz w:val="24"/>
          <w:szCs w:val="24"/>
        </w:rPr>
      </w:pPr>
    </w:p>
    <w:p w14:paraId="16FD6F59" w14:textId="77D56E6E" w:rsidR="00495142" w:rsidRPr="00FF5919" w:rsidRDefault="00291E46" w:rsidP="00AA168C">
      <w:pPr>
        <w:pStyle w:val="Odstavecseseznamem"/>
        <w:numPr>
          <w:ilvl w:val="0"/>
          <w:numId w:val="4"/>
        </w:numPr>
        <w:tabs>
          <w:tab w:val="left" w:pos="567"/>
        </w:tabs>
        <w:spacing w:after="0" w:line="240" w:lineRule="auto"/>
        <w:ind w:left="0" w:firstLine="0"/>
        <w:contextualSpacing w:val="0"/>
        <w:jc w:val="both"/>
        <w:rPr>
          <w:sz w:val="24"/>
          <w:szCs w:val="24"/>
        </w:rPr>
      </w:pPr>
      <w:r>
        <w:rPr>
          <w:rFonts w:cstheme="minorHAnsi"/>
          <w:sz w:val="24"/>
          <w:szCs w:val="24"/>
        </w:rPr>
        <w:t>NK</w:t>
      </w:r>
      <w:r w:rsidR="006E17F9">
        <w:rPr>
          <w:rFonts w:cstheme="minorHAnsi"/>
          <w:sz w:val="24"/>
          <w:szCs w:val="24"/>
        </w:rPr>
        <w:t>Ú ověřova</w:t>
      </w:r>
      <w:r>
        <w:rPr>
          <w:rFonts w:cstheme="minorHAnsi"/>
          <w:sz w:val="24"/>
          <w:szCs w:val="24"/>
        </w:rPr>
        <w:t xml:space="preserve">l proces schvalování strategických, </w:t>
      </w:r>
      <w:r w:rsidR="006E17F9">
        <w:rPr>
          <w:rFonts w:cstheme="minorHAnsi"/>
          <w:sz w:val="24"/>
          <w:szCs w:val="24"/>
        </w:rPr>
        <w:t>koncepčních a dalších</w:t>
      </w:r>
      <w:r>
        <w:rPr>
          <w:rFonts w:cstheme="minorHAnsi"/>
          <w:sz w:val="24"/>
          <w:szCs w:val="24"/>
        </w:rPr>
        <w:t xml:space="preserve"> dokumentů</w:t>
      </w:r>
      <w:r w:rsidR="006E17F9">
        <w:rPr>
          <w:rFonts w:cstheme="minorHAnsi"/>
          <w:sz w:val="24"/>
          <w:szCs w:val="24"/>
        </w:rPr>
        <w:t>,</w:t>
      </w:r>
      <w:r>
        <w:rPr>
          <w:rFonts w:cstheme="minorHAnsi"/>
          <w:sz w:val="24"/>
          <w:szCs w:val="24"/>
        </w:rPr>
        <w:t xml:space="preserve"> </w:t>
      </w:r>
      <w:r w:rsidR="00495142" w:rsidRPr="00FF5919">
        <w:rPr>
          <w:rFonts w:cstheme="minorHAnsi"/>
          <w:sz w:val="24"/>
          <w:szCs w:val="24"/>
        </w:rPr>
        <w:t xml:space="preserve">zda </w:t>
      </w:r>
      <w:proofErr w:type="spellStart"/>
      <w:r w:rsidR="00495142" w:rsidRPr="00FF5919">
        <w:rPr>
          <w:rFonts w:cstheme="minorHAnsi"/>
          <w:sz w:val="24"/>
          <w:szCs w:val="24"/>
        </w:rPr>
        <w:t>MZe</w:t>
      </w:r>
      <w:proofErr w:type="spellEnd"/>
      <w:r w:rsidR="00495142" w:rsidRPr="00FF5919">
        <w:rPr>
          <w:rFonts w:cstheme="minorHAnsi"/>
          <w:sz w:val="24"/>
          <w:szCs w:val="24"/>
        </w:rPr>
        <w:t xml:space="preserve"> jejich prostřednictvím vykonávalo </w:t>
      </w:r>
      <w:r w:rsidR="005B167A">
        <w:rPr>
          <w:rFonts w:cstheme="minorHAnsi"/>
          <w:sz w:val="24"/>
          <w:szCs w:val="24"/>
        </w:rPr>
        <w:t>řádně</w:t>
      </w:r>
      <w:r w:rsidR="00495142" w:rsidRPr="00FF5919">
        <w:rPr>
          <w:rFonts w:cstheme="minorHAnsi"/>
          <w:sz w:val="24"/>
          <w:szCs w:val="24"/>
        </w:rPr>
        <w:t xml:space="preserve"> práva a povinnosti jediného akcionáře ve vztahu k akciové společnosti PGRLF.</w:t>
      </w:r>
    </w:p>
    <w:p w14:paraId="13A56ABF" w14:textId="77777777" w:rsidR="00A86756" w:rsidRPr="001559C3" w:rsidRDefault="00A86756" w:rsidP="00903334">
      <w:pPr>
        <w:pStyle w:val="Odstavecseseznamem"/>
        <w:spacing w:after="0" w:line="240" w:lineRule="auto"/>
        <w:ind w:left="0"/>
        <w:contextualSpacing w:val="0"/>
        <w:jc w:val="both"/>
        <w:rPr>
          <w:sz w:val="24"/>
          <w:szCs w:val="24"/>
        </w:rPr>
      </w:pPr>
    </w:p>
    <w:p w14:paraId="4BFCEAD1" w14:textId="77777777" w:rsidR="00A86756" w:rsidRPr="00361CEF" w:rsidRDefault="00A86756" w:rsidP="00AA168C">
      <w:pPr>
        <w:pStyle w:val="Odstavecseseznamem"/>
        <w:numPr>
          <w:ilvl w:val="0"/>
          <w:numId w:val="4"/>
        </w:numPr>
        <w:tabs>
          <w:tab w:val="left" w:pos="567"/>
        </w:tabs>
        <w:spacing w:after="0" w:line="240" w:lineRule="auto"/>
        <w:ind w:left="0" w:firstLine="0"/>
        <w:contextualSpacing w:val="0"/>
        <w:jc w:val="both"/>
        <w:rPr>
          <w:sz w:val="24"/>
          <w:szCs w:val="24"/>
        </w:rPr>
      </w:pPr>
      <w:proofErr w:type="spellStart"/>
      <w:r>
        <w:rPr>
          <w:rFonts w:cstheme="minorHAnsi"/>
          <w:sz w:val="24"/>
          <w:szCs w:val="24"/>
        </w:rPr>
        <w:t>MZe</w:t>
      </w:r>
      <w:proofErr w:type="spellEnd"/>
      <w:r>
        <w:rPr>
          <w:rFonts w:cstheme="minorHAnsi"/>
          <w:sz w:val="24"/>
          <w:szCs w:val="24"/>
        </w:rPr>
        <w:t xml:space="preserve"> schvalovalo</w:t>
      </w:r>
      <w:r w:rsidRPr="004A5A8C">
        <w:rPr>
          <w:rFonts w:cstheme="minorHAnsi"/>
          <w:sz w:val="24"/>
          <w:szCs w:val="24"/>
        </w:rPr>
        <w:t xml:space="preserve"> </w:t>
      </w:r>
      <w:r w:rsidR="006E17F9">
        <w:rPr>
          <w:rFonts w:cstheme="minorHAnsi"/>
          <w:sz w:val="24"/>
          <w:szCs w:val="24"/>
        </w:rPr>
        <w:t xml:space="preserve">koncepční a strategické dokumenty </w:t>
      </w:r>
      <w:r w:rsidR="0014290B">
        <w:rPr>
          <w:rFonts w:cstheme="minorHAnsi"/>
          <w:sz w:val="24"/>
          <w:szCs w:val="24"/>
        </w:rPr>
        <w:t>PGRLF</w:t>
      </w:r>
      <w:r w:rsidRPr="004A5A8C">
        <w:rPr>
          <w:rFonts w:cstheme="minorHAnsi"/>
          <w:sz w:val="24"/>
          <w:szCs w:val="24"/>
        </w:rPr>
        <w:t xml:space="preserve"> někdy s velkým zpožděním</w:t>
      </w:r>
      <w:r w:rsidR="001D378D">
        <w:rPr>
          <w:rFonts w:cstheme="minorHAnsi"/>
          <w:sz w:val="24"/>
          <w:szCs w:val="24"/>
        </w:rPr>
        <w:t xml:space="preserve">. </w:t>
      </w:r>
      <w:r w:rsidR="002D540B">
        <w:rPr>
          <w:rFonts w:cstheme="minorHAnsi"/>
          <w:sz w:val="24"/>
          <w:szCs w:val="24"/>
        </w:rPr>
        <w:t xml:space="preserve">Pozdě </w:t>
      </w:r>
      <w:r w:rsidR="001D378D">
        <w:rPr>
          <w:rFonts w:cstheme="minorHAnsi"/>
          <w:sz w:val="24"/>
          <w:szCs w:val="24"/>
        </w:rPr>
        <w:t xml:space="preserve">schvalované dokumenty </w:t>
      </w:r>
      <w:r w:rsidR="00AF1225">
        <w:rPr>
          <w:rFonts w:cstheme="minorHAnsi"/>
          <w:sz w:val="24"/>
          <w:szCs w:val="24"/>
        </w:rPr>
        <w:t xml:space="preserve">nemohly </w:t>
      </w:r>
      <w:r w:rsidR="00FA4242">
        <w:rPr>
          <w:rFonts w:cstheme="minorHAnsi"/>
          <w:sz w:val="24"/>
          <w:szCs w:val="24"/>
        </w:rPr>
        <w:t>sloužit</w:t>
      </w:r>
      <w:r w:rsidR="002D540B">
        <w:rPr>
          <w:rFonts w:cstheme="minorHAnsi"/>
          <w:sz w:val="24"/>
          <w:szCs w:val="24"/>
        </w:rPr>
        <w:t xml:space="preserve"> </w:t>
      </w:r>
      <w:r w:rsidR="00ED2A20">
        <w:rPr>
          <w:rFonts w:cstheme="minorHAnsi"/>
          <w:sz w:val="24"/>
          <w:szCs w:val="24"/>
        </w:rPr>
        <w:t>k efektivnímu</w:t>
      </w:r>
      <w:r w:rsidR="009D30BF">
        <w:rPr>
          <w:rFonts w:cstheme="minorHAnsi"/>
          <w:sz w:val="24"/>
          <w:szCs w:val="24"/>
        </w:rPr>
        <w:t xml:space="preserve"> </w:t>
      </w:r>
      <w:r w:rsidR="00391302">
        <w:rPr>
          <w:rFonts w:cstheme="minorHAnsi"/>
          <w:sz w:val="24"/>
          <w:szCs w:val="24"/>
        </w:rPr>
        <w:t>strategickému</w:t>
      </w:r>
      <w:r w:rsidR="009D30BF">
        <w:rPr>
          <w:rFonts w:cstheme="minorHAnsi"/>
          <w:sz w:val="24"/>
          <w:szCs w:val="24"/>
        </w:rPr>
        <w:t xml:space="preserve"> řízení PGRLF</w:t>
      </w:r>
      <w:r w:rsidR="001D378D">
        <w:rPr>
          <w:rFonts w:cstheme="minorHAnsi"/>
          <w:sz w:val="24"/>
          <w:szCs w:val="24"/>
        </w:rPr>
        <w:t>.</w:t>
      </w:r>
      <w:r w:rsidRPr="004A5A8C">
        <w:rPr>
          <w:rFonts w:cstheme="minorHAnsi"/>
          <w:sz w:val="24"/>
          <w:szCs w:val="24"/>
        </w:rPr>
        <w:t xml:space="preserve"> </w:t>
      </w:r>
      <w:r w:rsidR="001124B9" w:rsidRPr="00E75A19">
        <w:rPr>
          <w:rFonts w:cstheme="minorHAnsi"/>
          <w:sz w:val="24"/>
          <w:szCs w:val="24"/>
        </w:rPr>
        <w:t>Například:</w:t>
      </w:r>
    </w:p>
    <w:p w14:paraId="00F9095D" w14:textId="2F166FA9" w:rsidR="001124B9" w:rsidRPr="001124B9" w:rsidRDefault="001124B9" w:rsidP="00903334">
      <w:pPr>
        <w:pStyle w:val="Odstavecseseznamem"/>
        <w:numPr>
          <w:ilvl w:val="0"/>
          <w:numId w:val="24"/>
        </w:numPr>
        <w:spacing w:after="0" w:line="240" w:lineRule="auto"/>
        <w:ind w:left="284" w:hanging="284"/>
        <w:contextualSpacing w:val="0"/>
        <w:jc w:val="both"/>
        <w:rPr>
          <w:sz w:val="24"/>
          <w:szCs w:val="24"/>
        </w:rPr>
      </w:pPr>
      <w:r w:rsidRPr="001C1E74">
        <w:rPr>
          <w:rFonts w:cstheme="minorHAnsi"/>
          <w:sz w:val="24"/>
          <w:szCs w:val="24"/>
        </w:rPr>
        <w:t xml:space="preserve">Koncepce </w:t>
      </w:r>
      <w:r w:rsidR="0007521D">
        <w:rPr>
          <w:rFonts w:cstheme="minorHAnsi"/>
          <w:sz w:val="24"/>
          <w:szCs w:val="24"/>
        </w:rPr>
        <w:t xml:space="preserve">PGRLF 2015 </w:t>
      </w:r>
      <w:r w:rsidRPr="001C1E74">
        <w:rPr>
          <w:rFonts w:cstheme="minorHAnsi"/>
          <w:sz w:val="24"/>
          <w:szCs w:val="24"/>
        </w:rPr>
        <w:t>byla schválena rozhodnutím jediného akcionáře až 26.</w:t>
      </w:r>
      <w:r w:rsidR="00F87C52">
        <w:rPr>
          <w:rFonts w:cstheme="minorHAnsi"/>
          <w:sz w:val="24"/>
          <w:szCs w:val="24"/>
        </w:rPr>
        <w:t> </w:t>
      </w:r>
      <w:r w:rsidRPr="001C1E74">
        <w:rPr>
          <w:rFonts w:cstheme="minorHAnsi"/>
          <w:sz w:val="24"/>
          <w:szCs w:val="24"/>
        </w:rPr>
        <w:t>10. 2015</w:t>
      </w:r>
      <w:r>
        <w:rPr>
          <w:rFonts w:cstheme="minorHAnsi"/>
          <w:sz w:val="24"/>
          <w:szCs w:val="24"/>
        </w:rPr>
        <w:t>, tj.</w:t>
      </w:r>
      <w:r w:rsidR="00D43AA9">
        <w:rPr>
          <w:rFonts w:cstheme="minorHAnsi"/>
          <w:sz w:val="24"/>
          <w:szCs w:val="24"/>
        </w:rPr>
        <w:t> </w:t>
      </w:r>
      <w:r w:rsidR="001C431A">
        <w:rPr>
          <w:rFonts w:cstheme="minorHAnsi"/>
          <w:sz w:val="24"/>
          <w:szCs w:val="24"/>
        </w:rPr>
        <w:t xml:space="preserve">zhruba </w:t>
      </w:r>
      <w:r>
        <w:rPr>
          <w:rFonts w:cstheme="minorHAnsi"/>
          <w:sz w:val="24"/>
          <w:szCs w:val="24"/>
        </w:rPr>
        <w:t>dva měsíce před koncem roku.</w:t>
      </w:r>
      <w:r w:rsidR="00D758DE">
        <w:rPr>
          <w:rFonts w:cstheme="minorHAnsi"/>
          <w:sz w:val="24"/>
          <w:szCs w:val="24"/>
        </w:rPr>
        <w:t xml:space="preserve"> Koncepce přitom </w:t>
      </w:r>
      <w:r w:rsidR="00B974A2">
        <w:rPr>
          <w:rFonts w:cstheme="minorHAnsi"/>
          <w:sz w:val="24"/>
          <w:szCs w:val="24"/>
        </w:rPr>
        <w:t>stanovuje</w:t>
      </w:r>
      <w:r w:rsidR="00D758DE">
        <w:rPr>
          <w:rFonts w:cstheme="minorHAnsi"/>
          <w:sz w:val="24"/>
          <w:szCs w:val="24"/>
        </w:rPr>
        <w:t xml:space="preserve"> cíle, kterých má být </w:t>
      </w:r>
      <w:r w:rsidR="00D758DE">
        <w:rPr>
          <w:rFonts w:cstheme="minorHAnsi"/>
          <w:sz w:val="24"/>
          <w:szCs w:val="24"/>
        </w:rPr>
        <w:lastRenderedPageBreak/>
        <w:t>v daném roce dosaženo</w:t>
      </w:r>
      <w:r w:rsidR="00991F87">
        <w:rPr>
          <w:rFonts w:cstheme="minorHAnsi"/>
          <w:sz w:val="24"/>
          <w:szCs w:val="24"/>
        </w:rPr>
        <w:t>; jejich schválení až před koncem roku snižuje relevanci takto nastavených cíl</w:t>
      </w:r>
      <w:r w:rsidR="006E17F9">
        <w:rPr>
          <w:rFonts w:cstheme="minorHAnsi"/>
          <w:sz w:val="24"/>
          <w:szCs w:val="24"/>
        </w:rPr>
        <w:t>ů</w:t>
      </w:r>
      <w:r w:rsidR="00991F87">
        <w:rPr>
          <w:rFonts w:cstheme="minorHAnsi"/>
          <w:sz w:val="24"/>
          <w:szCs w:val="24"/>
        </w:rPr>
        <w:t>.</w:t>
      </w:r>
      <w:r w:rsidR="00991F87" w:rsidDel="00991F87">
        <w:rPr>
          <w:rFonts w:cstheme="minorHAnsi"/>
          <w:sz w:val="24"/>
          <w:szCs w:val="24"/>
        </w:rPr>
        <w:t xml:space="preserve"> </w:t>
      </w:r>
      <w:r w:rsidRPr="001C1E74">
        <w:rPr>
          <w:rFonts w:cstheme="minorHAnsi"/>
          <w:sz w:val="24"/>
          <w:szCs w:val="24"/>
        </w:rPr>
        <w:t xml:space="preserve">Vzhledem k tomu, že byla Koncepce PGRLF 2015 schválena koncem října 2015, nemohla být podkladem pro sestavení </w:t>
      </w:r>
      <w:r w:rsidR="0014290B">
        <w:rPr>
          <w:rFonts w:cstheme="minorHAnsi"/>
          <w:sz w:val="24"/>
          <w:szCs w:val="24"/>
        </w:rPr>
        <w:t xml:space="preserve">ročního </w:t>
      </w:r>
      <w:r w:rsidR="006E17F9">
        <w:rPr>
          <w:rFonts w:cstheme="minorHAnsi"/>
          <w:sz w:val="24"/>
          <w:szCs w:val="24"/>
        </w:rPr>
        <w:t>plánu</w:t>
      </w:r>
      <w:r w:rsidRPr="001C1E74">
        <w:rPr>
          <w:rFonts w:cstheme="minorHAnsi"/>
          <w:sz w:val="24"/>
          <w:szCs w:val="24"/>
        </w:rPr>
        <w:t xml:space="preserve"> na rok 2015</w:t>
      </w:r>
      <w:r w:rsidR="00F87C52">
        <w:rPr>
          <w:rFonts w:cstheme="minorHAnsi"/>
          <w:sz w:val="24"/>
          <w:szCs w:val="24"/>
        </w:rPr>
        <w:t>.</w:t>
      </w:r>
    </w:p>
    <w:p w14:paraId="6CE8D753" w14:textId="116AFB00" w:rsidR="001124B9" w:rsidRPr="001124B9" w:rsidRDefault="00E0306A" w:rsidP="00903334">
      <w:pPr>
        <w:pStyle w:val="Odstavecseseznamem"/>
        <w:numPr>
          <w:ilvl w:val="0"/>
          <w:numId w:val="24"/>
        </w:numPr>
        <w:spacing w:after="0" w:line="240" w:lineRule="auto"/>
        <w:ind w:left="284" w:hanging="284"/>
        <w:contextualSpacing w:val="0"/>
        <w:jc w:val="both"/>
        <w:rPr>
          <w:sz w:val="24"/>
          <w:szCs w:val="24"/>
        </w:rPr>
      </w:pPr>
      <w:r>
        <w:rPr>
          <w:rFonts w:cstheme="minorHAnsi"/>
          <w:sz w:val="24"/>
          <w:szCs w:val="24"/>
        </w:rPr>
        <w:t xml:space="preserve">Strategie </w:t>
      </w:r>
      <w:r w:rsidR="0015214A">
        <w:rPr>
          <w:rFonts w:cstheme="minorHAnsi"/>
          <w:sz w:val="24"/>
          <w:szCs w:val="24"/>
        </w:rPr>
        <w:t xml:space="preserve">PGRLF </w:t>
      </w:r>
      <w:r>
        <w:rPr>
          <w:rFonts w:cstheme="minorHAnsi"/>
          <w:sz w:val="24"/>
          <w:szCs w:val="24"/>
        </w:rPr>
        <w:t>2016</w:t>
      </w:r>
      <w:r w:rsidRPr="0035245E">
        <w:rPr>
          <w:rFonts w:cstheme="minorHAnsi"/>
          <w:sz w:val="24"/>
          <w:szCs w:val="24"/>
        </w:rPr>
        <w:t>–</w:t>
      </w:r>
      <w:r w:rsidR="001124B9" w:rsidRPr="00801D5F">
        <w:rPr>
          <w:rFonts w:cstheme="minorHAnsi"/>
          <w:sz w:val="24"/>
          <w:szCs w:val="24"/>
        </w:rPr>
        <w:t>2020</w:t>
      </w:r>
      <w:r w:rsidR="00AF1225">
        <w:rPr>
          <w:rFonts w:cstheme="minorHAnsi"/>
          <w:sz w:val="24"/>
          <w:szCs w:val="24"/>
        </w:rPr>
        <w:t xml:space="preserve"> byla schválena rozhodnutím jediného akcionáře 26. 5. 2016</w:t>
      </w:r>
      <w:r w:rsidR="001124B9" w:rsidRPr="00801D5F">
        <w:rPr>
          <w:rFonts w:cstheme="minorHAnsi"/>
          <w:sz w:val="24"/>
          <w:szCs w:val="24"/>
        </w:rPr>
        <w:t>, téměř</w:t>
      </w:r>
      <w:r w:rsidR="00991F87">
        <w:rPr>
          <w:rFonts w:cstheme="minorHAnsi"/>
          <w:sz w:val="24"/>
          <w:szCs w:val="24"/>
        </w:rPr>
        <w:t xml:space="preserve"> </w:t>
      </w:r>
      <w:r w:rsidR="001124B9" w:rsidRPr="00801D5F">
        <w:rPr>
          <w:rFonts w:cstheme="minorHAnsi"/>
          <w:sz w:val="24"/>
          <w:szCs w:val="24"/>
        </w:rPr>
        <w:t>šest měsíců po termínu stanoveném v</w:t>
      </w:r>
      <w:r w:rsidR="00F87C52">
        <w:rPr>
          <w:rFonts w:cstheme="minorHAnsi"/>
          <w:sz w:val="24"/>
          <w:szCs w:val="24"/>
        </w:rPr>
        <w:t> </w:t>
      </w:r>
      <w:r w:rsidR="001124B9" w:rsidRPr="00801D5F">
        <w:rPr>
          <w:rFonts w:cstheme="minorHAnsi"/>
          <w:sz w:val="24"/>
          <w:szCs w:val="24"/>
        </w:rPr>
        <w:t>příkazu ministra zemědělství</w:t>
      </w:r>
      <w:r w:rsidR="001124B9">
        <w:rPr>
          <w:rStyle w:val="Znakapoznpodarou"/>
          <w:rFonts w:cstheme="minorHAnsi"/>
          <w:sz w:val="24"/>
          <w:szCs w:val="24"/>
        </w:rPr>
        <w:footnoteReference w:id="15"/>
      </w:r>
      <w:r w:rsidR="001124B9" w:rsidRPr="00801D5F">
        <w:rPr>
          <w:rFonts w:cstheme="minorHAnsi"/>
          <w:sz w:val="24"/>
          <w:szCs w:val="24"/>
        </w:rPr>
        <w:t xml:space="preserve">. </w:t>
      </w:r>
    </w:p>
    <w:p w14:paraId="3B99813E" w14:textId="77777777" w:rsidR="00A86756" w:rsidRPr="00801D5F" w:rsidRDefault="00A86756" w:rsidP="00903334">
      <w:pPr>
        <w:pStyle w:val="Odstavecseseznamem"/>
        <w:spacing w:after="0" w:line="240" w:lineRule="auto"/>
        <w:ind w:left="0"/>
        <w:contextualSpacing w:val="0"/>
        <w:jc w:val="both"/>
        <w:rPr>
          <w:sz w:val="24"/>
          <w:szCs w:val="24"/>
        </w:rPr>
      </w:pPr>
    </w:p>
    <w:p w14:paraId="0AFFF0BB" w14:textId="6ADBA95E" w:rsidR="00A86756" w:rsidRPr="00801D5F" w:rsidRDefault="00991F87" w:rsidP="00AA168C">
      <w:pPr>
        <w:pStyle w:val="Odstavecseseznamem"/>
        <w:numPr>
          <w:ilvl w:val="0"/>
          <w:numId w:val="4"/>
        </w:numPr>
        <w:tabs>
          <w:tab w:val="left" w:pos="567"/>
        </w:tabs>
        <w:spacing w:after="0" w:line="240" w:lineRule="auto"/>
        <w:ind w:left="0" w:firstLine="0"/>
        <w:contextualSpacing w:val="0"/>
        <w:jc w:val="both"/>
        <w:rPr>
          <w:sz w:val="24"/>
          <w:szCs w:val="24"/>
        </w:rPr>
      </w:pPr>
      <w:r>
        <w:rPr>
          <w:rFonts w:cstheme="minorHAnsi"/>
          <w:sz w:val="24"/>
          <w:szCs w:val="24"/>
        </w:rPr>
        <w:t xml:space="preserve">Obdobné nedostatky shledal NKÚ i v případě </w:t>
      </w:r>
      <w:r w:rsidRPr="00801D5F">
        <w:rPr>
          <w:rFonts w:cstheme="minorHAnsi"/>
          <w:sz w:val="24"/>
          <w:szCs w:val="24"/>
        </w:rPr>
        <w:t>roční</w:t>
      </w:r>
      <w:r>
        <w:rPr>
          <w:rFonts w:cstheme="minorHAnsi"/>
          <w:sz w:val="24"/>
          <w:szCs w:val="24"/>
        </w:rPr>
        <w:t>ch</w:t>
      </w:r>
      <w:r w:rsidRPr="00801D5F">
        <w:rPr>
          <w:rFonts w:cstheme="minorHAnsi"/>
          <w:sz w:val="24"/>
          <w:szCs w:val="24"/>
        </w:rPr>
        <w:t xml:space="preserve"> plán</w:t>
      </w:r>
      <w:r>
        <w:rPr>
          <w:rFonts w:cstheme="minorHAnsi"/>
          <w:sz w:val="24"/>
          <w:szCs w:val="24"/>
        </w:rPr>
        <w:t>ů PGRLF, které mají</w:t>
      </w:r>
      <w:r w:rsidRPr="00801D5F">
        <w:rPr>
          <w:rFonts w:cstheme="minorHAnsi"/>
          <w:sz w:val="24"/>
          <w:szCs w:val="24"/>
        </w:rPr>
        <w:t xml:space="preserve"> být sestavován</w:t>
      </w:r>
      <w:r>
        <w:rPr>
          <w:rFonts w:cstheme="minorHAnsi"/>
          <w:sz w:val="24"/>
          <w:szCs w:val="24"/>
        </w:rPr>
        <w:t>y</w:t>
      </w:r>
      <w:r w:rsidRPr="00801D5F">
        <w:rPr>
          <w:rFonts w:cstheme="minorHAnsi"/>
          <w:sz w:val="24"/>
          <w:szCs w:val="24"/>
        </w:rPr>
        <w:t xml:space="preserve"> na každé následující účetní období</w:t>
      </w:r>
      <w:r>
        <w:rPr>
          <w:rFonts w:cstheme="minorHAnsi"/>
          <w:sz w:val="24"/>
          <w:szCs w:val="24"/>
        </w:rPr>
        <w:t xml:space="preserve"> a které mají</w:t>
      </w:r>
      <w:r w:rsidRPr="00801D5F">
        <w:rPr>
          <w:rFonts w:cstheme="minorHAnsi"/>
          <w:sz w:val="24"/>
          <w:szCs w:val="24"/>
        </w:rPr>
        <w:t xml:space="preserve"> </w:t>
      </w:r>
      <w:r w:rsidR="00A86756" w:rsidRPr="00801D5F">
        <w:rPr>
          <w:rFonts w:cstheme="minorHAnsi"/>
          <w:sz w:val="24"/>
          <w:szCs w:val="24"/>
        </w:rPr>
        <w:t>navazovat</w:t>
      </w:r>
      <w:r>
        <w:rPr>
          <w:rFonts w:cstheme="minorHAnsi"/>
          <w:sz w:val="24"/>
          <w:szCs w:val="24"/>
        </w:rPr>
        <w:t xml:space="preserve"> n</w:t>
      </w:r>
      <w:r w:rsidRPr="00801D5F">
        <w:rPr>
          <w:rFonts w:cstheme="minorHAnsi"/>
          <w:sz w:val="24"/>
          <w:szCs w:val="24"/>
        </w:rPr>
        <w:t>a platnou strategii rozvoje společnosti</w:t>
      </w:r>
      <w:r w:rsidR="000E6C43">
        <w:rPr>
          <w:rStyle w:val="Znakapoznpodarou"/>
          <w:rFonts w:cstheme="minorHAnsi"/>
          <w:sz w:val="24"/>
          <w:szCs w:val="24"/>
        </w:rPr>
        <w:footnoteReference w:id="16"/>
      </w:r>
      <w:r w:rsidR="00A86756" w:rsidRPr="00801D5F">
        <w:rPr>
          <w:rFonts w:cstheme="minorHAnsi"/>
          <w:sz w:val="24"/>
          <w:szCs w:val="24"/>
        </w:rPr>
        <w:t>. Pouze v jednom roce kontrolovaného období,</w:t>
      </w:r>
      <w:r w:rsidR="00B974A2">
        <w:rPr>
          <w:rFonts w:cstheme="minorHAnsi"/>
          <w:sz w:val="24"/>
          <w:szCs w:val="24"/>
        </w:rPr>
        <w:t xml:space="preserve"> a to</w:t>
      </w:r>
      <w:r w:rsidR="00A86756" w:rsidRPr="00801D5F">
        <w:rPr>
          <w:rFonts w:cstheme="minorHAnsi"/>
          <w:sz w:val="24"/>
          <w:szCs w:val="24"/>
        </w:rPr>
        <w:t xml:space="preserve"> v roce 2014, </w:t>
      </w:r>
      <w:proofErr w:type="spellStart"/>
      <w:r w:rsidR="00A86756" w:rsidRPr="00801D5F">
        <w:rPr>
          <w:rFonts w:cstheme="minorHAnsi"/>
          <w:sz w:val="24"/>
          <w:szCs w:val="24"/>
        </w:rPr>
        <w:t>MZe</w:t>
      </w:r>
      <w:proofErr w:type="spellEnd"/>
      <w:r w:rsidR="00A86756" w:rsidRPr="00801D5F">
        <w:rPr>
          <w:rFonts w:cstheme="minorHAnsi"/>
          <w:sz w:val="24"/>
          <w:szCs w:val="24"/>
        </w:rPr>
        <w:t xml:space="preserve"> schválilo roční plán ve st</w:t>
      </w:r>
      <w:r w:rsidR="00E0306A">
        <w:rPr>
          <w:rFonts w:cstheme="minorHAnsi"/>
          <w:sz w:val="24"/>
          <w:szCs w:val="24"/>
        </w:rPr>
        <w:t>anoveném termínu. V letech 2015</w:t>
      </w:r>
      <w:r w:rsidR="00E0306A" w:rsidRPr="0035245E">
        <w:rPr>
          <w:rFonts w:cstheme="minorHAnsi"/>
          <w:sz w:val="24"/>
          <w:szCs w:val="24"/>
        </w:rPr>
        <w:t>–</w:t>
      </w:r>
      <w:r w:rsidR="00A86756" w:rsidRPr="00801D5F">
        <w:rPr>
          <w:rFonts w:cstheme="minorHAnsi"/>
          <w:sz w:val="24"/>
          <w:szCs w:val="24"/>
        </w:rPr>
        <w:t>201</w:t>
      </w:r>
      <w:r w:rsidR="00F102F4">
        <w:rPr>
          <w:rFonts w:cstheme="minorHAnsi"/>
          <w:sz w:val="24"/>
          <w:szCs w:val="24"/>
        </w:rPr>
        <w:t>7</w:t>
      </w:r>
      <w:r w:rsidR="00A86756" w:rsidRPr="00801D5F">
        <w:rPr>
          <w:rFonts w:cstheme="minorHAnsi"/>
          <w:sz w:val="24"/>
          <w:szCs w:val="24"/>
        </w:rPr>
        <w:t xml:space="preserve"> </w:t>
      </w:r>
      <w:proofErr w:type="spellStart"/>
      <w:r w:rsidR="00A86756" w:rsidRPr="00801D5F">
        <w:rPr>
          <w:rFonts w:cstheme="minorHAnsi"/>
          <w:sz w:val="24"/>
          <w:szCs w:val="24"/>
        </w:rPr>
        <w:t>MZe</w:t>
      </w:r>
      <w:proofErr w:type="spellEnd"/>
      <w:r w:rsidR="00A86756" w:rsidRPr="00801D5F">
        <w:rPr>
          <w:rFonts w:cstheme="minorHAnsi"/>
          <w:sz w:val="24"/>
          <w:szCs w:val="24"/>
        </w:rPr>
        <w:t xml:space="preserve"> neschválilo roční plány ve stanovených termínech, jednalo se o zpoždění </w:t>
      </w:r>
      <w:r w:rsidR="00F102F4">
        <w:rPr>
          <w:rFonts w:cstheme="minorHAnsi"/>
          <w:sz w:val="24"/>
          <w:szCs w:val="24"/>
        </w:rPr>
        <w:t xml:space="preserve">3 až </w:t>
      </w:r>
      <w:r w:rsidR="00A86756" w:rsidRPr="00801D5F">
        <w:rPr>
          <w:rFonts w:cstheme="minorHAnsi"/>
          <w:sz w:val="24"/>
          <w:szCs w:val="24"/>
        </w:rPr>
        <w:t>7 měsíců.</w:t>
      </w:r>
      <w:r w:rsidR="00A86756" w:rsidRPr="00801D5F">
        <w:rPr>
          <w:rFonts w:cstheme="minorHAnsi"/>
          <w:i/>
          <w:sz w:val="24"/>
          <w:szCs w:val="24"/>
        </w:rPr>
        <w:t xml:space="preserve"> </w:t>
      </w:r>
      <w:r w:rsidR="00F102F4" w:rsidRPr="0094331E">
        <w:rPr>
          <w:rFonts w:cstheme="minorHAnsi"/>
          <w:sz w:val="24"/>
          <w:szCs w:val="24"/>
        </w:rPr>
        <w:t xml:space="preserve">V roce 2018 šlo o zpoždění </w:t>
      </w:r>
      <w:r w:rsidR="00441363">
        <w:rPr>
          <w:rFonts w:cstheme="minorHAnsi"/>
          <w:sz w:val="24"/>
          <w:szCs w:val="24"/>
        </w:rPr>
        <w:t xml:space="preserve">jen </w:t>
      </w:r>
      <w:r w:rsidR="00F102F4" w:rsidRPr="0094331E">
        <w:rPr>
          <w:rFonts w:cstheme="minorHAnsi"/>
          <w:sz w:val="24"/>
          <w:szCs w:val="24"/>
        </w:rPr>
        <w:t>14 dnů</w:t>
      </w:r>
      <w:r w:rsidR="00F102F4">
        <w:rPr>
          <w:rFonts w:cstheme="minorHAnsi"/>
          <w:sz w:val="24"/>
          <w:szCs w:val="24"/>
        </w:rPr>
        <w:t xml:space="preserve">. </w:t>
      </w:r>
    </w:p>
    <w:p w14:paraId="17C2FB2C" w14:textId="77777777" w:rsidR="00A86756" w:rsidRDefault="00A86756" w:rsidP="00903334">
      <w:pPr>
        <w:pStyle w:val="Odstavecseseznamem"/>
        <w:spacing w:after="0" w:line="240" w:lineRule="auto"/>
        <w:ind w:left="0"/>
        <w:contextualSpacing w:val="0"/>
        <w:jc w:val="both"/>
        <w:rPr>
          <w:sz w:val="24"/>
          <w:szCs w:val="24"/>
        </w:rPr>
      </w:pPr>
    </w:p>
    <w:p w14:paraId="2E2A742B" w14:textId="64318BBD" w:rsidR="00B727C1" w:rsidRPr="00A5007A" w:rsidRDefault="00A86756" w:rsidP="00AA168C">
      <w:pPr>
        <w:pStyle w:val="Odstavecseseznamem"/>
        <w:numPr>
          <w:ilvl w:val="0"/>
          <w:numId w:val="4"/>
        </w:numPr>
        <w:tabs>
          <w:tab w:val="left" w:pos="567"/>
        </w:tabs>
        <w:spacing w:after="0" w:line="240" w:lineRule="auto"/>
        <w:ind w:left="0" w:firstLine="0"/>
        <w:contextualSpacing w:val="0"/>
        <w:jc w:val="both"/>
        <w:rPr>
          <w:sz w:val="24"/>
          <w:szCs w:val="24"/>
        </w:rPr>
      </w:pPr>
      <w:r w:rsidRPr="00B727C1">
        <w:rPr>
          <w:rFonts w:cstheme="minorHAnsi"/>
          <w:sz w:val="24"/>
          <w:szCs w:val="24"/>
        </w:rPr>
        <w:t>Stanovení odměn za výkon funkcí v</w:t>
      </w:r>
      <w:r w:rsidR="00A97F6B" w:rsidRPr="00B727C1">
        <w:rPr>
          <w:rFonts w:cstheme="minorHAnsi"/>
          <w:sz w:val="24"/>
          <w:szCs w:val="24"/>
        </w:rPr>
        <w:t> </w:t>
      </w:r>
      <w:r w:rsidRPr="00B727C1">
        <w:rPr>
          <w:rFonts w:cstheme="minorHAnsi"/>
          <w:sz w:val="24"/>
          <w:szCs w:val="24"/>
        </w:rPr>
        <w:t>představenstvu</w:t>
      </w:r>
      <w:r w:rsidR="00A97F6B" w:rsidRPr="00B727C1">
        <w:rPr>
          <w:rFonts w:cstheme="minorHAnsi"/>
          <w:sz w:val="24"/>
          <w:szCs w:val="24"/>
        </w:rPr>
        <w:t xml:space="preserve"> PGRLF</w:t>
      </w:r>
      <w:r w:rsidRPr="00B727C1">
        <w:rPr>
          <w:rFonts w:cstheme="minorHAnsi"/>
          <w:sz w:val="24"/>
          <w:szCs w:val="24"/>
        </w:rPr>
        <w:t xml:space="preserve"> má vycházet z plnění hodnot</w:t>
      </w:r>
      <w:r w:rsidR="00A0721B">
        <w:rPr>
          <w:rFonts w:cstheme="minorHAnsi"/>
          <w:sz w:val="24"/>
          <w:szCs w:val="24"/>
        </w:rPr>
        <w:t>i</w:t>
      </w:r>
      <w:r w:rsidRPr="00B727C1">
        <w:rPr>
          <w:rFonts w:cstheme="minorHAnsi"/>
          <w:sz w:val="24"/>
          <w:szCs w:val="24"/>
        </w:rPr>
        <w:t>cích ukazatelů stanovených</w:t>
      </w:r>
      <w:r w:rsidR="00FA4242" w:rsidRPr="00B727C1">
        <w:rPr>
          <w:rFonts w:cstheme="minorHAnsi"/>
          <w:sz w:val="24"/>
          <w:szCs w:val="24"/>
        </w:rPr>
        <w:t xml:space="preserve"> </w:t>
      </w:r>
      <w:r w:rsidR="001C6B5E" w:rsidRPr="00B727C1">
        <w:rPr>
          <w:rFonts w:cstheme="minorHAnsi"/>
          <w:sz w:val="24"/>
          <w:szCs w:val="24"/>
        </w:rPr>
        <w:t>v</w:t>
      </w:r>
      <w:r w:rsidR="00FA4242" w:rsidRPr="00B727C1">
        <w:rPr>
          <w:rFonts w:cstheme="minorHAnsi"/>
          <w:sz w:val="24"/>
          <w:szCs w:val="24"/>
        </w:rPr>
        <w:t xml:space="preserve"> ro</w:t>
      </w:r>
      <w:r w:rsidR="00496168" w:rsidRPr="00B727C1">
        <w:rPr>
          <w:rFonts w:cstheme="minorHAnsi"/>
          <w:sz w:val="24"/>
          <w:szCs w:val="24"/>
        </w:rPr>
        <w:t>zhodnutí jediného akcionáře obchodní společnosti</w:t>
      </w:r>
      <w:r w:rsidRPr="00B727C1">
        <w:rPr>
          <w:rFonts w:cstheme="minorHAnsi"/>
          <w:sz w:val="24"/>
          <w:szCs w:val="24"/>
        </w:rPr>
        <w:t>, je</w:t>
      </w:r>
      <w:r w:rsidR="00FA4242" w:rsidRPr="00B727C1">
        <w:rPr>
          <w:rFonts w:cstheme="minorHAnsi"/>
          <w:sz w:val="24"/>
          <w:szCs w:val="24"/>
        </w:rPr>
        <w:t>hož</w:t>
      </w:r>
      <w:r w:rsidRPr="00B727C1">
        <w:rPr>
          <w:rFonts w:cstheme="minorHAnsi"/>
          <w:sz w:val="24"/>
          <w:szCs w:val="24"/>
        </w:rPr>
        <w:t xml:space="preserve"> funkci vykonává </w:t>
      </w:r>
      <w:proofErr w:type="spellStart"/>
      <w:r w:rsidRPr="00B727C1">
        <w:rPr>
          <w:rFonts w:cstheme="minorHAnsi"/>
          <w:sz w:val="24"/>
          <w:szCs w:val="24"/>
        </w:rPr>
        <w:t>MZe</w:t>
      </w:r>
      <w:proofErr w:type="spellEnd"/>
      <w:r w:rsidRPr="00B727C1">
        <w:rPr>
          <w:rFonts w:cstheme="minorHAnsi"/>
          <w:sz w:val="24"/>
          <w:szCs w:val="24"/>
        </w:rPr>
        <w:t xml:space="preserve">. </w:t>
      </w:r>
      <w:r w:rsidR="0009372E" w:rsidRPr="00B727C1">
        <w:rPr>
          <w:rFonts w:cstheme="minorHAnsi"/>
          <w:sz w:val="24"/>
          <w:szCs w:val="24"/>
        </w:rPr>
        <w:t xml:space="preserve">To ale </w:t>
      </w:r>
      <w:r w:rsidR="00E73E02" w:rsidRPr="00B727C1">
        <w:rPr>
          <w:rFonts w:cstheme="minorHAnsi"/>
          <w:sz w:val="24"/>
          <w:szCs w:val="24"/>
        </w:rPr>
        <w:t>schval</w:t>
      </w:r>
      <w:r w:rsidRPr="00B727C1">
        <w:rPr>
          <w:rFonts w:cstheme="minorHAnsi"/>
          <w:sz w:val="24"/>
          <w:szCs w:val="24"/>
        </w:rPr>
        <w:t>ovalo hodnot</w:t>
      </w:r>
      <w:r w:rsidR="00A0721B">
        <w:rPr>
          <w:rFonts w:cstheme="minorHAnsi"/>
          <w:sz w:val="24"/>
          <w:szCs w:val="24"/>
        </w:rPr>
        <w:t>i</w:t>
      </w:r>
      <w:r w:rsidRPr="00B727C1">
        <w:rPr>
          <w:rFonts w:cstheme="minorHAnsi"/>
          <w:sz w:val="24"/>
          <w:szCs w:val="24"/>
        </w:rPr>
        <w:t xml:space="preserve">cí ukazatele </w:t>
      </w:r>
      <w:r w:rsidR="00A97F6B" w:rsidRPr="00B727C1">
        <w:rPr>
          <w:rFonts w:cstheme="minorHAnsi"/>
          <w:sz w:val="24"/>
          <w:szCs w:val="24"/>
        </w:rPr>
        <w:t>pro představenstvo PGRLF</w:t>
      </w:r>
      <w:r w:rsidRPr="00B727C1">
        <w:rPr>
          <w:rFonts w:cstheme="minorHAnsi"/>
          <w:sz w:val="24"/>
          <w:szCs w:val="24"/>
        </w:rPr>
        <w:t xml:space="preserve"> pro daný rok s velkou časovou prodlevou. </w:t>
      </w:r>
      <w:proofErr w:type="spellStart"/>
      <w:r w:rsidR="00B727C1">
        <w:rPr>
          <w:rFonts w:cstheme="minorHAnsi"/>
          <w:sz w:val="24"/>
          <w:szCs w:val="24"/>
        </w:rPr>
        <w:t>MZe</w:t>
      </w:r>
      <w:proofErr w:type="spellEnd"/>
      <w:r w:rsidR="00B727C1">
        <w:rPr>
          <w:rFonts w:cstheme="minorHAnsi"/>
          <w:sz w:val="24"/>
          <w:szCs w:val="24"/>
        </w:rPr>
        <w:t xml:space="preserve"> nedodržovalo harmonogramy, které tvořily přílohy příkazu ministra zemědělství č. 5/2011 a příkazu ministra zemědělství č. 20/2015.</w:t>
      </w:r>
      <w:r w:rsidR="00B727C1">
        <w:rPr>
          <w:sz w:val="24"/>
          <w:szCs w:val="24"/>
        </w:rPr>
        <w:t xml:space="preserve"> </w:t>
      </w:r>
      <w:r w:rsidRPr="00B727C1">
        <w:rPr>
          <w:rFonts w:cstheme="minorHAnsi"/>
          <w:sz w:val="24"/>
          <w:szCs w:val="24"/>
        </w:rPr>
        <w:t>Čle</w:t>
      </w:r>
      <w:r w:rsidR="009E241F" w:rsidRPr="00B727C1">
        <w:rPr>
          <w:rFonts w:cstheme="minorHAnsi"/>
          <w:sz w:val="24"/>
          <w:szCs w:val="24"/>
        </w:rPr>
        <w:t xml:space="preserve">nové </w:t>
      </w:r>
      <w:r w:rsidR="00F16541">
        <w:rPr>
          <w:rFonts w:cstheme="minorHAnsi"/>
          <w:sz w:val="24"/>
          <w:szCs w:val="24"/>
        </w:rPr>
        <w:t>představenstva</w:t>
      </w:r>
      <w:r w:rsidR="009E241F" w:rsidRPr="00B727C1">
        <w:rPr>
          <w:rFonts w:cstheme="minorHAnsi"/>
          <w:sz w:val="24"/>
          <w:szCs w:val="24"/>
        </w:rPr>
        <w:t xml:space="preserve"> PGRLF v letech 2014–</w:t>
      </w:r>
      <w:r w:rsidRPr="00B727C1">
        <w:rPr>
          <w:rFonts w:cstheme="minorHAnsi"/>
          <w:sz w:val="24"/>
          <w:szCs w:val="24"/>
        </w:rPr>
        <w:t xml:space="preserve">2017 </w:t>
      </w:r>
      <w:r w:rsidR="000246F2" w:rsidRPr="00B727C1">
        <w:rPr>
          <w:rFonts w:cstheme="minorHAnsi"/>
          <w:sz w:val="24"/>
          <w:szCs w:val="24"/>
        </w:rPr>
        <w:t>tak vykonávali své funkce</w:t>
      </w:r>
      <w:r w:rsidR="0015707D" w:rsidRPr="00B727C1">
        <w:rPr>
          <w:rFonts w:cstheme="minorHAnsi"/>
          <w:sz w:val="24"/>
          <w:szCs w:val="24"/>
        </w:rPr>
        <w:t xml:space="preserve"> 5</w:t>
      </w:r>
      <w:r w:rsidR="00057E1D">
        <w:rPr>
          <w:rFonts w:cstheme="minorHAnsi"/>
          <w:sz w:val="24"/>
          <w:szCs w:val="24"/>
        </w:rPr>
        <w:t xml:space="preserve"> až </w:t>
      </w:r>
      <w:r w:rsidRPr="00B727C1">
        <w:rPr>
          <w:rFonts w:cstheme="minorHAnsi"/>
          <w:sz w:val="24"/>
          <w:szCs w:val="24"/>
        </w:rPr>
        <w:t>10 měsíců</w:t>
      </w:r>
      <w:r w:rsidR="00B974A2" w:rsidRPr="00B727C1">
        <w:rPr>
          <w:rFonts w:cstheme="minorHAnsi"/>
          <w:sz w:val="24"/>
          <w:szCs w:val="24"/>
        </w:rPr>
        <w:t xml:space="preserve"> v roce</w:t>
      </w:r>
      <w:r w:rsidRPr="00B727C1">
        <w:rPr>
          <w:rFonts w:cstheme="minorHAnsi"/>
          <w:sz w:val="24"/>
          <w:szCs w:val="24"/>
        </w:rPr>
        <w:t xml:space="preserve"> bez </w:t>
      </w:r>
      <w:r w:rsidR="00441363" w:rsidRPr="00B727C1">
        <w:rPr>
          <w:rFonts w:cstheme="minorHAnsi"/>
          <w:sz w:val="24"/>
          <w:szCs w:val="24"/>
        </w:rPr>
        <w:t>schválených</w:t>
      </w:r>
      <w:r w:rsidR="003E0887" w:rsidRPr="00B727C1">
        <w:rPr>
          <w:rFonts w:cstheme="minorHAnsi"/>
          <w:sz w:val="24"/>
          <w:szCs w:val="24"/>
        </w:rPr>
        <w:t xml:space="preserve"> </w:t>
      </w:r>
      <w:r w:rsidRPr="00B727C1">
        <w:rPr>
          <w:rFonts w:cstheme="minorHAnsi"/>
          <w:sz w:val="24"/>
          <w:szCs w:val="24"/>
        </w:rPr>
        <w:t>hodnot</w:t>
      </w:r>
      <w:r w:rsidR="00A0721B">
        <w:rPr>
          <w:rFonts w:cstheme="minorHAnsi"/>
          <w:sz w:val="24"/>
          <w:szCs w:val="24"/>
        </w:rPr>
        <w:t>i</w:t>
      </w:r>
      <w:r w:rsidRPr="00B727C1">
        <w:rPr>
          <w:rFonts w:cstheme="minorHAnsi"/>
          <w:sz w:val="24"/>
          <w:szCs w:val="24"/>
        </w:rPr>
        <w:t>cích ukazatelů a</w:t>
      </w:r>
      <w:r w:rsidR="0094331E" w:rsidRPr="00B727C1">
        <w:rPr>
          <w:rFonts w:cstheme="minorHAnsi"/>
          <w:sz w:val="24"/>
          <w:szCs w:val="24"/>
        </w:rPr>
        <w:t xml:space="preserve"> jejich cílových hodnot,</w:t>
      </w:r>
      <w:r w:rsidR="000246F2" w:rsidRPr="00B727C1">
        <w:rPr>
          <w:rFonts w:cstheme="minorHAnsi"/>
          <w:sz w:val="24"/>
          <w:szCs w:val="24"/>
        </w:rPr>
        <w:t xml:space="preserve"> které měly být splněny a podle </w:t>
      </w:r>
      <w:r w:rsidR="0094331E" w:rsidRPr="00B727C1">
        <w:rPr>
          <w:rFonts w:cstheme="minorHAnsi"/>
          <w:sz w:val="24"/>
          <w:szCs w:val="24"/>
        </w:rPr>
        <w:t>kterých se měla stanov</w:t>
      </w:r>
      <w:r w:rsidR="000246F2" w:rsidRPr="00B727C1">
        <w:rPr>
          <w:rFonts w:cstheme="minorHAnsi"/>
          <w:sz w:val="24"/>
          <w:szCs w:val="24"/>
        </w:rPr>
        <w:t>ovat výše jejich odměn.</w:t>
      </w:r>
      <w:r w:rsidRPr="00B727C1">
        <w:rPr>
          <w:rFonts w:cstheme="minorHAnsi"/>
          <w:sz w:val="24"/>
          <w:szCs w:val="24"/>
        </w:rPr>
        <w:t xml:space="preserve"> </w:t>
      </w:r>
    </w:p>
    <w:p w14:paraId="4EE57EDF" w14:textId="77777777" w:rsidR="00B727C1" w:rsidRPr="00B55A34" w:rsidRDefault="00B727C1" w:rsidP="00903334">
      <w:pPr>
        <w:pStyle w:val="Odstavecseseznamem"/>
        <w:spacing w:after="0" w:line="240" w:lineRule="auto"/>
        <w:ind w:left="0"/>
        <w:contextualSpacing w:val="0"/>
        <w:jc w:val="both"/>
        <w:rPr>
          <w:sz w:val="24"/>
          <w:szCs w:val="24"/>
        </w:rPr>
      </w:pPr>
    </w:p>
    <w:p w14:paraId="5541180A" w14:textId="464AC6CD" w:rsidR="001E53BD" w:rsidRDefault="00D00324" w:rsidP="00AA168C">
      <w:pPr>
        <w:pStyle w:val="Odstavecseseznamem"/>
        <w:spacing w:after="0" w:line="240" w:lineRule="auto"/>
        <w:ind w:left="284" w:hanging="284"/>
        <w:contextualSpacing w:val="0"/>
        <w:jc w:val="both"/>
        <w:rPr>
          <w:rFonts w:cstheme="minorHAnsi"/>
          <w:b/>
          <w:i/>
          <w:color w:val="FF0000"/>
          <w:sz w:val="24"/>
          <w:szCs w:val="24"/>
        </w:rPr>
      </w:pPr>
      <w:r>
        <w:rPr>
          <w:rFonts w:cstheme="minorHAnsi"/>
          <w:b/>
          <w:i/>
          <w:color w:val="FF0000"/>
          <w:sz w:val="24"/>
          <w:szCs w:val="24"/>
        </w:rPr>
        <w:t xml:space="preserve">D. </w:t>
      </w:r>
      <w:r w:rsidR="00AA168C">
        <w:rPr>
          <w:rFonts w:cstheme="minorHAnsi"/>
          <w:b/>
          <w:i/>
          <w:color w:val="FF0000"/>
          <w:sz w:val="24"/>
          <w:szCs w:val="24"/>
        </w:rPr>
        <w:tab/>
      </w:r>
      <w:r>
        <w:rPr>
          <w:rFonts w:cstheme="minorHAnsi"/>
          <w:b/>
          <w:i/>
          <w:color w:val="FF0000"/>
          <w:sz w:val="24"/>
          <w:szCs w:val="24"/>
        </w:rPr>
        <w:t>Právní forma PGRLF jako akciové společnosti neodpovídá obecným principům</w:t>
      </w:r>
      <w:r>
        <w:rPr>
          <w:b/>
          <w:i/>
          <w:color w:val="FF0000"/>
          <w:sz w:val="24"/>
          <w:szCs w:val="24"/>
        </w:rPr>
        <w:t xml:space="preserve"> stanoveným ve vládní Strategii vlastnické politiky státu</w:t>
      </w:r>
      <w:r>
        <w:rPr>
          <w:rFonts w:cstheme="minorHAnsi"/>
          <w:b/>
          <w:i/>
          <w:color w:val="FF0000"/>
          <w:sz w:val="24"/>
          <w:szCs w:val="24"/>
        </w:rPr>
        <w:t>.</w:t>
      </w:r>
    </w:p>
    <w:p w14:paraId="6A1D2DD3" w14:textId="77777777" w:rsidR="00AA168C" w:rsidRPr="00A5007A" w:rsidRDefault="00AA168C" w:rsidP="00903334">
      <w:pPr>
        <w:pStyle w:val="Odstavecseseznamem"/>
        <w:spacing w:after="0" w:line="240" w:lineRule="auto"/>
        <w:ind w:left="0"/>
        <w:contextualSpacing w:val="0"/>
        <w:jc w:val="both"/>
        <w:rPr>
          <w:sz w:val="24"/>
          <w:szCs w:val="24"/>
        </w:rPr>
      </w:pPr>
    </w:p>
    <w:p w14:paraId="3D44081B" w14:textId="2CDD2F02" w:rsidR="000775DD" w:rsidRPr="00AA168C" w:rsidRDefault="004C008F" w:rsidP="00A0721B">
      <w:pPr>
        <w:pStyle w:val="Odstavecseseznamem"/>
        <w:numPr>
          <w:ilvl w:val="0"/>
          <w:numId w:val="4"/>
        </w:numPr>
        <w:tabs>
          <w:tab w:val="left" w:pos="567"/>
        </w:tabs>
        <w:spacing w:after="0" w:line="240" w:lineRule="auto"/>
        <w:ind w:left="0" w:firstLine="0"/>
        <w:contextualSpacing w:val="0"/>
        <w:jc w:val="both"/>
        <w:rPr>
          <w:sz w:val="24"/>
          <w:szCs w:val="24"/>
        </w:rPr>
      </w:pPr>
      <w:r w:rsidRPr="000775DD">
        <w:rPr>
          <w:rFonts w:cstheme="minorHAnsi"/>
          <w:sz w:val="24"/>
          <w:szCs w:val="24"/>
        </w:rPr>
        <w:t>NKÚ provedl v minul</w:t>
      </w:r>
      <w:r w:rsidR="00AF4728" w:rsidRPr="000775DD">
        <w:rPr>
          <w:rFonts w:cstheme="minorHAnsi"/>
          <w:sz w:val="24"/>
          <w:szCs w:val="24"/>
        </w:rPr>
        <w:t>osti</w:t>
      </w:r>
      <w:r w:rsidRPr="000775DD">
        <w:rPr>
          <w:rFonts w:cstheme="minorHAnsi"/>
          <w:sz w:val="24"/>
          <w:szCs w:val="24"/>
        </w:rPr>
        <w:t xml:space="preserve"> několik kontrolních akcí týkající</w:t>
      </w:r>
      <w:r w:rsidR="006C43F8" w:rsidRPr="000775DD">
        <w:rPr>
          <w:rFonts w:cstheme="minorHAnsi"/>
          <w:sz w:val="24"/>
          <w:szCs w:val="24"/>
        </w:rPr>
        <w:t>ch</w:t>
      </w:r>
      <w:r w:rsidRPr="000775DD">
        <w:rPr>
          <w:rFonts w:cstheme="minorHAnsi"/>
          <w:sz w:val="24"/>
          <w:szCs w:val="24"/>
        </w:rPr>
        <w:t xml:space="preserve"> se hospodaření s prostředky poskytnutými PGRLF ze státního rozpočtu</w:t>
      </w:r>
      <w:r w:rsidR="00A0721B">
        <w:rPr>
          <w:rFonts w:cstheme="minorHAnsi"/>
          <w:sz w:val="24"/>
          <w:szCs w:val="24"/>
        </w:rPr>
        <w:t>.</w:t>
      </w:r>
      <w:r w:rsidR="003178AD">
        <w:rPr>
          <w:rFonts w:cstheme="minorHAnsi"/>
          <w:sz w:val="24"/>
          <w:szCs w:val="24"/>
        </w:rPr>
        <w:t xml:space="preserve"> </w:t>
      </w:r>
      <w:r w:rsidR="00A0721B">
        <w:rPr>
          <w:rFonts w:cstheme="minorHAnsi"/>
          <w:sz w:val="24"/>
          <w:szCs w:val="24"/>
        </w:rPr>
        <w:t>V</w:t>
      </w:r>
      <w:r w:rsidR="003178AD">
        <w:rPr>
          <w:rFonts w:cstheme="minorHAnsi"/>
          <w:sz w:val="24"/>
          <w:szCs w:val="24"/>
        </w:rPr>
        <w:t> </w:t>
      </w:r>
      <w:r w:rsidR="00A0721B">
        <w:rPr>
          <w:rFonts w:cstheme="minorHAnsi"/>
          <w:sz w:val="24"/>
          <w:szCs w:val="24"/>
        </w:rPr>
        <w:t xml:space="preserve">jejich </w:t>
      </w:r>
      <w:r w:rsidR="003178AD">
        <w:rPr>
          <w:rFonts w:cstheme="minorHAnsi"/>
          <w:sz w:val="24"/>
          <w:szCs w:val="24"/>
        </w:rPr>
        <w:t xml:space="preserve">rámci </w:t>
      </w:r>
      <w:r w:rsidR="00A97F6B">
        <w:rPr>
          <w:rFonts w:cstheme="minorHAnsi"/>
          <w:sz w:val="24"/>
          <w:szCs w:val="24"/>
        </w:rPr>
        <w:t xml:space="preserve">se zabýval </w:t>
      </w:r>
      <w:r w:rsidR="003178AD">
        <w:rPr>
          <w:rFonts w:cstheme="minorHAnsi"/>
          <w:sz w:val="24"/>
          <w:szCs w:val="24"/>
        </w:rPr>
        <w:t>i otázkou právní formy PGRLF</w:t>
      </w:r>
      <w:r w:rsidRPr="000775DD">
        <w:rPr>
          <w:rFonts w:cstheme="minorHAnsi"/>
          <w:sz w:val="24"/>
          <w:szCs w:val="24"/>
        </w:rPr>
        <w:t>. V poslední z nich, kontrolní akci NKÚ č. 05/10</w:t>
      </w:r>
      <w:r>
        <w:rPr>
          <w:rStyle w:val="Znakapoznpodarou"/>
          <w:rFonts w:cstheme="minorHAnsi"/>
          <w:sz w:val="24"/>
          <w:szCs w:val="24"/>
        </w:rPr>
        <w:footnoteReference w:id="17"/>
      </w:r>
      <w:r w:rsidRPr="000775DD">
        <w:rPr>
          <w:rFonts w:cstheme="minorHAnsi"/>
          <w:sz w:val="24"/>
          <w:szCs w:val="24"/>
        </w:rPr>
        <w:t>, upozornil na nevhodnost právní formy PGRLF jako akciové společnosti. Upozornil, že zákony</w:t>
      </w:r>
      <w:r w:rsidR="00AF4728" w:rsidRPr="000775DD">
        <w:rPr>
          <w:rFonts w:cstheme="minorHAnsi"/>
          <w:sz w:val="24"/>
          <w:szCs w:val="24"/>
        </w:rPr>
        <w:t xml:space="preserve"> účinné v té době</w:t>
      </w:r>
      <w:r w:rsidRPr="000775DD">
        <w:rPr>
          <w:rFonts w:cstheme="minorHAnsi"/>
          <w:sz w:val="24"/>
          <w:szCs w:val="24"/>
        </w:rPr>
        <w:t xml:space="preserve"> neumožňovaly poskytovat státní</w:t>
      </w:r>
      <w:r w:rsidR="00441363">
        <w:rPr>
          <w:rFonts w:cstheme="minorHAnsi"/>
          <w:sz w:val="24"/>
          <w:szCs w:val="24"/>
        </w:rPr>
        <w:t xml:space="preserve"> podporu podnikatelským subjektem, byť </w:t>
      </w:r>
      <w:r w:rsidR="003560D3">
        <w:rPr>
          <w:rFonts w:cstheme="minorHAnsi"/>
          <w:sz w:val="24"/>
          <w:szCs w:val="24"/>
        </w:rPr>
        <w:t xml:space="preserve">by </w:t>
      </w:r>
      <w:r w:rsidR="00EE3AB1">
        <w:rPr>
          <w:rFonts w:cstheme="minorHAnsi"/>
          <w:sz w:val="24"/>
          <w:szCs w:val="24"/>
        </w:rPr>
        <w:t xml:space="preserve">PGRLF </w:t>
      </w:r>
      <w:r w:rsidR="00441363">
        <w:rPr>
          <w:rFonts w:cstheme="minorHAnsi"/>
          <w:sz w:val="24"/>
          <w:szCs w:val="24"/>
        </w:rPr>
        <w:t>byl založen</w:t>
      </w:r>
      <w:r w:rsidRPr="000775DD">
        <w:rPr>
          <w:rFonts w:cstheme="minorHAnsi"/>
          <w:sz w:val="24"/>
          <w:szCs w:val="24"/>
        </w:rPr>
        <w:t xml:space="preserve"> státem. Poskytování dotací prostřednictvím PGRLF tak nebylo v</w:t>
      </w:r>
      <w:r w:rsidR="00AF4728" w:rsidRPr="000775DD">
        <w:rPr>
          <w:rFonts w:cstheme="minorHAnsi"/>
          <w:sz w:val="24"/>
          <w:szCs w:val="24"/>
        </w:rPr>
        <w:t> </w:t>
      </w:r>
      <w:r w:rsidR="0015707D">
        <w:rPr>
          <w:rFonts w:cstheme="minorHAnsi"/>
          <w:sz w:val="24"/>
          <w:szCs w:val="24"/>
        </w:rPr>
        <w:t>souladu se zákonem č. </w:t>
      </w:r>
      <w:r w:rsidRPr="000775DD">
        <w:rPr>
          <w:rFonts w:cstheme="minorHAnsi"/>
          <w:sz w:val="24"/>
          <w:szCs w:val="24"/>
        </w:rPr>
        <w:t>218/2000 Sb., o rozpočtových pravidlech a o změně některých souvisejících zákonů</w:t>
      </w:r>
      <w:r w:rsidR="00557B6C">
        <w:rPr>
          <w:rFonts w:cstheme="minorHAnsi"/>
          <w:sz w:val="24"/>
          <w:szCs w:val="24"/>
        </w:rPr>
        <w:t xml:space="preserve"> (rozpočtová pravidla)</w:t>
      </w:r>
      <w:r w:rsidRPr="000775DD">
        <w:rPr>
          <w:rFonts w:cstheme="minorHAnsi"/>
          <w:sz w:val="24"/>
          <w:szCs w:val="24"/>
        </w:rPr>
        <w:t>.</w:t>
      </w:r>
      <w:r w:rsidR="00264836">
        <w:rPr>
          <w:rStyle w:val="Znakapoznpodarou"/>
          <w:rFonts w:cstheme="minorHAnsi"/>
          <w:sz w:val="24"/>
          <w:szCs w:val="24"/>
        </w:rPr>
        <w:footnoteReference w:id="18"/>
      </w:r>
      <w:r w:rsidRPr="000775DD">
        <w:rPr>
          <w:rFonts w:cstheme="minorHAnsi"/>
          <w:sz w:val="24"/>
          <w:szCs w:val="24"/>
        </w:rPr>
        <w:t xml:space="preserve"> </w:t>
      </w:r>
    </w:p>
    <w:p w14:paraId="75F7D0CB" w14:textId="44B4F066" w:rsidR="00441363" w:rsidRPr="00E164B8" w:rsidRDefault="00441363" w:rsidP="00E164B8">
      <w:pPr>
        <w:pStyle w:val="Odstavecseseznamem"/>
        <w:numPr>
          <w:ilvl w:val="0"/>
          <w:numId w:val="4"/>
        </w:numPr>
        <w:tabs>
          <w:tab w:val="left" w:pos="567"/>
        </w:tabs>
        <w:spacing w:after="0" w:line="240" w:lineRule="auto"/>
        <w:ind w:left="0" w:firstLine="0"/>
        <w:contextualSpacing w:val="0"/>
        <w:jc w:val="both"/>
        <w:rPr>
          <w:sz w:val="24"/>
          <w:szCs w:val="24"/>
        </w:rPr>
      </w:pPr>
      <w:r>
        <w:rPr>
          <w:rFonts w:cstheme="minorHAnsi"/>
          <w:sz w:val="24"/>
          <w:szCs w:val="24"/>
        </w:rPr>
        <w:lastRenderedPageBreak/>
        <w:t>N</w:t>
      </w:r>
      <w:r w:rsidR="0000303A" w:rsidRPr="000775DD">
        <w:rPr>
          <w:rFonts w:cstheme="minorHAnsi"/>
          <w:sz w:val="24"/>
          <w:szCs w:val="24"/>
        </w:rPr>
        <w:t xml:space="preserve">a návrh vlády </w:t>
      </w:r>
      <w:r>
        <w:rPr>
          <w:rFonts w:cstheme="minorHAnsi"/>
          <w:sz w:val="24"/>
          <w:szCs w:val="24"/>
        </w:rPr>
        <w:t xml:space="preserve">byl v roce 2008 </w:t>
      </w:r>
      <w:r w:rsidR="004C008F" w:rsidRPr="000775DD">
        <w:rPr>
          <w:rFonts w:cstheme="minorHAnsi"/>
          <w:sz w:val="24"/>
          <w:szCs w:val="24"/>
        </w:rPr>
        <w:t>novelizován zákon o</w:t>
      </w:r>
      <w:r w:rsidR="003355C7" w:rsidRPr="000775DD">
        <w:rPr>
          <w:rFonts w:cstheme="minorHAnsi"/>
          <w:sz w:val="24"/>
          <w:szCs w:val="24"/>
        </w:rPr>
        <w:t> </w:t>
      </w:r>
      <w:r w:rsidR="004C008F" w:rsidRPr="000775DD">
        <w:rPr>
          <w:rFonts w:cstheme="minorHAnsi"/>
          <w:sz w:val="24"/>
          <w:szCs w:val="24"/>
        </w:rPr>
        <w:t>zemědělst</w:t>
      </w:r>
      <w:r w:rsidR="00264836">
        <w:rPr>
          <w:rFonts w:cstheme="minorHAnsi"/>
          <w:sz w:val="24"/>
          <w:szCs w:val="24"/>
        </w:rPr>
        <w:t>ví, do něhož byl</w:t>
      </w:r>
      <w:r w:rsidR="008A5F4A">
        <w:rPr>
          <w:rFonts w:cstheme="minorHAnsi"/>
          <w:sz w:val="24"/>
          <w:szCs w:val="24"/>
        </w:rPr>
        <w:t>o</w:t>
      </w:r>
      <w:r w:rsidR="00264836">
        <w:rPr>
          <w:rFonts w:cstheme="minorHAnsi"/>
          <w:sz w:val="24"/>
          <w:szCs w:val="24"/>
        </w:rPr>
        <w:t xml:space="preserve"> přidán</w:t>
      </w:r>
      <w:r w:rsidR="008A5F4A">
        <w:rPr>
          <w:rFonts w:cstheme="minorHAnsi"/>
          <w:sz w:val="24"/>
          <w:szCs w:val="24"/>
        </w:rPr>
        <w:t>o ustanovení</w:t>
      </w:r>
      <w:r w:rsidR="004C008F" w:rsidRPr="000775DD">
        <w:rPr>
          <w:rFonts w:cstheme="minorHAnsi"/>
          <w:sz w:val="24"/>
          <w:szCs w:val="24"/>
        </w:rPr>
        <w:t xml:space="preserve"> § 2da</w:t>
      </w:r>
      <w:r w:rsidR="0000303A">
        <w:rPr>
          <w:rStyle w:val="Znakapoznpodarou"/>
          <w:rFonts w:cstheme="minorHAnsi"/>
          <w:sz w:val="24"/>
          <w:szCs w:val="24"/>
        </w:rPr>
        <w:footnoteReference w:id="19"/>
      </w:r>
      <w:r w:rsidR="004C008F" w:rsidRPr="000775DD">
        <w:rPr>
          <w:rFonts w:cstheme="minorHAnsi"/>
          <w:sz w:val="24"/>
          <w:szCs w:val="24"/>
        </w:rPr>
        <w:t>. Tím byla legislativně zakotvena působnost PGRLF jako poskytovatele podpory podnikatelům</w:t>
      </w:r>
      <w:r w:rsidR="00264836">
        <w:rPr>
          <w:rFonts w:cstheme="minorHAnsi"/>
          <w:sz w:val="24"/>
          <w:szCs w:val="24"/>
        </w:rPr>
        <w:t xml:space="preserve"> v oblasti zemědělství, lesnictví, vodního hospodářství, zpracovatelského průmyslu, jde-li o zpracování produkce zemědělské výroby a potravin</w:t>
      </w:r>
      <w:r w:rsidR="004C008F" w:rsidRPr="000775DD">
        <w:rPr>
          <w:rFonts w:cstheme="minorHAnsi"/>
          <w:sz w:val="24"/>
          <w:szCs w:val="24"/>
        </w:rPr>
        <w:t>, obcím a dobrovolným svazkům obcí ve venkovských oblastech</w:t>
      </w:r>
      <w:r w:rsidR="00264836">
        <w:rPr>
          <w:rFonts w:cstheme="minorHAnsi"/>
          <w:sz w:val="24"/>
          <w:szCs w:val="24"/>
        </w:rPr>
        <w:t xml:space="preserve">. </w:t>
      </w:r>
      <w:r w:rsidR="00264836" w:rsidRPr="000775DD">
        <w:rPr>
          <w:rFonts w:cstheme="minorHAnsi"/>
          <w:sz w:val="24"/>
          <w:szCs w:val="24"/>
        </w:rPr>
        <w:t>Toto us</w:t>
      </w:r>
      <w:r w:rsidR="00264836">
        <w:rPr>
          <w:rFonts w:cstheme="minorHAnsi"/>
          <w:sz w:val="24"/>
          <w:szCs w:val="24"/>
        </w:rPr>
        <w:t>tanovení určuje mj. typy podpor,</w:t>
      </w:r>
      <w:r w:rsidR="00264836" w:rsidRPr="000775DD">
        <w:rPr>
          <w:rFonts w:cstheme="minorHAnsi"/>
          <w:sz w:val="24"/>
          <w:szCs w:val="24"/>
        </w:rPr>
        <w:t xml:space="preserve"> které </w:t>
      </w:r>
      <w:r w:rsidR="00264836">
        <w:rPr>
          <w:rFonts w:cstheme="minorHAnsi"/>
          <w:sz w:val="24"/>
          <w:szCs w:val="24"/>
        </w:rPr>
        <w:t>PGRLF může poskytovat a</w:t>
      </w:r>
      <w:r w:rsidR="00264836" w:rsidRPr="000775DD">
        <w:rPr>
          <w:rFonts w:cstheme="minorHAnsi"/>
          <w:sz w:val="24"/>
          <w:szCs w:val="24"/>
        </w:rPr>
        <w:t xml:space="preserve"> náležitosti programů podpor</w:t>
      </w:r>
      <w:r w:rsidR="00264836">
        <w:rPr>
          <w:rFonts w:cstheme="minorHAnsi"/>
          <w:sz w:val="24"/>
          <w:szCs w:val="24"/>
        </w:rPr>
        <w:t>. Zákonem č.</w:t>
      </w:r>
      <w:r w:rsidR="00B42BFC">
        <w:rPr>
          <w:rFonts w:cstheme="minorHAnsi"/>
          <w:sz w:val="24"/>
          <w:szCs w:val="24"/>
        </w:rPr>
        <w:t> </w:t>
      </w:r>
      <w:r w:rsidR="00264836">
        <w:rPr>
          <w:rFonts w:cstheme="minorHAnsi"/>
          <w:sz w:val="24"/>
          <w:szCs w:val="24"/>
        </w:rPr>
        <w:t>26/2017</w:t>
      </w:r>
      <w:r w:rsidR="00B42BFC">
        <w:rPr>
          <w:rFonts w:cstheme="minorHAnsi"/>
          <w:sz w:val="24"/>
          <w:szCs w:val="24"/>
        </w:rPr>
        <w:t> Sb.</w:t>
      </w:r>
      <w:r w:rsidR="009116D3">
        <w:rPr>
          <w:rStyle w:val="Znakapoznpodarou"/>
          <w:rFonts w:cstheme="minorHAnsi"/>
          <w:sz w:val="24"/>
          <w:szCs w:val="24"/>
        </w:rPr>
        <w:footnoteReference w:id="20"/>
      </w:r>
      <w:r w:rsidR="00264836">
        <w:rPr>
          <w:rFonts w:cstheme="minorHAnsi"/>
          <w:sz w:val="24"/>
          <w:szCs w:val="24"/>
        </w:rPr>
        <w:t xml:space="preserve"> bylo ustanovení § 2da doplněno o</w:t>
      </w:r>
      <w:r w:rsidR="004C008F" w:rsidRPr="000775DD">
        <w:rPr>
          <w:rFonts w:cstheme="minorHAnsi"/>
          <w:sz w:val="24"/>
          <w:szCs w:val="24"/>
        </w:rPr>
        <w:t xml:space="preserve"> podmínky, které PGRLF ověřuje při rozhodování o</w:t>
      </w:r>
      <w:r w:rsidR="003355C7" w:rsidRPr="000775DD">
        <w:rPr>
          <w:rFonts w:cstheme="minorHAnsi"/>
          <w:sz w:val="24"/>
          <w:szCs w:val="24"/>
        </w:rPr>
        <w:t> </w:t>
      </w:r>
      <w:r w:rsidR="004C008F" w:rsidRPr="000775DD">
        <w:rPr>
          <w:rFonts w:cstheme="minorHAnsi"/>
          <w:sz w:val="24"/>
          <w:szCs w:val="24"/>
        </w:rPr>
        <w:t xml:space="preserve">žádostech o podporu a proces námitkového řízení. </w:t>
      </w:r>
    </w:p>
    <w:p w14:paraId="50A7E8D4" w14:textId="77777777" w:rsidR="00E164B8" w:rsidRPr="00E164B8" w:rsidRDefault="00E164B8" w:rsidP="00E164B8">
      <w:pPr>
        <w:spacing w:after="0" w:line="240" w:lineRule="auto"/>
        <w:jc w:val="both"/>
        <w:rPr>
          <w:sz w:val="24"/>
          <w:szCs w:val="24"/>
        </w:rPr>
      </w:pPr>
    </w:p>
    <w:p w14:paraId="3F11E58C" w14:textId="51C9FF6D" w:rsidR="00441363" w:rsidRPr="00E164B8" w:rsidRDefault="00441363" w:rsidP="00E164B8">
      <w:pPr>
        <w:pStyle w:val="Odstavecseseznamem"/>
        <w:numPr>
          <w:ilvl w:val="0"/>
          <w:numId w:val="4"/>
        </w:numPr>
        <w:tabs>
          <w:tab w:val="left" w:pos="567"/>
        </w:tabs>
        <w:spacing w:after="0" w:line="240" w:lineRule="auto"/>
        <w:ind w:left="0" w:firstLine="0"/>
        <w:contextualSpacing w:val="0"/>
        <w:jc w:val="both"/>
        <w:rPr>
          <w:sz w:val="24"/>
          <w:szCs w:val="24"/>
        </w:rPr>
      </w:pPr>
      <w:r w:rsidRPr="00264836">
        <w:rPr>
          <w:rFonts w:cstheme="minorHAnsi"/>
          <w:sz w:val="24"/>
          <w:szCs w:val="24"/>
        </w:rPr>
        <w:t>Ministerstvu financí bylo usnesením vlády ČR v roce 2014</w:t>
      </w:r>
      <w:r w:rsidRPr="00264836">
        <w:rPr>
          <w:rStyle w:val="Znakapoznpodarou"/>
          <w:rFonts w:cstheme="minorHAnsi"/>
          <w:sz w:val="24"/>
          <w:szCs w:val="24"/>
        </w:rPr>
        <w:footnoteReference w:id="21"/>
      </w:r>
      <w:r w:rsidRPr="00264836">
        <w:rPr>
          <w:rFonts w:cstheme="minorHAnsi"/>
          <w:sz w:val="24"/>
          <w:szCs w:val="24"/>
        </w:rPr>
        <w:t xml:space="preserve"> uloženo připravit návrh dlouhodobé strategie výkonu vlastnických práv státu a základn</w:t>
      </w:r>
      <w:r w:rsidR="006635EE">
        <w:rPr>
          <w:rFonts w:cstheme="minorHAnsi"/>
          <w:sz w:val="24"/>
          <w:szCs w:val="24"/>
        </w:rPr>
        <w:t>í cíle a role státu ve správě a </w:t>
      </w:r>
      <w:r w:rsidRPr="00264836">
        <w:rPr>
          <w:rFonts w:cstheme="minorHAnsi"/>
          <w:sz w:val="24"/>
          <w:szCs w:val="24"/>
        </w:rPr>
        <w:t xml:space="preserve">řízení státem vlastněných společností a společností s majetkovou účastí státu. Mezi takové společnosti patří i PGRLF. Návrh </w:t>
      </w:r>
      <w:r w:rsidRPr="008D015E">
        <w:rPr>
          <w:rFonts w:cstheme="minorHAnsi"/>
          <w:i/>
          <w:sz w:val="24"/>
          <w:szCs w:val="24"/>
        </w:rPr>
        <w:t>Strategie vlastnické politiky státu</w:t>
      </w:r>
      <w:r w:rsidRPr="00264836">
        <w:rPr>
          <w:rFonts w:cstheme="minorHAnsi"/>
          <w:sz w:val="24"/>
          <w:szCs w:val="24"/>
        </w:rPr>
        <w:t xml:space="preserve"> </w:t>
      </w:r>
      <w:r w:rsidR="00A20E72">
        <w:rPr>
          <w:rFonts w:cstheme="minorHAnsi"/>
          <w:sz w:val="24"/>
          <w:szCs w:val="24"/>
        </w:rPr>
        <w:t xml:space="preserve">(dále také „Strategie VPS“) </w:t>
      </w:r>
      <w:r w:rsidRPr="00264836">
        <w:rPr>
          <w:rFonts w:cstheme="minorHAnsi"/>
          <w:sz w:val="24"/>
          <w:szCs w:val="24"/>
        </w:rPr>
        <w:t>předložilo Ministerstvo financí v prosinci 2016 ke</w:t>
      </w:r>
      <w:r w:rsidR="00595D57">
        <w:rPr>
          <w:rFonts w:cstheme="minorHAnsi"/>
          <w:sz w:val="24"/>
          <w:szCs w:val="24"/>
        </w:rPr>
        <w:t xml:space="preserve"> </w:t>
      </w:r>
      <w:r w:rsidRPr="00264836">
        <w:rPr>
          <w:rFonts w:cstheme="minorHAnsi"/>
          <w:sz w:val="24"/>
          <w:szCs w:val="24"/>
        </w:rPr>
        <w:t>schválení vládě ČR. Na jednání vlády ČR dne 16. 1. 2017 však nebyla schválena.</w:t>
      </w:r>
      <w:r w:rsidR="00D2685D">
        <w:rPr>
          <w:rFonts w:cstheme="minorHAnsi"/>
          <w:sz w:val="24"/>
          <w:szCs w:val="24"/>
        </w:rPr>
        <w:t xml:space="preserve"> </w:t>
      </w:r>
    </w:p>
    <w:p w14:paraId="4958BF9E" w14:textId="77777777" w:rsidR="00E164B8" w:rsidRPr="00E164B8" w:rsidRDefault="00E164B8" w:rsidP="00E164B8">
      <w:pPr>
        <w:spacing w:after="0" w:line="240" w:lineRule="auto"/>
        <w:jc w:val="both"/>
        <w:rPr>
          <w:sz w:val="24"/>
          <w:szCs w:val="24"/>
        </w:rPr>
      </w:pPr>
    </w:p>
    <w:p w14:paraId="2C9FF19E" w14:textId="289CECAE" w:rsidR="00441363" w:rsidRPr="00903334" w:rsidRDefault="00441363" w:rsidP="00E164B8">
      <w:pPr>
        <w:pStyle w:val="Odstavecseseznamem"/>
        <w:numPr>
          <w:ilvl w:val="0"/>
          <w:numId w:val="4"/>
        </w:numPr>
        <w:tabs>
          <w:tab w:val="left" w:pos="567"/>
        </w:tabs>
        <w:spacing w:after="0" w:line="240" w:lineRule="auto"/>
        <w:ind w:left="0" w:firstLine="0"/>
        <w:contextualSpacing w:val="0"/>
        <w:jc w:val="both"/>
        <w:rPr>
          <w:sz w:val="24"/>
          <w:szCs w:val="24"/>
        </w:rPr>
      </w:pPr>
      <w:r w:rsidRPr="00264836">
        <w:rPr>
          <w:rFonts w:cstheme="minorHAnsi"/>
          <w:sz w:val="24"/>
          <w:szCs w:val="24"/>
        </w:rPr>
        <w:t xml:space="preserve">Ministerstvo financí připravilo další verzi této strategie, která ale </w:t>
      </w:r>
      <w:r w:rsidR="001C431A">
        <w:rPr>
          <w:rFonts w:cstheme="minorHAnsi"/>
          <w:sz w:val="24"/>
          <w:szCs w:val="24"/>
        </w:rPr>
        <w:t xml:space="preserve">z většiny </w:t>
      </w:r>
      <w:r w:rsidRPr="00264836">
        <w:rPr>
          <w:rFonts w:cstheme="minorHAnsi"/>
          <w:sz w:val="24"/>
          <w:szCs w:val="24"/>
        </w:rPr>
        <w:t xml:space="preserve">vychází z původní navržené již v roce 2016. </w:t>
      </w:r>
      <w:r w:rsidR="00BD374D" w:rsidRPr="00264836">
        <w:rPr>
          <w:rFonts w:cstheme="minorHAnsi"/>
          <w:sz w:val="24"/>
          <w:szCs w:val="24"/>
        </w:rPr>
        <w:t>Ministerstvo financí ji předložilo do připomínkového řízení v prosinci 2019 a v</w:t>
      </w:r>
      <w:r w:rsidR="005A2AE2" w:rsidRPr="00264836">
        <w:rPr>
          <w:rFonts w:cstheme="minorHAnsi"/>
          <w:sz w:val="24"/>
          <w:szCs w:val="24"/>
        </w:rPr>
        <w:t>láda</w:t>
      </w:r>
      <w:r w:rsidR="008A5F4A">
        <w:rPr>
          <w:rFonts w:cstheme="minorHAnsi"/>
          <w:sz w:val="24"/>
          <w:szCs w:val="24"/>
        </w:rPr>
        <w:t xml:space="preserve"> ČR</w:t>
      </w:r>
      <w:r w:rsidR="005A2AE2" w:rsidRPr="00264836">
        <w:rPr>
          <w:rFonts w:cstheme="minorHAnsi"/>
          <w:sz w:val="24"/>
          <w:szCs w:val="24"/>
        </w:rPr>
        <w:t xml:space="preserve"> ji </w:t>
      </w:r>
      <w:r w:rsidRPr="00264836">
        <w:rPr>
          <w:rFonts w:cstheme="minorHAnsi"/>
          <w:sz w:val="24"/>
          <w:szCs w:val="24"/>
        </w:rPr>
        <w:t>schválila v únoru 2020</w:t>
      </w:r>
      <w:r w:rsidRPr="00264836">
        <w:rPr>
          <w:rStyle w:val="Znakapoznpodarou"/>
          <w:rFonts w:cstheme="minorHAnsi"/>
          <w:sz w:val="24"/>
          <w:szCs w:val="24"/>
        </w:rPr>
        <w:footnoteReference w:id="22"/>
      </w:r>
      <w:r w:rsidRPr="00264836">
        <w:rPr>
          <w:rFonts w:cstheme="minorHAnsi"/>
          <w:sz w:val="24"/>
          <w:szCs w:val="24"/>
        </w:rPr>
        <w:t>. Tato stra</w:t>
      </w:r>
      <w:r w:rsidR="00A20E72">
        <w:rPr>
          <w:rFonts w:cstheme="minorHAnsi"/>
          <w:sz w:val="24"/>
          <w:szCs w:val="24"/>
        </w:rPr>
        <w:t>tegie zároveň čerpá z </w:t>
      </w:r>
      <w:r w:rsidR="00A20E72" w:rsidRPr="008D015E">
        <w:rPr>
          <w:rFonts w:cstheme="minorHAnsi"/>
          <w:i/>
          <w:sz w:val="24"/>
          <w:szCs w:val="24"/>
        </w:rPr>
        <w:t>Metodických pokynů</w:t>
      </w:r>
      <w:r w:rsidRPr="008D015E">
        <w:rPr>
          <w:rFonts w:cstheme="minorHAnsi"/>
          <w:i/>
          <w:sz w:val="24"/>
          <w:szCs w:val="24"/>
        </w:rPr>
        <w:t xml:space="preserve"> OECD pro správu a řízení státem vlastněných společností </w:t>
      </w:r>
      <w:r w:rsidRPr="00264836">
        <w:rPr>
          <w:rFonts w:cstheme="minorHAnsi"/>
          <w:sz w:val="24"/>
          <w:szCs w:val="24"/>
        </w:rPr>
        <w:t>(dále též „Doporučení OECD“)</w:t>
      </w:r>
      <w:r w:rsidRPr="00264836">
        <w:rPr>
          <w:rStyle w:val="Znakapoznpodarou"/>
          <w:rFonts w:cstheme="minorHAnsi"/>
          <w:sz w:val="24"/>
          <w:szCs w:val="24"/>
        </w:rPr>
        <w:footnoteReference w:id="23"/>
      </w:r>
      <w:r w:rsidR="006635EE">
        <w:rPr>
          <w:rFonts w:cstheme="minorHAnsi"/>
          <w:sz w:val="24"/>
          <w:szCs w:val="24"/>
        </w:rPr>
        <w:t xml:space="preserve"> a </w:t>
      </w:r>
      <w:r w:rsidRPr="00264836">
        <w:rPr>
          <w:rFonts w:cstheme="minorHAnsi"/>
          <w:sz w:val="24"/>
          <w:szCs w:val="24"/>
        </w:rPr>
        <w:t>implementuje jejich principy.</w:t>
      </w:r>
      <w:r w:rsidR="00BD374D" w:rsidRPr="00264836">
        <w:rPr>
          <w:rFonts w:cstheme="minorHAnsi"/>
          <w:sz w:val="24"/>
          <w:szCs w:val="24"/>
        </w:rPr>
        <w:t xml:space="preserve"> Obsah </w:t>
      </w:r>
      <w:r w:rsidR="005A2AE2" w:rsidRPr="00264836">
        <w:rPr>
          <w:rFonts w:cstheme="minorHAnsi"/>
          <w:sz w:val="24"/>
          <w:szCs w:val="24"/>
        </w:rPr>
        <w:t>S</w:t>
      </w:r>
      <w:r w:rsidR="00BD374D" w:rsidRPr="00264836">
        <w:rPr>
          <w:rFonts w:cstheme="minorHAnsi"/>
          <w:sz w:val="24"/>
          <w:szCs w:val="24"/>
        </w:rPr>
        <w:t xml:space="preserve">trategie </w:t>
      </w:r>
      <w:r w:rsidR="005A2AE2" w:rsidRPr="00264836">
        <w:rPr>
          <w:rFonts w:cstheme="minorHAnsi"/>
          <w:sz w:val="24"/>
          <w:szCs w:val="24"/>
        </w:rPr>
        <w:t xml:space="preserve">VPS </w:t>
      </w:r>
      <w:r w:rsidR="00BD374D" w:rsidRPr="00264836">
        <w:rPr>
          <w:rFonts w:cstheme="minorHAnsi"/>
          <w:sz w:val="24"/>
          <w:szCs w:val="24"/>
        </w:rPr>
        <w:t>je v oblasti stanovení právní formy společností</w:t>
      </w:r>
      <w:r w:rsidR="005A2AE2" w:rsidRPr="00264836">
        <w:rPr>
          <w:rFonts w:cstheme="minorHAnsi"/>
          <w:sz w:val="24"/>
          <w:szCs w:val="24"/>
        </w:rPr>
        <w:t xml:space="preserve"> vlastněných státem</w:t>
      </w:r>
      <w:r w:rsidR="00BD374D" w:rsidRPr="00264836">
        <w:rPr>
          <w:rFonts w:cstheme="minorHAnsi"/>
          <w:sz w:val="24"/>
          <w:szCs w:val="24"/>
        </w:rPr>
        <w:t xml:space="preserve"> konzistentní</w:t>
      </w:r>
      <w:r w:rsidR="001D27A2">
        <w:rPr>
          <w:rFonts w:cstheme="minorHAnsi"/>
          <w:sz w:val="24"/>
          <w:szCs w:val="24"/>
        </w:rPr>
        <w:t xml:space="preserve"> s předchozí verzí z roku </w:t>
      </w:r>
      <w:r w:rsidR="005A2AE2" w:rsidRPr="00264836">
        <w:rPr>
          <w:rFonts w:cstheme="minorHAnsi"/>
          <w:sz w:val="24"/>
          <w:szCs w:val="24"/>
        </w:rPr>
        <w:t>2016</w:t>
      </w:r>
      <w:r w:rsidR="00BD374D" w:rsidRPr="00264836">
        <w:rPr>
          <w:rFonts w:cstheme="minorHAnsi"/>
          <w:sz w:val="24"/>
          <w:szCs w:val="24"/>
        </w:rPr>
        <w:t>.</w:t>
      </w:r>
      <w:r w:rsidR="00D2685D">
        <w:rPr>
          <w:rFonts w:cstheme="minorHAnsi"/>
          <w:sz w:val="24"/>
          <w:szCs w:val="24"/>
        </w:rPr>
        <w:t xml:space="preserve"> S obecnými principy, které byly součástí již původně navržené Strategie VPS</w:t>
      </w:r>
      <w:r w:rsidR="002D540B">
        <w:rPr>
          <w:rFonts w:cstheme="minorHAnsi"/>
          <w:sz w:val="24"/>
          <w:szCs w:val="24"/>
        </w:rPr>
        <w:t>,</w:t>
      </w:r>
      <w:r w:rsidR="00D2685D">
        <w:rPr>
          <w:rFonts w:cstheme="minorHAnsi"/>
          <w:sz w:val="24"/>
          <w:szCs w:val="24"/>
        </w:rPr>
        <w:t xml:space="preserve"> </w:t>
      </w:r>
      <w:r w:rsidR="009424E2">
        <w:rPr>
          <w:rFonts w:cstheme="minorHAnsi"/>
          <w:sz w:val="24"/>
          <w:szCs w:val="24"/>
        </w:rPr>
        <w:t>se</w:t>
      </w:r>
      <w:r w:rsidR="00D2685D">
        <w:rPr>
          <w:rFonts w:cstheme="minorHAnsi"/>
          <w:sz w:val="24"/>
          <w:szCs w:val="24"/>
        </w:rPr>
        <w:t xml:space="preserve"> NKÚ </w:t>
      </w:r>
      <w:r w:rsidR="009424E2">
        <w:rPr>
          <w:rFonts w:cstheme="minorHAnsi"/>
          <w:sz w:val="24"/>
          <w:szCs w:val="24"/>
        </w:rPr>
        <w:t>ztotožnil</w:t>
      </w:r>
      <w:r w:rsidR="00D2685D">
        <w:rPr>
          <w:rFonts w:cstheme="minorHAnsi"/>
          <w:sz w:val="24"/>
          <w:szCs w:val="24"/>
        </w:rPr>
        <w:t xml:space="preserve"> a použil </w:t>
      </w:r>
      <w:r w:rsidR="009424E2">
        <w:rPr>
          <w:rFonts w:cstheme="minorHAnsi"/>
          <w:sz w:val="24"/>
          <w:szCs w:val="24"/>
        </w:rPr>
        <w:t xml:space="preserve">je </w:t>
      </w:r>
      <w:r w:rsidR="00D2685D">
        <w:rPr>
          <w:rFonts w:cstheme="minorHAnsi"/>
          <w:sz w:val="24"/>
          <w:szCs w:val="24"/>
        </w:rPr>
        <w:t>jako kritéria pro posouzení</w:t>
      </w:r>
      <w:r w:rsidR="005712EF">
        <w:rPr>
          <w:rFonts w:cstheme="minorHAnsi"/>
          <w:sz w:val="24"/>
          <w:szCs w:val="24"/>
        </w:rPr>
        <w:t xml:space="preserve"> </w:t>
      </w:r>
      <w:r w:rsidR="00A11668">
        <w:rPr>
          <w:rFonts w:cstheme="minorHAnsi"/>
          <w:sz w:val="24"/>
          <w:szCs w:val="24"/>
        </w:rPr>
        <w:t>opodstatnění</w:t>
      </w:r>
      <w:r w:rsidR="005712EF">
        <w:rPr>
          <w:rFonts w:cstheme="minorHAnsi"/>
          <w:sz w:val="24"/>
          <w:szCs w:val="24"/>
        </w:rPr>
        <w:t xml:space="preserve"> </w:t>
      </w:r>
      <w:r w:rsidR="00A11668">
        <w:rPr>
          <w:rFonts w:cstheme="minorHAnsi"/>
          <w:sz w:val="24"/>
          <w:szCs w:val="24"/>
        </w:rPr>
        <w:t xml:space="preserve">právní formy </w:t>
      </w:r>
      <w:r w:rsidR="005712EF">
        <w:rPr>
          <w:rFonts w:cstheme="minorHAnsi"/>
          <w:sz w:val="24"/>
          <w:szCs w:val="24"/>
        </w:rPr>
        <w:t xml:space="preserve">PGRLF jako </w:t>
      </w:r>
      <w:r w:rsidR="00A11668">
        <w:rPr>
          <w:rFonts w:cstheme="minorHAnsi"/>
          <w:sz w:val="24"/>
          <w:szCs w:val="24"/>
        </w:rPr>
        <w:t xml:space="preserve">akciové </w:t>
      </w:r>
      <w:r w:rsidR="005712EF">
        <w:rPr>
          <w:rFonts w:cstheme="minorHAnsi"/>
          <w:sz w:val="24"/>
          <w:szCs w:val="24"/>
        </w:rPr>
        <w:t>společnosti.</w:t>
      </w:r>
    </w:p>
    <w:p w14:paraId="5F03A352" w14:textId="77777777" w:rsidR="00903334" w:rsidRPr="00903334" w:rsidRDefault="00903334" w:rsidP="00903334">
      <w:pPr>
        <w:spacing w:after="0" w:line="240" w:lineRule="auto"/>
        <w:jc w:val="both"/>
        <w:rPr>
          <w:sz w:val="24"/>
          <w:szCs w:val="24"/>
        </w:rPr>
      </w:pPr>
    </w:p>
    <w:p w14:paraId="0F05185D" w14:textId="1183F47E" w:rsidR="006B0637" w:rsidRDefault="006B0637" w:rsidP="00903334">
      <w:pPr>
        <w:pStyle w:val="Odstavecseseznamem"/>
        <w:numPr>
          <w:ilvl w:val="0"/>
          <w:numId w:val="4"/>
        </w:numPr>
        <w:tabs>
          <w:tab w:val="left" w:pos="567"/>
        </w:tabs>
        <w:spacing w:after="0" w:line="240" w:lineRule="auto"/>
        <w:ind w:left="0" w:firstLine="0"/>
        <w:contextualSpacing w:val="0"/>
        <w:jc w:val="both"/>
        <w:rPr>
          <w:sz w:val="24"/>
          <w:szCs w:val="24"/>
        </w:rPr>
      </w:pPr>
      <w:r w:rsidRPr="00264836">
        <w:rPr>
          <w:sz w:val="24"/>
          <w:szCs w:val="24"/>
        </w:rPr>
        <w:t>Cílem strategie</w:t>
      </w:r>
      <w:r w:rsidR="005A2AE2" w:rsidRPr="00264836">
        <w:rPr>
          <w:sz w:val="24"/>
          <w:szCs w:val="24"/>
        </w:rPr>
        <w:t xml:space="preserve"> je</w:t>
      </w:r>
      <w:r w:rsidRPr="00264836">
        <w:rPr>
          <w:sz w:val="24"/>
          <w:szCs w:val="24"/>
        </w:rPr>
        <w:t xml:space="preserve"> „...</w:t>
      </w:r>
      <w:r w:rsidRPr="00264836">
        <w:rPr>
          <w:i/>
          <w:sz w:val="24"/>
          <w:szCs w:val="24"/>
        </w:rPr>
        <w:t xml:space="preserve"> zajistit efektivní fungování státu jako vlastníka podnikatelských subjektů, zajistit transparentní výkon vlastnických pr</w:t>
      </w:r>
      <w:r w:rsidR="006635EE">
        <w:rPr>
          <w:i/>
          <w:sz w:val="24"/>
          <w:szCs w:val="24"/>
        </w:rPr>
        <w:t>áv státu k majetkovým účastem v </w:t>
      </w:r>
      <w:r w:rsidRPr="00264836">
        <w:rPr>
          <w:i/>
          <w:sz w:val="24"/>
          <w:szCs w:val="24"/>
        </w:rPr>
        <w:t xml:space="preserve">obchodních společnostech a zakladatelských práv ve státních podnicích a z dlouhodobého hlediska přinést východiska a řešení zásadních oblastí této problematiky, které jsou v dalším textu blíže popsány. Tento koncepční materiál stanoví základní principy chování státu jako vlastníka, a to primárně ve vztahu k obchodním společnostem a státním podnikům a případně analogicky k dalším subjektům, které vykonávají podnikatelskou činnost. Tyto principy a k nim </w:t>
      </w:r>
      <w:r w:rsidRPr="00264836">
        <w:rPr>
          <w:i/>
          <w:sz w:val="24"/>
          <w:szCs w:val="24"/>
        </w:rPr>
        <w:lastRenderedPageBreak/>
        <w:t xml:space="preserve">dále definovaná opatření budou uplatňovány přiměřeně </w:t>
      </w:r>
      <w:r w:rsidR="006635EE">
        <w:rPr>
          <w:i/>
          <w:sz w:val="24"/>
          <w:szCs w:val="24"/>
        </w:rPr>
        <w:t>a s přihlédnutím k efektivitě a </w:t>
      </w:r>
      <w:r w:rsidRPr="00264836">
        <w:rPr>
          <w:i/>
          <w:sz w:val="24"/>
          <w:szCs w:val="24"/>
        </w:rPr>
        <w:t>hospodárnosti, v mezích platné legislativy a v návaznost</w:t>
      </w:r>
      <w:r w:rsidR="006635EE">
        <w:rPr>
          <w:i/>
          <w:sz w:val="24"/>
          <w:szCs w:val="24"/>
        </w:rPr>
        <w:t>i na kategorizaci společností s </w:t>
      </w:r>
      <w:r w:rsidRPr="00264836">
        <w:rPr>
          <w:i/>
          <w:sz w:val="24"/>
          <w:szCs w:val="24"/>
        </w:rPr>
        <w:t>majetkovou účastí státu a státních podniků dle významu.</w:t>
      </w:r>
      <w:r w:rsidRPr="008D015E">
        <w:rPr>
          <w:sz w:val="24"/>
          <w:szCs w:val="24"/>
        </w:rPr>
        <w:t>“</w:t>
      </w:r>
      <w:r w:rsidRPr="00264836">
        <w:rPr>
          <w:i/>
          <w:sz w:val="24"/>
          <w:szCs w:val="24"/>
        </w:rPr>
        <w:t xml:space="preserve"> </w:t>
      </w:r>
      <w:r w:rsidR="002B40E1" w:rsidRPr="00886FB6">
        <w:rPr>
          <w:sz w:val="24"/>
          <w:szCs w:val="24"/>
        </w:rPr>
        <w:t xml:space="preserve">Vláda ČR uložila členům vlády postupovat </w:t>
      </w:r>
      <w:r w:rsidR="00522DC8" w:rsidRPr="00886FB6">
        <w:rPr>
          <w:sz w:val="24"/>
          <w:szCs w:val="24"/>
        </w:rPr>
        <w:t xml:space="preserve">při výkonu vlastnických práv státu k majetkovým účastem v obchodních společnostech v souladu se Strategií VPS. </w:t>
      </w:r>
      <w:r w:rsidRPr="00032E40">
        <w:rPr>
          <w:sz w:val="24"/>
          <w:szCs w:val="24"/>
        </w:rPr>
        <w:t>J</w:t>
      </w:r>
      <w:r w:rsidRPr="00264836">
        <w:rPr>
          <w:sz w:val="24"/>
          <w:szCs w:val="24"/>
        </w:rPr>
        <w:t xml:space="preserve">e na </w:t>
      </w:r>
      <w:r w:rsidR="002B40E1">
        <w:rPr>
          <w:sz w:val="24"/>
          <w:szCs w:val="24"/>
        </w:rPr>
        <w:t xml:space="preserve">jednotlivých členech vlády, potažmo </w:t>
      </w:r>
      <w:r w:rsidRPr="00264836">
        <w:rPr>
          <w:sz w:val="24"/>
          <w:szCs w:val="24"/>
        </w:rPr>
        <w:t>vládě</w:t>
      </w:r>
      <w:r w:rsidR="00032E40">
        <w:rPr>
          <w:sz w:val="24"/>
          <w:szCs w:val="24"/>
        </w:rPr>
        <w:t xml:space="preserve"> ČR</w:t>
      </w:r>
      <w:r w:rsidRPr="00264836">
        <w:rPr>
          <w:sz w:val="24"/>
          <w:szCs w:val="24"/>
        </w:rPr>
        <w:t xml:space="preserve">, </w:t>
      </w:r>
      <w:r w:rsidR="003178AD" w:rsidRPr="00264836">
        <w:rPr>
          <w:sz w:val="24"/>
          <w:szCs w:val="24"/>
        </w:rPr>
        <w:t xml:space="preserve">jak </w:t>
      </w:r>
      <w:r w:rsidRPr="00264836">
        <w:rPr>
          <w:sz w:val="24"/>
          <w:szCs w:val="24"/>
        </w:rPr>
        <w:t xml:space="preserve">uplatní při naplňování </w:t>
      </w:r>
      <w:r w:rsidR="00A20E72">
        <w:rPr>
          <w:sz w:val="24"/>
          <w:szCs w:val="24"/>
        </w:rPr>
        <w:t xml:space="preserve">této své </w:t>
      </w:r>
      <w:r w:rsidRPr="00264836">
        <w:rPr>
          <w:sz w:val="24"/>
          <w:szCs w:val="24"/>
        </w:rPr>
        <w:t>strategie její obecné principy a do jaké míry uplatní hlediska popsaná v poslední větě citovaného textu.</w:t>
      </w:r>
    </w:p>
    <w:p w14:paraId="54C8BD44" w14:textId="77777777" w:rsidR="00903334" w:rsidRPr="00903334" w:rsidRDefault="00903334" w:rsidP="00903334">
      <w:pPr>
        <w:spacing w:after="0" w:line="240" w:lineRule="auto"/>
        <w:jc w:val="both"/>
        <w:rPr>
          <w:sz w:val="24"/>
          <w:szCs w:val="24"/>
        </w:rPr>
      </w:pPr>
    </w:p>
    <w:p w14:paraId="518452B8" w14:textId="4E0F9D06" w:rsidR="000775DD" w:rsidRPr="00903334" w:rsidRDefault="006C43F8" w:rsidP="00903334">
      <w:pPr>
        <w:pStyle w:val="Odstavecseseznamem"/>
        <w:numPr>
          <w:ilvl w:val="0"/>
          <w:numId w:val="4"/>
        </w:numPr>
        <w:tabs>
          <w:tab w:val="left" w:pos="567"/>
        </w:tabs>
        <w:spacing w:after="0" w:line="240" w:lineRule="auto"/>
        <w:ind w:left="0" w:firstLine="0"/>
        <w:contextualSpacing w:val="0"/>
        <w:jc w:val="both"/>
        <w:rPr>
          <w:sz w:val="24"/>
          <w:szCs w:val="24"/>
        </w:rPr>
      </w:pPr>
      <w:r w:rsidRPr="000775DD">
        <w:rPr>
          <w:rFonts w:cstheme="minorHAnsi"/>
          <w:sz w:val="24"/>
          <w:szCs w:val="24"/>
        </w:rPr>
        <w:t>Strategie VPS mj. stanovuje</w:t>
      </w:r>
      <w:r w:rsidR="003355C7" w:rsidRPr="000775DD">
        <w:rPr>
          <w:rFonts w:cstheme="minorHAnsi"/>
          <w:sz w:val="24"/>
          <w:szCs w:val="24"/>
        </w:rPr>
        <w:t>,</w:t>
      </w:r>
      <w:r w:rsidRPr="000775DD">
        <w:rPr>
          <w:rFonts w:cstheme="minorHAnsi"/>
          <w:sz w:val="24"/>
          <w:szCs w:val="24"/>
        </w:rPr>
        <w:t xml:space="preserve"> jaká je role státu jako vlastníka a jakým způsobem stát rozhoduje, resp. má rozhodovat o tom, jaké konkrétní majetkové účasti v obchodních společnostech a státní podniky bude vlastnit a proč. </w:t>
      </w:r>
      <w:r w:rsidR="00361F4B" w:rsidRPr="000775DD">
        <w:rPr>
          <w:rFonts w:cstheme="minorHAnsi"/>
          <w:sz w:val="24"/>
          <w:szCs w:val="24"/>
        </w:rPr>
        <w:t xml:space="preserve">Je zde </w:t>
      </w:r>
      <w:r w:rsidRPr="000775DD">
        <w:rPr>
          <w:rFonts w:cstheme="minorHAnsi"/>
          <w:sz w:val="24"/>
          <w:szCs w:val="24"/>
        </w:rPr>
        <w:t xml:space="preserve">konstatováno, že všechny společnosti řídící se zákonem č. 90/2012 Sb., </w:t>
      </w:r>
      <w:r w:rsidR="008A5F4A" w:rsidRPr="0040081D">
        <w:rPr>
          <w:rFonts w:cstheme="minorHAnsi"/>
          <w:sz w:val="24"/>
          <w:szCs w:val="24"/>
        </w:rPr>
        <w:t>o obchodních společnostech a družstvech</w:t>
      </w:r>
      <w:r w:rsidR="008A5F4A">
        <w:rPr>
          <w:rFonts w:cstheme="minorHAnsi"/>
          <w:sz w:val="24"/>
          <w:szCs w:val="24"/>
        </w:rPr>
        <w:t xml:space="preserve"> (zákon </w:t>
      </w:r>
      <w:r w:rsidRPr="000775DD">
        <w:rPr>
          <w:rFonts w:cstheme="minorHAnsi"/>
          <w:sz w:val="24"/>
          <w:szCs w:val="24"/>
        </w:rPr>
        <w:t>o obchodních korporacích</w:t>
      </w:r>
      <w:r w:rsidR="008A5F4A">
        <w:rPr>
          <w:rFonts w:cstheme="minorHAnsi"/>
          <w:sz w:val="24"/>
          <w:szCs w:val="24"/>
        </w:rPr>
        <w:t>)</w:t>
      </w:r>
      <w:r w:rsidRPr="000775DD">
        <w:rPr>
          <w:rFonts w:cstheme="minorHAnsi"/>
          <w:sz w:val="24"/>
          <w:szCs w:val="24"/>
        </w:rPr>
        <w:t>, mezi které také patří akciové společnosti, vznikají především za účelem p</w:t>
      </w:r>
      <w:r w:rsidR="00A20E72">
        <w:rPr>
          <w:rFonts w:cstheme="minorHAnsi"/>
          <w:sz w:val="24"/>
          <w:szCs w:val="24"/>
        </w:rPr>
        <w:t>odnikání</w:t>
      </w:r>
      <w:r w:rsidR="001320ED">
        <w:rPr>
          <w:rFonts w:cstheme="minorHAnsi"/>
          <w:sz w:val="24"/>
          <w:szCs w:val="24"/>
        </w:rPr>
        <w:t>,</w:t>
      </w:r>
      <w:r w:rsidR="00A20E72">
        <w:rPr>
          <w:rFonts w:cstheme="minorHAnsi"/>
          <w:sz w:val="24"/>
          <w:szCs w:val="24"/>
        </w:rPr>
        <w:t xml:space="preserve"> a jejich hlavním cílem</w:t>
      </w:r>
      <w:r w:rsidRPr="000775DD">
        <w:rPr>
          <w:rFonts w:cstheme="minorHAnsi"/>
          <w:sz w:val="24"/>
          <w:szCs w:val="24"/>
        </w:rPr>
        <w:t xml:space="preserve"> je tudíž dosahování zisku.</w:t>
      </w:r>
      <w:r w:rsidR="00361F4B" w:rsidRPr="000775DD">
        <w:rPr>
          <w:rFonts w:cstheme="minorHAnsi"/>
          <w:sz w:val="24"/>
          <w:szCs w:val="24"/>
        </w:rPr>
        <w:t xml:space="preserve"> </w:t>
      </w:r>
    </w:p>
    <w:p w14:paraId="131EBCC4" w14:textId="77777777" w:rsidR="00903334" w:rsidRPr="00903334" w:rsidRDefault="00903334" w:rsidP="00903334">
      <w:pPr>
        <w:spacing w:after="0" w:line="240" w:lineRule="auto"/>
        <w:jc w:val="both"/>
        <w:rPr>
          <w:sz w:val="24"/>
          <w:szCs w:val="24"/>
        </w:rPr>
      </w:pPr>
    </w:p>
    <w:p w14:paraId="5C6639C1" w14:textId="0991B07F" w:rsidR="000775DD" w:rsidRPr="00903334" w:rsidRDefault="00361F4B" w:rsidP="00903334">
      <w:pPr>
        <w:pStyle w:val="Odstavecseseznamem"/>
        <w:numPr>
          <w:ilvl w:val="0"/>
          <w:numId w:val="4"/>
        </w:numPr>
        <w:tabs>
          <w:tab w:val="left" w:pos="567"/>
        </w:tabs>
        <w:spacing w:after="0" w:line="240" w:lineRule="auto"/>
        <w:ind w:left="0" w:firstLine="0"/>
        <w:contextualSpacing w:val="0"/>
        <w:jc w:val="both"/>
        <w:rPr>
          <w:sz w:val="24"/>
          <w:szCs w:val="24"/>
        </w:rPr>
      </w:pPr>
      <w:r w:rsidRPr="000775DD">
        <w:rPr>
          <w:rFonts w:cstheme="minorHAnsi"/>
          <w:sz w:val="24"/>
          <w:szCs w:val="24"/>
        </w:rPr>
        <w:t>Dále</w:t>
      </w:r>
      <w:r w:rsidR="005A2AE2">
        <w:rPr>
          <w:rFonts w:cstheme="minorHAnsi"/>
          <w:sz w:val="24"/>
          <w:szCs w:val="24"/>
        </w:rPr>
        <w:t xml:space="preserve"> je ve Strategii VPS uvedeno:</w:t>
      </w:r>
      <w:r w:rsidRPr="000775DD">
        <w:rPr>
          <w:rFonts w:cstheme="minorHAnsi"/>
          <w:sz w:val="24"/>
          <w:szCs w:val="24"/>
        </w:rPr>
        <w:t xml:space="preserve"> „</w:t>
      </w:r>
      <w:r w:rsidRPr="000775DD">
        <w:rPr>
          <w:rFonts w:cstheme="minorHAnsi"/>
          <w:i/>
          <w:sz w:val="24"/>
          <w:szCs w:val="24"/>
        </w:rPr>
        <w:t xml:space="preserve">Je důležité zajistit, aby právní forma vždy reflektovala cíle daného subjektu. </w:t>
      </w:r>
      <w:r w:rsidRPr="005A2AE2">
        <w:rPr>
          <w:rFonts w:cstheme="minorHAnsi"/>
          <w:bCs/>
          <w:i/>
          <w:sz w:val="24"/>
          <w:szCs w:val="24"/>
        </w:rPr>
        <w:t>Akciové společnosti by měl</w:t>
      </w:r>
      <w:r w:rsidR="006635EE">
        <w:rPr>
          <w:rFonts w:cstheme="minorHAnsi"/>
          <w:bCs/>
          <w:i/>
          <w:sz w:val="24"/>
          <w:szCs w:val="24"/>
        </w:rPr>
        <w:t>y fungovat na tržním principu a </w:t>
      </w:r>
      <w:r w:rsidRPr="005A2AE2">
        <w:rPr>
          <w:rFonts w:cstheme="minorHAnsi"/>
          <w:bCs/>
          <w:i/>
          <w:sz w:val="24"/>
          <w:szCs w:val="24"/>
        </w:rPr>
        <w:t>měly by být finančně v maximální možné míře nezávislé na vlastníkovi</w:t>
      </w:r>
      <w:r w:rsidRPr="005A2AE2">
        <w:rPr>
          <w:rFonts w:cstheme="minorHAnsi"/>
          <w:i/>
          <w:sz w:val="24"/>
          <w:szCs w:val="24"/>
        </w:rPr>
        <w:t>.</w:t>
      </w:r>
      <w:r w:rsidR="00DB28C6" w:rsidRPr="005A2AE2">
        <w:rPr>
          <w:rFonts w:cstheme="minorHAnsi"/>
          <w:i/>
          <w:sz w:val="24"/>
          <w:szCs w:val="24"/>
        </w:rPr>
        <w:t xml:space="preserve"> </w:t>
      </w:r>
      <w:r w:rsidR="001320ED">
        <w:rPr>
          <w:rFonts w:cstheme="minorHAnsi"/>
          <w:i/>
          <w:sz w:val="24"/>
          <w:szCs w:val="24"/>
        </w:rPr>
        <w:t>(</w:t>
      </w:r>
      <w:r w:rsidR="00DB28C6" w:rsidRPr="005A2AE2">
        <w:rPr>
          <w:rFonts w:cstheme="minorHAnsi"/>
          <w:i/>
          <w:sz w:val="24"/>
          <w:szCs w:val="24"/>
        </w:rPr>
        <w:t>...</w:t>
      </w:r>
      <w:r w:rsidR="001320ED">
        <w:rPr>
          <w:rFonts w:cstheme="minorHAnsi"/>
          <w:i/>
          <w:sz w:val="24"/>
          <w:szCs w:val="24"/>
        </w:rPr>
        <w:t>)</w:t>
      </w:r>
      <w:r w:rsidR="00DB28C6" w:rsidRPr="005A2AE2">
        <w:rPr>
          <w:rFonts w:cstheme="minorHAnsi"/>
          <w:i/>
          <w:sz w:val="24"/>
          <w:szCs w:val="24"/>
        </w:rPr>
        <w:t xml:space="preserve"> </w:t>
      </w:r>
      <w:r w:rsidRPr="005A2AE2">
        <w:rPr>
          <w:rFonts w:cstheme="minorHAnsi"/>
          <w:bCs/>
          <w:i/>
          <w:sz w:val="24"/>
          <w:szCs w:val="24"/>
        </w:rPr>
        <w:t>V této souvislosti je nutné průběžně analyzovat, zda stávající právní forma organizací odpovídá jejich poslání. Zda je např. vhodné, aby společnosti, jejichž primárním cílem daným zákonem je podpora určitého segmentu hospodářské politiky státu, měly formu akciové společnosti</w:t>
      </w:r>
      <w:r w:rsidRPr="005A2AE2">
        <w:rPr>
          <w:rFonts w:cstheme="minorHAnsi"/>
          <w:i/>
          <w:sz w:val="24"/>
          <w:szCs w:val="24"/>
        </w:rPr>
        <w:t>. A naopak, zda státní</w:t>
      </w:r>
      <w:r w:rsidRPr="000775DD">
        <w:rPr>
          <w:rFonts w:cstheme="minorHAnsi"/>
          <w:i/>
          <w:sz w:val="24"/>
          <w:szCs w:val="24"/>
        </w:rPr>
        <w:t xml:space="preserve"> podniky, jejichž hlavní činností je činnost podnikatelská, mají mít právní formu státního podniku. Uvažovat je možné i o spojení některých subjektů, pokud podporují stejný segment hospodářské politiky státu.</w:t>
      </w:r>
      <w:r w:rsidRPr="000775DD">
        <w:rPr>
          <w:rFonts w:cstheme="minorHAnsi"/>
          <w:sz w:val="24"/>
          <w:szCs w:val="24"/>
        </w:rPr>
        <w:t>“</w:t>
      </w:r>
    </w:p>
    <w:p w14:paraId="4C672C9D" w14:textId="77777777" w:rsidR="00903334" w:rsidRPr="00903334" w:rsidRDefault="00903334" w:rsidP="00903334">
      <w:pPr>
        <w:spacing w:after="0" w:line="240" w:lineRule="auto"/>
        <w:jc w:val="both"/>
        <w:rPr>
          <w:sz w:val="24"/>
          <w:szCs w:val="24"/>
        </w:rPr>
      </w:pPr>
    </w:p>
    <w:p w14:paraId="58C283F1" w14:textId="5836F141" w:rsidR="00C50D0E" w:rsidRPr="00905147" w:rsidRDefault="0076688C" w:rsidP="00903334">
      <w:pPr>
        <w:pStyle w:val="Odstavecseseznamem"/>
        <w:numPr>
          <w:ilvl w:val="0"/>
          <w:numId w:val="4"/>
        </w:numPr>
        <w:tabs>
          <w:tab w:val="left" w:pos="567"/>
        </w:tabs>
        <w:spacing w:after="0" w:line="240" w:lineRule="auto"/>
        <w:ind w:left="0" w:firstLine="0"/>
        <w:contextualSpacing w:val="0"/>
        <w:jc w:val="both"/>
        <w:rPr>
          <w:sz w:val="24"/>
          <w:szCs w:val="24"/>
        </w:rPr>
      </w:pPr>
      <w:r w:rsidRPr="000775DD">
        <w:rPr>
          <w:rFonts w:cstheme="minorHAnsi"/>
          <w:sz w:val="24"/>
          <w:szCs w:val="24"/>
        </w:rPr>
        <w:t>PGRLF je</w:t>
      </w:r>
      <w:r w:rsidR="00F9277F">
        <w:rPr>
          <w:rFonts w:cstheme="minorHAnsi"/>
          <w:sz w:val="24"/>
          <w:szCs w:val="24"/>
        </w:rPr>
        <w:t xml:space="preserve"> státem vlastněnou </w:t>
      </w:r>
      <w:r w:rsidR="003A7D1B">
        <w:rPr>
          <w:rFonts w:cstheme="minorHAnsi"/>
          <w:sz w:val="24"/>
          <w:szCs w:val="24"/>
        </w:rPr>
        <w:t xml:space="preserve">akciovou </w:t>
      </w:r>
      <w:r w:rsidR="00F9277F">
        <w:rPr>
          <w:rFonts w:cstheme="minorHAnsi"/>
          <w:sz w:val="24"/>
          <w:szCs w:val="24"/>
        </w:rPr>
        <w:t xml:space="preserve">společností, </w:t>
      </w:r>
      <w:r w:rsidR="001320ED">
        <w:rPr>
          <w:rFonts w:cstheme="minorHAnsi"/>
          <w:sz w:val="24"/>
          <w:szCs w:val="24"/>
        </w:rPr>
        <w:t>jejímž</w:t>
      </w:r>
      <w:r w:rsidR="00F9277F">
        <w:rPr>
          <w:rFonts w:cstheme="minorHAnsi"/>
          <w:sz w:val="24"/>
          <w:szCs w:val="24"/>
        </w:rPr>
        <w:t xml:space="preserve"> primárním cílem je podpora</w:t>
      </w:r>
      <w:r w:rsidR="007E7480">
        <w:rPr>
          <w:rFonts w:cstheme="minorHAnsi"/>
          <w:sz w:val="24"/>
          <w:szCs w:val="24"/>
        </w:rPr>
        <w:t xml:space="preserve"> určitého segmentu hospodářské politiky státu, jak o tom hovoří Strategie VPS</w:t>
      </w:r>
      <w:r w:rsidRPr="000775DD">
        <w:rPr>
          <w:rFonts w:cstheme="minorHAnsi"/>
          <w:sz w:val="24"/>
          <w:szCs w:val="24"/>
        </w:rPr>
        <w:t xml:space="preserve">. </w:t>
      </w:r>
      <w:r w:rsidR="001320ED">
        <w:rPr>
          <w:rFonts w:cstheme="minorHAnsi"/>
          <w:sz w:val="24"/>
          <w:szCs w:val="24"/>
        </w:rPr>
        <w:t>Její</w:t>
      </w:r>
      <w:r w:rsidR="00905147">
        <w:rPr>
          <w:rFonts w:cstheme="minorHAnsi"/>
          <w:sz w:val="24"/>
          <w:szCs w:val="24"/>
        </w:rPr>
        <w:t xml:space="preserve"> převažující činností</w:t>
      </w:r>
      <w:r w:rsidR="00DB28C6" w:rsidRPr="000775DD">
        <w:rPr>
          <w:rFonts w:cstheme="minorHAnsi"/>
          <w:sz w:val="24"/>
          <w:szCs w:val="24"/>
        </w:rPr>
        <w:t xml:space="preserve"> je podpora subjektů půs</w:t>
      </w:r>
      <w:r w:rsidR="00490B9F" w:rsidRPr="000775DD">
        <w:rPr>
          <w:rFonts w:cstheme="minorHAnsi"/>
          <w:sz w:val="24"/>
          <w:szCs w:val="24"/>
        </w:rPr>
        <w:t>obících</w:t>
      </w:r>
      <w:r w:rsidR="00DB28C6" w:rsidRPr="000775DD">
        <w:rPr>
          <w:rFonts w:cstheme="minorHAnsi"/>
          <w:sz w:val="24"/>
          <w:szCs w:val="24"/>
        </w:rPr>
        <w:t xml:space="preserve"> v zemědělském sektoru především ve formě nenávratn</w:t>
      </w:r>
      <w:r w:rsidR="000D2421">
        <w:rPr>
          <w:rFonts w:cstheme="minorHAnsi"/>
          <w:sz w:val="24"/>
          <w:szCs w:val="24"/>
        </w:rPr>
        <w:t>é</w:t>
      </w:r>
      <w:r w:rsidR="00DB28C6" w:rsidRPr="000775DD">
        <w:rPr>
          <w:rFonts w:cstheme="minorHAnsi"/>
          <w:sz w:val="24"/>
          <w:szCs w:val="24"/>
        </w:rPr>
        <w:t xml:space="preserve"> </w:t>
      </w:r>
      <w:r w:rsidR="00861645">
        <w:rPr>
          <w:rFonts w:cstheme="minorHAnsi"/>
          <w:sz w:val="24"/>
          <w:szCs w:val="24"/>
        </w:rPr>
        <w:t xml:space="preserve">finanční podpory </w:t>
      </w:r>
      <w:r w:rsidR="00490B9F" w:rsidRPr="000775DD">
        <w:rPr>
          <w:rFonts w:cstheme="minorHAnsi"/>
          <w:sz w:val="24"/>
          <w:szCs w:val="24"/>
        </w:rPr>
        <w:t xml:space="preserve">a dále </w:t>
      </w:r>
      <w:r w:rsidR="00DB28C6" w:rsidRPr="000775DD">
        <w:rPr>
          <w:rFonts w:cstheme="minorHAnsi"/>
          <w:sz w:val="24"/>
          <w:szCs w:val="24"/>
        </w:rPr>
        <w:t>návratn</w:t>
      </w:r>
      <w:r w:rsidR="000D2421">
        <w:rPr>
          <w:rFonts w:cstheme="minorHAnsi"/>
          <w:sz w:val="24"/>
          <w:szCs w:val="24"/>
        </w:rPr>
        <w:t>é</w:t>
      </w:r>
      <w:r w:rsidR="00490B9F" w:rsidRPr="000775DD">
        <w:rPr>
          <w:rFonts w:cstheme="minorHAnsi"/>
          <w:sz w:val="24"/>
          <w:szCs w:val="24"/>
        </w:rPr>
        <w:t xml:space="preserve"> </w:t>
      </w:r>
      <w:r w:rsidR="00861645">
        <w:rPr>
          <w:rFonts w:cstheme="minorHAnsi"/>
          <w:sz w:val="24"/>
          <w:szCs w:val="24"/>
        </w:rPr>
        <w:t xml:space="preserve">finanční </w:t>
      </w:r>
      <w:r w:rsidR="00490B9F" w:rsidRPr="000775DD">
        <w:rPr>
          <w:rFonts w:cstheme="minorHAnsi"/>
          <w:sz w:val="24"/>
          <w:szCs w:val="24"/>
        </w:rPr>
        <w:t>podpory</w:t>
      </w:r>
      <w:r w:rsidR="005B4A77">
        <w:rPr>
          <w:rFonts w:cstheme="minorHAnsi"/>
          <w:sz w:val="24"/>
          <w:szCs w:val="24"/>
        </w:rPr>
        <w:t xml:space="preserve"> (</w:t>
      </w:r>
      <w:r w:rsidR="00DB28C6" w:rsidRPr="000775DD">
        <w:rPr>
          <w:rFonts w:cstheme="minorHAnsi"/>
          <w:sz w:val="24"/>
          <w:szCs w:val="24"/>
        </w:rPr>
        <w:t>úvěrů</w:t>
      </w:r>
      <w:r w:rsidR="005B4A77">
        <w:rPr>
          <w:rFonts w:cstheme="minorHAnsi"/>
          <w:sz w:val="24"/>
          <w:szCs w:val="24"/>
        </w:rPr>
        <w:t>)</w:t>
      </w:r>
      <w:r w:rsidR="00490B9F" w:rsidRPr="000775DD">
        <w:rPr>
          <w:rFonts w:cstheme="minorHAnsi"/>
          <w:sz w:val="24"/>
          <w:szCs w:val="24"/>
        </w:rPr>
        <w:t>.</w:t>
      </w:r>
      <w:r w:rsidR="00DB28C6" w:rsidRPr="000775DD">
        <w:rPr>
          <w:rFonts w:cstheme="minorHAnsi"/>
          <w:sz w:val="24"/>
          <w:szCs w:val="24"/>
        </w:rPr>
        <w:t xml:space="preserve"> </w:t>
      </w:r>
      <w:r w:rsidR="009D67D5">
        <w:rPr>
          <w:rFonts w:cstheme="minorHAnsi"/>
          <w:sz w:val="24"/>
          <w:szCs w:val="24"/>
        </w:rPr>
        <w:t>P</w:t>
      </w:r>
      <w:r w:rsidR="003178AD">
        <w:rPr>
          <w:rFonts w:cstheme="minorHAnsi"/>
          <w:sz w:val="24"/>
          <w:szCs w:val="24"/>
        </w:rPr>
        <w:t xml:space="preserve">odstatným zdrojem této podpory poskytované PGRLF jsou dotace ze státního rozpočtu. </w:t>
      </w:r>
      <w:r w:rsidR="00861645">
        <w:rPr>
          <w:rFonts w:cstheme="minorHAnsi"/>
          <w:sz w:val="24"/>
          <w:szCs w:val="24"/>
        </w:rPr>
        <w:t xml:space="preserve">PGRLF je </w:t>
      </w:r>
      <w:r w:rsidR="000A18FB">
        <w:rPr>
          <w:rFonts w:cstheme="minorHAnsi"/>
          <w:sz w:val="24"/>
          <w:szCs w:val="24"/>
        </w:rPr>
        <w:t xml:space="preserve">při plnění svých úkolů </w:t>
      </w:r>
      <w:r w:rsidR="003178AD">
        <w:rPr>
          <w:rFonts w:cstheme="minorHAnsi"/>
          <w:sz w:val="24"/>
          <w:szCs w:val="24"/>
        </w:rPr>
        <w:t>finančně významně</w:t>
      </w:r>
      <w:r w:rsidR="00861645">
        <w:rPr>
          <w:rFonts w:cstheme="minorHAnsi"/>
          <w:sz w:val="24"/>
          <w:szCs w:val="24"/>
        </w:rPr>
        <w:t xml:space="preserve"> závislý na státu jakožto jediném akcionáři a </w:t>
      </w:r>
      <w:r w:rsidR="000D2421">
        <w:rPr>
          <w:rFonts w:cstheme="minorHAnsi"/>
          <w:sz w:val="24"/>
          <w:szCs w:val="24"/>
        </w:rPr>
        <w:t>naplňuje cíle jeho veřejné politiky</w:t>
      </w:r>
      <w:r w:rsidR="00293E27">
        <w:rPr>
          <w:rFonts w:cstheme="minorHAnsi"/>
          <w:sz w:val="24"/>
          <w:szCs w:val="24"/>
        </w:rPr>
        <w:t>.</w:t>
      </w:r>
      <w:r w:rsidR="00905147">
        <w:rPr>
          <w:rFonts w:cstheme="minorHAnsi"/>
          <w:sz w:val="24"/>
          <w:szCs w:val="24"/>
        </w:rPr>
        <w:t xml:space="preserve"> </w:t>
      </w:r>
      <w:r w:rsidR="004C008F" w:rsidRPr="00293E27">
        <w:rPr>
          <w:rFonts w:cstheme="minorHAnsi"/>
          <w:sz w:val="24"/>
          <w:szCs w:val="24"/>
        </w:rPr>
        <w:t>Právní forma PGRLF</w:t>
      </w:r>
      <w:r w:rsidR="00DB28C6" w:rsidRPr="00293E27">
        <w:rPr>
          <w:rFonts w:cstheme="minorHAnsi"/>
          <w:sz w:val="24"/>
          <w:szCs w:val="24"/>
        </w:rPr>
        <w:t xml:space="preserve"> jako akciové společnosti</w:t>
      </w:r>
      <w:r w:rsidR="000A18FB">
        <w:rPr>
          <w:rFonts w:cstheme="minorHAnsi"/>
          <w:sz w:val="24"/>
          <w:szCs w:val="24"/>
        </w:rPr>
        <w:t xml:space="preserve"> </w:t>
      </w:r>
      <w:r w:rsidR="00DB28C6" w:rsidRPr="00293E27">
        <w:rPr>
          <w:rFonts w:cstheme="minorHAnsi"/>
          <w:sz w:val="24"/>
          <w:szCs w:val="24"/>
        </w:rPr>
        <w:t>tak dle názoru NKÚ</w:t>
      </w:r>
      <w:r w:rsidR="00F9277F">
        <w:rPr>
          <w:rFonts w:cstheme="minorHAnsi"/>
          <w:sz w:val="24"/>
          <w:szCs w:val="24"/>
        </w:rPr>
        <w:t xml:space="preserve"> </w:t>
      </w:r>
      <w:r w:rsidR="004C008F" w:rsidRPr="00293E27">
        <w:rPr>
          <w:rFonts w:cstheme="minorHAnsi"/>
          <w:sz w:val="24"/>
          <w:szCs w:val="24"/>
        </w:rPr>
        <w:t>neodpovíd</w:t>
      </w:r>
      <w:r w:rsidR="00B21944">
        <w:rPr>
          <w:rFonts w:cstheme="minorHAnsi"/>
          <w:sz w:val="24"/>
          <w:szCs w:val="24"/>
        </w:rPr>
        <w:t>á</w:t>
      </w:r>
      <w:r w:rsidR="00905147">
        <w:rPr>
          <w:rFonts w:cstheme="minorHAnsi"/>
          <w:sz w:val="24"/>
          <w:szCs w:val="24"/>
        </w:rPr>
        <w:t xml:space="preserve"> </w:t>
      </w:r>
      <w:r w:rsidR="003178AD">
        <w:rPr>
          <w:rFonts w:cstheme="minorHAnsi"/>
          <w:sz w:val="24"/>
          <w:szCs w:val="24"/>
        </w:rPr>
        <w:t xml:space="preserve">obecným </w:t>
      </w:r>
      <w:r w:rsidR="000A18FB">
        <w:rPr>
          <w:rFonts w:cstheme="minorHAnsi"/>
          <w:sz w:val="24"/>
          <w:szCs w:val="24"/>
        </w:rPr>
        <w:t xml:space="preserve">principům </w:t>
      </w:r>
      <w:r w:rsidR="00DB28C6" w:rsidRPr="000D64E0">
        <w:rPr>
          <w:rFonts w:cstheme="minorHAnsi"/>
          <w:sz w:val="24"/>
          <w:szCs w:val="24"/>
        </w:rPr>
        <w:t xml:space="preserve">schváleným vládou ve </w:t>
      </w:r>
      <w:r w:rsidR="00847B51" w:rsidRPr="000A18FB">
        <w:rPr>
          <w:rFonts w:cstheme="minorHAnsi"/>
          <w:sz w:val="24"/>
          <w:szCs w:val="24"/>
        </w:rPr>
        <w:t xml:space="preserve">Strategii VPS. </w:t>
      </w:r>
    </w:p>
    <w:p w14:paraId="75C1B34E" w14:textId="77777777" w:rsidR="005C3B72" w:rsidRPr="005C3B72" w:rsidRDefault="005C3B72" w:rsidP="00903334">
      <w:pPr>
        <w:spacing w:after="0" w:line="240" w:lineRule="auto"/>
        <w:rPr>
          <w:sz w:val="24"/>
        </w:rPr>
      </w:pPr>
    </w:p>
    <w:p w14:paraId="57EAA196" w14:textId="5212E634" w:rsidR="00903334" w:rsidRDefault="00903334" w:rsidP="005C3B72">
      <w:pPr>
        <w:spacing w:after="0" w:line="240" w:lineRule="auto"/>
        <w:rPr>
          <w:sz w:val="24"/>
        </w:rPr>
      </w:pPr>
    </w:p>
    <w:p w14:paraId="3A1644DD" w14:textId="77777777" w:rsidR="00AA168C" w:rsidRPr="005C3B72" w:rsidRDefault="00AA168C" w:rsidP="005C3B72">
      <w:pPr>
        <w:spacing w:after="0" w:line="240" w:lineRule="auto"/>
        <w:rPr>
          <w:sz w:val="24"/>
        </w:rPr>
      </w:pPr>
    </w:p>
    <w:p w14:paraId="4C5ADD55" w14:textId="365E86DF" w:rsidR="000870D5" w:rsidRPr="00E91C78" w:rsidRDefault="000870D5" w:rsidP="00AA168C">
      <w:pPr>
        <w:keepNext/>
        <w:spacing w:after="60" w:line="240" w:lineRule="auto"/>
        <w:rPr>
          <w:b/>
          <w:sz w:val="24"/>
          <w:szCs w:val="24"/>
        </w:rPr>
      </w:pPr>
      <w:r w:rsidRPr="00E91C78">
        <w:rPr>
          <w:b/>
          <w:sz w:val="24"/>
          <w:szCs w:val="24"/>
        </w:rPr>
        <w:lastRenderedPageBreak/>
        <w:t>Seznam zkratek</w:t>
      </w:r>
    </w:p>
    <w:p w14:paraId="216ABC24" w14:textId="228B8D09" w:rsidR="00B27F9B" w:rsidRDefault="00B27F9B" w:rsidP="00117F85">
      <w:pPr>
        <w:keepNext/>
        <w:spacing w:after="60" w:line="240" w:lineRule="auto"/>
        <w:ind w:left="2835" w:hanging="2835"/>
        <w:rPr>
          <w:sz w:val="24"/>
          <w:szCs w:val="24"/>
        </w:rPr>
      </w:pPr>
      <w:r w:rsidRPr="00E22DC2">
        <w:rPr>
          <w:rFonts w:ascii="Calibri" w:hAnsi="Calibri" w:cs="Calibri"/>
          <w:sz w:val="24"/>
          <w:szCs w:val="24"/>
        </w:rPr>
        <w:t>ČMSCH</w:t>
      </w:r>
      <w:r>
        <w:rPr>
          <w:rFonts w:ascii="Calibri" w:hAnsi="Calibri" w:cs="Calibri"/>
          <w:sz w:val="24"/>
          <w:szCs w:val="24"/>
        </w:rPr>
        <w:t>, a.s.</w:t>
      </w:r>
      <w:r>
        <w:rPr>
          <w:sz w:val="24"/>
          <w:szCs w:val="24"/>
        </w:rPr>
        <w:t xml:space="preserve"> </w:t>
      </w:r>
      <w:r>
        <w:rPr>
          <w:sz w:val="24"/>
          <w:szCs w:val="24"/>
        </w:rPr>
        <w:tab/>
      </w:r>
      <w:r w:rsidRPr="00B27F9B">
        <w:rPr>
          <w:sz w:val="24"/>
          <w:szCs w:val="24"/>
        </w:rPr>
        <w:t>Českomoravsk</w:t>
      </w:r>
      <w:r>
        <w:rPr>
          <w:sz w:val="24"/>
          <w:szCs w:val="24"/>
        </w:rPr>
        <w:t>á</w:t>
      </w:r>
      <w:r w:rsidRPr="00B27F9B">
        <w:rPr>
          <w:sz w:val="24"/>
          <w:szCs w:val="24"/>
        </w:rPr>
        <w:t xml:space="preserve"> společnost chovatelů, a.s.</w:t>
      </w:r>
    </w:p>
    <w:p w14:paraId="54E9DAB2" w14:textId="60CC872D" w:rsidR="000870D5" w:rsidRDefault="000870D5" w:rsidP="00117F85">
      <w:pPr>
        <w:keepNext/>
        <w:spacing w:after="60" w:line="240" w:lineRule="auto"/>
        <w:ind w:left="2835" w:hanging="2835"/>
        <w:rPr>
          <w:sz w:val="24"/>
          <w:szCs w:val="24"/>
        </w:rPr>
      </w:pPr>
      <w:r>
        <w:rPr>
          <w:sz w:val="24"/>
          <w:szCs w:val="24"/>
        </w:rPr>
        <w:t>ČR</w:t>
      </w:r>
      <w:r>
        <w:rPr>
          <w:sz w:val="24"/>
          <w:szCs w:val="24"/>
        </w:rPr>
        <w:tab/>
        <w:t>Česká republika</w:t>
      </w:r>
    </w:p>
    <w:p w14:paraId="775CA079" w14:textId="71DF5653" w:rsidR="00F224A9" w:rsidRDefault="00F224A9" w:rsidP="00117F85">
      <w:pPr>
        <w:keepNext/>
        <w:spacing w:after="60" w:line="240" w:lineRule="auto"/>
        <w:ind w:left="2835" w:hanging="2835"/>
        <w:rPr>
          <w:sz w:val="24"/>
          <w:szCs w:val="24"/>
        </w:rPr>
      </w:pPr>
      <w:r>
        <w:rPr>
          <w:sz w:val="24"/>
          <w:szCs w:val="24"/>
        </w:rPr>
        <w:t>EK</w:t>
      </w:r>
      <w:r>
        <w:rPr>
          <w:sz w:val="24"/>
          <w:szCs w:val="24"/>
        </w:rPr>
        <w:tab/>
        <w:t>Evropská komise</w:t>
      </w:r>
    </w:p>
    <w:p w14:paraId="2A77D02F" w14:textId="5A6BDF26" w:rsidR="000870D5" w:rsidRDefault="000870D5" w:rsidP="00117F85">
      <w:pPr>
        <w:keepNext/>
        <w:spacing w:after="60" w:line="240" w:lineRule="auto"/>
        <w:ind w:left="2835" w:hanging="2835"/>
        <w:rPr>
          <w:sz w:val="24"/>
          <w:szCs w:val="24"/>
        </w:rPr>
      </w:pPr>
      <w:r>
        <w:rPr>
          <w:sz w:val="24"/>
          <w:szCs w:val="24"/>
        </w:rPr>
        <w:t>EU</w:t>
      </w:r>
      <w:r>
        <w:rPr>
          <w:sz w:val="24"/>
          <w:szCs w:val="24"/>
        </w:rPr>
        <w:tab/>
        <w:t>Evropská unie</w:t>
      </w:r>
    </w:p>
    <w:p w14:paraId="517A55AB" w14:textId="77777777" w:rsidR="000870D5" w:rsidRDefault="000870D5" w:rsidP="00117F85">
      <w:pPr>
        <w:keepNext/>
        <w:spacing w:after="60" w:line="240" w:lineRule="auto"/>
        <w:ind w:left="2835" w:hanging="2835"/>
        <w:rPr>
          <w:sz w:val="24"/>
          <w:szCs w:val="24"/>
        </w:rPr>
      </w:pPr>
      <w:r>
        <w:rPr>
          <w:sz w:val="24"/>
          <w:szCs w:val="24"/>
        </w:rPr>
        <w:t>Koncepce PGRLF 2014</w:t>
      </w:r>
      <w:r>
        <w:rPr>
          <w:sz w:val="24"/>
          <w:szCs w:val="24"/>
        </w:rPr>
        <w:tab/>
      </w:r>
      <w:r w:rsidRPr="008D015E">
        <w:rPr>
          <w:i/>
          <w:sz w:val="24"/>
          <w:szCs w:val="24"/>
        </w:rPr>
        <w:t>Koncepce rozvoje obchodní společnosti Podpůrný a garanční rolnický a lesnický fond, a.s. pro rok 2014</w:t>
      </w:r>
    </w:p>
    <w:p w14:paraId="5D355C9B" w14:textId="1D11EE2E" w:rsidR="000870D5" w:rsidRDefault="000870D5" w:rsidP="00117F85">
      <w:pPr>
        <w:keepNext/>
        <w:spacing w:after="60" w:line="240" w:lineRule="auto"/>
        <w:ind w:left="2835" w:hanging="2835"/>
        <w:rPr>
          <w:sz w:val="24"/>
          <w:szCs w:val="24"/>
        </w:rPr>
      </w:pPr>
      <w:r>
        <w:rPr>
          <w:sz w:val="24"/>
          <w:szCs w:val="24"/>
        </w:rPr>
        <w:t>Koncepce PGRLF 2015</w:t>
      </w:r>
      <w:r>
        <w:rPr>
          <w:sz w:val="24"/>
          <w:szCs w:val="24"/>
        </w:rPr>
        <w:tab/>
      </w:r>
      <w:r w:rsidRPr="008D015E">
        <w:rPr>
          <w:i/>
          <w:sz w:val="24"/>
          <w:szCs w:val="24"/>
        </w:rPr>
        <w:t>Koncepce rozvoje Podpůrného a garančního rolnického a</w:t>
      </w:r>
      <w:r w:rsidR="005C3B72" w:rsidRPr="008D015E">
        <w:rPr>
          <w:i/>
          <w:sz w:val="24"/>
          <w:szCs w:val="24"/>
        </w:rPr>
        <w:t> </w:t>
      </w:r>
      <w:r w:rsidRPr="008D015E">
        <w:rPr>
          <w:i/>
          <w:sz w:val="24"/>
          <w:szCs w:val="24"/>
        </w:rPr>
        <w:t>lesnického fondu, a.s. na rok 2015 s výhledem do roku 2020</w:t>
      </w:r>
    </w:p>
    <w:p w14:paraId="632E9E31" w14:textId="50A3F5EB" w:rsidR="000870D5" w:rsidRDefault="000870D5" w:rsidP="00117F85">
      <w:pPr>
        <w:keepNext/>
        <w:spacing w:after="60" w:line="240" w:lineRule="auto"/>
        <w:ind w:left="2835" w:hanging="2835"/>
        <w:rPr>
          <w:sz w:val="24"/>
          <w:szCs w:val="24"/>
        </w:rPr>
      </w:pPr>
      <w:proofErr w:type="spellStart"/>
      <w:r>
        <w:rPr>
          <w:sz w:val="24"/>
          <w:szCs w:val="24"/>
        </w:rPr>
        <w:t>MZe</w:t>
      </w:r>
      <w:proofErr w:type="spellEnd"/>
      <w:r>
        <w:rPr>
          <w:sz w:val="24"/>
          <w:szCs w:val="24"/>
        </w:rPr>
        <w:tab/>
        <w:t>Ministerstvo zemědělství</w:t>
      </w:r>
    </w:p>
    <w:p w14:paraId="0E77AF9F" w14:textId="52782D4C" w:rsidR="000870D5" w:rsidRDefault="000870D5" w:rsidP="00117F85">
      <w:pPr>
        <w:keepNext/>
        <w:spacing w:after="60" w:line="240" w:lineRule="auto"/>
        <w:ind w:left="2835" w:hanging="2835"/>
        <w:rPr>
          <w:sz w:val="24"/>
          <w:szCs w:val="24"/>
        </w:rPr>
      </w:pPr>
      <w:r>
        <w:rPr>
          <w:sz w:val="24"/>
          <w:szCs w:val="24"/>
        </w:rPr>
        <w:t>NKÚ</w:t>
      </w:r>
      <w:r>
        <w:rPr>
          <w:sz w:val="24"/>
          <w:szCs w:val="24"/>
        </w:rPr>
        <w:tab/>
        <w:t>Nejvyšší kontrolní úřad</w:t>
      </w:r>
    </w:p>
    <w:p w14:paraId="209916DE" w14:textId="77777777" w:rsidR="000870D5" w:rsidRDefault="000870D5" w:rsidP="00117F85">
      <w:pPr>
        <w:keepNext/>
        <w:spacing w:after="60" w:line="240" w:lineRule="auto"/>
        <w:ind w:left="2835" w:hanging="2835"/>
        <w:rPr>
          <w:sz w:val="24"/>
          <w:szCs w:val="24"/>
        </w:rPr>
      </w:pPr>
      <w:r>
        <w:rPr>
          <w:sz w:val="24"/>
          <w:szCs w:val="24"/>
        </w:rPr>
        <w:t>OECD</w:t>
      </w:r>
      <w:r>
        <w:rPr>
          <w:sz w:val="24"/>
          <w:szCs w:val="24"/>
        </w:rPr>
        <w:tab/>
        <w:t xml:space="preserve">Organizace pro hospodářskou spolupráci a rozvoj (z angl. </w:t>
      </w:r>
      <w:proofErr w:type="spellStart"/>
      <w:r>
        <w:rPr>
          <w:sz w:val="24"/>
          <w:szCs w:val="24"/>
        </w:rPr>
        <w:t>Organisation</w:t>
      </w:r>
      <w:proofErr w:type="spellEnd"/>
      <w:r>
        <w:rPr>
          <w:sz w:val="24"/>
          <w:szCs w:val="24"/>
        </w:rPr>
        <w:t xml:space="preserve"> </w:t>
      </w:r>
      <w:proofErr w:type="spellStart"/>
      <w:r>
        <w:rPr>
          <w:sz w:val="24"/>
          <w:szCs w:val="24"/>
        </w:rPr>
        <w:t>for</w:t>
      </w:r>
      <w:proofErr w:type="spellEnd"/>
      <w:r>
        <w:rPr>
          <w:sz w:val="24"/>
          <w:szCs w:val="24"/>
        </w:rPr>
        <w:t xml:space="preserve"> </w:t>
      </w:r>
      <w:proofErr w:type="spellStart"/>
      <w:r>
        <w:rPr>
          <w:sz w:val="24"/>
          <w:szCs w:val="24"/>
        </w:rPr>
        <w:t>Economic</w:t>
      </w:r>
      <w:proofErr w:type="spellEnd"/>
      <w:r>
        <w:rPr>
          <w:sz w:val="24"/>
          <w:szCs w:val="24"/>
        </w:rPr>
        <w:t xml:space="preserve"> Co-</w:t>
      </w:r>
      <w:proofErr w:type="spellStart"/>
      <w:r>
        <w:rPr>
          <w:sz w:val="24"/>
          <w:szCs w:val="24"/>
        </w:rPr>
        <w:t>operationa</w:t>
      </w:r>
      <w:proofErr w:type="spellEnd"/>
      <w:r>
        <w:rPr>
          <w:sz w:val="24"/>
          <w:szCs w:val="24"/>
        </w:rPr>
        <w:t xml:space="preserve"> and </w:t>
      </w:r>
      <w:proofErr w:type="spellStart"/>
      <w:r>
        <w:rPr>
          <w:sz w:val="24"/>
          <w:szCs w:val="24"/>
        </w:rPr>
        <w:t>Development</w:t>
      </w:r>
      <w:proofErr w:type="spellEnd"/>
      <w:r>
        <w:rPr>
          <w:sz w:val="24"/>
          <w:szCs w:val="24"/>
        </w:rPr>
        <w:t>)</w:t>
      </w:r>
    </w:p>
    <w:p w14:paraId="2C0F0DA7" w14:textId="05C9875E" w:rsidR="000870D5" w:rsidRDefault="000870D5" w:rsidP="00117F85">
      <w:pPr>
        <w:keepNext/>
        <w:spacing w:after="60" w:line="240" w:lineRule="auto"/>
        <w:ind w:left="2835" w:hanging="2835"/>
        <w:rPr>
          <w:rFonts w:cstheme="minorHAnsi"/>
          <w:sz w:val="24"/>
          <w:szCs w:val="24"/>
        </w:rPr>
      </w:pPr>
      <w:r>
        <w:rPr>
          <w:sz w:val="24"/>
          <w:szCs w:val="24"/>
        </w:rPr>
        <w:t>PGRLF</w:t>
      </w:r>
      <w:r>
        <w:rPr>
          <w:sz w:val="24"/>
          <w:szCs w:val="24"/>
        </w:rPr>
        <w:tab/>
      </w:r>
      <w:r>
        <w:rPr>
          <w:rFonts w:cstheme="minorHAnsi"/>
          <w:sz w:val="24"/>
          <w:szCs w:val="24"/>
        </w:rPr>
        <w:t>Podpůrný a garanční rolnický a lesnický fond</w:t>
      </w:r>
      <w:r w:rsidRPr="00020089">
        <w:rPr>
          <w:rFonts w:cstheme="minorHAnsi"/>
          <w:sz w:val="24"/>
          <w:szCs w:val="24"/>
        </w:rPr>
        <w:t>, a.s.</w:t>
      </w:r>
    </w:p>
    <w:p w14:paraId="588B92B0" w14:textId="45EE2736" w:rsidR="00271302" w:rsidRDefault="00271302" w:rsidP="00117F85">
      <w:pPr>
        <w:keepNext/>
        <w:spacing w:after="60" w:line="240" w:lineRule="auto"/>
        <w:ind w:left="2835" w:hanging="2835"/>
        <w:rPr>
          <w:rFonts w:cstheme="minorHAnsi"/>
          <w:sz w:val="24"/>
          <w:szCs w:val="24"/>
        </w:rPr>
      </w:pPr>
      <w:r>
        <w:rPr>
          <w:rFonts w:cstheme="minorHAnsi"/>
          <w:sz w:val="24"/>
          <w:szCs w:val="24"/>
        </w:rPr>
        <w:t>Popis procesů</w:t>
      </w:r>
      <w:r>
        <w:rPr>
          <w:rFonts w:cstheme="minorHAnsi"/>
          <w:sz w:val="24"/>
          <w:szCs w:val="24"/>
        </w:rPr>
        <w:tab/>
      </w:r>
      <w:r w:rsidRPr="008D015E">
        <w:rPr>
          <w:rFonts w:ascii="Calibri" w:eastAsia="Times New Roman" w:hAnsi="Calibri" w:cs="Calibri"/>
          <w:i/>
          <w:sz w:val="24"/>
          <w:szCs w:val="24"/>
        </w:rPr>
        <w:t>Popis procesů pro potřeby Nejvyššího kontrolního úřad</w:t>
      </w:r>
      <w:r w:rsidRPr="00886FB6">
        <w:rPr>
          <w:rFonts w:ascii="Calibri" w:eastAsia="Times New Roman" w:hAnsi="Calibri" w:cs="Calibri"/>
          <w:sz w:val="24"/>
          <w:szCs w:val="24"/>
        </w:rPr>
        <w:t>u</w:t>
      </w:r>
    </w:p>
    <w:p w14:paraId="7D874DAA" w14:textId="041D30C2" w:rsidR="000870D5" w:rsidRDefault="00905147" w:rsidP="00117F85">
      <w:pPr>
        <w:keepNext/>
        <w:spacing w:after="60" w:line="240" w:lineRule="auto"/>
        <w:ind w:left="2835" w:hanging="2835"/>
        <w:rPr>
          <w:rFonts w:cstheme="minorHAnsi"/>
          <w:sz w:val="24"/>
          <w:szCs w:val="24"/>
        </w:rPr>
      </w:pPr>
      <w:r>
        <w:rPr>
          <w:rFonts w:cstheme="minorHAnsi"/>
          <w:sz w:val="24"/>
          <w:szCs w:val="24"/>
        </w:rPr>
        <w:t xml:space="preserve">Doporučení </w:t>
      </w:r>
      <w:r w:rsidR="000870D5">
        <w:rPr>
          <w:rFonts w:cstheme="minorHAnsi"/>
          <w:sz w:val="24"/>
          <w:szCs w:val="24"/>
        </w:rPr>
        <w:t>OECD</w:t>
      </w:r>
      <w:r w:rsidR="000870D5">
        <w:rPr>
          <w:rFonts w:cstheme="minorHAnsi"/>
          <w:sz w:val="24"/>
          <w:szCs w:val="24"/>
        </w:rPr>
        <w:tab/>
      </w:r>
      <w:r w:rsidR="009D67D5" w:rsidRPr="008D015E">
        <w:rPr>
          <w:rFonts w:cstheme="minorHAnsi"/>
          <w:i/>
          <w:sz w:val="24"/>
          <w:szCs w:val="24"/>
        </w:rPr>
        <w:t xml:space="preserve">Metodické pokyny </w:t>
      </w:r>
      <w:r w:rsidR="000870D5" w:rsidRPr="008D015E">
        <w:rPr>
          <w:rFonts w:cstheme="minorHAnsi"/>
          <w:i/>
          <w:sz w:val="24"/>
          <w:szCs w:val="24"/>
        </w:rPr>
        <w:t>OECD pro správu a řízení státem vlastněných společností</w:t>
      </w:r>
    </w:p>
    <w:p w14:paraId="4ABB69E5" w14:textId="41485393" w:rsidR="000870D5" w:rsidRPr="003D0B2C" w:rsidRDefault="000870D5" w:rsidP="00117F85">
      <w:pPr>
        <w:keepNext/>
        <w:spacing w:after="60" w:line="240" w:lineRule="auto"/>
        <w:ind w:left="2835" w:hanging="2835"/>
        <w:rPr>
          <w:sz w:val="24"/>
          <w:szCs w:val="24"/>
        </w:rPr>
      </w:pPr>
      <w:r>
        <w:rPr>
          <w:sz w:val="24"/>
          <w:szCs w:val="24"/>
        </w:rPr>
        <w:t>SMART</w:t>
      </w:r>
      <w:r>
        <w:rPr>
          <w:sz w:val="24"/>
          <w:szCs w:val="24"/>
        </w:rPr>
        <w:tab/>
      </w:r>
      <w:proofErr w:type="spellStart"/>
      <w:r w:rsidR="00117F85">
        <w:rPr>
          <w:sz w:val="24"/>
          <w:szCs w:val="24"/>
        </w:rPr>
        <w:t>s</w:t>
      </w:r>
      <w:r w:rsidRPr="003D0B2C">
        <w:rPr>
          <w:sz w:val="24"/>
          <w:szCs w:val="24"/>
        </w:rPr>
        <w:t>pecific</w:t>
      </w:r>
      <w:proofErr w:type="spellEnd"/>
      <w:r w:rsidRPr="003D0B2C">
        <w:rPr>
          <w:sz w:val="24"/>
          <w:szCs w:val="24"/>
        </w:rPr>
        <w:t xml:space="preserve">, </w:t>
      </w:r>
      <w:proofErr w:type="spellStart"/>
      <w:r w:rsidR="00117F85">
        <w:rPr>
          <w:sz w:val="24"/>
          <w:szCs w:val="24"/>
        </w:rPr>
        <w:t>m</w:t>
      </w:r>
      <w:r w:rsidRPr="003D0B2C">
        <w:rPr>
          <w:sz w:val="24"/>
          <w:szCs w:val="24"/>
        </w:rPr>
        <w:t>easurable</w:t>
      </w:r>
      <w:proofErr w:type="spellEnd"/>
      <w:r w:rsidRPr="003D0B2C">
        <w:rPr>
          <w:sz w:val="24"/>
          <w:szCs w:val="24"/>
        </w:rPr>
        <w:t xml:space="preserve">, </w:t>
      </w:r>
      <w:proofErr w:type="spellStart"/>
      <w:r w:rsidR="00117F85">
        <w:rPr>
          <w:sz w:val="24"/>
          <w:szCs w:val="24"/>
        </w:rPr>
        <w:t>a</w:t>
      </w:r>
      <w:r w:rsidRPr="003D0B2C">
        <w:rPr>
          <w:sz w:val="24"/>
          <w:szCs w:val="24"/>
        </w:rPr>
        <w:t>chievable</w:t>
      </w:r>
      <w:proofErr w:type="spellEnd"/>
      <w:r w:rsidRPr="003D0B2C">
        <w:rPr>
          <w:sz w:val="24"/>
          <w:szCs w:val="24"/>
        </w:rPr>
        <w:t xml:space="preserve">, </w:t>
      </w:r>
      <w:proofErr w:type="spellStart"/>
      <w:r w:rsidR="00117F85">
        <w:rPr>
          <w:sz w:val="24"/>
          <w:szCs w:val="24"/>
        </w:rPr>
        <w:t>r</w:t>
      </w:r>
      <w:r w:rsidRPr="003D0B2C">
        <w:rPr>
          <w:sz w:val="24"/>
          <w:szCs w:val="24"/>
        </w:rPr>
        <w:t>ealistic</w:t>
      </w:r>
      <w:proofErr w:type="spellEnd"/>
      <w:r w:rsidRPr="003D0B2C">
        <w:rPr>
          <w:sz w:val="24"/>
          <w:szCs w:val="24"/>
        </w:rPr>
        <w:t xml:space="preserve">, </w:t>
      </w:r>
      <w:proofErr w:type="spellStart"/>
      <w:r w:rsidR="00117F85">
        <w:rPr>
          <w:sz w:val="24"/>
          <w:szCs w:val="24"/>
        </w:rPr>
        <w:t>t</w:t>
      </w:r>
      <w:r w:rsidRPr="003D0B2C">
        <w:rPr>
          <w:sz w:val="24"/>
          <w:szCs w:val="24"/>
        </w:rPr>
        <w:t>ime</w:t>
      </w:r>
      <w:proofErr w:type="spellEnd"/>
      <w:r w:rsidRPr="003D0B2C">
        <w:rPr>
          <w:sz w:val="24"/>
          <w:szCs w:val="24"/>
        </w:rPr>
        <w:t xml:space="preserve"> </w:t>
      </w:r>
      <w:proofErr w:type="spellStart"/>
      <w:r w:rsidR="00117F85">
        <w:rPr>
          <w:sz w:val="24"/>
          <w:szCs w:val="24"/>
        </w:rPr>
        <w:t>s</w:t>
      </w:r>
      <w:r w:rsidRPr="003D0B2C">
        <w:rPr>
          <w:sz w:val="24"/>
          <w:szCs w:val="24"/>
        </w:rPr>
        <w:t>pecific</w:t>
      </w:r>
      <w:proofErr w:type="spellEnd"/>
    </w:p>
    <w:p w14:paraId="12DA48D7" w14:textId="41C855FE" w:rsidR="000870D5" w:rsidRDefault="000870D5" w:rsidP="00117F85">
      <w:pPr>
        <w:keepNext/>
        <w:spacing w:after="60" w:line="240" w:lineRule="auto"/>
        <w:ind w:left="2835" w:hanging="2835"/>
        <w:rPr>
          <w:sz w:val="24"/>
          <w:szCs w:val="24"/>
        </w:rPr>
      </w:pPr>
      <w:r>
        <w:rPr>
          <w:sz w:val="24"/>
          <w:szCs w:val="24"/>
        </w:rPr>
        <w:t>Strategie</w:t>
      </w:r>
      <w:r w:rsidR="00117F85">
        <w:rPr>
          <w:sz w:val="24"/>
          <w:szCs w:val="24"/>
        </w:rPr>
        <w:t xml:space="preserve"> PGRLF</w:t>
      </w:r>
      <w:r w:rsidRPr="00BF190C">
        <w:rPr>
          <w:sz w:val="24"/>
          <w:szCs w:val="24"/>
        </w:rPr>
        <w:t xml:space="preserve"> 2016</w:t>
      </w:r>
      <w:r w:rsidR="00117F85">
        <w:rPr>
          <w:sz w:val="24"/>
          <w:szCs w:val="24"/>
        </w:rPr>
        <w:t>–</w:t>
      </w:r>
      <w:r w:rsidRPr="00BF190C">
        <w:rPr>
          <w:sz w:val="24"/>
          <w:szCs w:val="24"/>
        </w:rPr>
        <w:t>2020</w:t>
      </w:r>
      <w:r>
        <w:rPr>
          <w:sz w:val="24"/>
          <w:szCs w:val="24"/>
        </w:rPr>
        <w:tab/>
      </w:r>
      <w:r w:rsidRPr="008D015E">
        <w:rPr>
          <w:i/>
          <w:sz w:val="24"/>
          <w:szCs w:val="24"/>
        </w:rPr>
        <w:t>Strategi</w:t>
      </w:r>
      <w:r w:rsidR="009D67D5" w:rsidRPr="008D015E">
        <w:rPr>
          <w:i/>
          <w:sz w:val="24"/>
          <w:szCs w:val="24"/>
        </w:rPr>
        <w:t>e</w:t>
      </w:r>
      <w:r w:rsidRPr="008D015E">
        <w:rPr>
          <w:i/>
          <w:sz w:val="24"/>
          <w:szCs w:val="24"/>
        </w:rPr>
        <w:t xml:space="preserve"> rozvoje společnosti</w:t>
      </w:r>
      <w:r w:rsidR="001D27A2" w:rsidRPr="008D015E">
        <w:rPr>
          <w:i/>
          <w:sz w:val="24"/>
          <w:szCs w:val="24"/>
        </w:rPr>
        <w:t xml:space="preserve"> Podpůrný a garanční rolnický a </w:t>
      </w:r>
      <w:r w:rsidRPr="008D015E">
        <w:rPr>
          <w:i/>
          <w:sz w:val="24"/>
          <w:szCs w:val="24"/>
        </w:rPr>
        <w:t>lesnický fond, a.s. pro roky 2016</w:t>
      </w:r>
      <w:r w:rsidR="00117F85" w:rsidRPr="008D015E">
        <w:rPr>
          <w:i/>
          <w:sz w:val="24"/>
          <w:szCs w:val="24"/>
        </w:rPr>
        <w:t>–</w:t>
      </w:r>
      <w:r w:rsidRPr="008D015E">
        <w:rPr>
          <w:i/>
          <w:sz w:val="24"/>
          <w:szCs w:val="24"/>
        </w:rPr>
        <w:t>2020</w:t>
      </w:r>
    </w:p>
    <w:p w14:paraId="5B2920FE" w14:textId="77777777" w:rsidR="000870D5" w:rsidRDefault="000870D5" w:rsidP="00117F85">
      <w:pPr>
        <w:keepNext/>
        <w:spacing w:after="60" w:line="240" w:lineRule="auto"/>
        <w:ind w:left="2835" w:hanging="2835"/>
        <w:rPr>
          <w:rFonts w:cstheme="minorHAnsi"/>
          <w:sz w:val="24"/>
          <w:szCs w:val="24"/>
        </w:rPr>
      </w:pPr>
      <w:r w:rsidRPr="00B71006">
        <w:rPr>
          <w:rFonts w:cstheme="minorHAnsi"/>
          <w:sz w:val="24"/>
          <w:szCs w:val="24"/>
        </w:rPr>
        <w:t>Strategie pro růst</w:t>
      </w:r>
      <w:r w:rsidRPr="00B71006">
        <w:rPr>
          <w:rFonts w:cstheme="minorHAnsi"/>
          <w:sz w:val="24"/>
          <w:szCs w:val="24"/>
        </w:rPr>
        <w:tab/>
      </w:r>
      <w:r w:rsidRPr="008D015E">
        <w:rPr>
          <w:rFonts w:cstheme="minorHAnsi"/>
          <w:i/>
          <w:sz w:val="24"/>
          <w:szCs w:val="24"/>
        </w:rPr>
        <w:t>Strategie pro růst – české zemědělství a potravinářství v rámci společné zemědělské politiky EU po roce 2013</w:t>
      </w:r>
    </w:p>
    <w:p w14:paraId="53E395A7" w14:textId="0ABEF868" w:rsidR="000870D5" w:rsidRPr="00B71006" w:rsidRDefault="000870D5" w:rsidP="00117F85">
      <w:pPr>
        <w:keepNext/>
        <w:spacing w:after="60" w:line="240" w:lineRule="auto"/>
        <w:ind w:left="2835" w:hanging="2835"/>
        <w:rPr>
          <w:rFonts w:cstheme="minorHAnsi"/>
          <w:sz w:val="24"/>
          <w:szCs w:val="24"/>
        </w:rPr>
      </w:pPr>
      <w:r w:rsidRPr="00B71006">
        <w:rPr>
          <w:rFonts w:cstheme="minorHAnsi"/>
          <w:sz w:val="24"/>
          <w:szCs w:val="24"/>
        </w:rPr>
        <w:t xml:space="preserve">Strategie </w:t>
      </w:r>
      <w:proofErr w:type="spellStart"/>
      <w:r w:rsidRPr="00B71006">
        <w:rPr>
          <w:rFonts w:cstheme="minorHAnsi"/>
          <w:sz w:val="24"/>
          <w:szCs w:val="24"/>
        </w:rPr>
        <w:t>MZe</w:t>
      </w:r>
      <w:proofErr w:type="spellEnd"/>
      <w:r w:rsidRPr="00B71006">
        <w:rPr>
          <w:rFonts w:cstheme="minorHAnsi"/>
          <w:sz w:val="24"/>
          <w:szCs w:val="24"/>
        </w:rPr>
        <w:t xml:space="preserve"> 2030</w:t>
      </w:r>
      <w:r w:rsidRPr="00B71006">
        <w:rPr>
          <w:rFonts w:cstheme="minorHAnsi"/>
          <w:sz w:val="24"/>
          <w:szCs w:val="24"/>
        </w:rPr>
        <w:tab/>
      </w:r>
      <w:r w:rsidRPr="008D015E">
        <w:rPr>
          <w:rFonts w:cstheme="minorHAnsi"/>
          <w:i/>
          <w:sz w:val="24"/>
          <w:szCs w:val="24"/>
        </w:rPr>
        <w:t>Strategie resortu Ministerstva zemědělství České republiky s výhledem do roku 2030</w:t>
      </w:r>
    </w:p>
    <w:p w14:paraId="5CF0F84A" w14:textId="77777777" w:rsidR="000870D5" w:rsidRDefault="000870D5" w:rsidP="00117F85">
      <w:pPr>
        <w:keepNext/>
        <w:spacing w:after="60" w:line="240" w:lineRule="auto"/>
        <w:ind w:left="2835" w:hanging="2835"/>
        <w:rPr>
          <w:rFonts w:cstheme="minorHAnsi"/>
          <w:sz w:val="24"/>
          <w:szCs w:val="24"/>
        </w:rPr>
      </w:pPr>
      <w:r w:rsidRPr="006E74E5">
        <w:rPr>
          <w:rFonts w:cstheme="minorHAnsi"/>
          <w:sz w:val="24"/>
          <w:szCs w:val="24"/>
        </w:rPr>
        <w:t xml:space="preserve">Strategie </w:t>
      </w:r>
      <w:r>
        <w:rPr>
          <w:rFonts w:cstheme="minorHAnsi"/>
          <w:sz w:val="24"/>
          <w:szCs w:val="24"/>
        </w:rPr>
        <w:t>VPS</w:t>
      </w:r>
      <w:r>
        <w:rPr>
          <w:rFonts w:cstheme="minorHAnsi"/>
          <w:sz w:val="24"/>
          <w:szCs w:val="24"/>
        </w:rPr>
        <w:tab/>
      </w:r>
      <w:r w:rsidRPr="008D015E">
        <w:rPr>
          <w:rFonts w:cstheme="minorHAnsi"/>
          <w:i/>
          <w:sz w:val="24"/>
          <w:szCs w:val="24"/>
        </w:rPr>
        <w:t>Strategie vlastnické politiky státu</w:t>
      </w:r>
      <w:r>
        <w:rPr>
          <w:rFonts w:cstheme="minorHAnsi"/>
          <w:sz w:val="24"/>
          <w:szCs w:val="24"/>
        </w:rPr>
        <w:t xml:space="preserve"> </w:t>
      </w:r>
    </w:p>
    <w:p w14:paraId="01E4D8EB" w14:textId="77777777" w:rsidR="00AA168C" w:rsidRDefault="00AA168C" w:rsidP="005C3B72">
      <w:pPr>
        <w:spacing w:after="120" w:line="240" w:lineRule="auto"/>
        <w:ind w:left="2410" w:hanging="2410"/>
        <w:rPr>
          <w:rFonts w:cstheme="minorHAnsi"/>
          <w:sz w:val="24"/>
          <w:szCs w:val="24"/>
        </w:rPr>
      </w:pPr>
    </w:p>
    <w:p w14:paraId="6B54D564" w14:textId="77777777" w:rsidR="003E0A45" w:rsidRDefault="003E0A45">
      <w:pPr>
        <w:rPr>
          <w:rFonts w:cstheme="minorHAnsi"/>
          <w:b/>
          <w:sz w:val="24"/>
          <w:szCs w:val="24"/>
        </w:rPr>
      </w:pPr>
      <w:r>
        <w:rPr>
          <w:rFonts w:cstheme="minorHAnsi"/>
          <w:b/>
          <w:sz w:val="24"/>
          <w:szCs w:val="24"/>
        </w:rPr>
        <w:br w:type="page"/>
      </w:r>
    </w:p>
    <w:p w14:paraId="0A748EEB" w14:textId="50329310" w:rsidR="00E22DC2" w:rsidRDefault="00E22DC2" w:rsidP="00E22DC2">
      <w:pPr>
        <w:spacing w:after="0" w:line="240" w:lineRule="auto"/>
        <w:jc w:val="right"/>
        <w:rPr>
          <w:rFonts w:ascii="Calibri" w:hAnsi="Calibri" w:cs="Calibri"/>
          <w:b/>
          <w:sz w:val="24"/>
          <w:szCs w:val="24"/>
        </w:rPr>
      </w:pPr>
      <w:r w:rsidRPr="00E22DC2">
        <w:rPr>
          <w:rFonts w:ascii="Calibri" w:hAnsi="Calibri" w:cs="Calibri"/>
          <w:b/>
          <w:sz w:val="24"/>
          <w:szCs w:val="24"/>
        </w:rPr>
        <w:lastRenderedPageBreak/>
        <w:t>Příloha</w:t>
      </w:r>
      <w:r w:rsidR="00E44E44">
        <w:rPr>
          <w:rFonts w:ascii="Calibri" w:hAnsi="Calibri" w:cs="Calibri"/>
          <w:b/>
          <w:sz w:val="24"/>
          <w:szCs w:val="24"/>
        </w:rPr>
        <w:t xml:space="preserve"> č.</w:t>
      </w:r>
      <w:r w:rsidR="00C01675">
        <w:rPr>
          <w:rFonts w:ascii="Calibri" w:hAnsi="Calibri" w:cs="Calibri"/>
          <w:b/>
          <w:sz w:val="24"/>
          <w:szCs w:val="24"/>
        </w:rPr>
        <w:t> </w:t>
      </w:r>
      <w:r w:rsidR="00E44E44">
        <w:rPr>
          <w:rFonts w:ascii="Calibri" w:hAnsi="Calibri" w:cs="Calibri"/>
          <w:b/>
          <w:sz w:val="24"/>
          <w:szCs w:val="24"/>
        </w:rPr>
        <w:t>1</w:t>
      </w:r>
    </w:p>
    <w:p w14:paraId="6F84D36C" w14:textId="77777777" w:rsidR="00E22DC2" w:rsidRPr="00E22DC2" w:rsidRDefault="00E22DC2" w:rsidP="00E22DC2">
      <w:pPr>
        <w:spacing w:after="0" w:line="240" w:lineRule="auto"/>
        <w:jc w:val="right"/>
        <w:rPr>
          <w:rFonts w:ascii="Calibri" w:hAnsi="Calibri" w:cs="Calibri"/>
          <w:b/>
          <w:sz w:val="24"/>
          <w:szCs w:val="24"/>
        </w:rPr>
      </w:pPr>
    </w:p>
    <w:p w14:paraId="308B4A33" w14:textId="6B969239" w:rsidR="000870D5" w:rsidRPr="00E22DC2" w:rsidRDefault="000870D5" w:rsidP="00E22DC2">
      <w:pPr>
        <w:spacing w:after="0" w:line="240" w:lineRule="auto"/>
        <w:jc w:val="center"/>
        <w:rPr>
          <w:rFonts w:ascii="Calibri" w:hAnsi="Calibri" w:cs="Calibri"/>
          <w:b/>
          <w:sz w:val="24"/>
          <w:szCs w:val="24"/>
        </w:rPr>
      </w:pPr>
      <w:r w:rsidRPr="00E22DC2">
        <w:rPr>
          <w:rFonts w:ascii="Calibri" w:hAnsi="Calibri" w:cs="Calibri"/>
          <w:b/>
          <w:sz w:val="24"/>
          <w:szCs w:val="24"/>
        </w:rPr>
        <w:t>Programy podpory poskytované PGRLF</w:t>
      </w:r>
    </w:p>
    <w:p w14:paraId="6AAA5D84" w14:textId="77777777" w:rsidR="000870D5" w:rsidRPr="00E22DC2" w:rsidRDefault="000870D5" w:rsidP="00E22DC2">
      <w:pPr>
        <w:spacing w:after="0" w:line="240" w:lineRule="auto"/>
        <w:jc w:val="both"/>
        <w:rPr>
          <w:rFonts w:ascii="Calibri" w:hAnsi="Calibri" w:cs="Calibri"/>
          <w:b/>
          <w:sz w:val="24"/>
          <w:szCs w:val="24"/>
        </w:rPr>
      </w:pPr>
    </w:p>
    <w:p w14:paraId="24D28CBD" w14:textId="4833BC06" w:rsidR="000870D5" w:rsidRDefault="000870D5" w:rsidP="00E22DC2">
      <w:pPr>
        <w:spacing w:after="0" w:line="240" w:lineRule="auto"/>
        <w:jc w:val="both"/>
        <w:rPr>
          <w:rFonts w:ascii="Calibri" w:hAnsi="Calibri" w:cs="Calibri"/>
          <w:sz w:val="24"/>
          <w:szCs w:val="24"/>
        </w:rPr>
      </w:pPr>
      <w:r w:rsidRPr="00E22DC2">
        <w:rPr>
          <w:rFonts w:ascii="Calibri" w:hAnsi="Calibri" w:cs="Calibri"/>
          <w:b/>
          <w:sz w:val="24"/>
          <w:szCs w:val="24"/>
        </w:rPr>
        <w:t xml:space="preserve">1. Program </w:t>
      </w:r>
      <w:r w:rsidRPr="008D015E">
        <w:rPr>
          <w:rFonts w:ascii="Calibri" w:hAnsi="Calibri" w:cs="Calibri"/>
          <w:b/>
          <w:i/>
          <w:sz w:val="24"/>
          <w:szCs w:val="24"/>
        </w:rPr>
        <w:t>Zemědělec</w:t>
      </w:r>
      <w:r w:rsidRPr="00E22DC2">
        <w:rPr>
          <w:rFonts w:ascii="Calibri" w:hAnsi="Calibri" w:cs="Calibri"/>
          <w:sz w:val="24"/>
          <w:szCs w:val="24"/>
        </w:rPr>
        <w:t xml:space="preserve"> – Podpora je poskytována ve formě subvence úroků z investičních úvěrů poskytnutých komerčními subjekty, a to zejména na nákup zemědělské techniky do</w:t>
      </w:r>
      <w:r w:rsidR="0030365B">
        <w:rPr>
          <w:rFonts w:ascii="Calibri" w:hAnsi="Calibri" w:cs="Calibri"/>
          <w:sz w:val="24"/>
          <w:szCs w:val="24"/>
        </w:rPr>
        <w:t xml:space="preserve"> </w:t>
      </w:r>
      <w:r w:rsidRPr="00E22DC2">
        <w:rPr>
          <w:rFonts w:ascii="Calibri" w:hAnsi="Calibri" w:cs="Calibri"/>
          <w:sz w:val="24"/>
          <w:szCs w:val="24"/>
        </w:rPr>
        <w:t xml:space="preserve">zemědělské prvovýroby, na výstavbu, pořízení nebo vylepšení nemovitého majetku v zemědělských závodech a dále na nákup plemenných zvířat za účelem zlepšení genetické hodnoty stáda. Podpora může být poskytnuta jak podnikům, které jsou řazeny do kategorie malých a středních podniků, tak i podnikům, které jsou řazeny do kategorie velkých podniků. Celkový objem úvěrových prostředků, ke kterým má být poskytována podpora u jednoho žadatele </w:t>
      </w:r>
      <w:r w:rsidR="0030365B">
        <w:rPr>
          <w:rFonts w:ascii="Calibri" w:hAnsi="Calibri" w:cs="Calibri"/>
          <w:sz w:val="24"/>
          <w:szCs w:val="24"/>
        </w:rPr>
        <w:t>v rámci jednoho kola</w:t>
      </w:r>
      <w:r w:rsidRPr="00E22DC2">
        <w:rPr>
          <w:rFonts w:ascii="Calibri" w:hAnsi="Calibri" w:cs="Calibri"/>
          <w:sz w:val="24"/>
          <w:szCs w:val="24"/>
        </w:rPr>
        <w:t xml:space="preserve"> příjmu žádostí u úvěrů na pořízení zemědělské techniky, nesmí překročit částku 10 mil. Kč. </w:t>
      </w:r>
    </w:p>
    <w:p w14:paraId="027E489F" w14:textId="77777777" w:rsidR="00E22DC2" w:rsidRPr="00E22DC2" w:rsidRDefault="00E22DC2" w:rsidP="00E22DC2">
      <w:pPr>
        <w:spacing w:after="0" w:line="240" w:lineRule="auto"/>
        <w:jc w:val="both"/>
        <w:rPr>
          <w:rFonts w:ascii="Calibri" w:hAnsi="Calibri" w:cs="Calibri"/>
          <w:sz w:val="24"/>
          <w:szCs w:val="24"/>
        </w:rPr>
      </w:pPr>
    </w:p>
    <w:p w14:paraId="3C6DE4D5" w14:textId="014A1290" w:rsidR="000870D5" w:rsidRDefault="000870D5" w:rsidP="00E22DC2">
      <w:pPr>
        <w:autoSpaceDE w:val="0"/>
        <w:autoSpaceDN w:val="0"/>
        <w:adjustRightInd w:val="0"/>
        <w:spacing w:after="0" w:line="240" w:lineRule="auto"/>
        <w:jc w:val="both"/>
        <w:rPr>
          <w:rFonts w:ascii="Calibri" w:hAnsi="Calibri" w:cs="Calibri"/>
          <w:sz w:val="24"/>
          <w:szCs w:val="24"/>
        </w:rPr>
      </w:pPr>
      <w:r w:rsidRPr="00E22DC2">
        <w:rPr>
          <w:rFonts w:ascii="Calibri" w:hAnsi="Calibri" w:cs="Calibri"/>
          <w:b/>
          <w:sz w:val="24"/>
          <w:szCs w:val="24"/>
        </w:rPr>
        <w:t xml:space="preserve">2. Program </w:t>
      </w:r>
      <w:r w:rsidR="00E50EF9" w:rsidRPr="008D015E">
        <w:rPr>
          <w:rFonts w:ascii="Calibri" w:hAnsi="Calibri" w:cs="Calibri"/>
          <w:b/>
          <w:i/>
          <w:sz w:val="24"/>
          <w:szCs w:val="24"/>
        </w:rPr>
        <w:t>P</w:t>
      </w:r>
      <w:r w:rsidRPr="008D015E">
        <w:rPr>
          <w:rFonts w:ascii="Calibri" w:hAnsi="Calibri" w:cs="Calibri"/>
          <w:b/>
          <w:i/>
          <w:sz w:val="24"/>
          <w:szCs w:val="24"/>
        </w:rPr>
        <w:t>odpora nákupu půdy</w:t>
      </w:r>
      <w:r w:rsidRPr="00E22DC2">
        <w:rPr>
          <w:rFonts w:ascii="Calibri" w:hAnsi="Calibri" w:cs="Calibri"/>
          <w:sz w:val="24"/>
          <w:szCs w:val="24"/>
        </w:rPr>
        <w:t xml:space="preserve"> – Program ve formě finančních prostředků určených</w:t>
      </w:r>
      <w:r w:rsidR="00575A58">
        <w:rPr>
          <w:rFonts w:ascii="Calibri" w:hAnsi="Calibri" w:cs="Calibri"/>
          <w:sz w:val="24"/>
          <w:szCs w:val="24"/>
        </w:rPr>
        <w:t xml:space="preserve"> pro </w:t>
      </w:r>
      <w:r w:rsidRPr="00E22DC2">
        <w:rPr>
          <w:rFonts w:ascii="Calibri" w:hAnsi="Calibri" w:cs="Calibri"/>
          <w:sz w:val="24"/>
          <w:szCs w:val="24"/>
        </w:rPr>
        <w:t>snížení úrokového zatížení komerčních úvěrů na nákup</w:t>
      </w:r>
      <w:r w:rsidR="00575A58">
        <w:rPr>
          <w:rFonts w:ascii="Calibri" w:hAnsi="Calibri" w:cs="Calibri"/>
          <w:sz w:val="24"/>
          <w:szCs w:val="24"/>
        </w:rPr>
        <w:t xml:space="preserve"> zemědělské půdy, která není ve </w:t>
      </w:r>
      <w:r w:rsidRPr="00E22DC2">
        <w:rPr>
          <w:rFonts w:ascii="Calibri" w:hAnsi="Calibri" w:cs="Calibri"/>
          <w:sz w:val="24"/>
          <w:szCs w:val="24"/>
        </w:rPr>
        <w:t xml:space="preserve">vlastnictví státu v režimu podpory de </w:t>
      </w:r>
      <w:proofErr w:type="spellStart"/>
      <w:r w:rsidRPr="00E22DC2">
        <w:rPr>
          <w:rFonts w:ascii="Calibri" w:hAnsi="Calibri" w:cs="Calibri"/>
          <w:sz w:val="24"/>
          <w:szCs w:val="24"/>
        </w:rPr>
        <w:t>minimis</w:t>
      </w:r>
      <w:proofErr w:type="spellEnd"/>
      <w:r w:rsidRPr="00E22DC2">
        <w:rPr>
          <w:rFonts w:ascii="Calibri" w:hAnsi="Calibri" w:cs="Calibri"/>
          <w:sz w:val="24"/>
          <w:szCs w:val="24"/>
        </w:rPr>
        <w:t>. Cílem př</w:t>
      </w:r>
      <w:r w:rsidR="00575A58">
        <w:rPr>
          <w:rFonts w:ascii="Calibri" w:hAnsi="Calibri" w:cs="Calibri"/>
          <w:sz w:val="24"/>
          <w:szCs w:val="24"/>
        </w:rPr>
        <w:t xml:space="preserve">edkládaného programu podpory je </w:t>
      </w:r>
      <w:r w:rsidRPr="00E22DC2">
        <w:rPr>
          <w:rFonts w:ascii="Calibri" w:hAnsi="Calibri" w:cs="Calibri"/>
          <w:sz w:val="24"/>
          <w:szCs w:val="24"/>
        </w:rPr>
        <w:t>zpřístupnit pořízení zemědělské půdy jako primárního výrobního prostředku zemědělských prvovýrobců. Celkový objem úvěrových prostředků u jednoho žadatele</w:t>
      </w:r>
      <w:r w:rsidR="00575A58">
        <w:rPr>
          <w:rFonts w:ascii="Calibri" w:hAnsi="Calibri" w:cs="Calibri"/>
          <w:sz w:val="24"/>
          <w:szCs w:val="24"/>
        </w:rPr>
        <w:t xml:space="preserve"> nesmí překročit částku 10 mil. </w:t>
      </w:r>
      <w:r w:rsidRPr="00E22DC2">
        <w:rPr>
          <w:rFonts w:ascii="Calibri" w:hAnsi="Calibri" w:cs="Calibri"/>
          <w:sz w:val="24"/>
          <w:szCs w:val="24"/>
        </w:rPr>
        <w:t>Kč. Úvěr poskytnutý žadateli na nákup nestátní zemědělské půdy, na který má</w:t>
      </w:r>
      <w:r w:rsidR="00E44E44">
        <w:rPr>
          <w:rFonts w:ascii="Calibri" w:hAnsi="Calibri" w:cs="Calibri"/>
          <w:sz w:val="24"/>
          <w:szCs w:val="24"/>
        </w:rPr>
        <w:t xml:space="preserve"> </w:t>
      </w:r>
      <w:r w:rsidRPr="00E22DC2">
        <w:rPr>
          <w:rFonts w:ascii="Calibri" w:hAnsi="Calibri" w:cs="Calibri"/>
          <w:sz w:val="24"/>
          <w:szCs w:val="24"/>
        </w:rPr>
        <w:t>být poskytována podpora, nesmí být nižší než 100 tis. Kč. Maximální procentní sa</w:t>
      </w:r>
      <w:r w:rsidR="000F1662" w:rsidRPr="00E22DC2">
        <w:rPr>
          <w:rFonts w:ascii="Calibri" w:hAnsi="Calibri" w:cs="Calibri"/>
          <w:sz w:val="24"/>
          <w:szCs w:val="24"/>
        </w:rPr>
        <w:t>zba podpory je 5 </w:t>
      </w:r>
      <w:r w:rsidRPr="00E22DC2">
        <w:rPr>
          <w:rFonts w:ascii="Calibri" w:hAnsi="Calibri" w:cs="Calibri"/>
          <w:sz w:val="24"/>
          <w:szCs w:val="24"/>
        </w:rPr>
        <w:t xml:space="preserve">% </w:t>
      </w:r>
      <w:proofErr w:type="spellStart"/>
      <w:proofErr w:type="gramStart"/>
      <w:r w:rsidRPr="00E22DC2">
        <w:rPr>
          <w:rFonts w:ascii="Calibri" w:hAnsi="Calibri" w:cs="Calibri"/>
          <w:sz w:val="24"/>
          <w:szCs w:val="24"/>
        </w:rPr>
        <w:t>p.a</w:t>
      </w:r>
      <w:proofErr w:type="spellEnd"/>
      <w:r w:rsidRPr="00E22DC2">
        <w:rPr>
          <w:rFonts w:ascii="Calibri" w:hAnsi="Calibri" w:cs="Calibri"/>
          <w:sz w:val="24"/>
          <w:szCs w:val="24"/>
        </w:rPr>
        <w:t>.</w:t>
      </w:r>
      <w:proofErr w:type="gramEnd"/>
      <w:r w:rsidRPr="00E22DC2">
        <w:rPr>
          <w:rFonts w:ascii="Calibri" w:hAnsi="Calibri" w:cs="Calibri"/>
          <w:sz w:val="24"/>
          <w:szCs w:val="24"/>
        </w:rPr>
        <w:t xml:space="preserve">, úrokové zatížení příjemce podpory je minimálně 0,5 % </w:t>
      </w:r>
      <w:proofErr w:type="spellStart"/>
      <w:r w:rsidRPr="00E22DC2">
        <w:rPr>
          <w:rFonts w:ascii="Calibri" w:hAnsi="Calibri" w:cs="Calibri"/>
          <w:sz w:val="24"/>
          <w:szCs w:val="24"/>
        </w:rPr>
        <w:t>p.a</w:t>
      </w:r>
      <w:proofErr w:type="spellEnd"/>
      <w:r w:rsidRPr="00E22DC2">
        <w:rPr>
          <w:rFonts w:ascii="Calibri" w:hAnsi="Calibri" w:cs="Calibri"/>
          <w:sz w:val="24"/>
          <w:szCs w:val="24"/>
        </w:rPr>
        <w:t>. Nakoupená půda nesmí být předmětem smluvního převodu (např. prodeje či darování; nikoli tedy např. dědění) ani pronájmu (vyjma ujednání o náhradním užívání) po celou dobu tr</w:t>
      </w:r>
      <w:r w:rsidR="000F1662" w:rsidRPr="00E22DC2">
        <w:rPr>
          <w:rFonts w:ascii="Calibri" w:hAnsi="Calibri" w:cs="Calibri"/>
          <w:sz w:val="24"/>
          <w:szCs w:val="24"/>
        </w:rPr>
        <w:t>vání smluvního vztahu s </w:t>
      </w:r>
      <w:r w:rsidRPr="00E22DC2">
        <w:rPr>
          <w:rFonts w:ascii="Calibri" w:hAnsi="Calibri" w:cs="Calibri"/>
          <w:sz w:val="24"/>
          <w:szCs w:val="24"/>
        </w:rPr>
        <w:t>PGRLF bez jeho předchozího písemného souhlasu.</w:t>
      </w:r>
    </w:p>
    <w:p w14:paraId="2BAC3629" w14:textId="77777777" w:rsidR="00E22DC2" w:rsidRPr="00E22DC2" w:rsidRDefault="00E22DC2" w:rsidP="00E22DC2">
      <w:pPr>
        <w:autoSpaceDE w:val="0"/>
        <w:autoSpaceDN w:val="0"/>
        <w:adjustRightInd w:val="0"/>
        <w:spacing w:after="0" w:line="240" w:lineRule="auto"/>
        <w:jc w:val="both"/>
        <w:rPr>
          <w:rFonts w:ascii="Calibri" w:hAnsi="Calibri" w:cs="Calibri"/>
          <w:sz w:val="24"/>
          <w:szCs w:val="24"/>
        </w:rPr>
      </w:pPr>
    </w:p>
    <w:p w14:paraId="5EF0A5BB" w14:textId="786B5AFB" w:rsidR="000870D5" w:rsidRDefault="000870D5" w:rsidP="00E22DC2">
      <w:pPr>
        <w:autoSpaceDE w:val="0"/>
        <w:autoSpaceDN w:val="0"/>
        <w:adjustRightInd w:val="0"/>
        <w:spacing w:after="0" w:line="240" w:lineRule="auto"/>
        <w:jc w:val="both"/>
        <w:rPr>
          <w:rFonts w:ascii="Calibri" w:hAnsi="Calibri" w:cs="Calibri"/>
          <w:sz w:val="24"/>
          <w:szCs w:val="24"/>
        </w:rPr>
      </w:pPr>
      <w:r w:rsidRPr="00E22DC2">
        <w:rPr>
          <w:rFonts w:ascii="Calibri" w:hAnsi="Calibri" w:cs="Calibri"/>
          <w:b/>
          <w:sz w:val="24"/>
          <w:szCs w:val="24"/>
        </w:rPr>
        <w:t xml:space="preserve">3. Program </w:t>
      </w:r>
      <w:r w:rsidR="00E50EF9" w:rsidRPr="008D015E">
        <w:rPr>
          <w:rFonts w:ascii="Calibri" w:hAnsi="Calibri" w:cs="Calibri"/>
          <w:b/>
          <w:i/>
          <w:sz w:val="24"/>
          <w:szCs w:val="24"/>
        </w:rPr>
        <w:t>P</w:t>
      </w:r>
      <w:r w:rsidRPr="008D015E">
        <w:rPr>
          <w:rFonts w:ascii="Calibri" w:hAnsi="Calibri" w:cs="Calibri"/>
          <w:b/>
          <w:i/>
          <w:sz w:val="24"/>
          <w:szCs w:val="24"/>
        </w:rPr>
        <w:t>odpora nákupu půdy – snížení jistiny úvěru</w:t>
      </w:r>
      <w:r w:rsidR="00E50EF9">
        <w:rPr>
          <w:rFonts w:ascii="Calibri" w:hAnsi="Calibri" w:cs="Calibri"/>
          <w:sz w:val="24"/>
          <w:szCs w:val="24"/>
        </w:rPr>
        <w:t xml:space="preserve"> – Program je </w:t>
      </w:r>
      <w:r w:rsidRPr="00E22DC2">
        <w:rPr>
          <w:rFonts w:ascii="Calibri" w:hAnsi="Calibri" w:cs="Calibri"/>
          <w:sz w:val="24"/>
          <w:szCs w:val="24"/>
        </w:rPr>
        <w:t>určen jako další možnost podpory nákupu nestátní zemědělské půdy</w:t>
      </w:r>
      <w:r w:rsidR="00FF0935">
        <w:rPr>
          <w:rFonts w:ascii="Calibri" w:hAnsi="Calibri" w:cs="Calibri"/>
          <w:sz w:val="24"/>
          <w:szCs w:val="24"/>
        </w:rPr>
        <w:t>;</w:t>
      </w:r>
      <w:r w:rsidRPr="00E22DC2">
        <w:rPr>
          <w:rFonts w:ascii="Calibri" w:hAnsi="Calibri" w:cs="Calibri"/>
          <w:sz w:val="24"/>
          <w:szCs w:val="24"/>
        </w:rPr>
        <w:t xml:space="preserve"> v</w:t>
      </w:r>
      <w:r w:rsidR="00575A58">
        <w:rPr>
          <w:rFonts w:ascii="Calibri" w:hAnsi="Calibri" w:cs="Calibri"/>
          <w:sz w:val="24"/>
          <w:szCs w:val="24"/>
        </w:rPr>
        <w:t> jeho</w:t>
      </w:r>
      <w:r w:rsidRPr="00E22DC2">
        <w:rPr>
          <w:rFonts w:ascii="Calibri" w:hAnsi="Calibri" w:cs="Calibri"/>
          <w:sz w:val="24"/>
          <w:szCs w:val="24"/>
        </w:rPr>
        <w:t xml:space="preserve"> rámci je poskytována přímá finanční podpora zemědělským prvovýrobcům na snížení jistiny úvěru na nákup půdy poskytnutého komerčním subjektem. Program podpory je určen pro zemědělské podnikatele, kteří působí v oblasti zemědělské prvovýroby</w:t>
      </w:r>
      <w:r w:rsidR="00FF0935">
        <w:rPr>
          <w:rFonts w:ascii="Calibri" w:hAnsi="Calibri" w:cs="Calibri"/>
          <w:sz w:val="24"/>
          <w:szCs w:val="24"/>
        </w:rPr>
        <w:t>,</w:t>
      </w:r>
      <w:r w:rsidRPr="00E22DC2">
        <w:rPr>
          <w:rFonts w:ascii="Calibri" w:hAnsi="Calibri" w:cs="Calibri"/>
          <w:sz w:val="24"/>
          <w:szCs w:val="24"/>
        </w:rPr>
        <w:t xml:space="preserve"> a je poskytován v režimu de </w:t>
      </w:r>
      <w:proofErr w:type="spellStart"/>
      <w:r w:rsidRPr="00E22DC2">
        <w:rPr>
          <w:rFonts w:ascii="Calibri" w:hAnsi="Calibri" w:cs="Calibri"/>
          <w:sz w:val="24"/>
          <w:szCs w:val="24"/>
        </w:rPr>
        <w:t>minimis</w:t>
      </w:r>
      <w:proofErr w:type="spellEnd"/>
      <w:r w:rsidRPr="00E22DC2">
        <w:rPr>
          <w:rFonts w:ascii="Calibri" w:hAnsi="Calibri" w:cs="Calibri"/>
          <w:sz w:val="24"/>
          <w:szCs w:val="24"/>
        </w:rPr>
        <w:t>. Maximální výše podpory je korunový (Kč) ekvivalent částky 15 000 € přepočtený referenčním kursem stanoveným E</w:t>
      </w:r>
      <w:r w:rsidR="00921896">
        <w:rPr>
          <w:rFonts w:ascii="Calibri" w:hAnsi="Calibri" w:cs="Calibri"/>
          <w:sz w:val="24"/>
          <w:szCs w:val="24"/>
        </w:rPr>
        <w:t>vropskou centrální bankou</w:t>
      </w:r>
      <w:r w:rsidRPr="00E22DC2">
        <w:rPr>
          <w:rFonts w:ascii="Calibri" w:hAnsi="Calibri" w:cs="Calibri"/>
          <w:sz w:val="24"/>
          <w:szCs w:val="24"/>
        </w:rPr>
        <w:t xml:space="preserve"> ke dni poskytnutí </w:t>
      </w:r>
      <w:r w:rsidR="00FF0935">
        <w:rPr>
          <w:rFonts w:ascii="Calibri" w:hAnsi="Calibri" w:cs="Calibri"/>
          <w:sz w:val="24"/>
          <w:szCs w:val="24"/>
        </w:rPr>
        <w:t>p</w:t>
      </w:r>
      <w:r w:rsidRPr="00E22DC2">
        <w:rPr>
          <w:rFonts w:ascii="Calibri" w:hAnsi="Calibri" w:cs="Calibri"/>
          <w:sz w:val="24"/>
          <w:szCs w:val="24"/>
        </w:rPr>
        <w:t xml:space="preserve">odpory. Zároveň však platí, že celková výše podpory de </w:t>
      </w:r>
      <w:proofErr w:type="spellStart"/>
      <w:r w:rsidRPr="00E22DC2">
        <w:rPr>
          <w:rFonts w:ascii="Calibri" w:hAnsi="Calibri" w:cs="Calibri"/>
          <w:sz w:val="24"/>
          <w:szCs w:val="24"/>
        </w:rPr>
        <w:t>minimis</w:t>
      </w:r>
      <w:proofErr w:type="spellEnd"/>
      <w:r w:rsidRPr="00E22DC2">
        <w:rPr>
          <w:rFonts w:ascii="Calibri" w:hAnsi="Calibri" w:cs="Calibri"/>
          <w:sz w:val="24"/>
          <w:szCs w:val="24"/>
        </w:rPr>
        <w:t xml:space="preserve"> poskytnutá jednomu podniku nesmí za libovolná tři po sobě jdoucí účetní období překročit korunový ekvivalent částky 15 000 €. Nakupovaná půda nesmí být ve vlastnictví státu. Žadatel se musí zavázat k provozování zemědělské výroby na nakoupené půdě, minimálně však na dobu pěti let </w:t>
      </w:r>
      <w:r w:rsidR="00FF0935">
        <w:rPr>
          <w:rFonts w:ascii="Calibri" w:hAnsi="Calibri" w:cs="Calibri"/>
          <w:sz w:val="24"/>
          <w:szCs w:val="24"/>
        </w:rPr>
        <w:t>–</w:t>
      </w:r>
      <w:r w:rsidRPr="00E22DC2">
        <w:rPr>
          <w:rFonts w:ascii="Calibri" w:hAnsi="Calibri" w:cs="Calibri"/>
          <w:sz w:val="24"/>
          <w:szCs w:val="24"/>
        </w:rPr>
        <w:t xml:space="preserve"> tato lhůta začíná plynout od data uzavření sm</w:t>
      </w:r>
      <w:r w:rsidR="000F1662" w:rsidRPr="00E22DC2">
        <w:rPr>
          <w:rFonts w:ascii="Calibri" w:hAnsi="Calibri" w:cs="Calibri"/>
          <w:sz w:val="24"/>
          <w:szCs w:val="24"/>
        </w:rPr>
        <w:t>louvy o </w:t>
      </w:r>
      <w:r w:rsidRPr="00E22DC2">
        <w:rPr>
          <w:rFonts w:ascii="Calibri" w:hAnsi="Calibri" w:cs="Calibri"/>
          <w:sz w:val="24"/>
          <w:szCs w:val="24"/>
        </w:rPr>
        <w:t>poskytnutí podpory. Nakoupená půda nesmí být</w:t>
      </w:r>
      <w:r w:rsidR="00FF0935">
        <w:rPr>
          <w:rFonts w:ascii="Calibri" w:hAnsi="Calibri" w:cs="Calibri"/>
          <w:sz w:val="24"/>
          <w:szCs w:val="24"/>
        </w:rPr>
        <w:t xml:space="preserve"> </w:t>
      </w:r>
      <w:r w:rsidRPr="00E22DC2">
        <w:rPr>
          <w:rFonts w:ascii="Calibri" w:hAnsi="Calibri" w:cs="Calibri"/>
          <w:sz w:val="24"/>
          <w:szCs w:val="24"/>
        </w:rPr>
        <w:t>předmětem smluvního převodu (např. prodeje či darování; nikoli tedy např. dědění) ani</w:t>
      </w:r>
      <w:r w:rsidR="00FF0935">
        <w:rPr>
          <w:rFonts w:ascii="Calibri" w:hAnsi="Calibri" w:cs="Calibri"/>
          <w:sz w:val="24"/>
          <w:szCs w:val="24"/>
        </w:rPr>
        <w:t xml:space="preserve"> </w:t>
      </w:r>
      <w:r w:rsidRPr="00E22DC2">
        <w:rPr>
          <w:rFonts w:ascii="Calibri" w:hAnsi="Calibri" w:cs="Calibri"/>
          <w:sz w:val="24"/>
          <w:szCs w:val="24"/>
        </w:rPr>
        <w:t>pronájmu (vyjma ujednání o</w:t>
      </w:r>
      <w:r w:rsidR="00921896">
        <w:rPr>
          <w:rFonts w:ascii="Calibri" w:hAnsi="Calibri" w:cs="Calibri"/>
          <w:sz w:val="24"/>
          <w:szCs w:val="24"/>
        </w:rPr>
        <w:t> </w:t>
      </w:r>
      <w:r w:rsidRPr="00E22DC2">
        <w:rPr>
          <w:rFonts w:ascii="Calibri" w:hAnsi="Calibri" w:cs="Calibri"/>
          <w:sz w:val="24"/>
          <w:szCs w:val="24"/>
        </w:rPr>
        <w:t>náhradním užívání).</w:t>
      </w:r>
    </w:p>
    <w:p w14:paraId="6768CD3A" w14:textId="77777777" w:rsidR="00E22DC2" w:rsidRPr="00E22DC2" w:rsidRDefault="00E22DC2" w:rsidP="00E22DC2">
      <w:pPr>
        <w:autoSpaceDE w:val="0"/>
        <w:autoSpaceDN w:val="0"/>
        <w:adjustRightInd w:val="0"/>
        <w:spacing w:after="0" w:line="240" w:lineRule="auto"/>
        <w:jc w:val="both"/>
        <w:rPr>
          <w:rFonts w:ascii="Calibri" w:hAnsi="Calibri" w:cs="Calibri"/>
          <w:sz w:val="24"/>
          <w:szCs w:val="24"/>
        </w:rPr>
      </w:pPr>
    </w:p>
    <w:p w14:paraId="5A924595" w14:textId="18BF905C" w:rsidR="000870D5" w:rsidRDefault="000870D5" w:rsidP="00E22DC2">
      <w:pPr>
        <w:autoSpaceDE w:val="0"/>
        <w:autoSpaceDN w:val="0"/>
        <w:adjustRightInd w:val="0"/>
        <w:spacing w:after="0" w:line="240" w:lineRule="auto"/>
        <w:jc w:val="both"/>
        <w:rPr>
          <w:rFonts w:ascii="Calibri" w:hAnsi="Calibri" w:cs="Calibri"/>
          <w:sz w:val="24"/>
          <w:szCs w:val="24"/>
        </w:rPr>
      </w:pPr>
      <w:r w:rsidRPr="00E22DC2">
        <w:rPr>
          <w:rFonts w:ascii="Calibri" w:hAnsi="Calibri" w:cs="Calibri"/>
          <w:b/>
          <w:sz w:val="24"/>
          <w:szCs w:val="24"/>
        </w:rPr>
        <w:t xml:space="preserve">4. Program </w:t>
      </w:r>
      <w:r w:rsidR="005E0503" w:rsidRPr="008D015E">
        <w:rPr>
          <w:rFonts w:ascii="Calibri" w:hAnsi="Calibri" w:cs="Calibri"/>
          <w:b/>
          <w:i/>
          <w:sz w:val="24"/>
          <w:szCs w:val="24"/>
        </w:rPr>
        <w:t>P</w:t>
      </w:r>
      <w:r w:rsidRPr="008D015E">
        <w:rPr>
          <w:rFonts w:ascii="Calibri" w:hAnsi="Calibri" w:cs="Calibri"/>
          <w:b/>
          <w:i/>
          <w:sz w:val="24"/>
          <w:szCs w:val="24"/>
        </w:rPr>
        <w:t>odpora nákupu techniky pro hospodaření v lesích</w:t>
      </w:r>
      <w:r w:rsidR="000F1662" w:rsidRPr="00E22DC2">
        <w:rPr>
          <w:rFonts w:ascii="Calibri" w:hAnsi="Calibri" w:cs="Calibri"/>
          <w:sz w:val="24"/>
          <w:szCs w:val="24"/>
        </w:rPr>
        <w:t xml:space="preserve"> –</w:t>
      </w:r>
      <w:r w:rsidRPr="00E22DC2">
        <w:rPr>
          <w:rFonts w:ascii="Calibri" w:hAnsi="Calibri" w:cs="Calibri"/>
          <w:sz w:val="24"/>
          <w:szCs w:val="24"/>
        </w:rPr>
        <w:t xml:space="preserve"> V rámci tohoto programu je</w:t>
      </w:r>
      <w:r w:rsidR="00F126F3">
        <w:rPr>
          <w:rFonts w:ascii="Calibri" w:hAnsi="Calibri" w:cs="Calibri"/>
          <w:sz w:val="24"/>
          <w:szCs w:val="24"/>
        </w:rPr>
        <w:t xml:space="preserve"> </w:t>
      </w:r>
      <w:r w:rsidRPr="00E22DC2">
        <w:rPr>
          <w:rFonts w:ascii="Calibri" w:hAnsi="Calibri" w:cs="Calibri"/>
          <w:sz w:val="24"/>
          <w:szCs w:val="24"/>
        </w:rPr>
        <w:t>poskytována podpora ve formě subvence úroků z investičních úvěrů poskytnutých komerčními subjekty, a to zejména na nákup techniky vymezené v pravidlech pro</w:t>
      </w:r>
      <w:r w:rsidR="00F126F3">
        <w:rPr>
          <w:rFonts w:ascii="Calibri" w:hAnsi="Calibri" w:cs="Calibri"/>
          <w:sz w:val="24"/>
          <w:szCs w:val="24"/>
        </w:rPr>
        <w:t xml:space="preserve"> </w:t>
      </w:r>
      <w:r w:rsidRPr="00E22DC2">
        <w:rPr>
          <w:rFonts w:ascii="Calibri" w:hAnsi="Calibri" w:cs="Calibri"/>
          <w:sz w:val="24"/>
          <w:szCs w:val="24"/>
        </w:rPr>
        <w:t>poskytování podpory, jako jsou např. speciální lesnické traktory, přívěsy s hydraulickou rukou k vyvážení dřevní hmoty, lanovky a lanové systémy, navijáky pro soustřeďování dříví, rýhovací zalesňovací stroje, zařízení na údržbu lesních cest. Příjemci této podpory mohou být</w:t>
      </w:r>
      <w:r w:rsidR="00E22DC2">
        <w:rPr>
          <w:rFonts w:ascii="Calibri" w:hAnsi="Calibri" w:cs="Calibri"/>
          <w:sz w:val="24"/>
          <w:szCs w:val="24"/>
        </w:rPr>
        <w:t xml:space="preserve"> </w:t>
      </w:r>
      <w:r w:rsidRPr="00E22DC2">
        <w:rPr>
          <w:rFonts w:ascii="Calibri" w:hAnsi="Calibri" w:cs="Calibri"/>
          <w:sz w:val="24"/>
          <w:szCs w:val="24"/>
        </w:rPr>
        <w:t xml:space="preserve">podnikatelé, kteří se zabývají činnostmi souvisejícími s hospodařením v lesích. Alternativně může být také </w:t>
      </w:r>
      <w:r w:rsidRPr="00E22DC2">
        <w:rPr>
          <w:rFonts w:ascii="Calibri" w:hAnsi="Calibri" w:cs="Calibri"/>
          <w:sz w:val="24"/>
          <w:szCs w:val="24"/>
        </w:rPr>
        <w:lastRenderedPageBreak/>
        <w:t>příjemcem podpory podnikatel nebo obec, kte</w:t>
      </w:r>
      <w:r w:rsidR="00FF0935">
        <w:rPr>
          <w:rFonts w:ascii="Calibri" w:hAnsi="Calibri" w:cs="Calibri"/>
          <w:sz w:val="24"/>
          <w:szCs w:val="24"/>
        </w:rPr>
        <w:t>ří</w:t>
      </w:r>
      <w:r w:rsidRPr="00E22DC2">
        <w:rPr>
          <w:rFonts w:ascii="Calibri" w:hAnsi="Calibri" w:cs="Calibri"/>
          <w:sz w:val="24"/>
          <w:szCs w:val="24"/>
        </w:rPr>
        <w:t xml:space="preserve"> j</w:t>
      </w:r>
      <w:r w:rsidR="00FF0935">
        <w:rPr>
          <w:rFonts w:ascii="Calibri" w:hAnsi="Calibri" w:cs="Calibri"/>
          <w:sz w:val="24"/>
          <w:szCs w:val="24"/>
        </w:rPr>
        <w:t>sou</w:t>
      </w:r>
      <w:r w:rsidRPr="00E22DC2">
        <w:rPr>
          <w:rFonts w:ascii="Calibri" w:hAnsi="Calibri" w:cs="Calibri"/>
          <w:sz w:val="24"/>
          <w:szCs w:val="24"/>
        </w:rPr>
        <w:t xml:space="preserve"> vlastník</w:t>
      </w:r>
      <w:r w:rsidR="00FF0935">
        <w:rPr>
          <w:rFonts w:ascii="Calibri" w:hAnsi="Calibri" w:cs="Calibri"/>
          <w:sz w:val="24"/>
          <w:szCs w:val="24"/>
        </w:rPr>
        <w:t>y</w:t>
      </w:r>
      <w:r w:rsidRPr="00E22DC2">
        <w:rPr>
          <w:rFonts w:ascii="Calibri" w:hAnsi="Calibri" w:cs="Calibri"/>
          <w:sz w:val="24"/>
          <w:szCs w:val="24"/>
        </w:rPr>
        <w:t>, nájemc</w:t>
      </w:r>
      <w:r w:rsidR="00FF0935">
        <w:rPr>
          <w:rFonts w:ascii="Calibri" w:hAnsi="Calibri" w:cs="Calibri"/>
          <w:sz w:val="24"/>
          <w:szCs w:val="24"/>
        </w:rPr>
        <w:t>i</w:t>
      </w:r>
      <w:r w:rsidRPr="00E22DC2">
        <w:rPr>
          <w:rFonts w:ascii="Calibri" w:hAnsi="Calibri" w:cs="Calibri"/>
          <w:sz w:val="24"/>
          <w:szCs w:val="24"/>
        </w:rPr>
        <w:t xml:space="preserve"> nebo vypůjčitel</w:t>
      </w:r>
      <w:r w:rsidR="00FF0935">
        <w:rPr>
          <w:rFonts w:ascii="Calibri" w:hAnsi="Calibri" w:cs="Calibri"/>
          <w:sz w:val="24"/>
          <w:szCs w:val="24"/>
        </w:rPr>
        <w:t>i</w:t>
      </w:r>
      <w:r w:rsidRPr="00E22DC2">
        <w:rPr>
          <w:rFonts w:ascii="Calibri" w:hAnsi="Calibri" w:cs="Calibri"/>
          <w:sz w:val="24"/>
          <w:szCs w:val="24"/>
        </w:rPr>
        <w:t xml:space="preserve"> lesa a</w:t>
      </w:r>
      <w:r w:rsidR="005A2A71">
        <w:rPr>
          <w:rFonts w:ascii="Calibri" w:hAnsi="Calibri" w:cs="Calibri"/>
          <w:sz w:val="24"/>
          <w:szCs w:val="24"/>
        </w:rPr>
        <w:t> </w:t>
      </w:r>
      <w:r w:rsidRPr="00E22DC2">
        <w:rPr>
          <w:rFonts w:ascii="Calibri" w:hAnsi="Calibri" w:cs="Calibri"/>
          <w:sz w:val="24"/>
          <w:szCs w:val="24"/>
        </w:rPr>
        <w:t xml:space="preserve">hospodaří dle schváleného lesního hospodářského plánu nebo převzaté platné lesní hospodářské osnovy. Program je poskytován v režimu de </w:t>
      </w:r>
      <w:proofErr w:type="spellStart"/>
      <w:r w:rsidRPr="00E22DC2">
        <w:rPr>
          <w:rFonts w:ascii="Calibri" w:hAnsi="Calibri" w:cs="Calibri"/>
          <w:sz w:val="24"/>
          <w:szCs w:val="24"/>
        </w:rPr>
        <w:t>minimis</w:t>
      </w:r>
      <w:proofErr w:type="spellEnd"/>
      <w:r w:rsidRPr="00E22DC2">
        <w:rPr>
          <w:rFonts w:ascii="Calibri" w:hAnsi="Calibri" w:cs="Calibri"/>
          <w:sz w:val="24"/>
          <w:szCs w:val="24"/>
        </w:rPr>
        <w:t xml:space="preserve">. Podporovaná investice vede zejména ke snížení nákladů, úspoře pohonných hmot, zvýšení efektivnosti či ekologicky šetrnějším způsobům hospodaření. </w:t>
      </w:r>
    </w:p>
    <w:p w14:paraId="7B890E7E" w14:textId="77777777" w:rsidR="00E22DC2" w:rsidRPr="00E22DC2" w:rsidRDefault="00E22DC2" w:rsidP="00E22DC2">
      <w:pPr>
        <w:autoSpaceDE w:val="0"/>
        <w:autoSpaceDN w:val="0"/>
        <w:adjustRightInd w:val="0"/>
        <w:spacing w:after="0" w:line="240" w:lineRule="auto"/>
        <w:jc w:val="both"/>
        <w:rPr>
          <w:rFonts w:ascii="Calibri" w:hAnsi="Calibri" w:cs="Calibri"/>
          <w:sz w:val="24"/>
          <w:szCs w:val="24"/>
        </w:rPr>
      </w:pPr>
    </w:p>
    <w:p w14:paraId="38844B8F" w14:textId="3D0CEB32" w:rsidR="000870D5" w:rsidRDefault="000870D5" w:rsidP="00E22DC2">
      <w:pPr>
        <w:autoSpaceDE w:val="0"/>
        <w:autoSpaceDN w:val="0"/>
        <w:adjustRightInd w:val="0"/>
        <w:spacing w:after="0" w:line="240" w:lineRule="auto"/>
        <w:jc w:val="both"/>
        <w:rPr>
          <w:rFonts w:ascii="Calibri" w:hAnsi="Calibri" w:cs="Calibri"/>
          <w:sz w:val="24"/>
          <w:szCs w:val="24"/>
        </w:rPr>
      </w:pPr>
      <w:r w:rsidRPr="00E22DC2">
        <w:rPr>
          <w:rFonts w:ascii="Calibri" w:hAnsi="Calibri" w:cs="Calibri"/>
          <w:b/>
          <w:sz w:val="24"/>
          <w:szCs w:val="24"/>
        </w:rPr>
        <w:t xml:space="preserve">5. Program </w:t>
      </w:r>
      <w:r w:rsidR="005E0503" w:rsidRPr="008D015E">
        <w:rPr>
          <w:rFonts w:ascii="Calibri" w:hAnsi="Calibri" w:cs="Calibri"/>
          <w:b/>
          <w:i/>
          <w:sz w:val="24"/>
          <w:szCs w:val="24"/>
        </w:rPr>
        <w:t>P</w:t>
      </w:r>
      <w:r w:rsidRPr="008D015E">
        <w:rPr>
          <w:rFonts w:ascii="Calibri" w:hAnsi="Calibri" w:cs="Calibri"/>
          <w:b/>
          <w:i/>
          <w:sz w:val="24"/>
          <w:szCs w:val="24"/>
        </w:rPr>
        <w:t>odpora nákupu techniky a technologií pro dřevozpracující provozovny</w:t>
      </w:r>
      <w:r w:rsidRPr="00E22DC2">
        <w:rPr>
          <w:rFonts w:ascii="Calibri" w:hAnsi="Calibri" w:cs="Calibri"/>
          <w:b/>
          <w:bCs/>
          <w:sz w:val="24"/>
          <w:szCs w:val="24"/>
        </w:rPr>
        <w:t xml:space="preserve"> </w:t>
      </w:r>
      <w:r w:rsidRPr="00E22DC2">
        <w:rPr>
          <w:rFonts w:ascii="Calibri" w:hAnsi="Calibri" w:cs="Calibri"/>
          <w:sz w:val="24"/>
          <w:szCs w:val="24"/>
        </w:rPr>
        <w:t>– Cílem programu podpory je zpřístupnit nákup techniky nebo technologií pro dřevozpracující provozovny, které umožní zpracování dřeva a dřevního odpadu v jednotlivých částech výroby. Podporovaná investice musí vést zejména ke snížení výrobních nákladů, modernizaci, zlepšení jakosti a dalšímu rozvoji podnikatelských subjektů. V rámci tohoto programu je</w:t>
      </w:r>
      <w:r w:rsidR="00F91E4D">
        <w:rPr>
          <w:rFonts w:ascii="Calibri" w:hAnsi="Calibri" w:cs="Calibri"/>
          <w:sz w:val="24"/>
          <w:szCs w:val="24"/>
        </w:rPr>
        <w:t xml:space="preserve"> </w:t>
      </w:r>
      <w:r w:rsidRPr="00E22DC2">
        <w:rPr>
          <w:rFonts w:ascii="Calibri" w:hAnsi="Calibri" w:cs="Calibri"/>
          <w:sz w:val="24"/>
          <w:szCs w:val="24"/>
        </w:rPr>
        <w:t>poskytována podpora formou subvence úroků z investičních úvěrů poskytnutých komerčními subjekty, zejména na nákup techniky a technologií pro vybavení pilnic, paření a impregnování masivního dřeva, sušení řeziva, výroby dýh, překližek a vrstveného d</w:t>
      </w:r>
      <w:r w:rsidR="000F1662" w:rsidRPr="00E22DC2">
        <w:rPr>
          <w:rFonts w:ascii="Calibri" w:hAnsi="Calibri" w:cs="Calibri"/>
          <w:sz w:val="24"/>
          <w:szCs w:val="24"/>
        </w:rPr>
        <w:t>řeva, výroby palivového dřeva a </w:t>
      </w:r>
      <w:r w:rsidRPr="00E22DC2">
        <w:rPr>
          <w:rFonts w:ascii="Calibri" w:hAnsi="Calibri" w:cs="Calibri"/>
          <w:sz w:val="24"/>
          <w:szCs w:val="24"/>
        </w:rPr>
        <w:t>zpracování zbytkové dřevní biomasy (pelety, lisované brikety). Tuto podporu mohou získat podnikatelé, kteří se zabývají činnostmi souvisejícími se</w:t>
      </w:r>
      <w:r w:rsidR="00F91E4D">
        <w:rPr>
          <w:rFonts w:ascii="Calibri" w:hAnsi="Calibri" w:cs="Calibri"/>
          <w:sz w:val="24"/>
          <w:szCs w:val="24"/>
        </w:rPr>
        <w:t xml:space="preserve"> </w:t>
      </w:r>
      <w:r w:rsidRPr="00E22DC2">
        <w:rPr>
          <w:rFonts w:ascii="Calibri" w:hAnsi="Calibri" w:cs="Calibri"/>
          <w:sz w:val="24"/>
          <w:szCs w:val="24"/>
        </w:rPr>
        <w:t>zpracováním dřeva</w:t>
      </w:r>
      <w:r w:rsidR="00F91E4D">
        <w:rPr>
          <w:rFonts w:ascii="Calibri" w:hAnsi="Calibri" w:cs="Calibri"/>
          <w:sz w:val="24"/>
          <w:szCs w:val="24"/>
        </w:rPr>
        <w:t>,</w:t>
      </w:r>
      <w:r w:rsidRPr="00E22DC2">
        <w:rPr>
          <w:rFonts w:ascii="Calibri" w:hAnsi="Calibri" w:cs="Calibri"/>
          <w:sz w:val="24"/>
          <w:szCs w:val="24"/>
        </w:rPr>
        <w:t xml:space="preserve"> nebo obce, které se zabý</w:t>
      </w:r>
      <w:r w:rsidR="00F91E4D">
        <w:rPr>
          <w:rFonts w:ascii="Calibri" w:hAnsi="Calibri" w:cs="Calibri"/>
          <w:sz w:val="24"/>
          <w:szCs w:val="24"/>
        </w:rPr>
        <w:t xml:space="preserve">vají činnostmi souvisejícími se </w:t>
      </w:r>
      <w:r w:rsidRPr="00E22DC2">
        <w:rPr>
          <w:rFonts w:ascii="Calibri" w:hAnsi="Calibri" w:cs="Calibri"/>
          <w:sz w:val="24"/>
          <w:szCs w:val="24"/>
        </w:rPr>
        <w:t xml:space="preserve">zpracováním dřeva. Program je poskytován v režimu de </w:t>
      </w:r>
      <w:proofErr w:type="spellStart"/>
      <w:r w:rsidRPr="00E22DC2">
        <w:rPr>
          <w:rFonts w:ascii="Calibri" w:hAnsi="Calibri" w:cs="Calibri"/>
          <w:sz w:val="24"/>
          <w:szCs w:val="24"/>
        </w:rPr>
        <w:t>minimis</w:t>
      </w:r>
      <w:proofErr w:type="spellEnd"/>
      <w:r w:rsidRPr="00E22DC2">
        <w:rPr>
          <w:rFonts w:ascii="Calibri" w:hAnsi="Calibri" w:cs="Calibri"/>
          <w:sz w:val="24"/>
          <w:szCs w:val="24"/>
        </w:rPr>
        <w:t>.</w:t>
      </w:r>
    </w:p>
    <w:p w14:paraId="253FF6D3" w14:textId="77777777" w:rsidR="00E22DC2" w:rsidRPr="00E22DC2" w:rsidRDefault="00E22DC2" w:rsidP="00E22DC2">
      <w:pPr>
        <w:autoSpaceDE w:val="0"/>
        <w:autoSpaceDN w:val="0"/>
        <w:adjustRightInd w:val="0"/>
        <w:spacing w:after="0" w:line="240" w:lineRule="auto"/>
        <w:jc w:val="both"/>
        <w:rPr>
          <w:rFonts w:ascii="Calibri" w:hAnsi="Calibri" w:cs="Calibri"/>
          <w:sz w:val="24"/>
          <w:szCs w:val="24"/>
        </w:rPr>
      </w:pPr>
    </w:p>
    <w:p w14:paraId="46536C0A" w14:textId="7D2A2A28" w:rsidR="000870D5" w:rsidRDefault="000870D5" w:rsidP="00E22DC2">
      <w:pPr>
        <w:autoSpaceDE w:val="0"/>
        <w:autoSpaceDN w:val="0"/>
        <w:adjustRightInd w:val="0"/>
        <w:spacing w:after="0" w:line="240" w:lineRule="auto"/>
        <w:jc w:val="both"/>
        <w:rPr>
          <w:rFonts w:ascii="Calibri" w:hAnsi="Calibri" w:cs="Calibri"/>
          <w:sz w:val="24"/>
          <w:szCs w:val="24"/>
        </w:rPr>
      </w:pPr>
      <w:r w:rsidRPr="00E22DC2">
        <w:rPr>
          <w:rFonts w:ascii="Calibri" w:hAnsi="Calibri" w:cs="Calibri"/>
          <w:b/>
          <w:sz w:val="24"/>
          <w:szCs w:val="24"/>
        </w:rPr>
        <w:t xml:space="preserve">6. Program </w:t>
      </w:r>
      <w:r w:rsidR="005E0503" w:rsidRPr="008D015E">
        <w:rPr>
          <w:rFonts w:ascii="Calibri" w:hAnsi="Calibri" w:cs="Calibri"/>
          <w:b/>
          <w:i/>
          <w:sz w:val="24"/>
          <w:szCs w:val="24"/>
        </w:rPr>
        <w:t>P</w:t>
      </w:r>
      <w:r w:rsidRPr="008D015E">
        <w:rPr>
          <w:rFonts w:ascii="Calibri" w:hAnsi="Calibri" w:cs="Calibri"/>
          <w:b/>
          <w:i/>
          <w:sz w:val="24"/>
          <w:szCs w:val="24"/>
        </w:rPr>
        <w:t>odpora školkařských provozoven na pozemcích určených k plnění funkce lesa</w:t>
      </w:r>
      <w:r w:rsidR="005E0503">
        <w:rPr>
          <w:rFonts w:ascii="Calibri" w:hAnsi="Calibri" w:cs="Calibri"/>
          <w:sz w:val="24"/>
          <w:szCs w:val="24"/>
        </w:rPr>
        <w:t> </w:t>
      </w:r>
      <w:r w:rsidRPr="00E22DC2">
        <w:rPr>
          <w:rFonts w:ascii="Calibri" w:hAnsi="Calibri" w:cs="Calibri"/>
          <w:sz w:val="24"/>
          <w:szCs w:val="24"/>
        </w:rPr>
        <w:t>– Cílem programu podpory školkařských provozoven na pozemcích určených k plnění funkce lesa je</w:t>
      </w:r>
      <w:r w:rsidR="00F91E4D">
        <w:rPr>
          <w:rFonts w:ascii="Calibri" w:hAnsi="Calibri" w:cs="Calibri"/>
          <w:sz w:val="24"/>
          <w:szCs w:val="24"/>
        </w:rPr>
        <w:t xml:space="preserve"> </w:t>
      </w:r>
      <w:r w:rsidRPr="00E22DC2">
        <w:rPr>
          <w:rFonts w:ascii="Calibri" w:hAnsi="Calibri" w:cs="Calibri"/>
          <w:sz w:val="24"/>
          <w:szCs w:val="24"/>
        </w:rPr>
        <w:t>vytvořit předpoklady pro rozvoj lesního hospodářství, kdy příjemce podpory investuje zejména do strojního zařízení a mechanizačních prostředků, přičemž podporovaná investice musí vést zejména ke snížení výrobních nákladů, modernizaci či zlepšení jakosti. V</w:t>
      </w:r>
      <w:r w:rsidR="00F91E4D">
        <w:rPr>
          <w:rFonts w:ascii="Calibri" w:hAnsi="Calibri" w:cs="Calibri"/>
          <w:sz w:val="24"/>
          <w:szCs w:val="24"/>
        </w:rPr>
        <w:t> </w:t>
      </w:r>
      <w:r w:rsidRPr="00E22DC2">
        <w:rPr>
          <w:rFonts w:ascii="Calibri" w:hAnsi="Calibri" w:cs="Calibri"/>
          <w:sz w:val="24"/>
          <w:szCs w:val="24"/>
        </w:rPr>
        <w:t>rámci tohoto programu je poskytována podpora ve formě subvence úroků z investičních úvěrů poskytnutých komerčními subjekty na nákup techniky a technologií uvedených v</w:t>
      </w:r>
      <w:r w:rsidR="00F91E4D">
        <w:rPr>
          <w:rFonts w:ascii="Calibri" w:hAnsi="Calibri" w:cs="Calibri"/>
          <w:sz w:val="24"/>
          <w:szCs w:val="24"/>
        </w:rPr>
        <w:t> </w:t>
      </w:r>
      <w:r w:rsidRPr="00E22DC2">
        <w:rPr>
          <w:rFonts w:ascii="Calibri" w:hAnsi="Calibri" w:cs="Calibri"/>
          <w:sz w:val="24"/>
          <w:szCs w:val="24"/>
        </w:rPr>
        <w:t>pravidlech pro poskytování podpory. Konkrétně jde například o stroje na přípravu půdy a</w:t>
      </w:r>
      <w:r w:rsidR="00F91E4D">
        <w:rPr>
          <w:rFonts w:ascii="Calibri" w:hAnsi="Calibri" w:cs="Calibri"/>
          <w:sz w:val="24"/>
          <w:szCs w:val="24"/>
        </w:rPr>
        <w:t> </w:t>
      </w:r>
      <w:r w:rsidRPr="00E22DC2">
        <w:rPr>
          <w:rFonts w:ascii="Calibri" w:hAnsi="Calibri" w:cs="Calibri"/>
          <w:sz w:val="24"/>
          <w:szCs w:val="24"/>
        </w:rPr>
        <w:t>péči o půdu ve</w:t>
      </w:r>
      <w:r w:rsidR="00F91E4D">
        <w:rPr>
          <w:rFonts w:ascii="Calibri" w:hAnsi="Calibri" w:cs="Calibri"/>
          <w:sz w:val="24"/>
          <w:szCs w:val="24"/>
        </w:rPr>
        <w:t xml:space="preserve"> </w:t>
      </w:r>
      <w:r w:rsidRPr="00E22DC2">
        <w:rPr>
          <w:rFonts w:ascii="Calibri" w:hAnsi="Calibri" w:cs="Calibri"/>
          <w:sz w:val="24"/>
          <w:szCs w:val="24"/>
        </w:rPr>
        <w:t xml:space="preserve">školkách (včetně traktorů), stroje a zařízení pro školkařskou výrobu </w:t>
      </w:r>
      <w:proofErr w:type="spellStart"/>
      <w:r w:rsidRPr="00E22DC2">
        <w:rPr>
          <w:rFonts w:ascii="Calibri" w:hAnsi="Calibri" w:cs="Calibri"/>
          <w:sz w:val="24"/>
          <w:szCs w:val="24"/>
        </w:rPr>
        <w:t>prostokořenného</w:t>
      </w:r>
      <w:proofErr w:type="spellEnd"/>
      <w:r w:rsidRPr="00E22DC2">
        <w:rPr>
          <w:rFonts w:ascii="Calibri" w:hAnsi="Calibri" w:cs="Calibri"/>
          <w:sz w:val="24"/>
          <w:szCs w:val="24"/>
        </w:rPr>
        <w:t xml:space="preserve"> a </w:t>
      </w:r>
      <w:proofErr w:type="spellStart"/>
      <w:r w:rsidRPr="00E22DC2">
        <w:rPr>
          <w:rFonts w:ascii="Calibri" w:hAnsi="Calibri" w:cs="Calibri"/>
          <w:sz w:val="24"/>
          <w:szCs w:val="24"/>
        </w:rPr>
        <w:t>krytokořenného</w:t>
      </w:r>
      <w:proofErr w:type="spellEnd"/>
      <w:r w:rsidRPr="00E22DC2">
        <w:rPr>
          <w:rFonts w:ascii="Calibri" w:hAnsi="Calibri" w:cs="Calibri"/>
          <w:sz w:val="24"/>
          <w:szCs w:val="24"/>
        </w:rPr>
        <w:t xml:space="preserve"> sadebního materiálu, závlahové systémy a dočasná úložiště vyzvednutého sadebního materiálu. Příjemci podpory mohou být podnikatelé, kteří jsou vedeni v ústřední evidenci držitelů licence k uvádění do oběhu reprodukčního materiálu lesních dřevin a svoji činnost realizují v lesních školkách na pozemcích určených k plnění funkce lesa. Program je</w:t>
      </w:r>
      <w:r w:rsidR="00F91E4D">
        <w:rPr>
          <w:rFonts w:ascii="Calibri" w:hAnsi="Calibri" w:cs="Calibri"/>
          <w:sz w:val="24"/>
          <w:szCs w:val="24"/>
        </w:rPr>
        <w:t xml:space="preserve"> </w:t>
      </w:r>
      <w:r w:rsidRPr="00E22DC2">
        <w:rPr>
          <w:rFonts w:ascii="Calibri" w:hAnsi="Calibri" w:cs="Calibri"/>
          <w:sz w:val="24"/>
          <w:szCs w:val="24"/>
        </w:rPr>
        <w:t xml:space="preserve">poskytován v režimu de </w:t>
      </w:r>
      <w:proofErr w:type="spellStart"/>
      <w:r w:rsidRPr="00E22DC2">
        <w:rPr>
          <w:rFonts w:ascii="Calibri" w:hAnsi="Calibri" w:cs="Calibri"/>
          <w:sz w:val="24"/>
          <w:szCs w:val="24"/>
        </w:rPr>
        <w:t>minimis</w:t>
      </w:r>
      <w:proofErr w:type="spellEnd"/>
      <w:r w:rsidRPr="00E22DC2">
        <w:rPr>
          <w:rFonts w:ascii="Calibri" w:hAnsi="Calibri" w:cs="Calibri"/>
          <w:sz w:val="24"/>
          <w:szCs w:val="24"/>
        </w:rPr>
        <w:t>.</w:t>
      </w:r>
    </w:p>
    <w:p w14:paraId="7812D564" w14:textId="77777777" w:rsidR="00E22DC2" w:rsidRPr="00E22DC2" w:rsidRDefault="00E22DC2" w:rsidP="00E22DC2">
      <w:pPr>
        <w:autoSpaceDE w:val="0"/>
        <w:autoSpaceDN w:val="0"/>
        <w:adjustRightInd w:val="0"/>
        <w:spacing w:after="0" w:line="240" w:lineRule="auto"/>
        <w:jc w:val="both"/>
        <w:rPr>
          <w:rFonts w:ascii="Calibri" w:hAnsi="Calibri" w:cs="Calibri"/>
          <w:sz w:val="24"/>
          <w:szCs w:val="24"/>
        </w:rPr>
      </w:pPr>
    </w:p>
    <w:p w14:paraId="0964933A" w14:textId="2C11BFC6" w:rsidR="00FA279A" w:rsidRDefault="000870D5" w:rsidP="00E22DC2">
      <w:pPr>
        <w:pStyle w:val="Normlnweb"/>
        <w:spacing w:before="0" w:beforeAutospacing="0" w:after="0" w:afterAutospacing="0"/>
        <w:jc w:val="both"/>
        <w:rPr>
          <w:rFonts w:ascii="Calibri" w:hAnsi="Calibri" w:cs="Calibri"/>
        </w:rPr>
      </w:pPr>
      <w:r w:rsidRPr="00E22DC2">
        <w:rPr>
          <w:rFonts w:ascii="Calibri" w:hAnsi="Calibri" w:cs="Calibri"/>
          <w:b/>
        </w:rPr>
        <w:t xml:space="preserve">7. Program </w:t>
      </w:r>
      <w:r w:rsidR="005E0503" w:rsidRPr="008D015E">
        <w:rPr>
          <w:rFonts w:ascii="Calibri" w:hAnsi="Calibri" w:cs="Calibri"/>
          <w:b/>
          <w:i/>
        </w:rPr>
        <w:t>Z</w:t>
      </w:r>
      <w:r w:rsidRPr="008D015E">
        <w:rPr>
          <w:rFonts w:ascii="Calibri" w:hAnsi="Calibri" w:cs="Calibri"/>
          <w:b/>
          <w:i/>
        </w:rPr>
        <w:t>pracovatel</w:t>
      </w:r>
      <w:r w:rsidR="000F1662" w:rsidRPr="00E22DC2">
        <w:rPr>
          <w:rFonts w:ascii="Calibri" w:hAnsi="Calibri" w:cs="Calibri"/>
        </w:rPr>
        <w:t xml:space="preserve"> –</w:t>
      </w:r>
      <w:r w:rsidRPr="00E22DC2">
        <w:rPr>
          <w:rFonts w:ascii="Calibri" w:hAnsi="Calibri" w:cs="Calibri"/>
        </w:rPr>
        <w:t xml:space="preserve"> V rámci programu </w:t>
      </w:r>
      <w:r w:rsidRPr="008D015E">
        <w:rPr>
          <w:rFonts w:ascii="Calibri" w:hAnsi="Calibri" w:cs="Calibri"/>
          <w:i/>
        </w:rPr>
        <w:t>Zpracovatel</w:t>
      </w:r>
      <w:r w:rsidRPr="00E22DC2">
        <w:rPr>
          <w:rFonts w:ascii="Calibri" w:hAnsi="Calibri" w:cs="Calibri"/>
        </w:rPr>
        <w:t xml:space="preserve"> jsou podporovány investice na</w:t>
      </w:r>
      <w:r w:rsidR="00F91E4D">
        <w:rPr>
          <w:rFonts w:ascii="Calibri" w:hAnsi="Calibri" w:cs="Calibri"/>
        </w:rPr>
        <w:t xml:space="preserve"> </w:t>
      </w:r>
      <w:r w:rsidRPr="00E22DC2">
        <w:rPr>
          <w:rFonts w:ascii="Calibri" w:hAnsi="Calibri" w:cs="Calibri"/>
        </w:rPr>
        <w:t>pořízení investičního majetku, který souvisí se zpracováním zeměd</w:t>
      </w:r>
      <w:r w:rsidR="00F91E4D">
        <w:rPr>
          <w:rFonts w:ascii="Calibri" w:hAnsi="Calibri" w:cs="Calibri"/>
        </w:rPr>
        <w:t xml:space="preserve">ělských produktů. Nákup půdy je </w:t>
      </w:r>
      <w:r w:rsidRPr="00E22DC2">
        <w:rPr>
          <w:rFonts w:ascii="Calibri" w:hAnsi="Calibri" w:cs="Calibri"/>
        </w:rPr>
        <w:t>způsobilým nákladem pouze tehdy, pokud nepřevýší 10 % z celkových způsobilých nákladů investice. Program je určen pro podnikatele, kteří se zabývají zpracováním zemědělských produktů a dosahují požadované hranice příjmů ze zpracování zemědělské produkce (50,00</w:t>
      </w:r>
      <w:r w:rsidR="00F91E4D">
        <w:rPr>
          <w:rFonts w:ascii="Calibri" w:hAnsi="Calibri" w:cs="Calibri"/>
        </w:rPr>
        <w:t> </w:t>
      </w:r>
      <w:r w:rsidRPr="00E22DC2">
        <w:rPr>
          <w:rFonts w:ascii="Calibri" w:hAnsi="Calibri" w:cs="Calibri"/>
        </w:rPr>
        <w:t>%) nebo ze</w:t>
      </w:r>
      <w:r w:rsidR="00F91E4D">
        <w:rPr>
          <w:rFonts w:ascii="Calibri" w:hAnsi="Calibri" w:cs="Calibri"/>
        </w:rPr>
        <w:t xml:space="preserve"> </w:t>
      </w:r>
      <w:r w:rsidRPr="00E22DC2">
        <w:rPr>
          <w:rFonts w:ascii="Calibri" w:hAnsi="Calibri" w:cs="Calibri"/>
        </w:rPr>
        <w:t xml:space="preserve">zemědělské výroby v případě, že se podnikatel zabývá zpracováním zemědělské produkce a zároveň zemědělskou prvovýrobou. Cílem programu je podpořit zpracovatele zemědělské produkce podobně jako zemědělské prvovýrobce v rámci programu </w:t>
      </w:r>
      <w:r w:rsidRPr="008D015E">
        <w:rPr>
          <w:rFonts w:ascii="Calibri" w:hAnsi="Calibri" w:cs="Calibri"/>
          <w:i/>
        </w:rPr>
        <w:t>Zemědělec</w:t>
      </w:r>
      <w:r w:rsidRPr="00E22DC2">
        <w:rPr>
          <w:rFonts w:ascii="Calibri" w:hAnsi="Calibri" w:cs="Calibri"/>
        </w:rPr>
        <w:t>. Podpora není omezena jen na malé či střední podniky ve smyslu př</w:t>
      </w:r>
      <w:r w:rsidR="00F91E4D">
        <w:rPr>
          <w:rFonts w:ascii="Calibri" w:hAnsi="Calibri" w:cs="Calibri"/>
        </w:rPr>
        <w:t xml:space="preserve">íslušné definice EU. Podpora je </w:t>
      </w:r>
      <w:r w:rsidRPr="00E22DC2">
        <w:rPr>
          <w:rFonts w:ascii="Calibri" w:hAnsi="Calibri" w:cs="Calibri"/>
        </w:rPr>
        <w:t>poskytována ve formě subvence části úroků z k</w:t>
      </w:r>
      <w:r w:rsidR="00F91E4D">
        <w:rPr>
          <w:rFonts w:ascii="Calibri" w:hAnsi="Calibri" w:cs="Calibri"/>
        </w:rPr>
        <w:t xml:space="preserve">omerčních úvěrů poskytnutých na </w:t>
      </w:r>
      <w:r w:rsidRPr="00E22DC2">
        <w:rPr>
          <w:rFonts w:ascii="Calibri" w:hAnsi="Calibri" w:cs="Calibri"/>
        </w:rPr>
        <w:t>pořízení investičního majetku, který souvisí se</w:t>
      </w:r>
      <w:r w:rsidR="00F91E4D">
        <w:rPr>
          <w:rFonts w:ascii="Calibri" w:hAnsi="Calibri" w:cs="Calibri"/>
        </w:rPr>
        <w:t xml:space="preserve"> </w:t>
      </w:r>
      <w:r w:rsidRPr="00E22DC2">
        <w:rPr>
          <w:rFonts w:ascii="Calibri" w:hAnsi="Calibri" w:cs="Calibri"/>
        </w:rPr>
        <w:t>zpracováním zemědělských produktů, a </w:t>
      </w:r>
      <w:r w:rsidR="00F91E4D">
        <w:rPr>
          <w:rFonts w:ascii="Calibri" w:hAnsi="Calibri" w:cs="Calibri"/>
        </w:rPr>
        <w:t xml:space="preserve">je </w:t>
      </w:r>
      <w:r w:rsidRPr="00E22DC2">
        <w:rPr>
          <w:rFonts w:ascii="Calibri" w:hAnsi="Calibri" w:cs="Calibri"/>
        </w:rPr>
        <w:t xml:space="preserve">poskytována v režimu de </w:t>
      </w:r>
      <w:proofErr w:type="spellStart"/>
      <w:r w:rsidRPr="00E22DC2">
        <w:rPr>
          <w:rFonts w:ascii="Calibri" w:hAnsi="Calibri" w:cs="Calibri"/>
        </w:rPr>
        <w:t>minimis</w:t>
      </w:r>
      <w:proofErr w:type="spellEnd"/>
      <w:r w:rsidRPr="00E22DC2">
        <w:rPr>
          <w:rFonts w:ascii="Calibri" w:hAnsi="Calibri" w:cs="Calibri"/>
        </w:rPr>
        <w:t>.</w:t>
      </w:r>
    </w:p>
    <w:p w14:paraId="0D34943F" w14:textId="77777777" w:rsidR="00E22DC2" w:rsidRPr="00E22DC2" w:rsidRDefault="00E22DC2" w:rsidP="00E22DC2">
      <w:pPr>
        <w:pStyle w:val="Normlnweb"/>
        <w:spacing w:before="0" w:beforeAutospacing="0" w:after="0" w:afterAutospacing="0"/>
        <w:jc w:val="both"/>
        <w:rPr>
          <w:rFonts w:ascii="Calibri" w:hAnsi="Calibri" w:cs="Calibri"/>
        </w:rPr>
      </w:pPr>
    </w:p>
    <w:p w14:paraId="6E2ED528" w14:textId="6023F365" w:rsidR="000870D5" w:rsidRDefault="000870D5" w:rsidP="00E22DC2">
      <w:pPr>
        <w:autoSpaceDE w:val="0"/>
        <w:autoSpaceDN w:val="0"/>
        <w:adjustRightInd w:val="0"/>
        <w:spacing w:after="0" w:line="240" w:lineRule="auto"/>
        <w:jc w:val="both"/>
        <w:rPr>
          <w:rFonts w:ascii="Calibri" w:hAnsi="Calibri" w:cs="Calibri"/>
          <w:sz w:val="24"/>
          <w:szCs w:val="24"/>
        </w:rPr>
      </w:pPr>
      <w:r w:rsidRPr="00E22DC2">
        <w:rPr>
          <w:rFonts w:ascii="Calibri" w:hAnsi="Calibri" w:cs="Calibri"/>
          <w:b/>
          <w:sz w:val="24"/>
          <w:szCs w:val="24"/>
        </w:rPr>
        <w:lastRenderedPageBreak/>
        <w:t xml:space="preserve">8. Program </w:t>
      </w:r>
      <w:r w:rsidR="005E0503" w:rsidRPr="008D015E">
        <w:rPr>
          <w:rFonts w:ascii="Calibri" w:hAnsi="Calibri" w:cs="Calibri"/>
          <w:b/>
          <w:i/>
          <w:sz w:val="24"/>
          <w:szCs w:val="24"/>
        </w:rPr>
        <w:t>Z</w:t>
      </w:r>
      <w:r w:rsidRPr="008D015E">
        <w:rPr>
          <w:rFonts w:ascii="Calibri" w:hAnsi="Calibri" w:cs="Calibri"/>
          <w:b/>
          <w:i/>
          <w:sz w:val="24"/>
          <w:szCs w:val="24"/>
        </w:rPr>
        <w:t>ajištění úvěrů</w:t>
      </w:r>
      <w:r w:rsidRPr="00E22DC2">
        <w:rPr>
          <w:rFonts w:ascii="Calibri" w:hAnsi="Calibri" w:cs="Calibri"/>
          <w:sz w:val="24"/>
          <w:szCs w:val="24"/>
        </w:rPr>
        <w:t xml:space="preserve"> – Cílem programu je přispět ke zvýšení dostupnosti úvěrových prostředků na financování investičních záměrů podnikatelům, kteří provozují zemědělskou prvovýrobu či se zabývají zpracováním zemědělských produktů nebo působí v odvětví lesního</w:t>
      </w:r>
      <w:r w:rsidR="00E22DC2">
        <w:rPr>
          <w:rFonts w:ascii="Calibri" w:hAnsi="Calibri" w:cs="Calibri"/>
          <w:sz w:val="24"/>
          <w:szCs w:val="24"/>
        </w:rPr>
        <w:t xml:space="preserve"> </w:t>
      </w:r>
      <w:r w:rsidRPr="00E22DC2">
        <w:rPr>
          <w:rFonts w:ascii="Calibri" w:hAnsi="Calibri" w:cs="Calibri"/>
          <w:sz w:val="24"/>
          <w:szCs w:val="24"/>
        </w:rPr>
        <w:t xml:space="preserve">hospodářství či zpracování dřeva, a to podporou ve formě ručení za investiční úvěry poskytované komerčními subjekty s možností úhrady ceny za ručení v režimu de </w:t>
      </w:r>
      <w:proofErr w:type="spellStart"/>
      <w:r w:rsidRPr="00E22DC2">
        <w:rPr>
          <w:rFonts w:ascii="Calibri" w:hAnsi="Calibri" w:cs="Calibri"/>
          <w:sz w:val="24"/>
          <w:szCs w:val="24"/>
        </w:rPr>
        <w:t>minimis</w:t>
      </w:r>
      <w:proofErr w:type="spellEnd"/>
      <w:r w:rsidRPr="00E22DC2">
        <w:rPr>
          <w:rFonts w:ascii="Calibri" w:hAnsi="Calibri" w:cs="Calibri"/>
          <w:sz w:val="24"/>
          <w:szCs w:val="24"/>
        </w:rPr>
        <w:t xml:space="preserve">. Prostřednictvím programu je podporováno také financování projektů </w:t>
      </w:r>
      <w:r w:rsidR="00F91E4D">
        <w:rPr>
          <w:rFonts w:ascii="Calibri" w:hAnsi="Calibri" w:cs="Calibri"/>
          <w:sz w:val="24"/>
          <w:szCs w:val="24"/>
        </w:rPr>
        <w:t>i</w:t>
      </w:r>
      <w:r w:rsidRPr="00E22DC2">
        <w:rPr>
          <w:rFonts w:ascii="Calibri" w:hAnsi="Calibri" w:cs="Calibri"/>
          <w:sz w:val="24"/>
          <w:szCs w:val="24"/>
        </w:rPr>
        <w:t>nformačních a propagačních opatření na podporu zemědělských produktů a potravinářských výrobků vyrobených ze zemědělských produktů na vnitřním trhu EU a/nebo ve třetích zemích, kdy</w:t>
      </w:r>
      <w:r w:rsidR="00F91E4D">
        <w:rPr>
          <w:rFonts w:ascii="Calibri" w:hAnsi="Calibri" w:cs="Calibri"/>
          <w:sz w:val="24"/>
          <w:szCs w:val="24"/>
        </w:rPr>
        <w:t xml:space="preserve"> </w:t>
      </w:r>
      <w:r w:rsidRPr="00E22DC2">
        <w:rPr>
          <w:rFonts w:ascii="Calibri" w:hAnsi="Calibri" w:cs="Calibri"/>
          <w:sz w:val="24"/>
          <w:szCs w:val="24"/>
        </w:rPr>
        <w:t>o projektu rozhodla EK a projekt je spolufinancován z rozpočtu EU.</w:t>
      </w:r>
    </w:p>
    <w:p w14:paraId="7F65ACA8" w14:textId="77777777" w:rsidR="00E22DC2" w:rsidRPr="00E22DC2" w:rsidRDefault="00E22DC2" w:rsidP="00E22DC2">
      <w:pPr>
        <w:autoSpaceDE w:val="0"/>
        <w:autoSpaceDN w:val="0"/>
        <w:adjustRightInd w:val="0"/>
        <w:spacing w:after="0" w:line="240" w:lineRule="auto"/>
        <w:jc w:val="both"/>
        <w:rPr>
          <w:rFonts w:ascii="Calibri" w:hAnsi="Calibri" w:cs="Calibri"/>
          <w:sz w:val="24"/>
          <w:szCs w:val="24"/>
        </w:rPr>
      </w:pPr>
    </w:p>
    <w:p w14:paraId="15B448F5" w14:textId="06A6FF4F" w:rsidR="000870D5" w:rsidRPr="00E22DC2" w:rsidRDefault="000870D5" w:rsidP="00E22DC2">
      <w:pPr>
        <w:autoSpaceDE w:val="0"/>
        <w:autoSpaceDN w:val="0"/>
        <w:adjustRightInd w:val="0"/>
        <w:spacing w:after="0" w:line="240" w:lineRule="auto"/>
        <w:jc w:val="both"/>
        <w:rPr>
          <w:rFonts w:ascii="Calibri" w:hAnsi="Calibri" w:cs="Calibri"/>
          <w:sz w:val="24"/>
          <w:szCs w:val="24"/>
        </w:rPr>
      </w:pPr>
      <w:r w:rsidRPr="00E22DC2">
        <w:rPr>
          <w:rFonts w:ascii="Calibri" w:hAnsi="Calibri" w:cs="Calibri"/>
          <w:sz w:val="24"/>
          <w:szCs w:val="24"/>
        </w:rPr>
        <w:t xml:space="preserve">Maximální doba ručení, tedy doba účinnosti </w:t>
      </w:r>
      <w:r w:rsidR="00BA2B33">
        <w:rPr>
          <w:rFonts w:ascii="Calibri" w:hAnsi="Calibri" w:cs="Calibri"/>
          <w:sz w:val="24"/>
          <w:szCs w:val="24"/>
        </w:rPr>
        <w:t>r</w:t>
      </w:r>
      <w:r w:rsidRPr="00E22DC2">
        <w:rPr>
          <w:rFonts w:ascii="Calibri" w:hAnsi="Calibri" w:cs="Calibri"/>
          <w:sz w:val="24"/>
          <w:szCs w:val="24"/>
        </w:rPr>
        <w:t>učitelského prohlášení</w:t>
      </w:r>
      <w:r w:rsidR="00F224A9">
        <w:rPr>
          <w:rFonts w:ascii="Calibri" w:hAnsi="Calibri" w:cs="Calibri"/>
          <w:sz w:val="24"/>
          <w:szCs w:val="24"/>
        </w:rPr>
        <w:t>,</w:t>
      </w:r>
      <w:r w:rsidRPr="00E22DC2">
        <w:rPr>
          <w:rFonts w:ascii="Calibri" w:hAnsi="Calibri" w:cs="Calibri"/>
          <w:sz w:val="24"/>
          <w:szCs w:val="24"/>
        </w:rPr>
        <w:t xml:space="preserve"> je 60 měsíců od data jeho vystavení PGRLF. Ručitelské prohlášení může být vystaveno i opakovaně, a to na základě žádosti příjemce podpory ve formě ručení. Celkový objem úvěrových prostředků u jednoho žadatele nesmí překročit 70 % (respektive 80 % v případě úvěrů na financování </w:t>
      </w:r>
      <w:r w:rsidR="00F224A9">
        <w:rPr>
          <w:rFonts w:ascii="Calibri" w:hAnsi="Calibri" w:cs="Calibri"/>
          <w:sz w:val="24"/>
          <w:szCs w:val="24"/>
        </w:rPr>
        <w:t>i</w:t>
      </w:r>
      <w:r w:rsidRPr="00E22DC2">
        <w:rPr>
          <w:rFonts w:ascii="Calibri" w:hAnsi="Calibri" w:cs="Calibri"/>
          <w:sz w:val="24"/>
          <w:szCs w:val="24"/>
        </w:rPr>
        <w:t xml:space="preserve">nformačních a propagačních opatření) z nesplacené jistiny úvěru ve výši až: </w:t>
      </w:r>
    </w:p>
    <w:p w14:paraId="405FA85C" w14:textId="026E4CAC" w:rsidR="000870D5" w:rsidRPr="00E22DC2" w:rsidRDefault="000870D5" w:rsidP="00E22DC2">
      <w:pPr>
        <w:pStyle w:val="Odstavecseseznamem"/>
        <w:numPr>
          <w:ilvl w:val="0"/>
          <w:numId w:val="30"/>
        </w:numPr>
        <w:autoSpaceDE w:val="0"/>
        <w:autoSpaceDN w:val="0"/>
        <w:adjustRightInd w:val="0"/>
        <w:spacing w:after="0" w:line="240" w:lineRule="auto"/>
        <w:ind w:left="284" w:hanging="284"/>
        <w:contextualSpacing w:val="0"/>
        <w:jc w:val="both"/>
        <w:rPr>
          <w:rFonts w:ascii="Calibri" w:hAnsi="Calibri" w:cs="Calibri"/>
          <w:sz w:val="24"/>
          <w:szCs w:val="24"/>
        </w:rPr>
      </w:pPr>
      <w:r w:rsidRPr="00E22DC2">
        <w:rPr>
          <w:rFonts w:ascii="Calibri" w:hAnsi="Calibri" w:cs="Calibri"/>
          <w:sz w:val="24"/>
          <w:szCs w:val="24"/>
        </w:rPr>
        <w:t>5 mil. Kč na pořízení investičního majetku v závodech začínajících podnikatelů</w:t>
      </w:r>
      <w:r w:rsidR="00F224A9">
        <w:rPr>
          <w:rFonts w:ascii="Calibri" w:hAnsi="Calibri" w:cs="Calibri"/>
          <w:sz w:val="24"/>
          <w:szCs w:val="24"/>
        </w:rPr>
        <w:t>,</w:t>
      </w:r>
      <w:r w:rsidRPr="00E22DC2">
        <w:rPr>
          <w:rFonts w:ascii="Calibri" w:hAnsi="Calibri" w:cs="Calibri"/>
          <w:sz w:val="24"/>
          <w:szCs w:val="24"/>
        </w:rPr>
        <w:t xml:space="preserve"> tedy investičního majetku, který souvisí se zemědělskou prvovýrobou, zpracováním zemědělských produktů, lesním hospodářstvím nebo zpracováním dřeva;</w:t>
      </w:r>
    </w:p>
    <w:p w14:paraId="30CAA498" w14:textId="77777777" w:rsidR="000870D5" w:rsidRPr="00E22DC2" w:rsidRDefault="000870D5" w:rsidP="00E22DC2">
      <w:pPr>
        <w:pStyle w:val="Odstavecseseznamem"/>
        <w:numPr>
          <w:ilvl w:val="0"/>
          <w:numId w:val="30"/>
        </w:numPr>
        <w:autoSpaceDE w:val="0"/>
        <w:autoSpaceDN w:val="0"/>
        <w:adjustRightInd w:val="0"/>
        <w:spacing w:after="0" w:line="240" w:lineRule="auto"/>
        <w:ind w:left="284" w:hanging="284"/>
        <w:contextualSpacing w:val="0"/>
        <w:jc w:val="both"/>
        <w:rPr>
          <w:rFonts w:ascii="Calibri" w:hAnsi="Calibri" w:cs="Calibri"/>
          <w:sz w:val="24"/>
          <w:szCs w:val="24"/>
        </w:rPr>
      </w:pPr>
      <w:r w:rsidRPr="00E22DC2">
        <w:rPr>
          <w:rFonts w:ascii="Calibri" w:hAnsi="Calibri" w:cs="Calibri"/>
          <w:sz w:val="24"/>
          <w:szCs w:val="24"/>
        </w:rPr>
        <w:t>10 mil. Kč na pořízení investičního majetku, který souvisí se zemědělskou prvovýrobou;</w:t>
      </w:r>
    </w:p>
    <w:p w14:paraId="69192685" w14:textId="52019C08" w:rsidR="000870D5" w:rsidRPr="00E22DC2" w:rsidRDefault="000870D5" w:rsidP="00E22DC2">
      <w:pPr>
        <w:pStyle w:val="Odstavecseseznamem"/>
        <w:numPr>
          <w:ilvl w:val="0"/>
          <w:numId w:val="30"/>
        </w:numPr>
        <w:autoSpaceDE w:val="0"/>
        <w:autoSpaceDN w:val="0"/>
        <w:adjustRightInd w:val="0"/>
        <w:spacing w:after="0" w:line="240" w:lineRule="auto"/>
        <w:ind w:left="284" w:hanging="284"/>
        <w:contextualSpacing w:val="0"/>
        <w:jc w:val="both"/>
        <w:rPr>
          <w:rFonts w:ascii="Calibri" w:hAnsi="Calibri" w:cs="Calibri"/>
          <w:sz w:val="24"/>
          <w:szCs w:val="24"/>
        </w:rPr>
      </w:pPr>
      <w:r w:rsidRPr="00E22DC2">
        <w:rPr>
          <w:rFonts w:ascii="Calibri" w:hAnsi="Calibri" w:cs="Calibri"/>
          <w:sz w:val="24"/>
          <w:szCs w:val="24"/>
        </w:rPr>
        <w:t>50 mil. Kč na pořízení investičního majetku, který souvisí se zpracováním zemědělských produktů, lesním hospodářstvím nebo zpracováním dřeva</w:t>
      </w:r>
      <w:r w:rsidR="00F224A9">
        <w:rPr>
          <w:rFonts w:ascii="Calibri" w:hAnsi="Calibri" w:cs="Calibri"/>
          <w:sz w:val="24"/>
          <w:szCs w:val="24"/>
        </w:rPr>
        <w:t>,</w:t>
      </w:r>
      <w:r w:rsidRPr="00E22DC2">
        <w:rPr>
          <w:rFonts w:ascii="Calibri" w:hAnsi="Calibri" w:cs="Calibri"/>
          <w:sz w:val="24"/>
          <w:szCs w:val="24"/>
        </w:rPr>
        <w:t xml:space="preserve"> nebo na</w:t>
      </w:r>
      <w:r w:rsidR="00F224A9">
        <w:rPr>
          <w:rFonts w:ascii="Calibri" w:hAnsi="Calibri" w:cs="Calibri"/>
          <w:sz w:val="24"/>
          <w:szCs w:val="24"/>
        </w:rPr>
        <w:t xml:space="preserve"> </w:t>
      </w:r>
      <w:r w:rsidRPr="00E22DC2">
        <w:rPr>
          <w:rFonts w:ascii="Calibri" w:hAnsi="Calibri" w:cs="Calibri"/>
          <w:sz w:val="24"/>
          <w:szCs w:val="24"/>
        </w:rPr>
        <w:t xml:space="preserve">projekty </w:t>
      </w:r>
      <w:r w:rsidR="00F224A9">
        <w:rPr>
          <w:rFonts w:ascii="Calibri" w:hAnsi="Calibri" w:cs="Calibri"/>
          <w:sz w:val="24"/>
          <w:szCs w:val="24"/>
        </w:rPr>
        <w:t>i</w:t>
      </w:r>
      <w:r w:rsidRPr="00E22DC2">
        <w:rPr>
          <w:rFonts w:ascii="Calibri" w:hAnsi="Calibri" w:cs="Calibri"/>
          <w:sz w:val="24"/>
          <w:szCs w:val="24"/>
        </w:rPr>
        <w:t>nformačních a</w:t>
      </w:r>
      <w:r w:rsidR="00E22DC2">
        <w:rPr>
          <w:rFonts w:ascii="Calibri" w:hAnsi="Calibri" w:cs="Calibri"/>
          <w:sz w:val="24"/>
          <w:szCs w:val="24"/>
        </w:rPr>
        <w:t> </w:t>
      </w:r>
      <w:r w:rsidRPr="00E22DC2">
        <w:rPr>
          <w:rFonts w:ascii="Calibri" w:hAnsi="Calibri" w:cs="Calibri"/>
          <w:sz w:val="24"/>
          <w:szCs w:val="24"/>
        </w:rPr>
        <w:t xml:space="preserve">propagačních opatření. </w:t>
      </w:r>
    </w:p>
    <w:p w14:paraId="6D3888C6" w14:textId="77777777" w:rsidR="00E22DC2" w:rsidRPr="00E22DC2" w:rsidRDefault="00E22DC2" w:rsidP="00E22DC2">
      <w:pPr>
        <w:autoSpaceDE w:val="0"/>
        <w:autoSpaceDN w:val="0"/>
        <w:adjustRightInd w:val="0"/>
        <w:spacing w:after="0" w:line="240" w:lineRule="auto"/>
        <w:jc w:val="both"/>
        <w:rPr>
          <w:rFonts w:ascii="Calibri" w:hAnsi="Calibri" w:cs="Calibri"/>
          <w:sz w:val="24"/>
          <w:szCs w:val="24"/>
        </w:rPr>
      </w:pPr>
    </w:p>
    <w:p w14:paraId="04E7AB37" w14:textId="558DBD08" w:rsidR="000870D5" w:rsidRDefault="000870D5" w:rsidP="00E22DC2">
      <w:pPr>
        <w:autoSpaceDE w:val="0"/>
        <w:autoSpaceDN w:val="0"/>
        <w:adjustRightInd w:val="0"/>
        <w:spacing w:after="0" w:line="240" w:lineRule="auto"/>
        <w:jc w:val="both"/>
        <w:rPr>
          <w:rFonts w:ascii="Calibri" w:hAnsi="Calibri" w:cs="Calibri"/>
          <w:sz w:val="24"/>
          <w:szCs w:val="24"/>
        </w:rPr>
      </w:pPr>
      <w:r w:rsidRPr="00E22DC2">
        <w:rPr>
          <w:rFonts w:ascii="Calibri" w:hAnsi="Calibri" w:cs="Calibri"/>
          <w:b/>
          <w:sz w:val="24"/>
          <w:szCs w:val="24"/>
        </w:rPr>
        <w:t xml:space="preserve">9. Program </w:t>
      </w:r>
      <w:r w:rsidR="00BA2B33" w:rsidRPr="008D015E">
        <w:rPr>
          <w:rFonts w:ascii="Calibri" w:hAnsi="Calibri" w:cs="Calibri"/>
          <w:b/>
          <w:i/>
          <w:sz w:val="24"/>
          <w:szCs w:val="24"/>
        </w:rPr>
        <w:t>P</w:t>
      </w:r>
      <w:r w:rsidRPr="008D015E">
        <w:rPr>
          <w:rFonts w:ascii="Calibri" w:hAnsi="Calibri" w:cs="Calibri"/>
          <w:b/>
          <w:i/>
          <w:sz w:val="24"/>
          <w:szCs w:val="24"/>
        </w:rPr>
        <w:t>odpora pojištění</w:t>
      </w:r>
      <w:r w:rsidRPr="00E22DC2">
        <w:rPr>
          <w:rFonts w:ascii="Calibri" w:hAnsi="Calibri" w:cs="Calibri"/>
          <w:sz w:val="24"/>
          <w:szCs w:val="24"/>
        </w:rPr>
        <w:t xml:space="preserve"> – Cílem programu je zpřístupnění pojistné ochrany širokému okruhu zemědělců a tím dosažení vyššího zajištění podnikatelských aktivit proti nepředvídatelným rizikům. Formou podpory je částečná kompenzace pojistného, vynaloženého na zemědělské pojištění. Program je určen zemědělským podnikatelům, kteří sjednali pojištění plodin na ztráty způsobené přírodními pohromami, nepříznivými klimatickými jevy či škůdci, anebo sjednali pojištění hospodářských zvířat na ztráty způsobené chorobami zvířat, přírodními pohromami či nepříznivými klimatickými jevy. Program je určen pro malé a střední podniky. </w:t>
      </w:r>
    </w:p>
    <w:p w14:paraId="290ECB3F" w14:textId="77777777" w:rsidR="00E22DC2" w:rsidRPr="00E22DC2" w:rsidRDefault="00E22DC2" w:rsidP="00E22DC2">
      <w:pPr>
        <w:autoSpaceDE w:val="0"/>
        <w:autoSpaceDN w:val="0"/>
        <w:adjustRightInd w:val="0"/>
        <w:spacing w:after="0" w:line="240" w:lineRule="auto"/>
        <w:jc w:val="both"/>
        <w:rPr>
          <w:rFonts w:ascii="Calibri" w:hAnsi="Calibri" w:cs="Calibri"/>
          <w:sz w:val="24"/>
          <w:szCs w:val="24"/>
          <w:u w:val="single"/>
        </w:rPr>
      </w:pPr>
    </w:p>
    <w:p w14:paraId="46A009DD" w14:textId="434783DD" w:rsidR="000870D5" w:rsidRPr="00E22DC2" w:rsidRDefault="000870D5" w:rsidP="00E22DC2">
      <w:pPr>
        <w:pStyle w:val="Odstavecseseznamem"/>
        <w:autoSpaceDE w:val="0"/>
        <w:autoSpaceDN w:val="0"/>
        <w:adjustRightInd w:val="0"/>
        <w:spacing w:after="0" w:line="240" w:lineRule="auto"/>
        <w:ind w:left="0"/>
        <w:contextualSpacing w:val="0"/>
        <w:jc w:val="both"/>
        <w:rPr>
          <w:rFonts w:ascii="Calibri" w:hAnsi="Calibri" w:cs="Calibri"/>
          <w:sz w:val="24"/>
          <w:szCs w:val="24"/>
        </w:rPr>
      </w:pPr>
      <w:r w:rsidRPr="00E22DC2">
        <w:rPr>
          <w:rFonts w:ascii="Calibri" w:hAnsi="Calibri" w:cs="Calibri"/>
          <w:b/>
          <w:sz w:val="24"/>
          <w:szCs w:val="24"/>
        </w:rPr>
        <w:t xml:space="preserve">10. Program </w:t>
      </w:r>
      <w:r w:rsidR="00BA2B33" w:rsidRPr="008D015E">
        <w:rPr>
          <w:rFonts w:ascii="Calibri" w:hAnsi="Calibri" w:cs="Calibri"/>
          <w:b/>
          <w:i/>
          <w:sz w:val="24"/>
          <w:szCs w:val="24"/>
        </w:rPr>
        <w:t>P</w:t>
      </w:r>
      <w:r w:rsidRPr="008D015E">
        <w:rPr>
          <w:rFonts w:ascii="Calibri" w:hAnsi="Calibri" w:cs="Calibri"/>
          <w:b/>
          <w:i/>
          <w:sz w:val="24"/>
          <w:szCs w:val="24"/>
        </w:rPr>
        <w:t>oskytování finanční podpory pojištění produkce lesních školek</w:t>
      </w:r>
      <w:r w:rsidR="001D27A2" w:rsidRPr="00E22DC2">
        <w:rPr>
          <w:rFonts w:ascii="Calibri" w:hAnsi="Calibri" w:cs="Calibri"/>
          <w:sz w:val="24"/>
          <w:szCs w:val="24"/>
        </w:rPr>
        <w:t xml:space="preserve"> –</w:t>
      </w:r>
      <w:r w:rsidR="00A43334" w:rsidRPr="00E22DC2">
        <w:rPr>
          <w:rFonts w:ascii="Calibri" w:hAnsi="Calibri" w:cs="Calibri"/>
          <w:sz w:val="24"/>
          <w:szCs w:val="24"/>
        </w:rPr>
        <w:t xml:space="preserve"> P</w:t>
      </w:r>
      <w:r w:rsidRPr="00E22DC2">
        <w:rPr>
          <w:rFonts w:ascii="Calibri" w:hAnsi="Calibri" w:cs="Calibri"/>
          <w:sz w:val="24"/>
          <w:szCs w:val="24"/>
        </w:rPr>
        <w:t>rogram je</w:t>
      </w:r>
      <w:r w:rsidR="000D1D1C">
        <w:rPr>
          <w:rFonts w:ascii="Calibri" w:hAnsi="Calibri" w:cs="Calibri"/>
          <w:sz w:val="24"/>
          <w:szCs w:val="24"/>
        </w:rPr>
        <w:t xml:space="preserve"> </w:t>
      </w:r>
      <w:r w:rsidRPr="00E22DC2">
        <w:rPr>
          <w:rFonts w:ascii="Calibri" w:hAnsi="Calibri" w:cs="Calibri"/>
          <w:sz w:val="24"/>
          <w:szCs w:val="24"/>
        </w:rPr>
        <w:t xml:space="preserve">určen zemědělským podnikatelům, kteří sjednali smluvní pojištění na ztráty způsobené sadebnímu materiálu lesních dřevin pěstovanému v lesních školkách a zapříčiněné riziky jako např. vichřice, požár, krupobití atd. Jde o přímou podporu na úhradu části nákladů za platbu pojistného sadebního materiálu lesních dřevin pěstovaných v lesních školkách s produkcí sadebního materiálu lesních dřevin. Lesními dřevinami se pro účely tohoto programu rozumí ty druhy lesních dřevin, které jsou uvedeny v příloze č. 1 k vyhlášce č. 393/2013 Sb., o seznamech druhů lesních dřevin. Program je poskytován v režimu de </w:t>
      </w:r>
      <w:proofErr w:type="spellStart"/>
      <w:r w:rsidRPr="00E22DC2">
        <w:rPr>
          <w:rFonts w:ascii="Calibri" w:hAnsi="Calibri" w:cs="Calibri"/>
          <w:sz w:val="24"/>
          <w:szCs w:val="24"/>
        </w:rPr>
        <w:t>minimis</w:t>
      </w:r>
      <w:proofErr w:type="spellEnd"/>
      <w:r w:rsidRPr="00E22DC2">
        <w:rPr>
          <w:rFonts w:ascii="Calibri" w:hAnsi="Calibri" w:cs="Calibri"/>
          <w:sz w:val="24"/>
          <w:szCs w:val="24"/>
        </w:rPr>
        <w:t>. Výše podpory je stanovena až do výše 50 % prokázaných uhrazených nákladů na pojištění pro</w:t>
      </w:r>
      <w:r w:rsidR="00F224A9">
        <w:rPr>
          <w:rFonts w:ascii="Calibri" w:hAnsi="Calibri" w:cs="Calibri"/>
          <w:sz w:val="24"/>
          <w:szCs w:val="24"/>
        </w:rPr>
        <w:t xml:space="preserve"> </w:t>
      </w:r>
      <w:r w:rsidRPr="00E22DC2">
        <w:rPr>
          <w:rFonts w:ascii="Calibri" w:hAnsi="Calibri" w:cs="Calibri"/>
          <w:sz w:val="24"/>
          <w:szCs w:val="24"/>
        </w:rPr>
        <w:t>příslušný rok.</w:t>
      </w:r>
    </w:p>
    <w:p w14:paraId="04A7358F" w14:textId="77777777" w:rsidR="00FA279A" w:rsidRPr="00E22DC2" w:rsidRDefault="00FA279A" w:rsidP="00E22DC2">
      <w:pPr>
        <w:pStyle w:val="Odstavecseseznamem"/>
        <w:autoSpaceDE w:val="0"/>
        <w:autoSpaceDN w:val="0"/>
        <w:adjustRightInd w:val="0"/>
        <w:spacing w:after="0" w:line="240" w:lineRule="auto"/>
        <w:ind w:left="0"/>
        <w:contextualSpacing w:val="0"/>
        <w:jc w:val="both"/>
        <w:rPr>
          <w:rFonts w:ascii="Calibri" w:hAnsi="Calibri" w:cs="Calibri"/>
          <w:sz w:val="24"/>
          <w:szCs w:val="24"/>
        </w:rPr>
      </w:pPr>
    </w:p>
    <w:p w14:paraId="1DBE735C" w14:textId="2E29E45F" w:rsidR="000A64E9" w:rsidRDefault="000870D5" w:rsidP="00E22DC2">
      <w:pPr>
        <w:pStyle w:val="Odstavecseseznamem"/>
        <w:autoSpaceDE w:val="0"/>
        <w:autoSpaceDN w:val="0"/>
        <w:adjustRightInd w:val="0"/>
        <w:spacing w:after="0" w:line="240" w:lineRule="auto"/>
        <w:ind w:left="0"/>
        <w:contextualSpacing w:val="0"/>
        <w:jc w:val="both"/>
        <w:rPr>
          <w:rFonts w:ascii="Calibri" w:hAnsi="Calibri" w:cs="Calibri"/>
          <w:sz w:val="24"/>
          <w:szCs w:val="24"/>
        </w:rPr>
      </w:pPr>
      <w:r w:rsidRPr="00E22DC2">
        <w:rPr>
          <w:rFonts w:ascii="Calibri" w:hAnsi="Calibri" w:cs="Calibri"/>
          <w:b/>
          <w:sz w:val="24"/>
          <w:szCs w:val="24"/>
        </w:rPr>
        <w:t xml:space="preserve">11. Program </w:t>
      </w:r>
      <w:r w:rsidR="00BA2B33" w:rsidRPr="008D015E">
        <w:rPr>
          <w:rFonts w:ascii="Calibri" w:hAnsi="Calibri" w:cs="Calibri"/>
          <w:b/>
          <w:i/>
          <w:sz w:val="24"/>
          <w:szCs w:val="24"/>
        </w:rPr>
        <w:t>P</w:t>
      </w:r>
      <w:r w:rsidRPr="008D015E">
        <w:rPr>
          <w:rFonts w:ascii="Calibri" w:hAnsi="Calibri" w:cs="Calibri"/>
          <w:b/>
          <w:i/>
          <w:sz w:val="24"/>
          <w:szCs w:val="24"/>
        </w:rPr>
        <w:t>ojištění lesních porostů</w:t>
      </w:r>
      <w:r w:rsidR="0042740C" w:rsidRPr="00E22DC2">
        <w:rPr>
          <w:rFonts w:ascii="Calibri" w:hAnsi="Calibri" w:cs="Calibri"/>
          <w:sz w:val="24"/>
          <w:szCs w:val="24"/>
        </w:rPr>
        <w:t xml:space="preserve"> –</w:t>
      </w:r>
      <w:r w:rsidR="00A43334" w:rsidRPr="00E22DC2">
        <w:rPr>
          <w:rFonts w:ascii="Calibri" w:hAnsi="Calibri" w:cs="Calibri"/>
          <w:sz w:val="24"/>
          <w:szCs w:val="24"/>
        </w:rPr>
        <w:t xml:space="preserve"> P</w:t>
      </w:r>
      <w:r w:rsidRPr="00E22DC2">
        <w:rPr>
          <w:rFonts w:ascii="Calibri" w:hAnsi="Calibri" w:cs="Calibri"/>
          <w:sz w:val="24"/>
          <w:szCs w:val="24"/>
        </w:rPr>
        <w:t>rogram je určen podnikatelům, kteří jsou vlastníky, nájemci, pachtýři, či vypůjčiteli lesa</w:t>
      </w:r>
      <w:r w:rsidR="00F224A9">
        <w:rPr>
          <w:rFonts w:ascii="Calibri" w:hAnsi="Calibri" w:cs="Calibri"/>
          <w:sz w:val="24"/>
          <w:szCs w:val="24"/>
        </w:rPr>
        <w:t>,</w:t>
      </w:r>
      <w:r w:rsidRPr="00E22DC2">
        <w:rPr>
          <w:rFonts w:ascii="Calibri" w:hAnsi="Calibri" w:cs="Calibri"/>
          <w:sz w:val="24"/>
          <w:szCs w:val="24"/>
        </w:rPr>
        <w:t xml:space="preserve"> nebo obcím (dobrovolné svazky obcí, příspěvkové organizace obcí či právnické osoby založené obcí), a</w:t>
      </w:r>
      <w:r w:rsidR="00F224A9">
        <w:rPr>
          <w:rFonts w:ascii="Calibri" w:hAnsi="Calibri" w:cs="Calibri"/>
          <w:sz w:val="24"/>
          <w:szCs w:val="24"/>
        </w:rPr>
        <w:t> to těm,</w:t>
      </w:r>
      <w:r w:rsidRPr="00E22DC2">
        <w:rPr>
          <w:rFonts w:ascii="Calibri" w:hAnsi="Calibri" w:cs="Calibri"/>
          <w:sz w:val="24"/>
          <w:szCs w:val="24"/>
        </w:rPr>
        <w:t xml:space="preserve"> kteří sjednali pojištění lesních porostů zejména proti požárům anebo dalším abiotickým činitelům. Jde o přímou podporu na</w:t>
      </w:r>
      <w:r w:rsidR="00F224A9">
        <w:rPr>
          <w:rFonts w:ascii="Calibri" w:hAnsi="Calibri" w:cs="Calibri"/>
          <w:sz w:val="24"/>
          <w:szCs w:val="24"/>
        </w:rPr>
        <w:t xml:space="preserve"> </w:t>
      </w:r>
      <w:r w:rsidRPr="00E22DC2">
        <w:rPr>
          <w:rFonts w:ascii="Calibri" w:hAnsi="Calibri" w:cs="Calibri"/>
          <w:sz w:val="24"/>
          <w:szCs w:val="24"/>
        </w:rPr>
        <w:t xml:space="preserve">úhradu části nákladů, které byly prokazatelně vynaloženy na platbu pojistného. Výše podpory je stanovena v rozmezí od 0 do 30 % prokázaných vynaložených nákladů, přičemž konkrétní </w:t>
      </w:r>
      <w:r w:rsidRPr="00E22DC2">
        <w:rPr>
          <w:rFonts w:ascii="Calibri" w:hAnsi="Calibri" w:cs="Calibri"/>
          <w:sz w:val="24"/>
          <w:szCs w:val="24"/>
        </w:rPr>
        <w:lastRenderedPageBreak/>
        <w:t xml:space="preserve">výše je stanovena po ukončení příjmu žádostí o poskytnutí podpory pro příslušný rok. Program je poskytován v režimu de </w:t>
      </w:r>
      <w:proofErr w:type="spellStart"/>
      <w:r w:rsidRPr="00E22DC2">
        <w:rPr>
          <w:rFonts w:ascii="Calibri" w:hAnsi="Calibri" w:cs="Calibri"/>
          <w:sz w:val="24"/>
          <w:szCs w:val="24"/>
        </w:rPr>
        <w:t>minimis</w:t>
      </w:r>
      <w:proofErr w:type="spellEnd"/>
      <w:r w:rsidRPr="00E22DC2">
        <w:rPr>
          <w:rFonts w:ascii="Calibri" w:hAnsi="Calibri" w:cs="Calibri"/>
          <w:sz w:val="24"/>
          <w:szCs w:val="24"/>
        </w:rPr>
        <w:t xml:space="preserve">. </w:t>
      </w:r>
    </w:p>
    <w:p w14:paraId="210E7258" w14:textId="77777777" w:rsidR="00E22DC2" w:rsidRPr="00E22DC2" w:rsidRDefault="00E22DC2" w:rsidP="00E22DC2">
      <w:pPr>
        <w:pStyle w:val="Odstavecseseznamem"/>
        <w:autoSpaceDE w:val="0"/>
        <w:autoSpaceDN w:val="0"/>
        <w:adjustRightInd w:val="0"/>
        <w:spacing w:after="0" w:line="240" w:lineRule="auto"/>
        <w:ind w:left="0"/>
        <w:contextualSpacing w:val="0"/>
        <w:jc w:val="both"/>
        <w:rPr>
          <w:rFonts w:ascii="Calibri" w:hAnsi="Calibri" w:cs="Calibri"/>
          <w:sz w:val="24"/>
          <w:szCs w:val="24"/>
        </w:rPr>
      </w:pPr>
    </w:p>
    <w:p w14:paraId="2E5C640B" w14:textId="347413C1" w:rsidR="000870D5" w:rsidRDefault="000870D5" w:rsidP="00E22DC2">
      <w:pPr>
        <w:spacing w:after="0" w:line="240" w:lineRule="auto"/>
        <w:jc w:val="both"/>
        <w:rPr>
          <w:rFonts w:ascii="Calibri" w:hAnsi="Calibri" w:cs="Calibri"/>
          <w:sz w:val="24"/>
          <w:szCs w:val="24"/>
        </w:rPr>
      </w:pPr>
      <w:r w:rsidRPr="00E22DC2">
        <w:rPr>
          <w:rFonts w:ascii="Calibri" w:hAnsi="Calibri" w:cs="Calibri"/>
          <w:b/>
          <w:sz w:val="24"/>
          <w:szCs w:val="24"/>
        </w:rPr>
        <w:t xml:space="preserve">12. Úvěry na nákup půdy </w:t>
      </w:r>
      <w:r w:rsidR="000A64E9" w:rsidRPr="00E22DC2">
        <w:rPr>
          <w:rFonts w:ascii="Calibri" w:hAnsi="Calibri" w:cs="Calibri"/>
          <w:sz w:val="24"/>
          <w:szCs w:val="24"/>
        </w:rPr>
        <w:t>–</w:t>
      </w:r>
      <w:r w:rsidRPr="00E22DC2">
        <w:rPr>
          <w:rFonts w:ascii="Calibri" w:hAnsi="Calibri" w:cs="Calibri"/>
          <w:sz w:val="24"/>
          <w:szCs w:val="24"/>
        </w:rPr>
        <w:t xml:space="preserve"> V rámci programu jsou poskytovány úročené úvěry přímo PGRLF na nákup zemědělské půdy, která není ve vlastnictví státu. Uvedený program podpory je</w:t>
      </w:r>
      <w:r w:rsidR="00F224A9">
        <w:rPr>
          <w:rFonts w:ascii="Calibri" w:hAnsi="Calibri" w:cs="Calibri"/>
          <w:sz w:val="24"/>
          <w:szCs w:val="24"/>
        </w:rPr>
        <w:t xml:space="preserve"> </w:t>
      </w:r>
      <w:r w:rsidRPr="00E22DC2">
        <w:rPr>
          <w:rFonts w:ascii="Calibri" w:hAnsi="Calibri" w:cs="Calibri"/>
          <w:sz w:val="24"/>
          <w:szCs w:val="24"/>
        </w:rPr>
        <w:t xml:space="preserve">určen zemědělským podnikatelům působícím v oblasti zemědělské prvovýroby, kteří budou v prvním účetním období, které následuje po období, v němž byla podána žádost, dosahovat příjmů ze zemědělské činnosti alespoň ve výši 25 % celkových příjmů a dále budou uvedených příjmů dosahovat po dobu, po kterou je úvěr splácen. Maximální výše úvěru je 5 mil. Kč pro jednoho žadatele v rámci jednoho vyhlášeného kola příjmů žádostí s dobou splatnosti až 25 let. Zajištění úvěru je realizováno zástavním právem k nakoupené půdě. Tyto úvěry je možné kombinovat s podporou poskytnutou v režimu de </w:t>
      </w:r>
      <w:proofErr w:type="spellStart"/>
      <w:r w:rsidRPr="00E22DC2">
        <w:rPr>
          <w:rFonts w:ascii="Calibri" w:hAnsi="Calibri" w:cs="Calibri"/>
          <w:sz w:val="24"/>
          <w:szCs w:val="24"/>
        </w:rPr>
        <w:t>minimis</w:t>
      </w:r>
      <w:proofErr w:type="spellEnd"/>
      <w:r w:rsidRPr="00E22DC2">
        <w:rPr>
          <w:rFonts w:ascii="Calibri" w:hAnsi="Calibri" w:cs="Calibri"/>
          <w:sz w:val="24"/>
          <w:szCs w:val="24"/>
        </w:rPr>
        <w:t>, která je určena na snížení (splátku) jistiny úvěru. PGRLF bude u všech nakupovaných pozemků zapsána v katastru nemovitostí jako zástavní věřitel. Podpora bude poskytnuta na nákup zemědělské půdy s průměrnou jednotkovou kupní cenou v maximální výši 25 Kč/m</w:t>
      </w:r>
      <w:r w:rsidRPr="00E22DC2">
        <w:rPr>
          <w:rFonts w:ascii="Calibri" w:hAnsi="Calibri" w:cs="Calibri"/>
          <w:sz w:val="24"/>
          <w:szCs w:val="24"/>
          <w:vertAlign w:val="superscript"/>
        </w:rPr>
        <w:t>2</w:t>
      </w:r>
      <w:r w:rsidRPr="00E22DC2">
        <w:rPr>
          <w:rFonts w:ascii="Calibri" w:hAnsi="Calibri" w:cs="Calibri"/>
          <w:sz w:val="24"/>
          <w:szCs w:val="24"/>
        </w:rPr>
        <w:t xml:space="preserve">. </w:t>
      </w:r>
    </w:p>
    <w:p w14:paraId="4487A125" w14:textId="77777777" w:rsidR="00E22DC2" w:rsidRPr="00E22DC2" w:rsidRDefault="00E22DC2" w:rsidP="00E22DC2">
      <w:pPr>
        <w:spacing w:after="0" w:line="240" w:lineRule="auto"/>
        <w:jc w:val="both"/>
        <w:rPr>
          <w:rFonts w:ascii="Calibri" w:hAnsi="Calibri" w:cs="Calibri"/>
          <w:sz w:val="24"/>
          <w:szCs w:val="24"/>
        </w:rPr>
      </w:pPr>
    </w:p>
    <w:p w14:paraId="2976C8BF" w14:textId="5851E809" w:rsidR="000870D5" w:rsidRDefault="000870D5" w:rsidP="00E22DC2">
      <w:pPr>
        <w:spacing w:after="0" w:line="240" w:lineRule="auto"/>
        <w:jc w:val="both"/>
        <w:rPr>
          <w:rFonts w:ascii="Calibri" w:hAnsi="Calibri" w:cs="Calibri"/>
          <w:sz w:val="24"/>
          <w:szCs w:val="24"/>
        </w:rPr>
      </w:pPr>
      <w:r w:rsidRPr="00E22DC2">
        <w:rPr>
          <w:rFonts w:ascii="Calibri" w:hAnsi="Calibri" w:cs="Calibri"/>
          <w:b/>
          <w:sz w:val="24"/>
          <w:szCs w:val="24"/>
        </w:rPr>
        <w:t xml:space="preserve">13. Program </w:t>
      </w:r>
      <w:r w:rsidR="00BA2B33" w:rsidRPr="008D015E">
        <w:rPr>
          <w:rFonts w:ascii="Calibri" w:hAnsi="Calibri" w:cs="Calibri"/>
          <w:b/>
          <w:i/>
          <w:sz w:val="24"/>
          <w:szCs w:val="24"/>
        </w:rPr>
        <w:t>S</w:t>
      </w:r>
      <w:r w:rsidRPr="008D015E">
        <w:rPr>
          <w:rFonts w:ascii="Calibri" w:hAnsi="Calibri" w:cs="Calibri"/>
          <w:b/>
          <w:i/>
          <w:sz w:val="24"/>
          <w:szCs w:val="24"/>
        </w:rPr>
        <w:t>ociální zemědělství</w:t>
      </w:r>
      <w:r w:rsidRPr="00E22DC2">
        <w:rPr>
          <w:rFonts w:ascii="Calibri" w:hAnsi="Calibri" w:cs="Calibri"/>
          <w:sz w:val="24"/>
          <w:szCs w:val="24"/>
        </w:rPr>
        <w:t xml:space="preserve"> – V rámci uvedeného program</w:t>
      </w:r>
      <w:r w:rsidR="00B27F9B">
        <w:rPr>
          <w:rFonts w:ascii="Calibri" w:hAnsi="Calibri" w:cs="Calibri"/>
          <w:sz w:val="24"/>
          <w:szCs w:val="24"/>
        </w:rPr>
        <w:t>u jsou poskytovány investiční i </w:t>
      </w:r>
      <w:r w:rsidRPr="00E22DC2">
        <w:rPr>
          <w:rFonts w:ascii="Calibri" w:hAnsi="Calibri" w:cs="Calibri"/>
          <w:sz w:val="24"/>
          <w:szCs w:val="24"/>
        </w:rPr>
        <w:t>provozní úvěry. Cílem programu je podpora zemědělských farem při zaměstnávání znevýhodněných osob na trhu práce. Příjemcem podpory je zemědělský prvovýrobce, který má uzavřenou smlouvu s registrovaným poskytovatelem sociálních služeb či sám je</w:t>
      </w:r>
      <w:r w:rsidR="00B27F9B">
        <w:rPr>
          <w:rFonts w:ascii="Calibri" w:hAnsi="Calibri" w:cs="Calibri"/>
          <w:sz w:val="24"/>
          <w:szCs w:val="24"/>
        </w:rPr>
        <w:t xml:space="preserve"> </w:t>
      </w:r>
      <w:r w:rsidRPr="00E22DC2">
        <w:rPr>
          <w:rFonts w:ascii="Calibri" w:hAnsi="Calibri" w:cs="Calibri"/>
          <w:sz w:val="24"/>
          <w:szCs w:val="24"/>
        </w:rPr>
        <w:t xml:space="preserve">registrovaným poskytovatelem sociálních služeb. I tyto úvěry je možné kombinovat s podporou poskytnutou v režimu de </w:t>
      </w:r>
      <w:proofErr w:type="spellStart"/>
      <w:r w:rsidRPr="00E22DC2">
        <w:rPr>
          <w:rFonts w:ascii="Calibri" w:hAnsi="Calibri" w:cs="Calibri"/>
          <w:sz w:val="24"/>
          <w:szCs w:val="24"/>
        </w:rPr>
        <w:t>minimis</w:t>
      </w:r>
      <w:proofErr w:type="spellEnd"/>
      <w:r w:rsidRPr="00E22DC2">
        <w:rPr>
          <w:rFonts w:ascii="Calibri" w:hAnsi="Calibri" w:cs="Calibri"/>
          <w:sz w:val="24"/>
          <w:szCs w:val="24"/>
        </w:rPr>
        <w:t>, která je určena na snížení (splátku) jistiny úvěru. Doba splatnosti úvěru na investice nepřesáhne 10 let. Úvěr bude poskytnut ve výši od</w:t>
      </w:r>
      <w:r w:rsidR="00E22DC2">
        <w:rPr>
          <w:rFonts w:ascii="Calibri" w:hAnsi="Calibri" w:cs="Calibri"/>
          <w:sz w:val="24"/>
          <w:szCs w:val="24"/>
        </w:rPr>
        <w:t xml:space="preserve"> </w:t>
      </w:r>
      <w:r w:rsidRPr="00E22DC2">
        <w:rPr>
          <w:rFonts w:ascii="Calibri" w:hAnsi="Calibri" w:cs="Calibri"/>
          <w:sz w:val="24"/>
          <w:szCs w:val="24"/>
        </w:rPr>
        <w:t>100</w:t>
      </w:r>
      <w:r w:rsidR="00E22DC2">
        <w:rPr>
          <w:rFonts w:ascii="Calibri" w:hAnsi="Calibri" w:cs="Calibri"/>
          <w:sz w:val="24"/>
          <w:szCs w:val="24"/>
        </w:rPr>
        <w:t> </w:t>
      </w:r>
      <w:r w:rsidRPr="00E22DC2">
        <w:rPr>
          <w:rFonts w:ascii="Calibri" w:hAnsi="Calibri" w:cs="Calibri"/>
          <w:sz w:val="24"/>
          <w:szCs w:val="24"/>
        </w:rPr>
        <w:t>tis.</w:t>
      </w:r>
      <w:r w:rsidR="00E22DC2">
        <w:rPr>
          <w:rFonts w:ascii="Calibri" w:hAnsi="Calibri" w:cs="Calibri"/>
          <w:sz w:val="24"/>
          <w:szCs w:val="24"/>
        </w:rPr>
        <w:t> </w:t>
      </w:r>
      <w:r w:rsidRPr="00E22DC2">
        <w:rPr>
          <w:rFonts w:ascii="Calibri" w:hAnsi="Calibri" w:cs="Calibri"/>
          <w:sz w:val="24"/>
          <w:szCs w:val="24"/>
        </w:rPr>
        <w:t>Kč do 5</w:t>
      </w:r>
      <w:r w:rsidR="00E22DC2">
        <w:rPr>
          <w:rFonts w:ascii="Calibri" w:hAnsi="Calibri" w:cs="Calibri"/>
          <w:sz w:val="24"/>
          <w:szCs w:val="24"/>
        </w:rPr>
        <w:t> mil. </w:t>
      </w:r>
      <w:r w:rsidRPr="00E22DC2">
        <w:rPr>
          <w:rFonts w:ascii="Calibri" w:hAnsi="Calibri" w:cs="Calibri"/>
          <w:sz w:val="24"/>
          <w:szCs w:val="24"/>
        </w:rPr>
        <w:t>Kč. Maximální výše investičního úvěru žadatele je vypočtena jako součin částky 500 tis. Kč a počtu pracovníků se zdravotním postižením, které bude žadatel po</w:t>
      </w:r>
      <w:r w:rsidR="00E22DC2">
        <w:rPr>
          <w:rFonts w:ascii="Calibri" w:hAnsi="Calibri" w:cs="Calibri"/>
          <w:sz w:val="24"/>
          <w:szCs w:val="24"/>
        </w:rPr>
        <w:t xml:space="preserve"> </w:t>
      </w:r>
      <w:r w:rsidRPr="00E22DC2">
        <w:rPr>
          <w:rFonts w:ascii="Calibri" w:hAnsi="Calibri" w:cs="Calibri"/>
          <w:sz w:val="24"/>
          <w:szCs w:val="24"/>
        </w:rPr>
        <w:t>realizaci investice uvedené v podnikatelském záměru zaměstnávat, přičemž platí, že</w:t>
      </w:r>
      <w:r w:rsidR="00E22DC2">
        <w:rPr>
          <w:rFonts w:ascii="Calibri" w:hAnsi="Calibri" w:cs="Calibri"/>
          <w:sz w:val="24"/>
          <w:szCs w:val="24"/>
        </w:rPr>
        <w:t xml:space="preserve"> </w:t>
      </w:r>
      <w:r w:rsidRPr="00E22DC2">
        <w:rPr>
          <w:rFonts w:ascii="Calibri" w:hAnsi="Calibri" w:cs="Calibri"/>
          <w:sz w:val="24"/>
          <w:szCs w:val="24"/>
        </w:rPr>
        <w:t xml:space="preserve">maximální výše úvěru nepřesáhne 5 mil. Kč. </w:t>
      </w:r>
    </w:p>
    <w:p w14:paraId="5ABDC059" w14:textId="77777777" w:rsidR="00E22DC2" w:rsidRPr="00E22DC2" w:rsidRDefault="00E22DC2" w:rsidP="00E22DC2">
      <w:pPr>
        <w:spacing w:after="0" w:line="240" w:lineRule="auto"/>
        <w:jc w:val="both"/>
        <w:rPr>
          <w:rFonts w:ascii="Calibri" w:hAnsi="Calibri" w:cs="Calibri"/>
          <w:sz w:val="24"/>
          <w:szCs w:val="24"/>
        </w:rPr>
      </w:pPr>
    </w:p>
    <w:p w14:paraId="4D001D8E" w14:textId="7BCD50DD" w:rsidR="000870D5" w:rsidRDefault="000870D5" w:rsidP="00E22DC2">
      <w:pPr>
        <w:autoSpaceDE w:val="0"/>
        <w:autoSpaceDN w:val="0"/>
        <w:adjustRightInd w:val="0"/>
        <w:spacing w:after="0" w:line="240" w:lineRule="auto"/>
        <w:jc w:val="both"/>
        <w:rPr>
          <w:rFonts w:ascii="Calibri" w:hAnsi="Calibri" w:cs="Calibri"/>
          <w:sz w:val="24"/>
          <w:szCs w:val="24"/>
        </w:rPr>
      </w:pPr>
      <w:r w:rsidRPr="00E22DC2">
        <w:rPr>
          <w:rFonts w:ascii="Calibri" w:hAnsi="Calibri" w:cs="Calibri"/>
          <w:b/>
          <w:sz w:val="24"/>
          <w:szCs w:val="24"/>
        </w:rPr>
        <w:t xml:space="preserve">14. Program </w:t>
      </w:r>
      <w:r w:rsidR="00BA2B33" w:rsidRPr="008D015E">
        <w:rPr>
          <w:rFonts w:ascii="Calibri" w:hAnsi="Calibri" w:cs="Calibri"/>
          <w:b/>
          <w:i/>
          <w:sz w:val="24"/>
          <w:szCs w:val="24"/>
        </w:rPr>
        <w:t>I</w:t>
      </w:r>
      <w:r w:rsidRPr="008D015E">
        <w:rPr>
          <w:rFonts w:ascii="Calibri" w:hAnsi="Calibri" w:cs="Calibri"/>
          <w:b/>
          <w:i/>
          <w:sz w:val="24"/>
          <w:szCs w:val="24"/>
        </w:rPr>
        <w:t>nvestiční úvěry</w:t>
      </w:r>
      <w:r w:rsidR="003D7A5D" w:rsidRPr="00E22DC2">
        <w:rPr>
          <w:rFonts w:ascii="Calibri" w:hAnsi="Calibri" w:cs="Calibri"/>
          <w:sz w:val="24"/>
          <w:szCs w:val="24"/>
        </w:rPr>
        <w:t xml:space="preserve"> –</w:t>
      </w:r>
      <w:r w:rsidRPr="00E22DC2">
        <w:rPr>
          <w:rFonts w:ascii="Calibri" w:hAnsi="Calibri" w:cs="Calibri"/>
          <w:sz w:val="24"/>
          <w:szCs w:val="24"/>
        </w:rPr>
        <w:t xml:space="preserve"> V rámci programu jsou od roku 2016 poskytovány úročené úvěry přímo PGRLF s možností snížení jistiny úvěru v režimu de </w:t>
      </w:r>
      <w:proofErr w:type="spellStart"/>
      <w:r w:rsidRPr="00E22DC2">
        <w:rPr>
          <w:rFonts w:ascii="Calibri" w:hAnsi="Calibri" w:cs="Calibri"/>
          <w:sz w:val="24"/>
          <w:szCs w:val="24"/>
        </w:rPr>
        <w:t>minimis</w:t>
      </w:r>
      <w:proofErr w:type="spellEnd"/>
      <w:r w:rsidRPr="00E22DC2">
        <w:rPr>
          <w:rFonts w:ascii="Calibri" w:hAnsi="Calibri" w:cs="Calibri"/>
          <w:sz w:val="24"/>
          <w:szCs w:val="24"/>
        </w:rPr>
        <w:t>, a to na pořízení investičního majetku. Pro každé kolo příjmů žádostí o podporu byly parametry programu upraveny. Například pro rok 2018 byl program určen pro žadatele, kteří se zabývali zemědělskou prvovýrobou, zpracováním zemědělských produktů, lesním hospodářstvím nebo zpracováním dřeva. Příjemcem podpory mohl být také podnikatel nebo obec, kte</w:t>
      </w:r>
      <w:r w:rsidR="00B27F9B">
        <w:rPr>
          <w:rFonts w:ascii="Calibri" w:hAnsi="Calibri" w:cs="Calibri"/>
          <w:sz w:val="24"/>
          <w:szCs w:val="24"/>
        </w:rPr>
        <w:t>ří</w:t>
      </w:r>
      <w:r w:rsidRPr="00E22DC2">
        <w:rPr>
          <w:rFonts w:ascii="Calibri" w:hAnsi="Calibri" w:cs="Calibri"/>
          <w:sz w:val="24"/>
          <w:szCs w:val="24"/>
        </w:rPr>
        <w:t xml:space="preserve"> j</w:t>
      </w:r>
      <w:r w:rsidR="00B27F9B">
        <w:rPr>
          <w:rFonts w:ascii="Calibri" w:hAnsi="Calibri" w:cs="Calibri"/>
          <w:sz w:val="24"/>
          <w:szCs w:val="24"/>
        </w:rPr>
        <w:t xml:space="preserve">sou </w:t>
      </w:r>
      <w:r w:rsidRPr="00E22DC2">
        <w:rPr>
          <w:rFonts w:ascii="Calibri" w:hAnsi="Calibri" w:cs="Calibri"/>
          <w:sz w:val="24"/>
          <w:szCs w:val="24"/>
        </w:rPr>
        <w:t>vlastník</w:t>
      </w:r>
      <w:r w:rsidR="00B27F9B">
        <w:rPr>
          <w:rFonts w:ascii="Calibri" w:hAnsi="Calibri" w:cs="Calibri"/>
          <w:sz w:val="24"/>
          <w:szCs w:val="24"/>
        </w:rPr>
        <w:t>y</w:t>
      </w:r>
      <w:r w:rsidRPr="00E22DC2">
        <w:rPr>
          <w:rFonts w:ascii="Calibri" w:hAnsi="Calibri" w:cs="Calibri"/>
          <w:sz w:val="24"/>
          <w:szCs w:val="24"/>
        </w:rPr>
        <w:t>, nájemc</w:t>
      </w:r>
      <w:r w:rsidR="00B27F9B">
        <w:rPr>
          <w:rFonts w:ascii="Calibri" w:hAnsi="Calibri" w:cs="Calibri"/>
          <w:sz w:val="24"/>
          <w:szCs w:val="24"/>
        </w:rPr>
        <w:t>i</w:t>
      </w:r>
      <w:r w:rsidRPr="00E22DC2">
        <w:rPr>
          <w:rFonts w:ascii="Calibri" w:hAnsi="Calibri" w:cs="Calibri"/>
          <w:sz w:val="24"/>
          <w:szCs w:val="24"/>
        </w:rPr>
        <w:t xml:space="preserve"> (pachtýř</w:t>
      </w:r>
      <w:r w:rsidR="00B27F9B">
        <w:rPr>
          <w:rFonts w:ascii="Calibri" w:hAnsi="Calibri" w:cs="Calibri"/>
          <w:sz w:val="24"/>
          <w:szCs w:val="24"/>
        </w:rPr>
        <w:t>i</w:t>
      </w:r>
      <w:r w:rsidRPr="00E22DC2">
        <w:rPr>
          <w:rFonts w:ascii="Calibri" w:hAnsi="Calibri" w:cs="Calibri"/>
          <w:sz w:val="24"/>
          <w:szCs w:val="24"/>
        </w:rPr>
        <w:t>) nebo vypůjčitel</w:t>
      </w:r>
      <w:r w:rsidR="00B27F9B">
        <w:rPr>
          <w:rFonts w:ascii="Calibri" w:hAnsi="Calibri" w:cs="Calibri"/>
          <w:sz w:val="24"/>
          <w:szCs w:val="24"/>
        </w:rPr>
        <w:t>i</w:t>
      </w:r>
      <w:r w:rsidRPr="00E22DC2">
        <w:rPr>
          <w:rFonts w:ascii="Calibri" w:hAnsi="Calibri" w:cs="Calibri"/>
          <w:sz w:val="24"/>
          <w:szCs w:val="24"/>
        </w:rPr>
        <w:t xml:space="preserve"> lesa a hospodaří podle schváleného lesního hospodářského plánu nebo převzaté lesní hospodářské osnovy</w:t>
      </w:r>
      <w:r w:rsidR="00B27F9B">
        <w:rPr>
          <w:rFonts w:ascii="Calibri" w:hAnsi="Calibri" w:cs="Calibri"/>
          <w:sz w:val="24"/>
          <w:szCs w:val="24"/>
        </w:rPr>
        <w:t>,</w:t>
      </w:r>
      <w:r w:rsidRPr="00E22DC2">
        <w:rPr>
          <w:rFonts w:ascii="Calibri" w:hAnsi="Calibri" w:cs="Calibri"/>
          <w:sz w:val="24"/>
          <w:szCs w:val="24"/>
        </w:rPr>
        <w:t xml:space="preserve"> nebo obec zabývající se činnostmi souvisejícími se zpracováním dřeva. Výše podpory určené na snížení jistiny úvěru byla stanovena na</w:t>
      </w:r>
      <w:r w:rsidR="00E22DC2">
        <w:rPr>
          <w:rFonts w:ascii="Calibri" w:hAnsi="Calibri" w:cs="Calibri"/>
          <w:sz w:val="24"/>
          <w:szCs w:val="24"/>
        </w:rPr>
        <w:t xml:space="preserve"> </w:t>
      </w:r>
      <w:r w:rsidRPr="00E22DC2">
        <w:rPr>
          <w:rFonts w:ascii="Calibri" w:hAnsi="Calibri" w:cs="Calibri"/>
          <w:sz w:val="24"/>
          <w:szCs w:val="24"/>
        </w:rPr>
        <w:t>maximálně 50 % z celkové výše poskytnutého úvěru, pro začínající podnikatele maximálně 80 % z celkové výše poskytnutého úvěru, současně se zachováním maximální hranice 15 000 €.</w:t>
      </w:r>
    </w:p>
    <w:p w14:paraId="3F415C55" w14:textId="77777777" w:rsidR="00E22DC2" w:rsidRPr="00E22DC2" w:rsidRDefault="00E22DC2" w:rsidP="00E22DC2">
      <w:pPr>
        <w:autoSpaceDE w:val="0"/>
        <w:autoSpaceDN w:val="0"/>
        <w:adjustRightInd w:val="0"/>
        <w:spacing w:after="0" w:line="240" w:lineRule="auto"/>
        <w:jc w:val="both"/>
        <w:rPr>
          <w:rFonts w:ascii="Calibri" w:hAnsi="Calibri" w:cs="Calibri"/>
          <w:sz w:val="24"/>
          <w:szCs w:val="24"/>
        </w:rPr>
      </w:pPr>
    </w:p>
    <w:p w14:paraId="187AA615" w14:textId="55171869" w:rsidR="000870D5" w:rsidRDefault="000870D5" w:rsidP="00E22DC2">
      <w:pPr>
        <w:autoSpaceDE w:val="0"/>
        <w:autoSpaceDN w:val="0"/>
        <w:adjustRightInd w:val="0"/>
        <w:spacing w:after="0" w:line="240" w:lineRule="auto"/>
        <w:jc w:val="both"/>
        <w:rPr>
          <w:rFonts w:ascii="Calibri" w:hAnsi="Calibri" w:cs="Calibri"/>
          <w:sz w:val="24"/>
          <w:szCs w:val="24"/>
        </w:rPr>
      </w:pPr>
      <w:r w:rsidRPr="00E22DC2">
        <w:rPr>
          <w:rFonts w:ascii="Calibri" w:hAnsi="Calibri" w:cs="Calibri"/>
          <w:b/>
          <w:sz w:val="24"/>
          <w:szCs w:val="24"/>
        </w:rPr>
        <w:t xml:space="preserve">15. Program </w:t>
      </w:r>
      <w:r w:rsidRPr="008D015E">
        <w:rPr>
          <w:rFonts w:ascii="Calibri" w:hAnsi="Calibri" w:cs="Calibri"/>
          <w:b/>
          <w:i/>
          <w:sz w:val="24"/>
          <w:szCs w:val="24"/>
        </w:rPr>
        <w:t>Provozní úvěry</w:t>
      </w:r>
      <w:r w:rsidRPr="00E22DC2">
        <w:rPr>
          <w:rFonts w:ascii="Calibri" w:hAnsi="Calibri" w:cs="Calibri"/>
          <w:sz w:val="24"/>
          <w:szCs w:val="24"/>
        </w:rPr>
        <w:t xml:space="preserve"> – Účelem provozního úvěru je provozní financování zemědělských prvovýrobců, zpracovatelů zemědělských produktů a podnikatelů v lesním hospodářství či</w:t>
      </w:r>
      <w:r w:rsidR="00B27F9B">
        <w:rPr>
          <w:rFonts w:ascii="Calibri" w:hAnsi="Calibri" w:cs="Calibri"/>
          <w:sz w:val="24"/>
          <w:szCs w:val="24"/>
        </w:rPr>
        <w:t xml:space="preserve"> </w:t>
      </w:r>
      <w:r w:rsidRPr="00E22DC2">
        <w:rPr>
          <w:rFonts w:ascii="Calibri" w:hAnsi="Calibri" w:cs="Calibri"/>
          <w:sz w:val="24"/>
          <w:szCs w:val="24"/>
        </w:rPr>
        <w:t xml:space="preserve">zpracování dřeva. V rámci programu jsou od roku 2016 poskytovány provozní úvěry přímo PGRLF s možností snížení jistiny úvěru v režimu de </w:t>
      </w:r>
      <w:proofErr w:type="spellStart"/>
      <w:r w:rsidRPr="00E22DC2">
        <w:rPr>
          <w:rFonts w:ascii="Calibri" w:hAnsi="Calibri" w:cs="Calibri"/>
          <w:sz w:val="24"/>
          <w:szCs w:val="24"/>
        </w:rPr>
        <w:t>minimis</w:t>
      </w:r>
      <w:proofErr w:type="spellEnd"/>
      <w:r w:rsidRPr="00E22DC2">
        <w:rPr>
          <w:rFonts w:ascii="Calibri" w:hAnsi="Calibri" w:cs="Calibri"/>
          <w:sz w:val="24"/>
          <w:szCs w:val="24"/>
        </w:rPr>
        <w:t xml:space="preserve">. Pro každé kolo příjmů žádostí o podporu byly parametry programu upraveny. Například pro rok 2018 byla výše podpory určené na snížení jistiny úvěru stanovena na maximálně 50 % z celkové výše poskytnutého úvěru, pro začínající podnikatele maximálně 80 % z celkové výše poskytnutého úvěru, </w:t>
      </w:r>
      <w:r w:rsidRPr="00E22DC2">
        <w:rPr>
          <w:rFonts w:ascii="Calibri" w:hAnsi="Calibri" w:cs="Calibri"/>
          <w:sz w:val="24"/>
          <w:szCs w:val="24"/>
        </w:rPr>
        <w:lastRenderedPageBreak/>
        <w:t xml:space="preserve">současně se zachováním maximální hranice 15 000 €. Přičemž platilo, že úvěr nesměl být použit na pořízení investičního majetku. </w:t>
      </w:r>
    </w:p>
    <w:p w14:paraId="2567B592" w14:textId="77777777" w:rsidR="00E22DC2" w:rsidRPr="00E22DC2" w:rsidRDefault="00E22DC2" w:rsidP="00E22DC2">
      <w:pPr>
        <w:autoSpaceDE w:val="0"/>
        <w:autoSpaceDN w:val="0"/>
        <w:adjustRightInd w:val="0"/>
        <w:spacing w:after="0" w:line="240" w:lineRule="auto"/>
        <w:jc w:val="both"/>
        <w:rPr>
          <w:rFonts w:ascii="Calibri" w:hAnsi="Calibri" w:cs="Calibri"/>
          <w:sz w:val="24"/>
          <w:szCs w:val="24"/>
        </w:rPr>
      </w:pPr>
    </w:p>
    <w:p w14:paraId="7A448BF7" w14:textId="5EC33BBB" w:rsidR="000870D5" w:rsidRPr="00E22DC2" w:rsidRDefault="000870D5" w:rsidP="00E22DC2">
      <w:pPr>
        <w:autoSpaceDE w:val="0"/>
        <w:autoSpaceDN w:val="0"/>
        <w:adjustRightInd w:val="0"/>
        <w:spacing w:after="0" w:line="240" w:lineRule="auto"/>
        <w:jc w:val="both"/>
        <w:rPr>
          <w:rFonts w:ascii="Calibri" w:hAnsi="Calibri" w:cs="Calibri"/>
          <w:sz w:val="24"/>
          <w:szCs w:val="24"/>
        </w:rPr>
      </w:pPr>
      <w:r w:rsidRPr="00E22DC2">
        <w:rPr>
          <w:rFonts w:ascii="Calibri" w:hAnsi="Calibri" w:cs="Calibri"/>
          <w:b/>
          <w:sz w:val="24"/>
          <w:szCs w:val="24"/>
        </w:rPr>
        <w:t>16.</w:t>
      </w:r>
      <w:r w:rsidRPr="00E22DC2">
        <w:rPr>
          <w:rFonts w:ascii="Calibri" w:hAnsi="Calibri" w:cs="Calibri"/>
          <w:sz w:val="24"/>
          <w:szCs w:val="24"/>
        </w:rPr>
        <w:t xml:space="preserve"> </w:t>
      </w:r>
      <w:r w:rsidRPr="00E22DC2">
        <w:rPr>
          <w:rFonts w:ascii="Calibri" w:hAnsi="Calibri" w:cs="Calibri"/>
          <w:b/>
          <w:sz w:val="24"/>
          <w:szCs w:val="24"/>
        </w:rPr>
        <w:t xml:space="preserve">Program </w:t>
      </w:r>
      <w:r w:rsidRPr="008D015E">
        <w:rPr>
          <w:rFonts w:ascii="Calibri" w:hAnsi="Calibri" w:cs="Calibri"/>
          <w:b/>
          <w:i/>
          <w:sz w:val="24"/>
          <w:szCs w:val="24"/>
        </w:rPr>
        <w:t>Provozní úvěry poskytované Českomoravské společnosti chovatelů, a.s.</w:t>
      </w:r>
      <w:r w:rsidRPr="00E22DC2">
        <w:rPr>
          <w:rFonts w:ascii="Calibri" w:hAnsi="Calibri" w:cs="Calibri"/>
          <w:b/>
          <w:sz w:val="24"/>
          <w:szCs w:val="24"/>
        </w:rPr>
        <w:t xml:space="preserve"> </w:t>
      </w:r>
      <w:r w:rsidR="00A43334" w:rsidRPr="00E22DC2">
        <w:rPr>
          <w:rFonts w:ascii="Calibri" w:hAnsi="Calibri" w:cs="Calibri"/>
          <w:sz w:val="24"/>
          <w:szCs w:val="24"/>
        </w:rPr>
        <w:t>– P</w:t>
      </w:r>
      <w:r w:rsidRPr="00E22DC2">
        <w:rPr>
          <w:rFonts w:ascii="Calibri" w:hAnsi="Calibri" w:cs="Calibri"/>
          <w:sz w:val="24"/>
          <w:szCs w:val="24"/>
        </w:rPr>
        <w:t>rogram byl schválen usnesením vlády ze dne 24. 8. 2016 č. 766</w:t>
      </w:r>
      <w:r w:rsidR="00B27F9B">
        <w:rPr>
          <w:rFonts w:ascii="Calibri" w:hAnsi="Calibri" w:cs="Calibri"/>
          <w:sz w:val="24"/>
          <w:szCs w:val="24"/>
        </w:rPr>
        <w:t>,</w:t>
      </w:r>
      <w:r w:rsidRPr="00E22DC2">
        <w:rPr>
          <w:rFonts w:ascii="Calibri" w:hAnsi="Calibri" w:cs="Calibri"/>
          <w:sz w:val="24"/>
          <w:szCs w:val="24"/>
        </w:rPr>
        <w:t xml:space="preserve"> </w:t>
      </w:r>
      <w:r w:rsidRPr="00E82057">
        <w:rPr>
          <w:rFonts w:ascii="Calibri" w:hAnsi="Calibri" w:cs="Calibri"/>
          <w:i/>
          <w:sz w:val="24"/>
          <w:szCs w:val="24"/>
        </w:rPr>
        <w:t>o </w:t>
      </w:r>
      <w:r w:rsidRPr="00E22DC2">
        <w:rPr>
          <w:rFonts w:ascii="Calibri" w:hAnsi="Calibri" w:cs="Calibri"/>
          <w:i/>
          <w:sz w:val="24"/>
          <w:szCs w:val="24"/>
        </w:rPr>
        <w:t>Pokynech pro poskytování podpor Podpůrným a garančním rolnickým a lesnickým fondem, a. s., v rámci programu Provozní úvěry poskytované Českomoravské společnosti chovatelů, a.s.</w:t>
      </w:r>
      <w:r w:rsidR="00B27F9B">
        <w:rPr>
          <w:rFonts w:ascii="Calibri" w:hAnsi="Calibri" w:cs="Calibri"/>
          <w:sz w:val="24"/>
          <w:szCs w:val="24"/>
        </w:rPr>
        <w:t xml:space="preserve"> Účelem programu je </w:t>
      </w:r>
      <w:r w:rsidRPr="00E22DC2">
        <w:rPr>
          <w:rFonts w:ascii="Calibri" w:hAnsi="Calibri" w:cs="Calibri"/>
          <w:sz w:val="24"/>
          <w:szCs w:val="24"/>
        </w:rPr>
        <w:t>krátkodobé provozní financování ČMSCH, a.s.</w:t>
      </w:r>
      <w:r w:rsidR="00B27F9B">
        <w:rPr>
          <w:rFonts w:ascii="Calibri" w:hAnsi="Calibri" w:cs="Calibri"/>
          <w:sz w:val="24"/>
          <w:szCs w:val="24"/>
        </w:rPr>
        <w:t>,</w:t>
      </w:r>
      <w:r w:rsidRPr="00E22DC2">
        <w:rPr>
          <w:rFonts w:ascii="Calibri" w:hAnsi="Calibri" w:cs="Calibri"/>
          <w:sz w:val="24"/>
          <w:szCs w:val="24"/>
        </w:rPr>
        <w:t xml:space="preserve"> prostřednictvím úvěru poskytnutého PGRLF s možností snížení úrokového zatížení podporou v režimu de </w:t>
      </w:r>
      <w:proofErr w:type="spellStart"/>
      <w:r w:rsidRPr="00E22DC2">
        <w:rPr>
          <w:rFonts w:ascii="Calibri" w:hAnsi="Calibri" w:cs="Calibri"/>
          <w:sz w:val="24"/>
          <w:szCs w:val="24"/>
        </w:rPr>
        <w:t>minimis</w:t>
      </w:r>
      <w:proofErr w:type="spellEnd"/>
      <w:r w:rsidRPr="00E22DC2">
        <w:rPr>
          <w:rFonts w:ascii="Calibri" w:hAnsi="Calibri" w:cs="Calibri"/>
          <w:sz w:val="24"/>
          <w:szCs w:val="24"/>
        </w:rPr>
        <w:t xml:space="preserve">. Program byl otevřen dne 14. 9. 2016. Maximální výše provozního úvěru je 280 mil. Kč, doba splatnosti provozního úvěru nepřesáhne 3 měsíce od doby vyčerpání úvěru (ode dne převodu na účet ČMSCH, a.s.). Čerpání </w:t>
      </w:r>
      <w:r w:rsidR="00B27F9B">
        <w:rPr>
          <w:rFonts w:ascii="Calibri" w:hAnsi="Calibri" w:cs="Calibri"/>
          <w:sz w:val="24"/>
          <w:szCs w:val="24"/>
        </w:rPr>
        <w:t>p</w:t>
      </w:r>
      <w:r w:rsidRPr="00E22DC2">
        <w:rPr>
          <w:rFonts w:ascii="Calibri" w:hAnsi="Calibri" w:cs="Calibri"/>
          <w:sz w:val="24"/>
          <w:szCs w:val="24"/>
        </w:rPr>
        <w:t>rovozního úvěru je jednorázové, a to ve prospěch účtu ČMSCH, a.s. Provozní úvěr nesmí být použit na pořízení investičního majetku.</w:t>
      </w:r>
    </w:p>
    <w:sectPr w:rsidR="000870D5" w:rsidRPr="00E22DC2" w:rsidSect="00FC4B4C">
      <w:pgSz w:w="11906" w:h="16838"/>
      <w:pgMar w:top="1418"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1D2055" w14:textId="77777777" w:rsidR="008D015E" w:rsidRDefault="008D015E" w:rsidP="001E1138">
      <w:pPr>
        <w:spacing w:after="0" w:line="240" w:lineRule="auto"/>
      </w:pPr>
      <w:r>
        <w:separator/>
      </w:r>
    </w:p>
  </w:endnote>
  <w:endnote w:type="continuationSeparator" w:id="0">
    <w:p w14:paraId="2FF9FC41" w14:textId="77777777" w:rsidR="008D015E" w:rsidRDefault="008D015E" w:rsidP="001E1138">
      <w:pPr>
        <w:spacing w:after="0" w:line="240" w:lineRule="auto"/>
      </w:pPr>
      <w:r>
        <w:continuationSeparator/>
      </w:r>
    </w:p>
  </w:endnote>
  <w:endnote w:type="continuationNotice" w:id="1">
    <w:p w14:paraId="0769B4D9" w14:textId="77777777" w:rsidR="008D015E" w:rsidRDefault="008D01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Times New Roman Bold">
    <w:altName w:val="Times New Roman"/>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D67B47" w14:textId="77777777" w:rsidR="00F556BB" w:rsidRDefault="00F556B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82818E" w14:textId="3E270646" w:rsidR="008D015E" w:rsidRPr="00AA545D" w:rsidRDefault="001F36CA" w:rsidP="00AA545D">
    <w:pPr>
      <w:pStyle w:val="Zpat"/>
      <w:tabs>
        <w:tab w:val="clear" w:pos="4536"/>
      </w:tabs>
      <w:jc w:val="center"/>
      <w:rPr>
        <w:sz w:val="24"/>
      </w:rPr>
    </w:pPr>
    <w:sdt>
      <w:sdtPr>
        <w:id w:val="1718240908"/>
        <w:docPartObj>
          <w:docPartGallery w:val="Page Numbers (Bottom of Page)"/>
          <w:docPartUnique/>
        </w:docPartObj>
      </w:sdtPr>
      <w:sdtEndPr>
        <w:rPr>
          <w:sz w:val="24"/>
        </w:rPr>
      </w:sdtEndPr>
      <w:sdtContent>
        <w:r w:rsidR="008D015E" w:rsidRPr="00AA545D">
          <w:rPr>
            <w:sz w:val="24"/>
          </w:rPr>
          <w:fldChar w:fldCharType="begin"/>
        </w:r>
        <w:r w:rsidR="008D015E" w:rsidRPr="00AA545D">
          <w:rPr>
            <w:sz w:val="24"/>
          </w:rPr>
          <w:instrText>PAGE   \* MERGEFORMAT</w:instrText>
        </w:r>
        <w:r w:rsidR="008D015E" w:rsidRPr="00AA545D">
          <w:rPr>
            <w:sz w:val="24"/>
          </w:rPr>
          <w:fldChar w:fldCharType="separate"/>
        </w:r>
        <w:r>
          <w:rPr>
            <w:noProof/>
            <w:sz w:val="24"/>
          </w:rPr>
          <w:t>19</w:t>
        </w:r>
        <w:r w:rsidR="008D015E" w:rsidRPr="00AA545D">
          <w:rPr>
            <w:sz w:val="24"/>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DA5CC6" w14:textId="77777777" w:rsidR="00F556BB" w:rsidRDefault="00F556B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EC7EB7" w14:textId="77777777" w:rsidR="008D015E" w:rsidRDefault="008D015E" w:rsidP="001E1138">
      <w:pPr>
        <w:spacing w:after="0" w:line="240" w:lineRule="auto"/>
      </w:pPr>
      <w:r>
        <w:separator/>
      </w:r>
    </w:p>
  </w:footnote>
  <w:footnote w:type="continuationSeparator" w:id="0">
    <w:p w14:paraId="744F68EB" w14:textId="77777777" w:rsidR="008D015E" w:rsidRDefault="008D015E" w:rsidP="001E1138">
      <w:pPr>
        <w:spacing w:after="0" w:line="240" w:lineRule="auto"/>
      </w:pPr>
      <w:r>
        <w:continuationSeparator/>
      </w:r>
    </w:p>
  </w:footnote>
  <w:footnote w:type="continuationNotice" w:id="1">
    <w:p w14:paraId="2B033DFB" w14:textId="77777777" w:rsidR="008D015E" w:rsidRDefault="008D015E">
      <w:pPr>
        <w:spacing w:after="0" w:line="240" w:lineRule="auto"/>
      </w:pPr>
    </w:p>
  </w:footnote>
  <w:footnote w:id="2">
    <w:p w14:paraId="46C4AA1E" w14:textId="5626F9B3" w:rsidR="008D015E" w:rsidRDefault="008D015E" w:rsidP="00AA545D">
      <w:pPr>
        <w:pStyle w:val="Textpoznpodarou"/>
        <w:ind w:left="284" w:hanging="284"/>
        <w:jc w:val="both"/>
      </w:pPr>
      <w:r>
        <w:rPr>
          <w:rStyle w:val="Znakapoznpodarou"/>
        </w:rPr>
        <w:footnoteRef/>
      </w:r>
      <w:r>
        <w:t xml:space="preserve"> </w:t>
      </w:r>
      <w:r>
        <w:tab/>
        <w:t xml:space="preserve">Uvedená kontrolní zjištění vychází, vzhledem k omezenému rozsahu kontroly u PGRLF (viz odst. 3.4 až 3.8), pouze z kontroly u </w:t>
      </w:r>
      <w:proofErr w:type="spellStart"/>
      <w:proofErr w:type="gramStart"/>
      <w:r>
        <w:t>MZe</w:t>
      </w:r>
      <w:proofErr w:type="spellEnd"/>
      <w:proofErr w:type="gramEnd"/>
      <w:r>
        <w:t xml:space="preserve">. </w:t>
      </w:r>
    </w:p>
  </w:footnote>
  <w:footnote w:id="3">
    <w:p w14:paraId="01BF0B75" w14:textId="32E6906A" w:rsidR="008D015E" w:rsidRDefault="008D015E" w:rsidP="00AA545D">
      <w:pPr>
        <w:pStyle w:val="Textpoznpodarou"/>
        <w:ind w:left="284" w:hanging="284"/>
        <w:jc w:val="both"/>
      </w:pPr>
      <w:r>
        <w:rPr>
          <w:rStyle w:val="Znakapoznpodarou"/>
        </w:rPr>
        <w:footnoteRef/>
      </w:r>
      <w:r>
        <w:t xml:space="preserve"> </w:t>
      </w:r>
      <w:r>
        <w:tab/>
        <w:t xml:space="preserve">Způsob hodnocení kvality nastavených cílů: </w:t>
      </w:r>
      <w:r w:rsidRPr="00886FB6">
        <w:t>SMART je akronym z počátečních písmen anglických názvů vlastností cílů</w:t>
      </w:r>
      <w:r w:rsidRPr="00271302">
        <w:t xml:space="preserve">, </w:t>
      </w:r>
      <w:r>
        <w:t xml:space="preserve">které by měly být: </w:t>
      </w:r>
      <w:proofErr w:type="spellStart"/>
      <w:r>
        <w:t>s</w:t>
      </w:r>
      <w:r w:rsidRPr="00886FB6">
        <w:t>pecific</w:t>
      </w:r>
      <w:proofErr w:type="spellEnd"/>
      <w:r>
        <w:t xml:space="preserve"> (specifické)</w:t>
      </w:r>
      <w:r w:rsidRPr="00886FB6">
        <w:t xml:space="preserve">, </w:t>
      </w:r>
      <w:proofErr w:type="spellStart"/>
      <w:r>
        <w:t>m</w:t>
      </w:r>
      <w:r w:rsidRPr="00886FB6">
        <w:t>easurable</w:t>
      </w:r>
      <w:proofErr w:type="spellEnd"/>
      <w:r>
        <w:t xml:space="preserve"> (měřitelné)</w:t>
      </w:r>
      <w:r w:rsidRPr="00886FB6">
        <w:t xml:space="preserve">, </w:t>
      </w:r>
      <w:proofErr w:type="spellStart"/>
      <w:r>
        <w:t>a</w:t>
      </w:r>
      <w:r w:rsidRPr="00886FB6">
        <w:t>chievable</w:t>
      </w:r>
      <w:proofErr w:type="spellEnd"/>
      <w:r>
        <w:t xml:space="preserve"> (dosažitelné)</w:t>
      </w:r>
      <w:r w:rsidRPr="00886FB6">
        <w:t xml:space="preserve">, </w:t>
      </w:r>
      <w:proofErr w:type="spellStart"/>
      <w:r>
        <w:t>r</w:t>
      </w:r>
      <w:r w:rsidRPr="00886FB6">
        <w:t>e</w:t>
      </w:r>
      <w:r>
        <w:t>levant</w:t>
      </w:r>
      <w:proofErr w:type="spellEnd"/>
      <w:r>
        <w:t xml:space="preserve"> (relevantní)</w:t>
      </w:r>
      <w:r w:rsidRPr="00886FB6">
        <w:t xml:space="preserve">, </w:t>
      </w:r>
      <w:proofErr w:type="spellStart"/>
      <w:r>
        <w:t>t</w:t>
      </w:r>
      <w:r w:rsidRPr="00886FB6">
        <w:t>ime</w:t>
      </w:r>
      <w:proofErr w:type="spellEnd"/>
      <w:r w:rsidRPr="00886FB6">
        <w:t xml:space="preserve"> </w:t>
      </w:r>
      <w:proofErr w:type="spellStart"/>
      <w:r>
        <w:t>s</w:t>
      </w:r>
      <w:r w:rsidRPr="00886FB6">
        <w:t>pecific</w:t>
      </w:r>
      <w:proofErr w:type="spellEnd"/>
      <w:r>
        <w:t xml:space="preserve"> (časově vymezené).</w:t>
      </w:r>
    </w:p>
  </w:footnote>
  <w:footnote w:id="4">
    <w:p w14:paraId="192730B8" w14:textId="515AA351" w:rsidR="008D015E" w:rsidRPr="00363B0C" w:rsidRDefault="008D015E" w:rsidP="005C5106">
      <w:pPr>
        <w:pStyle w:val="Textpoznpodarou"/>
        <w:ind w:left="284" w:hanging="284"/>
        <w:jc w:val="both"/>
      </w:pPr>
      <w:r w:rsidRPr="00363B0C">
        <w:rPr>
          <w:rStyle w:val="Znakapoznpodarou"/>
        </w:rPr>
        <w:footnoteRef/>
      </w:r>
      <w:r w:rsidRPr="00363B0C">
        <w:t xml:space="preserve"> </w:t>
      </w:r>
      <w:r>
        <w:tab/>
      </w:r>
      <w:r w:rsidRPr="00363B0C">
        <w:t>Ustanovení § 28 odst. 2 zákona č. 219/2000 Sb.</w:t>
      </w:r>
      <w:r>
        <w:t>,</w:t>
      </w:r>
      <w:r w:rsidRPr="00363B0C">
        <w:t xml:space="preserve"> o majetku České republiky a jejím vystupování v právních vztazích.</w:t>
      </w:r>
    </w:p>
  </w:footnote>
  <w:footnote w:id="5">
    <w:p w14:paraId="0F84B294" w14:textId="4FEAF476" w:rsidR="008D015E" w:rsidRPr="00363B0C" w:rsidRDefault="008D015E" w:rsidP="00363B0C">
      <w:pPr>
        <w:pStyle w:val="Textpoznpodarou"/>
        <w:ind w:left="284" w:hanging="284"/>
        <w:jc w:val="both"/>
      </w:pPr>
      <w:r w:rsidRPr="00363B0C">
        <w:rPr>
          <w:rStyle w:val="Znakapoznpodarou"/>
        </w:rPr>
        <w:footnoteRef/>
      </w:r>
      <w:r w:rsidRPr="00363B0C">
        <w:t xml:space="preserve"> </w:t>
      </w:r>
      <w:r>
        <w:tab/>
      </w:r>
      <w:r w:rsidRPr="00363B0C">
        <w:t xml:space="preserve">PGRLF byl </w:t>
      </w:r>
      <w:r w:rsidRPr="00363B0C">
        <w:rPr>
          <w:rFonts w:cstheme="minorHAnsi"/>
        </w:rPr>
        <w:t>založen na základě usnesení vlády České republiky ze dne 23. června 1993 č. 337, do obchodního rejstříku byl zapsán 16. září 1993.</w:t>
      </w:r>
    </w:p>
  </w:footnote>
  <w:footnote w:id="6">
    <w:p w14:paraId="70C396ED" w14:textId="689699C4" w:rsidR="008D015E" w:rsidRPr="00F110F2" w:rsidRDefault="008D015E" w:rsidP="00363B0C">
      <w:pPr>
        <w:pStyle w:val="Textpoznpodarou"/>
        <w:ind w:left="284" w:hanging="284"/>
        <w:jc w:val="both"/>
      </w:pPr>
      <w:r>
        <w:rPr>
          <w:rStyle w:val="Znakapoznpodarou"/>
        </w:rPr>
        <w:footnoteRef/>
      </w:r>
      <w:r>
        <w:t xml:space="preserve"> </w:t>
      </w:r>
      <w:r>
        <w:tab/>
        <w:t xml:space="preserve">Ustanovení </w:t>
      </w:r>
      <w:r w:rsidRPr="00F110F2">
        <w:rPr>
          <w:rFonts w:cstheme="minorHAnsi"/>
        </w:rPr>
        <w:t>§</w:t>
      </w:r>
      <w:r>
        <w:rPr>
          <w:rFonts w:cstheme="minorHAnsi"/>
        </w:rPr>
        <w:t xml:space="preserve"> 7 odst. 1 písm. x) zákona č. 2</w:t>
      </w:r>
      <w:r w:rsidRPr="00F110F2">
        <w:rPr>
          <w:rFonts w:cstheme="minorHAnsi"/>
        </w:rPr>
        <w:t>18/2000 Sb.</w:t>
      </w:r>
      <w:r>
        <w:rPr>
          <w:rFonts w:cstheme="minorHAnsi"/>
        </w:rPr>
        <w:t>, o rozpočtových pravidlech a o změně některých souvisejících zákonů (rozpočtová pravidla).</w:t>
      </w:r>
      <w:r w:rsidRPr="00F110F2">
        <w:rPr>
          <w:rFonts w:cstheme="minorHAnsi"/>
        </w:rPr>
        <w:t xml:space="preserve"> </w:t>
      </w:r>
    </w:p>
  </w:footnote>
  <w:footnote w:id="7">
    <w:p w14:paraId="1A820706" w14:textId="33E4F741" w:rsidR="008D015E" w:rsidRDefault="008D015E" w:rsidP="00363B0C">
      <w:pPr>
        <w:pStyle w:val="Textpoznpodarou"/>
        <w:ind w:left="284" w:hanging="284"/>
        <w:jc w:val="both"/>
      </w:pPr>
      <w:r w:rsidRPr="00F110F2">
        <w:rPr>
          <w:rStyle w:val="Znakapoznpodarou"/>
        </w:rPr>
        <w:footnoteRef/>
      </w:r>
      <w:r w:rsidRPr="00F110F2">
        <w:t xml:space="preserve"> </w:t>
      </w:r>
      <w:r>
        <w:tab/>
        <w:t xml:space="preserve">Ustanovení </w:t>
      </w:r>
      <w:r w:rsidRPr="00F110F2">
        <w:rPr>
          <w:rFonts w:cstheme="minorHAnsi"/>
        </w:rPr>
        <w:t>§ 2da odst. 5 zákona o zemědělství.</w:t>
      </w:r>
    </w:p>
  </w:footnote>
  <w:footnote w:id="8">
    <w:p w14:paraId="09542DA7" w14:textId="28A8686A" w:rsidR="008D015E" w:rsidRPr="00F110F2" w:rsidRDefault="008D015E" w:rsidP="00363B0C">
      <w:pPr>
        <w:pStyle w:val="Textpoznpodarou"/>
        <w:ind w:left="284" w:hanging="284"/>
        <w:jc w:val="both"/>
      </w:pPr>
      <w:r w:rsidRPr="00F110F2">
        <w:rPr>
          <w:rStyle w:val="Znakapoznpodarou"/>
        </w:rPr>
        <w:footnoteRef/>
      </w:r>
      <w:r w:rsidRPr="00F110F2">
        <w:t xml:space="preserve"> </w:t>
      </w:r>
      <w:r>
        <w:tab/>
        <w:t>Rozdíl mezi výši čerpané dotace ze státního rozpočtu (dle finančního vypořádání) a objemem vyplacených podpor PGRLF tvoří částky, které se PGRLF smluvně zavázal vyplatit svým klientům a které zároveň v kontrolovaném období ještě neproplatil, neboť některé typy podpor jsou víceleté.</w:t>
      </w:r>
    </w:p>
  </w:footnote>
  <w:footnote w:id="9">
    <w:p w14:paraId="7D68032E" w14:textId="10D4B86C" w:rsidR="008D015E" w:rsidRDefault="008D015E" w:rsidP="00363B0C">
      <w:pPr>
        <w:pStyle w:val="Textpoznpodarou"/>
        <w:ind w:left="284" w:hanging="284"/>
      </w:pPr>
      <w:r>
        <w:rPr>
          <w:rStyle w:val="Znakapoznpodarou"/>
        </w:rPr>
        <w:footnoteRef/>
      </w:r>
      <w:r>
        <w:t xml:space="preserve"> </w:t>
      </w:r>
      <w:r>
        <w:tab/>
        <w:t xml:space="preserve">V kontrolovaném období bylo podáno 63 tisíc žádostí o podporu, z toho jich bylo 56 tisíc schváleno. </w:t>
      </w:r>
    </w:p>
  </w:footnote>
  <w:footnote w:id="10">
    <w:p w14:paraId="1A4EFFAA" w14:textId="670F181D" w:rsidR="008D015E" w:rsidRDefault="008D015E" w:rsidP="00363B0C">
      <w:pPr>
        <w:pStyle w:val="Textpoznpodarou"/>
        <w:ind w:left="284" w:hanging="284"/>
      </w:pPr>
      <w:r>
        <w:rPr>
          <w:rStyle w:val="Znakapoznpodarou"/>
        </w:rPr>
        <w:footnoteRef/>
      </w:r>
      <w:r>
        <w:t xml:space="preserve"> </w:t>
      </w:r>
      <w:r>
        <w:tab/>
        <w:t>Použitá definice účelnosti vychází z ustanovení § 2 písm. o) zákona č. 320/2001 Sb., o finanční kontrole ve veřejné správě a o změně některých zákonů (zákon o finanční kontrole).</w:t>
      </w:r>
    </w:p>
  </w:footnote>
  <w:footnote w:id="11">
    <w:p w14:paraId="63B2CB49" w14:textId="7531F0DF" w:rsidR="008D015E" w:rsidRPr="005B7ACD" w:rsidRDefault="008D015E" w:rsidP="005C3B72">
      <w:pPr>
        <w:pStyle w:val="Textpoznpodarou"/>
        <w:ind w:left="284" w:hanging="284"/>
      </w:pPr>
      <w:r w:rsidRPr="005B7ACD">
        <w:rPr>
          <w:rStyle w:val="Znakapoznpodarou"/>
        </w:rPr>
        <w:footnoteRef/>
      </w:r>
      <w:r w:rsidRPr="005B7ACD">
        <w:t xml:space="preserve"> </w:t>
      </w:r>
      <w:r>
        <w:tab/>
      </w:r>
      <w:r w:rsidRPr="005B7ACD">
        <w:t>Vzata na vědomí usnesením vlády ČR ze dne 26. 6. 2013</w:t>
      </w:r>
      <w:r>
        <w:t xml:space="preserve"> </w:t>
      </w:r>
      <w:r w:rsidRPr="005B7ACD">
        <w:t>č. 512</w:t>
      </w:r>
      <w:r>
        <w:t>.</w:t>
      </w:r>
    </w:p>
  </w:footnote>
  <w:footnote w:id="12">
    <w:p w14:paraId="5D2DA801" w14:textId="4BBB74A7" w:rsidR="008D015E" w:rsidRPr="005B7ACD" w:rsidRDefault="008D015E" w:rsidP="005C3B72">
      <w:pPr>
        <w:pStyle w:val="Textpoznpodarou"/>
        <w:ind w:left="284" w:hanging="284"/>
      </w:pPr>
      <w:r w:rsidRPr="005B7ACD">
        <w:rPr>
          <w:rStyle w:val="Znakapoznpodarou"/>
        </w:rPr>
        <w:footnoteRef/>
      </w:r>
      <w:r w:rsidRPr="005B7ACD">
        <w:t xml:space="preserve"> </w:t>
      </w:r>
      <w:r>
        <w:tab/>
      </w:r>
      <w:r w:rsidRPr="005B7ACD">
        <w:rPr>
          <w:rFonts w:cstheme="minorHAnsi"/>
        </w:rPr>
        <w:t>Schválena usnesením vlády ČR ze dne 2. 5. 2016</w:t>
      </w:r>
      <w:r>
        <w:rPr>
          <w:rFonts w:cstheme="minorHAnsi"/>
        </w:rPr>
        <w:t xml:space="preserve"> </w:t>
      </w:r>
      <w:r w:rsidRPr="005B7ACD">
        <w:rPr>
          <w:rFonts w:cstheme="minorHAnsi"/>
        </w:rPr>
        <w:t>č. 392</w:t>
      </w:r>
      <w:r>
        <w:rPr>
          <w:rFonts w:cstheme="minorHAnsi"/>
        </w:rPr>
        <w:t>.</w:t>
      </w:r>
    </w:p>
  </w:footnote>
  <w:footnote w:id="13">
    <w:p w14:paraId="3B930B33" w14:textId="4E8D0D09" w:rsidR="008D015E" w:rsidRPr="005B7ACD" w:rsidRDefault="008D015E" w:rsidP="005C3B72">
      <w:pPr>
        <w:pStyle w:val="Textpoznpodarou"/>
        <w:ind w:left="284" w:hanging="284"/>
        <w:contextualSpacing/>
      </w:pPr>
      <w:r w:rsidRPr="005B7ACD">
        <w:rPr>
          <w:rStyle w:val="Znakapoznpodarou"/>
        </w:rPr>
        <w:footnoteRef/>
      </w:r>
      <w:r w:rsidRPr="005B7ACD">
        <w:t xml:space="preserve"> </w:t>
      </w:r>
      <w:r>
        <w:tab/>
      </w:r>
      <w:r w:rsidRPr="005B7ACD">
        <w:rPr>
          <w:rFonts w:cstheme="minorHAnsi"/>
        </w:rPr>
        <w:t>Schválený usnesením vlády ČR ze dne 29. 11. 2017</w:t>
      </w:r>
      <w:r>
        <w:rPr>
          <w:rFonts w:cstheme="minorHAnsi"/>
        </w:rPr>
        <w:t xml:space="preserve"> </w:t>
      </w:r>
      <w:r w:rsidRPr="005B7ACD">
        <w:rPr>
          <w:rFonts w:cstheme="minorHAnsi"/>
        </w:rPr>
        <w:t>č. 838</w:t>
      </w:r>
      <w:r>
        <w:rPr>
          <w:rFonts w:cstheme="minorHAnsi"/>
        </w:rPr>
        <w:t>.</w:t>
      </w:r>
    </w:p>
  </w:footnote>
  <w:footnote w:id="14">
    <w:p w14:paraId="0720ED55" w14:textId="143A00B8" w:rsidR="008D015E" w:rsidRDefault="008D015E" w:rsidP="005C3B72">
      <w:pPr>
        <w:pStyle w:val="Odstavecseseznamem"/>
        <w:spacing w:after="0" w:line="240" w:lineRule="auto"/>
        <w:ind w:left="284" w:hanging="284"/>
        <w:contextualSpacing w:val="0"/>
        <w:jc w:val="both"/>
      </w:pPr>
      <w:r w:rsidRPr="005B7ACD">
        <w:rPr>
          <w:rStyle w:val="Znakapoznpodarou"/>
          <w:sz w:val="20"/>
          <w:szCs w:val="20"/>
        </w:rPr>
        <w:footnoteRef/>
      </w:r>
      <w:r w:rsidRPr="005B7ACD">
        <w:rPr>
          <w:sz w:val="20"/>
          <w:szCs w:val="20"/>
        </w:rPr>
        <w:t xml:space="preserve"> </w:t>
      </w:r>
      <w:r>
        <w:rPr>
          <w:sz w:val="20"/>
          <w:szCs w:val="20"/>
        </w:rPr>
        <w:tab/>
      </w:r>
      <w:r w:rsidRPr="005B7ACD">
        <w:rPr>
          <w:sz w:val="20"/>
          <w:szCs w:val="20"/>
        </w:rPr>
        <w:t>Na</w:t>
      </w:r>
      <w:r>
        <w:rPr>
          <w:sz w:val="20"/>
          <w:szCs w:val="20"/>
        </w:rPr>
        <w:t>příklad ve Strategii PGRLF 2016</w:t>
      </w:r>
      <w:r w:rsidRPr="0035245E">
        <w:rPr>
          <w:rFonts w:cstheme="minorHAnsi"/>
          <w:sz w:val="24"/>
          <w:szCs w:val="24"/>
        </w:rPr>
        <w:t>–</w:t>
      </w:r>
      <w:r w:rsidRPr="005B7ACD">
        <w:rPr>
          <w:sz w:val="20"/>
          <w:szCs w:val="20"/>
        </w:rPr>
        <w:t>2020 je uvedeno: „</w:t>
      </w:r>
      <w:r w:rsidRPr="005B7ACD">
        <w:rPr>
          <w:i/>
          <w:sz w:val="20"/>
          <w:szCs w:val="20"/>
        </w:rPr>
        <w:t>Nové programy podpor budou nadále připravovány... s cílem zvýšit konkurenceschopnost českého zemědělství, lesnictví, potravinářství, přispět k rozvoji venkova, podpořit zaměstnanost ve venkovských oblastech a v neposlední řadě zabezpečit potravin</w:t>
      </w:r>
      <w:r>
        <w:rPr>
          <w:i/>
          <w:sz w:val="20"/>
          <w:szCs w:val="20"/>
        </w:rPr>
        <w:t>ov</w:t>
      </w:r>
      <w:r w:rsidRPr="005B7ACD">
        <w:rPr>
          <w:i/>
          <w:sz w:val="20"/>
          <w:szCs w:val="20"/>
        </w:rPr>
        <w:t>ou soběstačnost České republiky.</w:t>
      </w:r>
      <w:r w:rsidRPr="005B7ACD">
        <w:rPr>
          <w:sz w:val="20"/>
          <w:szCs w:val="20"/>
        </w:rPr>
        <w:t>“</w:t>
      </w:r>
    </w:p>
  </w:footnote>
  <w:footnote w:id="15">
    <w:p w14:paraId="153D8CBB" w14:textId="7A525D3C" w:rsidR="008D015E" w:rsidRPr="005B7ACD" w:rsidRDefault="008D015E" w:rsidP="005C3B72">
      <w:pPr>
        <w:pStyle w:val="Textpoznpodarou"/>
        <w:ind w:left="284" w:hanging="284"/>
        <w:jc w:val="both"/>
      </w:pPr>
      <w:r>
        <w:rPr>
          <w:rStyle w:val="Znakapoznpodarou"/>
        </w:rPr>
        <w:footnoteRef/>
      </w:r>
      <w:r>
        <w:rPr>
          <w:rFonts w:cstheme="minorHAnsi"/>
        </w:rPr>
        <w:t xml:space="preserve"> </w:t>
      </w:r>
      <w:r>
        <w:rPr>
          <w:rFonts w:cstheme="minorHAnsi"/>
        </w:rPr>
        <w:tab/>
      </w:r>
      <w:r w:rsidRPr="005B7ACD">
        <w:rPr>
          <w:rFonts w:cstheme="minorHAnsi"/>
        </w:rPr>
        <w:t>Příkaz ministra zemědělství č. 20/2015 (vydaný dne 24. 11. 2015, platný a účinný dnem podpisu) k výkonu akcionářských práv v akciových společnostech, v nichž Česká republika – Ministerstvo zemědělství vykonává práva jediného akcionáře.</w:t>
      </w:r>
    </w:p>
  </w:footnote>
  <w:footnote w:id="16">
    <w:p w14:paraId="754C93E8" w14:textId="22D80C82" w:rsidR="008D015E" w:rsidRPr="006E74E5" w:rsidRDefault="008D015E" w:rsidP="005C3B72">
      <w:pPr>
        <w:pStyle w:val="Textpoznpodarou"/>
        <w:ind w:left="284" w:hanging="284"/>
        <w:jc w:val="both"/>
        <w:rPr>
          <w:sz w:val="18"/>
          <w:szCs w:val="18"/>
        </w:rPr>
      </w:pPr>
      <w:r w:rsidRPr="005B7ACD">
        <w:rPr>
          <w:rStyle w:val="Znakapoznpodarou"/>
        </w:rPr>
        <w:footnoteRef/>
      </w:r>
      <w:r>
        <w:t xml:space="preserve"> </w:t>
      </w:r>
      <w:r>
        <w:tab/>
      </w:r>
      <w:r w:rsidRPr="005B7ACD">
        <w:t>Stanoveno v příkazu ministra zemědělství č. 5/2011 k výkonu zakladatelských funkcí vůči státním organizacím typu státního podniku a vůči akciovým společnostem, v nichž Česká republika – Ministerstvo zemědělství vykonává práva jediného akcionáře, v příkazu ministra zemědělství č. 20/2015 k výkonu akcionářských práv v akciových společnostech, v nichž Česká republika – Ministerstvo zemědělství vykonává práva jediného akcionáře, ve směrnici ministra zemědělství č. 11/2018 k výkonu akcionářských práv v akciových společnostech, v nichž Česká republika – Ministerstvo zemědělství vykonává práva akcionáře.</w:t>
      </w:r>
    </w:p>
  </w:footnote>
  <w:footnote w:id="17">
    <w:p w14:paraId="15D33168" w14:textId="2B8CD828" w:rsidR="008D015E" w:rsidRPr="00D6467D" w:rsidRDefault="008D015E" w:rsidP="005C3B72">
      <w:pPr>
        <w:pStyle w:val="NadpisKZ"/>
        <w:spacing w:before="0" w:after="0"/>
        <w:ind w:left="284" w:hanging="284"/>
        <w:jc w:val="both"/>
        <w:rPr>
          <w:rFonts w:asciiTheme="minorHAnsi" w:hAnsiTheme="minorHAnsi" w:cstheme="minorHAnsi"/>
          <w:b w:val="0"/>
          <w:sz w:val="20"/>
          <w:szCs w:val="20"/>
        </w:rPr>
      </w:pPr>
      <w:r w:rsidRPr="006C43F8">
        <w:rPr>
          <w:rStyle w:val="Znakapoznpodarou"/>
          <w:rFonts w:asciiTheme="minorHAnsi" w:hAnsiTheme="minorHAnsi" w:cstheme="minorHAnsi"/>
          <w:b w:val="0"/>
          <w:sz w:val="20"/>
          <w:szCs w:val="20"/>
        </w:rPr>
        <w:footnoteRef/>
      </w:r>
      <w:r>
        <w:rPr>
          <w:rFonts w:asciiTheme="minorHAnsi" w:hAnsiTheme="minorHAnsi" w:cstheme="minorHAnsi"/>
          <w:b w:val="0"/>
          <w:sz w:val="20"/>
          <w:szCs w:val="20"/>
        </w:rPr>
        <w:t> </w:t>
      </w:r>
      <w:r>
        <w:rPr>
          <w:rFonts w:asciiTheme="minorHAnsi" w:hAnsiTheme="minorHAnsi" w:cstheme="minorHAnsi"/>
          <w:b w:val="0"/>
          <w:sz w:val="20"/>
          <w:szCs w:val="20"/>
        </w:rPr>
        <w:tab/>
      </w:r>
      <w:r w:rsidRPr="006C43F8">
        <w:rPr>
          <w:rFonts w:asciiTheme="minorHAnsi" w:hAnsiTheme="minorHAnsi" w:cstheme="minorHAnsi"/>
          <w:b w:val="0"/>
          <w:sz w:val="20"/>
          <w:szCs w:val="20"/>
        </w:rPr>
        <w:t>Kontrolní akce NKÚ č. 05/10</w:t>
      </w:r>
      <w:r>
        <w:rPr>
          <w:rFonts w:asciiTheme="minorHAnsi" w:hAnsiTheme="minorHAnsi" w:cstheme="minorHAnsi"/>
          <w:b w:val="0"/>
          <w:sz w:val="20"/>
          <w:szCs w:val="20"/>
        </w:rPr>
        <w:t xml:space="preserve"> –</w:t>
      </w:r>
      <w:r w:rsidRPr="006C43F8">
        <w:rPr>
          <w:rFonts w:asciiTheme="minorHAnsi" w:hAnsiTheme="minorHAnsi" w:cstheme="minorHAnsi"/>
          <w:b w:val="0"/>
          <w:sz w:val="20"/>
          <w:szCs w:val="20"/>
        </w:rPr>
        <w:t xml:space="preserve"> Podpora zemědělství a lesního hospodářství poskytovaná prostřednictvím Podpůrného a garančního rolnického a lesnického fondu, a. s.</w:t>
      </w:r>
    </w:p>
  </w:footnote>
  <w:footnote w:id="18">
    <w:p w14:paraId="621B1BA6" w14:textId="5407BB17" w:rsidR="008D015E" w:rsidRDefault="008D015E" w:rsidP="005C3B72">
      <w:pPr>
        <w:pStyle w:val="Textkomente"/>
        <w:spacing w:after="0"/>
        <w:ind w:left="284" w:hanging="284"/>
        <w:jc w:val="both"/>
      </w:pPr>
      <w:r>
        <w:rPr>
          <w:rStyle w:val="Znakapoznpodarou"/>
        </w:rPr>
        <w:footnoteRef/>
      </w:r>
      <w:r>
        <w:t xml:space="preserve"> </w:t>
      </w:r>
      <w:r>
        <w:tab/>
        <w:t>V kontrolním závěru je uvedeno: „</w:t>
      </w:r>
      <w:r w:rsidRPr="000656E3">
        <w:rPr>
          <w:i/>
        </w:rPr>
        <w:t>Skutečnost je však taková, že PGRLF je stále</w:t>
      </w:r>
      <w:r>
        <w:t xml:space="preserve"> </w:t>
      </w:r>
      <w:r w:rsidRPr="000656E3">
        <w:rPr>
          <w:i/>
        </w:rPr>
        <w:t xml:space="preserve">poskytovatelem státní podpory dalším podnikatelům. Podle platné právní úpravy obchodní společnost nemohla a ani nyní nemůže být poskytovatelem státní podpory. Zákon č. 218/2000 Sb. umožňuje poskytování dotací ze státního rozpočtu pouze ústřednímu orgánu státní správy, úřadům práce, Akademii věd České republiky, Grantové agentuře České republiky nebo organizační složce státu, kterou určí zvláštní zákon. S ohledem na tuto skutečnost byla změněna terminologie a </w:t>
      </w:r>
      <w:proofErr w:type="spellStart"/>
      <w:r w:rsidRPr="000656E3">
        <w:rPr>
          <w:i/>
        </w:rPr>
        <w:t>MZe</w:t>
      </w:r>
      <w:proofErr w:type="spellEnd"/>
      <w:r w:rsidRPr="000656E3">
        <w:rPr>
          <w:i/>
        </w:rPr>
        <w:t xml:space="preserve"> označuje PGRLF za konečného příjemce (dříve zprostředkovatele). Konečným příjemcem však PGRLF být nemůže, protože není podnikatelem, jehož pře</w:t>
      </w:r>
      <w:r>
        <w:rPr>
          <w:i/>
        </w:rPr>
        <w:t>dmětem podnikání je podnikání v </w:t>
      </w:r>
      <w:r w:rsidRPr="000656E3">
        <w:rPr>
          <w:i/>
        </w:rPr>
        <w:t xml:space="preserve">zemědělství, resp. v </w:t>
      </w:r>
      <w:proofErr w:type="spellStart"/>
      <w:r w:rsidRPr="000656E3">
        <w:rPr>
          <w:i/>
        </w:rPr>
        <w:t>agro</w:t>
      </w:r>
      <w:proofErr w:type="spellEnd"/>
      <w:r w:rsidRPr="000656E3">
        <w:rPr>
          <w:i/>
        </w:rPr>
        <w:t>-potravinářském komplexu, kam jsou dotace zákonem o státním rozpočtu na příslušný rok výslovně určeny</w:t>
      </w:r>
      <w:r>
        <w:rPr>
          <w:i/>
        </w:rPr>
        <w:t>.“</w:t>
      </w:r>
    </w:p>
  </w:footnote>
  <w:footnote w:id="19">
    <w:p w14:paraId="4500AA56" w14:textId="156742E0" w:rsidR="008D015E" w:rsidRDefault="008D015E" w:rsidP="005C3B72">
      <w:pPr>
        <w:pStyle w:val="Textpoznpodarou"/>
        <w:ind w:left="284" w:hanging="284"/>
        <w:jc w:val="both"/>
      </w:pPr>
      <w:r>
        <w:rPr>
          <w:rStyle w:val="Znakapoznpodarou"/>
        </w:rPr>
        <w:footnoteRef/>
      </w:r>
      <w:r>
        <w:t xml:space="preserve"> </w:t>
      </w:r>
      <w:r>
        <w:tab/>
        <w:t xml:space="preserve">Zákon č. 35/2008 Sb., kterým se mění zákon č. 252/1997 Sb., o zemědělství, ve znění pozdějších předpisů, a zákon č. 256/2000 Sb., o Státním zemědělském intervenčním fondu a o změně některých dalších zákonů (zákon o Státním zemědělském intervenčním fondu), ve znění pozdějších předpisů, který nabyl účinnosti dne 12. 2. 2008.  </w:t>
      </w:r>
    </w:p>
  </w:footnote>
  <w:footnote w:id="20">
    <w:p w14:paraId="459388D2" w14:textId="2B7C09CA" w:rsidR="008D015E" w:rsidRPr="00505068" w:rsidRDefault="008D015E" w:rsidP="00B42BFC">
      <w:pPr>
        <w:pStyle w:val="Textpoznpodarou"/>
        <w:ind w:left="284" w:hanging="284"/>
        <w:jc w:val="both"/>
      </w:pPr>
      <w:r>
        <w:rPr>
          <w:rStyle w:val="Znakapoznpodarou"/>
        </w:rPr>
        <w:footnoteRef/>
      </w:r>
      <w:r>
        <w:t xml:space="preserve"> </w:t>
      </w:r>
      <w:r>
        <w:tab/>
      </w:r>
      <w:r w:rsidRPr="00505068">
        <w:t>Zákon č. 26/2017 Sb., kterým se mění zákon č. 321/2004 Sb., o vinohradnictví a vinařství a o změně některých souvisejících zákonů (zákon o vinohradnictví a vinařství), ve znění pozdějších předpisů, a některé další zákony</w:t>
      </w:r>
      <w:r>
        <w:t>.</w:t>
      </w:r>
    </w:p>
  </w:footnote>
  <w:footnote w:id="21">
    <w:p w14:paraId="47F4C97D" w14:textId="0E53CD4E" w:rsidR="008D015E" w:rsidRPr="00505068" w:rsidRDefault="008D015E" w:rsidP="005C3B72">
      <w:pPr>
        <w:pStyle w:val="Textpoznpodarou"/>
        <w:ind w:left="284" w:hanging="284"/>
        <w:jc w:val="both"/>
      </w:pPr>
      <w:r w:rsidRPr="00505068">
        <w:rPr>
          <w:rStyle w:val="Znakapoznpodarou"/>
        </w:rPr>
        <w:footnoteRef/>
      </w:r>
      <w:r w:rsidRPr="00505068">
        <w:t> </w:t>
      </w:r>
      <w:r>
        <w:tab/>
      </w:r>
      <w:r w:rsidRPr="00505068">
        <w:t>U</w:t>
      </w:r>
      <w:r w:rsidRPr="00505068">
        <w:rPr>
          <w:rFonts w:cstheme="minorHAnsi"/>
        </w:rPr>
        <w:t>snesením vlády České republiky ze dne 15. 12. 2014 č. 1057</w:t>
      </w:r>
      <w:r>
        <w:rPr>
          <w:rFonts w:cstheme="minorHAnsi"/>
        </w:rPr>
        <w:t>;</w:t>
      </w:r>
      <w:r w:rsidRPr="00505068">
        <w:rPr>
          <w:rFonts w:cstheme="minorHAnsi"/>
        </w:rPr>
        <w:t xml:space="preserve"> obsahuje</w:t>
      </w:r>
      <w:r>
        <w:rPr>
          <w:rFonts w:cstheme="minorHAnsi"/>
        </w:rPr>
        <w:t xml:space="preserve"> </w:t>
      </w:r>
      <w:r w:rsidRPr="008D015E">
        <w:rPr>
          <w:rFonts w:cstheme="minorHAnsi"/>
          <w:i/>
        </w:rPr>
        <w:t>Akční plán boje s korupcí na rok 2015</w:t>
      </w:r>
      <w:r w:rsidRPr="00505068">
        <w:rPr>
          <w:rFonts w:cstheme="minorHAnsi"/>
        </w:rPr>
        <w:t>, v rámci něhož byl tento úkol Ministerstvu financí uložen.</w:t>
      </w:r>
    </w:p>
  </w:footnote>
  <w:footnote w:id="22">
    <w:p w14:paraId="14E29B27" w14:textId="5C8A852B" w:rsidR="008D015E" w:rsidRPr="006E74E5" w:rsidRDefault="008D015E" w:rsidP="005C3B72">
      <w:pPr>
        <w:pStyle w:val="Textpoznpodarou"/>
        <w:ind w:left="284" w:hanging="284"/>
        <w:rPr>
          <w:sz w:val="18"/>
          <w:szCs w:val="18"/>
        </w:rPr>
      </w:pPr>
      <w:r w:rsidRPr="00505068">
        <w:rPr>
          <w:rStyle w:val="Znakapoznpodarou"/>
        </w:rPr>
        <w:footnoteRef/>
      </w:r>
      <w:r w:rsidRPr="00505068">
        <w:t xml:space="preserve"> </w:t>
      </w:r>
      <w:r>
        <w:tab/>
      </w:r>
      <w:r w:rsidRPr="00505068">
        <w:t>Usnesením vlády České republiky ze dne 17. února 2020 č. 115.</w:t>
      </w:r>
      <w:r w:rsidRPr="006E74E5">
        <w:rPr>
          <w:sz w:val="18"/>
          <w:szCs w:val="18"/>
        </w:rPr>
        <w:t xml:space="preserve"> </w:t>
      </w:r>
    </w:p>
  </w:footnote>
  <w:footnote w:id="23">
    <w:p w14:paraId="5466D95E" w14:textId="625B2860" w:rsidR="008D015E" w:rsidRPr="00B42BFC" w:rsidRDefault="008D015E" w:rsidP="005C3B72">
      <w:pPr>
        <w:pStyle w:val="Textpoznpodarou"/>
        <w:ind w:left="284" w:hanging="284"/>
        <w:jc w:val="both"/>
      </w:pPr>
      <w:r w:rsidRPr="00A20E72">
        <w:rPr>
          <w:rStyle w:val="Znakapoznpodarou"/>
          <w:sz w:val="18"/>
          <w:szCs w:val="18"/>
        </w:rPr>
        <w:footnoteRef/>
      </w:r>
      <w:r>
        <w:rPr>
          <w:sz w:val="18"/>
          <w:szCs w:val="18"/>
        </w:rPr>
        <w:t> </w:t>
      </w:r>
      <w:r>
        <w:rPr>
          <w:sz w:val="18"/>
          <w:szCs w:val="18"/>
        </w:rPr>
        <w:tab/>
      </w:r>
      <w:r w:rsidRPr="00B42BFC">
        <w:t>Viz </w:t>
      </w:r>
      <w:hyperlink r:id="rId1" w:history="1">
        <w:r w:rsidRPr="008D015E">
          <w:rPr>
            <w:rStyle w:val="Hypertextovodkaz"/>
            <w:color w:val="0070C0"/>
          </w:rPr>
          <w:t>https://www.oecd.org/publications/metodicke-pokyny-oecd-pro-spravu-a-rizeni-statem-vlastnenych-spolecnosti-vydano-2015-9788027025992-cs.htm</w:t>
        </w:r>
      </w:hyperlink>
      <w:r w:rsidRPr="00B42BFC">
        <w:rPr>
          <w:rStyle w:val="Hypertextovodkaz"/>
          <w:color w:val="auto"/>
        </w:rPr>
        <w:t xml:space="preserve">. </w:t>
      </w:r>
      <w:r w:rsidRPr="00B42BFC">
        <w:t>J</w:t>
      </w:r>
      <w:r w:rsidRPr="00B42BFC">
        <w:rPr>
          <w:rFonts w:cstheme="minorHAnsi"/>
        </w:rPr>
        <w:t xml:space="preserve">sou doporučením pro vlády, jak zajistit, aby státem vlastněné společnosti fungovaly efektivně, transparentně a zodpovědně. Jsou mezinárodně uznaným standardem, jak by vlády měly vykonávat vlastnickou funkci státu. Jako metodické pokyny OECD byly poprvé vytvořeny v roce 2005. V roce 2015 byly aktualizovány. Česká republika je členem OECD od roku 1995.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36ABD7" w14:textId="77777777" w:rsidR="00F556BB" w:rsidRDefault="00F556B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FC88B0" w14:textId="77777777" w:rsidR="00F556BB" w:rsidRDefault="00F556BB">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4ECF39" w14:textId="77777777" w:rsidR="00F556BB" w:rsidRDefault="00F556B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4D6D03"/>
    <w:multiLevelType w:val="hybridMultilevel"/>
    <w:tmpl w:val="A15E14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A12E11"/>
    <w:multiLevelType w:val="hybridMultilevel"/>
    <w:tmpl w:val="E1D67092"/>
    <w:lvl w:ilvl="0" w:tplc="04050017">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 w15:restartNumberingAfterBreak="0">
    <w:nsid w:val="13FB4954"/>
    <w:multiLevelType w:val="hybridMultilevel"/>
    <w:tmpl w:val="CAEC744E"/>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 w15:restartNumberingAfterBreak="0">
    <w:nsid w:val="14941E83"/>
    <w:multiLevelType w:val="multilevel"/>
    <w:tmpl w:val="95EADE4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6B83AD3"/>
    <w:multiLevelType w:val="hybridMultilevel"/>
    <w:tmpl w:val="09D0D816"/>
    <w:lvl w:ilvl="0" w:tplc="2D7AF204">
      <w:start w:val="1"/>
      <w:numFmt w:val="decimal"/>
      <w:lvlText w:val="4.%1"/>
      <w:lvlJc w:val="left"/>
      <w:pPr>
        <w:ind w:left="5039"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7251E66"/>
    <w:multiLevelType w:val="hybridMultilevel"/>
    <w:tmpl w:val="5CD017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B816722"/>
    <w:multiLevelType w:val="hybridMultilevel"/>
    <w:tmpl w:val="B2F4C5AE"/>
    <w:lvl w:ilvl="0" w:tplc="5BECF5CC">
      <w:start w:val="1"/>
      <w:numFmt w:val="decimal"/>
      <w:lvlText w:val="2.%1"/>
      <w:lvlJc w:val="left"/>
      <w:pPr>
        <w:ind w:left="720"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D5A3576"/>
    <w:multiLevelType w:val="hybridMultilevel"/>
    <w:tmpl w:val="5106E5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2BD7799"/>
    <w:multiLevelType w:val="hybridMultilevel"/>
    <w:tmpl w:val="E1669A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74A00E3"/>
    <w:multiLevelType w:val="hybridMultilevel"/>
    <w:tmpl w:val="66623CB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08F1CED"/>
    <w:multiLevelType w:val="hybridMultilevel"/>
    <w:tmpl w:val="B33ED302"/>
    <w:lvl w:ilvl="0" w:tplc="04050001">
      <w:start w:val="1"/>
      <w:numFmt w:val="bullet"/>
      <w:lvlText w:val=""/>
      <w:lvlJc w:val="left"/>
      <w:pPr>
        <w:ind w:left="777" w:hanging="360"/>
      </w:pPr>
      <w:rPr>
        <w:rFonts w:ascii="Symbol" w:hAnsi="Symbol" w:hint="default"/>
      </w:rPr>
    </w:lvl>
    <w:lvl w:ilvl="1" w:tplc="04050003" w:tentative="1">
      <w:start w:val="1"/>
      <w:numFmt w:val="bullet"/>
      <w:lvlText w:val="o"/>
      <w:lvlJc w:val="left"/>
      <w:pPr>
        <w:ind w:left="1497" w:hanging="360"/>
      </w:pPr>
      <w:rPr>
        <w:rFonts w:ascii="Courier New" w:hAnsi="Courier New" w:cs="Courier New" w:hint="default"/>
      </w:rPr>
    </w:lvl>
    <w:lvl w:ilvl="2" w:tplc="04050005" w:tentative="1">
      <w:start w:val="1"/>
      <w:numFmt w:val="bullet"/>
      <w:lvlText w:val=""/>
      <w:lvlJc w:val="left"/>
      <w:pPr>
        <w:ind w:left="2217" w:hanging="360"/>
      </w:pPr>
      <w:rPr>
        <w:rFonts w:ascii="Wingdings" w:hAnsi="Wingdings" w:hint="default"/>
      </w:rPr>
    </w:lvl>
    <w:lvl w:ilvl="3" w:tplc="04050001" w:tentative="1">
      <w:start w:val="1"/>
      <w:numFmt w:val="bullet"/>
      <w:lvlText w:val=""/>
      <w:lvlJc w:val="left"/>
      <w:pPr>
        <w:ind w:left="2937" w:hanging="360"/>
      </w:pPr>
      <w:rPr>
        <w:rFonts w:ascii="Symbol" w:hAnsi="Symbol" w:hint="default"/>
      </w:rPr>
    </w:lvl>
    <w:lvl w:ilvl="4" w:tplc="04050003" w:tentative="1">
      <w:start w:val="1"/>
      <w:numFmt w:val="bullet"/>
      <w:lvlText w:val="o"/>
      <w:lvlJc w:val="left"/>
      <w:pPr>
        <w:ind w:left="3657" w:hanging="360"/>
      </w:pPr>
      <w:rPr>
        <w:rFonts w:ascii="Courier New" w:hAnsi="Courier New" w:cs="Courier New" w:hint="default"/>
      </w:rPr>
    </w:lvl>
    <w:lvl w:ilvl="5" w:tplc="04050005" w:tentative="1">
      <w:start w:val="1"/>
      <w:numFmt w:val="bullet"/>
      <w:lvlText w:val=""/>
      <w:lvlJc w:val="left"/>
      <w:pPr>
        <w:ind w:left="4377" w:hanging="360"/>
      </w:pPr>
      <w:rPr>
        <w:rFonts w:ascii="Wingdings" w:hAnsi="Wingdings" w:hint="default"/>
      </w:rPr>
    </w:lvl>
    <w:lvl w:ilvl="6" w:tplc="04050001" w:tentative="1">
      <w:start w:val="1"/>
      <w:numFmt w:val="bullet"/>
      <w:lvlText w:val=""/>
      <w:lvlJc w:val="left"/>
      <w:pPr>
        <w:ind w:left="5097" w:hanging="360"/>
      </w:pPr>
      <w:rPr>
        <w:rFonts w:ascii="Symbol" w:hAnsi="Symbol" w:hint="default"/>
      </w:rPr>
    </w:lvl>
    <w:lvl w:ilvl="7" w:tplc="04050003" w:tentative="1">
      <w:start w:val="1"/>
      <w:numFmt w:val="bullet"/>
      <w:lvlText w:val="o"/>
      <w:lvlJc w:val="left"/>
      <w:pPr>
        <w:ind w:left="5817" w:hanging="360"/>
      </w:pPr>
      <w:rPr>
        <w:rFonts w:ascii="Courier New" w:hAnsi="Courier New" w:cs="Courier New" w:hint="default"/>
      </w:rPr>
    </w:lvl>
    <w:lvl w:ilvl="8" w:tplc="04050005" w:tentative="1">
      <w:start w:val="1"/>
      <w:numFmt w:val="bullet"/>
      <w:lvlText w:val=""/>
      <w:lvlJc w:val="left"/>
      <w:pPr>
        <w:ind w:left="6537" w:hanging="360"/>
      </w:pPr>
      <w:rPr>
        <w:rFonts w:ascii="Wingdings" w:hAnsi="Wingdings" w:hint="default"/>
      </w:rPr>
    </w:lvl>
  </w:abstractNum>
  <w:abstractNum w:abstractNumId="11" w15:restartNumberingAfterBreak="0">
    <w:nsid w:val="309E4ADD"/>
    <w:multiLevelType w:val="hybridMultilevel"/>
    <w:tmpl w:val="6F3A97C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A922C41"/>
    <w:multiLevelType w:val="hybridMultilevel"/>
    <w:tmpl w:val="0B8094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3F30A41"/>
    <w:multiLevelType w:val="hybridMultilevel"/>
    <w:tmpl w:val="0E8E9E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9741B2D"/>
    <w:multiLevelType w:val="hybridMultilevel"/>
    <w:tmpl w:val="A74A4A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B07052B"/>
    <w:multiLevelType w:val="hybridMultilevel"/>
    <w:tmpl w:val="DC6EFE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CC56787"/>
    <w:multiLevelType w:val="hybridMultilevel"/>
    <w:tmpl w:val="0388DF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D53358C"/>
    <w:multiLevelType w:val="hybridMultilevel"/>
    <w:tmpl w:val="FC40E9B6"/>
    <w:lvl w:ilvl="0" w:tplc="3CF4B1E4">
      <w:start w:val="1"/>
      <w:numFmt w:val="decimal"/>
      <w:lvlText w:val="2.%1"/>
      <w:lvlJc w:val="left"/>
      <w:pPr>
        <w:ind w:left="720"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F1E0072"/>
    <w:multiLevelType w:val="hybridMultilevel"/>
    <w:tmpl w:val="617E88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516C5E34"/>
    <w:multiLevelType w:val="multilevel"/>
    <w:tmpl w:val="1602B126"/>
    <w:lvl w:ilvl="0">
      <w:start w:val="1"/>
      <w:numFmt w:val="lowerLetter"/>
      <w:lvlText w:val="%1)"/>
      <w:lvlJc w:val="left"/>
      <w:pPr>
        <w:ind w:left="928" w:hanging="360"/>
      </w:pPr>
      <w:rPr>
        <w:rFonts w:hint="default"/>
      </w:rPr>
    </w:lvl>
    <w:lvl w:ilvl="1">
      <w:start w:val="1"/>
      <w:numFmt w:val="lowerLetter"/>
      <w:lvlText w:val="%2)"/>
      <w:lvlJc w:val="left"/>
      <w:pPr>
        <w:ind w:left="1288" w:hanging="360"/>
      </w:pPr>
      <w:rPr>
        <w:rFonts w:hint="default"/>
      </w:rPr>
    </w:lvl>
    <w:lvl w:ilvl="2">
      <w:start w:val="1"/>
      <w:numFmt w:val="lowerRoman"/>
      <w:lvlText w:val="%3)"/>
      <w:lvlJc w:val="left"/>
      <w:pPr>
        <w:ind w:left="1648" w:hanging="360"/>
      </w:pPr>
      <w:rPr>
        <w:rFonts w:hint="default"/>
      </w:rPr>
    </w:lvl>
    <w:lvl w:ilvl="3">
      <w:start w:val="1"/>
      <w:numFmt w:val="decimal"/>
      <w:lvlText w:val="(%4)"/>
      <w:lvlJc w:val="left"/>
      <w:pPr>
        <w:ind w:left="2008" w:hanging="360"/>
      </w:pPr>
      <w:rPr>
        <w:rFonts w:hint="default"/>
      </w:rPr>
    </w:lvl>
    <w:lvl w:ilvl="4">
      <w:start w:val="1"/>
      <w:numFmt w:val="lowerLetter"/>
      <w:lvlText w:val="(%5)"/>
      <w:lvlJc w:val="left"/>
      <w:pPr>
        <w:ind w:left="2368" w:hanging="360"/>
      </w:pPr>
      <w:rPr>
        <w:rFonts w:hint="default"/>
      </w:rPr>
    </w:lvl>
    <w:lvl w:ilvl="5">
      <w:start w:val="1"/>
      <w:numFmt w:val="lowerRoman"/>
      <w:lvlText w:val="(%6)"/>
      <w:lvlJc w:val="left"/>
      <w:pPr>
        <w:ind w:left="2728" w:hanging="360"/>
      </w:pPr>
      <w:rPr>
        <w:rFonts w:hint="default"/>
      </w:rPr>
    </w:lvl>
    <w:lvl w:ilvl="6">
      <w:start w:val="1"/>
      <w:numFmt w:val="decimal"/>
      <w:lvlText w:val="%7."/>
      <w:lvlJc w:val="left"/>
      <w:pPr>
        <w:ind w:left="3088" w:hanging="360"/>
      </w:pPr>
      <w:rPr>
        <w:rFonts w:hint="default"/>
      </w:rPr>
    </w:lvl>
    <w:lvl w:ilvl="7">
      <w:start w:val="1"/>
      <w:numFmt w:val="lowerLetter"/>
      <w:lvlText w:val="%8."/>
      <w:lvlJc w:val="left"/>
      <w:pPr>
        <w:ind w:left="3448" w:hanging="360"/>
      </w:pPr>
      <w:rPr>
        <w:rFonts w:hint="default"/>
      </w:rPr>
    </w:lvl>
    <w:lvl w:ilvl="8">
      <w:start w:val="1"/>
      <w:numFmt w:val="lowerRoman"/>
      <w:lvlText w:val="%9."/>
      <w:lvlJc w:val="left"/>
      <w:pPr>
        <w:ind w:left="3808" w:hanging="360"/>
      </w:pPr>
      <w:rPr>
        <w:rFonts w:hint="default"/>
      </w:rPr>
    </w:lvl>
  </w:abstractNum>
  <w:abstractNum w:abstractNumId="20" w15:restartNumberingAfterBreak="0">
    <w:nsid w:val="585166CC"/>
    <w:multiLevelType w:val="singleLevel"/>
    <w:tmpl w:val="FF04C6FE"/>
    <w:lvl w:ilvl="0">
      <w:start w:val="4"/>
      <w:numFmt w:val="decimal"/>
      <w:lvlText w:val="%1)"/>
      <w:legacy w:legacy="1" w:legacySpace="0" w:legacyIndent="283"/>
      <w:lvlJc w:val="left"/>
      <w:pPr>
        <w:ind w:left="283" w:hanging="283"/>
      </w:pPr>
      <w:rPr>
        <w:b w:val="0"/>
        <w:i w:val="0"/>
      </w:rPr>
    </w:lvl>
  </w:abstractNum>
  <w:abstractNum w:abstractNumId="21" w15:restartNumberingAfterBreak="0">
    <w:nsid w:val="59B71CD6"/>
    <w:multiLevelType w:val="multilevel"/>
    <w:tmpl w:val="6B5039CA"/>
    <w:lvl w:ilvl="0">
      <w:start w:val="1"/>
      <w:numFmt w:val="upperRoman"/>
      <w:pStyle w:val="Nadpis1"/>
      <w:lvlText w:val="%1."/>
      <w:lvlJc w:val="right"/>
      <w:pPr>
        <w:ind w:left="360" w:hanging="360"/>
      </w:pPr>
      <w:rPr>
        <w:b/>
      </w:rPr>
    </w:lvl>
    <w:lvl w:ilvl="1">
      <w:start w:val="1"/>
      <w:numFmt w:val="decimal"/>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2" w15:restartNumberingAfterBreak="0">
    <w:nsid w:val="5BEF2FE8"/>
    <w:multiLevelType w:val="multilevel"/>
    <w:tmpl w:val="3EF0C8CE"/>
    <w:lvl w:ilvl="0">
      <w:start w:val="4"/>
      <w:numFmt w:val="decimal"/>
      <w:lvlText w:val="%1"/>
      <w:lvlJc w:val="left"/>
      <w:pPr>
        <w:ind w:left="420" w:hanging="420"/>
      </w:pPr>
      <w:rPr>
        <w:rFonts w:hint="default"/>
      </w:rPr>
    </w:lvl>
    <w:lvl w:ilvl="1">
      <w:start w:val="28"/>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C295442"/>
    <w:multiLevelType w:val="hybridMultilevel"/>
    <w:tmpl w:val="052CD7EA"/>
    <w:lvl w:ilvl="0" w:tplc="0D026522">
      <w:start w:val="1"/>
      <w:numFmt w:val="decimal"/>
      <w:lvlText w:val="%1."/>
      <w:lvlJc w:val="left"/>
      <w:pPr>
        <w:ind w:left="1145" w:hanging="360"/>
      </w:pPr>
      <w:rPr>
        <w:rFonts w:hint="default"/>
      </w:rPr>
    </w:lvl>
    <w:lvl w:ilvl="1" w:tplc="DB5C013C">
      <w:start w:val="1"/>
      <w:numFmt w:val="bullet"/>
      <w:lvlText w:val="-"/>
      <w:lvlJc w:val="left"/>
      <w:pPr>
        <w:ind w:left="1865" w:hanging="360"/>
      </w:pPr>
      <w:rPr>
        <w:rFonts w:ascii="Calibri" w:eastAsiaTheme="minorHAnsi" w:hAnsi="Calibri" w:cs="Calibri"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24" w15:restartNumberingAfterBreak="0">
    <w:nsid w:val="5C823F97"/>
    <w:multiLevelType w:val="multilevel"/>
    <w:tmpl w:val="7F5EDBD8"/>
    <w:lvl w:ilvl="0">
      <w:start w:val="4"/>
      <w:numFmt w:val="decimal"/>
      <w:lvlText w:val="%1."/>
      <w:lvlJc w:val="left"/>
      <w:pPr>
        <w:ind w:left="480" w:hanging="480"/>
      </w:pPr>
      <w:rPr>
        <w:rFonts w:hint="default"/>
      </w:rPr>
    </w:lvl>
    <w:lvl w:ilvl="1">
      <w:start w:val="1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FB14960"/>
    <w:multiLevelType w:val="multilevel"/>
    <w:tmpl w:val="4894C5A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8456240"/>
    <w:multiLevelType w:val="hybridMultilevel"/>
    <w:tmpl w:val="F96645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69595987"/>
    <w:multiLevelType w:val="hybridMultilevel"/>
    <w:tmpl w:val="00786724"/>
    <w:lvl w:ilvl="0" w:tplc="B8065EE6">
      <w:start w:val="1"/>
      <w:numFmt w:val="upperLetter"/>
      <w:lvlText w:val="%1."/>
      <w:lvlJc w:val="left"/>
      <w:pPr>
        <w:ind w:left="720" w:hanging="360"/>
      </w:pPr>
      <w:rPr>
        <w:rFonts w:hint="default"/>
        <w:b/>
        <w:i/>
        <w:color w:val="FF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E1A2FB4"/>
    <w:multiLevelType w:val="hybridMultilevel"/>
    <w:tmpl w:val="A6DA80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71FF2377"/>
    <w:multiLevelType w:val="hybridMultilevel"/>
    <w:tmpl w:val="66623CB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1"/>
  </w:num>
  <w:num w:numId="2">
    <w:abstractNumId w:val="3"/>
  </w:num>
  <w:num w:numId="3">
    <w:abstractNumId w:val="17"/>
  </w:num>
  <w:num w:numId="4">
    <w:abstractNumId w:val="4"/>
  </w:num>
  <w:num w:numId="5">
    <w:abstractNumId w:val="1"/>
  </w:num>
  <w:num w:numId="6">
    <w:abstractNumId w:val="16"/>
  </w:num>
  <w:num w:numId="7">
    <w:abstractNumId w:val="18"/>
  </w:num>
  <w:num w:numId="8">
    <w:abstractNumId w:val="2"/>
  </w:num>
  <w:num w:numId="9">
    <w:abstractNumId w:val="20"/>
  </w:num>
  <w:num w:numId="10">
    <w:abstractNumId w:val="23"/>
  </w:num>
  <w:num w:numId="11">
    <w:abstractNumId w:val="19"/>
  </w:num>
  <w:num w:numId="12">
    <w:abstractNumId w:val="6"/>
  </w:num>
  <w:num w:numId="13">
    <w:abstractNumId w:val="8"/>
  </w:num>
  <w:num w:numId="14">
    <w:abstractNumId w:val="5"/>
  </w:num>
  <w:num w:numId="15">
    <w:abstractNumId w:val="24"/>
  </w:num>
  <w:num w:numId="16">
    <w:abstractNumId w:val="22"/>
  </w:num>
  <w:num w:numId="17">
    <w:abstractNumId w:val="13"/>
  </w:num>
  <w:num w:numId="18">
    <w:abstractNumId w:val="29"/>
  </w:num>
  <w:num w:numId="19">
    <w:abstractNumId w:val="9"/>
  </w:num>
  <w:num w:numId="20">
    <w:abstractNumId w:val="12"/>
  </w:num>
  <w:num w:numId="21">
    <w:abstractNumId w:val="26"/>
  </w:num>
  <w:num w:numId="22">
    <w:abstractNumId w:val="20"/>
    <w:lvlOverride w:ilvl="0">
      <w:lvl w:ilvl="0">
        <w:start w:val="4"/>
        <w:numFmt w:val="decimal"/>
        <w:lvlText w:val="%1)"/>
        <w:legacy w:legacy="1" w:legacySpace="0" w:legacyIndent="283"/>
        <w:lvlJc w:val="left"/>
        <w:pPr>
          <w:ind w:left="283" w:hanging="283"/>
        </w:pPr>
        <w:rPr>
          <w:b w:val="0"/>
          <w:i w:val="0"/>
        </w:rPr>
      </w:lvl>
    </w:lvlOverride>
  </w:num>
  <w:num w:numId="23">
    <w:abstractNumId w:val="28"/>
  </w:num>
  <w:num w:numId="24">
    <w:abstractNumId w:val="7"/>
  </w:num>
  <w:num w:numId="25">
    <w:abstractNumId w:val="15"/>
  </w:num>
  <w:num w:numId="26">
    <w:abstractNumId w:val="0"/>
  </w:num>
  <w:num w:numId="27">
    <w:abstractNumId w:val="10"/>
  </w:num>
  <w:num w:numId="28">
    <w:abstractNumId w:val="25"/>
  </w:num>
  <w:num w:numId="29">
    <w:abstractNumId w:val="11"/>
  </w:num>
  <w:num w:numId="30">
    <w:abstractNumId w:val="14"/>
  </w:num>
  <w:num w:numId="31">
    <w:abstractNumId w:val="2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138"/>
    <w:rsid w:val="0000161F"/>
    <w:rsid w:val="00001975"/>
    <w:rsid w:val="00002A70"/>
    <w:rsid w:val="0000303A"/>
    <w:rsid w:val="000032D7"/>
    <w:rsid w:val="000038BB"/>
    <w:rsid w:val="00003BA2"/>
    <w:rsid w:val="00005D7E"/>
    <w:rsid w:val="00006832"/>
    <w:rsid w:val="00006A2B"/>
    <w:rsid w:val="0001060B"/>
    <w:rsid w:val="0001156F"/>
    <w:rsid w:val="000139F8"/>
    <w:rsid w:val="000141AA"/>
    <w:rsid w:val="00014E24"/>
    <w:rsid w:val="00015986"/>
    <w:rsid w:val="00015B48"/>
    <w:rsid w:val="00016945"/>
    <w:rsid w:val="00016976"/>
    <w:rsid w:val="00021DAE"/>
    <w:rsid w:val="000236D5"/>
    <w:rsid w:val="000246F2"/>
    <w:rsid w:val="000257A5"/>
    <w:rsid w:val="00026017"/>
    <w:rsid w:val="00027A6D"/>
    <w:rsid w:val="000300D1"/>
    <w:rsid w:val="00031492"/>
    <w:rsid w:val="00031555"/>
    <w:rsid w:val="0003171E"/>
    <w:rsid w:val="00031A3F"/>
    <w:rsid w:val="00032E40"/>
    <w:rsid w:val="00033528"/>
    <w:rsid w:val="000336A6"/>
    <w:rsid w:val="0003419E"/>
    <w:rsid w:val="00035A26"/>
    <w:rsid w:val="0003607D"/>
    <w:rsid w:val="000373E6"/>
    <w:rsid w:val="00037886"/>
    <w:rsid w:val="00037A8E"/>
    <w:rsid w:val="000419DF"/>
    <w:rsid w:val="0004274E"/>
    <w:rsid w:val="00042809"/>
    <w:rsid w:val="000457EE"/>
    <w:rsid w:val="00045F16"/>
    <w:rsid w:val="00052680"/>
    <w:rsid w:val="00053E02"/>
    <w:rsid w:val="00054982"/>
    <w:rsid w:val="000553E2"/>
    <w:rsid w:val="0005668F"/>
    <w:rsid w:val="00056987"/>
    <w:rsid w:val="00056B78"/>
    <w:rsid w:val="00056EAD"/>
    <w:rsid w:val="00057E1D"/>
    <w:rsid w:val="00065574"/>
    <w:rsid w:val="00065EA4"/>
    <w:rsid w:val="00067131"/>
    <w:rsid w:val="00070AE1"/>
    <w:rsid w:val="00072160"/>
    <w:rsid w:val="000730B6"/>
    <w:rsid w:val="00074B30"/>
    <w:rsid w:val="00074E5F"/>
    <w:rsid w:val="0007521D"/>
    <w:rsid w:val="0007644C"/>
    <w:rsid w:val="000775DD"/>
    <w:rsid w:val="00077A2A"/>
    <w:rsid w:val="0008050D"/>
    <w:rsid w:val="0008182F"/>
    <w:rsid w:val="00081A63"/>
    <w:rsid w:val="00081C7D"/>
    <w:rsid w:val="00082762"/>
    <w:rsid w:val="00082DEE"/>
    <w:rsid w:val="00085E9E"/>
    <w:rsid w:val="00086CFC"/>
    <w:rsid w:val="000870D5"/>
    <w:rsid w:val="000874A8"/>
    <w:rsid w:val="00090326"/>
    <w:rsid w:val="0009053D"/>
    <w:rsid w:val="000933DA"/>
    <w:rsid w:val="0009372E"/>
    <w:rsid w:val="00095E1E"/>
    <w:rsid w:val="00096A0B"/>
    <w:rsid w:val="000978EE"/>
    <w:rsid w:val="000A18FB"/>
    <w:rsid w:val="000A607B"/>
    <w:rsid w:val="000A64E9"/>
    <w:rsid w:val="000B12C5"/>
    <w:rsid w:val="000B1645"/>
    <w:rsid w:val="000B168F"/>
    <w:rsid w:val="000B17F9"/>
    <w:rsid w:val="000B2B35"/>
    <w:rsid w:val="000B3D69"/>
    <w:rsid w:val="000B5134"/>
    <w:rsid w:val="000B6920"/>
    <w:rsid w:val="000C0E30"/>
    <w:rsid w:val="000C291C"/>
    <w:rsid w:val="000C3BE9"/>
    <w:rsid w:val="000C3FF3"/>
    <w:rsid w:val="000C673B"/>
    <w:rsid w:val="000C6A18"/>
    <w:rsid w:val="000C75AA"/>
    <w:rsid w:val="000C7EBD"/>
    <w:rsid w:val="000D03A2"/>
    <w:rsid w:val="000D1D1C"/>
    <w:rsid w:val="000D1F10"/>
    <w:rsid w:val="000D2421"/>
    <w:rsid w:val="000D2C67"/>
    <w:rsid w:val="000D3999"/>
    <w:rsid w:val="000D4324"/>
    <w:rsid w:val="000D4375"/>
    <w:rsid w:val="000D64E0"/>
    <w:rsid w:val="000D73B5"/>
    <w:rsid w:val="000D7D5C"/>
    <w:rsid w:val="000D7F8D"/>
    <w:rsid w:val="000E13AC"/>
    <w:rsid w:val="000E1621"/>
    <w:rsid w:val="000E1D9D"/>
    <w:rsid w:val="000E2027"/>
    <w:rsid w:val="000E272E"/>
    <w:rsid w:val="000E2809"/>
    <w:rsid w:val="000E4603"/>
    <w:rsid w:val="000E5C5E"/>
    <w:rsid w:val="000E6C43"/>
    <w:rsid w:val="000E71BD"/>
    <w:rsid w:val="000F0AA3"/>
    <w:rsid w:val="000F160F"/>
    <w:rsid w:val="000F1662"/>
    <w:rsid w:val="000F3838"/>
    <w:rsid w:val="0010032B"/>
    <w:rsid w:val="00101379"/>
    <w:rsid w:val="001061F0"/>
    <w:rsid w:val="00106589"/>
    <w:rsid w:val="00107271"/>
    <w:rsid w:val="001101C6"/>
    <w:rsid w:val="00110253"/>
    <w:rsid w:val="001113DF"/>
    <w:rsid w:val="00111622"/>
    <w:rsid w:val="001118A6"/>
    <w:rsid w:val="001124B9"/>
    <w:rsid w:val="00112821"/>
    <w:rsid w:val="00113E3E"/>
    <w:rsid w:val="00115043"/>
    <w:rsid w:val="00117F85"/>
    <w:rsid w:val="00122AE5"/>
    <w:rsid w:val="00122BEF"/>
    <w:rsid w:val="00122D15"/>
    <w:rsid w:val="00123FD7"/>
    <w:rsid w:val="00124B61"/>
    <w:rsid w:val="00130538"/>
    <w:rsid w:val="001308FD"/>
    <w:rsid w:val="00130B2E"/>
    <w:rsid w:val="00131D28"/>
    <w:rsid w:val="001320ED"/>
    <w:rsid w:val="001325DB"/>
    <w:rsid w:val="00133F0E"/>
    <w:rsid w:val="00133F1A"/>
    <w:rsid w:val="00134324"/>
    <w:rsid w:val="00134E77"/>
    <w:rsid w:val="001369E9"/>
    <w:rsid w:val="00137C43"/>
    <w:rsid w:val="0014290B"/>
    <w:rsid w:val="0014295F"/>
    <w:rsid w:val="00142C85"/>
    <w:rsid w:val="001443D6"/>
    <w:rsid w:val="001444F0"/>
    <w:rsid w:val="00144977"/>
    <w:rsid w:val="00146177"/>
    <w:rsid w:val="0015065E"/>
    <w:rsid w:val="00151B8F"/>
    <w:rsid w:val="0015214A"/>
    <w:rsid w:val="00152B29"/>
    <w:rsid w:val="001542A3"/>
    <w:rsid w:val="00154920"/>
    <w:rsid w:val="00154D03"/>
    <w:rsid w:val="00155098"/>
    <w:rsid w:val="001550CD"/>
    <w:rsid w:val="001560FD"/>
    <w:rsid w:val="00156C16"/>
    <w:rsid w:val="0015707D"/>
    <w:rsid w:val="00157D5A"/>
    <w:rsid w:val="0016200D"/>
    <w:rsid w:val="0016213B"/>
    <w:rsid w:val="00164E61"/>
    <w:rsid w:val="001656D5"/>
    <w:rsid w:val="00165FB9"/>
    <w:rsid w:val="00166F1A"/>
    <w:rsid w:val="0016730C"/>
    <w:rsid w:val="00167C00"/>
    <w:rsid w:val="0017205D"/>
    <w:rsid w:val="001724FD"/>
    <w:rsid w:val="00176E3C"/>
    <w:rsid w:val="0017724A"/>
    <w:rsid w:val="00180F33"/>
    <w:rsid w:val="00181C13"/>
    <w:rsid w:val="0018495D"/>
    <w:rsid w:val="0018664A"/>
    <w:rsid w:val="00186C73"/>
    <w:rsid w:val="00186CA0"/>
    <w:rsid w:val="0018720A"/>
    <w:rsid w:val="00187EEA"/>
    <w:rsid w:val="0019105A"/>
    <w:rsid w:val="0019294A"/>
    <w:rsid w:val="00192A12"/>
    <w:rsid w:val="001944D4"/>
    <w:rsid w:val="001946E1"/>
    <w:rsid w:val="001950F5"/>
    <w:rsid w:val="00195981"/>
    <w:rsid w:val="001972CC"/>
    <w:rsid w:val="001972CD"/>
    <w:rsid w:val="001A0AD7"/>
    <w:rsid w:val="001A2010"/>
    <w:rsid w:val="001A374A"/>
    <w:rsid w:val="001A4FEA"/>
    <w:rsid w:val="001A6BA6"/>
    <w:rsid w:val="001A71EA"/>
    <w:rsid w:val="001B0731"/>
    <w:rsid w:val="001B09C0"/>
    <w:rsid w:val="001B30A9"/>
    <w:rsid w:val="001B36FB"/>
    <w:rsid w:val="001B65DF"/>
    <w:rsid w:val="001B7213"/>
    <w:rsid w:val="001B7A2C"/>
    <w:rsid w:val="001C1E74"/>
    <w:rsid w:val="001C2B96"/>
    <w:rsid w:val="001C431A"/>
    <w:rsid w:val="001C4C04"/>
    <w:rsid w:val="001C5818"/>
    <w:rsid w:val="001C6023"/>
    <w:rsid w:val="001C6B5E"/>
    <w:rsid w:val="001C7CC2"/>
    <w:rsid w:val="001D1FC5"/>
    <w:rsid w:val="001D27A2"/>
    <w:rsid w:val="001D378D"/>
    <w:rsid w:val="001D3CA9"/>
    <w:rsid w:val="001D4E1E"/>
    <w:rsid w:val="001D507F"/>
    <w:rsid w:val="001D5414"/>
    <w:rsid w:val="001D71BF"/>
    <w:rsid w:val="001D7862"/>
    <w:rsid w:val="001E0011"/>
    <w:rsid w:val="001E08CB"/>
    <w:rsid w:val="001E1138"/>
    <w:rsid w:val="001E53BD"/>
    <w:rsid w:val="001E61D0"/>
    <w:rsid w:val="001E69F9"/>
    <w:rsid w:val="001E79F1"/>
    <w:rsid w:val="001F00F6"/>
    <w:rsid w:val="001F074F"/>
    <w:rsid w:val="001F15EB"/>
    <w:rsid w:val="001F1EB9"/>
    <w:rsid w:val="001F29FA"/>
    <w:rsid w:val="001F2CC5"/>
    <w:rsid w:val="001F35DA"/>
    <w:rsid w:val="001F36CA"/>
    <w:rsid w:val="001F448D"/>
    <w:rsid w:val="001F5FFB"/>
    <w:rsid w:val="001F6B71"/>
    <w:rsid w:val="001F74DD"/>
    <w:rsid w:val="001F793F"/>
    <w:rsid w:val="001F7BDD"/>
    <w:rsid w:val="002013F2"/>
    <w:rsid w:val="00202402"/>
    <w:rsid w:val="00205EAF"/>
    <w:rsid w:val="0020796C"/>
    <w:rsid w:val="002103AD"/>
    <w:rsid w:val="002120A8"/>
    <w:rsid w:val="00214603"/>
    <w:rsid w:val="00217DEB"/>
    <w:rsid w:val="00222B8B"/>
    <w:rsid w:val="002231FA"/>
    <w:rsid w:val="00223915"/>
    <w:rsid w:val="002246C2"/>
    <w:rsid w:val="00225968"/>
    <w:rsid w:val="002273CF"/>
    <w:rsid w:val="00230A43"/>
    <w:rsid w:val="002355E1"/>
    <w:rsid w:val="0023722C"/>
    <w:rsid w:val="002402E6"/>
    <w:rsid w:val="002417EA"/>
    <w:rsid w:val="0024180B"/>
    <w:rsid w:val="00242BDA"/>
    <w:rsid w:val="00244C4A"/>
    <w:rsid w:val="00245053"/>
    <w:rsid w:val="00246E44"/>
    <w:rsid w:val="00247E4A"/>
    <w:rsid w:val="00250C65"/>
    <w:rsid w:val="00250CFB"/>
    <w:rsid w:val="00251439"/>
    <w:rsid w:val="00252432"/>
    <w:rsid w:val="002528D0"/>
    <w:rsid w:val="00252C43"/>
    <w:rsid w:val="002538C1"/>
    <w:rsid w:val="00253DB8"/>
    <w:rsid w:val="002549E1"/>
    <w:rsid w:val="00254CD9"/>
    <w:rsid w:val="0025560A"/>
    <w:rsid w:val="00255BC9"/>
    <w:rsid w:val="00256A31"/>
    <w:rsid w:val="00256A33"/>
    <w:rsid w:val="00257FDE"/>
    <w:rsid w:val="00257FE6"/>
    <w:rsid w:val="0026066F"/>
    <w:rsid w:val="002614BE"/>
    <w:rsid w:val="00262D7C"/>
    <w:rsid w:val="00263D76"/>
    <w:rsid w:val="00264836"/>
    <w:rsid w:val="0026522A"/>
    <w:rsid w:val="00265313"/>
    <w:rsid w:val="00266A52"/>
    <w:rsid w:val="00267A95"/>
    <w:rsid w:val="00271302"/>
    <w:rsid w:val="00271A6C"/>
    <w:rsid w:val="00272340"/>
    <w:rsid w:val="0027453D"/>
    <w:rsid w:val="00274FE6"/>
    <w:rsid w:val="0027615A"/>
    <w:rsid w:val="00277773"/>
    <w:rsid w:val="002808B7"/>
    <w:rsid w:val="00280CE4"/>
    <w:rsid w:val="00282CDB"/>
    <w:rsid w:val="002860F4"/>
    <w:rsid w:val="00286760"/>
    <w:rsid w:val="002869CE"/>
    <w:rsid w:val="00287973"/>
    <w:rsid w:val="00291039"/>
    <w:rsid w:val="00291BA7"/>
    <w:rsid w:val="00291D4D"/>
    <w:rsid w:val="00291E46"/>
    <w:rsid w:val="00293E27"/>
    <w:rsid w:val="0029605F"/>
    <w:rsid w:val="0029644E"/>
    <w:rsid w:val="002A01D6"/>
    <w:rsid w:val="002A199F"/>
    <w:rsid w:val="002A1BEC"/>
    <w:rsid w:val="002A2972"/>
    <w:rsid w:val="002A7FFE"/>
    <w:rsid w:val="002B0325"/>
    <w:rsid w:val="002B09A8"/>
    <w:rsid w:val="002B0A10"/>
    <w:rsid w:val="002B3108"/>
    <w:rsid w:val="002B40E1"/>
    <w:rsid w:val="002B6215"/>
    <w:rsid w:val="002B638C"/>
    <w:rsid w:val="002B657F"/>
    <w:rsid w:val="002B67F6"/>
    <w:rsid w:val="002B6BD5"/>
    <w:rsid w:val="002B6BE8"/>
    <w:rsid w:val="002C09F3"/>
    <w:rsid w:val="002C0A48"/>
    <w:rsid w:val="002C0B67"/>
    <w:rsid w:val="002C11AC"/>
    <w:rsid w:val="002C13B8"/>
    <w:rsid w:val="002C244A"/>
    <w:rsid w:val="002C3722"/>
    <w:rsid w:val="002C3F34"/>
    <w:rsid w:val="002C5F19"/>
    <w:rsid w:val="002C5FF7"/>
    <w:rsid w:val="002C70DD"/>
    <w:rsid w:val="002C7247"/>
    <w:rsid w:val="002D00AC"/>
    <w:rsid w:val="002D06F5"/>
    <w:rsid w:val="002D24CD"/>
    <w:rsid w:val="002D357D"/>
    <w:rsid w:val="002D444B"/>
    <w:rsid w:val="002D540B"/>
    <w:rsid w:val="002E03F0"/>
    <w:rsid w:val="002E0D93"/>
    <w:rsid w:val="002E15EC"/>
    <w:rsid w:val="002E2B9D"/>
    <w:rsid w:val="002E3516"/>
    <w:rsid w:val="002E4D3A"/>
    <w:rsid w:val="002E540A"/>
    <w:rsid w:val="002E57A6"/>
    <w:rsid w:val="002F122F"/>
    <w:rsid w:val="002F4334"/>
    <w:rsid w:val="002F5483"/>
    <w:rsid w:val="002F5BF0"/>
    <w:rsid w:val="002F5C56"/>
    <w:rsid w:val="002F720D"/>
    <w:rsid w:val="002F75CF"/>
    <w:rsid w:val="002F78C5"/>
    <w:rsid w:val="002F7CE2"/>
    <w:rsid w:val="002F7F67"/>
    <w:rsid w:val="0030365B"/>
    <w:rsid w:val="003040D0"/>
    <w:rsid w:val="003103F3"/>
    <w:rsid w:val="00310C59"/>
    <w:rsid w:val="00310FBE"/>
    <w:rsid w:val="00311115"/>
    <w:rsid w:val="00312171"/>
    <w:rsid w:val="00312730"/>
    <w:rsid w:val="00312D65"/>
    <w:rsid w:val="00315B36"/>
    <w:rsid w:val="003174BE"/>
    <w:rsid w:val="003178AD"/>
    <w:rsid w:val="00320366"/>
    <w:rsid w:val="0032458B"/>
    <w:rsid w:val="0032588A"/>
    <w:rsid w:val="00327F60"/>
    <w:rsid w:val="003331BC"/>
    <w:rsid w:val="00334C40"/>
    <w:rsid w:val="003355C7"/>
    <w:rsid w:val="00340FEE"/>
    <w:rsid w:val="0034153A"/>
    <w:rsid w:val="003447EE"/>
    <w:rsid w:val="003460D1"/>
    <w:rsid w:val="00346DF0"/>
    <w:rsid w:val="00346E5D"/>
    <w:rsid w:val="00347873"/>
    <w:rsid w:val="00350C5D"/>
    <w:rsid w:val="00351621"/>
    <w:rsid w:val="00351B81"/>
    <w:rsid w:val="0035245E"/>
    <w:rsid w:val="003534BC"/>
    <w:rsid w:val="00355519"/>
    <w:rsid w:val="003560D3"/>
    <w:rsid w:val="0035697D"/>
    <w:rsid w:val="0035727B"/>
    <w:rsid w:val="003577CC"/>
    <w:rsid w:val="00361A7F"/>
    <w:rsid w:val="00361F4B"/>
    <w:rsid w:val="00363004"/>
    <w:rsid w:val="003639AD"/>
    <w:rsid w:val="00363B0C"/>
    <w:rsid w:val="00364730"/>
    <w:rsid w:val="00365AF7"/>
    <w:rsid w:val="0036619B"/>
    <w:rsid w:val="00367DF1"/>
    <w:rsid w:val="00371098"/>
    <w:rsid w:val="003716F2"/>
    <w:rsid w:val="00371EAD"/>
    <w:rsid w:val="00371EBF"/>
    <w:rsid w:val="003725C9"/>
    <w:rsid w:val="0037388A"/>
    <w:rsid w:val="0037463C"/>
    <w:rsid w:val="00375FC2"/>
    <w:rsid w:val="00377D70"/>
    <w:rsid w:val="0038104B"/>
    <w:rsid w:val="00381263"/>
    <w:rsid w:val="003826F0"/>
    <w:rsid w:val="00383280"/>
    <w:rsid w:val="00383931"/>
    <w:rsid w:val="003845F0"/>
    <w:rsid w:val="00384D0B"/>
    <w:rsid w:val="00385FBF"/>
    <w:rsid w:val="00387358"/>
    <w:rsid w:val="00387674"/>
    <w:rsid w:val="00387B82"/>
    <w:rsid w:val="00390685"/>
    <w:rsid w:val="00391302"/>
    <w:rsid w:val="003931AF"/>
    <w:rsid w:val="00393861"/>
    <w:rsid w:val="00393C64"/>
    <w:rsid w:val="003965AD"/>
    <w:rsid w:val="00397A0B"/>
    <w:rsid w:val="003A0732"/>
    <w:rsid w:val="003A0BB2"/>
    <w:rsid w:val="003A1A24"/>
    <w:rsid w:val="003A224D"/>
    <w:rsid w:val="003A326A"/>
    <w:rsid w:val="003A3940"/>
    <w:rsid w:val="003A4C7C"/>
    <w:rsid w:val="003A4F17"/>
    <w:rsid w:val="003A57FB"/>
    <w:rsid w:val="003A634E"/>
    <w:rsid w:val="003A6DEE"/>
    <w:rsid w:val="003A7D1B"/>
    <w:rsid w:val="003B0084"/>
    <w:rsid w:val="003B0C56"/>
    <w:rsid w:val="003B1190"/>
    <w:rsid w:val="003B22F5"/>
    <w:rsid w:val="003B3DEC"/>
    <w:rsid w:val="003B3F5B"/>
    <w:rsid w:val="003B49BC"/>
    <w:rsid w:val="003B5ED1"/>
    <w:rsid w:val="003B651A"/>
    <w:rsid w:val="003B66E4"/>
    <w:rsid w:val="003B75D3"/>
    <w:rsid w:val="003C20A4"/>
    <w:rsid w:val="003C3249"/>
    <w:rsid w:val="003C3D91"/>
    <w:rsid w:val="003C42C5"/>
    <w:rsid w:val="003C4A83"/>
    <w:rsid w:val="003C5C3D"/>
    <w:rsid w:val="003C622E"/>
    <w:rsid w:val="003C6A10"/>
    <w:rsid w:val="003D0B2E"/>
    <w:rsid w:val="003D0C45"/>
    <w:rsid w:val="003D1A13"/>
    <w:rsid w:val="003D2B90"/>
    <w:rsid w:val="003D349E"/>
    <w:rsid w:val="003D7A5D"/>
    <w:rsid w:val="003E00F1"/>
    <w:rsid w:val="003E037F"/>
    <w:rsid w:val="003E0887"/>
    <w:rsid w:val="003E0A2A"/>
    <w:rsid w:val="003E0A45"/>
    <w:rsid w:val="003E0DF0"/>
    <w:rsid w:val="003E3766"/>
    <w:rsid w:val="003E5B53"/>
    <w:rsid w:val="003E693A"/>
    <w:rsid w:val="003E7AE2"/>
    <w:rsid w:val="003E7D05"/>
    <w:rsid w:val="003F3509"/>
    <w:rsid w:val="003F54D0"/>
    <w:rsid w:val="003F6E09"/>
    <w:rsid w:val="003F795E"/>
    <w:rsid w:val="004015E0"/>
    <w:rsid w:val="00401E0F"/>
    <w:rsid w:val="00403209"/>
    <w:rsid w:val="00403FBB"/>
    <w:rsid w:val="00410E03"/>
    <w:rsid w:val="00412A0B"/>
    <w:rsid w:val="00413957"/>
    <w:rsid w:val="004140D0"/>
    <w:rsid w:val="00414FD2"/>
    <w:rsid w:val="00415F38"/>
    <w:rsid w:val="00417387"/>
    <w:rsid w:val="00420588"/>
    <w:rsid w:val="00422032"/>
    <w:rsid w:val="00422AA0"/>
    <w:rsid w:val="00423186"/>
    <w:rsid w:val="0042357C"/>
    <w:rsid w:val="00423EC9"/>
    <w:rsid w:val="0042740C"/>
    <w:rsid w:val="00427AC2"/>
    <w:rsid w:val="0043013A"/>
    <w:rsid w:val="00430AB3"/>
    <w:rsid w:val="0043131C"/>
    <w:rsid w:val="00433253"/>
    <w:rsid w:val="00434719"/>
    <w:rsid w:val="00436077"/>
    <w:rsid w:val="004367DF"/>
    <w:rsid w:val="0043751F"/>
    <w:rsid w:val="00437C16"/>
    <w:rsid w:val="004402A1"/>
    <w:rsid w:val="00440955"/>
    <w:rsid w:val="00441363"/>
    <w:rsid w:val="00441734"/>
    <w:rsid w:val="00441CBB"/>
    <w:rsid w:val="004423C0"/>
    <w:rsid w:val="00442D0A"/>
    <w:rsid w:val="0044396D"/>
    <w:rsid w:val="004458A4"/>
    <w:rsid w:val="004460F5"/>
    <w:rsid w:val="0044729D"/>
    <w:rsid w:val="00447D63"/>
    <w:rsid w:val="004504BE"/>
    <w:rsid w:val="0045093F"/>
    <w:rsid w:val="00451C87"/>
    <w:rsid w:val="00452446"/>
    <w:rsid w:val="004539D2"/>
    <w:rsid w:val="00453DF7"/>
    <w:rsid w:val="00453F86"/>
    <w:rsid w:val="004558D5"/>
    <w:rsid w:val="00455F7B"/>
    <w:rsid w:val="00457F41"/>
    <w:rsid w:val="00460D94"/>
    <w:rsid w:val="004615E8"/>
    <w:rsid w:val="00461CE3"/>
    <w:rsid w:val="0046275B"/>
    <w:rsid w:val="00462A97"/>
    <w:rsid w:val="004632E7"/>
    <w:rsid w:val="0046363D"/>
    <w:rsid w:val="0046415F"/>
    <w:rsid w:val="00466169"/>
    <w:rsid w:val="00466618"/>
    <w:rsid w:val="004672DE"/>
    <w:rsid w:val="00467D19"/>
    <w:rsid w:val="00471E13"/>
    <w:rsid w:val="004765DA"/>
    <w:rsid w:val="00476C24"/>
    <w:rsid w:val="00482426"/>
    <w:rsid w:val="00487036"/>
    <w:rsid w:val="00487D1F"/>
    <w:rsid w:val="00487E87"/>
    <w:rsid w:val="00490B9F"/>
    <w:rsid w:val="00491AB2"/>
    <w:rsid w:val="00492F10"/>
    <w:rsid w:val="00493ABB"/>
    <w:rsid w:val="00495142"/>
    <w:rsid w:val="0049547D"/>
    <w:rsid w:val="00496168"/>
    <w:rsid w:val="00497DEE"/>
    <w:rsid w:val="004A0DCD"/>
    <w:rsid w:val="004A28F6"/>
    <w:rsid w:val="004A2C22"/>
    <w:rsid w:val="004A39D7"/>
    <w:rsid w:val="004A3D65"/>
    <w:rsid w:val="004A4985"/>
    <w:rsid w:val="004A64CA"/>
    <w:rsid w:val="004A770B"/>
    <w:rsid w:val="004B0C36"/>
    <w:rsid w:val="004B10CE"/>
    <w:rsid w:val="004B500D"/>
    <w:rsid w:val="004B52A7"/>
    <w:rsid w:val="004B5540"/>
    <w:rsid w:val="004B5CFC"/>
    <w:rsid w:val="004B6113"/>
    <w:rsid w:val="004B6831"/>
    <w:rsid w:val="004B7A2F"/>
    <w:rsid w:val="004C008F"/>
    <w:rsid w:val="004C0904"/>
    <w:rsid w:val="004C1E1B"/>
    <w:rsid w:val="004C5668"/>
    <w:rsid w:val="004C5790"/>
    <w:rsid w:val="004C63A7"/>
    <w:rsid w:val="004D143D"/>
    <w:rsid w:val="004D1542"/>
    <w:rsid w:val="004D1748"/>
    <w:rsid w:val="004D1B1E"/>
    <w:rsid w:val="004D2BFA"/>
    <w:rsid w:val="004D2C89"/>
    <w:rsid w:val="004D3645"/>
    <w:rsid w:val="004D4627"/>
    <w:rsid w:val="004D4953"/>
    <w:rsid w:val="004D78B0"/>
    <w:rsid w:val="004E0F0F"/>
    <w:rsid w:val="004E48A7"/>
    <w:rsid w:val="004E4F89"/>
    <w:rsid w:val="004F0482"/>
    <w:rsid w:val="004F08C0"/>
    <w:rsid w:val="004F0B22"/>
    <w:rsid w:val="004F0C4C"/>
    <w:rsid w:val="004F115B"/>
    <w:rsid w:val="004F17C3"/>
    <w:rsid w:val="004F3B82"/>
    <w:rsid w:val="004F3E45"/>
    <w:rsid w:val="004F4D30"/>
    <w:rsid w:val="004F5090"/>
    <w:rsid w:val="004F5668"/>
    <w:rsid w:val="004F5DDD"/>
    <w:rsid w:val="004F600F"/>
    <w:rsid w:val="0050294A"/>
    <w:rsid w:val="00502FB4"/>
    <w:rsid w:val="0050328F"/>
    <w:rsid w:val="00503D09"/>
    <w:rsid w:val="00504272"/>
    <w:rsid w:val="00504D35"/>
    <w:rsid w:val="00504DD4"/>
    <w:rsid w:val="00505068"/>
    <w:rsid w:val="00506B39"/>
    <w:rsid w:val="00506CA0"/>
    <w:rsid w:val="00507102"/>
    <w:rsid w:val="005145C9"/>
    <w:rsid w:val="00514E54"/>
    <w:rsid w:val="00515A63"/>
    <w:rsid w:val="00516075"/>
    <w:rsid w:val="005165E9"/>
    <w:rsid w:val="005206AF"/>
    <w:rsid w:val="005226C0"/>
    <w:rsid w:val="00522DC8"/>
    <w:rsid w:val="00522DFE"/>
    <w:rsid w:val="005231E1"/>
    <w:rsid w:val="00523AAC"/>
    <w:rsid w:val="00524BA8"/>
    <w:rsid w:val="00524CFE"/>
    <w:rsid w:val="00526466"/>
    <w:rsid w:val="005279A2"/>
    <w:rsid w:val="005316CF"/>
    <w:rsid w:val="00531884"/>
    <w:rsid w:val="00532CC8"/>
    <w:rsid w:val="0053330F"/>
    <w:rsid w:val="00534AE6"/>
    <w:rsid w:val="00536CCD"/>
    <w:rsid w:val="00541003"/>
    <w:rsid w:val="0054268E"/>
    <w:rsid w:val="00545201"/>
    <w:rsid w:val="005463FB"/>
    <w:rsid w:val="0054752F"/>
    <w:rsid w:val="00550EE8"/>
    <w:rsid w:val="005513F1"/>
    <w:rsid w:val="00552253"/>
    <w:rsid w:val="005530EB"/>
    <w:rsid w:val="00553ABC"/>
    <w:rsid w:val="00553C44"/>
    <w:rsid w:val="00553CF9"/>
    <w:rsid w:val="0055493F"/>
    <w:rsid w:val="00554FF4"/>
    <w:rsid w:val="005552F0"/>
    <w:rsid w:val="00555A20"/>
    <w:rsid w:val="00555A6E"/>
    <w:rsid w:val="00555FF2"/>
    <w:rsid w:val="005560C8"/>
    <w:rsid w:val="00557B6C"/>
    <w:rsid w:val="00560D04"/>
    <w:rsid w:val="0056102F"/>
    <w:rsid w:val="00561409"/>
    <w:rsid w:val="005624FC"/>
    <w:rsid w:val="005639B8"/>
    <w:rsid w:val="00564182"/>
    <w:rsid w:val="00564582"/>
    <w:rsid w:val="00565FA7"/>
    <w:rsid w:val="00570230"/>
    <w:rsid w:val="0057025F"/>
    <w:rsid w:val="005712EF"/>
    <w:rsid w:val="00571A35"/>
    <w:rsid w:val="00572A09"/>
    <w:rsid w:val="00572C01"/>
    <w:rsid w:val="0057316D"/>
    <w:rsid w:val="005731A1"/>
    <w:rsid w:val="0057455C"/>
    <w:rsid w:val="005747C2"/>
    <w:rsid w:val="00575982"/>
    <w:rsid w:val="00575A58"/>
    <w:rsid w:val="00575C64"/>
    <w:rsid w:val="005762E0"/>
    <w:rsid w:val="00576A95"/>
    <w:rsid w:val="00577CB2"/>
    <w:rsid w:val="005803D9"/>
    <w:rsid w:val="00580752"/>
    <w:rsid w:val="005811B5"/>
    <w:rsid w:val="005813F9"/>
    <w:rsid w:val="00583AEE"/>
    <w:rsid w:val="00583F64"/>
    <w:rsid w:val="00584DF2"/>
    <w:rsid w:val="005851FE"/>
    <w:rsid w:val="0058558E"/>
    <w:rsid w:val="00585C87"/>
    <w:rsid w:val="0059060D"/>
    <w:rsid w:val="005906B2"/>
    <w:rsid w:val="00590B91"/>
    <w:rsid w:val="00591E7F"/>
    <w:rsid w:val="00591FF3"/>
    <w:rsid w:val="00595D57"/>
    <w:rsid w:val="00596418"/>
    <w:rsid w:val="0059674E"/>
    <w:rsid w:val="00596C95"/>
    <w:rsid w:val="00597A29"/>
    <w:rsid w:val="005A0F2F"/>
    <w:rsid w:val="005A26B6"/>
    <w:rsid w:val="005A2A71"/>
    <w:rsid w:val="005A2AE2"/>
    <w:rsid w:val="005A7578"/>
    <w:rsid w:val="005A75A3"/>
    <w:rsid w:val="005A7791"/>
    <w:rsid w:val="005B0BE5"/>
    <w:rsid w:val="005B0FCE"/>
    <w:rsid w:val="005B1236"/>
    <w:rsid w:val="005B167A"/>
    <w:rsid w:val="005B1875"/>
    <w:rsid w:val="005B4A77"/>
    <w:rsid w:val="005B5CAB"/>
    <w:rsid w:val="005B5FE0"/>
    <w:rsid w:val="005B7ACD"/>
    <w:rsid w:val="005C0652"/>
    <w:rsid w:val="005C08D1"/>
    <w:rsid w:val="005C0FB2"/>
    <w:rsid w:val="005C17D2"/>
    <w:rsid w:val="005C2121"/>
    <w:rsid w:val="005C28F1"/>
    <w:rsid w:val="005C3B72"/>
    <w:rsid w:val="005C5106"/>
    <w:rsid w:val="005C56D9"/>
    <w:rsid w:val="005C5A87"/>
    <w:rsid w:val="005C5FA1"/>
    <w:rsid w:val="005C6992"/>
    <w:rsid w:val="005C6C5D"/>
    <w:rsid w:val="005C7A47"/>
    <w:rsid w:val="005C7CA4"/>
    <w:rsid w:val="005D12B3"/>
    <w:rsid w:val="005D220A"/>
    <w:rsid w:val="005D282C"/>
    <w:rsid w:val="005D2A3E"/>
    <w:rsid w:val="005D31CC"/>
    <w:rsid w:val="005D32A2"/>
    <w:rsid w:val="005D342D"/>
    <w:rsid w:val="005D34BA"/>
    <w:rsid w:val="005D34C1"/>
    <w:rsid w:val="005D42F0"/>
    <w:rsid w:val="005D4992"/>
    <w:rsid w:val="005D646D"/>
    <w:rsid w:val="005D6D9E"/>
    <w:rsid w:val="005E0503"/>
    <w:rsid w:val="005E14DB"/>
    <w:rsid w:val="005E4B6F"/>
    <w:rsid w:val="005E697E"/>
    <w:rsid w:val="005E69BC"/>
    <w:rsid w:val="005E7465"/>
    <w:rsid w:val="005E7CDF"/>
    <w:rsid w:val="005F078C"/>
    <w:rsid w:val="005F16FE"/>
    <w:rsid w:val="005F376F"/>
    <w:rsid w:val="005F4260"/>
    <w:rsid w:val="005F5385"/>
    <w:rsid w:val="005F58F2"/>
    <w:rsid w:val="005F69F2"/>
    <w:rsid w:val="005F6D35"/>
    <w:rsid w:val="005F6E6F"/>
    <w:rsid w:val="006000A5"/>
    <w:rsid w:val="00601717"/>
    <w:rsid w:val="00601D56"/>
    <w:rsid w:val="0060293F"/>
    <w:rsid w:val="00602D06"/>
    <w:rsid w:val="00607C06"/>
    <w:rsid w:val="00607CCB"/>
    <w:rsid w:val="0061038E"/>
    <w:rsid w:val="0061250F"/>
    <w:rsid w:val="00612F02"/>
    <w:rsid w:val="006144B7"/>
    <w:rsid w:val="00614B31"/>
    <w:rsid w:val="00614E6B"/>
    <w:rsid w:val="00616BA7"/>
    <w:rsid w:val="0061760A"/>
    <w:rsid w:val="00620C8E"/>
    <w:rsid w:val="00621ECE"/>
    <w:rsid w:val="006221A3"/>
    <w:rsid w:val="006235AA"/>
    <w:rsid w:val="00624215"/>
    <w:rsid w:val="006264F4"/>
    <w:rsid w:val="00626A72"/>
    <w:rsid w:val="00627A0C"/>
    <w:rsid w:val="00633074"/>
    <w:rsid w:val="0063307A"/>
    <w:rsid w:val="00634EE2"/>
    <w:rsid w:val="006367DC"/>
    <w:rsid w:val="00637A81"/>
    <w:rsid w:val="006416FB"/>
    <w:rsid w:val="00643618"/>
    <w:rsid w:val="00643D00"/>
    <w:rsid w:val="00644C5D"/>
    <w:rsid w:val="00646D85"/>
    <w:rsid w:val="0064763A"/>
    <w:rsid w:val="00650AD4"/>
    <w:rsid w:val="00650CD2"/>
    <w:rsid w:val="00653AB0"/>
    <w:rsid w:val="006544EA"/>
    <w:rsid w:val="00654B8D"/>
    <w:rsid w:val="00655A73"/>
    <w:rsid w:val="00656587"/>
    <w:rsid w:val="006571D1"/>
    <w:rsid w:val="00657AA1"/>
    <w:rsid w:val="00662565"/>
    <w:rsid w:val="00663267"/>
    <w:rsid w:val="006635EE"/>
    <w:rsid w:val="006637C9"/>
    <w:rsid w:val="00664151"/>
    <w:rsid w:val="0066454C"/>
    <w:rsid w:val="00665414"/>
    <w:rsid w:val="00666196"/>
    <w:rsid w:val="00667E67"/>
    <w:rsid w:val="00667EE3"/>
    <w:rsid w:val="006703BF"/>
    <w:rsid w:val="0067147B"/>
    <w:rsid w:val="00676B2F"/>
    <w:rsid w:val="006804B5"/>
    <w:rsid w:val="00681344"/>
    <w:rsid w:val="00681BCD"/>
    <w:rsid w:val="006829C1"/>
    <w:rsid w:val="006859E0"/>
    <w:rsid w:val="0069034A"/>
    <w:rsid w:val="0069151C"/>
    <w:rsid w:val="006930ED"/>
    <w:rsid w:val="006930F7"/>
    <w:rsid w:val="006937F3"/>
    <w:rsid w:val="00693FE9"/>
    <w:rsid w:val="00694411"/>
    <w:rsid w:val="00695A2C"/>
    <w:rsid w:val="006967E1"/>
    <w:rsid w:val="006976F3"/>
    <w:rsid w:val="006979CF"/>
    <w:rsid w:val="006A0AB6"/>
    <w:rsid w:val="006A0D3A"/>
    <w:rsid w:val="006A2CAF"/>
    <w:rsid w:val="006A42F0"/>
    <w:rsid w:val="006A4C88"/>
    <w:rsid w:val="006A6986"/>
    <w:rsid w:val="006A765B"/>
    <w:rsid w:val="006B0637"/>
    <w:rsid w:val="006B0643"/>
    <w:rsid w:val="006B1CB3"/>
    <w:rsid w:val="006B2A11"/>
    <w:rsid w:val="006B6ACC"/>
    <w:rsid w:val="006B7272"/>
    <w:rsid w:val="006B7C7A"/>
    <w:rsid w:val="006C04EF"/>
    <w:rsid w:val="006C2552"/>
    <w:rsid w:val="006C3FBA"/>
    <w:rsid w:val="006C43F8"/>
    <w:rsid w:val="006C4822"/>
    <w:rsid w:val="006C48DE"/>
    <w:rsid w:val="006C5A1A"/>
    <w:rsid w:val="006C5F62"/>
    <w:rsid w:val="006C6162"/>
    <w:rsid w:val="006C6870"/>
    <w:rsid w:val="006C7959"/>
    <w:rsid w:val="006D1CB2"/>
    <w:rsid w:val="006D1FDF"/>
    <w:rsid w:val="006D2172"/>
    <w:rsid w:val="006D22A3"/>
    <w:rsid w:val="006D2DC7"/>
    <w:rsid w:val="006D5242"/>
    <w:rsid w:val="006D71CE"/>
    <w:rsid w:val="006D78D4"/>
    <w:rsid w:val="006D7982"/>
    <w:rsid w:val="006E036B"/>
    <w:rsid w:val="006E05E9"/>
    <w:rsid w:val="006E069F"/>
    <w:rsid w:val="006E0E96"/>
    <w:rsid w:val="006E17F9"/>
    <w:rsid w:val="006E20F6"/>
    <w:rsid w:val="006E29F8"/>
    <w:rsid w:val="006E4569"/>
    <w:rsid w:val="006E53E4"/>
    <w:rsid w:val="006E74E5"/>
    <w:rsid w:val="006F0B5D"/>
    <w:rsid w:val="006F2403"/>
    <w:rsid w:val="006F2725"/>
    <w:rsid w:val="006F2BF2"/>
    <w:rsid w:val="006F3825"/>
    <w:rsid w:val="006F513D"/>
    <w:rsid w:val="006F5AD3"/>
    <w:rsid w:val="0070036E"/>
    <w:rsid w:val="00700B02"/>
    <w:rsid w:val="00702809"/>
    <w:rsid w:val="007031A1"/>
    <w:rsid w:val="0070367B"/>
    <w:rsid w:val="00705744"/>
    <w:rsid w:val="00705AE0"/>
    <w:rsid w:val="00705BFC"/>
    <w:rsid w:val="0070699B"/>
    <w:rsid w:val="007075CF"/>
    <w:rsid w:val="007119CB"/>
    <w:rsid w:val="007121FE"/>
    <w:rsid w:val="00712BA4"/>
    <w:rsid w:val="007131B9"/>
    <w:rsid w:val="00713F49"/>
    <w:rsid w:val="007154EE"/>
    <w:rsid w:val="007155A2"/>
    <w:rsid w:val="00717212"/>
    <w:rsid w:val="0072383E"/>
    <w:rsid w:val="00723D75"/>
    <w:rsid w:val="00725621"/>
    <w:rsid w:val="0073031A"/>
    <w:rsid w:val="00730C93"/>
    <w:rsid w:val="00731EE3"/>
    <w:rsid w:val="00733D12"/>
    <w:rsid w:val="00734CC7"/>
    <w:rsid w:val="007350FD"/>
    <w:rsid w:val="0073520E"/>
    <w:rsid w:val="00736051"/>
    <w:rsid w:val="00736956"/>
    <w:rsid w:val="00736D50"/>
    <w:rsid w:val="00737529"/>
    <w:rsid w:val="00741032"/>
    <w:rsid w:val="00742AFC"/>
    <w:rsid w:val="00742EED"/>
    <w:rsid w:val="00744376"/>
    <w:rsid w:val="007453CA"/>
    <w:rsid w:val="00745ACE"/>
    <w:rsid w:val="007462C7"/>
    <w:rsid w:val="00746E5F"/>
    <w:rsid w:val="0074754B"/>
    <w:rsid w:val="007509AA"/>
    <w:rsid w:val="007519E7"/>
    <w:rsid w:val="00751CEC"/>
    <w:rsid w:val="00752A2C"/>
    <w:rsid w:val="00753D47"/>
    <w:rsid w:val="00753F7A"/>
    <w:rsid w:val="007543CE"/>
    <w:rsid w:val="00754C42"/>
    <w:rsid w:val="00755A0E"/>
    <w:rsid w:val="00755C96"/>
    <w:rsid w:val="007561FE"/>
    <w:rsid w:val="007566C5"/>
    <w:rsid w:val="00757199"/>
    <w:rsid w:val="00757B71"/>
    <w:rsid w:val="00757C5A"/>
    <w:rsid w:val="00760861"/>
    <w:rsid w:val="007633E3"/>
    <w:rsid w:val="00763DD1"/>
    <w:rsid w:val="00764B23"/>
    <w:rsid w:val="0076688C"/>
    <w:rsid w:val="00766DB6"/>
    <w:rsid w:val="0076704B"/>
    <w:rsid w:val="007677D1"/>
    <w:rsid w:val="00770097"/>
    <w:rsid w:val="00770B89"/>
    <w:rsid w:val="00771009"/>
    <w:rsid w:val="00771804"/>
    <w:rsid w:val="007731A0"/>
    <w:rsid w:val="00773CDE"/>
    <w:rsid w:val="00773EB1"/>
    <w:rsid w:val="00776F3F"/>
    <w:rsid w:val="0077781A"/>
    <w:rsid w:val="0078152B"/>
    <w:rsid w:val="007818AA"/>
    <w:rsid w:val="00782B43"/>
    <w:rsid w:val="007838A2"/>
    <w:rsid w:val="00783DBE"/>
    <w:rsid w:val="00784B49"/>
    <w:rsid w:val="00785A9D"/>
    <w:rsid w:val="00787963"/>
    <w:rsid w:val="00787F7B"/>
    <w:rsid w:val="00790181"/>
    <w:rsid w:val="00791BEA"/>
    <w:rsid w:val="007941D6"/>
    <w:rsid w:val="0079458E"/>
    <w:rsid w:val="00794D64"/>
    <w:rsid w:val="00794F47"/>
    <w:rsid w:val="007955E6"/>
    <w:rsid w:val="00797A6C"/>
    <w:rsid w:val="007A0D45"/>
    <w:rsid w:val="007A0F1D"/>
    <w:rsid w:val="007A1093"/>
    <w:rsid w:val="007A32DD"/>
    <w:rsid w:val="007A3DE8"/>
    <w:rsid w:val="007A5CF8"/>
    <w:rsid w:val="007A617C"/>
    <w:rsid w:val="007A6973"/>
    <w:rsid w:val="007A7317"/>
    <w:rsid w:val="007B04A9"/>
    <w:rsid w:val="007B04D0"/>
    <w:rsid w:val="007B362F"/>
    <w:rsid w:val="007B3A70"/>
    <w:rsid w:val="007B406C"/>
    <w:rsid w:val="007B5630"/>
    <w:rsid w:val="007B679A"/>
    <w:rsid w:val="007B6A73"/>
    <w:rsid w:val="007B7A05"/>
    <w:rsid w:val="007C4142"/>
    <w:rsid w:val="007C4423"/>
    <w:rsid w:val="007C4E6B"/>
    <w:rsid w:val="007C5D3B"/>
    <w:rsid w:val="007C7077"/>
    <w:rsid w:val="007D093D"/>
    <w:rsid w:val="007D1E6B"/>
    <w:rsid w:val="007D3809"/>
    <w:rsid w:val="007D4D75"/>
    <w:rsid w:val="007D704E"/>
    <w:rsid w:val="007D797A"/>
    <w:rsid w:val="007E0797"/>
    <w:rsid w:val="007E0C76"/>
    <w:rsid w:val="007E36A1"/>
    <w:rsid w:val="007E3FE2"/>
    <w:rsid w:val="007E4370"/>
    <w:rsid w:val="007E4F6A"/>
    <w:rsid w:val="007E5F94"/>
    <w:rsid w:val="007E7480"/>
    <w:rsid w:val="007E760F"/>
    <w:rsid w:val="007F018E"/>
    <w:rsid w:val="007F09FD"/>
    <w:rsid w:val="007F0AEB"/>
    <w:rsid w:val="007F1AE9"/>
    <w:rsid w:val="007F1D90"/>
    <w:rsid w:val="007F3AA3"/>
    <w:rsid w:val="007F3AE4"/>
    <w:rsid w:val="007F523C"/>
    <w:rsid w:val="007F5CA2"/>
    <w:rsid w:val="007F6932"/>
    <w:rsid w:val="007F7A36"/>
    <w:rsid w:val="00800095"/>
    <w:rsid w:val="008000F4"/>
    <w:rsid w:val="0080090C"/>
    <w:rsid w:val="00800DC4"/>
    <w:rsid w:val="0080100B"/>
    <w:rsid w:val="008015E3"/>
    <w:rsid w:val="00802041"/>
    <w:rsid w:val="0080311D"/>
    <w:rsid w:val="00803F57"/>
    <w:rsid w:val="008116E0"/>
    <w:rsid w:val="00811BE3"/>
    <w:rsid w:val="00813E8E"/>
    <w:rsid w:val="00814BEE"/>
    <w:rsid w:val="00815FAF"/>
    <w:rsid w:val="00816554"/>
    <w:rsid w:val="00816C16"/>
    <w:rsid w:val="0082040C"/>
    <w:rsid w:val="008214B3"/>
    <w:rsid w:val="00821FCD"/>
    <w:rsid w:val="008234F6"/>
    <w:rsid w:val="00823F8A"/>
    <w:rsid w:val="008253D1"/>
    <w:rsid w:val="008253E1"/>
    <w:rsid w:val="00825E2F"/>
    <w:rsid w:val="00826395"/>
    <w:rsid w:val="00827773"/>
    <w:rsid w:val="00827FBE"/>
    <w:rsid w:val="00830888"/>
    <w:rsid w:val="00830C19"/>
    <w:rsid w:val="00830C28"/>
    <w:rsid w:val="00831ECE"/>
    <w:rsid w:val="0083285C"/>
    <w:rsid w:val="00832BE8"/>
    <w:rsid w:val="00832F70"/>
    <w:rsid w:val="0083303D"/>
    <w:rsid w:val="00833575"/>
    <w:rsid w:val="00833EB5"/>
    <w:rsid w:val="00834CD8"/>
    <w:rsid w:val="00835CC5"/>
    <w:rsid w:val="00840D27"/>
    <w:rsid w:val="00843975"/>
    <w:rsid w:val="00844EBC"/>
    <w:rsid w:val="008454AE"/>
    <w:rsid w:val="00845FAE"/>
    <w:rsid w:val="008469F5"/>
    <w:rsid w:val="0084795F"/>
    <w:rsid w:val="00847B51"/>
    <w:rsid w:val="0085109B"/>
    <w:rsid w:val="0085118F"/>
    <w:rsid w:val="008521BA"/>
    <w:rsid w:val="00852CF5"/>
    <w:rsid w:val="00856424"/>
    <w:rsid w:val="008575BD"/>
    <w:rsid w:val="00860881"/>
    <w:rsid w:val="008615A6"/>
    <w:rsid w:val="00861645"/>
    <w:rsid w:val="00862012"/>
    <w:rsid w:val="008626B3"/>
    <w:rsid w:val="00863259"/>
    <w:rsid w:val="00864C74"/>
    <w:rsid w:val="0086511E"/>
    <w:rsid w:val="00865189"/>
    <w:rsid w:val="0086627C"/>
    <w:rsid w:val="00870769"/>
    <w:rsid w:val="00870B93"/>
    <w:rsid w:val="008716C6"/>
    <w:rsid w:val="00871C5A"/>
    <w:rsid w:val="00872E04"/>
    <w:rsid w:val="008744C8"/>
    <w:rsid w:val="00874C24"/>
    <w:rsid w:val="00875728"/>
    <w:rsid w:val="00880FC3"/>
    <w:rsid w:val="0088229D"/>
    <w:rsid w:val="00882B66"/>
    <w:rsid w:val="00883474"/>
    <w:rsid w:val="00886FB6"/>
    <w:rsid w:val="00890B1C"/>
    <w:rsid w:val="00891F3A"/>
    <w:rsid w:val="0089393F"/>
    <w:rsid w:val="008943CF"/>
    <w:rsid w:val="00896483"/>
    <w:rsid w:val="008966F7"/>
    <w:rsid w:val="008A04B8"/>
    <w:rsid w:val="008A1186"/>
    <w:rsid w:val="008A1E0D"/>
    <w:rsid w:val="008A1F80"/>
    <w:rsid w:val="008A3E3B"/>
    <w:rsid w:val="008A48D0"/>
    <w:rsid w:val="008A5F4A"/>
    <w:rsid w:val="008A71DE"/>
    <w:rsid w:val="008A748E"/>
    <w:rsid w:val="008B01BF"/>
    <w:rsid w:val="008B22A3"/>
    <w:rsid w:val="008B52D8"/>
    <w:rsid w:val="008B7A15"/>
    <w:rsid w:val="008B7C7B"/>
    <w:rsid w:val="008B7E95"/>
    <w:rsid w:val="008C04E2"/>
    <w:rsid w:val="008C0838"/>
    <w:rsid w:val="008C09A0"/>
    <w:rsid w:val="008C274F"/>
    <w:rsid w:val="008C3360"/>
    <w:rsid w:val="008C4608"/>
    <w:rsid w:val="008C5539"/>
    <w:rsid w:val="008C604E"/>
    <w:rsid w:val="008C65A4"/>
    <w:rsid w:val="008C6DC7"/>
    <w:rsid w:val="008C7574"/>
    <w:rsid w:val="008D015E"/>
    <w:rsid w:val="008D02A4"/>
    <w:rsid w:val="008D0E2E"/>
    <w:rsid w:val="008D1DB1"/>
    <w:rsid w:val="008D56E0"/>
    <w:rsid w:val="008D6D1E"/>
    <w:rsid w:val="008D7113"/>
    <w:rsid w:val="008D78A1"/>
    <w:rsid w:val="008D78E5"/>
    <w:rsid w:val="008E36F9"/>
    <w:rsid w:val="008E38BA"/>
    <w:rsid w:val="008E4DFE"/>
    <w:rsid w:val="008E6616"/>
    <w:rsid w:val="008E74E4"/>
    <w:rsid w:val="008F03EC"/>
    <w:rsid w:val="008F1068"/>
    <w:rsid w:val="008F1F46"/>
    <w:rsid w:val="008F2573"/>
    <w:rsid w:val="008F4FCD"/>
    <w:rsid w:val="008F5D58"/>
    <w:rsid w:val="008F65EC"/>
    <w:rsid w:val="008F715D"/>
    <w:rsid w:val="00901772"/>
    <w:rsid w:val="00903334"/>
    <w:rsid w:val="00903B52"/>
    <w:rsid w:val="009043FF"/>
    <w:rsid w:val="00904CD4"/>
    <w:rsid w:val="00904D24"/>
    <w:rsid w:val="00905147"/>
    <w:rsid w:val="00907217"/>
    <w:rsid w:val="009074DE"/>
    <w:rsid w:val="00911606"/>
    <w:rsid w:val="009116D3"/>
    <w:rsid w:val="00911D4E"/>
    <w:rsid w:val="009127AC"/>
    <w:rsid w:val="009139B9"/>
    <w:rsid w:val="00914235"/>
    <w:rsid w:val="0091454D"/>
    <w:rsid w:val="009170EB"/>
    <w:rsid w:val="00917BD4"/>
    <w:rsid w:val="00917D74"/>
    <w:rsid w:val="009209BF"/>
    <w:rsid w:val="00920CA5"/>
    <w:rsid w:val="00921896"/>
    <w:rsid w:val="00921E7C"/>
    <w:rsid w:val="00923DFA"/>
    <w:rsid w:val="00925078"/>
    <w:rsid w:val="00925A39"/>
    <w:rsid w:val="00925DDE"/>
    <w:rsid w:val="009276B3"/>
    <w:rsid w:val="00930618"/>
    <w:rsid w:val="00931303"/>
    <w:rsid w:val="0093144B"/>
    <w:rsid w:val="00937E92"/>
    <w:rsid w:val="00940295"/>
    <w:rsid w:val="00940648"/>
    <w:rsid w:val="00941400"/>
    <w:rsid w:val="00941526"/>
    <w:rsid w:val="009418BB"/>
    <w:rsid w:val="00941E0B"/>
    <w:rsid w:val="009424E2"/>
    <w:rsid w:val="0094331E"/>
    <w:rsid w:val="009448CD"/>
    <w:rsid w:val="009455F6"/>
    <w:rsid w:val="00946D33"/>
    <w:rsid w:val="00952BF7"/>
    <w:rsid w:val="00952E95"/>
    <w:rsid w:val="00953137"/>
    <w:rsid w:val="00955315"/>
    <w:rsid w:val="0096075A"/>
    <w:rsid w:val="009611EA"/>
    <w:rsid w:val="0096257B"/>
    <w:rsid w:val="00963C3E"/>
    <w:rsid w:val="009643CD"/>
    <w:rsid w:val="00964680"/>
    <w:rsid w:val="009650C8"/>
    <w:rsid w:val="00965DB2"/>
    <w:rsid w:val="00966076"/>
    <w:rsid w:val="00966082"/>
    <w:rsid w:val="00966592"/>
    <w:rsid w:val="00967FE8"/>
    <w:rsid w:val="00971407"/>
    <w:rsid w:val="00971D5C"/>
    <w:rsid w:val="00971ED2"/>
    <w:rsid w:val="00972082"/>
    <w:rsid w:val="00972727"/>
    <w:rsid w:val="0097283A"/>
    <w:rsid w:val="00973345"/>
    <w:rsid w:val="009767D1"/>
    <w:rsid w:val="009767D5"/>
    <w:rsid w:val="00976EA9"/>
    <w:rsid w:val="00980475"/>
    <w:rsid w:val="00984AB9"/>
    <w:rsid w:val="0098511B"/>
    <w:rsid w:val="009854FB"/>
    <w:rsid w:val="00986916"/>
    <w:rsid w:val="009913CF"/>
    <w:rsid w:val="009915D4"/>
    <w:rsid w:val="00991E5E"/>
    <w:rsid w:val="00991F87"/>
    <w:rsid w:val="00991FE9"/>
    <w:rsid w:val="00993655"/>
    <w:rsid w:val="009941B4"/>
    <w:rsid w:val="00994FC3"/>
    <w:rsid w:val="009952E4"/>
    <w:rsid w:val="0099589F"/>
    <w:rsid w:val="00995903"/>
    <w:rsid w:val="009961DC"/>
    <w:rsid w:val="0099641A"/>
    <w:rsid w:val="00996737"/>
    <w:rsid w:val="00997971"/>
    <w:rsid w:val="009A01E5"/>
    <w:rsid w:val="009A0492"/>
    <w:rsid w:val="009A0892"/>
    <w:rsid w:val="009A08A6"/>
    <w:rsid w:val="009A261F"/>
    <w:rsid w:val="009A5D1A"/>
    <w:rsid w:val="009A67C7"/>
    <w:rsid w:val="009B03F1"/>
    <w:rsid w:val="009B1EF8"/>
    <w:rsid w:val="009B4354"/>
    <w:rsid w:val="009B4560"/>
    <w:rsid w:val="009B4A21"/>
    <w:rsid w:val="009B5764"/>
    <w:rsid w:val="009B643E"/>
    <w:rsid w:val="009B6653"/>
    <w:rsid w:val="009B7364"/>
    <w:rsid w:val="009C5400"/>
    <w:rsid w:val="009C61E3"/>
    <w:rsid w:val="009C732A"/>
    <w:rsid w:val="009D0909"/>
    <w:rsid w:val="009D169C"/>
    <w:rsid w:val="009D2D8E"/>
    <w:rsid w:val="009D30BF"/>
    <w:rsid w:val="009D32AB"/>
    <w:rsid w:val="009D3338"/>
    <w:rsid w:val="009D52E3"/>
    <w:rsid w:val="009D5D25"/>
    <w:rsid w:val="009D6053"/>
    <w:rsid w:val="009D67D5"/>
    <w:rsid w:val="009D6B8E"/>
    <w:rsid w:val="009E1132"/>
    <w:rsid w:val="009E2124"/>
    <w:rsid w:val="009E241F"/>
    <w:rsid w:val="009E2A6D"/>
    <w:rsid w:val="009E308F"/>
    <w:rsid w:val="009E4EFD"/>
    <w:rsid w:val="009E51F6"/>
    <w:rsid w:val="009E6C55"/>
    <w:rsid w:val="009F1E47"/>
    <w:rsid w:val="009F54CB"/>
    <w:rsid w:val="00A00939"/>
    <w:rsid w:val="00A00B43"/>
    <w:rsid w:val="00A00CCF"/>
    <w:rsid w:val="00A00D01"/>
    <w:rsid w:val="00A01C21"/>
    <w:rsid w:val="00A0271E"/>
    <w:rsid w:val="00A02A13"/>
    <w:rsid w:val="00A0419A"/>
    <w:rsid w:val="00A04995"/>
    <w:rsid w:val="00A0561E"/>
    <w:rsid w:val="00A06398"/>
    <w:rsid w:val="00A063D5"/>
    <w:rsid w:val="00A0721B"/>
    <w:rsid w:val="00A07785"/>
    <w:rsid w:val="00A07F74"/>
    <w:rsid w:val="00A1064D"/>
    <w:rsid w:val="00A10D60"/>
    <w:rsid w:val="00A11668"/>
    <w:rsid w:val="00A130AF"/>
    <w:rsid w:val="00A132FD"/>
    <w:rsid w:val="00A14308"/>
    <w:rsid w:val="00A14464"/>
    <w:rsid w:val="00A150A0"/>
    <w:rsid w:val="00A20998"/>
    <w:rsid w:val="00A20E72"/>
    <w:rsid w:val="00A2108A"/>
    <w:rsid w:val="00A21C9A"/>
    <w:rsid w:val="00A22AB9"/>
    <w:rsid w:val="00A22C36"/>
    <w:rsid w:val="00A23180"/>
    <w:rsid w:val="00A235B8"/>
    <w:rsid w:val="00A251F9"/>
    <w:rsid w:val="00A27560"/>
    <w:rsid w:val="00A27870"/>
    <w:rsid w:val="00A326FF"/>
    <w:rsid w:val="00A3672F"/>
    <w:rsid w:val="00A40431"/>
    <w:rsid w:val="00A42138"/>
    <w:rsid w:val="00A422B0"/>
    <w:rsid w:val="00A43334"/>
    <w:rsid w:val="00A43BB8"/>
    <w:rsid w:val="00A46160"/>
    <w:rsid w:val="00A46AA7"/>
    <w:rsid w:val="00A5007A"/>
    <w:rsid w:val="00A51894"/>
    <w:rsid w:val="00A5329B"/>
    <w:rsid w:val="00A536D2"/>
    <w:rsid w:val="00A543B0"/>
    <w:rsid w:val="00A54C63"/>
    <w:rsid w:val="00A54DE1"/>
    <w:rsid w:val="00A54F26"/>
    <w:rsid w:val="00A55153"/>
    <w:rsid w:val="00A55D91"/>
    <w:rsid w:val="00A55F68"/>
    <w:rsid w:val="00A567D0"/>
    <w:rsid w:val="00A56EAC"/>
    <w:rsid w:val="00A57853"/>
    <w:rsid w:val="00A579D3"/>
    <w:rsid w:val="00A6090F"/>
    <w:rsid w:val="00A60B6C"/>
    <w:rsid w:val="00A613E8"/>
    <w:rsid w:val="00A6289F"/>
    <w:rsid w:val="00A63E2C"/>
    <w:rsid w:val="00A64894"/>
    <w:rsid w:val="00A64D57"/>
    <w:rsid w:val="00A65F27"/>
    <w:rsid w:val="00A668F8"/>
    <w:rsid w:val="00A66C56"/>
    <w:rsid w:val="00A67A57"/>
    <w:rsid w:val="00A67FB7"/>
    <w:rsid w:val="00A717F8"/>
    <w:rsid w:val="00A729AA"/>
    <w:rsid w:val="00A7351A"/>
    <w:rsid w:val="00A749BD"/>
    <w:rsid w:val="00A74DB7"/>
    <w:rsid w:val="00A76389"/>
    <w:rsid w:val="00A80441"/>
    <w:rsid w:val="00A80CEB"/>
    <w:rsid w:val="00A8378E"/>
    <w:rsid w:val="00A85149"/>
    <w:rsid w:val="00A86756"/>
    <w:rsid w:val="00A86A67"/>
    <w:rsid w:val="00A87FF6"/>
    <w:rsid w:val="00A91283"/>
    <w:rsid w:val="00A91CE8"/>
    <w:rsid w:val="00A92531"/>
    <w:rsid w:val="00A9255C"/>
    <w:rsid w:val="00A9270E"/>
    <w:rsid w:val="00A929CA"/>
    <w:rsid w:val="00A92F70"/>
    <w:rsid w:val="00A94AC5"/>
    <w:rsid w:val="00A95AE6"/>
    <w:rsid w:val="00A973E6"/>
    <w:rsid w:val="00A97F6B"/>
    <w:rsid w:val="00AA168C"/>
    <w:rsid w:val="00AA23B3"/>
    <w:rsid w:val="00AA3B40"/>
    <w:rsid w:val="00AA3D13"/>
    <w:rsid w:val="00AA3E2E"/>
    <w:rsid w:val="00AA497D"/>
    <w:rsid w:val="00AA545D"/>
    <w:rsid w:val="00AA7ED7"/>
    <w:rsid w:val="00AB0974"/>
    <w:rsid w:val="00AB2751"/>
    <w:rsid w:val="00AB2780"/>
    <w:rsid w:val="00AB32EC"/>
    <w:rsid w:val="00AB4A6C"/>
    <w:rsid w:val="00AB5A00"/>
    <w:rsid w:val="00AB5AB8"/>
    <w:rsid w:val="00AB6031"/>
    <w:rsid w:val="00AB691C"/>
    <w:rsid w:val="00AB7150"/>
    <w:rsid w:val="00AB7949"/>
    <w:rsid w:val="00AC0771"/>
    <w:rsid w:val="00AC1F7C"/>
    <w:rsid w:val="00AC22BE"/>
    <w:rsid w:val="00AC26A8"/>
    <w:rsid w:val="00AC3036"/>
    <w:rsid w:val="00AC536B"/>
    <w:rsid w:val="00AC5B0A"/>
    <w:rsid w:val="00AC7A1F"/>
    <w:rsid w:val="00AD1A90"/>
    <w:rsid w:val="00AD1BAE"/>
    <w:rsid w:val="00AD4799"/>
    <w:rsid w:val="00AD60CF"/>
    <w:rsid w:val="00AD612D"/>
    <w:rsid w:val="00AD6E68"/>
    <w:rsid w:val="00AE02D8"/>
    <w:rsid w:val="00AE43D6"/>
    <w:rsid w:val="00AE4E5E"/>
    <w:rsid w:val="00AE5270"/>
    <w:rsid w:val="00AE53D1"/>
    <w:rsid w:val="00AE6658"/>
    <w:rsid w:val="00AE71E5"/>
    <w:rsid w:val="00AF0220"/>
    <w:rsid w:val="00AF1225"/>
    <w:rsid w:val="00AF1A45"/>
    <w:rsid w:val="00AF1F4C"/>
    <w:rsid w:val="00AF23F8"/>
    <w:rsid w:val="00AF277B"/>
    <w:rsid w:val="00AF320A"/>
    <w:rsid w:val="00AF35C7"/>
    <w:rsid w:val="00AF4728"/>
    <w:rsid w:val="00AF65AA"/>
    <w:rsid w:val="00AF6971"/>
    <w:rsid w:val="00B009CA"/>
    <w:rsid w:val="00B01434"/>
    <w:rsid w:val="00B0373F"/>
    <w:rsid w:val="00B0402F"/>
    <w:rsid w:val="00B04E5D"/>
    <w:rsid w:val="00B04FA9"/>
    <w:rsid w:val="00B06D64"/>
    <w:rsid w:val="00B07157"/>
    <w:rsid w:val="00B107F5"/>
    <w:rsid w:val="00B1101E"/>
    <w:rsid w:val="00B11F2C"/>
    <w:rsid w:val="00B1342A"/>
    <w:rsid w:val="00B1427C"/>
    <w:rsid w:val="00B14A1D"/>
    <w:rsid w:val="00B15325"/>
    <w:rsid w:val="00B164AA"/>
    <w:rsid w:val="00B16548"/>
    <w:rsid w:val="00B16B0F"/>
    <w:rsid w:val="00B175F2"/>
    <w:rsid w:val="00B17AD6"/>
    <w:rsid w:val="00B20E2C"/>
    <w:rsid w:val="00B21272"/>
    <w:rsid w:val="00B21944"/>
    <w:rsid w:val="00B227BD"/>
    <w:rsid w:val="00B23DC3"/>
    <w:rsid w:val="00B25812"/>
    <w:rsid w:val="00B26E2F"/>
    <w:rsid w:val="00B274C9"/>
    <w:rsid w:val="00B27F9B"/>
    <w:rsid w:val="00B302EC"/>
    <w:rsid w:val="00B3119F"/>
    <w:rsid w:val="00B31BA9"/>
    <w:rsid w:val="00B32744"/>
    <w:rsid w:val="00B33BD0"/>
    <w:rsid w:val="00B34153"/>
    <w:rsid w:val="00B3481B"/>
    <w:rsid w:val="00B34C33"/>
    <w:rsid w:val="00B35240"/>
    <w:rsid w:val="00B35A3C"/>
    <w:rsid w:val="00B36152"/>
    <w:rsid w:val="00B37224"/>
    <w:rsid w:val="00B37D82"/>
    <w:rsid w:val="00B421FA"/>
    <w:rsid w:val="00B42219"/>
    <w:rsid w:val="00B42BFC"/>
    <w:rsid w:val="00B457AE"/>
    <w:rsid w:val="00B4606F"/>
    <w:rsid w:val="00B46FE6"/>
    <w:rsid w:val="00B512FF"/>
    <w:rsid w:val="00B542BA"/>
    <w:rsid w:val="00B55A34"/>
    <w:rsid w:val="00B56757"/>
    <w:rsid w:val="00B5695A"/>
    <w:rsid w:val="00B570B6"/>
    <w:rsid w:val="00B57426"/>
    <w:rsid w:val="00B602AD"/>
    <w:rsid w:val="00B60D33"/>
    <w:rsid w:val="00B61D96"/>
    <w:rsid w:val="00B623ED"/>
    <w:rsid w:val="00B6357B"/>
    <w:rsid w:val="00B63C02"/>
    <w:rsid w:val="00B64149"/>
    <w:rsid w:val="00B64697"/>
    <w:rsid w:val="00B64750"/>
    <w:rsid w:val="00B647C5"/>
    <w:rsid w:val="00B65753"/>
    <w:rsid w:val="00B700A7"/>
    <w:rsid w:val="00B70EC2"/>
    <w:rsid w:val="00B71944"/>
    <w:rsid w:val="00B727C1"/>
    <w:rsid w:val="00B72CFC"/>
    <w:rsid w:val="00B73715"/>
    <w:rsid w:val="00B7504F"/>
    <w:rsid w:val="00B75325"/>
    <w:rsid w:val="00B75DA3"/>
    <w:rsid w:val="00B77234"/>
    <w:rsid w:val="00B812D2"/>
    <w:rsid w:val="00B81F59"/>
    <w:rsid w:val="00B821EE"/>
    <w:rsid w:val="00B843C7"/>
    <w:rsid w:val="00B87E34"/>
    <w:rsid w:val="00B90B61"/>
    <w:rsid w:val="00B92051"/>
    <w:rsid w:val="00B949D5"/>
    <w:rsid w:val="00B958A1"/>
    <w:rsid w:val="00B960F1"/>
    <w:rsid w:val="00B96521"/>
    <w:rsid w:val="00B967B4"/>
    <w:rsid w:val="00B969EE"/>
    <w:rsid w:val="00B974A2"/>
    <w:rsid w:val="00B97B4C"/>
    <w:rsid w:val="00B97BF5"/>
    <w:rsid w:val="00BA0800"/>
    <w:rsid w:val="00BA08CD"/>
    <w:rsid w:val="00BA14B9"/>
    <w:rsid w:val="00BA28B1"/>
    <w:rsid w:val="00BA2B33"/>
    <w:rsid w:val="00BA31CB"/>
    <w:rsid w:val="00BA3F2C"/>
    <w:rsid w:val="00BA5042"/>
    <w:rsid w:val="00BA54C0"/>
    <w:rsid w:val="00BA6D7D"/>
    <w:rsid w:val="00BB1157"/>
    <w:rsid w:val="00BB1471"/>
    <w:rsid w:val="00BB1562"/>
    <w:rsid w:val="00BB2FCB"/>
    <w:rsid w:val="00BB4345"/>
    <w:rsid w:val="00BB52AE"/>
    <w:rsid w:val="00BB54A2"/>
    <w:rsid w:val="00BB56B5"/>
    <w:rsid w:val="00BC04E5"/>
    <w:rsid w:val="00BC0A41"/>
    <w:rsid w:val="00BC28EA"/>
    <w:rsid w:val="00BC2934"/>
    <w:rsid w:val="00BC2C05"/>
    <w:rsid w:val="00BC3890"/>
    <w:rsid w:val="00BC3A96"/>
    <w:rsid w:val="00BC6F83"/>
    <w:rsid w:val="00BD2668"/>
    <w:rsid w:val="00BD296F"/>
    <w:rsid w:val="00BD2A6A"/>
    <w:rsid w:val="00BD374D"/>
    <w:rsid w:val="00BD3B44"/>
    <w:rsid w:val="00BD4252"/>
    <w:rsid w:val="00BD58F3"/>
    <w:rsid w:val="00BD605F"/>
    <w:rsid w:val="00BD7452"/>
    <w:rsid w:val="00BE0700"/>
    <w:rsid w:val="00BE2DEF"/>
    <w:rsid w:val="00BE3361"/>
    <w:rsid w:val="00BE4D15"/>
    <w:rsid w:val="00BE71BD"/>
    <w:rsid w:val="00BF03E1"/>
    <w:rsid w:val="00BF0B74"/>
    <w:rsid w:val="00BF190C"/>
    <w:rsid w:val="00BF20BE"/>
    <w:rsid w:val="00BF22FF"/>
    <w:rsid w:val="00BF5CBA"/>
    <w:rsid w:val="00BF5D17"/>
    <w:rsid w:val="00BF7F83"/>
    <w:rsid w:val="00C0004E"/>
    <w:rsid w:val="00C002DB"/>
    <w:rsid w:val="00C00E05"/>
    <w:rsid w:val="00C00F53"/>
    <w:rsid w:val="00C01675"/>
    <w:rsid w:val="00C017BC"/>
    <w:rsid w:val="00C01C26"/>
    <w:rsid w:val="00C03D0D"/>
    <w:rsid w:val="00C03D12"/>
    <w:rsid w:val="00C053EE"/>
    <w:rsid w:val="00C06343"/>
    <w:rsid w:val="00C077C4"/>
    <w:rsid w:val="00C07851"/>
    <w:rsid w:val="00C141C7"/>
    <w:rsid w:val="00C15346"/>
    <w:rsid w:val="00C216B8"/>
    <w:rsid w:val="00C25226"/>
    <w:rsid w:val="00C2585C"/>
    <w:rsid w:val="00C26873"/>
    <w:rsid w:val="00C278E9"/>
    <w:rsid w:val="00C3138C"/>
    <w:rsid w:val="00C31E2A"/>
    <w:rsid w:val="00C3228B"/>
    <w:rsid w:val="00C32638"/>
    <w:rsid w:val="00C3279A"/>
    <w:rsid w:val="00C34564"/>
    <w:rsid w:val="00C34707"/>
    <w:rsid w:val="00C3684E"/>
    <w:rsid w:val="00C40224"/>
    <w:rsid w:val="00C4055F"/>
    <w:rsid w:val="00C40DA8"/>
    <w:rsid w:val="00C43C25"/>
    <w:rsid w:val="00C44558"/>
    <w:rsid w:val="00C44755"/>
    <w:rsid w:val="00C465A0"/>
    <w:rsid w:val="00C50D0E"/>
    <w:rsid w:val="00C50D5A"/>
    <w:rsid w:val="00C51DB9"/>
    <w:rsid w:val="00C526C5"/>
    <w:rsid w:val="00C52D2C"/>
    <w:rsid w:val="00C52E2B"/>
    <w:rsid w:val="00C547A7"/>
    <w:rsid w:val="00C55347"/>
    <w:rsid w:val="00C55C2B"/>
    <w:rsid w:val="00C56D20"/>
    <w:rsid w:val="00C60E1A"/>
    <w:rsid w:val="00C61148"/>
    <w:rsid w:val="00C61968"/>
    <w:rsid w:val="00C628C2"/>
    <w:rsid w:val="00C67A92"/>
    <w:rsid w:val="00C717D8"/>
    <w:rsid w:val="00C718C5"/>
    <w:rsid w:val="00C71CF6"/>
    <w:rsid w:val="00C72F09"/>
    <w:rsid w:val="00C74395"/>
    <w:rsid w:val="00C76556"/>
    <w:rsid w:val="00C80118"/>
    <w:rsid w:val="00C804F3"/>
    <w:rsid w:val="00C82D5F"/>
    <w:rsid w:val="00C833C5"/>
    <w:rsid w:val="00C83A89"/>
    <w:rsid w:val="00C869FD"/>
    <w:rsid w:val="00C90BEA"/>
    <w:rsid w:val="00C91F98"/>
    <w:rsid w:val="00C948BA"/>
    <w:rsid w:val="00C94A14"/>
    <w:rsid w:val="00C955D9"/>
    <w:rsid w:val="00C95EE7"/>
    <w:rsid w:val="00C96D74"/>
    <w:rsid w:val="00C97B0B"/>
    <w:rsid w:val="00CA11B8"/>
    <w:rsid w:val="00CA1E0C"/>
    <w:rsid w:val="00CA37C6"/>
    <w:rsid w:val="00CA3B3D"/>
    <w:rsid w:val="00CA3B7C"/>
    <w:rsid w:val="00CA44CB"/>
    <w:rsid w:val="00CA70A5"/>
    <w:rsid w:val="00CA7992"/>
    <w:rsid w:val="00CB10DB"/>
    <w:rsid w:val="00CB1B3F"/>
    <w:rsid w:val="00CB21F2"/>
    <w:rsid w:val="00CB33A7"/>
    <w:rsid w:val="00CB3B8B"/>
    <w:rsid w:val="00CB4D42"/>
    <w:rsid w:val="00CB5608"/>
    <w:rsid w:val="00CB6EFC"/>
    <w:rsid w:val="00CC02AF"/>
    <w:rsid w:val="00CC1A0A"/>
    <w:rsid w:val="00CC28D1"/>
    <w:rsid w:val="00CC2A47"/>
    <w:rsid w:val="00CC2EFD"/>
    <w:rsid w:val="00CC3AA0"/>
    <w:rsid w:val="00CC5810"/>
    <w:rsid w:val="00CC78C6"/>
    <w:rsid w:val="00CD0907"/>
    <w:rsid w:val="00CD0F1D"/>
    <w:rsid w:val="00CD18F7"/>
    <w:rsid w:val="00CD1B60"/>
    <w:rsid w:val="00CD36BA"/>
    <w:rsid w:val="00CD3C4C"/>
    <w:rsid w:val="00CD59DC"/>
    <w:rsid w:val="00CD59F6"/>
    <w:rsid w:val="00CD63A4"/>
    <w:rsid w:val="00CD747D"/>
    <w:rsid w:val="00CE1BEC"/>
    <w:rsid w:val="00CE3146"/>
    <w:rsid w:val="00CF0163"/>
    <w:rsid w:val="00CF4D26"/>
    <w:rsid w:val="00CF6090"/>
    <w:rsid w:val="00CF7FE3"/>
    <w:rsid w:val="00D00324"/>
    <w:rsid w:val="00D00AAD"/>
    <w:rsid w:val="00D00D56"/>
    <w:rsid w:val="00D04B99"/>
    <w:rsid w:val="00D04C78"/>
    <w:rsid w:val="00D06EF1"/>
    <w:rsid w:val="00D073D1"/>
    <w:rsid w:val="00D07E40"/>
    <w:rsid w:val="00D1036F"/>
    <w:rsid w:val="00D13730"/>
    <w:rsid w:val="00D13AF0"/>
    <w:rsid w:val="00D13BD1"/>
    <w:rsid w:val="00D202B3"/>
    <w:rsid w:val="00D234D0"/>
    <w:rsid w:val="00D252B4"/>
    <w:rsid w:val="00D26216"/>
    <w:rsid w:val="00D26855"/>
    <w:rsid w:val="00D2685D"/>
    <w:rsid w:val="00D26ACF"/>
    <w:rsid w:val="00D30996"/>
    <w:rsid w:val="00D31796"/>
    <w:rsid w:val="00D317B4"/>
    <w:rsid w:val="00D34DA6"/>
    <w:rsid w:val="00D35436"/>
    <w:rsid w:val="00D37EFF"/>
    <w:rsid w:val="00D37FA7"/>
    <w:rsid w:val="00D40CAB"/>
    <w:rsid w:val="00D40DF4"/>
    <w:rsid w:val="00D42542"/>
    <w:rsid w:val="00D4391A"/>
    <w:rsid w:val="00D43AA9"/>
    <w:rsid w:val="00D43DA9"/>
    <w:rsid w:val="00D44512"/>
    <w:rsid w:val="00D4553C"/>
    <w:rsid w:val="00D4602F"/>
    <w:rsid w:val="00D47093"/>
    <w:rsid w:val="00D50556"/>
    <w:rsid w:val="00D509ED"/>
    <w:rsid w:val="00D51825"/>
    <w:rsid w:val="00D52097"/>
    <w:rsid w:val="00D524C8"/>
    <w:rsid w:val="00D5377C"/>
    <w:rsid w:val="00D53CE0"/>
    <w:rsid w:val="00D53CE5"/>
    <w:rsid w:val="00D548E2"/>
    <w:rsid w:val="00D54BFC"/>
    <w:rsid w:val="00D55DC3"/>
    <w:rsid w:val="00D5689B"/>
    <w:rsid w:val="00D60A8D"/>
    <w:rsid w:val="00D622C1"/>
    <w:rsid w:val="00D62D47"/>
    <w:rsid w:val="00D62FCD"/>
    <w:rsid w:val="00D63440"/>
    <w:rsid w:val="00D63F4E"/>
    <w:rsid w:val="00D6467D"/>
    <w:rsid w:val="00D66911"/>
    <w:rsid w:val="00D66FFC"/>
    <w:rsid w:val="00D71E3E"/>
    <w:rsid w:val="00D7478B"/>
    <w:rsid w:val="00D758DE"/>
    <w:rsid w:val="00D7630D"/>
    <w:rsid w:val="00D777F5"/>
    <w:rsid w:val="00D80C30"/>
    <w:rsid w:val="00D81945"/>
    <w:rsid w:val="00D826EA"/>
    <w:rsid w:val="00D847BF"/>
    <w:rsid w:val="00D865A6"/>
    <w:rsid w:val="00D870ED"/>
    <w:rsid w:val="00D909B6"/>
    <w:rsid w:val="00D913C1"/>
    <w:rsid w:val="00D91581"/>
    <w:rsid w:val="00D9312D"/>
    <w:rsid w:val="00D93660"/>
    <w:rsid w:val="00D94066"/>
    <w:rsid w:val="00D94551"/>
    <w:rsid w:val="00D964FD"/>
    <w:rsid w:val="00D97247"/>
    <w:rsid w:val="00D973DD"/>
    <w:rsid w:val="00DA0F1C"/>
    <w:rsid w:val="00DA1331"/>
    <w:rsid w:val="00DA20A6"/>
    <w:rsid w:val="00DA321C"/>
    <w:rsid w:val="00DA321E"/>
    <w:rsid w:val="00DA3677"/>
    <w:rsid w:val="00DA6CE5"/>
    <w:rsid w:val="00DA71A2"/>
    <w:rsid w:val="00DB1460"/>
    <w:rsid w:val="00DB28C6"/>
    <w:rsid w:val="00DB3383"/>
    <w:rsid w:val="00DB37ED"/>
    <w:rsid w:val="00DB3E36"/>
    <w:rsid w:val="00DB40C3"/>
    <w:rsid w:val="00DB6646"/>
    <w:rsid w:val="00DB6E3B"/>
    <w:rsid w:val="00DC0EB5"/>
    <w:rsid w:val="00DC281A"/>
    <w:rsid w:val="00DC295D"/>
    <w:rsid w:val="00DC3001"/>
    <w:rsid w:val="00DC394D"/>
    <w:rsid w:val="00DC4CDB"/>
    <w:rsid w:val="00DC5549"/>
    <w:rsid w:val="00DC5FFB"/>
    <w:rsid w:val="00DC605F"/>
    <w:rsid w:val="00DC64AE"/>
    <w:rsid w:val="00DC719D"/>
    <w:rsid w:val="00DD262D"/>
    <w:rsid w:val="00DD57BD"/>
    <w:rsid w:val="00DD5A51"/>
    <w:rsid w:val="00DD6075"/>
    <w:rsid w:val="00DD61D9"/>
    <w:rsid w:val="00DD6E95"/>
    <w:rsid w:val="00DE1515"/>
    <w:rsid w:val="00DE34C4"/>
    <w:rsid w:val="00DE43BD"/>
    <w:rsid w:val="00DE5564"/>
    <w:rsid w:val="00DE5B18"/>
    <w:rsid w:val="00DE624D"/>
    <w:rsid w:val="00DE76BF"/>
    <w:rsid w:val="00DF0BAA"/>
    <w:rsid w:val="00DF0CD2"/>
    <w:rsid w:val="00DF0F58"/>
    <w:rsid w:val="00DF202C"/>
    <w:rsid w:val="00DF2063"/>
    <w:rsid w:val="00DF367A"/>
    <w:rsid w:val="00DF3F32"/>
    <w:rsid w:val="00DF4B9A"/>
    <w:rsid w:val="00DF654F"/>
    <w:rsid w:val="00DF709F"/>
    <w:rsid w:val="00E00792"/>
    <w:rsid w:val="00E00956"/>
    <w:rsid w:val="00E011D2"/>
    <w:rsid w:val="00E012C0"/>
    <w:rsid w:val="00E01BB7"/>
    <w:rsid w:val="00E02AE2"/>
    <w:rsid w:val="00E02ECB"/>
    <w:rsid w:val="00E0306A"/>
    <w:rsid w:val="00E04C90"/>
    <w:rsid w:val="00E05826"/>
    <w:rsid w:val="00E10181"/>
    <w:rsid w:val="00E14424"/>
    <w:rsid w:val="00E155AF"/>
    <w:rsid w:val="00E164B8"/>
    <w:rsid w:val="00E1692F"/>
    <w:rsid w:val="00E22DC2"/>
    <w:rsid w:val="00E24016"/>
    <w:rsid w:val="00E25E62"/>
    <w:rsid w:val="00E3119F"/>
    <w:rsid w:val="00E31A92"/>
    <w:rsid w:val="00E32221"/>
    <w:rsid w:val="00E32BF1"/>
    <w:rsid w:val="00E33D79"/>
    <w:rsid w:val="00E346B1"/>
    <w:rsid w:val="00E35EEF"/>
    <w:rsid w:val="00E36517"/>
    <w:rsid w:val="00E36594"/>
    <w:rsid w:val="00E367AA"/>
    <w:rsid w:val="00E374B1"/>
    <w:rsid w:val="00E407CB"/>
    <w:rsid w:val="00E415CC"/>
    <w:rsid w:val="00E41767"/>
    <w:rsid w:val="00E418CF"/>
    <w:rsid w:val="00E4383A"/>
    <w:rsid w:val="00E44711"/>
    <w:rsid w:val="00E44E44"/>
    <w:rsid w:val="00E45062"/>
    <w:rsid w:val="00E50EF9"/>
    <w:rsid w:val="00E51B3B"/>
    <w:rsid w:val="00E530BF"/>
    <w:rsid w:val="00E53463"/>
    <w:rsid w:val="00E53AFA"/>
    <w:rsid w:val="00E54E86"/>
    <w:rsid w:val="00E561E5"/>
    <w:rsid w:val="00E56B78"/>
    <w:rsid w:val="00E60B26"/>
    <w:rsid w:val="00E614AC"/>
    <w:rsid w:val="00E61DFD"/>
    <w:rsid w:val="00E61FB9"/>
    <w:rsid w:val="00E6307E"/>
    <w:rsid w:val="00E6326C"/>
    <w:rsid w:val="00E6372A"/>
    <w:rsid w:val="00E63CC1"/>
    <w:rsid w:val="00E66549"/>
    <w:rsid w:val="00E669B2"/>
    <w:rsid w:val="00E67638"/>
    <w:rsid w:val="00E709E2"/>
    <w:rsid w:val="00E720C6"/>
    <w:rsid w:val="00E72F8E"/>
    <w:rsid w:val="00E73C64"/>
    <w:rsid w:val="00E73E02"/>
    <w:rsid w:val="00E743C9"/>
    <w:rsid w:val="00E74F0F"/>
    <w:rsid w:val="00E75A19"/>
    <w:rsid w:val="00E77491"/>
    <w:rsid w:val="00E81094"/>
    <w:rsid w:val="00E82057"/>
    <w:rsid w:val="00E82439"/>
    <w:rsid w:val="00E824C1"/>
    <w:rsid w:val="00E83D70"/>
    <w:rsid w:val="00E83F16"/>
    <w:rsid w:val="00E86053"/>
    <w:rsid w:val="00E864C0"/>
    <w:rsid w:val="00E86954"/>
    <w:rsid w:val="00E8738B"/>
    <w:rsid w:val="00E9196A"/>
    <w:rsid w:val="00E929A2"/>
    <w:rsid w:val="00E943C0"/>
    <w:rsid w:val="00E95E31"/>
    <w:rsid w:val="00E97BAA"/>
    <w:rsid w:val="00EA0331"/>
    <w:rsid w:val="00EA25C2"/>
    <w:rsid w:val="00EA47AD"/>
    <w:rsid w:val="00EA48FA"/>
    <w:rsid w:val="00EA7014"/>
    <w:rsid w:val="00EB055E"/>
    <w:rsid w:val="00EB0A29"/>
    <w:rsid w:val="00EB3790"/>
    <w:rsid w:val="00EB5D66"/>
    <w:rsid w:val="00EB65A4"/>
    <w:rsid w:val="00EB6972"/>
    <w:rsid w:val="00EB6B7F"/>
    <w:rsid w:val="00EB776B"/>
    <w:rsid w:val="00EC177B"/>
    <w:rsid w:val="00EC276C"/>
    <w:rsid w:val="00EC2D22"/>
    <w:rsid w:val="00EC36CA"/>
    <w:rsid w:val="00EC4967"/>
    <w:rsid w:val="00EC5295"/>
    <w:rsid w:val="00EC5E18"/>
    <w:rsid w:val="00EC61B8"/>
    <w:rsid w:val="00ED0121"/>
    <w:rsid w:val="00ED1704"/>
    <w:rsid w:val="00ED238A"/>
    <w:rsid w:val="00ED2A20"/>
    <w:rsid w:val="00ED3FD7"/>
    <w:rsid w:val="00ED4433"/>
    <w:rsid w:val="00ED610C"/>
    <w:rsid w:val="00ED6358"/>
    <w:rsid w:val="00EE0546"/>
    <w:rsid w:val="00EE0895"/>
    <w:rsid w:val="00EE2073"/>
    <w:rsid w:val="00EE29EA"/>
    <w:rsid w:val="00EE33E1"/>
    <w:rsid w:val="00EE3AB1"/>
    <w:rsid w:val="00EE3F32"/>
    <w:rsid w:val="00EE6526"/>
    <w:rsid w:val="00EE65B5"/>
    <w:rsid w:val="00EE71D8"/>
    <w:rsid w:val="00EF0E07"/>
    <w:rsid w:val="00EF12EF"/>
    <w:rsid w:val="00EF1779"/>
    <w:rsid w:val="00EF4289"/>
    <w:rsid w:val="00EF4C76"/>
    <w:rsid w:val="00EF57AD"/>
    <w:rsid w:val="00EF6659"/>
    <w:rsid w:val="00EF7ABA"/>
    <w:rsid w:val="00EF7B38"/>
    <w:rsid w:val="00F000DE"/>
    <w:rsid w:val="00F00B1E"/>
    <w:rsid w:val="00F0180D"/>
    <w:rsid w:val="00F023D5"/>
    <w:rsid w:val="00F03732"/>
    <w:rsid w:val="00F04EFF"/>
    <w:rsid w:val="00F059B7"/>
    <w:rsid w:val="00F06A42"/>
    <w:rsid w:val="00F07B4F"/>
    <w:rsid w:val="00F102F4"/>
    <w:rsid w:val="00F10E43"/>
    <w:rsid w:val="00F110F2"/>
    <w:rsid w:val="00F115F6"/>
    <w:rsid w:val="00F124D6"/>
    <w:rsid w:val="00F126F3"/>
    <w:rsid w:val="00F12B11"/>
    <w:rsid w:val="00F1328B"/>
    <w:rsid w:val="00F15527"/>
    <w:rsid w:val="00F16330"/>
    <w:rsid w:val="00F16541"/>
    <w:rsid w:val="00F204E2"/>
    <w:rsid w:val="00F21304"/>
    <w:rsid w:val="00F21381"/>
    <w:rsid w:val="00F224A9"/>
    <w:rsid w:val="00F22624"/>
    <w:rsid w:val="00F2288C"/>
    <w:rsid w:val="00F2331A"/>
    <w:rsid w:val="00F23DEE"/>
    <w:rsid w:val="00F2445E"/>
    <w:rsid w:val="00F24767"/>
    <w:rsid w:val="00F24851"/>
    <w:rsid w:val="00F25091"/>
    <w:rsid w:val="00F2540B"/>
    <w:rsid w:val="00F257DC"/>
    <w:rsid w:val="00F260C2"/>
    <w:rsid w:val="00F3271F"/>
    <w:rsid w:val="00F32EFC"/>
    <w:rsid w:val="00F33919"/>
    <w:rsid w:val="00F33A2E"/>
    <w:rsid w:val="00F35130"/>
    <w:rsid w:val="00F35619"/>
    <w:rsid w:val="00F35B6F"/>
    <w:rsid w:val="00F35D9F"/>
    <w:rsid w:val="00F360CC"/>
    <w:rsid w:val="00F373D3"/>
    <w:rsid w:val="00F4065E"/>
    <w:rsid w:val="00F40D28"/>
    <w:rsid w:val="00F4140C"/>
    <w:rsid w:val="00F42079"/>
    <w:rsid w:val="00F42BB6"/>
    <w:rsid w:val="00F43850"/>
    <w:rsid w:val="00F43F35"/>
    <w:rsid w:val="00F50814"/>
    <w:rsid w:val="00F50A2C"/>
    <w:rsid w:val="00F50D39"/>
    <w:rsid w:val="00F5137E"/>
    <w:rsid w:val="00F5485A"/>
    <w:rsid w:val="00F54AD9"/>
    <w:rsid w:val="00F556BB"/>
    <w:rsid w:val="00F576EC"/>
    <w:rsid w:val="00F57D48"/>
    <w:rsid w:val="00F610EE"/>
    <w:rsid w:val="00F6183D"/>
    <w:rsid w:val="00F62055"/>
    <w:rsid w:val="00F625B2"/>
    <w:rsid w:val="00F6340E"/>
    <w:rsid w:val="00F642AC"/>
    <w:rsid w:val="00F649AE"/>
    <w:rsid w:val="00F64B61"/>
    <w:rsid w:val="00F67922"/>
    <w:rsid w:val="00F67B33"/>
    <w:rsid w:val="00F70280"/>
    <w:rsid w:val="00F7080A"/>
    <w:rsid w:val="00F709EC"/>
    <w:rsid w:val="00F70CDE"/>
    <w:rsid w:val="00F71057"/>
    <w:rsid w:val="00F71158"/>
    <w:rsid w:val="00F73A22"/>
    <w:rsid w:val="00F75AEA"/>
    <w:rsid w:val="00F77A00"/>
    <w:rsid w:val="00F81033"/>
    <w:rsid w:val="00F8138F"/>
    <w:rsid w:val="00F82E52"/>
    <w:rsid w:val="00F83482"/>
    <w:rsid w:val="00F838EB"/>
    <w:rsid w:val="00F839D0"/>
    <w:rsid w:val="00F84C33"/>
    <w:rsid w:val="00F84C76"/>
    <w:rsid w:val="00F85649"/>
    <w:rsid w:val="00F85B09"/>
    <w:rsid w:val="00F85E7A"/>
    <w:rsid w:val="00F87C52"/>
    <w:rsid w:val="00F906C8"/>
    <w:rsid w:val="00F915F6"/>
    <w:rsid w:val="00F91E4D"/>
    <w:rsid w:val="00F92332"/>
    <w:rsid w:val="00F9277F"/>
    <w:rsid w:val="00F92EEB"/>
    <w:rsid w:val="00F9482E"/>
    <w:rsid w:val="00F955A2"/>
    <w:rsid w:val="00F963DA"/>
    <w:rsid w:val="00F967AA"/>
    <w:rsid w:val="00FA1EED"/>
    <w:rsid w:val="00FA279A"/>
    <w:rsid w:val="00FA2E01"/>
    <w:rsid w:val="00FA31FC"/>
    <w:rsid w:val="00FA3F08"/>
    <w:rsid w:val="00FA4242"/>
    <w:rsid w:val="00FA73C6"/>
    <w:rsid w:val="00FA7793"/>
    <w:rsid w:val="00FB0363"/>
    <w:rsid w:val="00FB22C8"/>
    <w:rsid w:val="00FB237F"/>
    <w:rsid w:val="00FB5131"/>
    <w:rsid w:val="00FB5873"/>
    <w:rsid w:val="00FB5A3A"/>
    <w:rsid w:val="00FC31F7"/>
    <w:rsid w:val="00FC3F81"/>
    <w:rsid w:val="00FC4024"/>
    <w:rsid w:val="00FC4B4C"/>
    <w:rsid w:val="00FC5E18"/>
    <w:rsid w:val="00FC700A"/>
    <w:rsid w:val="00FC7E48"/>
    <w:rsid w:val="00FC7FCD"/>
    <w:rsid w:val="00FD1D9B"/>
    <w:rsid w:val="00FD2F5D"/>
    <w:rsid w:val="00FD5E82"/>
    <w:rsid w:val="00FD729D"/>
    <w:rsid w:val="00FD7930"/>
    <w:rsid w:val="00FE0177"/>
    <w:rsid w:val="00FE0A26"/>
    <w:rsid w:val="00FE176E"/>
    <w:rsid w:val="00FE2A50"/>
    <w:rsid w:val="00FE2D87"/>
    <w:rsid w:val="00FF000C"/>
    <w:rsid w:val="00FF0146"/>
    <w:rsid w:val="00FF064E"/>
    <w:rsid w:val="00FF0935"/>
    <w:rsid w:val="00FF1A1A"/>
    <w:rsid w:val="00FF2B8F"/>
    <w:rsid w:val="00FF2CEF"/>
    <w:rsid w:val="00FF315A"/>
    <w:rsid w:val="00FF3AF6"/>
    <w:rsid w:val="00FF6672"/>
    <w:rsid w:val="00FF793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B811A5A"/>
  <w15:chartTrackingRefBased/>
  <w15:docId w15:val="{F74EB260-9D4F-499A-9457-E41F03674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E1138"/>
  </w:style>
  <w:style w:type="paragraph" w:styleId="Nadpis1">
    <w:name w:val="heading 1"/>
    <w:basedOn w:val="Normln"/>
    <w:next w:val="Normln"/>
    <w:link w:val="Nadpis1Char"/>
    <w:uiPriority w:val="9"/>
    <w:qFormat/>
    <w:rsid w:val="001E1138"/>
    <w:pPr>
      <w:keepNext/>
      <w:numPr>
        <w:numId w:val="1"/>
      </w:numPr>
      <w:overflowPunct w:val="0"/>
      <w:autoSpaceDE w:val="0"/>
      <w:autoSpaceDN w:val="0"/>
      <w:adjustRightInd w:val="0"/>
      <w:spacing w:before="480" w:after="120" w:line="240" w:lineRule="auto"/>
      <w:jc w:val="center"/>
      <w:textAlignment w:val="baseline"/>
      <w:outlineLvl w:val="0"/>
    </w:pPr>
    <w:rPr>
      <w:rFonts w:eastAsia="Times New Roman" w:cstheme="minorHAnsi"/>
      <w:b/>
      <w:color w:val="000000"/>
      <w:sz w:val="24"/>
      <w:szCs w:val="20"/>
      <w:lang w:eastAsia="cs-CZ"/>
    </w:rPr>
  </w:style>
  <w:style w:type="paragraph" w:styleId="Nadpis3">
    <w:name w:val="heading 3"/>
    <w:basedOn w:val="Normln"/>
    <w:next w:val="Normln"/>
    <w:link w:val="Nadpis3Char"/>
    <w:uiPriority w:val="9"/>
    <w:unhideWhenUsed/>
    <w:qFormat/>
    <w:rsid w:val="001E1138"/>
    <w:pPr>
      <w:keepNext/>
      <w:keepLines/>
      <w:numPr>
        <w:ilvl w:val="2"/>
        <w:numId w:val="1"/>
      </w:numPr>
      <w:spacing w:before="40" w:after="120" w:line="240" w:lineRule="auto"/>
      <w:jc w:val="both"/>
      <w:outlineLvl w:val="2"/>
    </w:pPr>
    <w:rPr>
      <w:rFonts w:eastAsiaTheme="majorEastAsia" w:cstheme="majorBidi"/>
      <w:bCs/>
      <w:color w:val="000000"/>
      <w:sz w:val="24"/>
      <w:szCs w:val="24"/>
      <w:u w:val="single"/>
    </w:rPr>
  </w:style>
  <w:style w:type="paragraph" w:styleId="Nadpis4">
    <w:name w:val="heading 4"/>
    <w:basedOn w:val="Normln"/>
    <w:next w:val="Normln"/>
    <w:link w:val="Nadpis4Char"/>
    <w:uiPriority w:val="9"/>
    <w:unhideWhenUsed/>
    <w:qFormat/>
    <w:rsid w:val="001E1138"/>
    <w:pPr>
      <w:keepNext/>
      <w:keepLines/>
      <w:numPr>
        <w:ilvl w:val="3"/>
        <w:numId w:val="1"/>
      </w:numPr>
      <w:spacing w:before="40" w:after="0" w:line="240" w:lineRule="auto"/>
      <w:outlineLvl w:val="3"/>
    </w:pPr>
    <w:rPr>
      <w:rFonts w:asciiTheme="majorHAnsi" w:eastAsiaTheme="majorEastAsia" w:hAnsiTheme="majorHAnsi" w:cstheme="majorBidi"/>
      <w:i/>
      <w:iCs/>
      <w:color w:val="000000" w:themeColor="text1"/>
      <w:sz w:val="24"/>
      <w:szCs w:val="24"/>
    </w:rPr>
  </w:style>
  <w:style w:type="paragraph" w:styleId="Nadpis5">
    <w:name w:val="heading 5"/>
    <w:basedOn w:val="Normln"/>
    <w:next w:val="Normln"/>
    <w:link w:val="Nadpis5Char"/>
    <w:uiPriority w:val="9"/>
    <w:semiHidden/>
    <w:unhideWhenUsed/>
    <w:qFormat/>
    <w:rsid w:val="001E1138"/>
    <w:pPr>
      <w:keepNext/>
      <w:keepLines/>
      <w:numPr>
        <w:ilvl w:val="4"/>
        <w:numId w:val="1"/>
      </w:numPr>
      <w:spacing w:before="40" w:after="0" w:line="240" w:lineRule="auto"/>
      <w:outlineLvl w:val="4"/>
    </w:pPr>
    <w:rPr>
      <w:rFonts w:asciiTheme="majorHAnsi" w:eastAsiaTheme="majorEastAsia" w:hAnsiTheme="majorHAnsi" w:cstheme="majorBidi"/>
      <w:color w:val="2E74B5" w:themeColor="accent1" w:themeShade="BF"/>
      <w:sz w:val="24"/>
      <w:szCs w:val="24"/>
    </w:rPr>
  </w:style>
  <w:style w:type="paragraph" w:styleId="Nadpis6">
    <w:name w:val="heading 6"/>
    <w:basedOn w:val="Normln"/>
    <w:next w:val="Normln"/>
    <w:link w:val="Nadpis6Char"/>
    <w:uiPriority w:val="9"/>
    <w:semiHidden/>
    <w:unhideWhenUsed/>
    <w:qFormat/>
    <w:rsid w:val="001E1138"/>
    <w:pPr>
      <w:keepNext/>
      <w:keepLines/>
      <w:numPr>
        <w:ilvl w:val="5"/>
        <w:numId w:val="1"/>
      </w:numPr>
      <w:spacing w:before="40" w:after="0" w:line="240" w:lineRule="auto"/>
      <w:outlineLvl w:val="5"/>
    </w:pPr>
    <w:rPr>
      <w:rFonts w:asciiTheme="majorHAnsi" w:eastAsiaTheme="majorEastAsia" w:hAnsiTheme="majorHAnsi" w:cstheme="majorBidi"/>
      <w:color w:val="1F4D78" w:themeColor="accent1" w:themeShade="7F"/>
      <w:sz w:val="24"/>
      <w:szCs w:val="24"/>
    </w:rPr>
  </w:style>
  <w:style w:type="paragraph" w:styleId="Nadpis7">
    <w:name w:val="heading 7"/>
    <w:basedOn w:val="Normln"/>
    <w:next w:val="Normln"/>
    <w:link w:val="Nadpis7Char"/>
    <w:uiPriority w:val="9"/>
    <w:semiHidden/>
    <w:unhideWhenUsed/>
    <w:qFormat/>
    <w:rsid w:val="001E1138"/>
    <w:pPr>
      <w:keepNext/>
      <w:keepLines/>
      <w:numPr>
        <w:ilvl w:val="6"/>
        <w:numId w:val="1"/>
      </w:numPr>
      <w:spacing w:before="40" w:after="0" w:line="240" w:lineRule="auto"/>
      <w:outlineLvl w:val="6"/>
    </w:pPr>
    <w:rPr>
      <w:rFonts w:asciiTheme="majorHAnsi" w:eastAsiaTheme="majorEastAsia" w:hAnsiTheme="majorHAnsi" w:cstheme="majorBidi"/>
      <w:i/>
      <w:iCs/>
      <w:color w:val="1F4D78" w:themeColor="accent1" w:themeShade="7F"/>
      <w:sz w:val="24"/>
      <w:szCs w:val="24"/>
    </w:rPr>
  </w:style>
  <w:style w:type="paragraph" w:styleId="Nadpis8">
    <w:name w:val="heading 8"/>
    <w:basedOn w:val="Normln"/>
    <w:next w:val="Normln"/>
    <w:link w:val="Nadpis8Char"/>
    <w:uiPriority w:val="9"/>
    <w:semiHidden/>
    <w:unhideWhenUsed/>
    <w:qFormat/>
    <w:rsid w:val="001E1138"/>
    <w:pPr>
      <w:keepNext/>
      <w:keepLines/>
      <w:numPr>
        <w:ilvl w:val="7"/>
        <w:numId w:val="1"/>
      </w:numPr>
      <w:spacing w:before="40" w:after="0" w:line="240" w:lineRule="auto"/>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1E1138"/>
    <w:pPr>
      <w:keepNext/>
      <w:keepLines/>
      <w:numPr>
        <w:ilvl w:val="8"/>
        <w:numId w:val="1"/>
      </w:numPr>
      <w:spacing w:before="40" w:after="0" w:line="240" w:lineRule="auto"/>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E1138"/>
    <w:rPr>
      <w:rFonts w:eastAsia="Times New Roman" w:cstheme="minorHAnsi"/>
      <w:b/>
      <w:color w:val="000000"/>
      <w:sz w:val="24"/>
      <w:szCs w:val="20"/>
      <w:lang w:eastAsia="cs-CZ"/>
    </w:rPr>
  </w:style>
  <w:style w:type="character" w:customStyle="1" w:styleId="Nadpis3Char">
    <w:name w:val="Nadpis 3 Char"/>
    <w:basedOn w:val="Standardnpsmoodstavce"/>
    <w:link w:val="Nadpis3"/>
    <w:uiPriority w:val="9"/>
    <w:rsid w:val="001E1138"/>
    <w:rPr>
      <w:rFonts w:eastAsiaTheme="majorEastAsia" w:cstheme="majorBidi"/>
      <w:bCs/>
      <w:color w:val="000000"/>
      <w:sz w:val="24"/>
      <w:szCs w:val="24"/>
      <w:u w:val="single"/>
    </w:rPr>
  </w:style>
  <w:style w:type="character" w:customStyle="1" w:styleId="Nadpis4Char">
    <w:name w:val="Nadpis 4 Char"/>
    <w:basedOn w:val="Standardnpsmoodstavce"/>
    <w:link w:val="Nadpis4"/>
    <w:uiPriority w:val="9"/>
    <w:rsid w:val="001E1138"/>
    <w:rPr>
      <w:rFonts w:asciiTheme="majorHAnsi" w:eastAsiaTheme="majorEastAsia" w:hAnsiTheme="majorHAnsi" w:cstheme="majorBidi"/>
      <w:i/>
      <w:iCs/>
      <w:color w:val="000000" w:themeColor="text1"/>
      <w:sz w:val="24"/>
      <w:szCs w:val="24"/>
    </w:rPr>
  </w:style>
  <w:style w:type="character" w:customStyle="1" w:styleId="Nadpis5Char">
    <w:name w:val="Nadpis 5 Char"/>
    <w:basedOn w:val="Standardnpsmoodstavce"/>
    <w:link w:val="Nadpis5"/>
    <w:uiPriority w:val="9"/>
    <w:semiHidden/>
    <w:rsid w:val="001E1138"/>
    <w:rPr>
      <w:rFonts w:asciiTheme="majorHAnsi" w:eastAsiaTheme="majorEastAsia" w:hAnsiTheme="majorHAnsi" w:cstheme="majorBidi"/>
      <w:color w:val="2E74B5" w:themeColor="accent1" w:themeShade="BF"/>
      <w:sz w:val="24"/>
      <w:szCs w:val="24"/>
    </w:rPr>
  </w:style>
  <w:style w:type="character" w:customStyle="1" w:styleId="Nadpis6Char">
    <w:name w:val="Nadpis 6 Char"/>
    <w:basedOn w:val="Standardnpsmoodstavce"/>
    <w:link w:val="Nadpis6"/>
    <w:uiPriority w:val="9"/>
    <w:semiHidden/>
    <w:rsid w:val="001E1138"/>
    <w:rPr>
      <w:rFonts w:asciiTheme="majorHAnsi" w:eastAsiaTheme="majorEastAsia" w:hAnsiTheme="majorHAnsi" w:cstheme="majorBidi"/>
      <w:color w:val="1F4D78" w:themeColor="accent1" w:themeShade="7F"/>
      <w:sz w:val="24"/>
      <w:szCs w:val="24"/>
    </w:rPr>
  </w:style>
  <w:style w:type="character" w:customStyle="1" w:styleId="Nadpis7Char">
    <w:name w:val="Nadpis 7 Char"/>
    <w:basedOn w:val="Standardnpsmoodstavce"/>
    <w:link w:val="Nadpis7"/>
    <w:uiPriority w:val="9"/>
    <w:semiHidden/>
    <w:rsid w:val="001E1138"/>
    <w:rPr>
      <w:rFonts w:asciiTheme="majorHAnsi" w:eastAsiaTheme="majorEastAsia" w:hAnsiTheme="majorHAnsi" w:cstheme="majorBidi"/>
      <w:i/>
      <w:iCs/>
      <w:color w:val="1F4D78" w:themeColor="accent1" w:themeShade="7F"/>
      <w:sz w:val="24"/>
      <w:szCs w:val="24"/>
    </w:rPr>
  </w:style>
  <w:style w:type="character" w:customStyle="1" w:styleId="Nadpis8Char">
    <w:name w:val="Nadpis 8 Char"/>
    <w:basedOn w:val="Standardnpsmoodstavce"/>
    <w:link w:val="Nadpis8"/>
    <w:uiPriority w:val="9"/>
    <w:semiHidden/>
    <w:rsid w:val="001E1138"/>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1E1138"/>
    <w:rPr>
      <w:rFonts w:asciiTheme="majorHAnsi" w:eastAsiaTheme="majorEastAsia" w:hAnsiTheme="majorHAnsi" w:cstheme="majorBidi"/>
      <w:i/>
      <w:iCs/>
      <w:color w:val="272727" w:themeColor="text1" w:themeTint="D8"/>
      <w:sz w:val="21"/>
      <w:szCs w:val="21"/>
    </w:rPr>
  </w:style>
  <w:style w:type="paragraph" w:styleId="Textpoznpodarou">
    <w:name w:val="footnote text"/>
    <w:aliases w:val="Schriftart: 9 pt,Schriftart: 10 pt,Schriftart: 8 pt,Char,Char Char Char Char,fn,pozn. pod čarou,Podrozdział,Podrozdzia3,Boston 10,Font: Geneva 9,Fußnotentextf,Geneva 9,Text poznámky pod čiarou 007,f,Footnote Text Char1"/>
    <w:basedOn w:val="Normln"/>
    <w:link w:val="TextpoznpodarouChar"/>
    <w:uiPriority w:val="99"/>
    <w:unhideWhenUsed/>
    <w:qFormat/>
    <w:rsid w:val="001E1138"/>
    <w:pPr>
      <w:spacing w:after="0" w:line="240" w:lineRule="auto"/>
    </w:pPr>
    <w:rPr>
      <w:sz w:val="20"/>
      <w:szCs w:val="20"/>
    </w:rPr>
  </w:style>
  <w:style w:type="character" w:customStyle="1" w:styleId="TextpoznpodarouChar">
    <w:name w:val="Text pozn. pod čarou Char"/>
    <w:aliases w:val="Schriftart: 9 pt Char,Schriftart: 10 pt Char,Schriftart: 8 pt Char,Char Char,Char Char Char Char Char,fn Char,pozn. pod čarou Char,Podrozdział Char,Podrozdzia3 Char,Boston 10 Char,Font: Geneva 9 Char,Fußnotentextf Char,f Char"/>
    <w:basedOn w:val="Standardnpsmoodstavce"/>
    <w:link w:val="Textpoznpodarou"/>
    <w:uiPriority w:val="99"/>
    <w:rsid w:val="001E1138"/>
    <w:rPr>
      <w:sz w:val="20"/>
      <w:szCs w:val="20"/>
    </w:rPr>
  </w:style>
  <w:style w:type="character" w:styleId="Znakapoznpodarou">
    <w:name w:val="footnote reference"/>
    <w:aliases w:val="Footnote,Footnote call,PGI Fußnote Ziffer + Times New Roman,12 b.,Zúžené o ...,PGI Fußnote Ziffer,BVI fnr,Footnote symbol,Footnote Reference Number,Footnote Reference Superscript,Appel note de bas de p,Appel note de bas de page"/>
    <w:basedOn w:val="Standardnpsmoodstavce"/>
    <w:uiPriority w:val="99"/>
    <w:unhideWhenUsed/>
    <w:rsid w:val="001E1138"/>
    <w:rPr>
      <w:vertAlign w:val="superscript"/>
    </w:rPr>
  </w:style>
  <w:style w:type="paragraph" w:styleId="Odstavecseseznamem">
    <w:name w:val="List Paragraph"/>
    <w:aliases w:val="Odstavec_muj,odrážky,List Paragraph_0,List Paragraph_0_0,Nadpis pro KZ,Odstavec se seznamem1,Odstavec se seznamem2,List Paragraph,Odstavec_muj1,Odstavec_muj2,Nad,Odstavec_muj3,Nad1,List Paragraph1,Odstavec_muj4,Nad2,List Paragraph2"/>
    <w:basedOn w:val="Normln"/>
    <w:link w:val="OdstavecseseznamemChar"/>
    <w:uiPriority w:val="34"/>
    <w:qFormat/>
    <w:rsid w:val="001E1138"/>
    <w:pPr>
      <w:ind w:left="720"/>
      <w:contextualSpacing/>
    </w:pPr>
  </w:style>
  <w:style w:type="character" w:customStyle="1" w:styleId="OdstavecseseznamemChar">
    <w:name w:val="Odstavec se seznamem Char"/>
    <w:aliases w:val="Odstavec_muj Char,odrážky Char,List Paragraph_0 Char,List Paragraph_0_0 Char,Nadpis pro KZ Char,Odstavec se seznamem1 Char,Odstavec se seznamem2 Char,List Paragraph Char,Odstavec_muj1 Char,Odstavec_muj2 Char,Nad Char,Nad1 Char"/>
    <w:basedOn w:val="Standardnpsmoodstavce"/>
    <w:link w:val="Odstavecseseznamem"/>
    <w:uiPriority w:val="34"/>
    <w:qFormat/>
    <w:rsid w:val="001E1138"/>
  </w:style>
  <w:style w:type="paragraph" w:customStyle="1" w:styleId="KPnormln">
    <w:name w:val="KP normální"/>
    <w:basedOn w:val="Normln"/>
    <w:link w:val="KPnormlnChar"/>
    <w:qFormat/>
    <w:rsid w:val="001E1138"/>
    <w:pPr>
      <w:spacing w:before="120" w:after="120" w:line="240" w:lineRule="auto"/>
      <w:ind w:firstLine="720"/>
      <w:jc w:val="both"/>
    </w:pPr>
    <w:rPr>
      <w:rFonts w:eastAsia="Times New Roman" w:cstheme="minorHAnsi"/>
      <w:color w:val="000000"/>
      <w:sz w:val="24"/>
    </w:rPr>
  </w:style>
  <w:style w:type="character" w:customStyle="1" w:styleId="KPnormlnChar">
    <w:name w:val="KP normální Char"/>
    <w:basedOn w:val="Standardnpsmoodstavce"/>
    <w:link w:val="KPnormln"/>
    <w:rsid w:val="001E1138"/>
    <w:rPr>
      <w:rFonts w:eastAsia="Times New Roman" w:cstheme="minorHAnsi"/>
      <w:color w:val="000000"/>
      <w:sz w:val="24"/>
    </w:rPr>
  </w:style>
  <w:style w:type="paragraph" w:styleId="Textvysvtlivek">
    <w:name w:val="endnote text"/>
    <w:basedOn w:val="Normln"/>
    <w:link w:val="TextvysvtlivekChar"/>
    <w:uiPriority w:val="99"/>
    <w:semiHidden/>
    <w:unhideWhenUsed/>
    <w:rsid w:val="001E1138"/>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1E1138"/>
    <w:rPr>
      <w:sz w:val="20"/>
      <w:szCs w:val="20"/>
    </w:rPr>
  </w:style>
  <w:style w:type="character" w:styleId="Odkaznavysvtlivky">
    <w:name w:val="endnote reference"/>
    <w:basedOn w:val="Standardnpsmoodstavce"/>
    <w:uiPriority w:val="99"/>
    <w:semiHidden/>
    <w:unhideWhenUsed/>
    <w:rsid w:val="001E1138"/>
    <w:rPr>
      <w:vertAlign w:val="superscript"/>
    </w:rPr>
  </w:style>
  <w:style w:type="paragraph" w:styleId="Nzev">
    <w:name w:val="Title"/>
    <w:basedOn w:val="Normln"/>
    <w:link w:val="NzevChar"/>
    <w:qFormat/>
    <w:rsid w:val="008E6616"/>
    <w:pPr>
      <w:spacing w:after="0" w:line="240" w:lineRule="auto"/>
      <w:jc w:val="center"/>
    </w:pPr>
    <w:rPr>
      <w:rFonts w:ascii="Arial" w:eastAsia="Times New Roman" w:hAnsi="Arial" w:cs="Times New Roman"/>
      <w:b/>
      <w:szCs w:val="20"/>
      <w:lang w:eastAsia="cs-CZ"/>
    </w:rPr>
  </w:style>
  <w:style w:type="character" w:customStyle="1" w:styleId="NzevChar">
    <w:name w:val="Název Char"/>
    <w:basedOn w:val="Standardnpsmoodstavce"/>
    <w:link w:val="Nzev"/>
    <w:rsid w:val="008E6616"/>
    <w:rPr>
      <w:rFonts w:ascii="Arial" w:eastAsia="Times New Roman" w:hAnsi="Arial" w:cs="Times New Roman"/>
      <w:b/>
      <w:szCs w:val="20"/>
      <w:lang w:eastAsia="cs-CZ"/>
    </w:rPr>
  </w:style>
  <w:style w:type="paragraph" w:customStyle="1" w:styleId="NormlnKZ">
    <w:name w:val="Normální KZ"/>
    <w:basedOn w:val="Normln"/>
    <w:rsid w:val="008E6616"/>
    <w:pPr>
      <w:spacing w:after="120" w:line="240" w:lineRule="auto"/>
      <w:ind w:firstLine="425"/>
      <w:jc w:val="both"/>
    </w:pPr>
    <w:rPr>
      <w:rFonts w:ascii="Arial" w:eastAsia="Times New Roman" w:hAnsi="Arial" w:cs="Times New Roman"/>
      <w:szCs w:val="24"/>
      <w:lang w:eastAsia="cs-CZ"/>
    </w:rPr>
  </w:style>
  <w:style w:type="table" w:styleId="Mkatabulky">
    <w:name w:val="Table Grid"/>
    <w:basedOn w:val="Normlntabulka"/>
    <w:uiPriority w:val="39"/>
    <w:rsid w:val="007D38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P-normlntext">
    <w:name w:val="KP-normální text"/>
    <w:basedOn w:val="Normln"/>
    <w:link w:val="KP-normlntextChar"/>
    <w:qFormat/>
    <w:rsid w:val="00650CD2"/>
    <w:pPr>
      <w:spacing w:after="120" w:line="240" w:lineRule="auto"/>
      <w:jc w:val="both"/>
    </w:pPr>
    <w:rPr>
      <w:rFonts w:ascii="Calibri" w:eastAsia="Times New Roman" w:hAnsi="Calibri" w:cs="Arial"/>
      <w:color w:val="000000"/>
      <w:sz w:val="24"/>
      <w:szCs w:val="24"/>
    </w:rPr>
  </w:style>
  <w:style w:type="character" w:customStyle="1" w:styleId="KP-normlntextChar">
    <w:name w:val="KP-normální text Char"/>
    <w:link w:val="KP-normlntext"/>
    <w:rsid w:val="00650CD2"/>
    <w:rPr>
      <w:rFonts w:ascii="Calibri" w:eastAsia="Times New Roman" w:hAnsi="Calibri" w:cs="Arial"/>
      <w:color w:val="000000"/>
      <w:sz w:val="24"/>
      <w:szCs w:val="24"/>
    </w:rPr>
  </w:style>
  <w:style w:type="paragraph" w:customStyle="1" w:styleId="Poznmkapodarou">
    <w:name w:val="Poznámka pod čarou"/>
    <w:basedOn w:val="Textpoznpodarou"/>
    <w:qFormat/>
    <w:rsid w:val="00650CD2"/>
    <w:pPr>
      <w:tabs>
        <w:tab w:val="left" w:pos="284"/>
      </w:tabs>
      <w:ind w:left="284" w:hanging="284"/>
      <w:jc w:val="both"/>
    </w:pPr>
    <w:rPr>
      <w:rFonts w:eastAsia="Times New Roman" w:cs="Times New Roman"/>
    </w:rPr>
  </w:style>
  <w:style w:type="paragraph" w:customStyle="1" w:styleId="Char4CharCharCharCharCharCharCharCharCharCharCharCharCharCharCharCharCharCharCharCharCharCharCharCharCharCharCharChar">
    <w:name w:val="Char4 Char Char Char Char Char Char Char Char Char Char Char Char Char Char Char Char Char Char Char Char Char Char Char Char Char Char Char Char"/>
    <w:basedOn w:val="Normln"/>
    <w:rsid w:val="00650CD2"/>
    <w:pPr>
      <w:spacing w:line="240" w:lineRule="exact"/>
    </w:pPr>
    <w:rPr>
      <w:rFonts w:ascii="Times New Roman Bold" w:eastAsia="Times New Roman" w:hAnsi="Times New Roman Bold" w:cs="Times New Roman"/>
      <w:szCs w:val="26"/>
      <w:lang w:val="sk-SK"/>
    </w:rPr>
  </w:style>
  <w:style w:type="paragraph" w:styleId="Textbubliny">
    <w:name w:val="Balloon Text"/>
    <w:basedOn w:val="Normln"/>
    <w:link w:val="TextbublinyChar"/>
    <w:uiPriority w:val="99"/>
    <w:semiHidden/>
    <w:unhideWhenUsed/>
    <w:rsid w:val="00222B8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22B8B"/>
    <w:rPr>
      <w:rFonts w:ascii="Segoe UI" w:hAnsi="Segoe UI" w:cs="Segoe UI"/>
      <w:sz w:val="18"/>
      <w:szCs w:val="18"/>
    </w:rPr>
  </w:style>
  <w:style w:type="character" w:styleId="Odkaznakoment">
    <w:name w:val="annotation reference"/>
    <w:basedOn w:val="Standardnpsmoodstavce"/>
    <w:uiPriority w:val="99"/>
    <w:semiHidden/>
    <w:unhideWhenUsed/>
    <w:rsid w:val="00151B8F"/>
    <w:rPr>
      <w:sz w:val="16"/>
      <w:szCs w:val="16"/>
    </w:rPr>
  </w:style>
  <w:style w:type="paragraph" w:styleId="Textkomente">
    <w:name w:val="annotation text"/>
    <w:basedOn w:val="Normln"/>
    <w:link w:val="TextkomenteChar"/>
    <w:uiPriority w:val="99"/>
    <w:unhideWhenUsed/>
    <w:rsid w:val="00151B8F"/>
    <w:pPr>
      <w:spacing w:line="240" w:lineRule="auto"/>
    </w:pPr>
    <w:rPr>
      <w:sz w:val="20"/>
      <w:szCs w:val="20"/>
    </w:rPr>
  </w:style>
  <w:style w:type="character" w:customStyle="1" w:styleId="TextkomenteChar">
    <w:name w:val="Text komentáře Char"/>
    <w:basedOn w:val="Standardnpsmoodstavce"/>
    <w:link w:val="Textkomente"/>
    <w:uiPriority w:val="99"/>
    <w:rsid w:val="00151B8F"/>
    <w:rPr>
      <w:sz w:val="20"/>
      <w:szCs w:val="20"/>
    </w:rPr>
  </w:style>
  <w:style w:type="paragraph" w:styleId="Pedmtkomente">
    <w:name w:val="annotation subject"/>
    <w:basedOn w:val="Textkomente"/>
    <w:next w:val="Textkomente"/>
    <w:link w:val="PedmtkomenteChar"/>
    <w:uiPriority w:val="99"/>
    <w:semiHidden/>
    <w:unhideWhenUsed/>
    <w:rsid w:val="00151B8F"/>
    <w:rPr>
      <w:b/>
      <w:bCs/>
    </w:rPr>
  </w:style>
  <w:style w:type="character" w:customStyle="1" w:styleId="PedmtkomenteChar">
    <w:name w:val="Předmět komentáře Char"/>
    <w:basedOn w:val="TextkomenteChar"/>
    <w:link w:val="Pedmtkomente"/>
    <w:uiPriority w:val="99"/>
    <w:semiHidden/>
    <w:rsid w:val="00151B8F"/>
    <w:rPr>
      <w:b/>
      <w:bCs/>
      <w:sz w:val="20"/>
      <w:szCs w:val="20"/>
    </w:rPr>
  </w:style>
  <w:style w:type="paragraph" w:customStyle="1" w:styleId="Default">
    <w:name w:val="Default"/>
    <w:rsid w:val="00FD7930"/>
    <w:pPr>
      <w:autoSpaceDE w:val="0"/>
      <w:autoSpaceDN w:val="0"/>
      <w:adjustRightInd w:val="0"/>
      <w:spacing w:after="0" w:line="240" w:lineRule="auto"/>
    </w:pPr>
    <w:rPr>
      <w:rFonts w:ascii="Calibri" w:eastAsia="Times New Roman" w:hAnsi="Calibri" w:cs="Calibri"/>
      <w:color w:val="000000"/>
      <w:sz w:val="24"/>
      <w:szCs w:val="24"/>
      <w:lang w:eastAsia="cs-CZ"/>
    </w:rPr>
  </w:style>
  <w:style w:type="paragraph" w:styleId="Zhlav">
    <w:name w:val="header"/>
    <w:basedOn w:val="Normln"/>
    <w:link w:val="ZhlavChar"/>
    <w:uiPriority w:val="99"/>
    <w:unhideWhenUsed/>
    <w:rsid w:val="003C20A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C20A4"/>
  </w:style>
  <w:style w:type="paragraph" w:styleId="Zpat">
    <w:name w:val="footer"/>
    <w:basedOn w:val="Normln"/>
    <w:link w:val="ZpatChar"/>
    <w:uiPriority w:val="99"/>
    <w:unhideWhenUsed/>
    <w:rsid w:val="003C20A4"/>
    <w:pPr>
      <w:tabs>
        <w:tab w:val="center" w:pos="4536"/>
        <w:tab w:val="right" w:pos="9072"/>
      </w:tabs>
      <w:spacing w:after="0" w:line="240" w:lineRule="auto"/>
    </w:pPr>
  </w:style>
  <w:style w:type="character" w:customStyle="1" w:styleId="ZpatChar">
    <w:name w:val="Zápatí Char"/>
    <w:basedOn w:val="Standardnpsmoodstavce"/>
    <w:link w:val="Zpat"/>
    <w:uiPriority w:val="99"/>
    <w:rsid w:val="003C20A4"/>
  </w:style>
  <w:style w:type="paragraph" w:styleId="Normlnweb">
    <w:name w:val="Normal (Web)"/>
    <w:basedOn w:val="Normln"/>
    <w:uiPriority w:val="99"/>
    <w:unhideWhenUsed/>
    <w:rsid w:val="008F715D"/>
    <w:pPr>
      <w:spacing w:before="100" w:beforeAutospacing="1" w:after="100" w:afterAutospacing="1" w:line="240" w:lineRule="auto"/>
    </w:pPr>
    <w:rPr>
      <w:rFonts w:ascii="Times New Roman" w:eastAsia="Times New Roman" w:hAnsi="Times New Roman" w:cs="Times New Roman"/>
      <w:sz w:val="24"/>
      <w:szCs w:val="24"/>
      <w:lang w:eastAsia="cs-CZ"/>
    </w:rPr>
  </w:style>
  <w:style w:type="table" w:customStyle="1" w:styleId="TableGrid">
    <w:name w:val="TableGrid"/>
    <w:rsid w:val="00E60B26"/>
    <w:pPr>
      <w:spacing w:after="0" w:line="240" w:lineRule="auto"/>
    </w:pPr>
    <w:rPr>
      <w:rFonts w:eastAsiaTheme="minorEastAsia"/>
      <w:lang w:eastAsia="cs-CZ"/>
    </w:rPr>
    <w:tblPr>
      <w:tblCellMar>
        <w:top w:w="0" w:type="dxa"/>
        <w:left w:w="0" w:type="dxa"/>
        <w:bottom w:w="0" w:type="dxa"/>
        <w:right w:w="0" w:type="dxa"/>
      </w:tblCellMar>
    </w:tblPr>
  </w:style>
  <w:style w:type="paragraph" w:customStyle="1" w:styleId="Standardntext">
    <w:name w:val="Standardní text"/>
    <w:basedOn w:val="Normln"/>
    <w:link w:val="StandardntextChar"/>
    <w:qFormat/>
    <w:rsid w:val="00AB5A00"/>
    <w:pPr>
      <w:overflowPunct w:val="0"/>
      <w:autoSpaceDE w:val="0"/>
      <w:autoSpaceDN w:val="0"/>
      <w:adjustRightInd w:val="0"/>
      <w:spacing w:after="120" w:line="240" w:lineRule="auto"/>
      <w:jc w:val="both"/>
      <w:textAlignment w:val="baseline"/>
    </w:pPr>
    <w:rPr>
      <w:rFonts w:ascii="Times New Roman" w:eastAsia="Times New Roman" w:hAnsi="Times New Roman" w:cs="Times New Roman"/>
      <w:sz w:val="24"/>
      <w:szCs w:val="24"/>
      <w:lang w:val="x-none" w:eastAsia="x-none"/>
    </w:rPr>
  </w:style>
  <w:style w:type="character" w:customStyle="1" w:styleId="StandardntextChar">
    <w:name w:val="Standardní text Char"/>
    <w:link w:val="Standardntext"/>
    <w:rsid w:val="00AB5A00"/>
    <w:rPr>
      <w:rFonts w:ascii="Times New Roman" w:eastAsia="Times New Roman" w:hAnsi="Times New Roman" w:cs="Times New Roman"/>
      <w:sz w:val="24"/>
      <w:szCs w:val="24"/>
      <w:lang w:val="x-none" w:eastAsia="x-none"/>
    </w:rPr>
  </w:style>
  <w:style w:type="paragraph" w:styleId="Revize">
    <w:name w:val="Revision"/>
    <w:hidden/>
    <w:uiPriority w:val="99"/>
    <w:semiHidden/>
    <w:rsid w:val="006C6162"/>
    <w:pPr>
      <w:spacing w:after="0" w:line="240" w:lineRule="auto"/>
    </w:pPr>
  </w:style>
  <w:style w:type="character" w:customStyle="1" w:styleId="h1a">
    <w:name w:val="h1a"/>
    <w:basedOn w:val="Standardnpsmoodstavce"/>
    <w:rsid w:val="00155098"/>
  </w:style>
  <w:style w:type="paragraph" w:styleId="Titulek">
    <w:name w:val="caption"/>
    <w:basedOn w:val="Normln"/>
    <w:next w:val="Normln"/>
    <w:uiPriority w:val="35"/>
    <w:unhideWhenUsed/>
    <w:qFormat/>
    <w:rsid w:val="00BC6F83"/>
    <w:pPr>
      <w:spacing w:after="200" w:line="240" w:lineRule="auto"/>
    </w:pPr>
    <w:rPr>
      <w:i/>
      <w:iCs/>
      <w:color w:val="44546A" w:themeColor="text2"/>
      <w:sz w:val="18"/>
      <w:szCs w:val="18"/>
    </w:rPr>
  </w:style>
  <w:style w:type="character" w:styleId="Hypertextovodkaz">
    <w:name w:val="Hyperlink"/>
    <w:basedOn w:val="Standardnpsmoodstavce"/>
    <w:uiPriority w:val="99"/>
    <w:semiHidden/>
    <w:unhideWhenUsed/>
    <w:rsid w:val="0099589F"/>
    <w:rPr>
      <w:strike w:val="0"/>
      <w:dstrike w:val="0"/>
      <w:color w:val="F26538"/>
      <w:u w:val="none"/>
      <w:effect w:val="none"/>
    </w:rPr>
  </w:style>
  <w:style w:type="paragraph" w:customStyle="1" w:styleId="NadpisKZ">
    <w:name w:val="Nadpis KZ"/>
    <w:basedOn w:val="Zkladntext2"/>
    <w:rsid w:val="006C43F8"/>
    <w:pPr>
      <w:spacing w:before="120" w:after="360" w:line="240" w:lineRule="auto"/>
    </w:pPr>
    <w:rPr>
      <w:rFonts w:ascii="Times New Roman" w:eastAsia="Times New Roman" w:hAnsi="Times New Roman" w:cs="Times New Roman"/>
      <w:b/>
      <w:bCs/>
      <w:sz w:val="32"/>
      <w:szCs w:val="24"/>
      <w:lang w:eastAsia="cs-CZ"/>
    </w:rPr>
  </w:style>
  <w:style w:type="paragraph" w:styleId="Zkladntext2">
    <w:name w:val="Body Text 2"/>
    <w:basedOn w:val="Normln"/>
    <w:link w:val="Zkladntext2Char"/>
    <w:uiPriority w:val="99"/>
    <w:semiHidden/>
    <w:unhideWhenUsed/>
    <w:rsid w:val="006C43F8"/>
    <w:pPr>
      <w:spacing w:after="120" w:line="480" w:lineRule="auto"/>
    </w:pPr>
  </w:style>
  <w:style w:type="character" w:customStyle="1" w:styleId="Zkladntext2Char">
    <w:name w:val="Základní text 2 Char"/>
    <w:basedOn w:val="Standardnpsmoodstavce"/>
    <w:link w:val="Zkladntext2"/>
    <w:uiPriority w:val="99"/>
    <w:semiHidden/>
    <w:rsid w:val="006C43F8"/>
  </w:style>
  <w:style w:type="paragraph" w:styleId="Zkladntext">
    <w:name w:val="Body Text"/>
    <w:basedOn w:val="Normln"/>
    <w:link w:val="ZkladntextChar"/>
    <w:uiPriority w:val="99"/>
    <w:semiHidden/>
    <w:unhideWhenUsed/>
    <w:rsid w:val="00852CF5"/>
    <w:pPr>
      <w:spacing w:after="120"/>
    </w:pPr>
  </w:style>
  <w:style w:type="character" w:customStyle="1" w:styleId="ZkladntextChar">
    <w:name w:val="Základní text Char"/>
    <w:basedOn w:val="Standardnpsmoodstavce"/>
    <w:link w:val="Zkladntext"/>
    <w:uiPriority w:val="99"/>
    <w:semiHidden/>
    <w:rsid w:val="00852CF5"/>
  </w:style>
  <w:style w:type="character" w:customStyle="1" w:styleId="Zkladntext0">
    <w:name w:val="Základní text_"/>
    <w:basedOn w:val="Standardnpsmoodstavce"/>
    <w:link w:val="Zkladntext1"/>
    <w:rsid w:val="00C06343"/>
    <w:rPr>
      <w:rFonts w:ascii="Calibri" w:eastAsia="Calibri" w:hAnsi="Calibri" w:cs="Calibri"/>
      <w:sz w:val="20"/>
      <w:szCs w:val="20"/>
      <w:shd w:val="clear" w:color="auto" w:fill="FFFFFF"/>
    </w:rPr>
  </w:style>
  <w:style w:type="paragraph" w:customStyle="1" w:styleId="Zkladntext1">
    <w:name w:val="Základní text1"/>
    <w:basedOn w:val="Normln"/>
    <w:link w:val="Zkladntext0"/>
    <w:rsid w:val="00C06343"/>
    <w:pPr>
      <w:widowControl w:val="0"/>
      <w:shd w:val="clear" w:color="auto" w:fill="FFFFFF"/>
      <w:spacing w:after="240" w:line="240" w:lineRule="auto"/>
      <w:jc w:val="both"/>
    </w:pPr>
    <w:rPr>
      <w:rFonts w:ascii="Calibri" w:eastAsia="Calibri" w:hAnsi="Calibri" w:cs="Calibri"/>
      <w:sz w:val="20"/>
      <w:szCs w:val="20"/>
    </w:rPr>
  </w:style>
  <w:style w:type="character" w:customStyle="1" w:styleId="A1">
    <w:name w:val="A1"/>
    <w:uiPriority w:val="99"/>
    <w:rsid w:val="003E693A"/>
    <w:rPr>
      <w:color w:val="000000"/>
      <w:sz w:val="28"/>
      <w:szCs w:val="28"/>
    </w:rPr>
  </w:style>
  <w:style w:type="character" w:customStyle="1" w:styleId="A4">
    <w:name w:val="A4"/>
    <w:uiPriority w:val="99"/>
    <w:rsid w:val="003E693A"/>
    <w:rPr>
      <w:color w:val="000000"/>
      <w:sz w:val="60"/>
      <w:szCs w:val="60"/>
    </w:rPr>
  </w:style>
  <w:style w:type="character" w:customStyle="1" w:styleId="A5">
    <w:name w:val="A5"/>
    <w:uiPriority w:val="99"/>
    <w:rsid w:val="003E693A"/>
    <w:rPr>
      <w:b/>
      <w:bCs/>
      <w:color w:val="000000"/>
      <w:sz w:val="40"/>
      <w:szCs w:val="40"/>
    </w:rPr>
  </w:style>
  <w:style w:type="character" w:styleId="Siln">
    <w:name w:val="Strong"/>
    <w:basedOn w:val="Standardnpsmoodstavce"/>
    <w:uiPriority w:val="22"/>
    <w:qFormat/>
    <w:rsid w:val="005F69F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494374">
      <w:bodyDiv w:val="1"/>
      <w:marLeft w:val="0"/>
      <w:marRight w:val="0"/>
      <w:marTop w:val="0"/>
      <w:marBottom w:val="0"/>
      <w:divBdr>
        <w:top w:val="none" w:sz="0" w:space="0" w:color="auto"/>
        <w:left w:val="none" w:sz="0" w:space="0" w:color="auto"/>
        <w:bottom w:val="none" w:sz="0" w:space="0" w:color="auto"/>
        <w:right w:val="none" w:sz="0" w:space="0" w:color="auto"/>
      </w:divBdr>
    </w:div>
    <w:div w:id="404232098">
      <w:bodyDiv w:val="1"/>
      <w:marLeft w:val="0"/>
      <w:marRight w:val="0"/>
      <w:marTop w:val="0"/>
      <w:marBottom w:val="0"/>
      <w:divBdr>
        <w:top w:val="none" w:sz="0" w:space="0" w:color="auto"/>
        <w:left w:val="none" w:sz="0" w:space="0" w:color="auto"/>
        <w:bottom w:val="none" w:sz="0" w:space="0" w:color="auto"/>
        <w:right w:val="none" w:sz="0" w:space="0" w:color="auto"/>
      </w:divBdr>
    </w:div>
    <w:div w:id="514076785">
      <w:bodyDiv w:val="1"/>
      <w:marLeft w:val="0"/>
      <w:marRight w:val="0"/>
      <w:marTop w:val="0"/>
      <w:marBottom w:val="0"/>
      <w:divBdr>
        <w:top w:val="none" w:sz="0" w:space="0" w:color="auto"/>
        <w:left w:val="none" w:sz="0" w:space="0" w:color="auto"/>
        <w:bottom w:val="none" w:sz="0" w:space="0" w:color="auto"/>
        <w:right w:val="none" w:sz="0" w:space="0" w:color="auto"/>
      </w:divBdr>
    </w:div>
    <w:div w:id="526136537">
      <w:bodyDiv w:val="1"/>
      <w:marLeft w:val="0"/>
      <w:marRight w:val="0"/>
      <w:marTop w:val="0"/>
      <w:marBottom w:val="0"/>
      <w:divBdr>
        <w:top w:val="none" w:sz="0" w:space="0" w:color="auto"/>
        <w:left w:val="none" w:sz="0" w:space="0" w:color="auto"/>
        <w:bottom w:val="none" w:sz="0" w:space="0" w:color="auto"/>
        <w:right w:val="none" w:sz="0" w:space="0" w:color="auto"/>
      </w:divBdr>
    </w:div>
    <w:div w:id="616370973">
      <w:bodyDiv w:val="1"/>
      <w:marLeft w:val="0"/>
      <w:marRight w:val="0"/>
      <w:marTop w:val="0"/>
      <w:marBottom w:val="0"/>
      <w:divBdr>
        <w:top w:val="none" w:sz="0" w:space="0" w:color="auto"/>
        <w:left w:val="none" w:sz="0" w:space="0" w:color="auto"/>
        <w:bottom w:val="none" w:sz="0" w:space="0" w:color="auto"/>
        <w:right w:val="none" w:sz="0" w:space="0" w:color="auto"/>
      </w:divBdr>
    </w:div>
    <w:div w:id="699670316">
      <w:bodyDiv w:val="1"/>
      <w:marLeft w:val="0"/>
      <w:marRight w:val="0"/>
      <w:marTop w:val="0"/>
      <w:marBottom w:val="0"/>
      <w:divBdr>
        <w:top w:val="none" w:sz="0" w:space="0" w:color="auto"/>
        <w:left w:val="none" w:sz="0" w:space="0" w:color="auto"/>
        <w:bottom w:val="none" w:sz="0" w:space="0" w:color="auto"/>
        <w:right w:val="none" w:sz="0" w:space="0" w:color="auto"/>
      </w:divBdr>
    </w:div>
    <w:div w:id="721832075">
      <w:bodyDiv w:val="1"/>
      <w:marLeft w:val="0"/>
      <w:marRight w:val="0"/>
      <w:marTop w:val="0"/>
      <w:marBottom w:val="0"/>
      <w:divBdr>
        <w:top w:val="none" w:sz="0" w:space="0" w:color="auto"/>
        <w:left w:val="none" w:sz="0" w:space="0" w:color="auto"/>
        <w:bottom w:val="none" w:sz="0" w:space="0" w:color="auto"/>
        <w:right w:val="none" w:sz="0" w:space="0" w:color="auto"/>
      </w:divBdr>
    </w:div>
    <w:div w:id="991522060">
      <w:bodyDiv w:val="1"/>
      <w:marLeft w:val="0"/>
      <w:marRight w:val="0"/>
      <w:marTop w:val="0"/>
      <w:marBottom w:val="0"/>
      <w:divBdr>
        <w:top w:val="none" w:sz="0" w:space="0" w:color="auto"/>
        <w:left w:val="none" w:sz="0" w:space="0" w:color="auto"/>
        <w:bottom w:val="none" w:sz="0" w:space="0" w:color="auto"/>
        <w:right w:val="none" w:sz="0" w:space="0" w:color="auto"/>
      </w:divBdr>
    </w:div>
    <w:div w:id="1240946245">
      <w:bodyDiv w:val="1"/>
      <w:marLeft w:val="0"/>
      <w:marRight w:val="0"/>
      <w:marTop w:val="0"/>
      <w:marBottom w:val="0"/>
      <w:divBdr>
        <w:top w:val="none" w:sz="0" w:space="0" w:color="auto"/>
        <w:left w:val="none" w:sz="0" w:space="0" w:color="auto"/>
        <w:bottom w:val="none" w:sz="0" w:space="0" w:color="auto"/>
        <w:right w:val="none" w:sz="0" w:space="0" w:color="auto"/>
      </w:divBdr>
    </w:div>
    <w:div w:id="1325546480">
      <w:bodyDiv w:val="1"/>
      <w:marLeft w:val="0"/>
      <w:marRight w:val="0"/>
      <w:marTop w:val="0"/>
      <w:marBottom w:val="0"/>
      <w:divBdr>
        <w:top w:val="none" w:sz="0" w:space="0" w:color="auto"/>
        <w:left w:val="none" w:sz="0" w:space="0" w:color="auto"/>
        <w:bottom w:val="none" w:sz="0" w:space="0" w:color="auto"/>
        <w:right w:val="none" w:sz="0" w:space="0" w:color="auto"/>
      </w:divBdr>
    </w:div>
    <w:div w:id="1332952347">
      <w:bodyDiv w:val="1"/>
      <w:marLeft w:val="0"/>
      <w:marRight w:val="0"/>
      <w:marTop w:val="0"/>
      <w:marBottom w:val="0"/>
      <w:divBdr>
        <w:top w:val="none" w:sz="0" w:space="0" w:color="auto"/>
        <w:left w:val="none" w:sz="0" w:space="0" w:color="auto"/>
        <w:bottom w:val="none" w:sz="0" w:space="0" w:color="auto"/>
        <w:right w:val="none" w:sz="0" w:space="0" w:color="auto"/>
      </w:divBdr>
    </w:div>
    <w:div w:id="1416124340">
      <w:bodyDiv w:val="1"/>
      <w:marLeft w:val="0"/>
      <w:marRight w:val="0"/>
      <w:marTop w:val="0"/>
      <w:marBottom w:val="0"/>
      <w:divBdr>
        <w:top w:val="none" w:sz="0" w:space="0" w:color="auto"/>
        <w:left w:val="none" w:sz="0" w:space="0" w:color="auto"/>
        <w:bottom w:val="none" w:sz="0" w:space="0" w:color="auto"/>
        <w:right w:val="none" w:sz="0" w:space="0" w:color="auto"/>
      </w:divBdr>
    </w:div>
    <w:div w:id="1585525630">
      <w:bodyDiv w:val="1"/>
      <w:marLeft w:val="0"/>
      <w:marRight w:val="0"/>
      <w:marTop w:val="0"/>
      <w:marBottom w:val="0"/>
      <w:divBdr>
        <w:top w:val="none" w:sz="0" w:space="0" w:color="auto"/>
        <w:left w:val="none" w:sz="0" w:space="0" w:color="auto"/>
        <w:bottom w:val="none" w:sz="0" w:space="0" w:color="auto"/>
        <w:right w:val="none" w:sz="0" w:space="0" w:color="auto"/>
      </w:divBdr>
    </w:div>
    <w:div w:id="1617129693">
      <w:bodyDiv w:val="1"/>
      <w:marLeft w:val="0"/>
      <w:marRight w:val="0"/>
      <w:marTop w:val="0"/>
      <w:marBottom w:val="0"/>
      <w:divBdr>
        <w:top w:val="none" w:sz="0" w:space="0" w:color="auto"/>
        <w:left w:val="none" w:sz="0" w:space="0" w:color="auto"/>
        <w:bottom w:val="none" w:sz="0" w:space="0" w:color="auto"/>
        <w:right w:val="none" w:sz="0" w:space="0" w:color="auto"/>
      </w:divBdr>
    </w:div>
    <w:div w:id="1678995876">
      <w:bodyDiv w:val="1"/>
      <w:marLeft w:val="0"/>
      <w:marRight w:val="0"/>
      <w:marTop w:val="0"/>
      <w:marBottom w:val="0"/>
      <w:divBdr>
        <w:top w:val="none" w:sz="0" w:space="0" w:color="auto"/>
        <w:left w:val="none" w:sz="0" w:space="0" w:color="auto"/>
        <w:bottom w:val="none" w:sz="0" w:space="0" w:color="auto"/>
        <w:right w:val="none" w:sz="0" w:space="0" w:color="auto"/>
      </w:divBdr>
    </w:div>
    <w:div w:id="1715688629">
      <w:bodyDiv w:val="1"/>
      <w:marLeft w:val="0"/>
      <w:marRight w:val="0"/>
      <w:marTop w:val="0"/>
      <w:marBottom w:val="0"/>
      <w:divBdr>
        <w:top w:val="none" w:sz="0" w:space="0" w:color="auto"/>
        <w:left w:val="none" w:sz="0" w:space="0" w:color="auto"/>
        <w:bottom w:val="none" w:sz="0" w:space="0" w:color="auto"/>
        <w:right w:val="none" w:sz="0" w:space="0" w:color="auto"/>
      </w:divBdr>
    </w:div>
    <w:div w:id="1795323262">
      <w:bodyDiv w:val="1"/>
      <w:marLeft w:val="0"/>
      <w:marRight w:val="0"/>
      <w:marTop w:val="0"/>
      <w:marBottom w:val="0"/>
      <w:divBdr>
        <w:top w:val="none" w:sz="0" w:space="0" w:color="auto"/>
        <w:left w:val="none" w:sz="0" w:space="0" w:color="auto"/>
        <w:bottom w:val="none" w:sz="0" w:space="0" w:color="auto"/>
        <w:right w:val="none" w:sz="0" w:space="0" w:color="auto"/>
      </w:divBdr>
    </w:div>
    <w:div w:id="1890529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oecd.org/publications/metodicke-pokyny-oecd-pro-spravu-a-rizeni-statem-vlastnenych-spolecnosti-vydano-2015-9788027025992-cs.htm"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D539341177ECD40960239F48D1405B4" ma:contentTypeVersion="0" ma:contentTypeDescription="Vytvoří nový dokument" ma:contentTypeScope="" ma:versionID="1d0644d00c411e098e630237ad183f01">
  <xsd:schema xmlns:xsd="http://www.w3.org/2001/XMLSchema" xmlns:xs="http://www.w3.org/2001/XMLSchema" xmlns:p="http://schemas.microsoft.com/office/2006/metadata/properties" targetNamespace="http://schemas.microsoft.com/office/2006/metadata/properties" ma:root="true" ma:fieldsID="2ecb93c72f33e94aa0d8973920a8bbe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20E46C-1E80-402A-A2A8-E663701728A7}">
  <ds:schemaRefs>
    <ds:schemaRef ds:uri="http://schemas.microsoft.com/office/2006/documentManagement/types"/>
    <ds:schemaRef ds:uri="http://purl.org/dc/terms/"/>
    <ds:schemaRef ds:uri="http://purl.org/dc/dcmitype/"/>
    <ds:schemaRef ds:uri="http://purl.org/dc/elements/1.1/"/>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8D92DF46-9909-4FD3-9718-8E625152752C}">
  <ds:schemaRefs>
    <ds:schemaRef ds:uri="http://schemas.microsoft.com/sharepoint/v3/contenttype/forms"/>
  </ds:schemaRefs>
</ds:datastoreItem>
</file>

<file path=customXml/itemProps3.xml><?xml version="1.0" encoding="utf-8"?>
<ds:datastoreItem xmlns:ds="http://schemas.openxmlformats.org/officeDocument/2006/customXml" ds:itemID="{27AA8219-0ACE-40FA-B1CB-DF114FA1AA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B40ADE9-B7EE-4322-8E77-1180C59D7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BC0A6A0E.dotm</Template>
  <TotalTime>15</TotalTime>
  <Pages>19</Pages>
  <Words>6916</Words>
  <Characters>40808</Characters>
  <Application>Microsoft Office Word</Application>
  <DocSecurity>0</DocSecurity>
  <Lines>340</Lines>
  <Paragraphs>95</Paragraphs>
  <ScaleCrop>false</ScaleCrop>
  <HeadingPairs>
    <vt:vector size="2" baseType="variant">
      <vt:variant>
        <vt:lpstr>Název</vt:lpstr>
      </vt:variant>
      <vt:variant>
        <vt:i4>1</vt:i4>
      </vt:variant>
    </vt:vector>
  </HeadingPairs>
  <TitlesOfParts>
    <vt:vector size="1" baseType="lpstr">
      <vt:lpstr>Kontrolní závěr z kontrolní akce NKÚ č. 19/18 - Podpory poskytované Podpůrným a garančním rolnickým a lesnickým fondem, a.s.</vt:lpstr>
    </vt:vector>
  </TitlesOfParts>
  <Company>NKU</Company>
  <LinksUpToDate>false</LinksUpToDate>
  <CharactersWithSpaces>47629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Kontrolní závěr z kontrolní akce NKÚ č. 19/18 - Podpory poskytované Podpůrným a garančním rolnickým a lesnickým fondem, a.s.</dc:title>
  <dc:subject/>
  <dc:creator>Nejvyšší kontrolní úřad</dc:creator>
  <cp:keywords>kontrolní závěr; PGRLF</cp:keywords>
  <dc:description/>
  <cp:lastModifiedBy>KOKRDA Daniel</cp:lastModifiedBy>
  <cp:revision>4</cp:revision>
  <cp:lastPrinted>2020-06-08T08:36:00Z</cp:lastPrinted>
  <dcterms:created xsi:type="dcterms:W3CDTF">2020-06-08T08:32:00Z</dcterms:created>
  <dcterms:modified xsi:type="dcterms:W3CDTF">2020-06-08T08:45:00Z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0x010100CD539341177ECD40960239F48D1405B4</vt:lpwstr>
  </property>
</Properties>
</file>