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F557" w14:textId="3C647A2C" w:rsidR="00462F78" w:rsidRPr="008256BF" w:rsidRDefault="00462F78" w:rsidP="008256BF">
      <w:pPr>
        <w:jc w:val="center"/>
        <w:rPr>
          <w:rFonts w:asciiTheme="minorHAnsi" w:hAnsiTheme="minorHAnsi" w:cstheme="minorHAnsi"/>
          <w:b/>
          <w:szCs w:val="28"/>
        </w:rPr>
      </w:pPr>
      <w:bookmarkStart w:id="0" w:name="_GoBack"/>
      <w:bookmarkEnd w:id="0"/>
      <w:r w:rsidRPr="008256BF">
        <w:rPr>
          <w:rFonts w:asciiTheme="minorHAnsi" w:hAnsiTheme="minorHAnsi" w:cstheme="minorHAnsi"/>
          <w:b/>
          <w:noProof/>
          <w:szCs w:val="28"/>
        </w:rPr>
        <w:drawing>
          <wp:anchor distT="0" distB="0" distL="114300" distR="114300" simplePos="0" relativeHeight="251656192" behindDoc="0" locked="0" layoutInCell="1" allowOverlap="1" wp14:anchorId="3386884A" wp14:editId="4B275473">
            <wp:simplePos x="0" y="0"/>
            <wp:positionH relativeFrom="column">
              <wp:posOffset>2487461</wp:posOffset>
            </wp:positionH>
            <wp:positionV relativeFrom="paragraph">
              <wp:posOffset>-1298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ADFBA" w14:textId="77777777" w:rsidR="00462F78" w:rsidRPr="008256BF" w:rsidRDefault="00462F78" w:rsidP="008256BF">
      <w:pPr>
        <w:pStyle w:val="Bn"/>
        <w:spacing w:before="0" w:line="240" w:lineRule="auto"/>
        <w:ind w:firstLine="0"/>
        <w:jc w:val="center"/>
        <w:rPr>
          <w:rFonts w:asciiTheme="minorHAnsi" w:eastAsia="Times New Roman" w:hAnsiTheme="minorHAnsi" w:cstheme="minorHAnsi"/>
          <w:b/>
          <w:sz w:val="24"/>
          <w:szCs w:val="28"/>
        </w:rPr>
      </w:pPr>
    </w:p>
    <w:p w14:paraId="0359CBF2" w14:textId="77777777" w:rsidR="00F82300" w:rsidRPr="008256BF" w:rsidRDefault="00F82300" w:rsidP="008256BF">
      <w:pPr>
        <w:jc w:val="center"/>
        <w:rPr>
          <w:rFonts w:asciiTheme="minorHAnsi" w:hAnsiTheme="minorHAnsi" w:cstheme="minorHAnsi"/>
          <w:b/>
          <w:szCs w:val="28"/>
        </w:rPr>
      </w:pPr>
    </w:p>
    <w:p w14:paraId="1015A33D" w14:textId="6085AD64" w:rsidR="00462F78" w:rsidRPr="000F7BAE" w:rsidRDefault="00462F78" w:rsidP="000F7BA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7BAE">
        <w:rPr>
          <w:rFonts w:asciiTheme="minorHAnsi" w:hAnsiTheme="minorHAnsi" w:cstheme="minorHAnsi"/>
          <w:b/>
          <w:sz w:val="28"/>
          <w:szCs w:val="28"/>
        </w:rPr>
        <w:t>Kontrolní závěr z kontrolní akce</w:t>
      </w:r>
    </w:p>
    <w:p w14:paraId="29240546" w14:textId="77777777" w:rsidR="00462F78" w:rsidRPr="00C53ECF" w:rsidRDefault="00462F78" w:rsidP="00462F78">
      <w:pPr>
        <w:jc w:val="center"/>
        <w:rPr>
          <w:rFonts w:asciiTheme="minorHAnsi" w:hAnsiTheme="minorHAnsi" w:cstheme="minorHAnsi"/>
        </w:rPr>
      </w:pPr>
    </w:p>
    <w:p w14:paraId="65EB050D" w14:textId="50DBDAB4" w:rsidR="00462F78" w:rsidRPr="00C53ECF" w:rsidRDefault="00462F78" w:rsidP="00462F78">
      <w:pPr>
        <w:ind w:right="68"/>
        <w:jc w:val="center"/>
        <w:rPr>
          <w:rFonts w:asciiTheme="minorHAnsi" w:hAnsiTheme="minorHAnsi" w:cstheme="minorHAnsi"/>
          <w:b/>
          <w:bCs/>
          <w:sz w:val="28"/>
        </w:rPr>
      </w:pPr>
      <w:r w:rsidRPr="00C53ECF">
        <w:rPr>
          <w:rFonts w:asciiTheme="minorHAnsi" w:hAnsiTheme="minorHAnsi" w:cstheme="minorHAnsi"/>
          <w:b/>
          <w:bCs/>
          <w:sz w:val="28"/>
        </w:rPr>
        <w:t>1</w:t>
      </w:r>
      <w:r w:rsidR="00D74096">
        <w:rPr>
          <w:rFonts w:asciiTheme="minorHAnsi" w:hAnsiTheme="minorHAnsi" w:cstheme="minorHAnsi"/>
          <w:b/>
          <w:bCs/>
          <w:sz w:val="28"/>
        </w:rPr>
        <w:t>9</w:t>
      </w:r>
      <w:r w:rsidRPr="00C53ECF">
        <w:rPr>
          <w:rFonts w:asciiTheme="minorHAnsi" w:hAnsiTheme="minorHAnsi" w:cstheme="minorHAnsi"/>
          <w:b/>
          <w:bCs/>
          <w:sz w:val="28"/>
        </w:rPr>
        <w:t>/</w:t>
      </w:r>
      <w:r w:rsidR="00D74096">
        <w:rPr>
          <w:rFonts w:asciiTheme="minorHAnsi" w:hAnsiTheme="minorHAnsi" w:cstheme="minorHAnsi"/>
          <w:b/>
          <w:bCs/>
          <w:sz w:val="28"/>
        </w:rPr>
        <w:t>13</w:t>
      </w:r>
    </w:p>
    <w:p w14:paraId="042DAD86" w14:textId="77777777" w:rsidR="00462F78" w:rsidRPr="00C53ECF" w:rsidRDefault="00462F78" w:rsidP="00462F78">
      <w:pPr>
        <w:ind w:right="68"/>
        <w:jc w:val="center"/>
        <w:rPr>
          <w:rFonts w:asciiTheme="minorHAnsi" w:hAnsiTheme="minorHAnsi" w:cstheme="minorHAnsi"/>
          <w:bCs/>
        </w:rPr>
      </w:pPr>
    </w:p>
    <w:p w14:paraId="6766B370" w14:textId="4DD61F4B" w:rsidR="007347A4" w:rsidRPr="00C53ECF" w:rsidRDefault="00D74096" w:rsidP="007347A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Obrněná technika </w:t>
      </w:r>
      <w:r w:rsidR="00A648FB" w:rsidRPr="00C53ECF">
        <w:rPr>
          <w:rFonts w:asciiTheme="minorHAnsi" w:hAnsiTheme="minorHAnsi" w:cstheme="minorHAnsi"/>
          <w:b/>
          <w:sz w:val="28"/>
          <w:szCs w:val="28"/>
        </w:rPr>
        <w:t xml:space="preserve">Armády </w:t>
      </w:r>
      <w:r w:rsidR="007347A4" w:rsidRPr="00C53ECF">
        <w:rPr>
          <w:rFonts w:asciiTheme="minorHAnsi" w:hAnsiTheme="minorHAnsi" w:cstheme="minorHAnsi"/>
          <w:b/>
          <w:sz w:val="28"/>
          <w:szCs w:val="28"/>
        </w:rPr>
        <w:t>České republiky</w:t>
      </w:r>
    </w:p>
    <w:p w14:paraId="69FEADA5" w14:textId="77777777" w:rsidR="00462F78" w:rsidRPr="00C53ECF" w:rsidRDefault="00462F78" w:rsidP="008256BF">
      <w:pPr>
        <w:spacing w:line="264" w:lineRule="auto"/>
        <w:jc w:val="both"/>
        <w:rPr>
          <w:rFonts w:asciiTheme="minorHAnsi" w:hAnsiTheme="minorHAnsi" w:cstheme="minorHAnsi"/>
        </w:rPr>
      </w:pPr>
    </w:p>
    <w:p w14:paraId="6A588A9A" w14:textId="77777777" w:rsidR="00462F78" w:rsidRPr="00C53ECF" w:rsidRDefault="00462F78" w:rsidP="008256BF">
      <w:pPr>
        <w:spacing w:line="264" w:lineRule="auto"/>
        <w:jc w:val="both"/>
        <w:rPr>
          <w:rFonts w:asciiTheme="minorHAnsi" w:hAnsiTheme="minorHAnsi" w:cstheme="minorHAnsi"/>
        </w:rPr>
      </w:pPr>
    </w:p>
    <w:p w14:paraId="61CA12DB" w14:textId="73DDD935" w:rsidR="00462F78" w:rsidRPr="00C53ECF" w:rsidRDefault="00462F78" w:rsidP="00462F78">
      <w:pPr>
        <w:pStyle w:val="Zkladn"/>
        <w:spacing w:before="0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</w:rPr>
        <w:t>Kontrolní akce byla zařazena do plánu kontrolní činnosti Nejvyššího kontrolního úřadu (dále</w:t>
      </w:r>
      <w:r w:rsidR="00417867">
        <w:rPr>
          <w:rFonts w:asciiTheme="minorHAnsi" w:hAnsiTheme="minorHAnsi" w:cstheme="minorHAnsi"/>
        </w:rPr>
        <w:t xml:space="preserve"> </w:t>
      </w:r>
      <w:r w:rsidRPr="00C53ECF">
        <w:rPr>
          <w:rFonts w:asciiTheme="minorHAnsi" w:hAnsiTheme="minorHAnsi" w:cstheme="minorHAnsi"/>
        </w:rPr>
        <w:t>jen „NKÚ“) na rok 201</w:t>
      </w:r>
      <w:r w:rsidR="00D74096">
        <w:rPr>
          <w:rFonts w:asciiTheme="minorHAnsi" w:hAnsiTheme="minorHAnsi" w:cstheme="minorHAnsi"/>
        </w:rPr>
        <w:t>9</w:t>
      </w:r>
      <w:r w:rsidRPr="00C53ECF">
        <w:rPr>
          <w:rFonts w:asciiTheme="minorHAnsi" w:hAnsiTheme="minorHAnsi" w:cstheme="minorHAnsi"/>
        </w:rPr>
        <w:t xml:space="preserve"> pod číslem 1</w:t>
      </w:r>
      <w:r w:rsidR="00D74096">
        <w:rPr>
          <w:rFonts w:asciiTheme="minorHAnsi" w:hAnsiTheme="minorHAnsi" w:cstheme="minorHAnsi"/>
        </w:rPr>
        <w:t>9</w:t>
      </w:r>
      <w:r w:rsidRPr="00C53ECF">
        <w:rPr>
          <w:rFonts w:asciiTheme="minorHAnsi" w:hAnsiTheme="minorHAnsi" w:cstheme="minorHAnsi"/>
        </w:rPr>
        <w:t>/</w:t>
      </w:r>
      <w:r w:rsidR="00D74096">
        <w:rPr>
          <w:rFonts w:asciiTheme="minorHAnsi" w:hAnsiTheme="minorHAnsi" w:cstheme="minorHAnsi"/>
        </w:rPr>
        <w:t>13</w:t>
      </w:r>
      <w:r w:rsidRPr="00C53ECF">
        <w:rPr>
          <w:rFonts w:asciiTheme="minorHAnsi" w:hAnsiTheme="minorHAnsi" w:cstheme="minorHAnsi"/>
        </w:rPr>
        <w:t>. Kontrolní akci řídil a kontrolní závěr vypracoval člen</w:t>
      </w:r>
      <w:r w:rsidR="00417867">
        <w:rPr>
          <w:rFonts w:asciiTheme="minorHAnsi" w:hAnsiTheme="minorHAnsi" w:cstheme="minorHAnsi"/>
        </w:rPr>
        <w:t> </w:t>
      </w:r>
      <w:r w:rsidRPr="00C53ECF">
        <w:rPr>
          <w:rFonts w:asciiTheme="minorHAnsi" w:hAnsiTheme="minorHAnsi" w:cstheme="minorHAnsi"/>
        </w:rPr>
        <w:t xml:space="preserve">NKÚ </w:t>
      </w:r>
      <w:r w:rsidR="00F01658">
        <w:rPr>
          <w:rFonts w:asciiTheme="minorHAnsi" w:hAnsiTheme="minorHAnsi" w:cstheme="minorHAnsi"/>
        </w:rPr>
        <w:t>RNDr. </w:t>
      </w:r>
      <w:r w:rsidR="00D74096">
        <w:rPr>
          <w:rFonts w:asciiTheme="minorHAnsi" w:hAnsiTheme="minorHAnsi" w:cstheme="minorHAnsi"/>
        </w:rPr>
        <w:t xml:space="preserve">Petr </w:t>
      </w:r>
      <w:proofErr w:type="spellStart"/>
      <w:r w:rsidR="00D74096">
        <w:rPr>
          <w:rFonts w:asciiTheme="minorHAnsi" w:hAnsiTheme="minorHAnsi" w:cstheme="minorHAnsi"/>
        </w:rPr>
        <w:t>Neuvirt</w:t>
      </w:r>
      <w:proofErr w:type="spellEnd"/>
      <w:r w:rsidRPr="00C53ECF">
        <w:rPr>
          <w:rFonts w:asciiTheme="minorHAnsi" w:hAnsiTheme="minorHAnsi" w:cstheme="minorHAnsi"/>
        </w:rPr>
        <w:t xml:space="preserve">. </w:t>
      </w:r>
    </w:p>
    <w:p w14:paraId="20423E64" w14:textId="77777777" w:rsidR="00462F78" w:rsidRPr="00C53ECF" w:rsidRDefault="00462F78" w:rsidP="00462F78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14:paraId="28604C36" w14:textId="118871F2" w:rsidR="007347A4" w:rsidRPr="00C53ECF" w:rsidRDefault="00462F78" w:rsidP="007347A4">
      <w:pPr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  <w:lang w:eastAsia="en-US"/>
        </w:rPr>
        <w:t xml:space="preserve">Cílem kontroly bylo </w:t>
      </w:r>
      <w:r w:rsidR="00A648FB" w:rsidRPr="00C53ECF">
        <w:rPr>
          <w:rFonts w:asciiTheme="minorHAnsi" w:hAnsiTheme="minorHAnsi" w:cstheme="minorHAnsi"/>
          <w:lang w:eastAsia="en-US"/>
        </w:rPr>
        <w:t xml:space="preserve">prověřit, zda </w:t>
      </w:r>
      <w:r w:rsidR="00D74096">
        <w:rPr>
          <w:rFonts w:asciiTheme="minorHAnsi" w:hAnsiTheme="minorHAnsi" w:cstheme="minorHAnsi"/>
          <w:lang w:eastAsia="en-US"/>
        </w:rPr>
        <w:t xml:space="preserve">peněžní prostředky státního rozpočtu vyčleněné na realizaci jednotlivých investičních akcí a opravy a udržování obrněné techniky Armády ČR byly vynaloženy dle potřeb Armády ČR </w:t>
      </w:r>
      <w:r w:rsidR="00A648FB" w:rsidRPr="00C53ECF">
        <w:rPr>
          <w:rFonts w:asciiTheme="minorHAnsi" w:hAnsiTheme="minorHAnsi" w:cstheme="minorHAnsi"/>
          <w:lang w:eastAsia="en-US"/>
        </w:rPr>
        <w:t>v souladu s</w:t>
      </w:r>
      <w:r w:rsidR="00D74096">
        <w:rPr>
          <w:rFonts w:asciiTheme="minorHAnsi" w:hAnsiTheme="minorHAnsi" w:cstheme="minorHAnsi"/>
          <w:lang w:eastAsia="en-US"/>
        </w:rPr>
        <w:t xml:space="preserve"> obecně platnými </w:t>
      </w:r>
      <w:r w:rsidR="00A648FB" w:rsidRPr="00C53ECF">
        <w:rPr>
          <w:rFonts w:asciiTheme="minorHAnsi" w:hAnsiTheme="minorHAnsi" w:cstheme="minorHAnsi"/>
          <w:lang w:eastAsia="en-US"/>
        </w:rPr>
        <w:t>právními předpisy</w:t>
      </w:r>
      <w:r w:rsidR="00D74096">
        <w:rPr>
          <w:rFonts w:asciiTheme="minorHAnsi" w:hAnsiTheme="minorHAnsi" w:cstheme="minorHAnsi"/>
          <w:lang w:eastAsia="en-US"/>
        </w:rPr>
        <w:t>, účelně, hospodárně a efektivně ve stanovených termínech</w:t>
      </w:r>
      <w:r w:rsidR="007347A4" w:rsidRPr="00C53ECF">
        <w:rPr>
          <w:rFonts w:asciiTheme="minorHAnsi" w:hAnsiTheme="minorHAnsi" w:cstheme="minorHAnsi"/>
        </w:rPr>
        <w:t>.</w:t>
      </w:r>
    </w:p>
    <w:p w14:paraId="6A1B6FE6" w14:textId="70BD227F" w:rsidR="00F82300" w:rsidRPr="00C53ECF" w:rsidRDefault="00F82300" w:rsidP="007347A4">
      <w:pPr>
        <w:jc w:val="both"/>
        <w:rPr>
          <w:rFonts w:asciiTheme="minorHAnsi" w:hAnsiTheme="minorHAnsi" w:cstheme="minorHAnsi"/>
        </w:rPr>
      </w:pPr>
    </w:p>
    <w:p w14:paraId="0EC4B24F" w14:textId="222DE4A9" w:rsidR="009A6EDE" w:rsidRPr="00C53ECF" w:rsidRDefault="009A6EDE" w:rsidP="009A6EDE">
      <w:pPr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</w:rPr>
        <w:t>Kontrola byla prováděna u kontrolovan</w:t>
      </w:r>
      <w:r w:rsidR="00D74096">
        <w:rPr>
          <w:rFonts w:asciiTheme="minorHAnsi" w:hAnsiTheme="minorHAnsi" w:cstheme="minorHAnsi"/>
        </w:rPr>
        <w:t xml:space="preserve">é osoby </w:t>
      </w:r>
      <w:r w:rsidRPr="00C53ECF">
        <w:rPr>
          <w:rFonts w:asciiTheme="minorHAnsi" w:hAnsiTheme="minorHAnsi" w:cstheme="minorHAnsi"/>
        </w:rPr>
        <w:t xml:space="preserve">v období od </w:t>
      </w:r>
      <w:r w:rsidR="00D74096">
        <w:rPr>
          <w:rFonts w:asciiTheme="minorHAnsi" w:hAnsiTheme="minorHAnsi" w:cstheme="minorHAnsi"/>
        </w:rPr>
        <w:t>června</w:t>
      </w:r>
      <w:r w:rsidRPr="00C53ECF">
        <w:rPr>
          <w:rFonts w:asciiTheme="minorHAnsi" w:hAnsiTheme="minorHAnsi" w:cstheme="minorHAnsi"/>
        </w:rPr>
        <w:t xml:space="preserve"> do </w:t>
      </w:r>
      <w:r w:rsidR="00D74096">
        <w:rPr>
          <w:rFonts w:asciiTheme="minorHAnsi" w:hAnsiTheme="minorHAnsi" w:cstheme="minorHAnsi"/>
        </w:rPr>
        <w:t>prosince</w:t>
      </w:r>
      <w:r w:rsidRPr="00C53ECF">
        <w:rPr>
          <w:rFonts w:asciiTheme="minorHAnsi" w:hAnsiTheme="minorHAnsi" w:cstheme="minorHAnsi"/>
        </w:rPr>
        <w:t xml:space="preserve"> 201</w:t>
      </w:r>
      <w:r w:rsidR="00D74096">
        <w:rPr>
          <w:rFonts w:asciiTheme="minorHAnsi" w:hAnsiTheme="minorHAnsi" w:cstheme="minorHAnsi"/>
        </w:rPr>
        <w:t>9</w:t>
      </w:r>
      <w:r w:rsidRPr="00C53ECF">
        <w:rPr>
          <w:rFonts w:asciiTheme="minorHAnsi" w:hAnsiTheme="minorHAnsi" w:cstheme="minorHAnsi"/>
        </w:rPr>
        <w:t>.</w:t>
      </w:r>
    </w:p>
    <w:p w14:paraId="3FA862C9" w14:textId="77777777" w:rsidR="009A6EDE" w:rsidRDefault="009A6EDE" w:rsidP="007347A4">
      <w:pPr>
        <w:jc w:val="both"/>
        <w:rPr>
          <w:rFonts w:asciiTheme="minorHAnsi" w:hAnsiTheme="minorHAnsi" w:cstheme="minorHAnsi"/>
        </w:rPr>
      </w:pPr>
    </w:p>
    <w:p w14:paraId="64EC605B" w14:textId="2E58037A" w:rsidR="00F82300" w:rsidRPr="00C53ECF" w:rsidRDefault="00F82300" w:rsidP="007347A4">
      <w:pPr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</w:rPr>
        <w:t>Kontrolováno bylo období od roku 201</w:t>
      </w:r>
      <w:r w:rsidR="00D74096">
        <w:rPr>
          <w:rFonts w:asciiTheme="minorHAnsi" w:hAnsiTheme="minorHAnsi" w:cstheme="minorHAnsi"/>
        </w:rPr>
        <w:t>6</w:t>
      </w:r>
      <w:r w:rsidRPr="00C53ECF">
        <w:rPr>
          <w:rFonts w:asciiTheme="minorHAnsi" w:hAnsiTheme="minorHAnsi" w:cstheme="minorHAnsi"/>
        </w:rPr>
        <w:t xml:space="preserve"> do roku 201</w:t>
      </w:r>
      <w:r w:rsidR="00D74096">
        <w:rPr>
          <w:rFonts w:asciiTheme="minorHAnsi" w:hAnsiTheme="minorHAnsi" w:cstheme="minorHAnsi"/>
        </w:rPr>
        <w:t>8</w:t>
      </w:r>
      <w:r w:rsidRPr="00C53ECF">
        <w:rPr>
          <w:rFonts w:asciiTheme="minorHAnsi" w:hAnsiTheme="minorHAnsi" w:cstheme="minorHAnsi"/>
        </w:rPr>
        <w:t xml:space="preserve">, v případě věcných souvislostí i období předcházející a </w:t>
      </w:r>
      <w:r w:rsidR="00D74096">
        <w:rPr>
          <w:rFonts w:asciiTheme="minorHAnsi" w:hAnsiTheme="minorHAnsi" w:cstheme="minorHAnsi"/>
        </w:rPr>
        <w:t>období do ukončení kontroly</w:t>
      </w:r>
      <w:r w:rsidRPr="00C53ECF">
        <w:rPr>
          <w:rFonts w:asciiTheme="minorHAnsi" w:hAnsiTheme="minorHAnsi" w:cstheme="minorHAnsi"/>
        </w:rPr>
        <w:t>.</w:t>
      </w:r>
    </w:p>
    <w:p w14:paraId="2502E541" w14:textId="77777777" w:rsidR="00462F78" w:rsidRPr="00C53ECF" w:rsidRDefault="00462F78" w:rsidP="00462F78">
      <w:pPr>
        <w:pStyle w:val="Zkladn"/>
        <w:spacing w:before="0"/>
        <w:rPr>
          <w:rFonts w:asciiTheme="minorHAnsi" w:hAnsiTheme="minorHAnsi" w:cstheme="minorHAnsi"/>
        </w:rPr>
      </w:pPr>
    </w:p>
    <w:p w14:paraId="7B21A934" w14:textId="651D6857" w:rsidR="00462F78" w:rsidRPr="00C53ECF" w:rsidRDefault="00462F78" w:rsidP="00462F78">
      <w:pPr>
        <w:pStyle w:val="Zkladn"/>
        <w:spacing w:before="0"/>
        <w:rPr>
          <w:rFonts w:asciiTheme="minorHAnsi" w:hAnsiTheme="minorHAnsi" w:cstheme="minorHAnsi"/>
          <w:b/>
        </w:rPr>
      </w:pPr>
      <w:r w:rsidRPr="00C53ECF">
        <w:rPr>
          <w:rFonts w:asciiTheme="minorHAnsi" w:hAnsiTheme="minorHAnsi" w:cstheme="minorHAnsi"/>
          <w:b/>
        </w:rPr>
        <w:t>Kontrolovan</w:t>
      </w:r>
      <w:r w:rsidR="00D74096">
        <w:rPr>
          <w:rFonts w:asciiTheme="minorHAnsi" w:hAnsiTheme="minorHAnsi" w:cstheme="minorHAnsi"/>
          <w:b/>
        </w:rPr>
        <w:t>á</w:t>
      </w:r>
      <w:r w:rsidRPr="00C53ECF">
        <w:rPr>
          <w:rFonts w:asciiTheme="minorHAnsi" w:hAnsiTheme="minorHAnsi" w:cstheme="minorHAnsi"/>
          <w:b/>
        </w:rPr>
        <w:t xml:space="preserve"> osob</w:t>
      </w:r>
      <w:r w:rsidR="00D74096">
        <w:rPr>
          <w:rFonts w:asciiTheme="minorHAnsi" w:hAnsiTheme="minorHAnsi" w:cstheme="minorHAnsi"/>
          <w:b/>
        </w:rPr>
        <w:t>a</w:t>
      </w:r>
      <w:r w:rsidRPr="00C53ECF">
        <w:rPr>
          <w:rFonts w:asciiTheme="minorHAnsi" w:hAnsiTheme="minorHAnsi" w:cstheme="minorHAnsi"/>
          <w:b/>
        </w:rPr>
        <w:t>:</w:t>
      </w:r>
    </w:p>
    <w:p w14:paraId="556531BE" w14:textId="7242DC1E" w:rsidR="007347A4" w:rsidRPr="00C53ECF" w:rsidRDefault="00462F78" w:rsidP="00462F78">
      <w:pPr>
        <w:pStyle w:val="Zkladn"/>
        <w:spacing w:before="0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</w:rPr>
        <w:t xml:space="preserve">Ministerstvo </w:t>
      </w:r>
      <w:r w:rsidR="00A648FB" w:rsidRPr="00C53ECF">
        <w:rPr>
          <w:rFonts w:asciiTheme="minorHAnsi" w:hAnsiTheme="minorHAnsi" w:cstheme="minorHAnsi"/>
        </w:rPr>
        <w:t>obrany</w:t>
      </w:r>
      <w:r w:rsidR="008C44B8">
        <w:rPr>
          <w:rFonts w:asciiTheme="minorHAnsi" w:hAnsiTheme="minorHAnsi" w:cstheme="minorHAnsi"/>
        </w:rPr>
        <w:t xml:space="preserve"> (dále také „MO“)</w:t>
      </w:r>
      <w:r w:rsidR="00253050">
        <w:rPr>
          <w:rFonts w:asciiTheme="minorHAnsi" w:hAnsiTheme="minorHAnsi" w:cstheme="minorHAnsi"/>
        </w:rPr>
        <w:t>.</w:t>
      </w:r>
    </w:p>
    <w:p w14:paraId="637B2F72" w14:textId="42B78211" w:rsidR="00164806" w:rsidRDefault="00164806" w:rsidP="00462F78">
      <w:pPr>
        <w:ind w:right="70"/>
        <w:jc w:val="both"/>
        <w:rPr>
          <w:rFonts w:asciiTheme="minorHAnsi" w:hAnsiTheme="minorHAnsi" w:cstheme="minorHAnsi"/>
        </w:rPr>
      </w:pPr>
    </w:p>
    <w:p w14:paraId="15059321" w14:textId="77777777" w:rsidR="0045134E" w:rsidRPr="00C53ECF" w:rsidRDefault="0045134E" w:rsidP="00462F78">
      <w:pPr>
        <w:ind w:right="70"/>
        <w:jc w:val="both"/>
        <w:rPr>
          <w:rFonts w:asciiTheme="minorHAnsi" w:hAnsiTheme="minorHAnsi" w:cstheme="minorHAnsi"/>
        </w:rPr>
      </w:pPr>
    </w:p>
    <w:p w14:paraId="4315B289" w14:textId="78B78EFE" w:rsidR="00462F78" w:rsidRPr="00C53ECF" w:rsidRDefault="00462F78" w:rsidP="00417867">
      <w:pPr>
        <w:spacing w:line="360" w:lineRule="auto"/>
        <w:ind w:right="70"/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  <w:b/>
          <w:bCs/>
          <w:i/>
          <w:iCs/>
        </w:rPr>
        <w:t>K o l e g i u m</w:t>
      </w:r>
      <w:r w:rsidRPr="00C53ECF">
        <w:rPr>
          <w:rFonts w:asciiTheme="minorHAnsi" w:hAnsiTheme="minorHAnsi" w:cstheme="minorHAnsi"/>
        </w:rPr>
        <w:t xml:space="preserve">   </w:t>
      </w:r>
      <w:r w:rsidRPr="00C53ECF">
        <w:rPr>
          <w:rFonts w:asciiTheme="minorHAnsi" w:hAnsiTheme="minorHAnsi" w:cstheme="minorHAnsi"/>
          <w:b/>
          <w:bCs/>
          <w:i/>
          <w:iCs/>
        </w:rPr>
        <w:t xml:space="preserve">N K Ú  </w:t>
      </w:r>
      <w:r w:rsidRPr="00C53ECF">
        <w:rPr>
          <w:rFonts w:asciiTheme="minorHAnsi" w:hAnsiTheme="minorHAnsi" w:cstheme="minorHAnsi"/>
          <w:b/>
          <w:bCs/>
          <w:iCs/>
        </w:rPr>
        <w:t xml:space="preserve"> </w:t>
      </w:r>
      <w:r w:rsidRPr="00C53ECF">
        <w:rPr>
          <w:rFonts w:asciiTheme="minorHAnsi" w:hAnsiTheme="minorHAnsi" w:cstheme="minorHAnsi"/>
        </w:rPr>
        <w:t xml:space="preserve">na </w:t>
      </w:r>
      <w:r w:rsidRPr="00381E9F">
        <w:rPr>
          <w:rFonts w:asciiTheme="minorHAnsi" w:hAnsiTheme="minorHAnsi" w:cstheme="minorHAnsi"/>
        </w:rPr>
        <w:t>svém</w:t>
      </w:r>
      <w:r w:rsidR="00C252A4">
        <w:rPr>
          <w:rFonts w:asciiTheme="minorHAnsi" w:hAnsiTheme="minorHAnsi" w:cstheme="minorHAnsi"/>
        </w:rPr>
        <w:t xml:space="preserve"> </w:t>
      </w:r>
      <w:r w:rsidR="001A669C">
        <w:rPr>
          <w:rFonts w:asciiTheme="minorHAnsi" w:hAnsiTheme="minorHAnsi" w:cstheme="minorHAnsi"/>
        </w:rPr>
        <w:t>V</w:t>
      </w:r>
      <w:r w:rsidR="003A25F6">
        <w:rPr>
          <w:rFonts w:asciiTheme="minorHAnsi" w:hAnsiTheme="minorHAnsi" w:cstheme="minorHAnsi"/>
        </w:rPr>
        <w:t>I</w:t>
      </w:r>
      <w:r w:rsidR="001A669C">
        <w:rPr>
          <w:rFonts w:asciiTheme="minorHAnsi" w:hAnsiTheme="minorHAnsi" w:cstheme="minorHAnsi"/>
        </w:rPr>
        <w:t>.</w:t>
      </w:r>
      <w:r w:rsidR="00C252A4">
        <w:rPr>
          <w:rFonts w:asciiTheme="minorHAnsi" w:hAnsiTheme="minorHAnsi" w:cstheme="minorHAnsi"/>
        </w:rPr>
        <w:t xml:space="preserve"> </w:t>
      </w:r>
      <w:r w:rsidRPr="00381E9F">
        <w:rPr>
          <w:rFonts w:asciiTheme="minorHAnsi" w:hAnsiTheme="minorHAnsi" w:cstheme="minorHAnsi"/>
        </w:rPr>
        <w:t>jednání</w:t>
      </w:r>
      <w:r w:rsidRPr="00C53ECF">
        <w:rPr>
          <w:rFonts w:asciiTheme="minorHAnsi" w:hAnsiTheme="minorHAnsi" w:cstheme="minorHAnsi"/>
        </w:rPr>
        <w:t>, které se konalo dne</w:t>
      </w:r>
      <w:r w:rsidR="001A669C">
        <w:rPr>
          <w:rFonts w:asciiTheme="minorHAnsi" w:hAnsiTheme="minorHAnsi" w:cstheme="minorHAnsi"/>
        </w:rPr>
        <w:t xml:space="preserve"> </w:t>
      </w:r>
      <w:r w:rsidR="003A25F6">
        <w:rPr>
          <w:rFonts w:asciiTheme="minorHAnsi" w:hAnsiTheme="minorHAnsi" w:cstheme="minorHAnsi"/>
        </w:rPr>
        <w:t>6. dubna</w:t>
      </w:r>
      <w:r w:rsidRPr="00C53ECF">
        <w:rPr>
          <w:rFonts w:asciiTheme="minorHAnsi" w:hAnsiTheme="minorHAnsi" w:cstheme="minorHAnsi"/>
        </w:rPr>
        <w:t xml:space="preserve"> 20</w:t>
      </w:r>
      <w:r w:rsidR="00D74096">
        <w:rPr>
          <w:rFonts w:asciiTheme="minorHAnsi" w:hAnsiTheme="minorHAnsi" w:cstheme="minorHAnsi"/>
        </w:rPr>
        <w:t>20</w:t>
      </w:r>
      <w:r w:rsidRPr="00C53ECF">
        <w:rPr>
          <w:rFonts w:asciiTheme="minorHAnsi" w:hAnsiTheme="minorHAnsi" w:cstheme="minorHAnsi"/>
        </w:rPr>
        <w:t xml:space="preserve">, </w:t>
      </w:r>
    </w:p>
    <w:p w14:paraId="326F00F8" w14:textId="5B878615" w:rsidR="00462F78" w:rsidRPr="00C53ECF" w:rsidRDefault="00462F78" w:rsidP="00417867">
      <w:pPr>
        <w:spacing w:line="360" w:lineRule="auto"/>
        <w:ind w:right="68"/>
        <w:jc w:val="both"/>
        <w:rPr>
          <w:rFonts w:asciiTheme="minorHAnsi" w:hAnsiTheme="minorHAnsi" w:cstheme="minorHAnsi"/>
        </w:rPr>
      </w:pPr>
      <w:proofErr w:type="gramStart"/>
      <w:r w:rsidRPr="00C53ECF">
        <w:rPr>
          <w:rFonts w:asciiTheme="minorHAnsi" w:hAnsiTheme="minorHAnsi" w:cstheme="minorHAnsi"/>
          <w:b/>
          <w:bCs/>
          <w:i/>
          <w:iCs/>
        </w:rPr>
        <w:t>s c h v á l i l o</w:t>
      </w:r>
      <w:r w:rsidRPr="00C53ECF">
        <w:rPr>
          <w:rFonts w:asciiTheme="minorHAnsi" w:hAnsiTheme="minorHAnsi" w:cstheme="minorHAnsi"/>
        </w:rPr>
        <w:t xml:space="preserve">   usnesením č.</w:t>
      </w:r>
      <w:proofErr w:type="gramEnd"/>
      <w:r w:rsidR="00B9035B">
        <w:rPr>
          <w:rFonts w:asciiTheme="minorHAnsi" w:hAnsiTheme="minorHAnsi" w:cstheme="minorHAnsi"/>
        </w:rPr>
        <w:t xml:space="preserve"> </w:t>
      </w:r>
      <w:r w:rsidR="003B4613">
        <w:rPr>
          <w:rFonts w:asciiTheme="minorHAnsi" w:hAnsiTheme="minorHAnsi" w:cstheme="minorHAnsi"/>
        </w:rPr>
        <w:t>11</w:t>
      </w:r>
      <w:r w:rsidR="00D74096">
        <w:rPr>
          <w:rFonts w:asciiTheme="minorHAnsi" w:hAnsiTheme="minorHAnsi" w:cstheme="minorHAnsi"/>
        </w:rPr>
        <w:t>/</w:t>
      </w:r>
      <w:r w:rsidR="001A669C">
        <w:rPr>
          <w:rFonts w:asciiTheme="minorHAnsi" w:hAnsiTheme="minorHAnsi" w:cstheme="minorHAnsi"/>
        </w:rPr>
        <w:t>V</w:t>
      </w:r>
      <w:r w:rsidR="00CE1B68">
        <w:rPr>
          <w:rFonts w:asciiTheme="minorHAnsi" w:hAnsiTheme="minorHAnsi" w:cstheme="minorHAnsi"/>
        </w:rPr>
        <w:t>I</w:t>
      </w:r>
      <w:r w:rsidR="00D74096">
        <w:rPr>
          <w:rFonts w:asciiTheme="minorHAnsi" w:hAnsiTheme="minorHAnsi" w:cstheme="minorHAnsi"/>
        </w:rPr>
        <w:t>/2020</w:t>
      </w:r>
      <w:r w:rsidRPr="00C53ECF">
        <w:rPr>
          <w:rFonts w:asciiTheme="minorHAnsi" w:hAnsiTheme="minorHAnsi" w:cstheme="minorHAnsi"/>
        </w:rPr>
        <w:t xml:space="preserve">  </w:t>
      </w:r>
    </w:p>
    <w:p w14:paraId="678503B5" w14:textId="77777777" w:rsidR="00462F78" w:rsidRPr="00C53ECF" w:rsidRDefault="00462F78" w:rsidP="00417867">
      <w:pPr>
        <w:spacing w:line="360" w:lineRule="auto"/>
        <w:ind w:right="70"/>
        <w:jc w:val="both"/>
        <w:rPr>
          <w:rFonts w:asciiTheme="minorHAnsi" w:hAnsiTheme="minorHAnsi" w:cstheme="minorHAnsi"/>
        </w:rPr>
      </w:pPr>
      <w:r w:rsidRPr="00C53ECF">
        <w:rPr>
          <w:rFonts w:asciiTheme="minorHAnsi" w:hAnsiTheme="minorHAnsi" w:cstheme="minorHAnsi"/>
          <w:b/>
          <w:bCs/>
          <w:i/>
          <w:iCs/>
        </w:rPr>
        <w:t>k o n t r o l n í   z á v ě r</w:t>
      </w:r>
      <w:r w:rsidRPr="00C53ECF">
        <w:rPr>
          <w:rFonts w:asciiTheme="minorHAnsi" w:hAnsiTheme="minorHAnsi" w:cstheme="minorHAnsi"/>
        </w:rPr>
        <w:t xml:space="preserve">   v tomto znění:</w:t>
      </w:r>
    </w:p>
    <w:p w14:paraId="74EC19E2" w14:textId="77777777" w:rsidR="00462F78" w:rsidRPr="00C53ECF" w:rsidRDefault="00462F78" w:rsidP="00462F78">
      <w:pPr>
        <w:ind w:right="70"/>
        <w:jc w:val="both"/>
        <w:rPr>
          <w:rFonts w:asciiTheme="minorHAnsi" w:hAnsiTheme="minorHAnsi" w:cstheme="minorHAnsi"/>
        </w:rPr>
      </w:pPr>
    </w:p>
    <w:p w14:paraId="7949065E" w14:textId="1F3DF994" w:rsidR="006615F2" w:rsidRPr="00B3542B" w:rsidRDefault="00564DA5" w:rsidP="00B3542B">
      <w:pPr>
        <w:jc w:val="center"/>
        <w:rPr>
          <w:rFonts w:asciiTheme="minorHAnsi" w:hAnsiTheme="minorHAnsi" w:cstheme="minorHAnsi"/>
          <w:b/>
          <w:sz w:val="28"/>
          <w:szCs w:val="32"/>
          <w:lang w:eastAsia="en-US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  <w:r w:rsidR="006615F2" w:rsidRPr="00B3542B">
        <w:rPr>
          <w:rFonts w:asciiTheme="minorHAnsi" w:hAnsiTheme="minorHAnsi" w:cstheme="minorHAnsi"/>
          <w:b/>
          <w:sz w:val="28"/>
          <w:szCs w:val="32"/>
          <w:lang w:eastAsia="en-US"/>
        </w:rPr>
        <w:lastRenderedPageBreak/>
        <w:t>Obrněná technika Armády České republiky</w:t>
      </w:r>
    </w:p>
    <w:p w14:paraId="0BA9E7B4" w14:textId="525174BE" w:rsidR="006615F2" w:rsidRDefault="006615F2" w:rsidP="006615F2">
      <w:pPr>
        <w:jc w:val="center"/>
        <w:rPr>
          <w:rFonts w:asciiTheme="minorHAnsi" w:hAnsiTheme="minorHAnsi" w:cstheme="minorHAnsi"/>
          <w:color w:val="000000"/>
          <w:highlight w:val="yellow"/>
          <w:lang w:eastAsia="en-US"/>
        </w:rPr>
      </w:pPr>
    </w:p>
    <w:p w14:paraId="19F888D9" w14:textId="77777777" w:rsidR="00EC5EBE" w:rsidRDefault="00EC5EBE" w:rsidP="006615F2">
      <w:pPr>
        <w:jc w:val="center"/>
        <w:rPr>
          <w:rFonts w:asciiTheme="minorHAnsi" w:hAnsiTheme="minorHAnsi" w:cstheme="minorHAnsi"/>
          <w:color w:val="000000"/>
          <w:highlight w:val="yellow"/>
          <w:lang w:eastAsia="en-US"/>
        </w:rPr>
      </w:pPr>
    </w:p>
    <w:p w14:paraId="102A9FD0" w14:textId="77777777" w:rsidR="006615F2" w:rsidRPr="002F5CCC" w:rsidRDefault="006615F2" w:rsidP="006615F2">
      <w:pPr>
        <w:jc w:val="center"/>
        <w:rPr>
          <w:rFonts w:asciiTheme="minorHAnsi" w:hAnsiTheme="minorHAnsi" w:cstheme="minorHAnsi"/>
          <w:color w:val="000000"/>
          <w:highlight w:val="yellow"/>
          <w:lang w:eastAsia="en-US"/>
        </w:rPr>
      </w:pPr>
    </w:p>
    <w:tbl>
      <w:tblPr>
        <w:tblW w:w="8789" w:type="dxa"/>
        <w:jc w:val="center"/>
        <w:tblBorders>
          <w:insideH w:val="single" w:sz="4" w:space="0" w:color="632423" w:themeColor="accent2" w:themeShade="80"/>
          <w:insideV w:val="single" w:sz="4" w:space="0" w:color="632423" w:themeColor="accent2" w:themeShade="80"/>
        </w:tblBorders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3118"/>
      </w:tblGrid>
      <w:tr w:rsidR="006615F2" w:rsidRPr="002F5CCC" w14:paraId="6F8DCA0D" w14:textId="77777777" w:rsidTr="00BC0EF5">
        <w:trPr>
          <w:trHeight w:val="601"/>
          <w:jc w:val="center"/>
        </w:trPr>
        <w:tc>
          <w:tcPr>
            <w:tcW w:w="2552" w:type="dxa"/>
            <w:shd w:val="clear" w:color="auto" w:fill="F2C6C9"/>
            <w:vAlign w:val="center"/>
          </w:tcPr>
          <w:p w14:paraId="4E41A39C" w14:textId="3615EEBD" w:rsidR="006615F2" w:rsidRPr="00413C3F" w:rsidRDefault="006615F2" w:rsidP="00A5624E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Theme="minorHAnsi" w:hAnsiTheme="minorHAnsi" w:cstheme="minorHAnsi"/>
                <w:color w:val="000000"/>
                <w:sz w:val="48"/>
                <w:szCs w:val="48"/>
              </w:rPr>
            </w:pPr>
            <w:r w:rsidRPr="00413C3F">
              <w:rPr>
                <w:rFonts w:asciiTheme="minorHAnsi" w:hAnsiTheme="minorHAnsi" w:cstheme="minorHAnsi"/>
                <w:sz w:val="48"/>
                <w:szCs w:val="48"/>
              </w:rPr>
              <w:t xml:space="preserve">20 </w:t>
            </w:r>
            <w:r w:rsidR="00A5624E" w:rsidRPr="00031BC0">
              <w:rPr>
                <w:rFonts w:asciiTheme="minorHAnsi" w:hAnsiTheme="minorHAnsi" w:cstheme="minorHAnsi"/>
                <w:b/>
                <w:bCs/>
              </w:rPr>
              <w:t>let</w:t>
            </w:r>
          </w:p>
        </w:tc>
        <w:tc>
          <w:tcPr>
            <w:tcW w:w="3119" w:type="dxa"/>
            <w:shd w:val="clear" w:color="auto" w:fill="F2C6C9"/>
            <w:vAlign w:val="center"/>
          </w:tcPr>
          <w:p w14:paraId="472E8897" w14:textId="77777777" w:rsidR="006615F2" w:rsidRPr="00413C3F" w:rsidRDefault="006615F2" w:rsidP="006615F2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Theme="minorHAnsi" w:hAnsiTheme="minorHAnsi" w:cstheme="minorHAnsi"/>
                <w:color w:val="000000"/>
                <w:sz w:val="48"/>
                <w:szCs w:val="48"/>
                <w:highlight w:val="yellow"/>
              </w:rPr>
            </w:pPr>
            <w:r w:rsidRPr="00413C3F">
              <w:rPr>
                <w:rFonts w:asciiTheme="minorHAnsi" w:hAnsiTheme="minorHAnsi" w:cstheme="minorHAnsi"/>
                <w:bCs/>
                <w:color w:val="000000"/>
                <w:sz w:val="48"/>
                <w:szCs w:val="48"/>
              </w:rPr>
              <w:t xml:space="preserve">16 </w:t>
            </w:r>
            <w:r w:rsidRPr="00031BC0">
              <w:rPr>
                <w:rFonts w:asciiTheme="minorHAnsi" w:hAnsiTheme="minorHAnsi" w:cstheme="minorHAnsi"/>
                <w:b/>
                <w:bCs/>
              </w:rPr>
              <w:t>měsíců</w:t>
            </w:r>
          </w:p>
        </w:tc>
        <w:tc>
          <w:tcPr>
            <w:tcW w:w="3118" w:type="dxa"/>
            <w:shd w:val="clear" w:color="auto" w:fill="F2C6C9"/>
            <w:vAlign w:val="center"/>
          </w:tcPr>
          <w:p w14:paraId="5F3AD86E" w14:textId="77777777" w:rsidR="006615F2" w:rsidRPr="00413C3F" w:rsidRDefault="006615F2" w:rsidP="006615F2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Theme="minorHAnsi" w:hAnsiTheme="minorHAnsi" w:cstheme="minorHAnsi"/>
                <w:bCs/>
                <w:sz w:val="48"/>
                <w:szCs w:val="48"/>
                <w:highlight w:val="yellow"/>
              </w:rPr>
            </w:pPr>
            <w:r w:rsidRPr="00413C3F">
              <w:rPr>
                <w:rFonts w:asciiTheme="minorHAnsi" w:hAnsiTheme="minorHAnsi" w:cstheme="minorHAnsi"/>
                <w:bCs/>
                <w:sz w:val="48"/>
                <w:szCs w:val="48"/>
              </w:rPr>
              <w:t xml:space="preserve">85,9 </w:t>
            </w:r>
            <w:r w:rsidRPr="00031BC0">
              <w:rPr>
                <w:rFonts w:asciiTheme="minorHAnsi" w:hAnsiTheme="minorHAnsi" w:cstheme="minorHAnsi"/>
                <w:b/>
                <w:bCs/>
              </w:rPr>
              <w:t>mil. Kč</w:t>
            </w:r>
          </w:p>
        </w:tc>
      </w:tr>
      <w:tr w:rsidR="006615F2" w:rsidRPr="003609E4" w14:paraId="1122F679" w14:textId="77777777" w:rsidTr="00B3542B">
        <w:trPr>
          <w:trHeight w:val="1134"/>
          <w:jc w:val="center"/>
        </w:trPr>
        <w:tc>
          <w:tcPr>
            <w:tcW w:w="2552" w:type="dxa"/>
            <w:shd w:val="clear" w:color="auto" w:fill="F2C6C9"/>
            <w:vAlign w:val="center"/>
          </w:tcPr>
          <w:p w14:paraId="2D8D499D" w14:textId="77777777" w:rsidR="006615F2" w:rsidRPr="00B3542B" w:rsidRDefault="006615F2" w:rsidP="00B3542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542B">
              <w:rPr>
                <w:rFonts w:asciiTheme="minorHAnsi" w:hAnsiTheme="minorHAnsi" w:cstheme="minorHAnsi"/>
                <w:color w:val="000000"/>
              </w:rPr>
              <w:t>Průměrné stáří obrněné techniky</w:t>
            </w:r>
          </w:p>
        </w:tc>
        <w:tc>
          <w:tcPr>
            <w:tcW w:w="3119" w:type="dxa"/>
            <w:shd w:val="clear" w:color="auto" w:fill="F2C6C9"/>
            <w:vAlign w:val="center"/>
          </w:tcPr>
          <w:p w14:paraId="63C9BE77" w14:textId="06CBAAE9" w:rsidR="006615F2" w:rsidRPr="00B3542B" w:rsidRDefault="006615F2" w:rsidP="00EC5EB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3542B">
              <w:rPr>
                <w:rFonts w:asciiTheme="minorHAnsi" w:hAnsiTheme="minorHAnsi" w:cstheme="minorHAnsi"/>
                <w:color w:val="000000"/>
              </w:rPr>
              <w:t>Průměrné zpoždění kontrolovaných</w:t>
            </w:r>
            <w:r w:rsidR="00EC5EB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5EBE">
              <w:rPr>
                <w:rFonts w:asciiTheme="minorHAnsi" w:hAnsiTheme="minorHAnsi" w:cstheme="minorHAnsi"/>
                <w:color w:val="000000"/>
              </w:rPr>
              <w:br/>
            </w:r>
            <w:r w:rsidRPr="00B3542B">
              <w:rPr>
                <w:rFonts w:asciiTheme="minorHAnsi" w:hAnsiTheme="minorHAnsi" w:cstheme="minorHAnsi"/>
                <w:color w:val="000000"/>
              </w:rPr>
              <w:t>investičních akcí</w:t>
            </w:r>
          </w:p>
        </w:tc>
        <w:tc>
          <w:tcPr>
            <w:tcW w:w="3118" w:type="dxa"/>
            <w:shd w:val="clear" w:color="auto" w:fill="F2C6C9"/>
            <w:vAlign w:val="center"/>
          </w:tcPr>
          <w:p w14:paraId="4D9CBD9C" w14:textId="77777777" w:rsidR="006615F2" w:rsidRPr="00B3542B" w:rsidRDefault="006615F2" w:rsidP="00B3542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542B">
              <w:rPr>
                <w:rFonts w:asciiTheme="minorHAnsi" w:hAnsiTheme="minorHAnsi" w:cstheme="minorHAnsi"/>
                <w:color w:val="000000"/>
              </w:rPr>
              <w:t>Neúčelné a neefektivní technické zhodnocení lehkého obrněného vozidla</w:t>
            </w:r>
          </w:p>
        </w:tc>
      </w:tr>
    </w:tbl>
    <w:p w14:paraId="0556298C" w14:textId="33D7EF1E" w:rsidR="006615F2" w:rsidRDefault="006615F2" w:rsidP="00B3542B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eastAsia="en-US"/>
        </w:rPr>
      </w:pPr>
    </w:p>
    <w:p w14:paraId="7DFD1D46" w14:textId="46257DC0" w:rsidR="00B3542B" w:rsidRDefault="00B3542B" w:rsidP="00B3542B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eastAsia="en-US"/>
        </w:rPr>
      </w:pPr>
    </w:p>
    <w:p w14:paraId="2756152E" w14:textId="77777777" w:rsidR="00B3542B" w:rsidRPr="003609E4" w:rsidRDefault="00B3542B" w:rsidP="00B3542B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eastAsia="en-US"/>
        </w:rPr>
      </w:pP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6236"/>
      </w:tblGrid>
      <w:tr w:rsidR="00EC5EBE" w:rsidRPr="003609E4" w14:paraId="710029B2" w14:textId="77777777" w:rsidTr="00EC5EBE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E2E9A01" w14:textId="77777777" w:rsidR="006615F2" w:rsidRPr="00EC5EBE" w:rsidRDefault="006615F2" w:rsidP="00EC5EBE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Theme="minorHAnsi" w:hAnsiTheme="minorHAnsi" w:cstheme="minorHAnsi"/>
                <w:color w:val="004595"/>
                <w:sz w:val="28"/>
                <w:szCs w:val="32"/>
              </w:rPr>
            </w:pPr>
            <w:r w:rsidRPr="00EC5EBE">
              <w:rPr>
                <w:rFonts w:asciiTheme="minorHAnsi" w:hAnsiTheme="minorHAnsi" w:cstheme="minorHAnsi"/>
                <w:bCs/>
                <w:color w:val="004595"/>
                <w:sz w:val="28"/>
                <w:szCs w:val="32"/>
              </w:rPr>
              <w:t>2,8 mld. Kč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BA6971D" w14:textId="1E979893" w:rsidR="006615F2" w:rsidRPr="003D187C" w:rsidRDefault="006615F2" w:rsidP="00EC5EBE">
            <w:pPr>
              <w:autoSpaceDE w:val="0"/>
              <w:autoSpaceDN w:val="0"/>
              <w:adjustRightInd w:val="0"/>
              <w:spacing w:after="240" w:line="264" w:lineRule="auto"/>
              <w:ind w:left="32"/>
              <w:rPr>
                <w:rFonts w:asciiTheme="minorHAnsi" w:hAnsiTheme="minorHAnsi"/>
                <w:color w:val="004595"/>
              </w:rPr>
            </w:pPr>
            <w:r w:rsidRPr="003D187C">
              <w:rPr>
                <w:rFonts w:asciiTheme="minorHAnsi" w:hAnsiTheme="minorHAnsi"/>
                <w:color w:val="004595"/>
              </w:rPr>
              <w:t xml:space="preserve">Prostředky vynaložené na </w:t>
            </w:r>
            <w:r w:rsidR="00E4184D" w:rsidRPr="003D187C">
              <w:rPr>
                <w:rFonts w:asciiTheme="minorHAnsi" w:hAnsiTheme="minorHAnsi"/>
                <w:color w:val="004595"/>
              </w:rPr>
              <w:t xml:space="preserve">investice do </w:t>
            </w:r>
            <w:r w:rsidRPr="003D187C">
              <w:rPr>
                <w:rFonts w:asciiTheme="minorHAnsi" w:hAnsiTheme="minorHAnsi"/>
                <w:color w:val="004595"/>
              </w:rPr>
              <w:t>obrněné</w:t>
            </w:r>
            <w:r w:rsidR="00E4184D" w:rsidRPr="003D187C">
              <w:rPr>
                <w:rFonts w:asciiTheme="minorHAnsi" w:hAnsiTheme="minorHAnsi"/>
                <w:color w:val="004595"/>
              </w:rPr>
              <w:t xml:space="preserve"> </w:t>
            </w:r>
            <w:r w:rsidRPr="003D187C">
              <w:rPr>
                <w:rFonts w:asciiTheme="minorHAnsi" w:hAnsiTheme="minorHAnsi"/>
                <w:color w:val="004595"/>
              </w:rPr>
              <w:t>techniky v letech 2016–2018</w:t>
            </w:r>
          </w:p>
        </w:tc>
      </w:tr>
      <w:tr w:rsidR="00EC5EBE" w:rsidRPr="00281B38" w14:paraId="7DD195A5" w14:textId="77777777" w:rsidTr="00EC5EBE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E4C7CBD" w14:textId="5066FD09" w:rsidR="006615F2" w:rsidRPr="00EC5EBE" w:rsidRDefault="006615F2" w:rsidP="00EC5EBE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Theme="minorHAnsi" w:hAnsiTheme="minorHAnsi" w:cstheme="minorHAnsi"/>
                <w:color w:val="BD2A33"/>
                <w:sz w:val="28"/>
                <w:szCs w:val="32"/>
              </w:rPr>
            </w:pPr>
            <w:r w:rsidRPr="00EC5EBE">
              <w:rPr>
                <w:rFonts w:asciiTheme="minorHAnsi" w:hAnsiTheme="minorHAnsi" w:cstheme="minorHAnsi"/>
                <w:bCs/>
                <w:color w:val="BD2A33"/>
                <w:sz w:val="28"/>
                <w:szCs w:val="32"/>
              </w:rPr>
              <w:t>60%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8B834E1" w14:textId="6D12EF76" w:rsidR="006615F2" w:rsidRPr="003D187C" w:rsidRDefault="006615F2" w:rsidP="00253050">
            <w:pPr>
              <w:autoSpaceDE w:val="0"/>
              <w:autoSpaceDN w:val="0"/>
              <w:adjustRightInd w:val="0"/>
              <w:spacing w:after="240" w:line="264" w:lineRule="auto"/>
              <w:rPr>
                <w:rFonts w:asciiTheme="minorHAnsi" w:hAnsiTheme="minorHAnsi"/>
                <w:color w:val="BD2A33"/>
              </w:rPr>
            </w:pPr>
            <w:r w:rsidRPr="003D187C">
              <w:rPr>
                <w:rFonts w:asciiTheme="minorHAnsi" w:hAnsiTheme="minorHAnsi" w:cstheme="minorHAnsi"/>
                <w:color w:val="BD2A33"/>
              </w:rPr>
              <w:t>Navýšení pořizovací ceny 20 kolových obrněných vozidel</w:t>
            </w:r>
            <w:r w:rsidR="00EC5EBE">
              <w:rPr>
                <w:rFonts w:asciiTheme="minorHAnsi" w:hAnsiTheme="minorHAnsi" w:cstheme="minorHAnsi"/>
                <w:color w:val="BD2A33"/>
              </w:rPr>
              <w:t xml:space="preserve"> </w:t>
            </w:r>
            <w:r w:rsidRPr="003D187C">
              <w:rPr>
                <w:rFonts w:asciiTheme="minorHAnsi" w:hAnsiTheme="minorHAnsi" w:cstheme="minorHAnsi"/>
                <w:color w:val="BD2A33"/>
              </w:rPr>
              <w:t>velitelsko-štábních a </w:t>
            </w:r>
            <w:proofErr w:type="gramStart"/>
            <w:r w:rsidRPr="003D187C">
              <w:rPr>
                <w:rFonts w:asciiTheme="minorHAnsi" w:hAnsiTheme="minorHAnsi" w:cstheme="minorHAnsi"/>
                <w:color w:val="BD2A33"/>
              </w:rPr>
              <w:t>spojovacích z</w:t>
            </w:r>
            <w:r w:rsidR="00031BC0">
              <w:rPr>
                <w:rFonts w:asciiTheme="minorHAnsi" w:hAnsiTheme="minorHAnsi" w:cstheme="minorHAnsi"/>
                <w:color w:val="BD2A33"/>
              </w:rPr>
              <w:t xml:space="preserve"> </w:t>
            </w:r>
            <w:r w:rsidRPr="003D187C">
              <w:rPr>
                <w:rFonts w:asciiTheme="minorHAnsi" w:hAnsiTheme="minorHAnsi" w:cstheme="minorHAnsi"/>
                <w:color w:val="BD2A33"/>
              </w:rPr>
              <w:t>1,3</w:t>
            </w:r>
            <w:proofErr w:type="gramEnd"/>
            <w:r w:rsidR="002D0950">
              <w:rPr>
                <w:rFonts w:asciiTheme="minorHAnsi" w:hAnsiTheme="minorHAnsi" w:cstheme="minorHAnsi"/>
                <w:color w:val="BD2A33"/>
              </w:rPr>
              <w:t> mld. Kč</w:t>
            </w:r>
            <w:r w:rsidRPr="003D187C">
              <w:rPr>
                <w:rFonts w:asciiTheme="minorHAnsi" w:hAnsiTheme="minorHAnsi" w:cstheme="minorHAnsi"/>
                <w:color w:val="BD2A33"/>
              </w:rPr>
              <w:t xml:space="preserve"> na 2 mld. Kč</w:t>
            </w:r>
          </w:p>
        </w:tc>
      </w:tr>
      <w:tr w:rsidR="00EC5EBE" w:rsidRPr="00281B38" w14:paraId="4BB7FE17" w14:textId="77777777" w:rsidTr="00EC5EBE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C66C915" w14:textId="32B79847" w:rsidR="006615F2" w:rsidRPr="00EC5EBE" w:rsidRDefault="006615F2" w:rsidP="00EC5EBE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Theme="minorHAnsi" w:hAnsiTheme="minorHAnsi" w:cstheme="minorHAnsi"/>
                <w:bCs/>
                <w:color w:val="BD2A33"/>
                <w:sz w:val="28"/>
                <w:szCs w:val="32"/>
              </w:rPr>
            </w:pPr>
            <w:r w:rsidRPr="00EC5EBE">
              <w:rPr>
                <w:rFonts w:asciiTheme="minorHAnsi" w:hAnsiTheme="minorHAnsi" w:cstheme="minorHAnsi"/>
                <w:bCs/>
                <w:color w:val="BD2A33"/>
                <w:sz w:val="28"/>
                <w:szCs w:val="32"/>
              </w:rPr>
              <w:t>X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E3D2B6E" w14:textId="77777777" w:rsidR="006615F2" w:rsidRPr="003D187C" w:rsidRDefault="006615F2" w:rsidP="00EC5EBE">
            <w:pPr>
              <w:autoSpaceDE w:val="0"/>
              <w:autoSpaceDN w:val="0"/>
              <w:adjustRightInd w:val="0"/>
              <w:spacing w:after="240" w:line="264" w:lineRule="auto"/>
              <w:rPr>
                <w:rFonts w:asciiTheme="minorHAnsi" w:hAnsiTheme="minorHAnsi" w:cstheme="minorHAnsi"/>
                <w:color w:val="BD2A33"/>
              </w:rPr>
            </w:pPr>
            <w:r w:rsidRPr="003D187C">
              <w:rPr>
                <w:rFonts w:asciiTheme="minorHAnsi" w:hAnsiTheme="minorHAnsi" w:cstheme="minorHAnsi"/>
                <w:color w:val="BD2A33"/>
              </w:rPr>
              <w:t>MO se při pořizování kontrolované obrněné techniky nezabývalo výší nákladů na opravy a udržování</w:t>
            </w:r>
          </w:p>
        </w:tc>
      </w:tr>
      <w:tr w:rsidR="00EC5EBE" w:rsidRPr="00281B38" w14:paraId="7E94F514" w14:textId="77777777" w:rsidTr="00EC5EBE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C9B9E1B" w14:textId="77777777" w:rsidR="006615F2" w:rsidRPr="00EC5EBE" w:rsidRDefault="006615F2" w:rsidP="00EC5EBE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Theme="minorHAnsi" w:hAnsiTheme="minorHAnsi" w:cstheme="minorHAnsi"/>
                <w:color w:val="004595"/>
                <w:sz w:val="28"/>
                <w:szCs w:val="32"/>
              </w:rPr>
            </w:pPr>
            <w:r w:rsidRPr="00EC5EBE">
              <w:rPr>
                <w:rFonts w:asciiTheme="minorHAnsi" w:hAnsiTheme="minorHAnsi" w:cstheme="minorHAnsi"/>
                <w:bCs/>
                <w:color w:val="004595"/>
                <w:sz w:val="28"/>
                <w:szCs w:val="32"/>
              </w:rPr>
              <w:t>1,3 mld. Kč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30CD6AF" w14:textId="511549BB" w:rsidR="006615F2" w:rsidRPr="003D187C" w:rsidRDefault="006615F2" w:rsidP="00EC5EBE">
            <w:pPr>
              <w:spacing w:after="240" w:line="264" w:lineRule="auto"/>
              <w:rPr>
                <w:rFonts w:asciiTheme="minorHAnsi" w:hAnsiTheme="minorHAnsi"/>
                <w:color w:val="004595"/>
              </w:rPr>
            </w:pPr>
            <w:r w:rsidRPr="003D187C">
              <w:rPr>
                <w:rFonts w:asciiTheme="minorHAnsi" w:hAnsiTheme="minorHAnsi"/>
                <w:color w:val="004595"/>
              </w:rPr>
              <w:t xml:space="preserve">Prostředky vynaložené na </w:t>
            </w:r>
            <w:r w:rsidRPr="003D187C">
              <w:rPr>
                <w:rFonts w:asciiTheme="minorHAnsi" w:eastAsia="Calibri" w:hAnsiTheme="minorHAnsi" w:cstheme="minorHAnsi"/>
                <w:color w:val="004595"/>
                <w:lang w:eastAsia="en-US"/>
              </w:rPr>
              <w:t>opravy, udržování</w:t>
            </w:r>
            <w:r w:rsidR="00B3542B">
              <w:rPr>
                <w:rFonts w:asciiTheme="minorHAnsi" w:eastAsia="Calibri" w:hAnsiTheme="minorHAnsi" w:cstheme="minorHAnsi"/>
                <w:color w:val="004595"/>
                <w:lang w:eastAsia="en-US"/>
              </w:rPr>
              <w:t xml:space="preserve"> </w:t>
            </w:r>
            <w:r w:rsidR="00B3542B">
              <w:rPr>
                <w:rFonts w:asciiTheme="minorHAnsi" w:eastAsia="Calibri" w:hAnsiTheme="minorHAnsi" w:cstheme="minorHAnsi"/>
                <w:color w:val="004595"/>
                <w:lang w:eastAsia="en-US"/>
              </w:rPr>
              <w:br/>
            </w:r>
            <w:r w:rsidRPr="003D187C">
              <w:rPr>
                <w:rFonts w:asciiTheme="minorHAnsi" w:eastAsia="Calibri" w:hAnsiTheme="minorHAnsi" w:cstheme="minorHAnsi"/>
                <w:color w:val="004595"/>
                <w:lang w:eastAsia="en-US"/>
              </w:rPr>
              <w:t>a</w:t>
            </w:r>
            <w:r w:rsidR="00B3542B">
              <w:rPr>
                <w:rFonts w:asciiTheme="minorHAnsi" w:eastAsia="Calibri" w:hAnsiTheme="minorHAnsi" w:cstheme="minorHAnsi"/>
                <w:color w:val="004595"/>
                <w:lang w:eastAsia="en-US"/>
              </w:rPr>
              <w:t> </w:t>
            </w:r>
            <w:r w:rsidRPr="003D187C">
              <w:rPr>
                <w:rFonts w:asciiTheme="minorHAnsi" w:eastAsia="Calibri" w:hAnsiTheme="minorHAnsi" w:cstheme="minorHAnsi"/>
                <w:color w:val="004595"/>
                <w:lang w:eastAsia="en-US"/>
              </w:rPr>
              <w:t>náhradní díly na obrněnou techniku</w:t>
            </w:r>
            <w:r w:rsidR="00B3542B">
              <w:rPr>
                <w:rFonts w:asciiTheme="minorHAnsi" w:eastAsia="Calibri" w:hAnsiTheme="minorHAnsi" w:cstheme="minorHAnsi"/>
                <w:color w:val="004595"/>
                <w:lang w:eastAsia="en-US"/>
              </w:rPr>
              <w:t xml:space="preserve"> </w:t>
            </w:r>
            <w:r w:rsidR="00EC5EBE">
              <w:rPr>
                <w:rFonts w:asciiTheme="minorHAnsi" w:eastAsia="Calibri" w:hAnsiTheme="minorHAnsi" w:cstheme="minorHAnsi"/>
                <w:color w:val="004595"/>
                <w:lang w:eastAsia="en-US"/>
              </w:rPr>
              <w:br/>
            </w:r>
            <w:r w:rsidRPr="003D187C">
              <w:rPr>
                <w:rFonts w:asciiTheme="minorHAnsi" w:hAnsiTheme="minorHAnsi"/>
                <w:color w:val="004595"/>
              </w:rPr>
              <w:t>v letech 2016–2018</w:t>
            </w:r>
          </w:p>
        </w:tc>
      </w:tr>
      <w:tr w:rsidR="00EC5EBE" w:rsidRPr="00281B38" w14:paraId="602FF804" w14:textId="77777777" w:rsidTr="00EC5EBE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38AFAA0" w14:textId="77777777" w:rsidR="006615F2" w:rsidRPr="00EC5EBE" w:rsidRDefault="006615F2" w:rsidP="00EC5EBE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Theme="minorHAnsi" w:hAnsiTheme="minorHAnsi" w:cstheme="minorHAnsi"/>
                <w:bCs/>
                <w:color w:val="BD2A33"/>
                <w:sz w:val="28"/>
                <w:szCs w:val="32"/>
              </w:rPr>
            </w:pPr>
            <w:r w:rsidRPr="00EC5EBE">
              <w:rPr>
                <w:rFonts w:asciiTheme="minorHAnsi" w:hAnsiTheme="minorHAnsi" w:cstheme="minorHAnsi"/>
                <w:bCs/>
                <w:color w:val="BD2A33"/>
                <w:sz w:val="28"/>
                <w:szCs w:val="32"/>
              </w:rPr>
              <w:t>Méně než 70 %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5671F7F" w14:textId="41221708" w:rsidR="006615F2" w:rsidRPr="003D187C" w:rsidRDefault="006615F2" w:rsidP="00253050">
            <w:pPr>
              <w:autoSpaceDE w:val="0"/>
              <w:autoSpaceDN w:val="0"/>
              <w:adjustRightInd w:val="0"/>
              <w:spacing w:after="240" w:line="264" w:lineRule="auto"/>
              <w:ind w:left="32"/>
              <w:rPr>
                <w:rFonts w:asciiTheme="minorHAnsi" w:hAnsiTheme="minorHAnsi" w:cstheme="minorHAnsi"/>
                <w:color w:val="BD2A33"/>
              </w:rPr>
            </w:pPr>
            <w:r w:rsidRPr="003D187C">
              <w:rPr>
                <w:rFonts w:asciiTheme="minorHAnsi" w:hAnsiTheme="minorHAnsi" w:cstheme="minorHAnsi"/>
                <w:color w:val="BD2A33"/>
              </w:rPr>
              <w:t>Provozuschopných kolových bojových vozidel pěchoty a kolových obrněných transportérů</w:t>
            </w:r>
            <w:r w:rsidR="00A5624E" w:rsidRPr="003D187C">
              <w:rPr>
                <w:rFonts w:asciiTheme="minorHAnsi" w:hAnsiTheme="minorHAnsi" w:cstheme="minorHAnsi"/>
                <w:color w:val="BD2A33"/>
              </w:rPr>
              <w:t xml:space="preserve"> v letech 2016–2018;</w:t>
            </w:r>
            <w:r w:rsidR="00B3542B">
              <w:rPr>
                <w:rFonts w:asciiTheme="minorHAnsi" w:hAnsiTheme="minorHAnsi" w:cstheme="minorHAnsi"/>
                <w:color w:val="BD2A33"/>
              </w:rPr>
              <w:t xml:space="preserve"> </w:t>
            </w:r>
            <w:r w:rsidR="00B3542B">
              <w:rPr>
                <w:rFonts w:asciiTheme="minorHAnsi" w:hAnsiTheme="minorHAnsi" w:cstheme="minorHAnsi"/>
                <w:color w:val="BD2A33"/>
              </w:rPr>
              <w:br/>
            </w:r>
            <w:r w:rsidR="00253050">
              <w:rPr>
                <w:rFonts w:asciiTheme="minorHAnsi" w:hAnsiTheme="minorHAnsi" w:cstheme="minorHAnsi"/>
                <w:color w:val="BD2A33"/>
              </w:rPr>
              <w:t>p</w:t>
            </w:r>
            <w:r w:rsidRPr="003D187C">
              <w:rPr>
                <w:rFonts w:asciiTheme="minorHAnsi" w:hAnsiTheme="minorHAnsi" w:cstheme="minorHAnsi"/>
                <w:color w:val="BD2A33"/>
              </w:rPr>
              <w:t>růměrně jen 74 ze 107</w:t>
            </w:r>
          </w:p>
        </w:tc>
      </w:tr>
      <w:tr w:rsidR="00EC5EBE" w14:paraId="09CA4F68" w14:textId="77777777" w:rsidTr="00EC5EBE">
        <w:trPr>
          <w:trHeight w:val="113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B4AAA17" w14:textId="77777777" w:rsidR="006615F2" w:rsidRPr="00EC5EBE" w:rsidRDefault="006615F2" w:rsidP="00EC5EBE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Theme="minorHAnsi" w:hAnsiTheme="minorHAnsi" w:cstheme="minorHAnsi"/>
                <w:bCs/>
                <w:color w:val="BD2A33"/>
                <w:sz w:val="28"/>
                <w:szCs w:val="32"/>
              </w:rPr>
            </w:pPr>
            <w:r w:rsidRPr="00EC5EBE">
              <w:rPr>
                <w:rFonts w:asciiTheme="minorHAnsi" w:hAnsiTheme="minorHAnsi" w:cstheme="minorHAnsi"/>
                <w:bCs/>
                <w:color w:val="BD2A33"/>
                <w:sz w:val="28"/>
                <w:szCs w:val="32"/>
              </w:rPr>
              <w:t>Méně než 43 %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B334AD3" w14:textId="24A8B872" w:rsidR="006615F2" w:rsidRPr="003D187C" w:rsidRDefault="006615F2" w:rsidP="00253050">
            <w:pPr>
              <w:autoSpaceDE w:val="0"/>
              <w:autoSpaceDN w:val="0"/>
              <w:adjustRightInd w:val="0"/>
              <w:spacing w:after="240" w:line="264" w:lineRule="auto"/>
              <w:rPr>
                <w:rFonts w:asciiTheme="minorHAnsi" w:hAnsiTheme="minorHAnsi" w:cstheme="minorHAnsi"/>
                <w:color w:val="BD2A33"/>
              </w:rPr>
            </w:pPr>
            <w:r w:rsidRPr="003D187C">
              <w:rPr>
                <w:rFonts w:asciiTheme="minorHAnsi" w:hAnsiTheme="minorHAnsi" w:cstheme="minorHAnsi"/>
                <w:color w:val="BD2A33"/>
              </w:rPr>
              <w:t xml:space="preserve">Provozuschopných </w:t>
            </w:r>
            <w:r w:rsidR="00A5624E" w:rsidRPr="003D187C">
              <w:rPr>
                <w:rFonts w:asciiTheme="minorHAnsi" w:hAnsiTheme="minorHAnsi" w:cstheme="minorHAnsi"/>
                <w:color w:val="BD2A33"/>
              </w:rPr>
              <w:t>modernizovaných tanků</w:t>
            </w:r>
            <w:r w:rsidR="00EC5EBE">
              <w:rPr>
                <w:rFonts w:asciiTheme="minorHAnsi" w:hAnsiTheme="minorHAnsi" w:cstheme="minorHAnsi"/>
                <w:color w:val="BD2A33"/>
              </w:rPr>
              <w:t xml:space="preserve"> </w:t>
            </w:r>
            <w:r w:rsidR="00EC5EBE">
              <w:rPr>
                <w:rFonts w:asciiTheme="minorHAnsi" w:hAnsiTheme="minorHAnsi" w:cstheme="minorHAnsi"/>
                <w:color w:val="BD2A33"/>
              </w:rPr>
              <w:br/>
            </w:r>
            <w:r w:rsidRPr="003D187C">
              <w:rPr>
                <w:rFonts w:asciiTheme="minorHAnsi" w:hAnsiTheme="minorHAnsi" w:cstheme="minorHAnsi"/>
                <w:color w:val="BD2A33"/>
              </w:rPr>
              <w:t>v letech 2016–2018</w:t>
            </w:r>
            <w:r w:rsidR="00A5624E" w:rsidRPr="003D187C">
              <w:rPr>
                <w:rFonts w:asciiTheme="minorHAnsi" w:hAnsiTheme="minorHAnsi" w:cstheme="minorHAnsi"/>
                <w:color w:val="BD2A33"/>
              </w:rPr>
              <w:t>;</w:t>
            </w:r>
            <w:r w:rsidR="00B3542B">
              <w:rPr>
                <w:rFonts w:asciiTheme="minorHAnsi" w:hAnsiTheme="minorHAnsi" w:cstheme="minorHAnsi"/>
                <w:color w:val="BD2A33"/>
              </w:rPr>
              <w:br/>
            </w:r>
            <w:r w:rsidR="00253050">
              <w:rPr>
                <w:rFonts w:asciiTheme="minorHAnsi" w:hAnsiTheme="minorHAnsi" w:cstheme="minorHAnsi"/>
                <w:color w:val="BD2A33"/>
              </w:rPr>
              <w:t>p</w:t>
            </w:r>
            <w:r w:rsidRPr="003D187C">
              <w:rPr>
                <w:rFonts w:asciiTheme="minorHAnsi" w:hAnsiTheme="minorHAnsi" w:cstheme="minorHAnsi"/>
                <w:color w:val="BD2A33"/>
              </w:rPr>
              <w:t>růměrně jen 14 z</w:t>
            </w:r>
            <w:r w:rsidR="00BC6BBE" w:rsidRPr="003D187C">
              <w:rPr>
                <w:rFonts w:asciiTheme="minorHAnsi" w:hAnsiTheme="minorHAnsi" w:cstheme="minorHAnsi"/>
                <w:color w:val="BD2A33"/>
              </w:rPr>
              <w:t> </w:t>
            </w:r>
            <w:r w:rsidRPr="003D187C">
              <w:rPr>
                <w:rFonts w:asciiTheme="minorHAnsi" w:hAnsiTheme="minorHAnsi" w:cstheme="minorHAnsi"/>
                <w:color w:val="BD2A33"/>
              </w:rPr>
              <w:t>33</w:t>
            </w:r>
          </w:p>
        </w:tc>
      </w:tr>
    </w:tbl>
    <w:p w14:paraId="736ADEEB" w14:textId="77777777" w:rsidR="00E07D24" w:rsidRDefault="00E07D24">
      <w:pPr>
        <w:rPr>
          <w:rFonts w:asciiTheme="minorHAnsi" w:hAnsiTheme="minorHAnsi" w:cstheme="minorHAnsi"/>
          <w:b/>
          <w:kern w:val="36"/>
          <w:sz w:val="28"/>
          <w:szCs w:val="28"/>
        </w:rPr>
        <w:sectPr w:rsidR="00E07D24" w:rsidSect="00F0673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851" w:footer="850" w:gutter="0"/>
          <w:pgNumType w:start="1"/>
          <w:cols w:space="708"/>
          <w:titlePg/>
          <w:docGrid w:linePitch="360"/>
        </w:sectPr>
      </w:pPr>
    </w:p>
    <w:p w14:paraId="4CDBD41C" w14:textId="0A74F23B" w:rsidR="00462F78" w:rsidRPr="00642BB0" w:rsidRDefault="00462F78" w:rsidP="00FD12D8">
      <w:pPr>
        <w:pStyle w:val="Nadpis1"/>
        <w:spacing w:before="0" w:after="0"/>
        <w:jc w:val="center"/>
        <w:rPr>
          <w:rFonts w:asciiTheme="minorHAnsi" w:hAnsiTheme="minorHAnsi" w:cstheme="minorHAnsi"/>
          <w:sz w:val="28"/>
          <w:szCs w:val="28"/>
        </w:rPr>
      </w:pPr>
      <w:r w:rsidRPr="00642BB0">
        <w:rPr>
          <w:rFonts w:asciiTheme="minorHAnsi" w:hAnsiTheme="minorHAnsi" w:cstheme="minorHAnsi"/>
          <w:sz w:val="28"/>
          <w:szCs w:val="28"/>
        </w:rPr>
        <w:lastRenderedPageBreak/>
        <w:t>I. Shrnutí a vyhodnocení</w:t>
      </w:r>
    </w:p>
    <w:p w14:paraId="79B81D26" w14:textId="77777777" w:rsidR="00955FAB" w:rsidRDefault="00955FAB" w:rsidP="00955FAB">
      <w:pPr>
        <w:jc w:val="both"/>
        <w:rPr>
          <w:rFonts w:asciiTheme="minorHAnsi" w:hAnsiTheme="minorHAnsi" w:cstheme="minorHAnsi"/>
        </w:rPr>
      </w:pPr>
    </w:p>
    <w:p w14:paraId="28ED69E6" w14:textId="3E60D37E" w:rsidR="00552ADD" w:rsidRDefault="003A2709" w:rsidP="00955FAB">
      <w:pPr>
        <w:jc w:val="both"/>
        <w:rPr>
          <w:rFonts w:asciiTheme="minorHAnsi" w:hAnsiTheme="minorHAnsi" w:cstheme="minorHAnsi"/>
        </w:rPr>
      </w:pPr>
      <w:r w:rsidRPr="00A916FD">
        <w:rPr>
          <w:rFonts w:asciiTheme="minorHAnsi" w:hAnsiTheme="minorHAnsi" w:cstheme="minorHAnsi"/>
        </w:rPr>
        <w:t xml:space="preserve">NKÚ </w:t>
      </w:r>
      <w:r w:rsidR="00C60DCD">
        <w:rPr>
          <w:rFonts w:asciiTheme="minorHAnsi" w:hAnsiTheme="minorHAnsi" w:cstheme="minorHAnsi"/>
        </w:rPr>
        <w:t>provedl</w:t>
      </w:r>
      <w:r w:rsidRPr="00A916FD">
        <w:rPr>
          <w:rFonts w:asciiTheme="minorHAnsi" w:hAnsiTheme="minorHAnsi" w:cstheme="minorHAnsi"/>
        </w:rPr>
        <w:t xml:space="preserve"> </w:t>
      </w:r>
      <w:r w:rsidR="00C60DCD">
        <w:rPr>
          <w:rFonts w:asciiTheme="minorHAnsi" w:hAnsiTheme="minorHAnsi" w:cstheme="minorHAnsi"/>
        </w:rPr>
        <w:t xml:space="preserve">u Ministerstva obrany </w:t>
      </w:r>
      <w:r w:rsidR="008C44B8">
        <w:rPr>
          <w:rFonts w:asciiTheme="minorHAnsi" w:hAnsiTheme="minorHAnsi" w:cstheme="minorHAnsi"/>
        </w:rPr>
        <w:t>k</w:t>
      </w:r>
      <w:r w:rsidRPr="00A916FD">
        <w:rPr>
          <w:rFonts w:asciiTheme="minorHAnsi" w:hAnsiTheme="minorHAnsi" w:cstheme="minorHAnsi"/>
        </w:rPr>
        <w:t xml:space="preserve">ontrolu </w:t>
      </w:r>
      <w:r w:rsidR="00074418" w:rsidRPr="00A916FD">
        <w:rPr>
          <w:rFonts w:asciiTheme="minorHAnsi" w:hAnsiTheme="minorHAnsi" w:cstheme="minorHAnsi"/>
        </w:rPr>
        <w:t xml:space="preserve">peněžních prostředků státního rozpočtu </w:t>
      </w:r>
      <w:r w:rsidR="002E4096">
        <w:rPr>
          <w:rFonts w:asciiTheme="minorHAnsi" w:hAnsiTheme="minorHAnsi" w:cstheme="minorHAnsi"/>
        </w:rPr>
        <w:t xml:space="preserve">určených </w:t>
      </w:r>
      <w:r w:rsidR="00074418" w:rsidRPr="00A916FD">
        <w:rPr>
          <w:rFonts w:asciiTheme="minorHAnsi" w:hAnsiTheme="minorHAnsi" w:cstheme="minorHAnsi"/>
        </w:rPr>
        <w:t xml:space="preserve">na realizaci investičních akcí a </w:t>
      </w:r>
      <w:r w:rsidR="00B40EF2" w:rsidRPr="00A916FD">
        <w:rPr>
          <w:rFonts w:asciiTheme="minorHAnsi" w:hAnsiTheme="minorHAnsi" w:cstheme="minorHAnsi"/>
        </w:rPr>
        <w:t xml:space="preserve">na </w:t>
      </w:r>
      <w:r w:rsidR="00074418" w:rsidRPr="00A916FD">
        <w:rPr>
          <w:rFonts w:asciiTheme="minorHAnsi" w:hAnsiTheme="minorHAnsi" w:cstheme="minorHAnsi"/>
        </w:rPr>
        <w:t xml:space="preserve">opravy a udržování obrněné techniky Armády České republiky </w:t>
      </w:r>
      <w:r w:rsidR="003E2C8B" w:rsidRPr="00A916FD">
        <w:rPr>
          <w:rFonts w:asciiTheme="minorHAnsi" w:hAnsiTheme="minorHAnsi" w:cstheme="minorHAnsi"/>
          <w:lang w:eastAsia="en-US"/>
        </w:rPr>
        <w:t>(dále t</w:t>
      </w:r>
      <w:r w:rsidR="000028EB" w:rsidRPr="00A916FD">
        <w:rPr>
          <w:rFonts w:asciiTheme="minorHAnsi" w:hAnsiTheme="minorHAnsi" w:cstheme="minorHAnsi"/>
          <w:lang w:eastAsia="en-US"/>
        </w:rPr>
        <w:t>aké</w:t>
      </w:r>
      <w:r w:rsidR="003E2C8B" w:rsidRPr="00A916FD">
        <w:rPr>
          <w:rFonts w:asciiTheme="minorHAnsi" w:hAnsiTheme="minorHAnsi" w:cstheme="minorHAnsi"/>
          <w:lang w:eastAsia="en-US"/>
        </w:rPr>
        <w:t xml:space="preserve"> „Armáda“)</w:t>
      </w:r>
      <w:r w:rsidR="00763DFE" w:rsidRPr="00A916FD">
        <w:rPr>
          <w:rFonts w:asciiTheme="minorHAnsi" w:hAnsiTheme="minorHAnsi" w:cstheme="minorHAnsi"/>
        </w:rPr>
        <w:t xml:space="preserve">. </w:t>
      </w:r>
      <w:r w:rsidR="00B04A49">
        <w:rPr>
          <w:rFonts w:asciiTheme="minorHAnsi" w:hAnsiTheme="minorHAnsi" w:cstheme="minorHAnsi"/>
        </w:rPr>
        <w:t>Prověřil, zda</w:t>
      </w:r>
      <w:r w:rsidR="00194206" w:rsidRPr="00194206">
        <w:rPr>
          <w:rFonts w:asciiTheme="minorHAnsi" w:hAnsiTheme="minorHAnsi" w:cstheme="minorHAnsi"/>
        </w:rPr>
        <w:t xml:space="preserve"> </w:t>
      </w:r>
      <w:r w:rsidR="002E4096">
        <w:rPr>
          <w:rFonts w:asciiTheme="minorHAnsi" w:hAnsiTheme="minorHAnsi" w:cstheme="minorHAnsi"/>
        </w:rPr>
        <w:t xml:space="preserve">vybrané </w:t>
      </w:r>
      <w:r w:rsidR="00194206" w:rsidRPr="00194206">
        <w:rPr>
          <w:rFonts w:asciiTheme="minorHAnsi" w:hAnsiTheme="minorHAnsi" w:cstheme="minorHAnsi"/>
        </w:rPr>
        <w:t xml:space="preserve">peněžní </w:t>
      </w:r>
      <w:r w:rsidR="00194206" w:rsidRPr="004D0DA0">
        <w:rPr>
          <w:rFonts w:asciiTheme="minorHAnsi" w:hAnsiTheme="minorHAnsi" w:cstheme="minorHAnsi"/>
        </w:rPr>
        <w:t>prostředky (příloha č. 1</w:t>
      </w:r>
      <w:r w:rsidR="003B2DC6" w:rsidRPr="004D0DA0">
        <w:rPr>
          <w:rFonts w:asciiTheme="minorHAnsi" w:hAnsiTheme="minorHAnsi" w:cstheme="minorHAnsi"/>
        </w:rPr>
        <w:t xml:space="preserve">) byly </w:t>
      </w:r>
      <w:r w:rsidR="00194206" w:rsidRPr="004D0DA0">
        <w:rPr>
          <w:rFonts w:asciiTheme="minorHAnsi" w:hAnsiTheme="minorHAnsi" w:cstheme="minorHAnsi"/>
        </w:rPr>
        <w:t>vynaloženy podle potřeb Armády v souladu s právními p</w:t>
      </w:r>
      <w:r w:rsidR="00194206" w:rsidRPr="00194206">
        <w:rPr>
          <w:rFonts w:asciiTheme="minorHAnsi" w:hAnsiTheme="minorHAnsi" w:cstheme="minorHAnsi"/>
        </w:rPr>
        <w:t>ředpisy, účelně, hospodárně a efekt</w:t>
      </w:r>
      <w:r w:rsidR="003B2DC6">
        <w:rPr>
          <w:rFonts w:asciiTheme="minorHAnsi" w:hAnsiTheme="minorHAnsi" w:cstheme="minorHAnsi"/>
        </w:rPr>
        <w:t xml:space="preserve">ivně ve stanovených termínech. </w:t>
      </w:r>
      <w:r w:rsidR="006231B3">
        <w:rPr>
          <w:rFonts w:asciiTheme="minorHAnsi" w:hAnsiTheme="minorHAnsi" w:cstheme="minorHAnsi"/>
        </w:rPr>
        <w:t xml:space="preserve">Dále </w:t>
      </w:r>
      <w:r w:rsidR="00194206" w:rsidRPr="00194206">
        <w:rPr>
          <w:rFonts w:asciiTheme="minorHAnsi" w:hAnsiTheme="minorHAnsi" w:cstheme="minorHAnsi"/>
        </w:rPr>
        <w:t xml:space="preserve">NKÚ </w:t>
      </w:r>
      <w:r w:rsidR="006633E6">
        <w:rPr>
          <w:rFonts w:asciiTheme="minorHAnsi" w:hAnsiTheme="minorHAnsi" w:cstheme="minorHAnsi"/>
        </w:rPr>
        <w:t>kontroloval</w:t>
      </w:r>
      <w:r w:rsidR="00194206" w:rsidRPr="00194206">
        <w:rPr>
          <w:rFonts w:asciiTheme="minorHAnsi" w:hAnsiTheme="minorHAnsi" w:cstheme="minorHAnsi"/>
        </w:rPr>
        <w:t xml:space="preserve"> </w:t>
      </w:r>
      <w:r w:rsidR="003B2DC6">
        <w:rPr>
          <w:rFonts w:asciiTheme="minorHAnsi" w:hAnsiTheme="minorHAnsi" w:cstheme="minorHAnsi"/>
        </w:rPr>
        <w:t>i koncepční a </w:t>
      </w:r>
      <w:r w:rsidR="00B40EF2" w:rsidRPr="00194206">
        <w:rPr>
          <w:rFonts w:asciiTheme="minorHAnsi" w:hAnsiTheme="minorHAnsi" w:cstheme="minorHAnsi"/>
        </w:rPr>
        <w:t>řídicí činnost</w:t>
      </w:r>
      <w:r w:rsidR="00194206" w:rsidRPr="00194206">
        <w:rPr>
          <w:rFonts w:asciiTheme="minorHAnsi" w:hAnsiTheme="minorHAnsi" w:cstheme="minorHAnsi"/>
        </w:rPr>
        <w:t xml:space="preserve"> MO ve vztahu k</w:t>
      </w:r>
      <w:r w:rsidR="006633E6">
        <w:rPr>
          <w:rFonts w:asciiTheme="minorHAnsi" w:hAnsiTheme="minorHAnsi" w:cstheme="minorHAnsi"/>
        </w:rPr>
        <w:t xml:space="preserve"> účelnému a </w:t>
      </w:r>
      <w:r w:rsidR="00C60DCD" w:rsidRPr="00194206">
        <w:rPr>
          <w:rFonts w:asciiTheme="minorHAnsi" w:hAnsiTheme="minorHAnsi" w:cstheme="minorHAnsi"/>
        </w:rPr>
        <w:t>efektivní</w:t>
      </w:r>
      <w:r w:rsidR="00194206" w:rsidRPr="00194206">
        <w:rPr>
          <w:rFonts w:asciiTheme="minorHAnsi" w:hAnsiTheme="minorHAnsi" w:cstheme="minorHAnsi"/>
        </w:rPr>
        <w:t>mu</w:t>
      </w:r>
      <w:r w:rsidR="00C60DCD">
        <w:rPr>
          <w:rFonts w:asciiTheme="minorHAnsi" w:hAnsiTheme="minorHAnsi" w:cstheme="minorHAnsi"/>
        </w:rPr>
        <w:t xml:space="preserve"> </w:t>
      </w:r>
      <w:r w:rsidR="00B40EF2" w:rsidRPr="00A916FD">
        <w:rPr>
          <w:rFonts w:asciiTheme="minorHAnsi" w:hAnsiTheme="minorHAnsi" w:cstheme="minorHAnsi"/>
        </w:rPr>
        <w:t>vynakládán</w:t>
      </w:r>
      <w:r w:rsidR="00C60DCD">
        <w:rPr>
          <w:rFonts w:asciiTheme="minorHAnsi" w:hAnsiTheme="minorHAnsi" w:cstheme="minorHAnsi"/>
        </w:rPr>
        <w:t>í</w:t>
      </w:r>
      <w:r w:rsidR="00B40EF2" w:rsidRPr="00A916FD">
        <w:rPr>
          <w:rFonts w:asciiTheme="minorHAnsi" w:hAnsiTheme="minorHAnsi" w:cstheme="minorHAnsi"/>
        </w:rPr>
        <w:t xml:space="preserve"> </w:t>
      </w:r>
      <w:r w:rsidR="00C60DCD">
        <w:rPr>
          <w:rFonts w:asciiTheme="minorHAnsi" w:hAnsiTheme="minorHAnsi" w:cstheme="minorHAnsi"/>
        </w:rPr>
        <w:t>těchto prostředků</w:t>
      </w:r>
      <w:r w:rsidR="00194206">
        <w:rPr>
          <w:rFonts w:asciiTheme="minorHAnsi" w:hAnsiTheme="minorHAnsi" w:cstheme="minorHAnsi"/>
        </w:rPr>
        <w:t>.</w:t>
      </w:r>
    </w:p>
    <w:p w14:paraId="64E49269" w14:textId="77777777" w:rsidR="00955FAB" w:rsidRPr="00A916FD" w:rsidRDefault="00955FAB" w:rsidP="00955FAB">
      <w:pPr>
        <w:jc w:val="both"/>
        <w:rPr>
          <w:rFonts w:asciiTheme="minorHAnsi" w:hAnsiTheme="minorHAnsi" w:cstheme="minorHAnsi"/>
        </w:rPr>
      </w:pPr>
    </w:p>
    <w:p w14:paraId="474E25F7" w14:textId="239E5C05" w:rsidR="00034076" w:rsidRDefault="00034076" w:rsidP="00955FAB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E50C6C">
        <w:rPr>
          <w:rFonts w:asciiTheme="minorHAnsi" w:hAnsiTheme="minorHAnsi" w:cstheme="minorHAnsi"/>
          <w:b/>
        </w:rPr>
        <w:t xml:space="preserve">NKÚ zjistil, že MO </w:t>
      </w:r>
      <w:r w:rsidR="00010587">
        <w:rPr>
          <w:rFonts w:asciiTheme="minorHAnsi" w:hAnsiTheme="minorHAnsi" w:cstheme="minorHAnsi"/>
          <w:b/>
        </w:rPr>
        <w:t xml:space="preserve">v kontrolovaném období neúčelně a neefektivně vynakládalo peněžní prostředky </w:t>
      </w:r>
      <w:r w:rsidRPr="00E50C6C">
        <w:rPr>
          <w:rFonts w:asciiTheme="minorHAnsi" w:hAnsiTheme="minorHAnsi" w:cstheme="minorHAnsi"/>
          <w:b/>
        </w:rPr>
        <w:t>na pořizování, opravy a udržování obrněné techniky Arm</w:t>
      </w:r>
      <w:r w:rsidRPr="00031BC0">
        <w:rPr>
          <w:rFonts w:asciiTheme="minorHAnsi" w:hAnsiTheme="minorHAnsi" w:cstheme="minorHAnsi"/>
          <w:b/>
          <w:color w:val="000000" w:themeColor="text1"/>
        </w:rPr>
        <w:t>ády.</w:t>
      </w:r>
    </w:p>
    <w:p w14:paraId="1B7F9DCE" w14:textId="77777777" w:rsidR="00955FAB" w:rsidRPr="00031BC0" w:rsidRDefault="00955FAB" w:rsidP="00955FAB">
      <w:pPr>
        <w:jc w:val="both"/>
        <w:rPr>
          <w:rFonts w:ascii="Calibri" w:eastAsia="Calibri" w:hAnsi="Calibri" w:cs="Calibri"/>
          <w:b/>
          <w:bCs/>
          <w:color w:val="000000" w:themeColor="text1"/>
          <w:lang w:eastAsia="en-US"/>
        </w:rPr>
      </w:pPr>
    </w:p>
    <w:p w14:paraId="6F0E0EB9" w14:textId="0D3CFE17" w:rsidR="00B12308" w:rsidRDefault="00B12308" w:rsidP="00955FAB">
      <w:pPr>
        <w:jc w:val="both"/>
        <w:rPr>
          <w:rFonts w:ascii="Calibri" w:eastAsia="Calibri" w:hAnsi="Calibri" w:cs="Calibri"/>
          <w:b/>
          <w:bCs/>
          <w:lang w:eastAsia="en-US"/>
        </w:rPr>
      </w:pPr>
      <w:r w:rsidRPr="00031BC0">
        <w:rPr>
          <w:rFonts w:ascii="Calibri" w:eastAsia="Calibri" w:hAnsi="Calibri" w:cs="Calibri"/>
          <w:b/>
          <w:bCs/>
          <w:color w:val="000000" w:themeColor="text1"/>
          <w:lang w:eastAsia="en-US"/>
        </w:rPr>
        <w:t xml:space="preserve">MO definovalo </w:t>
      </w:r>
      <w:r w:rsidR="00D06845" w:rsidRPr="00031BC0">
        <w:rPr>
          <w:rFonts w:ascii="Calibri" w:eastAsia="Calibri" w:hAnsi="Calibri" w:cs="Calibri"/>
          <w:b/>
          <w:bCs/>
          <w:color w:val="000000" w:themeColor="text1"/>
          <w:lang w:eastAsia="en-US"/>
        </w:rPr>
        <w:t xml:space="preserve">investiční potřeby </w:t>
      </w:r>
      <w:r w:rsidRPr="00031BC0">
        <w:rPr>
          <w:rFonts w:ascii="Calibri" w:eastAsia="Calibri" w:hAnsi="Calibri" w:cs="Calibri"/>
          <w:b/>
          <w:bCs/>
          <w:color w:val="000000" w:themeColor="text1"/>
          <w:lang w:eastAsia="en-US"/>
        </w:rPr>
        <w:t>Armády v</w:t>
      </w:r>
      <w:r w:rsidR="00D05CE9" w:rsidRPr="00031BC0">
        <w:rPr>
          <w:rFonts w:ascii="Calibri" w:eastAsia="Calibri" w:hAnsi="Calibri" w:cs="Calibri"/>
          <w:b/>
          <w:bCs/>
          <w:color w:val="000000" w:themeColor="text1"/>
          <w:lang w:eastAsia="en-US"/>
        </w:rPr>
        <w:t xml:space="preserve"> </w:t>
      </w:r>
      <w:r w:rsidRPr="00031BC0">
        <w:rPr>
          <w:rFonts w:ascii="Calibri" w:eastAsia="Calibri" w:hAnsi="Calibri" w:cs="Calibri"/>
          <w:b/>
          <w:bCs/>
          <w:color w:val="000000" w:themeColor="text1"/>
          <w:lang w:eastAsia="en-US"/>
        </w:rPr>
        <w:t xml:space="preserve">dokumentech rozdílně. </w:t>
      </w:r>
      <w:r w:rsidR="00B101AE" w:rsidRPr="00031BC0">
        <w:rPr>
          <w:rFonts w:ascii="Calibri" w:eastAsia="Calibri" w:hAnsi="Calibri" w:cs="Calibri"/>
          <w:b/>
          <w:bCs/>
          <w:color w:val="000000" w:themeColor="text1"/>
          <w:lang w:eastAsia="en-US"/>
        </w:rPr>
        <w:t>R</w:t>
      </w:r>
      <w:r w:rsidR="00800081" w:rsidRPr="00031BC0">
        <w:rPr>
          <w:rFonts w:ascii="Calibri" w:eastAsia="Calibri" w:hAnsi="Calibri" w:cs="Calibri"/>
          <w:b/>
          <w:bCs/>
          <w:color w:val="000000" w:themeColor="text1"/>
          <w:lang w:eastAsia="en-US"/>
        </w:rPr>
        <w:t>ealizac</w:t>
      </w:r>
      <w:r w:rsidR="00800081">
        <w:rPr>
          <w:rFonts w:ascii="Calibri" w:eastAsia="Calibri" w:hAnsi="Calibri" w:cs="Calibri"/>
          <w:b/>
          <w:bCs/>
          <w:lang w:eastAsia="en-US"/>
        </w:rPr>
        <w:t>e</w:t>
      </w:r>
      <w:r w:rsidR="00B101AE">
        <w:rPr>
          <w:rFonts w:ascii="Calibri" w:eastAsia="Calibri" w:hAnsi="Calibri" w:cs="Calibri"/>
          <w:b/>
          <w:bCs/>
          <w:lang w:eastAsia="en-US"/>
        </w:rPr>
        <w:t xml:space="preserve"> investi</w:t>
      </w:r>
      <w:r w:rsidR="0065483E">
        <w:rPr>
          <w:rFonts w:ascii="Calibri" w:eastAsia="Calibri" w:hAnsi="Calibri" w:cs="Calibri"/>
          <w:b/>
          <w:bCs/>
          <w:lang w:eastAsia="en-US"/>
        </w:rPr>
        <w:t>čních akcí</w:t>
      </w:r>
      <w:r w:rsidR="00B101A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B101AE" w:rsidRPr="00B101AE">
        <w:rPr>
          <w:rFonts w:ascii="Calibri" w:eastAsia="Calibri" w:hAnsi="Calibri" w:cs="Calibri"/>
          <w:b/>
          <w:bCs/>
          <w:lang w:eastAsia="en-US"/>
        </w:rPr>
        <w:t>se</w:t>
      </w:r>
      <w:r w:rsidR="00D33A66">
        <w:rPr>
          <w:rFonts w:ascii="Calibri" w:eastAsia="Calibri" w:hAnsi="Calibri" w:cs="Calibri"/>
          <w:b/>
          <w:bCs/>
          <w:lang w:eastAsia="en-US"/>
        </w:rPr>
        <w:t xml:space="preserve"> často</w:t>
      </w:r>
      <w:r w:rsidR="00B101AE" w:rsidRPr="00B101AE"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B101AE">
        <w:rPr>
          <w:rFonts w:ascii="Calibri" w:eastAsia="Calibri" w:hAnsi="Calibri" w:cs="Calibri"/>
          <w:b/>
          <w:bCs/>
          <w:lang w:eastAsia="en-US"/>
        </w:rPr>
        <w:t>zp</w:t>
      </w:r>
      <w:r w:rsidR="00116C55" w:rsidRPr="00B101AE">
        <w:rPr>
          <w:rFonts w:ascii="Calibri" w:eastAsia="Calibri" w:hAnsi="Calibri" w:cs="Calibri"/>
          <w:b/>
          <w:bCs/>
          <w:lang w:eastAsia="en-US"/>
        </w:rPr>
        <w:t>ož</w:t>
      </w:r>
      <w:r w:rsidR="00B101AE" w:rsidRPr="00B101AE">
        <w:rPr>
          <w:rFonts w:ascii="Calibri" w:eastAsia="Calibri" w:hAnsi="Calibri" w:cs="Calibri"/>
          <w:b/>
          <w:bCs/>
          <w:lang w:eastAsia="en-US"/>
        </w:rPr>
        <w:t>ď</w:t>
      </w:r>
      <w:r w:rsidR="00D33A66">
        <w:rPr>
          <w:rFonts w:ascii="Calibri" w:eastAsia="Calibri" w:hAnsi="Calibri" w:cs="Calibri"/>
          <w:b/>
          <w:bCs/>
          <w:lang w:eastAsia="en-US"/>
        </w:rPr>
        <w:t>ovala</w:t>
      </w:r>
      <w:r w:rsidR="00B101AE" w:rsidRPr="00B101AE">
        <w:rPr>
          <w:rFonts w:ascii="Calibri" w:eastAsia="Calibri" w:hAnsi="Calibri" w:cs="Calibri"/>
          <w:b/>
          <w:bCs/>
          <w:lang w:eastAsia="en-US"/>
        </w:rPr>
        <w:t xml:space="preserve">, </w:t>
      </w:r>
      <w:r w:rsidR="00D06845">
        <w:rPr>
          <w:rFonts w:ascii="Calibri" w:eastAsia="Calibri" w:hAnsi="Calibri" w:cs="Calibri"/>
          <w:b/>
          <w:bCs/>
          <w:lang w:eastAsia="en-US"/>
        </w:rPr>
        <w:t>p</w:t>
      </w:r>
      <w:r w:rsidR="006B765B" w:rsidRPr="00B101AE">
        <w:rPr>
          <w:rFonts w:ascii="Calibri" w:eastAsia="Calibri" w:hAnsi="Calibri" w:cs="Calibri"/>
          <w:b/>
          <w:bCs/>
          <w:lang w:eastAsia="en-US"/>
        </w:rPr>
        <w:t>řitom</w:t>
      </w:r>
      <w:r w:rsidR="006B765B" w:rsidRPr="000C6AA1">
        <w:rPr>
          <w:rFonts w:ascii="Calibri" w:eastAsia="Calibri" w:hAnsi="Calibri" w:cs="Calibri"/>
          <w:b/>
          <w:bCs/>
          <w:lang w:eastAsia="en-US"/>
        </w:rPr>
        <w:t xml:space="preserve"> velká čás</w:t>
      </w:r>
      <w:r w:rsidR="006B765B">
        <w:rPr>
          <w:rFonts w:ascii="Calibri" w:eastAsia="Calibri" w:hAnsi="Calibri" w:cs="Calibri"/>
          <w:b/>
          <w:bCs/>
          <w:lang w:eastAsia="en-US"/>
        </w:rPr>
        <w:t xml:space="preserve">t obrněné techniky již významně </w:t>
      </w:r>
      <w:r w:rsidR="006B765B" w:rsidRPr="000C6AA1">
        <w:rPr>
          <w:rFonts w:ascii="Calibri" w:eastAsia="Calibri" w:hAnsi="Calibri" w:cs="Calibri"/>
          <w:b/>
          <w:bCs/>
          <w:lang w:eastAsia="en-US"/>
        </w:rPr>
        <w:t>překro</w:t>
      </w:r>
      <w:r w:rsidR="006B765B">
        <w:rPr>
          <w:rFonts w:ascii="Calibri" w:eastAsia="Calibri" w:hAnsi="Calibri" w:cs="Calibri"/>
          <w:b/>
          <w:bCs/>
          <w:lang w:eastAsia="en-US"/>
        </w:rPr>
        <w:t>čila svou technickou životnost.</w:t>
      </w:r>
      <w:r w:rsidR="00D06845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B04A49">
        <w:rPr>
          <w:rFonts w:ascii="Calibri" w:eastAsia="Calibri" w:hAnsi="Calibri" w:cs="Calibri"/>
          <w:b/>
          <w:bCs/>
          <w:lang w:eastAsia="en-US"/>
        </w:rPr>
        <w:t xml:space="preserve">MO </w:t>
      </w:r>
      <w:r w:rsidR="008319E1">
        <w:rPr>
          <w:rFonts w:ascii="Calibri" w:eastAsia="Calibri" w:hAnsi="Calibri" w:cs="Calibri"/>
          <w:b/>
          <w:bCs/>
          <w:lang w:eastAsia="en-US"/>
        </w:rPr>
        <w:t xml:space="preserve">také </w:t>
      </w:r>
      <w:r w:rsidR="00B04A49">
        <w:rPr>
          <w:rFonts w:ascii="Calibri" w:eastAsia="Calibri" w:hAnsi="Calibri" w:cs="Calibri"/>
          <w:b/>
          <w:bCs/>
          <w:lang w:eastAsia="en-US"/>
        </w:rPr>
        <w:t xml:space="preserve">vynaložilo </w:t>
      </w:r>
      <w:r w:rsidRPr="000C6AA1">
        <w:rPr>
          <w:rFonts w:ascii="Calibri" w:eastAsia="Calibri" w:hAnsi="Calibri" w:cs="Calibri"/>
          <w:b/>
          <w:bCs/>
          <w:lang w:eastAsia="en-US"/>
        </w:rPr>
        <w:t>neúčelně a neefektivně 85,9</w:t>
      </w:r>
      <w:r w:rsidR="00631B04">
        <w:rPr>
          <w:rFonts w:ascii="Calibri" w:eastAsia="Calibri" w:hAnsi="Calibri" w:cs="Calibri"/>
          <w:b/>
          <w:bCs/>
          <w:lang w:eastAsia="en-US"/>
        </w:rPr>
        <w:t> </w:t>
      </w:r>
      <w:r w:rsidRPr="000C6AA1">
        <w:rPr>
          <w:rFonts w:ascii="Calibri" w:eastAsia="Calibri" w:hAnsi="Calibri" w:cs="Calibri"/>
          <w:b/>
          <w:bCs/>
          <w:lang w:eastAsia="en-US"/>
        </w:rPr>
        <w:t>mil.</w:t>
      </w:r>
      <w:r w:rsidR="00631B04">
        <w:rPr>
          <w:rFonts w:ascii="Calibri" w:eastAsia="Calibri" w:hAnsi="Calibri" w:cs="Calibri"/>
          <w:b/>
          <w:bCs/>
          <w:lang w:eastAsia="en-US"/>
        </w:rPr>
        <w:t> </w:t>
      </w:r>
      <w:r w:rsidRPr="000C6AA1">
        <w:rPr>
          <w:rFonts w:ascii="Calibri" w:eastAsia="Calibri" w:hAnsi="Calibri" w:cs="Calibri"/>
          <w:b/>
          <w:bCs/>
          <w:lang w:eastAsia="en-US"/>
        </w:rPr>
        <w:t>Kč na technické zhodnocen</w:t>
      </w:r>
      <w:r w:rsidR="00493907">
        <w:rPr>
          <w:rFonts w:ascii="Calibri" w:eastAsia="Calibri" w:hAnsi="Calibri" w:cs="Calibri"/>
          <w:b/>
          <w:bCs/>
          <w:lang w:eastAsia="en-US"/>
        </w:rPr>
        <w:t>í obrněného vozidla</w:t>
      </w:r>
      <w:r w:rsidRPr="000C6AA1">
        <w:rPr>
          <w:rFonts w:ascii="Calibri" w:eastAsia="Calibri" w:hAnsi="Calibri" w:cs="Calibri"/>
          <w:b/>
          <w:bCs/>
          <w:lang w:eastAsia="en-US"/>
        </w:rPr>
        <w:t>.</w:t>
      </w:r>
      <w:r w:rsidR="00D06845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8319E1" w:rsidRPr="009D5D48">
        <w:rPr>
          <w:rFonts w:ascii="Calibri" w:eastAsia="Calibri" w:hAnsi="Calibri" w:cs="Calibri"/>
          <w:b/>
          <w:bCs/>
          <w:lang w:eastAsia="en-US"/>
        </w:rPr>
        <w:t xml:space="preserve">Při pořizování obrněné techniky se </w:t>
      </w:r>
      <w:r w:rsidRPr="009D5D48">
        <w:rPr>
          <w:rFonts w:ascii="Calibri" w:eastAsia="Calibri" w:hAnsi="Calibri" w:cs="Calibri"/>
          <w:b/>
          <w:bCs/>
          <w:lang w:eastAsia="en-US"/>
        </w:rPr>
        <w:t>MO ne</w:t>
      </w:r>
      <w:r w:rsidR="00E83951" w:rsidRPr="009D5D48">
        <w:rPr>
          <w:rFonts w:ascii="Calibri" w:eastAsia="Calibri" w:hAnsi="Calibri" w:cs="Calibri"/>
          <w:b/>
          <w:bCs/>
          <w:lang w:eastAsia="en-US"/>
        </w:rPr>
        <w:t>zabývalo</w:t>
      </w:r>
      <w:r w:rsidRPr="009D5D48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5D1A9B" w:rsidRPr="009D5D48">
        <w:rPr>
          <w:rFonts w:ascii="Calibri" w:eastAsia="Calibri" w:hAnsi="Calibri" w:cs="Calibri"/>
          <w:b/>
          <w:bCs/>
          <w:lang w:eastAsia="en-US"/>
        </w:rPr>
        <w:t xml:space="preserve">celkovými </w:t>
      </w:r>
      <w:r w:rsidRPr="009D5D48">
        <w:rPr>
          <w:rFonts w:ascii="Calibri" w:eastAsia="Calibri" w:hAnsi="Calibri" w:cs="Calibri"/>
          <w:b/>
          <w:bCs/>
          <w:lang w:eastAsia="en-US"/>
        </w:rPr>
        <w:t>náklady životní</w:t>
      </w:r>
      <w:r w:rsidR="009D5D48">
        <w:rPr>
          <w:rFonts w:ascii="Calibri" w:eastAsia="Calibri" w:hAnsi="Calibri" w:cs="Calibri"/>
          <w:b/>
          <w:bCs/>
          <w:lang w:eastAsia="en-US"/>
        </w:rPr>
        <w:t>ho</w:t>
      </w:r>
      <w:r w:rsidRPr="009D5D48">
        <w:rPr>
          <w:rFonts w:ascii="Calibri" w:eastAsia="Calibri" w:hAnsi="Calibri" w:cs="Calibri"/>
          <w:b/>
          <w:bCs/>
          <w:lang w:eastAsia="en-US"/>
        </w:rPr>
        <w:t xml:space="preserve"> cyklu</w:t>
      </w:r>
      <w:r w:rsidR="004949A3">
        <w:rPr>
          <w:rStyle w:val="Znakapoznpodarou"/>
          <w:rFonts w:asciiTheme="minorHAnsi" w:hAnsiTheme="minorHAnsi" w:cstheme="minorHAnsi"/>
        </w:rPr>
        <w:footnoteReference w:id="2"/>
      </w:r>
      <w:r w:rsidR="003821EA">
        <w:rPr>
          <w:rFonts w:ascii="Calibri" w:eastAsia="Calibri" w:hAnsi="Calibri" w:cs="Calibri"/>
          <w:b/>
          <w:bCs/>
          <w:lang w:eastAsia="en-US"/>
        </w:rPr>
        <w:t>,</w:t>
      </w:r>
      <w:r w:rsidR="004949A3">
        <w:rPr>
          <w:rFonts w:asciiTheme="minorHAnsi" w:hAnsiTheme="minorHAnsi" w:cstheme="minorHAnsi"/>
        </w:rPr>
        <w:t xml:space="preserve"> </w:t>
      </w:r>
      <w:r w:rsidRPr="009D5D48">
        <w:rPr>
          <w:rFonts w:ascii="Calibri" w:eastAsia="Calibri" w:hAnsi="Calibri" w:cs="Calibri"/>
          <w:b/>
          <w:bCs/>
          <w:lang w:eastAsia="en-US"/>
        </w:rPr>
        <w:t>čímž postupovalo v rozporu se zákonem č. 2/1969 Sb.</w:t>
      </w:r>
      <w:r w:rsidR="00A52888" w:rsidRPr="009D5D48">
        <w:rPr>
          <w:rStyle w:val="Znakapoznpodarou"/>
          <w:rFonts w:asciiTheme="minorHAnsi" w:hAnsiTheme="minorHAnsi" w:cstheme="minorHAnsi"/>
          <w:b/>
        </w:rPr>
        <w:footnoteReference w:id="3"/>
      </w:r>
      <w:r w:rsidRPr="009D5D48">
        <w:rPr>
          <w:rFonts w:ascii="Calibri" w:eastAsia="Calibri" w:hAnsi="Calibri" w:cs="Calibri"/>
          <w:b/>
          <w:bCs/>
          <w:lang w:eastAsia="en-US"/>
        </w:rPr>
        <w:t xml:space="preserve"> a č. 219/2000 Sb.</w:t>
      </w:r>
      <w:r w:rsidR="00A52888" w:rsidRPr="009D5D48">
        <w:rPr>
          <w:rStyle w:val="Znakapoznpodarou"/>
          <w:rFonts w:asciiTheme="minorHAnsi" w:hAnsiTheme="minorHAnsi" w:cstheme="minorHAnsi"/>
          <w:b/>
        </w:rPr>
        <w:footnoteReference w:id="4"/>
      </w:r>
      <w:r w:rsidRPr="009D5D48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E50C6C">
        <w:rPr>
          <w:rFonts w:ascii="Calibri" w:eastAsia="Calibri" w:hAnsi="Calibri" w:cs="Calibri"/>
          <w:b/>
          <w:bCs/>
          <w:lang w:eastAsia="en-US"/>
        </w:rPr>
        <w:t>S</w:t>
      </w:r>
      <w:r w:rsidR="000A765F" w:rsidRPr="009D5D48">
        <w:rPr>
          <w:rFonts w:ascii="Calibri" w:eastAsia="Calibri" w:hAnsi="Calibri" w:cs="Calibri"/>
          <w:b/>
          <w:bCs/>
          <w:lang w:eastAsia="en-US"/>
        </w:rPr>
        <w:t>talo</w:t>
      </w:r>
      <w:r w:rsidR="00E50C6C">
        <w:rPr>
          <w:rFonts w:ascii="Calibri" w:eastAsia="Calibri" w:hAnsi="Calibri" w:cs="Calibri"/>
          <w:b/>
          <w:bCs/>
          <w:lang w:eastAsia="en-US"/>
        </w:rPr>
        <w:t xml:space="preserve"> se tak</w:t>
      </w:r>
      <w:r w:rsidR="00606E53" w:rsidRPr="009D5D48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0A765F" w:rsidRPr="009D5D48">
        <w:rPr>
          <w:rFonts w:ascii="Calibri" w:eastAsia="Calibri" w:hAnsi="Calibri" w:cs="Calibri"/>
          <w:b/>
          <w:bCs/>
          <w:lang w:eastAsia="en-US"/>
        </w:rPr>
        <w:t xml:space="preserve">závislé na </w:t>
      </w:r>
      <w:r w:rsidRPr="009D5D48">
        <w:rPr>
          <w:rFonts w:ascii="Calibri" w:eastAsia="Calibri" w:hAnsi="Calibri" w:cs="Calibri"/>
          <w:b/>
          <w:bCs/>
          <w:lang w:eastAsia="en-US"/>
        </w:rPr>
        <w:t xml:space="preserve">dodavateli </w:t>
      </w:r>
      <w:r w:rsidR="000C6AA1" w:rsidRPr="009D5D48">
        <w:rPr>
          <w:rFonts w:ascii="Calibri" w:eastAsia="Calibri" w:hAnsi="Calibri" w:cs="Calibri"/>
          <w:b/>
          <w:bCs/>
          <w:lang w:eastAsia="en-US"/>
        </w:rPr>
        <w:t xml:space="preserve">servisních </w:t>
      </w:r>
      <w:r w:rsidRPr="009D5D48">
        <w:rPr>
          <w:rFonts w:ascii="Calibri" w:eastAsia="Calibri" w:hAnsi="Calibri" w:cs="Calibri"/>
          <w:b/>
          <w:bCs/>
          <w:lang w:eastAsia="en-US"/>
        </w:rPr>
        <w:t xml:space="preserve">služeb </w:t>
      </w:r>
      <w:r w:rsidR="00116C55" w:rsidRPr="009D5D48">
        <w:rPr>
          <w:rFonts w:ascii="Calibri" w:eastAsia="Calibri" w:hAnsi="Calibri" w:cs="Calibri"/>
          <w:b/>
          <w:bCs/>
          <w:lang w:eastAsia="en-US"/>
        </w:rPr>
        <w:t>a </w:t>
      </w:r>
      <w:r w:rsidRPr="009D5D48">
        <w:rPr>
          <w:rFonts w:ascii="Calibri" w:eastAsia="Calibri" w:hAnsi="Calibri" w:cs="Calibri"/>
          <w:b/>
          <w:bCs/>
          <w:lang w:eastAsia="en-US"/>
        </w:rPr>
        <w:t>náhradních dílů</w:t>
      </w:r>
      <w:r w:rsidR="000A765F" w:rsidRPr="009D5D48">
        <w:rPr>
          <w:rFonts w:ascii="Calibri" w:eastAsia="Calibri" w:hAnsi="Calibri" w:cs="Calibri"/>
          <w:b/>
          <w:bCs/>
          <w:lang w:eastAsia="en-US"/>
        </w:rPr>
        <w:t xml:space="preserve"> s příslušnou licencí</w:t>
      </w:r>
      <w:r w:rsidR="00606E53" w:rsidRPr="009D5D48">
        <w:rPr>
          <w:rFonts w:ascii="Calibri" w:eastAsia="Calibri" w:hAnsi="Calibri" w:cs="Calibri"/>
          <w:b/>
          <w:bCs/>
          <w:lang w:eastAsia="en-US"/>
        </w:rPr>
        <w:t xml:space="preserve">, což vede k </w:t>
      </w:r>
      <w:r w:rsidR="000A765F" w:rsidRPr="009D5D48">
        <w:rPr>
          <w:rFonts w:ascii="Calibri" w:eastAsia="Calibri" w:hAnsi="Calibri" w:cs="Calibri"/>
          <w:b/>
          <w:bCs/>
          <w:lang w:eastAsia="en-US"/>
        </w:rPr>
        <w:t>n</w:t>
      </w:r>
      <w:r w:rsidRPr="009D5D48">
        <w:rPr>
          <w:rFonts w:ascii="Calibri" w:eastAsia="Calibri" w:hAnsi="Calibri" w:cs="Calibri"/>
          <w:b/>
          <w:bCs/>
          <w:lang w:eastAsia="en-US"/>
        </w:rPr>
        <w:t>avyšování</w:t>
      </w:r>
      <w:r w:rsidRPr="00606E53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9D5D48">
        <w:rPr>
          <w:rFonts w:ascii="Calibri" w:eastAsia="Calibri" w:hAnsi="Calibri" w:cs="Calibri"/>
          <w:b/>
          <w:bCs/>
          <w:lang w:eastAsia="en-US"/>
        </w:rPr>
        <w:t xml:space="preserve">peněžních </w:t>
      </w:r>
      <w:r w:rsidRPr="00606E53">
        <w:rPr>
          <w:rFonts w:ascii="Calibri" w:eastAsia="Calibri" w:hAnsi="Calibri" w:cs="Calibri"/>
          <w:b/>
          <w:bCs/>
          <w:lang w:eastAsia="en-US"/>
        </w:rPr>
        <w:t xml:space="preserve">prostředků </w:t>
      </w:r>
      <w:r w:rsidR="00AE02E1">
        <w:rPr>
          <w:rFonts w:ascii="Calibri" w:eastAsia="Calibri" w:hAnsi="Calibri" w:cs="Calibri"/>
          <w:b/>
          <w:bCs/>
          <w:lang w:eastAsia="en-US"/>
        </w:rPr>
        <w:t>vynakládaných</w:t>
      </w:r>
      <w:r w:rsidRPr="00606E53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AE02E1">
        <w:rPr>
          <w:rFonts w:ascii="Calibri" w:eastAsia="Calibri" w:hAnsi="Calibri" w:cs="Calibri"/>
          <w:b/>
          <w:bCs/>
          <w:lang w:eastAsia="en-US"/>
        </w:rPr>
        <w:t>na</w:t>
      </w:r>
      <w:r w:rsidRPr="00606E53">
        <w:rPr>
          <w:rFonts w:ascii="Calibri" w:eastAsia="Calibri" w:hAnsi="Calibri" w:cs="Calibri"/>
          <w:b/>
          <w:bCs/>
          <w:lang w:eastAsia="en-US"/>
        </w:rPr>
        <w:t xml:space="preserve"> za</w:t>
      </w:r>
      <w:r w:rsidR="00403DD5" w:rsidRPr="00606E53">
        <w:rPr>
          <w:rFonts w:ascii="Calibri" w:eastAsia="Calibri" w:hAnsi="Calibri" w:cs="Calibri"/>
          <w:b/>
          <w:bCs/>
          <w:lang w:eastAsia="en-US"/>
        </w:rPr>
        <w:t>jištění</w:t>
      </w:r>
      <w:r w:rsidRPr="00606E53">
        <w:rPr>
          <w:rFonts w:ascii="Calibri" w:eastAsia="Calibri" w:hAnsi="Calibri" w:cs="Calibri"/>
          <w:b/>
          <w:bCs/>
          <w:lang w:eastAsia="en-US"/>
        </w:rPr>
        <w:t xml:space="preserve"> provozu této techniky. </w:t>
      </w:r>
    </w:p>
    <w:p w14:paraId="7531B786" w14:textId="77777777" w:rsidR="00955FAB" w:rsidRPr="000C6AA1" w:rsidRDefault="00955FAB" w:rsidP="00955FAB">
      <w:pPr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0957C539" w14:textId="0125F368" w:rsidR="00B12308" w:rsidRDefault="00512A75" w:rsidP="00955FAB">
      <w:pPr>
        <w:jc w:val="both"/>
        <w:rPr>
          <w:rFonts w:ascii="Calibri" w:eastAsia="Calibri" w:hAnsi="Calibri" w:cs="Calibri"/>
          <w:b/>
          <w:bCs/>
          <w:lang w:eastAsia="en-US"/>
        </w:rPr>
      </w:pPr>
      <w:r w:rsidRPr="00512A75">
        <w:rPr>
          <w:rFonts w:ascii="Calibri" w:eastAsia="Calibri" w:hAnsi="Calibri" w:cs="Calibri"/>
          <w:b/>
          <w:bCs/>
          <w:lang w:eastAsia="en-US"/>
        </w:rPr>
        <w:t>MO nezabezpečilo o</w:t>
      </w:r>
      <w:r w:rsidR="00B12308" w:rsidRPr="00512A75">
        <w:rPr>
          <w:rFonts w:ascii="Calibri" w:eastAsia="Calibri" w:hAnsi="Calibri" w:cs="Calibri"/>
          <w:b/>
          <w:bCs/>
          <w:lang w:eastAsia="en-US"/>
        </w:rPr>
        <w:t xml:space="preserve">pravy a udržování </w:t>
      </w:r>
      <w:r w:rsidR="00DA2734">
        <w:rPr>
          <w:rFonts w:ascii="Calibri" w:eastAsia="Calibri" w:hAnsi="Calibri" w:cs="Calibri"/>
          <w:b/>
          <w:bCs/>
          <w:lang w:eastAsia="en-US"/>
        </w:rPr>
        <w:t>kolových bojových vozidel pěchoty (dále také „KBVP“), kolových obrněných transportérů (dále také „</w:t>
      </w:r>
      <w:r w:rsidR="00DA2734" w:rsidRPr="00606E53">
        <w:rPr>
          <w:rFonts w:ascii="Calibri" w:eastAsia="Calibri" w:hAnsi="Calibri" w:cs="Calibri"/>
          <w:b/>
          <w:bCs/>
          <w:lang w:eastAsia="en-US"/>
        </w:rPr>
        <w:t>KOT</w:t>
      </w:r>
      <w:r w:rsidR="00DA2734">
        <w:rPr>
          <w:rFonts w:ascii="Calibri" w:eastAsia="Calibri" w:hAnsi="Calibri" w:cs="Calibri"/>
          <w:b/>
          <w:bCs/>
          <w:lang w:eastAsia="en-US"/>
        </w:rPr>
        <w:t>“)</w:t>
      </w:r>
      <w:r w:rsidR="00DA2734" w:rsidRPr="00606E53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DA2734">
        <w:rPr>
          <w:rFonts w:ascii="Calibri" w:eastAsia="Calibri" w:hAnsi="Calibri" w:cs="Calibri"/>
          <w:b/>
          <w:bCs/>
          <w:lang w:eastAsia="en-US"/>
        </w:rPr>
        <w:t xml:space="preserve">a modernizovaných tanků </w:t>
      </w:r>
      <w:r w:rsidRPr="00512A75">
        <w:rPr>
          <w:rFonts w:ascii="Calibri" w:eastAsia="Calibri" w:hAnsi="Calibri" w:cs="Calibri"/>
          <w:b/>
          <w:bCs/>
          <w:lang w:eastAsia="en-US"/>
        </w:rPr>
        <w:t xml:space="preserve">podle </w:t>
      </w:r>
      <w:r w:rsidR="00B12308" w:rsidRPr="00512A75">
        <w:rPr>
          <w:rFonts w:ascii="Calibri" w:eastAsia="Calibri" w:hAnsi="Calibri" w:cs="Calibri"/>
          <w:b/>
          <w:bCs/>
          <w:lang w:eastAsia="en-US"/>
        </w:rPr>
        <w:t>potřeb Armády</w:t>
      </w:r>
      <w:r w:rsidR="008319E1">
        <w:rPr>
          <w:rFonts w:ascii="Calibri" w:eastAsia="Calibri" w:hAnsi="Calibri" w:cs="Calibri"/>
          <w:b/>
          <w:bCs/>
          <w:lang w:eastAsia="en-US"/>
        </w:rPr>
        <w:t xml:space="preserve"> a nezajistilo </w:t>
      </w:r>
      <w:r w:rsidR="008319E1" w:rsidRPr="00512A75">
        <w:rPr>
          <w:rFonts w:ascii="Calibri" w:eastAsia="Calibri" w:hAnsi="Calibri" w:cs="Calibri"/>
          <w:b/>
          <w:bCs/>
          <w:lang w:eastAsia="en-US"/>
        </w:rPr>
        <w:t xml:space="preserve">přísun náhradních dílů </w:t>
      </w:r>
      <w:r w:rsidR="008319E1">
        <w:rPr>
          <w:rFonts w:ascii="Calibri" w:eastAsia="Calibri" w:hAnsi="Calibri" w:cs="Calibri"/>
          <w:b/>
          <w:bCs/>
          <w:lang w:eastAsia="en-US"/>
        </w:rPr>
        <w:t xml:space="preserve">v době </w:t>
      </w:r>
      <w:r w:rsidR="008319E1" w:rsidRPr="00512A75">
        <w:rPr>
          <w:rFonts w:ascii="Calibri" w:eastAsia="Calibri" w:hAnsi="Calibri" w:cs="Calibri"/>
          <w:b/>
          <w:bCs/>
          <w:lang w:eastAsia="en-US"/>
        </w:rPr>
        <w:t xml:space="preserve">životnosti </w:t>
      </w:r>
      <w:r w:rsidR="00DA2734">
        <w:rPr>
          <w:rFonts w:ascii="Calibri" w:eastAsia="Calibri" w:hAnsi="Calibri" w:cs="Calibri"/>
          <w:b/>
          <w:bCs/>
          <w:lang w:eastAsia="en-US"/>
        </w:rPr>
        <w:t>této</w:t>
      </w:r>
      <w:r w:rsidR="008319E1" w:rsidRPr="00512A75">
        <w:rPr>
          <w:rFonts w:ascii="Calibri" w:eastAsia="Calibri" w:hAnsi="Calibri" w:cs="Calibri"/>
          <w:b/>
          <w:bCs/>
          <w:lang w:eastAsia="en-US"/>
        </w:rPr>
        <w:t xml:space="preserve"> techniky</w:t>
      </w:r>
      <w:r w:rsidR="008319E1">
        <w:rPr>
          <w:rFonts w:ascii="Calibri" w:eastAsia="Calibri" w:hAnsi="Calibri" w:cs="Calibri"/>
          <w:b/>
          <w:bCs/>
          <w:lang w:eastAsia="en-US"/>
        </w:rPr>
        <w:t xml:space="preserve">. </w:t>
      </w:r>
      <w:r>
        <w:rPr>
          <w:rFonts w:ascii="Calibri" w:eastAsia="Calibri" w:hAnsi="Calibri" w:cs="Calibri"/>
          <w:b/>
          <w:bCs/>
          <w:lang w:eastAsia="en-US"/>
        </w:rPr>
        <w:t xml:space="preserve">V celém </w:t>
      </w:r>
      <w:r w:rsidR="00B12308" w:rsidRPr="00512A75">
        <w:rPr>
          <w:rFonts w:ascii="Calibri" w:eastAsia="Calibri" w:hAnsi="Calibri" w:cs="Calibri"/>
          <w:b/>
          <w:bCs/>
          <w:lang w:eastAsia="en-US"/>
        </w:rPr>
        <w:t>kontrolované</w:t>
      </w:r>
      <w:r>
        <w:rPr>
          <w:rFonts w:ascii="Calibri" w:eastAsia="Calibri" w:hAnsi="Calibri" w:cs="Calibri"/>
          <w:b/>
          <w:bCs/>
          <w:lang w:eastAsia="en-US"/>
        </w:rPr>
        <w:t>m</w:t>
      </w:r>
      <w:r w:rsidR="00B12308" w:rsidRPr="00512A75">
        <w:rPr>
          <w:rFonts w:ascii="Calibri" w:eastAsia="Calibri" w:hAnsi="Calibri" w:cs="Calibri"/>
          <w:b/>
          <w:bCs/>
          <w:lang w:eastAsia="en-US"/>
        </w:rPr>
        <w:t xml:space="preserve"> období trvala vysoká neprovozuschopnost</w:t>
      </w:r>
      <w:r>
        <w:rPr>
          <w:rFonts w:ascii="Calibri" w:eastAsia="Calibri" w:hAnsi="Calibri" w:cs="Calibri"/>
          <w:b/>
          <w:bCs/>
          <w:lang w:eastAsia="en-US"/>
        </w:rPr>
        <w:t xml:space="preserve"> vozidel, která může vést až k </w:t>
      </w:r>
      <w:r w:rsidR="00B12308" w:rsidRPr="00512A75">
        <w:rPr>
          <w:rFonts w:ascii="Calibri" w:eastAsia="Calibri" w:hAnsi="Calibri" w:cs="Calibri"/>
          <w:b/>
          <w:bCs/>
          <w:lang w:eastAsia="en-US"/>
        </w:rPr>
        <w:t>ohrožení bojeschopnosti A</w:t>
      </w:r>
      <w:r w:rsidR="004A5291" w:rsidRPr="00512A75">
        <w:rPr>
          <w:rFonts w:ascii="Calibri" w:eastAsia="Calibri" w:hAnsi="Calibri" w:cs="Calibri"/>
          <w:b/>
          <w:bCs/>
          <w:lang w:eastAsia="en-US"/>
        </w:rPr>
        <w:t>rmády</w:t>
      </w:r>
      <w:r w:rsidR="003602CB">
        <w:rPr>
          <w:rStyle w:val="Znakapoznpodarou"/>
          <w:rFonts w:ascii="Calibri" w:eastAsia="Calibri" w:hAnsi="Calibri" w:cs="Calibri"/>
          <w:lang w:eastAsia="en-US"/>
        </w:rPr>
        <w:footnoteReference w:id="5"/>
      </w:r>
      <w:r w:rsidR="00341608">
        <w:rPr>
          <w:rFonts w:ascii="Calibri" w:eastAsia="Calibri" w:hAnsi="Calibri" w:cs="Calibri"/>
          <w:b/>
          <w:bCs/>
          <w:lang w:eastAsia="en-US"/>
        </w:rPr>
        <w:t>.</w:t>
      </w:r>
      <w:r w:rsidR="008319E1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B12308" w:rsidRPr="00512A75">
        <w:rPr>
          <w:rFonts w:ascii="Calibri" w:eastAsia="Calibri" w:hAnsi="Calibri" w:cs="Calibri"/>
          <w:b/>
          <w:bCs/>
          <w:lang w:eastAsia="en-US"/>
        </w:rPr>
        <w:t>N</w:t>
      </w:r>
      <w:r w:rsidR="00AE02E1">
        <w:rPr>
          <w:rFonts w:ascii="Calibri" w:eastAsia="Calibri" w:hAnsi="Calibri" w:cs="Calibri"/>
          <w:b/>
          <w:bCs/>
          <w:lang w:eastAsia="en-US"/>
        </w:rPr>
        <w:t>avíc n</w:t>
      </w:r>
      <w:r w:rsidR="00B12308" w:rsidRPr="00512A75">
        <w:rPr>
          <w:rFonts w:ascii="Calibri" w:eastAsia="Calibri" w:hAnsi="Calibri" w:cs="Calibri"/>
          <w:b/>
          <w:bCs/>
          <w:lang w:eastAsia="en-US"/>
        </w:rPr>
        <w:t xml:space="preserve">ízká kapacita </w:t>
      </w:r>
      <w:r w:rsidR="00963F73">
        <w:rPr>
          <w:rFonts w:ascii="Calibri" w:eastAsia="Calibri" w:hAnsi="Calibri" w:cs="Calibri"/>
          <w:b/>
          <w:bCs/>
          <w:lang w:eastAsia="en-US"/>
        </w:rPr>
        <w:t xml:space="preserve">pro </w:t>
      </w:r>
      <w:r w:rsidR="00407954">
        <w:rPr>
          <w:rFonts w:ascii="Calibri" w:eastAsia="Calibri" w:hAnsi="Calibri" w:cs="Calibri"/>
          <w:b/>
          <w:bCs/>
          <w:lang w:eastAsia="en-US"/>
        </w:rPr>
        <w:t xml:space="preserve">provádění </w:t>
      </w:r>
      <w:r w:rsidR="004A5291" w:rsidRPr="001368AD">
        <w:rPr>
          <w:rFonts w:ascii="Calibri" w:eastAsia="Calibri" w:hAnsi="Calibri" w:cs="Calibri"/>
          <w:b/>
          <w:bCs/>
          <w:lang w:eastAsia="en-US"/>
        </w:rPr>
        <w:t>oprav</w:t>
      </w:r>
      <w:r w:rsidR="00647720">
        <w:rPr>
          <w:rFonts w:ascii="Calibri" w:eastAsia="Calibri" w:hAnsi="Calibri" w:cs="Calibri"/>
          <w:b/>
          <w:bCs/>
          <w:lang w:eastAsia="en-US"/>
        </w:rPr>
        <w:t xml:space="preserve"> Armádou</w:t>
      </w:r>
      <w:r w:rsidR="00B12308" w:rsidRPr="001368AD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B12308" w:rsidRPr="00512A75">
        <w:rPr>
          <w:rFonts w:ascii="Calibri" w:eastAsia="Calibri" w:hAnsi="Calibri" w:cs="Calibri"/>
          <w:b/>
          <w:bCs/>
          <w:lang w:eastAsia="en-US"/>
        </w:rPr>
        <w:t>opravy obrněné techniky</w:t>
      </w:r>
      <w:r w:rsidR="00C212DE" w:rsidRPr="00C212D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C212DE">
        <w:rPr>
          <w:rFonts w:ascii="Calibri" w:eastAsia="Calibri" w:hAnsi="Calibri" w:cs="Calibri"/>
          <w:b/>
          <w:bCs/>
          <w:lang w:eastAsia="en-US"/>
        </w:rPr>
        <w:t>prodražuje</w:t>
      </w:r>
      <w:r w:rsidR="00B12308" w:rsidRPr="00403DD5">
        <w:rPr>
          <w:rFonts w:ascii="Calibri" w:eastAsia="Calibri" w:hAnsi="Calibri" w:cs="Calibri"/>
          <w:b/>
          <w:bCs/>
          <w:lang w:eastAsia="en-US"/>
        </w:rPr>
        <w:t xml:space="preserve">. </w:t>
      </w:r>
    </w:p>
    <w:p w14:paraId="48DEBD72" w14:textId="77777777" w:rsidR="00955FAB" w:rsidRPr="00512A75" w:rsidRDefault="00955FAB" w:rsidP="00955FAB">
      <w:pPr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0735D27C" w14:textId="4502A01F" w:rsidR="00B12308" w:rsidRDefault="009F69EB" w:rsidP="00955FAB">
      <w:pPr>
        <w:jc w:val="both"/>
        <w:rPr>
          <w:rFonts w:ascii="Calibri" w:eastAsia="Calibri" w:hAnsi="Calibri" w:cs="Calibri"/>
          <w:b/>
          <w:bCs/>
          <w:color w:val="000000" w:themeColor="text1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MO zadalo v</w:t>
      </w:r>
      <w:r w:rsidR="00B12308" w:rsidRPr="009F69EB">
        <w:rPr>
          <w:rFonts w:ascii="Calibri" w:eastAsia="Calibri" w:hAnsi="Calibri" w:cs="Calibri"/>
          <w:b/>
          <w:bCs/>
          <w:lang w:eastAsia="en-US"/>
        </w:rPr>
        <w:t>šechny kontrolované nákupy i servisní podporu obrněné techniky na základě výjim</w:t>
      </w:r>
      <w:r w:rsidR="00E50C6C">
        <w:rPr>
          <w:rFonts w:ascii="Calibri" w:eastAsia="Calibri" w:hAnsi="Calibri" w:cs="Calibri"/>
          <w:b/>
          <w:bCs/>
          <w:lang w:eastAsia="en-US"/>
        </w:rPr>
        <w:t>ky</w:t>
      </w:r>
      <w:r w:rsidR="00B12308" w:rsidRPr="009F69EB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1F6B6D">
        <w:rPr>
          <w:rFonts w:ascii="Calibri" w:eastAsia="Calibri" w:hAnsi="Calibri" w:cs="Calibri"/>
          <w:b/>
          <w:bCs/>
          <w:lang w:eastAsia="en-US"/>
        </w:rPr>
        <w:t>dle</w:t>
      </w:r>
      <w:r w:rsidR="00B12308" w:rsidRPr="009F69EB">
        <w:rPr>
          <w:rFonts w:ascii="Calibri" w:eastAsia="Calibri" w:hAnsi="Calibri" w:cs="Calibri"/>
          <w:b/>
          <w:bCs/>
          <w:lang w:eastAsia="en-US"/>
        </w:rPr>
        <w:t xml:space="preserve"> zákona</w:t>
      </w:r>
      <w:r w:rsidR="00A52888" w:rsidRPr="009F69EB">
        <w:rPr>
          <w:rStyle w:val="Znakapoznpodarou"/>
          <w:rFonts w:asciiTheme="minorHAnsi" w:hAnsiTheme="minorHAnsi" w:cstheme="minorHAnsi"/>
          <w:b/>
        </w:rPr>
        <w:footnoteReference w:id="6"/>
      </w:r>
      <w:r w:rsidR="00A52888" w:rsidRPr="009F69EB">
        <w:rPr>
          <w:rFonts w:asciiTheme="minorHAnsi" w:hAnsiTheme="minorHAnsi" w:cstheme="minorHAnsi"/>
          <w:b/>
        </w:rPr>
        <w:t xml:space="preserve"> </w:t>
      </w:r>
      <w:r w:rsidR="008319E1">
        <w:rPr>
          <w:rFonts w:asciiTheme="minorHAnsi" w:hAnsiTheme="minorHAnsi" w:cstheme="minorHAnsi"/>
          <w:b/>
        </w:rPr>
        <w:t xml:space="preserve">nebo </w:t>
      </w:r>
      <w:r w:rsidR="00622A14">
        <w:rPr>
          <w:rFonts w:asciiTheme="minorHAnsi" w:hAnsiTheme="minorHAnsi" w:cstheme="minorHAnsi"/>
          <w:b/>
        </w:rPr>
        <w:t>v jednacím řízení bez uveřejnění</w:t>
      </w:r>
      <w:r w:rsidR="008319E1">
        <w:rPr>
          <w:rFonts w:asciiTheme="minorHAnsi" w:hAnsiTheme="minorHAnsi" w:cstheme="minorHAnsi"/>
          <w:b/>
        </w:rPr>
        <w:t>. H</w:t>
      </w:r>
      <w:r w:rsidR="00B12308" w:rsidRPr="009F69EB">
        <w:rPr>
          <w:rFonts w:ascii="Calibri" w:eastAsia="Calibri" w:hAnsi="Calibri" w:cs="Calibri"/>
          <w:b/>
          <w:bCs/>
          <w:lang w:eastAsia="en-US"/>
        </w:rPr>
        <w:t xml:space="preserve">ospodárnost smluvní ceny dokládalo znaleckými posudky nebo cenovým auditem. </w:t>
      </w:r>
      <w:r w:rsidR="00BB6B61">
        <w:rPr>
          <w:rFonts w:ascii="Calibri" w:eastAsia="Calibri" w:hAnsi="Calibri" w:cs="Calibri"/>
          <w:b/>
          <w:bCs/>
          <w:lang w:eastAsia="en-US"/>
        </w:rPr>
        <w:t>Znalecké posudky pod</w:t>
      </w:r>
      <w:r w:rsidRPr="009F69EB">
        <w:rPr>
          <w:rFonts w:ascii="Calibri" w:eastAsia="Calibri" w:hAnsi="Calibri" w:cs="Calibri"/>
          <w:b/>
          <w:bCs/>
          <w:lang w:eastAsia="en-US"/>
        </w:rPr>
        <w:t>pořily</w:t>
      </w:r>
      <w:r w:rsidR="00BB6B61">
        <w:rPr>
          <w:rFonts w:ascii="Calibri" w:eastAsia="Calibri" w:hAnsi="Calibri" w:cs="Calibri"/>
          <w:b/>
          <w:bCs/>
          <w:lang w:eastAsia="en-US"/>
        </w:rPr>
        <w:t xml:space="preserve"> například</w:t>
      </w:r>
      <w:r w:rsidRPr="009F69EB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B12308" w:rsidRPr="009F69EB">
        <w:rPr>
          <w:rFonts w:ascii="Calibri" w:eastAsia="Calibri" w:hAnsi="Calibri" w:cs="Calibri"/>
          <w:b/>
          <w:bCs/>
          <w:lang w:eastAsia="en-US"/>
        </w:rPr>
        <w:t xml:space="preserve">navýšení </w:t>
      </w:r>
      <w:r w:rsidR="00B12308" w:rsidRPr="00606E53">
        <w:rPr>
          <w:rFonts w:ascii="Calibri" w:eastAsia="Calibri" w:hAnsi="Calibri" w:cs="Calibri"/>
          <w:b/>
          <w:bCs/>
          <w:lang w:eastAsia="en-US"/>
        </w:rPr>
        <w:t xml:space="preserve">ceny pořízení kolových obrněných vozidel </w:t>
      </w:r>
      <w:r w:rsidR="009365AB">
        <w:rPr>
          <w:rFonts w:ascii="Calibri" w:eastAsia="Calibri" w:hAnsi="Calibri" w:cs="Calibri"/>
          <w:b/>
          <w:bCs/>
          <w:lang w:eastAsia="en-US"/>
        </w:rPr>
        <w:t>velitelsko-</w:t>
      </w:r>
      <w:r w:rsidR="00BB6B61">
        <w:rPr>
          <w:rFonts w:ascii="Calibri" w:eastAsia="Calibri" w:hAnsi="Calibri" w:cs="Calibri"/>
          <w:b/>
          <w:bCs/>
          <w:lang w:eastAsia="en-US"/>
        </w:rPr>
        <w:t>štábních a </w:t>
      </w:r>
      <w:r w:rsidR="00B12308" w:rsidRPr="00606E53">
        <w:rPr>
          <w:rFonts w:ascii="Calibri" w:eastAsia="Calibri" w:hAnsi="Calibri" w:cs="Calibri"/>
          <w:b/>
          <w:bCs/>
          <w:lang w:eastAsia="en-US"/>
        </w:rPr>
        <w:t>spojovacích o 77</w:t>
      </w:r>
      <w:r w:rsidRPr="00606E53">
        <w:rPr>
          <w:rFonts w:ascii="Calibri" w:eastAsia="Calibri" w:hAnsi="Calibri" w:cs="Calibri"/>
          <w:b/>
          <w:bCs/>
          <w:lang w:eastAsia="en-US"/>
        </w:rPr>
        <w:t>0,6</w:t>
      </w:r>
      <w:r w:rsidR="00B12308" w:rsidRPr="00606E53">
        <w:rPr>
          <w:rFonts w:ascii="Calibri" w:eastAsia="Calibri" w:hAnsi="Calibri" w:cs="Calibri"/>
          <w:b/>
          <w:bCs/>
          <w:lang w:eastAsia="en-US"/>
        </w:rPr>
        <w:t xml:space="preserve"> mil. Kč (</w:t>
      </w:r>
      <w:r w:rsidR="00D52036">
        <w:rPr>
          <w:rFonts w:ascii="Calibri" w:eastAsia="Calibri" w:hAnsi="Calibri" w:cs="Calibri"/>
          <w:b/>
          <w:bCs/>
          <w:lang w:eastAsia="en-US"/>
        </w:rPr>
        <w:t>tj. o 60 </w:t>
      </w:r>
      <w:r w:rsidR="00B12308" w:rsidRPr="00606E53">
        <w:rPr>
          <w:rFonts w:ascii="Calibri" w:eastAsia="Calibri" w:hAnsi="Calibri" w:cs="Calibri"/>
          <w:b/>
          <w:bCs/>
          <w:lang w:eastAsia="en-US"/>
        </w:rPr>
        <w:t>%)</w:t>
      </w:r>
      <w:r w:rsidR="0065483E">
        <w:rPr>
          <w:rFonts w:ascii="Calibri" w:eastAsia="Calibri" w:hAnsi="Calibri" w:cs="Calibri"/>
          <w:b/>
          <w:bCs/>
          <w:lang w:eastAsia="en-US"/>
        </w:rPr>
        <w:t>,</w:t>
      </w:r>
      <w:r w:rsidR="00606E53" w:rsidRPr="00606E53">
        <w:rPr>
          <w:rFonts w:ascii="Calibri" w:eastAsia="Calibri" w:hAnsi="Calibri" w:cs="Calibri"/>
          <w:b/>
          <w:bCs/>
          <w:lang w:eastAsia="en-US"/>
        </w:rPr>
        <w:t xml:space="preserve"> nebo navýšení hodnoty rámcové do</w:t>
      </w:r>
      <w:r w:rsidR="00D52036">
        <w:rPr>
          <w:rFonts w:ascii="Calibri" w:eastAsia="Calibri" w:hAnsi="Calibri" w:cs="Calibri"/>
          <w:b/>
          <w:bCs/>
          <w:lang w:eastAsia="en-US"/>
        </w:rPr>
        <w:t xml:space="preserve">hody na servisní podporu </w:t>
      </w:r>
      <w:r w:rsidR="00C212DE">
        <w:rPr>
          <w:rFonts w:ascii="Calibri" w:eastAsia="Calibri" w:hAnsi="Calibri" w:cs="Calibri"/>
          <w:b/>
          <w:bCs/>
          <w:lang w:eastAsia="en-US"/>
        </w:rPr>
        <w:t>K</w:t>
      </w:r>
      <w:r w:rsidR="00D52036">
        <w:rPr>
          <w:rFonts w:ascii="Calibri" w:eastAsia="Calibri" w:hAnsi="Calibri" w:cs="Calibri"/>
          <w:b/>
          <w:bCs/>
          <w:lang w:eastAsia="en-US"/>
        </w:rPr>
        <w:t>BVP a </w:t>
      </w:r>
      <w:r w:rsidR="00606E53" w:rsidRPr="00606E53">
        <w:rPr>
          <w:rFonts w:ascii="Calibri" w:eastAsia="Calibri" w:hAnsi="Calibri" w:cs="Calibri"/>
          <w:b/>
          <w:bCs/>
          <w:lang w:eastAsia="en-US"/>
        </w:rPr>
        <w:t xml:space="preserve">KOT </w:t>
      </w:r>
      <w:r w:rsidR="0065483E">
        <w:rPr>
          <w:rFonts w:ascii="Calibri" w:eastAsia="Calibri" w:hAnsi="Calibri" w:cs="Calibri"/>
          <w:b/>
          <w:bCs/>
          <w:lang w:eastAsia="en-US"/>
        </w:rPr>
        <w:t>na</w:t>
      </w:r>
      <w:r w:rsidR="003821EA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606E53" w:rsidRPr="00606E53">
        <w:rPr>
          <w:rFonts w:ascii="Calibri" w:eastAsia="Calibri" w:hAnsi="Calibri" w:cs="Calibri"/>
          <w:b/>
          <w:bCs/>
          <w:lang w:eastAsia="en-US"/>
        </w:rPr>
        <w:t>období 2017–2019 o 795 mil. Kč (tj. o 270 %)</w:t>
      </w:r>
      <w:r w:rsidR="00BB6B61">
        <w:rPr>
          <w:rFonts w:ascii="Calibri" w:eastAsia="Calibri" w:hAnsi="Calibri" w:cs="Calibri"/>
          <w:b/>
          <w:bCs/>
          <w:lang w:eastAsia="en-US"/>
        </w:rPr>
        <w:t>,</w:t>
      </w:r>
      <w:r w:rsidR="00D52036">
        <w:rPr>
          <w:rFonts w:ascii="Calibri" w:eastAsia="Calibri" w:hAnsi="Calibri" w:cs="Calibri"/>
          <w:b/>
          <w:bCs/>
          <w:lang w:eastAsia="en-US"/>
        </w:rPr>
        <w:t xml:space="preserve"> oproti hodnotě </w:t>
      </w:r>
      <w:r w:rsidR="00606E53">
        <w:rPr>
          <w:rFonts w:ascii="Calibri" w:eastAsia="Calibri" w:hAnsi="Calibri" w:cs="Calibri"/>
          <w:b/>
          <w:bCs/>
          <w:lang w:eastAsia="en-US"/>
        </w:rPr>
        <w:t>rámcov</w:t>
      </w:r>
      <w:r w:rsidR="005B6A04">
        <w:rPr>
          <w:rFonts w:ascii="Calibri" w:eastAsia="Calibri" w:hAnsi="Calibri" w:cs="Calibri"/>
          <w:b/>
          <w:bCs/>
          <w:lang w:eastAsia="en-US"/>
        </w:rPr>
        <w:t>é smlouvy</w:t>
      </w:r>
      <w:r w:rsidR="00606E53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65483E">
        <w:rPr>
          <w:rFonts w:ascii="Calibri" w:eastAsia="Calibri" w:hAnsi="Calibri" w:cs="Calibri"/>
          <w:b/>
          <w:bCs/>
          <w:lang w:eastAsia="en-US"/>
        </w:rPr>
        <w:t>na</w:t>
      </w:r>
      <w:r w:rsidR="00606E53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606E53" w:rsidRPr="00606E53">
        <w:rPr>
          <w:rFonts w:ascii="Calibri" w:eastAsia="Calibri" w:hAnsi="Calibri" w:cs="Calibri"/>
          <w:b/>
          <w:bCs/>
          <w:lang w:eastAsia="en-US"/>
        </w:rPr>
        <w:t>období 2014–201</w:t>
      </w:r>
      <w:r w:rsidR="00606E53" w:rsidRPr="00945D53">
        <w:rPr>
          <w:rFonts w:ascii="Calibri" w:eastAsia="Calibri" w:hAnsi="Calibri" w:cs="Calibri"/>
          <w:b/>
          <w:bCs/>
          <w:color w:val="000000" w:themeColor="text1"/>
          <w:lang w:eastAsia="en-US"/>
        </w:rPr>
        <w:t>6.</w:t>
      </w:r>
      <w:r w:rsidR="0065483E" w:rsidRPr="00945D53">
        <w:rPr>
          <w:rFonts w:ascii="Calibri" w:eastAsia="Calibri" w:hAnsi="Calibri" w:cs="Calibri"/>
          <w:b/>
          <w:bCs/>
          <w:color w:val="000000" w:themeColor="text1"/>
          <w:lang w:eastAsia="en-US"/>
        </w:rPr>
        <w:t xml:space="preserve"> </w:t>
      </w:r>
    </w:p>
    <w:p w14:paraId="10C59344" w14:textId="77777777" w:rsidR="00955FAB" w:rsidRPr="00945D53" w:rsidRDefault="00955FAB" w:rsidP="00955FAB">
      <w:pPr>
        <w:jc w:val="both"/>
        <w:rPr>
          <w:rFonts w:ascii="Calibri" w:eastAsia="Calibri" w:hAnsi="Calibri" w:cs="Calibri"/>
          <w:b/>
          <w:bCs/>
          <w:color w:val="000000" w:themeColor="text1"/>
          <w:lang w:eastAsia="en-US"/>
        </w:rPr>
      </w:pPr>
    </w:p>
    <w:p w14:paraId="013306A2" w14:textId="43365713" w:rsidR="00D310BD" w:rsidRDefault="00C075F1" w:rsidP="00D310BD">
      <w:pPr>
        <w:jc w:val="both"/>
        <w:rPr>
          <w:rFonts w:asciiTheme="minorHAnsi" w:hAnsiTheme="minorHAnsi" w:cstheme="minorHAnsi"/>
          <w:b/>
        </w:rPr>
      </w:pPr>
      <w:r w:rsidRPr="00945D53">
        <w:rPr>
          <w:rFonts w:asciiTheme="minorHAnsi" w:hAnsiTheme="minorHAnsi" w:cstheme="minorHAnsi"/>
          <w:b/>
          <w:color w:val="000000" w:themeColor="text1"/>
        </w:rPr>
        <w:t>Vzhledem k</w:t>
      </w:r>
      <w:r w:rsidR="006B765B" w:rsidRPr="00945D53">
        <w:rPr>
          <w:rFonts w:asciiTheme="minorHAnsi" w:hAnsiTheme="minorHAnsi" w:cstheme="minorHAnsi"/>
          <w:b/>
          <w:color w:val="000000" w:themeColor="text1"/>
        </w:rPr>
        <w:t xml:space="preserve"> velkému </w:t>
      </w:r>
      <w:r w:rsidR="008A0898" w:rsidRPr="00945D53">
        <w:rPr>
          <w:rFonts w:asciiTheme="minorHAnsi" w:hAnsiTheme="minorHAnsi" w:cstheme="minorHAnsi"/>
          <w:b/>
          <w:color w:val="000000" w:themeColor="text1"/>
        </w:rPr>
        <w:t xml:space="preserve">objemu investic </w:t>
      </w:r>
      <w:r w:rsidRPr="00945D53">
        <w:rPr>
          <w:rFonts w:asciiTheme="minorHAnsi" w:hAnsiTheme="minorHAnsi" w:cstheme="minorHAnsi"/>
          <w:b/>
          <w:color w:val="000000" w:themeColor="text1"/>
        </w:rPr>
        <w:t xml:space="preserve">plánovaných </w:t>
      </w:r>
      <w:r w:rsidR="008A0898" w:rsidRPr="00945D53">
        <w:rPr>
          <w:rFonts w:asciiTheme="minorHAnsi" w:hAnsiTheme="minorHAnsi" w:cstheme="minorHAnsi"/>
          <w:b/>
          <w:color w:val="000000" w:themeColor="text1"/>
        </w:rPr>
        <w:t>na obn</w:t>
      </w:r>
      <w:r w:rsidR="008A0898" w:rsidRPr="008A0898">
        <w:rPr>
          <w:rFonts w:asciiTheme="minorHAnsi" w:hAnsiTheme="minorHAnsi" w:cstheme="minorHAnsi"/>
          <w:b/>
        </w:rPr>
        <w:t>ovu</w:t>
      </w:r>
      <w:r w:rsidRPr="008A0898">
        <w:rPr>
          <w:rFonts w:asciiTheme="minorHAnsi" w:hAnsiTheme="minorHAnsi" w:cstheme="minorHAnsi"/>
          <w:b/>
        </w:rPr>
        <w:t xml:space="preserve"> a modernizac</w:t>
      </w:r>
      <w:r w:rsidR="008A0898" w:rsidRPr="008A0898">
        <w:rPr>
          <w:rFonts w:asciiTheme="minorHAnsi" w:hAnsiTheme="minorHAnsi" w:cstheme="minorHAnsi"/>
          <w:b/>
        </w:rPr>
        <w:t>i</w:t>
      </w:r>
      <w:r w:rsidRPr="008A0898">
        <w:rPr>
          <w:rFonts w:asciiTheme="minorHAnsi" w:hAnsiTheme="minorHAnsi" w:cstheme="minorHAnsi"/>
          <w:b/>
        </w:rPr>
        <w:t xml:space="preserve"> obrněné techniky Armády </w:t>
      </w:r>
      <w:r w:rsidR="000E2182" w:rsidRPr="008A0898">
        <w:rPr>
          <w:rFonts w:asciiTheme="minorHAnsi" w:hAnsiTheme="minorHAnsi" w:cstheme="minorHAnsi"/>
          <w:b/>
        </w:rPr>
        <w:t xml:space="preserve">upozorňuje </w:t>
      </w:r>
      <w:r w:rsidR="006E1B8C">
        <w:rPr>
          <w:rFonts w:asciiTheme="minorHAnsi" w:hAnsiTheme="minorHAnsi" w:cstheme="minorHAnsi"/>
          <w:b/>
        </w:rPr>
        <w:t xml:space="preserve">NKÚ </w:t>
      </w:r>
      <w:r w:rsidRPr="008A0898">
        <w:rPr>
          <w:rFonts w:asciiTheme="minorHAnsi" w:hAnsiTheme="minorHAnsi" w:cstheme="minorHAnsi"/>
          <w:b/>
        </w:rPr>
        <w:t xml:space="preserve">na významné riziko </w:t>
      </w:r>
      <w:r w:rsidR="00953BC6">
        <w:rPr>
          <w:rFonts w:asciiTheme="minorHAnsi" w:hAnsiTheme="minorHAnsi" w:cstheme="minorHAnsi"/>
          <w:b/>
        </w:rPr>
        <w:t xml:space="preserve">nehospodárného </w:t>
      </w:r>
      <w:r w:rsidRPr="008A0898">
        <w:rPr>
          <w:rFonts w:asciiTheme="minorHAnsi" w:hAnsiTheme="minorHAnsi" w:cstheme="minorHAnsi"/>
          <w:b/>
        </w:rPr>
        <w:t xml:space="preserve">navyšování </w:t>
      </w:r>
      <w:r w:rsidR="008A0898" w:rsidRPr="008A0898">
        <w:rPr>
          <w:rFonts w:asciiTheme="minorHAnsi" w:hAnsiTheme="minorHAnsi" w:cstheme="minorHAnsi"/>
          <w:b/>
        </w:rPr>
        <w:t xml:space="preserve">souvisejících investičních </w:t>
      </w:r>
      <w:r w:rsidR="006B765B">
        <w:rPr>
          <w:rFonts w:asciiTheme="minorHAnsi" w:hAnsiTheme="minorHAnsi" w:cstheme="minorHAnsi"/>
          <w:b/>
        </w:rPr>
        <w:t>a</w:t>
      </w:r>
      <w:r w:rsidR="008A0898" w:rsidRPr="008A0898">
        <w:rPr>
          <w:rFonts w:asciiTheme="minorHAnsi" w:hAnsiTheme="minorHAnsi" w:cstheme="minorHAnsi"/>
          <w:b/>
        </w:rPr>
        <w:t xml:space="preserve"> běžných výdajů MO </w:t>
      </w:r>
      <w:r w:rsidRPr="008A0898">
        <w:rPr>
          <w:rFonts w:asciiTheme="minorHAnsi" w:hAnsiTheme="minorHAnsi" w:cstheme="minorHAnsi"/>
          <w:b/>
        </w:rPr>
        <w:t xml:space="preserve">v případě, že se budou </w:t>
      </w:r>
      <w:r w:rsidRPr="00EB391D">
        <w:rPr>
          <w:rFonts w:asciiTheme="minorHAnsi" w:hAnsiTheme="minorHAnsi" w:cstheme="minorHAnsi"/>
          <w:b/>
        </w:rPr>
        <w:t>opakovat nedostatky zjištěné touto kontrol</w:t>
      </w:r>
      <w:r w:rsidR="00EB391D" w:rsidRPr="00EB391D">
        <w:rPr>
          <w:rFonts w:asciiTheme="minorHAnsi" w:hAnsiTheme="minorHAnsi" w:cstheme="minorHAnsi"/>
          <w:b/>
        </w:rPr>
        <w:t>ou</w:t>
      </w:r>
      <w:r w:rsidRPr="00EB391D">
        <w:rPr>
          <w:rFonts w:asciiTheme="minorHAnsi" w:hAnsiTheme="minorHAnsi" w:cstheme="minorHAnsi"/>
          <w:b/>
        </w:rPr>
        <w:t>.</w:t>
      </w:r>
      <w:r w:rsidR="00D310BD">
        <w:rPr>
          <w:rFonts w:asciiTheme="minorHAnsi" w:hAnsiTheme="minorHAnsi" w:cstheme="minorHAnsi"/>
          <w:b/>
        </w:rPr>
        <w:br w:type="page"/>
      </w:r>
    </w:p>
    <w:p w14:paraId="78C89C4E" w14:textId="53B83B8A" w:rsidR="00AD597C" w:rsidRPr="00945D53" w:rsidRDefault="00177724" w:rsidP="003821EA">
      <w:pPr>
        <w:keepNext/>
        <w:tabs>
          <w:tab w:val="left" w:pos="426"/>
        </w:tabs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>V</w:t>
      </w:r>
      <w:r w:rsidR="00AD597C" w:rsidRPr="00945D53">
        <w:rPr>
          <w:rFonts w:ascii="Calibri" w:hAnsi="Calibri" w:cs="Calibri"/>
        </w:rPr>
        <w:t>yhodnocení vyplývá z</w:t>
      </w:r>
      <w:r w:rsidRPr="00945D53">
        <w:rPr>
          <w:rFonts w:ascii="Calibri" w:hAnsi="Calibri" w:cs="Calibri"/>
        </w:rPr>
        <w:t> </w:t>
      </w:r>
      <w:r w:rsidR="009E63F7" w:rsidRPr="00945D53">
        <w:rPr>
          <w:rFonts w:ascii="Calibri" w:hAnsi="Calibri" w:cs="Calibri"/>
        </w:rPr>
        <w:t>následujících</w:t>
      </w:r>
      <w:r w:rsidRPr="00945D53">
        <w:rPr>
          <w:rFonts w:ascii="Calibri" w:hAnsi="Calibri" w:cs="Calibri"/>
        </w:rPr>
        <w:t xml:space="preserve"> </w:t>
      </w:r>
      <w:r w:rsidR="00B2561F" w:rsidRPr="00945D53">
        <w:rPr>
          <w:rFonts w:ascii="Calibri" w:hAnsi="Calibri" w:cs="Calibri"/>
        </w:rPr>
        <w:t xml:space="preserve">zjištěných </w:t>
      </w:r>
      <w:r w:rsidRPr="00945D53">
        <w:rPr>
          <w:rFonts w:ascii="Calibri" w:hAnsi="Calibri" w:cs="Calibri"/>
        </w:rPr>
        <w:t>nedostatků</w:t>
      </w:r>
      <w:r w:rsidR="009B6F57" w:rsidRPr="00945D53">
        <w:rPr>
          <w:rFonts w:ascii="Calibri" w:hAnsi="Calibri" w:cs="Calibri"/>
        </w:rPr>
        <w:t>:</w:t>
      </w:r>
    </w:p>
    <w:p w14:paraId="1E195ADD" w14:textId="49696507" w:rsidR="00FD12D8" w:rsidRPr="00945D53" w:rsidRDefault="00FD12D8" w:rsidP="003821EA">
      <w:pPr>
        <w:keepNext/>
        <w:tabs>
          <w:tab w:val="left" w:pos="426"/>
        </w:tabs>
        <w:rPr>
          <w:rFonts w:ascii="Calibri" w:hAnsi="Calibri" w:cs="Calibri"/>
        </w:rPr>
      </w:pPr>
    </w:p>
    <w:p w14:paraId="4A4CBE32" w14:textId="5ED92BFC" w:rsidR="00F825BF" w:rsidRPr="00945D53" w:rsidRDefault="00F825BF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>Rozdílná definice potřeb</w:t>
      </w:r>
      <w:r w:rsidR="00AD1DA8" w:rsidRPr="00945D53">
        <w:rPr>
          <w:rFonts w:ascii="Calibri" w:hAnsi="Calibri" w:cs="Calibri"/>
          <w:b/>
        </w:rPr>
        <w:t xml:space="preserve"> </w:t>
      </w:r>
      <w:r w:rsidR="00AE37C6" w:rsidRPr="00945D53">
        <w:rPr>
          <w:rFonts w:ascii="Calibri" w:hAnsi="Calibri" w:cs="Calibri"/>
          <w:b/>
        </w:rPr>
        <w:t>Armády v dokumentech MO</w:t>
      </w:r>
    </w:p>
    <w:p w14:paraId="72E8AD86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090E3422" w14:textId="4C79518D" w:rsidR="00113669" w:rsidRPr="00945D53" w:rsidRDefault="00F825BF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 xml:space="preserve">MO nemělo v kontrolovaném období jednoznačně definované potřeby Armády v oblasti pořízení a technického zhodnocení obrněné techniky. </w:t>
      </w:r>
      <w:r w:rsidR="00A96141" w:rsidRPr="00945D53">
        <w:rPr>
          <w:rFonts w:ascii="Calibri" w:hAnsi="Calibri" w:cs="Calibri"/>
        </w:rPr>
        <w:t xml:space="preserve">Ve střednědobých plánech </w:t>
      </w:r>
      <w:r w:rsidR="00297BEA" w:rsidRPr="00945D53">
        <w:rPr>
          <w:rFonts w:ascii="Calibri" w:hAnsi="Calibri" w:cs="Calibri"/>
        </w:rPr>
        <w:t>činnosti a</w:t>
      </w:r>
      <w:r w:rsidR="00945D53">
        <w:rPr>
          <w:rFonts w:ascii="Calibri" w:hAnsi="Calibri" w:cs="Calibri"/>
        </w:rPr>
        <w:t> </w:t>
      </w:r>
      <w:r w:rsidR="00297BEA" w:rsidRPr="00945D53">
        <w:rPr>
          <w:rFonts w:ascii="Calibri" w:hAnsi="Calibri" w:cs="Calibri"/>
        </w:rPr>
        <w:t xml:space="preserve">rozvoje </w:t>
      </w:r>
      <w:r w:rsidR="003C63AC" w:rsidRPr="00945D53">
        <w:rPr>
          <w:rFonts w:ascii="Calibri" w:hAnsi="Calibri" w:cs="Calibri"/>
        </w:rPr>
        <w:t>re</w:t>
      </w:r>
      <w:r w:rsidR="00973E0F">
        <w:rPr>
          <w:rFonts w:ascii="Calibri" w:hAnsi="Calibri" w:cs="Calibri"/>
        </w:rPr>
        <w:t>s</w:t>
      </w:r>
      <w:r w:rsidR="003C63AC" w:rsidRPr="00945D53">
        <w:rPr>
          <w:rFonts w:ascii="Calibri" w:hAnsi="Calibri" w:cs="Calibri"/>
        </w:rPr>
        <w:t xml:space="preserve">ortu </w:t>
      </w:r>
      <w:r w:rsidR="00297BEA" w:rsidRPr="00945D53">
        <w:rPr>
          <w:rFonts w:ascii="Calibri" w:hAnsi="Calibri" w:cs="Calibri"/>
        </w:rPr>
        <w:t xml:space="preserve">MO (dále také „střednědobé plány“) </w:t>
      </w:r>
      <w:r w:rsidR="00A96141" w:rsidRPr="00945D53">
        <w:rPr>
          <w:rFonts w:ascii="Calibri" w:hAnsi="Calibri" w:cs="Calibri"/>
        </w:rPr>
        <w:t>a </w:t>
      </w:r>
      <w:r w:rsidR="00297BEA" w:rsidRPr="00945D53">
        <w:rPr>
          <w:rFonts w:ascii="Calibri" w:hAnsi="Calibri" w:cs="Calibri"/>
        </w:rPr>
        <w:t xml:space="preserve">v </w:t>
      </w:r>
      <w:r w:rsidR="00CA0C05" w:rsidRPr="00945D53">
        <w:rPr>
          <w:rFonts w:ascii="Calibri" w:hAnsi="Calibri" w:cs="Calibri"/>
        </w:rPr>
        <w:t>dokumentacích programů</w:t>
      </w:r>
      <w:r w:rsidR="00334AED" w:rsidRPr="00945D53">
        <w:rPr>
          <w:rStyle w:val="Znakapoznpodarou"/>
          <w:rFonts w:ascii="Calibri" w:hAnsi="Calibri" w:cs="Calibri"/>
        </w:rPr>
        <w:footnoteReference w:id="7"/>
      </w:r>
      <w:r w:rsidR="00AD1DA8" w:rsidRPr="00945D53">
        <w:rPr>
          <w:rFonts w:ascii="Calibri" w:hAnsi="Calibri" w:cs="Calibri"/>
        </w:rPr>
        <w:t xml:space="preserve"> </w:t>
      </w:r>
      <w:r w:rsidR="00194206" w:rsidRPr="00945D53">
        <w:rPr>
          <w:rFonts w:ascii="Calibri" w:hAnsi="Calibri" w:cs="Calibri"/>
        </w:rPr>
        <w:t>často stanovilo</w:t>
      </w:r>
      <w:r w:rsidR="00A96141" w:rsidRPr="00945D53">
        <w:rPr>
          <w:rFonts w:ascii="Calibri" w:hAnsi="Calibri" w:cs="Calibri"/>
        </w:rPr>
        <w:t xml:space="preserve"> potřeb</w:t>
      </w:r>
      <w:r w:rsidR="004326DB" w:rsidRPr="00945D53">
        <w:rPr>
          <w:rFonts w:ascii="Calibri" w:hAnsi="Calibri" w:cs="Calibri"/>
        </w:rPr>
        <w:t>y rozdílně</w:t>
      </w:r>
      <w:r w:rsidR="00CA0C05" w:rsidRPr="00945D53">
        <w:rPr>
          <w:rFonts w:ascii="Calibri" w:hAnsi="Calibri" w:cs="Calibri"/>
        </w:rPr>
        <w:t xml:space="preserve">. </w:t>
      </w:r>
      <w:r w:rsidR="00A96141" w:rsidRPr="00945D53">
        <w:rPr>
          <w:rFonts w:ascii="Calibri" w:hAnsi="Calibri" w:cs="Calibri"/>
        </w:rPr>
        <w:t>Neshodovaly</w:t>
      </w:r>
      <w:r w:rsidR="00AD1DA8" w:rsidRPr="00945D53">
        <w:rPr>
          <w:rFonts w:ascii="Calibri" w:hAnsi="Calibri" w:cs="Calibri"/>
        </w:rPr>
        <w:t xml:space="preserve"> se </w:t>
      </w:r>
      <w:r w:rsidR="00A96141" w:rsidRPr="00945D53">
        <w:rPr>
          <w:rFonts w:ascii="Calibri" w:hAnsi="Calibri" w:cs="Calibri"/>
        </w:rPr>
        <w:t>f</w:t>
      </w:r>
      <w:r w:rsidR="000C3F8A" w:rsidRPr="00945D53">
        <w:rPr>
          <w:rFonts w:ascii="Calibri" w:hAnsi="Calibri" w:cs="Calibri"/>
        </w:rPr>
        <w:t>inanční a </w:t>
      </w:r>
      <w:r w:rsidR="00A22BEA" w:rsidRPr="00945D53">
        <w:rPr>
          <w:rFonts w:ascii="Calibri" w:hAnsi="Calibri" w:cs="Calibri"/>
        </w:rPr>
        <w:t>časové podmínky investičních akcí</w:t>
      </w:r>
      <w:r w:rsidR="00AD1DA8" w:rsidRPr="00945D53">
        <w:rPr>
          <w:rFonts w:ascii="Calibri" w:hAnsi="Calibri" w:cs="Calibri"/>
        </w:rPr>
        <w:t xml:space="preserve">, </w:t>
      </w:r>
      <w:r w:rsidR="00A96141" w:rsidRPr="00945D53">
        <w:rPr>
          <w:rFonts w:ascii="Calibri" w:hAnsi="Calibri" w:cs="Calibri"/>
        </w:rPr>
        <w:t>ani</w:t>
      </w:r>
      <w:r w:rsidR="00051699">
        <w:rPr>
          <w:rFonts w:ascii="Calibri" w:hAnsi="Calibri" w:cs="Calibri"/>
        </w:rPr>
        <w:t xml:space="preserve"> </w:t>
      </w:r>
      <w:r w:rsidR="00CA0C05" w:rsidRPr="00945D53">
        <w:rPr>
          <w:rFonts w:ascii="Calibri" w:hAnsi="Calibri" w:cs="Calibri"/>
        </w:rPr>
        <w:t>počty pořizované</w:t>
      </w:r>
      <w:r w:rsidR="004326DB" w:rsidRPr="00945D53">
        <w:rPr>
          <w:rFonts w:ascii="Calibri" w:hAnsi="Calibri" w:cs="Calibri"/>
        </w:rPr>
        <w:t xml:space="preserve"> či</w:t>
      </w:r>
      <w:r w:rsidR="00051699">
        <w:rPr>
          <w:rFonts w:ascii="Calibri" w:hAnsi="Calibri" w:cs="Calibri"/>
        </w:rPr>
        <w:t xml:space="preserve"> </w:t>
      </w:r>
      <w:r w:rsidR="00CA0C05" w:rsidRPr="00945D53">
        <w:rPr>
          <w:rFonts w:ascii="Calibri" w:hAnsi="Calibri" w:cs="Calibri"/>
        </w:rPr>
        <w:t>modernizované obrněné techniky.</w:t>
      </w:r>
      <w:r w:rsidR="00CA0358" w:rsidRPr="00945D53">
        <w:rPr>
          <w:rFonts w:ascii="Calibri" w:hAnsi="Calibri" w:cs="Calibri"/>
        </w:rPr>
        <w:t xml:space="preserve"> V důsledku toho nebylo možné jednoznačně určit</w:t>
      </w:r>
      <w:r w:rsidR="00051699">
        <w:rPr>
          <w:rFonts w:ascii="Calibri" w:hAnsi="Calibri" w:cs="Calibri"/>
        </w:rPr>
        <w:t>,</w:t>
      </w:r>
      <w:r w:rsidR="00CA0358" w:rsidRPr="00945D53">
        <w:rPr>
          <w:rFonts w:ascii="Calibri" w:hAnsi="Calibri" w:cs="Calibri"/>
        </w:rPr>
        <w:t xml:space="preserve"> kdy, s jakými výdaji a v jakém počtu plánovalo M</w:t>
      </w:r>
      <w:r w:rsidR="000E2182" w:rsidRPr="00945D53">
        <w:rPr>
          <w:rFonts w:ascii="Calibri" w:hAnsi="Calibri" w:cs="Calibri"/>
        </w:rPr>
        <w:t>O potřeb</w:t>
      </w:r>
      <w:r w:rsidR="006E1B8C" w:rsidRPr="00945D53">
        <w:rPr>
          <w:rFonts w:ascii="Calibri" w:hAnsi="Calibri" w:cs="Calibri"/>
        </w:rPr>
        <w:t>y</w:t>
      </w:r>
      <w:r w:rsidR="000E2182" w:rsidRPr="00945D53">
        <w:rPr>
          <w:rFonts w:ascii="Calibri" w:hAnsi="Calibri" w:cs="Calibri"/>
        </w:rPr>
        <w:t xml:space="preserve"> </w:t>
      </w:r>
      <w:r w:rsidR="00514080" w:rsidRPr="00945D53">
        <w:rPr>
          <w:rFonts w:ascii="Calibri" w:hAnsi="Calibri" w:cs="Calibri"/>
        </w:rPr>
        <w:t xml:space="preserve">v oblasti obnovy a modernizace obrněné techniky </w:t>
      </w:r>
      <w:r w:rsidR="006E1B8C" w:rsidRPr="00945D53">
        <w:rPr>
          <w:rFonts w:ascii="Calibri" w:hAnsi="Calibri" w:cs="Calibri"/>
        </w:rPr>
        <w:t>zajistit</w:t>
      </w:r>
      <w:r w:rsidR="000E2182" w:rsidRPr="00945D53">
        <w:rPr>
          <w:rFonts w:ascii="Calibri" w:hAnsi="Calibri" w:cs="Calibri"/>
        </w:rPr>
        <w:t>.</w:t>
      </w:r>
    </w:p>
    <w:p w14:paraId="7658CB1F" w14:textId="5C2DD6D2" w:rsidR="00A42FC5" w:rsidRPr="00945D53" w:rsidRDefault="00A42FC5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283049CF" w14:textId="29C692C2" w:rsidR="002142D4" w:rsidRPr="00945D53" w:rsidRDefault="002142D4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 xml:space="preserve">Zpoždění realizace investičních akcí </w:t>
      </w:r>
    </w:p>
    <w:p w14:paraId="33B74E07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749DD151" w14:textId="4E94C916" w:rsidR="00C3204D" w:rsidRPr="00945D53" w:rsidRDefault="009C60CD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 xml:space="preserve">MO </w:t>
      </w:r>
      <w:r w:rsidR="00C3204D" w:rsidRPr="00945D53">
        <w:rPr>
          <w:rFonts w:ascii="Calibri" w:hAnsi="Calibri" w:cs="Calibri"/>
        </w:rPr>
        <w:t>v</w:t>
      </w:r>
      <w:r w:rsidR="00953BC6" w:rsidRPr="00945D53">
        <w:rPr>
          <w:rFonts w:ascii="Calibri" w:hAnsi="Calibri" w:cs="Calibri"/>
        </w:rPr>
        <w:t>e většině</w:t>
      </w:r>
      <w:r w:rsidR="00C3204D" w:rsidRPr="00945D53">
        <w:rPr>
          <w:rFonts w:ascii="Calibri" w:hAnsi="Calibri" w:cs="Calibri"/>
        </w:rPr>
        <w:t xml:space="preserve"> případ</w:t>
      </w:r>
      <w:r w:rsidR="00953BC6" w:rsidRPr="00945D53">
        <w:rPr>
          <w:rFonts w:ascii="Calibri" w:hAnsi="Calibri" w:cs="Calibri"/>
        </w:rPr>
        <w:t>ů</w:t>
      </w:r>
      <w:r w:rsidR="00C3204D" w:rsidRPr="00945D53">
        <w:rPr>
          <w:rFonts w:ascii="Calibri" w:hAnsi="Calibri" w:cs="Calibri"/>
        </w:rPr>
        <w:t xml:space="preserve"> realizovalo </w:t>
      </w:r>
      <w:r w:rsidR="002142D4" w:rsidRPr="00945D53">
        <w:rPr>
          <w:rFonts w:ascii="Calibri" w:hAnsi="Calibri" w:cs="Calibri"/>
        </w:rPr>
        <w:t>akce</w:t>
      </w:r>
      <w:r w:rsidR="00C3204D" w:rsidRPr="00945D53">
        <w:rPr>
          <w:rFonts w:ascii="Calibri" w:hAnsi="Calibri" w:cs="Calibri"/>
        </w:rPr>
        <w:t xml:space="preserve"> na pořízení nebo modernizaci obrněné techniky </w:t>
      </w:r>
      <w:r w:rsidR="00FE634E" w:rsidRPr="00945D53">
        <w:rPr>
          <w:rFonts w:ascii="Calibri" w:hAnsi="Calibri" w:cs="Calibri"/>
        </w:rPr>
        <w:t xml:space="preserve">se zpožděním oproti období, na </w:t>
      </w:r>
      <w:r w:rsidR="00C3204D" w:rsidRPr="00945D53">
        <w:rPr>
          <w:rFonts w:ascii="Calibri" w:hAnsi="Calibri" w:cs="Calibri"/>
        </w:rPr>
        <w:t>které byly plánovány v rámci programů</w:t>
      </w:r>
      <w:r w:rsidR="004326DB" w:rsidRPr="00945D53">
        <w:rPr>
          <w:rFonts w:ascii="Calibri" w:hAnsi="Calibri" w:cs="Calibri"/>
        </w:rPr>
        <w:t xml:space="preserve">. </w:t>
      </w:r>
      <w:r w:rsidR="009D3F8B" w:rsidRPr="00945D53">
        <w:rPr>
          <w:rFonts w:ascii="Calibri" w:hAnsi="Calibri" w:cs="Calibri"/>
        </w:rPr>
        <w:t>Realizace k</w:t>
      </w:r>
      <w:r w:rsidRPr="00945D53">
        <w:rPr>
          <w:rFonts w:ascii="Calibri" w:hAnsi="Calibri" w:cs="Calibri"/>
        </w:rPr>
        <w:t>ontrolovan</w:t>
      </w:r>
      <w:r w:rsidR="009D3F8B" w:rsidRPr="00945D53">
        <w:rPr>
          <w:rFonts w:ascii="Calibri" w:hAnsi="Calibri" w:cs="Calibri"/>
        </w:rPr>
        <w:t>ých akcí byla dokončena s průměrným zpožděním</w:t>
      </w:r>
      <w:r w:rsidR="00EB1569" w:rsidRPr="00945D53">
        <w:rPr>
          <w:rFonts w:ascii="Calibri" w:hAnsi="Calibri" w:cs="Calibri"/>
        </w:rPr>
        <w:t xml:space="preserve"> 16 měsíců oproti</w:t>
      </w:r>
      <w:r w:rsidR="00334AED" w:rsidRPr="00945D53">
        <w:rPr>
          <w:rFonts w:ascii="Calibri" w:hAnsi="Calibri" w:cs="Calibri"/>
        </w:rPr>
        <w:t xml:space="preserve"> termínu </w:t>
      </w:r>
      <w:r w:rsidR="004326DB" w:rsidRPr="00945D53">
        <w:rPr>
          <w:rFonts w:ascii="Calibri" w:hAnsi="Calibri" w:cs="Calibri"/>
        </w:rPr>
        <w:t xml:space="preserve">uvedenému </w:t>
      </w:r>
      <w:r w:rsidR="00334AED" w:rsidRPr="00945D53">
        <w:rPr>
          <w:rFonts w:ascii="Calibri" w:hAnsi="Calibri" w:cs="Calibri"/>
        </w:rPr>
        <w:t>v</w:t>
      </w:r>
      <w:r w:rsidR="00271E52" w:rsidRPr="00945D53">
        <w:rPr>
          <w:rFonts w:ascii="Calibri" w:hAnsi="Calibri" w:cs="Calibri"/>
        </w:rPr>
        <w:t xml:space="preserve"> původním </w:t>
      </w:r>
      <w:r w:rsidR="00EB1569" w:rsidRPr="00945D53">
        <w:rPr>
          <w:rFonts w:ascii="Calibri" w:hAnsi="Calibri" w:cs="Calibri"/>
        </w:rPr>
        <w:t>investičním záměru</w:t>
      </w:r>
      <w:r w:rsidR="009D3F8B" w:rsidRPr="00945D53">
        <w:rPr>
          <w:rFonts w:ascii="Calibri" w:hAnsi="Calibri" w:cs="Calibri"/>
        </w:rPr>
        <w:t xml:space="preserve"> akce</w:t>
      </w:r>
      <w:r w:rsidR="00EB1569" w:rsidRPr="00945D53">
        <w:rPr>
          <w:rFonts w:ascii="Calibri" w:hAnsi="Calibri" w:cs="Calibri"/>
        </w:rPr>
        <w:t xml:space="preserve"> a téměř šest měsíců oproti</w:t>
      </w:r>
      <w:r w:rsidR="00334AED" w:rsidRPr="00945D53">
        <w:rPr>
          <w:rFonts w:ascii="Calibri" w:hAnsi="Calibri" w:cs="Calibri"/>
        </w:rPr>
        <w:t xml:space="preserve"> termínu stanovenému v</w:t>
      </w:r>
      <w:r w:rsidR="008F5F80" w:rsidRPr="00945D53">
        <w:rPr>
          <w:rFonts w:ascii="Calibri" w:hAnsi="Calibri" w:cs="Calibri"/>
        </w:rPr>
        <w:t>e</w:t>
      </w:r>
      <w:r w:rsidR="00567A24">
        <w:rPr>
          <w:rFonts w:ascii="Calibri" w:hAnsi="Calibri" w:cs="Calibri"/>
        </w:rPr>
        <w:t xml:space="preserve"> </w:t>
      </w:r>
      <w:r w:rsidR="00EB1569" w:rsidRPr="00945D53">
        <w:rPr>
          <w:rFonts w:ascii="Calibri" w:hAnsi="Calibri" w:cs="Calibri"/>
        </w:rPr>
        <w:t>smlouvě</w:t>
      </w:r>
      <w:r w:rsidR="008F5F80" w:rsidRPr="00945D53">
        <w:rPr>
          <w:rFonts w:ascii="Calibri" w:hAnsi="Calibri" w:cs="Calibri"/>
        </w:rPr>
        <w:t xml:space="preserve"> </w:t>
      </w:r>
      <w:r w:rsidR="00334AED" w:rsidRPr="00945D53">
        <w:rPr>
          <w:rFonts w:ascii="Calibri" w:hAnsi="Calibri" w:cs="Calibri"/>
        </w:rPr>
        <w:t>s dodavatelem</w:t>
      </w:r>
      <w:r w:rsidR="00EB1569" w:rsidRPr="00945D53">
        <w:rPr>
          <w:rFonts w:ascii="Calibri" w:hAnsi="Calibri" w:cs="Calibri"/>
        </w:rPr>
        <w:t>.</w:t>
      </w:r>
      <w:r w:rsidR="00CE0C3A" w:rsidRPr="00945D53">
        <w:rPr>
          <w:rFonts w:ascii="Calibri" w:hAnsi="Calibri" w:cs="Calibri"/>
        </w:rPr>
        <w:t xml:space="preserve"> </w:t>
      </w:r>
      <w:r w:rsidR="0097727F" w:rsidRPr="00945D53">
        <w:rPr>
          <w:rFonts w:ascii="Calibri" w:hAnsi="Calibri" w:cs="Calibri"/>
        </w:rPr>
        <w:t>V</w:t>
      </w:r>
      <w:r w:rsidR="00FE634E" w:rsidRPr="00945D53">
        <w:rPr>
          <w:rFonts w:ascii="Calibri" w:hAnsi="Calibri" w:cs="Calibri"/>
        </w:rPr>
        <w:t xml:space="preserve"> kontrolovaném období </w:t>
      </w:r>
      <w:r w:rsidR="0097727F" w:rsidRPr="00945D53">
        <w:rPr>
          <w:rFonts w:ascii="Calibri" w:hAnsi="Calibri" w:cs="Calibri"/>
        </w:rPr>
        <w:t xml:space="preserve">MO plánovalo vynaložit </w:t>
      </w:r>
      <w:r w:rsidR="00CE0C3A" w:rsidRPr="00945D53">
        <w:rPr>
          <w:rFonts w:ascii="Calibri" w:hAnsi="Calibri" w:cs="Calibri"/>
        </w:rPr>
        <w:t>na</w:t>
      </w:r>
      <w:r w:rsidR="00FE634E" w:rsidRPr="00945D53">
        <w:rPr>
          <w:rFonts w:ascii="Calibri" w:hAnsi="Calibri" w:cs="Calibri"/>
        </w:rPr>
        <w:t xml:space="preserve"> </w:t>
      </w:r>
      <w:r w:rsidR="00CE0C3A" w:rsidRPr="00945D53">
        <w:rPr>
          <w:rFonts w:ascii="Calibri" w:hAnsi="Calibri" w:cs="Calibri"/>
        </w:rPr>
        <w:t xml:space="preserve">akce související s obrněnou technikou </w:t>
      </w:r>
      <w:r w:rsidR="0097727F" w:rsidRPr="00945D53">
        <w:rPr>
          <w:rFonts w:ascii="Calibri" w:hAnsi="Calibri" w:cs="Calibri"/>
        </w:rPr>
        <w:t>3</w:t>
      </w:r>
      <w:r w:rsidR="00CE0C3A" w:rsidRPr="00945D53">
        <w:rPr>
          <w:rFonts w:ascii="Calibri" w:hAnsi="Calibri" w:cs="Calibri"/>
        </w:rPr>
        <w:t> </w:t>
      </w:r>
      <w:r w:rsidR="0097727F" w:rsidRPr="00945D53">
        <w:rPr>
          <w:rFonts w:ascii="Calibri" w:hAnsi="Calibri" w:cs="Calibri"/>
        </w:rPr>
        <w:t>324</w:t>
      </w:r>
      <w:r w:rsidR="00CE0C3A" w:rsidRPr="00945D53">
        <w:rPr>
          <w:rFonts w:ascii="Calibri" w:hAnsi="Calibri" w:cs="Calibri"/>
        </w:rPr>
        <w:t>,</w:t>
      </w:r>
      <w:r w:rsidR="0097727F" w:rsidRPr="00945D53">
        <w:rPr>
          <w:rFonts w:ascii="Calibri" w:hAnsi="Calibri" w:cs="Calibri"/>
        </w:rPr>
        <w:t>6</w:t>
      </w:r>
      <w:r w:rsidR="00CE0C3A" w:rsidRPr="00945D53">
        <w:rPr>
          <w:rFonts w:ascii="Calibri" w:hAnsi="Calibri" w:cs="Calibri"/>
        </w:rPr>
        <w:t xml:space="preserve"> mil. Kč, z toho </w:t>
      </w:r>
      <w:r w:rsidR="0097727F" w:rsidRPr="00945D53">
        <w:rPr>
          <w:rFonts w:ascii="Calibri" w:hAnsi="Calibri" w:cs="Calibri"/>
        </w:rPr>
        <w:t xml:space="preserve">téměř jedna pětina prostředků ve výši </w:t>
      </w:r>
      <w:r w:rsidR="00CE0C3A" w:rsidRPr="00945D53">
        <w:rPr>
          <w:rFonts w:ascii="Calibri" w:hAnsi="Calibri" w:cs="Calibri"/>
        </w:rPr>
        <w:t>558,2 mil. Kč nebyl</w:t>
      </w:r>
      <w:r w:rsidR="0097727F" w:rsidRPr="00945D53">
        <w:rPr>
          <w:rFonts w:ascii="Calibri" w:hAnsi="Calibri" w:cs="Calibri"/>
        </w:rPr>
        <w:t>a čerpána</w:t>
      </w:r>
      <w:r w:rsidR="00CE0C3A" w:rsidRPr="00945D53">
        <w:rPr>
          <w:rFonts w:ascii="Calibri" w:hAnsi="Calibri" w:cs="Calibri"/>
        </w:rPr>
        <w:t xml:space="preserve"> z důvodu posunu </w:t>
      </w:r>
      <w:r w:rsidR="00EB0C8E" w:rsidRPr="00945D53">
        <w:rPr>
          <w:rFonts w:ascii="Calibri" w:hAnsi="Calibri" w:cs="Calibri"/>
        </w:rPr>
        <w:t xml:space="preserve">realizace </w:t>
      </w:r>
      <w:r w:rsidR="00CE0C3A" w:rsidRPr="00945D53">
        <w:rPr>
          <w:rFonts w:ascii="Calibri" w:hAnsi="Calibri" w:cs="Calibri"/>
        </w:rPr>
        <w:t>nebo rušení akcí.</w:t>
      </w:r>
      <w:r w:rsidR="00FC37CB" w:rsidRPr="00945D53">
        <w:rPr>
          <w:rFonts w:ascii="Calibri" w:hAnsi="Calibri" w:cs="Calibri"/>
        </w:rPr>
        <w:t xml:space="preserve"> </w:t>
      </w:r>
      <w:r w:rsidR="001F6B6D" w:rsidRPr="00945D53">
        <w:rPr>
          <w:rFonts w:ascii="Calibri" w:hAnsi="Calibri" w:cs="Calibri"/>
        </w:rPr>
        <w:t>V</w:t>
      </w:r>
      <w:r w:rsidR="003C63AC" w:rsidRPr="00945D53">
        <w:rPr>
          <w:rFonts w:ascii="Calibri" w:hAnsi="Calibri" w:cs="Calibri"/>
        </w:rPr>
        <w:t xml:space="preserve"> některých případech </w:t>
      </w:r>
      <w:r w:rsidR="001F6B6D" w:rsidRPr="00945D53">
        <w:rPr>
          <w:rFonts w:ascii="Calibri" w:hAnsi="Calibri" w:cs="Calibri"/>
        </w:rPr>
        <w:t xml:space="preserve">MO </w:t>
      </w:r>
      <w:r w:rsidR="00CA0358" w:rsidRPr="00945D53">
        <w:rPr>
          <w:rFonts w:ascii="Calibri" w:hAnsi="Calibri" w:cs="Calibri"/>
        </w:rPr>
        <w:t>využ</w:t>
      </w:r>
      <w:r w:rsidR="003C63AC" w:rsidRPr="00945D53">
        <w:rPr>
          <w:rFonts w:ascii="Calibri" w:hAnsi="Calibri" w:cs="Calibri"/>
        </w:rPr>
        <w:t>ilo</w:t>
      </w:r>
      <w:r w:rsidR="00CA0358" w:rsidRPr="00945D53">
        <w:rPr>
          <w:rFonts w:ascii="Calibri" w:hAnsi="Calibri" w:cs="Calibri"/>
        </w:rPr>
        <w:t xml:space="preserve"> </w:t>
      </w:r>
      <w:r w:rsidR="00606E53" w:rsidRPr="00945D53">
        <w:rPr>
          <w:rFonts w:ascii="Calibri" w:hAnsi="Calibri" w:cs="Calibri"/>
        </w:rPr>
        <w:t xml:space="preserve">svůj schválený rozpočet </w:t>
      </w:r>
      <w:r w:rsidR="00C752E7" w:rsidRPr="00945D53">
        <w:rPr>
          <w:rFonts w:ascii="Calibri" w:hAnsi="Calibri" w:cs="Calibri"/>
        </w:rPr>
        <w:t>na úhradu</w:t>
      </w:r>
      <w:r w:rsidR="00431FB1" w:rsidRPr="00945D53">
        <w:rPr>
          <w:rFonts w:ascii="Calibri" w:hAnsi="Calibri" w:cs="Calibri"/>
        </w:rPr>
        <w:t xml:space="preserve"> záloh</w:t>
      </w:r>
      <w:r w:rsidR="003C63AC" w:rsidRPr="00945D53">
        <w:rPr>
          <w:rFonts w:ascii="Calibri" w:hAnsi="Calibri" w:cs="Calibri"/>
        </w:rPr>
        <w:t xml:space="preserve"> dodavatel</w:t>
      </w:r>
      <w:r w:rsidR="00431FB1" w:rsidRPr="00945D53">
        <w:rPr>
          <w:rFonts w:ascii="Calibri" w:hAnsi="Calibri" w:cs="Calibri"/>
        </w:rPr>
        <w:t>ům</w:t>
      </w:r>
      <w:r w:rsidR="003C63AC" w:rsidRPr="00945D53">
        <w:rPr>
          <w:rFonts w:ascii="Calibri" w:hAnsi="Calibri" w:cs="Calibri"/>
        </w:rPr>
        <w:t xml:space="preserve">. </w:t>
      </w:r>
      <w:r w:rsidR="00606E53" w:rsidRPr="00945D53">
        <w:rPr>
          <w:rFonts w:ascii="Calibri" w:hAnsi="Calibri" w:cs="Calibri"/>
        </w:rPr>
        <w:t xml:space="preserve">V období </w:t>
      </w:r>
      <w:r w:rsidR="00567A24">
        <w:rPr>
          <w:rFonts w:ascii="Calibri" w:hAnsi="Calibri" w:cs="Calibri"/>
        </w:rPr>
        <w:br/>
      </w:r>
      <w:r w:rsidR="00606E53" w:rsidRPr="00945D53">
        <w:rPr>
          <w:rFonts w:ascii="Calibri" w:hAnsi="Calibri" w:cs="Calibri"/>
        </w:rPr>
        <w:t xml:space="preserve">2016–2018 na </w:t>
      </w:r>
      <w:r w:rsidR="002B131D" w:rsidRPr="00945D53">
        <w:rPr>
          <w:rFonts w:ascii="Calibri" w:hAnsi="Calibri" w:cs="Calibri"/>
        </w:rPr>
        <w:t>akce</w:t>
      </w:r>
      <w:r w:rsidR="00606E53" w:rsidRPr="00945D53">
        <w:rPr>
          <w:rFonts w:ascii="Calibri" w:hAnsi="Calibri" w:cs="Calibri"/>
        </w:rPr>
        <w:t xml:space="preserve"> související s obrněnou technikou vynalož</w:t>
      </w:r>
      <w:r w:rsidR="00E023E2" w:rsidRPr="00945D53">
        <w:rPr>
          <w:rFonts w:ascii="Calibri" w:hAnsi="Calibri" w:cs="Calibri"/>
        </w:rPr>
        <w:t>ilo</w:t>
      </w:r>
      <w:r w:rsidR="00606E53" w:rsidRPr="00945D53">
        <w:rPr>
          <w:rFonts w:ascii="Calibri" w:hAnsi="Calibri" w:cs="Calibri"/>
        </w:rPr>
        <w:t xml:space="preserve"> celkem 2 766,4 mil. Kč, z toho 1 245,8 mil. Kč (tj. 45 %) činily zálohy na</w:t>
      </w:r>
      <w:r w:rsidR="00CA0358" w:rsidRPr="00945D53">
        <w:rPr>
          <w:rFonts w:ascii="Calibri" w:hAnsi="Calibri" w:cs="Calibri"/>
        </w:rPr>
        <w:t xml:space="preserve"> dodávky </w:t>
      </w:r>
      <w:r w:rsidR="00E023E2" w:rsidRPr="00945D53">
        <w:rPr>
          <w:rFonts w:ascii="Calibri" w:hAnsi="Calibri" w:cs="Calibri"/>
        </w:rPr>
        <w:t xml:space="preserve">realizované </w:t>
      </w:r>
      <w:r w:rsidR="00CA0358" w:rsidRPr="00945D53">
        <w:rPr>
          <w:rFonts w:ascii="Calibri" w:hAnsi="Calibri" w:cs="Calibri"/>
        </w:rPr>
        <w:t xml:space="preserve">v </w:t>
      </w:r>
      <w:r w:rsidR="00606E53" w:rsidRPr="00945D53">
        <w:rPr>
          <w:rFonts w:ascii="Calibri" w:hAnsi="Calibri" w:cs="Calibri"/>
        </w:rPr>
        <w:t>pozdější</w:t>
      </w:r>
      <w:r w:rsidR="00CA0358" w:rsidRPr="00945D53">
        <w:rPr>
          <w:rFonts w:ascii="Calibri" w:hAnsi="Calibri" w:cs="Calibri"/>
        </w:rPr>
        <w:t>m</w:t>
      </w:r>
      <w:r w:rsidR="00606E53" w:rsidRPr="00945D53">
        <w:rPr>
          <w:rFonts w:ascii="Calibri" w:hAnsi="Calibri" w:cs="Calibri"/>
        </w:rPr>
        <w:t xml:space="preserve"> období. </w:t>
      </w:r>
    </w:p>
    <w:p w14:paraId="0E24FDEA" w14:textId="0E8066D5" w:rsidR="00C3204D" w:rsidRPr="00945D53" w:rsidRDefault="00C3204D" w:rsidP="00945D53">
      <w:pPr>
        <w:tabs>
          <w:tab w:val="left" w:pos="426"/>
        </w:tabs>
        <w:jc w:val="both"/>
        <w:rPr>
          <w:rFonts w:ascii="Calibri" w:hAnsi="Calibri" w:cs="Calibri"/>
        </w:rPr>
      </w:pPr>
    </w:p>
    <w:p w14:paraId="0C2E336D" w14:textId="3428DF12" w:rsidR="00A42CBE" w:rsidRPr="00945D53" w:rsidRDefault="00A42CBE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>Neúčelné a neefektivní technické zhodnocení</w:t>
      </w:r>
      <w:r w:rsidR="00B7765E" w:rsidRPr="00945D53">
        <w:rPr>
          <w:rFonts w:ascii="Calibri" w:hAnsi="Calibri" w:cs="Calibri"/>
          <w:b/>
        </w:rPr>
        <w:t xml:space="preserve"> </w:t>
      </w:r>
      <w:r w:rsidR="0097727F" w:rsidRPr="00945D53">
        <w:rPr>
          <w:rFonts w:ascii="Calibri" w:hAnsi="Calibri" w:cs="Calibri"/>
          <w:b/>
        </w:rPr>
        <w:t xml:space="preserve">lehkého </w:t>
      </w:r>
      <w:r w:rsidR="00334AED" w:rsidRPr="00945D53">
        <w:rPr>
          <w:rFonts w:ascii="Calibri" w:hAnsi="Calibri" w:cs="Calibri"/>
          <w:b/>
        </w:rPr>
        <w:t xml:space="preserve">obrněného </w:t>
      </w:r>
      <w:r w:rsidR="00B7765E" w:rsidRPr="00945D53">
        <w:rPr>
          <w:rFonts w:ascii="Calibri" w:hAnsi="Calibri" w:cs="Calibri"/>
          <w:b/>
        </w:rPr>
        <w:t>vozidla</w:t>
      </w:r>
    </w:p>
    <w:p w14:paraId="7D97FC4D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28FF2F38" w14:textId="2C11370B" w:rsidR="00177724" w:rsidRPr="00945D53" w:rsidRDefault="0097727F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 xml:space="preserve">MO </w:t>
      </w:r>
      <w:r w:rsidR="00051699">
        <w:rPr>
          <w:rFonts w:ascii="Calibri" w:hAnsi="Calibri" w:cs="Calibri"/>
        </w:rPr>
        <w:t>ne</w:t>
      </w:r>
      <w:r w:rsidRPr="00945D53">
        <w:rPr>
          <w:rFonts w:ascii="Calibri" w:hAnsi="Calibri" w:cs="Calibri"/>
        </w:rPr>
        <w:t xml:space="preserve">provedlo </w:t>
      </w:r>
      <w:r w:rsidR="00243AA6" w:rsidRPr="00945D53">
        <w:rPr>
          <w:rFonts w:ascii="Calibri" w:hAnsi="Calibri" w:cs="Calibri"/>
        </w:rPr>
        <w:t>účelně a efektivně technické zhodnocení lehkého obrněného</w:t>
      </w:r>
      <w:r w:rsidR="005A2712" w:rsidRPr="00945D53">
        <w:rPr>
          <w:rFonts w:ascii="Calibri" w:hAnsi="Calibri" w:cs="Calibri"/>
        </w:rPr>
        <w:t xml:space="preserve"> vozidla </w:t>
      </w:r>
      <w:r w:rsidR="00243AA6" w:rsidRPr="00945D53">
        <w:rPr>
          <w:rFonts w:ascii="Calibri" w:hAnsi="Calibri" w:cs="Calibri"/>
        </w:rPr>
        <w:t>v celkové hodnotě 85,9 mil. Kč</w:t>
      </w:r>
      <w:r w:rsidRPr="00945D53">
        <w:rPr>
          <w:rFonts w:ascii="Calibri" w:hAnsi="Calibri" w:cs="Calibri"/>
        </w:rPr>
        <w:t xml:space="preserve">. </w:t>
      </w:r>
      <w:r w:rsidR="009122AC" w:rsidRPr="00945D53">
        <w:rPr>
          <w:rFonts w:ascii="Calibri" w:hAnsi="Calibri" w:cs="Calibri"/>
        </w:rPr>
        <w:t>Neúčelnost spočívala v </w:t>
      </w:r>
      <w:r w:rsidR="00CE0C3A" w:rsidRPr="00945D53">
        <w:rPr>
          <w:rFonts w:ascii="Calibri" w:hAnsi="Calibri" w:cs="Calibri"/>
        </w:rPr>
        <w:t>omezení</w:t>
      </w:r>
      <w:r w:rsidR="009122AC" w:rsidRPr="00945D53">
        <w:rPr>
          <w:rFonts w:ascii="Calibri" w:hAnsi="Calibri" w:cs="Calibri"/>
        </w:rPr>
        <w:t xml:space="preserve"> schopností vozidla způsobeném </w:t>
      </w:r>
      <w:r w:rsidRPr="00945D53">
        <w:rPr>
          <w:rFonts w:ascii="Calibri" w:hAnsi="Calibri" w:cs="Calibri"/>
        </w:rPr>
        <w:t>zmenšením</w:t>
      </w:r>
      <w:r w:rsidR="009122AC" w:rsidRPr="00945D53">
        <w:rPr>
          <w:rFonts w:ascii="Calibri" w:hAnsi="Calibri" w:cs="Calibri"/>
        </w:rPr>
        <w:t xml:space="preserve"> ráže zbraňového systému a snížením počtu </w:t>
      </w:r>
      <w:r w:rsidRPr="00945D53">
        <w:rPr>
          <w:rFonts w:ascii="Calibri" w:hAnsi="Calibri" w:cs="Calibri"/>
        </w:rPr>
        <w:t xml:space="preserve">vojáků obsluhujících </w:t>
      </w:r>
      <w:r w:rsidR="009122AC" w:rsidRPr="00945D53">
        <w:rPr>
          <w:rFonts w:ascii="Calibri" w:hAnsi="Calibri" w:cs="Calibri"/>
        </w:rPr>
        <w:t>zadní část vozidla</w:t>
      </w:r>
      <w:r w:rsidR="00DB5EEC" w:rsidRPr="00945D53">
        <w:rPr>
          <w:rFonts w:ascii="Calibri" w:hAnsi="Calibri" w:cs="Calibri"/>
        </w:rPr>
        <w:t>, n</w:t>
      </w:r>
      <w:r w:rsidR="009122AC" w:rsidRPr="00945D53">
        <w:rPr>
          <w:rFonts w:ascii="Calibri" w:hAnsi="Calibri" w:cs="Calibri"/>
        </w:rPr>
        <w:t xml:space="preserve">eefektivnost </w:t>
      </w:r>
      <w:r w:rsidR="00DB5EEC" w:rsidRPr="00945D53">
        <w:rPr>
          <w:rFonts w:ascii="Calibri" w:hAnsi="Calibri" w:cs="Calibri"/>
        </w:rPr>
        <w:t xml:space="preserve">v </w:t>
      </w:r>
      <w:r w:rsidR="009122AC" w:rsidRPr="00945D53">
        <w:rPr>
          <w:rFonts w:ascii="Calibri" w:hAnsi="Calibri" w:cs="Calibri"/>
        </w:rPr>
        <w:t>nedostatečn</w:t>
      </w:r>
      <w:r w:rsidR="00DB5EEC" w:rsidRPr="00945D53">
        <w:rPr>
          <w:rFonts w:ascii="Calibri" w:hAnsi="Calibri" w:cs="Calibri"/>
        </w:rPr>
        <w:t xml:space="preserve">é přípravě </w:t>
      </w:r>
      <w:r w:rsidR="00783B0F" w:rsidRPr="00945D53">
        <w:rPr>
          <w:rFonts w:ascii="Calibri" w:hAnsi="Calibri" w:cs="Calibri"/>
        </w:rPr>
        <w:t xml:space="preserve">investiční </w:t>
      </w:r>
      <w:r w:rsidR="00CA5640" w:rsidRPr="00945D53">
        <w:rPr>
          <w:rFonts w:ascii="Calibri" w:hAnsi="Calibri" w:cs="Calibri"/>
        </w:rPr>
        <w:t>akce.</w:t>
      </w:r>
      <w:r w:rsidR="001F6B6D" w:rsidRPr="00945D53">
        <w:rPr>
          <w:rFonts w:ascii="Calibri" w:hAnsi="Calibri" w:cs="Calibri"/>
        </w:rPr>
        <w:t xml:space="preserve"> Realizace akce nezajistila optimální míru dosažení stanoveného cíle a došlo ke snížení </w:t>
      </w:r>
      <w:r w:rsidR="00E758E5" w:rsidRPr="00945D53">
        <w:rPr>
          <w:rFonts w:ascii="Calibri" w:hAnsi="Calibri" w:cs="Calibri"/>
        </w:rPr>
        <w:t xml:space="preserve">její </w:t>
      </w:r>
      <w:r w:rsidR="001F6B6D" w:rsidRPr="00945D53">
        <w:rPr>
          <w:rFonts w:ascii="Calibri" w:hAnsi="Calibri" w:cs="Calibri"/>
        </w:rPr>
        <w:t>kvality a přínosu.</w:t>
      </w:r>
      <w:r w:rsidR="000A65E3" w:rsidRPr="00945D53">
        <w:rPr>
          <w:rStyle w:val="Znakapoznpodarou"/>
          <w:rFonts w:ascii="Calibri" w:hAnsi="Calibri" w:cs="Calibri"/>
        </w:rPr>
        <w:footnoteReference w:id="8"/>
      </w:r>
    </w:p>
    <w:p w14:paraId="18062E33" w14:textId="6F8BC873" w:rsidR="009122AC" w:rsidRPr="00945D53" w:rsidRDefault="009122AC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6B14B716" w14:textId="1CF63B75" w:rsidR="00177724" w:rsidRPr="00945D53" w:rsidRDefault="00177724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>Absence plánování celkových nákladů životní</w:t>
      </w:r>
      <w:r w:rsidR="005228D9" w:rsidRPr="00945D53">
        <w:rPr>
          <w:rFonts w:ascii="Calibri" w:hAnsi="Calibri" w:cs="Calibri"/>
          <w:b/>
        </w:rPr>
        <w:t>ho</w:t>
      </w:r>
      <w:r w:rsidRPr="00945D53">
        <w:rPr>
          <w:rFonts w:ascii="Calibri" w:hAnsi="Calibri" w:cs="Calibri"/>
          <w:b/>
        </w:rPr>
        <w:t xml:space="preserve"> cyklu</w:t>
      </w:r>
      <w:r w:rsidR="004949A3" w:rsidRPr="00945D53">
        <w:rPr>
          <w:rFonts w:ascii="Calibri" w:hAnsi="Calibri" w:cs="Calibri"/>
          <w:b/>
          <w:vertAlign w:val="superscript"/>
        </w:rPr>
        <w:t>1</w:t>
      </w:r>
      <w:r w:rsidRPr="00945D53">
        <w:rPr>
          <w:rFonts w:ascii="Calibri" w:hAnsi="Calibri" w:cs="Calibri"/>
          <w:b/>
        </w:rPr>
        <w:t xml:space="preserve"> obrněné techniky</w:t>
      </w:r>
    </w:p>
    <w:p w14:paraId="38EADFD7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14C0B0DE" w14:textId="653A7F10" w:rsidR="00177724" w:rsidRPr="00945D53" w:rsidRDefault="00177724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>MO při pořizování obrněné techniky neplánovalo celkové náklady životní</w:t>
      </w:r>
      <w:r w:rsidR="005228D9" w:rsidRPr="00945D53">
        <w:rPr>
          <w:rFonts w:ascii="Calibri" w:hAnsi="Calibri" w:cs="Calibri"/>
        </w:rPr>
        <w:t>ho</w:t>
      </w:r>
      <w:r w:rsidRPr="00945D53">
        <w:rPr>
          <w:rFonts w:ascii="Calibri" w:hAnsi="Calibri" w:cs="Calibri"/>
        </w:rPr>
        <w:t xml:space="preserve"> cyklu. Nepostupovalo tak v souladu s ustanovením § 21 zákona č. 2/1969 Sb., neboť se neřídilo usneseními vlády,</w:t>
      </w:r>
      <w:r w:rsidRPr="00945D53">
        <w:rPr>
          <w:rStyle w:val="Znakapoznpodarou"/>
          <w:rFonts w:ascii="Calibri" w:hAnsi="Calibri" w:cs="Calibri"/>
        </w:rPr>
        <w:footnoteReference w:id="9"/>
      </w:r>
      <w:r w:rsidRPr="00945D53">
        <w:rPr>
          <w:rFonts w:ascii="Calibri" w:hAnsi="Calibri" w:cs="Calibri"/>
        </w:rPr>
        <w:t xml:space="preserve"> která mu od roku 2011 ukládala brát při přípravě a realizaci investičních </w:t>
      </w:r>
      <w:r w:rsidRPr="00945D53">
        <w:rPr>
          <w:rFonts w:ascii="Calibri" w:hAnsi="Calibri" w:cs="Calibri"/>
        </w:rPr>
        <w:lastRenderedPageBreak/>
        <w:t>akcí v úvahu náklady na celý životní cyklus pořizovaného majetku. Přitom samo MO vyhodnotilo, že pokud se nezabývá náklady životní</w:t>
      </w:r>
      <w:r w:rsidR="00F67BF0" w:rsidRPr="00945D53">
        <w:rPr>
          <w:rFonts w:ascii="Calibri" w:hAnsi="Calibri" w:cs="Calibri"/>
        </w:rPr>
        <w:t>ho</w:t>
      </w:r>
      <w:r w:rsidRPr="00945D53">
        <w:rPr>
          <w:rFonts w:ascii="Calibri" w:hAnsi="Calibri" w:cs="Calibri"/>
        </w:rPr>
        <w:t xml:space="preserve"> cyklu již při pořízení techniky, následně má problémy se zajištěním servisu a náhradních dílů. K </w:t>
      </w:r>
      <w:r w:rsidR="00FE1B11" w:rsidRPr="00945D53">
        <w:rPr>
          <w:rFonts w:ascii="Calibri" w:hAnsi="Calibri" w:cs="Calibri"/>
        </w:rPr>
        <w:t>problémům</w:t>
      </w:r>
      <w:r w:rsidRPr="00945D53">
        <w:rPr>
          <w:rFonts w:ascii="Calibri" w:hAnsi="Calibri" w:cs="Calibri"/>
        </w:rPr>
        <w:t xml:space="preserve"> přispívá i skutečnost, že MO zavedlo do výzbroje Armády jedinečné málopočetné systémy</w:t>
      </w:r>
      <w:r w:rsidR="001418AA" w:rsidRPr="00945D53">
        <w:rPr>
          <w:rStyle w:val="Znakapoznpodarou"/>
          <w:rFonts w:ascii="Calibri" w:hAnsi="Calibri" w:cs="Calibri"/>
        </w:rPr>
        <w:footnoteReference w:id="10"/>
      </w:r>
      <w:r w:rsidRPr="00945D53">
        <w:rPr>
          <w:rFonts w:ascii="Calibri" w:hAnsi="Calibri" w:cs="Calibri"/>
        </w:rPr>
        <w:t xml:space="preserve"> s vysokou cenou a omezenou dostupností náhradních dílů. V případě servisní podpory KBVP a KOT je MO z důvodu licen</w:t>
      </w:r>
      <w:r w:rsidR="00F67BF0" w:rsidRPr="00945D53">
        <w:rPr>
          <w:rFonts w:ascii="Calibri" w:hAnsi="Calibri" w:cs="Calibri"/>
        </w:rPr>
        <w:t>čních podmínek</w:t>
      </w:r>
      <w:r w:rsidRPr="00945D53">
        <w:rPr>
          <w:rFonts w:ascii="Calibri" w:hAnsi="Calibri" w:cs="Calibri"/>
        </w:rPr>
        <w:t xml:space="preserve"> závislé na konkrétním dodavateli, což vede k růstu nákladů.</w:t>
      </w:r>
    </w:p>
    <w:p w14:paraId="5A2CA069" w14:textId="77777777" w:rsidR="005A2712" w:rsidRPr="00945D53" w:rsidRDefault="005A2712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7F7C69CA" w14:textId="66E17594" w:rsidR="005A2712" w:rsidRPr="00945D53" w:rsidRDefault="005A2712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color w:val="000000" w:themeColor="text1"/>
        </w:rPr>
      </w:pPr>
      <w:r w:rsidRPr="00945D53">
        <w:rPr>
          <w:rFonts w:ascii="Calibri" w:hAnsi="Calibri" w:cs="Calibri"/>
          <w:b/>
        </w:rPr>
        <w:t>Nesledování nákladů životní</w:t>
      </w:r>
      <w:r w:rsidR="003E2E5B" w:rsidRPr="00945D53">
        <w:rPr>
          <w:rFonts w:ascii="Calibri" w:hAnsi="Calibri" w:cs="Calibri"/>
          <w:b/>
        </w:rPr>
        <w:t>ho</w:t>
      </w:r>
      <w:r w:rsidRPr="00945D53">
        <w:rPr>
          <w:rFonts w:ascii="Calibri" w:hAnsi="Calibri" w:cs="Calibri"/>
          <w:b/>
        </w:rPr>
        <w:t xml:space="preserve"> cyklu</w:t>
      </w:r>
      <w:r w:rsidR="004949A3" w:rsidRPr="00945D53">
        <w:rPr>
          <w:rStyle w:val="Znakapoznpodarou"/>
          <w:rFonts w:ascii="Calibri" w:hAnsi="Calibri" w:cs="Calibri"/>
        </w:rPr>
        <w:footnoteReference w:id="11"/>
      </w:r>
      <w:r w:rsidRPr="00945D53">
        <w:rPr>
          <w:rFonts w:ascii="Calibri" w:hAnsi="Calibri" w:cs="Calibri"/>
          <w:b/>
        </w:rPr>
        <w:t xml:space="preserve"> KB</w:t>
      </w:r>
      <w:r w:rsidRPr="00945D53">
        <w:rPr>
          <w:rFonts w:ascii="Calibri" w:hAnsi="Calibri" w:cs="Calibri"/>
          <w:b/>
          <w:color w:val="000000" w:themeColor="text1"/>
        </w:rPr>
        <w:t>VP a KOT</w:t>
      </w:r>
    </w:p>
    <w:p w14:paraId="0FC17806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  <w:color w:val="000000" w:themeColor="text1"/>
        </w:rPr>
      </w:pPr>
    </w:p>
    <w:p w14:paraId="7ADC0D25" w14:textId="2708CBA0" w:rsidR="005A2712" w:rsidRPr="00945D53" w:rsidRDefault="005A2712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  <w:color w:val="000000" w:themeColor="text1"/>
        </w:rPr>
      </w:pPr>
      <w:r w:rsidRPr="00945D53">
        <w:rPr>
          <w:rFonts w:ascii="Calibri" w:hAnsi="Calibri" w:cs="Calibri"/>
          <w:color w:val="000000" w:themeColor="text1"/>
        </w:rPr>
        <w:t xml:space="preserve">MO </w:t>
      </w:r>
      <w:r w:rsidR="004B3996" w:rsidRPr="00945D53">
        <w:rPr>
          <w:rFonts w:ascii="Calibri" w:hAnsi="Calibri" w:cs="Calibri"/>
          <w:color w:val="000000" w:themeColor="text1"/>
        </w:rPr>
        <w:t xml:space="preserve">na konci roku </w:t>
      </w:r>
      <w:r w:rsidRPr="00945D53">
        <w:rPr>
          <w:rFonts w:ascii="Calibri" w:hAnsi="Calibri" w:cs="Calibri"/>
          <w:color w:val="000000" w:themeColor="text1"/>
        </w:rPr>
        <w:t>201</w:t>
      </w:r>
      <w:r w:rsidR="004B3996" w:rsidRPr="00945D53">
        <w:rPr>
          <w:rFonts w:ascii="Calibri" w:hAnsi="Calibri" w:cs="Calibri"/>
          <w:color w:val="000000" w:themeColor="text1"/>
        </w:rPr>
        <w:t>3</w:t>
      </w:r>
      <w:r w:rsidRPr="00945D53">
        <w:rPr>
          <w:rFonts w:ascii="Calibri" w:hAnsi="Calibri" w:cs="Calibri"/>
          <w:color w:val="000000" w:themeColor="text1"/>
        </w:rPr>
        <w:t xml:space="preserve"> </w:t>
      </w:r>
      <w:r w:rsidR="00F42C18" w:rsidRPr="00945D53">
        <w:rPr>
          <w:rFonts w:ascii="Calibri" w:hAnsi="Calibri" w:cs="Calibri"/>
          <w:color w:val="000000" w:themeColor="text1"/>
        </w:rPr>
        <w:t xml:space="preserve">přestalo sledovat </w:t>
      </w:r>
      <w:r w:rsidRPr="00945D53">
        <w:rPr>
          <w:rFonts w:ascii="Calibri" w:hAnsi="Calibri" w:cs="Calibri"/>
          <w:color w:val="000000" w:themeColor="text1"/>
        </w:rPr>
        <w:t>náklady životní</w:t>
      </w:r>
      <w:r w:rsidR="00F67BF0" w:rsidRPr="00945D53">
        <w:rPr>
          <w:rFonts w:ascii="Calibri" w:hAnsi="Calibri" w:cs="Calibri"/>
          <w:color w:val="000000" w:themeColor="text1"/>
        </w:rPr>
        <w:t>ho</w:t>
      </w:r>
      <w:r w:rsidRPr="00945D53">
        <w:rPr>
          <w:rFonts w:ascii="Calibri" w:hAnsi="Calibri" w:cs="Calibri"/>
          <w:color w:val="000000" w:themeColor="text1"/>
        </w:rPr>
        <w:t xml:space="preserve"> cyklu KBVP a KOT v návaznosti na smlouvu na dodávky těchto vozidel z roku 2009. Jedná se o náklady na provoz, údržbu, vojskové a mimo-vojskové opravy, ukládání a skladování. MO to znemožňuje využít ustanovení této smlouvy, na </w:t>
      </w:r>
      <w:r w:rsidR="009E64B3">
        <w:rPr>
          <w:rFonts w:ascii="Calibri" w:hAnsi="Calibri" w:cs="Calibri"/>
          <w:color w:val="000000" w:themeColor="text1"/>
        </w:rPr>
        <w:t xml:space="preserve">jehož </w:t>
      </w:r>
      <w:r w:rsidRPr="00945D53">
        <w:rPr>
          <w:rFonts w:ascii="Calibri" w:hAnsi="Calibri" w:cs="Calibri"/>
          <w:color w:val="000000" w:themeColor="text1"/>
        </w:rPr>
        <w:t>základě lze požadovat od dodavatele vozidel úhradu rozdílu mezi skutečnými náklady životního cyklu a náklady životního cyklu dle smlouvy, pokud skutečné náklady tuto hodnotu převýší. MO tak nevyužívá právní prostředky při uplatňování a</w:t>
      </w:r>
      <w:r w:rsidR="00945D53">
        <w:rPr>
          <w:rFonts w:ascii="Calibri" w:hAnsi="Calibri" w:cs="Calibri"/>
          <w:color w:val="000000" w:themeColor="text1"/>
        </w:rPr>
        <w:t> </w:t>
      </w:r>
      <w:r w:rsidRPr="00945D53">
        <w:rPr>
          <w:rFonts w:ascii="Calibri" w:hAnsi="Calibri" w:cs="Calibri"/>
          <w:color w:val="000000" w:themeColor="text1"/>
        </w:rPr>
        <w:t>hájení práv státu, čímž postupuje v rozporu s ustanovením § 14 odst. 4 zákona č. 219/2000</w:t>
      </w:r>
      <w:r w:rsidR="00945D53">
        <w:rPr>
          <w:rFonts w:ascii="Calibri" w:hAnsi="Calibri" w:cs="Calibri"/>
          <w:color w:val="000000" w:themeColor="text1"/>
        </w:rPr>
        <w:t> </w:t>
      </w:r>
      <w:r w:rsidRPr="00945D53">
        <w:rPr>
          <w:rFonts w:ascii="Calibri" w:hAnsi="Calibri" w:cs="Calibri"/>
          <w:color w:val="000000" w:themeColor="text1"/>
        </w:rPr>
        <w:t>Sb. MO navíc nemá přehled o skutečné výši nákladů na KBVP a KOT ani na další typy obrněné techniky. Přitom jen mimo-vojskové výdaje MO na opravy, udržování a nákup náhradních dílů obrněné techniky v </w:t>
      </w:r>
      <w:r w:rsidR="00F42C18" w:rsidRPr="00945D53">
        <w:rPr>
          <w:rFonts w:ascii="Calibri" w:hAnsi="Calibri" w:cs="Calibri"/>
          <w:color w:val="000000" w:themeColor="text1"/>
        </w:rPr>
        <w:t>kontrolovaném období vzrostly z </w:t>
      </w:r>
      <w:r w:rsidRPr="00945D53">
        <w:rPr>
          <w:rFonts w:ascii="Calibri" w:hAnsi="Calibri" w:cs="Calibri"/>
          <w:color w:val="000000" w:themeColor="text1"/>
        </w:rPr>
        <w:t>194,2 mil. Kč v roce 2016 na 779,8 mil. Kč v roce 2018, tj. čtyřnásobně.</w:t>
      </w:r>
    </w:p>
    <w:p w14:paraId="0BC34C67" w14:textId="3E81B8FE" w:rsidR="00D33D51" w:rsidRPr="00945D53" w:rsidRDefault="00D33D51" w:rsidP="00945D53">
      <w:pPr>
        <w:tabs>
          <w:tab w:val="left" w:pos="426"/>
        </w:tabs>
        <w:rPr>
          <w:rFonts w:ascii="Calibri" w:hAnsi="Calibri" w:cs="Calibri"/>
          <w:b/>
          <w:color w:val="000000" w:themeColor="text1"/>
        </w:rPr>
      </w:pPr>
    </w:p>
    <w:p w14:paraId="2F1A65C3" w14:textId="4E134CCA" w:rsidR="002142D4" w:rsidRPr="00945D53" w:rsidRDefault="002142D4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284" w:hanging="284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>N</w:t>
      </w:r>
      <w:r w:rsidR="009122AC" w:rsidRPr="00945D53">
        <w:rPr>
          <w:rFonts w:ascii="Calibri" w:hAnsi="Calibri" w:cs="Calibri"/>
          <w:b/>
        </w:rPr>
        <w:t xml:space="preserve">ízká provozuschopnost </w:t>
      </w:r>
      <w:r w:rsidR="000C3F8A" w:rsidRPr="00945D53">
        <w:rPr>
          <w:rFonts w:ascii="Calibri" w:hAnsi="Calibri" w:cs="Calibri"/>
          <w:b/>
        </w:rPr>
        <w:t>KBVP a KOT</w:t>
      </w:r>
      <w:r w:rsidR="001E5727">
        <w:rPr>
          <w:rFonts w:ascii="Calibri" w:hAnsi="Calibri" w:cs="Calibri"/>
          <w:b/>
        </w:rPr>
        <w:t>,</w:t>
      </w:r>
      <w:r w:rsidR="00A52888" w:rsidRPr="00945D53">
        <w:rPr>
          <w:rFonts w:ascii="Calibri" w:hAnsi="Calibri" w:cs="Calibri"/>
          <w:b/>
        </w:rPr>
        <w:t xml:space="preserve"> </w:t>
      </w:r>
      <w:r w:rsidR="00CA5640" w:rsidRPr="00945D53">
        <w:rPr>
          <w:rFonts w:ascii="Calibri" w:hAnsi="Calibri" w:cs="Calibri"/>
          <w:b/>
        </w:rPr>
        <w:t>z</w:t>
      </w:r>
      <w:r w:rsidR="000D2F3B" w:rsidRPr="00945D53">
        <w:rPr>
          <w:rFonts w:ascii="Calibri" w:hAnsi="Calibri" w:cs="Calibri"/>
          <w:b/>
        </w:rPr>
        <w:t xml:space="preserve">působená </w:t>
      </w:r>
      <w:r w:rsidR="000C3F8A" w:rsidRPr="00945D53">
        <w:rPr>
          <w:rFonts w:ascii="Calibri" w:hAnsi="Calibri" w:cs="Calibri"/>
          <w:b/>
        </w:rPr>
        <w:t>mj.</w:t>
      </w:r>
      <w:r w:rsidR="000D2F3B" w:rsidRPr="00945D53">
        <w:rPr>
          <w:rFonts w:ascii="Calibri" w:hAnsi="Calibri" w:cs="Calibri"/>
          <w:b/>
        </w:rPr>
        <w:t xml:space="preserve"> </w:t>
      </w:r>
      <w:r w:rsidR="00E758E5" w:rsidRPr="00945D53">
        <w:rPr>
          <w:rFonts w:ascii="Calibri" w:hAnsi="Calibri" w:cs="Calibri"/>
          <w:b/>
        </w:rPr>
        <w:t xml:space="preserve">v důsledku </w:t>
      </w:r>
      <w:r w:rsidR="000D2F3B" w:rsidRPr="00945D53">
        <w:rPr>
          <w:rFonts w:ascii="Calibri" w:hAnsi="Calibri" w:cs="Calibri"/>
          <w:b/>
        </w:rPr>
        <w:t>nevýhodn</w:t>
      </w:r>
      <w:r w:rsidR="00614F71" w:rsidRPr="00945D53">
        <w:rPr>
          <w:rFonts w:ascii="Calibri" w:hAnsi="Calibri" w:cs="Calibri"/>
          <w:b/>
        </w:rPr>
        <w:t>ý</w:t>
      </w:r>
      <w:r w:rsidR="00E758E5" w:rsidRPr="00945D53">
        <w:rPr>
          <w:rFonts w:ascii="Calibri" w:hAnsi="Calibri" w:cs="Calibri"/>
          <w:b/>
        </w:rPr>
        <w:t>ch</w:t>
      </w:r>
      <w:r w:rsidR="00614F71" w:rsidRPr="00945D53">
        <w:rPr>
          <w:rFonts w:ascii="Calibri" w:hAnsi="Calibri" w:cs="Calibri"/>
          <w:b/>
        </w:rPr>
        <w:t xml:space="preserve"> podmín</w:t>
      </w:r>
      <w:r w:rsidR="00E758E5" w:rsidRPr="00945D53">
        <w:rPr>
          <w:rFonts w:ascii="Calibri" w:hAnsi="Calibri" w:cs="Calibri"/>
          <w:b/>
        </w:rPr>
        <w:t>e</w:t>
      </w:r>
      <w:r w:rsidR="00614F71" w:rsidRPr="00945D53">
        <w:rPr>
          <w:rFonts w:ascii="Calibri" w:hAnsi="Calibri" w:cs="Calibri"/>
          <w:b/>
        </w:rPr>
        <w:t xml:space="preserve">k </w:t>
      </w:r>
      <w:r w:rsidR="000D2F3B" w:rsidRPr="00945D53">
        <w:rPr>
          <w:rFonts w:ascii="Calibri" w:hAnsi="Calibri" w:cs="Calibri"/>
          <w:b/>
        </w:rPr>
        <w:t>uzavřený</w:t>
      </w:r>
      <w:r w:rsidR="00614F71" w:rsidRPr="00945D53">
        <w:rPr>
          <w:rFonts w:ascii="Calibri" w:hAnsi="Calibri" w:cs="Calibri"/>
          <w:b/>
        </w:rPr>
        <w:t>ch</w:t>
      </w:r>
      <w:r w:rsidR="00CA5640" w:rsidRPr="00945D53">
        <w:rPr>
          <w:rFonts w:ascii="Calibri" w:hAnsi="Calibri" w:cs="Calibri"/>
          <w:b/>
        </w:rPr>
        <w:t xml:space="preserve"> smluv</w:t>
      </w:r>
    </w:p>
    <w:p w14:paraId="2DD26723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7FE2B1B2" w14:textId="329589C0" w:rsidR="00384149" w:rsidRPr="00945D53" w:rsidRDefault="002142D4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 xml:space="preserve">MO </w:t>
      </w:r>
      <w:r w:rsidR="00224040" w:rsidRPr="00945D53">
        <w:rPr>
          <w:rFonts w:ascii="Calibri" w:hAnsi="Calibri" w:cs="Calibri"/>
        </w:rPr>
        <w:t xml:space="preserve">neplnilo stanovený minimální koeficient provozuschopnosti </w:t>
      </w:r>
      <w:r w:rsidR="00CA5640" w:rsidRPr="00945D53">
        <w:rPr>
          <w:rFonts w:ascii="Calibri" w:hAnsi="Calibri" w:cs="Calibri"/>
        </w:rPr>
        <w:t>KBVP a KOT</w:t>
      </w:r>
      <w:r w:rsidR="00224040" w:rsidRPr="00945D53">
        <w:rPr>
          <w:rFonts w:ascii="Calibri" w:hAnsi="Calibri" w:cs="Calibri"/>
        </w:rPr>
        <w:t xml:space="preserve"> ve výši 85</w:t>
      </w:r>
      <w:r w:rsidR="00CA5640" w:rsidRPr="00945D53">
        <w:rPr>
          <w:rFonts w:ascii="Calibri" w:hAnsi="Calibri" w:cs="Calibri"/>
        </w:rPr>
        <w:t> </w:t>
      </w:r>
      <w:r w:rsidR="00224040" w:rsidRPr="00945D53">
        <w:rPr>
          <w:rFonts w:ascii="Calibri" w:hAnsi="Calibri" w:cs="Calibri"/>
        </w:rPr>
        <w:t xml:space="preserve">%. </w:t>
      </w:r>
      <w:r w:rsidR="007C1E0F" w:rsidRPr="00945D53">
        <w:rPr>
          <w:rFonts w:ascii="Calibri" w:hAnsi="Calibri" w:cs="Calibri"/>
        </w:rPr>
        <w:t>P</w:t>
      </w:r>
      <w:r w:rsidR="00D07DB2" w:rsidRPr="00945D53">
        <w:rPr>
          <w:rFonts w:ascii="Calibri" w:hAnsi="Calibri" w:cs="Calibri"/>
        </w:rPr>
        <w:t>růměrná p</w:t>
      </w:r>
      <w:r w:rsidR="007C1E0F" w:rsidRPr="00945D53">
        <w:rPr>
          <w:rFonts w:ascii="Calibri" w:hAnsi="Calibri" w:cs="Calibri"/>
        </w:rPr>
        <w:t xml:space="preserve">rovozuschopnost </w:t>
      </w:r>
      <w:r w:rsidR="00CA5640" w:rsidRPr="00945D53">
        <w:rPr>
          <w:rFonts w:ascii="Calibri" w:hAnsi="Calibri" w:cs="Calibri"/>
        </w:rPr>
        <w:t xml:space="preserve">byla </w:t>
      </w:r>
      <w:r w:rsidR="00224040" w:rsidRPr="00945D53">
        <w:rPr>
          <w:rFonts w:ascii="Calibri" w:hAnsi="Calibri" w:cs="Calibri"/>
        </w:rPr>
        <w:t xml:space="preserve">v letech 2016–2018 </w:t>
      </w:r>
      <w:r w:rsidR="007C1E0F" w:rsidRPr="00945D53">
        <w:rPr>
          <w:rFonts w:ascii="Calibri" w:hAnsi="Calibri" w:cs="Calibri"/>
        </w:rPr>
        <w:t>nižší</w:t>
      </w:r>
      <w:r w:rsidR="00224040" w:rsidRPr="00945D53">
        <w:rPr>
          <w:rFonts w:ascii="Calibri" w:hAnsi="Calibri" w:cs="Calibri"/>
        </w:rPr>
        <w:t xml:space="preserve"> než 70 %</w:t>
      </w:r>
      <w:r w:rsidR="009D3F8B" w:rsidRPr="00945D53">
        <w:rPr>
          <w:rFonts w:ascii="Calibri" w:hAnsi="Calibri" w:cs="Calibri"/>
        </w:rPr>
        <w:t>.</w:t>
      </w:r>
      <w:r w:rsidR="00CA5640" w:rsidRPr="00945D53">
        <w:rPr>
          <w:rFonts w:ascii="Calibri" w:hAnsi="Calibri" w:cs="Calibri"/>
        </w:rPr>
        <w:t xml:space="preserve"> </w:t>
      </w:r>
      <w:r w:rsidR="00EB1569" w:rsidRPr="00945D53">
        <w:rPr>
          <w:rFonts w:ascii="Calibri" w:hAnsi="Calibri" w:cs="Calibri"/>
        </w:rPr>
        <w:t xml:space="preserve">V průběhu </w:t>
      </w:r>
      <w:r w:rsidR="00384149" w:rsidRPr="00945D53">
        <w:rPr>
          <w:rFonts w:ascii="Calibri" w:hAnsi="Calibri" w:cs="Calibri"/>
        </w:rPr>
        <w:t xml:space="preserve">plnění </w:t>
      </w:r>
      <w:r w:rsidR="00CA5640" w:rsidRPr="00945D53">
        <w:rPr>
          <w:rFonts w:ascii="Calibri" w:hAnsi="Calibri" w:cs="Calibri"/>
        </w:rPr>
        <w:t>s</w:t>
      </w:r>
      <w:r w:rsidR="00224040" w:rsidRPr="00945D53">
        <w:rPr>
          <w:rFonts w:ascii="Calibri" w:hAnsi="Calibri" w:cs="Calibri"/>
        </w:rPr>
        <w:t xml:space="preserve">mluv na servisní podporu </w:t>
      </w:r>
      <w:r w:rsidR="00CA5640" w:rsidRPr="00945D53">
        <w:rPr>
          <w:rFonts w:ascii="Calibri" w:hAnsi="Calibri" w:cs="Calibri"/>
        </w:rPr>
        <w:t>vozidel</w:t>
      </w:r>
      <w:r w:rsidR="00384149" w:rsidRPr="00945D53">
        <w:rPr>
          <w:rFonts w:ascii="Calibri" w:hAnsi="Calibri" w:cs="Calibri"/>
        </w:rPr>
        <w:t xml:space="preserve"> docházelo k problémů</w:t>
      </w:r>
      <w:r w:rsidR="00224040" w:rsidRPr="00945D53">
        <w:rPr>
          <w:rFonts w:ascii="Calibri" w:hAnsi="Calibri" w:cs="Calibri"/>
        </w:rPr>
        <w:t>m se zabezpečením oprav i </w:t>
      </w:r>
      <w:r w:rsidR="00384149" w:rsidRPr="00945D53">
        <w:rPr>
          <w:rFonts w:ascii="Calibri" w:hAnsi="Calibri" w:cs="Calibri"/>
        </w:rPr>
        <w:t xml:space="preserve">dodáním náhradních dílů. </w:t>
      </w:r>
      <w:r w:rsidR="003C6C8D" w:rsidRPr="00945D53">
        <w:rPr>
          <w:rFonts w:ascii="Calibri" w:hAnsi="Calibri" w:cs="Calibri"/>
        </w:rPr>
        <w:t>S</w:t>
      </w:r>
      <w:r w:rsidR="00384149" w:rsidRPr="00945D53">
        <w:rPr>
          <w:rFonts w:ascii="Calibri" w:hAnsi="Calibri" w:cs="Calibri"/>
        </w:rPr>
        <w:t>ankc</w:t>
      </w:r>
      <w:r w:rsidR="003C6C8D" w:rsidRPr="00945D53">
        <w:rPr>
          <w:rFonts w:ascii="Calibri" w:hAnsi="Calibri" w:cs="Calibri"/>
        </w:rPr>
        <w:t>e</w:t>
      </w:r>
      <w:r w:rsidR="00384149" w:rsidRPr="00945D53">
        <w:rPr>
          <w:rFonts w:ascii="Calibri" w:hAnsi="Calibri" w:cs="Calibri"/>
        </w:rPr>
        <w:t xml:space="preserve"> </w:t>
      </w:r>
      <w:r w:rsidR="00CA5640" w:rsidRPr="00945D53">
        <w:rPr>
          <w:rFonts w:ascii="Calibri" w:hAnsi="Calibri" w:cs="Calibri"/>
        </w:rPr>
        <w:t xml:space="preserve">pro dodavatele </w:t>
      </w:r>
      <w:r w:rsidR="00A05ECC" w:rsidRPr="00945D53">
        <w:rPr>
          <w:rFonts w:ascii="Calibri" w:hAnsi="Calibri" w:cs="Calibri"/>
        </w:rPr>
        <w:t xml:space="preserve">MO </w:t>
      </w:r>
      <w:r w:rsidR="00CA5640" w:rsidRPr="00945D53">
        <w:rPr>
          <w:rFonts w:ascii="Calibri" w:hAnsi="Calibri" w:cs="Calibri"/>
        </w:rPr>
        <w:t>stanovilo</w:t>
      </w:r>
      <w:r w:rsidR="005A2712" w:rsidRPr="00945D53">
        <w:rPr>
          <w:rFonts w:ascii="Calibri" w:hAnsi="Calibri" w:cs="Calibri"/>
        </w:rPr>
        <w:t xml:space="preserve"> </w:t>
      </w:r>
      <w:r w:rsidR="00A05ECC" w:rsidRPr="00945D53">
        <w:rPr>
          <w:rFonts w:ascii="Calibri" w:hAnsi="Calibri" w:cs="Calibri"/>
        </w:rPr>
        <w:t>v</w:t>
      </w:r>
      <w:r w:rsidR="003C6C8D" w:rsidRPr="00945D53">
        <w:rPr>
          <w:rFonts w:ascii="Calibri" w:hAnsi="Calibri" w:cs="Calibri"/>
        </w:rPr>
        <w:t xml:space="preserve">e výši </w:t>
      </w:r>
      <w:r w:rsidR="004E19D5" w:rsidRPr="00945D53">
        <w:rPr>
          <w:rFonts w:ascii="Calibri" w:hAnsi="Calibri" w:cs="Calibri"/>
        </w:rPr>
        <w:t>0,05 % z ceny jednotlivých položek za každý den prodlení</w:t>
      </w:r>
      <w:r w:rsidR="003C6C8D" w:rsidRPr="00945D53">
        <w:rPr>
          <w:rFonts w:ascii="Calibri" w:hAnsi="Calibri" w:cs="Calibri"/>
        </w:rPr>
        <w:t>. V</w:t>
      </w:r>
      <w:r w:rsidR="004E19D5" w:rsidRPr="00945D53">
        <w:rPr>
          <w:rFonts w:ascii="Calibri" w:hAnsi="Calibri" w:cs="Calibri"/>
        </w:rPr>
        <w:t>ýše</w:t>
      </w:r>
      <w:r w:rsidR="003C6C8D" w:rsidRPr="00945D53">
        <w:rPr>
          <w:rFonts w:ascii="Calibri" w:hAnsi="Calibri" w:cs="Calibri"/>
        </w:rPr>
        <w:t xml:space="preserve"> sankce</w:t>
      </w:r>
      <w:r w:rsidR="004E19D5" w:rsidRPr="00945D53">
        <w:rPr>
          <w:rFonts w:ascii="Calibri" w:hAnsi="Calibri" w:cs="Calibri"/>
        </w:rPr>
        <w:t xml:space="preserve"> byla </w:t>
      </w:r>
      <w:r w:rsidR="003C6C8D" w:rsidRPr="00945D53">
        <w:rPr>
          <w:rFonts w:ascii="Calibri" w:hAnsi="Calibri" w:cs="Calibri"/>
        </w:rPr>
        <w:t xml:space="preserve">navíc </w:t>
      </w:r>
      <w:r w:rsidR="004E19D5" w:rsidRPr="00945D53">
        <w:rPr>
          <w:rFonts w:ascii="Calibri" w:hAnsi="Calibri" w:cs="Calibri"/>
        </w:rPr>
        <w:t>omezena limitem</w:t>
      </w:r>
      <w:r w:rsidR="00051A2C" w:rsidRPr="00945D53">
        <w:rPr>
          <w:rFonts w:ascii="Calibri" w:hAnsi="Calibri" w:cs="Calibri"/>
        </w:rPr>
        <w:t xml:space="preserve"> </w:t>
      </w:r>
      <w:r w:rsidR="00384149" w:rsidRPr="00945D53">
        <w:rPr>
          <w:rFonts w:ascii="Calibri" w:hAnsi="Calibri" w:cs="Calibri"/>
        </w:rPr>
        <w:t>prodlení v </w:t>
      </w:r>
      <w:r w:rsidR="00051A2C" w:rsidRPr="00945D53">
        <w:rPr>
          <w:rFonts w:ascii="Calibri" w:hAnsi="Calibri" w:cs="Calibri"/>
        </w:rPr>
        <w:t>délce</w:t>
      </w:r>
      <w:r w:rsidR="00384149" w:rsidRPr="00945D53">
        <w:rPr>
          <w:rFonts w:ascii="Calibri" w:hAnsi="Calibri" w:cs="Calibri"/>
        </w:rPr>
        <w:t xml:space="preserve"> </w:t>
      </w:r>
      <w:r w:rsidR="00051A2C" w:rsidRPr="00945D53">
        <w:rPr>
          <w:rFonts w:ascii="Calibri" w:hAnsi="Calibri" w:cs="Calibri"/>
        </w:rPr>
        <w:t xml:space="preserve">trvání </w:t>
      </w:r>
      <w:r w:rsidR="009D02A9" w:rsidRPr="00945D53">
        <w:rPr>
          <w:rFonts w:ascii="Calibri" w:hAnsi="Calibri" w:cs="Calibri"/>
        </w:rPr>
        <w:t>300 dní a</w:t>
      </w:r>
      <w:r w:rsidR="00384149" w:rsidRPr="00945D53">
        <w:rPr>
          <w:rFonts w:ascii="Calibri" w:hAnsi="Calibri" w:cs="Calibri"/>
        </w:rPr>
        <w:t xml:space="preserve"> po</w:t>
      </w:r>
      <w:r w:rsidR="00051A2C" w:rsidRPr="00945D53">
        <w:rPr>
          <w:rFonts w:ascii="Calibri" w:hAnsi="Calibri" w:cs="Calibri"/>
        </w:rPr>
        <w:t xml:space="preserve"> uplynutí této doby </w:t>
      </w:r>
      <w:r w:rsidR="00384149" w:rsidRPr="00945D53">
        <w:rPr>
          <w:rFonts w:ascii="Calibri" w:hAnsi="Calibri" w:cs="Calibri"/>
        </w:rPr>
        <w:t>již dodavatel nebyl nucen urychlit poskytnutí požadované služby či dodávky.</w:t>
      </w:r>
      <w:r w:rsidR="00EB1569" w:rsidRPr="00945D53">
        <w:rPr>
          <w:rFonts w:ascii="Calibri" w:hAnsi="Calibri" w:cs="Calibri"/>
        </w:rPr>
        <w:t xml:space="preserve"> </w:t>
      </w:r>
    </w:p>
    <w:p w14:paraId="36C7FBF7" w14:textId="77777777" w:rsidR="00384149" w:rsidRPr="00945D53" w:rsidRDefault="00384149" w:rsidP="00945D53">
      <w:pPr>
        <w:tabs>
          <w:tab w:val="left" w:pos="426"/>
        </w:tabs>
        <w:jc w:val="both"/>
        <w:rPr>
          <w:rFonts w:ascii="Calibri" w:hAnsi="Calibri" w:cs="Calibri"/>
          <w:highlight w:val="yellow"/>
        </w:rPr>
      </w:pPr>
    </w:p>
    <w:p w14:paraId="6D59F8A2" w14:textId="35878063" w:rsidR="002142D4" w:rsidRPr="00945D53" w:rsidRDefault="002142D4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>N</w:t>
      </w:r>
      <w:r w:rsidR="009122AC" w:rsidRPr="00945D53">
        <w:rPr>
          <w:rFonts w:ascii="Calibri" w:hAnsi="Calibri" w:cs="Calibri"/>
          <w:b/>
        </w:rPr>
        <w:t xml:space="preserve">ízká provozuschopnost </w:t>
      </w:r>
      <w:r w:rsidR="009D3F8B" w:rsidRPr="00945D53">
        <w:rPr>
          <w:rFonts w:ascii="Calibri" w:hAnsi="Calibri" w:cs="Calibri"/>
          <w:b/>
        </w:rPr>
        <w:t xml:space="preserve">modernizovaných </w:t>
      </w:r>
      <w:r w:rsidRPr="00945D53">
        <w:rPr>
          <w:rFonts w:ascii="Calibri" w:hAnsi="Calibri" w:cs="Calibri"/>
          <w:b/>
        </w:rPr>
        <w:t>tanků</w:t>
      </w:r>
    </w:p>
    <w:p w14:paraId="09A6E1D7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684D43BE" w14:textId="5A7AD49D" w:rsidR="00243AA6" w:rsidRPr="00945D53" w:rsidRDefault="00224040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 xml:space="preserve">MO </w:t>
      </w:r>
      <w:r w:rsidR="00051A2C" w:rsidRPr="00945D53">
        <w:rPr>
          <w:rFonts w:ascii="Calibri" w:hAnsi="Calibri" w:cs="Calibri"/>
        </w:rPr>
        <w:t xml:space="preserve">neplnilo </w:t>
      </w:r>
      <w:r w:rsidRPr="00945D53">
        <w:rPr>
          <w:rFonts w:ascii="Calibri" w:hAnsi="Calibri" w:cs="Calibri"/>
        </w:rPr>
        <w:t xml:space="preserve">stanovený minimální koeficient provozuschopnosti </w:t>
      </w:r>
      <w:r w:rsidR="00051A2C" w:rsidRPr="00945D53">
        <w:rPr>
          <w:rFonts w:ascii="Calibri" w:hAnsi="Calibri" w:cs="Calibri"/>
        </w:rPr>
        <w:t xml:space="preserve">modernizovaných tanků </w:t>
      </w:r>
      <w:r w:rsidRPr="00945D53">
        <w:rPr>
          <w:rFonts w:ascii="Calibri" w:hAnsi="Calibri" w:cs="Calibri"/>
        </w:rPr>
        <w:t>ve výši 85 %</w:t>
      </w:r>
      <w:r w:rsidR="002B131D" w:rsidRPr="00945D53">
        <w:rPr>
          <w:rFonts w:ascii="Calibri" w:hAnsi="Calibri" w:cs="Calibri"/>
        </w:rPr>
        <w:t>, s</w:t>
      </w:r>
      <w:r w:rsidR="00EE0623" w:rsidRPr="00945D53">
        <w:rPr>
          <w:rFonts w:ascii="Calibri" w:hAnsi="Calibri" w:cs="Calibri"/>
        </w:rPr>
        <w:t>kutečná hodnota</w:t>
      </w:r>
      <w:r w:rsidR="008B7C3E" w:rsidRPr="00945D53">
        <w:rPr>
          <w:rFonts w:ascii="Calibri" w:hAnsi="Calibri" w:cs="Calibri"/>
        </w:rPr>
        <w:t xml:space="preserve"> činila </w:t>
      </w:r>
      <w:r w:rsidR="00EE0623" w:rsidRPr="00945D53">
        <w:rPr>
          <w:rFonts w:ascii="Calibri" w:hAnsi="Calibri" w:cs="Calibri"/>
        </w:rPr>
        <w:t>v </w:t>
      </w:r>
      <w:r w:rsidR="008B7C3E" w:rsidRPr="00945D53">
        <w:rPr>
          <w:rFonts w:ascii="Calibri" w:hAnsi="Calibri" w:cs="Calibri"/>
        </w:rPr>
        <w:t>letech</w:t>
      </w:r>
      <w:r w:rsidR="00EE0623" w:rsidRPr="00945D53">
        <w:rPr>
          <w:rFonts w:ascii="Calibri" w:hAnsi="Calibri" w:cs="Calibri"/>
        </w:rPr>
        <w:t xml:space="preserve"> 2016–2018 </w:t>
      </w:r>
      <w:r w:rsidR="008B7C3E" w:rsidRPr="00945D53">
        <w:rPr>
          <w:rFonts w:ascii="Calibri" w:hAnsi="Calibri" w:cs="Calibri"/>
        </w:rPr>
        <w:t xml:space="preserve">průměrně </w:t>
      </w:r>
      <w:r w:rsidR="00AA2758" w:rsidRPr="00945D53">
        <w:rPr>
          <w:rFonts w:ascii="Calibri" w:hAnsi="Calibri" w:cs="Calibri"/>
        </w:rPr>
        <w:t>méně než</w:t>
      </w:r>
      <w:r w:rsidR="000D2F3B" w:rsidRPr="00945D53">
        <w:rPr>
          <w:rFonts w:ascii="Calibri" w:hAnsi="Calibri" w:cs="Calibri"/>
        </w:rPr>
        <w:t xml:space="preserve"> </w:t>
      </w:r>
      <w:r w:rsidR="008B7C3E" w:rsidRPr="00945D53">
        <w:rPr>
          <w:rFonts w:ascii="Calibri" w:hAnsi="Calibri" w:cs="Calibri"/>
        </w:rPr>
        <w:t>4</w:t>
      </w:r>
      <w:r w:rsidR="00BD182F" w:rsidRPr="00945D53">
        <w:rPr>
          <w:rFonts w:ascii="Calibri" w:hAnsi="Calibri" w:cs="Calibri"/>
        </w:rPr>
        <w:t>3</w:t>
      </w:r>
      <w:r w:rsidR="008B7C3E" w:rsidRPr="00945D53">
        <w:rPr>
          <w:rFonts w:ascii="Calibri" w:hAnsi="Calibri" w:cs="Calibri"/>
        </w:rPr>
        <w:t> </w:t>
      </w:r>
      <w:r w:rsidR="00EE0623" w:rsidRPr="00945D53">
        <w:rPr>
          <w:rFonts w:ascii="Calibri" w:hAnsi="Calibri" w:cs="Calibri"/>
        </w:rPr>
        <w:t xml:space="preserve">%. V průběhu </w:t>
      </w:r>
      <w:r w:rsidR="00EB1569" w:rsidRPr="00945D53">
        <w:rPr>
          <w:rFonts w:ascii="Calibri" w:hAnsi="Calibri" w:cs="Calibri"/>
        </w:rPr>
        <w:t>p</w:t>
      </w:r>
      <w:r w:rsidR="00384149" w:rsidRPr="00945D53">
        <w:rPr>
          <w:rFonts w:ascii="Calibri" w:hAnsi="Calibri" w:cs="Calibri"/>
        </w:rPr>
        <w:t xml:space="preserve">lnění smlouvy na opravy a udržování modernizovaných tanků docházelo k prodlevám v dodávkách náhradních dílů </w:t>
      </w:r>
      <w:r w:rsidRPr="00945D53">
        <w:rPr>
          <w:rFonts w:ascii="Calibri" w:hAnsi="Calibri" w:cs="Calibri"/>
        </w:rPr>
        <w:t>a</w:t>
      </w:r>
      <w:r w:rsidR="00384149" w:rsidRPr="00945D53">
        <w:rPr>
          <w:rFonts w:ascii="Calibri" w:hAnsi="Calibri" w:cs="Calibri"/>
        </w:rPr>
        <w:t xml:space="preserve"> prov</w:t>
      </w:r>
      <w:r w:rsidR="005228D9" w:rsidRPr="00945D53">
        <w:rPr>
          <w:rFonts w:ascii="Calibri" w:hAnsi="Calibri" w:cs="Calibri"/>
        </w:rPr>
        <w:t>ádění</w:t>
      </w:r>
      <w:r w:rsidR="00384149" w:rsidRPr="00945D53">
        <w:rPr>
          <w:rFonts w:ascii="Calibri" w:hAnsi="Calibri" w:cs="Calibri"/>
        </w:rPr>
        <w:t xml:space="preserve"> servisních činností. </w:t>
      </w:r>
      <w:r w:rsidR="006615F2" w:rsidRPr="00945D53">
        <w:rPr>
          <w:rFonts w:ascii="Calibri" w:hAnsi="Calibri" w:cs="Calibri"/>
        </w:rPr>
        <w:t>Opravované t</w:t>
      </w:r>
      <w:r w:rsidR="00384149" w:rsidRPr="00945D53">
        <w:rPr>
          <w:rFonts w:ascii="Calibri" w:hAnsi="Calibri" w:cs="Calibri"/>
        </w:rPr>
        <w:t>anky</w:t>
      </w:r>
      <w:r w:rsidR="008B7C3E" w:rsidRPr="00945D53">
        <w:rPr>
          <w:rFonts w:ascii="Calibri" w:hAnsi="Calibri" w:cs="Calibri"/>
        </w:rPr>
        <w:t xml:space="preserve"> </w:t>
      </w:r>
      <w:r w:rsidR="001E5727">
        <w:rPr>
          <w:rFonts w:ascii="Calibri" w:hAnsi="Calibri" w:cs="Calibri"/>
        </w:rPr>
        <w:t>ne</w:t>
      </w:r>
      <w:r w:rsidR="00384149" w:rsidRPr="00945D53">
        <w:rPr>
          <w:rFonts w:ascii="Calibri" w:hAnsi="Calibri" w:cs="Calibri"/>
        </w:rPr>
        <w:t>byly</w:t>
      </w:r>
      <w:r w:rsidR="008B7C3E" w:rsidRPr="00945D53">
        <w:rPr>
          <w:rFonts w:ascii="Calibri" w:hAnsi="Calibri" w:cs="Calibri"/>
        </w:rPr>
        <w:t xml:space="preserve"> provozuschopné</w:t>
      </w:r>
      <w:r w:rsidR="00384149" w:rsidRPr="00945D53">
        <w:rPr>
          <w:rFonts w:ascii="Calibri" w:hAnsi="Calibri" w:cs="Calibri"/>
        </w:rPr>
        <w:t xml:space="preserve"> v průměru 1,7 roku</w:t>
      </w:r>
      <w:r w:rsidR="00EC246D" w:rsidRPr="00945D53">
        <w:rPr>
          <w:rFonts w:ascii="Calibri" w:hAnsi="Calibri" w:cs="Calibri"/>
        </w:rPr>
        <w:t>.</w:t>
      </w:r>
      <w:r w:rsidR="008B7C3E" w:rsidRPr="00945D53">
        <w:rPr>
          <w:rFonts w:ascii="Calibri" w:hAnsi="Calibri" w:cs="Calibri"/>
        </w:rPr>
        <w:t xml:space="preserve"> </w:t>
      </w:r>
      <w:r w:rsidR="00EC246D" w:rsidRPr="00945D53">
        <w:rPr>
          <w:rFonts w:ascii="Calibri" w:hAnsi="Calibri" w:cs="Calibri"/>
        </w:rPr>
        <w:t>J</w:t>
      </w:r>
      <w:r w:rsidR="008B7C3E" w:rsidRPr="00945D53">
        <w:rPr>
          <w:rFonts w:ascii="Calibri" w:hAnsi="Calibri" w:cs="Calibri"/>
        </w:rPr>
        <w:t xml:space="preserve">eden ze tří </w:t>
      </w:r>
      <w:r w:rsidR="00CA0358" w:rsidRPr="00945D53">
        <w:rPr>
          <w:rFonts w:ascii="Calibri" w:hAnsi="Calibri" w:cs="Calibri"/>
        </w:rPr>
        <w:t xml:space="preserve">modernizovaných </w:t>
      </w:r>
      <w:r w:rsidR="008B7C3E" w:rsidRPr="00945D53">
        <w:rPr>
          <w:rFonts w:ascii="Calibri" w:hAnsi="Calibri" w:cs="Calibri"/>
        </w:rPr>
        <w:t xml:space="preserve">vyprošťovacích tanků </w:t>
      </w:r>
      <w:r w:rsidR="001E5727">
        <w:rPr>
          <w:rFonts w:ascii="Calibri" w:hAnsi="Calibri" w:cs="Calibri"/>
        </w:rPr>
        <w:t>ne</w:t>
      </w:r>
      <w:r w:rsidR="00384149" w:rsidRPr="00945D53">
        <w:rPr>
          <w:rFonts w:ascii="Calibri" w:hAnsi="Calibri" w:cs="Calibri"/>
        </w:rPr>
        <w:t xml:space="preserve">byl </w:t>
      </w:r>
      <w:r w:rsidR="00EC246D" w:rsidRPr="00945D53">
        <w:rPr>
          <w:rFonts w:ascii="Calibri" w:hAnsi="Calibri" w:cs="Calibri"/>
        </w:rPr>
        <w:t xml:space="preserve">z důvodu opravy </w:t>
      </w:r>
      <w:r w:rsidR="00384149" w:rsidRPr="00945D53">
        <w:rPr>
          <w:rFonts w:ascii="Calibri" w:hAnsi="Calibri" w:cs="Calibri"/>
        </w:rPr>
        <w:t xml:space="preserve">provozuschopný </w:t>
      </w:r>
      <w:r w:rsidR="000D2F3B" w:rsidRPr="00945D53">
        <w:rPr>
          <w:rFonts w:ascii="Calibri" w:hAnsi="Calibri" w:cs="Calibri"/>
        </w:rPr>
        <w:t xml:space="preserve">dokonce </w:t>
      </w:r>
      <w:r w:rsidR="00384149" w:rsidRPr="00945D53">
        <w:rPr>
          <w:rFonts w:ascii="Calibri" w:hAnsi="Calibri" w:cs="Calibri"/>
        </w:rPr>
        <w:t>po dobu 3,5 roku</w:t>
      </w:r>
      <w:r w:rsidR="003C63AC" w:rsidRPr="00945D53">
        <w:rPr>
          <w:rFonts w:ascii="Calibri" w:hAnsi="Calibri" w:cs="Calibri"/>
        </w:rPr>
        <w:t xml:space="preserve">, </w:t>
      </w:r>
      <w:r w:rsidR="00CA0358" w:rsidRPr="00945D53">
        <w:rPr>
          <w:rFonts w:ascii="Calibri" w:hAnsi="Calibri" w:cs="Calibri"/>
        </w:rPr>
        <w:t xml:space="preserve">tj. téměř pětinu </w:t>
      </w:r>
      <w:r w:rsidR="005228D9" w:rsidRPr="00945D53">
        <w:rPr>
          <w:rFonts w:ascii="Calibri" w:hAnsi="Calibri" w:cs="Calibri"/>
        </w:rPr>
        <w:t xml:space="preserve">doby </w:t>
      </w:r>
      <w:r w:rsidR="00CA0358" w:rsidRPr="00945D53">
        <w:rPr>
          <w:rFonts w:ascii="Calibri" w:hAnsi="Calibri" w:cs="Calibri"/>
        </w:rPr>
        <w:t>své</w:t>
      </w:r>
      <w:r w:rsidR="009D02A9" w:rsidRPr="00945D53">
        <w:rPr>
          <w:rFonts w:ascii="Calibri" w:hAnsi="Calibri" w:cs="Calibri"/>
        </w:rPr>
        <w:t xml:space="preserve"> životnosti</w:t>
      </w:r>
      <w:r w:rsidR="008B7C3E" w:rsidRPr="00945D53">
        <w:rPr>
          <w:rFonts w:ascii="Calibri" w:hAnsi="Calibri" w:cs="Calibri"/>
        </w:rPr>
        <w:t>.</w:t>
      </w:r>
      <w:r w:rsidR="008F5F80" w:rsidRPr="00945D53">
        <w:rPr>
          <w:rFonts w:ascii="Calibri" w:hAnsi="Calibri" w:cs="Calibri"/>
        </w:rPr>
        <w:t xml:space="preserve"> </w:t>
      </w:r>
    </w:p>
    <w:p w14:paraId="1CAE9427" w14:textId="77777777" w:rsidR="00E75813" w:rsidRPr="00945D53" w:rsidRDefault="00E75813" w:rsidP="00945D53">
      <w:pPr>
        <w:tabs>
          <w:tab w:val="left" w:pos="426"/>
        </w:tabs>
        <w:rPr>
          <w:rFonts w:ascii="Calibri" w:hAnsi="Calibri" w:cs="Calibri"/>
        </w:rPr>
      </w:pPr>
    </w:p>
    <w:p w14:paraId="225A7BBA" w14:textId="1F1D5063" w:rsidR="00224040" w:rsidRPr="00945D53" w:rsidRDefault="00113669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lastRenderedPageBreak/>
        <w:t>Ne</w:t>
      </w:r>
      <w:r w:rsidR="00F67BF0" w:rsidRPr="00945D53">
        <w:rPr>
          <w:rFonts w:ascii="Calibri" w:hAnsi="Calibri" w:cs="Calibri"/>
          <w:b/>
        </w:rPr>
        <w:t xml:space="preserve">zajištěné </w:t>
      </w:r>
      <w:r w:rsidR="008B7C3E" w:rsidRPr="00945D53">
        <w:rPr>
          <w:rFonts w:ascii="Calibri" w:hAnsi="Calibri" w:cs="Calibri"/>
          <w:b/>
        </w:rPr>
        <w:t>zásobování náhradními díly</w:t>
      </w:r>
      <w:r w:rsidRPr="00945D53">
        <w:rPr>
          <w:rFonts w:ascii="Calibri" w:hAnsi="Calibri" w:cs="Calibri"/>
          <w:b/>
        </w:rPr>
        <w:t xml:space="preserve"> </w:t>
      </w:r>
    </w:p>
    <w:p w14:paraId="3FB19997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61722351" w14:textId="6B51F229" w:rsidR="008B7C3E" w:rsidRPr="00945D53" w:rsidRDefault="001258DF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>MO neza</w:t>
      </w:r>
      <w:r w:rsidR="00FA4D69" w:rsidRPr="00945D53">
        <w:rPr>
          <w:rFonts w:ascii="Calibri" w:hAnsi="Calibri" w:cs="Calibri"/>
        </w:rPr>
        <w:t>ji</w:t>
      </w:r>
      <w:r w:rsidR="003C6C8D" w:rsidRPr="00945D53">
        <w:rPr>
          <w:rFonts w:ascii="Calibri" w:hAnsi="Calibri" w:cs="Calibri"/>
        </w:rPr>
        <w:t>stilo přísun n</w:t>
      </w:r>
      <w:r w:rsidRPr="00945D53">
        <w:rPr>
          <w:rFonts w:ascii="Calibri" w:hAnsi="Calibri" w:cs="Calibri"/>
        </w:rPr>
        <w:t>áhradní</w:t>
      </w:r>
      <w:r w:rsidR="003C6C8D" w:rsidRPr="00945D53">
        <w:rPr>
          <w:rFonts w:ascii="Calibri" w:hAnsi="Calibri" w:cs="Calibri"/>
        </w:rPr>
        <w:t>ch</w:t>
      </w:r>
      <w:r w:rsidRPr="00945D53">
        <w:rPr>
          <w:rFonts w:ascii="Calibri" w:hAnsi="Calibri" w:cs="Calibri"/>
        </w:rPr>
        <w:t xml:space="preserve"> díl</w:t>
      </w:r>
      <w:r w:rsidR="003C6C8D" w:rsidRPr="00945D53">
        <w:rPr>
          <w:rFonts w:ascii="Calibri" w:hAnsi="Calibri" w:cs="Calibri"/>
        </w:rPr>
        <w:t>ů</w:t>
      </w:r>
      <w:r w:rsidRPr="00945D53">
        <w:rPr>
          <w:rFonts w:ascii="Calibri" w:hAnsi="Calibri" w:cs="Calibri"/>
        </w:rPr>
        <w:t xml:space="preserve"> </w:t>
      </w:r>
      <w:r w:rsidR="003C6C8D" w:rsidRPr="00945D53">
        <w:rPr>
          <w:rFonts w:ascii="Calibri" w:hAnsi="Calibri" w:cs="Calibri"/>
        </w:rPr>
        <w:t xml:space="preserve">po </w:t>
      </w:r>
      <w:r w:rsidR="00D33D51" w:rsidRPr="00945D53">
        <w:rPr>
          <w:rFonts w:ascii="Calibri" w:hAnsi="Calibri" w:cs="Calibri"/>
        </w:rPr>
        <w:t xml:space="preserve">celou </w:t>
      </w:r>
      <w:r w:rsidR="003C6C8D" w:rsidRPr="00945D53">
        <w:rPr>
          <w:rFonts w:ascii="Calibri" w:hAnsi="Calibri" w:cs="Calibri"/>
        </w:rPr>
        <w:t xml:space="preserve">dobu životnosti </w:t>
      </w:r>
      <w:r w:rsidRPr="00945D53">
        <w:rPr>
          <w:rFonts w:ascii="Calibri" w:hAnsi="Calibri" w:cs="Calibri"/>
        </w:rPr>
        <w:t>obrněn</w:t>
      </w:r>
      <w:r w:rsidR="003C6C8D" w:rsidRPr="00945D53">
        <w:rPr>
          <w:rFonts w:ascii="Calibri" w:hAnsi="Calibri" w:cs="Calibri"/>
        </w:rPr>
        <w:t>é</w:t>
      </w:r>
      <w:r w:rsidRPr="00945D53">
        <w:rPr>
          <w:rFonts w:ascii="Calibri" w:hAnsi="Calibri" w:cs="Calibri"/>
        </w:rPr>
        <w:t xml:space="preserve"> technik</w:t>
      </w:r>
      <w:r w:rsidR="003C6C8D" w:rsidRPr="00945D53">
        <w:rPr>
          <w:rFonts w:ascii="Calibri" w:hAnsi="Calibri" w:cs="Calibri"/>
        </w:rPr>
        <w:t>y</w:t>
      </w:r>
      <w:r w:rsidR="000156E8" w:rsidRPr="00945D53">
        <w:rPr>
          <w:rFonts w:ascii="Calibri" w:hAnsi="Calibri" w:cs="Calibri"/>
        </w:rPr>
        <w:t>. S</w:t>
      </w:r>
      <w:r w:rsidR="00297D41" w:rsidRPr="00945D53">
        <w:rPr>
          <w:rFonts w:ascii="Calibri" w:hAnsi="Calibri" w:cs="Calibri"/>
        </w:rPr>
        <w:t xml:space="preserve">távající systém funguje zejména formou nákupu až po vzniku požadavku, kdy technika </w:t>
      </w:r>
      <w:r w:rsidR="001E5727">
        <w:rPr>
          <w:rFonts w:ascii="Calibri" w:hAnsi="Calibri" w:cs="Calibri"/>
        </w:rPr>
        <w:t>není</w:t>
      </w:r>
      <w:r w:rsidR="00297D41" w:rsidRPr="00945D53">
        <w:rPr>
          <w:rFonts w:ascii="Calibri" w:hAnsi="Calibri" w:cs="Calibri"/>
        </w:rPr>
        <w:t xml:space="preserve"> p</w:t>
      </w:r>
      <w:r w:rsidR="00802C3D" w:rsidRPr="00945D53">
        <w:rPr>
          <w:rFonts w:ascii="Calibri" w:hAnsi="Calibri" w:cs="Calibri"/>
        </w:rPr>
        <w:t>rovozuschopná</w:t>
      </w:r>
      <w:r w:rsidR="00297D41" w:rsidRPr="00945D53">
        <w:rPr>
          <w:rFonts w:ascii="Calibri" w:hAnsi="Calibri" w:cs="Calibri"/>
        </w:rPr>
        <w:t xml:space="preserve">. </w:t>
      </w:r>
      <w:r w:rsidR="007500A6" w:rsidRPr="00945D53">
        <w:rPr>
          <w:rFonts w:ascii="Calibri" w:hAnsi="Calibri" w:cs="Calibri"/>
        </w:rPr>
        <w:t>Č</w:t>
      </w:r>
      <w:r w:rsidRPr="00945D53">
        <w:rPr>
          <w:rFonts w:ascii="Calibri" w:hAnsi="Calibri" w:cs="Calibri"/>
        </w:rPr>
        <w:t>ekání na náhradní díly trvá měsíce a někdy i roky. T</w:t>
      </w:r>
      <w:r w:rsidR="00297D41" w:rsidRPr="00945D53">
        <w:rPr>
          <w:rFonts w:ascii="Calibri" w:hAnsi="Calibri" w:cs="Calibri"/>
        </w:rPr>
        <w:t xml:space="preserve">ento nedostatek zjistil </w:t>
      </w:r>
      <w:r w:rsidRPr="00945D53">
        <w:rPr>
          <w:rFonts w:ascii="Calibri" w:hAnsi="Calibri" w:cs="Calibri"/>
        </w:rPr>
        <w:t>NKÚ</w:t>
      </w:r>
      <w:r w:rsidR="000A421F" w:rsidRPr="00945D53">
        <w:rPr>
          <w:rFonts w:ascii="Calibri" w:hAnsi="Calibri" w:cs="Calibri"/>
        </w:rPr>
        <w:t xml:space="preserve"> </w:t>
      </w:r>
      <w:r w:rsidR="00297D41" w:rsidRPr="00945D53">
        <w:rPr>
          <w:rFonts w:ascii="Calibri" w:hAnsi="Calibri" w:cs="Calibri"/>
        </w:rPr>
        <w:t>u </w:t>
      </w:r>
      <w:r w:rsidRPr="00945D53">
        <w:rPr>
          <w:rFonts w:ascii="Calibri" w:hAnsi="Calibri" w:cs="Calibri"/>
        </w:rPr>
        <w:t>tří</w:t>
      </w:r>
      <w:r w:rsidR="00022A7C" w:rsidRPr="00945D53">
        <w:rPr>
          <w:rFonts w:ascii="Calibri" w:hAnsi="Calibri" w:cs="Calibri"/>
        </w:rPr>
        <w:t xml:space="preserve"> </w:t>
      </w:r>
      <w:r w:rsidR="00D33D51" w:rsidRPr="00945D53">
        <w:rPr>
          <w:rFonts w:ascii="Calibri" w:hAnsi="Calibri" w:cs="Calibri"/>
        </w:rPr>
        <w:t xml:space="preserve">kontrolovaných </w:t>
      </w:r>
      <w:r w:rsidRPr="00945D53">
        <w:rPr>
          <w:rFonts w:ascii="Calibri" w:hAnsi="Calibri" w:cs="Calibri"/>
        </w:rPr>
        <w:t>servisních smluv.</w:t>
      </w:r>
      <w:r w:rsidR="00022A7C" w:rsidRPr="00945D53">
        <w:rPr>
          <w:rFonts w:ascii="Calibri" w:hAnsi="Calibri" w:cs="Calibri"/>
        </w:rPr>
        <w:t xml:space="preserve"> Důsledkem</w:t>
      </w:r>
      <w:r w:rsidR="00D82B74" w:rsidRPr="00945D53">
        <w:rPr>
          <w:rFonts w:ascii="Calibri" w:hAnsi="Calibri" w:cs="Calibri"/>
        </w:rPr>
        <w:t xml:space="preserve"> byl</w:t>
      </w:r>
      <w:r w:rsidR="001E5727">
        <w:rPr>
          <w:rFonts w:ascii="Calibri" w:hAnsi="Calibri" w:cs="Calibri"/>
        </w:rPr>
        <w:t>a</w:t>
      </w:r>
      <w:r w:rsidR="00E0521F" w:rsidRPr="00945D53">
        <w:rPr>
          <w:rFonts w:ascii="Calibri" w:hAnsi="Calibri" w:cs="Calibri"/>
        </w:rPr>
        <w:t xml:space="preserve"> </w:t>
      </w:r>
      <w:r w:rsidR="00022A7C" w:rsidRPr="00945D53">
        <w:rPr>
          <w:rFonts w:ascii="Calibri" w:hAnsi="Calibri" w:cs="Calibri"/>
        </w:rPr>
        <w:t>dlouh</w:t>
      </w:r>
      <w:r w:rsidR="001E5727">
        <w:rPr>
          <w:rFonts w:ascii="Calibri" w:hAnsi="Calibri" w:cs="Calibri"/>
        </w:rPr>
        <w:t>á neschopnost provozu,</w:t>
      </w:r>
      <w:r w:rsidR="00022A7C" w:rsidRPr="00945D53">
        <w:rPr>
          <w:rFonts w:ascii="Calibri" w:hAnsi="Calibri" w:cs="Calibri"/>
        </w:rPr>
        <w:t xml:space="preserve"> </w:t>
      </w:r>
      <w:r w:rsidR="000156E8" w:rsidRPr="00945D53">
        <w:rPr>
          <w:rFonts w:ascii="Calibri" w:hAnsi="Calibri" w:cs="Calibri"/>
        </w:rPr>
        <w:t xml:space="preserve">zejména </w:t>
      </w:r>
      <w:r w:rsidR="001E5727">
        <w:rPr>
          <w:rFonts w:ascii="Calibri" w:hAnsi="Calibri" w:cs="Calibri"/>
        </w:rPr>
        <w:t>u </w:t>
      </w:r>
      <w:r w:rsidR="000156E8" w:rsidRPr="00945D53">
        <w:rPr>
          <w:rFonts w:ascii="Calibri" w:hAnsi="Calibri" w:cs="Calibri"/>
        </w:rPr>
        <w:t>modernizovaných tanků a KBVP</w:t>
      </w:r>
      <w:r w:rsidR="000A421F" w:rsidRPr="00945D53">
        <w:rPr>
          <w:rFonts w:ascii="Calibri" w:hAnsi="Calibri" w:cs="Calibri"/>
        </w:rPr>
        <w:t xml:space="preserve">, </w:t>
      </w:r>
      <w:r w:rsidR="001E5727">
        <w:rPr>
          <w:rFonts w:ascii="Calibri" w:hAnsi="Calibri" w:cs="Calibri"/>
        </w:rPr>
        <w:t>což</w:t>
      </w:r>
      <w:r w:rsidR="000A421F" w:rsidRPr="00945D53">
        <w:rPr>
          <w:rFonts w:ascii="Calibri" w:hAnsi="Calibri" w:cs="Calibri"/>
        </w:rPr>
        <w:t xml:space="preserve"> může vést až k ohrožení bojeschopnosti Armády</w:t>
      </w:r>
      <w:r w:rsidR="000156E8" w:rsidRPr="00945D53">
        <w:rPr>
          <w:rFonts w:ascii="Calibri" w:hAnsi="Calibri" w:cs="Calibri"/>
          <w:vertAlign w:val="superscript"/>
        </w:rPr>
        <w:t>4</w:t>
      </w:r>
      <w:r w:rsidR="005228D9" w:rsidRPr="00945D53">
        <w:rPr>
          <w:rFonts w:ascii="Calibri" w:hAnsi="Calibri" w:cs="Calibri"/>
        </w:rPr>
        <w:t>.</w:t>
      </w:r>
      <w:r w:rsidR="000A421F" w:rsidRPr="00945D53">
        <w:rPr>
          <w:rFonts w:ascii="Calibri" w:hAnsi="Calibri" w:cs="Calibri"/>
        </w:rPr>
        <w:t xml:space="preserve"> </w:t>
      </w:r>
    </w:p>
    <w:p w14:paraId="57B9B391" w14:textId="77777777" w:rsidR="00EF5508" w:rsidRPr="00945D53" w:rsidRDefault="00EF5508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648B31C8" w14:textId="6D4C60F7" w:rsidR="00EF5508" w:rsidRPr="00945D53" w:rsidRDefault="00EF5508" w:rsidP="00F22755">
      <w:pPr>
        <w:pStyle w:val="Odstavecseseznamem"/>
        <w:keepNext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>Nízký projezd obrněné techniky</w:t>
      </w:r>
      <w:r w:rsidR="003E2E5B" w:rsidRPr="00945D53">
        <w:rPr>
          <w:rFonts w:ascii="Calibri" w:hAnsi="Calibri" w:cs="Calibri"/>
          <w:b/>
        </w:rPr>
        <w:t xml:space="preserve"> mezi </w:t>
      </w:r>
      <w:r w:rsidR="00E80580" w:rsidRPr="00945D53">
        <w:rPr>
          <w:rFonts w:ascii="Calibri" w:hAnsi="Calibri" w:cs="Calibri"/>
          <w:b/>
        </w:rPr>
        <w:t xml:space="preserve">stanovenými technickými </w:t>
      </w:r>
      <w:r w:rsidR="003E2E5B" w:rsidRPr="00945D53">
        <w:rPr>
          <w:rFonts w:ascii="Calibri" w:hAnsi="Calibri" w:cs="Calibri"/>
          <w:b/>
        </w:rPr>
        <w:t>údržbami</w:t>
      </w:r>
    </w:p>
    <w:p w14:paraId="42940B19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4B01C0B0" w14:textId="48C692AF" w:rsidR="00EF5508" w:rsidRPr="00945D53" w:rsidRDefault="00EF5508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  <w:strike/>
        </w:rPr>
      </w:pPr>
      <w:r w:rsidRPr="00945D53">
        <w:rPr>
          <w:rFonts w:ascii="Calibri" w:hAnsi="Calibri" w:cs="Calibri"/>
        </w:rPr>
        <w:t>Provozovaná kolová bojová vozidla pěchoty, kolové obrněné transportéry ani modernizované tanky neujely v kontrolovaném období mezi</w:t>
      </w:r>
      <w:r w:rsidR="003E2E5B" w:rsidRPr="00945D53">
        <w:rPr>
          <w:rFonts w:ascii="Calibri" w:hAnsi="Calibri" w:cs="Calibri"/>
        </w:rPr>
        <w:t xml:space="preserve"> určenými</w:t>
      </w:r>
      <w:r w:rsidRPr="00945D53">
        <w:rPr>
          <w:rFonts w:ascii="Calibri" w:hAnsi="Calibri" w:cs="Calibri"/>
        </w:rPr>
        <w:t xml:space="preserve"> technickými údržbami </w:t>
      </w:r>
      <w:r w:rsidR="00E051EA" w:rsidRPr="00945D53">
        <w:rPr>
          <w:rFonts w:ascii="Calibri" w:hAnsi="Calibri" w:cs="Calibri"/>
        </w:rPr>
        <w:t>počty</w:t>
      </w:r>
      <w:r w:rsidRPr="00945D53">
        <w:rPr>
          <w:rFonts w:ascii="Calibri" w:hAnsi="Calibri" w:cs="Calibri"/>
        </w:rPr>
        <w:t xml:space="preserve"> kilometrů, které MO stanovilo ve výši 5 000 km/rok</w:t>
      </w:r>
      <w:r w:rsidR="009D02A9" w:rsidRPr="00945D53">
        <w:rPr>
          <w:rFonts w:ascii="Calibri" w:hAnsi="Calibri" w:cs="Calibri"/>
        </w:rPr>
        <w:t xml:space="preserve"> pro KBVP a KOT a</w:t>
      </w:r>
      <w:r w:rsidR="00945D53" w:rsidRPr="00945D53">
        <w:rPr>
          <w:rFonts w:ascii="Calibri" w:hAnsi="Calibri" w:cs="Calibri"/>
        </w:rPr>
        <w:t> </w:t>
      </w:r>
      <w:r w:rsidRPr="00945D53">
        <w:rPr>
          <w:rFonts w:ascii="Calibri" w:hAnsi="Calibri" w:cs="Calibri"/>
        </w:rPr>
        <w:t>1</w:t>
      </w:r>
      <w:r w:rsidR="00945D53" w:rsidRPr="00945D53">
        <w:rPr>
          <w:rFonts w:ascii="Calibri" w:hAnsi="Calibri" w:cs="Calibri"/>
        </w:rPr>
        <w:t> </w:t>
      </w:r>
      <w:r w:rsidRPr="00945D53">
        <w:rPr>
          <w:rFonts w:ascii="Calibri" w:hAnsi="Calibri" w:cs="Calibri"/>
        </w:rPr>
        <w:t>000</w:t>
      </w:r>
      <w:r w:rsidR="00945D53" w:rsidRPr="00945D53">
        <w:rPr>
          <w:rFonts w:ascii="Calibri" w:hAnsi="Calibri" w:cs="Calibri"/>
        </w:rPr>
        <w:t> </w:t>
      </w:r>
      <w:r w:rsidRPr="00945D53">
        <w:rPr>
          <w:rFonts w:ascii="Calibri" w:hAnsi="Calibri" w:cs="Calibri"/>
        </w:rPr>
        <w:t>km/rok</w:t>
      </w:r>
      <w:r w:rsidR="009D02A9" w:rsidRPr="00945D53">
        <w:rPr>
          <w:rFonts w:ascii="Calibri" w:hAnsi="Calibri" w:cs="Calibri"/>
        </w:rPr>
        <w:t xml:space="preserve"> pro tanky</w:t>
      </w:r>
      <w:r w:rsidRPr="00945D53">
        <w:rPr>
          <w:rFonts w:ascii="Calibri" w:hAnsi="Calibri" w:cs="Calibri"/>
        </w:rPr>
        <w:t xml:space="preserve">. </w:t>
      </w:r>
      <w:r w:rsidR="009D02A9" w:rsidRPr="00945D53">
        <w:rPr>
          <w:rFonts w:ascii="Calibri" w:hAnsi="Calibri" w:cs="Calibri"/>
        </w:rPr>
        <w:t>Jedno</w:t>
      </w:r>
      <w:r w:rsidRPr="00945D53">
        <w:rPr>
          <w:rFonts w:ascii="Calibri" w:hAnsi="Calibri" w:cs="Calibri"/>
        </w:rPr>
        <w:t xml:space="preserve"> KBVP</w:t>
      </w:r>
      <w:r w:rsidR="009D02A9" w:rsidRPr="00945D53">
        <w:rPr>
          <w:rFonts w:ascii="Calibri" w:hAnsi="Calibri" w:cs="Calibri"/>
        </w:rPr>
        <w:t xml:space="preserve"> a </w:t>
      </w:r>
      <w:r w:rsidRPr="00945D53">
        <w:rPr>
          <w:rFonts w:ascii="Calibri" w:hAnsi="Calibri" w:cs="Calibri"/>
        </w:rPr>
        <w:t>KOT ujelo v období 2016–2018 průměrně 1</w:t>
      </w:r>
      <w:r w:rsidR="00945D53" w:rsidRPr="00945D53">
        <w:rPr>
          <w:rFonts w:ascii="Calibri" w:hAnsi="Calibri" w:cs="Calibri"/>
        </w:rPr>
        <w:t> </w:t>
      </w:r>
      <w:r w:rsidRPr="00945D53">
        <w:rPr>
          <w:rFonts w:ascii="Calibri" w:hAnsi="Calibri" w:cs="Calibri"/>
        </w:rPr>
        <w:t>203</w:t>
      </w:r>
      <w:r w:rsidR="00945D53" w:rsidRPr="00945D53">
        <w:rPr>
          <w:rFonts w:ascii="Calibri" w:hAnsi="Calibri" w:cs="Calibri"/>
        </w:rPr>
        <w:t> </w:t>
      </w:r>
      <w:r w:rsidRPr="00945D53">
        <w:rPr>
          <w:rFonts w:ascii="Calibri" w:hAnsi="Calibri" w:cs="Calibri"/>
        </w:rPr>
        <w:t>km</w:t>
      </w:r>
      <w:r w:rsidR="009D02A9" w:rsidRPr="00945D53">
        <w:rPr>
          <w:rFonts w:ascii="Calibri" w:hAnsi="Calibri" w:cs="Calibri"/>
        </w:rPr>
        <w:t>/rok a </w:t>
      </w:r>
      <w:r w:rsidRPr="00945D53">
        <w:rPr>
          <w:rFonts w:ascii="Calibri" w:hAnsi="Calibri" w:cs="Calibri"/>
        </w:rPr>
        <w:t>modernizovaný tank jen průměrně 121 km</w:t>
      </w:r>
      <w:r w:rsidR="009D02A9" w:rsidRPr="00945D53">
        <w:rPr>
          <w:rFonts w:ascii="Calibri" w:hAnsi="Calibri" w:cs="Calibri"/>
        </w:rPr>
        <w:t>/rok</w:t>
      </w:r>
      <w:r w:rsidRPr="00945D53">
        <w:rPr>
          <w:rFonts w:ascii="Calibri" w:hAnsi="Calibri" w:cs="Calibri"/>
        </w:rPr>
        <w:t xml:space="preserve">. </w:t>
      </w:r>
      <w:r w:rsidR="00E051EA" w:rsidRPr="00945D53">
        <w:rPr>
          <w:rFonts w:ascii="Calibri" w:hAnsi="Calibri" w:cs="Calibri"/>
        </w:rPr>
        <w:t>Technická údržba prvního stupně tak byla prováděna u KBVP a KOT po ujetí průměrně pouze 24 % z požadované normy kilometrů</w:t>
      </w:r>
      <w:r w:rsidR="00E80580" w:rsidRPr="00945D53">
        <w:rPr>
          <w:rFonts w:ascii="Calibri" w:hAnsi="Calibri" w:cs="Calibri"/>
        </w:rPr>
        <w:t xml:space="preserve"> a u tanků dokonce jen 12 % z požadované normy kilometrů.</w:t>
      </w:r>
      <w:r w:rsidR="00E051EA" w:rsidRPr="00945D53">
        <w:rPr>
          <w:rFonts w:ascii="Calibri" w:hAnsi="Calibri" w:cs="Calibri"/>
        </w:rPr>
        <w:t xml:space="preserve"> </w:t>
      </w:r>
    </w:p>
    <w:p w14:paraId="545C8B6C" w14:textId="73684E51" w:rsidR="00D1394E" w:rsidRPr="00945D53" w:rsidRDefault="00D1394E" w:rsidP="00945D53">
      <w:pPr>
        <w:tabs>
          <w:tab w:val="left" w:pos="426"/>
        </w:tabs>
        <w:jc w:val="both"/>
        <w:rPr>
          <w:rFonts w:ascii="Calibri" w:hAnsi="Calibri" w:cs="Calibri"/>
        </w:rPr>
      </w:pPr>
    </w:p>
    <w:p w14:paraId="7931741A" w14:textId="6D3E56B6" w:rsidR="008B7C3E" w:rsidRPr="00945D53" w:rsidRDefault="008B7C3E" w:rsidP="00F22755">
      <w:pPr>
        <w:pStyle w:val="Odstavecseseznamem"/>
        <w:keepNext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 xml:space="preserve">Nedostatečná kapacita </w:t>
      </w:r>
      <w:r w:rsidR="00D32991" w:rsidRPr="00945D53">
        <w:rPr>
          <w:rFonts w:ascii="Calibri" w:hAnsi="Calibri" w:cs="Calibri"/>
          <w:b/>
        </w:rPr>
        <w:t xml:space="preserve">pro </w:t>
      </w:r>
      <w:r w:rsidR="0015242F" w:rsidRPr="00945D53">
        <w:rPr>
          <w:rFonts w:ascii="Calibri" w:hAnsi="Calibri" w:cs="Calibri"/>
          <w:b/>
        </w:rPr>
        <w:t xml:space="preserve">zabezpečení </w:t>
      </w:r>
      <w:r w:rsidRPr="00945D53">
        <w:rPr>
          <w:rFonts w:ascii="Calibri" w:hAnsi="Calibri" w:cs="Calibri"/>
          <w:b/>
        </w:rPr>
        <w:t>vojskových oprav</w:t>
      </w:r>
    </w:p>
    <w:p w14:paraId="53081283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44C3A353" w14:textId="04F62DAD" w:rsidR="00094183" w:rsidRPr="00945D53" w:rsidRDefault="00094183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  <w:highlight w:val="yellow"/>
        </w:rPr>
      </w:pPr>
      <w:r w:rsidRPr="00945D53">
        <w:rPr>
          <w:rFonts w:ascii="Calibri" w:hAnsi="Calibri" w:cs="Calibri"/>
        </w:rPr>
        <w:t>Armáda nedisponuje dostatečnými dílenskými, technickými a personálními kapacitami k zabezpečení ani základních úkolů údržby</w:t>
      </w:r>
      <w:r w:rsidR="0015242F" w:rsidRPr="00945D53">
        <w:rPr>
          <w:rFonts w:ascii="Calibri" w:hAnsi="Calibri" w:cs="Calibri"/>
        </w:rPr>
        <w:t xml:space="preserve"> a oprav</w:t>
      </w:r>
      <w:r w:rsidRPr="00945D53">
        <w:rPr>
          <w:rFonts w:ascii="Calibri" w:hAnsi="Calibri" w:cs="Calibri"/>
        </w:rPr>
        <w:t xml:space="preserve"> obrněné techniky. </w:t>
      </w:r>
      <w:r w:rsidR="0015242F" w:rsidRPr="00945D53">
        <w:rPr>
          <w:rFonts w:ascii="Calibri" w:hAnsi="Calibri" w:cs="Calibri"/>
        </w:rPr>
        <w:t>S</w:t>
      </w:r>
      <w:r w:rsidR="00EF5508" w:rsidRPr="00945D53">
        <w:rPr>
          <w:rFonts w:ascii="Calibri" w:hAnsi="Calibri" w:cs="Calibri"/>
        </w:rPr>
        <w:t>oučasný</w:t>
      </w:r>
      <w:r w:rsidR="0015242F" w:rsidRPr="00945D53">
        <w:rPr>
          <w:rFonts w:ascii="Calibri" w:hAnsi="Calibri" w:cs="Calibri"/>
        </w:rPr>
        <w:t xml:space="preserve"> </w:t>
      </w:r>
      <w:r w:rsidR="00A93B59" w:rsidRPr="00945D53">
        <w:rPr>
          <w:rFonts w:ascii="Calibri" w:hAnsi="Calibri" w:cs="Calibri"/>
        </w:rPr>
        <w:t>způsob za</w:t>
      </w:r>
      <w:r w:rsidR="00B82FFE" w:rsidRPr="00945D53">
        <w:rPr>
          <w:rFonts w:ascii="Calibri" w:hAnsi="Calibri" w:cs="Calibri"/>
        </w:rPr>
        <w:t xml:space="preserve">bezpečení </w:t>
      </w:r>
      <w:r w:rsidR="00787F5F" w:rsidRPr="00945D53">
        <w:rPr>
          <w:rFonts w:ascii="Calibri" w:hAnsi="Calibri" w:cs="Calibri"/>
        </w:rPr>
        <w:t xml:space="preserve">obrněné techniky </w:t>
      </w:r>
      <w:r w:rsidR="0015242F" w:rsidRPr="00945D53">
        <w:rPr>
          <w:rFonts w:ascii="Calibri" w:hAnsi="Calibri" w:cs="Calibri"/>
        </w:rPr>
        <w:t xml:space="preserve">je charakterizován </w:t>
      </w:r>
      <w:r w:rsidR="000A421F" w:rsidRPr="00945D53">
        <w:rPr>
          <w:rFonts w:ascii="Calibri" w:hAnsi="Calibri" w:cs="Calibri"/>
        </w:rPr>
        <w:t>vyšší</w:t>
      </w:r>
      <w:r w:rsidR="0015242F" w:rsidRPr="00945D53">
        <w:rPr>
          <w:rFonts w:ascii="Calibri" w:hAnsi="Calibri" w:cs="Calibri"/>
        </w:rPr>
        <w:t>m</w:t>
      </w:r>
      <w:r w:rsidR="000A421F" w:rsidRPr="00945D53">
        <w:rPr>
          <w:rFonts w:ascii="Calibri" w:hAnsi="Calibri" w:cs="Calibri"/>
        </w:rPr>
        <w:t xml:space="preserve"> podíl</w:t>
      </w:r>
      <w:r w:rsidR="0015242F" w:rsidRPr="00945D53">
        <w:rPr>
          <w:rFonts w:ascii="Calibri" w:hAnsi="Calibri" w:cs="Calibri"/>
        </w:rPr>
        <w:t>em</w:t>
      </w:r>
      <w:r w:rsidR="000A421F" w:rsidRPr="00945D53">
        <w:rPr>
          <w:rFonts w:ascii="Calibri" w:hAnsi="Calibri" w:cs="Calibri"/>
        </w:rPr>
        <w:t xml:space="preserve"> mimo</w:t>
      </w:r>
      <w:r w:rsidR="000E616F" w:rsidRPr="00945D53">
        <w:rPr>
          <w:rFonts w:ascii="Calibri" w:hAnsi="Calibri" w:cs="Calibri"/>
        </w:rPr>
        <w:t>-</w:t>
      </w:r>
      <w:r w:rsidR="000A421F" w:rsidRPr="00945D53">
        <w:rPr>
          <w:rFonts w:ascii="Calibri" w:hAnsi="Calibri" w:cs="Calibri"/>
        </w:rPr>
        <w:t>vojskových oprav</w:t>
      </w:r>
      <w:r w:rsidR="00787F5F" w:rsidRPr="00945D53">
        <w:rPr>
          <w:rFonts w:ascii="Calibri" w:hAnsi="Calibri" w:cs="Calibri"/>
        </w:rPr>
        <w:t>,</w:t>
      </w:r>
      <w:r w:rsidR="000E616F" w:rsidRPr="00945D53">
        <w:rPr>
          <w:rFonts w:ascii="Calibri" w:hAnsi="Calibri" w:cs="Calibri"/>
        </w:rPr>
        <w:t xml:space="preserve"> často </w:t>
      </w:r>
      <w:r w:rsidR="0015242F" w:rsidRPr="00945D53">
        <w:rPr>
          <w:rFonts w:ascii="Calibri" w:hAnsi="Calibri" w:cs="Calibri"/>
        </w:rPr>
        <w:t>zadávaných</w:t>
      </w:r>
      <w:r w:rsidR="00D33D51" w:rsidRPr="00945D53">
        <w:rPr>
          <w:rFonts w:ascii="Calibri" w:hAnsi="Calibri" w:cs="Calibri"/>
        </w:rPr>
        <w:t xml:space="preserve"> </w:t>
      </w:r>
      <w:r w:rsidR="00431FB1" w:rsidRPr="00945D53">
        <w:rPr>
          <w:rFonts w:ascii="Calibri" w:hAnsi="Calibri" w:cs="Calibri"/>
        </w:rPr>
        <w:t xml:space="preserve">dodavatelům </w:t>
      </w:r>
      <w:r w:rsidR="000E616F" w:rsidRPr="00945D53">
        <w:rPr>
          <w:rFonts w:ascii="Calibri" w:hAnsi="Calibri" w:cs="Calibri"/>
        </w:rPr>
        <w:t>v jednacím řízení bez uveřejnění</w:t>
      </w:r>
      <w:r w:rsidR="0015242F" w:rsidRPr="00945D53">
        <w:rPr>
          <w:rFonts w:ascii="Calibri" w:hAnsi="Calibri" w:cs="Calibri"/>
        </w:rPr>
        <w:t xml:space="preserve">, </w:t>
      </w:r>
      <w:r w:rsidR="00D32991" w:rsidRPr="00945D53">
        <w:rPr>
          <w:rFonts w:ascii="Calibri" w:hAnsi="Calibri" w:cs="Calibri"/>
        </w:rPr>
        <w:t xml:space="preserve">což </w:t>
      </w:r>
      <w:r w:rsidR="000E616F" w:rsidRPr="00945D53">
        <w:rPr>
          <w:rFonts w:ascii="Calibri" w:hAnsi="Calibri" w:cs="Calibri"/>
        </w:rPr>
        <w:t>v</w:t>
      </w:r>
      <w:r w:rsidR="00D32991" w:rsidRPr="00945D53">
        <w:rPr>
          <w:rFonts w:ascii="Calibri" w:hAnsi="Calibri" w:cs="Calibri"/>
        </w:rPr>
        <w:t>ede k </w:t>
      </w:r>
      <w:r w:rsidR="0015242F" w:rsidRPr="00945D53">
        <w:rPr>
          <w:rFonts w:ascii="Calibri" w:hAnsi="Calibri" w:cs="Calibri"/>
        </w:rPr>
        <w:t>vyšším výdaj</w:t>
      </w:r>
      <w:r w:rsidR="00D32991" w:rsidRPr="00945D53">
        <w:rPr>
          <w:rFonts w:ascii="Calibri" w:hAnsi="Calibri" w:cs="Calibri"/>
        </w:rPr>
        <w:t>ům</w:t>
      </w:r>
      <w:r w:rsidR="0015242F" w:rsidRPr="00945D53">
        <w:rPr>
          <w:rFonts w:ascii="Calibri" w:hAnsi="Calibri" w:cs="Calibri"/>
        </w:rPr>
        <w:t>.</w:t>
      </w:r>
      <w:r w:rsidR="000A421F" w:rsidRPr="00945D53">
        <w:rPr>
          <w:rFonts w:ascii="Calibri" w:hAnsi="Calibri" w:cs="Calibri"/>
        </w:rPr>
        <w:t xml:space="preserve"> </w:t>
      </w:r>
      <w:r w:rsidR="00B82FFE" w:rsidRPr="00945D53">
        <w:rPr>
          <w:rFonts w:ascii="Calibri" w:hAnsi="Calibri" w:cs="Calibri"/>
        </w:rPr>
        <w:t xml:space="preserve">Naproti tomu vojskový způsob údržby a oprav </w:t>
      </w:r>
      <w:r w:rsidR="00D07DB2" w:rsidRPr="00945D53">
        <w:rPr>
          <w:rFonts w:ascii="Calibri" w:hAnsi="Calibri" w:cs="Calibri"/>
        </w:rPr>
        <w:t>snižuje</w:t>
      </w:r>
      <w:r w:rsidR="00B82FFE" w:rsidRPr="00945D53">
        <w:rPr>
          <w:rFonts w:ascii="Calibri" w:hAnsi="Calibri" w:cs="Calibri"/>
        </w:rPr>
        <w:t xml:space="preserve"> někter</w:t>
      </w:r>
      <w:r w:rsidR="00875C53" w:rsidRPr="00945D53">
        <w:rPr>
          <w:rFonts w:ascii="Calibri" w:hAnsi="Calibri" w:cs="Calibri"/>
        </w:rPr>
        <w:t>é náklady</w:t>
      </w:r>
      <w:r w:rsidR="00B82FFE" w:rsidRPr="00945D53">
        <w:rPr>
          <w:rFonts w:ascii="Calibri" w:hAnsi="Calibri" w:cs="Calibri"/>
        </w:rPr>
        <w:t>, například na administrativu nebo doprav</w:t>
      </w:r>
      <w:r w:rsidR="00787F5F" w:rsidRPr="00945D53">
        <w:rPr>
          <w:rFonts w:ascii="Calibri" w:hAnsi="Calibri" w:cs="Calibri"/>
        </w:rPr>
        <w:t>né</w:t>
      </w:r>
      <w:r w:rsidR="00B82FFE" w:rsidRPr="00945D53">
        <w:rPr>
          <w:rFonts w:ascii="Calibri" w:hAnsi="Calibri" w:cs="Calibri"/>
        </w:rPr>
        <w:t xml:space="preserve">. </w:t>
      </w:r>
    </w:p>
    <w:p w14:paraId="5AA74CFB" w14:textId="0E869875" w:rsidR="00C75274" w:rsidRPr="00945D53" w:rsidRDefault="00C75274" w:rsidP="00945D53">
      <w:pPr>
        <w:tabs>
          <w:tab w:val="left" w:pos="426"/>
        </w:tabs>
        <w:rPr>
          <w:rFonts w:ascii="Calibri" w:hAnsi="Calibri" w:cs="Calibri"/>
        </w:rPr>
      </w:pPr>
    </w:p>
    <w:p w14:paraId="6932146B" w14:textId="00D41637" w:rsidR="00E23F04" w:rsidRPr="00945D53" w:rsidRDefault="007B5EB8" w:rsidP="00F22755">
      <w:pPr>
        <w:pStyle w:val="Odstavecseseznamem"/>
        <w:keepNext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Calibri" w:hAnsi="Calibri" w:cs="Calibri"/>
          <w:b/>
        </w:rPr>
      </w:pPr>
      <w:r w:rsidRPr="00945D53">
        <w:rPr>
          <w:rFonts w:ascii="Calibri" w:hAnsi="Calibri" w:cs="Calibri"/>
          <w:b/>
        </w:rPr>
        <w:t>N</w:t>
      </w:r>
      <w:r w:rsidR="00D65722" w:rsidRPr="00945D53">
        <w:rPr>
          <w:rFonts w:ascii="Calibri" w:hAnsi="Calibri" w:cs="Calibri"/>
          <w:b/>
        </w:rPr>
        <w:t>árůst</w:t>
      </w:r>
      <w:r w:rsidRPr="00945D53">
        <w:rPr>
          <w:rFonts w:ascii="Calibri" w:hAnsi="Calibri" w:cs="Calibri"/>
          <w:b/>
        </w:rPr>
        <w:t xml:space="preserve"> prostředků na </w:t>
      </w:r>
      <w:r w:rsidR="00262C94" w:rsidRPr="00945D53">
        <w:rPr>
          <w:rFonts w:ascii="Calibri" w:hAnsi="Calibri" w:cs="Calibri"/>
          <w:b/>
        </w:rPr>
        <w:t>servisní podpor</w:t>
      </w:r>
      <w:r w:rsidRPr="00945D53">
        <w:rPr>
          <w:rFonts w:ascii="Calibri" w:hAnsi="Calibri" w:cs="Calibri"/>
          <w:b/>
        </w:rPr>
        <w:t>u</w:t>
      </w:r>
      <w:r w:rsidR="00262C94" w:rsidRPr="00945D53">
        <w:rPr>
          <w:rFonts w:ascii="Calibri" w:hAnsi="Calibri" w:cs="Calibri"/>
          <w:b/>
        </w:rPr>
        <w:t xml:space="preserve"> KBVP a KOT</w:t>
      </w:r>
    </w:p>
    <w:p w14:paraId="39061820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</w:rPr>
      </w:pPr>
    </w:p>
    <w:p w14:paraId="27437037" w14:textId="7FEE71E9" w:rsidR="005C2C13" w:rsidRPr="00945D53" w:rsidRDefault="0050517B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</w:rPr>
        <w:t xml:space="preserve">MO uzavřelo </w:t>
      </w:r>
      <w:r w:rsidR="004A5291" w:rsidRPr="00945D53">
        <w:rPr>
          <w:rFonts w:ascii="Calibri" w:hAnsi="Calibri" w:cs="Calibri"/>
        </w:rPr>
        <w:t xml:space="preserve">rámcovou </w:t>
      </w:r>
      <w:r w:rsidR="00090F60" w:rsidRPr="00945D53">
        <w:rPr>
          <w:rFonts w:ascii="Calibri" w:hAnsi="Calibri" w:cs="Calibri"/>
        </w:rPr>
        <w:t>dohodu</w:t>
      </w:r>
      <w:r w:rsidR="004A5291" w:rsidRPr="00945D53">
        <w:rPr>
          <w:rFonts w:ascii="Calibri" w:hAnsi="Calibri" w:cs="Calibri"/>
        </w:rPr>
        <w:t xml:space="preserve"> n</w:t>
      </w:r>
      <w:r w:rsidR="00BC4DDA" w:rsidRPr="00945D53">
        <w:rPr>
          <w:rFonts w:ascii="Calibri" w:hAnsi="Calibri" w:cs="Calibri"/>
        </w:rPr>
        <w:t>a servis KBVP a KOT</w:t>
      </w:r>
      <w:r w:rsidR="00134AA8" w:rsidRPr="00945D53">
        <w:rPr>
          <w:rFonts w:ascii="Calibri" w:hAnsi="Calibri" w:cs="Calibri"/>
        </w:rPr>
        <w:t xml:space="preserve"> na roky 2017–2019 </w:t>
      </w:r>
      <w:r w:rsidR="00BC4DDA" w:rsidRPr="00945D53">
        <w:rPr>
          <w:rFonts w:ascii="Calibri" w:hAnsi="Calibri" w:cs="Calibri"/>
        </w:rPr>
        <w:t>s</w:t>
      </w:r>
      <w:r w:rsidR="00003DFF">
        <w:rPr>
          <w:rFonts w:ascii="Calibri" w:hAnsi="Calibri" w:cs="Calibri"/>
        </w:rPr>
        <w:t> dohodnutou</w:t>
      </w:r>
      <w:r w:rsidR="00BC4DDA" w:rsidRPr="00945D53">
        <w:rPr>
          <w:rFonts w:ascii="Calibri" w:hAnsi="Calibri" w:cs="Calibri"/>
        </w:rPr>
        <w:t xml:space="preserve"> </w:t>
      </w:r>
      <w:r w:rsidR="00003DFF">
        <w:rPr>
          <w:rFonts w:ascii="Calibri" w:hAnsi="Calibri" w:cs="Calibri"/>
        </w:rPr>
        <w:t>částkou</w:t>
      </w:r>
      <w:r w:rsidR="00BC4DDA" w:rsidRPr="00945D53">
        <w:rPr>
          <w:rFonts w:ascii="Calibri" w:hAnsi="Calibri" w:cs="Calibri"/>
        </w:rPr>
        <w:t xml:space="preserve"> </w:t>
      </w:r>
      <w:r w:rsidR="00134AA8" w:rsidRPr="00945D53">
        <w:rPr>
          <w:rFonts w:ascii="Calibri" w:hAnsi="Calibri" w:cs="Calibri"/>
        </w:rPr>
        <w:t>ve výši 1 089 mil. Kč</w:t>
      </w:r>
      <w:r w:rsidR="004A5291" w:rsidRPr="00945D53">
        <w:rPr>
          <w:rFonts w:ascii="Calibri" w:hAnsi="Calibri" w:cs="Calibri"/>
        </w:rPr>
        <w:t>. Oproti</w:t>
      </w:r>
      <w:r w:rsidR="00BC4DDA" w:rsidRPr="00945D53">
        <w:rPr>
          <w:rFonts w:ascii="Calibri" w:hAnsi="Calibri" w:cs="Calibri"/>
        </w:rPr>
        <w:t xml:space="preserve"> předchozí smlouvě na roky 2014–2016</w:t>
      </w:r>
      <w:r w:rsidR="00802BE3" w:rsidRPr="00945D53">
        <w:rPr>
          <w:rFonts w:ascii="Calibri" w:hAnsi="Calibri" w:cs="Calibri"/>
        </w:rPr>
        <w:t>, kdy servis zajišťoval dodavatel vozidel</w:t>
      </w:r>
      <w:r w:rsidR="008F6AF6" w:rsidRPr="00945D53">
        <w:rPr>
          <w:rFonts w:ascii="Calibri" w:hAnsi="Calibri" w:cs="Calibri"/>
        </w:rPr>
        <w:t xml:space="preserve">, došlo k nárůstu </w:t>
      </w:r>
      <w:r w:rsidR="009977B8">
        <w:rPr>
          <w:rFonts w:ascii="Calibri" w:hAnsi="Calibri" w:cs="Calibri"/>
        </w:rPr>
        <w:t>částk</w:t>
      </w:r>
      <w:r w:rsidR="001E5727">
        <w:rPr>
          <w:rFonts w:ascii="Calibri" w:hAnsi="Calibri" w:cs="Calibri"/>
        </w:rPr>
        <w:t>y</w:t>
      </w:r>
      <w:r w:rsidR="008F6AF6" w:rsidRPr="00945D53">
        <w:rPr>
          <w:rFonts w:ascii="Calibri" w:hAnsi="Calibri" w:cs="Calibri"/>
        </w:rPr>
        <w:t xml:space="preserve"> o 795 mil. Kč</w:t>
      </w:r>
      <w:r w:rsidR="00134AA8" w:rsidRPr="00945D53">
        <w:rPr>
          <w:rFonts w:ascii="Calibri" w:hAnsi="Calibri" w:cs="Calibri"/>
        </w:rPr>
        <w:t>.</w:t>
      </w:r>
      <w:r w:rsidR="00802BE3" w:rsidRPr="00945D53">
        <w:rPr>
          <w:rFonts w:ascii="Calibri" w:hAnsi="Calibri" w:cs="Calibri"/>
        </w:rPr>
        <w:t xml:space="preserve"> </w:t>
      </w:r>
      <w:r w:rsidR="00187089" w:rsidRPr="00945D53">
        <w:rPr>
          <w:rFonts w:ascii="Calibri" w:hAnsi="Calibri" w:cs="Calibri"/>
        </w:rPr>
        <w:t>MO přitom původně počítalo s </w:t>
      </w:r>
      <w:r w:rsidR="009977B8">
        <w:rPr>
          <w:rFonts w:ascii="Calibri" w:hAnsi="Calibri" w:cs="Calibri"/>
        </w:rPr>
        <w:t>cenou</w:t>
      </w:r>
      <w:r w:rsidR="00187089" w:rsidRPr="00945D53">
        <w:rPr>
          <w:rFonts w:ascii="Calibri" w:hAnsi="Calibri" w:cs="Calibri"/>
        </w:rPr>
        <w:t xml:space="preserve"> </w:t>
      </w:r>
      <w:r w:rsidR="009977B8">
        <w:rPr>
          <w:rFonts w:ascii="Calibri" w:hAnsi="Calibri" w:cs="Calibri"/>
        </w:rPr>
        <w:t>u </w:t>
      </w:r>
      <w:r w:rsidR="00187089" w:rsidRPr="00945D53">
        <w:rPr>
          <w:rFonts w:ascii="Calibri" w:hAnsi="Calibri" w:cs="Calibri"/>
        </w:rPr>
        <w:t xml:space="preserve">rámcové dohody na úrovni předchozího období. </w:t>
      </w:r>
      <w:r w:rsidR="00DC2F1F" w:rsidRPr="00945D53">
        <w:rPr>
          <w:rFonts w:ascii="Calibri" w:hAnsi="Calibri" w:cs="Calibri"/>
        </w:rPr>
        <w:t xml:space="preserve">Přes </w:t>
      </w:r>
      <w:r w:rsidR="00090F60" w:rsidRPr="00945D53">
        <w:rPr>
          <w:rFonts w:ascii="Calibri" w:hAnsi="Calibri" w:cs="Calibri"/>
        </w:rPr>
        <w:t xml:space="preserve">uvedené </w:t>
      </w:r>
      <w:r w:rsidR="00DC2F1F" w:rsidRPr="00945D53">
        <w:rPr>
          <w:rFonts w:ascii="Calibri" w:hAnsi="Calibri" w:cs="Calibri"/>
        </w:rPr>
        <w:t xml:space="preserve">navýšení </w:t>
      </w:r>
      <w:r w:rsidR="009977B8">
        <w:rPr>
          <w:rFonts w:ascii="Calibri" w:hAnsi="Calibri" w:cs="Calibri"/>
        </w:rPr>
        <w:t>ceny</w:t>
      </w:r>
      <w:r w:rsidR="00DC2F1F" w:rsidRPr="00945D53">
        <w:rPr>
          <w:rFonts w:ascii="Calibri" w:hAnsi="Calibri" w:cs="Calibri"/>
        </w:rPr>
        <w:t xml:space="preserve"> nedošlo </w:t>
      </w:r>
      <w:r w:rsidR="005B6A04" w:rsidRPr="00945D53">
        <w:rPr>
          <w:rFonts w:ascii="Calibri" w:hAnsi="Calibri" w:cs="Calibri"/>
        </w:rPr>
        <w:t xml:space="preserve">v kontrolovaném období </w:t>
      </w:r>
      <w:r w:rsidR="00DC2F1F" w:rsidRPr="00945D53">
        <w:rPr>
          <w:rFonts w:ascii="Calibri" w:hAnsi="Calibri" w:cs="Calibri"/>
        </w:rPr>
        <w:t xml:space="preserve">ke zlepšení provozuschopnosti vozidel a přetrvávaly problémy s dodávkami náhradních dílů i zabezpečením oprav. </w:t>
      </w:r>
      <w:r w:rsidR="00090F60" w:rsidRPr="00945D53">
        <w:rPr>
          <w:rFonts w:ascii="Calibri" w:hAnsi="Calibri" w:cs="Calibri"/>
        </w:rPr>
        <w:t>Dohodu</w:t>
      </w:r>
      <w:r w:rsidR="00187089" w:rsidRPr="00945D53">
        <w:rPr>
          <w:rFonts w:ascii="Calibri" w:hAnsi="Calibri" w:cs="Calibri"/>
        </w:rPr>
        <w:t xml:space="preserve"> uzavřelo MO s využitím </w:t>
      </w:r>
      <w:r w:rsidR="00431FB1" w:rsidRPr="00945D53">
        <w:rPr>
          <w:rFonts w:ascii="Calibri" w:hAnsi="Calibri" w:cs="Calibri"/>
        </w:rPr>
        <w:t xml:space="preserve">jednacího řízení bez uveřejnění podle </w:t>
      </w:r>
      <w:r w:rsidR="00187089" w:rsidRPr="00945D53">
        <w:rPr>
          <w:rFonts w:ascii="Calibri" w:hAnsi="Calibri" w:cs="Calibri"/>
        </w:rPr>
        <w:t>zákona</w:t>
      </w:r>
      <w:r w:rsidR="00090F60" w:rsidRPr="00945D53">
        <w:rPr>
          <w:rFonts w:ascii="Calibri" w:hAnsi="Calibri" w:cs="Calibri"/>
        </w:rPr>
        <w:t xml:space="preserve"> č. 134/2016 Sb. a </w:t>
      </w:r>
      <w:r w:rsidR="00DC2F1F" w:rsidRPr="00945D53">
        <w:rPr>
          <w:rFonts w:ascii="Calibri" w:hAnsi="Calibri" w:cs="Calibri"/>
        </w:rPr>
        <w:t>ceny prací a </w:t>
      </w:r>
      <w:r w:rsidR="00187089" w:rsidRPr="00945D53">
        <w:rPr>
          <w:rFonts w:ascii="Calibri" w:hAnsi="Calibri" w:cs="Calibri"/>
        </w:rPr>
        <w:t xml:space="preserve">dodávek v místě a </w:t>
      </w:r>
      <w:r w:rsidR="00D07DB2" w:rsidRPr="00945D53">
        <w:rPr>
          <w:rFonts w:ascii="Calibri" w:hAnsi="Calibri" w:cs="Calibri"/>
        </w:rPr>
        <w:t>čase obvyklé doložilo znaleckým</w:t>
      </w:r>
      <w:r w:rsidR="00187089" w:rsidRPr="00945D53">
        <w:rPr>
          <w:rFonts w:ascii="Calibri" w:hAnsi="Calibri" w:cs="Calibri"/>
        </w:rPr>
        <w:t xml:space="preserve"> posudk</w:t>
      </w:r>
      <w:r w:rsidR="00D07DB2" w:rsidRPr="00945D53">
        <w:rPr>
          <w:rFonts w:ascii="Calibri" w:hAnsi="Calibri" w:cs="Calibri"/>
        </w:rPr>
        <w:t>em</w:t>
      </w:r>
      <w:r w:rsidR="00187089" w:rsidRPr="00945D53">
        <w:rPr>
          <w:rFonts w:ascii="Calibri" w:hAnsi="Calibri" w:cs="Calibri"/>
        </w:rPr>
        <w:t xml:space="preserve">. </w:t>
      </w:r>
      <w:r w:rsidR="00802BE3" w:rsidRPr="00945D53">
        <w:rPr>
          <w:rFonts w:ascii="Calibri" w:hAnsi="Calibri" w:cs="Calibri"/>
        </w:rPr>
        <w:t>Novým d</w:t>
      </w:r>
      <w:r w:rsidR="00134AA8" w:rsidRPr="00945D53">
        <w:rPr>
          <w:rFonts w:ascii="Calibri" w:hAnsi="Calibri" w:cs="Calibri"/>
        </w:rPr>
        <w:t xml:space="preserve">odavatelem </w:t>
      </w:r>
      <w:r w:rsidR="00D07DB2" w:rsidRPr="00945D53">
        <w:rPr>
          <w:rFonts w:ascii="Calibri" w:hAnsi="Calibri" w:cs="Calibri"/>
        </w:rPr>
        <w:t xml:space="preserve">servisu </w:t>
      </w:r>
      <w:r w:rsidR="00134AA8" w:rsidRPr="00945D53">
        <w:rPr>
          <w:rFonts w:ascii="Calibri" w:hAnsi="Calibri" w:cs="Calibri"/>
        </w:rPr>
        <w:t>se stala společnost, kter</w:t>
      </w:r>
      <w:r w:rsidR="00802BE3" w:rsidRPr="00945D53">
        <w:rPr>
          <w:rFonts w:ascii="Calibri" w:hAnsi="Calibri" w:cs="Calibri"/>
        </w:rPr>
        <w:t>á získala</w:t>
      </w:r>
      <w:r w:rsidR="00187089" w:rsidRPr="00945D53">
        <w:rPr>
          <w:rFonts w:ascii="Calibri" w:hAnsi="Calibri" w:cs="Calibri"/>
        </w:rPr>
        <w:t xml:space="preserve"> od dodavatele vozidel</w:t>
      </w:r>
      <w:r w:rsidR="00802BE3" w:rsidRPr="00945D53">
        <w:rPr>
          <w:rFonts w:ascii="Calibri" w:hAnsi="Calibri" w:cs="Calibri"/>
        </w:rPr>
        <w:t xml:space="preserve"> licenci</w:t>
      </w:r>
      <w:r w:rsidR="00187089" w:rsidRPr="00945D53">
        <w:rPr>
          <w:rFonts w:ascii="Calibri" w:hAnsi="Calibri" w:cs="Calibri"/>
        </w:rPr>
        <w:t xml:space="preserve"> na </w:t>
      </w:r>
      <w:r w:rsidR="00492E33" w:rsidRPr="00945D53">
        <w:rPr>
          <w:rFonts w:ascii="Calibri" w:hAnsi="Calibri" w:cs="Calibri"/>
        </w:rPr>
        <w:t xml:space="preserve">provádění </w:t>
      </w:r>
      <w:r w:rsidR="00187089" w:rsidRPr="00945D53">
        <w:rPr>
          <w:rFonts w:ascii="Calibri" w:hAnsi="Calibri" w:cs="Calibri"/>
        </w:rPr>
        <w:t>servis</w:t>
      </w:r>
      <w:r w:rsidR="00FF385D" w:rsidRPr="00945D53">
        <w:rPr>
          <w:rFonts w:ascii="Calibri" w:hAnsi="Calibri" w:cs="Calibri"/>
        </w:rPr>
        <w:t>ní podpor</w:t>
      </w:r>
      <w:r w:rsidR="00492E33" w:rsidRPr="00945D53">
        <w:rPr>
          <w:rFonts w:ascii="Calibri" w:hAnsi="Calibri" w:cs="Calibri"/>
        </w:rPr>
        <w:t>y</w:t>
      </w:r>
      <w:r w:rsidR="0095493F" w:rsidRPr="00945D53">
        <w:rPr>
          <w:rFonts w:ascii="Calibri" w:hAnsi="Calibri" w:cs="Calibri"/>
        </w:rPr>
        <w:t>, výroby a prodeje</w:t>
      </w:r>
      <w:r w:rsidR="004A27D4" w:rsidRPr="00945D53">
        <w:rPr>
          <w:rFonts w:ascii="Calibri" w:hAnsi="Calibri" w:cs="Calibri"/>
        </w:rPr>
        <w:t xml:space="preserve"> vozidel </w:t>
      </w:r>
      <w:r w:rsidR="0095493F" w:rsidRPr="00945D53">
        <w:rPr>
          <w:rFonts w:ascii="Calibri" w:hAnsi="Calibri" w:cs="Calibri"/>
        </w:rPr>
        <w:t>pro ČR</w:t>
      </w:r>
      <w:r w:rsidR="00187089" w:rsidRPr="00945D53">
        <w:rPr>
          <w:rFonts w:ascii="Calibri" w:hAnsi="Calibri" w:cs="Calibri"/>
        </w:rPr>
        <w:t>.</w:t>
      </w:r>
      <w:r w:rsidR="0095493F" w:rsidRPr="00945D53">
        <w:rPr>
          <w:rFonts w:ascii="Calibri" w:hAnsi="Calibri" w:cs="Calibri"/>
        </w:rPr>
        <w:t xml:space="preserve"> </w:t>
      </w:r>
      <w:r w:rsidR="00187089" w:rsidRPr="00945D53">
        <w:rPr>
          <w:rFonts w:ascii="Calibri" w:hAnsi="Calibri" w:cs="Calibri"/>
        </w:rPr>
        <w:t>Tato</w:t>
      </w:r>
      <w:r w:rsidR="0095493F" w:rsidRPr="00945D53">
        <w:rPr>
          <w:rFonts w:ascii="Calibri" w:hAnsi="Calibri" w:cs="Calibri"/>
        </w:rPr>
        <w:t xml:space="preserve"> </w:t>
      </w:r>
      <w:r w:rsidR="00187089" w:rsidRPr="00945D53">
        <w:rPr>
          <w:rFonts w:ascii="Calibri" w:hAnsi="Calibri" w:cs="Calibri"/>
        </w:rPr>
        <w:t xml:space="preserve">společnost </w:t>
      </w:r>
      <w:r w:rsidR="00F42C18" w:rsidRPr="00945D53">
        <w:rPr>
          <w:rFonts w:ascii="Calibri" w:hAnsi="Calibri" w:cs="Calibri"/>
        </w:rPr>
        <w:t>začala MO fakturovat</w:t>
      </w:r>
      <w:r w:rsidR="00187089" w:rsidRPr="00945D53">
        <w:rPr>
          <w:rFonts w:ascii="Calibri" w:hAnsi="Calibri" w:cs="Calibri"/>
        </w:rPr>
        <w:t xml:space="preserve"> </w:t>
      </w:r>
      <w:r w:rsidR="0095493F" w:rsidRPr="00945D53">
        <w:rPr>
          <w:rFonts w:ascii="Calibri" w:hAnsi="Calibri" w:cs="Calibri"/>
        </w:rPr>
        <w:t>licenční a </w:t>
      </w:r>
      <w:r w:rsidR="00187089" w:rsidRPr="00945D53">
        <w:rPr>
          <w:rFonts w:ascii="Calibri" w:hAnsi="Calibri" w:cs="Calibri"/>
        </w:rPr>
        <w:t xml:space="preserve">administrativní </w:t>
      </w:r>
      <w:r w:rsidR="00B87481" w:rsidRPr="00945D53">
        <w:rPr>
          <w:rFonts w:ascii="Calibri" w:hAnsi="Calibri" w:cs="Calibri"/>
        </w:rPr>
        <w:t>náklady</w:t>
      </w:r>
      <w:r w:rsidR="00187089" w:rsidRPr="00945D53">
        <w:rPr>
          <w:rFonts w:ascii="Calibri" w:hAnsi="Calibri" w:cs="Calibri"/>
        </w:rPr>
        <w:t xml:space="preserve"> </w:t>
      </w:r>
      <w:r w:rsidR="00492E33" w:rsidRPr="00945D53">
        <w:rPr>
          <w:rFonts w:ascii="Calibri" w:hAnsi="Calibri" w:cs="Calibri"/>
        </w:rPr>
        <w:t xml:space="preserve">ve </w:t>
      </w:r>
      <w:r w:rsidR="005B6A04" w:rsidRPr="00945D53">
        <w:rPr>
          <w:rFonts w:ascii="Calibri" w:hAnsi="Calibri" w:cs="Calibri"/>
        </w:rPr>
        <w:t xml:space="preserve">smluvní </w:t>
      </w:r>
      <w:r w:rsidR="00492E33" w:rsidRPr="00945D53">
        <w:rPr>
          <w:rFonts w:ascii="Calibri" w:hAnsi="Calibri" w:cs="Calibri"/>
        </w:rPr>
        <w:t xml:space="preserve">výši 20 až 32 % z hodnoty </w:t>
      </w:r>
      <w:r w:rsidR="00BE2382">
        <w:rPr>
          <w:rFonts w:ascii="Calibri" w:hAnsi="Calibri" w:cs="Calibri"/>
        </w:rPr>
        <w:t xml:space="preserve">smluvních </w:t>
      </w:r>
      <w:r w:rsidR="00492E33" w:rsidRPr="00945D53">
        <w:rPr>
          <w:rFonts w:ascii="Calibri" w:hAnsi="Calibri" w:cs="Calibri"/>
        </w:rPr>
        <w:t>plnění</w:t>
      </w:r>
      <w:r w:rsidR="009977B8">
        <w:rPr>
          <w:rFonts w:ascii="Calibri" w:hAnsi="Calibri" w:cs="Calibri"/>
        </w:rPr>
        <w:t xml:space="preserve"> </w:t>
      </w:r>
      <w:r w:rsidR="00E72F77">
        <w:rPr>
          <w:rFonts w:ascii="Calibri" w:hAnsi="Calibri" w:cs="Calibri"/>
        </w:rPr>
        <w:t xml:space="preserve"> provedených poddodavateli.</w:t>
      </w:r>
    </w:p>
    <w:p w14:paraId="2B39F4CC" w14:textId="1E325D4E" w:rsidR="004D0DA0" w:rsidRPr="00945D53" w:rsidRDefault="004D0DA0" w:rsidP="00945D53">
      <w:pPr>
        <w:tabs>
          <w:tab w:val="left" w:pos="426"/>
        </w:tabs>
        <w:rPr>
          <w:rFonts w:ascii="Calibri" w:hAnsi="Calibri" w:cs="Calibri"/>
          <w:b/>
        </w:rPr>
      </w:pPr>
    </w:p>
    <w:p w14:paraId="6D2F789E" w14:textId="46B5102A" w:rsidR="00E23F04" w:rsidRPr="00945D53" w:rsidRDefault="00262C94" w:rsidP="00F22755">
      <w:pPr>
        <w:pStyle w:val="Odstavecseseznamem"/>
        <w:keepNext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Calibri" w:hAnsi="Calibri" w:cs="Calibri"/>
          <w:b/>
          <w:color w:val="000000" w:themeColor="text1"/>
        </w:rPr>
      </w:pPr>
      <w:r w:rsidRPr="00945D53">
        <w:rPr>
          <w:rFonts w:ascii="Calibri" w:hAnsi="Calibri" w:cs="Calibri"/>
          <w:b/>
        </w:rPr>
        <w:t xml:space="preserve">Navýšení ceny </w:t>
      </w:r>
      <w:r w:rsidR="00C8053B" w:rsidRPr="00945D53">
        <w:rPr>
          <w:rFonts w:ascii="Calibri" w:hAnsi="Calibri" w:cs="Calibri"/>
          <w:b/>
        </w:rPr>
        <w:t xml:space="preserve">pořízení </w:t>
      </w:r>
      <w:r w:rsidR="005C2C13" w:rsidRPr="00945D53">
        <w:rPr>
          <w:rFonts w:ascii="Calibri" w:hAnsi="Calibri" w:cs="Calibri"/>
          <w:b/>
        </w:rPr>
        <w:t xml:space="preserve">kolových obrněných vozidel </w:t>
      </w:r>
      <w:r w:rsidR="00650454" w:rsidRPr="00945D53">
        <w:rPr>
          <w:rFonts w:ascii="Calibri" w:hAnsi="Calibri" w:cs="Calibri"/>
          <w:b/>
        </w:rPr>
        <w:t>velitelsko-</w:t>
      </w:r>
      <w:r w:rsidRPr="00945D53">
        <w:rPr>
          <w:rFonts w:ascii="Calibri" w:hAnsi="Calibri" w:cs="Calibri"/>
          <w:b/>
        </w:rPr>
        <w:t>štábních a spojov</w:t>
      </w:r>
      <w:r w:rsidRPr="00945D53">
        <w:rPr>
          <w:rFonts w:ascii="Calibri" w:hAnsi="Calibri" w:cs="Calibri"/>
          <w:b/>
          <w:color w:val="000000" w:themeColor="text1"/>
        </w:rPr>
        <w:t>acích</w:t>
      </w:r>
    </w:p>
    <w:p w14:paraId="434D842B" w14:textId="77777777" w:rsidR="00CF77AB" w:rsidRDefault="00CF77AB" w:rsidP="00F22755">
      <w:pPr>
        <w:pStyle w:val="Odstavecseseznamem"/>
        <w:keepNext/>
        <w:tabs>
          <w:tab w:val="left" w:pos="426"/>
        </w:tabs>
        <w:ind w:left="0"/>
        <w:jc w:val="both"/>
        <w:rPr>
          <w:rFonts w:ascii="Calibri" w:hAnsi="Calibri" w:cs="Calibri"/>
          <w:color w:val="000000" w:themeColor="text1"/>
        </w:rPr>
      </w:pPr>
    </w:p>
    <w:p w14:paraId="1AC71DD8" w14:textId="47C1DBEF" w:rsidR="0010087F" w:rsidRPr="00945D53" w:rsidRDefault="005C2C13" w:rsidP="00945D53">
      <w:pPr>
        <w:pStyle w:val="Odstavecseseznamem"/>
        <w:tabs>
          <w:tab w:val="left" w:pos="426"/>
        </w:tabs>
        <w:ind w:left="0"/>
        <w:jc w:val="both"/>
        <w:rPr>
          <w:rFonts w:ascii="Calibri" w:hAnsi="Calibri" w:cs="Calibri"/>
        </w:rPr>
      </w:pPr>
      <w:r w:rsidRPr="00945D53">
        <w:rPr>
          <w:rFonts w:ascii="Calibri" w:hAnsi="Calibri" w:cs="Calibri"/>
          <w:color w:val="000000" w:themeColor="text1"/>
        </w:rPr>
        <w:t xml:space="preserve">MO </w:t>
      </w:r>
      <w:r w:rsidR="0010087F" w:rsidRPr="00945D53">
        <w:rPr>
          <w:rFonts w:ascii="Calibri" w:hAnsi="Calibri" w:cs="Calibri"/>
          <w:color w:val="000000" w:themeColor="text1"/>
        </w:rPr>
        <w:t>zadalo</w:t>
      </w:r>
      <w:r w:rsidRPr="00945D53">
        <w:rPr>
          <w:rFonts w:ascii="Calibri" w:hAnsi="Calibri" w:cs="Calibri"/>
          <w:color w:val="000000" w:themeColor="text1"/>
        </w:rPr>
        <w:t xml:space="preserve"> </w:t>
      </w:r>
      <w:r w:rsidR="00F42C18" w:rsidRPr="00945D53">
        <w:rPr>
          <w:rFonts w:ascii="Calibri" w:hAnsi="Calibri" w:cs="Calibri"/>
          <w:color w:val="000000" w:themeColor="text1"/>
        </w:rPr>
        <w:t>veřejnou zakázku na dodávky</w:t>
      </w:r>
      <w:r w:rsidRPr="00945D53">
        <w:rPr>
          <w:rFonts w:ascii="Calibri" w:hAnsi="Calibri" w:cs="Calibri"/>
          <w:color w:val="000000" w:themeColor="text1"/>
        </w:rPr>
        <w:t xml:space="preserve"> kolových </w:t>
      </w:r>
      <w:r w:rsidR="00963F73" w:rsidRPr="00945D53">
        <w:rPr>
          <w:rFonts w:ascii="Calibri" w:hAnsi="Calibri" w:cs="Calibri"/>
          <w:color w:val="000000" w:themeColor="text1"/>
        </w:rPr>
        <w:t xml:space="preserve">obrněných </w:t>
      </w:r>
      <w:r w:rsidRPr="00945D53">
        <w:rPr>
          <w:rFonts w:ascii="Calibri" w:hAnsi="Calibri" w:cs="Calibri"/>
          <w:color w:val="000000" w:themeColor="text1"/>
        </w:rPr>
        <w:t xml:space="preserve">vozidel </w:t>
      </w:r>
      <w:r w:rsidR="00650454" w:rsidRPr="00945D53">
        <w:rPr>
          <w:rFonts w:ascii="Calibri" w:hAnsi="Calibri" w:cs="Calibri"/>
          <w:color w:val="000000" w:themeColor="text1"/>
        </w:rPr>
        <w:t>velitelsko-</w:t>
      </w:r>
      <w:r w:rsidRPr="00945D53">
        <w:rPr>
          <w:rFonts w:ascii="Calibri" w:hAnsi="Calibri" w:cs="Calibri"/>
          <w:color w:val="000000" w:themeColor="text1"/>
        </w:rPr>
        <w:t>štábních a spojovacích</w:t>
      </w:r>
      <w:r w:rsidR="004D0DA0" w:rsidRPr="00945D53">
        <w:rPr>
          <w:rStyle w:val="Znakapoznpodarou"/>
          <w:rFonts w:ascii="Calibri" w:hAnsi="Calibri" w:cs="Calibri"/>
          <w:color w:val="000000" w:themeColor="text1"/>
        </w:rPr>
        <w:footnoteReference w:id="12"/>
      </w:r>
      <w:r w:rsidRPr="00945D53">
        <w:rPr>
          <w:rFonts w:ascii="Calibri" w:hAnsi="Calibri" w:cs="Calibri"/>
          <w:color w:val="000000" w:themeColor="text1"/>
        </w:rPr>
        <w:t xml:space="preserve"> </w:t>
      </w:r>
      <w:r w:rsidR="00963F73" w:rsidRPr="00945D53">
        <w:rPr>
          <w:rFonts w:ascii="Calibri" w:hAnsi="Calibri" w:cs="Calibri"/>
          <w:color w:val="000000" w:themeColor="text1"/>
        </w:rPr>
        <w:t>s </w:t>
      </w:r>
      <w:r w:rsidR="0010087F" w:rsidRPr="00945D53">
        <w:rPr>
          <w:rFonts w:ascii="Calibri" w:hAnsi="Calibri" w:cs="Calibri"/>
          <w:color w:val="000000" w:themeColor="text1"/>
        </w:rPr>
        <w:t>využitím obecné výjimky ze zákona č. 137/2006 Sb. dodavateli</w:t>
      </w:r>
      <w:r w:rsidR="00EA28CF" w:rsidRPr="00945D53">
        <w:rPr>
          <w:rFonts w:ascii="Calibri" w:hAnsi="Calibri" w:cs="Calibri"/>
          <w:color w:val="000000" w:themeColor="text1"/>
        </w:rPr>
        <w:t>, který zajišťuje od roku 2017 servis vozidel KBVP a KOT</w:t>
      </w:r>
      <w:r w:rsidR="0095493F" w:rsidRPr="00945D53">
        <w:rPr>
          <w:rFonts w:ascii="Calibri" w:hAnsi="Calibri" w:cs="Calibri"/>
          <w:color w:val="000000" w:themeColor="text1"/>
        </w:rPr>
        <w:t xml:space="preserve"> (viz bod 11)</w:t>
      </w:r>
      <w:r w:rsidR="0010087F" w:rsidRPr="00945D53">
        <w:rPr>
          <w:rFonts w:ascii="Calibri" w:hAnsi="Calibri" w:cs="Calibri"/>
          <w:color w:val="000000" w:themeColor="text1"/>
        </w:rPr>
        <w:t xml:space="preserve">. </w:t>
      </w:r>
      <w:r w:rsidR="00EA28CF" w:rsidRPr="00945D53">
        <w:rPr>
          <w:rFonts w:ascii="Calibri" w:hAnsi="Calibri" w:cs="Calibri"/>
          <w:color w:val="000000" w:themeColor="text1"/>
        </w:rPr>
        <w:t xml:space="preserve">MO se přípravou akce </w:t>
      </w:r>
      <w:r w:rsidR="0010087F" w:rsidRPr="00945D53">
        <w:rPr>
          <w:rFonts w:ascii="Calibri" w:hAnsi="Calibri" w:cs="Calibri"/>
          <w:color w:val="000000" w:themeColor="text1"/>
        </w:rPr>
        <w:t xml:space="preserve">zabývalo </w:t>
      </w:r>
      <w:r w:rsidR="001E3E28" w:rsidRPr="00945D53">
        <w:rPr>
          <w:rFonts w:ascii="Calibri" w:hAnsi="Calibri" w:cs="Calibri"/>
          <w:color w:val="000000" w:themeColor="text1"/>
        </w:rPr>
        <w:t>o</w:t>
      </w:r>
      <w:r w:rsidR="0010087F" w:rsidRPr="00945D53">
        <w:rPr>
          <w:rFonts w:ascii="Calibri" w:hAnsi="Calibri" w:cs="Calibri"/>
          <w:color w:val="000000" w:themeColor="text1"/>
        </w:rPr>
        <w:t>d roku 2012</w:t>
      </w:r>
      <w:r w:rsidR="001E3E28" w:rsidRPr="00945D53">
        <w:rPr>
          <w:rFonts w:ascii="Calibri" w:hAnsi="Calibri" w:cs="Calibri"/>
          <w:color w:val="000000" w:themeColor="text1"/>
        </w:rPr>
        <w:t xml:space="preserve"> a</w:t>
      </w:r>
      <w:r w:rsidR="004D0DA0" w:rsidRPr="00945D53">
        <w:rPr>
          <w:rFonts w:ascii="Calibri" w:hAnsi="Calibri" w:cs="Calibri"/>
          <w:color w:val="000000" w:themeColor="text1"/>
        </w:rPr>
        <w:t> </w:t>
      </w:r>
      <w:r w:rsidR="0010087F" w:rsidRPr="00945D53">
        <w:rPr>
          <w:rFonts w:ascii="Calibri" w:hAnsi="Calibri" w:cs="Calibri"/>
          <w:color w:val="000000" w:themeColor="text1"/>
        </w:rPr>
        <w:t>předpokláda</w:t>
      </w:r>
      <w:r w:rsidR="001E3E28" w:rsidRPr="00945D53">
        <w:rPr>
          <w:rFonts w:ascii="Calibri" w:hAnsi="Calibri" w:cs="Calibri"/>
          <w:color w:val="000000" w:themeColor="text1"/>
        </w:rPr>
        <w:t xml:space="preserve">lo nákup </w:t>
      </w:r>
      <w:r w:rsidR="0010087F" w:rsidRPr="00945D53">
        <w:rPr>
          <w:rFonts w:ascii="Calibri" w:hAnsi="Calibri" w:cs="Calibri"/>
          <w:color w:val="000000" w:themeColor="text1"/>
        </w:rPr>
        <w:t xml:space="preserve">20 vozidel </w:t>
      </w:r>
      <w:r w:rsidR="001E3E28" w:rsidRPr="00945D53">
        <w:rPr>
          <w:rFonts w:ascii="Calibri" w:hAnsi="Calibri" w:cs="Calibri"/>
          <w:color w:val="000000" w:themeColor="text1"/>
        </w:rPr>
        <w:t xml:space="preserve">za </w:t>
      </w:r>
      <w:r w:rsidR="0010087F" w:rsidRPr="00945D53">
        <w:rPr>
          <w:rFonts w:ascii="Calibri" w:hAnsi="Calibri" w:cs="Calibri"/>
          <w:color w:val="000000" w:themeColor="text1"/>
        </w:rPr>
        <w:t>1 274,1 mil. Kč.</w:t>
      </w:r>
      <w:r w:rsidR="0010087F" w:rsidRPr="00945D53">
        <w:rPr>
          <w:rStyle w:val="Znakapoznpodarou"/>
          <w:rFonts w:ascii="Calibri" w:hAnsi="Calibri" w:cs="Calibri"/>
          <w:color w:val="000000" w:themeColor="text1"/>
        </w:rPr>
        <w:footnoteReference w:id="13"/>
      </w:r>
      <w:r w:rsidR="0010087F" w:rsidRPr="00945D53">
        <w:rPr>
          <w:rFonts w:ascii="Calibri" w:hAnsi="Calibri" w:cs="Calibri"/>
          <w:color w:val="000000" w:themeColor="text1"/>
        </w:rPr>
        <w:t xml:space="preserve"> V roce 2</w:t>
      </w:r>
      <w:r w:rsidR="0010087F" w:rsidRPr="00945D53">
        <w:rPr>
          <w:rFonts w:ascii="Calibri" w:hAnsi="Calibri" w:cs="Calibri"/>
        </w:rPr>
        <w:t>016 po jednání s</w:t>
      </w:r>
      <w:r w:rsidR="004D0DA0" w:rsidRPr="00945D53">
        <w:rPr>
          <w:rFonts w:ascii="Calibri" w:hAnsi="Calibri" w:cs="Calibri"/>
        </w:rPr>
        <w:t xml:space="preserve"> dodavatelem </w:t>
      </w:r>
      <w:r w:rsidR="0010087F" w:rsidRPr="00945D53">
        <w:rPr>
          <w:rFonts w:ascii="Calibri" w:hAnsi="Calibri" w:cs="Calibri"/>
        </w:rPr>
        <w:t>o konkrétních podmínkách smlouvy se cena navýšila o více než 62 % na 2</w:t>
      </w:r>
      <w:r w:rsidR="00E41B24">
        <w:rPr>
          <w:rFonts w:ascii="Calibri" w:hAnsi="Calibri" w:cs="Calibri"/>
        </w:rPr>
        <w:t> </w:t>
      </w:r>
      <w:r w:rsidR="0010087F" w:rsidRPr="00945D53">
        <w:rPr>
          <w:rFonts w:ascii="Calibri" w:hAnsi="Calibri" w:cs="Calibri"/>
        </w:rPr>
        <w:t>070</w:t>
      </w:r>
      <w:r w:rsidR="00E41B24">
        <w:rPr>
          <w:rFonts w:ascii="Calibri" w:hAnsi="Calibri" w:cs="Calibri"/>
        </w:rPr>
        <w:t> mil. </w:t>
      </w:r>
      <w:r w:rsidR="0010087F" w:rsidRPr="00945D53">
        <w:rPr>
          <w:rFonts w:ascii="Calibri" w:hAnsi="Calibri" w:cs="Calibri"/>
        </w:rPr>
        <w:t xml:space="preserve">Kč. </w:t>
      </w:r>
      <w:r w:rsidR="001E3E28" w:rsidRPr="00945D53">
        <w:rPr>
          <w:rFonts w:ascii="Calibri" w:hAnsi="Calibri" w:cs="Calibri"/>
        </w:rPr>
        <w:t>Za úhradu zálohy ve výši 620,8 mil. Kč (cca 30 % z ceny) dva a půl roku před dodáním prvního vozidla poskytl dodavatel</w:t>
      </w:r>
      <w:r w:rsidR="00963F73" w:rsidRPr="00945D53">
        <w:rPr>
          <w:rFonts w:ascii="Calibri" w:hAnsi="Calibri" w:cs="Calibri"/>
        </w:rPr>
        <w:t xml:space="preserve"> MO</w:t>
      </w:r>
      <w:r w:rsidR="001E3E28" w:rsidRPr="00945D53">
        <w:rPr>
          <w:rFonts w:ascii="Calibri" w:hAnsi="Calibri" w:cs="Calibri"/>
        </w:rPr>
        <w:t xml:space="preserve"> slevu, k</w:t>
      </w:r>
      <w:r w:rsidR="0010087F" w:rsidRPr="00945D53">
        <w:rPr>
          <w:rFonts w:ascii="Calibri" w:hAnsi="Calibri" w:cs="Calibri"/>
        </w:rPr>
        <w:t xml:space="preserve">onečná cena činila 2 044,7 mil. Kč. </w:t>
      </w:r>
      <w:r w:rsidR="004B3996" w:rsidRPr="00945D53">
        <w:rPr>
          <w:rFonts w:ascii="Calibri" w:hAnsi="Calibri" w:cs="Calibri"/>
        </w:rPr>
        <w:t>K</w:t>
      </w:r>
      <w:r w:rsidR="0010087F" w:rsidRPr="00945D53">
        <w:rPr>
          <w:rFonts w:ascii="Calibri" w:hAnsi="Calibri" w:cs="Calibri"/>
        </w:rPr>
        <w:t xml:space="preserve">ritériem pro posouzení </w:t>
      </w:r>
      <w:r w:rsidR="004B3996" w:rsidRPr="00945D53">
        <w:rPr>
          <w:rFonts w:ascii="Calibri" w:hAnsi="Calibri" w:cs="Calibri"/>
        </w:rPr>
        <w:t>výše</w:t>
      </w:r>
      <w:r w:rsidR="00D04B55" w:rsidRPr="00945D53">
        <w:rPr>
          <w:rFonts w:ascii="Calibri" w:hAnsi="Calibri" w:cs="Calibri"/>
        </w:rPr>
        <w:t xml:space="preserve"> </w:t>
      </w:r>
      <w:r w:rsidR="0010087F" w:rsidRPr="00945D53">
        <w:rPr>
          <w:rFonts w:ascii="Calibri" w:hAnsi="Calibri" w:cs="Calibri"/>
        </w:rPr>
        <w:t>pořizovací ceny byly dva znal</w:t>
      </w:r>
      <w:r w:rsidR="004B3996" w:rsidRPr="00945D53">
        <w:rPr>
          <w:rFonts w:ascii="Calibri" w:hAnsi="Calibri" w:cs="Calibri"/>
        </w:rPr>
        <w:t>ecké posudky o </w:t>
      </w:r>
      <w:r w:rsidR="0010087F" w:rsidRPr="00945D53">
        <w:rPr>
          <w:rFonts w:ascii="Calibri" w:hAnsi="Calibri" w:cs="Calibri"/>
        </w:rPr>
        <w:t>ceně obvyklé</w:t>
      </w:r>
      <w:r w:rsidR="00EA28CF" w:rsidRPr="00945D53">
        <w:rPr>
          <w:rFonts w:ascii="Calibri" w:hAnsi="Calibri" w:cs="Calibri"/>
        </w:rPr>
        <w:t>.</w:t>
      </w:r>
    </w:p>
    <w:p w14:paraId="18669812" w14:textId="5E670746" w:rsidR="00FF2BA4" w:rsidRPr="00945D53" w:rsidRDefault="00FF2BA4" w:rsidP="00945D53">
      <w:pPr>
        <w:shd w:val="clear" w:color="auto" w:fill="FFFFFF"/>
        <w:tabs>
          <w:tab w:val="left" w:pos="426"/>
        </w:tabs>
        <w:jc w:val="both"/>
        <w:rPr>
          <w:rFonts w:ascii="Calibri" w:hAnsi="Calibri" w:cs="Calibri"/>
          <w:highlight w:val="yellow"/>
        </w:rPr>
      </w:pPr>
    </w:p>
    <w:p w14:paraId="06E1710B" w14:textId="6A4CB974" w:rsidR="000D3605" w:rsidRPr="00E41B24" w:rsidRDefault="00D02C8F" w:rsidP="00945D53">
      <w:pPr>
        <w:ind w:left="567" w:hanging="567"/>
        <w:jc w:val="both"/>
        <w:rPr>
          <w:rFonts w:ascii="Calibri" w:hAnsi="Calibri" w:cstheme="minorHAnsi"/>
          <w:sz w:val="20"/>
          <w:szCs w:val="20"/>
        </w:rPr>
      </w:pPr>
      <w:r w:rsidRPr="00C53ECF">
        <w:rPr>
          <w:rFonts w:asciiTheme="minorHAnsi" w:hAnsiTheme="minorHAnsi" w:cstheme="minorHAnsi"/>
          <w:b/>
          <w:sz w:val="20"/>
          <w:szCs w:val="20"/>
        </w:rPr>
        <w:t>Po</w:t>
      </w:r>
      <w:r w:rsidR="00462F78" w:rsidRPr="00C53ECF">
        <w:rPr>
          <w:rFonts w:asciiTheme="minorHAnsi" w:hAnsiTheme="minorHAnsi" w:cstheme="minorHAnsi"/>
          <w:b/>
          <w:sz w:val="20"/>
          <w:szCs w:val="20"/>
        </w:rPr>
        <w:t>zn.:</w:t>
      </w:r>
      <w:r w:rsidR="00462F78" w:rsidRPr="00C53ECF">
        <w:rPr>
          <w:rFonts w:asciiTheme="minorHAnsi" w:hAnsiTheme="minorHAnsi" w:cstheme="minorHAnsi"/>
          <w:sz w:val="20"/>
          <w:szCs w:val="20"/>
        </w:rPr>
        <w:tab/>
      </w:r>
      <w:r w:rsidR="00462F78" w:rsidRPr="00E41B24">
        <w:rPr>
          <w:rFonts w:ascii="Calibri" w:hAnsi="Calibri" w:cstheme="minorHAnsi"/>
          <w:sz w:val="20"/>
          <w:szCs w:val="20"/>
        </w:rPr>
        <w:t>Právní předpisy uvedené v tomto kontrolním závěru jsou aplikovány ve znění účinném pro kontrolované období.</w:t>
      </w:r>
    </w:p>
    <w:p w14:paraId="19618D5D" w14:textId="77777777" w:rsidR="00F22755" w:rsidRPr="00945D53" w:rsidRDefault="00F22755" w:rsidP="00F22755">
      <w:pPr>
        <w:shd w:val="clear" w:color="auto" w:fill="FFFFFF"/>
        <w:tabs>
          <w:tab w:val="left" w:pos="426"/>
        </w:tabs>
        <w:jc w:val="both"/>
        <w:rPr>
          <w:rFonts w:ascii="Calibri" w:hAnsi="Calibri" w:cs="Calibri"/>
          <w:highlight w:val="yellow"/>
        </w:rPr>
      </w:pPr>
    </w:p>
    <w:p w14:paraId="024B23B5" w14:textId="77777777" w:rsidR="00F22755" w:rsidRPr="00945D53" w:rsidRDefault="00F22755" w:rsidP="00F22755">
      <w:pPr>
        <w:shd w:val="clear" w:color="auto" w:fill="FFFFFF"/>
        <w:tabs>
          <w:tab w:val="left" w:pos="426"/>
        </w:tabs>
        <w:jc w:val="both"/>
        <w:rPr>
          <w:rFonts w:ascii="Calibri" w:hAnsi="Calibri" w:cs="Calibri"/>
          <w:highlight w:val="yellow"/>
        </w:rPr>
      </w:pPr>
    </w:p>
    <w:p w14:paraId="4A01DA3C" w14:textId="54D64209" w:rsidR="00462F78" w:rsidRPr="00642BB0" w:rsidRDefault="00462F78" w:rsidP="00955FAB">
      <w:pPr>
        <w:pStyle w:val="Nadpis1"/>
        <w:spacing w:before="0" w:after="0"/>
        <w:jc w:val="center"/>
        <w:rPr>
          <w:rFonts w:asciiTheme="minorHAnsi" w:hAnsiTheme="minorHAnsi" w:cstheme="minorHAnsi"/>
          <w:sz w:val="28"/>
          <w:szCs w:val="28"/>
        </w:rPr>
      </w:pPr>
      <w:r w:rsidRPr="00C53ECF">
        <w:rPr>
          <w:rFonts w:asciiTheme="minorHAnsi" w:hAnsiTheme="minorHAnsi" w:cstheme="minorHAnsi"/>
          <w:sz w:val="28"/>
          <w:szCs w:val="28"/>
        </w:rPr>
        <w:t xml:space="preserve">II. </w:t>
      </w:r>
      <w:r w:rsidR="00D932E3" w:rsidRPr="00C53ECF">
        <w:rPr>
          <w:rFonts w:asciiTheme="minorHAnsi" w:hAnsiTheme="minorHAnsi" w:cstheme="minorHAnsi"/>
          <w:sz w:val="28"/>
          <w:szCs w:val="28"/>
        </w:rPr>
        <w:t>Informace o kontrolované oblasti</w:t>
      </w:r>
    </w:p>
    <w:p w14:paraId="25449653" w14:textId="77777777" w:rsidR="000B5436" w:rsidRDefault="000B5436" w:rsidP="00955FAB">
      <w:pPr>
        <w:keepNext/>
        <w:shd w:val="clear" w:color="auto" w:fill="FFFFFF"/>
        <w:ind w:right="6"/>
        <w:jc w:val="both"/>
        <w:rPr>
          <w:rFonts w:asciiTheme="minorHAnsi" w:hAnsiTheme="minorHAnsi" w:cstheme="minorHAnsi"/>
          <w:b/>
        </w:rPr>
      </w:pPr>
    </w:p>
    <w:p w14:paraId="446D6943" w14:textId="2F1AC380" w:rsidR="007375AC" w:rsidRPr="0065592A" w:rsidRDefault="003E3A1A" w:rsidP="007375AC">
      <w:pPr>
        <w:shd w:val="clear" w:color="auto" w:fill="FFFFFF"/>
        <w:ind w:right="6"/>
        <w:jc w:val="both"/>
        <w:rPr>
          <w:rFonts w:asciiTheme="minorHAnsi" w:hAnsiTheme="minorHAnsi" w:cstheme="minorHAnsi"/>
        </w:rPr>
      </w:pPr>
      <w:r w:rsidRPr="00341CAF">
        <w:rPr>
          <w:rFonts w:asciiTheme="minorHAnsi" w:hAnsiTheme="minorHAnsi" w:cstheme="minorHAnsi"/>
          <w:b/>
        </w:rPr>
        <w:t>M</w:t>
      </w:r>
      <w:r w:rsidR="00D56DBA" w:rsidRPr="00341CAF">
        <w:rPr>
          <w:rFonts w:asciiTheme="minorHAnsi" w:hAnsiTheme="minorHAnsi" w:cstheme="minorHAnsi"/>
          <w:b/>
        </w:rPr>
        <w:t>inisterstvo obrany</w:t>
      </w:r>
      <w:r w:rsidRPr="00341CAF">
        <w:rPr>
          <w:rFonts w:asciiTheme="minorHAnsi" w:hAnsiTheme="minorHAnsi" w:cstheme="minorHAnsi"/>
        </w:rPr>
        <w:t xml:space="preserve"> je ústředním orgánem státní správy zejména pro zabezpečování obrany České republiky (dále t</w:t>
      </w:r>
      <w:r w:rsidR="00D87C83">
        <w:rPr>
          <w:rFonts w:asciiTheme="minorHAnsi" w:hAnsiTheme="minorHAnsi" w:cstheme="minorHAnsi"/>
        </w:rPr>
        <w:t>aké</w:t>
      </w:r>
      <w:r w:rsidRPr="00341CAF">
        <w:rPr>
          <w:rFonts w:asciiTheme="minorHAnsi" w:hAnsiTheme="minorHAnsi" w:cstheme="minorHAnsi"/>
        </w:rPr>
        <w:t xml:space="preserve"> „ČR“), řízení Arm</w:t>
      </w:r>
      <w:r w:rsidR="00A248F2" w:rsidRPr="00341CAF">
        <w:rPr>
          <w:rFonts w:asciiTheme="minorHAnsi" w:hAnsiTheme="minorHAnsi" w:cstheme="minorHAnsi"/>
        </w:rPr>
        <w:t xml:space="preserve">ády a správu vojenských újezdů. </w:t>
      </w:r>
      <w:r w:rsidR="00D56DBA" w:rsidRPr="00341CAF">
        <w:rPr>
          <w:rFonts w:asciiTheme="minorHAnsi" w:hAnsiTheme="minorHAnsi" w:cstheme="minorHAnsi"/>
        </w:rPr>
        <w:t>MO p</w:t>
      </w:r>
      <w:r w:rsidR="00E10A09" w:rsidRPr="00341CAF">
        <w:rPr>
          <w:rFonts w:asciiTheme="minorHAnsi" w:hAnsiTheme="minorHAnsi" w:cstheme="minorHAnsi"/>
        </w:rPr>
        <w:t>ři řízení Armády mj. stanoví a realizuje opatření k jejímu rozvoji</w:t>
      </w:r>
      <w:r w:rsidR="00FC26CC" w:rsidRPr="00341CAF">
        <w:rPr>
          <w:rFonts w:asciiTheme="minorHAnsi" w:hAnsiTheme="minorHAnsi" w:cstheme="minorHAnsi"/>
        </w:rPr>
        <w:t xml:space="preserve">, </w:t>
      </w:r>
      <w:r w:rsidR="00E10A09" w:rsidRPr="00341CAF">
        <w:rPr>
          <w:rFonts w:asciiTheme="minorHAnsi" w:hAnsiTheme="minorHAnsi" w:cstheme="minorHAnsi"/>
        </w:rPr>
        <w:t>z</w:t>
      </w:r>
      <w:r w:rsidR="00BA11C8" w:rsidRPr="00341CAF">
        <w:rPr>
          <w:rFonts w:asciiTheme="minorHAnsi" w:hAnsiTheme="minorHAnsi" w:cstheme="minorHAnsi"/>
        </w:rPr>
        <w:t>řizuje a ruší vojenské útvary a </w:t>
      </w:r>
      <w:r w:rsidR="00E10A09" w:rsidRPr="00341CAF">
        <w:rPr>
          <w:rFonts w:asciiTheme="minorHAnsi" w:hAnsiTheme="minorHAnsi" w:cstheme="minorHAnsi"/>
        </w:rPr>
        <w:t>voje</w:t>
      </w:r>
      <w:r w:rsidR="00483F05" w:rsidRPr="00341CAF">
        <w:rPr>
          <w:rFonts w:asciiTheme="minorHAnsi" w:hAnsiTheme="minorHAnsi" w:cstheme="minorHAnsi"/>
        </w:rPr>
        <w:t>nská zařízení. Součástí MO je i </w:t>
      </w:r>
      <w:r w:rsidR="00E10A09" w:rsidRPr="00341CAF">
        <w:rPr>
          <w:rFonts w:asciiTheme="minorHAnsi" w:hAnsiTheme="minorHAnsi" w:cstheme="minorHAnsi"/>
        </w:rPr>
        <w:t xml:space="preserve">Generální štáb Armády, který zabezpečuje </w:t>
      </w:r>
      <w:r w:rsidR="004B3996">
        <w:rPr>
          <w:rFonts w:asciiTheme="minorHAnsi" w:hAnsiTheme="minorHAnsi" w:cstheme="minorHAnsi"/>
        </w:rPr>
        <w:t xml:space="preserve">velení </w:t>
      </w:r>
      <w:r w:rsidR="00E10A09" w:rsidRPr="00341CAF">
        <w:rPr>
          <w:rFonts w:asciiTheme="minorHAnsi" w:hAnsiTheme="minorHAnsi" w:cstheme="minorHAnsi"/>
        </w:rPr>
        <w:t>Armádě.</w:t>
      </w:r>
      <w:r w:rsidR="00427C00" w:rsidRPr="00341CAF">
        <w:rPr>
          <w:rFonts w:asciiTheme="minorHAnsi" w:hAnsiTheme="minorHAnsi" w:cstheme="minorHAnsi"/>
        </w:rPr>
        <w:t xml:space="preserve"> </w:t>
      </w:r>
      <w:r w:rsidR="001C3751" w:rsidRPr="00A73A46">
        <w:rPr>
          <w:rFonts w:asciiTheme="minorHAnsi" w:hAnsiTheme="minorHAnsi" w:cstheme="minorHAnsi"/>
        </w:rPr>
        <w:t>Výdaje</w:t>
      </w:r>
      <w:r w:rsidR="001C3751" w:rsidRPr="00D87C83">
        <w:rPr>
          <w:rFonts w:asciiTheme="minorHAnsi" w:hAnsiTheme="minorHAnsi" w:cstheme="minorHAnsi"/>
        </w:rPr>
        <w:t xml:space="preserve"> státního rozpočtu kapitol</w:t>
      </w:r>
      <w:r w:rsidR="004B3996">
        <w:rPr>
          <w:rFonts w:asciiTheme="minorHAnsi" w:hAnsiTheme="minorHAnsi" w:cstheme="minorHAnsi"/>
        </w:rPr>
        <w:t>y</w:t>
      </w:r>
      <w:r w:rsidR="001C3751" w:rsidRPr="00D87C83">
        <w:rPr>
          <w:rFonts w:asciiTheme="minorHAnsi" w:hAnsiTheme="minorHAnsi" w:cstheme="minorHAnsi"/>
        </w:rPr>
        <w:t xml:space="preserve"> 307 – </w:t>
      </w:r>
      <w:r w:rsidR="001C3751" w:rsidRPr="00D87C83">
        <w:rPr>
          <w:rFonts w:asciiTheme="minorHAnsi" w:hAnsiTheme="minorHAnsi" w:cstheme="minorHAnsi"/>
          <w:i/>
        </w:rPr>
        <w:t>Ministerstvo obrany</w:t>
      </w:r>
      <w:r w:rsidR="001C3751" w:rsidRPr="00D87C83">
        <w:rPr>
          <w:rFonts w:asciiTheme="minorHAnsi" w:hAnsiTheme="minorHAnsi" w:cstheme="minorHAnsi"/>
        </w:rPr>
        <w:t xml:space="preserve"> v</w:t>
      </w:r>
      <w:r w:rsidR="00341CAF" w:rsidRPr="00D87C83">
        <w:rPr>
          <w:rFonts w:asciiTheme="minorHAnsi" w:hAnsiTheme="minorHAnsi" w:cstheme="minorHAnsi"/>
        </w:rPr>
        <w:t> období 2016</w:t>
      </w:r>
      <w:r w:rsidR="001C3751" w:rsidRPr="00D87C83">
        <w:rPr>
          <w:rFonts w:asciiTheme="minorHAnsi" w:hAnsiTheme="minorHAnsi" w:cstheme="minorHAnsi"/>
        </w:rPr>
        <w:t>–201</w:t>
      </w:r>
      <w:r w:rsidR="00341CAF" w:rsidRPr="00D87C83">
        <w:rPr>
          <w:rFonts w:asciiTheme="minorHAnsi" w:hAnsiTheme="minorHAnsi" w:cstheme="minorHAnsi"/>
        </w:rPr>
        <w:t>8</w:t>
      </w:r>
      <w:r w:rsidR="001C3751" w:rsidRPr="00D87C83">
        <w:rPr>
          <w:rFonts w:asciiTheme="minorHAnsi" w:hAnsiTheme="minorHAnsi" w:cstheme="minorHAnsi"/>
        </w:rPr>
        <w:t xml:space="preserve"> </w:t>
      </w:r>
      <w:r w:rsidR="00D505CA">
        <w:rPr>
          <w:rFonts w:asciiTheme="minorHAnsi" w:hAnsiTheme="minorHAnsi" w:cstheme="minorHAnsi"/>
        </w:rPr>
        <w:t>vzrostly</w:t>
      </w:r>
      <w:r w:rsidR="00D505CA" w:rsidRPr="00D87C83">
        <w:rPr>
          <w:rFonts w:asciiTheme="minorHAnsi" w:hAnsiTheme="minorHAnsi" w:cstheme="minorHAnsi"/>
        </w:rPr>
        <w:t xml:space="preserve"> </w:t>
      </w:r>
      <w:r w:rsidR="00D87C83">
        <w:rPr>
          <w:rFonts w:asciiTheme="minorHAnsi" w:hAnsiTheme="minorHAnsi" w:cstheme="minorHAnsi"/>
        </w:rPr>
        <w:t>ze</w:t>
      </w:r>
      <w:r w:rsidR="001C3751" w:rsidRPr="00D87C83">
        <w:rPr>
          <w:rFonts w:asciiTheme="minorHAnsi" w:hAnsiTheme="minorHAnsi" w:cstheme="minorHAnsi"/>
        </w:rPr>
        <w:t xml:space="preserve"> 45</w:t>
      </w:r>
      <w:r w:rsidR="002D774C" w:rsidRPr="00D87C83">
        <w:rPr>
          <w:rFonts w:asciiTheme="minorHAnsi" w:hAnsiTheme="minorHAnsi" w:cstheme="minorHAnsi"/>
        </w:rPr>
        <w:t>,</w:t>
      </w:r>
      <w:r w:rsidR="001C3751" w:rsidRPr="00D87C83">
        <w:rPr>
          <w:rFonts w:asciiTheme="minorHAnsi" w:hAnsiTheme="minorHAnsi" w:cstheme="minorHAnsi"/>
        </w:rPr>
        <w:t>7</w:t>
      </w:r>
      <w:r w:rsidR="00E41B24">
        <w:rPr>
          <w:rFonts w:asciiTheme="minorHAnsi" w:hAnsiTheme="minorHAnsi" w:cstheme="minorHAnsi"/>
        </w:rPr>
        <w:t> mld. Kč</w:t>
      </w:r>
      <w:r w:rsidR="001C3751" w:rsidRPr="00D87C83">
        <w:rPr>
          <w:rFonts w:asciiTheme="minorHAnsi" w:hAnsiTheme="minorHAnsi" w:cstheme="minorHAnsi"/>
        </w:rPr>
        <w:t xml:space="preserve"> </w:t>
      </w:r>
      <w:r w:rsidR="00D87C83">
        <w:rPr>
          <w:rFonts w:asciiTheme="minorHAnsi" w:hAnsiTheme="minorHAnsi" w:cstheme="minorHAnsi"/>
        </w:rPr>
        <w:t>na</w:t>
      </w:r>
      <w:r w:rsidR="001C3751" w:rsidRPr="00D87C83">
        <w:rPr>
          <w:rFonts w:asciiTheme="minorHAnsi" w:hAnsiTheme="minorHAnsi" w:cstheme="minorHAnsi"/>
        </w:rPr>
        <w:t xml:space="preserve"> 5</w:t>
      </w:r>
      <w:r w:rsidR="00D87C83" w:rsidRPr="00D87C83">
        <w:rPr>
          <w:rFonts w:asciiTheme="minorHAnsi" w:hAnsiTheme="minorHAnsi" w:cstheme="minorHAnsi"/>
        </w:rPr>
        <w:t>9,8</w:t>
      </w:r>
      <w:r w:rsidR="001C3751" w:rsidRPr="00D87C83">
        <w:rPr>
          <w:rFonts w:asciiTheme="minorHAnsi" w:hAnsiTheme="minorHAnsi" w:cstheme="minorHAnsi"/>
        </w:rPr>
        <w:t xml:space="preserve"> ml</w:t>
      </w:r>
      <w:r w:rsidR="002D774C" w:rsidRPr="00D87C83">
        <w:rPr>
          <w:rFonts w:asciiTheme="minorHAnsi" w:hAnsiTheme="minorHAnsi" w:cstheme="minorHAnsi"/>
        </w:rPr>
        <w:t>d</w:t>
      </w:r>
      <w:r w:rsidR="001C3751" w:rsidRPr="00D87C83">
        <w:rPr>
          <w:rFonts w:asciiTheme="minorHAnsi" w:hAnsiTheme="minorHAnsi" w:cstheme="minorHAnsi"/>
        </w:rPr>
        <w:t>. Kč</w:t>
      </w:r>
      <w:r w:rsidR="00D87C83">
        <w:rPr>
          <w:rFonts w:asciiTheme="minorHAnsi" w:hAnsiTheme="minorHAnsi" w:cstheme="minorHAnsi"/>
        </w:rPr>
        <w:t xml:space="preserve">, </w:t>
      </w:r>
      <w:r w:rsidR="00644CF5">
        <w:rPr>
          <w:rFonts w:asciiTheme="minorHAnsi" w:hAnsiTheme="minorHAnsi" w:cstheme="minorHAnsi"/>
        </w:rPr>
        <w:t>což je téměř</w:t>
      </w:r>
      <w:r w:rsidR="00D87C83">
        <w:rPr>
          <w:rFonts w:asciiTheme="minorHAnsi" w:hAnsiTheme="minorHAnsi" w:cstheme="minorHAnsi"/>
        </w:rPr>
        <w:t xml:space="preserve"> o jednu třetinu.</w:t>
      </w:r>
      <w:r w:rsidR="00644CF5">
        <w:rPr>
          <w:rFonts w:asciiTheme="minorHAnsi" w:hAnsiTheme="minorHAnsi" w:cstheme="minorHAnsi"/>
        </w:rPr>
        <w:t xml:space="preserve"> </w:t>
      </w:r>
      <w:r w:rsidR="00A73A46">
        <w:rPr>
          <w:rFonts w:asciiTheme="minorHAnsi" w:hAnsiTheme="minorHAnsi" w:cstheme="minorHAnsi"/>
        </w:rPr>
        <w:t xml:space="preserve">Zároveň procento těchto výdajů vůči hrubému domácímu produktu </w:t>
      </w:r>
      <w:r w:rsidR="005C17B3">
        <w:rPr>
          <w:rFonts w:asciiTheme="minorHAnsi" w:hAnsiTheme="minorHAnsi" w:cstheme="minorHAnsi"/>
        </w:rPr>
        <w:t xml:space="preserve">(dále také „HDP“) </w:t>
      </w:r>
      <w:r w:rsidR="00A73A46">
        <w:rPr>
          <w:rFonts w:asciiTheme="minorHAnsi" w:hAnsiTheme="minorHAnsi" w:cstheme="minorHAnsi"/>
        </w:rPr>
        <w:t>vzrostlo z 1,01</w:t>
      </w:r>
      <w:r w:rsidR="00E41B24">
        <w:rPr>
          <w:rFonts w:asciiTheme="minorHAnsi" w:hAnsiTheme="minorHAnsi" w:cstheme="minorHAnsi"/>
        </w:rPr>
        <w:t> </w:t>
      </w:r>
      <w:r w:rsidR="00A73A46">
        <w:rPr>
          <w:rFonts w:asciiTheme="minorHAnsi" w:hAnsiTheme="minorHAnsi" w:cstheme="minorHAnsi"/>
        </w:rPr>
        <w:t>% na 1,13 %</w:t>
      </w:r>
      <w:r w:rsidR="007375AC">
        <w:rPr>
          <w:rFonts w:asciiTheme="minorHAnsi" w:hAnsiTheme="minorHAnsi" w:cstheme="minorHAnsi"/>
        </w:rPr>
        <w:t xml:space="preserve"> (tabulka č.</w:t>
      </w:r>
      <w:r w:rsidR="00745F35">
        <w:rPr>
          <w:rFonts w:asciiTheme="minorHAnsi" w:hAnsiTheme="minorHAnsi" w:cstheme="minorHAnsi"/>
        </w:rPr>
        <w:t> </w:t>
      </w:r>
      <w:r w:rsidR="007375AC">
        <w:rPr>
          <w:rFonts w:asciiTheme="minorHAnsi" w:hAnsiTheme="minorHAnsi" w:cstheme="minorHAnsi"/>
        </w:rPr>
        <w:t xml:space="preserve">1). </w:t>
      </w:r>
      <w:r w:rsidR="00740620">
        <w:rPr>
          <w:rFonts w:asciiTheme="minorHAnsi" w:hAnsiTheme="minorHAnsi" w:cstheme="minorHAnsi"/>
        </w:rPr>
        <w:t xml:space="preserve">Tato </w:t>
      </w:r>
      <w:r w:rsidR="0065592A">
        <w:rPr>
          <w:rFonts w:asciiTheme="minorHAnsi" w:hAnsiTheme="minorHAnsi" w:cstheme="minorHAnsi"/>
        </w:rPr>
        <w:t xml:space="preserve">hodnota </w:t>
      </w:r>
      <w:r w:rsidR="00740620" w:rsidRPr="0065592A">
        <w:rPr>
          <w:rFonts w:asciiTheme="minorHAnsi" w:hAnsiTheme="minorHAnsi" w:cstheme="minorHAnsi"/>
        </w:rPr>
        <w:t xml:space="preserve">je </w:t>
      </w:r>
      <w:r w:rsidR="003760F9">
        <w:rPr>
          <w:rFonts w:asciiTheme="minorHAnsi" w:hAnsiTheme="minorHAnsi" w:cstheme="minorHAnsi"/>
        </w:rPr>
        <w:t xml:space="preserve">však stále </w:t>
      </w:r>
      <w:r w:rsidR="007375AC" w:rsidRPr="0065592A">
        <w:rPr>
          <w:rFonts w:asciiTheme="minorHAnsi" w:hAnsiTheme="minorHAnsi" w:cstheme="minorHAnsi"/>
        </w:rPr>
        <w:t>pod úrovní roku 2010, kdy byl</w:t>
      </w:r>
      <w:r w:rsidR="0065592A" w:rsidRPr="0065592A">
        <w:rPr>
          <w:rFonts w:asciiTheme="minorHAnsi" w:hAnsiTheme="minorHAnsi" w:cstheme="minorHAnsi"/>
        </w:rPr>
        <w:t xml:space="preserve"> poměr výdajů MO vůči </w:t>
      </w:r>
      <w:r w:rsidR="005C17B3">
        <w:rPr>
          <w:rFonts w:asciiTheme="minorHAnsi" w:hAnsiTheme="minorHAnsi" w:cstheme="minorHAnsi"/>
        </w:rPr>
        <w:t>HDP</w:t>
      </w:r>
      <w:r w:rsidR="0065592A" w:rsidRPr="0065592A">
        <w:rPr>
          <w:rFonts w:asciiTheme="minorHAnsi" w:hAnsiTheme="minorHAnsi" w:cstheme="minorHAnsi"/>
        </w:rPr>
        <w:t xml:space="preserve"> </w:t>
      </w:r>
      <w:r w:rsidR="007375AC" w:rsidRPr="0065592A">
        <w:rPr>
          <w:rFonts w:asciiTheme="minorHAnsi" w:hAnsiTheme="minorHAnsi" w:cstheme="minorHAnsi"/>
        </w:rPr>
        <w:t>ve výši 1,29 %</w:t>
      </w:r>
      <w:r w:rsidR="0065592A">
        <w:rPr>
          <w:rFonts w:asciiTheme="minorHAnsi" w:hAnsiTheme="minorHAnsi" w:cstheme="minorHAnsi"/>
        </w:rPr>
        <w:t>.</w:t>
      </w:r>
    </w:p>
    <w:p w14:paraId="346C1505" w14:textId="77777777" w:rsidR="007375AC" w:rsidRPr="000965B2" w:rsidRDefault="007375AC" w:rsidP="007375AC">
      <w:pPr>
        <w:jc w:val="both"/>
        <w:rPr>
          <w:rFonts w:asciiTheme="minorHAnsi" w:hAnsiTheme="minorHAnsi" w:cs="Calibri"/>
          <w:color w:val="000000"/>
        </w:rPr>
      </w:pPr>
    </w:p>
    <w:p w14:paraId="316F26F3" w14:textId="7F61A666" w:rsidR="007375AC" w:rsidRPr="005574FF" w:rsidRDefault="007375AC" w:rsidP="00567A24">
      <w:pPr>
        <w:tabs>
          <w:tab w:val="right" w:pos="9072"/>
        </w:tabs>
        <w:spacing w:after="40"/>
        <w:jc w:val="both"/>
        <w:rPr>
          <w:rFonts w:asciiTheme="minorHAnsi" w:hAnsiTheme="minorHAnsi" w:cs="Calibri"/>
          <w:b/>
          <w:color w:val="000000"/>
        </w:rPr>
      </w:pPr>
      <w:r w:rsidRPr="005574FF">
        <w:rPr>
          <w:rFonts w:asciiTheme="minorHAnsi" w:hAnsiTheme="minorHAnsi" w:cs="Calibri"/>
          <w:b/>
          <w:color w:val="000000"/>
        </w:rPr>
        <w:t>Tabulka č. 1</w:t>
      </w:r>
      <w:r w:rsidR="00854EE1">
        <w:rPr>
          <w:rFonts w:asciiTheme="minorHAnsi" w:hAnsiTheme="minorHAnsi" w:cstheme="minorHAnsi"/>
          <w:b/>
        </w:rPr>
        <w:t>:</w:t>
      </w:r>
      <w:r w:rsidRPr="005574FF">
        <w:rPr>
          <w:rFonts w:asciiTheme="minorHAnsi" w:hAnsiTheme="minorHAnsi" w:cs="Calibri"/>
          <w:b/>
          <w:color w:val="000000"/>
        </w:rPr>
        <w:t xml:space="preserve"> Rozpočet výdajů MO a jeho čerpání</w:t>
      </w:r>
      <w:r w:rsidRPr="005574FF">
        <w:rPr>
          <w:rFonts w:asciiTheme="minorHAnsi" w:hAnsiTheme="minorHAnsi" w:cs="Calibri"/>
          <w:b/>
          <w:color w:val="000000"/>
        </w:rPr>
        <w:tab/>
        <w:t>(v mil. Kč)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1099"/>
        <w:gridCol w:w="1140"/>
        <w:gridCol w:w="1047"/>
        <w:gridCol w:w="1047"/>
        <w:gridCol w:w="1563"/>
        <w:gridCol w:w="1810"/>
        <w:gridCol w:w="811"/>
      </w:tblGrid>
      <w:tr w:rsidR="00D07DB2" w:rsidRPr="009E3D70" w14:paraId="5A0F2E8F" w14:textId="77777777" w:rsidTr="0055575A">
        <w:trPr>
          <w:trHeight w:val="130"/>
          <w:jc w:val="center"/>
        </w:trPr>
        <w:tc>
          <w:tcPr>
            <w:tcW w:w="301" w:type="pct"/>
            <w:vMerge w:val="restart"/>
            <w:shd w:val="clear" w:color="auto" w:fill="E5F1FF"/>
            <w:vAlign w:val="center"/>
            <w:hideMark/>
          </w:tcPr>
          <w:p w14:paraId="103612B8" w14:textId="77777777" w:rsidR="007375AC" w:rsidRPr="00567A24" w:rsidRDefault="007375AC" w:rsidP="00E60E6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646" w:type="pct"/>
            <w:vMerge w:val="restart"/>
            <w:shd w:val="clear" w:color="auto" w:fill="E5F1FF"/>
            <w:vAlign w:val="center"/>
            <w:hideMark/>
          </w:tcPr>
          <w:p w14:paraId="0578D98A" w14:textId="1B2BA4B3" w:rsidR="007375AC" w:rsidRPr="00567A24" w:rsidRDefault="003760F9" w:rsidP="00D07DB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647" w:type="pct"/>
            <w:vMerge w:val="restart"/>
            <w:shd w:val="clear" w:color="auto" w:fill="E5F1FF"/>
            <w:vAlign w:val="center"/>
            <w:hideMark/>
          </w:tcPr>
          <w:p w14:paraId="083E3B8F" w14:textId="77777777" w:rsidR="007375AC" w:rsidRPr="00567A24" w:rsidRDefault="007375AC" w:rsidP="00E60E6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Rozpočet po změnách </w:t>
            </w:r>
          </w:p>
        </w:tc>
        <w:tc>
          <w:tcPr>
            <w:tcW w:w="616" w:type="pct"/>
            <w:vMerge w:val="restart"/>
            <w:shd w:val="clear" w:color="auto" w:fill="E5F1FF"/>
            <w:vAlign w:val="center"/>
            <w:hideMark/>
          </w:tcPr>
          <w:p w14:paraId="567F87CF" w14:textId="517694A1" w:rsidR="007375AC" w:rsidRPr="00567A24" w:rsidRDefault="002F097A" w:rsidP="001703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Čerpání výdajů</w:t>
            </w:r>
          </w:p>
        </w:tc>
        <w:tc>
          <w:tcPr>
            <w:tcW w:w="2342" w:type="pct"/>
            <w:gridSpan w:val="3"/>
            <w:shd w:val="clear" w:color="auto" w:fill="E5F1FF"/>
            <w:vAlign w:val="center"/>
            <w:hideMark/>
          </w:tcPr>
          <w:p w14:paraId="7589E624" w14:textId="77777777" w:rsidR="007375AC" w:rsidRPr="00567A24" w:rsidRDefault="007375AC" w:rsidP="00E60E6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toho čerpání</w:t>
            </w:r>
          </w:p>
        </w:tc>
        <w:tc>
          <w:tcPr>
            <w:tcW w:w="447" w:type="pct"/>
            <w:vMerge w:val="restart"/>
            <w:shd w:val="clear" w:color="auto" w:fill="E5F1FF"/>
            <w:vAlign w:val="center"/>
          </w:tcPr>
          <w:p w14:paraId="464EDA08" w14:textId="7753B229" w:rsidR="007375AC" w:rsidRPr="00567A24" w:rsidRDefault="00B276D2" w:rsidP="0017034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Výdaje</w:t>
            </w:r>
            <w:r w:rsidR="00170340"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</w:t>
            </w: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vůči </w:t>
            </w:r>
            <w:r w:rsidR="007375AC"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HDP v %</w:t>
            </w:r>
          </w:p>
        </w:tc>
      </w:tr>
      <w:tr w:rsidR="00D07DB2" w:rsidRPr="009E3D70" w14:paraId="2A184324" w14:textId="77777777" w:rsidTr="0055575A">
        <w:trPr>
          <w:trHeight w:val="315"/>
          <w:jc w:val="center"/>
        </w:trPr>
        <w:tc>
          <w:tcPr>
            <w:tcW w:w="301" w:type="pct"/>
            <w:vMerge/>
            <w:shd w:val="clear" w:color="auto" w:fill="E5F1FF"/>
            <w:vAlign w:val="center"/>
            <w:hideMark/>
          </w:tcPr>
          <w:p w14:paraId="137A12FF" w14:textId="77777777" w:rsidR="007375AC" w:rsidRPr="007375AC" w:rsidRDefault="007375AC" w:rsidP="00E60E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  <w:shd w:val="clear" w:color="auto" w:fill="E5F1FF"/>
            <w:vAlign w:val="center"/>
            <w:hideMark/>
          </w:tcPr>
          <w:p w14:paraId="4D377B74" w14:textId="77777777" w:rsidR="007375AC" w:rsidRPr="007375AC" w:rsidRDefault="007375AC" w:rsidP="00E60E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E5F1FF"/>
            <w:vAlign w:val="center"/>
            <w:hideMark/>
          </w:tcPr>
          <w:p w14:paraId="64880188" w14:textId="77777777" w:rsidR="007375AC" w:rsidRPr="007375AC" w:rsidRDefault="007375AC" w:rsidP="00E60E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E5F1FF"/>
            <w:vAlign w:val="center"/>
            <w:hideMark/>
          </w:tcPr>
          <w:p w14:paraId="50AFA9ED" w14:textId="77777777" w:rsidR="007375AC" w:rsidRPr="007375AC" w:rsidRDefault="007375AC" w:rsidP="00E60E6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E5F1FF"/>
            <w:vAlign w:val="center"/>
            <w:hideMark/>
          </w:tcPr>
          <w:p w14:paraId="7E16DC09" w14:textId="77777777" w:rsidR="007375AC" w:rsidRPr="00567A24" w:rsidRDefault="007375AC" w:rsidP="00E60E6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846" w:type="pct"/>
            <w:shd w:val="clear" w:color="auto" w:fill="E5F1FF"/>
            <w:vAlign w:val="center"/>
            <w:hideMark/>
          </w:tcPr>
          <w:p w14:paraId="4E043789" w14:textId="3126C2E4" w:rsidR="007375AC" w:rsidRPr="00567A24" w:rsidRDefault="00B276D2" w:rsidP="00B276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Mimorozpočtové zdroje</w:t>
            </w:r>
          </w:p>
        </w:tc>
        <w:tc>
          <w:tcPr>
            <w:tcW w:w="911" w:type="pct"/>
            <w:shd w:val="clear" w:color="auto" w:fill="E5F1FF"/>
            <w:vAlign w:val="center"/>
            <w:hideMark/>
          </w:tcPr>
          <w:p w14:paraId="12D35CC3" w14:textId="1847950A" w:rsidR="007375AC" w:rsidRPr="00567A24" w:rsidRDefault="007375AC" w:rsidP="00567A2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</w:t>
            </w:r>
            <w:r w:rsidR="002B40E1"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ároky z</w:t>
            </w:r>
            <w:r w:rsid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 </w:t>
            </w:r>
            <w:r w:rsidR="002B40E1"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</w:t>
            </w:r>
            <w:r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spotřebovan</w:t>
            </w:r>
            <w:r w:rsidR="002B40E1" w:rsidRPr="00567A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ých výdajů</w:t>
            </w:r>
          </w:p>
        </w:tc>
        <w:tc>
          <w:tcPr>
            <w:tcW w:w="447" w:type="pct"/>
            <w:vMerge/>
            <w:shd w:val="clear" w:color="auto" w:fill="E5F1FF"/>
          </w:tcPr>
          <w:p w14:paraId="519A5E16" w14:textId="77777777" w:rsidR="007375AC" w:rsidRPr="007375AC" w:rsidRDefault="007375AC" w:rsidP="00E60E6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D07DB2" w:rsidRPr="009E3D70" w14:paraId="4FF1C078" w14:textId="77777777" w:rsidTr="00567A24">
        <w:trPr>
          <w:trHeight w:val="227"/>
          <w:jc w:val="center"/>
        </w:trPr>
        <w:tc>
          <w:tcPr>
            <w:tcW w:w="301" w:type="pct"/>
            <w:vAlign w:val="center"/>
          </w:tcPr>
          <w:p w14:paraId="7FD48B0D" w14:textId="77777777" w:rsidR="007375AC" w:rsidRPr="00567A24" w:rsidRDefault="007375AC" w:rsidP="00567A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646" w:type="pct"/>
            <w:vAlign w:val="center"/>
          </w:tcPr>
          <w:p w14:paraId="17E75CCC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47 783,137</w:t>
            </w:r>
          </w:p>
        </w:tc>
        <w:tc>
          <w:tcPr>
            <w:tcW w:w="647" w:type="pct"/>
            <w:vAlign w:val="center"/>
          </w:tcPr>
          <w:p w14:paraId="21DFC751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48 072,326</w:t>
            </w:r>
          </w:p>
        </w:tc>
        <w:tc>
          <w:tcPr>
            <w:tcW w:w="616" w:type="pct"/>
            <w:vAlign w:val="center"/>
          </w:tcPr>
          <w:p w14:paraId="20EE33A9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45 670,817</w:t>
            </w:r>
          </w:p>
        </w:tc>
        <w:tc>
          <w:tcPr>
            <w:tcW w:w="585" w:type="pct"/>
            <w:vAlign w:val="center"/>
          </w:tcPr>
          <w:p w14:paraId="6D40ADF0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44 238,716</w:t>
            </w:r>
          </w:p>
        </w:tc>
        <w:tc>
          <w:tcPr>
            <w:tcW w:w="846" w:type="pct"/>
            <w:vAlign w:val="center"/>
          </w:tcPr>
          <w:p w14:paraId="655DBE55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194,350</w:t>
            </w:r>
          </w:p>
        </w:tc>
        <w:tc>
          <w:tcPr>
            <w:tcW w:w="911" w:type="pct"/>
            <w:vAlign w:val="center"/>
          </w:tcPr>
          <w:p w14:paraId="585B9D51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1 237,751</w:t>
            </w:r>
          </w:p>
        </w:tc>
        <w:tc>
          <w:tcPr>
            <w:tcW w:w="447" w:type="pct"/>
            <w:vAlign w:val="center"/>
          </w:tcPr>
          <w:p w14:paraId="4DAF0F7B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1,01 %</w:t>
            </w:r>
          </w:p>
        </w:tc>
      </w:tr>
      <w:tr w:rsidR="00D07DB2" w:rsidRPr="009E3D70" w14:paraId="0D0C03DB" w14:textId="77777777" w:rsidTr="00567A24">
        <w:trPr>
          <w:trHeight w:val="227"/>
          <w:jc w:val="center"/>
        </w:trPr>
        <w:tc>
          <w:tcPr>
            <w:tcW w:w="301" w:type="pct"/>
            <w:vAlign w:val="center"/>
          </w:tcPr>
          <w:p w14:paraId="08718CD2" w14:textId="77777777" w:rsidR="007375AC" w:rsidRPr="00567A24" w:rsidRDefault="007375AC" w:rsidP="00567A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646" w:type="pct"/>
            <w:vAlign w:val="center"/>
          </w:tcPr>
          <w:p w14:paraId="073403DF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52 535,044</w:t>
            </w:r>
          </w:p>
        </w:tc>
        <w:tc>
          <w:tcPr>
            <w:tcW w:w="647" w:type="pct"/>
            <w:vAlign w:val="center"/>
          </w:tcPr>
          <w:p w14:paraId="71854299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53 172,011</w:t>
            </w:r>
          </w:p>
        </w:tc>
        <w:tc>
          <w:tcPr>
            <w:tcW w:w="616" w:type="pct"/>
            <w:vAlign w:val="center"/>
          </w:tcPr>
          <w:p w14:paraId="2058D774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52 908,767</w:t>
            </w:r>
          </w:p>
        </w:tc>
        <w:tc>
          <w:tcPr>
            <w:tcW w:w="585" w:type="pct"/>
            <w:vAlign w:val="center"/>
          </w:tcPr>
          <w:p w14:paraId="0B4E37F6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48 892,183</w:t>
            </w:r>
          </w:p>
        </w:tc>
        <w:tc>
          <w:tcPr>
            <w:tcW w:w="846" w:type="pct"/>
            <w:vAlign w:val="center"/>
          </w:tcPr>
          <w:p w14:paraId="52C5A265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205,187</w:t>
            </w:r>
          </w:p>
        </w:tc>
        <w:tc>
          <w:tcPr>
            <w:tcW w:w="911" w:type="pct"/>
            <w:vAlign w:val="center"/>
          </w:tcPr>
          <w:p w14:paraId="02F3E838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3 811,397</w:t>
            </w:r>
          </w:p>
        </w:tc>
        <w:tc>
          <w:tcPr>
            <w:tcW w:w="447" w:type="pct"/>
            <w:vAlign w:val="center"/>
          </w:tcPr>
          <w:p w14:paraId="6220528E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1,05 %</w:t>
            </w:r>
          </w:p>
        </w:tc>
      </w:tr>
      <w:tr w:rsidR="00D07DB2" w:rsidRPr="009E3D70" w14:paraId="7675F7D0" w14:textId="77777777" w:rsidTr="00567A24">
        <w:trPr>
          <w:trHeight w:val="227"/>
          <w:jc w:val="center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20FCB31D" w14:textId="77777777" w:rsidR="007375AC" w:rsidRPr="00567A24" w:rsidRDefault="007375AC" w:rsidP="00567A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14:paraId="19702F1D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58 893,351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14:paraId="7FCC1B43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59 011,930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543ECE3A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59 799,438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087A6EB3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 xml:space="preserve">56 622,976 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14:paraId="5BF58485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25,742</w:t>
            </w: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74E9C4B2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3 150,720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472BCD76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1,13 %</w:t>
            </w:r>
          </w:p>
        </w:tc>
      </w:tr>
      <w:tr w:rsidR="00D07DB2" w:rsidRPr="009E3D70" w14:paraId="5A840571" w14:textId="77777777" w:rsidTr="00567A24">
        <w:trPr>
          <w:trHeight w:val="227"/>
          <w:jc w:val="center"/>
        </w:trPr>
        <w:tc>
          <w:tcPr>
            <w:tcW w:w="301" w:type="pct"/>
            <w:vAlign w:val="center"/>
          </w:tcPr>
          <w:p w14:paraId="26B0DF80" w14:textId="77777777" w:rsidR="007375AC" w:rsidRPr="00567A24" w:rsidRDefault="007375AC" w:rsidP="00567A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646" w:type="pct"/>
            <w:vAlign w:val="center"/>
          </w:tcPr>
          <w:p w14:paraId="6A7AEB91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66 734,801</w:t>
            </w:r>
          </w:p>
        </w:tc>
        <w:tc>
          <w:tcPr>
            <w:tcW w:w="647" w:type="pct"/>
            <w:vAlign w:val="center"/>
          </w:tcPr>
          <w:p w14:paraId="08AC111D" w14:textId="3B25B9A8" w:rsidR="007375AC" w:rsidRPr="00567A24" w:rsidRDefault="007375AC" w:rsidP="00D07DB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170340"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170340"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07DB2"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D07DB2"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616" w:type="pct"/>
            <w:vAlign w:val="center"/>
          </w:tcPr>
          <w:p w14:paraId="4C194D8A" w14:textId="666B6F63" w:rsidR="007375AC" w:rsidRPr="00567A24" w:rsidRDefault="00D07DB2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68 321,076</w:t>
            </w:r>
          </w:p>
        </w:tc>
        <w:tc>
          <w:tcPr>
            <w:tcW w:w="585" w:type="pct"/>
            <w:vAlign w:val="center"/>
          </w:tcPr>
          <w:p w14:paraId="01C09655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pct"/>
            <w:vAlign w:val="center"/>
          </w:tcPr>
          <w:p w14:paraId="5453DD45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pct"/>
            <w:vAlign w:val="center"/>
          </w:tcPr>
          <w:p w14:paraId="305C8838" w14:textId="77777777" w:rsidR="007375AC" w:rsidRPr="00567A24" w:rsidRDefault="007375AC" w:rsidP="00E60E6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pct"/>
            <w:vAlign w:val="center"/>
          </w:tcPr>
          <w:p w14:paraId="68E2A941" w14:textId="37C08989" w:rsidR="007375AC" w:rsidRPr="00567A24" w:rsidRDefault="002B40E1" w:rsidP="00D07DB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1,</w:t>
            </w:r>
            <w:r w:rsidR="00D07DB2"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D07DB2" w:rsidRPr="009E3D70" w14:paraId="1FF93485" w14:textId="77777777" w:rsidTr="00567A24">
        <w:trPr>
          <w:trHeight w:val="227"/>
          <w:jc w:val="center"/>
        </w:trPr>
        <w:tc>
          <w:tcPr>
            <w:tcW w:w="301" w:type="pct"/>
            <w:vAlign w:val="center"/>
          </w:tcPr>
          <w:p w14:paraId="6264117C" w14:textId="34E66F9E" w:rsidR="002B40E1" w:rsidRPr="00567A24" w:rsidRDefault="002B40E1" w:rsidP="00567A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646" w:type="pct"/>
            <w:vAlign w:val="center"/>
          </w:tcPr>
          <w:p w14:paraId="33FFA9E6" w14:textId="0E6C1CE2" w:rsidR="002B40E1" w:rsidRPr="00567A24" w:rsidRDefault="002B40E1" w:rsidP="007C008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  <w:r w:rsidR="007C008E"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C008E"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00,366</w:t>
            </w:r>
          </w:p>
        </w:tc>
        <w:tc>
          <w:tcPr>
            <w:tcW w:w="647" w:type="pct"/>
            <w:vAlign w:val="center"/>
          </w:tcPr>
          <w:p w14:paraId="7225ACF3" w14:textId="48115FD7" w:rsidR="002B40E1" w:rsidRPr="00567A24" w:rsidRDefault="002B40E1" w:rsidP="002B40E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2A68E2A9" w14:textId="215F7765" w:rsidR="002B40E1" w:rsidRPr="00567A24" w:rsidRDefault="002B40E1" w:rsidP="002B40E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5" w:type="pct"/>
            <w:vAlign w:val="center"/>
          </w:tcPr>
          <w:p w14:paraId="14CC34F4" w14:textId="2A0FA459" w:rsidR="002B40E1" w:rsidRPr="00567A24" w:rsidRDefault="002B40E1" w:rsidP="002B40E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pct"/>
            <w:vAlign w:val="center"/>
          </w:tcPr>
          <w:p w14:paraId="79183A05" w14:textId="3520B676" w:rsidR="002B40E1" w:rsidRPr="00567A24" w:rsidRDefault="002B40E1" w:rsidP="002B40E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pct"/>
            <w:vAlign w:val="center"/>
          </w:tcPr>
          <w:p w14:paraId="3176D9AA" w14:textId="43049553" w:rsidR="002B40E1" w:rsidRPr="00567A24" w:rsidRDefault="002B40E1" w:rsidP="002B40E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pct"/>
            <w:vAlign w:val="center"/>
          </w:tcPr>
          <w:p w14:paraId="37890E5F" w14:textId="44787741" w:rsidR="002B40E1" w:rsidRPr="00567A24" w:rsidRDefault="002B40E1" w:rsidP="002B40E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1,28 %</w:t>
            </w:r>
          </w:p>
        </w:tc>
      </w:tr>
    </w:tbl>
    <w:p w14:paraId="648D09AE" w14:textId="534EF4D0" w:rsidR="007375AC" w:rsidRPr="00567A24" w:rsidRDefault="007375AC" w:rsidP="00567A24">
      <w:pPr>
        <w:shd w:val="clear" w:color="auto" w:fill="FFFFFF"/>
        <w:spacing w:before="40"/>
        <w:jc w:val="both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684EA4">
        <w:rPr>
          <w:rFonts w:asciiTheme="minorHAnsi" w:hAnsiTheme="minorHAnsi" w:cs="Calibri"/>
          <w:b/>
          <w:color w:val="000000"/>
          <w:sz w:val="20"/>
          <w:szCs w:val="20"/>
        </w:rPr>
        <w:t>Zdroj:</w:t>
      </w:r>
      <w:r w:rsidRPr="000965B2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>
        <w:rPr>
          <w:rFonts w:asciiTheme="minorHAnsi" w:hAnsiTheme="minorHAnsi" w:cs="Calibri"/>
          <w:color w:val="000000"/>
          <w:sz w:val="20"/>
          <w:szCs w:val="20"/>
        </w:rPr>
        <w:t>MO,</w:t>
      </w:r>
      <w:r w:rsidR="00E41B24">
        <w:rPr>
          <w:rFonts w:asciiTheme="minorHAnsi" w:hAnsiTheme="minorHAnsi" w:cs="Calibri"/>
          <w:color w:val="000000"/>
          <w:sz w:val="20"/>
          <w:szCs w:val="20"/>
        </w:rPr>
        <w:t xml:space="preserve"> informační systém</w:t>
      </w:r>
      <w:r w:rsidR="00E41B24" w:rsidRPr="00E41B24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153704">
        <w:rPr>
          <w:rFonts w:asciiTheme="minorHAnsi" w:hAnsiTheme="minorHAnsi" w:cs="Calibri"/>
          <w:color w:val="000000"/>
          <w:sz w:val="20"/>
          <w:szCs w:val="20"/>
        </w:rPr>
        <w:t>S</w:t>
      </w:r>
      <w:r w:rsidR="00E41B24" w:rsidRPr="000965B2">
        <w:rPr>
          <w:rFonts w:asciiTheme="minorHAnsi" w:hAnsiTheme="minorHAnsi" w:cs="Calibri"/>
          <w:color w:val="000000"/>
          <w:sz w:val="20"/>
          <w:szCs w:val="20"/>
        </w:rPr>
        <w:t>tátní poklad</w:t>
      </w:r>
      <w:r w:rsidR="00E41B24" w:rsidRPr="00567A24">
        <w:rPr>
          <w:rFonts w:asciiTheme="minorHAnsi" w:hAnsiTheme="minorHAnsi" w:cs="Calibri"/>
          <w:color w:val="000000" w:themeColor="text1"/>
          <w:sz w:val="20"/>
          <w:szCs w:val="20"/>
        </w:rPr>
        <w:t>ny</w:t>
      </w:r>
      <w:r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5574FF">
        <w:rPr>
          <w:rFonts w:asciiTheme="minorHAnsi" w:hAnsiTheme="minorHAnsi" w:cs="Calibri"/>
          <w:i/>
          <w:color w:val="000000"/>
          <w:sz w:val="20"/>
          <w:szCs w:val="20"/>
        </w:rPr>
        <w:t>Monitor</w:t>
      </w:r>
      <w:r w:rsidRPr="000965B2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567A24">
        <w:rPr>
          <w:rFonts w:asciiTheme="minorHAnsi" w:hAnsiTheme="minorHAnsi" w:cs="Calibri"/>
          <w:color w:val="000000" w:themeColor="text1"/>
          <w:sz w:val="20"/>
          <w:szCs w:val="20"/>
        </w:rPr>
        <w:t xml:space="preserve">ke dni </w:t>
      </w:r>
      <w:r w:rsidR="00D07DB2" w:rsidRPr="00567A24">
        <w:rPr>
          <w:rFonts w:asciiTheme="minorHAnsi" w:hAnsiTheme="minorHAnsi" w:cs="Calibri"/>
          <w:color w:val="000000" w:themeColor="text1"/>
          <w:sz w:val="20"/>
          <w:szCs w:val="20"/>
        </w:rPr>
        <w:t>4</w:t>
      </w:r>
      <w:r w:rsidRPr="00567A24">
        <w:rPr>
          <w:rFonts w:asciiTheme="minorHAnsi" w:hAnsiTheme="minorHAnsi" w:cs="Calibri"/>
          <w:color w:val="000000" w:themeColor="text1"/>
          <w:sz w:val="20"/>
          <w:szCs w:val="20"/>
        </w:rPr>
        <w:t xml:space="preserve">. </w:t>
      </w:r>
      <w:r w:rsidR="00D07DB2" w:rsidRPr="00567A24">
        <w:rPr>
          <w:rFonts w:asciiTheme="minorHAnsi" w:hAnsiTheme="minorHAnsi" w:cs="Calibri"/>
          <w:color w:val="000000" w:themeColor="text1"/>
          <w:sz w:val="20"/>
          <w:szCs w:val="20"/>
        </w:rPr>
        <w:t>3</w:t>
      </w:r>
      <w:r w:rsidRPr="00567A24">
        <w:rPr>
          <w:rFonts w:asciiTheme="minorHAnsi" w:hAnsiTheme="minorHAnsi" w:cs="Calibri"/>
          <w:color w:val="000000" w:themeColor="text1"/>
          <w:sz w:val="20"/>
          <w:szCs w:val="20"/>
        </w:rPr>
        <w:t>. 2020</w:t>
      </w:r>
      <w:r w:rsidR="005D2F17" w:rsidRPr="00567A24">
        <w:rPr>
          <w:rFonts w:asciiTheme="minorHAnsi" w:hAnsiTheme="minorHAnsi" w:cs="Calibri"/>
          <w:color w:val="000000" w:themeColor="text1"/>
          <w:sz w:val="20"/>
          <w:szCs w:val="20"/>
        </w:rPr>
        <w:t>.</w:t>
      </w:r>
    </w:p>
    <w:p w14:paraId="250AB6EE" w14:textId="2ACD993A" w:rsidR="00170340" w:rsidRPr="00567A24" w:rsidRDefault="007375AC" w:rsidP="000B5436">
      <w:pPr>
        <w:shd w:val="clear" w:color="auto" w:fill="FFFFFF"/>
        <w:ind w:right="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67A2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Pozn</w:t>
      </w:r>
      <w:r w:rsidR="00B4666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567A2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567A2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276D2" w:rsidRPr="00567A24">
        <w:rPr>
          <w:rFonts w:asciiTheme="minorHAnsi" w:hAnsiTheme="minorHAnsi" w:cstheme="minorHAnsi"/>
          <w:color w:val="000000" w:themeColor="text1"/>
          <w:sz w:val="20"/>
          <w:szCs w:val="20"/>
        </w:rPr>
        <w:t>*</w:t>
      </w:r>
      <w:r w:rsidR="00170340" w:rsidRPr="00567A24">
        <w:rPr>
          <w:rFonts w:asciiTheme="minorHAnsi" w:hAnsiTheme="minorHAnsi" w:cstheme="minorHAnsi"/>
          <w:color w:val="000000" w:themeColor="text1"/>
          <w:sz w:val="20"/>
          <w:szCs w:val="20"/>
        </w:rPr>
        <w:t>Do roku 2018 se jedná o skutečné hodnoty, o</w:t>
      </w:r>
      <w:r w:rsidR="00B276D2" w:rsidRPr="00567A24">
        <w:rPr>
          <w:rFonts w:asciiTheme="minorHAnsi" w:hAnsiTheme="minorHAnsi" w:cstheme="minorHAnsi"/>
          <w:color w:val="000000" w:themeColor="text1"/>
          <w:sz w:val="20"/>
          <w:szCs w:val="20"/>
        </w:rPr>
        <w:t>d roku 2019 o předpokládané hodnoty.</w:t>
      </w:r>
    </w:p>
    <w:p w14:paraId="651D872B" w14:textId="77777777" w:rsidR="007375AC" w:rsidRPr="00567A24" w:rsidRDefault="007375AC" w:rsidP="000B5436">
      <w:pPr>
        <w:shd w:val="clear" w:color="auto" w:fill="FFFFFF"/>
        <w:ind w:right="6"/>
        <w:jc w:val="both"/>
        <w:rPr>
          <w:rFonts w:asciiTheme="minorHAnsi" w:hAnsiTheme="minorHAnsi" w:cstheme="minorHAnsi"/>
          <w:color w:val="000000" w:themeColor="text1"/>
        </w:rPr>
      </w:pPr>
    </w:p>
    <w:p w14:paraId="4EBB2A18" w14:textId="37175FDE" w:rsidR="00F6675A" w:rsidRPr="00567A24" w:rsidRDefault="00D07DB2" w:rsidP="00136B8C">
      <w:pPr>
        <w:shd w:val="clear" w:color="auto" w:fill="FFFFFF"/>
        <w:ind w:right="6"/>
        <w:jc w:val="both"/>
        <w:rPr>
          <w:rFonts w:asciiTheme="minorHAnsi" w:hAnsiTheme="minorHAnsi" w:cstheme="minorHAnsi"/>
          <w:color w:val="000000" w:themeColor="text1"/>
        </w:rPr>
      </w:pPr>
      <w:r w:rsidRPr="00567A24">
        <w:rPr>
          <w:rFonts w:asciiTheme="minorHAnsi" w:hAnsiTheme="minorHAnsi" w:cstheme="minorHAnsi"/>
          <w:color w:val="000000" w:themeColor="text1"/>
        </w:rPr>
        <w:t xml:space="preserve">V </w:t>
      </w:r>
      <w:r w:rsidR="00600874" w:rsidRPr="00567A24">
        <w:rPr>
          <w:rFonts w:asciiTheme="minorHAnsi" w:hAnsiTheme="minorHAnsi" w:cstheme="minorHAnsi"/>
          <w:color w:val="000000" w:themeColor="text1"/>
        </w:rPr>
        <w:t>ro</w:t>
      </w:r>
      <w:r w:rsidRPr="00567A24">
        <w:rPr>
          <w:rFonts w:asciiTheme="minorHAnsi" w:hAnsiTheme="minorHAnsi" w:cstheme="minorHAnsi"/>
          <w:color w:val="000000" w:themeColor="text1"/>
        </w:rPr>
        <w:t>ce</w:t>
      </w:r>
      <w:r w:rsidR="00346521" w:rsidRPr="00567A24">
        <w:rPr>
          <w:rFonts w:asciiTheme="minorHAnsi" w:hAnsiTheme="minorHAnsi" w:cstheme="minorHAnsi"/>
          <w:color w:val="000000" w:themeColor="text1"/>
        </w:rPr>
        <w:t xml:space="preserve"> 2019 </w:t>
      </w:r>
      <w:r w:rsidRPr="00567A24">
        <w:rPr>
          <w:rFonts w:asciiTheme="minorHAnsi" w:hAnsiTheme="minorHAnsi" w:cstheme="minorHAnsi"/>
          <w:color w:val="000000" w:themeColor="text1"/>
        </w:rPr>
        <w:t xml:space="preserve">byly výdaje MO čerpány ve výši </w:t>
      </w:r>
      <w:r w:rsidR="00346521" w:rsidRPr="00567A24">
        <w:rPr>
          <w:rFonts w:asciiTheme="minorHAnsi" w:hAnsiTheme="minorHAnsi" w:cstheme="minorHAnsi"/>
          <w:color w:val="000000" w:themeColor="text1"/>
        </w:rPr>
        <w:t>6</w:t>
      </w:r>
      <w:r w:rsidRPr="00567A24">
        <w:rPr>
          <w:rFonts w:asciiTheme="minorHAnsi" w:hAnsiTheme="minorHAnsi" w:cstheme="minorHAnsi"/>
          <w:color w:val="000000" w:themeColor="text1"/>
        </w:rPr>
        <w:t>8</w:t>
      </w:r>
      <w:r w:rsidR="00346521" w:rsidRPr="00567A24">
        <w:rPr>
          <w:rFonts w:asciiTheme="minorHAnsi" w:hAnsiTheme="minorHAnsi" w:cstheme="minorHAnsi"/>
          <w:color w:val="000000" w:themeColor="text1"/>
        </w:rPr>
        <w:t>,</w:t>
      </w:r>
      <w:r w:rsidRPr="00567A24">
        <w:rPr>
          <w:rFonts w:asciiTheme="minorHAnsi" w:hAnsiTheme="minorHAnsi" w:cstheme="minorHAnsi"/>
          <w:color w:val="000000" w:themeColor="text1"/>
        </w:rPr>
        <w:t>3</w:t>
      </w:r>
      <w:r w:rsidR="00346521" w:rsidRPr="00567A24">
        <w:rPr>
          <w:rFonts w:asciiTheme="minorHAnsi" w:hAnsiTheme="minorHAnsi" w:cstheme="minorHAnsi"/>
          <w:color w:val="000000" w:themeColor="text1"/>
        </w:rPr>
        <w:t xml:space="preserve"> mld. Kč</w:t>
      </w:r>
      <w:r w:rsidR="0091371A" w:rsidRPr="00567A24">
        <w:rPr>
          <w:rFonts w:asciiTheme="minorHAnsi" w:hAnsiTheme="minorHAnsi" w:cstheme="minorHAnsi"/>
          <w:color w:val="000000" w:themeColor="text1"/>
        </w:rPr>
        <w:t>.</w:t>
      </w:r>
      <w:r w:rsidR="00987F6F" w:rsidRPr="00567A24">
        <w:rPr>
          <w:rFonts w:asciiTheme="minorHAnsi" w:hAnsiTheme="minorHAnsi" w:cstheme="minorHAnsi"/>
          <w:color w:val="000000" w:themeColor="text1"/>
        </w:rPr>
        <w:t xml:space="preserve"> </w:t>
      </w:r>
      <w:r w:rsidR="0091371A" w:rsidRPr="00567A24">
        <w:rPr>
          <w:rFonts w:asciiTheme="minorHAnsi" w:hAnsiTheme="minorHAnsi" w:cstheme="minorHAnsi"/>
          <w:color w:val="000000" w:themeColor="text1"/>
        </w:rPr>
        <w:t>N</w:t>
      </w:r>
      <w:r w:rsidR="00346521" w:rsidRPr="00567A24">
        <w:rPr>
          <w:rFonts w:asciiTheme="minorHAnsi" w:hAnsiTheme="minorHAnsi" w:cstheme="minorHAnsi"/>
          <w:color w:val="000000" w:themeColor="text1"/>
        </w:rPr>
        <w:t xml:space="preserve">a rok 2020 </w:t>
      </w:r>
      <w:r w:rsidR="00CB117A" w:rsidRPr="00567A24">
        <w:rPr>
          <w:rFonts w:asciiTheme="minorHAnsi" w:hAnsiTheme="minorHAnsi" w:cstheme="minorHAnsi"/>
          <w:color w:val="000000" w:themeColor="text1"/>
        </w:rPr>
        <w:t>jsou výdaje MO p</w:t>
      </w:r>
      <w:r w:rsidR="00D1660A" w:rsidRPr="00567A24">
        <w:rPr>
          <w:rFonts w:asciiTheme="minorHAnsi" w:hAnsiTheme="minorHAnsi" w:cstheme="minorHAnsi"/>
          <w:color w:val="000000" w:themeColor="text1"/>
        </w:rPr>
        <w:t>lánovány</w:t>
      </w:r>
      <w:r w:rsidR="00CB117A" w:rsidRPr="00567A24">
        <w:rPr>
          <w:rFonts w:asciiTheme="minorHAnsi" w:hAnsiTheme="minorHAnsi" w:cstheme="minorHAnsi"/>
          <w:color w:val="000000" w:themeColor="text1"/>
        </w:rPr>
        <w:t xml:space="preserve"> ve výši </w:t>
      </w:r>
      <w:r w:rsidR="00346521" w:rsidRPr="00567A24">
        <w:rPr>
          <w:rFonts w:asciiTheme="minorHAnsi" w:hAnsiTheme="minorHAnsi" w:cstheme="minorHAnsi"/>
          <w:color w:val="000000" w:themeColor="text1"/>
        </w:rPr>
        <w:t>75,5 mld. Kč</w:t>
      </w:r>
      <w:r w:rsidR="002F097A" w:rsidRPr="00567A24">
        <w:rPr>
          <w:rStyle w:val="Znakapoznpodarou"/>
          <w:rFonts w:asciiTheme="minorHAnsi" w:hAnsiTheme="minorHAnsi" w:cstheme="minorHAnsi"/>
          <w:color w:val="000000" w:themeColor="text1"/>
        </w:rPr>
        <w:footnoteReference w:id="14"/>
      </w:r>
      <w:r w:rsidR="00CB117A" w:rsidRPr="00567A24">
        <w:rPr>
          <w:rFonts w:asciiTheme="minorHAnsi" w:hAnsiTheme="minorHAnsi" w:cstheme="minorHAnsi"/>
          <w:color w:val="000000" w:themeColor="text1"/>
        </w:rPr>
        <w:t xml:space="preserve"> </w:t>
      </w:r>
      <w:r w:rsidR="0091371A" w:rsidRPr="00567A24">
        <w:rPr>
          <w:rFonts w:asciiTheme="minorHAnsi" w:hAnsiTheme="minorHAnsi" w:cstheme="minorHAnsi"/>
          <w:color w:val="000000" w:themeColor="text1"/>
        </w:rPr>
        <w:t>a procento těchto výdajů vůči HDP činí 1,28 %</w:t>
      </w:r>
      <w:r w:rsidR="00346521" w:rsidRPr="00567A24">
        <w:rPr>
          <w:rFonts w:asciiTheme="minorHAnsi" w:hAnsiTheme="minorHAnsi" w:cstheme="minorHAnsi"/>
          <w:color w:val="000000" w:themeColor="text1"/>
        </w:rPr>
        <w:t xml:space="preserve">. </w:t>
      </w:r>
      <w:r w:rsidR="00A832D3" w:rsidRPr="00567A24">
        <w:rPr>
          <w:rFonts w:asciiTheme="minorHAnsi" w:hAnsiTheme="minorHAnsi" w:cstheme="minorHAnsi"/>
          <w:color w:val="000000" w:themeColor="text1"/>
        </w:rPr>
        <w:t>N</w:t>
      </w:r>
      <w:r w:rsidR="00C074D6" w:rsidRPr="00567A24">
        <w:rPr>
          <w:rFonts w:asciiTheme="minorHAnsi" w:hAnsiTheme="minorHAnsi" w:cstheme="minorHAnsi"/>
          <w:color w:val="000000" w:themeColor="text1"/>
        </w:rPr>
        <w:t xml:space="preserve">avyšování rozpočtu MO </w:t>
      </w:r>
      <w:r w:rsidR="00987F6F" w:rsidRPr="00567A24">
        <w:rPr>
          <w:rFonts w:asciiTheme="minorHAnsi" w:hAnsiTheme="minorHAnsi" w:cstheme="minorHAnsi"/>
          <w:color w:val="000000" w:themeColor="text1"/>
        </w:rPr>
        <w:t xml:space="preserve">tak </w:t>
      </w:r>
      <w:r w:rsidR="00C074D6" w:rsidRPr="00567A24">
        <w:rPr>
          <w:rFonts w:asciiTheme="minorHAnsi" w:hAnsiTheme="minorHAnsi" w:cstheme="minorHAnsi"/>
          <w:color w:val="000000" w:themeColor="text1"/>
        </w:rPr>
        <w:t xml:space="preserve">neodpovídá </w:t>
      </w:r>
      <w:r w:rsidR="00987F6F" w:rsidRPr="00567A24">
        <w:rPr>
          <w:rFonts w:asciiTheme="minorHAnsi" w:hAnsiTheme="minorHAnsi" w:cstheme="minorHAnsi"/>
          <w:color w:val="000000" w:themeColor="text1"/>
        </w:rPr>
        <w:t>závazkům, ke kterým se vláda zavázala v letech 2014–2015</w:t>
      </w:r>
      <w:r w:rsidR="00114D91" w:rsidRPr="00567A24">
        <w:rPr>
          <w:rFonts w:asciiTheme="minorHAnsi" w:hAnsiTheme="minorHAnsi" w:cstheme="minorHAnsi"/>
          <w:color w:val="000000" w:themeColor="text1"/>
        </w:rPr>
        <w:t>, neboť schválené dokumenty</w:t>
      </w:r>
      <w:r w:rsidR="003760F9" w:rsidRPr="00567A24">
        <w:rPr>
          <w:rStyle w:val="Znakapoznpodarou"/>
          <w:rFonts w:asciiTheme="minorHAnsi" w:hAnsiTheme="minorHAnsi" w:cstheme="minorHAnsi"/>
          <w:color w:val="000000" w:themeColor="text1"/>
        </w:rPr>
        <w:footnoteReference w:id="15"/>
      </w:r>
      <w:r w:rsidR="00C074D6" w:rsidRPr="00567A24">
        <w:rPr>
          <w:rFonts w:asciiTheme="minorHAnsi" w:hAnsiTheme="minorHAnsi" w:cstheme="minorHAnsi"/>
          <w:color w:val="000000" w:themeColor="text1"/>
        </w:rPr>
        <w:t xml:space="preserve"> </w:t>
      </w:r>
      <w:r w:rsidR="007A5803" w:rsidRPr="00567A24">
        <w:rPr>
          <w:rFonts w:asciiTheme="minorHAnsi" w:hAnsiTheme="minorHAnsi" w:cstheme="minorHAnsi"/>
          <w:color w:val="000000" w:themeColor="text1"/>
        </w:rPr>
        <w:t>plánoval</w:t>
      </w:r>
      <w:r w:rsidR="00114D91" w:rsidRPr="00567A24">
        <w:rPr>
          <w:rFonts w:asciiTheme="minorHAnsi" w:hAnsiTheme="minorHAnsi" w:cstheme="minorHAnsi"/>
          <w:color w:val="000000" w:themeColor="text1"/>
        </w:rPr>
        <w:t>y</w:t>
      </w:r>
      <w:r w:rsidR="00C074D6" w:rsidRPr="00567A24">
        <w:rPr>
          <w:rFonts w:asciiTheme="minorHAnsi" w:hAnsiTheme="minorHAnsi" w:cstheme="minorHAnsi"/>
          <w:color w:val="000000" w:themeColor="text1"/>
        </w:rPr>
        <w:t xml:space="preserve"> v roce 202</w:t>
      </w:r>
      <w:r w:rsidR="00114D91" w:rsidRPr="00567A24">
        <w:rPr>
          <w:rFonts w:asciiTheme="minorHAnsi" w:hAnsiTheme="minorHAnsi" w:cstheme="minorHAnsi"/>
          <w:color w:val="000000" w:themeColor="text1"/>
        </w:rPr>
        <w:t>0</w:t>
      </w:r>
      <w:r w:rsidR="00C074D6" w:rsidRPr="00567A24">
        <w:rPr>
          <w:rFonts w:asciiTheme="minorHAnsi" w:hAnsiTheme="minorHAnsi" w:cstheme="minorHAnsi"/>
          <w:color w:val="000000" w:themeColor="text1"/>
        </w:rPr>
        <w:t xml:space="preserve"> výdaje MO ve výši </w:t>
      </w:r>
      <w:r w:rsidR="00114D91" w:rsidRPr="00567A24">
        <w:rPr>
          <w:rFonts w:asciiTheme="minorHAnsi" w:hAnsiTheme="minorHAnsi" w:cstheme="minorHAnsi"/>
          <w:color w:val="000000" w:themeColor="text1"/>
        </w:rPr>
        <w:t>1,4 % HDP</w:t>
      </w:r>
      <w:r w:rsidR="00AB28C5" w:rsidRPr="00567A24">
        <w:rPr>
          <w:rFonts w:asciiTheme="minorHAnsi" w:hAnsiTheme="minorHAnsi" w:cstheme="minorHAnsi"/>
          <w:color w:val="000000" w:themeColor="text1"/>
        </w:rPr>
        <w:t xml:space="preserve">. </w:t>
      </w:r>
      <w:r w:rsidR="00C074D6" w:rsidRPr="00567A24">
        <w:rPr>
          <w:rFonts w:asciiTheme="minorHAnsi" w:hAnsiTheme="minorHAnsi" w:cstheme="minorHAnsi"/>
          <w:color w:val="000000" w:themeColor="text1"/>
        </w:rPr>
        <w:t xml:space="preserve"> </w:t>
      </w:r>
    </w:p>
    <w:p w14:paraId="25DBE1D6" w14:textId="77777777" w:rsidR="00F6675A" w:rsidRPr="00567A24" w:rsidRDefault="00F6675A" w:rsidP="00136B8C">
      <w:pPr>
        <w:shd w:val="clear" w:color="auto" w:fill="FFFFFF"/>
        <w:ind w:right="6"/>
        <w:jc w:val="both"/>
        <w:rPr>
          <w:rFonts w:asciiTheme="minorHAnsi" w:hAnsiTheme="minorHAnsi" w:cstheme="minorHAnsi"/>
          <w:color w:val="000000" w:themeColor="text1"/>
        </w:rPr>
      </w:pPr>
    </w:p>
    <w:p w14:paraId="4100B704" w14:textId="4CAFB7D0" w:rsidR="000B5436" w:rsidRDefault="00E10A09" w:rsidP="00967973">
      <w:pPr>
        <w:shd w:val="clear" w:color="auto" w:fill="FFFFFF"/>
        <w:ind w:right="6"/>
        <w:jc w:val="both"/>
        <w:rPr>
          <w:rFonts w:asciiTheme="minorHAnsi" w:hAnsiTheme="minorHAnsi" w:cstheme="minorHAnsi"/>
        </w:rPr>
      </w:pPr>
      <w:r w:rsidRPr="00567A24">
        <w:rPr>
          <w:rFonts w:asciiTheme="minorHAnsi" w:hAnsiTheme="minorHAnsi" w:cstheme="minorHAnsi"/>
          <w:b/>
          <w:color w:val="000000" w:themeColor="text1"/>
        </w:rPr>
        <w:t>Armáda</w:t>
      </w:r>
      <w:r w:rsidR="0038671D" w:rsidRPr="00567A24">
        <w:rPr>
          <w:rFonts w:asciiTheme="minorHAnsi" w:hAnsiTheme="minorHAnsi" w:cstheme="minorHAnsi"/>
          <w:color w:val="000000" w:themeColor="text1"/>
        </w:rPr>
        <w:t xml:space="preserve"> je základní součástí</w:t>
      </w:r>
      <w:r w:rsidRPr="00567A24">
        <w:rPr>
          <w:rFonts w:asciiTheme="minorHAnsi" w:hAnsiTheme="minorHAnsi" w:cstheme="minorHAnsi"/>
          <w:color w:val="000000" w:themeColor="text1"/>
        </w:rPr>
        <w:t xml:space="preserve"> ozbrojených sil, které </w:t>
      </w:r>
      <w:r w:rsidR="00E41B24">
        <w:rPr>
          <w:rFonts w:asciiTheme="minorHAnsi" w:hAnsiTheme="minorHAnsi" w:cstheme="minorHAnsi"/>
          <w:color w:val="000000" w:themeColor="text1"/>
        </w:rPr>
        <w:t>stát</w:t>
      </w:r>
      <w:r w:rsidRPr="00567A24">
        <w:rPr>
          <w:rFonts w:asciiTheme="minorHAnsi" w:hAnsiTheme="minorHAnsi" w:cstheme="minorHAnsi"/>
          <w:color w:val="000000" w:themeColor="text1"/>
        </w:rPr>
        <w:t xml:space="preserve"> vytváří k zajišťování své bezpečnosti. Organizačně se člení na vojenské útvary a vojenská zařízení. Úkoly Armády vymezuje zákon č. 219/1999 Sb.</w:t>
      </w:r>
      <w:r w:rsidRPr="00567A24">
        <w:rPr>
          <w:rStyle w:val="Znakapoznpodarou"/>
          <w:rFonts w:asciiTheme="minorHAnsi" w:hAnsiTheme="minorHAnsi" w:cstheme="minorHAnsi"/>
          <w:color w:val="000000" w:themeColor="text1"/>
        </w:rPr>
        <w:footnoteReference w:id="16"/>
      </w:r>
      <w:r w:rsidRPr="00567A24">
        <w:rPr>
          <w:rFonts w:asciiTheme="minorHAnsi" w:hAnsiTheme="minorHAnsi" w:cstheme="minorHAnsi"/>
          <w:color w:val="000000" w:themeColor="text1"/>
        </w:rPr>
        <w:t xml:space="preserve"> v ustanovení § 9 a </w:t>
      </w:r>
      <w:r w:rsidR="002B2458" w:rsidRPr="00567A24">
        <w:rPr>
          <w:rFonts w:asciiTheme="minorHAnsi" w:hAnsiTheme="minorHAnsi" w:cstheme="minorHAnsi"/>
          <w:color w:val="000000" w:themeColor="text1"/>
        </w:rPr>
        <w:t xml:space="preserve">§ </w:t>
      </w:r>
      <w:r w:rsidRPr="00567A24">
        <w:rPr>
          <w:rFonts w:asciiTheme="minorHAnsi" w:hAnsiTheme="minorHAnsi" w:cstheme="minorHAnsi"/>
          <w:color w:val="000000" w:themeColor="text1"/>
        </w:rPr>
        <w:t>10 a části třetí</w:t>
      </w:r>
      <w:r w:rsidR="002B2458" w:rsidRPr="00567A24">
        <w:rPr>
          <w:rFonts w:asciiTheme="minorHAnsi" w:hAnsiTheme="minorHAnsi" w:cstheme="minorHAnsi"/>
          <w:color w:val="000000" w:themeColor="text1"/>
        </w:rPr>
        <w:t xml:space="preserve"> tohoto zákona</w:t>
      </w:r>
      <w:r w:rsidRPr="00567A24">
        <w:rPr>
          <w:rFonts w:asciiTheme="minorHAnsi" w:hAnsiTheme="minorHAnsi" w:cstheme="minorHAnsi"/>
          <w:color w:val="000000" w:themeColor="text1"/>
        </w:rPr>
        <w:t xml:space="preserve">. </w:t>
      </w:r>
      <w:r w:rsidR="00483F05" w:rsidRPr="00567A24">
        <w:rPr>
          <w:rFonts w:asciiTheme="minorHAnsi" w:hAnsiTheme="minorHAnsi" w:cstheme="minorHAnsi"/>
          <w:color w:val="000000" w:themeColor="text1"/>
        </w:rPr>
        <w:t>Hlavním ú</w:t>
      </w:r>
      <w:r w:rsidRPr="00567A24">
        <w:rPr>
          <w:rFonts w:asciiTheme="minorHAnsi" w:hAnsiTheme="minorHAnsi" w:cstheme="minorHAnsi"/>
          <w:color w:val="000000" w:themeColor="text1"/>
        </w:rPr>
        <w:t>kolem je příprava k obraně ČR a obrana proti vnějšímu napadení. Armáda plní též úkoly, které vyplývají z mezinárodních smluvních závazků ČR, podílí se na činnostech ve prospěch mír</w:t>
      </w:r>
      <w:r w:rsidR="002B2458" w:rsidRPr="00567A24">
        <w:rPr>
          <w:rFonts w:asciiTheme="minorHAnsi" w:hAnsiTheme="minorHAnsi" w:cstheme="minorHAnsi"/>
          <w:color w:val="000000" w:themeColor="text1"/>
        </w:rPr>
        <w:t>u a </w:t>
      </w:r>
      <w:r w:rsidRPr="00567A24">
        <w:rPr>
          <w:rFonts w:asciiTheme="minorHAnsi" w:hAnsiTheme="minorHAnsi" w:cstheme="minorHAnsi"/>
          <w:color w:val="000000" w:themeColor="text1"/>
        </w:rPr>
        <w:t xml:space="preserve">bezpečnosti a účastní se vojenských cvičení na území ČR nebo v zahraničí. </w:t>
      </w:r>
      <w:r w:rsidR="003415E5" w:rsidRPr="00567A24">
        <w:rPr>
          <w:rFonts w:asciiTheme="minorHAnsi" w:hAnsiTheme="minorHAnsi" w:cstheme="minorHAnsi"/>
          <w:color w:val="000000" w:themeColor="text1"/>
        </w:rPr>
        <w:t>Zabezpečení</w:t>
      </w:r>
      <w:r w:rsidR="00967973" w:rsidRPr="00567A2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67973" w:rsidRPr="00567A24">
        <w:rPr>
          <w:rFonts w:asciiTheme="minorHAnsi" w:hAnsiTheme="minorHAnsi" w:cstheme="minorHAnsi"/>
          <w:color w:val="000000" w:themeColor="text1"/>
        </w:rPr>
        <w:t>Armády věcnými prostředky, mezi které patří i obrněná technika, je jedním ze základníc</w:t>
      </w:r>
      <w:r w:rsidR="00967973" w:rsidRPr="003415E5">
        <w:rPr>
          <w:rFonts w:asciiTheme="minorHAnsi" w:hAnsiTheme="minorHAnsi" w:cstheme="minorHAnsi"/>
        </w:rPr>
        <w:t>h předpokladů splnění požadovaných vojenských schopností.</w:t>
      </w:r>
      <w:r w:rsidR="003415E5">
        <w:rPr>
          <w:rFonts w:asciiTheme="minorHAnsi" w:hAnsiTheme="minorHAnsi" w:cstheme="minorHAnsi"/>
        </w:rPr>
        <w:t xml:space="preserve"> </w:t>
      </w:r>
    </w:p>
    <w:p w14:paraId="0BD8013C" w14:textId="77777777" w:rsidR="00967973" w:rsidRPr="00CE0687" w:rsidRDefault="00967973" w:rsidP="00967973">
      <w:pPr>
        <w:shd w:val="clear" w:color="auto" w:fill="FFFFFF"/>
        <w:ind w:right="6"/>
        <w:jc w:val="both"/>
        <w:rPr>
          <w:rFonts w:asciiTheme="minorHAnsi" w:hAnsiTheme="minorHAnsi" w:cstheme="minorHAnsi"/>
          <w:b/>
          <w:highlight w:val="yellow"/>
        </w:rPr>
      </w:pPr>
    </w:p>
    <w:p w14:paraId="6194E5A9" w14:textId="48DF5790" w:rsidR="00097F4E" w:rsidRPr="00CE0687" w:rsidRDefault="0038671D" w:rsidP="0083200C">
      <w:pPr>
        <w:shd w:val="clear" w:color="auto" w:fill="FFFFFF"/>
        <w:ind w:right="6"/>
        <w:jc w:val="both"/>
        <w:rPr>
          <w:rFonts w:asciiTheme="minorHAnsi" w:hAnsiTheme="minorHAnsi" w:cstheme="minorHAnsi"/>
          <w:highlight w:val="yellow"/>
        </w:rPr>
      </w:pPr>
      <w:r w:rsidRPr="0038671D">
        <w:rPr>
          <w:rFonts w:asciiTheme="minorHAnsi" w:hAnsiTheme="minorHAnsi" w:cstheme="minorHAnsi"/>
          <w:b/>
        </w:rPr>
        <w:t>O</w:t>
      </w:r>
      <w:r w:rsidR="00D87C83" w:rsidRPr="0038671D">
        <w:rPr>
          <w:rFonts w:asciiTheme="minorHAnsi" w:hAnsiTheme="minorHAnsi" w:cstheme="minorHAnsi"/>
          <w:b/>
        </w:rPr>
        <w:t>b</w:t>
      </w:r>
      <w:r w:rsidR="00D87C83" w:rsidRPr="00D466EB">
        <w:rPr>
          <w:rFonts w:asciiTheme="minorHAnsi" w:hAnsiTheme="minorHAnsi" w:cstheme="minorHAnsi"/>
          <w:b/>
        </w:rPr>
        <w:t>rněn</w:t>
      </w:r>
      <w:r>
        <w:rPr>
          <w:rFonts w:asciiTheme="minorHAnsi" w:hAnsiTheme="minorHAnsi" w:cstheme="minorHAnsi"/>
          <w:b/>
        </w:rPr>
        <w:t>á technika</w:t>
      </w:r>
      <w:r w:rsidR="00D87C83" w:rsidRPr="00D466EB">
        <w:rPr>
          <w:rFonts w:asciiTheme="minorHAnsi" w:hAnsiTheme="minorHAnsi" w:cstheme="minorHAnsi"/>
          <w:b/>
        </w:rPr>
        <w:t xml:space="preserve"> Armády</w:t>
      </w:r>
      <w:r w:rsidR="00F66C53" w:rsidRPr="00D466EB">
        <w:rPr>
          <w:rFonts w:asciiTheme="minorHAnsi" w:hAnsiTheme="minorHAnsi" w:cstheme="minorHAnsi"/>
        </w:rPr>
        <w:t xml:space="preserve"> </w:t>
      </w:r>
      <w:r w:rsidR="001E1427">
        <w:rPr>
          <w:rFonts w:asciiTheme="minorHAnsi" w:hAnsiTheme="minorHAnsi" w:cstheme="minorHAnsi"/>
        </w:rPr>
        <w:t>zahrnuje</w:t>
      </w:r>
      <w:r w:rsidR="00D87C83" w:rsidRPr="00D466EB">
        <w:rPr>
          <w:rFonts w:asciiTheme="minorHAnsi" w:hAnsiTheme="minorHAnsi" w:cstheme="minorHAnsi"/>
        </w:rPr>
        <w:t xml:space="preserve"> </w:t>
      </w:r>
      <w:r w:rsidR="007013C3">
        <w:rPr>
          <w:rFonts w:asciiTheme="minorHAnsi" w:hAnsiTheme="minorHAnsi" w:cstheme="minorHAnsi"/>
        </w:rPr>
        <w:t xml:space="preserve">pozemní </w:t>
      </w:r>
      <w:r w:rsidR="006B241E">
        <w:rPr>
          <w:rFonts w:asciiTheme="minorHAnsi" w:hAnsiTheme="minorHAnsi" w:cstheme="minorHAnsi"/>
        </w:rPr>
        <w:t xml:space="preserve">vojenskou </w:t>
      </w:r>
      <w:r w:rsidR="00D87C83" w:rsidRPr="00D466EB">
        <w:rPr>
          <w:rFonts w:asciiTheme="minorHAnsi" w:hAnsiTheme="minorHAnsi" w:cstheme="minorHAnsi"/>
        </w:rPr>
        <w:t>technik</w:t>
      </w:r>
      <w:r w:rsidR="001E1427">
        <w:rPr>
          <w:rFonts w:asciiTheme="minorHAnsi" w:hAnsiTheme="minorHAnsi" w:cstheme="minorHAnsi"/>
        </w:rPr>
        <w:t>u</w:t>
      </w:r>
      <w:r w:rsidR="00D87C83" w:rsidRPr="00D466EB">
        <w:rPr>
          <w:rFonts w:asciiTheme="minorHAnsi" w:hAnsiTheme="minorHAnsi" w:cstheme="minorHAnsi"/>
        </w:rPr>
        <w:t>, která je vybavena balistickou ochranou nejméně prvního stupně dle normy STANAG</w:t>
      </w:r>
      <w:r w:rsidR="00D466EB">
        <w:rPr>
          <w:rStyle w:val="Znakapoznpodarou"/>
          <w:rFonts w:asciiTheme="minorHAnsi" w:hAnsiTheme="minorHAnsi" w:cstheme="minorHAnsi"/>
        </w:rPr>
        <w:footnoteReference w:id="17"/>
      </w:r>
      <w:r w:rsidR="00665CE5">
        <w:rPr>
          <w:rFonts w:asciiTheme="minorHAnsi" w:hAnsiTheme="minorHAnsi" w:cstheme="minorHAnsi"/>
        </w:rPr>
        <w:t xml:space="preserve"> 4569</w:t>
      </w:r>
      <w:r w:rsidR="00D87C83" w:rsidRPr="00D466EB">
        <w:rPr>
          <w:rFonts w:asciiTheme="minorHAnsi" w:hAnsiTheme="minorHAnsi" w:cstheme="minorHAnsi"/>
        </w:rPr>
        <w:t xml:space="preserve"> a dále starší </w:t>
      </w:r>
      <w:r w:rsidR="007013C3">
        <w:rPr>
          <w:rFonts w:asciiTheme="minorHAnsi" w:hAnsiTheme="minorHAnsi" w:cstheme="minorHAnsi"/>
        </w:rPr>
        <w:t>pozemní vojenskou techniku</w:t>
      </w:r>
      <w:r w:rsidR="00D61D8D">
        <w:rPr>
          <w:rFonts w:asciiTheme="minorHAnsi" w:hAnsiTheme="minorHAnsi" w:cstheme="minorHAnsi"/>
        </w:rPr>
        <w:t>,</w:t>
      </w:r>
      <w:r w:rsidR="007013C3">
        <w:rPr>
          <w:rFonts w:asciiTheme="minorHAnsi" w:hAnsiTheme="minorHAnsi" w:cstheme="minorHAnsi"/>
        </w:rPr>
        <w:t xml:space="preserve"> </w:t>
      </w:r>
      <w:r w:rsidR="00D87C83" w:rsidRPr="00D466EB">
        <w:rPr>
          <w:rFonts w:asciiTheme="minorHAnsi" w:hAnsiTheme="minorHAnsi" w:cstheme="minorHAnsi"/>
        </w:rPr>
        <w:t xml:space="preserve">jako </w:t>
      </w:r>
      <w:r w:rsidR="006B241E">
        <w:rPr>
          <w:rFonts w:asciiTheme="minorHAnsi" w:hAnsiTheme="minorHAnsi" w:cstheme="minorHAnsi"/>
        </w:rPr>
        <w:t xml:space="preserve">jsou </w:t>
      </w:r>
      <w:r w:rsidR="00D87C83" w:rsidRPr="00D466EB">
        <w:rPr>
          <w:rFonts w:asciiTheme="minorHAnsi" w:hAnsiTheme="minorHAnsi" w:cstheme="minorHAnsi"/>
        </w:rPr>
        <w:t xml:space="preserve">například </w:t>
      </w:r>
      <w:r w:rsidR="00D505CA">
        <w:rPr>
          <w:rFonts w:asciiTheme="minorHAnsi" w:hAnsiTheme="minorHAnsi" w:cstheme="minorHAnsi"/>
        </w:rPr>
        <w:t xml:space="preserve">bojová </w:t>
      </w:r>
      <w:r w:rsidR="00D87C83" w:rsidRPr="00D466EB">
        <w:rPr>
          <w:rFonts w:asciiTheme="minorHAnsi" w:hAnsiTheme="minorHAnsi" w:cstheme="minorHAnsi"/>
        </w:rPr>
        <w:t xml:space="preserve">vozidla </w:t>
      </w:r>
      <w:r w:rsidR="00D505CA">
        <w:rPr>
          <w:rFonts w:asciiTheme="minorHAnsi" w:hAnsiTheme="minorHAnsi" w:cstheme="minorHAnsi"/>
        </w:rPr>
        <w:t>pěchoty</w:t>
      </w:r>
      <w:r w:rsidR="001E1427">
        <w:rPr>
          <w:rFonts w:asciiTheme="minorHAnsi" w:hAnsiTheme="minorHAnsi" w:cstheme="minorHAnsi"/>
        </w:rPr>
        <w:t xml:space="preserve">, </w:t>
      </w:r>
      <w:r w:rsidR="006B241E">
        <w:rPr>
          <w:rFonts w:asciiTheme="minorHAnsi" w:hAnsiTheme="minorHAnsi" w:cstheme="minorHAnsi"/>
        </w:rPr>
        <w:t xml:space="preserve">obrněné transportéry, </w:t>
      </w:r>
      <w:r w:rsidR="00D87C83" w:rsidRPr="00D466EB">
        <w:rPr>
          <w:rFonts w:asciiTheme="minorHAnsi" w:hAnsiTheme="minorHAnsi" w:cstheme="minorHAnsi"/>
        </w:rPr>
        <w:t>tanky</w:t>
      </w:r>
      <w:r w:rsidR="001E1427">
        <w:rPr>
          <w:rFonts w:asciiTheme="minorHAnsi" w:hAnsiTheme="minorHAnsi" w:cstheme="minorHAnsi"/>
        </w:rPr>
        <w:t xml:space="preserve"> nebo samohybné houfnice</w:t>
      </w:r>
      <w:r w:rsidR="00D87C83" w:rsidRPr="00D466EB">
        <w:rPr>
          <w:rFonts w:asciiTheme="minorHAnsi" w:hAnsiTheme="minorHAnsi" w:cstheme="minorHAnsi"/>
        </w:rPr>
        <w:t>.</w:t>
      </w:r>
      <w:r w:rsidR="001E1427">
        <w:rPr>
          <w:rFonts w:asciiTheme="minorHAnsi" w:hAnsiTheme="minorHAnsi" w:cstheme="minorHAnsi"/>
        </w:rPr>
        <w:t xml:space="preserve"> </w:t>
      </w:r>
      <w:r w:rsidR="00D466EB" w:rsidRPr="00D466EB">
        <w:rPr>
          <w:rFonts w:asciiTheme="minorHAnsi" w:hAnsiTheme="minorHAnsi" w:cstheme="minorHAnsi"/>
        </w:rPr>
        <w:t>Jedná</w:t>
      </w:r>
      <w:r w:rsidR="001E1427">
        <w:rPr>
          <w:rFonts w:asciiTheme="minorHAnsi" w:hAnsiTheme="minorHAnsi" w:cstheme="minorHAnsi"/>
        </w:rPr>
        <w:t xml:space="preserve"> </w:t>
      </w:r>
      <w:r w:rsidR="00D466EB" w:rsidRPr="00D466EB">
        <w:rPr>
          <w:rFonts w:asciiTheme="minorHAnsi" w:hAnsiTheme="minorHAnsi" w:cstheme="minorHAnsi"/>
        </w:rPr>
        <w:t xml:space="preserve">se celkem o 35 tabulkových položek, z nichž většinu tvoří obrněná vozidla. </w:t>
      </w:r>
      <w:r w:rsidR="00D466EB">
        <w:rPr>
          <w:rFonts w:asciiTheme="minorHAnsi" w:hAnsiTheme="minorHAnsi" w:cstheme="minorHAnsi"/>
        </w:rPr>
        <w:t>Podle zákona</w:t>
      </w:r>
      <w:r w:rsidR="00114D91">
        <w:rPr>
          <w:rFonts w:asciiTheme="minorHAnsi" w:hAnsiTheme="minorHAnsi" w:cstheme="minorHAnsi"/>
        </w:rPr>
        <w:t xml:space="preserve"> č. 219/1999 Sb.</w:t>
      </w:r>
      <w:r w:rsidR="00D466EB">
        <w:rPr>
          <w:rFonts w:asciiTheme="minorHAnsi" w:hAnsiTheme="minorHAnsi" w:cstheme="minorHAnsi"/>
        </w:rPr>
        <w:t xml:space="preserve"> je obrněná technika vojenský materiál. </w:t>
      </w:r>
      <w:r w:rsidR="00E960EB">
        <w:rPr>
          <w:rFonts w:asciiTheme="minorHAnsi" w:hAnsiTheme="minorHAnsi" w:cstheme="minorHAnsi"/>
        </w:rPr>
        <w:t>Z</w:t>
      </w:r>
      <w:r w:rsidR="00A97804">
        <w:rPr>
          <w:rFonts w:asciiTheme="minorHAnsi" w:hAnsiTheme="minorHAnsi" w:cstheme="minorHAnsi"/>
        </w:rPr>
        <w:t>ahrnuje</w:t>
      </w:r>
      <w:r w:rsidR="00E960EB">
        <w:rPr>
          <w:rFonts w:asciiTheme="minorHAnsi" w:hAnsiTheme="minorHAnsi" w:cstheme="minorHAnsi"/>
        </w:rPr>
        <w:t xml:space="preserve"> zpravidla </w:t>
      </w:r>
      <w:r w:rsidR="00A97804">
        <w:rPr>
          <w:rFonts w:asciiTheme="minorHAnsi" w:hAnsiTheme="minorHAnsi" w:cstheme="minorHAnsi"/>
        </w:rPr>
        <w:t>hlavní systém (vo</w:t>
      </w:r>
      <w:r w:rsidR="00842181">
        <w:rPr>
          <w:rFonts w:asciiTheme="minorHAnsi" w:hAnsiTheme="minorHAnsi" w:cstheme="minorHAnsi"/>
        </w:rPr>
        <w:t>zidlo,</w:t>
      </w:r>
      <w:r w:rsidR="00A97804">
        <w:rPr>
          <w:rFonts w:asciiTheme="minorHAnsi" w:hAnsiTheme="minorHAnsi" w:cstheme="minorHAnsi"/>
        </w:rPr>
        <w:t xml:space="preserve"> automobil,</w:t>
      </w:r>
      <w:r w:rsidR="006B241E">
        <w:rPr>
          <w:rFonts w:asciiTheme="minorHAnsi" w:hAnsiTheme="minorHAnsi" w:cstheme="minorHAnsi"/>
        </w:rPr>
        <w:t xml:space="preserve"> tank apod.) </w:t>
      </w:r>
      <w:r w:rsidR="00E960EB">
        <w:rPr>
          <w:rFonts w:asciiTheme="minorHAnsi" w:hAnsiTheme="minorHAnsi" w:cstheme="minorHAnsi"/>
        </w:rPr>
        <w:t>i </w:t>
      </w:r>
      <w:r w:rsidR="00A97804">
        <w:rPr>
          <w:rFonts w:asciiTheme="minorHAnsi" w:hAnsiTheme="minorHAnsi" w:cstheme="minorHAnsi"/>
        </w:rPr>
        <w:t>prvky pro jeho zabezpečení (náhradní díly, vybavení, dokumentace apod.). MO ke konci roku 2018 spravovalo obrněnou techniku Armády v celkové hodnotě 15,963 mld. Kč.</w:t>
      </w:r>
      <w:r w:rsidR="00EC0ACF">
        <w:rPr>
          <w:rStyle w:val="Znakapoznpodarou"/>
          <w:rFonts w:asciiTheme="minorHAnsi" w:hAnsiTheme="minorHAnsi" w:cstheme="minorHAnsi"/>
        </w:rPr>
        <w:footnoteReference w:id="18"/>
      </w:r>
      <w:r w:rsidR="00A97804">
        <w:rPr>
          <w:rFonts w:asciiTheme="minorHAnsi" w:hAnsiTheme="minorHAnsi" w:cstheme="minorHAnsi"/>
        </w:rPr>
        <w:t xml:space="preserve"> Tuto techniku využívaly především pozemní síly, dále síly výcviku, logistiky a vojenského zdravotnictví, speciální síly</w:t>
      </w:r>
      <w:r w:rsidR="007013C3">
        <w:rPr>
          <w:rFonts w:asciiTheme="minorHAnsi" w:hAnsiTheme="minorHAnsi" w:cstheme="minorHAnsi"/>
        </w:rPr>
        <w:t xml:space="preserve"> a </w:t>
      </w:r>
      <w:r w:rsidR="00A97804">
        <w:rPr>
          <w:rFonts w:asciiTheme="minorHAnsi" w:hAnsiTheme="minorHAnsi" w:cstheme="minorHAnsi"/>
        </w:rPr>
        <w:t>něk</w:t>
      </w:r>
      <w:r w:rsidR="001E1427">
        <w:rPr>
          <w:rFonts w:asciiTheme="minorHAnsi" w:hAnsiTheme="minorHAnsi" w:cstheme="minorHAnsi"/>
        </w:rPr>
        <w:t>olik</w:t>
      </w:r>
      <w:r w:rsidR="00A97804">
        <w:rPr>
          <w:rFonts w:asciiTheme="minorHAnsi" w:hAnsiTheme="minorHAnsi" w:cstheme="minorHAnsi"/>
        </w:rPr>
        <w:t xml:space="preserve"> polož</w:t>
      </w:r>
      <w:r w:rsidR="001E1427">
        <w:rPr>
          <w:rFonts w:asciiTheme="minorHAnsi" w:hAnsiTheme="minorHAnsi" w:cstheme="minorHAnsi"/>
        </w:rPr>
        <w:t>e</w:t>
      </w:r>
      <w:r w:rsidR="00A97804">
        <w:rPr>
          <w:rFonts w:asciiTheme="minorHAnsi" w:hAnsiTheme="minorHAnsi" w:cstheme="minorHAnsi"/>
        </w:rPr>
        <w:t xml:space="preserve">k </w:t>
      </w:r>
      <w:r w:rsidR="001E1427">
        <w:rPr>
          <w:rFonts w:asciiTheme="minorHAnsi" w:hAnsiTheme="minorHAnsi" w:cstheme="minorHAnsi"/>
        </w:rPr>
        <w:t>využívaly</w:t>
      </w:r>
      <w:r w:rsidR="00D61D8D">
        <w:rPr>
          <w:rFonts w:asciiTheme="minorHAnsi" w:hAnsiTheme="minorHAnsi" w:cstheme="minorHAnsi"/>
        </w:rPr>
        <w:t xml:space="preserve"> </w:t>
      </w:r>
      <w:r w:rsidR="00A97804">
        <w:rPr>
          <w:rFonts w:asciiTheme="minorHAnsi" w:hAnsiTheme="minorHAnsi" w:cstheme="minorHAnsi"/>
        </w:rPr>
        <w:t>vzdušné síly.</w:t>
      </w:r>
    </w:p>
    <w:p w14:paraId="377B756F" w14:textId="7B1406C0" w:rsidR="00B7765E" w:rsidRDefault="00B7765E">
      <w:pPr>
        <w:rPr>
          <w:rFonts w:asciiTheme="minorHAnsi" w:hAnsiTheme="minorHAnsi" w:cstheme="minorHAnsi"/>
          <w:bCs/>
        </w:rPr>
      </w:pPr>
    </w:p>
    <w:p w14:paraId="3B57EA44" w14:textId="3B2F0D93" w:rsidR="008C1748" w:rsidRPr="006B7328" w:rsidRDefault="008C1748" w:rsidP="00567A24">
      <w:pPr>
        <w:pStyle w:val="Nzev"/>
        <w:tabs>
          <w:tab w:val="right" w:pos="9072"/>
        </w:tabs>
        <w:spacing w:after="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B7328">
        <w:rPr>
          <w:rFonts w:asciiTheme="minorHAnsi" w:hAnsiTheme="minorHAnsi" w:cstheme="minorHAnsi"/>
          <w:b/>
          <w:bCs/>
          <w:sz w:val="24"/>
          <w:szCs w:val="24"/>
        </w:rPr>
        <w:t xml:space="preserve">Tabulka č. </w:t>
      </w:r>
      <w:r w:rsidR="007375AC" w:rsidRPr="006B732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54EE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6B732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64EC" w:rsidRPr="006B7328">
        <w:rPr>
          <w:rFonts w:asciiTheme="minorHAnsi" w:hAnsiTheme="minorHAnsi" w:cstheme="minorHAnsi"/>
          <w:b/>
          <w:bCs/>
          <w:sz w:val="24"/>
          <w:szCs w:val="24"/>
        </w:rPr>
        <w:t>Počet</w:t>
      </w:r>
      <w:r w:rsidR="001E1427" w:rsidRPr="006B7328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3B154D" w:rsidRPr="006B7328">
        <w:rPr>
          <w:rFonts w:asciiTheme="minorHAnsi" w:hAnsiTheme="minorHAnsi" w:cstheme="minorHAnsi"/>
          <w:b/>
          <w:bCs/>
          <w:sz w:val="24"/>
          <w:szCs w:val="24"/>
        </w:rPr>
        <w:t xml:space="preserve">životnost, </w:t>
      </w:r>
      <w:r w:rsidR="001E1427" w:rsidRPr="006B7328">
        <w:rPr>
          <w:rFonts w:asciiTheme="minorHAnsi" w:hAnsiTheme="minorHAnsi" w:cstheme="minorHAnsi"/>
          <w:b/>
          <w:bCs/>
          <w:sz w:val="24"/>
          <w:szCs w:val="24"/>
        </w:rPr>
        <w:t>stáří</w:t>
      </w:r>
      <w:r w:rsidR="00EF64EC" w:rsidRPr="006B7328">
        <w:rPr>
          <w:rFonts w:asciiTheme="minorHAnsi" w:hAnsiTheme="minorHAnsi" w:cstheme="minorHAnsi"/>
          <w:b/>
          <w:bCs/>
          <w:sz w:val="24"/>
          <w:szCs w:val="24"/>
        </w:rPr>
        <w:t xml:space="preserve"> a hodnota o</w:t>
      </w:r>
      <w:r w:rsidR="0021118C" w:rsidRPr="006B7328">
        <w:rPr>
          <w:rFonts w:asciiTheme="minorHAnsi" w:hAnsiTheme="minorHAnsi" w:cstheme="minorHAnsi"/>
          <w:b/>
          <w:bCs/>
          <w:sz w:val="24"/>
          <w:szCs w:val="24"/>
        </w:rPr>
        <w:t>brněn</w:t>
      </w:r>
      <w:r w:rsidR="00EF64EC" w:rsidRPr="006B7328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="0021118C" w:rsidRPr="006B7328">
        <w:rPr>
          <w:rFonts w:asciiTheme="minorHAnsi" w:hAnsiTheme="minorHAnsi" w:cstheme="minorHAnsi"/>
          <w:b/>
          <w:bCs/>
          <w:sz w:val="24"/>
          <w:szCs w:val="24"/>
        </w:rPr>
        <w:t xml:space="preserve"> technik</w:t>
      </w:r>
      <w:r w:rsidR="00EF64EC" w:rsidRPr="006B7328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21118C" w:rsidRPr="006B7328">
        <w:rPr>
          <w:rFonts w:asciiTheme="minorHAnsi" w:hAnsiTheme="minorHAnsi" w:cstheme="minorHAnsi"/>
          <w:b/>
          <w:bCs/>
          <w:sz w:val="24"/>
          <w:szCs w:val="24"/>
        </w:rPr>
        <w:t xml:space="preserve"> Armády</w:t>
      </w:r>
      <w:r w:rsidRPr="006B732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901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37"/>
        <w:gridCol w:w="1134"/>
        <w:gridCol w:w="1134"/>
        <w:gridCol w:w="1587"/>
        <w:gridCol w:w="1587"/>
      </w:tblGrid>
      <w:tr w:rsidR="003B154D" w:rsidRPr="00567A24" w14:paraId="18BFB2B9" w14:textId="2E38E971" w:rsidTr="00A1602F">
        <w:trPr>
          <w:trHeight w:val="397"/>
          <w:jc w:val="center"/>
        </w:trPr>
        <w:tc>
          <w:tcPr>
            <w:tcW w:w="2835" w:type="dxa"/>
            <w:shd w:val="clear" w:color="auto" w:fill="E5F1FF"/>
            <w:noWrap/>
            <w:vAlign w:val="center"/>
          </w:tcPr>
          <w:p w14:paraId="36C2F504" w14:textId="5CDF6E8D" w:rsidR="003B154D" w:rsidRPr="009E74BC" w:rsidRDefault="003B154D" w:rsidP="002111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 obrněné techniky</w:t>
            </w:r>
          </w:p>
        </w:tc>
        <w:tc>
          <w:tcPr>
            <w:tcW w:w="737" w:type="dxa"/>
            <w:shd w:val="clear" w:color="auto" w:fill="E5F1FF"/>
            <w:noWrap/>
            <w:vAlign w:val="center"/>
          </w:tcPr>
          <w:p w14:paraId="703E6AC6" w14:textId="0B5B0A7A" w:rsidR="003B154D" w:rsidRPr="009E74BC" w:rsidRDefault="003B154D" w:rsidP="002111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31067A81" w14:textId="6486CB74" w:rsidR="003B154D" w:rsidRPr="009E74BC" w:rsidRDefault="002F1CEB" w:rsidP="002F1C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Průměrná</w:t>
            </w:r>
            <w:r w:rsidR="003B154D"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životnost</w:t>
            </w: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</w:t>
            </w:r>
            <w:r w:rsidR="003B154D"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1D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3B154D"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 letech</w:t>
            </w:r>
            <w:r w:rsidR="00D61D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="003B154D"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78E1C275" w14:textId="351DD5D9" w:rsidR="003B154D" w:rsidRPr="009E74BC" w:rsidRDefault="003B154D" w:rsidP="002111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Průměrné stáří </w:t>
            </w:r>
            <w:r w:rsidR="00D61D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 letech</w:t>
            </w:r>
            <w:r w:rsidR="00D61D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7" w:type="dxa"/>
            <w:shd w:val="clear" w:color="auto" w:fill="E5F1FF"/>
            <w:noWrap/>
            <w:vAlign w:val="center"/>
          </w:tcPr>
          <w:p w14:paraId="25932358" w14:textId="65A4C947" w:rsidR="003B154D" w:rsidRPr="009E74BC" w:rsidRDefault="003B154D" w:rsidP="00D61D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Pořizovací hodnota</w:t>
            </w:r>
            <w:r w:rsidR="00D61D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 Kč</w:t>
            </w:r>
            <w:r w:rsidR="00D61D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Pr="009E74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shd w:val="clear" w:color="auto" w:fill="E5F1FF"/>
            <w:vAlign w:val="center"/>
          </w:tcPr>
          <w:p w14:paraId="58605B15" w14:textId="63352C1F" w:rsidR="003B154D" w:rsidRPr="009E74BC" w:rsidRDefault="003B154D" w:rsidP="00113F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74BC">
              <w:rPr>
                <w:rFonts w:ascii="Calibri" w:hAnsi="Calibri" w:cs="Calibri"/>
                <w:b/>
                <w:sz w:val="20"/>
                <w:szCs w:val="20"/>
              </w:rPr>
              <w:t xml:space="preserve">Zůstatková hodnota </w:t>
            </w:r>
            <w:r w:rsidR="00D61D8D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9E74BC">
              <w:rPr>
                <w:rFonts w:ascii="Calibri" w:hAnsi="Calibri" w:cs="Calibri"/>
                <w:b/>
                <w:sz w:val="20"/>
                <w:szCs w:val="20"/>
              </w:rPr>
              <w:t>v Kč</w:t>
            </w:r>
            <w:r w:rsidR="00D61D8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3B154D" w:rsidRPr="00567A24" w14:paraId="211D8A40" w14:textId="039315F7" w:rsidTr="00A1602F">
        <w:trPr>
          <w:trHeight w:val="21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6D97F01C" w14:textId="5652C15A" w:rsidR="003B154D" w:rsidRPr="00567A24" w:rsidRDefault="003B154D" w:rsidP="002111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Obrněné automobily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8E351E3" w14:textId="64443ED2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34" w:type="dxa"/>
            <w:vAlign w:val="center"/>
          </w:tcPr>
          <w:p w14:paraId="0727FE56" w14:textId="5C867CD4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15</w:t>
            </w:r>
            <w:r w:rsidR="00192EFE" w:rsidRPr="00567A24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4EA605A0" w14:textId="66F594EB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11</w:t>
            </w:r>
            <w:r w:rsidR="00192EFE" w:rsidRPr="00567A24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3C96B13" w14:textId="56D83B43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1 080 019 476</w:t>
            </w:r>
          </w:p>
        </w:tc>
        <w:tc>
          <w:tcPr>
            <w:tcW w:w="1587" w:type="dxa"/>
            <w:vAlign w:val="center"/>
          </w:tcPr>
          <w:p w14:paraId="3CBE5655" w14:textId="4E860F55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579 650 416</w:t>
            </w:r>
          </w:p>
        </w:tc>
      </w:tr>
      <w:tr w:rsidR="003B154D" w:rsidRPr="00567A24" w14:paraId="06B5D754" w14:textId="6D02DE28" w:rsidTr="00A1602F">
        <w:trPr>
          <w:trHeight w:val="21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0D382F30" w14:textId="681F52B1" w:rsidR="003B154D" w:rsidRPr="00567A24" w:rsidRDefault="003B154D" w:rsidP="002111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Lehká obrněná vozidla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F76FEF5" w14:textId="295977F0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vAlign w:val="center"/>
          </w:tcPr>
          <w:p w14:paraId="669BB0E7" w14:textId="4D48D451" w:rsidR="003B154D" w:rsidRPr="00567A24" w:rsidRDefault="002F1CEB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20,8</w:t>
            </w:r>
          </w:p>
        </w:tc>
        <w:tc>
          <w:tcPr>
            <w:tcW w:w="1134" w:type="dxa"/>
            <w:vAlign w:val="center"/>
          </w:tcPr>
          <w:p w14:paraId="7B2ED210" w14:textId="43AD8F41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9</w:t>
            </w:r>
            <w:r w:rsidR="00192EFE" w:rsidRPr="00567A24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31FD186" w14:textId="5F0103AC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4 908 085 566</w:t>
            </w:r>
          </w:p>
        </w:tc>
        <w:tc>
          <w:tcPr>
            <w:tcW w:w="1587" w:type="dxa"/>
            <w:vAlign w:val="center"/>
          </w:tcPr>
          <w:p w14:paraId="22119839" w14:textId="08072179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3 442 960 657</w:t>
            </w:r>
          </w:p>
        </w:tc>
      </w:tr>
      <w:tr w:rsidR="003B154D" w:rsidRPr="00567A24" w14:paraId="211F807C" w14:textId="18098792" w:rsidTr="00A1602F">
        <w:trPr>
          <w:trHeight w:val="110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43F53873" w14:textId="644E8998" w:rsidR="003B154D" w:rsidRPr="00567A24" w:rsidRDefault="003B154D" w:rsidP="002111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KBVP a KOT 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1835F88" w14:textId="11CA9BE5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14:paraId="5A085A96" w14:textId="14524BA8" w:rsidR="003B154D" w:rsidRPr="00567A24" w:rsidRDefault="002F1CEB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30</w:t>
            </w:r>
            <w:r w:rsidR="00192EFE" w:rsidRPr="00567A24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30A76EFD" w14:textId="3D6FBC36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8</w:t>
            </w:r>
            <w:r w:rsidR="00192EFE" w:rsidRPr="00567A24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7F4B063" w14:textId="76206661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12 478 067 350</w:t>
            </w:r>
          </w:p>
        </w:tc>
        <w:tc>
          <w:tcPr>
            <w:tcW w:w="1587" w:type="dxa"/>
            <w:vAlign w:val="center"/>
          </w:tcPr>
          <w:p w14:paraId="40A29CBE" w14:textId="149BE086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9 047 140 629</w:t>
            </w:r>
          </w:p>
        </w:tc>
      </w:tr>
      <w:tr w:rsidR="003B154D" w:rsidRPr="00567A24" w14:paraId="31F7B8D1" w14:textId="39640169" w:rsidTr="00A1602F">
        <w:trPr>
          <w:trHeight w:val="128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425CEADC" w14:textId="6F12375A" w:rsidR="003B154D" w:rsidRPr="00567A24" w:rsidRDefault="003B154D" w:rsidP="007013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Tank</w:t>
            </w:r>
            <w:r w:rsidR="007013C3"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1AADF87" w14:textId="15ACE5D5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vAlign w:val="center"/>
          </w:tcPr>
          <w:p w14:paraId="35E38280" w14:textId="7B64B8AA" w:rsidR="003B154D" w:rsidRPr="00567A24" w:rsidRDefault="002F1CEB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20,5</w:t>
            </w:r>
          </w:p>
        </w:tc>
        <w:tc>
          <w:tcPr>
            <w:tcW w:w="1134" w:type="dxa"/>
            <w:vAlign w:val="center"/>
          </w:tcPr>
          <w:p w14:paraId="680F62B8" w14:textId="0D8802E3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28,4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34DFD36" w14:textId="762A1804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6 367 795 184</w:t>
            </w:r>
          </w:p>
        </w:tc>
        <w:tc>
          <w:tcPr>
            <w:tcW w:w="1587" w:type="dxa"/>
            <w:vAlign w:val="center"/>
          </w:tcPr>
          <w:p w14:paraId="4C96F18F" w14:textId="3B0125AF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1 159 452 934</w:t>
            </w:r>
          </w:p>
        </w:tc>
      </w:tr>
      <w:tr w:rsidR="003B154D" w:rsidRPr="00567A24" w14:paraId="51A4BEDF" w14:textId="55BDE1AD" w:rsidTr="00A1602F">
        <w:trPr>
          <w:trHeight w:val="128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0054F42F" w14:textId="745DD7B4" w:rsidR="003B154D" w:rsidRPr="00567A24" w:rsidRDefault="003B154D" w:rsidP="002111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Speciální technika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6285E81" w14:textId="4F28F8F2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14:paraId="7B2059EE" w14:textId="147BF7F9" w:rsidR="003B154D" w:rsidRPr="00567A24" w:rsidRDefault="002F1CEB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21,1</w:t>
            </w:r>
          </w:p>
        </w:tc>
        <w:tc>
          <w:tcPr>
            <w:tcW w:w="1134" w:type="dxa"/>
            <w:vAlign w:val="center"/>
          </w:tcPr>
          <w:p w14:paraId="2BA75B8F" w14:textId="74123FA4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3,2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5BE53E1" w14:textId="322499F3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941 516 491</w:t>
            </w:r>
          </w:p>
        </w:tc>
        <w:tc>
          <w:tcPr>
            <w:tcW w:w="1587" w:type="dxa"/>
            <w:vAlign w:val="center"/>
          </w:tcPr>
          <w:p w14:paraId="708784CF" w14:textId="360F7C79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863 868 183</w:t>
            </w:r>
          </w:p>
        </w:tc>
      </w:tr>
      <w:tr w:rsidR="003B154D" w:rsidRPr="00567A24" w14:paraId="0104F0BB" w14:textId="19FEE6AC" w:rsidTr="00A1602F">
        <w:trPr>
          <w:trHeight w:val="128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32CC3750" w14:textId="6D2CA032" w:rsidR="003B154D" w:rsidRPr="00567A24" w:rsidRDefault="003B154D" w:rsidP="002111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Samohybné houfnice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F72CED4" w14:textId="640A89C2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  <w:vAlign w:val="center"/>
          </w:tcPr>
          <w:p w14:paraId="295BF7D1" w14:textId="6F9EAAB3" w:rsidR="003B154D" w:rsidRPr="00567A24" w:rsidRDefault="002F1CEB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20</w:t>
            </w:r>
            <w:r w:rsidR="00192EFE" w:rsidRPr="00567A24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454B85BD" w14:textId="2326FA45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34,7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27581E4" w14:textId="2BA00D9D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584 919 974</w:t>
            </w:r>
          </w:p>
        </w:tc>
        <w:tc>
          <w:tcPr>
            <w:tcW w:w="1587" w:type="dxa"/>
            <w:vAlign w:val="center"/>
          </w:tcPr>
          <w:p w14:paraId="62E4167F" w14:textId="0B26F5E4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105 525 420</w:t>
            </w:r>
          </w:p>
        </w:tc>
      </w:tr>
      <w:tr w:rsidR="003B154D" w:rsidRPr="00567A24" w14:paraId="4291FFA3" w14:textId="633FE0F3" w:rsidTr="00A1602F">
        <w:trPr>
          <w:trHeight w:val="128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5090E991" w14:textId="432BBFF3" w:rsidR="003B154D" w:rsidRPr="00567A24" w:rsidRDefault="003B154D" w:rsidP="003B15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Starší bojová vozidla pěchoty, transportéry a speciální technika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5D3551" w14:textId="49096E40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34" w:type="dxa"/>
            <w:vAlign w:val="center"/>
          </w:tcPr>
          <w:p w14:paraId="2F9AE537" w14:textId="18C8B62D" w:rsidR="003B154D" w:rsidRPr="00567A24" w:rsidRDefault="002F1CEB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19,6</w:t>
            </w:r>
          </w:p>
        </w:tc>
        <w:tc>
          <w:tcPr>
            <w:tcW w:w="1134" w:type="dxa"/>
            <w:vAlign w:val="center"/>
          </w:tcPr>
          <w:p w14:paraId="79365363" w14:textId="483EE318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27,1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CD355DE" w14:textId="5FF3F2C2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2 741 446 447</w:t>
            </w:r>
          </w:p>
        </w:tc>
        <w:tc>
          <w:tcPr>
            <w:tcW w:w="1587" w:type="dxa"/>
            <w:vAlign w:val="center"/>
          </w:tcPr>
          <w:p w14:paraId="24A5A9D0" w14:textId="70B3EDB0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598 487 690</w:t>
            </w:r>
          </w:p>
        </w:tc>
      </w:tr>
      <w:tr w:rsidR="003B154D" w:rsidRPr="00567A24" w14:paraId="0E0AD3D6" w14:textId="02705ABF" w:rsidTr="00A1602F">
        <w:trPr>
          <w:trHeight w:val="164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14:paraId="7FEAB6C3" w14:textId="1ACC2939" w:rsidR="003B154D" w:rsidRPr="00567A24" w:rsidRDefault="003B154D" w:rsidP="002111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Ostatní starší obrněná technika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A724D39" w14:textId="19D672D7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14:paraId="25A1837F" w14:textId="4A8D4659" w:rsidR="003B154D" w:rsidRPr="00567A24" w:rsidRDefault="002F1CEB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23,9</w:t>
            </w:r>
          </w:p>
        </w:tc>
        <w:tc>
          <w:tcPr>
            <w:tcW w:w="1134" w:type="dxa"/>
            <w:vAlign w:val="center"/>
          </w:tcPr>
          <w:p w14:paraId="46DFCF07" w14:textId="64582C1F" w:rsidR="003B154D" w:rsidRPr="00567A24" w:rsidRDefault="003B154D" w:rsidP="009E74BC">
            <w:pPr>
              <w:ind w:right="17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31,2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E09839C" w14:textId="3C70661C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7A24">
              <w:rPr>
                <w:rFonts w:ascii="Calibri" w:hAnsi="Calibri" w:cs="Calibri"/>
                <w:color w:val="000000"/>
                <w:sz w:val="20"/>
                <w:szCs w:val="20"/>
              </w:rPr>
              <w:t>407 129 600</w:t>
            </w:r>
          </w:p>
        </w:tc>
        <w:tc>
          <w:tcPr>
            <w:tcW w:w="1587" w:type="dxa"/>
            <w:vAlign w:val="center"/>
          </w:tcPr>
          <w:p w14:paraId="2B55FE1F" w14:textId="41B26C2D" w:rsidR="003B154D" w:rsidRPr="00567A24" w:rsidRDefault="003B154D" w:rsidP="009E74BC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67A24">
              <w:rPr>
                <w:rFonts w:ascii="Calibri" w:hAnsi="Calibri" w:cs="Calibri"/>
                <w:sz w:val="20"/>
                <w:szCs w:val="20"/>
              </w:rPr>
              <w:t>165 889 845</w:t>
            </w:r>
          </w:p>
        </w:tc>
      </w:tr>
      <w:tr w:rsidR="003B154D" w:rsidRPr="00567A24" w14:paraId="1D0824D8" w14:textId="1D02AF9A" w:rsidTr="00A1602F">
        <w:trPr>
          <w:trHeight w:val="197"/>
          <w:jc w:val="center"/>
        </w:trPr>
        <w:tc>
          <w:tcPr>
            <w:tcW w:w="2835" w:type="dxa"/>
            <w:shd w:val="clear" w:color="auto" w:fill="F2C6C9"/>
            <w:noWrap/>
            <w:vAlign w:val="center"/>
          </w:tcPr>
          <w:p w14:paraId="49CD1BAB" w14:textId="4356C88A" w:rsidR="003B154D" w:rsidRPr="00B46663" w:rsidRDefault="003B154D" w:rsidP="002111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666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737" w:type="dxa"/>
            <w:shd w:val="clear" w:color="auto" w:fill="F2C6C9"/>
            <w:noWrap/>
            <w:vAlign w:val="center"/>
          </w:tcPr>
          <w:p w14:paraId="5CAB58D8" w14:textId="7211E9B8" w:rsidR="003B154D" w:rsidRPr="00B46663" w:rsidRDefault="003B154D" w:rsidP="009E74BC">
            <w:pPr>
              <w:ind w:right="57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666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1 088</w:t>
            </w:r>
          </w:p>
        </w:tc>
        <w:tc>
          <w:tcPr>
            <w:tcW w:w="1134" w:type="dxa"/>
            <w:shd w:val="clear" w:color="auto" w:fill="F2C6C9"/>
            <w:vAlign w:val="center"/>
          </w:tcPr>
          <w:p w14:paraId="32B4BA0B" w14:textId="234B597B" w:rsidR="003B154D" w:rsidRPr="00B46663" w:rsidRDefault="002F1CEB" w:rsidP="009E74BC">
            <w:pPr>
              <w:ind w:right="17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666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2C6C9"/>
            <w:vAlign w:val="center"/>
          </w:tcPr>
          <w:p w14:paraId="519C38FD" w14:textId="7E45EEA9" w:rsidR="003B154D" w:rsidRPr="00B46663" w:rsidRDefault="003B154D" w:rsidP="009E74BC">
            <w:pPr>
              <w:ind w:right="17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666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</w:t>
            </w:r>
            <w:r w:rsidR="00192EFE" w:rsidRPr="00B4666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87" w:type="dxa"/>
            <w:shd w:val="clear" w:color="auto" w:fill="F2C6C9"/>
            <w:noWrap/>
            <w:vAlign w:val="center"/>
          </w:tcPr>
          <w:p w14:paraId="347C3B9F" w14:textId="069C2780" w:rsidR="003B154D" w:rsidRPr="00B46663" w:rsidRDefault="003B154D" w:rsidP="009E74BC">
            <w:pPr>
              <w:ind w:right="57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666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29 508 980 088</w:t>
            </w:r>
          </w:p>
        </w:tc>
        <w:tc>
          <w:tcPr>
            <w:tcW w:w="1587" w:type="dxa"/>
            <w:shd w:val="clear" w:color="auto" w:fill="F2C6C9"/>
            <w:vAlign w:val="center"/>
          </w:tcPr>
          <w:p w14:paraId="0B17643D" w14:textId="74ECE245" w:rsidR="003B154D" w:rsidRPr="00B46663" w:rsidRDefault="003B154D" w:rsidP="009E74BC">
            <w:pPr>
              <w:ind w:right="57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6663">
              <w:rPr>
                <w:rFonts w:ascii="Calibri" w:hAnsi="Calibri" w:cs="Calibri"/>
                <w:b/>
                <w:sz w:val="20"/>
                <w:szCs w:val="20"/>
              </w:rPr>
              <w:t>15 962 975 774</w:t>
            </w:r>
          </w:p>
        </w:tc>
      </w:tr>
    </w:tbl>
    <w:p w14:paraId="13406F8A" w14:textId="075AFE4C" w:rsidR="008C1748" w:rsidRDefault="008C1748" w:rsidP="009E74BC">
      <w:p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20355">
        <w:rPr>
          <w:rFonts w:asciiTheme="minorHAnsi" w:hAnsiTheme="minorHAnsi" w:cstheme="minorHAnsi"/>
          <w:b/>
          <w:sz w:val="20"/>
          <w:szCs w:val="20"/>
        </w:rPr>
        <w:t>Zdroj:</w:t>
      </w:r>
      <w:r w:rsidRPr="00D505CA">
        <w:rPr>
          <w:rFonts w:asciiTheme="minorHAnsi" w:hAnsiTheme="minorHAnsi" w:cstheme="minorHAnsi"/>
          <w:sz w:val="20"/>
          <w:szCs w:val="20"/>
        </w:rPr>
        <w:t xml:space="preserve"> MO</w:t>
      </w:r>
      <w:r w:rsidR="003E486D" w:rsidRPr="00D505CA">
        <w:rPr>
          <w:rFonts w:asciiTheme="minorHAnsi" w:hAnsiTheme="minorHAnsi" w:cstheme="minorHAnsi"/>
          <w:sz w:val="20"/>
          <w:szCs w:val="20"/>
        </w:rPr>
        <w:t>.</w:t>
      </w:r>
    </w:p>
    <w:p w14:paraId="48DA4C60" w14:textId="48412C96" w:rsidR="002F1CEB" w:rsidRPr="00D505CA" w:rsidRDefault="002F1CEB" w:rsidP="002F1CEB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C20355">
        <w:rPr>
          <w:rFonts w:asciiTheme="minorHAnsi" w:hAnsiTheme="minorHAnsi" w:cstheme="minorHAnsi"/>
          <w:b/>
        </w:rPr>
        <w:t>Pozn</w:t>
      </w:r>
      <w:r w:rsidR="00B46663">
        <w:rPr>
          <w:rFonts w:asciiTheme="minorHAnsi" w:hAnsiTheme="minorHAnsi" w:cstheme="minorHAnsi"/>
          <w:b/>
        </w:rPr>
        <w:t>.</w:t>
      </w:r>
      <w:r w:rsidRPr="00C2035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*Životnost stanovená MO v </w:t>
      </w:r>
      <w:r w:rsidR="006B7328" w:rsidRPr="00D87177">
        <w:rPr>
          <w:rFonts w:asciiTheme="minorHAnsi" w:hAnsiTheme="minorHAnsi" w:cstheme="minorHAnsi"/>
          <w:i/>
        </w:rPr>
        <w:t>I</w:t>
      </w:r>
      <w:r w:rsidRPr="00F0673B">
        <w:rPr>
          <w:rFonts w:asciiTheme="minorHAnsi" w:hAnsiTheme="minorHAnsi" w:cstheme="minorHAnsi"/>
          <w:i/>
        </w:rPr>
        <w:t>nformačním systému logistiky</w:t>
      </w:r>
      <w:r>
        <w:rPr>
          <w:rFonts w:asciiTheme="minorHAnsi" w:hAnsiTheme="minorHAnsi" w:cstheme="minorHAnsi"/>
        </w:rPr>
        <w:t>.</w:t>
      </w:r>
    </w:p>
    <w:p w14:paraId="5DEABD3A" w14:textId="77777777" w:rsidR="00094183" w:rsidRDefault="00094183" w:rsidP="000B5436">
      <w:pPr>
        <w:jc w:val="both"/>
        <w:rPr>
          <w:rFonts w:asciiTheme="minorHAnsi" w:hAnsiTheme="minorHAnsi" w:cstheme="minorHAnsi"/>
          <w:lang w:eastAsia="en-US"/>
        </w:rPr>
      </w:pPr>
    </w:p>
    <w:p w14:paraId="175C7764" w14:textId="5B095349" w:rsidR="0091371A" w:rsidRPr="0091371A" w:rsidRDefault="00094183" w:rsidP="0091371A">
      <w:pPr>
        <w:jc w:val="both"/>
        <w:rPr>
          <w:rFonts w:asciiTheme="minorHAnsi" w:hAnsiTheme="minorHAnsi" w:cstheme="minorHAnsi"/>
          <w:lang w:eastAsia="en-US"/>
        </w:rPr>
      </w:pPr>
      <w:r w:rsidRPr="00094183">
        <w:rPr>
          <w:rFonts w:asciiTheme="minorHAnsi" w:hAnsiTheme="minorHAnsi" w:cstheme="minorHAnsi"/>
          <w:b/>
          <w:lang w:eastAsia="en-US"/>
        </w:rPr>
        <w:t>Náklady životní</w:t>
      </w:r>
      <w:r w:rsidR="00826E90">
        <w:rPr>
          <w:rFonts w:asciiTheme="minorHAnsi" w:hAnsiTheme="minorHAnsi" w:cstheme="minorHAnsi"/>
          <w:b/>
          <w:lang w:eastAsia="en-US"/>
        </w:rPr>
        <w:t>ho</w:t>
      </w:r>
      <w:r w:rsidRPr="00094183">
        <w:rPr>
          <w:rFonts w:asciiTheme="minorHAnsi" w:hAnsiTheme="minorHAnsi" w:cstheme="minorHAnsi"/>
          <w:b/>
          <w:lang w:eastAsia="en-US"/>
        </w:rPr>
        <w:t xml:space="preserve"> cyklu</w:t>
      </w:r>
      <w:r w:rsidR="0091371A">
        <w:rPr>
          <w:rFonts w:asciiTheme="minorHAnsi" w:hAnsiTheme="minorHAnsi" w:cstheme="minorHAnsi"/>
          <w:b/>
          <w:lang w:eastAsia="en-US"/>
        </w:rPr>
        <w:t xml:space="preserve"> </w:t>
      </w:r>
      <w:r w:rsidR="004A7619" w:rsidRPr="004A7619">
        <w:rPr>
          <w:rFonts w:asciiTheme="minorHAnsi" w:hAnsiTheme="minorHAnsi" w:cstheme="minorHAnsi"/>
          <w:lang w:eastAsia="en-US"/>
        </w:rPr>
        <w:t xml:space="preserve">vojenské </w:t>
      </w:r>
      <w:r w:rsidR="0091371A" w:rsidRPr="004A7619">
        <w:rPr>
          <w:rFonts w:asciiTheme="minorHAnsi" w:hAnsiTheme="minorHAnsi" w:cstheme="minorHAnsi"/>
          <w:lang w:eastAsia="en-US"/>
        </w:rPr>
        <w:t>t</w:t>
      </w:r>
      <w:r w:rsidR="0091371A" w:rsidRPr="0091371A">
        <w:rPr>
          <w:rFonts w:asciiTheme="minorHAnsi" w:hAnsiTheme="minorHAnsi" w:cstheme="minorHAnsi"/>
          <w:lang w:eastAsia="en-US"/>
        </w:rPr>
        <w:t xml:space="preserve">echniky jsou </w:t>
      </w:r>
      <w:r w:rsidR="0091371A">
        <w:rPr>
          <w:rFonts w:asciiTheme="minorHAnsi" w:hAnsiTheme="minorHAnsi" w:cstheme="minorHAnsi"/>
          <w:lang w:eastAsia="en-US"/>
        </w:rPr>
        <w:t>souhrn</w:t>
      </w:r>
      <w:r w:rsidR="004A7619">
        <w:rPr>
          <w:rFonts w:asciiTheme="minorHAnsi" w:hAnsiTheme="minorHAnsi" w:cstheme="minorHAnsi"/>
          <w:lang w:eastAsia="en-US"/>
        </w:rPr>
        <w:t>em</w:t>
      </w:r>
      <w:r w:rsidR="0091371A">
        <w:rPr>
          <w:rFonts w:asciiTheme="minorHAnsi" w:hAnsiTheme="minorHAnsi" w:cstheme="minorHAnsi"/>
          <w:lang w:eastAsia="en-US"/>
        </w:rPr>
        <w:t xml:space="preserve"> veškerých přímých nákladů a variabilních režijních (nepřímých) nákladů spojených s</w:t>
      </w:r>
      <w:r w:rsidR="004A7619">
        <w:rPr>
          <w:rFonts w:asciiTheme="minorHAnsi" w:hAnsiTheme="minorHAnsi" w:cstheme="minorHAnsi"/>
          <w:lang w:eastAsia="en-US"/>
        </w:rPr>
        <w:t xml:space="preserve"> </w:t>
      </w:r>
      <w:r w:rsidR="0091371A">
        <w:rPr>
          <w:rFonts w:asciiTheme="minorHAnsi" w:hAnsiTheme="minorHAnsi" w:cstheme="minorHAnsi"/>
          <w:lang w:eastAsia="en-US"/>
        </w:rPr>
        <w:t>etapami životního cyklu.</w:t>
      </w:r>
      <w:r w:rsidR="004A7619">
        <w:rPr>
          <w:rFonts w:asciiTheme="minorHAnsi" w:hAnsiTheme="minorHAnsi" w:cstheme="minorHAnsi"/>
          <w:lang w:eastAsia="en-US"/>
        </w:rPr>
        <w:t xml:space="preserve"> Životní cyklus vojenské techniky je časový rozvoj této techniky od koncepce až do vyřazení. Etapa koncepce začíná rozhodnutím vyplnit mezeru ve vojenských schopnostech materiálovým řešením </w:t>
      </w:r>
      <w:r w:rsidR="00431FB1">
        <w:rPr>
          <w:rFonts w:asciiTheme="minorHAnsi" w:hAnsiTheme="minorHAnsi" w:cstheme="minorHAnsi"/>
          <w:lang w:eastAsia="en-US"/>
        </w:rPr>
        <w:t xml:space="preserve">a </w:t>
      </w:r>
      <w:r w:rsidR="004A7619">
        <w:rPr>
          <w:rFonts w:asciiTheme="minorHAnsi" w:hAnsiTheme="minorHAnsi" w:cstheme="minorHAnsi"/>
          <w:lang w:eastAsia="en-US"/>
        </w:rPr>
        <w:t>etapa vyřazení končí odklizením deaktivované a demontované techniky i všech odpadních produktů. Náklady životní</w:t>
      </w:r>
      <w:r w:rsidR="00826E90">
        <w:rPr>
          <w:rFonts w:asciiTheme="minorHAnsi" w:hAnsiTheme="minorHAnsi" w:cstheme="minorHAnsi"/>
          <w:lang w:eastAsia="en-US"/>
        </w:rPr>
        <w:t>ho</w:t>
      </w:r>
      <w:r w:rsidR="004A7619">
        <w:rPr>
          <w:rFonts w:asciiTheme="minorHAnsi" w:hAnsiTheme="minorHAnsi" w:cstheme="minorHAnsi"/>
          <w:lang w:eastAsia="en-US"/>
        </w:rPr>
        <w:t xml:space="preserve"> cyklu lze</w:t>
      </w:r>
      <w:r w:rsidR="0091371A">
        <w:rPr>
          <w:rFonts w:asciiTheme="minorHAnsi" w:hAnsiTheme="minorHAnsi" w:cstheme="minorHAnsi"/>
          <w:lang w:eastAsia="en-US"/>
        </w:rPr>
        <w:t xml:space="preserve"> rozdělit </w:t>
      </w:r>
      <w:r w:rsidR="007D69E5">
        <w:rPr>
          <w:rFonts w:asciiTheme="minorHAnsi" w:hAnsiTheme="minorHAnsi" w:cstheme="minorHAnsi"/>
          <w:lang w:eastAsia="en-US"/>
        </w:rPr>
        <w:t xml:space="preserve">na </w:t>
      </w:r>
      <w:r w:rsidR="0091371A">
        <w:rPr>
          <w:rFonts w:asciiTheme="minorHAnsi" w:hAnsiTheme="minorHAnsi" w:cstheme="minorHAnsi"/>
          <w:lang w:eastAsia="en-US"/>
        </w:rPr>
        <w:t>výzkum a vývoj,</w:t>
      </w:r>
      <w:r w:rsidR="007D69E5">
        <w:rPr>
          <w:rFonts w:asciiTheme="minorHAnsi" w:hAnsiTheme="minorHAnsi" w:cstheme="minorHAnsi"/>
          <w:lang w:eastAsia="en-US"/>
        </w:rPr>
        <w:t xml:space="preserve"> </w:t>
      </w:r>
      <w:r w:rsidR="0091371A">
        <w:rPr>
          <w:rFonts w:asciiTheme="minorHAnsi" w:hAnsiTheme="minorHAnsi" w:cstheme="minorHAnsi"/>
          <w:lang w:eastAsia="en-US"/>
        </w:rPr>
        <w:t>investice,</w:t>
      </w:r>
      <w:r w:rsidR="007D69E5">
        <w:rPr>
          <w:rFonts w:asciiTheme="minorHAnsi" w:hAnsiTheme="minorHAnsi" w:cstheme="minorHAnsi"/>
          <w:lang w:eastAsia="en-US"/>
        </w:rPr>
        <w:t xml:space="preserve"> a </w:t>
      </w:r>
      <w:r w:rsidR="0091371A">
        <w:rPr>
          <w:rFonts w:asciiTheme="minorHAnsi" w:hAnsiTheme="minorHAnsi" w:cstheme="minorHAnsi"/>
          <w:lang w:eastAsia="en-US"/>
        </w:rPr>
        <w:t>provoz a údržb</w:t>
      </w:r>
      <w:r w:rsidR="007D69E5">
        <w:rPr>
          <w:rFonts w:asciiTheme="minorHAnsi" w:hAnsiTheme="minorHAnsi" w:cstheme="minorHAnsi"/>
          <w:lang w:eastAsia="en-US"/>
        </w:rPr>
        <w:t>u</w:t>
      </w:r>
      <w:r w:rsidR="0091371A">
        <w:rPr>
          <w:rFonts w:asciiTheme="minorHAnsi" w:hAnsiTheme="minorHAnsi" w:cstheme="minorHAnsi"/>
          <w:lang w:eastAsia="en-US"/>
        </w:rPr>
        <w:t>.</w:t>
      </w:r>
      <w:r w:rsidR="007D69E5">
        <w:rPr>
          <w:rFonts w:asciiTheme="minorHAnsi" w:hAnsiTheme="minorHAnsi" w:cstheme="minorHAnsi"/>
          <w:lang w:eastAsia="en-US"/>
        </w:rPr>
        <w:t xml:space="preserve"> </w:t>
      </w:r>
      <w:r w:rsidR="0091371A">
        <w:rPr>
          <w:rFonts w:asciiTheme="minorHAnsi" w:hAnsiTheme="minorHAnsi" w:cstheme="minorHAnsi"/>
          <w:lang w:eastAsia="en-US"/>
        </w:rPr>
        <w:t xml:space="preserve">V rámci kontroly NKÚ </w:t>
      </w:r>
      <w:r w:rsidR="004A7619">
        <w:rPr>
          <w:rFonts w:asciiTheme="minorHAnsi" w:hAnsiTheme="minorHAnsi" w:cstheme="minorHAnsi"/>
          <w:lang w:eastAsia="en-US"/>
        </w:rPr>
        <w:t>prověř</w:t>
      </w:r>
      <w:r w:rsidR="00431FB1">
        <w:rPr>
          <w:rFonts w:asciiTheme="minorHAnsi" w:hAnsiTheme="minorHAnsi" w:cstheme="minorHAnsi"/>
          <w:lang w:eastAsia="en-US"/>
        </w:rPr>
        <w:t>oval</w:t>
      </w:r>
      <w:r w:rsidR="004A7619">
        <w:rPr>
          <w:rFonts w:asciiTheme="minorHAnsi" w:hAnsiTheme="minorHAnsi" w:cstheme="minorHAnsi"/>
          <w:lang w:eastAsia="en-US"/>
        </w:rPr>
        <w:t xml:space="preserve"> výdaje na pořízení a technické zhodnocení obrněné techniky (</w:t>
      </w:r>
      <w:r w:rsidR="00287C66">
        <w:rPr>
          <w:rFonts w:asciiTheme="minorHAnsi" w:hAnsiTheme="minorHAnsi" w:cstheme="minorHAnsi"/>
          <w:lang w:eastAsia="en-US"/>
        </w:rPr>
        <w:t>tj. </w:t>
      </w:r>
      <w:r w:rsidR="004A7619">
        <w:rPr>
          <w:rFonts w:asciiTheme="minorHAnsi" w:hAnsiTheme="minorHAnsi" w:cstheme="minorHAnsi"/>
          <w:lang w:eastAsia="en-US"/>
        </w:rPr>
        <w:t>investice) a dále výdaje na opravy, udržování a nákup náhradních dílů (</w:t>
      </w:r>
      <w:r w:rsidR="007D69E5">
        <w:rPr>
          <w:rFonts w:asciiTheme="minorHAnsi" w:hAnsiTheme="minorHAnsi" w:cstheme="minorHAnsi"/>
          <w:lang w:eastAsia="en-US"/>
        </w:rPr>
        <w:t>tj. </w:t>
      </w:r>
      <w:r w:rsidR="004A7619">
        <w:rPr>
          <w:rFonts w:asciiTheme="minorHAnsi" w:hAnsiTheme="minorHAnsi" w:cstheme="minorHAnsi"/>
          <w:lang w:eastAsia="en-US"/>
        </w:rPr>
        <w:t>údržb</w:t>
      </w:r>
      <w:r w:rsidR="00ED7AC3">
        <w:rPr>
          <w:rFonts w:asciiTheme="minorHAnsi" w:hAnsiTheme="minorHAnsi" w:cstheme="minorHAnsi"/>
          <w:lang w:eastAsia="en-US"/>
        </w:rPr>
        <w:t>u</w:t>
      </w:r>
      <w:r w:rsidR="004A7619">
        <w:rPr>
          <w:rFonts w:asciiTheme="minorHAnsi" w:hAnsiTheme="minorHAnsi" w:cstheme="minorHAnsi"/>
          <w:lang w:eastAsia="en-US"/>
        </w:rPr>
        <w:t>).</w:t>
      </w:r>
    </w:p>
    <w:p w14:paraId="0378D6F2" w14:textId="08D7EF0C" w:rsidR="004C2EE4" w:rsidRPr="002D0805" w:rsidRDefault="005C17B3" w:rsidP="000B5436">
      <w:pPr>
        <w:jc w:val="both"/>
        <w:rPr>
          <w:rFonts w:asciiTheme="minorHAnsi" w:hAnsiTheme="minorHAnsi" w:cstheme="minorHAnsi"/>
        </w:rPr>
      </w:pPr>
      <w:r w:rsidRPr="00254B0E">
        <w:rPr>
          <w:rFonts w:asciiTheme="minorHAnsi" w:hAnsiTheme="minorHAnsi" w:cstheme="minorHAnsi"/>
          <w:b/>
          <w:lang w:eastAsia="en-US"/>
        </w:rPr>
        <w:t xml:space="preserve">Pořízení a technické zhodnocení obrněné techniky </w:t>
      </w:r>
      <w:r w:rsidRPr="00254B0E">
        <w:rPr>
          <w:rFonts w:asciiTheme="minorHAnsi" w:hAnsiTheme="minorHAnsi" w:cstheme="minorHAnsi"/>
          <w:lang w:eastAsia="en-US"/>
        </w:rPr>
        <w:t>je financováno v rámci programů</w:t>
      </w:r>
      <w:r w:rsidR="00254B0E">
        <w:rPr>
          <w:rFonts w:asciiTheme="minorHAnsi" w:hAnsiTheme="minorHAnsi" w:cstheme="minorHAnsi"/>
          <w:lang w:eastAsia="en-US"/>
        </w:rPr>
        <w:t xml:space="preserve"> reprodukce majetku</w:t>
      </w:r>
      <w:r w:rsidRPr="00254B0E">
        <w:rPr>
          <w:rFonts w:asciiTheme="minorHAnsi" w:hAnsiTheme="minorHAnsi" w:cstheme="minorHAnsi"/>
          <w:lang w:eastAsia="en-US"/>
        </w:rPr>
        <w:t xml:space="preserve">. </w:t>
      </w:r>
      <w:r w:rsidR="00254B0E" w:rsidRPr="00254B0E">
        <w:rPr>
          <w:rFonts w:asciiTheme="minorHAnsi" w:hAnsiTheme="minorHAnsi" w:cstheme="minorHAnsi"/>
          <w:lang w:eastAsia="en-US"/>
        </w:rPr>
        <w:t>Programem se rozumí soubor věcných, časových a finančních podmínek konkrétních akcí na pořízení nebo technické zhodnocení hmotného a nehmotného dlouhodobého majetku</w:t>
      </w:r>
      <w:r w:rsidR="00254B0E">
        <w:rPr>
          <w:rFonts w:asciiTheme="minorHAnsi" w:hAnsiTheme="minorHAnsi" w:cstheme="minorHAnsi"/>
          <w:lang w:eastAsia="en-US"/>
        </w:rPr>
        <w:t>, s </w:t>
      </w:r>
      <w:r w:rsidR="00254B0E" w:rsidRPr="00254B0E">
        <w:rPr>
          <w:rFonts w:asciiTheme="minorHAnsi" w:hAnsiTheme="minorHAnsi" w:cstheme="minorHAnsi"/>
          <w:lang w:eastAsia="en-US"/>
        </w:rPr>
        <w:t>výjimkou drobného hmotného a nehmotného dlouhodobého majetku</w:t>
      </w:r>
      <w:r w:rsidR="00254B0E">
        <w:rPr>
          <w:rFonts w:asciiTheme="minorHAnsi" w:hAnsiTheme="minorHAnsi" w:cstheme="minorHAnsi"/>
          <w:lang w:eastAsia="en-US"/>
        </w:rPr>
        <w:t xml:space="preserve">. </w:t>
      </w:r>
      <w:r w:rsidR="00E07C75">
        <w:rPr>
          <w:rFonts w:asciiTheme="minorHAnsi" w:hAnsiTheme="minorHAnsi" w:cstheme="minorHAnsi"/>
          <w:lang w:eastAsia="en-US"/>
        </w:rPr>
        <w:t xml:space="preserve">Realizace programů je jedním z nástrojů k naplnění úkolů stanovených v koncepčních a strategických dokumentech MO. </w:t>
      </w:r>
      <w:r w:rsidR="00254B0E">
        <w:rPr>
          <w:rFonts w:asciiTheme="minorHAnsi" w:hAnsiTheme="minorHAnsi" w:cstheme="minorHAnsi"/>
          <w:lang w:eastAsia="en-US"/>
        </w:rPr>
        <w:t>Ke kontrole byl</w:t>
      </w:r>
      <w:r w:rsidR="00ED7AC3">
        <w:rPr>
          <w:rFonts w:asciiTheme="minorHAnsi" w:hAnsiTheme="minorHAnsi" w:cstheme="minorHAnsi"/>
          <w:lang w:eastAsia="en-US"/>
        </w:rPr>
        <w:t>y</w:t>
      </w:r>
      <w:r w:rsidR="00254B0E">
        <w:rPr>
          <w:rFonts w:asciiTheme="minorHAnsi" w:hAnsiTheme="minorHAnsi" w:cstheme="minorHAnsi"/>
          <w:lang w:eastAsia="en-US"/>
        </w:rPr>
        <w:t xml:space="preserve"> vybrán</w:t>
      </w:r>
      <w:r w:rsidR="00ED7AC3">
        <w:rPr>
          <w:rFonts w:asciiTheme="minorHAnsi" w:hAnsiTheme="minorHAnsi" w:cstheme="minorHAnsi"/>
          <w:lang w:eastAsia="en-US"/>
        </w:rPr>
        <w:t>y</w:t>
      </w:r>
      <w:r w:rsidR="00254B0E">
        <w:rPr>
          <w:rFonts w:asciiTheme="minorHAnsi" w:hAnsiTheme="minorHAnsi" w:cstheme="minorHAnsi"/>
          <w:lang w:eastAsia="en-US"/>
        </w:rPr>
        <w:t xml:space="preserve"> </w:t>
      </w:r>
      <w:r w:rsidR="00ED7AC3">
        <w:rPr>
          <w:rFonts w:asciiTheme="minorHAnsi" w:hAnsiTheme="minorHAnsi" w:cstheme="minorHAnsi"/>
          <w:lang w:eastAsia="en-US"/>
        </w:rPr>
        <w:t xml:space="preserve">akce ze čtyř </w:t>
      </w:r>
      <w:r w:rsidR="00254B0E">
        <w:rPr>
          <w:rFonts w:asciiTheme="minorHAnsi" w:hAnsiTheme="minorHAnsi" w:cstheme="minorHAnsi"/>
          <w:lang w:eastAsia="en-US"/>
        </w:rPr>
        <w:t>programů, v</w:t>
      </w:r>
      <w:r w:rsidR="00D61D8D">
        <w:rPr>
          <w:rFonts w:asciiTheme="minorHAnsi" w:hAnsiTheme="minorHAnsi" w:cstheme="minorHAnsi"/>
          <w:lang w:eastAsia="en-US"/>
        </w:rPr>
        <w:t xml:space="preserve"> jejichž </w:t>
      </w:r>
      <w:r w:rsidR="00254B0E">
        <w:rPr>
          <w:rFonts w:asciiTheme="minorHAnsi" w:hAnsiTheme="minorHAnsi" w:cstheme="minorHAnsi"/>
          <w:lang w:eastAsia="en-US"/>
        </w:rPr>
        <w:t xml:space="preserve">rámci MO pořídilo mj. obrněnou techniku pro pozemní síly, </w:t>
      </w:r>
      <w:r w:rsidR="00E07C75">
        <w:rPr>
          <w:rFonts w:asciiTheme="minorHAnsi" w:hAnsiTheme="minorHAnsi" w:cstheme="minorHAnsi"/>
          <w:lang w:eastAsia="en-US"/>
        </w:rPr>
        <w:t>pohotovostní síly a</w:t>
      </w:r>
      <w:r w:rsidR="00D61D8D">
        <w:rPr>
          <w:rFonts w:asciiTheme="minorHAnsi" w:hAnsiTheme="minorHAnsi" w:cstheme="minorHAnsi"/>
          <w:lang w:eastAsia="en-US"/>
        </w:rPr>
        <w:t> </w:t>
      </w:r>
      <w:r w:rsidR="00254B0E">
        <w:rPr>
          <w:rFonts w:asciiTheme="minorHAnsi" w:hAnsiTheme="minorHAnsi" w:cstheme="minorHAnsi"/>
          <w:lang w:eastAsia="en-US"/>
        </w:rPr>
        <w:t>logistické zabezpečení</w:t>
      </w:r>
      <w:r w:rsidR="00E07C75">
        <w:rPr>
          <w:rFonts w:asciiTheme="minorHAnsi" w:hAnsiTheme="minorHAnsi" w:cstheme="minorHAnsi"/>
          <w:lang w:eastAsia="en-US"/>
        </w:rPr>
        <w:t xml:space="preserve"> </w:t>
      </w:r>
      <w:r w:rsidR="00254B0E">
        <w:rPr>
          <w:rFonts w:asciiTheme="minorHAnsi" w:hAnsiTheme="minorHAnsi" w:cstheme="minorHAnsi"/>
          <w:lang w:eastAsia="en-US"/>
        </w:rPr>
        <w:t xml:space="preserve">Armády. </w:t>
      </w:r>
      <w:r w:rsidR="00E75561" w:rsidRPr="002D0805">
        <w:rPr>
          <w:rFonts w:asciiTheme="minorHAnsi" w:hAnsiTheme="minorHAnsi" w:cstheme="minorHAnsi"/>
          <w:lang w:eastAsia="en-US"/>
        </w:rPr>
        <w:t>V</w:t>
      </w:r>
      <w:r w:rsidR="00120D2F" w:rsidRPr="002D0805">
        <w:rPr>
          <w:rFonts w:asciiTheme="minorHAnsi" w:hAnsiTheme="minorHAnsi" w:cstheme="minorHAnsi"/>
          <w:lang w:eastAsia="en-US"/>
        </w:rPr>
        <w:t xml:space="preserve">ýdaje MO na </w:t>
      </w:r>
      <w:r w:rsidR="003E486D" w:rsidRPr="002D0805">
        <w:rPr>
          <w:rFonts w:asciiTheme="minorHAnsi" w:hAnsiTheme="minorHAnsi" w:cstheme="minorHAnsi"/>
          <w:lang w:eastAsia="en-US"/>
        </w:rPr>
        <w:t>pořízení a technické zhodnocení obrněné techniky Armády</w:t>
      </w:r>
      <w:r w:rsidR="00777A0C" w:rsidRPr="002D0805">
        <w:rPr>
          <w:rFonts w:asciiTheme="minorHAnsi" w:hAnsiTheme="minorHAnsi" w:cstheme="minorHAnsi"/>
          <w:lang w:eastAsia="en-US"/>
        </w:rPr>
        <w:t xml:space="preserve"> </w:t>
      </w:r>
      <w:r w:rsidR="00120D2F" w:rsidRPr="002D0805">
        <w:rPr>
          <w:rFonts w:asciiTheme="minorHAnsi" w:hAnsiTheme="minorHAnsi" w:cstheme="minorHAnsi"/>
        </w:rPr>
        <w:t>v období 201</w:t>
      </w:r>
      <w:r w:rsidR="003E486D" w:rsidRPr="002D0805">
        <w:rPr>
          <w:rFonts w:asciiTheme="minorHAnsi" w:hAnsiTheme="minorHAnsi" w:cstheme="minorHAnsi"/>
        </w:rPr>
        <w:t>6</w:t>
      </w:r>
      <w:r w:rsidR="00120D2F" w:rsidRPr="002D0805">
        <w:rPr>
          <w:rFonts w:asciiTheme="minorHAnsi" w:hAnsiTheme="minorHAnsi" w:cstheme="minorHAnsi"/>
        </w:rPr>
        <w:t>–201</w:t>
      </w:r>
      <w:r w:rsidR="003E486D" w:rsidRPr="002D0805">
        <w:rPr>
          <w:rFonts w:asciiTheme="minorHAnsi" w:hAnsiTheme="minorHAnsi" w:cstheme="minorHAnsi"/>
        </w:rPr>
        <w:t>8</w:t>
      </w:r>
      <w:r w:rsidR="00E07C75">
        <w:rPr>
          <w:rFonts w:asciiTheme="minorHAnsi" w:hAnsiTheme="minorHAnsi" w:cstheme="minorHAnsi"/>
        </w:rPr>
        <w:t xml:space="preserve"> činily celkem 2 766,4 mil. Kč a představovaly </w:t>
      </w:r>
      <w:r w:rsidR="00E07C75" w:rsidRPr="002D0805">
        <w:rPr>
          <w:rFonts w:asciiTheme="minorHAnsi" w:hAnsiTheme="minorHAnsi" w:cstheme="minorHAnsi"/>
        </w:rPr>
        <w:t xml:space="preserve">přibližně </w:t>
      </w:r>
      <w:r w:rsidR="00E07C75">
        <w:rPr>
          <w:rFonts w:asciiTheme="minorHAnsi" w:hAnsiTheme="minorHAnsi" w:cstheme="minorHAnsi"/>
        </w:rPr>
        <w:t>1</w:t>
      </w:r>
      <w:r w:rsidR="00E07C75" w:rsidRPr="002D0805">
        <w:rPr>
          <w:rFonts w:asciiTheme="minorHAnsi" w:hAnsiTheme="minorHAnsi" w:cstheme="minorHAnsi"/>
        </w:rPr>
        <w:t>,</w:t>
      </w:r>
      <w:r w:rsidR="00E07C75">
        <w:rPr>
          <w:rFonts w:asciiTheme="minorHAnsi" w:hAnsiTheme="minorHAnsi" w:cstheme="minorHAnsi"/>
        </w:rPr>
        <w:t>7</w:t>
      </w:r>
      <w:r w:rsidR="00E07C75" w:rsidRPr="002D0805">
        <w:rPr>
          <w:rFonts w:asciiTheme="minorHAnsi" w:hAnsiTheme="minorHAnsi" w:cstheme="minorHAnsi"/>
        </w:rPr>
        <w:t xml:space="preserve">5 % výdajů </w:t>
      </w:r>
      <w:r w:rsidR="00B70EA7">
        <w:rPr>
          <w:rFonts w:asciiTheme="minorHAnsi" w:hAnsiTheme="minorHAnsi" w:cstheme="minorHAnsi"/>
        </w:rPr>
        <w:t xml:space="preserve">státního rozpočtu </w:t>
      </w:r>
      <w:r w:rsidR="00E07C75" w:rsidRPr="002D0805">
        <w:rPr>
          <w:rFonts w:asciiTheme="minorHAnsi" w:hAnsiTheme="minorHAnsi" w:cstheme="minorHAnsi"/>
        </w:rPr>
        <w:t>kapitol</w:t>
      </w:r>
      <w:r w:rsidR="00E147E7">
        <w:rPr>
          <w:rFonts w:asciiTheme="minorHAnsi" w:hAnsiTheme="minorHAnsi" w:cstheme="minorHAnsi"/>
        </w:rPr>
        <w:t>y</w:t>
      </w:r>
      <w:r w:rsidR="00E07C75" w:rsidRPr="002D0805">
        <w:rPr>
          <w:rFonts w:asciiTheme="minorHAnsi" w:hAnsiTheme="minorHAnsi" w:cstheme="minorHAnsi"/>
        </w:rPr>
        <w:t xml:space="preserve"> 307 – </w:t>
      </w:r>
      <w:r w:rsidR="00E07C75" w:rsidRPr="002D0805">
        <w:rPr>
          <w:rFonts w:asciiTheme="minorHAnsi" w:hAnsiTheme="minorHAnsi" w:cstheme="minorHAnsi"/>
          <w:i/>
        </w:rPr>
        <w:t>Ministerstvo obrany</w:t>
      </w:r>
      <w:r w:rsidR="00E07C75">
        <w:rPr>
          <w:rFonts w:asciiTheme="minorHAnsi" w:hAnsiTheme="minorHAnsi" w:cstheme="minorHAnsi"/>
          <w:i/>
        </w:rPr>
        <w:t xml:space="preserve"> </w:t>
      </w:r>
      <w:r w:rsidR="00E07C75">
        <w:rPr>
          <w:rFonts w:asciiTheme="minorHAnsi" w:hAnsiTheme="minorHAnsi" w:cstheme="minorHAnsi"/>
        </w:rPr>
        <w:t>v tomto období</w:t>
      </w:r>
      <w:r w:rsidR="00E07C75" w:rsidRPr="002D0805">
        <w:rPr>
          <w:rFonts w:asciiTheme="minorHAnsi" w:hAnsiTheme="minorHAnsi" w:cstheme="minorHAnsi"/>
          <w:i/>
        </w:rPr>
        <w:t>.</w:t>
      </w:r>
      <w:r w:rsidR="00E07C75">
        <w:rPr>
          <w:rFonts w:asciiTheme="minorHAnsi" w:hAnsiTheme="minorHAnsi" w:cstheme="minorHAnsi"/>
        </w:rPr>
        <w:t xml:space="preserve"> </w:t>
      </w:r>
    </w:p>
    <w:p w14:paraId="6B2C2BF2" w14:textId="3B3C0A0C" w:rsidR="003E486D" w:rsidRDefault="003E486D" w:rsidP="000B5436">
      <w:pPr>
        <w:jc w:val="both"/>
        <w:rPr>
          <w:rFonts w:asciiTheme="minorHAnsi" w:hAnsiTheme="minorHAnsi" w:cstheme="minorHAnsi"/>
          <w:highlight w:val="yellow"/>
        </w:rPr>
      </w:pPr>
    </w:p>
    <w:p w14:paraId="12C6A199" w14:textId="5EFA5D53" w:rsidR="005B6A04" w:rsidRPr="005B6A04" w:rsidRDefault="00753358" w:rsidP="005B6A0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</w:t>
      </w:r>
      <w:r w:rsidR="005B6A04" w:rsidRPr="005B6A04">
        <w:rPr>
          <w:rFonts w:asciiTheme="minorHAnsi" w:hAnsiTheme="minorHAnsi" w:cstheme="minorHAnsi"/>
          <w:b/>
        </w:rPr>
        <w:t xml:space="preserve">rovozuschopnost obrněné techniky </w:t>
      </w:r>
      <w:r w:rsidR="005B6A04" w:rsidRPr="005B6A04">
        <w:rPr>
          <w:rFonts w:asciiTheme="minorHAnsi" w:hAnsiTheme="minorHAnsi" w:cstheme="minorHAnsi"/>
        </w:rPr>
        <w:t xml:space="preserve">je jedním z ukazatelů </w:t>
      </w:r>
      <w:r w:rsidR="0067156E">
        <w:rPr>
          <w:rFonts w:asciiTheme="minorHAnsi" w:hAnsiTheme="minorHAnsi" w:cstheme="minorHAnsi"/>
        </w:rPr>
        <w:t xml:space="preserve">efektivity systému zabezpečení provozu, údržby a oprav obrněné techniky. MO </w:t>
      </w:r>
      <w:r w:rsidR="00431FB1">
        <w:rPr>
          <w:rFonts w:asciiTheme="minorHAnsi" w:hAnsiTheme="minorHAnsi" w:cstheme="minorHAnsi"/>
        </w:rPr>
        <w:t xml:space="preserve">má stanovenou provozuschopnost, respektive </w:t>
      </w:r>
      <w:r w:rsidR="0067156E">
        <w:rPr>
          <w:rFonts w:asciiTheme="minorHAnsi" w:hAnsiTheme="minorHAnsi" w:cstheme="minorHAnsi"/>
        </w:rPr>
        <w:t>technick</w:t>
      </w:r>
      <w:r w:rsidR="00431FB1">
        <w:rPr>
          <w:rFonts w:asciiTheme="minorHAnsi" w:hAnsiTheme="minorHAnsi" w:cstheme="minorHAnsi"/>
        </w:rPr>
        <w:t>ou</w:t>
      </w:r>
      <w:r w:rsidR="0067156E">
        <w:rPr>
          <w:rFonts w:asciiTheme="minorHAnsi" w:hAnsiTheme="minorHAnsi" w:cstheme="minorHAnsi"/>
        </w:rPr>
        <w:t xml:space="preserve"> pohotovost pozemní vojenské techniky jako poměr provozuschopné techniky k celkovému počtu techniky, která je </w:t>
      </w:r>
      <w:r w:rsidR="002B284C">
        <w:rPr>
          <w:rFonts w:asciiTheme="minorHAnsi" w:hAnsiTheme="minorHAnsi" w:cstheme="minorHAnsi"/>
        </w:rPr>
        <w:t xml:space="preserve">zařazena </w:t>
      </w:r>
      <w:r w:rsidR="0067156E">
        <w:rPr>
          <w:rFonts w:asciiTheme="minorHAnsi" w:hAnsiTheme="minorHAnsi" w:cstheme="minorHAnsi"/>
        </w:rPr>
        <w:t>v provozu.</w:t>
      </w:r>
      <w:r w:rsidR="00431FB1">
        <w:rPr>
          <w:rStyle w:val="Znakapoznpodarou"/>
          <w:rFonts w:asciiTheme="minorHAnsi" w:hAnsiTheme="minorHAnsi" w:cstheme="minorHAnsi"/>
        </w:rPr>
        <w:footnoteReference w:id="19"/>
      </w:r>
      <w:r w:rsidR="00431FB1">
        <w:rPr>
          <w:rFonts w:asciiTheme="minorHAnsi" w:hAnsiTheme="minorHAnsi" w:cstheme="minorHAnsi"/>
        </w:rPr>
        <w:t xml:space="preserve"> </w:t>
      </w:r>
      <w:r w:rsidR="0067156E">
        <w:rPr>
          <w:rFonts w:asciiTheme="minorHAnsi" w:hAnsiTheme="minorHAnsi" w:cstheme="minorHAnsi"/>
        </w:rPr>
        <w:t>Pro obrněnou techniku Armády má tento ukazatel limitní hodnotu 85 %, tj. počet obrněné techniky</w:t>
      </w:r>
      <w:r w:rsidR="00955FAB">
        <w:rPr>
          <w:rFonts w:asciiTheme="minorHAnsi" w:hAnsiTheme="minorHAnsi" w:cstheme="minorHAnsi"/>
        </w:rPr>
        <w:t xml:space="preserve"> neschopné provozu</w:t>
      </w:r>
      <w:r w:rsidR="0067156E">
        <w:rPr>
          <w:rFonts w:asciiTheme="minorHAnsi" w:hAnsiTheme="minorHAnsi" w:cstheme="minorHAnsi"/>
        </w:rPr>
        <w:t xml:space="preserve"> by neměl překročit 15 % z</w:t>
      </w:r>
      <w:r>
        <w:rPr>
          <w:rFonts w:asciiTheme="minorHAnsi" w:hAnsiTheme="minorHAnsi" w:cstheme="minorHAnsi"/>
        </w:rPr>
        <w:t> </w:t>
      </w:r>
      <w:r w:rsidR="0067156E">
        <w:rPr>
          <w:rFonts w:asciiTheme="minorHAnsi" w:hAnsiTheme="minorHAnsi" w:cstheme="minorHAnsi"/>
        </w:rPr>
        <w:t>celkového počtu obrněné techniky</w:t>
      </w:r>
      <w:r w:rsidR="002B284C">
        <w:rPr>
          <w:rFonts w:asciiTheme="minorHAnsi" w:hAnsiTheme="minorHAnsi" w:cstheme="minorHAnsi"/>
        </w:rPr>
        <w:t>, zařazené v provozu</w:t>
      </w:r>
      <w:r w:rsidR="00431FB1" w:rsidRPr="004E15CB">
        <w:rPr>
          <w:rFonts w:asciiTheme="minorHAnsi" w:hAnsiTheme="minorHAnsi" w:cstheme="minorHAnsi"/>
        </w:rPr>
        <w:t>.</w:t>
      </w:r>
      <w:r w:rsidR="0067156E">
        <w:rPr>
          <w:rFonts w:asciiTheme="minorHAnsi" w:hAnsiTheme="minorHAnsi" w:cstheme="minorHAnsi"/>
        </w:rPr>
        <w:t xml:space="preserve"> </w:t>
      </w:r>
    </w:p>
    <w:p w14:paraId="36F8F2CE" w14:textId="77777777" w:rsidR="005B6A04" w:rsidRPr="005B6A04" w:rsidRDefault="005B6A04" w:rsidP="00584117">
      <w:pPr>
        <w:jc w:val="both"/>
        <w:rPr>
          <w:rFonts w:asciiTheme="minorHAnsi" w:hAnsiTheme="minorHAnsi" w:cstheme="minorHAnsi"/>
          <w:b/>
        </w:rPr>
      </w:pPr>
    </w:p>
    <w:p w14:paraId="5FD8589E" w14:textId="694502D1" w:rsidR="00584117" w:rsidRPr="00584117" w:rsidRDefault="005C17B3" w:rsidP="005841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Opravy a udržování obrněné techniky</w:t>
      </w:r>
      <w:r w:rsidR="00ED7AC3">
        <w:rPr>
          <w:rFonts w:asciiTheme="minorHAnsi" w:hAnsiTheme="minorHAnsi" w:cstheme="minorHAnsi"/>
          <w:b/>
        </w:rPr>
        <w:t xml:space="preserve"> </w:t>
      </w:r>
      <w:r w:rsidR="00ED7AC3" w:rsidRPr="00ED7AC3">
        <w:rPr>
          <w:rFonts w:asciiTheme="minorHAnsi" w:hAnsiTheme="minorHAnsi" w:cstheme="minorHAnsi"/>
        </w:rPr>
        <w:t>j</w:t>
      </w:r>
      <w:r w:rsidR="00714BDE">
        <w:rPr>
          <w:rFonts w:asciiTheme="minorHAnsi" w:hAnsiTheme="minorHAnsi" w:cstheme="minorHAnsi"/>
        </w:rPr>
        <w:t>sou</w:t>
      </w:r>
      <w:r w:rsidR="00ED7AC3" w:rsidRPr="00ED7AC3">
        <w:rPr>
          <w:rFonts w:asciiTheme="minorHAnsi" w:hAnsiTheme="minorHAnsi" w:cstheme="minorHAnsi"/>
        </w:rPr>
        <w:t xml:space="preserve"> </w:t>
      </w:r>
      <w:r w:rsidR="00584117">
        <w:rPr>
          <w:rFonts w:asciiTheme="minorHAnsi" w:hAnsiTheme="minorHAnsi" w:cstheme="minorHAnsi"/>
        </w:rPr>
        <w:t>zajišťován</w:t>
      </w:r>
      <w:r w:rsidR="00714BDE">
        <w:rPr>
          <w:rFonts w:asciiTheme="minorHAnsi" w:hAnsiTheme="minorHAnsi" w:cstheme="minorHAnsi"/>
        </w:rPr>
        <w:t>y</w:t>
      </w:r>
      <w:r w:rsidR="00584117">
        <w:rPr>
          <w:rFonts w:asciiTheme="minorHAnsi" w:hAnsiTheme="minorHAnsi" w:cstheme="minorHAnsi"/>
        </w:rPr>
        <w:t xml:space="preserve"> buď vojskově, anebo pořízením služby či dodávky mimo-vojskově </w:t>
      </w:r>
      <w:r w:rsidR="00E147E7">
        <w:rPr>
          <w:rFonts w:asciiTheme="minorHAnsi" w:hAnsiTheme="minorHAnsi" w:cstheme="minorHAnsi"/>
        </w:rPr>
        <w:t>podle příslušného zákona</w:t>
      </w:r>
      <w:r w:rsidR="00E36189">
        <w:rPr>
          <w:rFonts w:asciiTheme="minorHAnsi" w:hAnsiTheme="minorHAnsi" w:cstheme="minorHAnsi"/>
          <w:vertAlign w:val="superscript"/>
        </w:rPr>
        <w:t>5</w:t>
      </w:r>
      <w:r w:rsidR="00EF602A">
        <w:rPr>
          <w:rFonts w:asciiTheme="minorHAnsi" w:hAnsiTheme="minorHAnsi" w:cstheme="minorHAnsi"/>
        </w:rPr>
        <w:t xml:space="preserve"> </w:t>
      </w:r>
      <w:r w:rsidR="00584117">
        <w:rPr>
          <w:rFonts w:asciiTheme="minorHAnsi" w:hAnsiTheme="minorHAnsi" w:cstheme="minorHAnsi"/>
        </w:rPr>
        <w:t xml:space="preserve">s financováním </w:t>
      </w:r>
      <w:r w:rsidR="00ED7AC3" w:rsidRPr="00ED7AC3">
        <w:rPr>
          <w:rFonts w:asciiTheme="minorHAnsi" w:hAnsiTheme="minorHAnsi" w:cstheme="minorHAnsi"/>
        </w:rPr>
        <w:t xml:space="preserve">v rámci běžných výdajů </w:t>
      </w:r>
      <w:r w:rsidR="00ED7AC3">
        <w:rPr>
          <w:rFonts w:asciiTheme="minorHAnsi" w:hAnsiTheme="minorHAnsi" w:cstheme="minorHAnsi"/>
        </w:rPr>
        <w:t xml:space="preserve">MO. </w:t>
      </w:r>
      <w:r w:rsidR="00714BDE">
        <w:rPr>
          <w:rFonts w:asciiTheme="minorHAnsi" w:hAnsiTheme="minorHAnsi" w:cstheme="minorHAnsi"/>
        </w:rPr>
        <w:t>Realizují</w:t>
      </w:r>
      <w:r w:rsidR="00A832D3">
        <w:rPr>
          <w:rFonts w:asciiTheme="minorHAnsi" w:hAnsiTheme="minorHAnsi" w:cstheme="minorHAnsi"/>
        </w:rPr>
        <w:t xml:space="preserve"> se </w:t>
      </w:r>
      <w:r w:rsidR="00584117">
        <w:rPr>
          <w:rFonts w:asciiTheme="minorHAnsi" w:hAnsiTheme="minorHAnsi" w:cstheme="minorHAnsi"/>
        </w:rPr>
        <w:t xml:space="preserve">ve čtyřech </w:t>
      </w:r>
      <w:r w:rsidR="00EF602A">
        <w:rPr>
          <w:rFonts w:asciiTheme="minorHAnsi" w:hAnsiTheme="minorHAnsi" w:cstheme="minorHAnsi"/>
        </w:rPr>
        <w:t>různých úrovních</w:t>
      </w:r>
      <w:r w:rsidR="00A832D3">
        <w:rPr>
          <w:rFonts w:asciiTheme="minorHAnsi" w:hAnsiTheme="minorHAnsi" w:cstheme="minorHAnsi"/>
        </w:rPr>
        <w:t>:</w:t>
      </w:r>
      <w:r w:rsidR="00584117" w:rsidRPr="00584117">
        <w:rPr>
          <w:rFonts w:asciiTheme="minorHAnsi" w:hAnsiTheme="minorHAnsi" w:cstheme="minorHAnsi"/>
        </w:rPr>
        <w:t xml:space="preserve"> </w:t>
      </w:r>
    </w:p>
    <w:p w14:paraId="4CD2AFAD" w14:textId="45DB1B4F" w:rsidR="00584117" w:rsidRPr="00EF602A" w:rsidRDefault="00584117" w:rsidP="0093486C">
      <w:pPr>
        <w:pStyle w:val="Odstavecseseznamem"/>
        <w:numPr>
          <w:ilvl w:val="0"/>
          <w:numId w:val="15"/>
        </w:numPr>
        <w:ind w:left="284" w:hanging="284"/>
        <w:contextualSpacing/>
        <w:jc w:val="both"/>
        <w:rPr>
          <w:rFonts w:asciiTheme="minorHAnsi" w:hAnsiTheme="minorHAnsi" w:cstheme="minorHAnsi"/>
        </w:rPr>
      </w:pPr>
      <w:r w:rsidRPr="00EF602A">
        <w:rPr>
          <w:rFonts w:asciiTheme="minorHAnsi" w:hAnsiTheme="minorHAnsi" w:cstheme="minorHAnsi"/>
        </w:rPr>
        <w:t xml:space="preserve">První </w:t>
      </w:r>
      <w:r w:rsidR="00A832D3" w:rsidRPr="00EF602A">
        <w:rPr>
          <w:rFonts w:asciiTheme="minorHAnsi" w:hAnsiTheme="minorHAnsi" w:cstheme="minorHAnsi"/>
        </w:rPr>
        <w:t xml:space="preserve">až třetí </w:t>
      </w:r>
      <w:r w:rsidRPr="00EF602A">
        <w:rPr>
          <w:rFonts w:asciiTheme="minorHAnsi" w:hAnsiTheme="minorHAnsi" w:cstheme="minorHAnsi"/>
        </w:rPr>
        <w:t>úroveň</w:t>
      </w:r>
      <w:r w:rsidR="00EF602A">
        <w:rPr>
          <w:rFonts w:asciiTheme="minorHAnsi" w:hAnsiTheme="minorHAnsi" w:cstheme="minorHAnsi"/>
        </w:rPr>
        <w:t xml:space="preserve"> </w:t>
      </w:r>
      <w:r w:rsidR="00A832D3" w:rsidRPr="00EF602A">
        <w:rPr>
          <w:rFonts w:asciiTheme="minorHAnsi" w:hAnsiTheme="minorHAnsi" w:cstheme="minorHAnsi"/>
        </w:rPr>
        <w:t xml:space="preserve">zabezpečuje Armáda. Kromě </w:t>
      </w:r>
      <w:r w:rsidRPr="00EF602A">
        <w:rPr>
          <w:rFonts w:asciiTheme="minorHAnsi" w:hAnsiTheme="minorHAnsi" w:cstheme="minorHAnsi"/>
        </w:rPr>
        <w:t>obsluh</w:t>
      </w:r>
      <w:r w:rsidR="00A832D3" w:rsidRPr="00EF602A">
        <w:rPr>
          <w:rFonts w:asciiTheme="minorHAnsi" w:hAnsiTheme="minorHAnsi" w:cstheme="minorHAnsi"/>
        </w:rPr>
        <w:t>y</w:t>
      </w:r>
      <w:r w:rsidRPr="00EF602A">
        <w:rPr>
          <w:rFonts w:asciiTheme="minorHAnsi" w:hAnsiTheme="minorHAnsi" w:cstheme="minorHAnsi"/>
        </w:rPr>
        <w:t xml:space="preserve"> </w:t>
      </w:r>
      <w:r w:rsidR="00EF602A">
        <w:rPr>
          <w:rFonts w:asciiTheme="minorHAnsi" w:hAnsiTheme="minorHAnsi" w:cstheme="minorHAnsi"/>
        </w:rPr>
        <w:t xml:space="preserve">techniky </w:t>
      </w:r>
      <w:r w:rsidRPr="00EF602A">
        <w:rPr>
          <w:rFonts w:asciiTheme="minorHAnsi" w:hAnsiTheme="minorHAnsi" w:cstheme="minorHAnsi"/>
        </w:rPr>
        <w:t>a dílen</w:t>
      </w:r>
      <w:r w:rsidR="00A832D3" w:rsidRPr="00EF602A">
        <w:rPr>
          <w:rFonts w:asciiTheme="minorHAnsi" w:hAnsiTheme="minorHAnsi" w:cstheme="minorHAnsi"/>
        </w:rPr>
        <w:t xml:space="preserve">ských specialistů vojenského útvaru </w:t>
      </w:r>
      <w:r w:rsidRPr="00EF602A">
        <w:rPr>
          <w:rFonts w:asciiTheme="minorHAnsi" w:hAnsiTheme="minorHAnsi" w:cstheme="minorHAnsi"/>
        </w:rPr>
        <w:t xml:space="preserve">nebo </w:t>
      </w:r>
      <w:r w:rsidR="00A832D3" w:rsidRPr="00EF602A">
        <w:rPr>
          <w:rFonts w:asciiTheme="minorHAnsi" w:hAnsiTheme="minorHAnsi" w:cstheme="minorHAnsi"/>
        </w:rPr>
        <w:t xml:space="preserve">příslušného </w:t>
      </w:r>
      <w:r w:rsidRPr="00EF602A">
        <w:rPr>
          <w:rFonts w:asciiTheme="minorHAnsi" w:hAnsiTheme="minorHAnsi" w:cstheme="minorHAnsi"/>
        </w:rPr>
        <w:t>organizačního celku</w:t>
      </w:r>
      <w:r w:rsidR="00A832D3" w:rsidRPr="00EF602A">
        <w:rPr>
          <w:rFonts w:asciiTheme="minorHAnsi" w:hAnsiTheme="minorHAnsi" w:cstheme="minorHAnsi"/>
        </w:rPr>
        <w:t xml:space="preserve"> (první </w:t>
      </w:r>
      <w:r w:rsidR="00942BFE">
        <w:rPr>
          <w:rFonts w:asciiTheme="minorHAnsi" w:hAnsiTheme="minorHAnsi" w:cstheme="minorHAnsi"/>
        </w:rPr>
        <w:t>úroveň</w:t>
      </w:r>
      <w:r w:rsidR="00A832D3" w:rsidRPr="00EF602A">
        <w:rPr>
          <w:rFonts w:asciiTheme="minorHAnsi" w:hAnsiTheme="minorHAnsi" w:cstheme="minorHAnsi"/>
        </w:rPr>
        <w:t>) zabezpečuje opravy a udržování obrněné techniky rovněž prapor oprav (druhá úroveň) a</w:t>
      </w:r>
      <w:r w:rsidR="00EF602A">
        <w:rPr>
          <w:rFonts w:asciiTheme="minorHAnsi" w:hAnsiTheme="minorHAnsi" w:cstheme="minorHAnsi"/>
        </w:rPr>
        <w:t> </w:t>
      </w:r>
      <w:r w:rsidR="00A832D3" w:rsidRPr="00EF602A">
        <w:rPr>
          <w:rFonts w:asciiTheme="minorHAnsi" w:hAnsiTheme="minorHAnsi" w:cstheme="minorHAnsi"/>
        </w:rPr>
        <w:t>Centrum zabezpečení oprav (třetí úroveň)</w:t>
      </w:r>
      <w:r w:rsidRPr="00EF602A">
        <w:rPr>
          <w:rFonts w:asciiTheme="minorHAnsi" w:hAnsiTheme="minorHAnsi" w:cstheme="minorHAnsi"/>
        </w:rPr>
        <w:t xml:space="preserve">. Zpravidla se jedná </w:t>
      </w:r>
      <w:r w:rsidR="00A832D3" w:rsidRPr="00EF602A">
        <w:rPr>
          <w:rFonts w:asciiTheme="minorHAnsi" w:hAnsiTheme="minorHAnsi" w:cstheme="minorHAnsi"/>
        </w:rPr>
        <w:t>o</w:t>
      </w:r>
      <w:r w:rsidRPr="00EF602A">
        <w:rPr>
          <w:rFonts w:asciiTheme="minorHAnsi" w:hAnsiTheme="minorHAnsi" w:cstheme="minorHAnsi"/>
        </w:rPr>
        <w:t xml:space="preserve"> </w:t>
      </w:r>
      <w:r w:rsidR="00A832D3" w:rsidRPr="00EF602A">
        <w:rPr>
          <w:rFonts w:asciiTheme="minorHAnsi" w:hAnsiTheme="minorHAnsi" w:cstheme="minorHAnsi"/>
        </w:rPr>
        <w:t xml:space="preserve">preventivní </w:t>
      </w:r>
      <w:r w:rsidRPr="00EF602A">
        <w:rPr>
          <w:rFonts w:asciiTheme="minorHAnsi" w:hAnsiTheme="minorHAnsi" w:cstheme="minorHAnsi"/>
        </w:rPr>
        <w:t>údržbu</w:t>
      </w:r>
      <w:r w:rsidR="00EF602A">
        <w:rPr>
          <w:rFonts w:asciiTheme="minorHAnsi" w:hAnsiTheme="minorHAnsi" w:cstheme="minorHAnsi"/>
        </w:rPr>
        <w:t xml:space="preserve"> obrněné techniky</w:t>
      </w:r>
      <w:r w:rsidR="00EF602A" w:rsidRPr="00EF602A">
        <w:rPr>
          <w:rFonts w:asciiTheme="minorHAnsi" w:hAnsiTheme="minorHAnsi" w:cstheme="minorHAnsi"/>
        </w:rPr>
        <w:t xml:space="preserve">, </w:t>
      </w:r>
      <w:r w:rsidRPr="00EF602A">
        <w:rPr>
          <w:rFonts w:asciiTheme="minorHAnsi" w:hAnsiTheme="minorHAnsi" w:cstheme="minorHAnsi"/>
        </w:rPr>
        <w:t>odstranění běžných poruch a závad</w:t>
      </w:r>
      <w:r w:rsidR="00EF602A">
        <w:rPr>
          <w:rFonts w:asciiTheme="minorHAnsi" w:hAnsiTheme="minorHAnsi" w:cstheme="minorHAnsi"/>
        </w:rPr>
        <w:t>,</w:t>
      </w:r>
      <w:r w:rsidR="00EF602A" w:rsidRPr="00EF602A">
        <w:rPr>
          <w:rFonts w:asciiTheme="minorHAnsi" w:hAnsiTheme="minorHAnsi" w:cstheme="minorHAnsi"/>
        </w:rPr>
        <w:t xml:space="preserve"> </w:t>
      </w:r>
      <w:r w:rsidRPr="00EF602A">
        <w:rPr>
          <w:rFonts w:asciiTheme="minorHAnsi" w:hAnsiTheme="minorHAnsi" w:cstheme="minorHAnsi"/>
        </w:rPr>
        <w:t>revize zařízení a kalibrace</w:t>
      </w:r>
      <w:r w:rsidR="00EF602A" w:rsidRPr="00EF602A">
        <w:rPr>
          <w:rFonts w:asciiTheme="minorHAnsi" w:hAnsiTheme="minorHAnsi" w:cstheme="minorHAnsi"/>
        </w:rPr>
        <w:t xml:space="preserve">, </w:t>
      </w:r>
      <w:r w:rsidR="00EF602A">
        <w:rPr>
          <w:rFonts w:asciiTheme="minorHAnsi" w:hAnsiTheme="minorHAnsi" w:cstheme="minorHAnsi"/>
        </w:rPr>
        <w:t>opr</w:t>
      </w:r>
      <w:r w:rsidR="00EF602A" w:rsidRPr="00EF602A">
        <w:rPr>
          <w:rFonts w:asciiTheme="minorHAnsi" w:hAnsiTheme="minorHAnsi" w:cstheme="minorHAnsi"/>
        </w:rPr>
        <w:t xml:space="preserve">avy </w:t>
      </w:r>
      <w:r w:rsidR="0056151E">
        <w:rPr>
          <w:rFonts w:asciiTheme="minorHAnsi" w:hAnsiTheme="minorHAnsi" w:cstheme="minorHAnsi"/>
        </w:rPr>
        <w:t>běžné a střední náročnosti a</w:t>
      </w:r>
      <w:r w:rsidR="00EF602A">
        <w:rPr>
          <w:rFonts w:asciiTheme="minorHAnsi" w:hAnsiTheme="minorHAnsi" w:cstheme="minorHAnsi"/>
        </w:rPr>
        <w:t xml:space="preserve"> </w:t>
      </w:r>
      <w:r w:rsidR="00EF602A" w:rsidRPr="00EF602A">
        <w:rPr>
          <w:rFonts w:asciiTheme="minorHAnsi" w:hAnsiTheme="minorHAnsi" w:cstheme="minorHAnsi"/>
        </w:rPr>
        <w:t>krátkodobé</w:t>
      </w:r>
      <w:r w:rsidR="00EF602A">
        <w:rPr>
          <w:rFonts w:asciiTheme="minorHAnsi" w:hAnsiTheme="minorHAnsi" w:cstheme="minorHAnsi"/>
        </w:rPr>
        <w:t xml:space="preserve"> i dlouhodobé ukládání </w:t>
      </w:r>
      <w:r w:rsidR="00EF602A" w:rsidRPr="00EF602A">
        <w:rPr>
          <w:rFonts w:asciiTheme="minorHAnsi" w:hAnsiTheme="minorHAnsi" w:cstheme="minorHAnsi"/>
        </w:rPr>
        <w:t>techniky</w:t>
      </w:r>
      <w:r w:rsidR="00955FAB">
        <w:rPr>
          <w:rFonts w:asciiTheme="minorHAnsi" w:hAnsiTheme="minorHAnsi" w:cstheme="minorHAnsi"/>
        </w:rPr>
        <w:t>.</w:t>
      </w:r>
    </w:p>
    <w:p w14:paraId="095A34A5" w14:textId="69E955B6" w:rsidR="00D57C76" w:rsidRPr="00584117" w:rsidRDefault="00584117" w:rsidP="0093486C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Čtvrtou úroveň </w:t>
      </w:r>
      <w:r w:rsidR="00EF602A">
        <w:rPr>
          <w:rFonts w:asciiTheme="minorHAnsi" w:hAnsiTheme="minorHAnsi" w:cstheme="minorHAnsi"/>
        </w:rPr>
        <w:t xml:space="preserve">oprav a udržování obrněné techniky </w:t>
      </w:r>
      <w:r>
        <w:rPr>
          <w:rFonts w:asciiTheme="minorHAnsi" w:hAnsiTheme="minorHAnsi" w:cstheme="minorHAnsi"/>
        </w:rPr>
        <w:t>představují služby</w:t>
      </w:r>
      <w:r w:rsidR="003F0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poskytované </w:t>
      </w:r>
      <w:r w:rsidR="00B46663">
        <w:rPr>
          <w:rFonts w:asciiTheme="minorHAnsi" w:hAnsiTheme="minorHAnsi" w:cstheme="minorHAnsi"/>
        </w:rPr>
        <w:br/>
      </w:r>
      <w:r w:rsidR="00D76F2C">
        <w:rPr>
          <w:rFonts w:asciiTheme="minorHAnsi" w:hAnsiTheme="minorHAnsi" w:cstheme="minorHAnsi"/>
        </w:rPr>
        <w:t>mimo-vojskově</w:t>
      </w:r>
      <w:r w:rsidR="0056151E">
        <w:rPr>
          <w:rFonts w:asciiTheme="minorHAnsi" w:hAnsiTheme="minorHAnsi" w:cstheme="minorHAnsi"/>
        </w:rPr>
        <w:t xml:space="preserve"> </w:t>
      </w:r>
      <w:r w:rsidR="000C4B54">
        <w:rPr>
          <w:rFonts w:asciiTheme="minorHAnsi" w:hAnsiTheme="minorHAnsi" w:cstheme="minorHAnsi"/>
        </w:rPr>
        <w:t xml:space="preserve">(tj. </w:t>
      </w:r>
      <w:r w:rsidR="00D76F2C">
        <w:rPr>
          <w:rFonts w:asciiTheme="minorHAnsi" w:hAnsiTheme="minorHAnsi" w:cstheme="minorHAnsi"/>
        </w:rPr>
        <w:t>externími subjekty</w:t>
      </w:r>
      <w:r w:rsidR="000C4B54">
        <w:rPr>
          <w:rFonts w:asciiTheme="minorHAnsi" w:hAnsiTheme="minorHAnsi" w:cstheme="minorHAnsi"/>
        </w:rPr>
        <w:t xml:space="preserve">), </w:t>
      </w:r>
      <w:r w:rsidR="0056151E">
        <w:rPr>
          <w:rFonts w:asciiTheme="minorHAnsi" w:hAnsiTheme="minorHAnsi" w:cstheme="minorHAnsi"/>
        </w:rPr>
        <w:t>zejména na základě dlouhodobých rámcových smluv</w:t>
      </w:r>
      <w:r>
        <w:rPr>
          <w:rFonts w:asciiTheme="minorHAnsi" w:hAnsiTheme="minorHAnsi" w:cstheme="minorHAnsi"/>
        </w:rPr>
        <w:t>. Zpravidla se jedná o rozsáhlé opravy nebo náročn</w:t>
      </w:r>
      <w:r w:rsidR="00EF602A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 údržb</w:t>
      </w:r>
      <w:r w:rsidR="00EF602A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, revize po 10 letech, revize určených zařízení, ověření měřidel</w:t>
      </w:r>
      <w:r w:rsidR="0056151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dlouhodobé ukládání techniky.</w:t>
      </w:r>
      <w:r w:rsidRPr="00584117">
        <w:rPr>
          <w:rFonts w:asciiTheme="minorHAnsi" w:hAnsiTheme="minorHAnsi" w:cstheme="minorHAnsi"/>
        </w:rPr>
        <w:t xml:space="preserve"> </w:t>
      </w:r>
    </w:p>
    <w:p w14:paraId="63B856BF" w14:textId="77777777" w:rsidR="003F04EB" w:rsidRDefault="003F04EB" w:rsidP="003F04EB">
      <w:pPr>
        <w:jc w:val="both"/>
        <w:rPr>
          <w:rFonts w:asciiTheme="minorHAnsi" w:hAnsiTheme="minorHAnsi" w:cstheme="minorHAnsi"/>
        </w:rPr>
      </w:pPr>
    </w:p>
    <w:p w14:paraId="66CEFE1E" w14:textId="01B37D98" w:rsidR="003F04EB" w:rsidRDefault="000168F4" w:rsidP="003F04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Běžné výdaje MO na </w:t>
      </w:r>
      <w:r w:rsidR="004E15CB">
        <w:rPr>
          <w:rFonts w:asciiTheme="minorHAnsi" w:hAnsiTheme="minorHAnsi" w:cstheme="minorHAnsi"/>
        </w:rPr>
        <w:t xml:space="preserve">mimo-vojskové </w:t>
      </w:r>
      <w:r>
        <w:rPr>
          <w:rFonts w:asciiTheme="minorHAnsi" w:hAnsiTheme="minorHAnsi" w:cstheme="minorHAnsi"/>
        </w:rPr>
        <w:t>opravy, udržování a </w:t>
      </w:r>
      <w:r w:rsidR="004E15CB">
        <w:rPr>
          <w:rFonts w:asciiTheme="minorHAnsi" w:hAnsiTheme="minorHAnsi" w:cstheme="minorHAnsi"/>
        </w:rPr>
        <w:t xml:space="preserve">nákup </w:t>
      </w:r>
      <w:r w:rsidR="003E486D" w:rsidRPr="002D0805">
        <w:rPr>
          <w:rFonts w:asciiTheme="minorHAnsi" w:hAnsiTheme="minorHAnsi" w:cstheme="minorHAnsi"/>
        </w:rPr>
        <w:t>náhradní</w:t>
      </w:r>
      <w:r w:rsidR="004E15CB">
        <w:rPr>
          <w:rFonts w:asciiTheme="minorHAnsi" w:hAnsiTheme="minorHAnsi" w:cstheme="minorHAnsi"/>
        </w:rPr>
        <w:t>ch</w:t>
      </w:r>
      <w:r w:rsidR="003E486D" w:rsidRPr="002D0805">
        <w:rPr>
          <w:rFonts w:asciiTheme="minorHAnsi" w:hAnsiTheme="minorHAnsi" w:cstheme="minorHAnsi"/>
        </w:rPr>
        <w:t xml:space="preserve"> díl</w:t>
      </w:r>
      <w:r w:rsidR="004E15CB">
        <w:rPr>
          <w:rFonts w:asciiTheme="minorHAnsi" w:hAnsiTheme="minorHAnsi" w:cstheme="minorHAnsi"/>
        </w:rPr>
        <w:t>ů</w:t>
      </w:r>
      <w:r w:rsidR="003E486D" w:rsidRPr="002D0805">
        <w:rPr>
          <w:rFonts w:asciiTheme="minorHAnsi" w:hAnsiTheme="minorHAnsi" w:cstheme="minorHAnsi"/>
          <w:lang w:eastAsia="en-US"/>
        </w:rPr>
        <w:t xml:space="preserve"> obrněné techniky Armády </w:t>
      </w:r>
      <w:r w:rsidR="003E486D" w:rsidRPr="002D0805">
        <w:rPr>
          <w:rFonts w:asciiTheme="minorHAnsi" w:hAnsiTheme="minorHAnsi" w:cstheme="minorHAnsi"/>
        </w:rPr>
        <w:t>v období 2016–2018</w:t>
      </w:r>
      <w:r w:rsidR="003F04EB">
        <w:rPr>
          <w:rFonts w:asciiTheme="minorHAnsi" w:hAnsiTheme="minorHAnsi" w:cstheme="minorHAnsi"/>
        </w:rPr>
        <w:t xml:space="preserve"> činily celkem 1 299,5 mil. </w:t>
      </w:r>
      <w:r w:rsidR="003F04EB" w:rsidRPr="004E15CB">
        <w:rPr>
          <w:rFonts w:asciiTheme="minorHAnsi" w:hAnsiTheme="minorHAnsi" w:cstheme="minorHAnsi"/>
        </w:rPr>
        <w:t>Kč</w:t>
      </w:r>
      <w:r w:rsidR="003E486D" w:rsidRPr="004E15CB">
        <w:rPr>
          <w:rFonts w:asciiTheme="minorHAnsi" w:hAnsiTheme="minorHAnsi" w:cstheme="minorHAnsi"/>
        </w:rPr>
        <w:t xml:space="preserve"> </w:t>
      </w:r>
      <w:r w:rsidR="002F097A" w:rsidRPr="004E15CB">
        <w:rPr>
          <w:rFonts w:asciiTheme="minorHAnsi" w:hAnsiTheme="minorHAnsi" w:cstheme="minorHAnsi"/>
        </w:rPr>
        <w:t xml:space="preserve">(příloha č. 2) </w:t>
      </w:r>
      <w:r w:rsidR="003F04EB" w:rsidRPr="004E15CB">
        <w:rPr>
          <w:rFonts w:asciiTheme="minorHAnsi" w:hAnsiTheme="minorHAnsi" w:cstheme="minorHAnsi"/>
        </w:rPr>
        <w:t>a</w:t>
      </w:r>
      <w:r w:rsidR="004E15CB">
        <w:rPr>
          <w:rFonts w:asciiTheme="minorHAnsi" w:hAnsiTheme="minorHAnsi" w:cstheme="minorHAnsi"/>
        </w:rPr>
        <w:t> </w:t>
      </w:r>
      <w:r w:rsidR="003F04EB" w:rsidRPr="002D0805">
        <w:rPr>
          <w:rFonts w:asciiTheme="minorHAnsi" w:hAnsiTheme="minorHAnsi" w:cstheme="minorHAnsi"/>
        </w:rPr>
        <w:t>představovaly</w:t>
      </w:r>
      <w:r w:rsidR="003F04EB">
        <w:rPr>
          <w:rFonts w:asciiTheme="minorHAnsi" w:hAnsiTheme="minorHAnsi" w:cstheme="minorHAnsi"/>
        </w:rPr>
        <w:t xml:space="preserve"> p</w:t>
      </w:r>
      <w:r w:rsidR="003F04EB" w:rsidRPr="002D0805">
        <w:rPr>
          <w:rFonts w:asciiTheme="minorHAnsi" w:hAnsiTheme="minorHAnsi" w:cstheme="minorHAnsi"/>
        </w:rPr>
        <w:t xml:space="preserve">řibližně </w:t>
      </w:r>
      <w:r w:rsidR="003F04EB">
        <w:rPr>
          <w:rFonts w:asciiTheme="minorHAnsi" w:hAnsiTheme="minorHAnsi" w:cstheme="minorHAnsi"/>
        </w:rPr>
        <w:t>0,82</w:t>
      </w:r>
      <w:r w:rsidR="003F04EB" w:rsidRPr="002D0805">
        <w:rPr>
          <w:rFonts w:asciiTheme="minorHAnsi" w:hAnsiTheme="minorHAnsi" w:cstheme="minorHAnsi"/>
        </w:rPr>
        <w:t xml:space="preserve"> % výdajů</w:t>
      </w:r>
      <w:r w:rsidR="00B70EA7">
        <w:rPr>
          <w:rFonts w:asciiTheme="minorHAnsi" w:hAnsiTheme="minorHAnsi" w:cstheme="minorHAnsi"/>
        </w:rPr>
        <w:t xml:space="preserve"> státního rozpočtu</w:t>
      </w:r>
      <w:r w:rsidR="00E147E7">
        <w:rPr>
          <w:rFonts w:asciiTheme="minorHAnsi" w:hAnsiTheme="minorHAnsi" w:cstheme="minorHAnsi"/>
        </w:rPr>
        <w:t xml:space="preserve"> </w:t>
      </w:r>
      <w:r w:rsidR="003F04EB" w:rsidRPr="002D0805">
        <w:rPr>
          <w:rFonts w:asciiTheme="minorHAnsi" w:hAnsiTheme="minorHAnsi" w:cstheme="minorHAnsi"/>
        </w:rPr>
        <w:t>kapitol</w:t>
      </w:r>
      <w:r w:rsidR="00E147E7">
        <w:rPr>
          <w:rFonts w:asciiTheme="minorHAnsi" w:hAnsiTheme="minorHAnsi" w:cstheme="minorHAnsi"/>
        </w:rPr>
        <w:t>y</w:t>
      </w:r>
      <w:r w:rsidR="003F04EB" w:rsidRPr="002D0805">
        <w:rPr>
          <w:rFonts w:asciiTheme="minorHAnsi" w:hAnsiTheme="minorHAnsi" w:cstheme="minorHAnsi"/>
        </w:rPr>
        <w:t xml:space="preserve"> 307 – </w:t>
      </w:r>
      <w:r w:rsidR="003F04EB" w:rsidRPr="002D0805">
        <w:rPr>
          <w:rFonts w:asciiTheme="minorHAnsi" w:hAnsiTheme="minorHAnsi" w:cstheme="minorHAnsi"/>
          <w:i/>
        </w:rPr>
        <w:t>Ministerstvo obrany</w:t>
      </w:r>
      <w:r w:rsidR="003F04EB">
        <w:rPr>
          <w:rFonts w:asciiTheme="minorHAnsi" w:hAnsiTheme="minorHAnsi" w:cstheme="minorHAnsi"/>
          <w:i/>
        </w:rPr>
        <w:t xml:space="preserve"> </w:t>
      </w:r>
      <w:r w:rsidR="003F04EB">
        <w:rPr>
          <w:rFonts w:asciiTheme="minorHAnsi" w:hAnsiTheme="minorHAnsi" w:cstheme="minorHAnsi"/>
        </w:rPr>
        <w:t>v tomto období</w:t>
      </w:r>
      <w:r w:rsidR="003F04EB" w:rsidRPr="002D0805">
        <w:rPr>
          <w:rFonts w:asciiTheme="minorHAnsi" w:hAnsiTheme="minorHAnsi" w:cstheme="minorHAnsi"/>
          <w:i/>
        </w:rPr>
        <w:t>.</w:t>
      </w:r>
      <w:r w:rsidR="003F04EB">
        <w:rPr>
          <w:rFonts w:asciiTheme="minorHAnsi" w:hAnsiTheme="minorHAnsi" w:cstheme="minorHAnsi"/>
        </w:rPr>
        <w:t xml:space="preserve"> </w:t>
      </w:r>
    </w:p>
    <w:p w14:paraId="0E326D55" w14:textId="3709D026" w:rsidR="00955FAB" w:rsidRDefault="00955FAB" w:rsidP="003F04EB">
      <w:pPr>
        <w:jc w:val="both"/>
        <w:rPr>
          <w:rFonts w:asciiTheme="minorHAnsi" w:hAnsiTheme="minorHAnsi" w:cstheme="minorHAnsi"/>
        </w:rPr>
      </w:pPr>
    </w:p>
    <w:p w14:paraId="0E831A26" w14:textId="77777777" w:rsidR="00955FAB" w:rsidRPr="002D0805" w:rsidRDefault="00955FAB" w:rsidP="003F04EB">
      <w:pPr>
        <w:jc w:val="both"/>
        <w:rPr>
          <w:rFonts w:asciiTheme="minorHAnsi" w:hAnsiTheme="minorHAnsi" w:cstheme="minorHAnsi"/>
        </w:rPr>
      </w:pPr>
    </w:p>
    <w:p w14:paraId="4DE0E8DA" w14:textId="5B9D8C50" w:rsidR="00462F78" w:rsidRPr="005834AC" w:rsidRDefault="00462F78" w:rsidP="00955FAB">
      <w:pPr>
        <w:pStyle w:val="Nadpis1"/>
        <w:spacing w:before="0" w:after="0"/>
        <w:jc w:val="center"/>
        <w:rPr>
          <w:rFonts w:asciiTheme="minorHAnsi" w:hAnsiTheme="minorHAnsi" w:cstheme="minorHAnsi"/>
          <w:sz w:val="28"/>
          <w:szCs w:val="28"/>
        </w:rPr>
      </w:pPr>
      <w:r w:rsidRPr="005834AC">
        <w:rPr>
          <w:rFonts w:asciiTheme="minorHAnsi" w:hAnsiTheme="minorHAnsi" w:cstheme="minorHAnsi"/>
          <w:sz w:val="28"/>
          <w:szCs w:val="28"/>
        </w:rPr>
        <w:t xml:space="preserve">III. Rozsah kontroly </w:t>
      </w:r>
    </w:p>
    <w:p w14:paraId="0715BAFA" w14:textId="77777777" w:rsidR="00955FAB" w:rsidRDefault="00955FAB" w:rsidP="00955FAB">
      <w:pPr>
        <w:keepNext/>
        <w:jc w:val="both"/>
        <w:rPr>
          <w:rFonts w:asciiTheme="minorHAnsi" w:hAnsiTheme="minorHAnsi" w:cstheme="minorHAnsi"/>
        </w:rPr>
      </w:pPr>
    </w:p>
    <w:p w14:paraId="30F6DA7D" w14:textId="57BBD112" w:rsidR="00D57C76" w:rsidRDefault="00E60E6B" w:rsidP="007C3E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Cílem kontroly bylo </w:t>
      </w:r>
      <w:r w:rsidR="00523C3E">
        <w:rPr>
          <w:rFonts w:asciiTheme="minorHAnsi" w:hAnsiTheme="minorHAnsi" w:cstheme="minorHAnsi"/>
        </w:rPr>
        <w:t>prověřit</w:t>
      </w:r>
      <w:r w:rsidR="00D734DC" w:rsidRPr="00A916FD">
        <w:rPr>
          <w:rFonts w:asciiTheme="minorHAnsi" w:hAnsiTheme="minorHAnsi" w:cstheme="minorHAnsi"/>
        </w:rPr>
        <w:t xml:space="preserve">, zda </w:t>
      </w:r>
      <w:r w:rsidR="00D734DC">
        <w:rPr>
          <w:rFonts w:asciiTheme="minorHAnsi" w:hAnsiTheme="minorHAnsi" w:cstheme="minorHAnsi"/>
        </w:rPr>
        <w:t>peněžní prostředky státního rozpoč</w:t>
      </w:r>
      <w:r w:rsidR="006C03D9">
        <w:rPr>
          <w:rFonts w:asciiTheme="minorHAnsi" w:hAnsiTheme="minorHAnsi" w:cstheme="minorHAnsi"/>
        </w:rPr>
        <w:t xml:space="preserve">tu vyčleněné </w:t>
      </w:r>
      <w:r w:rsidR="00D734DC">
        <w:rPr>
          <w:rFonts w:asciiTheme="minorHAnsi" w:hAnsiTheme="minorHAnsi" w:cstheme="minorHAnsi"/>
        </w:rPr>
        <w:t xml:space="preserve">na </w:t>
      </w:r>
      <w:r w:rsidR="00D734DC" w:rsidRPr="00A916FD">
        <w:rPr>
          <w:rFonts w:asciiTheme="minorHAnsi" w:hAnsiTheme="minorHAnsi" w:cstheme="minorHAnsi"/>
        </w:rPr>
        <w:t xml:space="preserve">realizaci </w:t>
      </w:r>
      <w:r w:rsidR="00523C3E">
        <w:rPr>
          <w:rFonts w:asciiTheme="minorHAnsi" w:hAnsiTheme="minorHAnsi" w:cstheme="minorHAnsi"/>
        </w:rPr>
        <w:t xml:space="preserve">jednotlivých </w:t>
      </w:r>
      <w:r w:rsidR="00D734DC" w:rsidRPr="00A916FD">
        <w:rPr>
          <w:rFonts w:asciiTheme="minorHAnsi" w:hAnsiTheme="minorHAnsi" w:cstheme="minorHAnsi"/>
        </w:rPr>
        <w:t xml:space="preserve">investičních akcí a opravy a udržování obrněné techniky Armády </w:t>
      </w:r>
      <w:r w:rsidR="00523C3E">
        <w:rPr>
          <w:rFonts w:asciiTheme="minorHAnsi" w:hAnsiTheme="minorHAnsi" w:cstheme="minorHAnsi"/>
        </w:rPr>
        <w:t xml:space="preserve">byly </w:t>
      </w:r>
      <w:r w:rsidR="00D734DC" w:rsidRPr="00A916FD">
        <w:rPr>
          <w:rFonts w:asciiTheme="minorHAnsi" w:hAnsiTheme="minorHAnsi" w:cstheme="minorHAnsi"/>
        </w:rPr>
        <w:t>vyna</w:t>
      </w:r>
      <w:r w:rsidR="00523C3E">
        <w:rPr>
          <w:rFonts w:asciiTheme="minorHAnsi" w:hAnsiTheme="minorHAnsi" w:cstheme="minorHAnsi"/>
        </w:rPr>
        <w:t xml:space="preserve">loženy </w:t>
      </w:r>
      <w:r w:rsidR="006C03D9" w:rsidRPr="00A916FD">
        <w:rPr>
          <w:rFonts w:asciiTheme="minorHAnsi" w:hAnsiTheme="minorHAnsi" w:cstheme="minorHAnsi"/>
        </w:rPr>
        <w:t>dle potřeb Armády v souladu s obecně platnými právními</w:t>
      </w:r>
      <w:r w:rsidR="006C03D9">
        <w:rPr>
          <w:rFonts w:asciiTheme="minorHAnsi" w:hAnsiTheme="minorHAnsi" w:cstheme="minorHAnsi"/>
        </w:rPr>
        <w:t xml:space="preserve"> předpisy, účelně, hospodárně a </w:t>
      </w:r>
      <w:r w:rsidR="006C03D9" w:rsidRPr="00A916FD">
        <w:rPr>
          <w:rFonts w:asciiTheme="minorHAnsi" w:hAnsiTheme="minorHAnsi" w:cstheme="minorHAnsi"/>
        </w:rPr>
        <w:t>efektivně ve stanovených termínec</w:t>
      </w:r>
      <w:r w:rsidR="00053FE7">
        <w:rPr>
          <w:rFonts w:asciiTheme="minorHAnsi" w:hAnsiTheme="minorHAnsi" w:cstheme="minorHAnsi"/>
        </w:rPr>
        <w:t>h.</w:t>
      </w:r>
      <w:r w:rsidR="00D57C76">
        <w:rPr>
          <w:rFonts w:asciiTheme="minorHAnsi" w:hAnsiTheme="minorHAnsi" w:cstheme="minorHAnsi"/>
        </w:rPr>
        <w:t xml:space="preserve"> K</w:t>
      </w:r>
      <w:r w:rsidR="0034655F" w:rsidRPr="00E57E18">
        <w:rPr>
          <w:rFonts w:asciiTheme="minorHAnsi" w:hAnsiTheme="minorHAnsi" w:cstheme="minorHAnsi"/>
        </w:rPr>
        <w:t xml:space="preserve">ontrola </w:t>
      </w:r>
      <w:r w:rsidR="00AF00C9">
        <w:rPr>
          <w:rFonts w:asciiTheme="minorHAnsi" w:hAnsiTheme="minorHAnsi" w:cstheme="minorHAnsi"/>
        </w:rPr>
        <w:t xml:space="preserve">se </w:t>
      </w:r>
      <w:r w:rsidR="0034655F" w:rsidRPr="00E57E18">
        <w:rPr>
          <w:rFonts w:asciiTheme="minorHAnsi" w:hAnsiTheme="minorHAnsi" w:cstheme="minorHAnsi"/>
        </w:rPr>
        <w:t xml:space="preserve">zaměřila </w:t>
      </w:r>
      <w:r w:rsidR="00AF00C9">
        <w:rPr>
          <w:rFonts w:asciiTheme="minorHAnsi" w:hAnsiTheme="minorHAnsi" w:cstheme="minorHAnsi"/>
        </w:rPr>
        <w:t xml:space="preserve">zejména </w:t>
      </w:r>
      <w:r w:rsidR="005B2CEA" w:rsidRPr="00E57E18">
        <w:rPr>
          <w:rFonts w:asciiTheme="minorHAnsi" w:hAnsiTheme="minorHAnsi" w:cstheme="minorHAnsi"/>
        </w:rPr>
        <w:t xml:space="preserve">na </w:t>
      </w:r>
      <w:r w:rsidR="00D57C76">
        <w:rPr>
          <w:rFonts w:asciiTheme="minorHAnsi" w:hAnsiTheme="minorHAnsi" w:cstheme="minorHAnsi"/>
        </w:rPr>
        <w:t>následující činnosti MO:</w:t>
      </w:r>
    </w:p>
    <w:p w14:paraId="38C0C37F" w14:textId="4F503F20" w:rsidR="00D57C76" w:rsidRDefault="00F63572" w:rsidP="00A1602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 w:rsidRPr="00D57C76">
        <w:rPr>
          <w:rFonts w:asciiTheme="minorHAnsi" w:hAnsiTheme="minorHAnsi" w:cstheme="minorHAnsi"/>
        </w:rPr>
        <w:t xml:space="preserve">koncepční a řídicí </w:t>
      </w:r>
      <w:r w:rsidR="00E57E18" w:rsidRPr="00D57C76">
        <w:rPr>
          <w:rFonts w:asciiTheme="minorHAnsi" w:hAnsiTheme="minorHAnsi" w:cstheme="minorHAnsi"/>
        </w:rPr>
        <w:t xml:space="preserve">činnost </w:t>
      </w:r>
      <w:r w:rsidR="00596C03" w:rsidRPr="00D57C76">
        <w:rPr>
          <w:rFonts w:asciiTheme="minorHAnsi" w:hAnsiTheme="minorHAnsi" w:cstheme="minorHAnsi"/>
        </w:rPr>
        <w:t>ve vztahu k</w:t>
      </w:r>
      <w:r w:rsidR="009D2A03" w:rsidRPr="00D57C76">
        <w:rPr>
          <w:rFonts w:asciiTheme="minorHAnsi" w:hAnsiTheme="minorHAnsi" w:cstheme="minorHAnsi"/>
        </w:rPr>
        <w:t> </w:t>
      </w:r>
      <w:r w:rsidR="00596C03" w:rsidRPr="00D57C76">
        <w:rPr>
          <w:rFonts w:asciiTheme="minorHAnsi" w:hAnsiTheme="minorHAnsi" w:cstheme="minorHAnsi"/>
        </w:rPr>
        <w:t>pořizování, využívání</w:t>
      </w:r>
      <w:r w:rsidR="00E479E1">
        <w:rPr>
          <w:rFonts w:asciiTheme="minorHAnsi" w:hAnsiTheme="minorHAnsi" w:cstheme="minorHAnsi"/>
        </w:rPr>
        <w:t>, opravám a udržování</w:t>
      </w:r>
      <w:r w:rsidR="00596C03" w:rsidRPr="00D57C76">
        <w:rPr>
          <w:rFonts w:asciiTheme="minorHAnsi" w:hAnsiTheme="minorHAnsi" w:cstheme="minorHAnsi"/>
        </w:rPr>
        <w:t xml:space="preserve"> obrněné techniky</w:t>
      </w:r>
      <w:r w:rsidR="00D57C76">
        <w:rPr>
          <w:rFonts w:asciiTheme="minorHAnsi" w:hAnsiTheme="minorHAnsi" w:cstheme="minorHAnsi"/>
        </w:rPr>
        <w:t>,</w:t>
      </w:r>
    </w:p>
    <w:p w14:paraId="66899CB4" w14:textId="2779156D" w:rsidR="007C3EC4" w:rsidRDefault="00AF00C9" w:rsidP="00A1602F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příprava a </w:t>
      </w:r>
      <w:r w:rsidR="00183A88">
        <w:rPr>
          <w:rFonts w:asciiTheme="minorHAnsi" w:hAnsiTheme="minorHAnsi" w:cstheme="minorHAnsi"/>
        </w:rPr>
        <w:t>realiz</w:t>
      </w:r>
      <w:r w:rsidR="00D57C76">
        <w:rPr>
          <w:rFonts w:asciiTheme="minorHAnsi" w:hAnsiTheme="minorHAnsi" w:cstheme="minorHAnsi"/>
        </w:rPr>
        <w:t xml:space="preserve">ace </w:t>
      </w:r>
      <w:r w:rsidR="00183A88">
        <w:rPr>
          <w:rFonts w:asciiTheme="minorHAnsi" w:hAnsiTheme="minorHAnsi" w:cstheme="minorHAnsi"/>
        </w:rPr>
        <w:t>investiční</w:t>
      </w:r>
      <w:r w:rsidR="00D57C76">
        <w:rPr>
          <w:rFonts w:asciiTheme="minorHAnsi" w:hAnsiTheme="minorHAnsi" w:cstheme="minorHAnsi"/>
        </w:rPr>
        <w:t>ch</w:t>
      </w:r>
      <w:r w:rsidR="00183A88">
        <w:rPr>
          <w:rFonts w:asciiTheme="minorHAnsi" w:hAnsiTheme="minorHAnsi" w:cstheme="minorHAnsi"/>
        </w:rPr>
        <w:t xml:space="preserve"> akc</w:t>
      </w:r>
      <w:r w:rsidR="00D57C76">
        <w:rPr>
          <w:rFonts w:asciiTheme="minorHAnsi" w:hAnsiTheme="minorHAnsi" w:cstheme="minorHAnsi"/>
        </w:rPr>
        <w:t>í na pořízení a technické zh</w:t>
      </w:r>
      <w:r w:rsidR="006A427F">
        <w:rPr>
          <w:rFonts w:asciiTheme="minorHAnsi" w:hAnsiTheme="minorHAnsi" w:cstheme="minorHAnsi"/>
        </w:rPr>
        <w:t>odnocení obrněné techniky</w:t>
      </w:r>
      <w:r w:rsidR="00D57C76">
        <w:rPr>
          <w:rFonts w:asciiTheme="minorHAnsi" w:hAnsiTheme="minorHAnsi" w:cstheme="minorHAnsi"/>
        </w:rPr>
        <w:t>,</w:t>
      </w:r>
    </w:p>
    <w:p w14:paraId="26EAE9FA" w14:textId="404CED23" w:rsidR="009D2A03" w:rsidRPr="00E60E6B" w:rsidRDefault="00AF00C9" w:rsidP="00A1602F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plnění</w:t>
      </w:r>
      <w:r w:rsidR="00D57C76">
        <w:rPr>
          <w:rFonts w:asciiTheme="minorHAnsi" w:hAnsiTheme="minorHAnsi" w:cstheme="minorHAnsi"/>
        </w:rPr>
        <w:t xml:space="preserve"> </w:t>
      </w:r>
      <w:r w:rsidR="00053FE7">
        <w:rPr>
          <w:rFonts w:asciiTheme="minorHAnsi" w:hAnsiTheme="minorHAnsi" w:cstheme="minorHAnsi"/>
        </w:rPr>
        <w:t xml:space="preserve">rámcových smluv </w:t>
      </w:r>
      <w:r w:rsidR="009D2A03">
        <w:rPr>
          <w:rFonts w:asciiTheme="minorHAnsi" w:hAnsiTheme="minorHAnsi" w:cstheme="minorHAnsi"/>
        </w:rPr>
        <w:t>na opravy</w:t>
      </w:r>
      <w:r w:rsidR="008E36A0">
        <w:rPr>
          <w:rFonts w:asciiTheme="minorHAnsi" w:hAnsiTheme="minorHAnsi" w:cstheme="minorHAnsi"/>
        </w:rPr>
        <w:t xml:space="preserve">, </w:t>
      </w:r>
      <w:r w:rsidR="009D2A03">
        <w:rPr>
          <w:rFonts w:asciiTheme="minorHAnsi" w:hAnsiTheme="minorHAnsi" w:cstheme="minorHAnsi"/>
        </w:rPr>
        <w:t>udržování</w:t>
      </w:r>
      <w:r w:rsidR="008E36A0">
        <w:rPr>
          <w:rFonts w:asciiTheme="minorHAnsi" w:hAnsiTheme="minorHAnsi" w:cstheme="minorHAnsi"/>
        </w:rPr>
        <w:t xml:space="preserve"> a </w:t>
      </w:r>
      <w:r w:rsidR="00D57C76">
        <w:rPr>
          <w:rFonts w:asciiTheme="minorHAnsi" w:hAnsiTheme="minorHAnsi" w:cstheme="minorHAnsi"/>
        </w:rPr>
        <w:t xml:space="preserve">kompletní servisní podporu </w:t>
      </w:r>
      <w:r w:rsidR="00053FE7">
        <w:rPr>
          <w:rFonts w:asciiTheme="minorHAnsi" w:hAnsiTheme="minorHAnsi" w:cstheme="minorHAnsi"/>
        </w:rPr>
        <w:t>obrněné techniky</w:t>
      </w:r>
      <w:r w:rsidR="009D2A03">
        <w:rPr>
          <w:rFonts w:asciiTheme="minorHAnsi" w:hAnsiTheme="minorHAnsi" w:cstheme="minorHAnsi"/>
        </w:rPr>
        <w:t>.</w:t>
      </w:r>
    </w:p>
    <w:p w14:paraId="18835912" w14:textId="77777777" w:rsidR="00FA5DA8" w:rsidRPr="00FA5DA8" w:rsidRDefault="00FA5DA8" w:rsidP="00FA5DA8">
      <w:pPr>
        <w:jc w:val="both"/>
        <w:rPr>
          <w:rFonts w:asciiTheme="minorHAnsi" w:hAnsiTheme="minorHAnsi" w:cstheme="minorHAnsi"/>
        </w:rPr>
      </w:pPr>
    </w:p>
    <w:p w14:paraId="01FCC68F" w14:textId="7C7979FC" w:rsidR="00FA5DA8" w:rsidRPr="00FA5DA8" w:rsidRDefault="00FA5DA8" w:rsidP="00FA5DA8">
      <w:pPr>
        <w:jc w:val="both"/>
        <w:rPr>
          <w:rFonts w:asciiTheme="minorHAnsi" w:hAnsiTheme="minorHAnsi" w:cstheme="minorHAnsi"/>
        </w:rPr>
      </w:pPr>
      <w:r w:rsidRPr="00FA5DA8">
        <w:rPr>
          <w:rFonts w:asciiTheme="minorHAnsi" w:hAnsiTheme="minorHAnsi" w:cstheme="minorHAnsi"/>
        </w:rPr>
        <w:t>Kontrolovaným obdobím byly roky 2016 až 2018</w:t>
      </w:r>
      <w:r w:rsidR="00AC09E6">
        <w:rPr>
          <w:rFonts w:asciiTheme="minorHAnsi" w:hAnsiTheme="minorHAnsi" w:cstheme="minorHAnsi"/>
        </w:rPr>
        <w:t xml:space="preserve">, v </w:t>
      </w:r>
      <w:r w:rsidRPr="00FA5DA8">
        <w:rPr>
          <w:rFonts w:asciiTheme="minorHAnsi" w:hAnsiTheme="minorHAnsi" w:cstheme="minorHAnsi"/>
        </w:rPr>
        <w:t>případě věcných souvislostí i</w:t>
      </w:r>
      <w:r w:rsidR="00AC09E6">
        <w:rPr>
          <w:rFonts w:asciiTheme="minorHAnsi" w:hAnsiTheme="minorHAnsi" w:cstheme="minorHAnsi"/>
        </w:rPr>
        <w:t> </w:t>
      </w:r>
      <w:r w:rsidRPr="00FA5DA8">
        <w:rPr>
          <w:rFonts w:asciiTheme="minorHAnsi" w:hAnsiTheme="minorHAnsi" w:cstheme="minorHAnsi"/>
        </w:rPr>
        <w:t xml:space="preserve">období </w:t>
      </w:r>
      <w:r w:rsidR="00CA577F">
        <w:rPr>
          <w:rFonts w:asciiTheme="minorHAnsi" w:hAnsiTheme="minorHAnsi" w:cstheme="minorHAnsi"/>
        </w:rPr>
        <w:t>o</w:t>
      </w:r>
      <w:r w:rsidRPr="00FA5DA8">
        <w:rPr>
          <w:rFonts w:asciiTheme="minorHAnsi" w:hAnsiTheme="minorHAnsi" w:cstheme="minorHAnsi"/>
        </w:rPr>
        <w:t>d roku 2005</w:t>
      </w:r>
      <w:r w:rsidR="00CA577F">
        <w:rPr>
          <w:rFonts w:asciiTheme="minorHAnsi" w:hAnsiTheme="minorHAnsi" w:cstheme="minorHAnsi"/>
        </w:rPr>
        <w:t xml:space="preserve"> a rok 2019</w:t>
      </w:r>
      <w:r w:rsidRPr="00FA5DA8">
        <w:rPr>
          <w:rFonts w:asciiTheme="minorHAnsi" w:hAnsiTheme="minorHAnsi" w:cstheme="minorHAnsi"/>
        </w:rPr>
        <w:t>.</w:t>
      </w:r>
    </w:p>
    <w:p w14:paraId="72EADC2F" w14:textId="77777777" w:rsidR="007C3EC4" w:rsidRPr="00CE0687" w:rsidRDefault="007C3EC4" w:rsidP="007C3EC4">
      <w:pPr>
        <w:jc w:val="both"/>
        <w:rPr>
          <w:rFonts w:asciiTheme="minorHAnsi" w:hAnsiTheme="minorHAnsi" w:cstheme="minorHAnsi"/>
          <w:highlight w:val="yellow"/>
        </w:rPr>
      </w:pPr>
    </w:p>
    <w:p w14:paraId="46841291" w14:textId="1220F470" w:rsidR="002C2B1A" w:rsidRDefault="00D47032" w:rsidP="007C3EC4">
      <w:pPr>
        <w:jc w:val="both"/>
        <w:rPr>
          <w:rFonts w:asciiTheme="minorHAnsi" w:hAnsiTheme="minorHAnsi" w:cstheme="minorHAnsi"/>
        </w:rPr>
      </w:pPr>
      <w:r w:rsidRPr="006C03D9">
        <w:rPr>
          <w:rFonts w:asciiTheme="minorHAnsi" w:hAnsiTheme="minorHAnsi" w:cstheme="minorHAnsi"/>
        </w:rPr>
        <w:t xml:space="preserve">Kontrolovatelný objem </w:t>
      </w:r>
      <w:r w:rsidR="006C03D9" w:rsidRPr="006C03D9">
        <w:rPr>
          <w:rFonts w:asciiTheme="minorHAnsi" w:hAnsiTheme="minorHAnsi" w:cstheme="minorHAnsi"/>
        </w:rPr>
        <w:t xml:space="preserve">peněžních prostředků </w:t>
      </w:r>
      <w:r w:rsidRPr="006C03D9">
        <w:rPr>
          <w:rFonts w:asciiTheme="minorHAnsi" w:hAnsiTheme="minorHAnsi" w:cstheme="minorHAnsi"/>
        </w:rPr>
        <w:t xml:space="preserve">činil celkem </w:t>
      </w:r>
      <w:r w:rsidR="00FE54F8">
        <w:rPr>
          <w:rFonts w:asciiTheme="minorHAnsi" w:hAnsiTheme="minorHAnsi" w:cstheme="minorHAnsi"/>
        </w:rPr>
        <w:t>8</w:t>
      </w:r>
      <w:r w:rsidR="003E0CFB">
        <w:rPr>
          <w:rFonts w:asciiTheme="minorHAnsi" w:hAnsiTheme="minorHAnsi" w:cstheme="minorHAnsi"/>
        </w:rPr>
        <w:t>,</w:t>
      </w:r>
      <w:r w:rsidR="00FE54F8">
        <w:rPr>
          <w:rFonts w:asciiTheme="minorHAnsi" w:hAnsiTheme="minorHAnsi" w:cstheme="minorHAnsi"/>
        </w:rPr>
        <w:t>028</w:t>
      </w:r>
      <w:r w:rsidRPr="006C03D9">
        <w:rPr>
          <w:rFonts w:asciiTheme="minorHAnsi" w:hAnsiTheme="minorHAnsi" w:cstheme="minorHAnsi"/>
        </w:rPr>
        <w:t xml:space="preserve"> mld.</w:t>
      </w:r>
      <w:r w:rsidR="00EF64EC">
        <w:rPr>
          <w:rStyle w:val="Znakapoznpodarou"/>
          <w:rFonts w:asciiTheme="minorHAnsi" w:hAnsiTheme="minorHAnsi" w:cstheme="minorHAnsi"/>
        </w:rPr>
        <w:footnoteReference w:id="20"/>
      </w:r>
      <w:r w:rsidRPr="006C03D9">
        <w:rPr>
          <w:rFonts w:asciiTheme="minorHAnsi" w:hAnsiTheme="minorHAnsi" w:cstheme="minorHAnsi"/>
        </w:rPr>
        <w:t xml:space="preserve"> Kč</w:t>
      </w:r>
      <w:r w:rsidR="006C03D9" w:rsidRPr="006C03D9">
        <w:rPr>
          <w:rFonts w:asciiTheme="minorHAnsi" w:hAnsiTheme="minorHAnsi" w:cstheme="minorHAnsi"/>
        </w:rPr>
        <w:t xml:space="preserve">, z toho výdaje na pořízení a technické zhodnocení obrněné techniky </w:t>
      </w:r>
      <w:r w:rsidR="00AF00C9">
        <w:rPr>
          <w:rFonts w:asciiTheme="minorHAnsi" w:hAnsiTheme="minorHAnsi" w:cstheme="minorHAnsi"/>
        </w:rPr>
        <w:t>ve výši</w:t>
      </w:r>
      <w:r w:rsidR="002E1219" w:rsidRPr="006C03D9">
        <w:rPr>
          <w:rFonts w:asciiTheme="minorHAnsi" w:hAnsiTheme="minorHAnsi" w:cstheme="minorHAnsi"/>
        </w:rPr>
        <w:t xml:space="preserve"> </w:t>
      </w:r>
      <w:r w:rsidR="00E07362">
        <w:rPr>
          <w:rFonts w:asciiTheme="minorHAnsi" w:hAnsiTheme="minorHAnsi" w:cstheme="minorHAnsi"/>
        </w:rPr>
        <w:t>5,530</w:t>
      </w:r>
      <w:r w:rsidR="00BC7D5B" w:rsidRPr="006C03D9">
        <w:rPr>
          <w:rFonts w:asciiTheme="minorHAnsi" w:hAnsiTheme="minorHAnsi" w:cstheme="minorHAnsi"/>
        </w:rPr>
        <w:t xml:space="preserve"> </w:t>
      </w:r>
      <w:r w:rsidR="002E1219" w:rsidRPr="006C03D9">
        <w:rPr>
          <w:rFonts w:asciiTheme="minorHAnsi" w:hAnsiTheme="minorHAnsi" w:cstheme="minorHAnsi"/>
        </w:rPr>
        <w:t>mld. Kč</w:t>
      </w:r>
      <w:r w:rsidR="00E07362">
        <w:rPr>
          <w:rFonts w:asciiTheme="minorHAnsi" w:hAnsiTheme="minorHAnsi" w:cstheme="minorHAnsi"/>
        </w:rPr>
        <w:t xml:space="preserve"> </w:t>
      </w:r>
      <w:r w:rsidR="00E07362" w:rsidRPr="002C2B1A">
        <w:rPr>
          <w:rFonts w:asciiTheme="minorHAnsi" w:hAnsiTheme="minorHAnsi" w:cstheme="minorHAnsi"/>
        </w:rPr>
        <w:t>a </w:t>
      </w:r>
      <w:r w:rsidR="006C03D9" w:rsidRPr="002C2B1A">
        <w:rPr>
          <w:rFonts w:asciiTheme="minorHAnsi" w:hAnsiTheme="minorHAnsi" w:cstheme="minorHAnsi"/>
        </w:rPr>
        <w:t xml:space="preserve">výdaje na opravy, udržování a nákup náhradních dílů obrněné techniky </w:t>
      </w:r>
      <w:r w:rsidR="00AF00C9">
        <w:rPr>
          <w:rFonts w:asciiTheme="minorHAnsi" w:hAnsiTheme="minorHAnsi" w:cstheme="minorHAnsi"/>
        </w:rPr>
        <w:t>ve výši</w:t>
      </w:r>
      <w:r w:rsidR="003E0CFB" w:rsidRPr="002C2B1A">
        <w:rPr>
          <w:rFonts w:asciiTheme="minorHAnsi" w:hAnsiTheme="minorHAnsi" w:cstheme="minorHAnsi"/>
        </w:rPr>
        <w:t xml:space="preserve"> </w:t>
      </w:r>
      <w:r w:rsidR="00FE54F8" w:rsidRPr="002C2B1A">
        <w:rPr>
          <w:rFonts w:asciiTheme="minorHAnsi" w:hAnsiTheme="minorHAnsi" w:cstheme="minorHAnsi"/>
        </w:rPr>
        <w:t>2</w:t>
      </w:r>
      <w:r w:rsidR="003E0CFB" w:rsidRPr="002C2B1A">
        <w:rPr>
          <w:rFonts w:asciiTheme="minorHAnsi" w:hAnsiTheme="minorHAnsi" w:cstheme="minorHAnsi"/>
        </w:rPr>
        <w:t>,</w:t>
      </w:r>
      <w:r w:rsidR="00FE54F8" w:rsidRPr="002C2B1A">
        <w:rPr>
          <w:rFonts w:asciiTheme="minorHAnsi" w:hAnsiTheme="minorHAnsi" w:cstheme="minorHAnsi"/>
        </w:rPr>
        <w:t>498</w:t>
      </w:r>
      <w:r w:rsidR="003E0CFB" w:rsidRPr="002C2B1A">
        <w:rPr>
          <w:rFonts w:asciiTheme="minorHAnsi" w:hAnsiTheme="minorHAnsi" w:cstheme="minorHAnsi"/>
        </w:rPr>
        <w:t xml:space="preserve"> </w:t>
      </w:r>
      <w:r w:rsidR="006C03D9" w:rsidRPr="002C2B1A">
        <w:rPr>
          <w:rFonts w:asciiTheme="minorHAnsi" w:hAnsiTheme="minorHAnsi" w:cstheme="minorHAnsi"/>
        </w:rPr>
        <w:t>mld. Kč</w:t>
      </w:r>
      <w:r w:rsidR="002E1219" w:rsidRPr="002C2B1A">
        <w:rPr>
          <w:rFonts w:asciiTheme="minorHAnsi" w:hAnsiTheme="minorHAnsi" w:cstheme="minorHAnsi"/>
        </w:rPr>
        <w:t>.</w:t>
      </w:r>
    </w:p>
    <w:p w14:paraId="35FCEE90" w14:textId="77777777" w:rsidR="000B72D9" w:rsidRDefault="000B72D9" w:rsidP="007C3EC4">
      <w:pPr>
        <w:jc w:val="both"/>
        <w:rPr>
          <w:rFonts w:asciiTheme="minorHAnsi" w:hAnsiTheme="minorHAnsi" w:cstheme="minorHAnsi"/>
        </w:rPr>
      </w:pPr>
    </w:p>
    <w:p w14:paraId="0D8E0554" w14:textId="600C90A0" w:rsidR="007C3EC4" w:rsidRPr="00473E20" w:rsidRDefault="00183A88" w:rsidP="007C3EC4">
      <w:pPr>
        <w:jc w:val="both"/>
        <w:rPr>
          <w:rFonts w:asciiTheme="minorHAnsi" w:hAnsiTheme="minorHAnsi" w:cstheme="minorHAnsi"/>
        </w:rPr>
      </w:pPr>
      <w:r w:rsidRPr="00AB6DAF">
        <w:rPr>
          <w:rFonts w:asciiTheme="minorHAnsi" w:hAnsiTheme="minorHAnsi" w:cstheme="minorHAnsi"/>
        </w:rPr>
        <w:t xml:space="preserve">Pro </w:t>
      </w:r>
      <w:r w:rsidR="00CD3A7F" w:rsidRPr="00AB6DAF">
        <w:rPr>
          <w:rFonts w:asciiTheme="minorHAnsi" w:hAnsiTheme="minorHAnsi" w:cstheme="minorHAnsi"/>
        </w:rPr>
        <w:t>ověření fungování systému pořízení</w:t>
      </w:r>
      <w:r w:rsidR="00AF00C9">
        <w:rPr>
          <w:rFonts w:asciiTheme="minorHAnsi" w:hAnsiTheme="minorHAnsi" w:cstheme="minorHAnsi"/>
        </w:rPr>
        <w:t>, oprav a udržování</w:t>
      </w:r>
      <w:r w:rsidR="00CD3A7F" w:rsidRPr="00AB6DAF">
        <w:rPr>
          <w:rFonts w:asciiTheme="minorHAnsi" w:hAnsiTheme="minorHAnsi" w:cstheme="minorHAnsi"/>
        </w:rPr>
        <w:t xml:space="preserve"> obrněné techniky</w:t>
      </w:r>
      <w:r w:rsidRPr="00AB6DAF">
        <w:rPr>
          <w:rFonts w:asciiTheme="minorHAnsi" w:hAnsiTheme="minorHAnsi" w:cstheme="minorHAnsi"/>
        </w:rPr>
        <w:t xml:space="preserve"> posuzoval</w:t>
      </w:r>
      <w:r w:rsidR="003E6A48" w:rsidRPr="00AB6DAF">
        <w:rPr>
          <w:rFonts w:asciiTheme="minorHAnsi" w:hAnsiTheme="minorHAnsi" w:cstheme="minorHAnsi"/>
        </w:rPr>
        <w:t xml:space="preserve"> NKÚ</w:t>
      </w:r>
      <w:r w:rsidRPr="00AB6DAF">
        <w:rPr>
          <w:rFonts w:asciiTheme="minorHAnsi" w:hAnsiTheme="minorHAnsi" w:cstheme="minorHAnsi"/>
        </w:rPr>
        <w:t xml:space="preserve"> strategické, koncepční a řídicí dokumenty MO </w:t>
      </w:r>
      <w:r w:rsidR="002C2B1A">
        <w:rPr>
          <w:rFonts w:asciiTheme="minorHAnsi" w:hAnsiTheme="minorHAnsi" w:cstheme="minorHAnsi"/>
        </w:rPr>
        <w:t xml:space="preserve">a </w:t>
      </w:r>
      <w:r w:rsidRPr="00AB6DAF">
        <w:rPr>
          <w:rFonts w:asciiTheme="minorHAnsi" w:hAnsiTheme="minorHAnsi" w:cstheme="minorHAnsi"/>
        </w:rPr>
        <w:t>vývoj ekonomických</w:t>
      </w:r>
      <w:r w:rsidR="00CD3A7F" w:rsidRPr="00AB6DAF">
        <w:rPr>
          <w:rFonts w:asciiTheme="minorHAnsi" w:hAnsiTheme="minorHAnsi" w:cstheme="minorHAnsi"/>
        </w:rPr>
        <w:t xml:space="preserve"> </w:t>
      </w:r>
      <w:r w:rsidR="00AF00C9">
        <w:rPr>
          <w:rFonts w:asciiTheme="minorHAnsi" w:hAnsiTheme="minorHAnsi" w:cstheme="minorHAnsi"/>
        </w:rPr>
        <w:t>ukazatelů</w:t>
      </w:r>
      <w:r w:rsidR="003E6A48">
        <w:rPr>
          <w:rFonts w:asciiTheme="minorHAnsi" w:hAnsiTheme="minorHAnsi" w:cstheme="minorHAnsi"/>
        </w:rPr>
        <w:t>,</w:t>
      </w:r>
      <w:r w:rsidR="00AF00C9">
        <w:rPr>
          <w:rFonts w:asciiTheme="minorHAnsi" w:hAnsiTheme="minorHAnsi" w:cstheme="minorHAnsi"/>
        </w:rPr>
        <w:t xml:space="preserve"> </w:t>
      </w:r>
      <w:r w:rsidRPr="00AB6DAF">
        <w:rPr>
          <w:rFonts w:asciiTheme="minorHAnsi" w:hAnsiTheme="minorHAnsi" w:cstheme="minorHAnsi"/>
        </w:rPr>
        <w:t>jako j</w:t>
      </w:r>
      <w:r w:rsidR="003E6A48">
        <w:rPr>
          <w:rFonts w:asciiTheme="minorHAnsi" w:hAnsiTheme="minorHAnsi" w:cstheme="minorHAnsi"/>
        </w:rPr>
        <w:t>sou</w:t>
      </w:r>
      <w:r w:rsidRPr="00AB6DAF">
        <w:rPr>
          <w:rFonts w:asciiTheme="minorHAnsi" w:hAnsiTheme="minorHAnsi" w:cstheme="minorHAnsi"/>
        </w:rPr>
        <w:t xml:space="preserve"> </w:t>
      </w:r>
      <w:r w:rsidR="00AB6DAF" w:rsidRPr="00AB6DAF">
        <w:rPr>
          <w:rFonts w:asciiTheme="minorHAnsi" w:hAnsiTheme="minorHAnsi" w:cstheme="minorHAnsi"/>
        </w:rPr>
        <w:t>počet, stáří</w:t>
      </w:r>
      <w:r w:rsidR="00AB6DAF">
        <w:rPr>
          <w:rFonts w:asciiTheme="minorHAnsi" w:hAnsiTheme="minorHAnsi" w:cstheme="minorHAnsi"/>
        </w:rPr>
        <w:t xml:space="preserve">, </w:t>
      </w:r>
      <w:r w:rsidRPr="00AB6DAF">
        <w:rPr>
          <w:rFonts w:asciiTheme="minorHAnsi" w:hAnsiTheme="minorHAnsi" w:cstheme="minorHAnsi"/>
        </w:rPr>
        <w:t>účetní hodnota</w:t>
      </w:r>
      <w:r w:rsidR="00AB6DAF" w:rsidRPr="00AB6DAF">
        <w:rPr>
          <w:rFonts w:asciiTheme="minorHAnsi" w:hAnsiTheme="minorHAnsi" w:cstheme="minorHAnsi"/>
        </w:rPr>
        <w:t xml:space="preserve"> </w:t>
      </w:r>
      <w:r w:rsidR="00AB6DAF">
        <w:rPr>
          <w:rFonts w:asciiTheme="minorHAnsi" w:hAnsiTheme="minorHAnsi" w:cstheme="minorHAnsi"/>
        </w:rPr>
        <w:t xml:space="preserve">a </w:t>
      </w:r>
      <w:r w:rsidRPr="00AB6DAF">
        <w:rPr>
          <w:rFonts w:asciiTheme="minorHAnsi" w:hAnsiTheme="minorHAnsi" w:cstheme="minorHAnsi"/>
        </w:rPr>
        <w:t>související výdaje</w:t>
      </w:r>
      <w:r w:rsidR="00AB6DAF">
        <w:rPr>
          <w:rFonts w:asciiTheme="minorHAnsi" w:hAnsiTheme="minorHAnsi" w:cstheme="minorHAnsi"/>
        </w:rPr>
        <w:t xml:space="preserve">. </w:t>
      </w:r>
      <w:r w:rsidRPr="00AB6DAF">
        <w:rPr>
          <w:rFonts w:asciiTheme="minorHAnsi" w:hAnsiTheme="minorHAnsi" w:cstheme="minorHAnsi"/>
        </w:rPr>
        <w:t>Rovněž posuzoval</w:t>
      </w:r>
      <w:r w:rsidR="00CD3A7F" w:rsidRPr="00AB6DAF">
        <w:rPr>
          <w:rFonts w:asciiTheme="minorHAnsi" w:hAnsiTheme="minorHAnsi" w:cstheme="minorHAnsi"/>
        </w:rPr>
        <w:t>, zda MO sleduje a řídí náklady životního cyklu obrněné techniky</w:t>
      </w:r>
      <w:r w:rsidR="00AB6DAF">
        <w:rPr>
          <w:rFonts w:asciiTheme="minorHAnsi" w:hAnsiTheme="minorHAnsi" w:cstheme="minorHAnsi"/>
        </w:rPr>
        <w:t xml:space="preserve">, zda vyhodnocuje </w:t>
      </w:r>
      <w:r w:rsidR="002C2B1A">
        <w:rPr>
          <w:rFonts w:asciiTheme="minorHAnsi" w:hAnsiTheme="minorHAnsi" w:cstheme="minorHAnsi"/>
        </w:rPr>
        <w:t>ukazatele</w:t>
      </w:r>
      <w:r w:rsidR="00CA577F">
        <w:rPr>
          <w:rFonts w:asciiTheme="minorHAnsi" w:hAnsiTheme="minorHAnsi" w:cstheme="minorHAnsi"/>
        </w:rPr>
        <w:t xml:space="preserve"> provozu</w:t>
      </w:r>
      <w:r w:rsidR="002C2B1A">
        <w:rPr>
          <w:rFonts w:asciiTheme="minorHAnsi" w:hAnsiTheme="minorHAnsi" w:cstheme="minorHAnsi"/>
        </w:rPr>
        <w:t xml:space="preserve"> </w:t>
      </w:r>
      <w:r w:rsidR="00AB6DAF">
        <w:rPr>
          <w:rFonts w:asciiTheme="minorHAnsi" w:hAnsiTheme="minorHAnsi" w:cstheme="minorHAnsi"/>
        </w:rPr>
        <w:t xml:space="preserve">techniky a </w:t>
      </w:r>
      <w:r w:rsidR="00844BE3">
        <w:rPr>
          <w:rFonts w:asciiTheme="minorHAnsi" w:hAnsiTheme="minorHAnsi" w:cstheme="minorHAnsi"/>
        </w:rPr>
        <w:t xml:space="preserve">jaký byl </w:t>
      </w:r>
      <w:r w:rsidR="002C2B1A">
        <w:rPr>
          <w:rFonts w:asciiTheme="minorHAnsi" w:hAnsiTheme="minorHAnsi" w:cstheme="minorHAnsi"/>
        </w:rPr>
        <w:t>vývoj</w:t>
      </w:r>
      <w:r w:rsidR="00DD2BD8">
        <w:rPr>
          <w:rFonts w:asciiTheme="minorHAnsi" w:hAnsiTheme="minorHAnsi" w:cstheme="minorHAnsi"/>
        </w:rPr>
        <w:t xml:space="preserve"> těchto ukazatelů</w:t>
      </w:r>
      <w:r w:rsidR="002C2B1A">
        <w:rPr>
          <w:rFonts w:asciiTheme="minorHAnsi" w:hAnsiTheme="minorHAnsi" w:cstheme="minorHAnsi"/>
        </w:rPr>
        <w:t>.</w:t>
      </w:r>
      <w:r w:rsidR="00CA5516">
        <w:rPr>
          <w:rFonts w:asciiTheme="minorHAnsi" w:hAnsiTheme="minorHAnsi" w:cstheme="minorHAnsi"/>
        </w:rPr>
        <w:t xml:space="preserve"> </w:t>
      </w:r>
      <w:r w:rsidR="002C2B1A">
        <w:rPr>
          <w:rFonts w:asciiTheme="minorHAnsi" w:hAnsiTheme="minorHAnsi" w:cstheme="minorHAnsi"/>
        </w:rPr>
        <w:t xml:space="preserve">Na vzorku </w:t>
      </w:r>
      <w:r w:rsidR="00CA577F" w:rsidRPr="00540922">
        <w:rPr>
          <w:rFonts w:asciiTheme="minorHAnsi" w:hAnsiTheme="minorHAnsi" w:cstheme="minorHAnsi"/>
        </w:rPr>
        <w:t>tří</w:t>
      </w:r>
      <w:r w:rsidR="002C2B1A" w:rsidRPr="00540922">
        <w:rPr>
          <w:rFonts w:asciiTheme="minorHAnsi" w:hAnsiTheme="minorHAnsi" w:cstheme="minorHAnsi"/>
        </w:rPr>
        <w:t xml:space="preserve"> akc</w:t>
      </w:r>
      <w:r w:rsidR="00CA577F" w:rsidRPr="00540922">
        <w:rPr>
          <w:rFonts w:asciiTheme="minorHAnsi" w:hAnsiTheme="minorHAnsi" w:cstheme="minorHAnsi"/>
        </w:rPr>
        <w:t>í</w:t>
      </w:r>
      <w:r w:rsidR="002C2B1A" w:rsidRPr="00540922">
        <w:rPr>
          <w:rFonts w:asciiTheme="minorHAnsi" w:hAnsiTheme="minorHAnsi" w:cstheme="minorHAnsi"/>
        </w:rPr>
        <w:t xml:space="preserve"> na pořízení a jedn</w:t>
      </w:r>
      <w:r w:rsidR="00CA577F" w:rsidRPr="00540922">
        <w:rPr>
          <w:rFonts w:asciiTheme="minorHAnsi" w:hAnsiTheme="minorHAnsi" w:cstheme="minorHAnsi"/>
        </w:rPr>
        <w:t xml:space="preserve">é akce </w:t>
      </w:r>
      <w:r w:rsidR="002C2B1A" w:rsidRPr="00540922">
        <w:rPr>
          <w:rFonts w:asciiTheme="minorHAnsi" w:hAnsiTheme="minorHAnsi" w:cstheme="minorHAnsi"/>
        </w:rPr>
        <w:t>na technické zhodnocení obrněn</w:t>
      </w:r>
      <w:r w:rsidR="000B72D9" w:rsidRPr="00540922">
        <w:rPr>
          <w:rFonts w:asciiTheme="minorHAnsi" w:hAnsiTheme="minorHAnsi" w:cstheme="minorHAnsi"/>
        </w:rPr>
        <w:t xml:space="preserve">é techniky </w:t>
      </w:r>
      <w:r w:rsidR="00AE4BCF">
        <w:rPr>
          <w:rFonts w:asciiTheme="minorHAnsi" w:hAnsiTheme="minorHAnsi" w:cstheme="minorHAnsi"/>
        </w:rPr>
        <w:t xml:space="preserve">za celkem </w:t>
      </w:r>
      <w:r w:rsidR="000B72D9" w:rsidRPr="00540922">
        <w:rPr>
          <w:rFonts w:asciiTheme="minorHAnsi" w:hAnsiTheme="minorHAnsi" w:cstheme="minorHAnsi"/>
        </w:rPr>
        <w:t xml:space="preserve">1 986,7 mil. Kč </w:t>
      </w:r>
      <w:r w:rsidR="00CA577F" w:rsidRPr="00540922">
        <w:rPr>
          <w:rFonts w:asciiTheme="minorHAnsi" w:hAnsiTheme="minorHAnsi" w:cstheme="minorHAnsi"/>
        </w:rPr>
        <w:t>prověř</w:t>
      </w:r>
      <w:r w:rsidR="00540922">
        <w:rPr>
          <w:rFonts w:asciiTheme="minorHAnsi" w:hAnsiTheme="minorHAnsi" w:cstheme="minorHAnsi"/>
        </w:rPr>
        <w:t>oval</w:t>
      </w:r>
      <w:r w:rsidR="00CA577F" w:rsidRPr="00540922">
        <w:rPr>
          <w:rFonts w:asciiTheme="minorHAnsi" w:hAnsiTheme="minorHAnsi" w:cstheme="minorHAnsi"/>
        </w:rPr>
        <w:t xml:space="preserve">, </w:t>
      </w:r>
      <w:r w:rsidR="00540922">
        <w:rPr>
          <w:rFonts w:asciiTheme="minorHAnsi" w:hAnsiTheme="minorHAnsi" w:cstheme="minorHAnsi"/>
        </w:rPr>
        <w:t>zda MO připravilo a realizovalo akc</w:t>
      </w:r>
      <w:r w:rsidR="00844BE3">
        <w:rPr>
          <w:rFonts w:asciiTheme="minorHAnsi" w:hAnsiTheme="minorHAnsi" w:cstheme="minorHAnsi"/>
        </w:rPr>
        <w:t>e</w:t>
      </w:r>
      <w:r w:rsidR="00540922">
        <w:rPr>
          <w:rFonts w:asciiTheme="minorHAnsi" w:hAnsiTheme="minorHAnsi" w:cstheme="minorHAnsi"/>
        </w:rPr>
        <w:t xml:space="preserve"> v souladu s právními předpisy a potřebami Armády, účelně, hospodárně a efektivně, z</w:t>
      </w:r>
      <w:r w:rsidR="00501A70">
        <w:rPr>
          <w:rFonts w:asciiTheme="minorHAnsi" w:hAnsiTheme="minorHAnsi" w:cstheme="minorHAnsi"/>
        </w:rPr>
        <w:t xml:space="preserve">a </w:t>
      </w:r>
      <w:r w:rsidR="00540922">
        <w:rPr>
          <w:rFonts w:asciiTheme="minorHAnsi" w:hAnsiTheme="minorHAnsi" w:cstheme="minorHAnsi"/>
        </w:rPr>
        <w:t>dodrže</w:t>
      </w:r>
      <w:r w:rsidR="00501A70">
        <w:rPr>
          <w:rFonts w:asciiTheme="minorHAnsi" w:hAnsiTheme="minorHAnsi" w:cstheme="minorHAnsi"/>
        </w:rPr>
        <w:t xml:space="preserve">ní všech </w:t>
      </w:r>
      <w:r w:rsidR="00540922">
        <w:rPr>
          <w:rFonts w:asciiTheme="minorHAnsi" w:hAnsiTheme="minorHAnsi" w:cstheme="minorHAnsi"/>
        </w:rPr>
        <w:t>stanoven</w:t>
      </w:r>
      <w:r w:rsidR="00501A70">
        <w:rPr>
          <w:rFonts w:asciiTheme="minorHAnsi" w:hAnsiTheme="minorHAnsi" w:cstheme="minorHAnsi"/>
        </w:rPr>
        <w:t>ých</w:t>
      </w:r>
      <w:r w:rsidR="00540922">
        <w:rPr>
          <w:rFonts w:asciiTheme="minorHAnsi" w:hAnsiTheme="minorHAnsi" w:cstheme="minorHAnsi"/>
        </w:rPr>
        <w:t xml:space="preserve"> termín</w:t>
      </w:r>
      <w:r w:rsidR="00501A70">
        <w:rPr>
          <w:rFonts w:asciiTheme="minorHAnsi" w:hAnsiTheme="minorHAnsi" w:cstheme="minorHAnsi"/>
        </w:rPr>
        <w:t xml:space="preserve">ů </w:t>
      </w:r>
      <w:r w:rsidR="00540922">
        <w:rPr>
          <w:rFonts w:asciiTheme="minorHAnsi" w:hAnsiTheme="minorHAnsi" w:cstheme="minorHAnsi"/>
        </w:rPr>
        <w:t>a</w:t>
      </w:r>
      <w:r w:rsidR="00501A70">
        <w:rPr>
          <w:rFonts w:asciiTheme="minorHAnsi" w:hAnsiTheme="minorHAnsi" w:cstheme="minorHAnsi"/>
        </w:rPr>
        <w:t xml:space="preserve"> </w:t>
      </w:r>
      <w:r w:rsidR="007A5803">
        <w:rPr>
          <w:rFonts w:asciiTheme="minorHAnsi" w:hAnsiTheme="minorHAnsi" w:cstheme="minorHAnsi"/>
        </w:rPr>
        <w:t xml:space="preserve">také </w:t>
      </w:r>
      <w:r w:rsidR="00501A70">
        <w:rPr>
          <w:rFonts w:asciiTheme="minorHAnsi" w:hAnsiTheme="minorHAnsi" w:cstheme="minorHAnsi"/>
        </w:rPr>
        <w:t>zda</w:t>
      </w:r>
      <w:r w:rsidR="00540922">
        <w:rPr>
          <w:rFonts w:asciiTheme="minorHAnsi" w:hAnsiTheme="minorHAnsi" w:cstheme="minorHAnsi"/>
        </w:rPr>
        <w:t xml:space="preserve"> Armáda využívá</w:t>
      </w:r>
      <w:r w:rsidR="00AE4BCF">
        <w:rPr>
          <w:rFonts w:asciiTheme="minorHAnsi" w:hAnsiTheme="minorHAnsi" w:cstheme="minorHAnsi"/>
        </w:rPr>
        <w:t xml:space="preserve"> pořízenou</w:t>
      </w:r>
      <w:r w:rsidR="00844BE3">
        <w:rPr>
          <w:rFonts w:asciiTheme="minorHAnsi" w:hAnsiTheme="minorHAnsi" w:cstheme="minorHAnsi"/>
        </w:rPr>
        <w:t xml:space="preserve"> </w:t>
      </w:r>
      <w:r w:rsidR="00501A70">
        <w:rPr>
          <w:rFonts w:asciiTheme="minorHAnsi" w:hAnsiTheme="minorHAnsi" w:cstheme="minorHAnsi"/>
        </w:rPr>
        <w:t xml:space="preserve">techniku </w:t>
      </w:r>
      <w:r w:rsidR="007A5803">
        <w:rPr>
          <w:rFonts w:asciiTheme="minorHAnsi" w:hAnsiTheme="minorHAnsi" w:cstheme="minorHAnsi"/>
        </w:rPr>
        <w:t>po</w:t>
      </w:r>
      <w:r w:rsidR="00540922">
        <w:rPr>
          <w:rFonts w:asciiTheme="minorHAnsi" w:hAnsiTheme="minorHAnsi" w:cstheme="minorHAnsi"/>
        </w:rPr>
        <w:t>dle předpokladu</w:t>
      </w:r>
      <w:r w:rsidR="00024D4E">
        <w:rPr>
          <w:rFonts w:asciiTheme="minorHAnsi" w:hAnsiTheme="minorHAnsi" w:cstheme="minorHAnsi"/>
        </w:rPr>
        <w:t xml:space="preserve"> uvedeného v investičním záměru</w:t>
      </w:r>
      <w:r w:rsidR="00540922">
        <w:rPr>
          <w:rFonts w:asciiTheme="minorHAnsi" w:hAnsiTheme="minorHAnsi" w:cstheme="minorHAnsi"/>
        </w:rPr>
        <w:t xml:space="preserve">. </w:t>
      </w:r>
      <w:r w:rsidR="00DD2BD8">
        <w:rPr>
          <w:rFonts w:asciiTheme="minorHAnsi" w:hAnsiTheme="minorHAnsi" w:cstheme="minorHAnsi"/>
        </w:rPr>
        <w:t xml:space="preserve">Dále </w:t>
      </w:r>
      <w:r w:rsidR="00AC09E6">
        <w:rPr>
          <w:rFonts w:asciiTheme="minorHAnsi" w:hAnsiTheme="minorHAnsi" w:cstheme="minorHAnsi"/>
        </w:rPr>
        <w:t>NKÚ zjišťoval plnění ukazatelů</w:t>
      </w:r>
      <w:r w:rsidR="00832460">
        <w:rPr>
          <w:rFonts w:asciiTheme="minorHAnsi" w:hAnsiTheme="minorHAnsi" w:cstheme="minorHAnsi"/>
        </w:rPr>
        <w:t xml:space="preserve"> </w:t>
      </w:r>
      <w:r w:rsidR="00024D4E">
        <w:rPr>
          <w:rFonts w:asciiTheme="minorHAnsi" w:hAnsiTheme="minorHAnsi" w:cstheme="minorHAnsi"/>
        </w:rPr>
        <w:t xml:space="preserve">efektivnosti systému </w:t>
      </w:r>
      <w:r w:rsidR="00832460">
        <w:rPr>
          <w:rFonts w:asciiTheme="minorHAnsi" w:hAnsiTheme="minorHAnsi" w:cstheme="minorHAnsi"/>
        </w:rPr>
        <w:t>provozu</w:t>
      </w:r>
      <w:r w:rsidR="00024D4E">
        <w:rPr>
          <w:rFonts w:asciiTheme="minorHAnsi" w:hAnsiTheme="minorHAnsi" w:cstheme="minorHAnsi"/>
        </w:rPr>
        <w:t xml:space="preserve"> a údržby</w:t>
      </w:r>
      <w:r w:rsidR="0029246A">
        <w:rPr>
          <w:rFonts w:asciiTheme="minorHAnsi" w:hAnsiTheme="minorHAnsi" w:cstheme="minorHAnsi"/>
        </w:rPr>
        <w:t xml:space="preserve"> pozemní vojenské techniky</w:t>
      </w:r>
      <w:r w:rsidR="009378FA">
        <w:rPr>
          <w:rFonts w:asciiTheme="minorHAnsi" w:hAnsiTheme="minorHAnsi" w:cstheme="minorHAnsi"/>
        </w:rPr>
        <w:t>,</w:t>
      </w:r>
      <w:r w:rsidR="00832460">
        <w:rPr>
          <w:rFonts w:asciiTheme="minorHAnsi" w:hAnsiTheme="minorHAnsi" w:cstheme="minorHAnsi"/>
        </w:rPr>
        <w:t xml:space="preserve"> </w:t>
      </w:r>
      <w:r w:rsidR="009378FA">
        <w:rPr>
          <w:rFonts w:asciiTheme="minorHAnsi" w:hAnsiTheme="minorHAnsi" w:cstheme="minorHAnsi"/>
        </w:rPr>
        <w:t xml:space="preserve">stanovených </w:t>
      </w:r>
      <w:r w:rsidR="0029246A">
        <w:rPr>
          <w:rFonts w:asciiTheme="minorHAnsi" w:hAnsiTheme="minorHAnsi" w:cstheme="minorHAnsi"/>
        </w:rPr>
        <w:t xml:space="preserve">MO </w:t>
      </w:r>
      <w:r w:rsidR="009378FA">
        <w:rPr>
          <w:rFonts w:asciiTheme="minorHAnsi" w:hAnsiTheme="minorHAnsi" w:cstheme="minorHAnsi"/>
        </w:rPr>
        <w:t xml:space="preserve">pro </w:t>
      </w:r>
      <w:r w:rsidR="00CA5516">
        <w:rPr>
          <w:rFonts w:asciiTheme="minorHAnsi" w:hAnsiTheme="minorHAnsi" w:cstheme="minorHAnsi"/>
        </w:rPr>
        <w:t xml:space="preserve">KBVP, KOT </w:t>
      </w:r>
      <w:r w:rsidR="00832460">
        <w:rPr>
          <w:rFonts w:asciiTheme="minorHAnsi" w:hAnsiTheme="minorHAnsi" w:cstheme="minorHAnsi"/>
        </w:rPr>
        <w:t>a </w:t>
      </w:r>
      <w:r w:rsidR="00501A70">
        <w:rPr>
          <w:rFonts w:asciiTheme="minorHAnsi" w:hAnsiTheme="minorHAnsi" w:cstheme="minorHAnsi"/>
        </w:rPr>
        <w:t>tank</w:t>
      </w:r>
      <w:r w:rsidR="0029246A">
        <w:rPr>
          <w:rFonts w:asciiTheme="minorHAnsi" w:hAnsiTheme="minorHAnsi" w:cstheme="minorHAnsi"/>
        </w:rPr>
        <w:t>y</w:t>
      </w:r>
      <w:r w:rsidR="00AC09E6">
        <w:rPr>
          <w:rFonts w:asciiTheme="minorHAnsi" w:hAnsiTheme="minorHAnsi" w:cstheme="minorHAnsi"/>
        </w:rPr>
        <w:t xml:space="preserve">, a výši výdajů na opravy, údržbu a náhradní díly na tuto techniku. </w:t>
      </w:r>
      <w:r w:rsidR="00CA5516">
        <w:rPr>
          <w:rFonts w:asciiTheme="minorHAnsi" w:hAnsiTheme="minorHAnsi" w:cstheme="minorHAnsi"/>
        </w:rPr>
        <w:t xml:space="preserve">NKÚ také posuzoval, zda </w:t>
      </w:r>
      <w:r w:rsidR="00DD2BD8">
        <w:rPr>
          <w:rFonts w:asciiTheme="minorHAnsi" w:hAnsiTheme="minorHAnsi" w:cstheme="minorHAnsi"/>
        </w:rPr>
        <w:t>MO uzavřelo</w:t>
      </w:r>
      <w:r w:rsidR="00753358">
        <w:rPr>
          <w:rFonts w:asciiTheme="minorHAnsi" w:hAnsiTheme="minorHAnsi" w:cstheme="minorHAnsi"/>
        </w:rPr>
        <w:t xml:space="preserve"> tři</w:t>
      </w:r>
      <w:r w:rsidR="00DD2BD8">
        <w:rPr>
          <w:rFonts w:asciiTheme="minorHAnsi" w:hAnsiTheme="minorHAnsi" w:cstheme="minorHAnsi"/>
        </w:rPr>
        <w:t xml:space="preserve"> rámcové smlouvy </w:t>
      </w:r>
      <w:r w:rsidR="00AC09E6">
        <w:rPr>
          <w:rFonts w:asciiTheme="minorHAnsi" w:hAnsiTheme="minorHAnsi" w:cstheme="minorHAnsi"/>
        </w:rPr>
        <w:t xml:space="preserve">na servisní podporu </w:t>
      </w:r>
      <w:r w:rsidR="00DD2BD8">
        <w:rPr>
          <w:rFonts w:asciiTheme="minorHAnsi" w:hAnsiTheme="minorHAnsi" w:cstheme="minorHAnsi"/>
        </w:rPr>
        <w:t>v souladu s právními předpisy</w:t>
      </w:r>
      <w:r w:rsidR="00753358">
        <w:rPr>
          <w:rFonts w:asciiTheme="minorHAnsi" w:hAnsiTheme="minorHAnsi" w:cstheme="minorHAnsi"/>
        </w:rPr>
        <w:t>. N</w:t>
      </w:r>
      <w:r w:rsidR="00CA5516">
        <w:rPr>
          <w:rFonts w:asciiTheme="minorHAnsi" w:hAnsiTheme="minorHAnsi" w:cstheme="minorHAnsi"/>
        </w:rPr>
        <w:t>a vyb</w:t>
      </w:r>
      <w:r w:rsidR="00DD2BD8">
        <w:rPr>
          <w:rFonts w:asciiTheme="minorHAnsi" w:hAnsiTheme="minorHAnsi" w:cstheme="minorHAnsi"/>
        </w:rPr>
        <w:t xml:space="preserve">raných </w:t>
      </w:r>
      <w:r w:rsidR="00844BE3">
        <w:rPr>
          <w:rFonts w:asciiTheme="minorHAnsi" w:hAnsiTheme="minorHAnsi" w:cstheme="minorHAnsi"/>
        </w:rPr>
        <w:t>plněních</w:t>
      </w:r>
      <w:r w:rsidR="00AC09E6">
        <w:rPr>
          <w:rFonts w:asciiTheme="minorHAnsi" w:hAnsiTheme="minorHAnsi" w:cstheme="minorHAnsi"/>
        </w:rPr>
        <w:t xml:space="preserve"> těchto smluv</w:t>
      </w:r>
      <w:r w:rsidR="00844BE3">
        <w:rPr>
          <w:rFonts w:asciiTheme="minorHAnsi" w:hAnsiTheme="minorHAnsi" w:cstheme="minorHAnsi"/>
        </w:rPr>
        <w:t xml:space="preserve"> </w:t>
      </w:r>
      <w:r w:rsidR="00473E20">
        <w:rPr>
          <w:rFonts w:asciiTheme="minorHAnsi" w:hAnsiTheme="minorHAnsi" w:cstheme="minorHAnsi"/>
        </w:rPr>
        <w:t xml:space="preserve">v celkové </w:t>
      </w:r>
      <w:r w:rsidR="00473E20" w:rsidRPr="00473E20">
        <w:rPr>
          <w:rFonts w:asciiTheme="minorHAnsi" w:hAnsiTheme="minorHAnsi" w:cstheme="minorHAnsi"/>
        </w:rPr>
        <w:t>výši 357,</w:t>
      </w:r>
      <w:r w:rsidR="00840149">
        <w:rPr>
          <w:rFonts w:asciiTheme="minorHAnsi" w:hAnsiTheme="minorHAnsi" w:cstheme="minorHAnsi"/>
        </w:rPr>
        <w:t>1</w:t>
      </w:r>
      <w:r w:rsidR="00473E20" w:rsidRPr="00473E20">
        <w:rPr>
          <w:rFonts w:asciiTheme="minorHAnsi" w:hAnsiTheme="minorHAnsi" w:cstheme="minorHAnsi"/>
        </w:rPr>
        <w:t xml:space="preserve"> mil. Kč </w:t>
      </w:r>
      <w:r w:rsidR="00DD2BD8" w:rsidRPr="00473E20">
        <w:rPr>
          <w:rFonts w:asciiTheme="minorHAnsi" w:hAnsiTheme="minorHAnsi" w:cstheme="minorHAnsi"/>
        </w:rPr>
        <w:t xml:space="preserve">ověřoval, </w:t>
      </w:r>
      <w:r w:rsidR="00473E20" w:rsidRPr="00473E20">
        <w:rPr>
          <w:rFonts w:asciiTheme="minorHAnsi" w:hAnsiTheme="minorHAnsi" w:cstheme="minorHAnsi"/>
        </w:rPr>
        <w:t xml:space="preserve">zda byly </w:t>
      </w:r>
      <w:r w:rsidR="00473E20">
        <w:rPr>
          <w:rFonts w:asciiTheme="minorHAnsi" w:hAnsiTheme="minorHAnsi" w:cstheme="minorHAnsi"/>
        </w:rPr>
        <w:t xml:space="preserve">výdaje </w:t>
      </w:r>
      <w:r w:rsidR="00473E20" w:rsidRPr="00473E20">
        <w:rPr>
          <w:rFonts w:asciiTheme="minorHAnsi" w:hAnsiTheme="minorHAnsi" w:cstheme="minorHAnsi"/>
        </w:rPr>
        <w:t>vynaloženy v souladu s potřebami</w:t>
      </w:r>
      <w:r w:rsidR="007A5803">
        <w:rPr>
          <w:rFonts w:asciiTheme="minorHAnsi" w:hAnsiTheme="minorHAnsi" w:cstheme="minorHAnsi"/>
        </w:rPr>
        <w:t xml:space="preserve"> Armády, hospodárně, efektivně a</w:t>
      </w:r>
      <w:r w:rsidR="00E627B7">
        <w:rPr>
          <w:rFonts w:asciiTheme="minorHAnsi" w:hAnsiTheme="minorHAnsi" w:cstheme="minorHAnsi"/>
        </w:rPr>
        <w:t> </w:t>
      </w:r>
      <w:r w:rsidR="00CA5516">
        <w:rPr>
          <w:rFonts w:asciiTheme="minorHAnsi" w:hAnsiTheme="minorHAnsi" w:cstheme="minorHAnsi"/>
        </w:rPr>
        <w:t>v požadovaném termínu.</w:t>
      </w:r>
    </w:p>
    <w:p w14:paraId="5DBFC625" w14:textId="77777777" w:rsidR="007C3EC4" w:rsidRPr="00CE0687" w:rsidRDefault="007C3EC4" w:rsidP="007C3EC4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4B63C6B5" w14:textId="5D1546F4" w:rsidR="002C5746" w:rsidRDefault="00CA5ECF" w:rsidP="007C3EC4">
      <w:pPr>
        <w:jc w:val="both"/>
        <w:rPr>
          <w:rFonts w:asciiTheme="minorHAnsi" w:hAnsiTheme="minorHAnsi" w:cstheme="minorHAnsi"/>
        </w:rPr>
      </w:pPr>
      <w:r w:rsidRPr="00844BE3">
        <w:rPr>
          <w:rFonts w:asciiTheme="minorHAnsi" w:hAnsiTheme="minorHAnsi" w:cstheme="minorHAnsi"/>
        </w:rPr>
        <w:t>J</w:t>
      </w:r>
      <w:r w:rsidR="00BA7120" w:rsidRPr="00844BE3">
        <w:rPr>
          <w:rFonts w:asciiTheme="minorHAnsi" w:hAnsiTheme="minorHAnsi" w:cstheme="minorHAnsi"/>
        </w:rPr>
        <w:t xml:space="preserve">ako kritéria pro hodnocení </w:t>
      </w:r>
      <w:r w:rsidR="00CD3A7F" w:rsidRPr="00844BE3">
        <w:rPr>
          <w:rFonts w:asciiTheme="minorHAnsi" w:hAnsiTheme="minorHAnsi" w:cstheme="minorHAnsi"/>
        </w:rPr>
        <w:t xml:space="preserve">účelnosti a </w:t>
      </w:r>
      <w:r w:rsidR="00BA7120" w:rsidRPr="00844BE3">
        <w:rPr>
          <w:rFonts w:asciiTheme="minorHAnsi" w:hAnsiTheme="minorHAnsi" w:cstheme="minorHAnsi"/>
        </w:rPr>
        <w:t>efektivn</w:t>
      </w:r>
      <w:r w:rsidR="00D3763C" w:rsidRPr="00844BE3">
        <w:rPr>
          <w:rFonts w:asciiTheme="minorHAnsi" w:hAnsiTheme="minorHAnsi" w:cstheme="minorHAnsi"/>
        </w:rPr>
        <w:t>osti</w:t>
      </w:r>
      <w:r w:rsidR="00BA7120" w:rsidRPr="00844BE3">
        <w:rPr>
          <w:rFonts w:asciiTheme="minorHAnsi" w:hAnsiTheme="minorHAnsi" w:cstheme="minorHAnsi"/>
        </w:rPr>
        <w:t xml:space="preserve"> </w:t>
      </w:r>
      <w:r w:rsidR="00CD3A7F" w:rsidRPr="00844BE3">
        <w:rPr>
          <w:rFonts w:asciiTheme="minorHAnsi" w:hAnsiTheme="minorHAnsi" w:cstheme="minorHAnsi"/>
        </w:rPr>
        <w:t>systému pořízení</w:t>
      </w:r>
      <w:r w:rsidR="00CA5516">
        <w:rPr>
          <w:rFonts w:asciiTheme="minorHAnsi" w:hAnsiTheme="minorHAnsi" w:cstheme="minorHAnsi"/>
        </w:rPr>
        <w:t xml:space="preserve">, oprav a udržování </w:t>
      </w:r>
      <w:r w:rsidR="00CD3A7F" w:rsidRPr="00844BE3">
        <w:rPr>
          <w:rFonts w:asciiTheme="minorHAnsi" w:hAnsiTheme="minorHAnsi" w:cstheme="minorHAnsi"/>
        </w:rPr>
        <w:t xml:space="preserve">obrněné techniky </w:t>
      </w:r>
      <w:r w:rsidRPr="00844BE3">
        <w:rPr>
          <w:rFonts w:asciiTheme="minorHAnsi" w:hAnsiTheme="minorHAnsi" w:cstheme="minorHAnsi"/>
        </w:rPr>
        <w:t xml:space="preserve">byly </w:t>
      </w:r>
      <w:r w:rsidR="00BA7120" w:rsidRPr="00844BE3">
        <w:rPr>
          <w:rFonts w:asciiTheme="minorHAnsi" w:hAnsiTheme="minorHAnsi" w:cstheme="minorHAnsi"/>
        </w:rPr>
        <w:t xml:space="preserve">využity především </w:t>
      </w:r>
      <w:r w:rsidR="00113EE4">
        <w:rPr>
          <w:rFonts w:asciiTheme="minorHAnsi" w:hAnsiTheme="minorHAnsi" w:cstheme="minorHAnsi"/>
        </w:rPr>
        <w:t>cíle a hodnoty</w:t>
      </w:r>
      <w:r w:rsidR="00BA7120" w:rsidRPr="00844BE3">
        <w:rPr>
          <w:rFonts w:asciiTheme="minorHAnsi" w:hAnsiTheme="minorHAnsi" w:cstheme="minorHAnsi"/>
        </w:rPr>
        <w:t xml:space="preserve"> uvedené ve schválených </w:t>
      </w:r>
      <w:r w:rsidR="00844BE3">
        <w:rPr>
          <w:rFonts w:asciiTheme="minorHAnsi" w:hAnsiTheme="minorHAnsi" w:cstheme="minorHAnsi"/>
        </w:rPr>
        <w:t>strategických</w:t>
      </w:r>
      <w:r w:rsidR="00113EE4">
        <w:rPr>
          <w:rFonts w:asciiTheme="minorHAnsi" w:hAnsiTheme="minorHAnsi" w:cstheme="minorHAnsi"/>
        </w:rPr>
        <w:t xml:space="preserve"> a </w:t>
      </w:r>
      <w:r w:rsidR="00BA7120" w:rsidRPr="00844BE3">
        <w:rPr>
          <w:rFonts w:asciiTheme="minorHAnsi" w:hAnsiTheme="minorHAnsi" w:cstheme="minorHAnsi"/>
        </w:rPr>
        <w:t>koncepčních dokumentech</w:t>
      </w:r>
      <w:r w:rsidR="00113EE4">
        <w:rPr>
          <w:rFonts w:asciiTheme="minorHAnsi" w:hAnsiTheme="minorHAnsi" w:cstheme="minorHAnsi"/>
        </w:rPr>
        <w:t xml:space="preserve"> MO</w:t>
      </w:r>
      <w:r w:rsidR="00942BFE">
        <w:rPr>
          <w:rFonts w:asciiTheme="minorHAnsi" w:hAnsiTheme="minorHAnsi" w:cstheme="minorHAnsi"/>
        </w:rPr>
        <w:t>,</w:t>
      </w:r>
      <w:r w:rsidR="00113EE4">
        <w:rPr>
          <w:rFonts w:asciiTheme="minorHAnsi" w:hAnsiTheme="minorHAnsi" w:cstheme="minorHAnsi"/>
        </w:rPr>
        <w:t xml:space="preserve"> v dokumentacích programů a akcí, dále </w:t>
      </w:r>
      <w:r w:rsidR="00113EE4" w:rsidRPr="00844BE3">
        <w:rPr>
          <w:rFonts w:asciiTheme="minorHAnsi" w:hAnsiTheme="minorHAnsi" w:cstheme="minorHAnsi"/>
        </w:rPr>
        <w:t>hod</w:t>
      </w:r>
      <w:r w:rsidR="00113EE4">
        <w:rPr>
          <w:rFonts w:asciiTheme="minorHAnsi" w:hAnsiTheme="minorHAnsi" w:cstheme="minorHAnsi"/>
        </w:rPr>
        <w:t xml:space="preserve">noty sledovaných </w:t>
      </w:r>
      <w:r w:rsidR="00113EE4" w:rsidRPr="00844BE3">
        <w:rPr>
          <w:rFonts w:asciiTheme="minorHAnsi" w:hAnsiTheme="minorHAnsi" w:cstheme="minorHAnsi"/>
        </w:rPr>
        <w:t xml:space="preserve">technických </w:t>
      </w:r>
      <w:r w:rsidR="00113EE4">
        <w:rPr>
          <w:rFonts w:asciiTheme="minorHAnsi" w:hAnsiTheme="minorHAnsi" w:cstheme="minorHAnsi"/>
        </w:rPr>
        <w:t xml:space="preserve">a ekonomických </w:t>
      </w:r>
      <w:r w:rsidR="00113EE4" w:rsidRPr="00844BE3">
        <w:rPr>
          <w:rFonts w:asciiTheme="minorHAnsi" w:hAnsiTheme="minorHAnsi" w:cstheme="minorHAnsi"/>
        </w:rPr>
        <w:t xml:space="preserve">ukazatelů </w:t>
      </w:r>
      <w:r w:rsidR="00BA7120" w:rsidRPr="00844BE3">
        <w:rPr>
          <w:rFonts w:asciiTheme="minorHAnsi" w:hAnsiTheme="minorHAnsi" w:cstheme="minorHAnsi"/>
        </w:rPr>
        <w:t xml:space="preserve">a údaje z evidence </w:t>
      </w:r>
      <w:r w:rsidR="00844BE3" w:rsidRPr="00844BE3">
        <w:rPr>
          <w:rFonts w:asciiTheme="minorHAnsi" w:hAnsiTheme="minorHAnsi" w:cstheme="minorHAnsi"/>
        </w:rPr>
        <w:t xml:space="preserve">obrněné techniky. </w:t>
      </w:r>
      <w:r w:rsidR="00BA7120" w:rsidRPr="00113EE4">
        <w:rPr>
          <w:rFonts w:asciiTheme="minorHAnsi" w:hAnsiTheme="minorHAnsi" w:cstheme="minorHAnsi"/>
        </w:rPr>
        <w:t>P</w:t>
      </w:r>
      <w:r w:rsidR="00910D28" w:rsidRPr="00113EE4">
        <w:rPr>
          <w:rFonts w:asciiTheme="minorHAnsi" w:hAnsiTheme="minorHAnsi" w:cstheme="minorHAnsi"/>
        </w:rPr>
        <w:t xml:space="preserve">ro posouzení </w:t>
      </w:r>
      <w:r w:rsidR="00D72B35">
        <w:rPr>
          <w:rFonts w:asciiTheme="minorHAnsi" w:hAnsiTheme="minorHAnsi" w:cstheme="minorHAnsi"/>
        </w:rPr>
        <w:t>souladu s právními předpisy</w:t>
      </w:r>
      <w:r w:rsidR="00910D28" w:rsidRPr="00113EE4">
        <w:rPr>
          <w:rFonts w:asciiTheme="minorHAnsi" w:hAnsiTheme="minorHAnsi" w:cstheme="minorHAnsi"/>
        </w:rPr>
        <w:t xml:space="preserve"> a věcné a formální správnosti </w:t>
      </w:r>
      <w:r w:rsidR="00BA7120" w:rsidRPr="00113EE4">
        <w:rPr>
          <w:rFonts w:asciiTheme="minorHAnsi" w:hAnsiTheme="minorHAnsi" w:cstheme="minorHAnsi"/>
        </w:rPr>
        <w:t xml:space="preserve">byly </w:t>
      </w:r>
      <w:r w:rsidR="006707B7">
        <w:rPr>
          <w:rFonts w:asciiTheme="minorHAnsi" w:hAnsiTheme="minorHAnsi" w:cstheme="minorHAnsi"/>
        </w:rPr>
        <w:t>aplikovány</w:t>
      </w:r>
      <w:r w:rsidR="0084747A">
        <w:rPr>
          <w:rFonts w:asciiTheme="minorHAnsi" w:hAnsiTheme="minorHAnsi" w:cstheme="minorHAnsi"/>
        </w:rPr>
        <w:t xml:space="preserve"> </w:t>
      </w:r>
      <w:r w:rsidR="00910D28" w:rsidRPr="00113EE4">
        <w:rPr>
          <w:rFonts w:asciiTheme="minorHAnsi" w:hAnsiTheme="minorHAnsi" w:cstheme="minorHAnsi"/>
        </w:rPr>
        <w:t xml:space="preserve">zákony </w:t>
      </w:r>
      <w:r w:rsidR="00844BE3" w:rsidRPr="00113EE4">
        <w:rPr>
          <w:rFonts w:asciiTheme="minorHAnsi" w:hAnsiTheme="minorHAnsi" w:cstheme="minorHAnsi"/>
        </w:rPr>
        <w:t>č. </w:t>
      </w:r>
      <w:r w:rsidR="00910D28" w:rsidRPr="00113EE4">
        <w:rPr>
          <w:rFonts w:asciiTheme="minorHAnsi" w:hAnsiTheme="minorHAnsi" w:cstheme="minorHAnsi"/>
        </w:rPr>
        <w:t>137/2006 Sb.</w:t>
      </w:r>
      <w:r w:rsidR="00AC09E6" w:rsidRPr="00113EE4">
        <w:rPr>
          <w:rFonts w:asciiTheme="minorHAnsi" w:hAnsiTheme="minorHAnsi" w:cstheme="minorHAnsi"/>
        </w:rPr>
        <w:t xml:space="preserve">, </w:t>
      </w:r>
      <w:r w:rsidR="003E6A48">
        <w:rPr>
          <w:rFonts w:asciiTheme="minorHAnsi" w:hAnsiTheme="minorHAnsi" w:cstheme="minorHAnsi"/>
        </w:rPr>
        <w:t>č. </w:t>
      </w:r>
      <w:r w:rsidR="00910D28" w:rsidRPr="00113EE4">
        <w:rPr>
          <w:rFonts w:asciiTheme="minorHAnsi" w:hAnsiTheme="minorHAnsi" w:cstheme="minorHAnsi"/>
        </w:rPr>
        <w:t>134/2016 Sb</w:t>
      </w:r>
      <w:r w:rsidR="00113EE4">
        <w:rPr>
          <w:rFonts w:asciiTheme="minorHAnsi" w:hAnsiTheme="minorHAnsi" w:cstheme="minorHAnsi"/>
        </w:rPr>
        <w:t>.</w:t>
      </w:r>
      <w:r w:rsidR="00113EE4" w:rsidRPr="00113EE4">
        <w:rPr>
          <w:rFonts w:asciiTheme="minorHAnsi" w:hAnsiTheme="minorHAnsi" w:cstheme="minorHAnsi"/>
        </w:rPr>
        <w:t>, č. 219/2000 Sb.</w:t>
      </w:r>
      <w:r w:rsidR="00113EE4">
        <w:rPr>
          <w:rFonts w:asciiTheme="minorHAnsi" w:hAnsiTheme="minorHAnsi" w:cstheme="minorHAnsi"/>
        </w:rPr>
        <w:t>,</w:t>
      </w:r>
      <w:r w:rsidR="003E6A48">
        <w:rPr>
          <w:rFonts w:asciiTheme="minorHAnsi" w:hAnsiTheme="minorHAnsi" w:cstheme="minorHAnsi"/>
        </w:rPr>
        <w:t xml:space="preserve"> </w:t>
      </w:r>
      <w:r w:rsidR="00113EE4" w:rsidRPr="00113EE4">
        <w:rPr>
          <w:rFonts w:asciiTheme="minorHAnsi" w:hAnsiTheme="minorHAnsi" w:cstheme="minorHAnsi"/>
        </w:rPr>
        <w:t>č. 218/2000 Sb.</w:t>
      </w:r>
      <w:r w:rsidR="00113EE4">
        <w:rPr>
          <w:rFonts w:asciiTheme="minorHAnsi" w:hAnsiTheme="minorHAnsi" w:cstheme="minorHAnsi"/>
        </w:rPr>
        <w:t xml:space="preserve"> a č. 89/2012 Sb.</w:t>
      </w:r>
      <w:r w:rsidR="006707B7">
        <w:rPr>
          <w:rStyle w:val="Znakapoznpodarou"/>
          <w:rFonts w:asciiTheme="minorHAnsi" w:hAnsiTheme="minorHAnsi" w:cstheme="minorHAnsi"/>
        </w:rPr>
        <w:footnoteReference w:id="21"/>
      </w:r>
      <w:r w:rsidR="00910D28" w:rsidRPr="00113EE4">
        <w:rPr>
          <w:rFonts w:asciiTheme="minorHAnsi" w:hAnsiTheme="minorHAnsi" w:cstheme="minorHAnsi"/>
        </w:rPr>
        <w:t xml:space="preserve"> </w:t>
      </w:r>
      <w:r w:rsidR="000E4C12" w:rsidRPr="0084747A">
        <w:rPr>
          <w:rFonts w:asciiTheme="minorHAnsi" w:hAnsiTheme="minorHAnsi" w:cstheme="minorHAnsi"/>
        </w:rPr>
        <w:t xml:space="preserve">Výdaje </w:t>
      </w:r>
      <w:r w:rsidR="00910D28" w:rsidRPr="0084747A">
        <w:rPr>
          <w:rFonts w:asciiTheme="minorHAnsi" w:hAnsiTheme="minorHAnsi" w:cstheme="minorHAnsi"/>
        </w:rPr>
        <w:t>byl</w:t>
      </w:r>
      <w:r w:rsidR="000E4C12" w:rsidRPr="0084747A">
        <w:rPr>
          <w:rFonts w:asciiTheme="minorHAnsi" w:hAnsiTheme="minorHAnsi" w:cstheme="minorHAnsi"/>
        </w:rPr>
        <w:t>y z hlediska účelnosti</w:t>
      </w:r>
      <w:r w:rsidR="00910D28" w:rsidRPr="0084747A">
        <w:rPr>
          <w:rFonts w:asciiTheme="minorHAnsi" w:hAnsiTheme="minorHAnsi" w:cstheme="minorHAnsi"/>
        </w:rPr>
        <w:t xml:space="preserve"> </w:t>
      </w:r>
      <w:r w:rsidR="000E4C12" w:rsidRPr="0084747A">
        <w:rPr>
          <w:rFonts w:asciiTheme="minorHAnsi" w:hAnsiTheme="minorHAnsi" w:cstheme="minorHAnsi"/>
        </w:rPr>
        <w:t>posuzovány</w:t>
      </w:r>
      <w:r w:rsidR="00910D28" w:rsidRPr="0084747A">
        <w:rPr>
          <w:rFonts w:asciiTheme="minorHAnsi" w:hAnsiTheme="minorHAnsi" w:cstheme="minorHAnsi"/>
        </w:rPr>
        <w:t xml:space="preserve"> podle</w:t>
      </w:r>
      <w:r w:rsidR="004A4F7C" w:rsidRPr="0084747A">
        <w:rPr>
          <w:rFonts w:asciiTheme="minorHAnsi" w:hAnsiTheme="minorHAnsi" w:cstheme="minorHAnsi"/>
        </w:rPr>
        <w:t xml:space="preserve"> míry</w:t>
      </w:r>
      <w:r w:rsidR="00910D28" w:rsidRPr="0084747A">
        <w:rPr>
          <w:rFonts w:asciiTheme="minorHAnsi" w:hAnsiTheme="minorHAnsi" w:cstheme="minorHAnsi"/>
        </w:rPr>
        <w:t xml:space="preserve"> napl</w:t>
      </w:r>
      <w:r w:rsidR="004A4F7C" w:rsidRPr="0084747A">
        <w:rPr>
          <w:rFonts w:asciiTheme="minorHAnsi" w:hAnsiTheme="minorHAnsi" w:cstheme="minorHAnsi"/>
        </w:rPr>
        <w:t>nění</w:t>
      </w:r>
      <w:r w:rsidR="00910D28" w:rsidRPr="0084747A">
        <w:rPr>
          <w:rFonts w:asciiTheme="minorHAnsi" w:hAnsiTheme="minorHAnsi" w:cstheme="minorHAnsi"/>
        </w:rPr>
        <w:t xml:space="preserve"> </w:t>
      </w:r>
      <w:r w:rsidR="00E479E1">
        <w:rPr>
          <w:rFonts w:asciiTheme="minorHAnsi" w:hAnsiTheme="minorHAnsi" w:cstheme="minorHAnsi"/>
        </w:rPr>
        <w:t xml:space="preserve">stanovených </w:t>
      </w:r>
      <w:r w:rsidR="009E737F" w:rsidRPr="0084747A">
        <w:rPr>
          <w:rFonts w:asciiTheme="minorHAnsi" w:hAnsiTheme="minorHAnsi" w:cstheme="minorHAnsi"/>
        </w:rPr>
        <w:t>potřeb</w:t>
      </w:r>
      <w:r w:rsidR="00E479E1">
        <w:rPr>
          <w:rFonts w:asciiTheme="minorHAnsi" w:hAnsiTheme="minorHAnsi" w:cstheme="minorHAnsi"/>
        </w:rPr>
        <w:t xml:space="preserve"> Armády</w:t>
      </w:r>
      <w:r w:rsidR="009E737F" w:rsidRPr="0084747A">
        <w:rPr>
          <w:rFonts w:asciiTheme="minorHAnsi" w:hAnsiTheme="minorHAnsi" w:cstheme="minorHAnsi"/>
        </w:rPr>
        <w:t xml:space="preserve"> a</w:t>
      </w:r>
      <w:r w:rsidR="00E479E1">
        <w:rPr>
          <w:rFonts w:asciiTheme="minorHAnsi" w:hAnsiTheme="minorHAnsi" w:cstheme="minorHAnsi"/>
        </w:rPr>
        <w:t> </w:t>
      </w:r>
      <w:r w:rsidR="00832460" w:rsidRPr="0084747A">
        <w:rPr>
          <w:rFonts w:asciiTheme="minorHAnsi" w:hAnsiTheme="minorHAnsi" w:cstheme="minorHAnsi"/>
        </w:rPr>
        <w:t xml:space="preserve">následného využívání </w:t>
      </w:r>
      <w:r w:rsidR="0084747A" w:rsidRPr="0084747A">
        <w:rPr>
          <w:rFonts w:asciiTheme="minorHAnsi" w:hAnsiTheme="minorHAnsi" w:cstheme="minorHAnsi"/>
        </w:rPr>
        <w:t>pořízené</w:t>
      </w:r>
      <w:r w:rsidR="0084747A">
        <w:rPr>
          <w:rFonts w:asciiTheme="minorHAnsi" w:hAnsiTheme="minorHAnsi" w:cstheme="minorHAnsi"/>
        </w:rPr>
        <w:t xml:space="preserve">, modernizované </w:t>
      </w:r>
      <w:r w:rsidR="0084747A" w:rsidRPr="0084747A">
        <w:rPr>
          <w:rFonts w:asciiTheme="minorHAnsi" w:hAnsiTheme="minorHAnsi" w:cstheme="minorHAnsi"/>
        </w:rPr>
        <w:t xml:space="preserve">či </w:t>
      </w:r>
      <w:r w:rsidR="0084747A">
        <w:rPr>
          <w:rFonts w:asciiTheme="minorHAnsi" w:hAnsiTheme="minorHAnsi" w:cstheme="minorHAnsi"/>
        </w:rPr>
        <w:t>o</w:t>
      </w:r>
      <w:r w:rsidR="0084747A" w:rsidRPr="0084747A">
        <w:rPr>
          <w:rFonts w:asciiTheme="minorHAnsi" w:hAnsiTheme="minorHAnsi" w:cstheme="minorHAnsi"/>
        </w:rPr>
        <w:t xml:space="preserve">pravené </w:t>
      </w:r>
      <w:r w:rsidR="00CA5516">
        <w:rPr>
          <w:rFonts w:asciiTheme="minorHAnsi" w:hAnsiTheme="minorHAnsi" w:cstheme="minorHAnsi"/>
        </w:rPr>
        <w:t>techniky. H</w:t>
      </w:r>
      <w:r w:rsidR="000E4C12" w:rsidRPr="0084747A">
        <w:rPr>
          <w:rFonts w:asciiTheme="minorHAnsi" w:hAnsiTheme="minorHAnsi" w:cstheme="minorHAnsi"/>
        </w:rPr>
        <w:t>ospodárnost</w:t>
      </w:r>
      <w:r w:rsidR="00CA5516">
        <w:rPr>
          <w:rFonts w:asciiTheme="minorHAnsi" w:hAnsiTheme="minorHAnsi" w:cstheme="minorHAnsi"/>
        </w:rPr>
        <w:t xml:space="preserve"> </w:t>
      </w:r>
      <w:r w:rsidR="00E82223">
        <w:rPr>
          <w:rFonts w:asciiTheme="minorHAnsi" w:hAnsiTheme="minorHAnsi" w:cstheme="minorHAnsi"/>
        </w:rPr>
        <w:t xml:space="preserve">výdajů </w:t>
      </w:r>
      <w:r w:rsidR="00CA5516">
        <w:rPr>
          <w:rFonts w:asciiTheme="minorHAnsi" w:hAnsiTheme="minorHAnsi" w:cstheme="minorHAnsi"/>
        </w:rPr>
        <w:t xml:space="preserve">NKÚ </w:t>
      </w:r>
      <w:r w:rsidR="00E82223">
        <w:rPr>
          <w:rFonts w:asciiTheme="minorHAnsi" w:hAnsiTheme="minorHAnsi" w:cstheme="minorHAnsi"/>
        </w:rPr>
        <w:t xml:space="preserve">posuzoval </w:t>
      </w:r>
      <w:r w:rsidR="00DE12AE">
        <w:rPr>
          <w:rFonts w:asciiTheme="minorHAnsi" w:hAnsiTheme="minorHAnsi" w:cstheme="minorHAnsi"/>
        </w:rPr>
        <w:t xml:space="preserve">zejména </w:t>
      </w:r>
      <w:r w:rsidR="00E82223">
        <w:rPr>
          <w:rFonts w:asciiTheme="minorHAnsi" w:hAnsiTheme="minorHAnsi" w:cstheme="minorHAnsi"/>
        </w:rPr>
        <w:t>po</w:t>
      </w:r>
      <w:r w:rsidR="00910D28" w:rsidRPr="0084747A">
        <w:rPr>
          <w:rFonts w:asciiTheme="minorHAnsi" w:hAnsiTheme="minorHAnsi" w:cstheme="minorHAnsi"/>
        </w:rPr>
        <w:t xml:space="preserve">dle </w:t>
      </w:r>
      <w:r w:rsidR="004A4F7C" w:rsidRPr="0084747A">
        <w:rPr>
          <w:rFonts w:asciiTheme="minorHAnsi" w:hAnsiTheme="minorHAnsi" w:cstheme="minorHAnsi"/>
        </w:rPr>
        <w:t xml:space="preserve">průběhu </w:t>
      </w:r>
      <w:r w:rsidR="00910D28" w:rsidRPr="0084747A">
        <w:rPr>
          <w:rFonts w:asciiTheme="minorHAnsi" w:hAnsiTheme="minorHAnsi" w:cstheme="minorHAnsi"/>
        </w:rPr>
        <w:t>zadávacího procesu</w:t>
      </w:r>
      <w:r w:rsidR="009C7992">
        <w:rPr>
          <w:rFonts w:asciiTheme="minorHAnsi" w:hAnsiTheme="minorHAnsi" w:cstheme="minorHAnsi"/>
        </w:rPr>
        <w:t>, vymezení předmětu veřejné zakázky</w:t>
      </w:r>
      <w:r w:rsidR="00910D28" w:rsidRPr="0084747A">
        <w:rPr>
          <w:rFonts w:asciiTheme="minorHAnsi" w:hAnsiTheme="minorHAnsi" w:cstheme="minorHAnsi"/>
        </w:rPr>
        <w:t xml:space="preserve"> </w:t>
      </w:r>
      <w:r w:rsidR="009C7992">
        <w:rPr>
          <w:rFonts w:asciiTheme="minorHAnsi" w:hAnsiTheme="minorHAnsi" w:cstheme="minorHAnsi"/>
        </w:rPr>
        <w:t>a </w:t>
      </w:r>
      <w:r w:rsidR="00910D28" w:rsidRPr="0084747A">
        <w:rPr>
          <w:rFonts w:asciiTheme="minorHAnsi" w:hAnsiTheme="minorHAnsi" w:cstheme="minorHAnsi"/>
        </w:rPr>
        <w:t xml:space="preserve">volby </w:t>
      </w:r>
      <w:r w:rsidR="00832460" w:rsidRPr="0084747A">
        <w:rPr>
          <w:rFonts w:asciiTheme="minorHAnsi" w:hAnsiTheme="minorHAnsi" w:cstheme="minorHAnsi"/>
        </w:rPr>
        <w:t>vhodných hodnot</w:t>
      </w:r>
      <w:r w:rsidR="003E6A48">
        <w:rPr>
          <w:rFonts w:asciiTheme="minorHAnsi" w:hAnsiTheme="minorHAnsi" w:cstheme="minorHAnsi"/>
        </w:rPr>
        <w:t>i</w:t>
      </w:r>
      <w:r w:rsidR="00832460" w:rsidRPr="0084747A">
        <w:rPr>
          <w:rFonts w:asciiTheme="minorHAnsi" w:hAnsiTheme="minorHAnsi" w:cstheme="minorHAnsi"/>
        </w:rPr>
        <w:t>cích kritérií</w:t>
      </w:r>
      <w:r w:rsidR="00737BFD">
        <w:rPr>
          <w:rFonts w:asciiTheme="minorHAnsi" w:hAnsiTheme="minorHAnsi" w:cstheme="minorHAnsi"/>
        </w:rPr>
        <w:t>.</w:t>
      </w:r>
      <w:r w:rsidR="00832460" w:rsidRPr="0084747A">
        <w:rPr>
          <w:rFonts w:asciiTheme="minorHAnsi" w:hAnsiTheme="minorHAnsi" w:cstheme="minorHAnsi"/>
        </w:rPr>
        <w:t xml:space="preserve"> </w:t>
      </w:r>
      <w:r w:rsidR="00737BFD">
        <w:rPr>
          <w:rFonts w:asciiTheme="minorHAnsi" w:hAnsiTheme="minorHAnsi" w:cstheme="minorHAnsi"/>
        </w:rPr>
        <w:t>V</w:t>
      </w:r>
      <w:r w:rsidR="00832460" w:rsidRPr="0084747A">
        <w:rPr>
          <w:rFonts w:asciiTheme="minorHAnsi" w:hAnsiTheme="minorHAnsi" w:cstheme="minorHAnsi"/>
        </w:rPr>
        <w:t xml:space="preserve"> případě </w:t>
      </w:r>
      <w:r w:rsidR="00737BFD">
        <w:rPr>
          <w:rFonts w:asciiTheme="minorHAnsi" w:hAnsiTheme="minorHAnsi" w:cstheme="minorHAnsi"/>
        </w:rPr>
        <w:t xml:space="preserve">využití </w:t>
      </w:r>
      <w:r w:rsidR="00832460" w:rsidRPr="0084747A">
        <w:rPr>
          <w:rFonts w:asciiTheme="minorHAnsi" w:hAnsiTheme="minorHAnsi" w:cstheme="minorHAnsi"/>
        </w:rPr>
        <w:t xml:space="preserve">výjimky </w:t>
      </w:r>
      <w:r w:rsidR="00C43AD2">
        <w:rPr>
          <w:rFonts w:asciiTheme="minorHAnsi" w:hAnsiTheme="minorHAnsi" w:cstheme="minorHAnsi"/>
        </w:rPr>
        <w:t>po</w:t>
      </w:r>
      <w:r w:rsidR="009C7992">
        <w:rPr>
          <w:rFonts w:asciiTheme="minorHAnsi" w:hAnsiTheme="minorHAnsi" w:cstheme="minorHAnsi"/>
        </w:rPr>
        <w:t>dle</w:t>
      </w:r>
      <w:r w:rsidR="00832460" w:rsidRPr="0084747A">
        <w:rPr>
          <w:rFonts w:asciiTheme="minorHAnsi" w:hAnsiTheme="minorHAnsi" w:cstheme="minorHAnsi"/>
        </w:rPr>
        <w:t xml:space="preserve"> </w:t>
      </w:r>
      <w:r w:rsidR="009C7992">
        <w:rPr>
          <w:rFonts w:asciiTheme="minorHAnsi" w:hAnsiTheme="minorHAnsi" w:cstheme="minorHAnsi"/>
        </w:rPr>
        <w:t>příslušného zákona</w:t>
      </w:r>
      <w:r w:rsidR="00C43AD2">
        <w:rPr>
          <w:rFonts w:asciiTheme="minorHAnsi" w:hAnsiTheme="minorHAnsi" w:cstheme="minorHAnsi"/>
          <w:vertAlign w:val="superscript"/>
        </w:rPr>
        <w:t>5</w:t>
      </w:r>
      <w:r w:rsidR="009C7992">
        <w:rPr>
          <w:rFonts w:asciiTheme="minorHAnsi" w:hAnsiTheme="minorHAnsi" w:cstheme="minorHAnsi"/>
        </w:rPr>
        <w:t xml:space="preserve"> </w:t>
      </w:r>
      <w:r w:rsidR="00737BFD">
        <w:rPr>
          <w:rFonts w:asciiTheme="minorHAnsi" w:hAnsiTheme="minorHAnsi" w:cstheme="minorHAnsi"/>
        </w:rPr>
        <w:t xml:space="preserve">nebo jednacího řízení bez uveřejnění posuzoval </w:t>
      </w:r>
      <w:r w:rsidR="00E82223">
        <w:rPr>
          <w:rFonts w:asciiTheme="minorHAnsi" w:hAnsiTheme="minorHAnsi" w:cstheme="minorHAnsi"/>
        </w:rPr>
        <w:t>zdůvodnění</w:t>
      </w:r>
      <w:r w:rsidR="00E479E1">
        <w:rPr>
          <w:rFonts w:asciiTheme="minorHAnsi" w:hAnsiTheme="minorHAnsi" w:cstheme="minorHAnsi"/>
        </w:rPr>
        <w:t xml:space="preserve"> </w:t>
      </w:r>
      <w:r w:rsidR="00E82223">
        <w:rPr>
          <w:rFonts w:asciiTheme="minorHAnsi" w:hAnsiTheme="minorHAnsi" w:cstheme="minorHAnsi"/>
        </w:rPr>
        <w:t>ceny</w:t>
      </w:r>
      <w:r w:rsidR="0084747A" w:rsidRPr="0084747A">
        <w:rPr>
          <w:rFonts w:asciiTheme="minorHAnsi" w:hAnsiTheme="minorHAnsi" w:cstheme="minorHAnsi"/>
        </w:rPr>
        <w:t xml:space="preserve"> </w:t>
      </w:r>
      <w:r w:rsidR="00E82223">
        <w:rPr>
          <w:rFonts w:asciiTheme="minorHAnsi" w:hAnsiTheme="minorHAnsi" w:cstheme="minorHAnsi"/>
        </w:rPr>
        <w:t xml:space="preserve">ve znaleckém posudku </w:t>
      </w:r>
      <w:r w:rsidR="0084747A" w:rsidRPr="0084747A">
        <w:rPr>
          <w:rFonts w:asciiTheme="minorHAnsi" w:hAnsiTheme="minorHAnsi" w:cstheme="minorHAnsi"/>
        </w:rPr>
        <w:t xml:space="preserve">nebo cenovém auditu. </w:t>
      </w:r>
      <w:r w:rsidR="00550805">
        <w:rPr>
          <w:rFonts w:asciiTheme="minorHAnsi" w:hAnsiTheme="minorHAnsi" w:cstheme="minorHAnsi"/>
        </w:rPr>
        <w:t>Efektivnost</w:t>
      </w:r>
      <w:r w:rsidR="0084747A" w:rsidRPr="0084747A">
        <w:rPr>
          <w:rFonts w:asciiTheme="minorHAnsi" w:hAnsiTheme="minorHAnsi" w:cstheme="minorHAnsi"/>
        </w:rPr>
        <w:t xml:space="preserve"> </w:t>
      </w:r>
      <w:r w:rsidR="004623F2">
        <w:rPr>
          <w:rFonts w:asciiTheme="minorHAnsi" w:hAnsiTheme="minorHAnsi" w:cstheme="minorHAnsi"/>
        </w:rPr>
        <w:t>výdaj</w:t>
      </w:r>
      <w:r w:rsidR="00550805">
        <w:rPr>
          <w:rFonts w:asciiTheme="minorHAnsi" w:hAnsiTheme="minorHAnsi" w:cstheme="minorHAnsi"/>
        </w:rPr>
        <w:t>ů byla</w:t>
      </w:r>
      <w:r w:rsidR="004623F2">
        <w:rPr>
          <w:rFonts w:asciiTheme="minorHAnsi" w:hAnsiTheme="minorHAnsi" w:cstheme="minorHAnsi"/>
        </w:rPr>
        <w:t xml:space="preserve"> posuzován</w:t>
      </w:r>
      <w:r w:rsidR="00550805">
        <w:rPr>
          <w:rFonts w:asciiTheme="minorHAnsi" w:hAnsiTheme="minorHAnsi" w:cstheme="minorHAnsi"/>
        </w:rPr>
        <w:t>a</w:t>
      </w:r>
      <w:r w:rsidR="004623F2">
        <w:rPr>
          <w:rFonts w:asciiTheme="minorHAnsi" w:hAnsiTheme="minorHAnsi" w:cstheme="minorHAnsi"/>
        </w:rPr>
        <w:t xml:space="preserve"> </w:t>
      </w:r>
      <w:r w:rsidR="0084747A" w:rsidRPr="0084747A">
        <w:rPr>
          <w:rFonts w:asciiTheme="minorHAnsi" w:hAnsiTheme="minorHAnsi" w:cstheme="minorHAnsi"/>
        </w:rPr>
        <w:t>podle míry naplnění předpokládaného přínosu investice či opravy z hlediska množství, kvality a</w:t>
      </w:r>
      <w:r w:rsidR="004623F2">
        <w:rPr>
          <w:rFonts w:asciiTheme="minorHAnsi" w:hAnsiTheme="minorHAnsi" w:cstheme="minorHAnsi"/>
        </w:rPr>
        <w:t> </w:t>
      </w:r>
      <w:r w:rsidR="0084747A" w:rsidRPr="0084747A">
        <w:rPr>
          <w:rFonts w:asciiTheme="minorHAnsi" w:hAnsiTheme="minorHAnsi" w:cstheme="minorHAnsi"/>
        </w:rPr>
        <w:t>včasnosti, ve vztahu k výši vynaložených prostředků.</w:t>
      </w:r>
      <w:r w:rsidR="004623F2">
        <w:rPr>
          <w:rFonts w:asciiTheme="minorHAnsi" w:hAnsiTheme="minorHAnsi" w:cstheme="minorHAnsi"/>
        </w:rPr>
        <w:t xml:space="preserve"> Při</w:t>
      </w:r>
      <w:r w:rsidR="00550805">
        <w:rPr>
          <w:rFonts w:asciiTheme="minorHAnsi" w:hAnsiTheme="minorHAnsi" w:cstheme="minorHAnsi"/>
        </w:rPr>
        <w:t xml:space="preserve">tom bylo přihlédnuto ke změnám </w:t>
      </w:r>
      <w:r w:rsidR="004623F2">
        <w:rPr>
          <w:rFonts w:asciiTheme="minorHAnsi" w:hAnsiTheme="minorHAnsi" w:cstheme="minorHAnsi"/>
        </w:rPr>
        <w:t>množství, kvality</w:t>
      </w:r>
      <w:r w:rsidR="00550805">
        <w:rPr>
          <w:rFonts w:asciiTheme="minorHAnsi" w:hAnsiTheme="minorHAnsi" w:cstheme="minorHAnsi"/>
        </w:rPr>
        <w:t xml:space="preserve"> a</w:t>
      </w:r>
      <w:r w:rsidR="004623F2">
        <w:rPr>
          <w:rFonts w:asciiTheme="minorHAnsi" w:hAnsiTheme="minorHAnsi" w:cstheme="minorHAnsi"/>
        </w:rPr>
        <w:t xml:space="preserve"> termín</w:t>
      </w:r>
      <w:r w:rsidR="003E6A48">
        <w:rPr>
          <w:rFonts w:asciiTheme="minorHAnsi" w:hAnsiTheme="minorHAnsi" w:cstheme="minorHAnsi"/>
        </w:rPr>
        <w:t>ů</w:t>
      </w:r>
      <w:r w:rsidR="004623F2">
        <w:rPr>
          <w:rFonts w:asciiTheme="minorHAnsi" w:hAnsiTheme="minorHAnsi" w:cstheme="minorHAnsi"/>
        </w:rPr>
        <w:t xml:space="preserve"> v průběhu realizace</w:t>
      </w:r>
      <w:r w:rsidR="00942BFE">
        <w:rPr>
          <w:rFonts w:asciiTheme="minorHAnsi" w:hAnsiTheme="minorHAnsi" w:cstheme="minorHAnsi"/>
        </w:rPr>
        <w:t xml:space="preserve"> investice či opravy</w:t>
      </w:r>
      <w:r w:rsidR="004623F2">
        <w:rPr>
          <w:rFonts w:asciiTheme="minorHAnsi" w:hAnsiTheme="minorHAnsi" w:cstheme="minorHAnsi"/>
        </w:rPr>
        <w:t>.</w:t>
      </w:r>
      <w:r w:rsidR="00F206A5">
        <w:rPr>
          <w:rStyle w:val="Znakapoznpodarou"/>
          <w:rFonts w:asciiTheme="minorHAnsi" w:hAnsiTheme="minorHAnsi" w:cstheme="minorHAnsi"/>
        </w:rPr>
        <w:footnoteReference w:id="22"/>
      </w:r>
    </w:p>
    <w:p w14:paraId="752CA1A0" w14:textId="47B9F1EA" w:rsidR="00955FAB" w:rsidRDefault="00955FAB" w:rsidP="007C3EC4">
      <w:pPr>
        <w:jc w:val="both"/>
        <w:rPr>
          <w:rFonts w:asciiTheme="minorHAnsi" w:hAnsiTheme="minorHAnsi" w:cstheme="minorHAnsi"/>
        </w:rPr>
      </w:pPr>
    </w:p>
    <w:p w14:paraId="43828269" w14:textId="77777777" w:rsidR="00955FAB" w:rsidRDefault="00955FAB" w:rsidP="007C3EC4">
      <w:pPr>
        <w:jc w:val="both"/>
        <w:rPr>
          <w:rFonts w:asciiTheme="minorHAnsi" w:hAnsiTheme="minorHAnsi" w:cstheme="minorHAnsi"/>
        </w:rPr>
      </w:pPr>
    </w:p>
    <w:p w14:paraId="33C3C10B" w14:textId="2A794216" w:rsidR="00B265F1" w:rsidRPr="00CE0687" w:rsidRDefault="00264646" w:rsidP="00955FAB">
      <w:pPr>
        <w:pStyle w:val="Nadpis1"/>
        <w:spacing w:before="0" w:after="0"/>
        <w:jc w:val="center"/>
        <w:rPr>
          <w:rFonts w:asciiTheme="minorHAnsi" w:hAnsiTheme="minorHAnsi" w:cstheme="minorHAnsi"/>
          <w:sz w:val="28"/>
          <w:szCs w:val="28"/>
          <w:highlight w:val="yellow"/>
        </w:rPr>
      </w:pPr>
      <w:r w:rsidRPr="005834AC">
        <w:rPr>
          <w:rFonts w:asciiTheme="minorHAnsi" w:hAnsiTheme="minorHAnsi" w:cstheme="minorHAnsi"/>
          <w:sz w:val="28"/>
          <w:szCs w:val="28"/>
        </w:rPr>
        <w:t>IV. Podrobn</w:t>
      </w:r>
      <w:r w:rsidR="00F82FB5" w:rsidRPr="005834AC">
        <w:rPr>
          <w:rFonts w:asciiTheme="minorHAnsi" w:hAnsiTheme="minorHAnsi" w:cstheme="minorHAnsi"/>
          <w:sz w:val="28"/>
          <w:szCs w:val="28"/>
        </w:rPr>
        <w:t>osti</w:t>
      </w:r>
      <w:r w:rsidRPr="005834AC">
        <w:rPr>
          <w:rFonts w:asciiTheme="minorHAnsi" w:hAnsiTheme="minorHAnsi" w:cstheme="minorHAnsi"/>
          <w:sz w:val="28"/>
          <w:szCs w:val="28"/>
        </w:rPr>
        <w:t xml:space="preserve"> </w:t>
      </w:r>
      <w:r w:rsidR="00F82FB5" w:rsidRPr="005834AC">
        <w:rPr>
          <w:rFonts w:asciiTheme="minorHAnsi" w:hAnsiTheme="minorHAnsi" w:cstheme="minorHAnsi"/>
          <w:sz w:val="28"/>
          <w:szCs w:val="28"/>
        </w:rPr>
        <w:t xml:space="preserve">ke zjištěným </w:t>
      </w:r>
      <w:r w:rsidRPr="005834AC">
        <w:rPr>
          <w:rFonts w:asciiTheme="minorHAnsi" w:hAnsiTheme="minorHAnsi" w:cstheme="minorHAnsi"/>
          <w:sz w:val="28"/>
          <w:szCs w:val="28"/>
        </w:rPr>
        <w:t>skutečnost</w:t>
      </w:r>
      <w:r w:rsidR="00F82FB5" w:rsidRPr="005834AC">
        <w:rPr>
          <w:rFonts w:asciiTheme="minorHAnsi" w:hAnsiTheme="minorHAnsi" w:cstheme="minorHAnsi"/>
          <w:sz w:val="28"/>
          <w:szCs w:val="28"/>
        </w:rPr>
        <w:t>em</w:t>
      </w:r>
    </w:p>
    <w:p w14:paraId="13BBBB6B" w14:textId="77777777" w:rsidR="009E74BC" w:rsidRPr="00CE0687" w:rsidRDefault="009E74BC" w:rsidP="00955FAB">
      <w:pPr>
        <w:keepNext/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654B748E" w14:textId="144FF003" w:rsidR="00753358" w:rsidRPr="00C85BC7" w:rsidRDefault="00753358" w:rsidP="00955FAB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 w:rsidRPr="00C85BC7">
        <w:rPr>
          <w:rFonts w:asciiTheme="minorHAnsi" w:hAnsiTheme="minorHAnsi" w:cstheme="minorHAnsi"/>
          <w:i w:val="0"/>
          <w:sz w:val="24"/>
          <w:szCs w:val="24"/>
        </w:rPr>
        <w:t xml:space="preserve">1. Rozdílná definice potřeb </w:t>
      </w:r>
      <w:r>
        <w:rPr>
          <w:rFonts w:asciiTheme="minorHAnsi" w:hAnsiTheme="minorHAnsi" w:cstheme="minorHAnsi"/>
          <w:i w:val="0"/>
          <w:sz w:val="24"/>
          <w:szCs w:val="24"/>
        </w:rPr>
        <w:t>Armády v dokumentech MO</w:t>
      </w:r>
    </w:p>
    <w:p w14:paraId="1AC35443" w14:textId="77777777" w:rsidR="00753358" w:rsidRPr="00CE0687" w:rsidRDefault="00753358" w:rsidP="00955FAB">
      <w:pPr>
        <w:keepNext/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52845EAA" w14:textId="59B74FBF" w:rsidR="00753358" w:rsidRDefault="00753358" w:rsidP="00753358">
      <w:pPr>
        <w:jc w:val="both"/>
        <w:rPr>
          <w:rFonts w:asciiTheme="minorHAnsi" w:hAnsiTheme="minorHAnsi" w:cstheme="minorHAnsi"/>
        </w:rPr>
      </w:pPr>
      <w:r w:rsidRPr="00196657">
        <w:rPr>
          <w:rFonts w:asciiTheme="minorHAnsi" w:hAnsiTheme="minorHAnsi" w:cstheme="minorHAnsi"/>
        </w:rPr>
        <w:t xml:space="preserve">Reálné vymezení </w:t>
      </w:r>
      <w:r w:rsidR="000E12E7">
        <w:rPr>
          <w:rFonts w:asciiTheme="minorHAnsi" w:hAnsiTheme="minorHAnsi" w:cstheme="minorHAnsi"/>
        </w:rPr>
        <w:t xml:space="preserve">investičních </w:t>
      </w:r>
      <w:r w:rsidRPr="00196657">
        <w:rPr>
          <w:rFonts w:asciiTheme="minorHAnsi" w:hAnsiTheme="minorHAnsi" w:cstheme="minorHAnsi"/>
        </w:rPr>
        <w:t xml:space="preserve">potřeb Armády v oblasti obrněné techniky je jedním z předpokladů efektivního využití </w:t>
      </w:r>
      <w:r w:rsidR="00F206A5">
        <w:rPr>
          <w:rFonts w:asciiTheme="minorHAnsi" w:hAnsiTheme="minorHAnsi" w:cstheme="minorHAnsi"/>
        </w:rPr>
        <w:t xml:space="preserve">peněžních </w:t>
      </w:r>
      <w:r w:rsidRPr="00196657">
        <w:rPr>
          <w:rFonts w:asciiTheme="minorHAnsi" w:hAnsiTheme="minorHAnsi" w:cstheme="minorHAnsi"/>
        </w:rPr>
        <w:t xml:space="preserve">prostředků. </w:t>
      </w:r>
      <w:r>
        <w:rPr>
          <w:rFonts w:asciiTheme="minorHAnsi" w:hAnsiTheme="minorHAnsi" w:cstheme="minorHAnsi"/>
        </w:rPr>
        <w:t xml:space="preserve">Koncepční a strategické dokumenty </w:t>
      </w:r>
      <w:r w:rsidRPr="00586C16">
        <w:rPr>
          <w:rFonts w:asciiTheme="minorHAnsi" w:hAnsiTheme="minorHAnsi" w:cstheme="minorHAnsi"/>
        </w:rPr>
        <w:t xml:space="preserve">MO stanoví cíle </w:t>
      </w:r>
      <w:r>
        <w:rPr>
          <w:rFonts w:asciiTheme="minorHAnsi" w:hAnsiTheme="minorHAnsi" w:cstheme="minorHAnsi"/>
        </w:rPr>
        <w:t xml:space="preserve">v této oblasti </w:t>
      </w:r>
      <w:r w:rsidRPr="00586C16">
        <w:rPr>
          <w:rFonts w:asciiTheme="minorHAnsi" w:hAnsiTheme="minorHAnsi" w:cstheme="minorHAnsi"/>
        </w:rPr>
        <w:t>většinou obecně</w:t>
      </w:r>
      <w:r w:rsidR="004E3B5F">
        <w:rPr>
          <w:rFonts w:asciiTheme="minorHAnsi" w:hAnsiTheme="minorHAnsi" w:cstheme="minorHAnsi"/>
        </w:rPr>
        <w:t>. S</w:t>
      </w:r>
      <w:r w:rsidRPr="00586C16">
        <w:rPr>
          <w:rFonts w:asciiTheme="minorHAnsi" w:hAnsiTheme="minorHAnsi" w:cstheme="minorHAnsi"/>
        </w:rPr>
        <w:t>louží mj. pro zpracování dalších návazných dokumentů, jako jsou koncepce pro určitou oblast, střednědobé plány nebo dokumentace programů</w:t>
      </w:r>
      <w:r>
        <w:rPr>
          <w:rFonts w:asciiTheme="minorHAnsi" w:hAnsiTheme="minorHAnsi" w:cstheme="minorHAnsi"/>
        </w:rPr>
        <w:t>.</w:t>
      </w:r>
    </w:p>
    <w:p w14:paraId="3B306ECF" w14:textId="77777777" w:rsidR="00753358" w:rsidRDefault="00753358" w:rsidP="00753358">
      <w:pPr>
        <w:jc w:val="both"/>
        <w:rPr>
          <w:rFonts w:asciiTheme="minorHAnsi" w:hAnsiTheme="minorHAnsi" w:cstheme="minorHAnsi"/>
        </w:rPr>
      </w:pPr>
    </w:p>
    <w:p w14:paraId="4C17C6E0" w14:textId="29BD8D47" w:rsidR="00753358" w:rsidRDefault="00753358" w:rsidP="0075335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 </w:t>
      </w:r>
      <w:r w:rsidRPr="009853FE">
        <w:rPr>
          <w:rFonts w:asciiTheme="minorHAnsi" w:hAnsiTheme="minorHAnsi" w:cstheme="minorHAnsi"/>
        </w:rPr>
        <w:t>rozpracovalo p</w:t>
      </w:r>
      <w:r>
        <w:rPr>
          <w:rFonts w:asciiTheme="minorHAnsi" w:hAnsiTheme="minorHAnsi" w:cstheme="minorHAnsi"/>
        </w:rPr>
        <w:t>ředpokládané</w:t>
      </w:r>
      <w:r w:rsidRPr="009853FE">
        <w:rPr>
          <w:rFonts w:asciiTheme="minorHAnsi" w:hAnsiTheme="minorHAnsi" w:cstheme="minorHAnsi"/>
        </w:rPr>
        <w:t xml:space="preserve"> investiční akce v oblasti obrněné techniky d</w:t>
      </w:r>
      <w:r>
        <w:rPr>
          <w:rFonts w:asciiTheme="minorHAnsi" w:hAnsiTheme="minorHAnsi" w:cstheme="minorHAnsi"/>
        </w:rPr>
        <w:t>o střednědobých plánů a </w:t>
      </w:r>
      <w:r w:rsidRPr="009853FE">
        <w:rPr>
          <w:rFonts w:asciiTheme="minorHAnsi" w:hAnsiTheme="minorHAnsi" w:cstheme="minorHAnsi"/>
        </w:rPr>
        <w:t>do dokumentací programů</w:t>
      </w:r>
      <w:r>
        <w:rPr>
          <w:rFonts w:asciiTheme="minorHAnsi" w:hAnsiTheme="minorHAnsi" w:cstheme="minorHAnsi"/>
        </w:rPr>
        <w:t xml:space="preserve">. NKÚ </w:t>
      </w:r>
      <w:r w:rsidRPr="00AB407A">
        <w:rPr>
          <w:rFonts w:asciiTheme="minorHAnsi" w:hAnsiTheme="minorHAnsi" w:cstheme="minorHAnsi"/>
        </w:rPr>
        <w:t>porovnal plánované věcné, časové a finanční podmínky investičních akcí se skutečným průběh</w:t>
      </w:r>
      <w:r>
        <w:rPr>
          <w:rFonts w:asciiTheme="minorHAnsi" w:hAnsiTheme="minorHAnsi" w:cstheme="minorHAnsi"/>
        </w:rPr>
        <w:t xml:space="preserve">em realizace akcí dle informačního systému </w:t>
      </w:r>
      <w:r w:rsidRPr="00414FE4">
        <w:rPr>
          <w:rFonts w:asciiTheme="minorHAnsi" w:hAnsiTheme="minorHAnsi" w:cstheme="minorHAnsi"/>
          <w:i/>
        </w:rPr>
        <w:t>Správa majetku ve vlastnictví státu</w:t>
      </w:r>
      <w:r w:rsidRPr="00737BF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Zjistil, že </w:t>
      </w:r>
      <w:r w:rsidR="007013C3">
        <w:rPr>
          <w:rFonts w:asciiTheme="minorHAnsi" w:hAnsiTheme="minorHAnsi" w:cstheme="minorHAnsi"/>
        </w:rPr>
        <w:t>typy obrněné techniky</w:t>
      </w:r>
      <w:r w:rsidRPr="009853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plánovan</w:t>
      </w:r>
      <w:r w:rsidR="007013C3">
        <w:rPr>
          <w:rFonts w:asciiTheme="minorHAnsi" w:hAnsiTheme="minorHAnsi" w:cstheme="minorHAnsi"/>
        </w:rPr>
        <w:t>é</w:t>
      </w:r>
      <w:r w:rsidRPr="009853FE">
        <w:rPr>
          <w:rFonts w:asciiTheme="minorHAnsi" w:hAnsiTheme="minorHAnsi" w:cstheme="minorHAnsi"/>
        </w:rPr>
        <w:t xml:space="preserve"> v jednotlivých dokumentech </w:t>
      </w:r>
      <w:r>
        <w:rPr>
          <w:rFonts w:asciiTheme="minorHAnsi" w:hAnsiTheme="minorHAnsi" w:cstheme="minorHAnsi"/>
        </w:rPr>
        <w:t xml:space="preserve">se </w:t>
      </w:r>
      <w:r w:rsidRPr="009853FE">
        <w:rPr>
          <w:rFonts w:asciiTheme="minorHAnsi" w:hAnsiTheme="minorHAnsi" w:cstheme="minorHAnsi"/>
        </w:rPr>
        <w:t>shod</w:t>
      </w:r>
      <w:r>
        <w:rPr>
          <w:rFonts w:asciiTheme="minorHAnsi" w:hAnsiTheme="minorHAnsi" w:cstheme="minorHAnsi"/>
        </w:rPr>
        <w:t>oval</w:t>
      </w:r>
      <w:r w:rsidR="007013C3">
        <w:rPr>
          <w:rFonts w:asciiTheme="minorHAnsi" w:hAnsiTheme="minorHAnsi" w:cstheme="minorHAnsi"/>
        </w:rPr>
        <w:t>y</w:t>
      </w:r>
      <w:r w:rsidRPr="009853FE">
        <w:rPr>
          <w:rFonts w:asciiTheme="minorHAnsi" w:hAnsiTheme="minorHAnsi" w:cstheme="minorHAnsi"/>
        </w:rPr>
        <w:t>, avšak finanční a časové podmínky pořízení či technického zhodnocení</w:t>
      </w:r>
      <w:r w:rsidR="00E804F4">
        <w:rPr>
          <w:rFonts w:asciiTheme="minorHAnsi" w:hAnsiTheme="minorHAnsi" w:cstheme="minorHAnsi"/>
        </w:rPr>
        <w:t xml:space="preserve"> i</w:t>
      </w:r>
      <w:r w:rsidRPr="009853FE">
        <w:rPr>
          <w:rFonts w:asciiTheme="minorHAnsi" w:hAnsiTheme="minorHAnsi" w:cstheme="minorHAnsi"/>
        </w:rPr>
        <w:t xml:space="preserve"> počty techniky (tj. parametry akcí) </w:t>
      </w:r>
      <w:r w:rsidR="00E804F4">
        <w:rPr>
          <w:rFonts w:asciiTheme="minorHAnsi" w:hAnsiTheme="minorHAnsi" w:cstheme="minorHAnsi"/>
        </w:rPr>
        <w:t>se často lišily</w:t>
      </w:r>
      <w:r w:rsidRPr="009853FE">
        <w:rPr>
          <w:rFonts w:asciiTheme="minorHAnsi" w:hAnsiTheme="minorHAnsi" w:cstheme="minorHAnsi"/>
        </w:rPr>
        <w:t xml:space="preserve">. V důsledku uvedeného nesouladu nelze jednoznačně </w:t>
      </w:r>
      <w:r w:rsidR="00E804F4">
        <w:rPr>
          <w:rFonts w:asciiTheme="minorHAnsi" w:hAnsiTheme="minorHAnsi" w:cstheme="minorHAnsi"/>
        </w:rPr>
        <w:t>určit</w:t>
      </w:r>
      <w:r w:rsidRPr="009853FE">
        <w:rPr>
          <w:rFonts w:asciiTheme="minorHAnsi" w:hAnsiTheme="minorHAnsi" w:cstheme="minorHAnsi"/>
        </w:rPr>
        <w:t xml:space="preserve">, jaké byly plánované finanční a časové parametry akcí, ani jaké byly plánované počty pořizované obrněné techniky, neboť </w:t>
      </w:r>
      <w:r w:rsidR="00FE6C6A">
        <w:rPr>
          <w:rFonts w:asciiTheme="minorHAnsi" w:hAnsiTheme="minorHAnsi" w:cstheme="minorHAnsi"/>
        </w:rPr>
        <w:t xml:space="preserve">je MO stanovilo </w:t>
      </w:r>
      <w:r w:rsidRPr="009853FE">
        <w:rPr>
          <w:rFonts w:asciiTheme="minorHAnsi" w:hAnsiTheme="minorHAnsi" w:cstheme="minorHAnsi"/>
        </w:rPr>
        <w:t>v</w:t>
      </w:r>
      <w:r w:rsidR="00FE6C6A">
        <w:rPr>
          <w:rFonts w:asciiTheme="minorHAnsi" w:hAnsiTheme="minorHAnsi" w:cstheme="minorHAnsi"/>
        </w:rPr>
        <w:t>e</w:t>
      </w:r>
      <w:r w:rsidR="00E81B76">
        <w:rPr>
          <w:rFonts w:asciiTheme="minorHAnsi" w:hAnsiTheme="minorHAnsi" w:cstheme="minorHAnsi"/>
        </w:rPr>
        <w:t xml:space="preserve"> </w:t>
      </w:r>
      <w:r w:rsidRPr="009853FE">
        <w:rPr>
          <w:rFonts w:asciiTheme="minorHAnsi" w:hAnsiTheme="minorHAnsi" w:cstheme="minorHAnsi"/>
        </w:rPr>
        <w:t xml:space="preserve">střednědobých dokumentech </w:t>
      </w:r>
      <w:r w:rsidR="00E804F4">
        <w:rPr>
          <w:rFonts w:asciiTheme="minorHAnsi" w:hAnsiTheme="minorHAnsi" w:cstheme="minorHAnsi"/>
        </w:rPr>
        <w:t>rozdílně.</w:t>
      </w:r>
    </w:p>
    <w:p w14:paraId="47356ABF" w14:textId="77777777" w:rsidR="00753358" w:rsidRPr="00CE0687" w:rsidRDefault="00753358" w:rsidP="00753358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4A1269A7" w14:textId="3EFDD76D" w:rsidR="003F64B9" w:rsidRPr="00C85BC7" w:rsidRDefault="009D32A5" w:rsidP="00386FEE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 w:rsidRPr="00C85BC7">
        <w:rPr>
          <w:rFonts w:asciiTheme="minorHAnsi" w:hAnsiTheme="minorHAnsi" w:cstheme="minorHAnsi"/>
          <w:i w:val="0"/>
          <w:sz w:val="24"/>
          <w:szCs w:val="24"/>
        </w:rPr>
        <w:t>2</w:t>
      </w:r>
      <w:r w:rsidR="007000F3" w:rsidRPr="00C85BC7">
        <w:rPr>
          <w:rFonts w:asciiTheme="minorHAnsi" w:hAnsiTheme="minorHAnsi" w:cstheme="minorHAnsi"/>
          <w:i w:val="0"/>
          <w:sz w:val="24"/>
          <w:szCs w:val="24"/>
        </w:rPr>
        <w:t>.</w:t>
      </w:r>
      <w:r w:rsidR="001F32BE" w:rsidRPr="00C85BC7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C85BC7" w:rsidRPr="00C85BC7">
        <w:rPr>
          <w:rFonts w:asciiTheme="minorHAnsi" w:hAnsiTheme="minorHAnsi" w:cstheme="minorHAnsi"/>
          <w:i w:val="0"/>
          <w:sz w:val="24"/>
          <w:szCs w:val="24"/>
        </w:rPr>
        <w:t>Zpoždění realizace investičních akcí</w:t>
      </w:r>
    </w:p>
    <w:p w14:paraId="412643F4" w14:textId="77777777" w:rsidR="00AB407A" w:rsidRDefault="00AB407A" w:rsidP="00AB407A">
      <w:pPr>
        <w:jc w:val="both"/>
        <w:rPr>
          <w:rFonts w:asciiTheme="minorHAnsi" w:hAnsiTheme="minorHAnsi" w:cstheme="minorHAnsi"/>
          <w:b/>
        </w:rPr>
      </w:pPr>
    </w:p>
    <w:p w14:paraId="0BFEA80E" w14:textId="3E14F72A" w:rsidR="00BF7B17" w:rsidRDefault="00AB407A" w:rsidP="009D58F3">
      <w:pPr>
        <w:jc w:val="both"/>
        <w:rPr>
          <w:rFonts w:asciiTheme="minorHAnsi" w:hAnsiTheme="minorHAnsi" w:cstheme="minorHAnsi"/>
        </w:rPr>
      </w:pPr>
      <w:r w:rsidRPr="00AB407A">
        <w:rPr>
          <w:rFonts w:asciiTheme="minorHAnsi" w:hAnsiTheme="minorHAnsi" w:cstheme="minorHAnsi"/>
        </w:rPr>
        <w:t>MO v mnoha případech nerealizovalo investice do obrněné techniky v obdobích, na která byly akce naplánovány v rámci disponibilních prostředků programů. Se zpožděním oproti dokumentaci program</w:t>
      </w:r>
      <w:r w:rsidR="00FE6C6A">
        <w:rPr>
          <w:rFonts w:asciiTheme="minorHAnsi" w:hAnsiTheme="minorHAnsi" w:cstheme="minorHAnsi"/>
        </w:rPr>
        <w:t>ů</w:t>
      </w:r>
      <w:r w:rsidRPr="00AB407A">
        <w:rPr>
          <w:rFonts w:asciiTheme="minorHAnsi" w:hAnsiTheme="minorHAnsi" w:cstheme="minorHAnsi"/>
        </w:rPr>
        <w:t xml:space="preserve"> i střednědobému plánu byl či je realizován například nákup dílenských vozidel, </w:t>
      </w:r>
      <w:r w:rsidR="006142D6">
        <w:rPr>
          <w:rFonts w:asciiTheme="minorHAnsi" w:hAnsiTheme="minorHAnsi" w:cstheme="minorHAnsi"/>
        </w:rPr>
        <w:t xml:space="preserve">nákup </w:t>
      </w:r>
      <w:r w:rsidRPr="00AB407A">
        <w:rPr>
          <w:rFonts w:asciiTheme="minorHAnsi" w:hAnsiTheme="minorHAnsi" w:cstheme="minorHAnsi"/>
        </w:rPr>
        <w:t xml:space="preserve">bojových vozidel pěchoty, </w:t>
      </w:r>
      <w:r w:rsidR="006142D6">
        <w:rPr>
          <w:rFonts w:asciiTheme="minorHAnsi" w:hAnsiTheme="minorHAnsi" w:cstheme="minorHAnsi"/>
        </w:rPr>
        <w:t xml:space="preserve">nákup </w:t>
      </w:r>
      <w:r w:rsidRPr="00AB407A">
        <w:rPr>
          <w:rFonts w:asciiTheme="minorHAnsi" w:hAnsiTheme="minorHAnsi" w:cstheme="minorHAnsi"/>
        </w:rPr>
        <w:t xml:space="preserve">lehkých obrněných vozidel průzkumných, nebo modernizace tanků. </w:t>
      </w:r>
      <w:r w:rsidR="00FE6C6A">
        <w:rPr>
          <w:rFonts w:asciiTheme="minorHAnsi" w:hAnsiTheme="minorHAnsi" w:cstheme="minorHAnsi"/>
        </w:rPr>
        <w:t xml:space="preserve">MO odložilo </w:t>
      </w:r>
      <w:r w:rsidRPr="00AB407A">
        <w:rPr>
          <w:rFonts w:asciiTheme="minorHAnsi" w:hAnsiTheme="minorHAnsi" w:cstheme="minorHAnsi"/>
        </w:rPr>
        <w:t xml:space="preserve">nákup děl </w:t>
      </w:r>
      <w:r>
        <w:rPr>
          <w:rFonts w:asciiTheme="minorHAnsi" w:hAnsiTheme="minorHAnsi" w:cstheme="minorHAnsi"/>
        </w:rPr>
        <w:t>a z</w:t>
      </w:r>
      <w:r w:rsidRPr="00AB407A">
        <w:rPr>
          <w:rFonts w:asciiTheme="minorHAnsi" w:hAnsiTheme="minorHAnsi" w:cstheme="minorHAnsi"/>
        </w:rPr>
        <w:t>ruš</w:t>
      </w:r>
      <w:r w:rsidR="00FE6C6A">
        <w:rPr>
          <w:rFonts w:asciiTheme="minorHAnsi" w:hAnsiTheme="minorHAnsi" w:cstheme="minorHAnsi"/>
        </w:rPr>
        <w:t>ilo akci</w:t>
      </w:r>
      <w:r w:rsidRPr="00AB407A">
        <w:rPr>
          <w:rFonts w:asciiTheme="minorHAnsi" w:hAnsiTheme="minorHAnsi" w:cstheme="minorHAnsi"/>
        </w:rPr>
        <w:t xml:space="preserve"> modernizac</w:t>
      </w:r>
      <w:r w:rsidR="00FE6C6A">
        <w:rPr>
          <w:rFonts w:asciiTheme="minorHAnsi" w:hAnsiTheme="minorHAnsi" w:cstheme="minorHAnsi"/>
        </w:rPr>
        <w:t>e</w:t>
      </w:r>
      <w:r w:rsidRPr="00AB407A">
        <w:rPr>
          <w:rFonts w:asciiTheme="minorHAnsi" w:hAnsiTheme="minorHAnsi" w:cstheme="minorHAnsi"/>
        </w:rPr>
        <w:t xml:space="preserve"> samohybných kanónových houfnic</w:t>
      </w:r>
      <w:r>
        <w:rPr>
          <w:rFonts w:asciiTheme="minorHAnsi" w:hAnsiTheme="minorHAnsi" w:cstheme="minorHAnsi"/>
        </w:rPr>
        <w:t>.</w:t>
      </w:r>
      <w:r w:rsidRPr="00AB407A">
        <w:rPr>
          <w:rFonts w:asciiTheme="minorHAnsi" w:hAnsiTheme="minorHAnsi" w:cstheme="minorHAnsi"/>
        </w:rPr>
        <w:t xml:space="preserve"> </w:t>
      </w:r>
      <w:r w:rsidR="009D58F3">
        <w:rPr>
          <w:rFonts w:asciiTheme="minorHAnsi" w:hAnsiTheme="minorHAnsi" w:cstheme="minorHAnsi"/>
        </w:rPr>
        <w:t>N</w:t>
      </w:r>
      <w:r w:rsidR="009D58F3" w:rsidRPr="00AB407A">
        <w:rPr>
          <w:rFonts w:asciiTheme="minorHAnsi" w:hAnsiTheme="minorHAnsi" w:cstheme="minorHAnsi"/>
        </w:rPr>
        <w:t>ákup bojových vozidel pro speciální síly</w:t>
      </w:r>
      <w:r w:rsidR="009D58F3">
        <w:rPr>
          <w:rFonts w:asciiTheme="minorHAnsi" w:hAnsiTheme="minorHAnsi" w:cstheme="minorHAnsi"/>
        </w:rPr>
        <w:t xml:space="preserve"> se nerealizoval, neboť MO </w:t>
      </w:r>
      <w:r w:rsidRPr="00AB407A">
        <w:rPr>
          <w:rFonts w:asciiTheme="minorHAnsi" w:hAnsiTheme="minorHAnsi" w:cstheme="minorHAnsi"/>
        </w:rPr>
        <w:t>odstoup</w:t>
      </w:r>
      <w:r w:rsidR="009D58F3">
        <w:rPr>
          <w:rFonts w:asciiTheme="minorHAnsi" w:hAnsiTheme="minorHAnsi" w:cstheme="minorHAnsi"/>
        </w:rPr>
        <w:t xml:space="preserve">ilo </w:t>
      </w:r>
      <w:r w:rsidRPr="00AB407A">
        <w:rPr>
          <w:rFonts w:asciiTheme="minorHAnsi" w:hAnsiTheme="minorHAnsi" w:cstheme="minorHAnsi"/>
        </w:rPr>
        <w:t>od smlouvy pro nesplnění podmínek vojskových zkoušek</w:t>
      </w:r>
      <w:r w:rsidR="00BF7B17">
        <w:rPr>
          <w:rFonts w:asciiTheme="minorHAnsi" w:hAnsiTheme="minorHAnsi" w:cstheme="minorHAnsi"/>
        </w:rPr>
        <w:t>.</w:t>
      </w:r>
      <w:r w:rsidR="009D58F3">
        <w:rPr>
          <w:rFonts w:asciiTheme="minorHAnsi" w:hAnsiTheme="minorHAnsi" w:cstheme="minorHAnsi"/>
        </w:rPr>
        <w:t xml:space="preserve"> Z důvodu</w:t>
      </w:r>
      <w:r w:rsidR="009D58F3" w:rsidRPr="00AB407A">
        <w:rPr>
          <w:rFonts w:asciiTheme="minorHAnsi" w:hAnsiTheme="minorHAnsi" w:cstheme="minorHAnsi"/>
        </w:rPr>
        <w:t xml:space="preserve"> </w:t>
      </w:r>
      <w:r w:rsidR="009D58F3">
        <w:rPr>
          <w:rFonts w:asciiTheme="minorHAnsi" w:hAnsiTheme="minorHAnsi" w:cstheme="minorHAnsi"/>
        </w:rPr>
        <w:t xml:space="preserve">posunu </w:t>
      </w:r>
      <w:r w:rsidR="009D58F3" w:rsidRPr="00AB407A">
        <w:rPr>
          <w:rFonts w:asciiTheme="minorHAnsi" w:hAnsiTheme="minorHAnsi" w:cstheme="minorHAnsi"/>
        </w:rPr>
        <w:t>nebo rušení projektů nebyl</w:t>
      </w:r>
      <w:r w:rsidR="000E12E7">
        <w:rPr>
          <w:rFonts w:asciiTheme="minorHAnsi" w:hAnsiTheme="minorHAnsi" w:cstheme="minorHAnsi"/>
        </w:rPr>
        <w:t>y realizovány výdaje ve výši</w:t>
      </w:r>
      <w:r w:rsidR="009D58F3" w:rsidRPr="00AB407A">
        <w:rPr>
          <w:rFonts w:asciiTheme="minorHAnsi" w:hAnsiTheme="minorHAnsi" w:cstheme="minorHAnsi"/>
        </w:rPr>
        <w:t xml:space="preserve"> 558,2 mil. Kč (prostředky plánované dle dokumentací příslušných programů na </w:t>
      </w:r>
      <w:r w:rsidR="009D58F3">
        <w:rPr>
          <w:rFonts w:asciiTheme="minorHAnsi" w:hAnsiTheme="minorHAnsi" w:cstheme="minorHAnsi"/>
        </w:rPr>
        <w:t>akce obrněné techniky</w:t>
      </w:r>
      <w:r w:rsidR="009D58F3" w:rsidRPr="00AB407A">
        <w:rPr>
          <w:rFonts w:asciiTheme="minorHAnsi" w:hAnsiTheme="minorHAnsi" w:cstheme="minorHAnsi"/>
        </w:rPr>
        <w:t>)</w:t>
      </w:r>
      <w:r w:rsidR="009D58F3">
        <w:rPr>
          <w:rFonts w:asciiTheme="minorHAnsi" w:hAnsiTheme="minorHAnsi" w:cstheme="minorHAnsi"/>
        </w:rPr>
        <w:t>, což je téměř pětina z plánované částky 3 324,6 mil. Kč</w:t>
      </w:r>
      <w:r w:rsidR="009D58F3" w:rsidRPr="00AB407A">
        <w:rPr>
          <w:rFonts w:asciiTheme="minorHAnsi" w:hAnsiTheme="minorHAnsi" w:cstheme="minorHAnsi"/>
        </w:rPr>
        <w:t>.</w:t>
      </w:r>
      <w:r w:rsidR="009D58F3" w:rsidRPr="009D58F3">
        <w:rPr>
          <w:rFonts w:asciiTheme="minorHAnsi" w:hAnsiTheme="minorHAnsi" w:cstheme="minorHAnsi"/>
        </w:rPr>
        <w:t xml:space="preserve"> </w:t>
      </w:r>
      <w:r w:rsidR="009D58F3" w:rsidRPr="00FC37CB">
        <w:rPr>
          <w:rFonts w:asciiTheme="minorHAnsi" w:hAnsiTheme="minorHAnsi" w:cstheme="minorHAnsi"/>
        </w:rPr>
        <w:t>Přitom velká část obrněné techniky již významně překročila svou technickou životnost.</w:t>
      </w:r>
      <w:r w:rsidR="009D58F3" w:rsidRPr="009D58F3">
        <w:rPr>
          <w:rFonts w:asciiTheme="minorHAnsi" w:hAnsiTheme="minorHAnsi" w:cstheme="minorHAnsi"/>
        </w:rPr>
        <w:t xml:space="preserve"> </w:t>
      </w:r>
      <w:r w:rsidR="009D58F3">
        <w:rPr>
          <w:rFonts w:asciiTheme="minorHAnsi" w:hAnsiTheme="minorHAnsi" w:cstheme="minorHAnsi"/>
        </w:rPr>
        <w:t>P</w:t>
      </w:r>
      <w:r w:rsidR="009D58F3" w:rsidRPr="00AB407A">
        <w:rPr>
          <w:rFonts w:asciiTheme="minorHAnsi" w:hAnsiTheme="minorHAnsi" w:cstheme="minorHAnsi"/>
        </w:rPr>
        <w:t>eněžní prostředky vynaložené na akce pořízení a </w:t>
      </w:r>
      <w:r w:rsidR="00E55AEA">
        <w:rPr>
          <w:rFonts w:asciiTheme="minorHAnsi" w:hAnsiTheme="minorHAnsi" w:cstheme="minorHAnsi"/>
        </w:rPr>
        <w:t>technického zhodnocení</w:t>
      </w:r>
      <w:r w:rsidR="009D58F3" w:rsidRPr="00AB407A">
        <w:rPr>
          <w:rFonts w:asciiTheme="minorHAnsi" w:hAnsiTheme="minorHAnsi" w:cstheme="minorHAnsi"/>
        </w:rPr>
        <w:t xml:space="preserve"> obrněné techniky v letech 2016–2018 </w:t>
      </w:r>
      <w:r w:rsidR="009D58F3">
        <w:rPr>
          <w:rFonts w:asciiTheme="minorHAnsi" w:hAnsiTheme="minorHAnsi" w:cstheme="minorHAnsi"/>
        </w:rPr>
        <w:t xml:space="preserve">činily </w:t>
      </w:r>
      <w:r w:rsidR="009D58F3" w:rsidRPr="00AB407A">
        <w:rPr>
          <w:rFonts w:asciiTheme="minorHAnsi" w:hAnsiTheme="minorHAnsi" w:cstheme="minorHAnsi"/>
        </w:rPr>
        <w:t>2 766,4 mil. Kč.</w:t>
      </w:r>
    </w:p>
    <w:p w14:paraId="4B9609C7" w14:textId="77777777" w:rsidR="00BF7B17" w:rsidRDefault="00BF7B17" w:rsidP="00AB407A">
      <w:pPr>
        <w:jc w:val="both"/>
        <w:rPr>
          <w:rFonts w:asciiTheme="minorHAnsi" w:hAnsiTheme="minorHAnsi" w:cstheme="minorHAnsi"/>
        </w:rPr>
      </w:pPr>
    </w:p>
    <w:p w14:paraId="167DC3F2" w14:textId="1E4D973E" w:rsidR="00AB407A" w:rsidRDefault="00AB407A" w:rsidP="00AB407A">
      <w:pPr>
        <w:jc w:val="both"/>
        <w:rPr>
          <w:rFonts w:asciiTheme="minorHAnsi" w:hAnsiTheme="minorHAnsi" w:cstheme="minorHAnsi"/>
        </w:rPr>
      </w:pPr>
      <w:r w:rsidRPr="00AB407A">
        <w:rPr>
          <w:rFonts w:asciiTheme="minorHAnsi" w:hAnsiTheme="minorHAnsi" w:cstheme="minorHAnsi"/>
        </w:rPr>
        <w:t>Některé akce na</w:t>
      </w:r>
      <w:r>
        <w:rPr>
          <w:rFonts w:asciiTheme="minorHAnsi" w:hAnsiTheme="minorHAnsi" w:cstheme="minorHAnsi"/>
        </w:rPr>
        <w:t xml:space="preserve">proti tomu </w:t>
      </w:r>
      <w:r w:rsidR="009D58F3">
        <w:rPr>
          <w:rFonts w:asciiTheme="minorHAnsi" w:hAnsiTheme="minorHAnsi" w:cstheme="minorHAnsi"/>
        </w:rPr>
        <w:t xml:space="preserve">MO </w:t>
      </w:r>
      <w:r w:rsidRPr="00AB407A">
        <w:rPr>
          <w:rFonts w:asciiTheme="minorHAnsi" w:hAnsiTheme="minorHAnsi" w:cstheme="minorHAnsi"/>
        </w:rPr>
        <w:t>financo</w:t>
      </w:r>
      <w:r w:rsidR="009D58F3">
        <w:rPr>
          <w:rFonts w:asciiTheme="minorHAnsi" w:hAnsiTheme="minorHAnsi" w:cstheme="minorHAnsi"/>
        </w:rPr>
        <w:t>valo</w:t>
      </w:r>
      <w:r w:rsidRPr="00AB407A">
        <w:rPr>
          <w:rFonts w:asciiTheme="minorHAnsi" w:hAnsiTheme="minorHAnsi" w:cstheme="minorHAnsi"/>
        </w:rPr>
        <w:t xml:space="preserve"> o rok či dva dříve uhrazením zálohy dodavateli, např</w:t>
      </w:r>
      <w:r w:rsidR="009D58F3">
        <w:rPr>
          <w:rFonts w:asciiTheme="minorHAnsi" w:hAnsiTheme="minorHAnsi" w:cstheme="minorHAnsi"/>
        </w:rPr>
        <w:t>íklad</w:t>
      </w:r>
      <w:r w:rsidRPr="00AB407A">
        <w:rPr>
          <w:rFonts w:asciiTheme="minorHAnsi" w:hAnsiTheme="minorHAnsi" w:cstheme="minorHAnsi"/>
        </w:rPr>
        <w:t xml:space="preserve"> </w:t>
      </w:r>
      <w:r w:rsidR="006142D6">
        <w:rPr>
          <w:rFonts w:asciiTheme="minorHAnsi" w:hAnsiTheme="minorHAnsi" w:cstheme="minorHAnsi"/>
        </w:rPr>
        <w:t>nákup</w:t>
      </w:r>
      <w:r w:rsidRPr="00AB407A">
        <w:rPr>
          <w:rFonts w:asciiTheme="minorHAnsi" w:hAnsiTheme="minorHAnsi" w:cstheme="minorHAnsi"/>
        </w:rPr>
        <w:t xml:space="preserve"> kolových podvozků</w:t>
      </w:r>
      <w:r>
        <w:rPr>
          <w:rFonts w:asciiTheme="minorHAnsi" w:hAnsiTheme="minorHAnsi" w:cstheme="minorHAnsi"/>
        </w:rPr>
        <w:t xml:space="preserve"> pro minomety</w:t>
      </w:r>
      <w:r w:rsidRPr="00AB407A">
        <w:rPr>
          <w:rFonts w:asciiTheme="minorHAnsi" w:hAnsiTheme="minorHAnsi" w:cstheme="minorHAnsi"/>
        </w:rPr>
        <w:t xml:space="preserve">, nákup kolových obrněných vozidel </w:t>
      </w:r>
      <w:r w:rsidR="00212091">
        <w:rPr>
          <w:rFonts w:asciiTheme="minorHAnsi" w:hAnsiTheme="minorHAnsi" w:cstheme="minorHAnsi"/>
        </w:rPr>
        <w:t>velitelsko-</w:t>
      </w:r>
      <w:r>
        <w:rPr>
          <w:rFonts w:asciiTheme="minorHAnsi" w:hAnsiTheme="minorHAnsi" w:cstheme="minorHAnsi"/>
        </w:rPr>
        <w:t xml:space="preserve">štábních a spojovacích </w:t>
      </w:r>
      <w:r w:rsidRPr="00AB407A">
        <w:rPr>
          <w:rFonts w:asciiTheme="minorHAnsi" w:hAnsiTheme="minorHAnsi" w:cstheme="minorHAnsi"/>
        </w:rPr>
        <w:t xml:space="preserve">a nákup lehkých obrněných vozidel chemických. Zálohy </w:t>
      </w:r>
      <w:r w:rsidR="006142D6">
        <w:rPr>
          <w:rFonts w:asciiTheme="minorHAnsi" w:hAnsiTheme="minorHAnsi" w:cstheme="minorHAnsi"/>
        </w:rPr>
        <w:t xml:space="preserve">na akce </w:t>
      </w:r>
      <w:r w:rsidRPr="00AB407A">
        <w:rPr>
          <w:rFonts w:asciiTheme="minorHAnsi" w:hAnsiTheme="minorHAnsi" w:cstheme="minorHAnsi"/>
        </w:rPr>
        <w:t>uhrazené v letech 2016–2018 činily celkem 1 728,8</w:t>
      </w:r>
      <w:r w:rsidR="008101D6">
        <w:rPr>
          <w:rFonts w:asciiTheme="minorHAnsi" w:hAnsiTheme="minorHAnsi" w:cstheme="minorHAnsi"/>
        </w:rPr>
        <w:t> mil. </w:t>
      </w:r>
      <w:r w:rsidRPr="00AB407A">
        <w:rPr>
          <w:rFonts w:asciiTheme="minorHAnsi" w:hAnsiTheme="minorHAnsi" w:cstheme="minorHAnsi"/>
        </w:rPr>
        <w:t>Kč</w:t>
      </w:r>
      <w:r w:rsidR="00FC37CB">
        <w:rPr>
          <w:rFonts w:asciiTheme="minorHAnsi" w:hAnsiTheme="minorHAnsi" w:cstheme="minorHAnsi"/>
        </w:rPr>
        <w:t xml:space="preserve">, z této částky </w:t>
      </w:r>
      <w:r w:rsidR="00E81B76" w:rsidRPr="00AB407A">
        <w:rPr>
          <w:rFonts w:asciiTheme="minorHAnsi" w:hAnsiTheme="minorHAnsi" w:cstheme="minorHAnsi"/>
        </w:rPr>
        <w:t xml:space="preserve">zůstalo </w:t>
      </w:r>
      <w:r w:rsidRPr="00AB407A">
        <w:rPr>
          <w:rFonts w:asciiTheme="minorHAnsi" w:hAnsiTheme="minorHAnsi" w:cstheme="minorHAnsi"/>
        </w:rPr>
        <w:t>1 245,8</w:t>
      </w:r>
      <w:r w:rsidR="00E81B76">
        <w:rPr>
          <w:rFonts w:asciiTheme="minorHAnsi" w:hAnsiTheme="minorHAnsi" w:cstheme="minorHAnsi"/>
        </w:rPr>
        <w:t> </w:t>
      </w:r>
      <w:r w:rsidRPr="00AB407A">
        <w:rPr>
          <w:rFonts w:asciiTheme="minorHAnsi" w:hAnsiTheme="minorHAnsi" w:cstheme="minorHAnsi"/>
        </w:rPr>
        <w:t>mil.</w:t>
      </w:r>
      <w:r w:rsidR="00E81B76">
        <w:rPr>
          <w:rFonts w:asciiTheme="minorHAnsi" w:hAnsiTheme="minorHAnsi" w:cstheme="minorHAnsi"/>
        </w:rPr>
        <w:t> </w:t>
      </w:r>
      <w:r w:rsidRPr="00AB407A">
        <w:rPr>
          <w:rFonts w:asciiTheme="minorHAnsi" w:hAnsiTheme="minorHAnsi" w:cstheme="minorHAnsi"/>
        </w:rPr>
        <w:t>Kč jako záloh</w:t>
      </w:r>
      <w:r w:rsidR="00FE6C6A">
        <w:rPr>
          <w:rFonts w:asciiTheme="minorHAnsi" w:hAnsiTheme="minorHAnsi" w:cstheme="minorHAnsi"/>
        </w:rPr>
        <w:t>y</w:t>
      </w:r>
      <w:r w:rsidRPr="00AB407A">
        <w:rPr>
          <w:rFonts w:asciiTheme="minorHAnsi" w:hAnsiTheme="minorHAnsi" w:cstheme="minorHAnsi"/>
        </w:rPr>
        <w:t xml:space="preserve"> na </w:t>
      </w:r>
      <w:r w:rsidR="00212091">
        <w:rPr>
          <w:rFonts w:asciiTheme="minorHAnsi" w:hAnsiTheme="minorHAnsi" w:cstheme="minorHAnsi"/>
        </w:rPr>
        <w:t xml:space="preserve">dodávky </w:t>
      </w:r>
      <w:r w:rsidRPr="00AB407A">
        <w:rPr>
          <w:rFonts w:asciiTheme="minorHAnsi" w:hAnsiTheme="minorHAnsi" w:cstheme="minorHAnsi"/>
        </w:rPr>
        <w:t xml:space="preserve">po roce 2018. </w:t>
      </w:r>
    </w:p>
    <w:p w14:paraId="73FA1F13" w14:textId="687B361D" w:rsidR="005D6D25" w:rsidRDefault="00A00E85" w:rsidP="00FC37CB">
      <w:pPr>
        <w:jc w:val="both"/>
        <w:rPr>
          <w:rFonts w:asciiTheme="minorHAnsi" w:hAnsiTheme="minorHAnsi"/>
          <w:iCs/>
        </w:rPr>
      </w:pPr>
      <w:r>
        <w:rPr>
          <w:rFonts w:asciiTheme="minorHAnsi" w:hAnsiTheme="minorHAnsi" w:cstheme="minorHAnsi"/>
        </w:rPr>
        <w:t xml:space="preserve">Kontrolované </w:t>
      </w:r>
      <w:r w:rsidRPr="004E15CB">
        <w:rPr>
          <w:rFonts w:asciiTheme="minorHAnsi" w:hAnsiTheme="minorHAnsi" w:cstheme="minorHAnsi"/>
        </w:rPr>
        <w:t xml:space="preserve">akce </w:t>
      </w:r>
      <w:r w:rsidR="009D58F3" w:rsidRPr="004E15CB">
        <w:rPr>
          <w:rFonts w:asciiTheme="minorHAnsi" w:hAnsiTheme="minorHAnsi" w:cstheme="minorHAnsi"/>
        </w:rPr>
        <w:t>(</w:t>
      </w:r>
      <w:r w:rsidR="006142D6" w:rsidRPr="004E15CB">
        <w:rPr>
          <w:rFonts w:asciiTheme="minorHAnsi" w:hAnsiTheme="minorHAnsi" w:cstheme="minorHAnsi"/>
        </w:rPr>
        <w:t>příloha</w:t>
      </w:r>
      <w:r w:rsidR="009D58F3" w:rsidRPr="004E15CB">
        <w:rPr>
          <w:rFonts w:asciiTheme="minorHAnsi" w:hAnsiTheme="minorHAnsi" w:cstheme="minorHAnsi"/>
        </w:rPr>
        <w:t xml:space="preserve"> č. 1) byl</w:t>
      </w:r>
      <w:r w:rsidRPr="004E15CB">
        <w:rPr>
          <w:rFonts w:asciiTheme="minorHAnsi" w:hAnsiTheme="minorHAnsi" w:cstheme="minorHAnsi"/>
        </w:rPr>
        <w:t>y</w:t>
      </w:r>
      <w:r w:rsidR="009D58F3">
        <w:rPr>
          <w:rFonts w:asciiTheme="minorHAnsi" w:hAnsiTheme="minorHAnsi" w:cstheme="minorHAnsi"/>
        </w:rPr>
        <w:t xml:space="preserve"> dokončen</w:t>
      </w:r>
      <w:r>
        <w:rPr>
          <w:rFonts w:asciiTheme="minorHAnsi" w:hAnsiTheme="minorHAnsi" w:cstheme="minorHAnsi"/>
        </w:rPr>
        <w:t>y</w:t>
      </w:r>
      <w:r w:rsidR="009D58F3">
        <w:rPr>
          <w:rFonts w:asciiTheme="minorHAnsi" w:hAnsiTheme="minorHAnsi" w:cstheme="minorHAnsi"/>
        </w:rPr>
        <w:t xml:space="preserve"> s průměrným zpožděním 16 měsíců oproti termínu uvedenému v původním investičním záměru akce a téměř šest měsíců oproti termínu stanovenému ve smlouvě s dodavatelem. K</w:t>
      </w:r>
      <w:r w:rsidR="00861AD2" w:rsidRPr="00B71363">
        <w:rPr>
          <w:rFonts w:asciiTheme="minorHAnsi" w:hAnsiTheme="minorHAnsi" w:cstheme="minorHAnsi"/>
        </w:rPr>
        <w:t xml:space="preserve"> </w:t>
      </w:r>
      <w:r w:rsidR="00FC37CB" w:rsidRPr="00B71363">
        <w:rPr>
          <w:rFonts w:asciiTheme="minorHAnsi" w:hAnsiTheme="minorHAnsi" w:cstheme="minorHAnsi"/>
        </w:rPr>
        <w:t xml:space="preserve">největšímu </w:t>
      </w:r>
      <w:r w:rsidR="006142D6">
        <w:rPr>
          <w:rFonts w:asciiTheme="minorHAnsi" w:hAnsiTheme="minorHAnsi" w:cstheme="minorHAnsi"/>
        </w:rPr>
        <w:t xml:space="preserve">posunu a </w:t>
      </w:r>
      <w:r w:rsidR="00FC37CB" w:rsidRPr="00B71363">
        <w:rPr>
          <w:rFonts w:asciiTheme="minorHAnsi" w:hAnsiTheme="minorHAnsi" w:cstheme="minorHAnsi"/>
        </w:rPr>
        <w:t xml:space="preserve">zpoždění </w:t>
      </w:r>
      <w:r w:rsidR="00861AD2" w:rsidRPr="00B71363">
        <w:rPr>
          <w:rFonts w:asciiTheme="minorHAnsi" w:hAnsiTheme="minorHAnsi" w:cstheme="minorHAnsi"/>
        </w:rPr>
        <w:t xml:space="preserve">realizace </w:t>
      </w:r>
      <w:r>
        <w:rPr>
          <w:rFonts w:asciiTheme="minorHAnsi" w:hAnsiTheme="minorHAnsi" w:cstheme="minorHAnsi"/>
        </w:rPr>
        <w:t xml:space="preserve">došlo </w:t>
      </w:r>
      <w:r w:rsidR="00FC37CB" w:rsidRPr="00B71363">
        <w:rPr>
          <w:rFonts w:asciiTheme="minorHAnsi" w:hAnsiTheme="minorHAnsi" w:cstheme="minorHAnsi"/>
        </w:rPr>
        <w:t xml:space="preserve">při pořízení pěti vyprošťovacích vozidel. </w:t>
      </w:r>
      <w:r w:rsidR="006F4E15" w:rsidRPr="00B71363">
        <w:rPr>
          <w:rFonts w:asciiTheme="minorHAnsi" w:hAnsiTheme="minorHAnsi"/>
          <w:iCs/>
        </w:rPr>
        <w:t>Projekt z roku 2011, který zahrnoval jak nákup vyprošťovacích vozidel, tak nákup dílenských vozidel, MO zrušilo a následně rozdělilo na dvě samostatné investiční akce.</w:t>
      </w:r>
      <w:r>
        <w:rPr>
          <w:rStyle w:val="Znakapoznpodarou"/>
          <w:rFonts w:asciiTheme="minorHAnsi" w:hAnsiTheme="minorHAnsi"/>
          <w:iCs/>
        </w:rPr>
        <w:footnoteReference w:id="23"/>
      </w:r>
      <w:r w:rsidR="006F4E15" w:rsidRPr="00B71363">
        <w:rPr>
          <w:rFonts w:asciiTheme="minorHAnsi" w:hAnsiTheme="minorHAnsi"/>
          <w:iCs/>
        </w:rPr>
        <w:t xml:space="preserve"> Marketingový průzkum z července roku 2013 obsahoval informaci o tom, že u dodavatele je nejkratší termín pro dodání prvního </w:t>
      </w:r>
      <w:r w:rsidR="005D6D25">
        <w:rPr>
          <w:rFonts w:asciiTheme="minorHAnsi" w:hAnsiTheme="minorHAnsi"/>
          <w:iCs/>
        </w:rPr>
        <w:t xml:space="preserve">vyprošťovacího </w:t>
      </w:r>
      <w:r w:rsidR="006F4E15" w:rsidRPr="00B71363">
        <w:rPr>
          <w:rFonts w:asciiTheme="minorHAnsi" w:hAnsiTheme="minorHAnsi"/>
          <w:iCs/>
        </w:rPr>
        <w:t>vozidla do 10 měsíců od podpisu smlouvy,</w:t>
      </w:r>
      <w:r w:rsidR="0092465F">
        <w:rPr>
          <w:rStyle w:val="Znakapoznpodarou"/>
          <w:rFonts w:asciiTheme="minorHAnsi" w:hAnsiTheme="minorHAnsi"/>
          <w:iCs/>
        </w:rPr>
        <w:footnoteReference w:id="24"/>
      </w:r>
      <w:r w:rsidR="006F4E15" w:rsidRPr="00B71363">
        <w:rPr>
          <w:rFonts w:asciiTheme="minorHAnsi" w:hAnsiTheme="minorHAnsi"/>
          <w:iCs/>
        </w:rPr>
        <w:t xml:space="preserve"> a to včetně proveden</w:t>
      </w:r>
      <w:r w:rsidR="007013C3">
        <w:rPr>
          <w:rFonts w:asciiTheme="minorHAnsi" w:hAnsiTheme="minorHAnsi"/>
          <w:iCs/>
        </w:rPr>
        <w:t>í</w:t>
      </w:r>
      <w:r w:rsidR="006F4E15" w:rsidRPr="00B71363">
        <w:rPr>
          <w:rFonts w:asciiTheme="minorHAnsi" w:hAnsiTheme="minorHAnsi"/>
          <w:iCs/>
        </w:rPr>
        <w:t xml:space="preserve"> zkoušek. To</w:t>
      </w:r>
      <w:r w:rsidR="0092465F">
        <w:rPr>
          <w:rFonts w:asciiTheme="minorHAnsi" w:hAnsiTheme="minorHAnsi"/>
          <w:iCs/>
        </w:rPr>
        <w:t xml:space="preserve">muto </w:t>
      </w:r>
      <w:r w:rsidR="006F4E15" w:rsidRPr="00B71363">
        <w:rPr>
          <w:rFonts w:asciiTheme="minorHAnsi" w:hAnsiTheme="minorHAnsi"/>
          <w:iCs/>
        </w:rPr>
        <w:t>dodavatel</w:t>
      </w:r>
      <w:r w:rsidR="0092465F">
        <w:rPr>
          <w:rFonts w:asciiTheme="minorHAnsi" w:hAnsiTheme="minorHAnsi"/>
          <w:iCs/>
        </w:rPr>
        <w:t>i</w:t>
      </w:r>
      <w:r w:rsidR="006F4E15" w:rsidRPr="00B71363">
        <w:rPr>
          <w:rFonts w:asciiTheme="minorHAnsi" w:hAnsiTheme="minorHAnsi"/>
          <w:iCs/>
        </w:rPr>
        <w:t xml:space="preserve"> </w:t>
      </w:r>
      <w:r w:rsidR="00DE41CE">
        <w:rPr>
          <w:rFonts w:asciiTheme="minorHAnsi" w:hAnsiTheme="minorHAnsi"/>
          <w:iCs/>
        </w:rPr>
        <w:t xml:space="preserve">poté </w:t>
      </w:r>
      <w:r>
        <w:rPr>
          <w:rFonts w:asciiTheme="minorHAnsi" w:hAnsiTheme="minorHAnsi"/>
          <w:iCs/>
        </w:rPr>
        <w:t xml:space="preserve">MO </w:t>
      </w:r>
      <w:r w:rsidR="00DE41CE">
        <w:rPr>
          <w:rFonts w:asciiTheme="minorHAnsi" w:hAnsiTheme="minorHAnsi"/>
          <w:iCs/>
        </w:rPr>
        <w:t xml:space="preserve">zadalo veřejnou zakázku s využitím obecné </w:t>
      </w:r>
      <w:r>
        <w:rPr>
          <w:rFonts w:asciiTheme="minorHAnsi" w:hAnsiTheme="minorHAnsi"/>
          <w:iCs/>
        </w:rPr>
        <w:t>v</w:t>
      </w:r>
      <w:r w:rsidR="006F4E15" w:rsidRPr="00B71363">
        <w:rPr>
          <w:rFonts w:asciiTheme="minorHAnsi" w:hAnsiTheme="minorHAnsi"/>
          <w:iCs/>
        </w:rPr>
        <w:t>ýjimk</w:t>
      </w:r>
      <w:r w:rsidR="009E74BC">
        <w:rPr>
          <w:rFonts w:asciiTheme="minorHAnsi" w:hAnsiTheme="minorHAnsi"/>
          <w:iCs/>
        </w:rPr>
        <w:t>y z působnosti zákona č. 137/2006 </w:t>
      </w:r>
      <w:r w:rsidR="00DE41CE">
        <w:rPr>
          <w:rFonts w:asciiTheme="minorHAnsi" w:hAnsiTheme="minorHAnsi"/>
          <w:iCs/>
        </w:rPr>
        <w:t>Sb.</w:t>
      </w:r>
      <w:r w:rsidR="00DE41CE">
        <w:rPr>
          <w:rStyle w:val="Znakapoznpodarou"/>
          <w:rFonts w:asciiTheme="minorHAnsi" w:hAnsiTheme="minorHAnsi"/>
          <w:iCs/>
        </w:rPr>
        <w:footnoteReference w:id="25"/>
      </w:r>
      <w:r w:rsidR="006F4E15" w:rsidRPr="00B71363">
        <w:rPr>
          <w:rFonts w:asciiTheme="minorHAnsi" w:hAnsiTheme="minorHAnsi"/>
          <w:iCs/>
        </w:rPr>
        <w:t xml:space="preserve"> Přesto MO získalo první vozidlo až v prosinci roku 2018</w:t>
      </w:r>
      <w:r w:rsidR="00DE41CE">
        <w:rPr>
          <w:rFonts w:asciiTheme="minorHAnsi" w:hAnsiTheme="minorHAnsi"/>
          <w:iCs/>
        </w:rPr>
        <w:t xml:space="preserve">. Všechna </w:t>
      </w:r>
      <w:r w:rsidR="006F4E15" w:rsidRPr="00B71363">
        <w:rPr>
          <w:rFonts w:asciiTheme="minorHAnsi" w:hAnsiTheme="minorHAnsi"/>
          <w:iCs/>
        </w:rPr>
        <w:t>vozidla</w:t>
      </w:r>
      <w:r w:rsidR="00DE41CE">
        <w:rPr>
          <w:rFonts w:asciiTheme="minorHAnsi" w:hAnsiTheme="minorHAnsi"/>
          <w:iCs/>
        </w:rPr>
        <w:t xml:space="preserve"> převzatá od dodavatele</w:t>
      </w:r>
      <w:r w:rsidR="006F4E15" w:rsidRPr="00B71363">
        <w:rPr>
          <w:rFonts w:asciiTheme="minorHAnsi" w:hAnsiTheme="minorHAnsi"/>
          <w:iCs/>
        </w:rPr>
        <w:t xml:space="preserve"> byla předána</w:t>
      </w:r>
      <w:r w:rsidR="00B71363">
        <w:rPr>
          <w:rFonts w:asciiTheme="minorHAnsi" w:hAnsiTheme="minorHAnsi"/>
          <w:iCs/>
        </w:rPr>
        <w:t xml:space="preserve"> Armádě až začátkem dubna 2019.</w:t>
      </w:r>
    </w:p>
    <w:p w14:paraId="4705FF92" w14:textId="77777777" w:rsidR="005D6D25" w:rsidRDefault="005D6D25" w:rsidP="00FC37CB">
      <w:pPr>
        <w:jc w:val="both"/>
        <w:rPr>
          <w:rFonts w:asciiTheme="minorHAnsi" w:hAnsiTheme="minorHAnsi"/>
          <w:iCs/>
        </w:rPr>
      </w:pPr>
    </w:p>
    <w:p w14:paraId="2E81DA04" w14:textId="3ED77B9A" w:rsidR="003F0EE0" w:rsidRPr="00B71363" w:rsidRDefault="00A00E85" w:rsidP="00FC37CB">
      <w:pPr>
        <w:jc w:val="both"/>
        <w:rPr>
          <w:rFonts w:asciiTheme="minorHAnsi" w:hAnsiTheme="minorHAnsi"/>
          <w:iCs/>
        </w:rPr>
      </w:pPr>
      <w:r>
        <w:rPr>
          <w:rFonts w:asciiTheme="minorHAnsi" w:hAnsiTheme="minorHAnsi" w:cstheme="minorHAnsi"/>
        </w:rPr>
        <w:t xml:space="preserve">K prodlení došlo jak ve fázi přípravy akce, kdy MO </w:t>
      </w:r>
      <w:r w:rsidR="005D6D25">
        <w:rPr>
          <w:rFonts w:asciiTheme="minorHAnsi" w:hAnsiTheme="minorHAnsi" w:cstheme="minorHAnsi"/>
        </w:rPr>
        <w:t xml:space="preserve">opakovalo </w:t>
      </w:r>
      <w:r>
        <w:rPr>
          <w:rFonts w:asciiTheme="minorHAnsi" w:hAnsiTheme="minorHAnsi" w:cstheme="minorHAnsi"/>
        </w:rPr>
        <w:t>veřejn</w:t>
      </w:r>
      <w:r w:rsidR="001543F3">
        <w:rPr>
          <w:rFonts w:asciiTheme="minorHAnsi" w:hAnsiTheme="minorHAnsi" w:cstheme="minorHAnsi"/>
        </w:rPr>
        <w:t xml:space="preserve">ou </w:t>
      </w:r>
      <w:r>
        <w:rPr>
          <w:rFonts w:asciiTheme="minorHAnsi" w:hAnsiTheme="minorHAnsi" w:cstheme="minorHAnsi"/>
        </w:rPr>
        <w:t>zakázk</w:t>
      </w:r>
      <w:r w:rsidR="001543F3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, tak v</w:t>
      </w:r>
      <w:r w:rsidR="001543F3">
        <w:rPr>
          <w:rFonts w:asciiTheme="minorHAnsi" w:hAnsiTheme="minorHAnsi" w:cstheme="minorHAnsi"/>
        </w:rPr>
        <w:t>e fázi realizace</w:t>
      </w:r>
      <w:r w:rsidR="005D6D25">
        <w:rPr>
          <w:rFonts w:asciiTheme="minorHAnsi" w:hAnsiTheme="minorHAnsi" w:cstheme="minorHAnsi"/>
        </w:rPr>
        <w:t xml:space="preserve"> akce, </w:t>
      </w:r>
      <w:r w:rsidR="007E2C29">
        <w:rPr>
          <w:rFonts w:asciiTheme="minorHAnsi" w:hAnsiTheme="minorHAnsi" w:cstheme="minorHAnsi"/>
        </w:rPr>
        <w:t>a to při</w:t>
      </w:r>
      <w:r>
        <w:rPr>
          <w:rFonts w:asciiTheme="minorHAnsi" w:hAnsiTheme="minorHAnsi" w:cstheme="minorHAnsi"/>
        </w:rPr>
        <w:t xml:space="preserve"> </w:t>
      </w:r>
      <w:r w:rsidR="005D6D25">
        <w:rPr>
          <w:rFonts w:asciiTheme="minorHAnsi" w:hAnsiTheme="minorHAnsi" w:cstheme="minorHAnsi"/>
        </w:rPr>
        <w:t>ověřování parametrů a vlastností vozidel v rámci kontrolních a vojskových zkoušek</w:t>
      </w:r>
      <w:r>
        <w:rPr>
          <w:rFonts w:asciiTheme="minorHAnsi" w:hAnsiTheme="minorHAnsi" w:cstheme="minorHAnsi"/>
        </w:rPr>
        <w:t>.</w:t>
      </w:r>
      <w:r w:rsidR="005D6D25" w:rsidRPr="005D6D25">
        <w:rPr>
          <w:rFonts w:asciiTheme="minorHAnsi" w:hAnsiTheme="minorHAnsi" w:cstheme="minorHAnsi"/>
        </w:rPr>
        <w:t xml:space="preserve"> </w:t>
      </w:r>
      <w:r w:rsidR="005D6D25">
        <w:rPr>
          <w:rFonts w:asciiTheme="minorHAnsi" w:hAnsiTheme="minorHAnsi" w:cstheme="minorHAnsi"/>
        </w:rPr>
        <w:t>Dodavatel předal MO první vozidlo o téměř 17 měsíců později, než bylo stanoveno v kupní smlouvě. R</w:t>
      </w:r>
      <w:r w:rsidR="00B71363">
        <w:rPr>
          <w:rFonts w:asciiTheme="minorHAnsi" w:hAnsiTheme="minorHAnsi" w:cstheme="minorHAnsi"/>
        </w:rPr>
        <w:t>ealizace nákupu vyprošťovac</w:t>
      </w:r>
      <w:r w:rsidR="00860CC7">
        <w:rPr>
          <w:rFonts w:asciiTheme="minorHAnsi" w:hAnsiTheme="minorHAnsi" w:cstheme="minorHAnsi"/>
        </w:rPr>
        <w:t>ích vozidel byla dokončena o 40 </w:t>
      </w:r>
      <w:r w:rsidR="00B71363">
        <w:rPr>
          <w:rFonts w:asciiTheme="minorHAnsi" w:hAnsiTheme="minorHAnsi" w:cstheme="minorHAnsi"/>
        </w:rPr>
        <w:t xml:space="preserve">měsíců později oproti termínu uvedenému v původním investičním záměru </w:t>
      </w:r>
      <w:r w:rsidR="00B71363" w:rsidRPr="006166B0">
        <w:rPr>
          <w:rFonts w:asciiTheme="minorHAnsi" w:hAnsiTheme="minorHAnsi" w:cstheme="minorHAnsi"/>
        </w:rPr>
        <w:t xml:space="preserve">akce. </w:t>
      </w:r>
      <w:r w:rsidR="00942BFE" w:rsidRPr="006166B0">
        <w:rPr>
          <w:rFonts w:asciiTheme="minorHAnsi" w:hAnsiTheme="minorHAnsi" w:cstheme="minorHAnsi"/>
        </w:rPr>
        <w:t xml:space="preserve">V </w:t>
      </w:r>
      <w:r w:rsidR="003F0EE0" w:rsidRPr="006166B0">
        <w:rPr>
          <w:rFonts w:asciiTheme="minorHAnsi" w:hAnsiTheme="minorHAnsi" w:cstheme="minorHAnsi"/>
        </w:rPr>
        <w:t xml:space="preserve">době ukončení kontroly </w:t>
      </w:r>
      <w:r w:rsidR="00942BFE" w:rsidRPr="006166B0">
        <w:rPr>
          <w:rFonts w:asciiTheme="minorHAnsi" w:hAnsiTheme="minorHAnsi" w:cstheme="minorHAnsi"/>
        </w:rPr>
        <w:t xml:space="preserve">MO </w:t>
      </w:r>
      <w:r w:rsidR="0099409F" w:rsidRPr="006166B0">
        <w:rPr>
          <w:rFonts w:asciiTheme="minorHAnsi" w:hAnsiTheme="minorHAnsi" w:cstheme="minorHAnsi"/>
        </w:rPr>
        <w:t>jednalo s</w:t>
      </w:r>
      <w:r w:rsidR="006166B0" w:rsidRPr="006166B0">
        <w:rPr>
          <w:rFonts w:asciiTheme="minorHAnsi" w:hAnsiTheme="minorHAnsi" w:cstheme="minorHAnsi"/>
        </w:rPr>
        <w:t> </w:t>
      </w:r>
      <w:r w:rsidR="0099409F" w:rsidRPr="006166B0">
        <w:rPr>
          <w:rFonts w:asciiTheme="minorHAnsi" w:hAnsiTheme="minorHAnsi" w:cstheme="minorHAnsi"/>
        </w:rPr>
        <w:t>dodavatelem</w:t>
      </w:r>
      <w:r w:rsidR="006166B0" w:rsidRPr="006166B0">
        <w:rPr>
          <w:rFonts w:asciiTheme="minorHAnsi" w:hAnsiTheme="minorHAnsi" w:cstheme="minorHAnsi"/>
        </w:rPr>
        <w:t xml:space="preserve"> ve věci </w:t>
      </w:r>
      <w:r w:rsidR="003F0EE0" w:rsidRPr="006166B0">
        <w:rPr>
          <w:rFonts w:asciiTheme="minorHAnsi" w:hAnsiTheme="minorHAnsi" w:cstheme="minorHAnsi"/>
        </w:rPr>
        <w:t>vymáh</w:t>
      </w:r>
      <w:r w:rsidR="006166B0" w:rsidRPr="006166B0">
        <w:rPr>
          <w:rFonts w:asciiTheme="minorHAnsi" w:hAnsiTheme="minorHAnsi" w:cstheme="minorHAnsi"/>
        </w:rPr>
        <w:t xml:space="preserve">ané </w:t>
      </w:r>
      <w:r w:rsidR="003F0EE0" w:rsidRPr="006166B0">
        <w:rPr>
          <w:rFonts w:asciiTheme="minorHAnsi" w:hAnsiTheme="minorHAnsi" w:cstheme="minorHAnsi"/>
        </w:rPr>
        <w:t>smluvní pokut</w:t>
      </w:r>
      <w:r w:rsidR="006166B0" w:rsidRPr="006166B0">
        <w:rPr>
          <w:rFonts w:asciiTheme="minorHAnsi" w:hAnsiTheme="minorHAnsi" w:cstheme="minorHAnsi"/>
        </w:rPr>
        <w:t xml:space="preserve">y </w:t>
      </w:r>
      <w:r w:rsidR="00352016" w:rsidRPr="006166B0">
        <w:rPr>
          <w:rFonts w:asciiTheme="minorHAnsi" w:hAnsiTheme="minorHAnsi" w:cstheme="minorHAnsi"/>
        </w:rPr>
        <w:t>ve výši 12</w:t>
      </w:r>
      <w:r w:rsidR="009E74BC">
        <w:rPr>
          <w:rFonts w:asciiTheme="minorHAnsi" w:hAnsiTheme="minorHAnsi" w:cstheme="minorHAnsi"/>
        </w:rPr>
        <w:t> </w:t>
      </w:r>
      <w:r w:rsidR="00352016" w:rsidRPr="006166B0">
        <w:rPr>
          <w:rFonts w:asciiTheme="minorHAnsi" w:hAnsiTheme="minorHAnsi" w:cstheme="minorHAnsi"/>
        </w:rPr>
        <w:t>mil.</w:t>
      </w:r>
      <w:r w:rsidR="009E74BC">
        <w:rPr>
          <w:rFonts w:asciiTheme="minorHAnsi" w:hAnsiTheme="minorHAnsi" w:cstheme="minorHAnsi"/>
        </w:rPr>
        <w:t> </w:t>
      </w:r>
      <w:r w:rsidR="00352016" w:rsidRPr="006166B0">
        <w:rPr>
          <w:rFonts w:asciiTheme="minorHAnsi" w:hAnsiTheme="minorHAnsi" w:cstheme="minorHAnsi"/>
        </w:rPr>
        <w:t xml:space="preserve">Kč </w:t>
      </w:r>
      <w:r w:rsidR="006166B0" w:rsidRPr="006166B0">
        <w:rPr>
          <w:rFonts w:asciiTheme="minorHAnsi" w:hAnsiTheme="minorHAnsi" w:cstheme="minorHAnsi"/>
        </w:rPr>
        <w:t>za pozdní dodání prvního vozidla</w:t>
      </w:r>
      <w:r w:rsidR="008F2013" w:rsidRPr="006166B0">
        <w:rPr>
          <w:rFonts w:asciiTheme="minorHAnsi" w:hAnsiTheme="minorHAnsi" w:cstheme="minorHAnsi"/>
        </w:rPr>
        <w:t>.</w:t>
      </w:r>
      <w:r w:rsidR="003F0EE0">
        <w:rPr>
          <w:rFonts w:asciiTheme="minorHAnsi" w:hAnsiTheme="minorHAnsi" w:cstheme="minorHAnsi"/>
        </w:rPr>
        <w:t xml:space="preserve"> </w:t>
      </w:r>
    </w:p>
    <w:p w14:paraId="06C9BF1F" w14:textId="77777777" w:rsidR="009E74BC" w:rsidRPr="00CE0687" w:rsidRDefault="009E74BC" w:rsidP="009E74BC">
      <w:pPr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4E85B112" w14:textId="12DAD371" w:rsidR="001F32BE" w:rsidRPr="00C85BC7" w:rsidRDefault="00652F83" w:rsidP="00386FEE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 w:rsidRPr="00C85BC7">
        <w:rPr>
          <w:rFonts w:asciiTheme="minorHAnsi" w:hAnsiTheme="minorHAnsi" w:cstheme="minorHAnsi"/>
          <w:i w:val="0"/>
          <w:sz w:val="24"/>
          <w:szCs w:val="24"/>
        </w:rPr>
        <w:t>3</w:t>
      </w:r>
      <w:r w:rsidR="003F64B9"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C85BC7" w:rsidRPr="00C85BC7">
        <w:rPr>
          <w:rFonts w:asciiTheme="minorHAnsi" w:hAnsiTheme="minorHAnsi" w:cstheme="minorHAnsi"/>
          <w:i w:val="0"/>
          <w:sz w:val="24"/>
          <w:szCs w:val="24"/>
        </w:rPr>
        <w:t xml:space="preserve">Neúčelné a neefektivní technické zhodnocení </w:t>
      </w:r>
      <w:r w:rsidR="008F6AF6">
        <w:rPr>
          <w:rFonts w:asciiTheme="minorHAnsi" w:hAnsiTheme="minorHAnsi" w:cstheme="minorHAnsi"/>
          <w:i w:val="0"/>
          <w:sz w:val="24"/>
          <w:szCs w:val="24"/>
        </w:rPr>
        <w:t xml:space="preserve">lehkého </w:t>
      </w:r>
      <w:r w:rsidR="00C85BC7" w:rsidRPr="00C85BC7">
        <w:rPr>
          <w:rFonts w:asciiTheme="minorHAnsi" w:hAnsiTheme="minorHAnsi" w:cstheme="minorHAnsi"/>
          <w:i w:val="0"/>
          <w:sz w:val="24"/>
          <w:szCs w:val="24"/>
        </w:rPr>
        <w:t>obrněného vozidla</w:t>
      </w:r>
    </w:p>
    <w:p w14:paraId="605B1B1A" w14:textId="77777777" w:rsidR="003B671D" w:rsidRPr="00CE0687" w:rsidRDefault="003B671D" w:rsidP="00E17969">
      <w:pPr>
        <w:tabs>
          <w:tab w:val="left" w:pos="426"/>
        </w:tabs>
        <w:jc w:val="both"/>
        <w:rPr>
          <w:rFonts w:asciiTheme="minorHAnsi" w:hAnsiTheme="minorHAnsi" w:cstheme="minorHAnsi"/>
          <w:highlight w:val="yellow"/>
        </w:rPr>
      </w:pPr>
    </w:p>
    <w:p w14:paraId="6B0D580E" w14:textId="23EA07BC" w:rsidR="00BF7B17" w:rsidRDefault="003F0EE0" w:rsidP="008F2013">
      <w:pPr>
        <w:jc w:val="both"/>
        <w:rPr>
          <w:rFonts w:asciiTheme="minorHAnsi" w:hAnsiTheme="minorHAnsi" w:cstheme="minorHAnsi"/>
        </w:rPr>
      </w:pPr>
      <w:r w:rsidRPr="000168F4">
        <w:rPr>
          <w:rFonts w:asciiTheme="minorHAnsi" w:hAnsiTheme="minorHAnsi" w:cstheme="minorHAnsi"/>
        </w:rPr>
        <w:t xml:space="preserve">MO rozhodlo o technickém zhodnocení používaného </w:t>
      </w:r>
      <w:r w:rsidR="000168F4" w:rsidRPr="000168F4">
        <w:rPr>
          <w:rFonts w:asciiTheme="minorHAnsi" w:hAnsiTheme="minorHAnsi" w:cstheme="minorHAnsi"/>
        </w:rPr>
        <w:t xml:space="preserve">lehkého obrněného </w:t>
      </w:r>
      <w:r w:rsidRPr="000168F4">
        <w:rPr>
          <w:rFonts w:asciiTheme="minorHAnsi" w:hAnsiTheme="minorHAnsi" w:cstheme="minorHAnsi"/>
        </w:rPr>
        <w:t>vozidla</w:t>
      </w:r>
      <w:r w:rsidR="000168F4" w:rsidRPr="000168F4">
        <w:rPr>
          <w:rFonts w:asciiTheme="minorHAnsi" w:hAnsiTheme="minorHAnsi" w:cstheme="minorHAnsi"/>
        </w:rPr>
        <w:t>, spočívající v</w:t>
      </w:r>
      <w:r w:rsidR="008F2013">
        <w:rPr>
          <w:rFonts w:asciiTheme="minorHAnsi" w:hAnsiTheme="minorHAnsi" w:cstheme="minorHAnsi"/>
        </w:rPr>
        <w:t>e vybavení</w:t>
      </w:r>
      <w:r w:rsidRPr="000168F4">
        <w:rPr>
          <w:rFonts w:asciiTheme="minorHAnsi" w:hAnsiTheme="minorHAnsi" w:cstheme="minorHAnsi"/>
        </w:rPr>
        <w:t xml:space="preserve"> </w:t>
      </w:r>
      <w:r w:rsidR="00E4151C">
        <w:rPr>
          <w:rFonts w:asciiTheme="minorHAnsi" w:hAnsiTheme="minorHAnsi" w:cstheme="minorHAnsi"/>
        </w:rPr>
        <w:t xml:space="preserve">vozidla </w:t>
      </w:r>
      <w:r w:rsidRPr="000168F4">
        <w:rPr>
          <w:rFonts w:asciiTheme="minorHAnsi" w:hAnsiTheme="minorHAnsi" w:cstheme="minorHAnsi"/>
        </w:rPr>
        <w:t xml:space="preserve">speciální nástavbou umožňující průzkum pozemních cílů a současně řízení bezpilotních prostředků. </w:t>
      </w:r>
      <w:r w:rsidR="008F2013">
        <w:rPr>
          <w:rFonts w:asciiTheme="minorHAnsi" w:hAnsiTheme="minorHAnsi" w:cstheme="minorHAnsi"/>
        </w:rPr>
        <w:t>MO mělo z</w:t>
      </w:r>
      <w:r w:rsidR="00E4151C">
        <w:rPr>
          <w:rFonts w:asciiTheme="minorHAnsi" w:hAnsiTheme="minorHAnsi" w:cstheme="minorHAnsi"/>
        </w:rPr>
        <w:t>ísk</w:t>
      </w:r>
      <w:r w:rsidR="008F2013">
        <w:rPr>
          <w:rFonts w:asciiTheme="minorHAnsi" w:hAnsiTheme="minorHAnsi" w:cstheme="minorHAnsi"/>
        </w:rPr>
        <w:t>at</w:t>
      </w:r>
      <w:r w:rsidR="00E4151C">
        <w:rPr>
          <w:rFonts w:asciiTheme="minorHAnsi" w:hAnsiTheme="minorHAnsi" w:cstheme="minorHAnsi"/>
        </w:rPr>
        <w:t xml:space="preserve"> </w:t>
      </w:r>
      <w:r w:rsidR="000168F4" w:rsidRPr="000168F4">
        <w:rPr>
          <w:rFonts w:asciiTheme="minorHAnsi" w:hAnsiTheme="minorHAnsi" w:cstheme="minorHAnsi"/>
        </w:rPr>
        <w:t>schopnost okamžitého nasazení vozidla do zahraniční operace</w:t>
      </w:r>
      <w:r w:rsidR="008F2013">
        <w:rPr>
          <w:rFonts w:asciiTheme="minorHAnsi" w:hAnsiTheme="minorHAnsi" w:cstheme="minorHAnsi"/>
        </w:rPr>
        <w:t xml:space="preserve">, s cílem </w:t>
      </w:r>
      <w:r w:rsidR="000168F4" w:rsidRPr="000168F4">
        <w:rPr>
          <w:rFonts w:asciiTheme="minorHAnsi" w:hAnsiTheme="minorHAnsi" w:cstheme="minorHAnsi"/>
        </w:rPr>
        <w:t>dosažení technické převahy na bojišti při zvyšující se aktivitě protivníka</w:t>
      </w:r>
      <w:r w:rsidR="008F2013">
        <w:rPr>
          <w:rFonts w:asciiTheme="minorHAnsi" w:hAnsiTheme="minorHAnsi" w:cstheme="minorHAnsi"/>
        </w:rPr>
        <w:t>,</w:t>
      </w:r>
      <w:r w:rsidR="009E74BC">
        <w:rPr>
          <w:rFonts w:asciiTheme="minorHAnsi" w:hAnsiTheme="minorHAnsi" w:cstheme="minorHAnsi"/>
        </w:rPr>
        <w:t xml:space="preserve"> </w:t>
      </w:r>
      <w:r w:rsidR="000168F4" w:rsidRPr="000168F4">
        <w:rPr>
          <w:rFonts w:asciiTheme="minorHAnsi" w:hAnsiTheme="minorHAnsi" w:cstheme="minorHAnsi"/>
        </w:rPr>
        <w:t>s ohledem n</w:t>
      </w:r>
      <w:r w:rsidR="00BF7B17">
        <w:rPr>
          <w:rFonts w:asciiTheme="minorHAnsi" w:hAnsiTheme="minorHAnsi" w:cstheme="minorHAnsi"/>
        </w:rPr>
        <w:t>a zvyšující se používanou ráži.</w:t>
      </w:r>
      <w:r w:rsidR="008F2013">
        <w:rPr>
          <w:rFonts w:asciiTheme="minorHAnsi" w:hAnsiTheme="minorHAnsi" w:cstheme="minorHAnsi"/>
        </w:rPr>
        <w:t xml:space="preserve"> Akce byla realizována v roce 2017.</w:t>
      </w:r>
    </w:p>
    <w:p w14:paraId="37836FA4" w14:textId="77777777" w:rsidR="00BF7B17" w:rsidRDefault="00BF7B17" w:rsidP="003F0EE0">
      <w:pPr>
        <w:jc w:val="both"/>
        <w:rPr>
          <w:rFonts w:asciiTheme="minorHAnsi" w:hAnsiTheme="minorHAnsi" w:cstheme="minorHAnsi"/>
        </w:rPr>
      </w:pPr>
    </w:p>
    <w:p w14:paraId="322E11E0" w14:textId="781260E8" w:rsidR="00212091" w:rsidRDefault="008F2013" w:rsidP="003F0EE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Při </w:t>
      </w:r>
      <w:r w:rsidR="003F1745" w:rsidRPr="003F1745">
        <w:rPr>
          <w:rFonts w:asciiTheme="minorHAnsi" w:hAnsiTheme="minorHAnsi" w:cstheme="minorHAnsi"/>
        </w:rPr>
        <w:t xml:space="preserve">přípravě akce </w:t>
      </w:r>
      <w:r w:rsidR="00187F6F">
        <w:rPr>
          <w:rFonts w:asciiTheme="minorHAnsi" w:hAnsiTheme="minorHAnsi" w:cstheme="minorHAnsi"/>
        </w:rPr>
        <w:t xml:space="preserve">MO </w:t>
      </w:r>
      <w:r w:rsidR="003F1745" w:rsidRPr="003F1745">
        <w:rPr>
          <w:rFonts w:asciiTheme="minorHAnsi" w:hAnsiTheme="minorHAnsi" w:cstheme="minorHAnsi"/>
        </w:rPr>
        <w:t>neproved</w:t>
      </w:r>
      <w:r w:rsidR="00187F6F">
        <w:rPr>
          <w:rFonts w:asciiTheme="minorHAnsi" w:hAnsiTheme="minorHAnsi" w:cstheme="minorHAnsi"/>
        </w:rPr>
        <w:t xml:space="preserve">lo </w:t>
      </w:r>
      <w:r w:rsidR="000168F4" w:rsidRPr="003F1745">
        <w:rPr>
          <w:rFonts w:asciiTheme="minorHAnsi" w:hAnsiTheme="minorHAnsi" w:cstheme="minorHAnsi"/>
        </w:rPr>
        <w:t>hmotnostní analýz</w:t>
      </w:r>
      <w:r w:rsidR="00187F6F">
        <w:rPr>
          <w:rFonts w:asciiTheme="minorHAnsi" w:hAnsiTheme="minorHAnsi" w:cstheme="minorHAnsi"/>
        </w:rPr>
        <w:t>u</w:t>
      </w:r>
      <w:r w:rsidR="000168F4" w:rsidRPr="003F1745">
        <w:rPr>
          <w:rFonts w:asciiTheme="minorHAnsi" w:hAnsiTheme="minorHAnsi" w:cstheme="minorHAnsi"/>
        </w:rPr>
        <w:t xml:space="preserve"> jednotlivých komponent vytvářeného bojového kompletu</w:t>
      </w:r>
      <w:r w:rsidR="008A77FF">
        <w:rPr>
          <w:rFonts w:asciiTheme="minorHAnsi" w:hAnsiTheme="minorHAnsi" w:cstheme="minorHAnsi"/>
        </w:rPr>
        <w:t>, p</w:t>
      </w:r>
      <w:r>
        <w:rPr>
          <w:rFonts w:asciiTheme="minorHAnsi" w:hAnsiTheme="minorHAnsi" w:cstheme="minorHAnsi"/>
        </w:rPr>
        <w:t xml:space="preserve">řesto </w:t>
      </w:r>
      <w:r w:rsidR="003F1745" w:rsidRPr="003F1745">
        <w:rPr>
          <w:rFonts w:asciiTheme="minorHAnsi" w:hAnsiTheme="minorHAnsi" w:cstheme="minorHAnsi"/>
        </w:rPr>
        <w:t xml:space="preserve">odpovědný útvar MO realizaci akce v navržených technických parametrech odsouhlasil. </w:t>
      </w:r>
      <w:r>
        <w:rPr>
          <w:rFonts w:asciiTheme="minorHAnsi" w:hAnsiTheme="minorHAnsi" w:cstheme="minorHAnsi"/>
        </w:rPr>
        <w:t xml:space="preserve">V průběhu realizace </w:t>
      </w:r>
      <w:r w:rsidR="00DB5EEC">
        <w:rPr>
          <w:rFonts w:asciiTheme="minorHAnsi" w:hAnsiTheme="minorHAnsi" w:cstheme="minorHAnsi"/>
        </w:rPr>
        <w:t xml:space="preserve">bylo </w:t>
      </w:r>
      <w:r w:rsidR="00212091">
        <w:rPr>
          <w:rFonts w:asciiTheme="minorHAnsi" w:hAnsiTheme="minorHAnsi" w:cstheme="minorHAnsi"/>
        </w:rPr>
        <w:t>zji</w:t>
      </w:r>
      <w:r w:rsidR="00DB5EEC">
        <w:rPr>
          <w:rFonts w:asciiTheme="minorHAnsi" w:hAnsiTheme="minorHAnsi" w:cstheme="minorHAnsi"/>
        </w:rPr>
        <w:t xml:space="preserve">štěno </w:t>
      </w:r>
      <w:r w:rsidR="003F1745" w:rsidRPr="003F1745">
        <w:rPr>
          <w:rFonts w:asciiTheme="minorHAnsi" w:hAnsiTheme="minorHAnsi" w:cstheme="minorHAnsi"/>
        </w:rPr>
        <w:t>přetížení</w:t>
      </w:r>
      <w:r w:rsidR="00DB5EEC">
        <w:rPr>
          <w:rFonts w:asciiTheme="minorHAnsi" w:hAnsiTheme="minorHAnsi" w:cstheme="minorHAnsi"/>
        </w:rPr>
        <w:t xml:space="preserve"> vozidla. MO v</w:t>
      </w:r>
      <w:r w:rsidR="003F1745" w:rsidRPr="002B131D">
        <w:rPr>
          <w:rFonts w:asciiTheme="minorHAnsi" w:hAnsiTheme="minorHAnsi" w:cstheme="minorHAnsi"/>
        </w:rPr>
        <w:t>e snaze</w:t>
      </w:r>
      <w:r w:rsidR="00B80A5A" w:rsidRPr="002B131D">
        <w:rPr>
          <w:rFonts w:asciiTheme="minorHAnsi" w:hAnsiTheme="minorHAnsi" w:cstheme="minorHAnsi"/>
        </w:rPr>
        <w:t xml:space="preserve"> snížit </w:t>
      </w:r>
      <w:r w:rsidR="00DB5EEC">
        <w:rPr>
          <w:rFonts w:asciiTheme="minorHAnsi" w:hAnsiTheme="minorHAnsi" w:cstheme="minorHAnsi"/>
        </w:rPr>
        <w:t xml:space="preserve">jeho </w:t>
      </w:r>
      <w:r w:rsidR="00B80A5A" w:rsidRPr="002B131D">
        <w:rPr>
          <w:rFonts w:asciiTheme="minorHAnsi" w:hAnsiTheme="minorHAnsi" w:cstheme="minorHAnsi"/>
        </w:rPr>
        <w:t>hmotnost</w:t>
      </w:r>
      <w:r w:rsidR="00212091">
        <w:rPr>
          <w:rFonts w:asciiTheme="minorHAnsi" w:hAnsiTheme="minorHAnsi" w:cstheme="minorHAnsi"/>
        </w:rPr>
        <w:t xml:space="preserve"> rozhodlo o </w:t>
      </w:r>
      <w:r w:rsidR="000168F4" w:rsidRPr="002B131D">
        <w:rPr>
          <w:rFonts w:asciiTheme="minorHAnsi" w:hAnsiTheme="minorHAnsi" w:cstheme="minorHAnsi"/>
        </w:rPr>
        <w:t>n</w:t>
      </w:r>
      <w:r w:rsidR="00212091">
        <w:rPr>
          <w:rFonts w:asciiTheme="minorHAnsi" w:hAnsiTheme="minorHAnsi" w:cstheme="minorHAnsi"/>
        </w:rPr>
        <w:t>áhradě</w:t>
      </w:r>
      <w:r w:rsidR="000168F4" w:rsidRPr="002B131D">
        <w:rPr>
          <w:rFonts w:asciiTheme="minorHAnsi" w:hAnsiTheme="minorHAnsi" w:cstheme="minorHAnsi"/>
        </w:rPr>
        <w:t xml:space="preserve"> používan</w:t>
      </w:r>
      <w:r w:rsidR="00212091">
        <w:rPr>
          <w:rFonts w:asciiTheme="minorHAnsi" w:hAnsiTheme="minorHAnsi" w:cstheme="minorHAnsi"/>
        </w:rPr>
        <w:t>é</w:t>
      </w:r>
      <w:r w:rsidR="000168F4" w:rsidRPr="002B131D">
        <w:rPr>
          <w:rFonts w:asciiTheme="minorHAnsi" w:hAnsiTheme="minorHAnsi" w:cstheme="minorHAnsi"/>
        </w:rPr>
        <w:t xml:space="preserve"> zbraňov</w:t>
      </w:r>
      <w:r w:rsidR="00212091">
        <w:rPr>
          <w:rFonts w:asciiTheme="minorHAnsi" w:hAnsiTheme="minorHAnsi" w:cstheme="minorHAnsi"/>
        </w:rPr>
        <w:t>é</w:t>
      </w:r>
      <w:r w:rsidR="000168F4" w:rsidRPr="002B131D">
        <w:rPr>
          <w:rFonts w:asciiTheme="minorHAnsi" w:hAnsiTheme="minorHAnsi" w:cstheme="minorHAnsi"/>
        </w:rPr>
        <w:t xml:space="preserve"> stanic</w:t>
      </w:r>
      <w:r w:rsidR="00212091">
        <w:rPr>
          <w:rFonts w:asciiTheme="minorHAnsi" w:hAnsiTheme="minorHAnsi" w:cstheme="minorHAnsi"/>
        </w:rPr>
        <w:t>e</w:t>
      </w:r>
      <w:r w:rsidR="000168F4" w:rsidRPr="002B131D">
        <w:rPr>
          <w:rFonts w:asciiTheme="minorHAnsi" w:hAnsiTheme="minorHAnsi" w:cstheme="minorHAnsi"/>
        </w:rPr>
        <w:t>, čímž došlo ke</w:t>
      </w:r>
      <w:r w:rsidR="000168F4">
        <w:rPr>
          <w:rFonts w:asciiTheme="minorHAnsi" w:hAnsiTheme="minorHAnsi" w:cstheme="minorHAnsi"/>
        </w:rPr>
        <w:t xml:space="preserve"> snížení ráže zbraně. </w:t>
      </w:r>
      <w:r w:rsidR="003F1745">
        <w:rPr>
          <w:rFonts w:asciiTheme="minorHAnsi" w:hAnsiTheme="minorHAnsi" w:cstheme="minorHAnsi"/>
        </w:rPr>
        <w:t xml:space="preserve">Dále </w:t>
      </w:r>
      <w:r w:rsidR="00212091">
        <w:rPr>
          <w:rFonts w:asciiTheme="minorHAnsi" w:hAnsiTheme="minorHAnsi" w:cstheme="minorHAnsi"/>
        </w:rPr>
        <w:t xml:space="preserve">došlo ke </w:t>
      </w:r>
      <w:r w:rsidR="000168F4" w:rsidRPr="00610ADF">
        <w:rPr>
          <w:rFonts w:asciiTheme="minorHAnsi" w:hAnsiTheme="minorHAnsi" w:cstheme="minorHAnsi"/>
        </w:rPr>
        <w:t>sníž</w:t>
      </w:r>
      <w:r w:rsidR="00212091">
        <w:rPr>
          <w:rFonts w:asciiTheme="minorHAnsi" w:hAnsiTheme="minorHAnsi" w:cstheme="minorHAnsi"/>
        </w:rPr>
        <w:t>ení</w:t>
      </w:r>
      <w:r w:rsidR="000168F4" w:rsidRPr="00610ADF">
        <w:rPr>
          <w:rFonts w:asciiTheme="minorHAnsi" w:hAnsiTheme="minorHAnsi" w:cstheme="minorHAnsi"/>
        </w:rPr>
        <w:t xml:space="preserve"> počt</w:t>
      </w:r>
      <w:r w:rsidR="00212091">
        <w:rPr>
          <w:rFonts w:asciiTheme="minorHAnsi" w:hAnsiTheme="minorHAnsi" w:cstheme="minorHAnsi"/>
        </w:rPr>
        <w:t>u</w:t>
      </w:r>
      <w:r w:rsidR="000168F4" w:rsidRPr="00610ADF">
        <w:rPr>
          <w:rFonts w:asciiTheme="minorHAnsi" w:hAnsiTheme="minorHAnsi" w:cstheme="minorHAnsi"/>
        </w:rPr>
        <w:t xml:space="preserve"> </w:t>
      </w:r>
      <w:r w:rsidR="000168F4">
        <w:rPr>
          <w:rFonts w:asciiTheme="minorHAnsi" w:hAnsiTheme="minorHAnsi" w:cstheme="minorHAnsi"/>
        </w:rPr>
        <w:t xml:space="preserve">vojáků </w:t>
      </w:r>
      <w:r w:rsidR="000168F4" w:rsidRPr="00610ADF">
        <w:rPr>
          <w:rFonts w:asciiTheme="minorHAnsi" w:hAnsiTheme="minorHAnsi" w:cstheme="minorHAnsi"/>
        </w:rPr>
        <w:t>zadní část</w:t>
      </w:r>
      <w:r w:rsidR="003F1745">
        <w:rPr>
          <w:rFonts w:asciiTheme="minorHAnsi" w:hAnsiTheme="minorHAnsi" w:cstheme="minorHAnsi"/>
        </w:rPr>
        <w:t>i</w:t>
      </w:r>
      <w:r w:rsidR="000168F4" w:rsidRPr="00610ADF">
        <w:rPr>
          <w:rFonts w:asciiTheme="minorHAnsi" w:hAnsiTheme="minorHAnsi" w:cstheme="minorHAnsi"/>
        </w:rPr>
        <w:t xml:space="preserve"> vozidla</w:t>
      </w:r>
      <w:r w:rsidR="000168F4">
        <w:rPr>
          <w:rFonts w:asciiTheme="minorHAnsi" w:hAnsiTheme="minorHAnsi" w:cstheme="minorHAnsi"/>
        </w:rPr>
        <w:t xml:space="preserve"> ze dvou na jednoho</w:t>
      </w:r>
      <w:r w:rsidR="003F1745">
        <w:rPr>
          <w:rFonts w:asciiTheme="minorHAnsi" w:hAnsiTheme="minorHAnsi" w:cstheme="minorHAnsi"/>
        </w:rPr>
        <w:t>, s negativním dopadem na obsluhu zbraňové stanice v pří</w:t>
      </w:r>
      <w:r w:rsidR="00212091">
        <w:rPr>
          <w:rFonts w:asciiTheme="minorHAnsi" w:hAnsiTheme="minorHAnsi" w:cstheme="minorHAnsi"/>
        </w:rPr>
        <w:t>padě vedení průzkumné činnosti.</w:t>
      </w:r>
    </w:p>
    <w:p w14:paraId="37A520DD" w14:textId="77777777" w:rsidR="00212091" w:rsidRDefault="00212091" w:rsidP="003F0EE0">
      <w:pPr>
        <w:jc w:val="both"/>
        <w:rPr>
          <w:rFonts w:asciiTheme="minorHAnsi" w:hAnsiTheme="minorHAnsi" w:cstheme="minorHAnsi"/>
        </w:rPr>
      </w:pPr>
    </w:p>
    <w:p w14:paraId="0D83944A" w14:textId="74A8CBA1" w:rsidR="00BF7B17" w:rsidRDefault="00212091" w:rsidP="003F0EE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</w:t>
      </w:r>
      <w:r w:rsidR="003F1745">
        <w:rPr>
          <w:rFonts w:asciiTheme="minorHAnsi" w:hAnsiTheme="minorHAnsi" w:cstheme="minorHAnsi"/>
        </w:rPr>
        <w:t>zidl</w:t>
      </w:r>
      <w:r>
        <w:rPr>
          <w:rFonts w:asciiTheme="minorHAnsi" w:hAnsiTheme="minorHAnsi" w:cstheme="minorHAnsi"/>
        </w:rPr>
        <w:t xml:space="preserve">o </w:t>
      </w:r>
      <w:r w:rsidR="00AA3595">
        <w:rPr>
          <w:rFonts w:asciiTheme="minorHAnsi" w:hAnsiTheme="minorHAnsi" w:cstheme="minorHAnsi"/>
        </w:rPr>
        <w:t xml:space="preserve">nebylo </w:t>
      </w:r>
      <w:r w:rsidR="003F1745">
        <w:rPr>
          <w:rFonts w:asciiTheme="minorHAnsi" w:hAnsiTheme="minorHAnsi" w:cstheme="minorHAnsi"/>
        </w:rPr>
        <w:t>do zahraniční operace</w:t>
      </w:r>
      <w:r w:rsidR="00AA3595">
        <w:rPr>
          <w:rFonts w:asciiTheme="minorHAnsi" w:hAnsiTheme="minorHAnsi" w:cstheme="minorHAnsi"/>
        </w:rPr>
        <w:t xml:space="preserve"> nasazeno</w:t>
      </w:r>
      <w:r>
        <w:rPr>
          <w:rFonts w:asciiTheme="minorHAnsi" w:hAnsiTheme="minorHAnsi" w:cstheme="minorHAnsi"/>
        </w:rPr>
        <w:t>. P</w:t>
      </w:r>
      <w:r w:rsidR="000168F4">
        <w:rPr>
          <w:rFonts w:asciiTheme="minorHAnsi" w:hAnsiTheme="minorHAnsi" w:cstheme="minorHAnsi"/>
        </w:rPr>
        <w:t xml:space="preserve">o </w:t>
      </w:r>
      <w:r w:rsidR="000168F4" w:rsidRPr="00610ADF">
        <w:rPr>
          <w:rFonts w:asciiTheme="minorHAnsi" w:hAnsiTheme="minorHAnsi" w:cstheme="minorHAnsi"/>
        </w:rPr>
        <w:t xml:space="preserve">zavedení do užívání </w:t>
      </w:r>
      <w:r w:rsidR="00E03155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 xml:space="preserve">bylo postupně </w:t>
      </w:r>
      <w:r w:rsidR="000168F4">
        <w:rPr>
          <w:rFonts w:asciiTheme="minorHAnsi" w:hAnsiTheme="minorHAnsi" w:cstheme="minorHAnsi"/>
        </w:rPr>
        <w:t>celkem šest a půl měsíce</w:t>
      </w:r>
      <w:r w:rsidR="00B80A5A">
        <w:rPr>
          <w:rFonts w:asciiTheme="minorHAnsi" w:hAnsiTheme="minorHAnsi" w:cstheme="minorHAnsi"/>
        </w:rPr>
        <w:t xml:space="preserve"> </w:t>
      </w:r>
      <w:r w:rsidR="000168F4" w:rsidRPr="00610ADF">
        <w:rPr>
          <w:rFonts w:asciiTheme="minorHAnsi" w:hAnsiTheme="minorHAnsi" w:cstheme="minorHAnsi"/>
        </w:rPr>
        <w:t>provozuschopné</w:t>
      </w:r>
      <w:r w:rsidR="00AA3595">
        <w:rPr>
          <w:rFonts w:asciiTheme="minorHAnsi" w:hAnsiTheme="minorHAnsi" w:cstheme="minorHAnsi"/>
        </w:rPr>
        <w:t xml:space="preserve"> a </w:t>
      </w:r>
      <w:r w:rsidR="000168F4" w:rsidRPr="00610ADF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rovozuschopné </w:t>
      </w:r>
      <w:r w:rsidR="00E03155">
        <w:rPr>
          <w:rFonts w:asciiTheme="minorHAnsi" w:hAnsiTheme="minorHAnsi" w:cstheme="minorHAnsi"/>
        </w:rPr>
        <w:t>ne</w:t>
      </w:r>
      <w:r w:rsidR="00AA3595">
        <w:rPr>
          <w:rFonts w:asciiTheme="minorHAnsi" w:hAnsiTheme="minorHAnsi" w:cstheme="minorHAnsi"/>
        </w:rPr>
        <w:t xml:space="preserve">bylo </w:t>
      </w:r>
      <w:r w:rsidR="00E03155">
        <w:rPr>
          <w:rFonts w:asciiTheme="minorHAnsi" w:hAnsiTheme="minorHAnsi" w:cstheme="minorHAnsi"/>
        </w:rPr>
        <w:t>an</w:t>
      </w:r>
      <w:r w:rsidR="00660F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v </w:t>
      </w:r>
      <w:r w:rsidR="000168F4" w:rsidRPr="00610ADF">
        <w:rPr>
          <w:rFonts w:asciiTheme="minorHAnsi" w:hAnsiTheme="minorHAnsi" w:cstheme="minorHAnsi"/>
        </w:rPr>
        <w:t>době ukončení kontroly.</w:t>
      </w:r>
    </w:p>
    <w:p w14:paraId="3D275380" w14:textId="77777777" w:rsidR="00BF7B17" w:rsidRDefault="00BF7B17" w:rsidP="003F0EE0">
      <w:pPr>
        <w:jc w:val="both"/>
        <w:rPr>
          <w:rFonts w:asciiTheme="minorHAnsi" w:hAnsiTheme="minorHAnsi" w:cstheme="minorHAnsi"/>
        </w:rPr>
      </w:pPr>
    </w:p>
    <w:p w14:paraId="66692BEA" w14:textId="2BC60F59" w:rsidR="003F0EE0" w:rsidRPr="00BF7B17" w:rsidRDefault="003F0EE0" w:rsidP="003F0EE0">
      <w:pPr>
        <w:jc w:val="both"/>
        <w:rPr>
          <w:rFonts w:asciiTheme="minorHAnsi" w:hAnsiTheme="minorHAnsi" w:cstheme="minorHAnsi"/>
        </w:rPr>
      </w:pPr>
      <w:r w:rsidRPr="00BF7B17">
        <w:rPr>
          <w:rFonts w:asciiTheme="minorHAnsi" w:hAnsiTheme="minorHAnsi" w:cstheme="minorHAnsi"/>
        </w:rPr>
        <w:t xml:space="preserve">MO </w:t>
      </w:r>
      <w:r w:rsidR="007E2C29">
        <w:rPr>
          <w:rFonts w:asciiTheme="minorHAnsi" w:hAnsiTheme="minorHAnsi" w:cstheme="minorHAnsi"/>
        </w:rPr>
        <w:t>ne</w:t>
      </w:r>
      <w:r w:rsidR="00B80A5A">
        <w:rPr>
          <w:rFonts w:asciiTheme="minorHAnsi" w:hAnsiTheme="minorHAnsi" w:cstheme="minorHAnsi"/>
        </w:rPr>
        <w:t xml:space="preserve">provedlo </w:t>
      </w:r>
      <w:r w:rsidR="00BF7B17" w:rsidRPr="00BF7B17">
        <w:rPr>
          <w:rFonts w:asciiTheme="minorHAnsi" w:hAnsiTheme="minorHAnsi" w:cstheme="minorHAnsi"/>
        </w:rPr>
        <w:t xml:space="preserve">technické zhodnocení </w:t>
      </w:r>
      <w:r w:rsidRPr="00BF7B17">
        <w:rPr>
          <w:rFonts w:asciiTheme="minorHAnsi" w:hAnsiTheme="minorHAnsi" w:cstheme="minorHAnsi"/>
        </w:rPr>
        <w:t>lehkého obrněného vozidla v hodnotě 85 949</w:t>
      </w:r>
      <w:r w:rsidR="009E74BC">
        <w:rPr>
          <w:rFonts w:asciiTheme="minorHAnsi" w:hAnsiTheme="minorHAnsi" w:cstheme="minorHAnsi"/>
        </w:rPr>
        <w:t> </w:t>
      </w:r>
      <w:r w:rsidRPr="00BF7B17">
        <w:rPr>
          <w:rFonts w:asciiTheme="minorHAnsi" w:hAnsiTheme="minorHAnsi" w:cstheme="minorHAnsi"/>
        </w:rPr>
        <w:t>46</w:t>
      </w:r>
      <w:r w:rsidR="00BF7B17" w:rsidRPr="00BF7B17">
        <w:rPr>
          <w:rFonts w:asciiTheme="minorHAnsi" w:hAnsiTheme="minorHAnsi" w:cstheme="minorHAnsi"/>
        </w:rPr>
        <w:t>2</w:t>
      </w:r>
      <w:r w:rsidR="009E74BC">
        <w:rPr>
          <w:rFonts w:asciiTheme="minorHAnsi" w:hAnsiTheme="minorHAnsi" w:cstheme="minorHAnsi"/>
        </w:rPr>
        <w:t> </w:t>
      </w:r>
      <w:r w:rsidR="00BF7B17" w:rsidRPr="00BF7B17">
        <w:rPr>
          <w:rFonts w:asciiTheme="minorHAnsi" w:hAnsiTheme="minorHAnsi" w:cstheme="minorHAnsi"/>
        </w:rPr>
        <w:t>Kč</w:t>
      </w:r>
      <w:r w:rsidRPr="00BF7B17">
        <w:rPr>
          <w:rFonts w:asciiTheme="minorHAnsi" w:hAnsiTheme="minorHAnsi" w:cstheme="minorHAnsi"/>
        </w:rPr>
        <w:t xml:space="preserve"> účelně a efektivně. Neúčelnost spočív</w:t>
      </w:r>
      <w:r w:rsidR="00FA685E">
        <w:rPr>
          <w:rFonts w:asciiTheme="minorHAnsi" w:hAnsiTheme="minorHAnsi" w:cstheme="minorHAnsi"/>
        </w:rPr>
        <w:t>ala</w:t>
      </w:r>
      <w:r w:rsidRPr="00BF7B17">
        <w:rPr>
          <w:rFonts w:asciiTheme="minorHAnsi" w:hAnsiTheme="minorHAnsi" w:cstheme="minorHAnsi"/>
        </w:rPr>
        <w:t xml:space="preserve"> v</w:t>
      </w:r>
      <w:r w:rsidR="00B80A5A">
        <w:rPr>
          <w:rFonts w:asciiTheme="minorHAnsi" w:hAnsiTheme="minorHAnsi" w:cstheme="minorHAnsi"/>
        </w:rPr>
        <w:t> nesplnění cíle akce, resp</w:t>
      </w:r>
      <w:r w:rsidR="001209F3">
        <w:rPr>
          <w:rFonts w:asciiTheme="minorHAnsi" w:hAnsiTheme="minorHAnsi" w:cstheme="minorHAnsi"/>
        </w:rPr>
        <w:t>ektive</w:t>
      </w:r>
      <w:r w:rsidR="00B80A5A">
        <w:rPr>
          <w:rFonts w:asciiTheme="minorHAnsi" w:hAnsiTheme="minorHAnsi" w:cstheme="minorHAnsi"/>
        </w:rPr>
        <w:t xml:space="preserve"> v omezení </w:t>
      </w:r>
      <w:r w:rsidRPr="00BF7B17">
        <w:rPr>
          <w:rFonts w:asciiTheme="minorHAnsi" w:hAnsiTheme="minorHAnsi" w:cstheme="minorHAnsi"/>
        </w:rPr>
        <w:t>schopností vozidla způsobeném snížením ráže zbraňové</w:t>
      </w:r>
      <w:r w:rsidR="00B80A5A">
        <w:rPr>
          <w:rFonts w:asciiTheme="minorHAnsi" w:hAnsiTheme="minorHAnsi" w:cstheme="minorHAnsi"/>
        </w:rPr>
        <w:t xml:space="preserve"> stanice </w:t>
      </w:r>
      <w:r w:rsidRPr="00BF7B17">
        <w:rPr>
          <w:rFonts w:asciiTheme="minorHAnsi" w:hAnsiTheme="minorHAnsi" w:cstheme="minorHAnsi"/>
        </w:rPr>
        <w:t xml:space="preserve">a snížením počtu </w:t>
      </w:r>
      <w:r w:rsidR="00BF7B17" w:rsidRPr="00BF7B17">
        <w:rPr>
          <w:rFonts w:asciiTheme="minorHAnsi" w:hAnsiTheme="minorHAnsi" w:cstheme="minorHAnsi"/>
        </w:rPr>
        <w:t>vojáků</w:t>
      </w:r>
      <w:r w:rsidRPr="00BF7B17">
        <w:rPr>
          <w:rFonts w:asciiTheme="minorHAnsi" w:hAnsiTheme="minorHAnsi" w:cstheme="minorHAnsi"/>
        </w:rPr>
        <w:t xml:space="preserve"> v zadní části vozidla</w:t>
      </w:r>
      <w:r w:rsidR="00DB5EEC">
        <w:rPr>
          <w:rFonts w:asciiTheme="minorHAnsi" w:hAnsiTheme="minorHAnsi" w:cstheme="minorHAnsi"/>
        </w:rPr>
        <w:t>. N</w:t>
      </w:r>
      <w:r w:rsidRPr="00BF7B17">
        <w:rPr>
          <w:rFonts w:asciiTheme="minorHAnsi" w:hAnsiTheme="minorHAnsi" w:cstheme="minorHAnsi"/>
        </w:rPr>
        <w:t xml:space="preserve">eefektivnost </w:t>
      </w:r>
      <w:r w:rsidR="001209F3">
        <w:rPr>
          <w:rFonts w:asciiTheme="minorHAnsi" w:hAnsiTheme="minorHAnsi" w:cstheme="minorHAnsi"/>
        </w:rPr>
        <w:t xml:space="preserve">spočívala </w:t>
      </w:r>
      <w:r w:rsidRPr="00BF7B17">
        <w:rPr>
          <w:rFonts w:asciiTheme="minorHAnsi" w:hAnsiTheme="minorHAnsi" w:cstheme="minorHAnsi"/>
        </w:rPr>
        <w:t>v nedostatečné přípravě akce</w:t>
      </w:r>
      <w:r w:rsidR="00E758E5">
        <w:rPr>
          <w:rFonts w:asciiTheme="minorHAnsi" w:hAnsiTheme="minorHAnsi" w:cstheme="minorHAnsi"/>
        </w:rPr>
        <w:t xml:space="preserve">, čímž </w:t>
      </w:r>
      <w:r w:rsidR="00DB5EEC">
        <w:rPr>
          <w:rFonts w:asciiTheme="minorHAnsi" w:hAnsiTheme="minorHAnsi" w:cstheme="minorHAnsi"/>
        </w:rPr>
        <w:t xml:space="preserve">došlo ke snížení </w:t>
      </w:r>
      <w:r w:rsidR="00E758E5">
        <w:rPr>
          <w:rFonts w:asciiTheme="minorHAnsi" w:hAnsiTheme="minorHAnsi" w:cstheme="minorHAnsi"/>
        </w:rPr>
        <w:t xml:space="preserve">její </w:t>
      </w:r>
      <w:r w:rsidR="00DB5EEC">
        <w:rPr>
          <w:rFonts w:asciiTheme="minorHAnsi" w:hAnsiTheme="minorHAnsi" w:cstheme="minorHAnsi"/>
        </w:rPr>
        <w:t>kvality a přínosu</w:t>
      </w:r>
      <w:r w:rsidR="00A0685E">
        <w:rPr>
          <w:rFonts w:asciiTheme="minorHAnsi" w:hAnsiTheme="minorHAnsi" w:cstheme="minorHAnsi"/>
          <w:vertAlign w:val="superscript"/>
        </w:rPr>
        <w:t>7</w:t>
      </w:r>
      <w:r w:rsidR="00E758E5">
        <w:rPr>
          <w:rFonts w:asciiTheme="minorHAnsi" w:hAnsiTheme="minorHAnsi" w:cstheme="minorHAnsi"/>
        </w:rPr>
        <w:t>.</w:t>
      </w:r>
    </w:p>
    <w:p w14:paraId="5A7A4FB4" w14:textId="471F93DD" w:rsidR="00A93B59" w:rsidRDefault="00A93B59" w:rsidP="00A93B59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4</w:t>
      </w:r>
      <w:r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i w:val="0"/>
          <w:sz w:val="24"/>
          <w:szCs w:val="24"/>
        </w:rPr>
        <w:t>Absence plánování celkových nákladů životní</w:t>
      </w:r>
      <w:r w:rsidR="002B284C">
        <w:rPr>
          <w:rFonts w:asciiTheme="minorHAnsi" w:hAnsiTheme="minorHAnsi" w:cstheme="minorHAnsi"/>
          <w:i w:val="0"/>
          <w:sz w:val="24"/>
          <w:szCs w:val="24"/>
        </w:rPr>
        <w:t>ho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cyklu</w:t>
      </w:r>
      <w:r w:rsidR="004949A3">
        <w:rPr>
          <w:rFonts w:asciiTheme="minorHAnsi" w:hAnsiTheme="minorHAnsi" w:cstheme="minorHAnsi"/>
          <w:i w:val="0"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obrněné techniky</w:t>
      </w:r>
    </w:p>
    <w:p w14:paraId="215083E9" w14:textId="77777777" w:rsidR="00A93B59" w:rsidRDefault="00A93B59" w:rsidP="00A93B59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8E13B1E" w14:textId="0733280B" w:rsidR="00A93B59" w:rsidRDefault="00A93B59" w:rsidP="00A93B59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697D32">
        <w:rPr>
          <w:rFonts w:asciiTheme="minorHAnsi" w:hAnsiTheme="minorHAnsi" w:cstheme="minorHAnsi"/>
        </w:rPr>
        <w:t>snesení vlády</w:t>
      </w:r>
      <w:r w:rsidR="00352016">
        <w:rPr>
          <w:rFonts w:asciiTheme="minorHAnsi" w:hAnsiTheme="minorHAnsi" w:cstheme="minorHAnsi"/>
          <w:vertAlign w:val="superscript"/>
        </w:rPr>
        <w:t>8</w:t>
      </w:r>
      <w:r w:rsidRPr="00697D32">
        <w:rPr>
          <w:rFonts w:asciiTheme="minorHAnsi" w:hAnsiTheme="minorHAnsi" w:cstheme="minorHAnsi"/>
        </w:rPr>
        <w:t xml:space="preserve"> ukládají MO </w:t>
      </w:r>
      <w:r>
        <w:rPr>
          <w:rFonts w:asciiTheme="minorHAnsi" w:hAnsiTheme="minorHAnsi" w:cstheme="minorHAnsi"/>
        </w:rPr>
        <w:t xml:space="preserve">posuzovat při nákupu obrněné techniky </w:t>
      </w:r>
      <w:r w:rsidRPr="00697D32">
        <w:rPr>
          <w:rFonts w:asciiTheme="minorHAnsi" w:hAnsiTheme="minorHAnsi" w:cstheme="minorHAnsi"/>
        </w:rPr>
        <w:t>náklady na celý životní cyklus pořizovaného majetku, a to již od roku 2011</w:t>
      </w:r>
      <w:r w:rsidRPr="00DB7F40">
        <w:rPr>
          <w:rFonts w:asciiTheme="minorHAnsi" w:hAnsiTheme="minorHAnsi" w:cstheme="minorHAnsi"/>
        </w:rPr>
        <w:t xml:space="preserve">. NKÚ zjistil, že MO při realizaci kontrolovaných investičních akcí </w:t>
      </w:r>
      <w:r>
        <w:rPr>
          <w:rFonts w:asciiTheme="minorHAnsi" w:hAnsiTheme="minorHAnsi" w:cstheme="minorHAnsi"/>
        </w:rPr>
        <w:t xml:space="preserve">tyto </w:t>
      </w:r>
      <w:r w:rsidRPr="00DB7F40">
        <w:rPr>
          <w:rFonts w:asciiTheme="minorHAnsi" w:hAnsiTheme="minorHAnsi" w:cstheme="minorHAnsi"/>
        </w:rPr>
        <w:t>náklady ve třech případech vůbec</w:t>
      </w:r>
      <w:r>
        <w:rPr>
          <w:rFonts w:asciiTheme="minorHAnsi" w:hAnsiTheme="minorHAnsi" w:cstheme="minorHAnsi"/>
        </w:rPr>
        <w:t xml:space="preserve"> neposuzovalo. V </w:t>
      </w:r>
      <w:r w:rsidRPr="00DB7F40">
        <w:rPr>
          <w:rFonts w:asciiTheme="minorHAnsi" w:hAnsiTheme="minorHAnsi" w:cstheme="minorHAnsi"/>
        </w:rPr>
        <w:t xml:space="preserve">jednom případě provedlo pouze orientační výpočet nákladů, který dále v rámci </w:t>
      </w:r>
      <w:r>
        <w:rPr>
          <w:rFonts w:asciiTheme="minorHAnsi" w:hAnsiTheme="minorHAnsi" w:cstheme="minorHAnsi"/>
        </w:rPr>
        <w:t xml:space="preserve">nákupu </w:t>
      </w:r>
      <w:r w:rsidRPr="00DB7F40">
        <w:rPr>
          <w:rFonts w:asciiTheme="minorHAnsi" w:hAnsiTheme="minorHAnsi" w:cstheme="minorHAnsi"/>
        </w:rPr>
        <w:t xml:space="preserve">nevyužilo. MO se tak neřídilo výše uvedenými </w:t>
      </w:r>
      <w:r w:rsidRPr="00871099">
        <w:rPr>
          <w:rFonts w:asciiTheme="minorHAnsi" w:hAnsiTheme="minorHAnsi" w:cstheme="minorHAnsi"/>
        </w:rPr>
        <w:t>usneseními vlády, čímž nepostupovalo v souladu s ustanovením § 21 zákona č. 2/1969 Sb.</w:t>
      </w:r>
    </w:p>
    <w:p w14:paraId="63A5AD96" w14:textId="77777777" w:rsidR="00A93B59" w:rsidRDefault="00A93B59" w:rsidP="00A93B59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6013C77" w14:textId="59D7EDAB" w:rsidR="00A93B59" w:rsidRPr="00697D32" w:rsidRDefault="00A93B59" w:rsidP="00A93B59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871099">
        <w:rPr>
          <w:rFonts w:asciiTheme="minorHAnsi" w:hAnsiTheme="minorHAnsi" w:cstheme="minorHAnsi"/>
        </w:rPr>
        <w:t xml:space="preserve">MO přitom </w:t>
      </w:r>
      <w:r>
        <w:rPr>
          <w:rFonts w:asciiTheme="minorHAnsi" w:hAnsiTheme="minorHAnsi" w:cstheme="minorHAnsi"/>
        </w:rPr>
        <w:t xml:space="preserve">například </w:t>
      </w:r>
      <w:r w:rsidRPr="00871099">
        <w:rPr>
          <w:rFonts w:asciiTheme="minorHAnsi" w:hAnsiTheme="minorHAnsi" w:cstheme="minorHAnsi"/>
        </w:rPr>
        <w:t xml:space="preserve">ve vyhodnocení plnění </w:t>
      </w:r>
      <w:r>
        <w:rPr>
          <w:rFonts w:asciiTheme="minorHAnsi" w:hAnsiTheme="minorHAnsi" w:cstheme="minorHAnsi"/>
        </w:rPr>
        <w:t xml:space="preserve">hlavních úkolů ročního plánu </w:t>
      </w:r>
      <w:r w:rsidRPr="00871099">
        <w:rPr>
          <w:rFonts w:asciiTheme="minorHAnsi" w:hAnsiTheme="minorHAnsi" w:cstheme="minorHAnsi"/>
        </w:rPr>
        <w:t xml:space="preserve">pro činnost MO v roce 2017 uvedlo, že </w:t>
      </w:r>
      <w:r>
        <w:rPr>
          <w:rFonts w:asciiTheme="minorHAnsi" w:hAnsiTheme="minorHAnsi" w:cstheme="minorHAnsi"/>
        </w:rPr>
        <w:t xml:space="preserve">neposuzování nákladů na celý životní cyklus již ve fázi pořizování vojenské techniky </w:t>
      </w:r>
      <w:r w:rsidRPr="00871099">
        <w:rPr>
          <w:rFonts w:asciiTheme="minorHAnsi" w:hAnsiTheme="minorHAnsi" w:cstheme="minorHAnsi"/>
        </w:rPr>
        <w:t>přináší následně p</w:t>
      </w:r>
      <w:r>
        <w:rPr>
          <w:rFonts w:asciiTheme="minorHAnsi" w:hAnsiTheme="minorHAnsi" w:cstheme="minorHAnsi"/>
        </w:rPr>
        <w:t>roblémy se zajištěním servisu a </w:t>
      </w:r>
      <w:r w:rsidRPr="00871099">
        <w:rPr>
          <w:rFonts w:asciiTheme="minorHAnsi" w:hAnsiTheme="minorHAnsi" w:cstheme="minorHAnsi"/>
        </w:rPr>
        <w:t>náhradních dílů. K</w:t>
      </w:r>
      <w:r w:rsidR="002B284C">
        <w:rPr>
          <w:rFonts w:asciiTheme="minorHAnsi" w:hAnsiTheme="minorHAnsi" w:cstheme="minorHAnsi"/>
        </w:rPr>
        <w:t> </w:t>
      </w:r>
      <w:r w:rsidRPr="0087109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ěm</w:t>
      </w:r>
      <w:r w:rsidR="002B284C">
        <w:rPr>
          <w:rFonts w:asciiTheme="minorHAnsi" w:hAnsiTheme="minorHAnsi" w:cstheme="minorHAnsi"/>
        </w:rPr>
        <w:t>to problémům</w:t>
      </w:r>
      <w:r>
        <w:rPr>
          <w:rFonts w:asciiTheme="minorHAnsi" w:hAnsiTheme="minorHAnsi" w:cstheme="minorHAnsi"/>
        </w:rPr>
        <w:t xml:space="preserve"> </w:t>
      </w:r>
      <w:r w:rsidRPr="00871099">
        <w:rPr>
          <w:rFonts w:asciiTheme="minorHAnsi" w:hAnsiTheme="minorHAnsi" w:cstheme="minorHAnsi"/>
        </w:rPr>
        <w:t>přispívá</w:t>
      </w:r>
      <w:r>
        <w:rPr>
          <w:rFonts w:asciiTheme="minorHAnsi" w:hAnsiTheme="minorHAnsi" w:cstheme="minorHAnsi"/>
        </w:rPr>
        <w:t xml:space="preserve"> podle NKÚ</w:t>
      </w:r>
      <w:r w:rsidRPr="00871099">
        <w:rPr>
          <w:rFonts w:asciiTheme="minorHAnsi" w:hAnsiTheme="minorHAnsi" w:cstheme="minorHAnsi"/>
        </w:rPr>
        <w:t xml:space="preserve"> i skutečnost, že MO zavedlo do výzbroje Armády jedinečné málopočetné </w:t>
      </w:r>
      <w:r w:rsidRPr="00352016">
        <w:rPr>
          <w:rFonts w:asciiTheme="minorHAnsi" w:hAnsiTheme="minorHAnsi" w:cstheme="minorHAnsi"/>
        </w:rPr>
        <w:t>systémy</w:t>
      </w:r>
      <w:r w:rsidR="00BC0EF5" w:rsidRPr="00352016">
        <w:rPr>
          <w:rFonts w:asciiTheme="minorHAnsi" w:hAnsiTheme="minorHAnsi" w:cstheme="minorHAnsi"/>
          <w:vertAlign w:val="superscript"/>
        </w:rPr>
        <w:t>9</w:t>
      </w:r>
      <w:r w:rsidRPr="00352016">
        <w:rPr>
          <w:rFonts w:asciiTheme="minorHAnsi" w:hAnsiTheme="minorHAnsi" w:cstheme="minorHAnsi"/>
        </w:rPr>
        <w:t xml:space="preserve"> s vysokou</w:t>
      </w:r>
      <w:r w:rsidRPr="00871099">
        <w:rPr>
          <w:rFonts w:asciiTheme="minorHAnsi" w:hAnsiTheme="minorHAnsi" w:cstheme="minorHAnsi"/>
        </w:rPr>
        <w:t xml:space="preserve"> cenou a omezenou dostupností náhradních dílů. </w:t>
      </w:r>
    </w:p>
    <w:p w14:paraId="58798D6D" w14:textId="77777777" w:rsidR="00A93B59" w:rsidRPr="00DB7F40" w:rsidRDefault="00A93B59" w:rsidP="00A93B59">
      <w:pPr>
        <w:jc w:val="both"/>
        <w:rPr>
          <w:rFonts w:asciiTheme="minorHAnsi" w:hAnsiTheme="minorHAnsi" w:cstheme="minorHAnsi"/>
        </w:rPr>
      </w:pPr>
    </w:p>
    <w:p w14:paraId="4A337387" w14:textId="2C704A2B" w:rsidR="00A93B59" w:rsidRPr="00871099" w:rsidRDefault="00A93B59" w:rsidP="00A93B59">
      <w:pPr>
        <w:jc w:val="both"/>
        <w:rPr>
          <w:rFonts w:asciiTheme="minorHAnsi" w:hAnsiTheme="minorHAnsi" w:cstheme="minorHAnsi"/>
        </w:rPr>
      </w:pPr>
      <w:r w:rsidRPr="00DB7F40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 xml:space="preserve">posuzování </w:t>
      </w:r>
      <w:r w:rsidRPr="00DB7F40">
        <w:rPr>
          <w:rFonts w:asciiTheme="minorHAnsi" w:hAnsiTheme="minorHAnsi" w:cstheme="minorHAnsi"/>
        </w:rPr>
        <w:t>nákladů životní</w:t>
      </w:r>
      <w:r w:rsidR="002B284C">
        <w:rPr>
          <w:rFonts w:asciiTheme="minorHAnsi" w:hAnsiTheme="minorHAnsi" w:cstheme="minorHAnsi"/>
        </w:rPr>
        <w:t>ho</w:t>
      </w:r>
      <w:r w:rsidRPr="00DB7F40">
        <w:rPr>
          <w:rFonts w:asciiTheme="minorHAnsi" w:hAnsiTheme="minorHAnsi" w:cstheme="minorHAnsi"/>
        </w:rPr>
        <w:t xml:space="preserve"> cyklu může</w:t>
      </w:r>
      <w:r>
        <w:rPr>
          <w:rFonts w:asciiTheme="minorHAnsi" w:hAnsiTheme="minorHAnsi" w:cstheme="minorHAnsi"/>
        </w:rPr>
        <w:t xml:space="preserve"> </w:t>
      </w:r>
      <w:r w:rsidRPr="00DB7F40">
        <w:rPr>
          <w:rFonts w:asciiTheme="minorHAnsi" w:hAnsiTheme="minorHAnsi" w:cstheme="minorHAnsi"/>
        </w:rPr>
        <w:t xml:space="preserve">vést k závislosti MO na produktech či službách dodavatele z důvodu </w:t>
      </w:r>
      <w:r>
        <w:rPr>
          <w:rFonts w:asciiTheme="minorHAnsi" w:hAnsiTheme="minorHAnsi" w:cstheme="minorHAnsi"/>
        </w:rPr>
        <w:t xml:space="preserve">vlastnictví </w:t>
      </w:r>
      <w:r w:rsidRPr="00DB7F40">
        <w:rPr>
          <w:rFonts w:asciiTheme="minorHAnsi" w:hAnsiTheme="minorHAnsi" w:cstheme="minorHAnsi"/>
        </w:rPr>
        <w:t>licencí k pořizované technice</w:t>
      </w:r>
      <w:r>
        <w:rPr>
          <w:rFonts w:asciiTheme="minorHAnsi" w:hAnsiTheme="minorHAnsi" w:cstheme="minorHAnsi"/>
        </w:rPr>
        <w:t xml:space="preserve"> (tzv. „</w:t>
      </w:r>
      <w:proofErr w:type="spellStart"/>
      <w:r>
        <w:rPr>
          <w:rFonts w:asciiTheme="minorHAnsi" w:hAnsiTheme="minorHAnsi" w:cstheme="minorHAnsi"/>
        </w:rPr>
        <w:t>vendor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lock</w:t>
      </w:r>
      <w:proofErr w:type="spellEnd"/>
      <w:r>
        <w:rPr>
          <w:rFonts w:asciiTheme="minorHAnsi" w:hAnsiTheme="minorHAnsi" w:cstheme="minorHAnsi"/>
        </w:rPr>
        <w:noBreakHyphen/>
      </w:r>
      <w:r w:rsidRPr="00DB7F40">
        <w:rPr>
          <w:rFonts w:asciiTheme="minorHAnsi" w:hAnsiTheme="minorHAnsi" w:cstheme="minorHAnsi"/>
        </w:rPr>
        <w:t>in“).</w:t>
      </w:r>
      <w:r w:rsidRPr="00DB7F40">
        <w:rPr>
          <w:rStyle w:val="Znakapoznpodarou"/>
          <w:rFonts w:asciiTheme="minorHAnsi" w:hAnsiTheme="minorHAnsi" w:cstheme="minorHAnsi"/>
        </w:rPr>
        <w:footnoteReference w:id="26"/>
      </w:r>
      <w:r>
        <w:rPr>
          <w:rFonts w:asciiTheme="minorHAnsi" w:hAnsiTheme="minorHAnsi" w:cstheme="minorHAnsi"/>
        </w:rPr>
        <w:t xml:space="preserve"> </w:t>
      </w:r>
      <w:r w:rsidRPr="00DB7F40">
        <w:rPr>
          <w:rFonts w:asciiTheme="minorHAnsi" w:hAnsiTheme="minorHAnsi" w:cstheme="minorHAnsi"/>
        </w:rPr>
        <w:t xml:space="preserve">K této závislosti došlo v případě KBVP a KOT, </w:t>
      </w:r>
      <w:r>
        <w:rPr>
          <w:rFonts w:asciiTheme="minorHAnsi" w:hAnsiTheme="minorHAnsi" w:cstheme="minorHAnsi"/>
        </w:rPr>
        <w:t>kdy</w:t>
      </w:r>
      <w:r w:rsidRPr="00DB7F40">
        <w:rPr>
          <w:rFonts w:asciiTheme="minorHAnsi" w:hAnsiTheme="minorHAnsi" w:cstheme="minorHAnsi"/>
        </w:rPr>
        <w:t xml:space="preserve"> mělo MO </w:t>
      </w:r>
      <w:r>
        <w:rPr>
          <w:rFonts w:asciiTheme="minorHAnsi" w:hAnsiTheme="minorHAnsi" w:cstheme="minorHAnsi"/>
        </w:rPr>
        <w:t xml:space="preserve">pouze </w:t>
      </w:r>
      <w:r w:rsidRPr="00DB7F40">
        <w:rPr>
          <w:rFonts w:asciiTheme="minorHAnsi" w:hAnsiTheme="minorHAnsi" w:cstheme="minorHAnsi"/>
        </w:rPr>
        <w:t xml:space="preserve">omezené možnosti při vyjednávání </w:t>
      </w:r>
      <w:r>
        <w:rPr>
          <w:rFonts w:asciiTheme="minorHAnsi" w:hAnsiTheme="minorHAnsi" w:cstheme="minorHAnsi"/>
        </w:rPr>
        <w:t xml:space="preserve">podmínek </w:t>
      </w:r>
      <w:r w:rsidRPr="00DB7F40">
        <w:rPr>
          <w:rFonts w:asciiTheme="minorHAnsi" w:hAnsiTheme="minorHAnsi" w:cstheme="minorHAnsi"/>
        </w:rPr>
        <w:t xml:space="preserve">servisních smluv. </w:t>
      </w:r>
      <w:r>
        <w:rPr>
          <w:rFonts w:asciiTheme="minorHAnsi" w:hAnsiTheme="minorHAnsi" w:cstheme="minorHAnsi"/>
        </w:rPr>
        <w:t xml:space="preserve">Výhradní licenci pro ČR měl jen jeden subjekt. MO tak nemohlo </w:t>
      </w:r>
      <w:r w:rsidRPr="00DB7F40">
        <w:rPr>
          <w:rFonts w:asciiTheme="minorHAnsi" w:hAnsiTheme="minorHAnsi" w:cstheme="minorHAnsi"/>
        </w:rPr>
        <w:t>uspořádat soutěž o nejvýhodnější nabídku, která významně podporuje hospodárné využití prostředků státního rozpočtu</w:t>
      </w:r>
      <w:r>
        <w:rPr>
          <w:rFonts w:asciiTheme="minorHAnsi" w:hAnsiTheme="minorHAnsi" w:cstheme="minorHAnsi"/>
        </w:rPr>
        <w:t>, a bylo nuceno využít postup podle jednacího řízení bez uveřejnění.</w:t>
      </w:r>
      <w:r w:rsidRPr="00DB7F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Závislost následně ovlivnila i cenu </w:t>
      </w:r>
      <w:r w:rsidRPr="00DB7F40">
        <w:rPr>
          <w:rFonts w:asciiTheme="minorHAnsi" w:hAnsiTheme="minorHAnsi" w:cstheme="minorHAnsi"/>
        </w:rPr>
        <w:t>servis</w:t>
      </w:r>
      <w:r>
        <w:rPr>
          <w:rFonts w:asciiTheme="minorHAnsi" w:hAnsiTheme="minorHAnsi" w:cstheme="minorHAnsi"/>
        </w:rPr>
        <w:t>ní podpory (viz bod 11)</w:t>
      </w:r>
      <w:r w:rsidRPr="00DB7F40">
        <w:rPr>
          <w:rFonts w:asciiTheme="minorHAnsi" w:hAnsiTheme="minorHAnsi" w:cstheme="minorHAnsi"/>
        </w:rPr>
        <w:t xml:space="preserve">. </w:t>
      </w:r>
    </w:p>
    <w:p w14:paraId="372EB545" w14:textId="77777777" w:rsidR="00560223" w:rsidRPr="00CE0687" w:rsidRDefault="00560223" w:rsidP="00560223">
      <w:pPr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689174A1" w14:textId="4A7543AF" w:rsidR="00A93B59" w:rsidRDefault="00A93B59" w:rsidP="00A93B59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5</w:t>
      </w:r>
      <w:r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 w:rsidRPr="002E01EA">
        <w:rPr>
          <w:rFonts w:asciiTheme="minorHAnsi" w:hAnsiTheme="minorHAnsi" w:cstheme="minorHAnsi"/>
          <w:i w:val="0"/>
          <w:sz w:val="24"/>
          <w:szCs w:val="24"/>
        </w:rPr>
        <w:t>Nesledování nákladů životní</w:t>
      </w:r>
      <w:r w:rsidR="002B284C">
        <w:rPr>
          <w:rFonts w:asciiTheme="minorHAnsi" w:hAnsiTheme="minorHAnsi" w:cstheme="minorHAnsi"/>
          <w:i w:val="0"/>
          <w:sz w:val="24"/>
          <w:szCs w:val="24"/>
        </w:rPr>
        <w:t>ho</w:t>
      </w:r>
      <w:r w:rsidRPr="002E01EA">
        <w:rPr>
          <w:rFonts w:asciiTheme="minorHAnsi" w:hAnsiTheme="minorHAnsi" w:cstheme="minorHAnsi"/>
          <w:i w:val="0"/>
          <w:sz w:val="24"/>
          <w:szCs w:val="24"/>
        </w:rPr>
        <w:t xml:space="preserve"> cyklu</w:t>
      </w:r>
      <w:r w:rsidR="008313AB">
        <w:rPr>
          <w:rFonts w:asciiTheme="minorHAnsi" w:hAnsiTheme="minorHAnsi" w:cstheme="minorHAnsi"/>
          <w:i w:val="0"/>
          <w:sz w:val="24"/>
          <w:szCs w:val="24"/>
          <w:vertAlign w:val="superscript"/>
        </w:rPr>
        <w:t>10</w:t>
      </w:r>
      <w:r w:rsidRPr="002E01EA">
        <w:rPr>
          <w:rFonts w:asciiTheme="minorHAnsi" w:hAnsiTheme="minorHAnsi" w:cstheme="minorHAnsi"/>
          <w:i w:val="0"/>
          <w:sz w:val="24"/>
          <w:szCs w:val="24"/>
        </w:rPr>
        <w:t xml:space="preserve"> KBVP a KOT</w:t>
      </w:r>
    </w:p>
    <w:p w14:paraId="7A527843" w14:textId="77777777" w:rsidR="00E03155" w:rsidRPr="00CE0687" w:rsidRDefault="00E03155" w:rsidP="00E03155">
      <w:pPr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7E4E24BE" w14:textId="7F3BC365" w:rsidR="00A93B59" w:rsidRPr="00967171" w:rsidRDefault="00A93B59" w:rsidP="00A93B59">
      <w:pPr>
        <w:jc w:val="both"/>
        <w:rPr>
          <w:rFonts w:asciiTheme="minorHAnsi" w:hAnsiTheme="minorHAnsi" w:cstheme="minorHAnsi"/>
        </w:rPr>
      </w:pPr>
      <w:r w:rsidRPr="00967171">
        <w:rPr>
          <w:rFonts w:asciiTheme="minorHAnsi" w:hAnsiTheme="minorHAnsi" w:cstheme="minorHAnsi"/>
        </w:rPr>
        <w:t xml:space="preserve">MO </w:t>
      </w:r>
      <w:r w:rsidR="00A0685E">
        <w:rPr>
          <w:rFonts w:asciiTheme="minorHAnsi" w:hAnsiTheme="minorHAnsi" w:cstheme="minorHAnsi"/>
        </w:rPr>
        <w:t xml:space="preserve">od roku 2014 </w:t>
      </w:r>
      <w:r w:rsidR="002E72CD">
        <w:rPr>
          <w:rFonts w:asciiTheme="minorHAnsi" w:hAnsiTheme="minorHAnsi" w:cstheme="minorHAnsi"/>
        </w:rPr>
        <w:t>neprovádí</w:t>
      </w:r>
      <w:r w:rsidRPr="00967171">
        <w:rPr>
          <w:rFonts w:asciiTheme="minorHAnsi" w:hAnsiTheme="minorHAnsi" w:cstheme="minorHAnsi"/>
        </w:rPr>
        <w:t xml:space="preserve"> analýzy nákladů životní</w:t>
      </w:r>
      <w:r w:rsidR="002B284C">
        <w:rPr>
          <w:rFonts w:asciiTheme="minorHAnsi" w:hAnsiTheme="minorHAnsi" w:cstheme="minorHAnsi"/>
        </w:rPr>
        <w:t>ho</w:t>
      </w:r>
      <w:r w:rsidRPr="00967171">
        <w:rPr>
          <w:rFonts w:asciiTheme="minorHAnsi" w:hAnsiTheme="minorHAnsi" w:cstheme="minorHAnsi"/>
        </w:rPr>
        <w:t xml:space="preserve"> cyklu KBVP a KOT</w:t>
      </w:r>
      <w:r>
        <w:rPr>
          <w:rFonts w:asciiTheme="minorHAnsi" w:hAnsiTheme="minorHAnsi" w:cstheme="minorHAnsi"/>
        </w:rPr>
        <w:t xml:space="preserve">, jak bylo uvedeno ve smlouvě na dodávky těchto vozidel z roku </w:t>
      </w:r>
      <w:r w:rsidRPr="00967171">
        <w:rPr>
          <w:rFonts w:asciiTheme="minorHAnsi" w:hAnsiTheme="minorHAnsi" w:cstheme="minorHAnsi"/>
        </w:rPr>
        <w:t xml:space="preserve">2009. To </w:t>
      </w:r>
      <w:r>
        <w:rPr>
          <w:rFonts w:asciiTheme="minorHAnsi" w:hAnsiTheme="minorHAnsi" w:cstheme="minorHAnsi"/>
        </w:rPr>
        <w:t>mu</w:t>
      </w:r>
      <w:r w:rsidRPr="00967171">
        <w:rPr>
          <w:rFonts w:asciiTheme="minorHAnsi" w:hAnsiTheme="minorHAnsi" w:cstheme="minorHAnsi"/>
        </w:rPr>
        <w:t xml:space="preserve"> znemožňuje využít ustanovení </w:t>
      </w:r>
      <w:r>
        <w:rPr>
          <w:rFonts w:asciiTheme="minorHAnsi" w:hAnsiTheme="minorHAnsi" w:cstheme="minorHAnsi"/>
        </w:rPr>
        <w:t xml:space="preserve">této </w:t>
      </w:r>
      <w:r w:rsidRPr="00967171">
        <w:rPr>
          <w:rFonts w:asciiTheme="minorHAnsi" w:hAnsiTheme="minorHAnsi" w:cstheme="minorHAnsi"/>
        </w:rPr>
        <w:t>smlouvy, na</w:t>
      </w:r>
      <w:r w:rsidR="00E03155">
        <w:rPr>
          <w:rFonts w:asciiTheme="minorHAnsi" w:hAnsiTheme="minorHAnsi" w:cstheme="minorHAnsi"/>
        </w:rPr>
        <w:t xml:space="preserve"> jehož</w:t>
      </w:r>
      <w:r w:rsidRPr="00967171">
        <w:rPr>
          <w:rFonts w:asciiTheme="minorHAnsi" w:hAnsiTheme="minorHAnsi" w:cstheme="minorHAnsi"/>
        </w:rPr>
        <w:t xml:space="preserve"> základě </w:t>
      </w:r>
      <w:r>
        <w:rPr>
          <w:rFonts w:asciiTheme="minorHAnsi" w:hAnsiTheme="minorHAnsi" w:cstheme="minorHAnsi"/>
        </w:rPr>
        <w:t>může</w:t>
      </w:r>
      <w:r w:rsidRPr="00967171">
        <w:rPr>
          <w:rFonts w:asciiTheme="minorHAnsi" w:hAnsiTheme="minorHAnsi" w:cstheme="minorHAnsi"/>
        </w:rPr>
        <w:t xml:space="preserve"> požadovat od dodavatele </w:t>
      </w:r>
      <w:r>
        <w:rPr>
          <w:rFonts w:asciiTheme="minorHAnsi" w:hAnsiTheme="minorHAnsi" w:cstheme="minorHAnsi"/>
        </w:rPr>
        <w:t xml:space="preserve">vozidel </w:t>
      </w:r>
      <w:r w:rsidRPr="00967171">
        <w:rPr>
          <w:rFonts w:asciiTheme="minorHAnsi" w:hAnsiTheme="minorHAnsi" w:cstheme="minorHAnsi"/>
        </w:rPr>
        <w:t xml:space="preserve">úhradu rozdílu mezi skutečnými náklady životního cyklu a náklady životního cyklu </w:t>
      </w:r>
      <w:r>
        <w:rPr>
          <w:rFonts w:asciiTheme="minorHAnsi" w:hAnsiTheme="minorHAnsi" w:cstheme="minorHAnsi"/>
        </w:rPr>
        <w:t>po</w:t>
      </w:r>
      <w:r w:rsidRPr="00967171">
        <w:rPr>
          <w:rFonts w:asciiTheme="minorHAnsi" w:hAnsiTheme="minorHAnsi" w:cstheme="minorHAnsi"/>
        </w:rPr>
        <w:t>dle smlouvy, pokud skutečné náklady tuto hodnotu převýší. Pořizovací cena a další náklady životní</w:t>
      </w:r>
      <w:r w:rsidR="002B284C">
        <w:rPr>
          <w:rFonts w:asciiTheme="minorHAnsi" w:hAnsiTheme="minorHAnsi" w:cstheme="minorHAnsi"/>
        </w:rPr>
        <w:t>ho</w:t>
      </w:r>
      <w:r w:rsidRPr="00967171">
        <w:rPr>
          <w:rFonts w:asciiTheme="minorHAnsi" w:hAnsiTheme="minorHAnsi" w:cstheme="minorHAnsi"/>
        </w:rPr>
        <w:t xml:space="preserve"> </w:t>
      </w:r>
      <w:r w:rsidRPr="00777E38">
        <w:rPr>
          <w:rFonts w:asciiTheme="minorHAnsi" w:hAnsiTheme="minorHAnsi" w:cstheme="minorHAnsi"/>
        </w:rPr>
        <w:t>cyklu</w:t>
      </w:r>
      <w:r w:rsidR="00E166BF">
        <w:rPr>
          <w:rFonts w:asciiTheme="minorHAnsi" w:hAnsiTheme="minorHAnsi" w:cstheme="minorHAnsi"/>
          <w:vertAlign w:val="superscript"/>
        </w:rPr>
        <w:t>1</w:t>
      </w:r>
      <w:r w:rsidR="008313AB">
        <w:rPr>
          <w:rFonts w:asciiTheme="minorHAnsi" w:hAnsiTheme="minorHAnsi" w:cstheme="minorHAnsi"/>
          <w:vertAlign w:val="superscript"/>
        </w:rPr>
        <w:t>0</w:t>
      </w:r>
      <w:r w:rsidRPr="00777E38">
        <w:rPr>
          <w:rFonts w:asciiTheme="minorHAnsi" w:hAnsiTheme="minorHAnsi" w:cstheme="minorHAnsi"/>
        </w:rPr>
        <w:t xml:space="preserve"> b</w:t>
      </w:r>
      <w:r>
        <w:rPr>
          <w:rFonts w:asciiTheme="minorHAnsi" w:hAnsiTheme="minorHAnsi" w:cstheme="minorHAnsi"/>
        </w:rPr>
        <w:t xml:space="preserve">yly </w:t>
      </w:r>
      <w:r w:rsidRPr="00967171">
        <w:rPr>
          <w:rFonts w:asciiTheme="minorHAnsi" w:hAnsiTheme="minorHAnsi" w:cstheme="minorHAnsi"/>
        </w:rPr>
        <w:t xml:space="preserve">přitom při výběru dodavatele </w:t>
      </w:r>
      <w:r>
        <w:rPr>
          <w:rFonts w:asciiTheme="minorHAnsi" w:hAnsiTheme="minorHAnsi" w:cstheme="minorHAnsi"/>
        </w:rPr>
        <w:t xml:space="preserve">vozidel v roce 2009 </w:t>
      </w:r>
      <w:r w:rsidRPr="00967171">
        <w:rPr>
          <w:rFonts w:asciiTheme="minorHAnsi" w:hAnsiTheme="minorHAnsi" w:cstheme="minorHAnsi"/>
        </w:rPr>
        <w:t>hodnot</w:t>
      </w:r>
      <w:r w:rsidR="00E03155">
        <w:rPr>
          <w:rFonts w:asciiTheme="minorHAnsi" w:hAnsiTheme="minorHAnsi" w:cstheme="minorHAnsi"/>
        </w:rPr>
        <w:t>i</w:t>
      </w:r>
      <w:r w:rsidRPr="00967171">
        <w:rPr>
          <w:rFonts w:asciiTheme="minorHAnsi" w:hAnsiTheme="minorHAnsi" w:cstheme="minorHAnsi"/>
        </w:rPr>
        <w:t>cí</w:t>
      </w:r>
      <w:r>
        <w:rPr>
          <w:rFonts w:asciiTheme="minorHAnsi" w:hAnsiTheme="minorHAnsi" w:cstheme="minorHAnsi"/>
        </w:rPr>
        <w:t>m kritérie</w:t>
      </w:r>
      <w:r w:rsidRPr="00967171">
        <w:rPr>
          <w:rFonts w:asciiTheme="minorHAnsi" w:hAnsiTheme="minorHAnsi" w:cstheme="minorHAnsi"/>
        </w:rPr>
        <w:t>m s</w:t>
      </w:r>
      <w:r>
        <w:rPr>
          <w:rFonts w:asciiTheme="minorHAnsi" w:hAnsiTheme="minorHAnsi" w:cstheme="minorHAnsi"/>
        </w:rPr>
        <w:t xml:space="preserve"> nejvyšší </w:t>
      </w:r>
      <w:r w:rsidRPr="00967171">
        <w:rPr>
          <w:rFonts w:asciiTheme="minorHAnsi" w:hAnsiTheme="minorHAnsi" w:cstheme="minorHAnsi"/>
        </w:rPr>
        <w:t xml:space="preserve">vahou </w:t>
      </w:r>
      <w:r>
        <w:rPr>
          <w:rFonts w:asciiTheme="minorHAnsi" w:hAnsiTheme="minorHAnsi" w:cstheme="minorHAnsi"/>
        </w:rPr>
        <w:t>5</w:t>
      </w:r>
      <w:r w:rsidRPr="00967171">
        <w:rPr>
          <w:rFonts w:asciiTheme="minorHAnsi" w:hAnsiTheme="minorHAnsi" w:cstheme="minorHAnsi"/>
        </w:rPr>
        <w:t>0 %</w:t>
      </w:r>
      <w:r>
        <w:rPr>
          <w:rFonts w:asciiTheme="minorHAnsi" w:hAnsiTheme="minorHAnsi" w:cstheme="minorHAnsi"/>
        </w:rPr>
        <w:t>.</w:t>
      </w:r>
      <w:r w:rsidRPr="00967171">
        <w:rPr>
          <w:rFonts w:asciiTheme="minorHAnsi" w:hAnsiTheme="minorHAnsi" w:cstheme="minorHAnsi"/>
        </w:rPr>
        <w:t xml:space="preserve"> </w:t>
      </w:r>
    </w:p>
    <w:p w14:paraId="16E492D9" w14:textId="77777777" w:rsidR="00A93B59" w:rsidRDefault="00A93B59" w:rsidP="00A93B59">
      <w:pPr>
        <w:jc w:val="both"/>
        <w:rPr>
          <w:rFonts w:asciiTheme="minorHAnsi" w:hAnsiTheme="minorHAnsi" w:cstheme="minorHAnsi"/>
        </w:rPr>
      </w:pPr>
    </w:p>
    <w:p w14:paraId="59E25231" w14:textId="7EF699EC" w:rsidR="00A93B59" w:rsidRPr="00967171" w:rsidRDefault="00A93B59" w:rsidP="00A93B59">
      <w:pPr>
        <w:jc w:val="both"/>
        <w:rPr>
          <w:rFonts w:asciiTheme="minorHAnsi" w:hAnsiTheme="minorHAnsi" w:cstheme="minorHAnsi"/>
        </w:rPr>
      </w:pPr>
      <w:r w:rsidRPr="00967171">
        <w:rPr>
          <w:rFonts w:asciiTheme="minorHAnsi" w:hAnsiTheme="minorHAnsi" w:cstheme="minorHAnsi"/>
        </w:rPr>
        <w:t>MO tím, že nevyužívá právní prostředky při uplatňování a hájení práv státu, které si samo upravilo ve smlouvě</w:t>
      </w:r>
      <w:r w:rsidRPr="004B3E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dodávky KBVP a KOT, </w:t>
      </w:r>
      <w:r w:rsidRPr="00967171">
        <w:rPr>
          <w:rFonts w:asciiTheme="minorHAnsi" w:hAnsiTheme="minorHAnsi" w:cstheme="minorHAnsi"/>
        </w:rPr>
        <w:t>nepostupuje v souladu s ust</w:t>
      </w:r>
      <w:r w:rsidR="00E166BF">
        <w:rPr>
          <w:rFonts w:asciiTheme="minorHAnsi" w:hAnsiTheme="minorHAnsi" w:cstheme="minorHAnsi"/>
        </w:rPr>
        <w:t>anovením § 14 odst. </w:t>
      </w:r>
      <w:r>
        <w:rPr>
          <w:rFonts w:asciiTheme="minorHAnsi" w:hAnsiTheme="minorHAnsi" w:cstheme="minorHAnsi"/>
        </w:rPr>
        <w:t>4 zákona č. </w:t>
      </w:r>
      <w:r w:rsidRPr="00967171">
        <w:rPr>
          <w:rFonts w:asciiTheme="minorHAnsi" w:hAnsiTheme="minorHAnsi" w:cstheme="minorHAnsi"/>
        </w:rPr>
        <w:t xml:space="preserve">219/2000 Sb. </w:t>
      </w:r>
      <w:r>
        <w:rPr>
          <w:rFonts w:asciiTheme="minorHAnsi" w:hAnsiTheme="minorHAnsi" w:cstheme="minorHAnsi"/>
        </w:rPr>
        <w:t>MO zároveň</w:t>
      </w:r>
      <w:r w:rsidRPr="00967171">
        <w:rPr>
          <w:rFonts w:asciiTheme="minorHAnsi" w:hAnsiTheme="minorHAnsi" w:cstheme="minorHAnsi"/>
        </w:rPr>
        <w:t xml:space="preserve"> nemá přehled o skutečné výši n</w:t>
      </w:r>
      <w:r>
        <w:rPr>
          <w:rFonts w:asciiTheme="minorHAnsi" w:hAnsiTheme="minorHAnsi" w:cstheme="minorHAnsi"/>
        </w:rPr>
        <w:t>ákladů na KBVP a </w:t>
      </w:r>
      <w:r w:rsidRPr="00967171">
        <w:rPr>
          <w:rFonts w:asciiTheme="minorHAnsi" w:hAnsiTheme="minorHAnsi" w:cstheme="minorHAnsi"/>
        </w:rPr>
        <w:t xml:space="preserve">KOT ani </w:t>
      </w:r>
      <w:r>
        <w:rPr>
          <w:rFonts w:asciiTheme="minorHAnsi" w:hAnsiTheme="minorHAnsi" w:cstheme="minorHAnsi"/>
        </w:rPr>
        <w:t>na da</w:t>
      </w:r>
      <w:r w:rsidRPr="00967171">
        <w:rPr>
          <w:rFonts w:asciiTheme="minorHAnsi" w:hAnsiTheme="minorHAnsi" w:cstheme="minorHAnsi"/>
        </w:rPr>
        <w:t>lší</w:t>
      </w:r>
      <w:r>
        <w:rPr>
          <w:rFonts w:asciiTheme="minorHAnsi" w:hAnsiTheme="minorHAnsi" w:cstheme="minorHAnsi"/>
        </w:rPr>
        <w:t xml:space="preserve"> typy</w:t>
      </w:r>
      <w:r w:rsidRPr="00967171">
        <w:rPr>
          <w:rFonts w:asciiTheme="minorHAnsi" w:hAnsiTheme="minorHAnsi" w:cstheme="minorHAnsi"/>
        </w:rPr>
        <w:t xml:space="preserve"> obrněné techniky, neboť </w:t>
      </w:r>
      <w:r>
        <w:rPr>
          <w:rFonts w:asciiTheme="minorHAnsi" w:hAnsiTheme="minorHAnsi" w:cstheme="minorHAnsi"/>
        </w:rPr>
        <w:t xml:space="preserve">například </w:t>
      </w:r>
      <w:r w:rsidRPr="00967171">
        <w:rPr>
          <w:rFonts w:asciiTheme="minorHAnsi" w:hAnsiTheme="minorHAnsi" w:cstheme="minorHAnsi"/>
        </w:rPr>
        <w:t>nesleduje</w:t>
      </w:r>
      <w:r>
        <w:rPr>
          <w:rFonts w:asciiTheme="minorHAnsi" w:hAnsiTheme="minorHAnsi" w:cstheme="minorHAnsi"/>
        </w:rPr>
        <w:t xml:space="preserve"> náklady na opravy prováděné vojskově</w:t>
      </w:r>
      <w:r w:rsidRPr="00967171">
        <w:rPr>
          <w:rFonts w:asciiTheme="minorHAnsi" w:hAnsiTheme="minorHAnsi" w:cstheme="minorHAnsi"/>
        </w:rPr>
        <w:t>.</w:t>
      </w:r>
    </w:p>
    <w:p w14:paraId="5A7806F4" w14:textId="77777777" w:rsidR="00A93B59" w:rsidRDefault="00A93B59" w:rsidP="00A93B59">
      <w:pPr>
        <w:jc w:val="both"/>
        <w:rPr>
          <w:rFonts w:asciiTheme="minorHAnsi" w:hAnsiTheme="minorHAnsi" w:cstheme="minorHAnsi"/>
        </w:rPr>
      </w:pPr>
    </w:p>
    <w:p w14:paraId="49AFA0B9" w14:textId="150F1823" w:rsidR="00A93B59" w:rsidRDefault="00A93B59" w:rsidP="00A93B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Analýzy nákladů životní</w:t>
      </w:r>
      <w:r w:rsidR="002B284C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cyklu měly sloužit také k optimalizaci logistické podpory KBVP a KOT v průběhu jejich užívání, popřípadě k získávání podkladů pro plánování. MO je mělo provádět s využitím programové aplikace a dat z diagnostického systému vozidel. MO tak činilo pouze do konce roku 2013</w:t>
      </w:r>
      <w:r w:rsidR="000535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 průběhu zavádění KBVP a KOT do užívání v re</w:t>
      </w:r>
      <w:r w:rsidR="00973E0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ortu. Podle vyjádření MO bylo provádění analýz pracné, časově náročné a MO by stejně nemělo dostatek relevantních podkladů pro postup dle příslušného ustanovení smlouvy na dodávky KBVP a KOT.</w:t>
      </w:r>
    </w:p>
    <w:p w14:paraId="6474843A" w14:textId="77777777" w:rsidR="00560223" w:rsidRPr="00CE0687" w:rsidRDefault="00560223" w:rsidP="00560223">
      <w:pPr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03B131D1" w14:textId="0105AB44" w:rsidR="00B15BA7" w:rsidRPr="00C85BC7" w:rsidRDefault="00A93B59" w:rsidP="0093486C">
      <w:pPr>
        <w:pStyle w:val="Nadpis2"/>
        <w:spacing w:before="0" w:after="0"/>
        <w:ind w:left="284" w:hanging="284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6</w:t>
      </w:r>
      <w:r w:rsidR="00606BF5"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93486C">
        <w:rPr>
          <w:rFonts w:asciiTheme="minorHAnsi" w:hAnsiTheme="minorHAnsi" w:cstheme="minorHAnsi"/>
          <w:i w:val="0"/>
          <w:sz w:val="24"/>
          <w:szCs w:val="24"/>
        </w:rPr>
        <w:tab/>
      </w:r>
      <w:r w:rsidR="008F6AF6" w:rsidRPr="008F6AF6">
        <w:rPr>
          <w:rFonts w:asciiTheme="minorHAnsi" w:hAnsiTheme="minorHAnsi" w:cstheme="minorHAnsi"/>
          <w:i w:val="0"/>
          <w:sz w:val="24"/>
          <w:szCs w:val="24"/>
        </w:rPr>
        <w:t xml:space="preserve">Nízká provozuschopnost </w:t>
      </w:r>
      <w:r w:rsidR="00E758E5">
        <w:rPr>
          <w:rFonts w:asciiTheme="minorHAnsi" w:hAnsiTheme="minorHAnsi" w:cstheme="minorHAnsi"/>
          <w:i w:val="0"/>
          <w:sz w:val="24"/>
          <w:szCs w:val="24"/>
        </w:rPr>
        <w:t>KBVP a KOT</w:t>
      </w:r>
      <w:r w:rsidR="00C42975">
        <w:rPr>
          <w:rFonts w:asciiTheme="minorHAnsi" w:hAnsiTheme="minorHAnsi" w:cstheme="minorHAnsi"/>
          <w:i w:val="0"/>
          <w:sz w:val="24"/>
          <w:szCs w:val="24"/>
        </w:rPr>
        <w:t>,</w:t>
      </w:r>
      <w:r w:rsidR="008F6AF6" w:rsidRPr="006D1332">
        <w:rPr>
          <w:rFonts w:asciiTheme="minorHAnsi" w:hAnsiTheme="minorHAnsi" w:cstheme="minorHAnsi"/>
          <w:i w:val="0"/>
          <w:sz w:val="24"/>
          <w:szCs w:val="24"/>
        </w:rPr>
        <w:t xml:space="preserve"> způsobená </w:t>
      </w:r>
      <w:r w:rsidR="006D1332" w:rsidRPr="006D1332">
        <w:rPr>
          <w:rFonts w:asciiTheme="minorHAnsi" w:hAnsiTheme="minorHAnsi" w:cstheme="minorHAnsi"/>
          <w:i w:val="0"/>
          <w:sz w:val="24"/>
          <w:szCs w:val="24"/>
        </w:rPr>
        <w:t xml:space="preserve">mj. </w:t>
      </w:r>
      <w:r w:rsidR="00E758E5">
        <w:rPr>
          <w:rFonts w:asciiTheme="minorHAnsi" w:hAnsiTheme="minorHAnsi" w:cstheme="minorHAnsi"/>
          <w:i w:val="0"/>
          <w:sz w:val="24"/>
          <w:szCs w:val="24"/>
        </w:rPr>
        <w:t xml:space="preserve">v důsledku </w:t>
      </w:r>
      <w:r w:rsidR="006D1332" w:rsidRPr="006D1332">
        <w:rPr>
          <w:rFonts w:asciiTheme="minorHAnsi" w:hAnsiTheme="minorHAnsi" w:cstheme="minorHAnsi"/>
          <w:i w:val="0"/>
          <w:sz w:val="24"/>
          <w:szCs w:val="24"/>
        </w:rPr>
        <w:t>nevýhodný</w:t>
      </w:r>
      <w:r w:rsidR="00E758E5">
        <w:rPr>
          <w:rFonts w:asciiTheme="minorHAnsi" w:hAnsiTheme="minorHAnsi" w:cstheme="minorHAnsi"/>
          <w:i w:val="0"/>
          <w:sz w:val="24"/>
          <w:szCs w:val="24"/>
        </w:rPr>
        <w:t>ch</w:t>
      </w:r>
      <w:r w:rsidR="006D1332" w:rsidRPr="006D1332">
        <w:rPr>
          <w:rFonts w:asciiTheme="minorHAnsi" w:hAnsiTheme="minorHAnsi" w:cstheme="minorHAnsi"/>
          <w:i w:val="0"/>
          <w:sz w:val="24"/>
          <w:szCs w:val="24"/>
        </w:rPr>
        <w:t xml:space="preserve"> podmín</w:t>
      </w:r>
      <w:r w:rsidR="00E758E5">
        <w:rPr>
          <w:rFonts w:asciiTheme="minorHAnsi" w:hAnsiTheme="minorHAnsi" w:cstheme="minorHAnsi"/>
          <w:i w:val="0"/>
          <w:sz w:val="24"/>
          <w:szCs w:val="24"/>
        </w:rPr>
        <w:t>e</w:t>
      </w:r>
      <w:r w:rsidR="006D1332" w:rsidRPr="006D1332">
        <w:rPr>
          <w:rFonts w:asciiTheme="minorHAnsi" w:hAnsiTheme="minorHAnsi" w:cstheme="minorHAnsi"/>
          <w:i w:val="0"/>
          <w:sz w:val="24"/>
          <w:szCs w:val="24"/>
        </w:rPr>
        <w:t>k</w:t>
      </w:r>
      <w:r w:rsidR="008F6AF6" w:rsidRPr="006D1332">
        <w:rPr>
          <w:rFonts w:asciiTheme="minorHAnsi" w:hAnsiTheme="minorHAnsi" w:cstheme="minorHAnsi"/>
          <w:i w:val="0"/>
          <w:sz w:val="24"/>
          <w:szCs w:val="24"/>
        </w:rPr>
        <w:t xml:space="preserve"> uzavřený</w:t>
      </w:r>
      <w:r w:rsidR="006D1332" w:rsidRPr="006D1332">
        <w:rPr>
          <w:rFonts w:asciiTheme="minorHAnsi" w:hAnsiTheme="minorHAnsi" w:cstheme="minorHAnsi"/>
          <w:i w:val="0"/>
          <w:sz w:val="24"/>
          <w:szCs w:val="24"/>
        </w:rPr>
        <w:t>ch</w:t>
      </w:r>
      <w:r w:rsidR="008F6AF6" w:rsidRPr="006D1332">
        <w:rPr>
          <w:rFonts w:asciiTheme="minorHAnsi" w:hAnsiTheme="minorHAnsi" w:cstheme="minorHAnsi"/>
          <w:i w:val="0"/>
          <w:sz w:val="24"/>
          <w:szCs w:val="24"/>
        </w:rPr>
        <w:t xml:space="preserve"> smluv</w:t>
      </w:r>
    </w:p>
    <w:p w14:paraId="6F17B560" w14:textId="16DC87FA" w:rsidR="00562B24" w:rsidRDefault="00562B24" w:rsidP="00560223">
      <w:pPr>
        <w:keepNext/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F8C8511" w14:textId="7A97A507" w:rsidR="000E2575" w:rsidRDefault="0096317E" w:rsidP="008C6F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 stanovilo limitní hodnotu provozuschopnosti obrněné techniky ve výši 85 %. </w:t>
      </w:r>
      <w:r w:rsidR="00A50EB9">
        <w:rPr>
          <w:rFonts w:asciiTheme="minorHAnsi" w:hAnsiTheme="minorHAnsi" w:cstheme="minorHAnsi"/>
        </w:rPr>
        <w:t>Například p</w:t>
      </w:r>
      <w:r w:rsidR="008C6FD4" w:rsidRPr="00B02DB1">
        <w:rPr>
          <w:rFonts w:asciiTheme="minorHAnsi" w:hAnsiTheme="minorHAnsi" w:cstheme="minorHAnsi"/>
        </w:rPr>
        <w:t xml:space="preserve">rovozuschopnost </w:t>
      </w:r>
      <w:r w:rsidR="008C6FD4">
        <w:rPr>
          <w:rFonts w:asciiTheme="minorHAnsi" w:hAnsiTheme="minorHAnsi" w:cstheme="minorHAnsi"/>
        </w:rPr>
        <w:t xml:space="preserve">99 </w:t>
      </w:r>
      <w:r w:rsidR="00A50EB9">
        <w:rPr>
          <w:rFonts w:asciiTheme="minorHAnsi" w:hAnsiTheme="minorHAnsi" w:cstheme="minorHAnsi"/>
        </w:rPr>
        <w:t>KBVP</w:t>
      </w:r>
      <w:r w:rsidR="008C6FD4" w:rsidRPr="00B02DB1">
        <w:rPr>
          <w:rFonts w:asciiTheme="minorHAnsi" w:hAnsiTheme="minorHAnsi" w:cstheme="minorHAnsi"/>
        </w:rPr>
        <w:t xml:space="preserve"> se v roce 2016 pohybovala okolo </w:t>
      </w:r>
      <w:r w:rsidR="008C6FD4">
        <w:rPr>
          <w:rFonts w:asciiTheme="minorHAnsi" w:hAnsiTheme="minorHAnsi" w:cstheme="minorHAnsi"/>
        </w:rPr>
        <w:t>66</w:t>
      </w:r>
      <w:r w:rsidR="008C6FD4" w:rsidRPr="00B02DB1">
        <w:rPr>
          <w:rFonts w:asciiTheme="minorHAnsi" w:hAnsiTheme="minorHAnsi" w:cstheme="minorHAnsi"/>
        </w:rPr>
        <w:t xml:space="preserve"> vozidel</w:t>
      </w:r>
      <w:r w:rsidR="008C6FD4">
        <w:rPr>
          <w:rFonts w:asciiTheme="minorHAnsi" w:hAnsiTheme="minorHAnsi" w:cstheme="minorHAnsi"/>
        </w:rPr>
        <w:t xml:space="preserve"> (tj. </w:t>
      </w:r>
      <w:r w:rsidR="008C6FD4" w:rsidRPr="00B02DB1">
        <w:rPr>
          <w:rFonts w:asciiTheme="minorHAnsi" w:hAnsiTheme="minorHAnsi" w:cstheme="minorHAnsi"/>
        </w:rPr>
        <w:t>67</w:t>
      </w:r>
      <w:r w:rsidR="008C6FD4">
        <w:rPr>
          <w:rFonts w:asciiTheme="minorHAnsi" w:hAnsiTheme="minorHAnsi" w:cstheme="minorHAnsi"/>
        </w:rPr>
        <w:t xml:space="preserve"> %), v roce </w:t>
      </w:r>
      <w:r w:rsidR="008C6FD4" w:rsidRPr="00B02DB1">
        <w:rPr>
          <w:rFonts w:asciiTheme="minorHAnsi" w:hAnsiTheme="minorHAnsi" w:cstheme="minorHAnsi"/>
        </w:rPr>
        <w:t xml:space="preserve">2017 </w:t>
      </w:r>
      <w:r w:rsidR="008C6FD4">
        <w:rPr>
          <w:rFonts w:asciiTheme="minorHAnsi" w:hAnsiTheme="minorHAnsi" w:cstheme="minorHAnsi"/>
        </w:rPr>
        <w:t xml:space="preserve">to </w:t>
      </w:r>
      <w:r w:rsidR="008C6FD4" w:rsidRPr="00B02DB1">
        <w:rPr>
          <w:rFonts w:asciiTheme="minorHAnsi" w:hAnsiTheme="minorHAnsi" w:cstheme="minorHAnsi"/>
        </w:rPr>
        <w:t xml:space="preserve">bylo </w:t>
      </w:r>
      <w:r w:rsidR="008C6FD4">
        <w:rPr>
          <w:rFonts w:asciiTheme="minorHAnsi" w:hAnsiTheme="minorHAnsi" w:cstheme="minorHAnsi"/>
        </w:rPr>
        <w:t>65</w:t>
      </w:r>
      <w:r w:rsidR="008C6FD4" w:rsidRPr="00B02DB1">
        <w:rPr>
          <w:rFonts w:asciiTheme="minorHAnsi" w:hAnsiTheme="minorHAnsi" w:cstheme="minorHAnsi"/>
        </w:rPr>
        <w:t xml:space="preserve"> vozidel (tj. 6</w:t>
      </w:r>
      <w:r w:rsidR="008C6FD4">
        <w:rPr>
          <w:rFonts w:asciiTheme="minorHAnsi" w:hAnsiTheme="minorHAnsi" w:cstheme="minorHAnsi"/>
        </w:rPr>
        <w:t>6 %)</w:t>
      </w:r>
      <w:r w:rsidR="00A50EB9">
        <w:rPr>
          <w:rFonts w:asciiTheme="minorHAnsi" w:hAnsiTheme="minorHAnsi" w:cstheme="minorHAnsi"/>
        </w:rPr>
        <w:t xml:space="preserve">, </w:t>
      </w:r>
      <w:r w:rsidR="008C6FD4">
        <w:rPr>
          <w:rFonts w:asciiTheme="minorHAnsi" w:hAnsiTheme="minorHAnsi" w:cstheme="minorHAnsi"/>
        </w:rPr>
        <w:t xml:space="preserve">v roce </w:t>
      </w:r>
      <w:r w:rsidR="008C6FD4" w:rsidRPr="00B02DB1">
        <w:rPr>
          <w:rFonts w:asciiTheme="minorHAnsi" w:hAnsiTheme="minorHAnsi" w:cstheme="minorHAnsi"/>
        </w:rPr>
        <w:t xml:space="preserve">2018 </w:t>
      </w:r>
      <w:r w:rsidR="00A50EB9">
        <w:rPr>
          <w:rFonts w:asciiTheme="minorHAnsi" w:hAnsiTheme="minorHAnsi" w:cstheme="minorHAnsi"/>
        </w:rPr>
        <w:t xml:space="preserve">pak </w:t>
      </w:r>
      <w:r w:rsidR="008C6FD4">
        <w:rPr>
          <w:rFonts w:asciiTheme="minorHAnsi" w:hAnsiTheme="minorHAnsi" w:cstheme="minorHAnsi"/>
        </w:rPr>
        <w:t>69</w:t>
      </w:r>
      <w:r w:rsidR="008C6FD4" w:rsidRPr="00B02DB1">
        <w:rPr>
          <w:rFonts w:asciiTheme="minorHAnsi" w:hAnsiTheme="minorHAnsi" w:cstheme="minorHAnsi"/>
        </w:rPr>
        <w:t xml:space="preserve"> vozidel </w:t>
      </w:r>
      <w:r w:rsidR="008C6FD4">
        <w:rPr>
          <w:rFonts w:asciiTheme="minorHAnsi" w:hAnsiTheme="minorHAnsi" w:cstheme="minorHAnsi"/>
        </w:rPr>
        <w:t xml:space="preserve">(tj. </w:t>
      </w:r>
      <w:r w:rsidR="008C6FD4" w:rsidRPr="00B02DB1">
        <w:rPr>
          <w:rFonts w:asciiTheme="minorHAnsi" w:hAnsiTheme="minorHAnsi" w:cstheme="minorHAnsi"/>
        </w:rPr>
        <w:t>70</w:t>
      </w:r>
      <w:r w:rsidR="00E75FA0">
        <w:rPr>
          <w:rFonts w:asciiTheme="minorHAnsi" w:hAnsiTheme="minorHAnsi" w:cstheme="minorHAnsi"/>
        </w:rPr>
        <w:t xml:space="preserve"> %</w:t>
      </w:r>
      <w:r w:rsidR="008C6FD4" w:rsidRPr="00B02DB1">
        <w:rPr>
          <w:rFonts w:asciiTheme="minorHAnsi" w:hAnsiTheme="minorHAnsi" w:cstheme="minorHAnsi"/>
        </w:rPr>
        <w:t>) a v</w:t>
      </w:r>
      <w:r w:rsidR="00973E0F">
        <w:rPr>
          <w:rFonts w:asciiTheme="minorHAnsi" w:hAnsiTheme="minorHAnsi" w:cstheme="minorHAnsi"/>
        </w:rPr>
        <w:t> </w:t>
      </w:r>
      <w:r w:rsidR="00E75FA0">
        <w:rPr>
          <w:rFonts w:asciiTheme="minorHAnsi" w:hAnsiTheme="minorHAnsi" w:cstheme="minorHAnsi"/>
        </w:rPr>
        <w:t>prvním</w:t>
      </w:r>
      <w:r w:rsidR="00973E0F">
        <w:rPr>
          <w:rFonts w:asciiTheme="minorHAnsi" w:hAnsiTheme="minorHAnsi" w:cstheme="minorHAnsi"/>
        </w:rPr>
        <w:t xml:space="preserve"> </w:t>
      </w:r>
      <w:r w:rsidR="008C6FD4" w:rsidRPr="00B02DB1">
        <w:rPr>
          <w:rFonts w:asciiTheme="minorHAnsi" w:hAnsiTheme="minorHAnsi" w:cstheme="minorHAnsi"/>
        </w:rPr>
        <w:t xml:space="preserve">pololetí roku 2019 bylo provozuschopných </w:t>
      </w:r>
      <w:r w:rsidR="00E75FA0">
        <w:rPr>
          <w:rFonts w:asciiTheme="minorHAnsi" w:hAnsiTheme="minorHAnsi" w:cstheme="minorHAnsi"/>
        </w:rPr>
        <w:t xml:space="preserve">65 </w:t>
      </w:r>
      <w:r w:rsidR="008C6FD4" w:rsidRPr="00B02DB1">
        <w:rPr>
          <w:rFonts w:asciiTheme="minorHAnsi" w:hAnsiTheme="minorHAnsi" w:cstheme="minorHAnsi"/>
        </w:rPr>
        <w:t xml:space="preserve">vozidel </w:t>
      </w:r>
      <w:r w:rsidR="00A50EB9">
        <w:rPr>
          <w:rFonts w:asciiTheme="minorHAnsi" w:hAnsiTheme="minorHAnsi" w:cstheme="minorHAnsi"/>
        </w:rPr>
        <w:t>(</w:t>
      </w:r>
      <w:r w:rsidR="00E75FA0">
        <w:rPr>
          <w:rFonts w:asciiTheme="minorHAnsi" w:hAnsiTheme="minorHAnsi" w:cstheme="minorHAnsi"/>
        </w:rPr>
        <w:t xml:space="preserve">tj. </w:t>
      </w:r>
      <w:r w:rsidR="008C6FD4" w:rsidRPr="00B02DB1">
        <w:rPr>
          <w:rFonts w:asciiTheme="minorHAnsi" w:hAnsiTheme="minorHAnsi" w:cstheme="minorHAnsi"/>
        </w:rPr>
        <w:t>66</w:t>
      </w:r>
      <w:r w:rsidR="00E75FA0">
        <w:rPr>
          <w:rFonts w:asciiTheme="minorHAnsi" w:hAnsiTheme="minorHAnsi" w:cstheme="minorHAnsi"/>
        </w:rPr>
        <w:t xml:space="preserve"> %</w:t>
      </w:r>
      <w:r w:rsidR="008C6FD4" w:rsidRPr="00B02DB1">
        <w:rPr>
          <w:rFonts w:asciiTheme="minorHAnsi" w:hAnsiTheme="minorHAnsi" w:cstheme="minorHAnsi"/>
        </w:rPr>
        <w:t>).</w:t>
      </w:r>
      <w:r w:rsidR="008C6FD4">
        <w:rPr>
          <w:rFonts w:asciiTheme="minorHAnsi" w:hAnsiTheme="minorHAnsi" w:cstheme="minorHAnsi"/>
        </w:rPr>
        <w:t xml:space="preserve"> </w:t>
      </w:r>
      <w:r w:rsidR="00336057">
        <w:rPr>
          <w:rFonts w:asciiTheme="minorHAnsi" w:hAnsiTheme="minorHAnsi" w:cstheme="minorHAnsi"/>
        </w:rPr>
        <w:t>P</w:t>
      </w:r>
      <w:r w:rsidR="001209F3">
        <w:rPr>
          <w:rFonts w:asciiTheme="minorHAnsi" w:hAnsiTheme="minorHAnsi" w:cstheme="minorHAnsi"/>
        </w:rPr>
        <w:t>růměrná p</w:t>
      </w:r>
      <w:r w:rsidR="00336057">
        <w:rPr>
          <w:rFonts w:asciiTheme="minorHAnsi" w:hAnsiTheme="minorHAnsi" w:cstheme="minorHAnsi"/>
        </w:rPr>
        <w:t xml:space="preserve">rovozuschopnost </w:t>
      </w:r>
      <w:r w:rsidR="00A50EB9">
        <w:rPr>
          <w:rFonts w:asciiTheme="minorHAnsi" w:hAnsiTheme="minorHAnsi" w:cstheme="minorHAnsi"/>
        </w:rPr>
        <w:t>KBVP</w:t>
      </w:r>
      <w:r w:rsidR="000E2575">
        <w:rPr>
          <w:rFonts w:asciiTheme="minorHAnsi" w:hAnsiTheme="minorHAnsi" w:cstheme="minorHAnsi"/>
        </w:rPr>
        <w:t xml:space="preserve"> byla v kontr</w:t>
      </w:r>
      <w:r w:rsidR="00A50EB9">
        <w:rPr>
          <w:rFonts w:asciiTheme="minorHAnsi" w:hAnsiTheme="minorHAnsi" w:cstheme="minorHAnsi"/>
        </w:rPr>
        <w:t xml:space="preserve">olovaném období nižší než 70 %. Celkem bylo provozuschopných </w:t>
      </w:r>
      <w:r w:rsidR="000E2575">
        <w:rPr>
          <w:rFonts w:asciiTheme="minorHAnsi" w:hAnsiTheme="minorHAnsi" w:cstheme="minorHAnsi"/>
        </w:rPr>
        <w:t xml:space="preserve">průměrně </w:t>
      </w:r>
      <w:r w:rsidR="0092277A">
        <w:rPr>
          <w:rFonts w:asciiTheme="minorHAnsi" w:hAnsiTheme="minorHAnsi" w:cstheme="minorHAnsi"/>
        </w:rPr>
        <w:t xml:space="preserve">pouze </w:t>
      </w:r>
      <w:r w:rsidR="000E2575">
        <w:rPr>
          <w:rFonts w:asciiTheme="minorHAnsi" w:hAnsiTheme="minorHAnsi" w:cstheme="minorHAnsi"/>
        </w:rPr>
        <w:t>74 ze 107 vozidel KBVP a KOT</w:t>
      </w:r>
      <w:r w:rsidR="00A50EB9">
        <w:rPr>
          <w:rFonts w:asciiTheme="minorHAnsi" w:hAnsiTheme="minorHAnsi" w:cstheme="minorHAnsi"/>
        </w:rPr>
        <w:t xml:space="preserve">. </w:t>
      </w:r>
      <w:r w:rsidR="00CF2826">
        <w:rPr>
          <w:rFonts w:asciiTheme="minorHAnsi" w:hAnsiTheme="minorHAnsi" w:cstheme="minorHAnsi"/>
        </w:rPr>
        <w:t>Přitom se jedná o relativně novou obrněnou techniku, nacházející se v první polovině životního cyklu.</w:t>
      </w:r>
    </w:p>
    <w:p w14:paraId="627EA604" w14:textId="77777777" w:rsidR="000E2575" w:rsidRDefault="000E2575" w:rsidP="008C6FD4">
      <w:pPr>
        <w:jc w:val="both"/>
        <w:rPr>
          <w:rFonts w:asciiTheme="minorHAnsi" w:hAnsiTheme="minorHAnsi" w:cstheme="minorHAnsi"/>
        </w:rPr>
      </w:pPr>
    </w:p>
    <w:p w14:paraId="2069FB01" w14:textId="4E971C0D" w:rsidR="00E75FA0" w:rsidRDefault="000E2575" w:rsidP="008C6F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</w:t>
      </w:r>
      <w:r w:rsidR="00E75FA0">
        <w:rPr>
          <w:rFonts w:asciiTheme="minorHAnsi" w:hAnsiTheme="minorHAnsi" w:cstheme="minorHAnsi"/>
        </w:rPr>
        <w:t xml:space="preserve"> j</w:t>
      </w:r>
      <w:r w:rsidR="008C6FD4" w:rsidRPr="00A94168">
        <w:rPr>
          <w:rFonts w:asciiTheme="minorHAnsi" w:hAnsiTheme="minorHAnsi" w:cstheme="minorHAnsi"/>
        </w:rPr>
        <w:t>ako důvod</w:t>
      </w:r>
      <w:r w:rsidR="00E75FA0">
        <w:rPr>
          <w:rFonts w:asciiTheme="minorHAnsi" w:hAnsiTheme="minorHAnsi" w:cstheme="minorHAnsi"/>
        </w:rPr>
        <w:t>y</w:t>
      </w:r>
      <w:r w:rsidR="008C6FD4" w:rsidRPr="00A94168">
        <w:rPr>
          <w:rFonts w:asciiTheme="minorHAnsi" w:hAnsiTheme="minorHAnsi" w:cstheme="minorHAnsi"/>
        </w:rPr>
        <w:t xml:space="preserve"> ne</w:t>
      </w:r>
      <w:r w:rsidR="00973E0F">
        <w:rPr>
          <w:rFonts w:asciiTheme="minorHAnsi" w:hAnsiTheme="minorHAnsi" w:cstheme="minorHAnsi"/>
        </w:rPr>
        <w:t xml:space="preserve">schopnosti </w:t>
      </w:r>
      <w:r w:rsidR="008C6FD4">
        <w:rPr>
          <w:rFonts w:asciiTheme="minorHAnsi" w:hAnsiTheme="minorHAnsi" w:cstheme="minorHAnsi"/>
        </w:rPr>
        <w:t xml:space="preserve">provozu </w:t>
      </w:r>
      <w:r w:rsidR="008C6FD4" w:rsidRPr="00A94168">
        <w:rPr>
          <w:rFonts w:asciiTheme="minorHAnsi" w:hAnsiTheme="minorHAnsi" w:cstheme="minorHAnsi"/>
        </w:rPr>
        <w:t xml:space="preserve">uvedlo </w:t>
      </w:r>
      <w:r w:rsidR="008C6FD4">
        <w:rPr>
          <w:rFonts w:asciiTheme="minorHAnsi" w:hAnsiTheme="minorHAnsi" w:cstheme="minorHAnsi"/>
        </w:rPr>
        <w:t>zejména</w:t>
      </w:r>
      <w:r w:rsidR="00E75FA0">
        <w:rPr>
          <w:rFonts w:asciiTheme="minorHAnsi" w:hAnsiTheme="minorHAnsi" w:cstheme="minorHAnsi"/>
        </w:rPr>
        <w:t>:</w:t>
      </w:r>
    </w:p>
    <w:p w14:paraId="08C159CB" w14:textId="0E9C49CF" w:rsidR="00E75FA0" w:rsidRDefault="008C6FD4" w:rsidP="00973E0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</w:rPr>
      </w:pPr>
      <w:r w:rsidRPr="00E75FA0">
        <w:rPr>
          <w:rFonts w:asciiTheme="minorHAnsi" w:hAnsiTheme="minorHAnsi" w:cstheme="minorHAnsi"/>
        </w:rPr>
        <w:t>dlouhé dodací lhůt</w:t>
      </w:r>
      <w:r w:rsidR="00E75FA0" w:rsidRPr="00E75FA0">
        <w:rPr>
          <w:rFonts w:asciiTheme="minorHAnsi" w:hAnsiTheme="minorHAnsi" w:cstheme="minorHAnsi"/>
        </w:rPr>
        <w:t>y objednaných náhradních dílů a </w:t>
      </w:r>
      <w:r w:rsidR="00A50EB9">
        <w:rPr>
          <w:rFonts w:asciiTheme="minorHAnsi" w:hAnsiTheme="minorHAnsi" w:cstheme="minorHAnsi"/>
        </w:rPr>
        <w:t>realizace oprav,</w:t>
      </w:r>
    </w:p>
    <w:p w14:paraId="78913AF6" w14:textId="4BC5B1FB" w:rsidR="00E75FA0" w:rsidRDefault="008C6FD4" w:rsidP="00973E0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</w:rPr>
      </w:pPr>
      <w:r w:rsidRPr="00E75FA0">
        <w:rPr>
          <w:rFonts w:asciiTheme="minorHAnsi" w:hAnsiTheme="minorHAnsi" w:cstheme="minorHAnsi"/>
        </w:rPr>
        <w:t>fluktuaci odborného personálu A</w:t>
      </w:r>
      <w:r w:rsidR="00E75FA0">
        <w:rPr>
          <w:rFonts w:asciiTheme="minorHAnsi" w:hAnsiTheme="minorHAnsi" w:cstheme="minorHAnsi"/>
        </w:rPr>
        <w:t>rmády</w:t>
      </w:r>
      <w:r w:rsidRPr="00E75FA0">
        <w:rPr>
          <w:rFonts w:asciiTheme="minorHAnsi" w:hAnsiTheme="minorHAnsi" w:cstheme="minorHAnsi"/>
        </w:rPr>
        <w:t>,</w:t>
      </w:r>
    </w:p>
    <w:p w14:paraId="1AFCF8AD" w14:textId="7979545F" w:rsidR="00E75FA0" w:rsidRDefault="00E75FA0" w:rsidP="00973E0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nekvalitní</w:t>
      </w:r>
      <w:r w:rsidR="008C6FD4" w:rsidRPr="00E75FA0">
        <w:rPr>
          <w:rFonts w:asciiTheme="minorHAnsi" w:hAnsiTheme="minorHAnsi" w:cstheme="minorHAnsi"/>
        </w:rPr>
        <w:t xml:space="preserve"> provádění výcviku při údržbě vozidel.</w:t>
      </w:r>
    </w:p>
    <w:p w14:paraId="5ABEF3BC" w14:textId="77777777" w:rsidR="00973E0F" w:rsidRDefault="00973E0F" w:rsidP="00753358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8CC25E" w14:textId="0570FDA2" w:rsidR="00336057" w:rsidRDefault="008C6FD4" w:rsidP="00753358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E75FA0">
        <w:rPr>
          <w:rFonts w:asciiTheme="minorHAnsi" w:hAnsiTheme="minorHAnsi" w:cstheme="minorHAnsi"/>
        </w:rPr>
        <w:t xml:space="preserve">K odstranění </w:t>
      </w:r>
      <w:r w:rsidR="000E2575">
        <w:rPr>
          <w:rFonts w:asciiTheme="minorHAnsi" w:hAnsiTheme="minorHAnsi" w:cstheme="minorHAnsi"/>
        </w:rPr>
        <w:t xml:space="preserve">některých </w:t>
      </w:r>
      <w:r w:rsidRPr="00E75FA0">
        <w:rPr>
          <w:rFonts w:asciiTheme="minorHAnsi" w:hAnsiTheme="minorHAnsi" w:cstheme="minorHAnsi"/>
        </w:rPr>
        <w:t>problém</w:t>
      </w:r>
      <w:r w:rsidR="00E75FA0">
        <w:rPr>
          <w:rFonts w:asciiTheme="minorHAnsi" w:hAnsiTheme="minorHAnsi" w:cstheme="minorHAnsi"/>
        </w:rPr>
        <w:t>ů</w:t>
      </w:r>
      <w:r w:rsidRPr="00E75FA0">
        <w:rPr>
          <w:rFonts w:asciiTheme="minorHAnsi" w:hAnsiTheme="minorHAnsi" w:cstheme="minorHAnsi"/>
        </w:rPr>
        <w:t xml:space="preserve"> </w:t>
      </w:r>
      <w:r w:rsidR="00A50EB9">
        <w:rPr>
          <w:rFonts w:asciiTheme="minorHAnsi" w:hAnsiTheme="minorHAnsi" w:cstheme="minorHAnsi"/>
        </w:rPr>
        <w:t xml:space="preserve">provedlo MO dílčí kroky, </w:t>
      </w:r>
      <w:r w:rsidR="00E75FA0">
        <w:rPr>
          <w:rFonts w:asciiTheme="minorHAnsi" w:hAnsiTheme="minorHAnsi" w:cstheme="minorHAnsi"/>
        </w:rPr>
        <w:t xml:space="preserve">například </w:t>
      </w:r>
      <w:r w:rsidR="00E758E5">
        <w:rPr>
          <w:rFonts w:asciiTheme="minorHAnsi" w:hAnsiTheme="minorHAnsi" w:cstheme="minorHAnsi"/>
        </w:rPr>
        <w:t xml:space="preserve">začalo pořizovat zásoby </w:t>
      </w:r>
      <w:r w:rsidR="00A50EB9">
        <w:rPr>
          <w:rFonts w:asciiTheme="minorHAnsi" w:hAnsiTheme="minorHAnsi" w:cstheme="minorHAnsi"/>
        </w:rPr>
        <w:t>náhradní</w:t>
      </w:r>
      <w:r w:rsidR="00FE6C6A">
        <w:rPr>
          <w:rFonts w:asciiTheme="minorHAnsi" w:hAnsiTheme="minorHAnsi" w:cstheme="minorHAnsi"/>
        </w:rPr>
        <w:t xml:space="preserve">ch </w:t>
      </w:r>
      <w:r w:rsidR="00A50EB9">
        <w:rPr>
          <w:rFonts w:asciiTheme="minorHAnsi" w:hAnsiTheme="minorHAnsi" w:cstheme="minorHAnsi"/>
        </w:rPr>
        <w:t>díl</w:t>
      </w:r>
      <w:r w:rsidR="00FE6C6A">
        <w:rPr>
          <w:rFonts w:asciiTheme="minorHAnsi" w:hAnsiTheme="minorHAnsi" w:cstheme="minorHAnsi"/>
        </w:rPr>
        <w:t>ů</w:t>
      </w:r>
      <w:r w:rsidR="00A50EB9">
        <w:rPr>
          <w:rFonts w:asciiTheme="minorHAnsi" w:hAnsiTheme="minorHAnsi" w:cstheme="minorHAnsi"/>
        </w:rPr>
        <w:t xml:space="preserve">. </w:t>
      </w:r>
    </w:p>
    <w:p w14:paraId="3BA8AF68" w14:textId="77777777" w:rsidR="00336057" w:rsidRDefault="00336057" w:rsidP="00E75FA0">
      <w:pPr>
        <w:jc w:val="both"/>
        <w:rPr>
          <w:rFonts w:asciiTheme="minorHAnsi" w:hAnsiTheme="minorHAnsi" w:cstheme="minorHAnsi"/>
        </w:rPr>
      </w:pPr>
    </w:p>
    <w:p w14:paraId="6DDDFB0A" w14:textId="1658BDD0" w:rsidR="008C6FD4" w:rsidRPr="00A94168" w:rsidRDefault="007F1862" w:rsidP="0092277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 provádělo m</w:t>
      </w:r>
      <w:r w:rsidR="000E2575">
        <w:rPr>
          <w:rFonts w:asciiTheme="minorHAnsi" w:hAnsiTheme="minorHAnsi" w:cstheme="minorHAnsi"/>
        </w:rPr>
        <w:t xml:space="preserve">imo-vojskové opravy </w:t>
      </w:r>
      <w:r>
        <w:rPr>
          <w:rFonts w:asciiTheme="minorHAnsi" w:hAnsiTheme="minorHAnsi" w:cstheme="minorHAnsi"/>
        </w:rPr>
        <w:t>KBVP a KOT n</w:t>
      </w:r>
      <w:r w:rsidR="000E2575">
        <w:rPr>
          <w:rFonts w:asciiTheme="minorHAnsi" w:hAnsiTheme="minorHAnsi" w:cstheme="minorHAnsi"/>
        </w:rPr>
        <w:t>a základě dvou uzavřených rámcových smluv</w:t>
      </w:r>
      <w:r>
        <w:rPr>
          <w:rFonts w:asciiTheme="minorHAnsi" w:hAnsiTheme="minorHAnsi" w:cstheme="minorHAnsi"/>
        </w:rPr>
        <w:t>. J</w:t>
      </w:r>
      <w:r w:rsidR="0092277A">
        <w:rPr>
          <w:rFonts w:asciiTheme="minorHAnsi" w:hAnsiTheme="minorHAnsi" w:cstheme="minorHAnsi"/>
        </w:rPr>
        <w:t xml:space="preserve">ako důvod nákupu služby uvedlo nedostatečnou kapacitu a schopnosti vojenských opravárenských zařízení. </w:t>
      </w:r>
      <w:r w:rsidR="00595EE0">
        <w:rPr>
          <w:rFonts w:asciiTheme="minorHAnsi" w:hAnsiTheme="minorHAnsi" w:cstheme="minorHAnsi"/>
        </w:rPr>
        <w:t>MO sjednalo v</w:t>
      </w:r>
      <w:r>
        <w:rPr>
          <w:rFonts w:asciiTheme="minorHAnsi" w:hAnsiTheme="minorHAnsi" w:cstheme="minorHAnsi"/>
        </w:rPr>
        <w:t> rámcových smlouvách mj. smluvní pokutu ve výši 0,05 </w:t>
      </w:r>
      <w:r w:rsidR="0092277A">
        <w:rPr>
          <w:rFonts w:asciiTheme="minorHAnsi" w:hAnsiTheme="minorHAnsi" w:cstheme="minorHAnsi"/>
        </w:rPr>
        <w:t xml:space="preserve">% z celkové ceny </w:t>
      </w:r>
      <w:r>
        <w:rPr>
          <w:rFonts w:asciiTheme="minorHAnsi" w:hAnsiTheme="minorHAnsi" w:cstheme="minorHAnsi"/>
        </w:rPr>
        <w:t xml:space="preserve">plnění </w:t>
      </w:r>
      <w:r w:rsidR="0092277A">
        <w:rPr>
          <w:rFonts w:asciiTheme="minorHAnsi" w:hAnsiTheme="minorHAnsi" w:cstheme="minorHAnsi"/>
        </w:rPr>
        <w:t xml:space="preserve">bez DPH za každý den prodlení. </w:t>
      </w:r>
      <w:r>
        <w:rPr>
          <w:rFonts w:asciiTheme="minorHAnsi" w:hAnsiTheme="minorHAnsi" w:cstheme="minorHAnsi"/>
        </w:rPr>
        <w:t xml:space="preserve">Maximální výše smluvní </w:t>
      </w:r>
      <w:r w:rsidR="0092277A">
        <w:rPr>
          <w:rFonts w:asciiTheme="minorHAnsi" w:hAnsiTheme="minorHAnsi" w:cstheme="minorHAnsi"/>
        </w:rPr>
        <w:t>pokuty však ne</w:t>
      </w:r>
      <w:r>
        <w:rPr>
          <w:rFonts w:asciiTheme="minorHAnsi" w:hAnsiTheme="minorHAnsi" w:cstheme="minorHAnsi"/>
        </w:rPr>
        <w:t xml:space="preserve">mohla </w:t>
      </w:r>
      <w:r w:rsidR="0092277A">
        <w:rPr>
          <w:rFonts w:asciiTheme="minorHAnsi" w:hAnsiTheme="minorHAnsi" w:cstheme="minorHAnsi"/>
        </w:rPr>
        <w:t>přesáh</w:t>
      </w:r>
      <w:r>
        <w:rPr>
          <w:rFonts w:asciiTheme="minorHAnsi" w:hAnsiTheme="minorHAnsi" w:cstheme="minorHAnsi"/>
        </w:rPr>
        <w:t>nout</w:t>
      </w:r>
      <w:r w:rsidR="0092277A">
        <w:rPr>
          <w:rFonts w:asciiTheme="minorHAnsi" w:hAnsiTheme="minorHAnsi" w:cstheme="minorHAnsi"/>
        </w:rPr>
        <w:t xml:space="preserve"> 15 % z celkové ceny </w:t>
      </w:r>
      <w:r>
        <w:rPr>
          <w:rFonts w:asciiTheme="minorHAnsi" w:hAnsiTheme="minorHAnsi" w:cstheme="minorHAnsi"/>
        </w:rPr>
        <w:t xml:space="preserve">plnění </w:t>
      </w:r>
      <w:r w:rsidR="0092277A">
        <w:rPr>
          <w:rFonts w:asciiTheme="minorHAnsi" w:hAnsiTheme="minorHAnsi" w:cstheme="minorHAnsi"/>
        </w:rPr>
        <w:t>bez DPH</w:t>
      </w:r>
      <w:r>
        <w:rPr>
          <w:rFonts w:asciiTheme="minorHAnsi" w:hAnsiTheme="minorHAnsi" w:cstheme="minorHAnsi"/>
        </w:rPr>
        <w:t xml:space="preserve">, což </w:t>
      </w:r>
      <w:r w:rsidR="0092277A">
        <w:rPr>
          <w:rFonts w:asciiTheme="minorHAnsi" w:hAnsiTheme="minorHAnsi" w:cstheme="minorHAnsi"/>
        </w:rPr>
        <w:t>odpovíd</w:t>
      </w:r>
      <w:r>
        <w:rPr>
          <w:rFonts w:asciiTheme="minorHAnsi" w:hAnsiTheme="minorHAnsi" w:cstheme="minorHAnsi"/>
        </w:rPr>
        <w:t>á</w:t>
      </w:r>
      <w:r w:rsidR="009227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délce </w:t>
      </w:r>
      <w:r w:rsidR="0092277A">
        <w:rPr>
          <w:rFonts w:asciiTheme="minorHAnsi" w:hAnsiTheme="minorHAnsi" w:cstheme="minorHAnsi"/>
        </w:rPr>
        <w:t>prodlení v trvání 300 dní. Po této době již nebyl dodavatel nucen urychlit provedení prací či dodávek</w:t>
      </w:r>
      <w:r>
        <w:rPr>
          <w:rFonts w:asciiTheme="minorHAnsi" w:hAnsiTheme="minorHAnsi" w:cstheme="minorHAnsi"/>
        </w:rPr>
        <w:t xml:space="preserve">. Ačkoli </w:t>
      </w:r>
      <w:r w:rsidR="0092277A">
        <w:rPr>
          <w:rFonts w:asciiTheme="minorHAnsi" w:hAnsiTheme="minorHAnsi" w:cstheme="minorHAnsi"/>
        </w:rPr>
        <w:t xml:space="preserve">problém </w:t>
      </w:r>
      <w:r>
        <w:rPr>
          <w:rFonts w:asciiTheme="minorHAnsi" w:hAnsiTheme="minorHAnsi" w:cstheme="minorHAnsi"/>
        </w:rPr>
        <w:t xml:space="preserve">výše smluvních pokut řešilo MO </w:t>
      </w:r>
      <w:r w:rsidR="0092277A">
        <w:rPr>
          <w:rFonts w:asciiTheme="minorHAnsi" w:hAnsiTheme="minorHAnsi" w:cstheme="minorHAnsi"/>
        </w:rPr>
        <w:t>již v rámci interního připomínkového řízení k</w:t>
      </w:r>
      <w:r>
        <w:rPr>
          <w:rFonts w:asciiTheme="minorHAnsi" w:hAnsiTheme="minorHAnsi" w:cstheme="minorHAnsi"/>
        </w:rPr>
        <w:t xml:space="preserve"> první rámcové smlouvě, </w:t>
      </w:r>
      <w:r w:rsidR="0092277A">
        <w:rPr>
          <w:rFonts w:asciiTheme="minorHAnsi" w:hAnsiTheme="minorHAnsi" w:cstheme="minorHAnsi"/>
        </w:rPr>
        <w:t>podmínky neupravilo ani v</w:t>
      </w:r>
      <w:r>
        <w:rPr>
          <w:rFonts w:asciiTheme="minorHAnsi" w:hAnsiTheme="minorHAnsi" w:cstheme="minorHAnsi"/>
        </w:rPr>
        <w:t> </w:t>
      </w:r>
      <w:r w:rsidR="0092277A">
        <w:rPr>
          <w:rFonts w:asciiTheme="minorHAnsi" w:hAnsiTheme="minorHAnsi" w:cstheme="minorHAnsi"/>
        </w:rPr>
        <w:t>první</w:t>
      </w:r>
      <w:r>
        <w:rPr>
          <w:rFonts w:asciiTheme="minorHAnsi" w:hAnsiTheme="minorHAnsi" w:cstheme="minorHAnsi"/>
        </w:rPr>
        <w:t xml:space="preserve"> rámcové smlouvě, </w:t>
      </w:r>
      <w:r w:rsidR="0092277A">
        <w:rPr>
          <w:rFonts w:asciiTheme="minorHAnsi" w:hAnsiTheme="minorHAnsi" w:cstheme="minorHAnsi"/>
        </w:rPr>
        <w:t xml:space="preserve">ani ve druhé rámcové </w:t>
      </w:r>
      <w:r>
        <w:rPr>
          <w:rFonts w:asciiTheme="minorHAnsi" w:hAnsiTheme="minorHAnsi" w:cstheme="minorHAnsi"/>
        </w:rPr>
        <w:t>dohodě</w:t>
      </w:r>
      <w:r w:rsidR="0092277A">
        <w:rPr>
          <w:rFonts w:asciiTheme="minorHAnsi" w:hAnsiTheme="minorHAnsi" w:cstheme="minorHAnsi"/>
        </w:rPr>
        <w:t xml:space="preserve">. </w:t>
      </w:r>
    </w:p>
    <w:p w14:paraId="56134A27" w14:textId="01822944" w:rsidR="00D70EFF" w:rsidRPr="00CE0687" w:rsidRDefault="00D70EFF">
      <w:pPr>
        <w:rPr>
          <w:rFonts w:asciiTheme="minorHAnsi" w:hAnsiTheme="minorHAnsi" w:cstheme="minorHAnsi"/>
          <w:b/>
          <w:bCs/>
          <w:iCs/>
          <w:highlight w:val="yellow"/>
        </w:rPr>
      </w:pPr>
    </w:p>
    <w:p w14:paraId="48734256" w14:textId="2601F7D9" w:rsidR="00652F83" w:rsidRPr="00C85BC7" w:rsidRDefault="00A93B59" w:rsidP="00386FEE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7</w:t>
      </w:r>
      <w:r w:rsidR="00652F83"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CF6601" w:rsidRPr="00C85BC7">
        <w:rPr>
          <w:rFonts w:asciiTheme="minorHAnsi" w:hAnsiTheme="minorHAnsi" w:cstheme="minorHAnsi"/>
          <w:i w:val="0"/>
          <w:sz w:val="24"/>
          <w:szCs w:val="24"/>
        </w:rPr>
        <w:t>N</w:t>
      </w:r>
      <w:r w:rsidR="008F6AF6">
        <w:rPr>
          <w:rFonts w:asciiTheme="minorHAnsi" w:hAnsiTheme="minorHAnsi" w:cstheme="minorHAnsi"/>
          <w:i w:val="0"/>
          <w:sz w:val="24"/>
          <w:szCs w:val="24"/>
        </w:rPr>
        <w:t>ízká provozuschopnost modernizovaných tanků</w:t>
      </w:r>
    </w:p>
    <w:p w14:paraId="08C4C9D1" w14:textId="77777777" w:rsidR="00652F83" w:rsidRPr="00CE0687" w:rsidRDefault="00652F83" w:rsidP="00652F83">
      <w:pPr>
        <w:jc w:val="both"/>
        <w:rPr>
          <w:rFonts w:asciiTheme="minorHAnsi" w:hAnsiTheme="minorHAnsi" w:cstheme="minorHAnsi"/>
          <w:highlight w:val="yellow"/>
        </w:rPr>
      </w:pPr>
    </w:p>
    <w:p w14:paraId="007749B0" w14:textId="275C37CD" w:rsidR="00D31065" w:rsidRDefault="007F1862" w:rsidP="00D310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 stanovilo limitní hodnotu provozuschopnosti obrněné techniky ve výši 85 %. </w:t>
      </w:r>
      <w:r w:rsidR="00D31065" w:rsidRPr="00D31065">
        <w:rPr>
          <w:rFonts w:asciiTheme="minorHAnsi" w:hAnsiTheme="minorHAnsi" w:cstheme="minorHAnsi"/>
        </w:rPr>
        <w:t xml:space="preserve">Provozuschopnost 33 </w:t>
      </w:r>
      <w:r w:rsidR="009D350F" w:rsidRPr="00D31065">
        <w:rPr>
          <w:rFonts w:asciiTheme="minorHAnsi" w:hAnsiTheme="minorHAnsi" w:cstheme="minorHAnsi"/>
        </w:rPr>
        <w:t>tanků</w:t>
      </w:r>
      <w:r w:rsidR="00D31065">
        <w:rPr>
          <w:rFonts w:asciiTheme="minorHAnsi" w:hAnsiTheme="minorHAnsi" w:cstheme="minorHAnsi"/>
        </w:rPr>
        <w:t xml:space="preserve">, </w:t>
      </w:r>
      <w:r w:rsidR="00152849">
        <w:rPr>
          <w:rFonts w:asciiTheme="minorHAnsi" w:hAnsiTheme="minorHAnsi" w:cstheme="minorHAnsi"/>
        </w:rPr>
        <w:t>které byly modernizov</w:t>
      </w:r>
      <w:r w:rsidR="00267313">
        <w:rPr>
          <w:rFonts w:asciiTheme="minorHAnsi" w:hAnsiTheme="minorHAnsi" w:cstheme="minorHAnsi"/>
        </w:rPr>
        <w:t>ány</w:t>
      </w:r>
      <w:r w:rsidR="00152849">
        <w:rPr>
          <w:rFonts w:asciiTheme="minorHAnsi" w:hAnsiTheme="minorHAnsi" w:cstheme="minorHAnsi"/>
        </w:rPr>
        <w:t xml:space="preserve"> </w:t>
      </w:r>
      <w:r w:rsidR="00D31065">
        <w:rPr>
          <w:rFonts w:asciiTheme="minorHAnsi" w:hAnsiTheme="minorHAnsi" w:cstheme="minorHAnsi"/>
        </w:rPr>
        <w:t xml:space="preserve">v letech 2003–2006, </w:t>
      </w:r>
      <w:r>
        <w:rPr>
          <w:rFonts w:asciiTheme="minorHAnsi" w:hAnsiTheme="minorHAnsi" w:cstheme="minorHAnsi"/>
        </w:rPr>
        <w:t xml:space="preserve">se v roce </w:t>
      </w:r>
      <w:r w:rsidR="00D31065">
        <w:rPr>
          <w:rFonts w:asciiTheme="minorHAnsi" w:hAnsiTheme="minorHAnsi" w:cstheme="minorHAnsi"/>
        </w:rPr>
        <w:t xml:space="preserve">2016 </w:t>
      </w:r>
      <w:r>
        <w:rPr>
          <w:rFonts w:asciiTheme="minorHAnsi" w:hAnsiTheme="minorHAnsi" w:cstheme="minorHAnsi"/>
        </w:rPr>
        <w:t xml:space="preserve">pohybovala okolo devíti </w:t>
      </w:r>
      <w:r w:rsidR="00D31065">
        <w:rPr>
          <w:rFonts w:asciiTheme="minorHAnsi" w:hAnsiTheme="minorHAnsi" w:cstheme="minorHAnsi"/>
        </w:rPr>
        <w:t xml:space="preserve">tanků (tj. 27 %), v roce 2017 </w:t>
      </w:r>
      <w:r w:rsidR="00FE1F3E">
        <w:rPr>
          <w:rFonts w:asciiTheme="minorHAnsi" w:hAnsiTheme="minorHAnsi" w:cstheme="minorHAnsi"/>
        </w:rPr>
        <w:t xml:space="preserve">to bylo </w:t>
      </w:r>
      <w:r w:rsidR="00D31065">
        <w:rPr>
          <w:rFonts w:asciiTheme="minorHAnsi" w:hAnsiTheme="minorHAnsi" w:cstheme="minorHAnsi"/>
        </w:rPr>
        <w:t xml:space="preserve">13 </w:t>
      </w:r>
      <w:r w:rsidR="002C049A">
        <w:rPr>
          <w:rFonts w:asciiTheme="minorHAnsi" w:hAnsiTheme="minorHAnsi" w:cstheme="minorHAnsi"/>
        </w:rPr>
        <w:t>tanků (tj. 39 %)</w:t>
      </w:r>
      <w:r w:rsidR="00FE1F3E">
        <w:rPr>
          <w:rFonts w:asciiTheme="minorHAnsi" w:hAnsiTheme="minorHAnsi" w:cstheme="minorHAnsi"/>
        </w:rPr>
        <w:t xml:space="preserve">, </w:t>
      </w:r>
      <w:r w:rsidR="002C049A">
        <w:rPr>
          <w:rFonts w:asciiTheme="minorHAnsi" w:hAnsiTheme="minorHAnsi" w:cstheme="minorHAnsi"/>
        </w:rPr>
        <w:t>v roce 2018 a</w:t>
      </w:r>
      <w:r w:rsidR="00D31065">
        <w:rPr>
          <w:rFonts w:asciiTheme="minorHAnsi" w:hAnsiTheme="minorHAnsi" w:cstheme="minorHAnsi"/>
        </w:rPr>
        <w:t xml:space="preserve"> v prvním pololetí roku 2019 </w:t>
      </w:r>
      <w:r w:rsidR="00FE1F3E">
        <w:rPr>
          <w:rFonts w:asciiTheme="minorHAnsi" w:hAnsiTheme="minorHAnsi" w:cstheme="minorHAnsi"/>
        </w:rPr>
        <w:t xml:space="preserve">bylo provozuschopných </w:t>
      </w:r>
      <w:r w:rsidR="00D31065">
        <w:rPr>
          <w:rFonts w:asciiTheme="minorHAnsi" w:hAnsiTheme="minorHAnsi" w:cstheme="minorHAnsi"/>
        </w:rPr>
        <w:t>18 tanků (tj. 55 %). P</w:t>
      </w:r>
      <w:r w:rsidR="00FE1F3E">
        <w:rPr>
          <w:rFonts w:asciiTheme="minorHAnsi" w:hAnsiTheme="minorHAnsi" w:cstheme="minorHAnsi"/>
        </w:rPr>
        <w:t>růměrná prov</w:t>
      </w:r>
      <w:r w:rsidR="00D31065">
        <w:rPr>
          <w:rFonts w:asciiTheme="minorHAnsi" w:hAnsiTheme="minorHAnsi" w:cstheme="minorHAnsi"/>
        </w:rPr>
        <w:t xml:space="preserve">ozuschopnost </w:t>
      </w:r>
      <w:r w:rsidR="001209F3">
        <w:rPr>
          <w:rFonts w:asciiTheme="minorHAnsi" w:hAnsiTheme="minorHAnsi" w:cstheme="minorHAnsi"/>
        </w:rPr>
        <w:t xml:space="preserve">tanků </w:t>
      </w:r>
      <w:r w:rsidR="00FE1F3E">
        <w:rPr>
          <w:rFonts w:asciiTheme="minorHAnsi" w:hAnsiTheme="minorHAnsi" w:cstheme="minorHAnsi"/>
        </w:rPr>
        <w:t>byla v k</w:t>
      </w:r>
      <w:r w:rsidR="00D31065">
        <w:rPr>
          <w:rFonts w:asciiTheme="minorHAnsi" w:hAnsiTheme="minorHAnsi" w:cstheme="minorHAnsi"/>
        </w:rPr>
        <w:t xml:space="preserve">ontrolovaném období </w:t>
      </w:r>
      <w:r w:rsidR="00FE1F3E">
        <w:rPr>
          <w:rFonts w:asciiTheme="minorHAnsi" w:hAnsiTheme="minorHAnsi" w:cstheme="minorHAnsi"/>
        </w:rPr>
        <w:t xml:space="preserve">nižší než </w:t>
      </w:r>
      <w:r w:rsidR="00D31065">
        <w:rPr>
          <w:rFonts w:asciiTheme="minorHAnsi" w:hAnsiTheme="minorHAnsi" w:cstheme="minorHAnsi"/>
        </w:rPr>
        <w:t>43 %</w:t>
      </w:r>
      <w:r w:rsidR="00FE1F3E">
        <w:rPr>
          <w:rFonts w:asciiTheme="minorHAnsi" w:hAnsiTheme="minorHAnsi" w:cstheme="minorHAnsi"/>
        </w:rPr>
        <w:t xml:space="preserve">. Celkem bylo provozuschopných průměrně pouze </w:t>
      </w:r>
      <w:r w:rsidR="00986E58">
        <w:rPr>
          <w:rFonts w:asciiTheme="minorHAnsi" w:hAnsiTheme="minorHAnsi" w:cstheme="minorHAnsi"/>
        </w:rPr>
        <w:t>1</w:t>
      </w:r>
      <w:r w:rsidR="00D31065">
        <w:rPr>
          <w:rFonts w:asciiTheme="minorHAnsi" w:hAnsiTheme="minorHAnsi" w:cstheme="minorHAnsi"/>
        </w:rPr>
        <w:t>4 z </w:t>
      </w:r>
      <w:r w:rsidR="00986E58">
        <w:rPr>
          <w:rFonts w:asciiTheme="minorHAnsi" w:hAnsiTheme="minorHAnsi" w:cstheme="minorHAnsi"/>
        </w:rPr>
        <w:t>33</w:t>
      </w:r>
      <w:r w:rsidR="00D31065">
        <w:rPr>
          <w:rFonts w:asciiTheme="minorHAnsi" w:hAnsiTheme="minorHAnsi" w:cstheme="minorHAnsi"/>
        </w:rPr>
        <w:t xml:space="preserve"> </w:t>
      </w:r>
      <w:r w:rsidR="00986E58">
        <w:rPr>
          <w:rFonts w:asciiTheme="minorHAnsi" w:hAnsiTheme="minorHAnsi" w:cstheme="minorHAnsi"/>
        </w:rPr>
        <w:t>modernizovaných tanků</w:t>
      </w:r>
      <w:r w:rsidR="00D31065">
        <w:rPr>
          <w:rFonts w:asciiTheme="minorHAnsi" w:hAnsiTheme="minorHAnsi" w:cstheme="minorHAnsi"/>
        </w:rPr>
        <w:t>.</w:t>
      </w:r>
      <w:r w:rsidR="00152849">
        <w:rPr>
          <w:rFonts w:asciiTheme="minorHAnsi" w:hAnsiTheme="minorHAnsi" w:cstheme="minorHAnsi"/>
        </w:rPr>
        <w:t xml:space="preserve"> </w:t>
      </w:r>
    </w:p>
    <w:p w14:paraId="2AF2BE70" w14:textId="77777777" w:rsidR="00986E58" w:rsidRDefault="00986E58" w:rsidP="00986E58">
      <w:pPr>
        <w:jc w:val="both"/>
        <w:rPr>
          <w:rFonts w:asciiTheme="minorHAnsi" w:hAnsiTheme="minorHAnsi" w:cstheme="minorHAnsi"/>
        </w:rPr>
      </w:pPr>
    </w:p>
    <w:p w14:paraId="72D3417B" w14:textId="1EA65C3E" w:rsidR="00986E58" w:rsidRPr="00986E58" w:rsidRDefault="009D350F" w:rsidP="00986E5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Opravované t</w:t>
      </w:r>
      <w:r w:rsidR="00152849" w:rsidRPr="00152849">
        <w:rPr>
          <w:rFonts w:asciiTheme="minorHAnsi" w:hAnsiTheme="minorHAnsi" w:cstheme="minorHAnsi"/>
        </w:rPr>
        <w:t xml:space="preserve">anky </w:t>
      </w:r>
      <w:r w:rsidR="00267313">
        <w:rPr>
          <w:rFonts w:asciiTheme="minorHAnsi" w:hAnsiTheme="minorHAnsi" w:cstheme="minorHAnsi"/>
        </w:rPr>
        <w:t>ne</w:t>
      </w:r>
      <w:r w:rsidR="00152849" w:rsidRPr="00152849">
        <w:rPr>
          <w:rFonts w:asciiTheme="minorHAnsi" w:hAnsiTheme="minorHAnsi" w:cstheme="minorHAnsi"/>
        </w:rPr>
        <w:t>byly provozuschopné v průměru 1,7 roku</w:t>
      </w:r>
      <w:r w:rsidR="001209F3">
        <w:rPr>
          <w:rFonts w:asciiTheme="minorHAnsi" w:hAnsiTheme="minorHAnsi" w:cstheme="minorHAnsi"/>
        </w:rPr>
        <w:t>. J</w:t>
      </w:r>
      <w:r w:rsidR="00152849" w:rsidRPr="00152849">
        <w:rPr>
          <w:rFonts w:asciiTheme="minorHAnsi" w:hAnsiTheme="minorHAnsi" w:cstheme="minorHAnsi"/>
        </w:rPr>
        <w:t xml:space="preserve">eden ze tří vyprošťovacích tanků </w:t>
      </w:r>
      <w:r w:rsidR="00267313">
        <w:rPr>
          <w:rFonts w:asciiTheme="minorHAnsi" w:hAnsiTheme="minorHAnsi" w:cstheme="minorHAnsi"/>
        </w:rPr>
        <w:t>ne</w:t>
      </w:r>
      <w:r w:rsidR="00152849" w:rsidRPr="00152849">
        <w:rPr>
          <w:rFonts w:asciiTheme="minorHAnsi" w:hAnsiTheme="minorHAnsi" w:cstheme="minorHAnsi"/>
        </w:rPr>
        <w:t xml:space="preserve">byl </w:t>
      </w:r>
      <w:r w:rsidR="004E15CB">
        <w:rPr>
          <w:rFonts w:asciiTheme="minorHAnsi" w:hAnsiTheme="minorHAnsi" w:cstheme="minorHAnsi"/>
        </w:rPr>
        <w:t xml:space="preserve">z důvodu opravy </w:t>
      </w:r>
      <w:r w:rsidR="00152849" w:rsidRPr="00152849">
        <w:rPr>
          <w:rFonts w:asciiTheme="minorHAnsi" w:hAnsiTheme="minorHAnsi" w:cstheme="minorHAnsi"/>
        </w:rPr>
        <w:t>provozuschopný dokonce po dobu 3,5 roku</w:t>
      </w:r>
      <w:r w:rsidR="001209F3">
        <w:rPr>
          <w:rFonts w:asciiTheme="minorHAnsi" w:hAnsiTheme="minorHAnsi" w:cstheme="minorHAnsi"/>
        </w:rPr>
        <w:t xml:space="preserve">, </w:t>
      </w:r>
      <w:r w:rsidR="00152849" w:rsidRPr="00152849">
        <w:rPr>
          <w:rFonts w:asciiTheme="minorHAnsi" w:hAnsiTheme="minorHAnsi" w:cstheme="minorHAnsi"/>
        </w:rPr>
        <w:t>tj. téměř pětinu své</w:t>
      </w:r>
      <w:r w:rsidR="00FE1F3E">
        <w:rPr>
          <w:rFonts w:asciiTheme="minorHAnsi" w:hAnsiTheme="minorHAnsi" w:cstheme="minorHAnsi"/>
        </w:rPr>
        <w:t xml:space="preserve"> </w:t>
      </w:r>
      <w:r w:rsidR="00F8574D">
        <w:rPr>
          <w:rFonts w:asciiTheme="minorHAnsi" w:hAnsiTheme="minorHAnsi" w:cstheme="minorHAnsi"/>
        </w:rPr>
        <w:t xml:space="preserve">doby </w:t>
      </w:r>
      <w:r w:rsidR="00FE1F3E">
        <w:rPr>
          <w:rFonts w:asciiTheme="minorHAnsi" w:hAnsiTheme="minorHAnsi" w:cstheme="minorHAnsi"/>
        </w:rPr>
        <w:t>životnosti</w:t>
      </w:r>
      <w:r w:rsidR="001209F3">
        <w:rPr>
          <w:rFonts w:asciiTheme="minorHAnsi" w:hAnsiTheme="minorHAnsi" w:cstheme="minorHAnsi"/>
        </w:rPr>
        <w:t>.</w:t>
      </w:r>
    </w:p>
    <w:p w14:paraId="233CA26C" w14:textId="77777777" w:rsidR="00986E58" w:rsidRDefault="00986E58" w:rsidP="00986E58">
      <w:pPr>
        <w:jc w:val="both"/>
        <w:rPr>
          <w:rFonts w:asciiTheme="minorHAnsi" w:hAnsiTheme="minorHAnsi" w:cstheme="minorHAnsi"/>
        </w:rPr>
      </w:pPr>
    </w:p>
    <w:p w14:paraId="6355A1FC" w14:textId="77777777" w:rsidR="00D310BD" w:rsidRDefault="00D310BD">
      <w:pPr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/>
        </w:rPr>
        <w:br w:type="page"/>
      </w:r>
    </w:p>
    <w:p w14:paraId="5A32DCBF" w14:textId="01A2F31F" w:rsidR="00CD5FED" w:rsidRPr="00C85BC7" w:rsidRDefault="00A93B59" w:rsidP="00CD5FED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8</w:t>
      </w:r>
      <w:r w:rsidR="00CD5FED"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2E01EA">
        <w:rPr>
          <w:rFonts w:asciiTheme="minorHAnsi" w:hAnsiTheme="minorHAnsi" w:cstheme="minorHAnsi"/>
          <w:i w:val="0"/>
          <w:sz w:val="24"/>
          <w:szCs w:val="24"/>
        </w:rPr>
        <w:t>Ne</w:t>
      </w:r>
      <w:r w:rsidR="00F67BF0">
        <w:rPr>
          <w:rFonts w:asciiTheme="minorHAnsi" w:hAnsiTheme="minorHAnsi" w:cstheme="minorHAnsi"/>
          <w:i w:val="0"/>
          <w:sz w:val="24"/>
          <w:szCs w:val="24"/>
        </w:rPr>
        <w:t xml:space="preserve">zajištěné </w:t>
      </w:r>
      <w:r w:rsidR="00D52036">
        <w:rPr>
          <w:rFonts w:asciiTheme="minorHAnsi" w:hAnsiTheme="minorHAnsi" w:cstheme="minorHAnsi"/>
          <w:i w:val="0"/>
          <w:sz w:val="24"/>
          <w:szCs w:val="24"/>
        </w:rPr>
        <w:t>z</w:t>
      </w:r>
      <w:r w:rsidR="00C8053B">
        <w:rPr>
          <w:rFonts w:asciiTheme="minorHAnsi" w:hAnsiTheme="minorHAnsi" w:cstheme="minorHAnsi"/>
          <w:i w:val="0"/>
          <w:sz w:val="24"/>
          <w:szCs w:val="24"/>
        </w:rPr>
        <w:t>ásobování náhradními díly</w:t>
      </w:r>
    </w:p>
    <w:p w14:paraId="6C4B721C" w14:textId="77777777" w:rsidR="00CD5FED" w:rsidRPr="00CE0687" w:rsidRDefault="00CD5FED" w:rsidP="00CD5FED">
      <w:pPr>
        <w:tabs>
          <w:tab w:val="left" w:pos="426"/>
        </w:tabs>
        <w:jc w:val="both"/>
        <w:rPr>
          <w:rFonts w:asciiTheme="minorHAnsi" w:hAnsiTheme="minorHAnsi" w:cstheme="minorHAnsi"/>
          <w:highlight w:val="yellow"/>
        </w:rPr>
      </w:pPr>
    </w:p>
    <w:p w14:paraId="6E6D41A6" w14:textId="2A04FE6D" w:rsidR="003A55BA" w:rsidRDefault="002A05CC" w:rsidP="0032056A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nejzávažnější </w:t>
      </w:r>
      <w:r w:rsidR="003A55BA">
        <w:rPr>
          <w:rFonts w:asciiTheme="minorHAnsi" w:hAnsiTheme="minorHAnsi" w:cstheme="minorHAnsi"/>
        </w:rPr>
        <w:t xml:space="preserve">problém </w:t>
      </w:r>
      <w:r>
        <w:rPr>
          <w:rFonts w:asciiTheme="minorHAnsi" w:hAnsiTheme="minorHAnsi" w:cstheme="minorHAnsi"/>
        </w:rPr>
        <w:t>fungování systému provozu a údržby obrněné techniky</w:t>
      </w:r>
      <w:r w:rsidR="003A55BA">
        <w:rPr>
          <w:rFonts w:asciiTheme="minorHAnsi" w:hAnsiTheme="minorHAnsi" w:cstheme="minorHAnsi"/>
        </w:rPr>
        <w:t xml:space="preserve"> považuje </w:t>
      </w:r>
      <w:r>
        <w:rPr>
          <w:rFonts w:asciiTheme="minorHAnsi" w:hAnsiTheme="minorHAnsi" w:cstheme="minorHAnsi"/>
        </w:rPr>
        <w:t>NKÚ nedostatek náhradních dílů</w:t>
      </w:r>
      <w:r w:rsidRPr="0032056A">
        <w:rPr>
          <w:rFonts w:asciiTheme="minorHAnsi" w:hAnsiTheme="minorHAnsi" w:cstheme="minorHAnsi"/>
        </w:rPr>
        <w:t xml:space="preserve">. </w:t>
      </w:r>
      <w:r w:rsidR="0032056A" w:rsidRPr="0032056A">
        <w:rPr>
          <w:rFonts w:asciiTheme="minorHAnsi" w:hAnsiTheme="minorHAnsi" w:cstheme="minorHAnsi"/>
        </w:rPr>
        <w:t xml:space="preserve">Stávající systém </w:t>
      </w:r>
      <w:r w:rsidR="0032056A">
        <w:rPr>
          <w:rFonts w:asciiTheme="minorHAnsi" w:hAnsiTheme="minorHAnsi" w:cstheme="minorHAnsi"/>
        </w:rPr>
        <w:t xml:space="preserve">zásobování je založen především na </w:t>
      </w:r>
      <w:r w:rsidR="00FE1F3E">
        <w:rPr>
          <w:rFonts w:asciiTheme="minorHAnsi" w:hAnsiTheme="minorHAnsi" w:cstheme="minorHAnsi"/>
        </w:rPr>
        <w:t xml:space="preserve">jejich </w:t>
      </w:r>
      <w:r w:rsidR="0032056A" w:rsidRPr="0032056A">
        <w:rPr>
          <w:rFonts w:asciiTheme="minorHAnsi" w:hAnsiTheme="minorHAnsi" w:cstheme="minorHAnsi"/>
        </w:rPr>
        <w:t xml:space="preserve">nákupu </w:t>
      </w:r>
      <w:r w:rsidR="006A00DC">
        <w:rPr>
          <w:rFonts w:asciiTheme="minorHAnsi" w:hAnsiTheme="minorHAnsi" w:cstheme="minorHAnsi"/>
        </w:rPr>
        <w:t xml:space="preserve">až </w:t>
      </w:r>
      <w:r w:rsidR="0032056A" w:rsidRPr="0032056A">
        <w:rPr>
          <w:rFonts w:asciiTheme="minorHAnsi" w:hAnsiTheme="minorHAnsi" w:cstheme="minorHAnsi"/>
        </w:rPr>
        <w:t xml:space="preserve">po vzniku požadavku, kdy </w:t>
      </w:r>
      <w:r w:rsidR="00FE1F3E">
        <w:rPr>
          <w:rFonts w:asciiTheme="minorHAnsi" w:hAnsiTheme="minorHAnsi" w:cstheme="minorHAnsi"/>
        </w:rPr>
        <w:t xml:space="preserve">obrněná </w:t>
      </w:r>
      <w:r w:rsidR="0032056A" w:rsidRPr="0032056A">
        <w:rPr>
          <w:rFonts w:asciiTheme="minorHAnsi" w:hAnsiTheme="minorHAnsi" w:cstheme="minorHAnsi"/>
        </w:rPr>
        <w:t xml:space="preserve">technika </w:t>
      </w:r>
      <w:r w:rsidR="00267313">
        <w:rPr>
          <w:rFonts w:asciiTheme="minorHAnsi" w:hAnsiTheme="minorHAnsi" w:cstheme="minorHAnsi"/>
        </w:rPr>
        <w:t>není</w:t>
      </w:r>
      <w:r w:rsidR="0032056A" w:rsidRPr="0032056A">
        <w:rPr>
          <w:rFonts w:asciiTheme="minorHAnsi" w:hAnsiTheme="minorHAnsi" w:cstheme="minorHAnsi"/>
        </w:rPr>
        <w:t xml:space="preserve"> p</w:t>
      </w:r>
      <w:r w:rsidR="00802C3D">
        <w:rPr>
          <w:rFonts w:asciiTheme="minorHAnsi" w:hAnsiTheme="minorHAnsi" w:cstheme="minorHAnsi"/>
        </w:rPr>
        <w:t>rovozuschopná</w:t>
      </w:r>
      <w:r w:rsidR="009F506A">
        <w:rPr>
          <w:rFonts w:asciiTheme="minorHAnsi" w:hAnsiTheme="minorHAnsi" w:cstheme="minorHAnsi"/>
        </w:rPr>
        <w:t xml:space="preserve">. </w:t>
      </w:r>
      <w:r w:rsidR="00242DB0">
        <w:rPr>
          <w:rFonts w:asciiTheme="minorHAnsi" w:hAnsiTheme="minorHAnsi" w:cstheme="minorHAnsi"/>
        </w:rPr>
        <w:t xml:space="preserve">MO </w:t>
      </w:r>
      <w:r>
        <w:rPr>
          <w:rFonts w:asciiTheme="minorHAnsi" w:hAnsiTheme="minorHAnsi" w:cstheme="minorHAnsi"/>
        </w:rPr>
        <w:t>nemá vytvořen</w:t>
      </w:r>
      <w:r w:rsidR="00267313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3A55BA">
        <w:rPr>
          <w:rFonts w:asciiTheme="minorHAnsi" w:hAnsiTheme="minorHAnsi" w:cstheme="minorHAnsi"/>
        </w:rPr>
        <w:t xml:space="preserve">rezervní </w:t>
      </w:r>
      <w:r>
        <w:rPr>
          <w:rFonts w:asciiTheme="minorHAnsi" w:hAnsiTheme="minorHAnsi" w:cstheme="minorHAnsi"/>
        </w:rPr>
        <w:t xml:space="preserve">zásoby náhradních dílů </w:t>
      </w:r>
      <w:r w:rsidR="005B1C66">
        <w:rPr>
          <w:rFonts w:asciiTheme="minorHAnsi" w:hAnsiTheme="minorHAnsi" w:cstheme="minorHAnsi"/>
        </w:rPr>
        <w:t xml:space="preserve">v době </w:t>
      </w:r>
      <w:r w:rsidR="005B1C66" w:rsidRPr="0032056A">
        <w:rPr>
          <w:rFonts w:asciiTheme="minorHAnsi" w:hAnsiTheme="minorHAnsi" w:cstheme="minorHAnsi"/>
        </w:rPr>
        <w:t>životnosti techniky</w:t>
      </w:r>
      <w:r w:rsidR="006A00DC">
        <w:rPr>
          <w:rFonts w:asciiTheme="minorHAnsi" w:hAnsiTheme="minorHAnsi" w:cstheme="minorHAnsi"/>
        </w:rPr>
        <w:t>,</w:t>
      </w:r>
      <w:r w:rsidR="005B1C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ani normativy jejich spotřeby.</w:t>
      </w:r>
      <w:r w:rsidR="0067310D">
        <w:rPr>
          <w:rFonts w:asciiTheme="minorHAnsi" w:hAnsiTheme="minorHAnsi" w:cstheme="minorHAnsi"/>
        </w:rPr>
        <w:t xml:space="preserve"> Podle K</w:t>
      </w:r>
      <w:r w:rsidR="0067310D" w:rsidRPr="0067310D">
        <w:rPr>
          <w:rFonts w:asciiTheme="minorHAnsi" w:hAnsiTheme="minorHAnsi" w:cstheme="minorHAnsi"/>
          <w:i/>
        </w:rPr>
        <w:t xml:space="preserve">oncepce výstavby pozemních sil </w:t>
      </w:r>
      <w:r w:rsidR="0067310D">
        <w:rPr>
          <w:rFonts w:asciiTheme="minorHAnsi" w:hAnsiTheme="minorHAnsi" w:cstheme="minorHAnsi"/>
        </w:rPr>
        <w:t xml:space="preserve">schválené v roce 2017 chybí Armádě efektivní systém způsobu výpočtu výše materiálových rezerv a jejich rozčlenění podle způsobu předurčení, odpovídající současným potřebám Armády. </w:t>
      </w:r>
    </w:p>
    <w:p w14:paraId="23DDCB8A" w14:textId="77777777" w:rsidR="003A55BA" w:rsidRDefault="003A55BA" w:rsidP="0032056A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D41712A" w14:textId="7875BC4E" w:rsidR="00242DB0" w:rsidRDefault="005B1C66" w:rsidP="0032056A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Problém s náhradními díly </w:t>
      </w:r>
      <w:r w:rsidR="0032056A" w:rsidRPr="0032056A">
        <w:rPr>
          <w:rFonts w:asciiTheme="minorHAnsi" w:hAnsiTheme="minorHAnsi" w:cstheme="minorHAnsi"/>
        </w:rPr>
        <w:t>zjistil NKÚ u </w:t>
      </w:r>
      <w:r w:rsidR="003A55BA">
        <w:rPr>
          <w:rFonts w:asciiTheme="minorHAnsi" w:hAnsiTheme="minorHAnsi" w:cstheme="minorHAnsi"/>
        </w:rPr>
        <w:t xml:space="preserve">všech </w:t>
      </w:r>
      <w:r w:rsidR="0032056A" w:rsidRPr="0032056A">
        <w:rPr>
          <w:rFonts w:asciiTheme="minorHAnsi" w:hAnsiTheme="minorHAnsi" w:cstheme="minorHAnsi"/>
        </w:rPr>
        <w:t>tří kontrolovaných servisních smluv</w:t>
      </w:r>
      <w:r w:rsidR="00A144BC">
        <w:rPr>
          <w:rFonts w:asciiTheme="minorHAnsi" w:hAnsiTheme="minorHAnsi" w:cstheme="minorHAnsi"/>
        </w:rPr>
        <w:t>. Čekání na jejich dodávky trvalo měsíce a někdy i roky.</w:t>
      </w:r>
      <w:r w:rsidR="0032056A" w:rsidRPr="0032056A">
        <w:rPr>
          <w:rFonts w:asciiTheme="minorHAnsi" w:hAnsiTheme="minorHAnsi" w:cstheme="minorHAnsi"/>
        </w:rPr>
        <w:t xml:space="preserve"> Důsledkem bylo </w:t>
      </w:r>
      <w:r w:rsidR="0032056A" w:rsidRPr="006A00DC">
        <w:rPr>
          <w:rFonts w:asciiTheme="minorHAnsi" w:hAnsiTheme="minorHAnsi" w:cstheme="minorHAnsi"/>
        </w:rPr>
        <w:t xml:space="preserve">dlouhé setrvávání </w:t>
      </w:r>
      <w:r w:rsidR="00242DB0">
        <w:rPr>
          <w:rFonts w:asciiTheme="minorHAnsi" w:hAnsiTheme="minorHAnsi" w:cstheme="minorHAnsi"/>
        </w:rPr>
        <w:t xml:space="preserve">obrněné </w:t>
      </w:r>
      <w:r w:rsidR="0032056A" w:rsidRPr="006A00DC">
        <w:rPr>
          <w:rFonts w:asciiTheme="minorHAnsi" w:hAnsiTheme="minorHAnsi" w:cstheme="minorHAnsi"/>
        </w:rPr>
        <w:t xml:space="preserve">techniky </w:t>
      </w:r>
      <w:r w:rsidR="00267313">
        <w:rPr>
          <w:rFonts w:asciiTheme="minorHAnsi" w:hAnsiTheme="minorHAnsi" w:cstheme="minorHAnsi"/>
        </w:rPr>
        <w:t xml:space="preserve">ve </w:t>
      </w:r>
      <w:r w:rsidR="00A144BC">
        <w:rPr>
          <w:rFonts w:asciiTheme="minorHAnsi" w:hAnsiTheme="minorHAnsi" w:cstheme="minorHAnsi"/>
        </w:rPr>
        <w:t>stavu</w:t>
      </w:r>
      <w:r w:rsidR="00267313">
        <w:rPr>
          <w:rFonts w:asciiTheme="minorHAnsi" w:hAnsiTheme="minorHAnsi" w:cstheme="minorHAnsi"/>
        </w:rPr>
        <w:t xml:space="preserve"> neschopném provozu</w:t>
      </w:r>
      <w:r w:rsidR="0032056A" w:rsidRPr="006A00DC">
        <w:rPr>
          <w:rFonts w:asciiTheme="minorHAnsi" w:hAnsiTheme="minorHAnsi" w:cstheme="minorHAnsi"/>
        </w:rPr>
        <w:t xml:space="preserve">, </w:t>
      </w:r>
      <w:r w:rsidR="00267313">
        <w:rPr>
          <w:rFonts w:asciiTheme="minorHAnsi" w:hAnsiTheme="minorHAnsi" w:cstheme="minorHAnsi"/>
        </w:rPr>
        <w:t>což</w:t>
      </w:r>
      <w:r w:rsidR="0032056A" w:rsidRPr="006A00DC">
        <w:rPr>
          <w:rFonts w:asciiTheme="minorHAnsi" w:hAnsiTheme="minorHAnsi" w:cstheme="minorHAnsi"/>
        </w:rPr>
        <w:t xml:space="preserve"> může vést až k </w:t>
      </w:r>
      <w:r w:rsidR="003A55BA" w:rsidRPr="006A00DC">
        <w:rPr>
          <w:rFonts w:asciiTheme="minorHAnsi" w:hAnsiTheme="minorHAnsi" w:cstheme="minorHAnsi"/>
        </w:rPr>
        <w:t xml:space="preserve">ohrožení bojeschopnosti </w:t>
      </w:r>
      <w:r w:rsidR="003A55BA" w:rsidRPr="00352016">
        <w:rPr>
          <w:rFonts w:asciiTheme="minorHAnsi" w:hAnsiTheme="minorHAnsi" w:cstheme="minorHAnsi"/>
        </w:rPr>
        <w:t>Armády</w:t>
      </w:r>
      <w:r w:rsidR="000156E8" w:rsidRPr="00352016">
        <w:rPr>
          <w:rFonts w:asciiTheme="minorHAnsi" w:hAnsiTheme="minorHAnsi" w:cstheme="minorHAnsi"/>
          <w:vertAlign w:val="superscript"/>
        </w:rPr>
        <w:t>4</w:t>
      </w:r>
      <w:r w:rsidR="003A55BA" w:rsidRPr="00352016">
        <w:rPr>
          <w:rFonts w:asciiTheme="minorHAnsi" w:hAnsiTheme="minorHAnsi" w:cstheme="minorHAnsi"/>
        </w:rPr>
        <w:t>.</w:t>
      </w:r>
      <w:r w:rsidR="003A55BA" w:rsidRPr="006A00DC">
        <w:rPr>
          <w:rFonts w:asciiTheme="minorHAnsi" w:hAnsiTheme="minorHAnsi" w:cstheme="minorHAnsi"/>
        </w:rPr>
        <w:t xml:space="preserve"> </w:t>
      </w:r>
      <w:r w:rsidR="00AD7C64">
        <w:rPr>
          <w:rFonts w:asciiTheme="minorHAnsi" w:hAnsiTheme="minorHAnsi" w:cstheme="minorHAnsi"/>
        </w:rPr>
        <w:t xml:space="preserve">Zajišťování servisu vozidel KBVP a </w:t>
      </w:r>
      <w:r w:rsidR="006A00DC" w:rsidRPr="006A00DC">
        <w:rPr>
          <w:rFonts w:asciiTheme="minorHAnsi" w:hAnsiTheme="minorHAnsi" w:cstheme="minorHAnsi"/>
        </w:rPr>
        <w:t>KOT</w:t>
      </w:r>
      <w:r w:rsidR="00AD7C64">
        <w:rPr>
          <w:rFonts w:asciiTheme="minorHAnsi" w:hAnsiTheme="minorHAnsi" w:cstheme="minorHAnsi"/>
        </w:rPr>
        <w:t xml:space="preserve"> provázely problémy spojené s</w:t>
      </w:r>
      <w:r w:rsidR="009F506A">
        <w:rPr>
          <w:rFonts w:asciiTheme="minorHAnsi" w:hAnsiTheme="minorHAnsi" w:cstheme="minorHAnsi"/>
        </w:rPr>
        <w:t xml:space="preserve"> dlouhými dodacími lhůtami </w:t>
      </w:r>
      <w:r w:rsidR="00AD7C64">
        <w:rPr>
          <w:rFonts w:asciiTheme="minorHAnsi" w:hAnsiTheme="minorHAnsi" w:cstheme="minorHAnsi"/>
        </w:rPr>
        <w:t>náhradní</w:t>
      </w:r>
      <w:r w:rsidR="009F506A">
        <w:rPr>
          <w:rFonts w:asciiTheme="minorHAnsi" w:hAnsiTheme="minorHAnsi" w:cstheme="minorHAnsi"/>
        </w:rPr>
        <w:t>ch</w:t>
      </w:r>
      <w:r w:rsidR="00AD7C64">
        <w:rPr>
          <w:rFonts w:asciiTheme="minorHAnsi" w:hAnsiTheme="minorHAnsi" w:cstheme="minorHAnsi"/>
        </w:rPr>
        <w:t xml:space="preserve"> díl</w:t>
      </w:r>
      <w:r w:rsidR="009F506A">
        <w:rPr>
          <w:rFonts w:asciiTheme="minorHAnsi" w:hAnsiTheme="minorHAnsi" w:cstheme="minorHAnsi"/>
        </w:rPr>
        <w:t>ů</w:t>
      </w:r>
      <w:r w:rsidR="00AD7C64" w:rsidRPr="00AD7C64">
        <w:rPr>
          <w:rFonts w:asciiTheme="minorHAnsi" w:hAnsiTheme="minorHAnsi" w:cstheme="minorHAnsi"/>
        </w:rPr>
        <w:t xml:space="preserve"> </w:t>
      </w:r>
      <w:r w:rsidR="00AD7C64">
        <w:rPr>
          <w:rFonts w:asciiTheme="minorHAnsi" w:hAnsiTheme="minorHAnsi" w:cstheme="minorHAnsi"/>
        </w:rPr>
        <w:t xml:space="preserve">již od </w:t>
      </w:r>
      <w:r w:rsidR="00242DB0">
        <w:rPr>
          <w:rFonts w:asciiTheme="minorHAnsi" w:hAnsiTheme="minorHAnsi" w:cstheme="minorHAnsi"/>
        </w:rPr>
        <w:t xml:space="preserve">roku </w:t>
      </w:r>
      <w:r w:rsidR="00AD7C64">
        <w:rPr>
          <w:rFonts w:asciiTheme="minorHAnsi" w:hAnsiTheme="minorHAnsi" w:cstheme="minorHAnsi"/>
        </w:rPr>
        <w:t>2014</w:t>
      </w:r>
      <w:r w:rsidR="00242DB0">
        <w:rPr>
          <w:rFonts w:asciiTheme="minorHAnsi" w:hAnsiTheme="minorHAnsi" w:cstheme="minorHAnsi"/>
        </w:rPr>
        <w:t>, kdy</w:t>
      </w:r>
      <w:r w:rsidR="00AD7C64">
        <w:rPr>
          <w:rFonts w:asciiTheme="minorHAnsi" w:hAnsiTheme="minorHAnsi" w:cstheme="minorHAnsi"/>
        </w:rPr>
        <w:t xml:space="preserve"> MO uzavřelo první </w:t>
      </w:r>
      <w:r w:rsidR="00242DB0">
        <w:rPr>
          <w:rFonts w:asciiTheme="minorHAnsi" w:hAnsiTheme="minorHAnsi" w:cstheme="minorHAnsi"/>
        </w:rPr>
        <w:t xml:space="preserve">rámcovou </w:t>
      </w:r>
      <w:r w:rsidR="00AD7C64">
        <w:rPr>
          <w:rFonts w:asciiTheme="minorHAnsi" w:hAnsiTheme="minorHAnsi" w:cstheme="minorHAnsi"/>
        </w:rPr>
        <w:t>smlouvu na kompletní servisní podporu</w:t>
      </w:r>
      <w:r w:rsidR="00576A9C">
        <w:rPr>
          <w:rFonts w:asciiTheme="minorHAnsi" w:hAnsiTheme="minorHAnsi" w:cstheme="minorHAnsi"/>
        </w:rPr>
        <w:t xml:space="preserve"> těchto vozidel</w:t>
      </w:r>
      <w:r w:rsidR="00AD7C64">
        <w:rPr>
          <w:rFonts w:asciiTheme="minorHAnsi" w:hAnsiTheme="minorHAnsi" w:cstheme="minorHAnsi"/>
        </w:rPr>
        <w:t xml:space="preserve">. V roce 2016 </w:t>
      </w:r>
      <w:r w:rsidR="00576A9C">
        <w:rPr>
          <w:rFonts w:asciiTheme="minorHAnsi" w:hAnsiTheme="minorHAnsi" w:cstheme="minorHAnsi"/>
        </w:rPr>
        <w:t>rozhodlo</w:t>
      </w:r>
      <w:r w:rsidR="00242DB0">
        <w:rPr>
          <w:rFonts w:asciiTheme="minorHAnsi" w:hAnsiTheme="minorHAnsi" w:cstheme="minorHAnsi"/>
        </w:rPr>
        <w:t xml:space="preserve"> MO</w:t>
      </w:r>
      <w:r w:rsidR="00F8574D">
        <w:rPr>
          <w:rFonts w:asciiTheme="minorHAnsi" w:hAnsiTheme="minorHAnsi" w:cstheme="minorHAnsi"/>
        </w:rPr>
        <w:t xml:space="preserve"> o </w:t>
      </w:r>
      <w:r w:rsidR="00AD7C64">
        <w:rPr>
          <w:rFonts w:asciiTheme="minorHAnsi" w:hAnsiTheme="minorHAnsi" w:cstheme="minorHAnsi"/>
        </w:rPr>
        <w:t xml:space="preserve">navýšení hodnoty </w:t>
      </w:r>
      <w:r w:rsidR="00242DB0">
        <w:rPr>
          <w:rFonts w:asciiTheme="minorHAnsi" w:hAnsiTheme="minorHAnsi" w:cstheme="minorHAnsi"/>
        </w:rPr>
        <w:t xml:space="preserve">této </w:t>
      </w:r>
      <w:r w:rsidR="00AD7C64">
        <w:rPr>
          <w:rFonts w:asciiTheme="minorHAnsi" w:hAnsiTheme="minorHAnsi" w:cstheme="minorHAnsi"/>
        </w:rPr>
        <w:t xml:space="preserve">smlouvy ze 182 na 294 mil. Kč </w:t>
      </w:r>
      <w:r w:rsidR="00576A9C">
        <w:rPr>
          <w:rFonts w:asciiTheme="minorHAnsi" w:hAnsiTheme="minorHAnsi" w:cstheme="minorHAnsi"/>
        </w:rPr>
        <w:t>(o 61 %)</w:t>
      </w:r>
      <w:r w:rsidR="009F506A">
        <w:rPr>
          <w:rFonts w:asciiTheme="minorHAnsi" w:hAnsiTheme="minorHAnsi" w:cstheme="minorHAnsi"/>
        </w:rPr>
        <w:t>,</w:t>
      </w:r>
      <w:r w:rsidR="00242DB0">
        <w:rPr>
          <w:rFonts w:asciiTheme="minorHAnsi" w:hAnsiTheme="minorHAnsi" w:cstheme="minorHAnsi"/>
        </w:rPr>
        <w:t xml:space="preserve"> mj.</w:t>
      </w:r>
      <w:r w:rsidR="009F506A">
        <w:rPr>
          <w:rFonts w:asciiTheme="minorHAnsi" w:hAnsiTheme="minorHAnsi" w:cstheme="minorHAnsi"/>
        </w:rPr>
        <w:t xml:space="preserve"> to</w:t>
      </w:r>
      <w:r w:rsidR="00242DB0">
        <w:rPr>
          <w:rFonts w:asciiTheme="minorHAnsi" w:hAnsiTheme="minorHAnsi" w:cstheme="minorHAnsi"/>
        </w:rPr>
        <w:t xml:space="preserve"> </w:t>
      </w:r>
      <w:r w:rsidR="009F506A">
        <w:rPr>
          <w:rFonts w:asciiTheme="minorHAnsi" w:hAnsiTheme="minorHAnsi" w:cstheme="minorHAnsi"/>
        </w:rPr>
        <w:t>zdůvodnilo</w:t>
      </w:r>
      <w:r w:rsidR="00242DB0">
        <w:rPr>
          <w:rFonts w:asciiTheme="minorHAnsi" w:hAnsiTheme="minorHAnsi" w:cstheme="minorHAnsi"/>
        </w:rPr>
        <w:t xml:space="preserve"> zkrácení</w:t>
      </w:r>
      <w:r w:rsidR="009F506A">
        <w:rPr>
          <w:rFonts w:asciiTheme="minorHAnsi" w:hAnsiTheme="minorHAnsi" w:cstheme="minorHAnsi"/>
        </w:rPr>
        <w:t>m</w:t>
      </w:r>
      <w:r w:rsidR="00242DB0">
        <w:rPr>
          <w:rFonts w:asciiTheme="minorHAnsi" w:hAnsiTheme="minorHAnsi" w:cstheme="minorHAnsi"/>
        </w:rPr>
        <w:t xml:space="preserve"> termínů pro </w:t>
      </w:r>
      <w:r w:rsidR="00AD7C64">
        <w:rPr>
          <w:rFonts w:asciiTheme="minorHAnsi" w:hAnsiTheme="minorHAnsi" w:cstheme="minorHAnsi"/>
        </w:rPr>
        <w:t xml:space="preserve">dodání </w:t>
      </w:r>
      <w:r w:rsidR="00576A9C">
        <w:rPr>
          <w:rFonts w:asciiTheme="minorHAnsi" w:hAnsiTheme="minorHAnsi" w:cstheme="minorHAnsi"/>
        </w:rPr>
        <w:t xml:space="preserve">náhradních dílů o šest až devět měsíců, </w:t>
      </w:r>
      <w:r w:rsidR="00AD7C64">
        <w:rPr>
          <w:rFonts w:asciiTheme="minorHAnsi" w:hAnsiTheme="minorHAnsi" w:cstheme="minorHAnsi"/>
        </w:rPr>
        <w:t>neboť v té době</w:t>
      </w:r>
      <w:r w:rsidR="00242DB0">
        <w:rPr>
          <w:rFonts w:asciiTheme="minorHAnsi" w:hAnsiTheme="minorHAnsi" w:cstheme="minorHAnsi"/>
        </w:rPr>
        <w:t xml:space="preserve"> čekalo </w:t>
      </w:r>
      <w:r w:rsidR="00AD7C64">
        <w:rPr>
          <w:rFonts w:asciiTheme="minorHAnsi" w:hAnsiTheme="minorHAnsi" w:cstheme="minorHAnsi"/>
        </w:rPr>
        <w:t xml:space="preserve">na </w:t>
      </w:r>
      <w:r w:rsidR="00576A9C">
        <w:rPr>
          <w:rFonts w:asciiTheme="minorHAnsi" w:hAnsiTheme="minorHAnsi" w:cstheme="minorHAnsi"/>
        </w:rPr>
        <w:t xml:space="preserve">náhradní díly </w:t>
      </w:r>
      <w:r w:rsidR="00F8574D">
        <w:rPr>
          <w:rFonts w:asciiTheme="minorHAnsi" w:hAnsiTheme="minorHAnsi" w:cstheme="minorHAnsi"/>
        </w:rPr>
        <w:t>80 </w:t>
      </w:r>
      <w:r w:rsidR="00AD7C64">
        <w:rPr>
          <w:rFonts w:asciiTheme="minorHAnsi" w:hAnsiTheme="minorHAnsi" w:cstheme="minorHAnsi"/>
        </w:rPr>
        <w:t xml:space="preserve">% všech </w:t>
      </w:r>
      <w:r w:rsidR="00267313">
        <w:rPr>
          <w:rFonts w:asciiTheme="minorHAnsi" w:hAnsiTheme="minorHAnsi" w:cstheme="minorHAnsi"/>
        </w:rPr>
        <w:t>provozu neschopných</w:t>
      </w:r>
      <w:r w:rsidR="00AD7C64">
        <w:rPr>
          <w:rFonts w:asciiTheme="minorHAnsi" w:hAnsiTheme="minorHAnsi" w:cstheme="minorHAnsi"/>
        </w:rPr>
        <w:t xml:space="preserve"> KBVP a</w:t>
      </w:r>
      <w:r w:rsidR="00267313">
        <w:rPr>
          <w:rFonts w:asciiTheme="minorHAnsi" w:hAnsiTheme="minorHAnsi" w:cstheme="minorHAnsi"/>
        </w:rPr>
        <w:t> </w:t>
      </w:r>
      <w:r w:rsidR="00AD7C64">
        <w:rPr>
          <w:rFonts w:asciiTheme="minorHAnsi" w:hAnsiTheme="minorHAnsi" w:cstheme="minorHAnsi"/>
        </w:rPr>
        <w:t xml:space="preserve">KOT. </w:t>
      </w:r>
      <w:r w:rsidR="00242DB0">
        <w:rPr>
          <w:rFonts w:asciiTheme="minorHAnsi" w:hAnsiTheme="minorHAnsi" w:cstheme="minorHAnsi"/>
        </w:rPr>
        <w:t>P</w:t>
      </w:r>
      <w:r w:rsidR="00576A9C">
        <w:rPr>
          <w:rFonts w:asciiTheme="minorHAnsi" w:hAnsiTheme="minorHAnsi" w:cstheme="minorHAnsi"/>
        </w:rPr>
        <w:t>roblémy s</w:t>
      </w:r>
      <w:r w:rsidR="009F506A">
        <w:rPr>
          <w:rFonts w:asciiTheme="minorHAnsi" w:hAnsiTheme="minorHAnsi" w:cstheme="minorHAnsi"/>
        </w:rPr>
        <w:t xml:space="preserve"> včasností dodávek </w:t>
      </w:r>
      <w:r w:rsidR="00576A9C">
        <w:rPr>
          <w:rFonts w:asciiTheme="minorHAnsi" w:hAnsiTheme="minorHAnsi" w:cstheme="minorHAnsi"/>
        </w:rPr>
        <w:t>náhradní</w:t>
      </w:r>
      <w:r w:rsidR="009F506A">
        <w:rPr>
          <w:rFonts w:asciiTheme="minorHAnsi" w:hAnsiTheme="minorHAnsi" w:cstheme="minorHAnsi"/>
        </w:rPr>
        <w:t xml:space="preserve">ch </w:t>
      </w:r>
      <w:r w:rsidR="00576A9C">
        <w:rPr>
          <w:rFonts w:asciiTheme="minorHAnsi" w:hAnsiTheme="minorHAnsi" w:cstheme="minorHAnsi"/>
        </w:rPr>
        <w:t>díl</w:t>
      </w:r>
      <w:r w:rsidR="009F506A">
        <w:rPr>
          <w:rFonts w:asciiTheme="minorHAnsi" w:hAnsiTheme="minorHAnsi" w:cstheme="minorHAnsi"/>
        </w:rPr>
        <w:t>ů</w:t>
      </w:r>
      <w:r w:rsidR="00242DB0">
        <w:rPr>
          <w:rFonts w:asciiTheme="minorHAnsi" w:hAnsiTheme="minorHAnsi" w:cstheme="minorHAnsi"/>
        </w:rPr>
        <w:t xml:space="preserve"> přesto</w:t>
      </w:r>
      <w:r w:rsidR="00576A9C">
        <w:rPr>
          <w:rFonts w:asciiTheme="minorHAnsi" w:hAnsiTheme="minorHAnsi" w:cstheme="minorHAnsi"/>
        </w:rPr>
        <w:t xml:space="preserve"> nadále přetrvávaly. </w:t>
      </w:r>
      <w:r w:rsidR="000E1D61">
        <w:rPr>
          <w:rFonts w:asciiTheme="minorHAnsi" w:hAnsiTheme="minorHAnsi" w:cstheme="minorHAnsi"/>
        </w:rPr>
        <w:t>MO sice uplatňovalo u dodavatele sankce za pozd</w:t>
      </w:r>
      <w:r w:rsidR="00F8574D">
        <w:rPr>
          <w:rFonts w:asciiTheme="minorHAnsi" w:hAnsiTheme="minorHAnsi" w:cstheme="minorHAnsi"/>
        </w:rPr>
        <w:t>ní plnění, avšak jen do výše 15 </w:t>
      </w:r>
      <w:r w:rsidR="000E1D61">
        <w:rPr>
          <w:rFonts w:asciiTheme="minorHAnsi" w:hAnsiTheme="minorHAnsi" w:cstheme="minorHAnsi"/>
        </w:rPr>
        <w:t>% nabídkové ceny bez DPH</w:t>
      </w:r>
      <w:r w:rsidR="00242DB0">
        <w:rPr>
          <w:rFonts w:asciiTheme="minorHAnsi" w:hAnsiTheme="minorHAnsi" w:cstheme="minorHAnsi"/>
        </w:rPr>
        <w:t xml:space="preserve"> (viz bod </w:t>
      </w:r>
      <w:r w:rsidR="009C5693">
        <w:rPr>
          <w:rFonts w:asciiTheme="minorHAnsi" w:hAnsiTheme="minorHAnsi" w:cstheme="minorHAnsi"/>
        </w:rPr>
        <w:t>6</w:t>
      </w:r>
      <w:r w:rsidR="00242DB0">
        <w:rPr>
          <w:rFonts w:asciiTheme="minorHAnsi" w:hAnsiTheme="minorHAnsi" w:cstheme="minorHAnsi"/>
        </w:rPr>
        <w:t>).</w:t>
      </w:r>
    </w:p>
    <w:p w14:paraId="3484C4E4" w14:textId="77777777" w:rsidR="00242DB0" w:rsidRDefault="00242DB0" w:rsidP="0032056A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D857076" w14:textId="60175BA8" w:rsidR="0032056A" w:rsidRPr="0032056A" w:rsidRDefault="00242DB0" w:rsidP="0032056A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tanků komplikovala zásobování náhradními díly jak jedinečnost</w:t>
      </w:r>
      <w:r w:rsidR="009B6CA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tak i </w:t>
      </w:r>
      <w:r w:rsidR="003A55BA" w:rsidRPr="006A00DC">
        <w:rPr>
          <w:rFonts w:asciiTheme="minorHAnsi" w:hAnsiTheme="minorHAnsi" w:cstheme="minorHAnsi"/>
        </w:rPr>
        <w:t>stáří</w:t>
      </w:r>
      <w:r w:rsidR="009B6CAA">
        <w:rPr>
          <w:rFonts w:asciiTheme="minorHAnsi" w:hAnsiTheme="minorHAnsi" w:cstheme="minorHAnsi"/>
        </w:rPr>
        <w:t xml:space="preserve"> této techniky</w:t>
      </w:r>
      <w:r w:rsidR="006A00DC" w:rsidRPr="006A00DC">
        <w:rPr>
          <w:rFonts w:asciiTheme="minorHAnsi" w:hAnsiTheme="minorHAnsi" w:cstheme="minorHAnsi"/>
        </w:rPr>
        <w:t>.</w:t>
      </w:r>
      <w:r w:rsidR="003A55BA" w:rsidRPr="006A00DC">
        <w:rPr>
          <w:rFonts w:asciiTheme="minorHAnsi" w:hAnsiTheme="minorHAnsi" w:cstheme="minorHAnsi"/>
        </w:rPr>
        <w:t xml:space="preserve"> </w:t>
      </w:r>
      <w:r w:rsidR="006A00DC" w:rsidRPr="006A00DC">
        <w:rPr>
          <w:rFonts w:asciiTheme="minorHAnsi" w:hAnsiTheme="minorHAnsi" w:cstheme="minorHAnsi"/>
        </w:rPr>
        <w:t>MO nechalo z</w:t>
      </w:r>
      <w:r w:rsidR="003A55BA" w:rsidRPr="006A00DC">
        <w:rPr>
          <w:rFonts w:asciiTheme="minorHAnsi" w:hAnsiTheme="minorHAnsi" w:cstheme="minorHAnsi"/>
        </w:rPr>
        <w:t>modernizova</w:t>
      </w:r>
      <w:r w:rsidR="006A00DC" w:rsidRPr="006A00DC">
        <w:rPr>
          <w:rFonts w:asciiTheme="minorHAnsi" w:hAnsiTheme="minorHAnsi" w:cstheme="minorHAnsi"/>
        </w:rPr>
        <w:t>t</w:t>
      </w:r>
      <w:r w:rsidR="003A55BA" w:rsidRPr="006A00DC">
        <w:rPr>
          <w:rFonts w:asciiTheme="minorHAnsi" w:hAnsiTheme="minorHAnsi" w:cstheme="minorHAnsi"/>
        </w:rPr>
        <w:t xml:space="preserve"> </w:t>
      </w:r>
      <w:r w:rsidR="0067310D">
        <w:rPr>
          <w:rFonts w:asciiTheme="minorHAnsi" w:hAnsiTheme="minorHAnsi" w:cstheme="minorHAnsi"/>
        </w:rPr>
        <w:t>33 tanků</w:t>
      </w:r>
      <w:r w:rsidR="003A55BA" w:rsidRPr="006A00DC">
        <w:rPr>
          <w:rFonts w:asciiTheme="minorHAnsi" w:hAnsiTheme="minorHAnsi" w:cstheme="minorHAnsi"/>
        </w:rPr>
        <w:t xml:space="preserve"> vyroben</w:t>
      </w:r>
      <w:r w:rsidR="0067310D">
        <w:rPr>
          <w:rFonts w:asciiTheme="minorHAnsi" w:hAnsiTheme="minorHAnsi" w:cstheme="minorHAnsi"/>
        </w:rPr>
        <w:t>ých</w:t>
      </w:r>
      <w:r w:rsidR="003A55BA" w:rsidRPr="006A00DC">
        <w:rPr>
          <w:rFonts w:asciiTheme="minorHAnsi" w:hAnsiTheme="minorHAnsi" w:cstheme="minorHAnsi"/>
        </w:rPr>
        <w:t xml:space="preserve"> v 80. letech minulého století v</w:t>
      </w:r>
      <w:r w:rsidR="00860CC7">
        <w:rPr>
          <w:rFonts w:asciiTheme="minorHAnsi" w:hAnsiTheme="minorHAnsi" w:cstheme="minorHAnsi"/>
        </w:rPr>
        <w:t> </w:t>
      </w:r>
      <w:r w:rsidR="003A55BA" w:rsidRPr="006A00DC">
        <w:rPr>
          <w:rFonts w:asciiTheme="minorHAnsi" w:hAnsiTheme="minorHAnsi" w:cstheme="minorHAnsi"/>
        </w:rPr>
        <w:t>období</w:t>
      </w:r>
      <w:r w:rsidR="00860CC7">
        <w:rPr>
          <w:rFonts w:asciiTheme="minorHAnsi" w:hAnsiTheme="minorHAnsi" w:cstheme="minorHAnsi"/>
        </w:rPr>
        <w:br/>
      </w:r>
      <w:r w:rsidR="003A55BA" w:rsidRPr="006A00DC">
        <w:rPr>
          <w:rFonts w:asciiTheme="minorHAnsi" w:hAnsiTheme="minorHAnsi" w:cstheme="minorHAnsi"/>
        </w:rPr>
        <w:t>2003–2006</w:t>
      </w:r>
      <w:r w:rsidR="0067310D">
        <w:rPr>
          <w:rFonts w:asciiTheme="minorHAnsi" w:hAnsiTheme="minorHAnsi" w:cstheme="minorHAnsi"/>
        </w:rPr>
        <w:t>, tj. před</w:t>
      </w:r>
      <w:r w:rsidR="009B6CAA">
        <w:rPr>
          <w:rFonts w:asciiTheme="minorHAnsi" w:hAnsiTheme="minorHAnsi" w:cstheme="minorHAnsi"/>
        </w:rPr>
        <w:t xml:space="preserve"> cca</w:t>
      </w:r>
      <w:r w:rsidR="0067310D">
        <w:rPr>
          <w:rFonts w:asciiTheme="minorHAnsi" w:hAnsiTheme="minorHAnsi" w:cstheme="minorHAnsi"/>
        </w:rPr>
        <w:t xml:space="preserve"> 15 lety</w:t>
      </w:r>
      <w:r w:rsidR="006A00DC">
        <w:rPr>
          <w:rFonts w:asciiTheme="minorHAnsi" w:hAnsiTheme="minorHAnsi" w:cstheme="minorHAnsi"/>
        </w:rPr>
        <w:t>.</w:t>
      </w:r>
      <w:r w:rsidR="003A55BA" w:rsidRPr="006A00DC">
        <w:rPr>
          <w:rFonts w:asciiTheme="minorHAnsi" w:hAnsiTheme="minorHAnsi" w:cstheme="minorHAnsi"/>
        </w:rPr>
        <w:t xml:space="preserve"> </w:t>
      </w:r>
      <w:r w:rsidR="009B6CAA">
        <w:rPr>
          <w:rFonts w:asciiTheme="minorHAnsi" w:hAnsiTheme="minorHAnsi" w:cstheme="minorHAnsi"/>
        </w:rPr>
        <w:t xml:space="preserve">Dodavatel </w:t>
      </w:r>
      <w:r w:rsidR="006A00DC">
        <w:rPr>
          <w:rFonts w:asciiTheme="minorHAnsi" w:hAnsiTheme="minorHAnsi" w:cstheme="minorHAnsi"/>
        </w:rPr>
        <w:t>servis</w:t>
      </w:r>
      <w:r w:rsidR="009B6CAA">
        <w:rPr>
          <w:rFonts w:asciiTheme="minorHAnsi" w:hAnsiTheme="minorHAnsi" w:cstheme="minorHAnsi"/>
        </w:rPr>
        <w:t xml:space="preserve">ní podpory </w:t>
      </w:r>
      <w:r w:rsidR="006A00DC" w:rsidRPr="006A00DC">
        <w:rPr>
          <w:rFonts w:asciiTheme="minorHAnsi" w:hAnsiTheme="minorHAnsi" w:cstheme="minorHAnsi"/>
        </w:rPr>
        <w:t>ne</w:t>
      </w:r>
      <w:r w:rsidR="003A55BA" w:rsidRPr="006A00DC">
        <w:rPr>
          <w:rFonts w:asciiTheme="minorHAnsi" w:hAnsiTheme="minorHAnsi" w:cstheme="minorHAnsi"/>
        </w:rPr>
        <w:t>byl</w:t>
      </w:r>
      <w:r w:rsidR="006A00DC" w:rsidRPr="006A00DC">
        <w:rPr>
          <w:rFonts w:asciiTheme="minorHAnsi" w:hAnsiTheme="minorHAnsi" w:cstheme="minorHAnsi"/>
        </w:rPr>
        <w:t xml:space="preserve"> </w:t>
      </w:r>
      <w:r w:rsidR="006A427F">
        <w:rPr>
          <w:rFonts w:asciiTheme="minorHAnsi" w:hAnsiTheme="minorHAnsi" w:cstheme="minorHAnsi"/>
        </w:rPr>
        <w:t xml:space="preserve">poté </w:t>
      </w:r>
      <w:r w:rsidR="006A00DC" w:rsidRPr="006A00DC">
        <w:rPr>
          <w:rFonts w:asciiTheme="minorHAnsi" w:hAnsiTheme="minorHAnsi" w:cstheme="minorHAnsi"/>
        </w:rPr>
        <w:t xml:space="preserve">v mnoha případech </w:t>
      </w:r>
      <w:r w:rsidR="003A55BA" w:rsidRPr="006A00DC">
        <w:rPr>
          <w:rFonts w:asciiTheme="minorHAnsi" w:hAnsiTheme="minorHAnsi" w:cstheme="minorHAnsi"/>
        </w:rPr>
        <w:t xml:space="preserve">schopen </w:t>
      </w:r>
      <w:r w:rsidR="006A00DC">
        <w:rPr>
          <w:rFonts w:asciiTheme="minorHAnsi" w:hAnsiTheme="minorHAnsi" w:cstheme="minorHAnsi"/>
        </w:rPr>
        <w:t xml:space="preserve">potřebné </w:t>
      </w:r>
      <w:r w:rsidR="003A55BA" w:rsidRPr="006A00DC">
        <w:rPr>
          <w:rFonts w:asciiTheme="minorHAnsi" w:hAnsiTheme="minorHAnsi" w:cstheme="minorHAnsi"/>
        </w:rPr>
        <w:t xml:space="preserve">náhradní díly </w:t>
      </w:r>
      <w:r w:rsidR="0067310D">
        <w:rPr>
          <w:rFonts w:asciiTheme="minorHAnsi" w:hAnsiTheme="minorHAnsi" w:cstheme="minorHAnsi"/>
        </w:rPr>
        <w:t>z</w:t>
      </w:r>
      <w:r w:rsidR="003A55BA" w:rsidRPr="006A00DC">
        <w:rPr>
          <w:rFonts w:asciiTheme="minorHAnsi" w:hAnsiTheme="minorHAnsi" w:cstheme="minorHAnsi"/>
        </w:rPr>
        <w:t>abezpečit</w:t>
      </w:r>
      <w:r w:rsidR="009B6CAA">
        <w:rPr>
          <w:rFonts w:asciiTheme="minorHAnsi" w:hAnsiTheme="minorHAnsi" w:cstheme="minorHAnsi"/>
        </w:rPr>
        <w:t>. Č</w:t>
      </w:r>
      <w:r w:rsidR="00CF2826">
        <w:rPr>
          <w:rFonts w:asciiTheme="minorHAnsi" w:hAnsiTheme="minorHAnsi" w:cstheme="minorHAnsi"/>
        </w:rPr>
        <w:t>asto již nebyly na trhu a původní výrobce neexistoval.</w:t>
      </w:r>
      <w:r w:rsidR="009B6CAA">
        <w:rPr>
          <w:rFonts w:asciiTheme="minorHAnsi" w:hAnsiTheme="minorHAnsi" w:cstheme="minorHAnsi"/>
        </w:rPr>
        <w:t xml:space="preserve"> Rezervy neměla ani Armáda.</w:t>
      </w:r>
      <w:r w:rsidR="009B6CAA" w:rsidRPr="0032056A">
        <w:rPr>
          <w:rFonts w:asciiTheme="minorHAnsi" w:hAnsiTheme="minorHAnsi" w:cstheme="minorHAnsi"/>
        </w:rPr>
        <w:t xml:space="preserve"> </w:t>
      </w:r>
      <w:r w:rsidR="0032056A" w:rsidRPr="0032056A">
        <w:rPr>
          <w:rFonts w:asciiTheme="minorHAnsi" w:hAnsiTheme="minorHAnsi" w:cstheme="minorHAnsi"/>
        </w:rPr>
        <w:t>Nedostatek náhradních dílů jako závažn</w:t>
      </w:r>
      <w:r w:rsidR="003A55BA">
        <w:rPr>
          <w:rFonts w:asciiTheme="minorHAnsi" w:hAnsiTheme="minorHAnsi" w:cstheme="minorHAnsi"/>
        </w:rPr>
        <w:t>ý</w:t>
      </w:r>
      <w:r w:rsidR="0032056A" w:rsidRPr="0032056A">
        <w:rPr>
          <w:rFonts w:asciiTheme="minorHAnsi" w:hAnsiTheme="minorHAnsi" w:cstheme="minorHAnsi"/>
        </w:rPr>
        <w:t xml:space="preserve"> problém</w:t>
      </w:r>
      <w:r w:rsidR="00737BFD">
        <w:rPr>
          <w:rFonts w:asciiTheme="minorHAnsi" w:hAnsiTheme="minorHAnsi" w:cstheme="minorHAnsi"/>
        </w:rPr>
        <w:t xml:space="preserve"> </w:t>
      </w:r>
      <w:r w:rsidR="0032056A" w:rsidRPr="0032056A">
        <w:rPr>
          <w:rFonts w:asciiTheme="minorHAnsi" w:hAnsiTheme="minorHAnsi" w:cstheme="minorHAnsi"/>
        </w:rPr>
        <w:t xml:space="preserve">Armády </w:t>
      </w:r>
      <w:r w:rsidR="009B6CAA">
        <w:rPr>
          <w:rFonts w:asciiTheme="minorHAnsi" w:hAnsiTheme="minorHAnsi" w:cstheme="minorHAnsi"/>
        </w:rPr>
        <w:t>byl zmíněn také v</w:t>
      </w:r>
      <w:r w:rsidR="00A93B59">
        <w:rPr>
          <w:rFonts w:asciiTheme="minorHAnsi" w:hAnsiTheme="minorHAnsi" w:cstheme="minorHAnsi"/>
        </w:rPr>
        <w:t> </w:t>
      </w:r>
      <w:r w:rsidR="00E627B7">
        <w:rPr>
          <w:rFonts w:asciiTheme="minorHAnsi" w:hAnsiTheme="minorHAnsi" w:cstheme="minorHAnsi"/>
        </w:rPr>
        <w:t>a</w:t>
      </w:r>
      <w:r w:rsidR="009B6CAA" w:rsidRPr="00777E38">
        <w:rPr>
          <w:rFonts w:asciiTheme="minorHAnsi" w:hAnsiTheme="minorHAnsi" w:cstheme="minorHAnsi"/>
        </w:rPr>
        <w:t>nalýze</w:t>
      </w:r>
      <w:r w:rsidR="003157FB" w:rsidRPr="003157FB">
        <w:rPr>
          <w:rFonts w:asciiTheme="minorHAnsi" w:hAnsiTheme="minorHAnsi" w:cstheme="minorHAnsi"/>
        </w:rPr>
        <w:t xml:space="preserve"> </w:t>
      </w:r>
      <w:r w:rsidR="003157FB">
        <w:rPr>
          <w:rFonts w:asciiTheme="minorHAnsi" w:hAnsiTheme="minorHAnsi" w:cstheme="minorHAnsi"/>
        </w:rPr>
        <w:t>systému údržby pozemní vojenské techniky</w:t>
      </w:r>
      <w:r w:rsidR="00752883">
        <w:rPr>
          <w:rFonts w:asciiTheme="minorHAnsi" w:hAnsiTheme="minorHAnsi" w:cstheme="minorHAnsi"/>
        </w:rPr>
        <w:t xml:space="preserve"> (dále také „Analýza“)</w:t>
      </w:r>
      <w:r w:rsidR="00A93B59">
        <w:rPr>
          <w:rFonts w:asciiTheme="minorHAnsi" w:hAnsiTheme="minorHAnsi" w:cstheme="minorHAnsi"/>
        </w:rPr>
        <w:t>,</w:t>
      </w:r>
      <w:r w:rsidR="00E84CE5">
        <w:rPr>
          <w:rFonts w:asciiTheme="minorHAnsi" w:hAnsiTheme="minorHAnsi" w:cstheme="minorHAnsi"/>
        </w:rPr>
        <w:t xml:space="preserve"> </w:t>
      </w:r>
      <w:r w:rsidR="00E84CE5" w:rsidRPr="00777E38">
        <w:rPr>
          <w:rFonts w:asciiTheme="minorHAnsi" w:hAnsiTheme="minorHAnsi" w:cstheme="minorHAnsi"/>
        </w:rPr>
        <w:t>kterou</w:t>
      </w:r>
      <w:r w:rsidR="00E84CE5" w:rsidRPr="0032056A">
        <w:rPr>
          <w:rFonts w:asciiTheme="minorHAnsi" w:hAnsiTheme="minorHAnsi" w:cstheme="minorHAnsi"/>
        </w:rPr>
        <w:t xml:space="preserve"> si nechalo zpracovat MO</w:t>
      </w:r>
      <w:r w:rsidR="00A93B59">
        <w:rPr>
          <w:rStyle w:val="Znakapoznpodarou"/>
          <w:rFonts w:asciiTheme="minorHAnsi" w:hAnsiTheme="minorHAnsi" w:cstheme="minorHAnsi"/>
        </w:rPr>
        <w:footnoteReference w:id="27"/>
      </w:r>
      <w:r w:rsidR="0032056A" w:rsidRPr="0032056A">
        <w:rPr>
          <w:rFonts w:asciiTheme="minorHAnsi" w:hAnsiTheme="minorHAnsi" w:cstheme="minorHAnsi"/>
        </w:rPr>
        <w:t>.</w:t>
      </w:r>
      <w:r w:rsidR="00CF2826">
        <w:rPr>
          <w:rFonts w:asciiTheme="minorHAnsi" w:hAnsiTheme="minorHAnsi" w:cstheme="minorHAnsi"/>
        </w:rPr>
        <w:t xml:space="preserve"> Tento nedostatek významně přispívá k</w:t>
      </w:r>
      <w:r w:rsidR="009B6CAA">
        <w:rPr>
          <w:rFonts w:asciiTheme="minorHAnsi" w:hAnsiTheme="minorHAnsi" w:cstheme="minorHAnsi"/>
        </w:rPr>
        <w:t xml:space="preserve"> výše </w:t>
      </w:r>
      <w:r w:rsidR="009B6CAA" w:rsidRPr="00A0685E">
        <w:rPr>
          <w:rFonts w:asciiTheme="minorHAnsi" w:hAnsiTheme="minorHAnsi" w:cstheme="minorHAnsi"/>
        </w:rPr>
        <w:t xml:space="preserve">uvedené </w:t>
      </w:r>
      <w:r w:rsidR="00A0685E" w:rsidRPr="00A0685E">
        <w:rPr>
          <w:rFonts w:asciiTheme="minorHAnsi" w:hAnsiTheme="minorHAnsi" w:cstheme="minorHAnsi"/>
        </w:rPr>
        <w:t xml:space="preserve">vysoké </w:t>
      </w:r>
      <w:r w:rsidR="00CF2826" w:rsidRPr="00A0685E">
        <w:rPr>
          <w:rFonts w:asciiTheme="minorHAnsi" w:hAnsiTheme="minorHAnsi" w:cstheme="minorHAnsi"/>
        </w:rPr>
        <w:t>neprovozuschopnosti</w:t>
      </w:r>
      <w:r w:rsidR="00CF2826">
        <w:rPr>
          <w:rFonts w:asciiTheme="minorHAnsi" w:hAnsiTheme="minorHAnsi" w:cstheme="minorHAnsi"/>
        </w:rPr>
        <w:t xml:space="preserve"> </w:t>
      </w:r>
      <w:r w:rsidR="009B6CAA">
        <w:rPr>
          <w:rFonts w:asciiTheme="minorHAnsi" w:hAnsiTheme="minorHAnsi" w:cstheme="minorHAnsi"/>
        </w:rPr>
        <w:t>obrněné</w:t>
      </w:r>
      <w:r w:rsidR="00CF2826">
        <w:rPr>
          <w:rFonts w:asciiTheme="minorHAnsi" w:hAnsiTheme="minorHAnsi" w:cstheme="minorHAnsi"/>
        </w:rPr>
        <w:t xml:space="preserve"> techniky.</w:t>
      </w:r>
    </w:p>
    <w:p w14:paraId="05D560D4" w14:textId="6C61829F" w:rsidR="00CD5FED" w:rsidRDefault="00CD5FED" w:rsidP="00E708EE">
      <w:pPr>
        <w:tabs>
          <w:tab w:val="left" w:pos="426"/>
        </w:tabs>
        <w:jc w:val="both"/>
        <w:rPr>
          <w:rFonts w:asciiTheme="minorHAnsi" w:hAnsiTheme="minorHAnsi" w:cstheme="minorHAnsi"/>
          <w:b/>
          <w:highlight w:val="yellow"/>
        </w:rPr>
      </w:pPr>
    </w:p>
    <w:p w14:paraId="2470A2B9" w14:textId="3ACFED6B" w:rsidR="0020443D" w:rsidRDefault="00A93B59" w:rsidP="00752883">
      <w:pPr>
        <w:pStyle w:val="Nadpis2"/>
        <w:tabs>
          <w:tab w:val="left" w:pos="284"/>
        </w:tabs>
        <w:spacing w:before="0" w:after="0"/>
        <w:ind w:left="284" w:hanging="284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9</w:t>
      </w:r>
      <w:r w:rsidR="0020443D"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752883">
        <w:rPr>
          <w:rFonts w:asciiTheme="minorHAnsi" w:hAnsiTheme="minorHAnsi" w:cstheme="minorHAnsi"/>
          <w:i w:val="0"/>
          <w:sz w:val="24"/>
          <w:szCs w:val="24"/>
        </w:rPr>
        <w:tab/>
      </w:r>
      <w:r w:rsidR="0020443D" w:rsidRPr="002E01EA">
        <w:rPr>
          <w:rFonts w:asciiTheme="minorHAnsi" w:hAnsiTheme="minorHAnsi" w:cstheme="minorHAnsi"/>
          <w:i w:val="0"/>
          <w:sz w:val="24"/>
          <w:szCs w:val="24"/>
        </w:rPr>
        <w:t>N</w:t>
      </w:r>
      <w:r w:rsidR="0020443D">
        <w:rPr>
          <w:rFonts w:asciiTheme="minorHAnsi" w:hAnsiTheme="minorHAnsi" w:cstheme="minorHAnsi"/>
          <w:i w:val="0"/>
          <w:sz w:val="24"/>
          <w:szCs w:val="24"/>
        </w:rPr>
        <w:t>ízký projezd obrněné techniky</w:t>
      </w:r>
      <w:r w:rsidR="00E80580">
        <w:rPr>
          <w:rFonts w:asciiTheme="minorHAnsi" w:hAnsiTheme="minorHAnsi" w:cstheme="minorHAnsi"/>
          <w:i w:val="0"/>
          <w:sz w:val="24"/>
          <w:szCs w:val="24"/>
        </w:rPr>
        <w:t xml:space="preserve"> mezi stanovenými technickými údržbami</w:t>
      </w:r>
    </w:p>
    <w:p w14:paraId="3438416C" w14:textId="77777777" w:rsidR="00560223" w:rsidRPr="00CE0687" w:rsidRDefault="00560223" w:rsidP="00560223">
      <w:pPr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35A48687" w14:textId="735B8926" w:rsidR="00F326FE" w:rsidRPr="008D3C34" w:rsidRDefault="0045316E" w:rsidP="0045316E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45316E">
        <w:rPr>
          <w:rFonts w:asciiTheme="minorHAnsi" w:hAnsiTheme="minorHAnsi" w:cstheme="minorHAnsi"/>
        </w:rPr>
        <w:t>K</w:t>
      </w:r>
      <w:r w:rsidR="006D6A9B" w:rsidRPr="0045316E">
        <w:rPr>
          <w:rFonts w:asciiTheme="minorHAnsi" w:hAnsiTheme="minorHAnsi" w:cstheme="minorHAnsi"/>
        </w:rPr>
        <w:t xml:space="preserve"> hodnocení efektivnosti systému provozu a údržby pozemní </w:t>
      </w:r>
      <w:r w:rsidR="007D4FAE">
        <w:rPr>
          <w:rFonts w:asciiTheme="minorHAnsi" w:hAnsiTheme="minorHAnsi" w:cstheme="minorHAnsi"/>
        </w:rPr>
        <w:t xml:space="preserve">vojenské </w:t>
      </w:r>
      <w:r w:rsidR="006D6A9B" w:rsidRPr="0045316E">
        <w:rPr>
          <w:rFonts w:asciiTheme="minorHAnsi" w:hAnsiTheme="minorHAnsi" w:cstheme="minorHAnsi"/>
        </w:rPr>
        <w:t xml:space="preserve">techniky </w:t>
      </w:r>
      <w:r w:rsidRPr="0045316E">
        <w:rPr>
          <w:rFonts w:asciiTheme="minorHAnsi" w:hAnsiTheme="minorHAnsi" w:cstheme="minorHAnsi"/>
        </w:rPr>
        <w:t xml:space="preserve">má MO </w:t>
      </w:r>
      <w:r w:rsidR="006D6A9B" w:rsidRPr="0045316E">
        <w:rPr>
          <w:rFonts w:asciiTheme="minorHAnsi" w:hAnsiTheme="minorHAnsi" w:cstheme="minorHAnsi"/>
        </w:rPr>
        <w:t>stanov</w:t>
      </w:r>
      <w:r w:rsidRPr="0045316E">
        <w:rPr>
          <w:rFonts w:asciiTheme="minorHAnsi" w:hAnsiTheme="minorHAnsi" w:cstheme="minorHAnsi"/>
        </w:rPr>
        <w:t>eny</w:t>
      </w:r>
      <w:r w:rsidR="006D6A9B" w:rsidRPr="004531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mj. </w:t>
      </w:r>
      <w:r w:rsidR="006D6A9B" w:rsidRPr="0045316E">
        <w:rPr>
          <w:rFonts w:asciiTheme="minorHAnsi" w:hAnsiTheme="minorHAnsi" w:cstheme="minorHAnsi"/>
        </w:rPr>
        <w:t xml:space="preserve">normy ujetých kilometrů </w:t>
      </w:r>
      <w:r>
        <w:rPr>
          <w:rFonts w:asciiTheme="minorHAnsi" w:hAnsiTheme="minorHAnsi" w:cstheme="minorHAnsi"/>
        </w:rPr>
        <w:t xml:space="preserve">vozidel </w:t>
      </w:r>
      <w:r w:rsidR="006D6A9B" w:rsidRPr="0045316E">
        <w:rPr>
          <w:rFonts w:asciiTheme="minorHAnsi" w:hAnsiTheme="minorHAnsi" w:cstheme="minorHAnsi"/>
        </w:rPr>
        <w:t xml:space="preserve">mezi technickými údržbami. Pro provedení technické údržby prvního stupně </w:t>
      </w:r>
      <w:r w:rsidRPr="0045316E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tj. </w:t>
      </w:r>
      <w:r w:rsidRPr="0045316E">
        <w:rPr>
          <w:rFonts w:asciiTheme="minorHAnsi" w:hAnsiTheme="minorHAnsi" w:cstheme="minorHAnsi"/>
        </w:rPr>
        <w:t xml:space="preserve">jednou ročně) </w:t>
      </w:r>
      <w:r w:rsidR="006D6A9B" w:rsidRPr="0045316E">
        <w:rPr>
          <w:rFonts w:asciiTheme="minorHAnsi" w:hAnsiTheme="minorHAnsi" w:cstheme="minorHAnsi"/>
        </w:rPr>
        <w:t xml:space="preserve">tato norma činí 5 000 km </w:t>
      </w:r>
      <w:r w:rsidRPr="0045316E">
        <w:rPr>
          <w:rFonts w:asciiTheme="minorHAnsi" w:hAnsiTheme="minorHAnsi" w:cstheme="minorHAnsi"/>
        </w:rPr>
        <w:t xml:space="preserve">pro KBVP a KOT a </w:t>
      </w:r>
      <w:r>
        <w:rPr>
          <w:rFonts w:asciiTheme="minorHAnsi" w:hAnsiTheme="minorHAnsi" w:cstheme="minorHAnsi"/>
        </w:rPr>
        <w:t xml:space="preserve">1 000 km </w:t>
      </w:r>
      <w:r w:rsidRPr="0045316E">
        <w:rPr>
          <w:rFonts w:asciiTheme="minorHAnsi" w:hAnsiTheme="minorHAnsi" w:cstheme="minorHAnsi"/>
        </w:rPr>
        <w:t>pro tanky.</w:t>
      </w:r>
      <w:r>
        <w:rPr>
          <w:rFonts w:asciiTheme="minorHAnsi" w:hAnsiTheme="minorHAnsi" w:cstheme="minorHAnsi"/>
        </w:rPr>
        <w:t xml:space="preserve"> </w:t>
      </w:r>
      <w:r w:rsidR="0020443D" w:rsidRPr="008D3C34">
        <w:rPr>
          <w:rFonts w:asciiTheme="minorHAnsi" w:hAnsiTheme="minorHAnsi" w:cstheme="minorHAnsi"/>
        </w:rPr>
        <w:t xml:space="preserve">Z informací o provozu </w:t>
      </w:r>
      <w:r w:rsidR="00D06E69">
        <w:rPr>
          <w:rFonts w:asciiTheme="minorHAnsi" w:hAnsiTheme="minorHAnsi" w:cstheme="minorHAnsi"/>
        </w:rPr>
        <w:t xml:space="preserve">107 vozidel </w:t>
      </w:r>
      <w:r w:rsidR="008D3C34">
        <w:rPr>
          <w:rFonts w:asciiTheme="minorHAnsi" w:hAnsiTheme="minorHAnsi" w:cstheme="minorHAnsi"/>
        </w:rPr>
        <w:t>KBVP a KOT</w:t>
      </w:r>
      <w:r w:rsidR="0020443D" w:rsidRPr="00AF5EE2">
        <w:rPr>
          <w:rFonts w:asciiTheme="minorHAnsi" w:hAnsiTheme="minorHAnsi" w:cstheme="minorHAnsi"/>
        </w:rPr>
        <w:t xml:space="preserve"> </w:t>
      </w:r>
      <w:r w:rsidR="0020443D" w:rsidRPr="008D3C34">
        <w:rPr>
          <w:rFonts w:asciiTheme="minorHAnsi" w:hAnsiTheme="minorHAnsi" w:cstheme="minorHAnsi"/>
        </w:rPr>
        <w:t>bylo zjištěno, že v roce 201</w:t>
      </w:r>
      <w:r w:rsidR="008D3C34">
        <w:rPr>
          <w:rFonts w:asciiTheme="minorHAnsi" w:hAnsiTheme="minorHAnsi" w:cstheme="minorHAnsi"/>
        </w:rPr>
        <w:t>6</w:t>
      </w:r>
      <w:r w:rsidR="0020443D" w:rsidRPr="008D3C34">
        <w:rPr>
          <w:rFonts w:asciiTheme="minorHAnsi" w:hAnsiTheme="minorHAnsi" w:cstheme="minorHAnsi"/>
        </w:rPr>
        <w:t xml:space="preserve"> jedno vozidlo</w:t>
      </w:r>
      <w:r w:rsidR="00F8574D">
        <w:rPr>
          <w:rFonts w:asciiTheme="minorHAnsi" w:hAnsiTheme="minorHAnsi" w:cstheme="minorHAnsi"/>
        </w:rPr>
        <w:t xml:space="preserve"> ujelo</w:t>
      </w:r>
      <w:r w:rsidR="009B6CAA">
        <w:rPr>
          <w:rFonts w:asciiTheme="minorHAnsi" w:hAnsiTheme="minorHAnsi" w:cstheme="minorHAnsi"/>
        </w:rPr>
        <w:t xml:space="preserve"> průměrnou vzdálenost</w:t>
      </w:r>
      <w:r w:rsidR="0020443D" w:rsidRPr="008D3C34">
        <w:rPr>
          <w:rFonts w:asciiTheme="minorHAnsi" w:hAnsiTheme="minorHAnsi" w:cstheme="minorHAnsi"/>
        </w:rPr>
        <w:t xml:space="preserve"> 871</w:t>
      </w:r>
      <w:r w:rsidR="009B6CAA">
        <w:rPr>
          <w:rFonts w:asciiTheme="minorHAnsi" w:hAnsiTheme="minorHAnsi" w:cstheme="minorHAnsi"/>
        </w:rPr>
        <w:t xml:space="preserve"> </w:t>
      </w:r>
      <w:r w:rsidR="0020443D" w:rsidRPr="008D3C34">
        <w:rPr>
          <w:rFonts w:asciiTheme="minorHAnsi" w:hAnsiTheme="minorHAnsi" w:cstheme="minorHAnsi"/>
        </w:rPr>
        <w:t>km</w:t>
      </w:r>
      <w:r w:rsidR="009B6CAA">
        <w:rPr>
          <w:rFonts w:asciiTheme="minorHAnsi" w:hAnsiTheme="minorHAnsi" w:cstheme="minorHAnsi"/>
        </w:rPr>
        <w:t>, v</w:t>
      </w:r>
      <w:r w:rsidR="008D3C34">
        <w:rPr>
          <w:rFonts w:asciiTheme="minorHAnsi" w:hAnsiTheme="minorHAnsi" w:cstheme="minorHAnsi"/>
        </w:rPr>
        <w:t xml:space="preserve"> </w:t>
      </w:r>
      <w:r w:rsidR="008D3C34" w:rsidRPr="007B0DF7">
        <w:rPr>
          <w:rFonts w:asciiTheme="minorHAnsi" w:hAnsiTheme="minorHAnsi" w:cstheme="minorHAnsi"/>
        </w:rPr>
        <w:t>roce 201</w:t>
      </w:r>
      <w:r w:rsidR="008D3C34">
        <w:rPr>
          <w:rFonts w:asciiTheme="minorHAnsi" w:hAnsiTheme="minorHAnsi" w:cstheme="minorHAnsi"/>
        </w:rPr>
        <w:t>7</w:t>
      </w:r>
      <w:r w:rsidR="008D3C34" w:rsidRPr="007B0DF7">
        <w:rPr>
          <w:rFonts w:asciiTheme="minorHAnsi" w:hAnsiTheme="minorHAnsi" w:cstheme="minorHAnsi"/>
        </w:rPr>
        <w:t xml:space="preserve"> </w:t>
      </w:r>
      <w:r w:rsidR="00752883">
        <w:rPr>
          <w:rFonts w:asciiTheme="minorHAnsi" w:hAnsiTheme="minorHAnsi" w:cstheme="minorHAnsi"/>
        </w:rPr>
        <w:t xml:space="preserve">to bylo </w:t>
      </w:r>
      <w:r w:rsidR="008D3C34" w:rsidRPr="007B0DF7">
        <w:rPr>
          <w:rFonts w:asciiTheme="minorHAnsi" w:hAnsiTheme="minorHAnsi" w:cstheme="minorHAnsi"/>
        </w:rPr>
        <w:t xml:space="preserve">1 </w:t>
      </w:r>
      <w:r w:rsidR="008D3C34">
        <w:rPr>
          <w:rFonts w:asciiTheme="minorHAnsi" w:hAnsiTheme="minorHAnsi" w:cstheme="minorHAnsi"/>
        </w:rPr>
        <w:t>227</w:t>
      </w:r>
      <w:r w:rsidR="009B6CAA">
        <w:rPr>
          <w:rFonts w:asciiTheme="minorHAnsi" w:hAnsiTheme="minorHAnsi" w:cstheme="minorHAnsi"/>
        </w:rPr>
        <w:t xml:space="preserve"> km a v</w:t>
      </w:r>
      <w:r w:rsidR="008D3C34" w:rsidRPr="007B0DF7">
        <w:rPr>
          <w:rFonts w:asciiTheme="minorHAnsi" w:hAnsiTheme="minorHAnsi" w:cstheme="minorHAnsi"/>
        </w:rPr>
        <w:t> roce 201</w:t>
      </w:r>
      <w:r w:rsidR="008D3C34">
        <w:rPr>
          <w:rFonts w:asciiTheme="minorHAnsi" w:hAnsiTheme="minorHAnsi" w:cstheme="minorHAnsi"/>
        </w:rPr>
        <w:t>8</w:t>
      </w:r>
      <w:r w:rsidR="008D3C34" w:rsidRPr="007B0DF7">
        <w:rPr>
          <w:rFonts w:asciiTheme="minorHAnsi" w:hAnsiTheme="minorHAnsi" w:cstheme="minorHAnsi"/>
        </w:rPr>
        <w:t xml:space="preserve"> </w:t>
      </w:r>
      <w:r w:rsidR="00752883">
        <w:rPr>
          <w:rFonts w:asciiTheme="minorHAnsi" w:hAnsiTheme="minorHAnsi" w:cstheme="minorHAnsi"/>
        </w:rPr>
        <w:t xml:space="preserve">celkem </w:t>
      </w:r>
      <w:r w:rsidR="008D3C34">
        <w:rPr>
          <w:rFonts w:asciiTheme="minorHAnsi" w:hAnsiTheme="minorHAnsi" w:cstheme="minorHAnsi"/>
        </w:rPr>
        <w:t>1 5</w:t>
      </w:r>
      <w:r w:rsidR="009B6CAA">
        <w:rPr>
          <w:rFonts w:asciiTheme="minorHAnsi" w:hAnsiTheme="minorHAnsi" w:cstheme="minorHAnsi"/>
        </w:rPr>
        <w:t>10</w:t>
      </w:r>
      <w:r w:rsidR="006D01F5">
        <w:rPr>
          <w:rFonts w:asciiTheme="minorHAnsi" w:hAnsiTheme="minorHAnsi" w:cstheme="minorHAnsi"/>
        </w:rPr>
        <w:t xml:space="preserve"> km. </w:t>
      </w:r>
      <w:r w:rsidR="00F326FE">
        <w:rPr>
          <w:rFonts w:asciiTheme="minorHAnsi" w:hAnsiTheme="minorHAnsi" w:cstheme="minorHAnsi"/>
        </w:rPr>
        <w:t xml:space="preserve">Dále bylo zjištěno, že v letech 2016–2018 pouze jediné </w:t>
      </w:r>
      <w:r w:rsidR="00F326FE" w:rsidRPr="008D3C34">
        <w:rPr>
          <w:rFonts w:asciiTheme="minorHAnsi" w:hAnsiTheme="minorHAnsi" w:cstheme="minorHAnsi"/>
        </w:rPr>
        <w:t xml:space="preserve">vozidlo </w:t>
      </w:r>
      <w:r w:rsidR="00F326FE">
        <w:rPr>
          <w:rFonts w:asciiTheme="minorHAnsi" w:hAnsiTheme="minorHAnsi" w:cstheme="minorHAnsi"/>
        </w:rPr>
        <w:t>u</w:t>
      </w:r>
      <w:r w:rsidR="00F326FE" w:rsidRPr="008D3C34">
        <w:rPr>
          <w:rFonts w:asciiTheme="minorHAnsi" w:hAnsiTheme="minorHAnsi" w:cstheme="minorHAnsi"/>
        </w:rPr>
        <w:t>jelo požadovan</w:t>
      </w:r>
      <w:r w:rsidR="00665CE5">
        <w:rPr>
          <w:rFonts w:asciiTheme="minorHAnsi" w:hAnsiTheme="minorHAnsi" w:cstheme="minorHAnsi"/>
        </w:rPr>
        <w:t>ou normu</w:t>
      </w:r>
      <w:r w:rsidR="00F326FE" w:rsidRPr="008D3C34">
        <w:rPr>
          <w:rFonts w:asciiTheme="minorHAnsi" w:hAnsiTheme="minorHAnsi" w:cstheme="minorHAnsi"/>
        </w:rPr>
        <w:t xml:space="preserve"> </w:t>
      </w:r>
      <w:r w:rsidR="00922F04">
        <w:rPr>
          <w:rFonts w:asciiTheme="minorHAnsi" w:hAnsiTheme="minorHAnsi" w:cstheme="minorHAnsi"/>
        </w:rPr>
        <w:t>kilometrů</w:t>
      </w:r>
      <w:r w:rsidR="00F326FE" w:rsidRPr="008D3C34">
        <w:rPr>
          <w:rFonts w:asciiTheme="minorHAnsi" w:hAnsiTheme="minorHAnsi" w:cstheme="minorHAnsi"/>
        </w:rPr>
        <w:t xml:space="preserve"> za období, které je rozhodné pro provedení technické údržby</w:t>
      </w:r>
      <w:r w:rsidR="00D06E69">
        <w:rPr>
          <w:rFonts w:asciiTheme="minorHAnsi" w:hAnsiTheme="minorHAnsi" w:cstheme="minorHAnsi"/>
        </w:rPr>
        <w:t xml:space="preserve"> prvního</w:t>
      </w:r>
      <w:r w:rsidR="00F326FE" w:rsidRPr="008D3C34">
        <w:rPr>
          <w:rFonts w:asciiTheme="minorHAnsi" w:hAnsiTheme="minorHAnsi" w:cstheme="minorHAnsi"/>
        </w:rPr>
        <w:t xml:space="preserve"> </w:t>
      </w:r>
      <w:r w:rsidR="00F326FE">
        <w:rPr>
          <w:rFonts w:asciiTheme="minorHAnsi" w:hAnsiTheme="minorHAnsi" w:cstheme="minorHAnsi"/>
        </w:rPr>
        <w:t xml:space="preserve">stupně </w:t>
      </w:r>
      <w:r w:rsidR="00F326FE" w:rsidRPr="008D3C34">
        <w:rPr>
          <w:rFonts w:asciiTheme="minorHAnsi" w:hAnsiTheme="minorHAnsi" w:cstheme="minorHAnsi"/>
        </w:rPr>
        <w:t>(5</w:t>
      </w:r>
      <w:r w:rsidR="00560223">
        <w:rPr>
          <w:rFonts w:asciiTheme="minorHAnsi" w:hAnsiTheme="minorHAnsi" w:cstheme="minorHAnsi"/>
        </w:rPr>
        <w:t> </w:t>
      </w:r>
      <w:r w:rsidR="00F326FE" w:rsidRPr="008D3C34">
        <w:rPr>
          <w:rFonts w:asciiTheme="minorHAnsi" w:hAnsiTheme="minorHAnsi" w:cstheme="minorHAnsi"/>
        </w:rPr>
        <w:t>000</w:t>
      </w:r>
      <w:r w:rsidR="00560223">
        <w:rPr>
          <w:rFonts w:asciiTheme="minorHAnsi" w:hAnsiTheme="minorHAnsi" w:cstheme="minorHAnsi"/>
        </w:rPr>
        <w:t> </w:t>
      </w:r>
      <w:r w:rsidR="00F326FE" w:rsidRPr="008D3C34">
        <w:rPr>
          <w:rFonts w:asciiTheme="minorHAnsi" w:hAnsiTheme="minorHAnsi" w:cstheme="minorHAnsi"/>
        </w:rPr>
        <w:t>km/</w:t>
      </w:r>
      <w:r w:rsidR="00D06E69">
        <w:rPr>
          <w:rFonts w:asciiTheme="minorHAnsi" w:hAnsiTheme="minorHAnsi" w:cstheme="minorHAnsi"/>
        </w:rPr>
        <w:t xml:space="preserve">1 </w:t>
      </w:r>
      <w:r w:rsidR="00F326FE" w:rsidRPr="008D3C34">
        <w:rPr>
          <w:rFonts w:asciiTheme="minorHAnsi" w:hAnsiTheme="minorHAnsi" w:cstheme="minorHAnsi"/>
        </w:rPr>
        <w:t>rok</w:t>
      </w:r>
      <w:r w:rsidR="000B3906">
        <w:rPr>
          <w:rFonts w:asciiTheme="minorHAnsi" w:hAnsiTheme="minorHAnsi" w:cstheme="minorHAnsi"/>
        </w:rPr>
        <w:t>)</w:t>
      </w:r>
      <w:r w:rsidR="006D01F5">
        <w:rPr>
          <w:rFonts w:asciiTheme="minorHAnsi" w:hAnsiTheme="minorHAnsi" w:cstheme="minorHAnsi"/>
        </w:rPr>
        <w:t>, a to v roce 2018</w:t>
      </w:r>
      <w:r w:rsidR="00D06E69">
        <w:rPr>
          <w:rFonts w:asciiTheme="minorHAnsi" w:hAnsiTheme="minorHAnsi" w:cstheme="minorHAnsi"/>
        </w:rPr>
        <w:t xml:space="preserve">. Žádné z vozidel </w:t>
      </w:r>
      <w:r w:rsidR="00F326FE">
        <w:rPr>
          <w:rFonts w:asciiTheme="minorHAnsi" w:hAnsiTheme="minorHAnsi" w:cstheme="minorHAnsi"/>
        </w:rPr>
        <w:t xml:space="preserve">neujelo </w:t>
      </w:r>
      <w:r w:rsidR="00F326FE" w:rsidRPr="008D3C34">
        <w:rPr>
          <w:rFonts w:asciiTheme="minorHAnsi" w:hAnsiTheme="minorHAnsi" w:cstheme="minorHAnsi"/>
        </w:rPr>
        <w:t>požadovan</w:t>
      </w:r>
      <w:r w:rsidR="00665CE5">
        <w:rPr>
          <w:rFonts w:asciiTheme="minorHAnsi" w:hAnsiTheme="minorHAnsi" w:cstheme="minorHAnsi"/>
        </w:rPr>
        <w:t>ou normu</w:t>
      </w:r>
      <w:r w:rsidR="00F326FE" w:rsidRPr="008D3C34">
        <w:rPr>
          <w:rFonts w:asciiTheme="minorHAnsi" w:hAnsiTheme="minorHAnsi" w:cstheme="minorHAnsi"/>
        </w:rPr>
        <w:t xml:space="preserve"> </w:t>
      </w:r>
      <w:r w:rsidR="00922F04">
        <w:rPr>
          <w:rFonts w:asciiTheme="minorHAnsi" w:hAnsiTheme="minorHAnsi" w:cstheme="minorHAnsi"/>
        </w:rPr>
        <w:t>kilometrů</w:t>
      </w:r>
      <w:r w:rsidR="00F326FE" w:rsidRPr="008D3C34">
        <w:rPr>
          <w:rFonts w:asciiTheme="minorHAnsi" w:hAnsiTheme="minorHAnsi" w:cstheme="minorHAnsi"/>
        </w:rPr>
        <w:t xml:space="preserve"> za období, které je rozhodné pro provedení technické údržby</w:t>
      </w:r>
      <w:r w:rsidR="00D06E69">
        <w:rPr>
          <w:rFonts w:asciiTheme="minorHAnsi" w:hAnsiTheme="minorHAnsi" w:cstheme="minorHAnsi"/>
        </w:rPr>
        <w:t xml:space="preserve"> druhého</w:t>
      </w:r>
      <w:r w:rsidR="00F326FE" w:rsidRPr="008D3C34">
        <w:rPr>
          <w:rFonts w:asciiTheme="minorHAnsi" w:hAnsiTheme="minorHAnsi" w:cstheme="minorHAnsi"/>
        </w:rPr>
        <w:t xml:space="preserve"> </w:t>
      </w:r>
      <w:r w:rsidR="00F326FE">
        <w:rPr>
          <w:rFonts w:asciiTheme="minorHAnsi" w:hAnsiTheme="minorHAnsi" w:cstheme="minorHAnsi"/>
        </w:rPr>
        <w:t xml:space="preserve">stupně </w:t>
      </w:r>
      <w:r w:rsidR="00F326FE" w:rsidRPr="008D3C34">
        <w:rPr>
          <w:rFonts w:asciiTheme="minorHAnsi" w:hAnsiTheme="minorHAnsi" w:cstheme="minorHAnsi"/>
        </w:rPr>
        <w:t>(</w:t>
      </w:r>
      <w:r w:rsidR="00F326FE">
        <w:rPr>
          <w:rFonts w:asciiTheme="minorHAnsi" w:hAnsiTheme="minorHAnsi" w:cstheme="minorHAnsi"/>
        </w:rPr>
        <w:t>10</w:t>
      </w:r>
      <w:r w:rsidR="00F326FE" w:rsidRPr="008D3C34">
        <w:rPr>
          <w:rFonts w:asciiTheme="minorHAnsi" w:hAnsiTheme="minorHAnsi" w:cstheme="minorHAnsi"/>
        </w:rPr>
        <w:t xml:space="preserve"> 000 km/</w:t>
      </w:r>
      <w:r w:rsidR="00F326FE">
        <w:rPr>
          <w:rFonts w:asciiTheme="minorHAnsi" w:hAnsiTheme="minorHAnsi" w:cstheme="minorHAnsi"/>
        </w:rPr>
        <w:t>2</w:t>
      </w:r>
      <w:r w:rsidR="00D06E69">
        <w:rPr>
          <w:rFonts w:asciiTheme="minorHAnsi" w:hAnsiTheme="minorHAnsi" w:cstheme="minorHAnsi"/>
        </w:rPr>
        <w:t> </w:t>
      </w:r>
      <w:r w:rsidR="00F326FE" w:rsidRPr="008D3C34">
        <w:rPr>
          <w:rFonts w:asciiTheme="minorHAnsi" w:hAnsiTheme="minorHAnsi" w:cstheme="minorHAnsi"/>
        </w:rPr>
        <w:t>rok</w:t>
      </w:r>
      <w:r w:rsidR="00F326FE">
        <w:rPr>
          <w:rFonts w:asciiTheme="minorHAnsi" w:hAnsiTheme="minorHAnsi" w:cstheme="minorHAnsi"/>
        </w:rPr>
        <w:t>y</w:t>
      </w:r>
      <w:r w:rsidR="00F326FE" w:rsidRPr="008D3C34">
        <w:rPr>
          <w:rFonts w:asciiTheme="minorHAnsi" w:hAnsiTheme="minorHAnsi" w:cstheme="minorHAnsi"/>
        </w:rPr>
        <w:t>)</w:t>
      </w:r>
      <w:r w:rsidR="00F326FE">
        <w:rPr>
          <w:rFonts w:asciiTheme="minorHAnsi" w:hAnsiTheme="minorHAnsi" w:cstheme="minorHAnsi"/>
        </w:rPr>
        <w:t>.</w:t>
      </w:r>
      <w:r w:rsidR="00F326FE" w:rsidRPr="008D3C34">
        <w:rPr>
          <w:rFonts w:asciiTheme="minorHAnsi" w:hAnsiTheme="minorHAnsi" w:cstheme="minorHAnsi"/>
        </w:rPr>
        <w:t xml:space="preserve"> </w:t>
      </w:r>
      <w:r w:rsidR="00F326FE">
        <w:rPr>
          <w:rFonts w:asciiTheme="minorHAnsi" w:hAnsiTheme="minorHAnsi" w:cstheme="minorHAnsi"/>
        </w:rPr>
        <w:t>Polovinu požadované</w:t>
      </w:r>
      <w:r w:rsidR="00665CE5">
        <w:rPr>
          <w:rFonts w:asciiTheme="minorHAnsi" w:hAnsiTheme="minorHAnsi" w:cstheme="minorHAnsi"/>
        </w:rPr>
        <w:t xml:space="preserve"> normy</w:t>
      </w:r>
      <w:r w:rsidR="00F326FE">
        <w:rPr>
          <w:rFonts w:asciiTheme="minorHAnsi" w:hAnsiTheme="minorHAnsi" w:cstheme="minorHAnsi"/>
        </w:rPr>
        <w:t xml:space="preserve"> kilometrů na provedení </w:t>
      </w:r>
      <w:r w:rsidR="00D06E69">
        <w:rPr>
          <w:rFonts w:asciiTheme="minorHAnsi" w:hAnsiTheme="minorHAnsi" w:cstheme="minorHAnsi"/>
        </w:rPr>
        <w:t xml:space="preserve">technické </w:t>
      </w:r>
      <w:r w:rsidR="00F326FE">
        <w:rPr>
          <w:rFonts w:asciiTheme="minorHAnsi" w:hAnsiTheme="minorHAnsi" w:cstheme="minorHAnsi"/>
        </w:rPr>
        <w:t xml:space="preserve">údržby </w:t>
      </w:r>
      <w:r w:rsidR="00D06E69">
        <w:rPr>
          <w:rFonts w:asciiTheme="minorHAnsi" w:hAnsiTheme="minorHAnsi" w:cstheme="minorHAnsi"/>
        </w:rPr>
        <w:t xml:space="preserve">prvního </w:t>
      </w:r>
      <w:r w:rsidR="00F326FE">
        <w:rPr>
          <w:rFonts w:asciiTheme="minorHAnsi" w:hAnsiTheme="minorHAnsi" w:cstheme="minorHAnsi"/>
        </w:rPr>
        <w:t xml:space="preserve">stupně </w:t>
      </w:r>
      <w:r w:rsidR="00D06E69">
        <w:rPr>
          <w:rFonts w:asciiTheme="minorHAnsi" w:hAnsiTheme="minorHAnsi" w:cstheme="minorHAnsi"/>
        </w:rPr>
        <w:t>ujelo</w:t>
      </w:r>
      <w:r w:rsidR="00114529">
        <w:rPr>
          <w:rFonts w:asciiTheme="minorHAnsi" w:hAnsiTheme="minorHAnsi" w:cstheme="minorHAnsi"/>
        </w:rPr>
        <w:t xml:space="preserve"> v kontrolovaném období průměrně 17 % </w:t>
      </w:r>
      <w:r w:rsidR="00F326FE" w:rsidRPr="008D3C34">
        <w:rPr>
          <w:rFonts w:asciiTheme="minorHAnsi" w:hAnsiTheme="minorHAnsi" w:cstheme="minorHAnsi"/>
        </w:rPr>
        <w:t>vozidel</w:t>
      </w:r>
      <w:r w:rsidR="006D01F5" w:rsidRPr="00771A7F">
        <w:rPr>
          <w:rFonts w:asciiTheme="minorHAnsi" w:hAnsiTheme="minorHAnsi" w:cstheme="minorHAnsi"/>
        </w:rPr>
        <w:t>.</w:t>
      </w:r>
      <w:r w:rsidR="006D01F5">
        <w:rPr>
          <w:rFonts w:asciiTheme="minorHAnsi" w:hAnsiTheme="minorHAnsi" w:cstheme="minorHAnsi"/>
        </w:rPr>
        <w:t xml:space="preserve"> </w:t>
      </w:r>
      <w:r w:rsidR="00D06E69">
        <w:rPr>
          <w:rFonts w:asciiTheme="minorHAnsi" w:hAnsiTheme="minorHAnsi" w:cstheme="minorHAnsi"/>
        </w:rPr>
        <w:t xml:space="preserve">Jedno vozidlo </w:t>
      </w:r>
      <w:r w:rsidR="006D01F5">
        <w:rPr>
          <w:rFonts w:asciiTheme="minorHAnsi" w:hAnsiTheme="minorHAnsi" w:cstheme="minorHAnsi"/>
        </w:rPr>
        <w:t>KBVP a</w:t>
      </w:r>
      <w:r w:rsidR="00922F04">
        <w:rPr>
          <w:rFonts w:asciiTheme="minorHAnsi" w:hAnsiTheme="minorHAnsi" w:cstheme="minorHAnsi"/>
        </w:rPr>
        <w:t> </w:t>
      </w:r>
      <w:r w:rsidR="006D01F5">
        <w:rPr>
          <w:rFonts w:asciiTheme="minorHAnsi" w:hAnsiTheme="minorHAnsi" w:cstheme="minorHAnsi"/>
        </w:rPr>
        <w:t xml:space="preserve">KOT </w:t>
      </w:r>
      <w:r w:rsidR="00D06E69">
        <w:rPr>
          <w:rFonts w:asciiTheme="minorHAnsi" w:hAnsiTheme="minorHAnsi" w:cstheme="minorHAnsi"/>
        </w:rPr>
        <w:t xml:space="preserve">ujelo </w:t>
      </w:r>
      <w:r w:rsidR="006D01F5">
        <w:rPr>
          <w:rFonts w:asciiTheme="minorHAnsi" w:hAnsiTheme="minorHAnsi" w:cstheme="minorHAnsi"/>
        </w:rPr>
        <w:t xml:space="preserve">v období 2016–2018 </w:t>
      </w:r>
      <w:r w:rsidR="00985C5A">
        <w:rPr>
          <w:rFonts w:asciiTheme="minorHAnsi" w:hAnsiTheme="minorHAnsi" w:cstheme="minorHAnsi"/>
        </w:rPr>
        <w:t>průměrn</w:t>
      </w:r>
      <w:r w:rsidR="00114529">
        <w:rPr>
          <w:rFonts w:asciiTheme="minorHAnsi" w:hAnsiTheme="minorHAnsi" w:cstheme="minorHAnsi"/>
        </w:rPr>
        <w:t xml:space="preserve">ou vzdálenost </w:t>
      </w:r>
      <w:r w:rsidR="00D06E69">
        <w:rPr>
          <w:rFonts w:asciiTheme="minorHAnsi" w:hAnsiTheme="minorHAnsi" w:cstheme="minorHAnsi"/>
        </w:rPr>
        <w:t>1 203 km</w:t>
      </w:r>
      <w:r w:rsidR="00114529">
        <w:rPr>
          <w:rFonts w:asciiTheme="minorHAnsi" w:hAnsiTheme="minorHAnsi" w:cstheme="minorHAnsi"/>
        </w:rPr>
        <w:t xml:space="preserve"> za rok</w:t>
      </w:r>
      <w:r w:rsidR="00F326FE" w:rsidRPr="008D3C34">
        <w:rPr>
          <w:rFonts w:asciiTheme="minorHAnsi" w:hAnsiTheme="minorHAnsi" w:cstheme="minorHAnsi"/>
        </w:rPr>
        <w:t>.</w:t>
      </w:r>
    </w:p>
    <w:p w14:paraId="5698A1FA" w14:textId="5ECC4047" w:rsidR="0045316E" w:rsidRDefault="006D01F5" w:rsidP="00FE1B11">
      <w:pPr>
        <w:jc w:val="both"/>
        <w:rPr>
          <w:rFonts w:asciiTheme="minorHAnsi" w:hAnsiTheme="minorHAnsi" w:cstheme="minorHAnsi"/>
        </w:rPr>
      </w:pPr>
      <w:r w:rsidRPr="008D3C34">
        <w:rPr>
          <w:rFonts w:asciiTheme="minorHAnsi" w:hAnsiTheme="minorHAnsi" w:cstheme="minorHAnsi"/>
        </w:rPr>
        <w:t xml:space="preserve">Z informací o provozu </w:t>
      </w:r>
      <w:r w:rsidR="00D06E69">
        <w:rPr>
          <w:rFonts w:asciiTheme="minorHAnsi" w:hAnsiTheme="minorHAnsi" w:cstheme="minorHAnsi"/>
        </w:rPr>
        <w:t xml:space="preserve">33 </w:t>
      </w:r>
      <w:r>
        <w:rPr>
          <w:rFonts w:asciiTheme="minorHAnsi" w:hAnsiTheme="minorHAnsi" w:cstheme="minorHAnsi"/>
        </w:rPr>
        <w:t xml:space="preserve">modernizovaných tanků </w:t>
      </w:r>
      <w:r w:rsidRPr="008D3C34">
        <w:rPr>
          <w:rFonts w:asciiTheme="minorHAnsi" w:hAnsiTheme="minorHAnsi" w:cstheme="minorHAnsi"/>
        </w:rPr>
        <w:t>bylo zjištěno</w:t>
      </w:r>
      <w:r>
        <w:rPr>
          <w:rFonts w:asciiTheme="minorHAnsi" w:hAnsiTheme="minorHAnsi" w:cstheme="minorHAnsi"/>
        </w:rPr>
        <w:t>,</w:t>
      </w:r>
      <w:r w:rsidRPr="006D01F5">
        <w:rPr>
          <w:rFonts w:asciiTheme="minorHAnsi" w:hAnsiTheme="minorHAnsi" w:cstheme="minorHAnsi"/>
        </w:rPr>
        <w:t xml:space="preserve"> </w:t>
      </w:r>
      <w:r w:rsidRPr="008D3C34">
        <w:rPr>
          <w:rFonts w:asciiTheme="minorHAnsi" w:hAnsiTheme="minorHAnsi" w:cstheme="minorHAnsi"/>
        </w:rPr>
        <w:t>že v roce 201</w:t>
      </w:r>
      <w:r>
        <w:rPr>
          <w:rFonts w:asciiTheme="minorHAnsi" w:hAnsiTheme="minorHAnsi" w:cstheme="minorHAnsi"/>
        </w:rPr>
        <w:t>6</w:t>
      </w:r>
      <w:r w:rsidRPr="008D3C34">
        <w:rPr>
          <w:rFonts w:asciiTheme="minorHAnsi" w:hAnsiTheme="minorHAnsi" w:cstheme="minorHAnsi"/>
        </w:rPr>
        <w:t xml:space="preserve"> </w:t>
      </w:r>
      <w:r w:rsidR="00D06E69">
        <w:rPr>
          <w:rFonts w:asciiTheme="minorHAnsi" w:hAnsiTheme="minorHAnsi" w:cstheme="minorHAnsi"/>
        </w:rPr>
        <w:t xml:space="preserve">ujel jeden tank průměrnou vzdálenost </w:t>
      </w:r>
      <w:r>
        <w:rPr>
          <w:rFonts w:asciiTheme="minorHAnsi" w:hAnsiTheme="minorHAnsi" w:cstheme="minorHAnsi"/>
        </w:rPr>
        <w:t>5</w:t>
      </w:r>
      <w:r w:rsidR="00D06E69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r w:rsidRPr="008D3C34">
        <w:rPr>
          <w:rFonts w:asciiTheme="minorHAnsi" w:hAnsiTheme="minorHAnsi" w:cstheme="minorHAnsi"/>
        </w:rPr>
        <w:t>km</w:t>
      </w:r>
      <w:r w:rsidR="00D06E69">
        <w:rPr>
          <w:rFonts w:asciiTheme="minorHAnsi" w:hAnsiTheme="minorHAnsi" w:cstheme="minorHAnsi"/>
        </w:rPr>
        <w:t xml:space="preserve">, v </w:t>
      </w:r>
      <w:r w:rsidRPr="007B0DF7">
        <w:rPr>
          <w:rFonts w:asciiTheme="minorHAnsi" w:hAnsiTheme="minorHAnsi" w:cstheme="minorHAnsi"/>
        </w:rPr>
        <w:t>roce 201</w:t>
      </w:r>
      <w:r>
        <w:rPr>
          <w:rFonts w:asciiTheme="minorHAnsi" w:hAnsiTheme="minorHAnsi" w:cstheme="minorHAnsi"/>
        </w:rPr>
        <w:t>7</w:t>
      </w:r>
      <w:r w:rsidRPr="007B0DF7">
        <w:rPr>
          <w:rFonts w:asciiTheme="minorHAnsi" w:hAnsiTheme="minorHAnsi" w:cstheme="minorHAnsi"/>
        </w:rPr>
        <w:t xml:space="preserve"> </w:t>
      </w:r>
      <w:r w:rsidR="00752883">
        <w:rPr>
          <w:rFonts w:asciiTheme="minorHAnsi" w:hAnsiTheme="minorHAnsi" w:cstheme="minorHAnsi"/>
        </w:rPr>
        <w:t xml:space="preserve">to bylo </w:t>
      </w:r>
      <w:r w:rsidRPr="007B0DF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5</w:t>
      </w:r>
      <w:r w:rsidR="00D06E69">
        <w:rPr>
          <w:rFonts w:asciiTheme="minorHAnsi" w:hAnsiTheme="minorHAnsi" w:cstheme="minorHAnsi"/>
        </w:rPr>
        <w:t>8 km a v</w:t>
      </w:r>
      <w:r w:rsidRPr="007B0DF7">
        <w:rPr>
          <w:rFonts w:asciiTheme="minorHAnsi" w:hAnsiTheme="minorHAnsi" w:cstheme="minorHAnsi"/>
        </w:rPr>
        <w:t> roce 201</w:t>
      </w:r>
      <w:r>
        <w:rPr>
          <w:rFonts w:asciiTheme="minorHAnsi" w:hAnsiTheme="minorHAnsi" w:cstheme="minorHAnsi"/>
        </w:rPr>
        <w:t>8</w:t>
      </w:r>
      <w:r w:rsidRPr="007B0DF7">
        <w:rPr>
          <w:rFonts w:asciiTheme="minorHAnsi" w:hAnsiTheme="minorHAnsi" w:cstheme="minorHAnsi"/>
        </w:rPr>
        <w:t xml:space="preserve"> </w:t>
      </w:r>
      <w:r w:rsidR="00752883">
        <w:rPr>
          <w:rFonts w:asciiTheme="minorHAnsi" w:hAnsiTheme="minorHAnsi" w:cstheme="minorHAnsi"/>
        </w:rPr>
        <w:t xml:space="preserve">celkem </w:t>
      </w:r>
      <w:r w:rsidR="0003154D">
        <w:rPr>
          <w:rFonts w:asciiTheme="minorHAnsi" w:hAnsiTheme="minorHAnsi" w:cstheme="minorHAnsi"/>
        </w:rPr>
        <w:t>14</w:t>
      </w:r>
      <w:r w:rsidR="00D06E69">
        <w:rPr>
          <w:rFonts w:asciiTheme="minorHAnsi" w:hAnsiTheme="minorHAnsi" w:cstheme="minorHAnsi"/>
        </w:rPr>
        <w:t>7 km. Dále</w:t>
      </w:r>
      <w:r>
        <w:rPr>
          <w:rFonts w:asciiTheme="minorHAnsi" w:hAnsiTheme="minorHAnsi" w:cstheme="minorHAnsi"/>
        </w:rPr>
        <w:t xml:space="preserve"> bylo zjištěno, že v letech 2016–2018 </w:t>
      </w:r>
      <w:r w:rsidR="0003154D">
        <w:rPr>
          <w:rFonts w:asciiTheme="minorHAnsi" w:hAnsiTheme="minorHAnsi" w:cstheme="minorHAnsi"/>
        </w:rPr>
        <w:t>žádný z modernizovaných tanků neujel</w:t>
      </w:r>
      <w:r w:rsidRPr="008D3C34">
        <w:rPr>
          <w:rFonts w:asciiTheme="minorHAnsi" w:hAnsiTheme="minorHAnsi" w:cstheme="minorHAnsi"/>
        </w:rPr>
        <w:t xml:space="preserve"> požadovanou </w:t>
      </w:r>
      <w:r w:rsidR="00665CE5">
        <w:rPr>
          <w:rFonts w:asciiTheme="minorHAnsi" w:hAnsiTheme="minorHAnsi" w:cstheme="minorHAnsi"/>
        </w:rPr>
        <w:t>normu</w:t>
      </w:r>
      <w:r w:rsidRPr="008D3C34">
        <w:rPr>
          <w:rFonts w:asciiTheme="minorHAnsi" w:hAnsiTheme="minorHAnsi" w:cstheme="minorHAnsi"/>
        </w:rPr>
        <w:t xml:space="preserve"> </w:t>
      </w:r>
      <w:r w:rsidR="009C7AE0">
        <w:rPr>
          <w:rFonts w:asciiTheme="minorHAnsi" w:hAnsiTheme="minorHAnsi" w:cstheme="minorHAnsi"/>
        </w:rPr>
        <w:t>kilometrů</w:t>
      </w:r>
      <w:r w:rsidRPr="008D3C34">
        <w:rPr>
          <w:rFonts w:asciiTheme="minorHAnsi" w:hAnsiTheme="minorHAnsi" w:cstheme="minorHAnsi"/>
        </w:rPr>
        <w:t xml:space="preserve"> za období, které je rozhodné pro provedení technické údržby </w:t>
      </w:r>
      <w:r w:rsidR="00985C5A">
        <w:rPr>
          <w:rFonts w:asciiTheme="minorHAnsi" w:hAnsiTheme="minorHAnsi" w:cstheme="minorHAnsi"/>
        </w:rPr>
        <w:t xml:space="preserve">prvního </w:t>
      </w:r>
      <w:r>
        <w:rPr>
          <w:rFonts w:asciiTheme="minorHAnsi" w:hAnsiTheme="minorHAnsi" w:cstheme="minorHAnsi"/>
        </w:rPr>
        <w:t xml:space="preserve">stupně </w:t>
      </w:r>
      <w:r w:rsidR="0003154D">
        <w:rPr>
          <w:rFonts w:asciiTheme="minorHAnsi" w:hAnsiTheme="minorHAnsi" w:cstheme="minorHAnsi"/>
        </w:rPr>
        <w:t>(1</w:t>
      </w:r>
      <w:r w:rsidR="00752883">
        <w:rPr>
          <w:rFonts w:asciiTheme="minorHAnsi" w:hAnsiTheme="minorHAnsi" w:cstheme="minorHAnsi"/>
        </w:rPr>
        <w:t> </w:t>
      </w:r>
      <w:r w:rsidRPr="008D3C34">
        <w:rPr>
          <w:rFonts w:asciiTheme="minorHAnsi" w:hAnsiTheme="minorHAnsi" w:cstheme="minorHAnsi"/>
        </w:rPr>
        <w:t>000</w:t>
      </w:r>
      <w:r w:rsidR="00752883">
        <w:rPr>
          <w:rFonts w:asciiTheme="minorHAnsi" w:hAnsiTheme="minorHAnsi" w:cstheme="minorHAnsi"/>
        </w:rPr>
        <w:t> </w:t>
      </w:r>
      <w:r w:rsidRPr="008D3C34">
        <w:rPr>
          <w:rFonts w:asciiTheme="minorHAnsi" w:hAnsiTheme="minorHAnsi" w:cstheme="minorHAnsi"/>
        </w:rPr>
        <w:t>km/1 rok)</w:t>
      </w:r>
      <w:r w:rsidR="00114529">
        <w:rPr>
          <w:rFonts w:asciiTheme="minorHAnsi" w:hAnsiTheme="minorHAnsi" w:cstheme="minorHAnsi"/>
        </w:rPr>
        <w:t xml:space="preserve"> a </w:t>
      </w:r>
      <w:r w:rsidR="00985C5A">
        <w:rPr>
          <w:rFonts w:asciiTheme="minorHAnsi" w:hAnsiTheme="minorHAnsi" w:cstheme="minorHAnsi"/>
        </w:rPr>
        <w:t>druhého stupně (2 000 km/2 roky)</w:t>
      </w:r>
      <w:r>
        <w:rPr>
          <w:rFonts w:asciiTheme="minorHAnsi" w:hAnsiTheme="minorHAnsi" w:cstheme="minorHAnsi"/>
        </w:rPr>
        <w:t>.</w:t>
      </w:r>
      <w:r w:rsidRPr="008D3C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Polovinu požadované </w:t>
      </w:r>
      <w:r w:rsidR="00665CE5">
        <w:rPr>
          <w:rFonts w:asciiTheme="minorHAnsi" w:hAnsiTheme="minorHAnsi" w:cstheme="minorHAnsi"/>
        </w:rPr>
        <w:t>normy</w:t>
      </w:r>
      <w:r>
        <w:rPr>
          <w:rFonts w:asciiTheme="minorHAnsi" w:hAnsiTheme="minorHAnsi" w:cstheme="minorHAnsi"/>
        </w:rPr>
        <w:t xml:space="preserve"> kilometrů na provedení </w:t>
      </w:r>
      <w:r w:rsidR="00985C5A">
        <w:rPr>
          <w:rFonts w:asciiTheme="minorHAnsi" w:hAnsiTheme="minorHAnsi" w:cstheme="minorHAnsi"/>
        </w:rPr>
        <w:t xml:space="preserve">technické </w:t>
      </w:r>
      <w:r>
        <w:rPr>
          <w:rFonts w:asciiTheme="minorHAnsi" w:hAnsiTheme="minorHAnsi" w:cstheme="minorHAnsi"/>
        </w:rPr>
        <w:t xml:space="preserve">údržby </w:t>
      </w:r>
      <w:r w:rsidR="00985C5A">
        <w:rPr>
          <w:rFonts w:asciiTheme="minorHAnsi" w:hAnsiTheme="minorHAnsi" w:cstheme="minorHAnsi"/>
        </w:rPr>
        <w:t xml:space="preserve">prvního </w:t>
      </w:r>
      <w:r>
        <w:rPr>
          <w:rFonts w:asciiTheme="minorHAnsi" w:hAnsiTheme="minorHAnsi" w:cstheme="minorHAnsi"/>
        </w:rPr>
        <w:t xml:space="preserve">stupně </w:t>
      </w:r>
      <w:r w:rsidR="00985C5A">
        <w:rPr>
          <w:rFonts w:asciiTheme="minorHAnsi" w:hAnsiTheme="minorHAnsi" w:cstheme="minorHAnsi"/>
        </w:rPr>
        <w:t>ujelo</w:t>
      </w:r>
      <w:r w:rsidR="00114529">
        <w:rPr>
          <w:rFonts w:asciiTheme="minorHAnsi" w:hAnsiTheme="minorHAnsi" w:cstheme="minorHAnsi"/>
        </w:rPr>
        <w:t xml:space="preserve"> v kontrolovaném období průměrně 10 %</w:t>
      </w:r>
      <w:r w:rsidRPr="008D3C34">
        <w:rPr>
          <w:rFonts w:asciiTheme="minorHAnsi" w:hAnsiTheme="minorHAnsi" w:cstheme="minorHAnsi"/>
        </w:rPr>
        <w:t xml:space="preserve"> </w:t>
      </w:r>
      <w:r w:rsidR="0003154D">
        <w:rPr>
          <w:rFonts w:asciiTheme="minorHAnsi" w:hAnsiTheme="minorHAnsi" w:cstheme="minorHAnsi"/>
        </w:rPr>
        <w:t>tanků</w:t>
      </w:r>
      <w:r w:rsidRPr="00771A7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85C5A">
        <w:rPr>
          <w:rFonts w:asciiTheme="minorHAnsi" w:hAnsiTheme="minorHAnsi" w:cstheme="minorHAnsi"/>
        </w:rPr>
        <w:t xml:space="preserve">Jeden modernizovaný tank ujel </w:t>
      </w:r>
      <w:r>
        <w:rPr>
          <w:rFonts w:asciiTheme="minorHAnsi" w:hAnsiTheme="minorHAnsi" w:cstheme="minorHAnsi"/>
        </w:rPr>
        <w:t xml:space="preserve">v období 2016–2018 </w:t>
      </w:r>
      <w:r w:rsidR="00985C5A" w:rsidRPr="0045316E">
        <w:rPr>
          <w:rFonts w:asciiTheme="minorHAnsi" w:hAnsiTheme="minorHAnsi" w:cstheme="minorHAnsi"/>
        </w:rPr>
        <w:t>průměrn</w:t>
      </w:r>
      <w:r w:rsidR="00114529" w:rsidRPr="0045316E">
        <w:rPr>
          <w:rFonts w:asciiTheme="minorHAnsi" w:hAnsiTheme="minorHAnsi" w:cstheme="minorHAnsi"/>
        </w:rPr>
        <w:t>ou vzdálenost</w:t>
      </w:r>
      <w:r w:rsidR="000B3906" w:rsidRPr="0045316E">
        <w:rPr>
          <w:rFonts w:asciiTheme="minorHAnsi" w:hAnsiTheme="minorHAnsi" w:cstheme="minorHAnsi"/>
        </w:rPr>
        <w:t xml:space="preserve"> </w:t>
      </w:r>
      <w:r w:rsidR="00985C5A" w:rsidRPr="0045316E">
        <w:rPr>
          <w:rFonts w:asciiTheme="minorHAnsi" w:hAnsiTheme="minorHAnsi" w:cstheme="minorHAnsi"/>
        </w:rPr>
        <w:t>121 km</w:t>
      </w:r>
      <w:r w:rsidR="00114529" w:rsidRPr="0045316E">
        <w:rPr>
          <w:rFonts w:asciiTheme="minorHAnsi" w:hAnsiTheme="minorHAnsi" w:cstheme="minorHAnsi"/>
        </w:rPr>
        <w:t xml:space="preserve"> za rok</w:t>
      </w:r>
      <w:r w:rsidR="00985C5A" w:rsidRPr="0045316E">
        <w:rPr>
          <w:rFonts w:asciiTheme="minorHAnsi" w:hAnsiTheme="minorHAnsi" w:cstheme="minorHAnsi"/>
        </w:rPr>
        <w:t>.</w:t>
      </w:r>
      <w:r w:rsidR="00FE1B11" w:rsidRPr="00FE1B11">
        <w:rPr>
          <w:rFonts w:asciiTheme="minorHAnsi" w:hAnsiTheme="minorHAnsi" w:cstheme="minorHAnsi"/>
          <w:strike/>
        </w:rPr>
        <w:t xml:space="preserve"> </w:t>
      </w:r>
    </w:p>
    <w:p w14:paraId="6B24C997" w14:textId="77777777" w:rsidR="0045316E" w:rsidRDefault="0045316E" w:rsidP="006D01F5">
      <w:pPr>
        <w:jc w:val="both"/>
        <w:rPr>
          <w:rFonts w:asciiTheme="minorHAnsi" w:hAnsiTheme="minorHAnsi" w:cstheme="minorHAnsi"/>
        </w:rPr>
      </w:pPr>
    </w:p>
    <w:p w14:paraId="24D31001" w14:textId="43B05ED3" w:rsidR="006D6A9B" w:rsidRPr="00DB0348" w:rsidRDefault="001A7794" w:rsidP="006D01F5">
      <w:pPr>
        <w:jc w:val="both"/>
        <w:rPr>
          <w:rFonts w:asciiTheme="minorHAnsi" w:hAnsiTheme="minorHAnsi" w:cstheme="minorHAnsi"/>
        </w:rPr>
      </w:pPr>
      <w:r w:rsidRPr="001A7794">
        <w:rPr>
          <w:rFonts w:asciiTheme="minorHAnsi" w:hAnsiTheme="minorHAnsi" w:cstheme="minorHAnsi"/>
        </w:rPr>
        <w:t xml:space="preserve">Nízký průměrný projezd </w:t>
      </w:r>
      <w:r w:rsidR="00922F04">
        <w:rPr>
          <w:rFonts w:asciiTheme="minorHAnsi" w:hAnsiTheme="minorHAnsi" w:cstheme="minorHAnsi"/>
        </w:rPr>
        <w:t>u </w:t>
      </w:r>
      <w:r>
        <w:rPr>
          <w:rFonts w:asciiTheme="minorHAnsi" w:hAnsiTheme="minorHAnsi" w:cstheme="minorHAnsi"/>
        </w:rPr>
        <w:t xml:space="preserve">KBVP, KOT a </w:t>
      </w:r>
      <w:r w:rsidRPr="001A7794">
        <w:rPr>
          <w:rFonts w:asciiTheme="minorHAnsi" w:hAnsiTheme="minorHAnsi" w:cstheme="minorHAnsi"/>
        </w:rPr>
        <w:t>zejména tanků byl ovlivněn rovněž vysokým po</w:t>
      </w:r>
      <w:r>
        <w:rPr>
          <w:rFonts w:asciiTheme="minorHAnsi" w:hAnsiTheme="minorHAnsi" w:cstheme="minorHAnsi"/>
        </w:rPr>
        <w:t>měrem</w:t>
      </w:r>
      <w:r w:rsidRPr="001A77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jejich </w:t>
      </w:r>
      <w:r w:rsidRPr="001A7794">
        <w:rPr>
          <w:rFonts w:asciiTheme="minorHAnsi" w:hAnsiTheme="minorHAnsi" w:cstheme="minorHAnsi"/>
        </w:rPr>
        <w:t>ne</w:t>
      </w:r>
      <w:r w:rsidR="005F3CF0">
        <w:rPr>
          <w:rFonts w:asciiTheme="minorHAnsi" w:hAnsiTheme="minorHAnsi" w:cstheme="minorHAnsi"/>
        </w:rPr>
        <w:t xml:space="preserve">schopnosti </w:t>
      </w:r>
      <w:r w:rsidRPr="001A7794">
        <w:rPr>
          <w:rFonts w:asciiTheme="minorHAnsi" w:hAnsiTheme="minorHAnsi" w:cstheme="minorHAnsi"/>
        </w:rPr>
        <w:t xml:space="preserve">provozu. </w:t>
      </w:r>
      <w:r w:rsidR="0045316E" w:rsidRPr="001A7794">
        <w:rPr>
          <w:rFonts w:asciiTheme="minorHAnsi" w:hAnsiTheme="minorHAnsi" w:cstheme="minorHAnsi"/>
        </w:rPr>
        <w:t xml:space="preserve">Technická údržba </w:t>
      </w:r>
      <w:r w:rsidR="006D6A9B" w:rsidRPr="001A7794">
        <w:rPr>
          <w:rFonts w:asciiTheme="minorHAnsi" w:hAnsiTheme="minorHAnsi" w:cstheme="minorHAnsi"/>
        </w:rPr>
        <w:t>prvního stupně byla prováděna u</w:t>
      </w:r>
      <w:r w:rsidR="00922F04">
        <w:rPr>
          <w:rFonts w:asciiTheme="minorHAnsi" w:hAnsiTheme="minorHAnsi" w:cstheme="minorHAnsi"/>
        </w:rPr>
        <w:t> </w:t>
      </w:r>
      <w:r w:rsidR="006D6A9B" w:rsidRPr="001A7794">
        <w:rPr>
          <w:rFonts w:asciiTheme="minorHAnsi" w:hAnsiTheme="minorHAnsi" w:cstheme="minorHAnsi"/>
        </w:rPr>
        <w:t>KBVP a KOT</w:t>
      </w:r>
      <w:r w:rsidR="0045316E" w:rsidRPr="001A7794">
        <w:rPr>
          <w:rFonts w:asciiTheme="minorHAnsi" w:hAnsiTheme="minorHAnsi" w:cstheme="minorHAnsi"/>
        </w:rPr>
        <w:t xml:space="preserve"> po ujetí průměrně pouze 24 % z </w:t>
      </w:r>
      <w:r w:rsidR="006D6A9B" w:rsidRPr="001A7794">
        <w:rPr>
          <w:rFonts w:asciiTheme="minorHAnsi" w:hAnsiTheme="minorHAnsi" w:cstheme="minorHAnsi"/>
        </w:rPr>
        <w:t>požadované normy</w:t>
      </w:r>
      <w:r w:rsidR="006D6A9B" w:rsidRPr="0045316E">
        <w:rPr>
          <w:rFonts w:asciiTheme="minorHAnsi" w:hAnsiTheme="minorHAnsi" w:cstheme="minorHAnsi"/>
        </w:rPr>
        <w:t xml:space="preserve"> kilometrů, a</w:t>
      </w:r>
      <w:r w:rsidR="005F3CF0">
        <w:rPr>
          <w:rFonts w:asciiTheme="minorHAnsi" w:hAnsiTheme="minorHAnsi" w:cstheme="minorHAnsi"/>
        </w:rPr>
        <w:t> </w:t>
      </w:r>
      <w:r w:rsidR="006D6A9B" w:rsidRPr="0045316E">
        <w:rPr>
          <w:rFonts w:asciiTheme="minorHAnsi" w:hAnsiTheme="minorHAnsi" w:cstheme="minorHAnsi"/>
        </w:rPr>
        <w:t>u</w:t>
      </w:r>
      <w:r w:rsidR="005F3CF0">
        <w:rPr>
          <w:rFonts w:asciiTheme="minorHAnsi" w:hAnsiTheme="minorHAnsi" w:cstheme="minorHAnsi"/>
        </w:rPr>
        <w:t> </w:t>
      </w:r>
      <w:r w:rsidR="006D6A9B" w:rsidRPr="0045316E">
        <w:rPr>
          <w:rFonts w:asciiTheme="minorHAnsi" w:hAnsiTheme="minorHAnsi" w:cstheme="minorHAnsi"/>
        </w:rPr>
        <w:t xml:space="preserve">tanků dokonce jen 12 % z požadované normy kilometrů. </w:t>
      </w:r>
      <w:r w:rsidR="0045316E" w:rsidRPr="0045316E">
        <w:rPr>
          <w:rFonts w:asciiTheme="minorHAnsi" w:hAnsiTheme="minorHAnsi" w:cstheme="minorHAnsi"/>
        </w:rPr>
        <w:t xml:space="preserve">Příliš vysoký počet </w:t>
      </w:r>
      <w:r w:rsidR="0045316E" w:rsidRPr="00352016">
        <w:rPr>
          <w:rFonts w:asciiTheme="minorHAnsi" w:hAnsiTheme="minorHAnsi" w:cstheme="minorHAnsi"/>
        </w:rPr>
        <w:t>obrněné techniky Armády v provozu</w:t>
      </w:r>
      <w:r w:rsidR="0045316E" w:rsidRPr="00352016">
        <w:rPr>
          <w:rFonts w:asciiTheme="minorHAnsi" w:hAnsiTheme="minorHAnsi" w:cstheme="minorHAnsi"/>
          <w:vertAlign w:val="superscript"/>
        </w:rPr>
        <w:t>1</w:t>
      </w:r>
      <w:r w:rsidR="00352016" w:rsidRPr="00352016">
        <w:rPr>
          <w:rFonts w:asciiTheme="minorHAnsi" w:hAnsiTheme="minorHAnsi" w:cstheme="minorHAnsi"/>
          <w:vertAlign w:val="superscript"/>
        </w:rPr>
        <w:t>8</w:t>
      </w:r>
      <w:r w:rsidR="0045316E" w:rsidRPr="00352016">
        <w:rPr>
          <w:rFonts w:asciiTheme="minorHAnsi" w:hAnsiTheme="minorHAnsi" w:cstheme="minorHAnsi"/>
        </w:rPr>
        <w:t xml:space="preserve"> konstatovala i Analýza</w:t>
      </w:r>
      <w:r w:rsidR="00352016" w:rsidRPr="00352016">
        <w:rPr>
          <w:rFonts w:asciiTheme="minorHAnsi" w:hAnsiTheme="minorHAnsi" w:cstheme="minorHAnsi"/>
          <w:vertAlign w:val="superscript"/>
        </w:rPr>
        <w:t>26</w:t>
      </w:r>
      <w:r w:rsidR="0045316E" w:rsidRPr="00352016">
        <w:rPr>
          <w:rFonts w:asciiTheme="minorHAnsi" w:hAnsiTheme="minorHAnsi" w:cstheme="minorHAnsi"/>
        </w:rPr>
        <w:t>.</w:t>
      </w:r>
    </w:p>
    <w:p w14:paraId="740726D1" w14:textId="77777777" w:rsidR="00560223" w:rsidRPr="00CE0687" w:rsidRDefault="00560223" w:rsidP="00560223">
      <w:pPr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62C5B17E" w14:textId="5AAF85C1" w:rsidR="00BD29FC" w:rsidRPr="00C85BC7" w:rsidRDefault="00A93B59" w:rsidP="00386FEE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10</w:t>
      </w:r>
      <w:r w:rsidR="00136B69"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C8053B">
        <w:rPr>
          <w:rFonts w:asciiTheme="minorHAnsi" w:hAnsiTheme="minorHAnsi" w:cstheme="minorHAnsi"/>
          <w:i w:val="0"/>
          <w:sz w:val="24"/>
          <w:szCs w:val="24"/>
        </w:rPr>
        <w:t>Nedostatečná kapacita pro zabezpečení vojskových oprav</w:t>
      </w:r>
    </w:p>
    <w:p w14:paraId="6C0C8AB8" w14:textId="77777777" w:rsidR="00D70EFF" w:rsidRPr="00CE0687" w:rsidRDefault="00D70EFF" w:rsidP="00AE2C0D">
      <w:pPr>
        <w:jc w:val="both"/>
        <w:rPr>
          <w:rFonts w:asciiTheme="minorHAnsi" w:hAnsiTheme="minorHAnsi" w:cstheme="minorHAnsi"/>
          <w:highlight w:val="yellow"/>
        </w:rPr>
      </w:pPr>
    </w:p>
    <w:p w14:paraId="088ED026" w14:textId="0FC38749" w:rsidR="00D07204" w:rsidRPr="00787F5F" w:rsidRDefault="00005CA4" w:rsidP="00787F5F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005CA4">
        <w:rPr>
          <w:rFonts w:asciiTheme="minorHAnsi" w:hAnsiTheme="minorHAnsi" w:cstheme="minorHAnsi"/>
        </w:rPr>
        <w:t>Armáda ne</w:t>
      </w:r>
      <w:r w:rsidR="00441294">
        <w:rPr>
          <w:rFonts w:asciiTheme="minorHAnsi" w:hAnsiTheme="minorHAnsi" w:cstheme="minorHAnsi"/>
        </w:rPr>
        <w:t>má</w:t>
      </w:r>
      <w:r w:rsidRPr="00005CA4">
        <w:rPr>
          <w:rFonts w:asciiTheme="minorHAnsi" w:hAnsiTheme="minorHAnsi" w:cstheme="minorHAnsi"/>
        </w:rPr>
        <w:t xml:space="preserve"> dostatečn</w:t>
      </w:r>
      <w:r w:rsidR="00441294">
        <w:rPr>
          <w:rFonts w:asciiTheme="minorHAnsi" w:hAnsiTheme="minorHAnsi" w:cstheme="minorHAnsi"/>
        </w:rPr>
        <w:t>é</w:t>
      </w:r>
      <w:r w:rsidRPr="00005CA4">
        <w:rPr>
          <w:rFonts w:asciiTheme="minorHAnsi" w:hAnsiTheme="minorHAnsi" w:cstheme="minorHAnsi"/>
        </w:rPr>
        <w:t xml:space="preserve"> dílensk</w:t>
      </w:r>
      <w:r w:rsidR="00441294">
        <w:rPr>
          <w:rFonts w:asciiTheme="minorHAnsi" w:hAnsiTheme="minorHAnsi" w:cstheme="minorHAnsi"/>
        </w:rPr>
        <w:t>é</w:t>
      </w:r>
      <w:r w:rsidRPr="00005CA4">
        <w:rPr>
          <w:rFonts w:asciiTheme="minorHAnsi" w:hAnsiTheme="minorHAnsi" w:cstheme="minorHAnsi"/>
        </w:rPr>
        <w:t>, technick</w:t>
      </w:r>
      <w:r w:rsidR="00441294">
        <w:rPr>
          <w:rFonts w:asciiTheme="minorHAnsi" w:hAnsiTheme="minorHAnsi" w:cstheme="minorHAnsi"/>
        </w:rPr>
        <w:t>é</w:t>
      </w:r>
      <w:r w:rsidRPr="00005CA4">
        <w:rPr>
          <w:rFonts w:asciiTheme="minorHAnsi" w:hAnsiTheme="minorHAnsi" w:cstheme="minorHAnsi"/>
        </w:rPr>
        <w:t xml:space="preserve"> a personální kapacit</w:t>
      </w:r>
      <w:r w:rsidR="00441294">
        <w:rPr>
          <w:rFonts w:asciiTheme="minorHAnsi" w:hAnsiTheme="minorHAnsi" w:cstheme="minorHAnsi"/>
        </w:rPr>
        <w:t>y</w:t>
      </w:r>
      <w:r w:rsidRPr="00005CA4">
        <w:rPr>
          <w:rFonts w:asciiTheme="minorHAnsi" w:hAnsiTheme="minorHAnsi" w:cstheme="minorHAnsi"/>
        </w:rPr>
        <w:t xml:space="preserve"> k zabezpečení ani základních úkolů údržby a oprav obrněné techniky. </w:t>
      </w:r>
      <w:r w:rsidR="00E94106" w:rsidRPr="00E94106">
        <w:rPr>
          <w:rFonts w:asciiTheme="minorHAnsi" w:hAnsiTheme="minorHAnsi" w:cstheme="minorHAnsi"/>
        </w:rPr>
        <w:t>Nedostatečná kapacita a schopnosti vojskových opravárenských zařízení byla uvedena například ve zdůvodnění veřejné zakázky na zajištění kompletní servisní podpory KBVP</w:t>
      </w:r>
      <w:r w:rsidR="00E94106">
        <w:rPr>
          <w:rFonts w:asciiTheme="minorHAnsi" w:hAnsiTheme="minorHAnsi" w:cstheme="minorHAnsi"/>
        </w:rPr>
        <w:t xml:space="preserve"> a KOT. </w:t>
      </w:r>
      <w:r w:rsidRPr="00005CA4">
        <w:rPr>
          <w:rFonts w:asciiTheme="minorHAnsi" w:hAnsiTheme="minorHAnsi" w:cstheme="minorHAnsi"/>
        </w:rPr>
        <w:t>S</w:t>
      </w:r>
      <w:r w:rsidR="00EF5508">
        <w:rPr>
          <w:rFonts w:asciiTheme="minorHAnsi" w:hAnsiTheme="minorHAnsi" w:cstheme="minorHAnsi"/>
        </w:rPr>
        <w:t>oučasný</w:t>
      </w:r>
      <w:r w:rsidRPr="00005CA4">
        <w:rPr>
          <w:rFonts w:asciiTheme="minorHAnsi" w:hAnsiTheme="minorHAnsi" w:cstheme="minorHAnsi"/>
        </w:rPr>
        <w:t xml:space="preserve"> systém</w:t>
      </w:r>
      <w:r w:rsidR="00E94106">
        <w:rPr>
          <w:rFonts w:asciiTheme="minorHAnsi" w:hAnsiTheme="minorHAnsi" w:cstheme="minorHAnsi"/>
        </w:rPr>
        <w:t xml:space="preserve"> </w:t>
      </w:r>
      <w:r w:rsidR="00D07204">
        <w:rPr>
          <w:rFonts w:asciiTheme="minorHAnsi" w:hAnsiTheme="minorHAnsi" w:cstheme="minorHAnsi"/>
        </w:rPr>
        <w:t xml:space="preserve">údržby a oprav obrněné techniky </w:t>
      </w:r>
      <w:r w:rsidR="00E94106">
        <w:rPr>
          <w:rFonts w:asciiTheme="minorHAnsi" w:hAnsiTheme="minorHAnsi" w:cstheme="minorHAnsi"/>
        </w:rPr>
        <w:t>Armád</w:t>
      </w:r>
      <w:r w:rsidR="0076657E">
        <w:rPr>
          <w:rFonts w:asciiTheme="minorHAnsi" w:hAnsiTheme="minorHAnsi" w:cstheme="minorHAnsi"/>
        </w:rPr>
        <w:t>y</w:t>
      </w:r>
      <w:r w:rsidRPr="00005CA4">
        <w:rPr>
          <w:rFonts w:asciiTheme="minorHAnsi" w:hAnsiTheme="minorHAnsi" w:cstheme="minorHAnsi"/>
        </w:rPr>
        <w:t xml:space="preserve"> je charakterizován vyšším podílem mimo</w:t>
      </w:r>
      <w:r w:rsidR="009C7AE0">
        <w:rPr>
          <w:rFonts w:asciiTheme="minorHAnsi" w:hAnsiTheme="minorHAnsi" w:cstheme="minorHAnsi"/>
        </w:rPr>
        <w:t>-</w:t>
      </w:r>
      <w:r w:rsidRPr="00005CA4">
        <w:rPr>
          <w:rFonts w:asciiTheme="minorHAnsi" w:hAnsiTheme="minorHAnsi" w:cstheme="minorHAnsi"/>
        </w:rPr>
        <w:t>vojskových oprav</w:t>
      </w:r>
      <w:r w:rsidR="00E94106">
        <w:rPr>
          <w:rFonts w:asciiTheme="minorHAnsi" w:hAnsiTheme="minorHAnsi" w:cstheme="minorHAnsi"/>
        </w:rPr>
        <w:t>, často</w:t>
      </w:r>
      <w:r w:rsidRPr="00005CA4">
        <w:rPr>
          <w:rFonts w:asciiTheme="minorHAnsi" w:hAnsiTheme="minorHAnsi" w:cstheme="minorHAnsi"/>
        </w:rPr>
        <w:t xml:space="preserve"> zadávaných</w:t>
      </w:r>
      <w:r w:rsidR="0076657E">
        <w:rPr>
          <w:rFonts w:asciiTheme="minorHAnsi" w:hAnsiTheme="minorHAnsi" w:cstheme="minorHAnsi"/>
        </w:rPr>
        <w:t xml:space="preserve"> s využitím </w:t>
      </w:r>
      <w:r w:rsidR="008A4EF6">
        <w:rPr>
          <w:rFonts w:asciiTheme="minorHAnsi" w:hAnsiTheme="minorHAnsi" w:cstheme="minorHAnsi"/>
        </w:rPr>
        <w:t>jednacího řízení bez uveřejnění</w:t>
      </w:r>
      <w:r w:rsidRPr="00005CA4">
        <w:rPr>
          <w:rFonts w:asciiTheme="minorHAnsi" w:hAnsiTheme="minorHAnsi" w:cstheme="minorHAnsi"/>
        </w:rPr>
        <w:t>, což vede k vyšším výdajům.</w:t>
      </w:r>
      <w:r>
        <w:rPr>
          <w:rStyle w:val="Znakapoznpodarou"/>
          <w:rFonts w:asciiTheme="minorHAnsi" w:hAnsiTheme="minorHAnsi" w:cstheme="minorHAnsi"/>
        </w:rPr>
        <w:footnoteReference w:id="28"/>
      </w:r>
      <w:r w:rsidRPr="00005CA4">
        <w:rPr>
          <w:rFonts w:asciiTheme="minorHAnsi" w:hAnsiTheme="minorHAnsi" w:cstheme="minorHAnsi"/>
        </w:rPr>
        <w:t xml:space="preserve"> Snahu zahraničních armád provádět co nejvíce opravárenských činnost</w:t>
      </w:r>
      <w:r w:rsidR="00F8574D">
        <w:rPr>
          <w:rFonts w:asciiTheme="minorHAnsi" w:hAnsiTheme="minorHAnsi" w:cstheme="minorHAnsi"/>
        </w:rPr>
        <w:t>í vlastními silami</w:t>
      </w:r>
      <w:r w:rsidR="00787F5F">
        <w:rPr>
          <w:rFonts w:asciiTheme="minorHAnsi" w:hAnsiTheme="minorHAnsi" w:cstheme="minorHAnsi"/>
        </w:rPr>
        <w:t xml:space="preserve"> potvrdila i </w:t>
      </w:r>
      <w:r w:rsidRPr="00777E38">
        <w:rPr>
          <w:rFonts w:asciiTheme="minorHAnsi" w:hAnsiTheme="minorHAnsi" w:cstheme="minorHAnsi"/>
        </w:rPr>
        <w:t>Analýza</w:t>
      </w:r>
      <w:r w:rsidR="00E36189">
        <w:rPr>
          <w:rFonts w:asciiTheme="minorHAnsi" w:hAnsiTheme="minorHAnsi" w:cstheme="minorHAnsi"/>
          <w:vertAlign w:val="superscript"/>
        </w:rPr>
        <w:t>26</w:t>
      </w:r>
      <w:r w:rsidR="0076657E" w:rsidRPr="00777E38">
        <w:rPr>
          <w:rFonts w:asciiTheme="minorHAnsi" w:hAnsiTheme="minorHAnsi" w:cstheme="minorHAnsi"/>
        </w:rPr>
        <w:t>.</w:t>
      </w:r>
      <w:r w:rsidRPr="00777E38">
        <w:rPr>
          <w:rFonts w:asciiTheme="minorHAnsi" w:hAnsiTheme="minorHAnsi" w:cstheme="minorHAnsi"/>
        </w:rPr>
        <w:t xml:space="preserve"> </w:t>
      </w:r>
      <w:r w:rsidR="0076657E" w:rsidRPr="00777E38">
        <w:rPr>
          <w:rFonts w:asciiTheme="minorHAnsi" w:hAnsiTheme="minorHAnsi" w:cstheme="minorHAnsi"/>
        </w:rPr>
        <w:t>Podle</w:t>
      </w:r>
      <w:r w:rsidR="0076657E">
        <w:rPr>
          <w:rFonts w:asciiTheme="minorHAnsi" w:hAnsiTheme="minorHAnsi" w:cstheme="minorHAnsi"/>
        </w:rPr>
        <w:t xml:space="preserve"> ní je z</w:t>
      </w:r>
      <w:r w:rsidR="00441294" w:rsidRPr="00EF5508">
        <w:rPr>
          <w:rFonts w:asciiTheme="minorHAnsi" w:hAnsiTheme="minorHAnsi" w:cstheme="minorHAnsi"/>
        </w:rPr>
        <w:t xml:space="preserve">ákladem efektivního zajištění systému údržby a oprav vojenské techniky </w:t>
      </w:r>
      <w:r w:rsidR="0076657E">
        <w:rPr>
          <w:rFonts w:asciiTheme="minorHAnsi" w:hAnsiTheme="minorHAnsi" w:cstheme="minorHAnsi"/>
        </w:rPr>
        <w:t>mj.</w:t>
      </w:r>
      <w:r w:rsidR="00441294" w:rsidRPr="00EF5508">
        <w:rPr>
          <w:rFonts w:asciiTheme="minorHAnsi" w:hAnsiTheme="minorHAnsi" w:cstheme="minorHAnsi"/>
        </w:rPr>
        <w:t xml:space="preserve"> úzká spolupráce vojenský</w:t>
      </w:r>
      <w:r w:rsidR="00B52331">
        <w:rPr>
          <w:rFonts w:asciiTheme="minorHAnsi" w:hAnsiTheme="minorHAnsi" w:cstheme="minorHAnsi"/>
        </w:rPr>
        <w:t>ch útvar</w:t>
      </w:r>
      <w:r w:rsidR="0076657E">
        <w:rPr>
          <w:rFonts w:asciiTheme="minorHAnsi" w:hAnsiTheme="minorHAnsi" w:cstheme="minorHAnsi"/>
        </w:rPr>
        <w:t>ů</w:t>
      </w:r>
      <w:r w:rsidR="00B52331">
        <w:rPr>
          <w:rFonts w:asciiTheme="minorHAnsi" w:hAnsiTheme="minorHAnsi" w:cstheme="minorHAnsi"/>
        </w:rPr>
        <w:t xml:space="preserve"> a </w:t>
      </w:r>
      <w:r w:rsidR="00441294" w:rsidRPr="00EF5508">
        <w:rPr>
          <w:rFonts w:asciiTheme="minorHAnsi" w:hAnsiTheme="minorHAnsi" w:cstheme="minorHAnsi"/>
        </w:rPr>
        <w:t>opravárenských celků s</w:t>
      </w:r>
      <w:r w:rsidR="00EF5508" w:rsidRPr="00EF5508">
        <w:rPr>
          <w:rFonts w:asciiTheme="minorHAnsi" w:hAnsiTheme="minorHAnsi" w:cstheme="minorHAnsi"/>
        </w:rPr>
        <w:t> vojenskými výzkum</w:t>
      </w:r>
      <w:r w:rsidR="00D07204">
        <w:rPr>
          <w:rFonts w:asciiTheme="minorHAnsi" w:hAnsiTheme="minorHAnsi" w:cstheme="minorHAnsi"/>
        </w:rPr>
        <w:t>nými a </w:t>
      </w:r>
      <w:r w:rsidR="00B52331">
        <w:rPr>
          <w:rFonts w:asciiTheme="minorHAnsi" w:hAnsiTheme="minorHAnsi" w:cstheme="minorHAnsi"/>
        </w:rPr>
        <w:t>opravárenskými podniky i </w:t>
      </w:r>
      <w:r w:rsidR="00EF5508" w:rsidRPr="00EF5508">
        <w:rPr>
          <w:rFonts w:asciiTheme="minorHAnsi" w:hAnsiTheme="minorHAnsi" w:cstheme="minorHAnsi"/>
        </w:rPr>
        <w:t>s civilními subjekty</w:t>
      </w:r>
      <w:r w:rsidR="009344AC">
        <w:rPr>
          <w:rFonts w:asciiTheme="minorHAnsi" w:hAnsiTheme="minorHAnsi" w:cstheme="minorHAnsi"/>
        </w:rPr>
        <w:t xml:space="preserve">. Pouze nejsložitější opravy </w:t>
      </w:r>
      <w:r w:rsidR="00F8574D">
        <w:rPr>
          <w:rFonts w:asciiTheme="minorHAnsi" w:hAnsiTheme="minorHAnsi" w:cstheme="minorHAnsi"/>
        </w:rPr>
        <w:t xml:space="preserve">mají být </w:t>
      </w:r>
      <w:r w:rsidR="009344AC">
        <w:rPr>
          <w:rFonts w:asciiTheme="minorHAnsi" w:hAnsiTheme="minorHAnsi" w:cstheme="minorHAnsi"/>
        </w:rPr>
        <w:t xml:space="preserve">ve větší míře prováděny mimo-vojskově, </w:t>
      </w:r>
      <w:r w:rsidR="00D07204">
        <w:rPr>
          <w:rFonts w:asciiTheme="minorHAnsi" w:hAnsiTheme="minorHAnsi" w:cstheme="minorHAnsi"/>
        </w:rPr>
        <w:t xml:space="preserve">což </w:t>
      </w:r>
      <w:r w:rsidR="001D1EA6">
        <w:rPr>
          <w:rFonts w:asciiTheme="minorHAnsi" w:hAnsiTheme="minorHAnsi" w:cstheme="minorHAnsi"/>
        </w:rPr>
        <w:t>MO</w:t>
      </w:r>
      <w:r w:rsidR="00D07204">
        <w:rPr>
          <w:rFonts w:asciiTheme="minorHAnsi" w:hAnsiTheme="minorHAnsi" w:cstheme="minorHAnsi"/>
        </w:rPr>
        <w:t xml:space="preserve"> </w:t>
      </w:r>
      <w:r w:rsidR="00F8574D">
        <w:rPr>
          <w:rFonts w:asciiTheme="minorHAnsi" w:hAnsiTheme="minorHAnsi" w:cstheme="minorHAnsi"/>
        </w:rPr>
        <w:t xml:space="preserve">však </w:t>
      </w:r>
      <w:r w:rsidR="00D07204">
        <w:rPr>
          <w:rFonts w:asciiTheme="minorHAnsi" w:hAnsiTheme="minorHAnsi" w:cstheme="minorHAnsi"/>
        </w:rPr>
        <w:t xml:space="preserve">deklaruje pouze záměrem. </w:t>
      </w:r>
      <w:r w:rsidR="00787F5F">
        <w:rPr>
          <w:rFonts w:asciiTheme="minorHAnsi" w:hAnsiTheme="minorHAnsi" w:cstheme="minorHAnsi"/>
        </w:rPr>
        <w:t>Vojskový způsob</w:t>
      </w:r>
      <w:r w:rsidR="009344AC">
        <w:rPr>
          <w:rFonts w:asciiTheme="minorHAnsi" w:hAnsiTheme="minorHAnsi" w:cstheme="minorHAnsi"/>
        </w:rPr>
        <w:t xml:space="preserve"> údržby a oprav</w:t>
      </w:r>
      <w:r w:rsidR="00787F5F">
        <w:rPr>
          <w:rFonts w:asciiTheme="minorHAnsi" w:hAnsiTheme="minorHAnsi" w:cstheme="minorHAnsi"/>
        </w:rPr>
        <w:t xml:space="preserve"> </w:t>
      </w:r>
      <w:r w:rsidR="006A427F">
        <w:rPr>
          <w:rFonts w:asciiTheme="minorHAnsi" w:hAnsiTheme="minorHAnsi" w:cstheme="minorHAnsi"/>
        </w:rPr>
        <w:t>snižuje</w:t>
      </w:r>
      <w:r w:rsidR="00787F5F">
        <w:rPr>
          <w:rFonts w:asciiTheme="minorHAnsi" w:hAnsiTheme="minorHAnsi" w:cstheme="minorHAnsi"/>
        </w:rPr>
        <w:t xml:space="preserve"> zejména náklady</w:t>
      </w:r>
      <w:r w:rsidR="00787F5F" w:rsidRPr="00005CA4">
        <w:rPr>
          <w:rFonts w:asciiTheme="minorHAnsi" w:hAnsiTheme="minorHAnsi" w:cstheme="minorHAnsi"/>
        </w:rPr>
        <w:t xml:space="preserve"> na dopravu, clo, vývozní a dovozní poplatky</w:t>
      </w:r>
      <w:r w:rsidR="00787F5F">
        <w:rPr>
          <w:rFonts w:asciiTheme="minorHAnsi" w:hAnsiTheme="minorHAnsi" w:cstheme="minorHAnsi"/>
        </w:rPr>
        <w:t>,</w:t>
      </w:r>
      <w:r w:rsidR="00787F5F" w:rsidRPr="00005CA4">
        <w:rPr>
          <w:rFonts w:asciiTheme="minorHAnsi" w:hAnsiTheme="minorHAnsi" w:cstheme="minorHAnsi"/>
        </w:rPr>
        <w:t xml:space="preserve"> administrativní</w:t>
      </w:r>
      <w:r w:rsidR="00787F5F">
        <w:rPr>
          <w:rFonts w:asciiTheme="minorHAnsi" w:hAnsiTheme="minorHAnsi" w:cstheme="minorHAnsi"/>
        </w:rPr>
        <w:t xml:space="preserve"> a licenční poplatky,</w:t>
      </w:r>
      <w:r w:rsidR="00787F5F" w:rsidRPr="00005CA4">
        <w:rPr>
          <w:rFonts w:asciiTheme="minorHAnsi" w:hAnsiTheme="minorHAnsi" w:cstheme="minorHAnsi"/>
        </w:rPr>
        <w:t xml:space="preserve"> </w:t>
      </w:r>
      <w:r w:rsidR="00787F5F">
        <w:rPr>
          <w:rFonts w:asciiTheme="minorHAnsi" w:hAnsiTheme="minorHAnsi" w:cstheme="minorHAnsi"/>
        </w:rPr>
        <w:t>popř.</w:t>
      </w:r>
      <w:r w:rsidR="00787F5F" w:rsidRPr="00005CA4">
        <w:rPr>
          <w:rFonts w:asciiTheme="minorHAnsi" w:hAnsiTheme="minorHAnsi" w:cstheme="minorHAnsi"/>
        </w:rPr>
        <w:t xml:space="preserve"> další náklad</w:t>
      </w:r>
      <w:r w:rsidR="00787F5F">
        <w:rPr>
          <w:rFonts w:asciiTheme="minorHAnsi" w:hAnsiTheme="minorHAnsi" w:cstheme="minorHAnsi"/>
        </w:rPr>
        <w:t>y</w:t>
      </w:r>
      <w:r w:rsidR="00787F5F" w:rsidRPr="00005CA4">
        <w:rPr>
          <w:rFonts w:asciiTheme="minorHAnsi" w:hAnsiTheme="minorHAnsi" w:cstheme="minorHAnsi"/>
        </w:rPr>
        <w:t xml:space="preserve"> dodavatel</w:t>
      </w:r>
      <w:r w:rsidR="00787F5F">
        <w:rPr>
          <w:rFonts w:asciiTheme="minorHAnsi" w:hAnsiTheme="minorHAnsi" w:cstheme="minorHAnsi"/>
        </w:rPr>
        <w:t xml:space="preserve">e, </w:t>
      </w:r>
      <w:r w:rsidR="0013632B">
        <w:rPr>
          <w:rFonts w:asciiTheme="minorHAnsi" w:hAnsiTheme="minorHAnsi" w:cstheme="minorHAnsi"/>
        </w:rPr>
        <w:t xml:space="preserve">navíc </w:t>
      </w:r>
      <w:r w:rsidR="00787F5F">
        <w:rPr>
          <w:rFonts w:asciiTheme="minorHAnsi" w:hAnsiTheme="minorHAnsi" w:cstheme="minorHAnsi"/>
        </w:rPr>
        <w:t>často obtížně kontrolovateln</w:t>
      </w:r>
      <w:r w:rsidR="009344AC">
        <w:rPr>
          <w:rFonts w:asciiTheme="minorHAnsi" w:hAnsiTheme="minorHAnsi" w:cstheme="minorHAnsi"/>
        </w:rPr>
        <w:t>é</w:t>
      </w:r>
      <w:r w:rsidR="00787F5F">
        <w:rPr>
          <w:rFonts w:asciiTheme="minorHAnsi" w:hAnsiTheme="minorHAnsi" w:cstheme="minorHAnsi"/>
        </w:rPr>
        <w:t xml:space="preserve"> ze strany MO.</w:t>
      </w:r>
    </w:p>
    <w:p w14:paraId="3F97EC3D" w14:textId="77777777" w:rsidR="0076694C" w:rsidRPr="00560223" w:rsidRDefault="0076694C" w:rsidP="003A55BA">
      <w:pPr>
        <w:tabs>
          <w:tab w:val="left" w:pos="426"/>
        </w:tabs>
        <w:jc w:val="both"/>
        <w:rPr>
          <w:rFonts w:asciiTheme="minorHAnsi" w:hAnsiTheme="minorHAnsi" w:cstheme="minorHAnsi"/>
          <w:highlight w:val="yellow"/>
        </w:rPr>
      </w:pPr>
    </w:p>
    <w:p w14:paraId="38A7B6EB" w14:textId="3E679D9A" w:rsidR="0013122D" w:rsidRPr="00560223" w:rsidRDefault="003A55BA" w:rsidP="0013122D">
      <w:p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</w:rPr>
      </w:pPr>
      <w:r w:rsidRPr="00B52331">
        <w:rPr>
          <w:rFonts w:asciiTheme="minorHAnsi" w:hAnsiTheme="minorHAnsi" w:cstheme="minorHAnsi"/>
        </w:rPr>
        <w:t>V období 2016–2018 vynaložilo MO na opravy, údržbu a náhradní díly obrněné techniky 1 299,5 mil. Kč</w:t>
      </w:r>
      <w:r w:rsidR="00641492">
        <w:rPr>
          <w:rFonts w:asciiTheme="minorHAnsi" w:hAnsiTheme="minorHAnsi" w:cstheme="minorHAnsi"/>
        </w:rPr>
        <w:t xml:space="preserve">. Z </w:t>
      </w:r>
      <w:r w:rsidRPr="00B52331">
        <w:rPr>
          <w:rFonts w:asciiTheme="minorHAnsi" w:hAnsiTheme="minorHAnsi" w:cstheme="minorHAnsi"/>
        </w:rPr>
        <w:t>této částky</w:t>
      </w:r>
      <w:r w:rsidR="00641492">
        <w:rPr>
          <w:rFonts w:asciiTheme="minorHAnsi" w:hAnsiTheme="minorHAnsi" w:cstheme="minorHAnsi"/>
        </w:rPr>
        <w:t xml:space="preserve"> vynaložilo</w:t>
      </w:r>
      <w:r w:rsidRPr="00B52331">
        <w:rPr>
          <w:rFonts w:asciiTheme="minorHAnsi" w:hAnsiTheme="minorHAnsi" w:cstheme="minorHAnsi"/>
        </w:rPr>
        <w:t xml:space="preserve"> celkem 567,4 mil. Kč (</w:t>
      </w:r>
      <w:r w:rsidR="00641492">
        <w:rPr>
          <w:rFonts w:asciiTheme="minorHAnsi" w:hAnsiTheme="minorHAnsi" w:cstheme="minorHAnsi"/>
        </w:rPr>
        <w:t xml:space="preserve">tj. </w:t>
      </w:r>
      <w:r w:rsidRPr="00B52331">
        <w:rPr>
          <w:rFonts w:asciiTheme="minorHAnsi" w:hAnsiTheme="minorHAnsi" w:cstheme="minorHAnsi"/>
        </w:rPr>
        <w:t>4</w:t>
      </w:r>
      <w:r w:rsidR="001D1EA6">
        <w:rPr>
          <w:rFonts w:asciiTheme="minorHAnsi" w:hAnsiTheme="minorHAnsi" w:cstheme="minorHAnsi"/>
        </w:rPr>
        <w:t>4</w:t>
      </w:r>
      <w:r w:rsidRPr="00B52331">
        <w:rPr>
          <w:rFonts w:asciiTheme="minorHAnsi" w:hAnsiTheme="minorHAnsi" w:cstheme="minorHAnsi"/>
        </w:rPr>
        <w:t> %)</w:t>
      </w:r>
      <w:r w:rsidR="00641492" w:rsidRPr="00641492">
        <w:rPr>
          <w:rFonts w:asciiTheme="minorHAnsi" w:hAnsiTheme="minorHAnsi" w:cstheme="minorHAnsi"/>
        </w:rPr>
        <w:t xml:space="preserve"> </w:t>
      </w:r>
      <w:r w:rsidR="00641492" w:rsidRPr="00B52331">
        <w:rPr>
          <w:rFonts w:asciiTheme="minorHAnsi" w:hAnsiTheme="minorHAnsi" w:cstheme="minorHAnsi"/>
        </w:rPr>
        <w:t xml:space="preserve">na </w:t>
      </w:r>
      <w:r w:rsidR="00641492">
        <w:rPr>
          <w:rFonts w:asciiTheme="minorHAnsi" w:hAnsiTheme="minorHAnsi" w:cstheme="minorHAnsi"/>
        </w:rPr>
        <w:t xml:space="preserve">vozidla </w:t>
      </w:r>
      <w:r w:rsidR="00641492" w:rsidRPr="00B52331">
        <w:rPr>
          <w:rFonts w:asciiTheme="minorHAnsi" w:hAnsiTheme="minorHAnsi" w:cstheme="minorHAnsi"/>
        </w:rPr>
        <w:t>KBVP a KOT</w:t>
      </w:r>
      <w:r w:rsidRPr="00B52331">
        <w:rPr>
          <w:rFonts w:asciiTheme="minorHAnsi" w:hAnsiTheme="minorHAnsi" w:cstheme="minorHAnsi"/>
        </w:rPr>
        <w:t>, průměrn</w:t>
      </w:r>
      <w:r w:rsidR="00875BD9">
        <w:rPr>
          <w:rFonts w:asciiTheme="minorHAnsi" w:hAnsiTheme="minorHAnsi" w:cstheme="minorHAnsi"/>
        </w:rPr>
        <w:t xml:space="preserve">ý výdaj </w:t>
      </w:r>
      <w:r w:rsidR="0013632B" w:rsidRPr="00B52331">
        <w:rPr>
          <w:rFonts w:asciiTheme="minorHAnsi" w:hAnsiTheme="minorHAnsi" w:cstheme="minorHAnsi"/>
        </w:rPr>
        <w:t>na jedno vozidlo za rok</w:t>
      </w:r>
      <w:r w:rsidR="0013632B">
        <w:rPr>
          <w:rFonts w:asciiTheme="minorHAnsi" w:hAnsiTheme="minorHAnsi" w:cstheme="minorHAnsi"/>
        </w:rPr>
        <w:t xml:space="preserve"> </w:t>
      </w:r>
      <w:r w:rsidR="00875BD9">
        <w:rPr>
          <w:rFonts w:asciiTheme="minorHAnsi" w:hAnsiTheme="minorHAnsi" w:cstheme="minorHAnsi"/>
        </w:rPr>
        <w:t>činil</w:t>
      </w:r>
      <w:r w:rsidR="00641492">
        <w:rPr>
          <w:rFonts w:asciiTheme="minorHAnsi" w:hAnsiTheme="minorHAnsi" w:cstheme="minorHAnsi"/>
        </w:rPr>
        <w:t xml:space="preserve"> </w:t>
      </w:r>
      <w:r w:rsidRPr="00B52331">
        <w:rPr>
          <w:rFonts w:asciiTheme="minorHAnsi" w:hAnsiTheme="minorHAnsi" w:cstheme="minorHAnsi"/>
        </w:rPr>
        <w:t>1,8 mil. Kč. V případě lehkých obrněných vozidel (stář</w:t>
      </w:r>
      <w:r w:rsidR="0013632B">
        <w:rPr>
          <w:rFonts w:asciiTheme="minorHAnsi" w:hAnsiTheme="minorHAnsi" w:cstheme="minorHAnsi"/>
        </w:rPr>
        <w:t>í srovnatelné s KBVP a KOT) byl</w:t>
      </w:r>
      <w:r w:rsidRPr="00B52331">
        <w:rPr>
          <w:rFonts w:asciiTheme="minorHAnsi" w:hAnsiTheme="minorHAnsi" w:cstheme="minorHAnsi"/>
        </w:rPr>
        <w:t xml:space="preserve"> průměrn</w:t>
      </w:r>
      <w:r w:rsidR="0013632B">
        <w:rPr>
          <w:rFonts w:asciiTheme="minorHAnsi" w:hAnsiTheme="minorHAnsi" w:cstheme="minorHAnsi"/>
        </w:rPr>
        <w:t>ý</w:t>
      </w:r>
      <w:r w:rsidRPr="00B52331">
        <w:rPr>
          <w:rFonts w:asciiTheme="minorHAnsi" w:hAnsiTheme="minorHAnsi" w:cstheme="minorHAnsi"/>
        </w:rPr>
        <w:t xml:space="preserve"> výdaj 0,6 mil. Kč</w:t>
      </w:r>
      <w:r w:rsidR="001D1EA6">
        <w:rPr>
          <w:rFonts w:asciiTheme="minorHAnsi" w:hAnsiTheme="minorHAnsi" w:cstheme="minorHAnsi"/>
        </w:rPr>
        <w:t xml:space="preserve">, u </w:t>
      </w:r>
      <w:r w:rsidRPr="00B52331">
        <w:rPr>
          <w:rFonts w:asciiTheme="minorHAnsi" w:hAnsiTheme="minorHAnsi" w:cstheme="minorHAnsi"/>
        </w:rPr>
        <w:t xml:space="preserve">starších samohybných houfnic </w:t>
      </w:r>
      <w:r w:rsidR="001D1EA6">
        <w:rPr>
          <w:rFonts w:asciiTheme="minorHAnsi" w:hAnsiTheme="minorHAnsi" w:cstheme="minorHAnsi"/>
        </w:rPr>
        <w:t>a tank</w:t>
      </w:r>
      <w:r w:rsidR="00114529">
        <w:rPr>
          <w:rFonts w:asciiTheme="minorHAnsi" w:hAnsiTheme="minorHAnsi" w:cstheme="minorHAnsi"/>
        </w:rPr>
        <w:t>ů</w:t>
      </w:r>
      <w:r w:rsidR="001D1EA6">
        <w:rPr>
          <w:rFonts w:asciiTheme="minorHAnsi" w:hAnsiTheme="minorHAnsi" w:cstheme="minorHAnsi"/>
        </w:rPr>
        <w:t xml:space="preserve"> činily </w:t>
      </w:r>
      <w:r w:rsidR="0013632B">
        <w:rPr>
          <w:rFonts w:asciiTheme="minorHAnsi" w:hAnsiTheme="minorHAnsi" w:cstheme="minorHAnsi"/>
        </w:rPr>
        <w:t>průměrné výdaje</w:t>
      </w:r>
      <w:r w:rsidR="001D1EA6">
        <w:rPr>
          <w:rFonts w:asciiTheme="minorHAnsi" w:hAnsiTheme="minorHAnsi" w:cstheme="minorHAnsi"/>
        </w:rPr>
        <w:t xml:space="preserve"> </w:t>
      </w:r>
      <w:r w:rsidRPr="00B52331">
        <w:rPr>
          <w:rFonts w:asciiTheme="minorHAnsi" w:hAnsiTheme="minorHAnsi" w:cstheme="minorHAnsi"/>
        </w:rPr>
        <w:t>0,4 mil. Kč a 0,3 mil. Kč</w:t>
      </w:r>
      <w:r w:rsidR="001D1EA6">
        <w:rPr>
          <w:rFonts w:asciiTheme="minorHAnsi" w:hAnsiTheme="minorHAnsi" w:cstheme="minorHAnsi"/>
        </w:rPr>
        <w:t xml:space="preserve">. Z toho vyplývá, </w:t>
      </w:r>
      <w:r w:rsidR="0013122D">
        <w:rPr>
          <w:rFonts w:asciiTheme="minorHAnsi" w:hAnsiTheme="minorHAnsi" w:cstheme="minorHAnsi"/>
        </w:rPr>
        <w:t>že n</w:t>
      </w:r>
      <w:r w:rsidR="0013122D" w:rsidRPr="0013122D">
        <w:rPr>
          <w:rFonts w:asciiTheme="minorHAnsi" w:hAnsiTheme="minorHAnsi" w:cstheme="minorHAnsi"/>
        </w:rPr>
        <w:t xml:space="preserve">ejvyšší výdaje na </w:t>
      </w:r>
      <w:r w:rsidR="0013122D">
        <w:rPr>
          <w:rFonts w:asciiTheme="minorHAnsi" w:hAnsiTheme="minorHAnsi" w:cstheme="minorHAnsi"/>
        </w:rPr>
        <w:t xml:space="preserve">opravy, udržování a náhradní díly </w:t>
      </w:r>
      <w:r w:rsidR="001D1EA6">
        <w:rPr>
          <w:rFonts w:asciiTheme="minorHAnsi" w:hAnsiTheme="minorHAnsi" w:cstheme="minorHAnsi"/>
        </w:rPr>
        <w:t xml:space="preserve">vykazovala </w:t>
      </w:r>
      <w:r w:rsidR="0013122D" w:rsidRPr="0013122D">
        <w:rPr>
          <w:rFonts w:asciiTheme="minorHAnsi" w:hAnsiTheme="minorHAnsi" w:cstheme="minorHAnsi"/>
        </w:rPr>
        <w:t>v kontrolovaném období novější technika s vyšší pořizovací hodnot</w:t>
      </w:r>
      <w:r w:rsidR="0013122D" w:rsidRPr="00560223">
        <w:rPr>
          <w:rFonts w:asciiTheme="minorHAnsi" w:hAnsiTheme="minorHAnsi" w:cstheme="minorHAnsi"/>
          <w:color w:val="000000" w:themeColor="text1"/>
        </w:rPr>
        <w:t>ou</w:t>
      </w:r>
      <w:r w:rsidR="001D1EA6" w:rsidRPr="00560223">
        <w:rPr>
          <w:rFonts w:asciiTheme="minorHAnsi" w:hAnsiTheme="minorHAnsi" w:cstheme="minorHAnsi"/>
          <w:color w:val="000000" w:themeColor="text1"/>
        </w:rPr>
        <w:t>.</w:t>
      </w:r>
      <w:r w:rsidR="0013122D" w:rsidRPr="00560223">
        <w:rPr>
          <w:rFonts w:asciiTheme="minorHAnsi" w:hAnsiTheme="minorHAnsi" w:cstheme="minorHAnsi"/>
          <w:color w:val="000000" w:themeColor="text1"/>
        </w:rPr>
        <w:t xml:space="preserve"> </w:t>
      </w:r>
    </w:p>
    <w:p w14:paraId="0F58DDFA" w14:textId="77777777" w:rsidR="0013122D" w:rsidRPr="00560223" w:rsidRDefault="0013122D" w:rsidP="0076694C">
      <w:p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A0CE2A1" w14:textId="6BF13E5D" w:rsidR="00E708EE" w:rsidRPr="00560223" w:rsidRDefault="0076694C" w:rsidP="00A93B59">
      <w:p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</w:rPr>
      </w:pPr>
      <w:r w:rsidRPr="00560223">
        <w:rPr>
          <w:rFonts w:asciiTheme="minorHAnsi" w:hAnsiTheme="minorHAnsi" w:cstheme="minorHAnsi"/>
          <w:color w:val="000000" w:themeColor="text1"/>
        </w:rPr>
        <w:t xml:space="preserve">NKÚ </w:t>
      </w:r>
      <w:r w:rsidR="0013122D" w:rsidRPr="00560223">
        <w:rPr>
          <w:rFonts w:asciiTheme="minorHAnsi" w:hAnsiTheme="minorHAnsi" w:cstheme="minorHAnsi"/>
          <w:color w:val="000000" w:themeColor="text1"/>
        </w:rPr>
        <w:t xml:space="preserve">upozorňuje na riziko </w:t>
      </w:r>
      <w:r w:rsidR="00875BD9" w:rsidRPr="00560223">
        <w:rPr>
          <w:rFonts w:asciiTheme="minorHAnsi" w:hAnsiTheme="minorHAnsi" w:cstheme="minorHAnsi"/>
          <w:color w:val="000000" w:themeColor="text1"/>
        </w:rPr>
        <w:t>nehospodárného na</w:t>
      </w:r>
      <w:r w:rsidR="0013122D" w:rsidRPr="00560223">
        <w:rPr>
          <w:rFonts w:asciiTheme="minorHAnsi" w:hAnsiTheme="minorHAnsi" w:cstheme="minorHAnsi"/>
          <w:color w:val="000000" w:themeColor="text1"/>
        </w:rPr>
        <w:t xml:space="preserve">vyšování běžných výdajů </w:t>
      </w:r>
      <w:r w:rsidR="001D1EA6" w:rsidRPr="00560223">
        <w:rPr>
          <w:rFonts w:asciiTheme="minorHAnsi" w:hAnsiTheme="minorHAnsi" w:cstheme="minorHAnsi"/>
          <w:color w:val="000000" w:themeColor="text1"/>
        </w:rPr>
        <w:t>MO</w:t>
      </w:r>
      <w:r w:rsidR="0013122D" w:rsidRPr="00560223">
        <w:rPr>
          <w:rFonts w:asciiTheme="minorHAnsi" w:hAnsiTheme="minorHAnsi" w:cstheme="minorHAnsi"/>
          <w:color w:val="000000" w:themeColor="text1"/>
        </w:rPr>
        <w:t xml:space="preserve"> na opravy a údržbu obrněné techniky</w:t>
      </w:r>
      <w:r w:rsidR="001D1EA6" w:rsidRPr="00560223">
        <w:rPr>
          <w:rFonts w:asciiTheme="minorHAnsi" w:hAnsiTheme="minorHAnsi" w:cstheme="minorHAnsi"/>
          <w:color w:val="000000" w:themeColor="text1"/>
        </w:rPr>
        <w:t xml:space="preserve"> Armády</w:t>
      </w:r>
      <w:r w:rsidR="0013122D" w:rsidRPr="00560223">
        <w:rPr>
          <w:rFonts w:asciiTheme="minorHAnsi" w:hAnsiTheme="minorHAnsi" w:cstheme="minorHAnsi"/>
          <w:color w:val="000000" w:themeColor="text1"/>
        </w:rPr>
        <w:t xml:space="preserve">, pokud zůstane stávající systém oprav a údržby beze změny. </w:t>
      </w:r>
      <w:r w:rsidR="00B15B78" w:rsidRPr="00560223">
        <w:rPr>
          <w:rFonts w:asciiTheme="minorHAnsi" w:hAnsiTheme="minorHAnsi" w:cstheme="minorHAnsi"/>
          <w:color w:val="000000" w:themeColor="text1"/>
        </w:rPr>
        <w:t xml:space="preserve">Důvodem je, že Armáda </w:t>
      </w:r>
      <w:r w:rsidR="0013632B" w:rsidRPr="00560223">
        <w:rPr>
          <w:rFonts w:asciiTheme="minorHAnsi" w:hAnsiTheme="minorHAnsi" w:cstheme="minorHAnsi"/>
          <w:color w:val="000000" w:themeColor="text1"/>
        </w:rPr>
        <w:t>ji</w:t>
      </w:r>
      <w:r w:rsidR="00B15B78" w:rsidRPr="00560223">
        <w:rPr>
          <w:rFonts w:asciiTheme="minorHAnsi" w:hAnsiTheme="minorHAnsi" w:cstheme="minorHAnsi"/>
          <w:color w:val="000000" w:themeColor="text1"/>
        </w:rPr>
        <w:t xml:space="preserve">ž začala realizovat přezbrojení </w:t>
      </w:r>
      <w:r w:rsidRPr="00560223">
        <w:rPr>
          <w:rFonts w:asciiTheme="minorHAnsi" w:hAnsiTheme="minorHAnsi" w:cstheme="minorHAnsi"/>
          <w:color w:val="000000" w:themeColor="text1"/>
        </w:rPr>
        <w:t>moderní</w:t>
      </w:r>
      <w:r w:rsidR="00875BD9" w:rsidRPr="00560223">
        <w:rPr>
          <w:rFonts w:asciiTheme="minorHAnsi" w:hAnsiTheme="minorHAnsi" w:cstheme="minorHAnsi"/>
          <w:color w:val="000000" w:themeColor="text1"/>
        </w:rPr>
        <w:t>, technicky a </w:t>
      </w:r>
      <w:r w:rsidR="00B15B78" w:rsidRPr="00560223">
        <w:rPr>
          <w:rFonts w:asciiTheme="minorHAnsi" w:hAnsiTheme="minorHAnsi" w:cstheme="minorHAnsi"/>
          <w:color w:val="000000" w:themeColor="text1"/>
        </w:rPr>
        <w:t xml:space="preserve">technologicky vyspělou </w:t>
      </w:r>
      <w:r w:rsidRPr="00560223">
        <w:rPr>
          <w:rFonts w:asciiTheme="minorHAnsi" w:hAnsiTheme="minorHAnsi" w:cstheme="minorHAnsi"/>
          <w:color w:val="000000" w:themeColor="text1"/>
        </w:rPr>
        <w:t>obrněnou technikou</w:t>
      </w:r>
      <w:r w:rsidR="00B15B78" w:rsidRPr="00560223">
        <w:rPr>
          <w:rFonts w:asciiTheme="minorHAnsi" w:hAnsiTheme="minorHAnsi" w:cstheme="minorHAnsi"/>
          <w:color w:val="000000" w:themeColor="text1"/>
        </w:rPr>
        <w:t>. Na pořízení</w:t>
      </w:r>
      <w:r w:rsidRPr="00560223">
        <w:rPr>
          <w:rFonts w:asciiTheme="minorHAnsi" w:hAnsiTheme="minorHAnsi" w:cstheme="minorHAnsi"/>
          <w:color w:val="000000" w:themeColor="text1"/>
        </w:rPr>
        <w:t xml:space="preserve"> případně modernizaci </w:t>
      </w:r>
      <w:r w:rsidR="00B15B78" w:rsidRPr="00560223">
        <w:rPr>
          <w:rFonts w:asciiTheme="minorHAnsi" w:hAnsiTheme="minorHAnsi" w:cstheme="minorHAnsi"/>
          <w:color w:val="000000" w:themeColor="text1"/>
        </w:rPr>
        <w:t xml:space="preserve">obrněné </w:t>
      </w:r>
      <w:r w:rsidR="001D1EA6" w:rsidRPr="00560223">
        <w:rPr>
          <w:rFonts w:asciiTheme="minorHAnsi" w:hAnsiTheme="minorHAnsi" w:cstheme="minorHAnsi"/>
          <w:color w:val="000000" w:themeColor="text1"/>
        </w:rPr>
        <w:t xml:space="preserve">techniky </w:t>
      </w:r>
      <w:r w:rsidR="00D4643E" w:rsidRPr="00560223">
        <w:rPr>
          <w:rFonts w:asciiTheme="minorHAnsi" w:hAnsiTheme="minorHAnsi" w:cstheme="minorHAnsi"/>
          <w:color w:val="000000" w:themeColor="text1"/>
        </w:rPr>
        <w:t xml:space="preserve">do roku 2025 </w:t>
      </w:r>
      <w:r w:rsidR="00B15B78" w:rsidRPr="00560223">
        <w:rPr>
          <w:rFonts w:asciiTheme="minorHAnsi" w:hAnsiTheme="minorHAnsi" w:cstheme="minorHAnsi"/>
          <w:color w:val="000000" w:themeColor="text1"/>
        </w:rPr>
        <w:t xml:space="preserve">plánuje MO vynaložit </w:t>
      </w:r>
      <w:r w:rsidR="00D4643E" w:rsidRPr="00560223">
        <w:rPr>
          <w:rFonts w:asciiTheme="minorHAnsi" w:hAnsiTheme="minorHAnsi" w:cstheme="minorHAnsi"/>
          <w:color w:val="000000" w:themeColor="text1"/>
        </w:rPr>
        <w:t xml:space="preserve">nejméně </w:t>
      </w:r>
      <w:r w:rsidRPr="00560223">
        <w:rPr>
          <w:rFonts w:asciiTheme="minorHAnsi" w:hAnsiTheme="minorHAnsi" w:cstheme="minorHAnsi"/>
          <w:color w:val="000000" w:themeColor="text1"/>
        </w:rPr>
        <w:t>69,1 mld. Kč,</w:t>
      </w:r>
      <w:r w:rsidRPr="00560223">
        <w:rPr>
          <w:rStyle w:val="Znakapoznpodarou"/>
          <w:rFonts w:asciiTheme="minorHAnsi" w:hAnsiTheme="minorHAnsi" w:cstheme="minorHAnsi"/>
          <w:color w:val="000000" w:themeColor="text1"/>
        </w:rPr>
        <w:footnoteReference w:id="29"/>
      </w:r>
      <w:r w:rsidRPr="00560223">
        <w:rPr>
          <w:rFonts w:asciiTheme="minorHAnsi" w:hAnsiTheme="minorHAnsi" w:cstheme="minorHAnsi"/>
          <w:color w:val="000000" w:themeColor="text1"/>
        </w:rPr>
        <w:t xml:space="preserve"> </w:t>
      </w:r>
      <w:r w:rsidR="001D1EA6" w:rsidRPr="00560223">
        <w:rPr>
          <w:rFonts w:asciiTheme="minorHAnsi" w:hAnsiTheme="minorHAnsi" w:cstheme="minorHAnsi"/>
          <w:color w:val="000000" w:themeColor="text1"/>
        </w:rPr>
        <w:t>což je o 134 </w:t>
      </w:r>
      <w:r w:rsidRPr="00560223">
        <w:rPr>
          <w:rFonts w:asciiTheme="minorHAnsi" w:hAnsiTheme="minorHAnsi" w:cstheme="minorHAnsi"/>
          <w:color w:val="000000" w:themeColor="text1"/>
        </w:rPr>
        <w:t>% více</w:t>
      </w:r>
      <w:r w:rsidR="006F36F5">
        <w:rPr>
          <w:rFonts w:asciiTheme="minorHAnsi" w:hAnsiTheme="minorHAnsi" w:cstheme="minorHAnsi"/>
          <w:color w:val="000000" w:themeColor="text1"/>
        </w:rPr>
        <w:t>,</w:t>
      </w:r>
      <w:r w:rsidRPr="00560223">
        <w:rPr>
          <w:rFonts w:asciiTheme="minorHAnsi" w:hAnsiTheme="minorHAnsi" w:cstheme="minorHAnsi"/>
          <w:color w:val="000000" w:themeColor="text1"/>
        </w:rPr>
        <w:t xml:space="preserve"> než činí pořizovací hodnota veškeré </w:t>
      </w:r>
      <w:r w:rsidR="00B15B78" w:rsidRPr="00560223">
        <w:rPr>
          <w:rFonts w:asciiTheme="minorHAnsi" w:hAnsiTheme="minorHAnsi" w:cstheme="minorHAnsi"/>
          <w:color w:val="000000" w:themeColor="text1"/>
        </w:rPr>
        <w:t xml:space="preserve">současné </w:t>
      </w:r>
      <w:r w:rsidRPr="00560223">
        <w:rPr>
          <w:rFonts w:asciiTheme="minorHAnsi" w:hAnsiTheme="minorHAnsi" w:cstheme="minorHAnsi"/>
          <w:color w:val="000000" w:themeColor="text1"/>
        </w:rPr>
        <w:t>obrněné techniky</w:t>
      </w:r>
      <w:r w:rsidR="00B15B78" w:rsidRPr="00560223">
        <w:rPr>
          <w:rFonts w:asciiTheme="minorHAnsi" w:hAnsiTheme="minorHAnsi" w:cstheme="minorHAnsi"/>
          <w:color w:val="000000" w:themeColor="text1"/>
        </w:rPr>
        <w:t xml:space="preserve"> ve výši </w:t>
      </w:r>
      <w:r w:rsidRPr="00560223">
        <w:rPr>
          <w:rFonts w:asciiTheme="minorHAnsi" w:hAnsiTheme="minorHAnsi" w:cstheme="minorHAnsi"/>
          <w:color w:val="000000" w:themeColor="text1"/>
        </w:rPr>
        <w:t xml:space="preserve">29,5 mld. Kč. </w:t>
      </w:r>
    </w:p>
    <w:p w14:paraId="008C69C7" w14:textId="77777777" w:rsidR="003F0EE0" w:rsidRPr="00560223" w:rsidRDefault="003F0EE0" w:rsidP="00C85BC7">
      <w:pPr>
        <w:rPr>
          <w:rFonts w:asciiTheme="minorHAnsi" w:hAnsiTheme="minorHAnsi" w:cstheme="minorHAnsi"/>
          <w:color w:val="000000" w:themeColor="text1"/>
        </w:rPr>
      </w:pPr>
    </w:p>
    <w:p w14:paraId="66629EEC" w14:textId="57ECD956" w:rsidR="008F6AF6" w:rsidRDefault="008F6AF6" w:rsidP="00854EE1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 w:rsidRPr="00967171">
        <w:rPr>
          <w:rFonts w:asciiTheme="minorHAnsi" w:hAnsiTheme="minorHAnsi" w:cstheme="minorHAnsi"/>
          <w:i w:val="0"/>
          <w:sz w:val="24"/>
          <w:szCs w:val="24"/>
        </w:rPr>
        <w:t xml:space="preserve">11. </w:t>
      </w:r>
      <w:r w:rsidR="00C8053B" w:rsidRPr="00967171">
        <w:rPr>
          <w:rFonts w:asciiTheme="minorHAnsi" w:hAnsiTheme="minorHAnsi" w:cstheme="minorHAnsi"/>
          <w:i w:val="0"/>
          <w:sz w:val="24"/>
          <w:szCs w:val="24"/>
        </w:rPr>
        <w:t>Nárůst</w:t>
      </w:r>
      <w:r w:rsidR="00C8053B" w:rsidRPr="00C8053B">
        <w:rPr>
          <w:rFonts w:asciiTheme="minorHAnsi" w:hAnsiTheme="minorHAnsi" w:cstheme="minorHAnsi"/>
          <w:i w:val="0"/>
          <w:sz w:val="24"/>
          <w:szCs w:val="24"/>
        </w:rPr>
        <w:t xml:space="preserve"> prostředků na servisní podporu KBVP a KOT</w:t>
      </w:r>
    </w:p>
    <w:p w14:paraId="6A784DE6" w14:textId="77777777" w:rsidR="00560223" w:rsidRPr="00CE0687" w:rsidRDefault="00560223" w:rsidP="00854EE1">
      <w:pPr>
        <w:keepNext/>
        <w:shd w:val="clear" w:color="auto" w:fill="FFFFFF"/>
        <w:ind w:right="6"/>
        <w:jc w:val="both"/>
        <w:rPr>
          <w:rFonts w:ascii="Calibri" w:hAnsi="Calibri"/>
          <w:highlight w:val="yellow"/>
        </w:rPr>
      </w:pPr>
    </w:p>
    <w:p w14:paraId="143322D3" w14:textId="3CBF3115" w:rsidR="00183784" w:rsidRDefault="00183784" w:rsidP="00183784">
      <w:pPr>
        <w:jc w:val="both"/>
        <w:rPr>
          <w:rFonts w:asciiTheme="minorHAnsi" w:hAnsiTheme="minorHAnsi" w:cstheme="minorHAnsi"/>
        </w:rPr>
      </w:pPr>
      <w:r w:rsidRPr="00BA1787">
        <w:rPr>
          <w:rFonts w:asciiTheme="minorHAnsi" w:hAnsiTheme="minorHAnsi" w:cstheme="minorHAnsi"/>
        </w:rPr>
        <w:t xml:space="preserve">Předmětem </w:t>
      </w:r>
      <w:r>
        <w:rPr>
          <w:rFonts w:asciiTheme="minorHAnsi" w:hAnsiTheme="minorHAnsi" w:cstheme="minorHAnsi"/>
        </w:rPr>
        <w:t xml:space="preserve">veřejné </w:t>
      </w:r>
      <w:r w:rsidRPr="00BA1787">
        <w:rPr>
          <w:rFonts w:asciiTheme="minorHAnsi" w:hAnsiTheme="minorHAnsi" w:cstheme="minorHAnsi"/>
        </w:rPr>
        <w:t xml:space="preserve">zakázky </w:t>
      </w:r>
      <w:r>
        <w:rPr>
          <w:rFonts w:asciiTheme="minorHAnsi" w:hAnsiTheme="minorHAnsi" w:cstheme="minorHAnsi"/>
        </w:rPr>
        <w:t xml:space="preserve">na servisní podporu </w:t>
      </w:r>
      <w:r w:rsidR="00115C47">
        <w:rPr>
          <w:rFonts w:asciiTheme="minorHAnsi" w:hAnsiTheme="minorHAnsi" w:cstheme="minorHAnsi"/>
        </w:rPr>
        <w:t xml:space="preserve">KBVP a KOT v období 2014–2016 </w:t>
      </w:r>
      <w:r w:rsidRPr="00BA1787">
        <w:rPr>
          <w:rFonts w:asciiTheme="minorHAnsi" w:hAnsiTheme="minorHAnsi" w:cstheme="minorHAnsi"/>
        </w:rPr>
        <w:t xml:space="preserve">bylo pořízení služby </w:t>
      </w:r>
      <w:r>
        <w:rPr>
          <w:rFonts w:asciiTheme="minorHAnsi" w:hAnsiTheme="minorHAnsi" w:cstheme="minorHAnsi"/>
        </w:rPr>
        <w:t>k zabezpečení plné funkčnosti a </w:t>
      </w:r>
      <w:r w:rsidRPr="00BA1787">
        <w:rPr>
          <w:rFonts w:asciiTheme="minorHAnsi" w:hAnsiTheme="minorHAnsi" w:cstheme="minorHAnsi"/>
        </w:rPr>
        <w:t xml:space="preserve">provozuschopnosti </w:t>
      </w:r>
      <w:r w:rsidR="00954D7E">
        <w:rPr>
          <w:rFonts w:asciiTheme="minorHAnsi" w:hAnsiTheme="minorHAnsi" w:cstheme="minorHAnsi"/>
        </w:rPr>
        <w:t>vozidel</w:t>
      </w:r>
      <w:r>
        <w:rPr>
          <w:rFonts w:asciiTheme="minorHAnsi" w:hAnsiTheme="minorHAnsi" w:cstheme="minorHAnsi"/>
        </w:rPr>
        <w:t xml:space="preserve"> včetně </w:t>
      </w:r>
      <w:r w:rsidRPr="00BA1787">
        <w:rPr>
          <w:rFonts w:asciiTheme="minorHAnsi" w:hAnsiTheme="minorHAnsi" w:cstheme="minorHAnsi"/>
        </w:rPr>
        <w:t xml:space="preserve">logistického a výcvikového </w:t>
      </w:r>
      <w:r w:rsidR="00954D7E">
        <w:rPr>
          <w:rFonts w:asciiTheme="minorHAnsi" w:hAnsiTheme="minorHAnsi" w:cstheme="minorHAnsi"/>
        </w:rPr>
        <w:t>zabezpečení</w:t>
      </w:r>
      <w:r>
        <w:rPr>
          <w:rFonts w:asciiTheme="minorHAnsi" w:hAnsiTheme="minorHAnsi" w:cstheme="minorHAnsi"/>
        </w:rPr>
        <w:t xml:space="preserve"> </w:t>
      </w:r>
      <w:r w:rsidRPr="00BA1787">
        <w:rPr>
          <w:rFonts w:asciiTheme="minorHAnsi" w:hAnsiTheme="minorHAnsi" w:cstheme="minorHAnsi"/>
        </w:rPr>
        <w:t>a maximální zkrácení</w:t>
      </w:r>
      <w:r w:rsidR="00115C47">
        <w:rPr>
          <w:rFonts w:asciiTheme="minorHAnsi" w:hAnsiTheme="minorHAnsi" w:cstheme="minorHAnsi"/>
        </w:rPr>
        <w:t xml:space="preserve"> </w:t>
      </w:r>
      <w:r w:rsidRPr="00BA1787">
        <w:rPr>
          <w:rFonts w:asciiTheme="minorHAnsi" w:hAnsiTheme="minorHAnsi" w:cstheme="minorHAnsi"/>
        </w:rPr>
        <w:t xml:space="preserve">doby </w:t>
      </w:r>
      <w:r>
        <w:rPr>
          <w:rFonts w:asciiTheme="minorHAnsi" w:hAnsiTheme="minorHAnsi" w:cstheme="minorHAnsi"/>
        </w:rPr>
        <w:t>do obnovení prov</w:t>
      </w:r>
      <w:r w:rsidRPr="00BA1787">
        <w:rPr>
          <w:rFonts w:asciiTheme="minorHAnsi" w:hAnsiTheme="minorHAnsi" w:cstheme="minorHAnsi"/>
        </w:rPr>
        <w:t>ozuschopn</w:t>
      </w:r>
      <w:r>
        <w:rPr>
          <w:rFonts w:asciiTheme="minorHAnsi" w:hAnsiTheme="minorHAnsi" w:cstheme="minorHAnsi"/>
        </w:rPr>
        <w:t>osti</w:t>
      </w:r>
      <w:r w:rsidRPr="00BA1787">
        <w:rPr>
          <w:rFonts w:asciiTheme="minorHAnsi" w:hAnsiTheme="minorHAnsi" w:cstheme="minorHAnsi"/>
        </w:rPr>
        <w:t xml:space="preserve">. </w:t>
      </w:r>
      <w:r w:rsidR="00115C47">
        <w:rPr>
          <w:rFonts w:asciiTheme="minorHAnsi" w:hAnsiTheme="minorHAnsi" w:cstheme="minorHAnsi"/>
        </w:rPr>
        <w:t xml:space="preserve">Rámcová smlouva </w:t>
      </w:r>
      <w:r>
        <w:rPr>
          <w:rFonts w:asciiTheme="minorHAnsi" w:hAnsiTheme="minorHAnsi" w:cstheme="minorHAnsi"/>
        </w:rPr>
        <w:t>byla uzavřena v listopadu 2014 v </w:t>
      </w:r>
      <w:r w:rsidR="00115C47">
        <w:rPr>
          <w:rFonts w:asciiTheme="minorHAnsi" w:hAnsiTheme="minorHAnsi" w:cstheme="minorHAnsi"/>
        </w:rPr>
        <w:t xml:space="preserve">hodnotě </w:t>
      </w:r>
      <w:r>
        <w:rPr>
          <w:rFonts w:asciiTheme="minorHAnsi" w:hAnsiTheme="minorHAnsi" w:cstheme="minorHAnsi"/>
        </w:rPr>
        <w:t>1</w:t>
      </w:r>
      <w:r w:rsidRPr="00183784">
        <w:rPr>
          <w:rFonts w:asciiTheme="minorHAnsi" w:hAnsiTheme="minorHAnsi" w:cstheme="minorHAnsi"/>
        </w:rPr>
        <w:t>82 mil. Kč</w:t>
      </w:r>
      <w:r w:rsidR="00641492">
        <w:rPr>
          <w:rFonts w:asciiTheme="minorHAnsi" w:hAnsiTheme="minorHAnsi" w:cstheme="minorHAnsi"/>
        </w:rPr>
        <w:t xml:space="preserve"> včetně DPH</w:t>
      </w:r>
      <w:r w:rsidRPr="00183784">
        <w:rPr>
          <w:rFonts w:asciiTheme="minorHAnsi" w:hAnsiTheme="minorHAnsi" w:cstheme="minorHAnsi"/>
        </w:rPr>
        <w:t>. Znalec</w:t>
      </w:r>
      <w:r w:rsidR="00115C47">
        <w:rPr>
          <w:rFonts w:asciiTheme="minorHAnsi" w:hAnsiTheme="minorHAnsi" w:cstheme="minorHAnsi"/>
        </w:rPr>
        <w:t>ký posudek z</w:t>
      </w:r>
      <w:r w:rsidRPr="00183784">
        <w:rPr>
          <w:rFonts w:asciiTheme="minorHAnsi" w:hAnsiTheme="minorHAnsi" w:cstheme="minorHAnsi"/>
        </w:rPr>
        <w:t> říjn</w:t>
      </w:r>
      <w:r w:rsidR="00115C47">
        <w:rPr>
          <w:rFonts w:asciiTheme="minorHAnsi" w:hAnsiTheme="minorHAnsi" w:cstheme="minorHAnsi"/>
        </w:rPr>
        <w:t>a</w:t>
      </w:r>
      <w:r w:rsidRPr="00183784">
        <w:rPr>
          <w:rFonts w:asciiTheme="minorHAnsi" w:hAnsiTheme="minorHAnsi" w:cstheme="minorHAnsi"/>
        </w:rPr>
        <w:t xml:space="preserve"> 2014 </w:t>
      </w:r>
      <w:r w:rsidR="00115C47">
        <w:rPr>
          <w:rFonts w:asciiTheme="minorHAnsi" w:hAnsiTheme="minorHAnsi" w:cstheme="minorHAnsi"/>
        </w:rPr>
        <w:t xml:space="preserve">potvrdil </w:t>
      </w:r>
      <w:r w:rsidRPr="00183784">
        <w:rPr>
          <w:rFonts w:asciiTheme="minorHAnsi" w:hAnsiTheme="minorHAnsi" w:cstheme="minorHAnsi"/>
        </w:rPr>
        <w:t>cenu v místě a čase obvyklou</w:t>
      </w:r>
      <w:r w:rsidR="00115C47">
        <w:rPr>
          <w:rFonts w:asciiTheme="minorHAnsi" w:hAnsiTheme="minorHAnsi" w:cstheme="minorHAnsi"/>
        </w:rPr>
        <w:t xml:space="preserve">, přestože podle smlouvy na dodávky KBVP a KOT </w:t>
      </w:r>
      <w:r w:rsidRPr="00183784">
        <w:rPr>
          <w:rFonts w:asciiTheme="minorHAnsi" w:hAnsiTheme="minorHAnsi" w:cstheme="minorHAnsi"/>
        </w:rPr>
        <w:t xml:space="preserve">z roku 2009 byla cena mimo-vojskového servisu na </w:t>
      </w:r>
      <w:r w:rsidR="00115C47">
        <w:rPr>
          <w:rFonts w:asciiTheme="minorHAnsi" w:hAnsiTheme="minorHAnsi" w:cstheme="minorHAnsi"/>
        </w:rPr>
        <w:t xml:space="preserve">období 2014–2016 </w:t>
      </w:r>
      <w:r w:rsidRPr="00183784">
        <w:rPr>
          <w:rFonts w:asciiTheme="minorHAnsi" w:hAnsiTheme="minorHAnsi" w:cstheme="minorHAnsi"/>
        </w:rPr>
        <w:t>odhadována na cca 346 mil. Kč</w:t>
      </w:r>
      <w:r w:rsidR="00641492">
        <w:rPr>
          <w:rFonts w:asciiTheme="minorHAnsi" w:hAnsiTheme="minorHAnsi" w:cstheme="minorHAnsi"/>
        </w:rPr>
        <w:t xml:space="preserve"> včetně DPH</w:t>
      </w:r>
      <w:r w:rsidRPr="0018378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00E50">
        <w:rPr>
          <w:rFonts w:asciiTheme="minorHAnsi" w:hAnsiTheme="minorHAnsi" w:cstheme="minorHAnsi"/>
        </w:rPr>
        <w:t xml:space="preserve">Tento nesoulad </w:t>
      </w:r>
      <w:r w:rsidR="00650D5C">
        <w:rPr>
          <w:rFonts w:asciiTheme="minorHAnsi" w:hAnsiTheme="minorHAnsi" w:cstheme="minorHAnsi"/>
        </w:rPr>
        <w:t>se projevil počátkem roku 2016, kdy MO rozhodlo o navýšení</w:t>
      </w:r>
      <w:r w:rsidR="00700E50">
        <w:rPr>
          <w:rFonts w:asciiTheme="minorHAnsi" w:hAnsiTheme="minorHAnsi" w:cstheme="minorHAnsi"/>
        </w:rPr>
        <w:t xml:space="preserve"> hodnoty rámcové smlouvy</w:t>
      </w:r>
      <w:r w:rsidR="00650D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294 mil. Kč</w:t>
      </w:r>
      <w:r w:rsidR="00D33A66">
        <w:rPr>
          <w:rFonts w:asciiTheme="minorHAnsi" w:hAnsiTheme="minorHAnsi" w:cstheme="minorHAnsi"/>
        </w:rPr>
        <w:t xml:space="preserve"> včetně DPH</w:t>
      </w:r>
      <w:r w:rsidR="00B87B73">
        <w:rPr>
          <w:rFonts w:asciiTheme="minorHAnsi" w:hAnsiTheme="minorHAnsi" w:cstheme="minorHAnsi"/>
        </w:rPr>
        <w:t>.</w:t>
      </w:r>
    </w:p>
    <w:p w14:paraId="1D3FEE5A" w14:textId="12FF84D6" w:rsidR="00B87B73" w:rsidRDefault="00B87B73" w:rsidP="00183784">
      <w:pPr>
        <w:jc w:val="both"/>
        <w:rPr>
          <w:rFonts w:asciiTheme="minorHAnsi" w:hAnsiTheme="minorHAnsi" w:cstheme="minorHAnsi"/>
        </w:rPr>
      </w:pPr>
    </w:p>
    <w:p w14:paraId="1B0C504D" w14:textId="0127498B" w:rsidR="00BF7BB3" w:rsidRDefault="00B87B73" w:rsidP="00B87B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Již v roce 2015 zpracovalo MO s</w:t>
      </w:r>
      <w:r w:rsidRPr="001A1CBD">
        <w:rPr>
          <w:rFonts w:asciiTheme="minorHAnsi" w:hAnsiTheme="minorHAnsi" w:cstheme="minorHAnsi"/>
        </w:rPr>
        <w:t xml:space="preserve">pecifikaci pro zadání </w:t>
      </w:r>
      <w:r w:rsidR="00650D5C">
        <w:rPr>
          <w:rFonts w:asciiTheme="minorHAnsi" w:hAnsiTheme="minorHAnsi" w:cstheme="minorHAnsi"/>
        </w:rPr>
        <w:t xml:space="preserve">navazující rámcové dohody </w:t>
      </w:r>
      <w:r>
        <w:rPr>
          <w:rFonts w:asciiTheme="minorHAnsi" w:hAnsiTheme="minorHAnsi" w:cstheme="minorHAnsi"/>
        </w:rPr>
        <w:t xml:space="preserve">s obdobným předmětem plnění na období 2017–2019. </w:t>
      </w:r>
      <w:r w:rsidR="00641492">
        <w:rPr>
          <w:rFonts w:asciiTheme="minorHAnsi" w:hAnsiTheme="minorHAnsi" w:cstheme="minorHAnsi"/>
        </w:rPr>
        <w:t>V průběhu roku 2016 MO p</w:t>
      </w:r>
      <w:r w:rsidR="00162137">
        <w:rPr>
          <w:rFonts w:asciiTheme="minorHAnsi" w:hAnsiTheme="minorHAnsi" w:cstheme="minorHAnsi"/>
        </w:rPr>
        <w:t>ůvodně stanovenou hodnotu rámcové dohody ve výši 295 mil. Kč bez DPH navýšil</w:t>
      </w:r>
      <w:r w:rsidR="00650D5C">
        <w:rPr>
          <w:rFonts w:asciiTheme="minorHAnsi" w:hAnsiTheme="minorHAnsi" w:cstheme="minorHAnsi"/>
        </w:rPr>
        <w:t>o</w:t>
      </w:r>
      <w:r w:rsidR="00162137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 xml:space="preserve">900 mil. Kč bez DPH, z toho 450 mil. Kč </w:t>
      </w:r>
      <w:r w:rsidR="00641492">
        <w:rPr>
          <w:rFonts w:asciiTheme="minorHAnsi" w:hAnsiTheme="minorHAnsi" w:cstheme="minorHAnsi"/>
        </w:rPr>
        <w:t xml:space="preserve">bez DPH </w:t>
      </w:r>
      <w:r>
        <w:rPr>
          <w:rFonts w:asciiTheme="minorHAnsi" w:hAnsiTheme="minorHAnsi" w:cstheme="minorHAnsi"/>
        </w:rPr>
        <w:t>na zajištění servisní podpory vozidel</w:t>
      </w:r>
      <w:r w:rsidR="00162137">
        <w:rPr>
          <w:rFonts w:asciiTheme="minorHAnsi" w:hAnsiTheme="minorHAnsi" w:cstheme="minorHAnsi"/>
        </w:rPr>
        <w:t xml:space="preserve"> včetně poradenství</w:t>
      </w:r>
      <w:r>
        <w:rPr>
          <w:rFonts w:asciiTheme="minorHAnsi" w:hAnsiTheme="minorHAnsi" w:cstheme="minorHAnsi"/>
        </w:rPr>
        <w:t xml:space="preserve"> a 450 mil. Kč </w:t>
      </w:r>
      <w:r w:rsidR="00641492">
        <w:rPr>
          <w:rFonts w:asciiTheme="minorHAnsi" w:hAnsiTheme="minorHAnsi" w:cstheme="minorHAnsi"/>
        </w:rPr>
        <w:t xml:space="preserve">bez DPH </w:t>
      </w:r>
      <w:r>
        <w:rPr>
          <w:rFonts w:asciiTheme="minorHAnsi" w:hAnsiTheme="minorHAnsi" w:cstheme="minorHAnsi"/>
        </w:rPr>
        <w:t xml:space="preserve">na nákup náhradních dílů. </w:t>
      </w:r>
      <w:r w:rsidR="00650D5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nalec</w:t>
      </w:r>
      <w:r w:rsidR="00650D5C">
        <w:rPr>
          <w:rFonts w:asciiTheme="minorHAnsi" w:hAnsiTheme="minorHAnsi" w:cstheme="minorHAnsi"/>
        </w:rPr>
        <w:t>ký posudek</w:t>
      </w:r>
      <w:r w:rsidR="00162137">
        <w:rPr>
          <w:rFonts w:asciiTheme="minorHAnsi" w:hAnsiTheme="minorHAnsi" w:cstheme="minorHAnsi"/>
        </w:rPr>
        <w:t xml:space="preserve"> neposuzoval </w:t>
      </w:r>
      <w:r>
        <w:rPr>
          <w:rFonts w:asciiTheme="minorHAnsi" w:hAnsiTheme="minorHAnsi" w:cstheme="minorHAnsi"/>
        </w:rPr>
        <w:t xml:space="preserve">cenu v místě a čase obvyklou pro </w:t>
      </w:r>
      <w:r w:rsidR="00650D5C">
        <w:rPr>
          <w:rFonts w:asciiTheme="minorHAnsi" w:hAnsiTheme="minorHAnsi" w:cstheme="minorHAnsi"/>
        </w:rPr>
        <w:t xml:space="preserve">hodnotu </w:t>
      </w:r>
      <w:r>
        <w:rPr>
          <w:rFonts w:asciiTheme="minorHAnsi" w:hAnsiTheme="minorHAnsi" w:cstheme="minorHAnsi"/>
        </w:rPr>
        <w:t>rámcov</w:t>
      </w:r>
      <w:r w:rsidR="00650D5C">
        <w:rPr>
          <w:rFonts w:asciiTheme="minorHAnsi" w:hAnsiTheme="minorHAnsi" w:cstheme="minorHAnsi"/>
        </w:rPr>
        <w:t>é dohody</w:t>
      </w:r>
      <w:r>
        <w:rPr>
          <w:rFonts w:asciiTheme="minorHAnsi" w:hAnsiTheme="minorHAnsi" w:cstheme="minorHAnsi"/>
        </w:rPr>
        <w:t xml:space="preserve"> ve výši 1 089 mil. Kč včetně DPH</w:t>
      </w:r>
      <w:r w:rsidR="00650D5C">
        <w:rPr>
          <w:rFonts w:asciiTheme="minorHAnsi" w:hAnsiTheme="minorHAnsi" w:cstheme="minorHAnsi"/>
        </w:rPr>
        <w:t>, ale pouze</w:t>
      </w:r>
      <w:r w:rsidR="00FE7AA8">
        <w:rPr>
          <w:rFonts w:asciiTheme="minorHAnsi" w:hAnsiTheme="minorHAnsi" w:cstheme="minorHAnsi"/>
        </w:rPr>
        <w:t xml:space="preserve"> jednotkové ceny jednotlivých plnění</w:t>
      </w:r>
      <w:r w:rsidR="00650D5C">
        <w:rPr>
          <w:rFonts w:asciiTheme="minorHAnsi" w:hAnsiTheme="minorHAnsi" w:cstheme="minorHAnsi"/>
        </w:rPr>
        <w:t xml:space="preserve">. </w:t>
      </w:r>
      <w:r w:rsidR="00641492">
        <w:rPr>
          <w:rFonts w:asciiTheme="minorHAnsi" w:hAnsiTheme="minorHAnsi" w:cstheme="minorHAnsi"/>
        </w:rPr>
        <w:t>H</w:t>
      </w:r>
      <w:r w:rsidR="00BF7BB3">
        <w:rPr>
          <w:rFonts w:asciiTheme="minorHAnsi" w:hAnsiTheme="minorHAnsi" w:cstheme="minorHAnsi"/>
        </w:rPr>
        <w:t xml:space="preserve">odnota rámcové dohody </w:t>
      </w:r>
      <w:r w:rsidR="00D33A66">
        <w:rPr>
          <w:rFonts w:asciiTheme="minorHAnsi" w:hAnsiTheme="minorHAnsi" w:cstheme="minorHAnsi"/>
        </w:rPr>
        <w:t xml:space="preserve">tak byla </w:t>
      </w:r>
      <w:r w:rsidR="00BF7BB3">
        <w:rPr>
          <w:rFonts w:asciiTheme="minorHAnsi" w:hAnsiTheme="minorHAnsi" w:cstheme="minorHAnsi"/>
        </w:rPr>
        <w:t xml:space="preserve">v porovnání s cenou </w:t>
      </w:r>
      <w:r w:rsidR="00854EE1">
        <w:rPr>
          <w:rFonts w:asciiTheme="minorHAnsi" w:hAnsiTheme="minorHAnsi" w:cstheme="minorHAnsi"/>
        </w:rPr>
        <w:br/>
      </w:r>
      <w:r w:rsidR="00FE7AA8" w:rsidRPr="00183784">
        <w:rPr>
          <w:rFonts w:asciiTheme="minorHAnsi" w:hAnsiTheme="minorHAnsi" w:cstheme="minorHAnsi"/>
        </w:rPr>
        <w:t xml:space="preserve">mimo-vojskového servisu </w:t>
      </w:r>
      <w:r w:rsidR="00BF7BB3">
        <w:rPr>
          <w:rFonts w:asciiTheme="minorHAnsi" w:hAnsiTheme="minorHAnsi" w:cstheme="minorHAnsi"/>
        </w:rPr>
        <w:t>dle smlouvy na dodávky z roku 2009 (cca 378 mil. Kč</w:t>
      </w:r>
      <w:r w:rsidR="00641492">
        <w:rPr>
          <w:rFonts w:asciiTheme="minorHAnsi" w:hAnsiTheme="minorHAnsi" w:cstheme="minorHAnsi"/>
        </w:rPr>
        <w:t xml:space="preserve"> včetně DPH</w:t>
      </w:r>
      <w:r w:rsidR="00BF7BB3">
        <w:rPr>
          <w:rFonts w:asciiTheme="minorHAnsi" w:hAnsiTheme="minorHAnsi" w:cstheme="minorHAnsi"/>
        </w:rPr>
        <w:t xml:space="preserve">) </w:t>
      </w:r>
      <w:r w:rsidR="00A65354">
        <w:rPr>
          <w:rFonts w:asciiTheme="minorHAnsi" w:hAnsiTheme="minorHAnsi" w:cstheme="minorHAnsi"/>
        </w:rPr>
        <w:t>téměř třikrát vyšší.</w:t>
      </w:r>
    </w:p>
    <w:p w14:paraId="34895890" w14:textId="2E51E7F0" w:rsidR="00BF7BB3" w:rsidRDefault="00BF7BB3" w:rsidP="00B87B73">
      <w:pPr>
        <w:jc w:val="both"/>
        <w:rPr>
          <w:rFonts w:asciiTheme="minorHAnsi" w:hAnsiTheme="minorHAnsi" w:cstheme="minorHAnsi"/>
        </w:rPr>
      </w:pPr>
    </w:p>
    <w:p w14:paraId="6F97C1D5" w14:textId="61F330E6" w:rsidR="00B87B73" w:rsidRDefault="00BF7BB3" w:rsidP="00B87B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Oproti předchozí rámcové smlouvě byla v listopadu 2017 d</w:t>
      </w:r>
      <w:r w:rsidRPr="00FE7AA8">
        <w:rPr>
          <w:rFonts w:asciiTheme="minorHAnsi" w:hAnsiTheme="minorHAnsi" w:cstheme="minorHAnsi"/>
        </w:rPr>
        <w:t xml:space="preserve">odatkem </w:t>
      </w:r>
      <w:r>
        <w:rPr>
          <w:rFonts w:asciiTheme="minorHAnsi" w:hAnsiTheme="minorHAnsi" w:cstheme="minorHAnsi"/>
        </w:rPr>
        <w:t xml:space="preserve">k rámcové dohodě na období 2017–2019 </w:t>
      </w:r>
      <w:r w:rsidRPr="00FE7AA8">
        <w:rPr>
          <w:rFonts w:asciiTheme="minorHAnsi" w:hAnsiTheme="minorHAnsi" w:cstheme="minorHAnsi"/>
        </w:rPr>
        <w:t xml:space="preserve">sjednána </w:t>
      </w:r>
      <w:r>
        <w:rPr>
          <w:rFonts w:asciiTheme="minorHAnsi" w:hAnsiTheme="minorHAnsi" w:cstheme="minorHAnsi"/>
        </w:rPr>
        <w:t xml:space="preserve">pro MO </w:t>
      </w:r>
      <w:r w:rsidRPr="00FE7AA8">
        <w:rPr>
          <w:rFonts w:asciiTheme="minorHAnsi" w:hAnsiTheme="minorHAnsi" w:cstheme="minorHAnsi"/>
        </w:rPr>
        <w:t>úhrada licenčních a administrativních nákladů ve výši 20 až 32 % z</w:t>
      </w:r>
      <w:r w:rsidR="003F19C3">
        <w:rPr>
          <w:rFonts w:asciiTheme="minorHAnsi" w:hAnsiTheme="minorHAnsi" w:cstheme="minorHAnsi"/>
        </w:rPr>
        <w:t xml:space="preserve"> hodnoty</w:t>
      </w:r>
      <w:r w:rsidR="006A427F">
        <w:rPr>
          <w:rFonts w:asciiTheme="minorHAnsi" w:hAnsiTheme="minorHAnsi" w:cstheme="minorHAnsi"/>
        </w:rPr>
        <w:t> </w:t>
      </w:r>
      <w:r w:rsidR="00A956E5">
        <w:rPr>
          <w:rFonts w:asciiTheme="minorHAnsi" w:hAnsiTheme="minorHAnsi" w:cstheme="minorHAnsi"/>
        </w:rPr>
        <w:t xml:space="preserve">smluvních </w:t>
      </w:r>
      <w:r w:rsidRPr="00FE7AA8">
        <w:rPr>
          <w:rFonts w:asciiTheme="minorHAnsi" w:hAnsiTheme="minorHAnsi" w:cstheme="minorHAnsi"/>
        </w:rPr>
        <w:t>plnění</w:t>
      </w:r>
      <w:r w:rsidR="003F19C3">
        <w:rPr>
          <w:rFonts w:asciiTheme="minorHAnsi" w:hAnsiTheme="minorHAnsi" w:cstheme="minorHAnsi"/>
        </w:rPr>
        <w:t xml:space="preserve">  </w:t>
      </w:r>
      <w:r w:rsidR="00140FE8">
        <w:rPr>
          <w:rFonts w:asciiTheme="minorHAnsi" w:hAnsiTheme="minorHAnsi" w:cstheme="minorHAnsi"/>
        </w:rPr>
        <w:t xml:space="preserve">provedených </w:t>
      </w:r>
      <w:r>
        <w:rPr>
          <w:rFonts w:asciiTheme="minorHAnsi" w:hAnsiTheme="minorHAnsi" w:cstheme="minorHAnsi"/>
        </w:rPr>
        <w:t>poddodavatel</w:t>
      </w:r>
      <w:r w:rsidR="006A427F">
        <w:rPr>
          <w:rFonts w:asciiTheme="minorHAnsi" w:hAnsiTheme="minorHAnsi" w:cstheme="minorHAnsi"/>
        </w:rPr>
        <w:t>i</w:t>
      </w:r>
      <w:r w:rsidRPr="00FE7AA8">
        <w:rPr>
          <w:rFonts w:asciiTheme="minorHAnsi" w:hAnsiTheme="minorHAnsi" w:cstheme="minorHAnsi"/>
        </w:rPr>
        <w:t>. Tyto</w:t>
      </w:r>
      <w:r>
        <w:rPr>
          <w:rFonts w:asciiTheme="minorHAnsi" w:hAnsiTheme="minorHAnsi" w:cstheme="minorHAnsi"/>
        </w:rPr>
        <w:t xml:space="preserve"> nově hrazené náklady </w:t>
      </w:r>
      <w:r w:rsidRPr="00FE7AA8">
        <w:rPr>
          <w:rFonts w:asciiTheme="minorHAnsi" w:hAnsiTheme="minorHAnsi" w:cstheme="minorHAnsi"/>
        </w:rPr>
        <w:t>nebyly pos</w:t>
      </w:r>
      <w:r>
        <w:rPr>
          <w:rFonts w:asciiTheme="minorHAnsi" w:hAnsiTheme="minorHAnsi" w:cstheme="minorHAnsi"/>
        </w:rPr>
        <w:t>ouzeny znalcem z hlediska c</w:t>
      </w:r>
      <w:r w:rsidRPr="00FE7AA8">
        <w:rPr>
          <w:rFonts w:asciiTheme="minorHAnsi" w:hAnsiTheme="minorHAnsi" w:cstheme="minorHAnsi"/>
        </w:rPr>
        <w:t>eny v místě a čase obvyklé. Z kontrolovaných šesti faktur v celkové výši 17,3 mil. Kč činily t</w:t>
      </w:r>
      <w:r>
        <w:rPr>
          <w:rFonts w:asciiTheme="minorHAnsi" w:hAnsiTheme="minorHAnsi" w:cstheme="minorHAnsi"/>
        </w:rPr>
        <w:t xml:space="preserve">yto náklady celkem 2,6 mil. Kč. </w:t>
      </w:r>
      <w:r w:rsidR="0013632B">
        <w:rPr>
          <w:rFonts w:asciiTheme="minorHAnsi" w:hAnsiTheme="minorHAnsi" w:cstheme="minorHAnsi"/>
        </w:rPr>
        <w:t>Č</w:t>
      </w:r>
      <w:r w:rsidR="00FE7AA8">
        <w:rPr>
          <w:rFonts w:asciiTheme="minorHAnsi" w:hAnsiTheme="minorHAnsi" w:cstheme="minorHAnsi"/>
        </w:rPr>
        <w:t xml:space="preserve">erpání prostředků </w:t>
      </w:r>
      <w:r>
        <w:rPr>
          <w:rFonts w:asciiTheme="minorHAnsi" w:hAnsiTheme="minorHAnsi" w:cstheme="minorHAnsi"/>
        </w:rPr>
        <w:t xml:space="preserve">na servisní podporu KBVP a KOT na základě </w:t>
      </w:r>
      <w:r w:rsidR="006554BC">
        <w:rPr>
          <w:rFonts w:asciiTheme="minorHAnsi" w:hAnsiTheme="minorHAnsi" w:cstheme="minorHAnsi"/>
        </w:rPr>
        <w:t xml:space="preserve">obou </w:t>
      </w:r>
      <w:r w:rsidR="00FE7AA8">
        <w:rPr>
          <w:rFonts w:asciiTheme="minorHAnsi" w:hAnsiTheme="minorHAnsi" w:cstheme="minorHAnsi"/>
        </w:rPr>
        <w:t>smluv uvádí tabulka č. </w:t>
      </w:r>
      <w:r w:rsidR="006554BC">
        <w:rPr>
          <w:rFonts w:asciiTheme="minorHAnsi" w:hAnsiTheme="minorHAnsi" w:cstheme="minorHAnsi"/>
        </w:rPr>
        <w:t>3</w:t>
      </w:r>
      <w:r w:rsidR="00FE7AA8">
        <w:rPr>
          <w:rFonts w:asciiTheme="minorHAnsi" w:hAnsiTheme="minorHAnsi" w:cstheme="minorHAnsi"/>
        </w:rPr>
        <w:t>.</w:t>
      </w:r>
    </w:p>
    <w:p w14:paraId="41E0FF18" w14:textId="77777777" w:rsidR="00134C36" w:rsidRDefault="00134C36" w:rsidP="00FE7AA8">
      <w:pPr>
        <w:rPr>
          <w:rFonts w:asciiTheme="minorHAnsi" w:hAnsiTheme="minorHAnsi" w:cstheme="minorHAnsi"/>
        </w:rPr>
      </w:pPr>
    </w:p>
    <w:p w14:paraId="708DA86D" w14:textId="3613CDF2" w:rsidR="00FE7AA8" w:rsidRPr="00140FE8" w:rsidRDefault="00FE7AA8" w:rsidP="00680549">
      <w:pPr>
        <w:keepNext/>
        <w:tabs>
          <w:tab w:val="right" w:pos="9072"/>
        </w:tabs>
        <w:spacing w:after="40"/>
        <w:rPr>
          <w:rFonts w:asciiTheme="minorHAnsi" w:hAnsiTheme="minorHAnsi" w:cstheme="minorHAnsi"/>
          <w:b/>
        </w:rPr>
      </w:pPr>
      <w:r w:rsidRPr="00140FE8">
        <w:rPr>
          <w:rFonts w:asciiTheme="minorHAnsi" w:hAnsiTheme="minorHAnsi" w:cstheme="minorHAnsi"/>
          <w:b/>
        </w:rPr>
        <w:t xml:space="preserve">Tabulka č. </w:t>
      </w:r>
      <w:r w:rsidR="006554BC" w:rsidRPr="00140FE8">
        <w:rPr>
          <w:rFonts w:asciiTheme="minorHAnsi" w:hAnsiTheme="minorHAnsi" w:cstheme="minorHAnsi"/>
          <w:b/>
        </w:rPr>
        <w:t>3</w:t>
      </w:r>
      <w:r w:rsidR="00854EE1">
        <w:rPr>
          <w:rFonts w:asciiTheme="minorHAnsi" w:hAnsiTheme="minorHAnsi" w:cstheme="minorHAnsi"/>
          <w:b/>
        </w:rPr>
        <w:t>:</w:t>
      </w:r>
      <w:r w:rsidRPr="00140FE8">
        <w:rPr>
          <w:rFonts w:asciiTheme="minorHAnsi" w:hAnsiTheme="minorHAnsi" w:cstheme="minorHAnsi"/>
          <w:b/>
        </w:rPr>
        <w:t xml:space="preserve"> </w:t>
      </w:r>
      <w:r w:rsidR="006554BC" w:rsidRPr="00140FE8">
        <w:rPr>
          <w:rFonts w:asciiTheme="minorHAnsi" w:hAnsiTheme="minorHAnsi" w:cstheme="minorHAnsi"/>
          <w:b/>
        </w:rPr>
        <w:t>Č</w:t>
      </w:r>
      <w:r w:rsidRPr="00140FE8">
        <w:rPr>
          <w:rFonts w:asciiTheme="minorHAnsi" w:hAnsiTheme="minorHAnsi" w:cstheme="minorHAnsi"/>
          <w:b/>
        </w:rPr>
        <w:t xml:space="preserve">erpání prostředků na servisní podporu KBVP a KOT </w:t>
      </w:r>
      <w:r w:rsidR="0087361C" w:rsidRPr="00140FE8">
        <w:rPr>
          <w:rFonts w:asciiTheme="minorHAnsi" w:hAnsiTheme="minorHAnsi" w:cstheme="minorHAnsi"/>
          <w:b/>
        </w:rPr>
        <w:tab/>
      </w:r>
      <w:r w:rsidRPr="00140FE8">
        <w:rPr>
          <w:rFonts w:asciiTheme="minorHAnsi" w:hAnsiTheme="minorHAnsi" w:cstheme="minorHAnsi"/>
          <w:b/>
        </w:rPr>
        <w:t>(v mil. Kč)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2"/>
        <w:gridCol w:w="763"/>
        <w:gridCol w:w="837"/>
        <w:gridCol w:w="836"/>
        <w:gridCol w:w="837"/>
        <w:gridCol w:w="836"/>
        <w:gridCol w:w="857"/>
        <w:gridCol w:w="985"/>
      </w:tblGrid>
      <w:tr w:rsidR="00FE7AA8" w:rsidRPr="00560223" w14:paraId="063E5CF2" w14:textId="77777777" w:rsidTr="00560223">
        <w:trPr>
          <w:jc w:val="center"/>
        </w:trPr>
        <w:tc>
          <w:tcPr>
            <w:tcW w:w="3211" w:type="dxa"/>
            <w:shd w:val="clear" w:color="auto" w:fill="E5F1FF"/>
          </w:tcPr>
          <w:p w14:paraId="058340BB" w14:textId="7B0F34AC" w:rsidR="00FE7AA8" w:rsidRPr="0087361C" w:rsidRDefault="00FE7AA8" w:rsidP="00B46663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Položka/</w:t>
            </w:r>
            <w:r w:rsidR="00B46663">
              <w:rPr>
                <w:rFonts w:ascii="Calibri" w:eastAsia="Times New Roman" w:hAnsi="Calibri" w:cs="Calibri"/>
                <w:b/>
                <w:sz w:val="20"/>
                <w:szCs w:val="20"/>
              </w:rPr>
              <w:t>r</w:t>
            </w: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ok</w:t>
            </w:r>
          </w:p>
        </w:tc>
        <w:tc>
          <w:tcPr>
            <w:tcW w:w="768" w:type="dxa"/>
            <w:shd w:val="clear" w:color="auto" w:fill="E5F1FF"/>
            <w:vAlign w:val="center"/>
          </w:tcPr>
          <w:p w14:paraId="17570567" w14:textId="77777777" w:rsidR="00FE7AA8" w:rsidRPr="0087361C" w:rsidRDefault="00FE7AA8" w:rsidP="006633E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2014</w:t>
            </w:r>
          </w:p>
        </w:tc>
        <w:tc>
          <w:tcPr>
            <w:tcW w:w="846" w:type="dxa"/>
            <w:shd w:val="clear" w:color="auto" w:fill="E5F1FF"/>
            <w:vAlign w:val="center"/>
          </w:tcPr>
          <w:p w14:paraId="0076EE21" w14:textId="77777777" w:rsidR="00FE7AA8" w:rsidRPr="0087361C" w:rsidRDefault="00FE7AA8" w:rsidP="006633E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2015</w:t>
            </w:r>
          </w:p>
        </w:tc>
        <w:tc>
          <w:tcPr>
            <w:tcW w:w="845" w:type="dxa"/>
            <w:shd w:val="clear" w:color="auto" w:fill="E5F1FF"/>
            <w:vAlign w:val="center"/>
          </w:tcPr>
          <w:p w14:paraId="6D9A13D2" w14:textId="77777777" w:rsidR="00FE7AA8" w:rsidRPr="0087361C" w:rsidRDefault="00FE7AA8" w:rsidP="006633E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2016</w:t>
            </w:r>
          </w:p>
        </w:tc>
        <w:tc>
          <w:tcPr>
            <w:tcW w:w="846" w:type="dxa"/>
            <w:shd w:val="clear" w:color="auto" w:fill="E5F1FF"/>
            <w:vAlign w:val="center"/>
          </w:tcPr>
          <w:p w14:paraId="4AF74318" w14:textId="77777777" w:rsidR="00FE7AA8" w:rsidRPr="0087361C" w:rsidRDefault="00FE7AA8" w:rsidP="006633E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2017</w:t>
            </w:r>
          </w:p>
        </w:tc>
        <w:tc>
          <w:tcPr>
            <w:tcW w:w="845" w:type="dxa"/>
            <w:shd w:val="clear" w:color="auto" w:fill="E5F1FF"/>
            <w:vAlign w:val="center"/>
          </w:tcPr>
          <w:p w14:paraId="0AD5D301" w14:textId="77777777" w:rsidR="00FE7AA8" w:rsidRPr="0087361C" w:rsidRDefault="00FE7AA8" w:rsidP="006633E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2018</w:t>
            </w:r>
          </w:p>
        </w:tc>
        <w:tc>
          <w:tcPr>
            <w:tcW w:w="861" w:type="dxa"/>
            <w:shd w:val="clear" w:color="auto" w:fill="E5F1FF"/>
            <w:vAlign w:val="center"/>
          </w:tcPr>
          <w:p w14:paraId="480C7453" w14:textId="77777777" w:rsidR="00FE7AA8" w:rsidRPr="0087361C" w:rsidRDefault="00FE7AA8" w:rsidP="006633E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2019</w:t>
            </w:r>
          </w:p>
        </w:tc>
        <w:tc>
          <w:tcPr>
            <w:tcW w:w="988" w:type="dxa"/>
            <w:shd w:val="clear" w:color="auto" w:fill="E5F1FF"/>
          </w:tcPr>
          <w:p w14:paraId="20D77F61" w14:textId="77777777" w:rsidR="00FE7AA8" w:rsidRPr="0087361C" w:rsidRDefault="00FE7AA8" w:rsidP="006633E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Celkem</w:t>
            </w:r>
          </w:p>
        </w:tc>
      </w:tr>
      <w:tr w:rsidR="00FE7AA8" w:rsidRPr="00560223" w14:paraId="3D32A3D0" w14:textId="77777777" w:rsidTr="00560223">
        <w:trPr>
          <w:jc w:val="center"/>
        </w:trPr>
        <w:tc>
          <w:tcPr>
            <w:tcW w:w="3211" w:type="dxa"/>
            <w:shd w:val="clear" w:color="auto" w:fill="EEECE1" w:themeFill="background2"/>
            <w:vAlign w:val="center"/>
          </w:tcPr>
          <w:p w14:paraId="218065F1" w14:textId="05189E5C" w:rsidR="00FE7AA8" w:rsidRPr="00560223" w:rsidRDefault="00FE7AA8" w:rsidP="006554B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 xml:space="preserve">Odhad nákladů dle </w:t>
            </w:r>
            <w:r w:rsidR="006554BC" w:rsidRPr="00560223">
              <w:rPr>
                <w:rFonts w:ascii="Calibri" w:eastAsia="Times New Roman" w:hAnsi="Calibri" w:cs="Calibri"/>
                <w:sz w:val="20"/>
                <w:szCs w:val="20"/>
              </w:rPr>
              <w:t>sm</w:t>
            </w: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 xml:space="preserve">louvy </w:t>
            </w:r>
            <w:r w:rsidR="006554BC" w:rsidRPr="00560223">
              <w:rPr>
                <w:rFonts w:ascii="Calibri" w:eastAsia="Times New Roman" w:hAnsi="Calibri" w:cs="Calibri"/>
                <w:sz w:val="20"/>
                <w:szCs w:val="20"/>
              </w:rPr>
              <w:t xml:space="preserve">na dodávky vozidel z roku </w:t>
            </w: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2009</w:t>
            </w:r>
          </w:p>
        </w:tc>
        <w:tc>
          <w:tcPr>
            <w:tcW w:w="768" w:type="dxa"/>
            <w:shd w:val="clear" w:color="auto" w:fill="EEECE1" w:themeFill="background2"/>
            <w:vAlign w:val="center"/>
          </w:tcPr>
          <w:p w14:paraId="55D3809A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112,0</w:t>
            </w:r>
          </w:p>
        </w:tc>
        <w:tc>
          <w:tcPr>
            <w:tcW w:w="846" w:type="dxa"/>
            <w:shd w:val="clear" w:color="auto" w:fill="EEECE1" w:themeFill="background2"/>
            <w:vAlign w:val="center"/>
          </w:tcPr>
          <w:p w14:paraId="2DF97AAC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115,4</w:t>
            </w:r>
          </w:p>
        </w:tc>
        <w:tc>
          <w:tcPr>
            <w:tcW w:w="845" w:type="dxa"/>
            <w:shd w:val="clear" w:color="auto" w:fill="EEECE1" w:themeFill="background2"/>
            <w:vAlign w:val="center"/>
          </w:tcPr>
          <w:p w14:paraId="56E3F372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118,9</w:t>
            </w:r>
          </w:p>
        </w:tc>
        <w:tc>
          <w:tcPr>
            <w:tcW w:w="846" w:type="dxa"/>
            <w:shd w:val="clear" w:color="auto" w:fill="EEECE1" w:themeFill="background2"/>
            <w:vAlign w:val="center"/>
          </w:tcPr>
          <w:p w14:paraId="01FF49E3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122,4</w:t>
            </w:r>
          </w:p>
        </w:tc>
        <w:tc>
          <w:tcPr>
            <w:tcW w:w="845" w:type="dxa"/>
            <w:shd w:val="clear" w:color="auto" w:fill="EEECE1" w:themeFill="background2"/>
            <w:vAlign w:val="center"/>
          </w:tcPr>
          <w:p w14:paraId="39C24B67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126,1</w:t>
            </w:r>
          </w:p>
        </w:tc>
        <w:tc>
          <w:tcPr>
            <w:tcW w:w="861" w:type="dxa"/>
            <w:shd w:val="clear" w:color="auto" w:fill="EEECE1" w:themeFill="background2"/>
            <w:vAlign w:val="center"/>
          </w:tcPr>
          <w:p w14:paraId="6DD38243" w14:textId="77777777" w:rsidR="00FE7AA8" w:rsidRPr="00560223" w:rsidRDefault="00FE7AA8" w:rsidP="00560223">
            <w:pPr>
              <w:ind w:right="5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129,9</w:t>
            </w:r>
          </w:p>
        </w:tc>
        <w:tc>
          <w:tcPr>
            <w:tcW w:w="988" w:type="dxa"/>
            <w:shd w:val="clear" w:color="auto" w:fill="EEECE1" w:themeFill="background2"/>
            <w:vAlign w:val="center"/>
          </w:tcPr>
          <w:p w14:paraId="66393EFF" w14:textId="77777777" w:rsidR="00FE7AA8" w:rsidRPr="00560223" w:rsidRDefault="00FE7AA8" w:rsidP="00560223">
            <w:pPr>
              <w:ind w:right="85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724,7</w:t>
            </w:r>
          </w:p>
        </w:tc>
      </w:tr>
      <w:tr w:rsidR="00FE7AA8" w:rsidRPr="00560223" w14:paraId="04BC6AF3" w14:textId="77777777" w:rsidTr="00560223">
        <w:trPr>
          <w:jc w:val="center"/>
        </w:trPr>
        <w:tc>
          <w:tcPr>
            <w:tcW w:w="3211" w:type="dxa"/>
            <w:vAlign w:val="center"/>
          </w:tcPr>
          <w:p w14:paraId="5AC340F9" w14:textId="77184C1C" w:rsidR="00FE7AA8" w:rsidRPr="00560223" w:rsidRDefault="00FE7AA8" w:rsidP="006554B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 xml:space="preserve">Rámcová smlouva </w:t>
            </w:r>
            <w:r w:rsidR="006554BC" w:rsidRPr="00560223">
              <w:rPr>
                <w:rFonts w:ascii="Calibri" w:eastAsia="Times New Roman" w:hAnsi="Calibri" w:cs="Calibri"/>
                <w:sz w:val="20"/>
                <w:szCs w:val="20"/>
              </w:rPr>
              <w:t>2014–2016</w:t>
            </w:r>
          </w:p>
        </w:tc>
        <w:tc>
          <w:tcPr>
            <w:tcW w:w="768" w:type="dxa"/>
            <w:vAlign w:val="center"/>
          </w:tcPr>
          <w:p w14:paraId="0FA06534" w14:textId="77777777" w:rsidR="00FE7AA8" w:rsidRPr="00560223" w:rsidRDefault="00FE7AA8" w:rsidP="00560223">
            <w:pPr>
              <w:ind w:right="17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46" w:type="dxa"/>
            <w:vAlign w:val="center"/>
          </w:tcPr>
          <w:p w14:paraId="17574014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114,1</w:t>
            </w:r>
          </w:p>
        </w:tc>
        <w:tc>
          <w:tcPr>
            <w:tcW w:w="845" w:type="dxa"/>
            <w:vAlign w:val="center"/>
          </w:tcPr>
          <w:p w14:paraId="0941FDFC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85,2</w:t>
            </w:r>
          </w:p>
        </w:tc>
        <w:tc>
          <w:tcPr>
            <w:tcW w:w="846" w:type="dxa"/>
            <w:vAlign w:val="center"/>
          </w:tcPr>
          <w:p w14:paraId="43B9614C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56,6</w:t>
            </w:r>
          </w:p>
        </w:tc>
        <w:tc>
          <w:tcPr>
            <w:tcW w:w="845" w:type="dxa"/>
            <w:vAlign w:val="center"/>
          </w:tcPr>
          <w:p w14:paraId="39D675A7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36,6</w:t>
            </w:r>
          </w:p>
        </w:tc>
        <w:tc>
          <w:tcPr>
            <w:tcW w:w="861" w:type="dxa"/>
            <w:vAlign w:val="center"/>
          </w:tcPr>
          <w:p w14:paraId="736C67B9" w14:textId="77777777" w:rsidR="00FE7AA8" w:rsidRPr="00560223" w:rsidRDefault="00FE7AA8" w:rsidP="00560223">
            <w:pPr>
              <w:ind w:right="227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988" w:type="dxa"/>
            <w:vAlign w:val="center"/>
          </w:tcPr>
          <w:p w14:paraId="20D41F2B" w14:textId="77777777" w:rsidR="00FE7AA8" w:rsidRPr="00560223" w:rsidRDefault="00FE7AA8" w:rsidP="00560223">
            <w:pPr>
              <w:ind w:right="85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292,5</w:t>
            </w:r>
          </w:p>
        </w:tc>
      </w:tr>
      <w:tr w:rsidR="00FE7AA8" w:rsidRPr="00560223" w14:paraId="39A8A4B6" w14:textId="77777777" w:rsidTr="00560223">
        <w:trPr>
          <w:jc w:val="center"/>
        </w:trPr>
        <w:tc>
          <w:tcPr>
            <w:tcW w:w="3211" w:type="dxa"/>
            <w:vAlign w:val="center"/>
          </w:tcPr>
          <w:p w14:paraId="4B5F93D7" w14:textId="645C7497" w:rsidR="00FE7AA8" w:rsidRPr="00560223" w:rsidRDefault="00FE7AA8" w:rsidP="006554B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 xml:space="preserve">Rámcová dohoda </w:t>
            </w:r>
            <w:r w:rsidR="006554BC" w:rsidRPr="00560223">
              <w:rPr>
                <w:rFonts w:ascii="Calibri" w:eastAsia="Times New Roman" w:hAnsi="Calibri" w:cs="Calibri"/>
                <w:sz w:val="20"/>
                <w:szCs w:val="20"/>
              </w:rPr>
              <w:t>2017–2019</w:t>
            </w:r>
          </w:p>
        </w:tc>
        <w:tc>
          <w:tcPr>
            <w:tcW w:w="768" w:type="dxa"/>
            <w:vAlign w:val="center"/>
          </w:tcPr>
          <w:p w14:paraId="2CB77559" w14:textId="77777777" w:rsidR="00FE7AA8" w:rsidRPr="00560223" w:rsidRDefault="00FE7AA8" w:rsidP="00560223">
            <w:pPr>
              <w:ind w:right="17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46" w:type="dxa"/>
            <w:vAlign w:val="center"/>
          </w:tcPr>
          <w:p w14:paraId="151DB3CC" w14:textId="77777777" w:rsidR="00FE7AA8" w:rsidRPr="00560223" w:rsidRDefault="00FE7AA8" w:rsidP="00560223">
            <w:pPr>
              <w:ind w:right="113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2F875222" w14:textId="77777777" w:rsidR="00FE7AA8" w:rsidRPr="00560223" w:rsidRDefault="00FE7AA8" w:rsidP="00560223">
            <w:pPr>
              <w:ind w:right="113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46" w:type="dxa"/>
            <w:vAlign w:val="center"/>
          </w:tcPr>
          <w:p w14:paraId="75669E97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8,6</w:t>
            </w:r>
          </w:p>
        </w:tc>
        <w:tc>
          <w:tcPr>
            <w:tcW w:w="845" w:type="dxa"/>
            <w:vAlign w:val="center"/>
          </w:tcPr>
          <w:p w14:paraId="7CDF088E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373,6</w:t>
            </w:r>
          </w:p>
        </w:tc>
        <w:tc>
          <w:tcPr>
            <w:tcW w:w="861" w:type="dxa"/>
            <w:vAlign w:val="center"/>
          </w:tcPr>
          <w:p w14:paraId="1358199D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405,4*</w:t>
            </w:r>
          </w:p>
        </w:tc>
        <w:tc>
          <w:tcPr>
            <w:tcW w:w="988" w:type="dxa"/>
            <w:vAlign w:val="center"/>
          </w:tcPr>
          <w:p w14:paraId="35DB5069" w14:textId="77777777" w:rsidR="00FE7AA8" w:rsidRPr="00560223" w:rsidRDefault="00FE7AA8" w:rsidP="0056022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223">
              <w:rPr>
                <w:rFonts w:ascii="Calibri" w:eastAsia="Times New Roman" w:hAnsi="Calibri" w:cs="Calibri"/>
                <w:sz w:val="20"/>
                <w:szCs w:val="20"/>
              </w:rPr>
              <w:t>787,6*</w:t>
            </w:r>
          </w:p>
        </w:tc>
      </w:tr>
      <w:tr w:rsidR="00FE7AA8" w:rsidRPr="00560223" w14:paraId="548CBCEB" w14:textId="77777777" w:rsidTr="00560223">
        <w:trPr>
          <w:jc w:val="center"/>
        </w:trPr>
        <w:tc>
          <w:tcPr>
            <w:tcW w:w="3211" w:type="dxa"/>
            <w:shd w:val="clear" w:color="auto" w:fill="F2C6C9"/>
            <w:vAlign w:val="center"/>
          </w:tcPr>
          <w:p w14:paraId="15C3A86C" w14:textId="48FAEB83" w:rsidR="00FE7AA8" w:rsidRPr="0087361C" w:rsidRDefault="00FE7AA8" w:rsidP="006554BC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Čerpání </w:t>
            </w:r>
            <w:r w:rsidR="006554BC"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768" w:type="dxa"/>
            <w:shd w:val="clear" w:color="auto" w:fill="F2C6C9"/>
            <w:vAlign w:val="center"/>
          </w:tcPr>
          <w:p w14:paraId="0E20E398" w14:textId="77777777" w:rsidR="00FE7AA8" w:rsidRPr="0087361C" w:rsidRDefault="00FE7AA8" w:rsidP="00560223">
            <w:pPr>
              <w:ind w:right="170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846" w:type="dxa"/>
            <w:shd w:val="clear" w:color="auto" w:fill="F2C6C9"/>
            <w:vAlign w:val="center"/>
          </w:tcPr>
          <w:p w14:paraId="1EC80614" w14:textId="77777777" w:rsidR="00FE7AA8" w:rsidRPr="0087361C" w:rsidRDefault="00FE7AA8" w:rsidP="00560223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114,1</w:t>
            </w:r>
          </w:p>
        </w:tc>
        <w:tc>
          <w:tcPr>
            <w:tcW w:w="845" w:type="dxa"/>
            <w:shd w:val="clear" w:color="auto" w:fill="F2C6C9"/>
            <w:vAlign w:val="center"/>
          </w:tcPr>
          <w:p w14:paraId="7A9DE828" w14:textId="77777777" w:rsidR="00FE7AA8" w:rsidRPr="0087361C" w:rsidRDefault="00FE7AA8" w:rsidP="00560223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85,2</w:t>
            </w:r>
          </w:p>
        </w:tc>
        <w:tc>
          <w:tcPr>
            <w:tcW w:w="846" w:type="dxa"/>
            <w:shd w:val="clear" w:color="auto" w:fill="F2C6C9"/>
            <w:vAlign w:val="center"/>
          </w:tcPr>
          <w:p w14:paraId="16E03DE5" w14:textId="77777777" w:rsidR="00FE7AA8" w:rsidRPr="0087361C" w:rsidRDefault="00FE7AA8" w:rsidP="00560223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65,2</w:t>
            </w:r>
          </w:p>
        </w:tc>
        <w:tc>
          <w:tcPr>
            <w:tcW w:w="845" w:type="dxa"/>
            <w:shd w:val="clear" w:color="auto" w:fill="F2C6C9"/>
            <w:vAlign w:val="center"/>
          </w:tcPr>
          <w:p w14:paraId="33B33B4E" w14:textId="77777777" w:rsidR="00FE7AA8" w:rsidRPr="0087361C" w:rsidRDefault="00FE7AA8" w:rsidP="00560223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410,2</w:t>
            </w:r>
          </w:p>
        </w:tc>
        <w:tc>
          <w:tcPr>
            <w:tcW w:w="861" w:type="dxa"/>
            <w:shd w:val="clear" w:color="auto" w:fill="F2C6C9"/>
            <w:vAlign w:val="center"/>
          </w:tcPr>
          <w:p w14:paraId="7DF6F341" w14:textId="77777777" w:rsidR="00FE7AA8" w:rsidRPr="0087361C" w:rsidRDefault="00FE7AA8" w:rsidP="00560223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405,4*</w:t>
            </w:r>
          </w:p>
        </w:tc>
        <w:tc>
          <w:tcPr>
            <w:tcW w:w="988" w:type="dxa"/>
            <w:shd w:val="clear" w:color="auto" w:fill="F2C6C9"/>
            <w:vAlign w:val="center"/>
          </w:tcPr>
          <w:p w14:paraId="05DEEF3D" w14:textId="77777777" w:rsidR="00FE7AA8" w:rsidRPr="0087361C" w:rsidRDefault="00FE7AA8" w:rsidP="00560223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eastAsia="Times New Roman" w:hAnsi="Calibri" w:cs="Calibri"/>
                <w:b/>
                <w:sz w:val="20"/>
                <w:szCs w:val="20"/>
              </w:rPr>
              <w:t>1 080,1*</w:t>
            </w:r>
          </w:p>
        </w:tc>
      </w:tr>
    </w:tbl>
    <w:p w14:paraId="36386155" w14:textId="77777777" w:rsidR="00FE7AA8" w:rsidRDefault="00FE7AA8" w:rsidP="0087361C">
      <w:p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324EA"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MO.</w:t>
      </w:r>
    </w:p>
    <w:p w14:paraId="2BFACB2D" w14:textId="7402E3C6" w:rsidR="00FE7AA8" w:rsidRPr="00A52888" w:rsidRDefault="006554BC" w:rsidP="00FE7AA8">
      <w:pPr>
        <w:jc w:val="both"/>
        <w:rPr>
          <w:rFonts w:asciiTheme="minorHAnsi" w:hAnsiTheme="minorHAnsi" w:cstheme="minorHAnsi"/>
          <w:sz w:val="20"/>
          <w:szCs w:val="20"/>
        </w:rPr>
      </w:pPr>
      <w:r w:rsidRPr="00C324EA">
        <w:rPr>
          <w:rFonts w:asciiTheme="minorHAnsi" w:hAnsiTheme="minorHAnsi" w:cstheme="minorHAnsi"/>
          <w:b/>
          <w:sz w:val="20"/>
          <w:szCs w:val="20"/>
        </w:rPr>
        <w:t>Pozn</w:t>
      </w:r>
      <w:r w:rsidR="00B46663">
        <w:rPr>
          <w:rFonts w:asciiTheme="minorHAnsi" w:hAnsiTheme="minorHAnsi" w:cstheme="minorHAnsi"/>
          <w:b/>
          <w:sz w:val="20"/>
          <w:szCs w:val="20"/>
        </w:rPr>
        <w:t>.</w:t>
      </w:r>
      <w:r w:rsidRPr="00C324EA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*</w:t>
      </w:r>
      <w:r w:rsidR="00FE7AA8" w:rsidRPr="00A52888">
        <w:rPr>
          <w:rFonts w:asciiTheme="minorHAnsi" w:hAnsiTheme="minorHAnsi" w:cstheme="minorHAnsi"/>
          <w:sz w:val="20"/>
          <w:szCs w:val="20"/>
        </w:rPr>
        <w:t>Čerpání v roce 2019 je uvedeno od 1. 1. 2019 do 31. 10. 2019.</w:t>
      </w:r>
    </w:p>
    <w:p w14:paraId="0F1122AD" w14:textId="0B82023D" w:rsidR="008A4EF6" w:rsidRDefault="008A4EF6">
      <w:pPr>
        <w:rPr>
          <w:rFonts w:asciiTheme="minorHAnsi" w:hAnsiTheme="minorHAnsi" w:cstheme="minorHAnsi"/>
          <w:b/>
          <w:bCs/>
          <w:iCs/>
        </w:rPr>
      </w:pPr>
    </w:p>
    <w:p w14:paraId="4AD1301A" w14:textId="346C82F2" w:rsidR="008F6AF6" w:rsidRDefault="008F6AF6" w:rsidP="00854EE1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12</w:t>
      </w:r>
      <w:r w:rsidRPr="00C85BC7">
        <w:rPr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C8053B" w:rsidRPr="00C8053B">
        <w:rPr>
          <w:rFonts w:asciiTheme="minorHAnsi" w:hAnsiTheme="minorHAnsi" w:cstheme="minorHAnsi"/>
          <w:i w:val="0"/>
          <w:sz w:val="24"/>
          <w:szCs w:val="24"/>
        </w:rPr>
        <w:t>Navýšení ceny pořízení kolových obrněných vozidel</w:t>
      </w:r>
      <w:r w:rsidR="00650454">
        <w:rPr>
          <w:rFonts w:asciiTheme="minorHAnsi" w:hAnsiTheme="minorHAnsi" w:cstheme="minorHAnsi"/>
          <w:i w:val="0"/>
          <w:sz w:val="24"/>
          <w:szCs w:val="24"/>
        </w:rPr>
        <w:t xml:space="preserve"> velitelsko-</w:t>
      </w:r>
      <w:r w:rsidR="00C8053B" w:rsidRPr="00C8053B">
        <w:rPr>
          <w:rFonts w:asciiTheme="minorHAnsi" w:hAnsiTheme="minorHAnsi" w:cstheme="minorHAnsi"/>
          <w:i w:val="0"/>
          <w:sz w:val="24"/>
          <w:szCs w:val="24"/>
        </w:rPr>
        <w:t>štábních a spojovacích</w:t>
      </w:r>
    </w:p>
    <w:p w14:paraId="1146C245" w14:textId="77777777" w:rsidR="008573F0" w:rsidRDefault="008573F0" w:rsidP="00854EE1">
      <w:pPr>
        <w:keepNext/>
        <w:rPr>
          <w:rFonts w:asciiTheme="minorHAnsi" w:hAnsiTheme="minorHAnsi" w:cstheme="minorHAnsi"/>
          <w:b/>
        </w:rPr>
      </w:pPr>
    </w:p>
    <w:p w14:paraId="65EB8FCA" w14:textId="4F12E52B" w:rsidR="003A1B76" w:rsidRPr="003A1B76" w:rsidRDefault="0097391E" w:rsidP="0097391E">
      <w:pPr>
        <w:jc w:val="both"/>
        <w:rPr>
          <w:rFonts w:asciiTheme="minorHAnsi" w:hAnsiTheme="minorHAnsi" w:cstheme="minorHAnsi"/>
        </w:rPr>
      </w:pPr>
      <w:r w:rsidRPr="003A1B76">
        <w:rPr>
          <w:rFonts w:asciiTheme="minorHAnsi" w:hAnsiTheme="minorHAnsi" w:cstheme="minorHAnsi"/>
        </w:rPr>
        <w:t>Specifikaci nabývaného majetku zpracovalo MO začátkem roku 2015 s předpokladem plnění veřejné zakázky v letech 2017</w:t>
      </w:r>
      <w:r w:rsidR="00431764">
        <w:rPr>
          <w:rFonts w:asciiTheme="minorHAnsi" w:hAnsiTheme="minorHAnsi" w:cstheme="minorHAnsi"/>
        </w:rPr>
        <w:t>–</w:t>
      </w:r>
      <w:r w:rsidR="003A1B76" w:rsidRPr="003A1B76">
        <w:rPr>
          <w:rFonts w:asciiTheme="minorHAnsi" w:hAnsiTheme="minorHAnsi" w:cstheme="minorHAnsi"/>
        </w:rPr>
        <w:t>2</w:t>
      </w:r>
      <w:r w:rsidRPr="003A1B76">
        <w:rPr>
          <w:rFonts w:asciiTheme="minorHAnsi" w:hAnsiTheme="minorHAnsi" w:cstheme="minorHAnsi"/>
        </w:rPr>
        <w:t>021 a s předpokládanou h</w:t>
      </w:r>
      <w:r w:rsidR="00650454">
        <w:rPr>
          <w:rFonts w:asciiTheme="minorHAnsi" w:hAnsiTheme="minorHAnsi" w:cstheme="minorHAnsi"/>
        </w:rPr>
        <w:t>odnotou ve výši 1 274,1 mil. Kč</w:t>
      </w:r>
      <w:r w:rsidRPr="003A1B76">
        <w:rPr>
          <w:rFonts w:asciiTheme="minorHAnsi" w:hAnsiTheme="minorHAnsi" w:cstheme="minorHAnsi"/>
        </w:rPr>
        <w:t>.</w:t>
      </w:r>
      <w:r w:rsidR="00650454">
        <w:rPr>
          <w:rStyle w:val="Znakapoznpodarou"/>
          <w:rFonts w:asciiTheme="minorHAnsi" w:eastAsia="Calibri" w:hAnsiTheme="minorHAnsi" w:cstheme="minorHAnsi"/>
        </w:rPr>
        <w:footnoteReference w:id="30"/>
      </w:r>
      <w:r w:rsidRPr="003A1B76">
        <w:rPr>
          <w:rFonts w:asciiTheme="minorHAnsi" w:hAnsiTheme="minorHAnsi" w:cstheme="minorHAnsi"/>
        </w:rPr>
        <w:t xml:space="preserve"> </w:t>
      </w:r>
      <w:r w:rsidR="003A1B76" w:rsidRPr="003A1B76">
        <w:rPr>
          <w:rFonts w:asciiTheme="minorHAnsi" w:hAnsiTheme="minorHAnsi" w:cstheme="minorHAnsi"/>
        </w:rPr>
        <w:t>V</w:t>
      </w:r>
      <w:r w:rsidRPr="003A1B76">
        <w:rPr>
          <w:rFonts w:asciiTheme="minorHAnsi" w:hAnsiTheme="minorHAnsi" w:cstheme="minorHAnsi"/>
        </w:rPr>
        <w:t>eřejnou zakázku zadalo MO s využitím obecné výjimky podl</w:t>
      </w:r>
      <w:r w:rsidR="00012F7E">
        <w:rPr>
          <w:rFonts w:asciiTheme="minorHAnsi" w:hAnsiTheme="minorHAnsi" w:cstheme="minorHAnsi"/>
        </w:rPr>
        <w:t>e ustanovení § 18 odst. 1 písm. </w:t>
      </w:r>
      <w:r w:rsidRPr="003A1B76">
        <w:rPr>
          <w:rFonts w:asciiTheme="minorHAnsi" w:hAnsiTheme="minorHAnsi" w:cstheme="minorHAnsi"/>
        </w:rPr>
        <w:t>b) zákona č. 137/2006 Sb.</w:t>
      </w:r>
      <w:r w:rsidR="003A1B76" w:rsidRPr="003A1B76">
        <w:rPr>
          <w:rFonts w:asciiTheme="minorHAnsi" w:hAnsiTheme="minorHAnsi" w:cstheme="minorHAnsi"/>
        </w:rPr>
        <w:t xml:space="preserve"> </w:t>
      </w:r>
      <w:r w:rsidR="006554BC">
        <w:rPr>
          <w:rFonts w:asciiTheme="minorHAnsi" w:hAnsiTheme="minorHAnsi" w:cstheme="minorHAnsi"/>
        </w:rPr>
        <w:t xml:space="preserve">Jednání s uchazečem, </w:t>
      </w:r>
      <w:r w:rsidRPr="003A1B76">
        <w:rPr>
          <w:rFonts w:asciiTheme="minorHAnsi" w:hAnsiTheme="minorHAnsi" w:cstheme="minorHAnsi"/>
        </w:rPr>
        <w:t>kter</w:t>
      </w:r>
      <w:r w:rsidR="006554BC">
        <w:rPr>
          <w:rFonts w:asciiTheme="minorHAnsi" w:hAnsiTheme="minorHAnsi" w:cstheme="minorHAnsi"/>
        </w:rPr>
        <w:t>ého</w:t>
      </w:r>
      <w:r w:rsidRPr="003A1B76">
        <w:rPr>
          <w:rFonts w:asciiTheme="minorHAnsi" w:hAnsiTheme="minorHAnsi" w:cstheme="minorHAnsi"/>
        </w:rPr>
        <w:t xml:space="preserve"> doporučil výrobce vozidel</w:t>
      </w:r>
      <w:r w:rsidR="00650454">
        <w:rPr>
          <w:rFonts w:asciiTheme="minorHAnsi" w:hAnsiTheme="minorHAnsi" w:cstheme="minorHAnsi"/>
        </w:rPr>
        <w:t xml:space="preserve"> KBVP a </w:t>
      </w:r>
      <w:r w:rsidR="003A1B76" w:rsidRPr="003A1B76">
        <w:rPr>
          <w:rFonts w:asciiTheme="minorHAnsi" w:hAnsiTheme="minorHAnsi" w:cstheme="minorHAnsi"/>
        </w:rPr>
        <w:t>KOT</w:t>
      </w:r>
      <w:r w:rsidR="006554BC">
        <w:rPr>
          <w:rFonts w:asciiTheme="minorHAnsi" w:hAnsiTheme="minorHAnsi" w:cstheme="minorHAnsi"/>
        </w:rPr>
        <w:t>,</w:t>
      </w:r>
      <w:r w:rsidRPr="003A1B76">
        <w:rPr>
          <w:rFonts w:asciiTheme="minorHAnsi" w:hAnsiTheme="minorHAnsi" w:cstheme="minorHAnsi"/>
        </w:rPr>
        <w:t xml:space="preserve"> </w:t>
      </w:r>
      <w:r w:rsidR="006554BC">
        <w:rPr>
          <w:rFonts w:asciiTheme="minorHAnsi" w:hAnsiTheme="minorHAnsi" w:cstheme="minorHAnsi"/>
        </w:rPr>
        <w:t>probíhala od října 2015 do června 2016</w:t>
      </w:r>
      <w:r w:rsidRPr="003A1B76">
        <w:rPr>
          <w:rFonts w:asciiTheme="minorHAnsi" w:hAnsiTheme="minorHAnsi" w:cstheme="minorHAnsi"/>
        </w:rPr>
        <w:t xml:space="preserve">. </w:t>
      </w:r>
    </w:p>
    <w:p w14:paraId="5B84BF3F" w14:textId="77777777" w:rsidR="003A1B76" w:rsidRDefault="003A1B76" w:rsidP="0097391E">
      <w:pPr>
        <w:jc w:val="both"/>
        <w:rPr>
          <w:rFonts w:asciiTheme="minorHAnsi" w:hAnsiTheme="minorHAnsi" w:cstheme="minorHAnsi"/>
          <w:b/>
        </w:rPr>
      </w:pPr>
    </w:p>
    <w:p w14:paraId="79CDFB22" w14:textId="2E400373" w:rsidR="006554BC" w:rsidRPr="00E67C78" w:rsidRDefault="003A1B76" w:rsidP="0097391E">
      <w:pPr>
        <w:jc w:val="both"/>
        <w:rPr>
          <w:rFonts w:asciiTheme="minorHAnsi" w:eastAsia="Calibri" w:hAnsiTheme="minorHAnsi" w:cstheme="minorHAnsi"/>
        </w:rPr>
      </w:pPr>
      <w:r w:rsidRPr="003A1B76">
        <w:rPr>
          <w:rFonts w:asciiTheme="minorHAnsi" w:hAnsiTheme="minorHAnsi" w:cstheme="minorHAnsi"/>
        </w:rPr>
        <w:t xml:space="preserve">V červenci </w:t>
      </w:r>
      <w:r w:rsidR="0097391E" w:rsidRPr="003A1B76">
        <w:rPr>
          <w:rFonts w:asciiTheme="minorHAnsi" w:hAnsiTheme="minorHAnsi" w:cstheme="minorHAnsi"/>
        </w:rPr>
        <w:t>2016 předložil</w:t>
      </w:r>
      <w:r w:rsidR="006554BC">
        <w:rPr>
          <w:rFonts w:asciiTheme="minorHAnsi" w:hAnsiTheme="minorHAnsi" w:cstheme="minorHAnsi"/>
        </w:rPr>
        <w:t xml:space="preserve"> tento</w:t>
      </w:r>
      <w:r w:rsidR="0097391E" w:rsidRPr="003A1B76">
        <w:rPr>
          <w:rFonts w:asciiTheme="minorHAnsi" w:hAnsiTheme="minorHAnsi" w:cstheme="minorHAnsi"/>
        </w:rPr>
        <w:t xml:space="preserve"> uchazeč nabídku s cenou </w:t>
      </w:r>
      <w:r w:rsidR="0097391E" w:rsidRPr="003A1B76">
        <w:rPr>
          <w:rFonts w:asciiTheme="minorHAnsi" w:eastAsia="Calibri" w:hAnsiTheme="minorHAnsi" w:cstheme="minorHAnsi"/>
        </w:rPr>
        <w:t>ve výši 2</w:t>
      </w:r>
      <w:r w:rsidR="006554BC">
        <w:rPr>
          <w:rFonts w:asciiTheme="minorHAnsi" w:eastAsia="Calibri" w:hAnsiTheme="minorHAnsi" w:cstheme="minorHAnsi"/>
        </w:rPr>
        <w:t> </w:t>
      </w:r>
      <w:r w:rsidR="0097391E" w:rsidRPr="003A1B76">
        <w:rPr>
          <w:rFonts w:asciiTheme="minorHAnsi" w:eastAsia="Calibri" w:hAnsiTheme="minorHAnsi" w:cstheme="minorHAnsi"/>
        </w:rPr>
        <w:t>243</w:t>
      </w:r>
      <w:r w:rsidR="006554BC">
        <w:rPr>
          <w:rFonts w:asciiTheme="minorHAnsi" w:eastAsia="Calibri" w:hAnsiTheme="minorHAnsi" w:cstheme="minorHAnsi"/>
        </w:rPr>
        <w:t>,</w:t>
      </w:r>
      <w:r w:rsidR="0097391E" w:rsidRPr="003A1B76">
        <w:rPr>
          <w:rFonts w:asciiTheme="minorHAnsi" w:eastAsia="Calibri" w:hAnsiTheme="minorHAnsi" w:cstheme="minorHAnsi"/>
        </w:rPr>
        <w:t>8</w:t>
      </w:r>
      <w:r w:rsidR="006554BC">
        <w:rPr>
          <w:rFonts w:asciiTheme="minorHAnsi" w:eastAsia="Calibri" w:hAnsiTheme="minorHAnsi" w:cstheme="minorHAnsi"/>
        </w:rPr>
        <w:t xml:space="preserve"> mil.</w:t>
      </w:r>
      <w:r w:rsidR="0097391E" w:rsidRPr="003A1B76">
        <w:rPr>
          <w:rFonts w:asciiTheme="minorHAnsi" w:eastAsia="Calibri" w:hAnsiTheme="minorHAnsi" w:cstheme="minorHAnsi"/>
        </w:rPr>
        <w:t xml:space="preserve"> Kč, což byla cena cca o 76 % vyšší</w:t>
      </w:r>
      <w:r w:rsidRPr="003A1B76">
        <w:rPr>
          <w:rFonts w:asciiTheme="minorHAnsi" w:eastAsia="Calibri" w:hAnsiTheme="minorHAnsi" w:cstheme="minorHAnsi"/>
        </w:rPr>
        <w:t>,</w:t>
      </w:r>
      <w:r w:rsidR="0097391E" w:rsidRPr="003A1B76">
        <w:rPr>
          <w:rFonts w:asciiTheme="minorHAnsi" w:eastAsia="Calibri" w:hAnsiTheme="minorHAnsi" w:cstheme="minorHAnsi"/>
        </w:rPr>
        <w:t xml:space="preserve"> než MO předpokládalo </w:t>
      </w:r>
      <w:r w:rsidR="00F85727">
        <w:rPr>
          <w:rFonts w:asciiTheme="minorHAnsi" w:eastAsia="Calibri" w:hAnsiTheme="minorHAnsi" w:cstheme="minorHAnsi"/>
        </w:rPr>
        <w:t>po</w:t>
      </w:r>
      <w:r w:rsidR="0097391E" w:rsidRPr="003A1B76">
        <w:rPr>
          <w:rFonts w:asciiTheme="minorHAnsi" w:eastAsia="Calibri" w:hAnsiTheme="minorHAnsi" w:cstheme="minorHAnsi"/>
        </w:rPr>
        <w:t>dle dokumentů</w:t>
      </w:r>
      <w:r w:rsidR="00F85727">
        <w:rPr>
          <w:rFonts w:asciiTheme="minorHAnsi" w:eastAsia="Calibri" w:hAnsiTheme="minorHAnsi" w:cstheme="minorHAnsi"/>
        </w:rPr>
        <w:t xml:space="preserve"> vytvořených v letech 2013–2015,</w:t>
      </w:r>
      <w:r w:rsidR="0097391E" w:rsidRPr="003A1B76">
        <w:rPr>
          <w:rFonts w:asciiTheme="minorHAnsi" w:eastAsia="Calibri" w:hAnsiTheme="minorHAnsi" w:cstheme="minorHAnsi"/>
        </w:rPr>
        <w:t xml:space="preserve"> j</w:t>
      </w:r>
      <w:r w:rsidR="006554BC">
        <w:rPr>
          <w:rFonts w:asciiTheme="minorHAnsi" w:eastAsia="Calibri" w:hAnsiTheme="minorHAnsi" w:cstheme="minorHAnsi"/>
        </w:rPr>
        <w:t xml:space="preserve">ako </w:t>
      </w:r>
      <w:r w:rsidR="00F85727">
        <w:rPr>
          <w:rFonts w:asciiTheme="minorHAnsi" w:eastAsia="Calibri" w:hAnsiTheme="minorHAnsi" w:cstheme="minorHAnsi"/>
        </w:rPr>
        <w:t xml:space="preserve">například </w:t>
      </w:r>
      <w:r w:rsidR="00E36189">
        <w:rPr>
          <w:rFonts w:asciiTheme="minorHAnsi" w:eastAsia="Calibri" w:hAnsiTheme="minorHAnsi" w:cstheme="minorHAnsi"/>
        </w:rPr>
        <w:t xml:space="preserve">studie proveditelnosti, </w:t>
      </w:r>
      <w:r w:rsidR="006554BC">
        <w:rPr>
          <w:rFonts w:asciiTheme="minorHAnsi" w:eastAsia="Calibri" w:hAnsiTheme="minorHAnsi" w:cstheme="minorHAnsi"/>
        </w:rPr>
        <w:t>dokumentace programu, i</w:t>
      </w:r>
      <w:r w:rsidR="0097391E" w:rsidRPr="003A1B76">
        <w:rPr>
          <w:rFonts w:asciiTheme="minorHAnsi" w:eastAsia="Calibri" w:hAnsiTheme="minorHAnsi" w:cstheme="minorHAnsi"/>
        </w:rPr>
        <w:t xml:space="preserve">nvestiční záměr </w:t>
      </w:r>
      <w:r w:rsidR="00EB391D">
        <w:rPr>
          <w:rFonts w:asciiTheme="minorHAnsi" w:eastAsia="Calibri" w:hAnsiTheme="minorHAnsi" w:cstheme="minorHAnsi"/>
        </w:rPr>
        <w:t xml:space="preserve">akce </w:t>
      </w:r>
      <w:r w:rsidR="0097391E" w:rsidRPr="003A1B76">
        <w:rPr>
          <w:rFonts w:asciiTheme="minorHAnsi" w:eastAsia="Calibri" w:hAnsiTheme="minorHAnsi" w:cstheme="minorHAnsi"/>
        </w:rPr>
        <w:t>nebo</w:t>
      </w:r>
      <w:r w:rsidR="00EB391D">
        <w:rPr>
          <w:rFonts w:asciiTheme="minorHAnsi" w:eastAsia="Calibri" w:hAnsiTheme="minorHAnsi" w:cstheme="minorHAnsi"/>
        </w:rPr>
        <w:t xml:space="preserve"> dokument</w:t>
      </w:r>
      <w:r w:rsidR="006554BC">
        <w:rPr>
          <w:rFonts w:asciiTheme="minorHAnsi" w:eastAsia="Calibri" w:hAnsiTheme="minorHAnsi" w:cstheme="minorHAnsi"/>
        </w:rPr>
        <w:t xml:space="preserve"> </w:t>
      </w:r>
      <w:r w:rsidR="00F85727">
        <w:rPr>
          <w:rFonts w:asciiTheme="minorHAnsi" w:eastAsia="Calibri" w:hAnsiTheme="minorHAnsi" w:cstheme="minorHAnsi"/>
        </w:rPr>
        <w:t xml:space="preserve">o registraci akce v informačním systému </w:t>
      </w:r>
      <w:r w:rsidR="00F85727" w:rsidRPr="00E84EE0">
        <w:rPr>
          <w:rFonts w:asciiTheme="minorHAnsi" w:eastAsia="Calibri" w:hAnsiTheme="minorHAnsi" w:cstheme="minorHAnsi"/>
          <w:i/>
        </w:rPr>
        <w:t>Správa majetku ve vlastnictví státu</w:t>
      </w:r>
      <w:r w:rsidR="00F85727" w:rsidRPr="00E67C78">
        <w:rPr>
          <w:rFonts w:asciiTheme="minorHAnsi" w:eastAsia="Calibri" w:hAnsiTheme="minorHAnsi" w:cstheme="minorHAnsi"/>
        </w:rPr>
        <w:t>.</w:t>
      </w:r>
    </w:p>
    <w:p w14:paraId="59480B91" w14:textId="77777777" w:rsidR="006554BC" w:rsidRPr="00E67C78" w:rsidRDefault="006554BC" w:rsidP="0097391E">
      <w:pPr>
        <w:jc w:val="both"/>
        <w:rPr>
          <w:rFonts w:asciiTheme="minorHAnsi" w:eastAsia="Calibri" w:hAnsiTheme="minorHAnsi" w:cstheme="minorHAnsi"/>
        </w:rPr>
      </w:pPr>
    </w:p>
    <w:p w14:paraId="7436160E" w14:textId="782EF8B3" w:rsidR="0097391E" w:rsidRDefault="0097391E" w:rsidP="0097391E">
      <w:pPr>
        <w:jc w:val="both"/>
        <w:rPr>
          <w:rFonts w:asciiTheme="minorHAnsi" w:eastAsia="Calibri" w:hAnsiTheme="minorHAnsi" w:cstheme="minorHAnsi"/>
        </w:rPr>
      </w:pPr>
      <w:r w:rsidRPr="003A1B76">
        <w:rPr>
          <w:rFonts w:asciiTheme="minorHAnsi" w:eastAsia="Calibri" w:hAnsiTheme="minorHAnsi" w:cstheme="minorHAnsi"/>
        </w:rPr>
        <w:t>V průběhu dalších jednání s</w:t>
      </w:r>
      <w:r w:rsidR="003A1B76" w:rsidRPr="003A1B76">
        <w:rPr>
          <w:rFonts w:asciiTheme="minorHAnsi" w:eastAsia="Calibri" w:hAnsiTheme="minorHAnsi" w:cstheme="minorHAnsi"/>
        </w:rPr>
        <w:t xml:space="preserve"> uchazečem </w:t>
      </w:r>
      <w:r w:rsidRPr="003A1B76">
        <w:rPr>
          <w:rFonts w:asciiTheme="minorHAnsi" w:eastAsia="Calibri" w:hAnsiTheme="minorHAnsi" w:cstheme="minorHAnsi"/>
        </w:rPr>
        <w:t xml:space="preserve">požadovalo MO doplnit předloženou nabídku například o hodnoty </w:t>
      </w:r>
      <w:r w:rsidR="003A1B76" w:rsidRPr="003A1B76">
        <w:rPr>
          <w:rFonts w:asciiTheme="minorHAnsi" w:eastAsia="Calibri" w:hAnsiTheme="minorHAnsi" w:cstheme="minorHAnsi"/>
        </w:rPr>
        <w:t>pod</w:t>
      </w:r>
      <w:r w:rsidRPr="003A1B76">
        <w:rPr>
          <w:rFonts w:asciiTheme="minorHAnsi" w:eastAsia="Calibri" w:hAnsiTheme="minorHAnsi" w:cstheme="minorHAnsi"/>
        </w:rPr>
        <w:t>dodávek nebo vysvětlení nákladů na rizika, kooperaci, výrobní režii, náklady spojené s přesunem části prací z Rakouska do ČR apod. Uchazeč některé z nákladů vyčíslil a snížil nabídkovou cenu o 174</w:t>
      </w:r>
      <w:r w:rsidR="00C208F3">
        <w:rPr>
          <w:rFonts w:asciiTheme="minorHAnsi" w:eastAsia="Calibri" w:hAnsiTheme="minorHAnsi" w:cstheme="minorHAnsi"/>
        </w:rPr>
        <w:t>,</w:t>
      </w:r>
      <w:r w:rsidRPr="003A1B76">
        <w:rPr>
          <w:rFonts w:asciiTheme="minorHAnsi" w:eastAsia="Calibri" w:hAnsiTheme="minorHAnsi" w:cstheme="minorHAnsi"/>
        </w:rPr>
        <w:t>4</w:t>
      </w:r>
      <w:r w:rsidR="00C208F3">
        <w:rPr>
          <w:rFonts w:asciiTheme="minorHAnsi" w:eastAsia="Calibri" w:hAnsiTheme="minorHAnsi" w:cstheme="minorHAnsi"/>
        </w:rPr>
        <w:t xml:space="preserve"> mil. </w:t>
      </w:r>
      <w:r w:rsidRPr="003A1B76">
        <w:rPr>
          <w:rFonts w:asciiTheme="minorHAnsi" w:eastAsia="Calibri" w:hAnsiTheme="minorHAnsi" w:cstheme="minorHAnsi"/>
        </w:rPr>
        <w:t>Kč na 2</w:t>
      </w:r>
      <w:r w:rsidR="00C208F3">
        <w:rPr>
          <w:rFonts w:asciiTheme="minorHAnsi" w:eastAsia="Calibri" w:hAnsiTheme="minorHAnsi" w:cstheme="minorHAnsi"/>
        </w:rPr>
        <w:t> </w:t>
      </w:r>
      <w:r w:rsidRPr="003A1B76">
        <w:rPr>
          <w:rFonts w:asciiTheme="minorHAnsi" w:eastAsia="Calibri" w:hAnsiTheme="minorHAnsi" w:cstheme="minorHAnsi"/>
        </w:rPr>
        <w:t>069</w:t>
      </w:r>
      <w:r w:rsidR="00C208F3">
        <w:rPr>
          <w:rFonts w:asciiTheme="minorHAnsi" w:eastAsia="Calibri" w:hAnsiTheme="minorHAnsi" w:cstheme="minorHAnsi"/>
        </w:rPr>
        <w:t>,4 mil.</w:t>
      </w:r>
      <w:r w:rsidRPr="003A1B76">
        <w:rPr>
          <w:rFonts w:asciiTheme="minorHAnsi" w:eastAsia="Calibri" w:hAnsiTheme="minorHAnsi" w:cstheme="minorHAnsi"/>
        </w:rPr>
        <w:t xml:space="preserve"> K</w:t>
      </w:r>
      <w:r w:rsidR="00C208F3">
        <w:rPr>
          <w:rFonts w:asciiTheme="minorHAnsi" w:eastAsia="Calibri" w:hAnsiTheme="minorHAnsi" w:cstheme="minorHAnsi"/>
        </w:rPr>
        <w:t>č</w:t>
      </w:r>
      <w:r w:rsidRPr="003A1B76">
        <w:rPr>
          <w:rFonts w:asciiTheme="minorHAnsi" w:eastAsia="Calibri" w:hAnsiTheme="minorHAnsi" w:cstheme="minorHAnsi"/>
        </w:rPr>
        <w:t>.</w:t>
      </w:r>
      <w:r w:rsidRPr="003A1B76">
        <w:rPr>
          <w:rFonts w:asciiTheme="minorHAnsi" w:hAnsiTheme="minorHAnsi" w:cstheme="minorHAnsi"/>
        </w:rPr>
        <w:t xml:space="preserve"> </w:t>
      </w:r>
      <w:r w:rsidR="00A65354">
        <w:rPr>
          <w:rFonts w:asciiTheme="minorHAnsi" w:hAnsiTheme="minorHAnsi" w:cstheme="minorHAnsi"/>
        </w:rPr>
        <w:t xml:space="preserve">MO </w:t>
      </w:r>
      <w:r w:rsidR="00E36189">
        <w:rPr>
          <w:rFonts w:asciiTheme="minorHAnsi" w:hAnsiTheme="minorHAnsi" w:cstheme="minorHAnsi"/>
        </w:rPr>
        <w:t xml:space="preserve">na nabídkovou cenu </w:t>
      </w:r>
      <w:r w:rsidR="00A65354">
        <w:rPr>
          <w:rFonts w:asciiTheme="minorHAnsi" w:hAnsiTheme="minorHAnsi" w:cstheme="minorHAnsi"/>
        </w:rPr>
        <w:t>přistoupilo.</w:t>
      </w:r>
      <w:r w:rsidRPr="003A1B76">
        <w:rPr>
          <w:rFonts w:asciiTheme="minorHAnsi" w:eastAsia="Calibri" w:hAnsiTheme="minorHAnsi" w:cstheme="minorHAnsi"/>
        </w:rPr>
        <w:t xml:space="preserve"> Ze zápisů z</w:t>
      </w:r>
      <w:r w:rsidR="00C208F3">
        <w:rPr>
          <w:rFonts w:asciiTheme="minorHAnsi" w:eastAsia="Calibri" w:hAnsiTheme="minorHAnsi" w:cstheme="minorHAnsi"/>
        </w:rPr>
        <w:t> </w:t>
      </w:r>
      <w:r w:rsidRPr="003A1B76">
        <w:rPr>
          <w:rFonts w:asciiTheme="minorHAnsi" w:eastAsia="Calibri" w:hAnsiTheme="minorHAnsi" w:cstheme="minorHAnsi"/>
        </w:rPr>
        <w:t>jednání</w:t>
      </w:r>
      <w:r w:rsidR="00C208F3">
        <w:rPr>
          <w:rFonts w:asciiTheme="minorHAnsi" w:eastAsia="Calibri" w:hAnsiTheme="minorHAnsi" w:cstheme="minorHAnsi"/>
        </w:rPr>
        <w:t xml:space="preserve"> </w:t>
      </w:r>
      <w:r w:rsidRPr="003A1B76">
        <w:rPr>
          <w:rFonts w:asciiTheme="minorHAnsi" w:eastAsia="Calibri" w:hAnsiTheme="minorHAnsi" w:cstheme="minorHAnsi"/>
        </w:rPr>
        <w:t xml:space="preserve">vyplynulo, že v ceně může být skryto </w:t>
      </w:r>
      <w:r w:rsidR="001239B2">
        <w:rPr>
          <w:rFonts w:asciiTheme="minorHAnsi" w:eastAsia="Calibri" w:hAnsiTheme="minorHAnsi" w:cstheme="minorHAnsi"/>
        </w:rPr>
        <w:t xml:space="preserve">například </w:t>
      </w:r>
      <w:r w:rsidRPr="003A1B76">
        <w:rPr>
          <w:rFonts w:asciiTheme="minorHAnsi" w:eastAsia="Calibri" w:hAnsiTheme="minorHAnsi" w:cstheme="minorHAnsi"/>
        </w:rPr>
        <w:t xml:space="preserve">financování </w:t>
      </w:r>
      <w:r w:rsidR="00091505">
        <w:rPr>
          <w:rFonts w:asciiTheme="minorHAnsi" w:eastAsia="Calibri" w:hAnsiTheme="minorHAnsi" w:cstheme="minorHAnsi"/>
        </w:rPr>
        <w:t xml:space="preserve">vybudování </w:t>
      </w:r>
      <w:r w:rsidRPr="003A1B76">
        <w:rPr>
          <w:rFonts w:asciiTheme="minorHAnsi" w:eastAsia="Calibri" w:hAnsiTheme="minorHAnsi" w:cstheme="minorHAnsi"/>
        </w:rPr>
        <w:t>výr</w:t>
      </w:r>
      <w:r w:rsidR="00C208F3">
        <w:rPr>
          <w:rFonts w:asciiTheme="minorHAnsi" w:eastAsia="Calibri" w:hAnsiTheme="minorHAnsi" w:cstheme="minorHAnsi"/>
        </w:rPr>
        <w:t>obní haly</w:t>
      </w:r>
      <w:r w:rsidR="00F85727">
        <w:rPr>
          <w:rFonts w:asciiTheme="minorHAnsi" w:eastAsia="Calibri" w:hAnsiTheme="minorHAnsi" w:cstheme="minorHAnsi"/>
        </w:rPr>
        <w:t xml:space="preserve"> tohoto uchazeče</w:t>
      </w:r>
      <w:r w:rsidR="003A1B76" w:rsidRPr="003A1B76">
        <w:rPr>
          <w:rFonts w:asciiTheme="minorHAnsi" w:eastAsia="Calibri" w:hAnsiTheme="minorHAnsi" w:cstheme="minorHAnsi"/>
        </w:rPr>
        <w:t>.</w:t>
      </w:r>
    </w:p>
    <w:p w14:paraId="0FA1318F" w14:textId="77777777" w:rsidR="00C208F3" w:rsidRPr="00B3542B" w:rsidRDefault="00C208F3" w:rsidP="00C208F3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43B9A43" w14:textId="4D7FF9A2" w:rsidR="00353F67" w:rsidRDefault="00C208F3" w:rsidP="00C208F3">
      <w:pPr>
        <w:jc w:val="both"/>
        <w:rPr>
          <w:rFonts w:asciiTheme="minorHAnsi" w:eastAsia="Calibri" w:hAnsiTheme="minorHAnsi" w:cstheme="minorHAnsi"/>
        </w:rPr>
      </w:pPr>
      <w:r w:rsidRPr="00353F67">
        <w:rPr>
          <w:rFonts w:asciiTheme="minorHAnsi" w:eastAsia="Calibri" w:hAnsiTheme="minorHAnsi" w:cstheme="minorHAnsi"/>
        </w:rPr>
        <w:t xml:space="preserve">Ke stanovení ceny </w:t>
      </w:r>
      <w:r w:rsidR="00012F7E" w:rsidRPr="00353F67">
        <w:rPr>
          <w:rFonts w:asciiTheme="minorHAnsi" w:eastAsia="Calibri" w:hAnsiTheme="minorHAnsi" w:cstheme="minorHAnsi"/>
        </w:rPr>
        <w:t xml:space="preserve">v místě a čase obvyklé </w:t>
      </w:r>
      <w:r w:rsidRPr="00353F67">
        <w:rPr>
          <w:rFonts w:asciiTheme="minorHAnsi" w:eastAsia="Calibri" w:hAnsiTheme="minorHAnsi" w:cstheme="minorHAnsi"/>
        </w:rPr>
        <w:t>předmětu plnění veřejné zakázky nechalo MO vyhotovit dva znalecké posudky. První znalec odhadl cenu v rozmezí od 1 842 mil. Kč do 2</w:t>
      </w:r>
      <w:r w:rsidR="00B3542B">
        <w:rPr>
          <w:rFonts w:asciiTheme="minorHAnsi" w:eastAsia="Calibri" w:hAnsiTheme="minorHAnsi" w:cstheme="minorHAnsi"/>
        </w:rPr>
        <w:t> </w:t>
      </w:r>
      <w:r w:rsidRPr="00353F67">
        <w:rPr>
          <w:rFonts w:asciiTheme="minorHAnsi" w:eastAsia="Calibri" w:hAnsiTheme="minorHAnsi" w:cstheme="minorHAnsi"/>
        </w:rPr>
        <w:t>471</w:t>
      </w:r>
      <w:r w:rsidR="00B3542B">
        <w:rPr>
          <w:rFonts w:asciiTheme="minorHAnsi" w:eastAsia="Calibri" w:hAnsiTheme="minorHAnsi" w:cstheme="minorHAnsi"/>
        </w:rPr>
        <w:t> </w:t>
      </w:r>
      <w:r w:rsidRPr="00353F67">
        <w:rPr>
          <w:rFonts w:asciiTheme="minorHAnsi" w:eastAsia="Calibri" w:hAnsiTheme="minorHAnsi" w:cstheme="minorHAnsi"/>
        </w:rPr>
        <w:t>mil.</w:t>
      </w:r>
      <w:r w:rsidR="00B3542B">
        <w:rPr>
          <w:rFonts w:asciiTheme="minorHAnsi" w:eastAsia="Calibri" w:hAnsiTheme="minorHAnsi" w:cstheme="minorHAnsi"/>
        </w:rPr>
        <w:t> </w:t>
      </w:r>
      <w:r w:rsidRPr="00353F67">
        <w:rPr>
          <w:rFonts w:asciiTheme="minorHAnsi" w:eastAsia="Calibri" w:hAnsiTheme="minorHAnsi" w:cstheme="minorHAnsi"/>
        </w:rPr>
        <w:t>Kč,</w:t>
      </w:r>
      <w:r w:rsidR="00B3542B">
        <w:rPr>
          <w:rFonts w:asciiTheme="minorHAnsi" w:eastAsia="Calibri" w:hAnsiTheme="minorHAnsi" w:cstheme="minorHAnsi"/>
        </w:rPr>
        <w:t xml:space="preserve"> </w:t>
      </w:r>
      <w:r w:rsidRPr="00353F67">
        <w:rPr>
          <w:rFonts w:asciiTheme="minorHAnsi" w:eastAsia="Calibri" w:hAnsiTheme="minorHAnsi" w:cstheme="minorHAnsi"/>
        </w:rPr>
        <w:t xml:space="preserve">druhý v rozmezí od </w:t>
      </w:r>
      <w:r w:rsidR="00353F67">
        <w:rPr>
          <w:rFonts w:asciiTheme="minorHAnsi" w:eastAsia="Calibri" w:hAnsiTheme="minorHAnsi" w:cstheme="minorHAnsi"/>
        </w:rPr>
        <w:t>1 795 mil. Kč do 2 194 mil. Kč.</w:t>
      </w:r>
    </w:p>
    <w:p w14:paraId="7B2E5B41" w14:textId="77777777" w:rsidR="00353F67" w:rsidRDefault="00353F67" w:rsidP="00C208F3">
      <w:pPr>
        <w:jc w:val="both"/>
        <w:rPr>
          <w:rFonts w:asciiTheme="minorHAnsi" w:eastAsia="Calibri" w:hAnsiTheme="minorHAnsi" w:cstheme="minorHAnsi"/>
        </w:rPr>
      </w:pPr>
    </w:p>
    <w:p w14:paraId="7CB805F5" w14:textId="302C2009" w:rsidR="0097391E" w:rsidRPr="003A1B76" w:rsidRDefault="0097391E" w:rsidP="0097391E">
      <w:pPr>
        <w:jc w:val="both"/>
        <w:rPr>
          <w:rFonts w:asciiTheme="minorHAnsi" w:eastAsia="Calibri" w:hAnsiTheme="minorHAnsi" w:cstheme="minorHAnsi"/>
        </w:rPr>
      </w:pPr>
      <w:r w:rsidRPr="003A1B76">
        <w:rPr>
          <w:rFonts w:asciiTheme="minorHAnsi" w:eastAsia="Calibri" w:hAnsiTheme="minorHAnsi" w:cstheme="minorHAnsi"/>
        </w:rPr>
        <w:t>MO s</w:t>
      </w:r>
      <w:r w:rsidR="003A1B76" w:rsidRPr="003A1B76">
        <w:rPr>
          <w:rFonts w:asciiTheme="minorHAnsi" w:eastAsia="Calibri" w:hAnsiTheme="minorHAnsi" w:cstheme="minorHAnsi"/>
        </w:rPr>
        <w:t xml:space="preserve"> uchazečem </w:t>
      </w:r>
      <w:r w:rsidRPr="003A1B76">
        <w:rPr>
          <w:rFonts w:asciiTheme="minorHAnsi" w:eastAsia="Calibri" w:hAnsiTheme="minorHAnsi" w:cstheme="minorHAnsi"/>
        </w:rPr>
        <w:t xml:space="preserve">uzavřelo </w:t>
      </w:r>
      <w:r w:rsidR="003A1B76" w:rsidRPr="003A1B76">
        <w:rPr>
          <w:rFonts w:asciiTheme="minorHAnsi" w:eastAsia="Calibri" w:hAnsiTheme="minorHAnsi" w:cstheme="minorHAnsi"/>
        </w:rPr>
        <w:t xml:space="preserve">v lednu </w:t>
      </w:r>
      <w:r w:rsidRPr="003A1B76">
        <w:rPr>
          <w:rFonts w:asciiTheme="minorHAnsi" w:eastAsia="Calibri" w:hAnsiTheme="minorHAnsi" w:cstheme="minorHAnsi"/>
        </w:rPr>
        <w:t>2017 kupní smlouvu</w:t>
      </w:r>
      <w:r w:rsidR="00353F67">
        <w:rPr>
          <w:rFonts w:asciiTheme="minorHAnsi" w:eastAsia="Calibri" w:hAnsiTheme="minorHAnsi" w:cstheme="minorHAnsi"/>
        </w:rPr>
        <w:t>, o</w:t>
      </w:r>
      <w:r w:rsidRPr="003A1B76">
        <w:rPr>
          <w:rFonts w:asciiTheme="minorHAnsi" w:eastAsia="Calibri" w:hAnsiTheme="minorHAnsi" w:cstheme="minorHAnsi"/>
        </w:rPr>
        <w:t xml:space="preserve">proti nabídce byl posunut termín dodání prvních vozidel z 30. 4. 2019 na 15. 12. 2019. Po podpisu kupní smlouvy </w:t>
      </w:r>
      <w:r w:rsidR="00353F67">
        <w:rPr>
          <w:rFonts w:asciiTheme="minorHAnsi" w:eastAsia="Calibri" w:hAnsiTheme="minorHAnsi" w:cstheme="minorHAnsi"/>
        </w:rPr>
        <w:t xml:space="preserve">jednaly </w:t>
      </w:r>
      <w:r w:rsidRPr="003A1B76">
        <w:rPr>
          <w:rFonts w:asciiTheme="minorHAnsi" w:eastAsia="Calibri" w:hAnsiTheme="minorHAnsi" w:cstheme="minorHAnsi"/>
        </w:rPr>
        <w:t>obě strany o možnosti poskytnutí zálohové platby</w:t>
      </w:r>
      <w:r w:rsidR="00353F67">
        <w:rPr>
          <w:rFonts w:asciiTheme="minorHAnsi" w:eastAsia="Calibri" w:hAnsiTheme="minorHAnsi" w:cstheme="minorHAnsi"/>
        </w:rPr>
        <w:t xml:space="preserve">. MO přistoupilo na to, že poskytne dodavateli </w:t>
      </w:r>
      <w:r w:rsidRPr="003A1B76">
        <w:rPr>
          <w:rFonts w:asciiTheme="minorHAnsi" w:eastAsia="Calibri" w:hAnsiTheme="minorHAnsi" w:cstheme="minorHAnsi"/>
        </w:rPr>
        <w:t>zálohov</w:t>
      </w:r>
      <w:r w:rsidR="00353F67">
        <w:rPr>
          <w:rFonts w:asciiTheme="minorHAnsi" w:eastAsia="Calibri" w:hAnsiTheme="minorHAnsi" w:cstheme="minorHAnsi"/>
        </w:rPr>
        <w:t>ou platbu</w:t>
      </w:r>
      <w:r w:rsidRPr="003A1B76">
        <w:rPr>
          <w:rFonts w:asciiTheme="minorHAnsi" w:eastAsia="Calibri" w:hAnsiTheme="minorHAnsi" w:cstheme="minorHAnsi"/>
        </w:rPr>
        <w:t xml:space="preserve"> ve výši 620</w:t>
      </w:r>
      <w:r w:rsidR="00353F67">
        <w:rPr>
          <w:rFonts w:asciiTheme="minorHAnsi" w:eastAsia="Calibri" w:hAnsiTheme="minorHAnsi" w:cstheme="minorHAnsi"/>
        </w:rPr>
        <w:t>,</w:t>
      </w:r>
      <w:r w:rsidRPr="003A1B76">
        <w:rPr>
          <w:rFonts w:asciiTheme="minorHAnsi" w:eastAsia="Calibri" w:hAnsiTheme="minorHAnsi" w:cstheme="minorHAnsi"/>
        </w:rPr>
        <w:t>8</w:t>
      </w:r>
      <w:r w:rsidR="00353F67">
        <w:rPr>
          <w:rFonts w:asciiTheme="minorHAnsi" w:eastAsia="Calibri" w:hAnsiTheme="minorHAnsi" w:cstheme="minorHAnsi"/>
        </w:rPr>
        <w:t xml:space="preserve"> mil. Kč (30 % z kupní ceny) více než dva roky před dodáním prvního vozidla, výměnou za slevu z kupní ceny ve výši 24,7 mil. Kč (tj. 1,2 %).</w:t>
      </w:r>
      <w:r w:rsidRPr="003A1B76">
        <w:rPr>
          <w:rFonts w:asciiTheme="minorHAnsi" w:eastAsia="Calibri" w:hAnsiTheme="minorHAnsi" w:cstheme="minorHAnsi"/>
        </w:rPr>
        <w:t xml:space="preserve"> </w:t>
      </w:r>
      <w:r w:rsidR="00353F67">
        <w:rPr>
          <w:rFonts w:asciiTheme="minorHAnsi" w:eastAsia="Calibri" w:hAnsiTheme="minorHAnsi" w:cstheme="minorHAnsi"/>
        </w:rPr>
        <w:t>D</w:t>
      </w:r>
      <w:r w:rsidRPr="003A1B76">
        <w:rPr>
          <w:rFonts w:asciiTheme="minorHAnsi" w:eastAsia="Calibri" w:hAnsiTheme="minorHAnsi" w:cstheme="minorHAnsi"/>
        </w:rPr>
        <w:t>odat</w:t>
      </w:r>
      <w:r w:rsidR="00353F67">
        <w:rPr>
          <w:rFonts w:asciiTheme="minorHAnsi" w:eastAsia="Calibri" w:hAnsiTheme="minorHAnsi" w:cstheme="minorHAnsi"/>
        </w:rPr>
        <w:t>kem ke kupní smlouvě byla cena snížena na 2 044,7 mil. Kč</w:t>
      </w:r>
      <w:r w:rsidRPr="003A1B76">
        <w:rPr>
          <w:rFonts w:asciiTheme="minorHAnsi" w:eastAsia="Calibri" w:hAnsiTheme="minorHAnsi" w:cstheme="minorHAnsi"/>
        </w:rPr>
        <w:t xml:space="preserve">. </w:t>
      </w:r>
      <w:r w:rsidR="00353F67">
        <w:rPr>
          <w:rFonts w:asciiTheme="minorHAnsi" w:eastAsia="Calibri" w:hAnsiTheme="minorHAnsi" w:cstheme="minorHAnsi"/>
        </w:rPr>
        <w:t>Termín dod</w:t>
      </w:r>
      <w:r w:rsidR="00650454">
        <w:rPr>
          <w:rFonts w:asciiTheme="minorHAnsi" w:eastAsia="Calibri" w:hAnsiTheme="minorHAnsi" w:cstheme="minorHAnsi"/>
        </w:rPr>
        <w:t>ání prvních vozidel v</w:t>
      </w:r>
      <w:r w:rsidR="00091505">
        <w:rPr>
          <w:rFonts w:asciiTheme="minorHAnsi" w:eastAsia="Calibri" w:hAnsiTheme="minorHAnsi" w:cstheme="minorHAnsi"/>
        </w:rPr>
        <w:t> </w:t>
      </w:r>
      <w:r w:rsidR="00650454">
        <w:rPr>
          <w:rFonts w:asciiTheme="minorHAnsi" w:eastAsia="Calibri" w:hAnsiTheme="minorHAnsi" w:cstheme="minorHAnsi"/>
        </w:rPr>
        <w:t>prosinci</w:t>
      </w:r>
      <w:r w:rsidR="00091505">
        <w:rPr>
          <w:rFonts w:asciiTheme="minorHAnsi" w:eastAsia="Calibri" w:hAnsiTheme="minorHAnsi" w:cstheme="minorHAnsi"/>
        </w:rPr>
        <w:t> </w:t>
      </w:r>
      <w:r w:rsidR="00650454">
        <w:rPr>
          <w:rFonts w:asciiTheme="minorHAnsi" w:eastAsia="Calibri" w:hAnsiTheme="minorHAnsi" w:cstheme="minorHAnsi"/>
        </w:rPr>
        <w:t>2019 byl splněn. Ce</w:t>
      </w:r>
      <w:r w:rsidRPr="003A1B76">
        <w:rPr>
          <w:rFonts w:asciiTheme="minorHAnsi" w:eastAsia="Calibri" w:hAnsiTheme="minorHAnsi" w:cstheme="minorHAnsi"/>
        </w:rPr>
        <w:t xml:space="preserve">na </w:t>
      </w:r>
      <w:r w:rsidR="00650454">
        <w:rPr>
          <w:rFonts w:asciiTheme="minorHAnsi" w:eastAsia="Calibri" w:hAnsiTheme="minorHAnsi" w:cstheme="minorHAnsi"/>
        </w:rPr>
        <w:t xml:space="preserve">podle kupní smlouvy činila </w:t>
      </w:r>
      <w:r w:rsidRPr="003A1B76">
        <w:rPr>
          <w:rFonts w:asciiTheme="minorHAnsi" w:eastAsia="Calibri" w:hAnsiTheme="minorHAnsi" w:cstheme="minorHAnsi"/>
        </w:rPr>
        <w:t>100,8 mil. Kč</w:t>
      </w:r>
      <w:r w:rsidR="00650454">
        <w:rPr>
          <w:rFonts w:asciiTheme="minorHAnsi" w:eastAsia="Calibri" w:hAnsiTheme="minorHAnsi" w:cstheme="minorHAnsi"/>
        </w:rPr>
        <w:t xml:space="preserve"> pro jedno kolové obrněné vozidlo velitelsko-štábní a </w:t>
      </w:r>
      <w:r w:rsidRPr="003A1B76">
        <w:rPr>
          <w:rFonts w:asciiTheme="minorHAnsi" w:eastAsia="Calibri" w:hAnsiTheme="minorHAnsi" w:cstheme="minorHAnsi"/>
        </w:rPr>
        <w:t>96,9 mil. Kč</w:t>
      </w:r>
      <w:r w:rsidR="00650454">
        <w:rPr>
          <w:rFonts w:asciiTheme="minorHAnsi" w:eastAsia="Calibri" w:hAnsiTheme="minorHAnsi" w:cstheme="minorHAnsi"/>
        </w:rPr>
        <w:t xml:space="preserve"> pro jedno kolové obrněné vozidlo spojovací.</w:t>
      </w:r>
    </w:p>
    <w:p w14:paraId="3AC98CED" w14:textId="11A55E32" w:rsidR="0097391E" w:rsidRDefault="0097391E" w:rsidP="0097391E">
      <w:pPr>
        <w:jc w:val="both"/>
        <w:rPr>
          <w:rFonts w:asciiTheme="minorHAnsi" w:eastAsia="Calibri" w:hAnsiTheme="minorHAnsi" w:cstheme="minorHAnsi"/>
        </w:rPr>
      </w:pPr>
    </w:p>
    <w:p w14:paraId="101B67E7" w14:textId="77777777" w:rsidR="003157FB" w:rsidRPr="003A1B76" w:rsidRDefault="003157FB" w:rsidP="0097391E">
      <w:pPr>
        <w:jc w:val="both"/>
        <w:rPr>
          <w:rFonts w:asciiTheme="minorHAnsi" w:eastAsia="Calibri" w:hAnsiTheme="minorHAnsi" w:cstheme="minorHAnsi"/>
        </w:rPr>
      </w:pPr>
    </w:p>
    <w:p w14:paraId="1BB1B125" w14:textId="5441B4DE" w:rsidR="0021516C" w:rsidRPr="008573F0" w:rsidRDefault="005920F2" w:rsidP="003157FB">
      <w:pPr>
        <w:keepNext/>
        <w:keepLines/>
        <w:rPr>
          <w:rFonts w:asciiTheme="minorHAnsi" w:hAnsiTheme="minorHAnsi" w:cstheme="minorHAnsi"/>
          <w:b/>
        </w:rPr>
      </w:pPr>
      <w:r w:rsidRPr="008573F0">
        <w:rPr>
          <w:rFonts w:asciiTheme="minorHAnsi" w:hAnsiTheme="minorHAnsi" w:cstheme="minorHAnsi"/>
          <w:b/>
        </w:rPr>
        <w:t>S</w:t>
      </w:r>
      <w:r w:rsidR="00462F78" w:rsidRPr="008573F0">
        <w:rPr>
          <w:rFonts w:asciiTheme="minorHAnsi" w:hAnsiTheme="minorHAnsi" w:cstheme="minorHAnsi"/>
          <w:b/>
        </w:rPr>
        <w:t>eznam použitých zkratek</w:t>
      </w:r>
    </w:p>
    <w:p w14:paraId="459CC0CB" w14:textId="77777777" w:rsidR="004B7B7E" w:rsidRPr="00417867" w:rsidRDefault="004B7B7E" w:rsidP="003157FB">
      <w:pPr>
        <w:keepNext/>
        <w:keepLines/>
        <w:spacing w:after="40" w:line="264" w:lineRule="auto"/>
        <w:rPr>
          <w:rFonts w:ascii="Calibri" w:hAnsi="Calibri" w:cs="Calibri"/>
        </w:rPr>
      </w:pPr>
    </w:p>
    <w:p w14:paraId="783F2238" w14:textId="6A72C8F8" w:rsidR="00E81787" w:rsidRPr="00417867" w:rsidRDefault="00E81787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Analýza</w:t>
      </w:r>
      <w:r w:rsidRPr="00417867">
        <w:rPr>
          <w:rFonts w:ascii="Calibri" w:hAnsi="Calibri" w:cs="Calibri"/>
        </w:rPr>
        <w:tab/>
      </w:r>
      <w:r w:rsidR="00F85727" w:rsidRPr="00417867">
        <w:rPr>
          <w:rFonts w:ascii="Calibri" w:hAnsi="Calibri" w:cs="Calibri"/>
          <w:i/>
        </w:rPr>
        <w:t>ÚSY</w:t>
      </w:r>
      <w:r w:rsidR="00140FE8">
        <w:rPr>
          <w:rFonts w:ascii="Calibri" w:hAnsi="Calibri" w:cs="Calibri"/>
          <w:i/>
        </w:rPr>
        <w:t>S – Systém údržby techniky v res</w:t>
      </w:r>
      <w:r w:rsidR="00F85727" w:rsidRPr="00417867">
        <w:rPr>
          <w:rFonts w:ascii="Calibri" w:hAnsi="Calibri" w:cs="Calibri"/>
          <w:i/>
        </w:rPr>
        <w:t>ortu MO</w:t>
      </w:r>
      <w:r w:rsidR="00F85727" w:rsidRPr="00417867">
        <w:rPr>
          <w:rFonts w:ascii="Calibri" w:hAnsi="Calibri" w:cs="Calibri"/>
        </w:rPr>
        <w:t xml:space="preserve"> – a</w:t>
      </w:r>
      <w:r w:rsidRPr="00417867">
        <w:rPr>
          <w:rFonts w:ascii="Calibri" w:hAnsi="Calibri" w:cs="Calibri"/>
        </w:rPr>
        <w:t xml:space="preserve">nalýza systému údržby pozemní vojenské techniky zpracovaná </w:t>
      </w:r>
      <w:r w:rsidR="00F85727" w:rsidRPr="00417867">
        <w:rPr>
          <w:rFonts w:ascii="Calibri" w:hAnsi="Calibri" w:cs="Calibri"/>
        </w:rPr>
        <w:t xml:space="preserve">v letech 2016–2018 </w:t>
      </w:r>
      <w:r w:rsidRPr="00417867">
        <w:rPr>
          <w:rFonts w:ascii="Calibri" w:hAnsi="Calibri" w:cs="Calibri"/>
        </w:rPr>
        <w:t xml:space="preserve">státním podnikem Vojenský výzkumný ústav, s. p. </w:t>
      </w:r>
    </w:p>
    <w:p w14:paraId="0DA853D2" w14:textId="5094B560" w:rsidR="002B2667" w:rsidRPr="00417867" w:rsidRDefault="002B2667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Armáda</w:t>
      </w:r>
      <w:r w:rsidRPr="00417867">
        <w:rPr>
          <w:rFonts w:ascii="Calibri" w:hAnsi="Calibri" w:cs="Calibri"/>
        </w:rPr>
        <w:tab/>
      </w:r>
      <w:proofErr w:type="spellStart"/>
      <w:r w:rsidRPr="00417867">
        <w:rPr>
          <w:rFonts w:ascii="Calibri" w:hAnsi="Calibri" w:cs="Calibri"/>
        </w:rPr>
        <w:t>Armáda</w:t>
      </w:r>
      <w:proofErr w:type="spellEnd"/>
      <w:r w:rsidRPr="00417867">
        <w:rPr>
          <w:rFonts w:ascii="Calibri" w:hAnsi="Calibri" w:cs="Calibri"/>
        </w:rPr>
        <w:t xml:space="preserve"> České republiky</w:t>
      </w:r>
    </w:p>
    <w:p w14:paraId="23B1795B" w14:textId="46D190EF" w:rsidR="00813B8D" w:rsidRPr="00417867" w:rsidRDefault="007E7AAC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ČR</w:t>
      </w:r>
      <w:r w:rsidRPr="00417867">
        <w:rPr>
          <w:rFonts w:ascii="Calibri" w:hAnsi="Calibri" w:cs="Calibri"/>
        </w:rPr>
        <w:tab/>
      </w:r>
      <w:r w:rsidR="005B3DFE" w:rsidRPr="00417867">
        <w:rPr>
          <w:rFonts w:ascii="Calibri" w:hAnsi="Calibri" w:cs="Calibri"/>
        </w:rPr>
        <w:t>Česká republika</w:t>
      </w:r>
    </w:p>
    <w:p w14:paraId="7F9EA9DD" w14:textId="690DCE0E" w:rsidR="00D33A66" w:rsidRPr="00417867" w:rsidRDefault="00D33A66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DPH</w:t>
      </w:r>
      <w:r w:rsidRPr="00417867">
        <w:rPr>
          <w:rFonts w:ascii="Calibri" w:hAnsi="Calibri" w:cs="Calibri"/>
        </w:rPr>
        <w:tab/>
        <w:t>daň z přidané hodnoty</w:t>
      </w:r>
    </w:p>
    <w:p w14:paraId="2FE03C21" w14:textId="02E0A821" w:rsidR="007375AC" w:rsidRPr="00417867" w:rsidRDefault="007375AC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HDP</w:t>
      </w:r>
      <w:r w:rsidRPr="00417867">
        <w:rPr>
          <w:rFonts w:ascii="Calibri" w:hAnsi="Calibri" w:cs="Calibri"/>
        </w:rPr>
        <w:tab/>
        <w:t>hrubý domácí produkt</w:t>
      </w:r>
    </w:p>
    <w:p w14:paraId="708918CA" w14:textId="1EB13855" w:rsidR="00C212DE" w:rsidRPr="00417867" w:rsidRDefault="00C212DE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KBVP</w:t>
      </w:r>
      <w:r w:rsidRPr="00417867">
        <w:rPr>
          <w:rFonts w:ascii="Calibri" w:hAnsi="Calibri" w:cs="Calibri"/>
        </w:rPr>
        <w:tab/>
        <w:t xml:space="preserve">kolová bojová vozidla pěchoty pořízená v letech 2009–2013 </w:t>
      </w:r>
    </w:p>
    <w:p w14:paraId="5688F305" w14:textId="222A8E91" w:rsidR="00C212DE" w:rsidRPr="00417867" w:rsidRDefault="00C212DE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KOT</w:t>
      </w:r>
      <w:r w:rsidRPr="00417867">
        <w:rPr>
          <w:rFonts w:ascii="Calibri" w:hAnsi="Calibri" w:cs="Calibri"/>
        </w:rPr>
        <w:tab/>
        <w:t xml:space="preserve">kolové obrněné transportéry pořízené v letech 2009–2013 </w:t>
      </w:r>
    </w:p>
    <w:p w14:paraId="3CEC9172" w14:textId="23F60310" w:rsidR="002E1D2E" w:rsidRPr="00417867" w:rsidRDefault="0056587B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MO</w:t>
      </w:r>
      <w:r w:rsidR="007E7AAC" w:rsidRPr="00417867">
        <w:rPr>
          <w:rFonts w:ascii="Calibri" w:hAnsi="Calibri" w:cs="Calibri"/>
        </w:rPr>
        <w:tab/>
      </w:r>
      <w:r w:rsidR="001F27F0" w:rsidRPr="00417867">
        <w:rPr>
          <w:rFonts w:ascii="Calibri" w:hAnsi="Calibri" w:cs="Calibri"/>
        </w:rPr>
        <w:t>M</w:t>
      </w:r>
      <w:r w:rsidR="005B3DFE" w:rsidRPr="00417867">
        <w:rPr>
          <w:rFonts w:ascii="Calibri" w:hAnsi="Calibri" w:cs="Calibri"/>
        </w:rPr>
        <w:t xml:space="preserve">inisterstvo </w:t>
      </w:r>
      <w:r w:rsidRPr="00417867">
        <w:rPr>
          <w:rFonts w:ascii="Calibri" w:hAnsi="Calibri" w:cs="Calibri"/>
        </w:rPr>
        <w:t>obrany</w:t>
      </w:r>
    </w:p>
    <w:p w14:paraId="5A94A924" w14:textId="23777E49" w:rsidR="002E1D2E" w:rsidRPr="00417867" w:rsidRDefault="002E1D2E" w:rsidP="003157FB">
      <w:pPr>
        <w:keepNext/>
        <w:keepLines/>
        <w:spacing w:after="40" w:line="264" w:lineRule="auto"/>
        <w:ind w:left="1985" w:hanging="1985"/>
        <w:jc w:val="both"/>
        <w:rPr>
          <w:rFonts w:ascii="Calibri" w:hAnsi="Calibri" w:cs="Calibri"/>
        </w:rPr>
      </w:pPr>
      <w:r w:rsidRPr="00417867">
        <w:rPr>
          <w:rFonts w:ascii="Calibri" w:hAnsi="Calibri" w:cs="Calibri"/>
        </w:rPr>
        <w:t>NKÚ</w:t>
      </w:r>
      <w:r w:rsidR="007E7AAC" w:rsidRPr="00417867">
        <w:rPr>
          <w:rFonts w:ascii="Calibri" w:hAnsi="Calibri" w:cs="Calibri"/>
        </w:rPr>
        <w:tab/>
      </w:r>
      <w:r w:rsidR="005B3DFE" w:rsidRPr="00417867">
        <w:rPr>
          <w:rFonts w:ascii="Calibri" w:hAnsi="Calibri" w:cs="Calibri"/>
        </w:rPr>
        <w:t>Nejvyšší kontrolní úřad</w:t>
      </w:r>
    </w:p>
    <w:p w14:paraId="74D2D81F" w14:textId="68A70F62" w:rsidR="00CD5FED" w:rsidRPr="00417867" w:rsidRDefault="00297BEA" w:rsidP="003157FB">
      <w:pPr>
        <w:keepNext/>
        <w:keepLines/>
        <w:spacing w:after="40" w:line="264" w:lineRule="auto"/>
        <w:ind w:left="1985" w:hanging="1985"/>
        <w:rPr>
          <w:rFonts w:ascii="Calibri" w:hAnsi="Calibri" w:cs="Calibri"/>
          <w:kern w:val="36"/>
          <w:lang w:eastAsia="en-US"/>
        </w:rPr>
      </w:pPr>
      <w:r w:rsidRPr="00417867">
        <w:rPr>
          <w:rFonts w:ascii="Calibri" w:hAnsi="Calibri" w:cs="Calibri"/>
          <w:kern w:val="36"/>
          <w:lang w:eastAsia="en-US"/>
        </w:rPr>
        <w:t>střednědobé plány</w:t>
      </w:r>
      <w:r w:rsidR="00B3542B">
        <w:rPr>
          <w:rFonts w:ascii="Calibri" w:hAnsi="Calibri" w:cs="Calibri"/>
          <w:kern w:val="36"/>
          <w:lang w:eastAsia="en-US"/>
        </w:rPr>
        <w:tab/>
      </w:r>
      <w:r w:rsidRPr="00417867">
        <w:rPr>
          <w:rFonts w:ascii="Calibri" w:hAnsi="Calibri" w:cs="Calibri"/>
          <w:kern w:val="36"/>
          <w:lang w:eastAsia="en-US"/>
        </w:rPr>
        <w:t>střednědobé plány činnosti a rozvoje re</w:t>
      </w:r>
      <w:r w:rsidR="00B46663">
        <w:rPr>
          <w:rFonts w:ascii="Calibri" w:hAnsi="Calibri" w:cs="Calibri"/>
          <w:kern w:val="36"/>
          <w:lang w:eastAsia="en-US"/>
        </w:rPr>
        <w:t>s</w:t>
      </w:r>
      <w:r w:rsidRPr="00417867">
        <w:rPr>
          <w:rFonts w:ascii="Calibri" w:hAnsi="Calibri" w:cs="Calibri"/>
          <w:kern w:val="36"/>
          <w:lang w:eastAsia="en-US"/>
        </w:rPr>
        <w:t>ortu Ministerstva obrany</w:t>
      </w:r>
    </w:p>
    <w:p w14:paraId="37923B6A" w14:textId="510943CA" w:rsidR="001239B2" w:rsidRDefault="001239B2" w:rsidP="00BC0EF5">
      <w:pPr>
        <w:rPr>
          <w:rFonts w:asciiTheme="minorHAnsi" w:hAnsiTheme="minorHAnsi" w:cstheme="minorHAnsi"/>
          <w:b/>
        </w:rPr>
      </w:pPr>
    </w:p>
    <w:p w14:paraId="41B7A525" w14:textId="77777777" w:rsidR="00417867" w:rsidRDefault="0041786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9E59851" w14:textId="5F41498D" w:rsidR="00B46663" w:rsidRDefault="005B1A88" w:rsidP="00834786">
      <w:pPr>
        <w:spacing w:after="240"/>
        <w:jc w:val="right"/>
        <w:rPr>
          <w:rFonts w:asciiTheme="minorHAnsi" w:hAnsiTheme="minorHAnsi" w:cstheme="minorHAnsi"/>
          <w:b/>
        </w:rPr>
      </w:pPr>
      <w:r w:rsidRPr="00610C95">
        <w:rPr>
          <w:rFonts w:asciiTheme="minorHAnsi" w:hAnsiTheme="minorHAnsi" w:cstheme="minorHAnsi"/>
          <w:b/>
        </w:rPr>
        <w:t>Příloha č.</w:t>
      </w:r>
      <w:r w:rsidR="00393D50" w:rsidRPr="00610C95">
        <w:rPr>
          <w:rFonts w:asciiTheme="minorHAnsi" w:hAnsiTheme="minorHAnsi" w:cstheme="minorHAnsi"/>
          <w:b/>
        </w:rPr>
        <w:t xml:space="preserve"> </w:t>
      </w:r>
      <w:r w:rsidR="00613E02" w:rsidRPr="00610C95">
        <w:rPr>
          <w:rFonts w:asciiTheme="minorHAnsi" w:hAnsiTheme="minorHAnsi" w:cstheme="minorHAnsi"/>
          <w:b/>
        </w:rPr>
        <w:t>1</w:t>
      </w:r>
    </w:p>
    <w:p w14:paraId="1336BA3C" w14:textId="73FEF133" w:rsidR="002978CB" w:rsidRPr="00610C95" w:rsidRDefault="005B1A88" w:rsidP="003D0AF7">
      <w:pPr>
        <w:spacing w:after="240"/>
        <w:jc w:val="center"/>
        <w:rPr>
          <w:rFonts w:asciiTheme="minorHAnsi" w:hAnsiTheme="minorHAnsi" w:cstheme="minorHAnsi"/>
          <w:b/>
        </w:rPr>
      </w:pPr>
      <w:r w:rsidRPr="00610C95">
        <w:rPr>
          <w:rFonts w:asciiTheme="minorHAnsi" w:hAnsiTheme="minorHAnsi" w:cstheme="minorHAnsi"/>
          <w:b/>
        </w:rPr>
        <w:t>Přehled</w:t>
      </w:r>
      <w:r w:rsidRPr="00610C95">
        <w:rPr>
          <w:rFonts w:asciiTheme="minorHAnsi" w:hAnsiTheme="minorHAnsi" w:cstheme="minorHAnsi"/>
          <w:b/>
          <w:lang w:eastAsia="en-US"/>
        </w:rPr>
        <w:t xml:space="preserve"> kontrol</w:t>
      </w:r>
      <w:r w:rsidR="00065DED" w:rsidRPr="00610C95">
        <w:rPr>
          <w:rFonts w:asciiTheme="minorHAnsi" w:hAnsiTheme="minorHAnsi" w:cstheme="minorHAnsi"/>
          <w:b/>
          <w:lang w:eastAsia="en-US"/>
        </w:rPr>
        <w:t xml:space="preserve">ovaných </w:t>
      </w:r>
      <w:r w:rsidR="00C56BE7" w:rsidRPr="00610C95">
        <w:rPr>
          <w:rFonts w:asciiTheme="minorHAnsi" w:hAnsiTheme="minorHAnsi" w:cstheme="minorHAnsi"/>
          <w:b/>
          <w:lang w:eastAsia="en-US"/>
        </w:rPr>
        <w:t xml:space="preserve">investičních </w:t>
      </w:r>
      <w:r w:rsidR="00E60E6B" w:rsidRPr="00610C95">
        <w:rPr>
          <w:rFonts w:asciiTheme="minorHAnsi" w:hAnsiTheme="minorHAnsi" w:cstheme="minorHAnsi"/>
          <w:b/>
          <w:lang w:eastAsia="en-US"/>
        </w:rPr>
        <w:t>akcí</w:t>
      </w:r>
      <w:r w:rsidR="00C56BE7" w:rsidRPr="00610C95">
        <w:rPr>
          <w:rFonts w:asciiTheme="minorHAnsi" w:hAnsiTheme="minorHAnsi" w:cstheme="minorHAnsi"/>
          <w:b/>
          <w:lang w:eastAsia="en-US"/>
        </w:rPr>
        <w:t xml:space="preserve"> </w:t>
      </w:r>
      <w:r w:rsidR="00CE0687" w:rsidRPr="00610C95">
        <w:rPr>
          <w:rFonts w:asciiTheme="minorHAnsi" w:hAnsiTheme="minorHAnsi" w:cstheme="minorHAnsi"/>
          <w:b/>
          <w:lang w:eastAsia="en-US"/>
        </w:rPr>
        <w:t xml:space="preserve">a </w:t>
      </w:r>
      <w:r w:rsidR="00022A31" w:rsidRPr="00610C95">
        <w:rPr>
          <w:rFonts w:asciiTheme="minorHAnsi" w:hAnsiTheme="minorHAnsi" w:cstheme="minorHAnsi"/>
          <w:b/>
          <w:lang w:eastAsia="en-US"/>
        </w:rPr>
        <w:t xml:space="preserve">rámcových smluv </w:t>
      </w:r>
      <w:r w:rsidR="00B46663">
        <w:rPr>
          <w:rFonts w:asciiTheme="minorHAnsi" w:hAnsiTheme="minorHAnsi" w:cstheme="minorHAnsi"/>
          <w:b/>
          <w:lang w:eastAsia="en-US"/>
        </w:rPr>
        <w:br/>
      </w:r>
      <w:r w:rsidR="00022A31" w:rsidRPr="00610C95">
        <w:rPr>
          <w:rFonts w:asciiTheme="minorHAnsi" w:hAnsiTheme="minorHAnsi" w:cstheme="minorHAnsi"/>
          <w:b/>
          <w:lang w:eastAsia="en-US"/>
        </w:rPr>
        <w:t xml:space="preserve">na </w:t>
      </w:r>
      <w:r w:rsidR="00C56BE7" w:rsidRPr="00610C95">
        <w:rPr>
          <w:rFonts w:asciiTheme="minorHAnsi" w:hAnsiTheme="minorHAnsi" w:cstheme="minorHAnsi"/>
          <w:b/>
          <w:lang w:eastAsia="en-US"/>
        </w:rPr>
        <w:t>servisní podporu obrněné techniky Armády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2829"/>
        <w:gridCol w:w="1559"/>
        <w:gridCol w:w="1559"/>
        <w:gridCol w:w="1555"/>
      </w:tblGrid>
      <w:tr w:rsidR="0087361C" w:rsidRPr="0087361C" w14:paraId="595B4687" w14:textId="77777777" w:rsidTr="0087361C">
        <w:trPr>
          <w:trHeight w:val="573"/>
          <w:jc w:val="center"/>
        </w:trPr>
        <w:tc>
          <w:tcPr>
            <w:tcW w:w="861" w:type="pct"/>
            <w:shd w:val="clear" w:color="auto" w:fill="E5F1FF"/>
            <w:noWrap/>
            <w:vAlign w:val="center"/>
            <w:hideMark/>
          </w:tcPr>
          <w:p w14:paraId="35934D17" w14:textId="724972B4" w:rsidR="00905400" w:rsidRPr="0087361C" w:rsidRDefault="00905400" w:rsidP="00E60E6B">
            <w:pPr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Číslo </w:t>
            </w:r>
            <w:r w:rsidR="00E60E6B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akce</w:t>
            </w: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nebo smlouvy</w:t>
            </w:r>
          </w:p>
        </w:tc>
        <w:tc>
          <w:tcPr>
            <w:tcW w:w="1561" w:type="pct"/>
            <w:shd w:val="clear" w:color="auto" w:fill="E5F1FF"/>
            <w:vAlign w:val="center"/>
            <w:hideMark/>
          </w:tcPr>
          <w:p w14:paraId="6F013528" w14:textId="584370FD" w:rsidR="00905400" w:rsidRPr="0087361C" w:rsidRDefault="00905400" w:rsidP="00E60E6B">
            <w:pPr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Název </w:t>
            </w:r>
            <w:r w:rsidR="00E60E6B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akce</w:t>
            </w: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nebo smlouvy</w:t>
            </w:r>
            <w:r w:rsidR="00D64C02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="0087361C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br/>
            </w:r>
            <w:r w:rsidR="00D64C02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(počet kusů obrněné techniky)</w:t>
            </w:r>
          </w:p>
        </w:tc>
        <w:tc>
          <w:tcPr>
            <w:tcW w:w="860" w:type="pct"/>
            <w:shd w:val="clear" w:color="auto" w:fill="E5F1FF"/>
            <w:vAlign w:val="center"/>
          </w:tcPr>
          <w:p w14:paraId="103EB6FC" w14:textId="4E4DA9EB" w:rsidR="00905400" w:rsidRPr="0087361C" w:rsidRDefault="00905400" w:rsidP="00B46663">
            <w:pPr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Realizace </w:t>
            </w:r>
            <w:r w:rsidR="00E60E6B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akce</w:t>
            </w: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nebo smlouvy </w:t>
            </w:r>
            <w:r w:rsidR="0087361C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br/>
            </w: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od</w:t>
            </w:r>
            <w:r w:rsidR="00B4666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="00B46663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B46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do</w:t>
            </w:r>
            <w:proofErr w:type="gramEnd"/>
          </w:p>
        </w:tc>
        <w:tc>
          <w:tcPr>
            <w:tcW w:w="860" w:type="pct"/>
            <w:shd w:val="clear" w:color="auto" w:fill="E5F1FF"/>
            <w:vAlign w:val="center"/>
          </w:tcPr>
          <w:p w14:paraId="1947ED61" w14:textId="79A85446" w:rsidR="00905400" w:rsidRPr="0087361C" w:rsidRDefault="000E6E7E" w:rsidP="00E60E6B">
            <w:pPr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Finanční objem </w:t>
            </w:r>
            <w:r w:rsidR="00E60E6B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akce</w:t>
            </w:r>
            <w:r w:rsidR="00905400"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nebo smlouvy v Kč</w:t>
            </w:r>
          </w:p>
        </w:tc>
        <w:tc>
          <w:tcPr>
            <w:tcW w:w="858" w:type="pct"/>
            <w:shd w:val="clear" w:color="auto" w:fill="E5F1FF"/>
            <w:vAlign w:val="center"/>
            <w:hideMark/>
          </w:tcPr>
          <w:p w14:paraId="1C613C84" w14:textId="0715D6D2" w:rsidR="00905400" w:rsidRPr="0087361C" w:rsidRDefault="00905400" w:rsidP="00022A31">
            <w:pPr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Objem kontrolovaných výdajů v Kč</w:t>
            </w:r>
          </w:p>
        </w:tc>
      </w:tr>
      <w:tr w:rsidR="00905400" w:rsidRPr="0087361C" w14:paraId="6BEC7E16" w14:textId="77777777" w:rsidTr="0087361C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7000DB5D" w14:textId="5DCE0FBC" w:rsidR="00905400" w:rsidRPr="00680549" w:rsidRDefault="00E60E6B" w:rsidP="001B062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805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Akce</w:t>
            </w:r>
            <w:r w:rsidR="00905400" w:rsidRPr="006805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na pořízení a technické zhodnocení obrněné techniky</w:t>
            </w:r>
          </w:p>
        </w:tc>
      </w:tr>
      <w:tr w:rsidR="0087361C" w:rsidRPr="0087361C" w14:paraId="599B3436" w14:textId="77777777" w:rsidTr="0087361C">
        <w:trPr>
          <w:trHeight w:val="315"/>
          <w:jc w:val="center"/>
        </w:trPr>
        <w:tc>
          <w:tcPr>
            <w:tcW w:w="861" w:type="pct"/>
            <w:shd w:val="clear" w:color="auto" w:fill="auto"/>
            <w:vAlign w:val="center"/>
          </w:tcPr>
          <w:p w14:paraId="3D019D09" w14:textId="4EFEF68C" w:rsidR="00905400" w:rsidRPr="0087361C" w:rsidRDefault="00905400" w:rsidP="003F28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107V221001801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1F22EDA" w14:textId="564F1879" w:rsidR="00905400" w:rsidRPr="0087361C" w:rsidRDefault="00905400" w:rsidP="00905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Kolová obrněná vozidla v</w:t>
            </w:r>
            <w:r w:rsidR="00D64C02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elitelsko-štábní a spojovací na </w:t>
            </w: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podvozku 8x8 (</w:t>
            </w:r>
            <w:r w:rsidR="00E07362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nákup 20 </w:t>
            </w: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vozidel)</w:t>
            </w:r>
          </w:p>
        </w:tc>
        <w:tc>
          <w:tcPr>
            <w:tcW w:w="860" w:type="pct"/>
            <w:vAlign w:val="center"/>
          </w:tcPr>
          <w:p w14:paraId="17A5572C" w14:textId="3701AE9E" w:rsidR="00905400" w:rsidRPr="0087361C" w:rsidRDefault="00F206D4" w:rsidP="009054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2017–2021</w:t>
            </w:r>
          </w:p>
        </w:tc>
        <w:tc>
          <w:tcPr>
            <w:tcW w:w="860" w:type="pct"/>
            <w:vAlign w:val="center"/>
          </w:tcPr>
          <w:p w14:paraId="33141280" w14:textId="29B2E3ED" w:rsidR="00905400" w:rsidRPr="0087361C" w:rsidRDefault="00905400" w:rsidP="00022A3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206D4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044</w:t>
            </w:r>
            <w:r w:rsidR="00F206D4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693 957,00 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42FC06BC" w14:textId="6C5149B6" w:rsidR="00905400" w:rsidRPr="0087361C" w:rsidRDefault="00905400" w:rsidP="003F28C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1 043 696 759,00</w:t>
            </w:r>
          </w:p>
        </w:tc>
      </w:tr>
      <w:tr w:rsidR="0087361C" w:rsidRPr="0087361C" w14:paraId="1308F9E5" w14:textId="77777777" w:rsidTr="0087361C">
        <w:trPr>
          <w:trHeight w:val="315"/>
          <w:jc w:val="center"/>
        </w:trPr>
        <w:tc>
          <w:tcPr>
            <w:tcW w:w="861" w:type="pct"/>
            <w:shd w:val="clear" w:color="000000" w:fill="FFFFFF"/>
            <w:vAlign w:val="center"/>
          </w:tcPr>
          <w:p w14:paraId="322EEB43" w14:textId="0FB42EDA" w:rsidR="00905400" w:rsidRPr="0087361C" w:rsidRDefault="00905400" w:rsidP="00A73A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>107V451000130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D04358B" w14:textId="753FE47F" w:rsidR="00905400" w:rsidRPr="0087361C" w:rsidRDefault="00905400" w:rsidP="009833DE">
            <w:pPr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>Víceúčelové obrněné vozidlo s průzkumnou nástavbou (</w:t>
            </w:r>
            <w:r w:rsidR="0092768C" w:rsidRPr="0087361C">
              <w:rPr>
                <w:rFonts w:ascii="Calibri" w:hAnsi="Calibri" w:cs="Calibri"/>
                <w:sz w:val="20"/>
                <w:szCs w:val="20"/>
              </w:rPr>
              <w:t>technické zhodnocení</w:t>
            </w:r>
            <w:r w:rsidR="009833DE" w:rsidRPr="0087361C">
              <w:rPr>
                <w:rFonts w:ascii="Calibri" w:hAnsi="Calibri" w:cs="Calibri"/>
                <w:sz w:val="20"/>
                <w:szCs w:val="20"/>
              </w:rPr>
              <w:t xml:space="preserve"> vozidla</w:t>
            </w:r>
            <w:r w:rsidRPr="0087361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60" w:type="pct"/>
            <w:vAlign w:val="center"/>
          </w:tcPr>
          <w:p w14:paraId="5AEA1C0B" w14:textId="7A599174" w:rsidR="00905400" w:rsidRPr="0087361C" w:rsidRDefault="00F206D4" w:rsidP="009054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D4FCF71" w14:textId="3D0DF12D" w:rsidR="00905400" w:rsidRPr="0087361C" w:rsidRDefault="00905400" w:rsidP="00A73AA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85 949 461,73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3586E4EC" w14:textId="23A644AF" w:rsidR="00905400" w:rsidRPr="0087361C" w:rsidRDefault="00905400" w:rsidP="00A73AA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85 949 461,73</w:t>
            </w:r>
          </w:p>
        </w:tc>
      </w:tr>
      <w:tr w:rsidR="0087361C" w:rsidRPr="0087361C" w14:paraId="35F85BA1" w14:textId="77777777" w:rsidTr="0087361C">
        <w:trPr>
          <w:trHeight w:val="315"/>
          <w:jc w:val="center"/>
        </w:trPr>
        <w:tc>
          <w:tcPr>
            <w:tcW w:w="861" w:type="pct"/>
            <w:shd w:val="clear" w:color="auto" w:fill="auto"/>
            <w:vAlign w:val="center"/>
          </w:tcPr>
          <w:p w14:paraId="5A677698" w14:textId="4F8AE11D" w:rsidR="00905400" w:rsidRPr="0087361C" w:rsidRDefault="00905400" w:rsidP="00A73A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>107V631001402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E3D8C18" w14:textId="2CFD8A66" w:rsidR="00905400" w:rsidRPr="0087361C" w:rsidRDefault="00905400" w:rsidP="009833DE">
            <w:pPr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>Vyprošťovací vozidla (</w:t>
            </w:r>
            <w:r w:rsidR="00E07362" w:rsidRPr="0087361C">
              <w:rPr>
                <w:rFonts w:ascii="Calibri" w:hAnsi="Calibri" w:cs="Calibri"/>
                <w:sz w:val="20"/>
                <w:szCs w:val="20"/>
              </w:rPr>
              <w:t>nákup </w:t>
            </w:r>
            <w:r w:rsidR="009833DE" w:rsidRPr="0087361C">
              <w:rPr>
                <w:rFonts w:ascii="Calibri" w:hAnsi="Calibri" w:cs="Calibri"/>
                <w:sz w:val="20"/>
                <w:szCs w:val="20"/>
              </w:rPr>
              <w:t>pěti</w:t>
            </w:r>
            <w:r w:rsidR="00E07362" w:rsidRPr="0087361C">
              <w:rPr>
                <w:rFonts w:ascii="Calibri" w:hAnsi="Calibri" w:cs="Calibri"/>
                <w:sz w:val="20"/>
                <w:szCs w:val="20"/>
              </w:rPr>
              <w:t> </w:t>
            </w:r>
            <w:r w:rsidRPr="0087361C">
              <w:rPr>
                <w:rFonts w:ascii="Calibri" w:hAnsi="Calibri" w:cs="Calibri"/>
                <w:sz w:val="20"/>
                <w:szCs w:val="20"/>
              </w:rPr>
              <w:t>vozidel)</w:t>
            </w:r>
          </w:p>
        </w:tc>
        <w:tc>
          <w:tcPr>
            <w:tcW w:w="860" w:type="pct"/>
            <w:vAlign w:val="center"/>
          </w:tcPr>
          <w:p w14:paraId="3661B8E7" w14:textId="7744E45D" w:rsidR="00905400" w:rsidRPr="0087361C" w:rsidRDefault="00F206D4" w:rsidP="00F206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2016–2019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B78ED33" w14:textId="6242C3E3" w:rsidR="00905400" w:rsidRPr="0087361C" w:rsidRDefault="00905400" w:rsidP="00A73AA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238 389 584,76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2A345D9F" w14:textId="0EDA6572" w:rsidR="00905400" w:rsidRPr="0087361C" w:rsidRDefault="00905400" w:rsidP="00A73AA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238 389 584,76</w:t>
            </w:r>
          </w:p>
        </w:tc>
      </w:tr>
      <w:tr w:rsidR="0087361C" w:rsidRPr="0087361C" w14:paraId="65F63B95" w14:textId="77777777" w:rsidTr="0087361C">
        <w:trPr>
          <w:trHeight w:val="315"/>
          <w:jc w:val="center"/>
        </w:trPr>
        <w:tc>
          <w:tcPr>
            <w:tcW w:w="861" w:type="pct"/>
            <w:shd w:val="clear" w:color="auto" w:fill="auto"/>
            <w:vAlign w:val="center"/>
          </w:tcPr>
          <w:p w14:paraId="13DFF22D" w14:textId="7B32E802" w:rsidR="00905400" w:rsidRPr="0087361C" w:rsidRDefault="00905400" w:rsidP="00A73A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>107V682001804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15A7527" w14:textId="7D59F047" w:rsidR="00905400" w:rsidRPr="0087361C" w:rsidRDefault="00905400" w:rsidP="00D64C02">
            <w:pPr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>Kolový podvozek zbraňového kompletu (</w:t>
            </w:r>
            <w:r w:rsidR="00E07362" w:rsidRPr="0087361C">
              <w:rPr>
                <w:rFonts w:ascii="Calibri" w:hAnsi="Calibri" w:cs="Calibri"/>
                <w:sz w:val="20"/>
                <w:szCs w:val="20"/>
              </w:rPr>
              <w:t>nákup </w:t>
            </w:r>
            <w:r w:rsidRPr="0087361C">
              <w:rPr>
                <w:rFonts w:ascii="Calibri" w:hAnsi="Calibri" w:cs="Calibri"/>
                <w:sz w:val="20"/>
                <w:szCs w:val="20"/>
              </w:rPr>
              <w:t>41 podvozků)</w:t>
            </w:r>
          </w:p>
        </w:tc>
        <w:tc>
          <w:tcPr>
            <w:tcW w:w="860" w:type="pct"/>
            <w:vAlign w:val="center"/>
          </w:tcPr>
          <w:p w14:paraId="23CC57DF" w14:textId="42ECCCBF" w:rsidR="00905400" w:rsidRPr="0087361C" w:rsidRDefault="00F206D4" w:rsidP="00F206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2016–2017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5A2200D" w14:textId="5DFF3CCC" w:rsidR="00905400" w:rsidRPr="0087361C" w:rsidRDefault="00905400" w:rsidP="00A73AA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618 636 700,00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564D139C" w14:textId="3B4C1060" w:rsidR="00905400" w:rsidRPr="0087361C" w:rsidRDefault="00905400" w:rsidP="00A73AA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618 636 700,00</w:t>
            </w:r>
          </w:p>
        </w:tc>
      </w:tr>
      <w:tr w:rsidR="00905400" w:rsidRPr="0087361C" w14:paraId="0C2504CE" w14:textId="77777777" w:rsidTr="0087361C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45EC0FC0" w14:textId="54397180" w:rsidR="00905400" w:rsidRPr="00680549" w:rsidRDefault="00905400" w:rsidP="006D01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805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Smlouvy na </w:t>
            </w:r>
            <w:r w:rsidR="006D01AF" w:rsidRPr="006805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kompletní </w:t>
            </w:r>
            <w:r w:rsidRPr="006805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servisní podporu </w:t>
            </w:r>
            <w:r w:rsidR="006D01AF" w:rsidRPr="006805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 opravy a udržování </w:t>
            </w:r>
            <w:r w:rsidRPr="006805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obr</w:t>
            </w:r>
            <w:r w:rsidR="006D01AF" w:rsidRPr="006805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něné techniky</w:t>
            </w:r>
          </w:p>
        </w:tc>
      </w:tr>
      <w:tr w:rsidR="0087361C" w:rsidRPr="0087361C" w14:paraId="57A1C76C" w14:textId="77777777" w:rsidTr="0087361C">
        <w:trPr>
          <w:trHeight w:val="317"/>
          <w:jc w:val="center"/>
        </w:trPr>
        <w:tc>
          <w:tcPr>
            <w:tcW w:w="861" w:type="pct"/>
            <w:shd w:val="clear" w:color="auto" w:fill="auto"/>
            <w:vAlign w:val="center"/>
          </w:tcPr>
          <w:p w14:paraId="65813EA5" w14:textId="4795A255" w:rsidR="00905400" w:rsidRPr="0087361C" w:rsidRDefault="00905400" w:rsidP="00DE1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145110058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A4D23D3" w14:textId="4B76920B" w:rsidR="00905400" w:rsidRPr="0087361C" w:rsidRDefault="00905400" w:rsidP="00DE1A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Kompletní servisní podpora KBVP a KOT (107 vozidel)</w:t>
            </w:r>
          </w:p>
        </w:tc>
        <w:tc>
          <w:tcPr>
            <w:tcW w:w="860" w:type="pct"/>
            <w:vAlign w:val="center"/>
          </w:tcPr>
          <w:p w14:paraId="4C1A0426" w14:textId="26D79BB4" w:rsidR="00905400" w:rsidRPr="0087361C" w:rsidRDefault="00905400" w:rsidP="009054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2015–2018 </w:t>
            </w:r>
          </w:p>
        </w:tc>
        <w:tc>
          <w:tcPr>
            <w:tcW w:w="860" w:type="pct"/>
            <w:vAlign w:val="center"/>
          </w:tcPr>
          <w:p w14:paraId="741E0E2B" w14:textId="5FCF54EC" w:rsidR="00905400" w:rsidRPr="0087361C" w:rsidRDefault="00F206D4" w:rsidP="00F206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294 000 000,00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C641C62" w14:textId="454E9EDA" w:rsidR="00905400" w:rsidRPr="0087361C" w:rsidRDefault="00905400" w:rsidP="00EC2A1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87 214 463,93</w:t>
            </w:r>
          </w:p>
        </w:tc>
      </w:tr>
      <w:tr w:rsidR="0087361C" w:rsidRPr="0087361C" w14:paraId="755E1BAF" w14:textId="77777777" w:rsidTr="0087361C">
        <w:trPr>
          <w:trHeight w:val="317"/>
          <w:jc w:val="center"/>
        </w:trPr>
        <w:tc>
          <w:tcPr>
            <w:tcW w:w="861" w:type="pct"/>
            <w:shd w:val="clear" w:color="auto" w:fill="auto"/>
            <w:vAlign w:val="center"/>
          </w:tcPr>
          <w:p w14:paraId="4754EE6F" w14:textId="452CA890" w:rsidR="00905400" w:rsidRPr="0087361C" w:rsidRDefault="00905400" w:rsidP="00DE1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165110280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04C02BA" w14:textId="5A15CF97" w:rsidR="00905400" w:rsidRPr="0087361C" w:rsidRDefault="00905400" w:rsidP="00DE1A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Kompletní servisní podpora KBVP a KOT (107 vozidel)</w:t>
            </w:r>
          </w:p>
        </w:tc>
        <w:tc>
          <w:tcPr>
            <w:tcW w:w="860" w:type="pct"/>
            <w:vAlign w:val="center"/>
          </w:tcPr>
          <w:p w14:paraId="214D00FB" w14:textId="0AD33DD0" w:rsidR="00905400" w:rsidRPr="0087361C" w:rsidRDefault="00F206D4" w:rsidP="00F206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2017–2020</w:t>
            </w:r>
          </w:p>
        </w:tc>
        <w:tc>
          <w:tcPr>
            <w:tcW w:w="860" w:type="pct"/>
            <w:vAlign w:val="center"/>
          </w:tcPr>
          <w:p w14:paraId="22CBF193" w14:textId="6F902F48" w:rsidR="00905400" w:rsidRPr="0087361C" w:rsidRDefault="00905400" w:rsidP="00022A3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1 089 000</w:t>
            </w:r>
            <w:r w:rsidR="00F206D4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  <w:r w:rsidR="00F206D4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1F114A5A" w14:textId="3F664F54" w:rsidR="00905400" w:rsidRPr="0087361C" w:rsidRDefault="00905400" w:rsidP="00EC2A1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220 670 290,97</w:t>
            </w:r>
          </w:p>
        </w:tc>
      </w:tr>
      <w:tr w:rsidR="0087361C" w:rsidRPr="0087361C" w14:paraId="2E0060C8" w14:textId="77777777" w:rsidTr="0087361C">
        <w:trPr>
          <w:trHeight w:val="317"/>
          <w:jc w:val="center"/>
        </w:trPr>
        <w:tc>
          <w:tcPr>
            <w:tcW w:w="861" w:type="pct"/>
            <w:shd w:val="clear" w:color="auto" w:fill="auto"/>
            <w:vAlign w:val="center"/>
          </w:tcPr>
          <w:p w14:paraId="4D3E5C4D" w14:textId="3CB00C84" w:rsidR="00905400" w:rsidRPr="0087361C" w:rsidRDefault="00905400" w:rsidP="00DE1A8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175110187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C67D175" w14:textId="35504327" w:rsidR="00905400" w:rsidRPr="0087361C" w:rsidRDefault="00905400" w:rsidP="00DE1A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Opravy a udržování modernizovaných tanků (33 tanků)</w:t>
            </w:r>
          </w:p>
        </w:tc>
        <w:tc>
          <w:tcPr>
            <w:tcW w:w="860" w:type="pct"/>
            <w:vAlign w:val="center"/>
          </w:tcPr>
          <w:p w14:paraId="7426A507" w14:textId="448FF178" w:rsidR="00905400" w:rsidRPr="0087361C" w:rsidRDefault="00F206D4" w:rsidP="00F206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2018–2021</w:t>
            </w:r>
          </w:p>
        </w:tc>
        <w:tc>
          <w:tcPr>
            <w:tcW w:w="860" w:type="pct"/>
            <w:vAlign w:val="center"/>
          </w:tcPr>
          <w:p w14:paraId="507DF405" w14:textId="18DC1116" w:rsidR="00905400" w:rsidRPr="0087361C" w:rsidRDefault="00905400" w:rsidP="00022A3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450 000</w:t>
            </w:r>
            <w:r w:rsidR="00F206D4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  <w:r w:rsidR="00F206D4"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5DB6D63" w14:textId="559E82E2" w:rsidR="00905400" w:rsidRPr="0087361C" w:rsidRDefault="00905400" w:rsidP="00EC2A1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49 195 567,58</w:t>
            </w:r>
          </w:p>
        </w:tc>
      </w:tr>
      <w:tr w:rsidR="00905400" w:rsidRPr="0087361C" w14:paraId="69EDAA5D" w14:textId="77777777" w:rsidTr="0087361C">
        <w:trPr>
          <w:trHeight w:val="300"/>
          <w:jc w:val="center"/>
        </w:trPr>
        <w:tc>
          <w:tcPr>
            <w:tcW w:w="2422" w:type="pct"/>
            <w:gridSpan w:val="2"/>
            <w:shd w:val="clear" w:color="auto" w:fill="F2C6C9"/>
            <w:noWrap/>
            <w:vAlign w:val="bottom"/>
          </w:tcPr>
          <w:p w14:paraId="1730ADC3" w14:textId="68F737A3" w:rsidR="00905400" w:rsidRPr="0087361C" w:rsidRDefault="00905400" w:rsidP="00A73AAD">
            <w:pPr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>Celkem pořízení obrněné techniky</w:t>
            </w:r>
          </w:p>
        </w:tc>
        <w:tc>
          <w:tcPr>
            <w:tcW w:w="860" w:type="pct"/>
            <w:shd w:val="clear" w:color="auto" w:fill="F2C6C9"/>
            <w:vAlign w:val="center"/>
          </w:tcPr>
          <w:p w14:paraId="584BB01E" w14:textId="373E2923" w:rsidR="00905400" w:rsidRPr="0087361C" w:rsidRDefault="00F206D4" w:rsidP="009054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pct"/>
            <w:shd w:val="clear" w:color="auto" w:fill="F2C6C9"/>
            <w:vAlign w:val="center"/>
          </w:tcPr>
          <w:p w14:paraId="4B9B8506" w14:textId="6FF51F28" w:rsidR="00905400" w:rsidRPr="0087361C" w:rsidRDefault="00F206D4" w:rsidP="00022A3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2 901 720 241,76</w:t>
            </w:r>
          </w:p>
        </w:tc>
        <w:tc>
          <w:tcPr>
            <w:tcW w:w="858" w:type="pct"/>
            <w:shd w:val="clear" w:color="auto" w:fill="F2C6C9"/>
            <w:noWrap/>
            <w:vAlign w:val="bottom"/>
          </w:tcPr>
          <w:p w14:paraId="4186C2D8" w14:textId="780441CF" w:rsidR="00905400" w:rsidRPr="0087361C" w:rsidRDefault="00905400" w:rsidP="00873A5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1 900 723 043,76</w:t>
            </w:r>
          </w:p>
        </w:tc>
      </w:tr>
      <w:tr w:rsidR="00905400" w:rsidRPr="0087361C" w14:paraId="4601B181" w14:textId="77777777" w:rsidTr="0087361C">
        <w:trPr>
          <w:trHeight w:val="300"/>
          <w:jc w:val="center"/>
        </w:trPr>
        <w:tc>
          <w:tcPr>
            <w:tcW w:w="2422" w:type="pct"/>
            <w:gridSpan w:val="2"/>
            <w:shd w:val="clear" w:color="auto" w:fill="F2C6C9"/>
            <w:noWrap/>
            <w:vAlign w:val="bottom"/>
          </w:tcPr>
          <w:p w14:paraId="2EAD0A9F" w14:textId="7745723F" w:rsidR="00905400" w:rsidRPr="0087361C" w:rsidRDefault="00905400" w:rsidP="00A73AAD">
            <w:pPr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>Celkem technické zhodnocení obrněné techniky</w:t>
            </w:r>
          </w:p>
        </w:tc>
        <w:tc>
          <w:tcPr>
            <w:tcW w:w="860" w:type="pct"/>
            <w:shd w:val="clear" w:color="auto" w:fill="F2C6C9"/>
            <w:vAlign w:val="center"/>
          </w:tcPr>
          <w:p w14:paraId="0A5E8FC1" w14:textId="1BF17873" w:rsidR="00905400" w:rsidRPr="0087361C" w:rsidRDefault="00F206D4" w:rsidP="009054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pct"/>
            <w:shd w:val="clear" w:color="auto" w:fill="F2C6C9"/>
            <w:vAlign w:val="center"/>
          </w:tcPr>
          <w:p w14:paraId="64BE9FA2" w14:textId="0C9AC7CC" w:rsidR="00905400" w:rsidRPr="0087361C" w:rsidRDefault="00F206D4" w:rsidP="00022A3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85 949 461,73</w:t>
            </w:r>
          </w:p>
        </w:tc>
        <w:tc>
          <w:tcPr>
            <w:tcW w:w="858" w:type="pct"/>
            <w:shd w:val="clear" w:color="auto" w:fill="F2C6C9"/>
            <w:noWrap/>
            <w:vAlign w:val="bottom"/>
          </w:tcPr>
          <w:p w14:paraId="3F7D53B9" w14:textId="538DA469" w:rsidR="00905400" w:rsidRPr="0087361C" w:rsidRDefault="00905400" w:rsidP="00DE1A8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85 949 461,73</w:t>
            </w:r>
          </w:p>
        </w:tc>
      </w:tr>
      <w:tr w:rsidR="00905400" w:rsidRPr="0087361C" w14:paraId="48B70422" w14:textId="77777777" w:rsidTr="0087361C">
        <w:trPr>
          <w:trHeight w:val="300"/>
          <w:jc w:val="center"/>
        </w:trPr>
        <w:tc>
          <w:tcPr>
            <w:tcW w:w="2422" w:type="pct"/>
            <w:gridSpan w:val="2"/>
            <w:shd w:val="clear" w:color="auto" w:fill="F2C6C9"/>
            <w:noWrap/>
            <w:vAlign w:val="bottom"/>
          </w:tcPr>
          <w:p w14:paraId="55080F94" w14:textId="25DD465A" w:rsidR="00905400" w:rsidRPr="0087361C" w:rsidRDefault="00905400" w:rsidP="0092768C">
            <w:pPr>
              <w:rPr>
                <w:rFonts w:ascii="Calibri" w:hAnsi="Calibri" w:cs="Calibri"/>
                <w:sz w:val="20"/>
                <w:szCs w:val="20"/>
              </w:rPr>
            </w:pPr>
            <w:r w:rsidRPr="0087361C">
              <w:rPr>
                <w:rFonts w:ascii="Calibri" w:hAnsi="Calibri" w:cs="Calibri"/>
                <w:sz w:val="20"/>
                <w:szCs w:val="20"/>
              </w:rPr>
              <w:t xml:space="preserve">Celkem opravy, </w:t>
            </w:r>
            <w:r w:rsidR="0092768C" w:rsidRPr="0087361C">
              <w:rPr>
                <w:rFonts w:ascii="Calibri" w:hAnsi="Calibri" w:cs="Calibri"/>
                <w:sz w:val="20"/>
                <w:szCs w:val="20"/>
              </w:rPr>
              <w:t xml:space="preserve">udržování </w:t>
            </w:r>
            <w:r w:rsidRPr="0087361C">
              <w:rPr>
                <w:rFonts w:ascii="Calibri" w:hAnsi="Calibri" w:cs="Calibri"/>
                <w:sz w:val="20"/>
                <w:szCs w:val="20"/>
              </w:rPr>
              <w:t>a nákup náhradních dílů</w:t>
            </w:r>
          </w:p>
        </w:tc>
        <w:tc>
          <w:tcPr>
            <w:tcW w:w="860" w:type="pct"/>
            <w:shd w:val="clear" w:color="auto" w:fill="F2C6C9"/>
            <w:vAlign w:val="center"/>
          </w:tcPr>
          <w:p w14:paraId="4D1A8C1A" w14:textId="4F261F35" w:rsidR="00905400" w:rsidRPr="0087361C" w:rsidRDefault="00F206D4" w:rsidP="009054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pct"/>
            <w:shd w:val="clear" w:color="auto" w:fill="F2C6C9"/>
            <w:vAlign w:val="center"/>
          </w:tcPr>
          <w:p w14:paraId="314A9701" w14:textId="1F57311B" w:rsidR="00905400" w:rsidRPr="0087361C" w:rsidRDefault="00F206D4" w:rsidP="00022A3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1 833 000 000,00</w:t>
            </w:r>
          </w:p>
        </w:tc>
        <w:tc>
          <w:tcPr>
            <w:tcW w:w="858" w:type="pct"/>
            <w:shd w:val="clear" w:color="auto" w:fill="F2C6C9"/>
            <w:noWrap/>
            <w:vAlign w:val="bottom"/>
          </w:tcPr>
          <w:p w14:paraId="158FCCF8" w14:textId="2A6CBFF8" w:rsidR="00905400" w:rsidRPr="0087361C" w:rsidRDefault="00905400" w:rsidP="00DE1A8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color w:val="000000"/>
                <w:sz w:val="20"/>
                <w:szCs w:val="20"/>
              </w:rPr>
              <w:t>357 080 322,48</w:t>
            </w:r>
          </w:p>
        </w:tc>
      </w:tr>
      <w:tr w:rsidR="00905400" w:rsidRPr="0087361C" w14:paraId="7E9BC36D" w14:textId="77777777" w:rsidTr="0087361C">
        <w:trPr>
          <w:trHeight w:val="567"/>
          <w:jc w:val="center"/>
        </w:trPr>
        <w:tc>
          <w:tcPr>
            <w:tcW w:w="2422" w:type="pct"/>
            <w:gridSpan w:val="2"/>
            <w:shd w:val="clear" w:color="auto" w:fill="auto"/>
            <w:noWrap/>
            <w:vAlign w:val="center"/>
            <w:hideMark/>
          </w:tcPr>
          <w:p w14:paraId="16ED8051" w14:textId="4E3153AD" w:rsidR="00905400" w:rsidRPr="0087361C" w:rsidRDefault="00905400" w:rsidP="001B06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  <w:r w:rsidR="000E6E7E" w:rsidRPr="0087361C">
              <w:rPr>
                <w:rFonts w:ascii="Calibri" w:hAnsi="Calibri" w:cs="Calibri"/>
                <w:b/>
                <w:sz w:val="20"/>
                <w:szCs w:val="20"/>
              </w:rPr>
              <w:t xml:space="preserve"> kontrolované </w:t>
            </w:r>
            <w:r w:rsidR="001B0623" w:rsidRPr="0087361C">
              <w:rPr>
                <w:rFonts w:ascii="Calibri" w:hAnsi="Calibri" w:cs="Calibri"/>
                <w:b/>
                <w:sz w:val="20"/>
                <w:szCs w:val="20"/>
              </w:rPr>
              <w:t xml:space="preserve">akce, smlouvy a </w:t>
            </w:r>
            <w:r w:rsidR="00EF64EC" w:rsidRPr="0087361C">
              <w:rPr>
                <w:rFonts w:ascii="Calibri" w:hAnsi="Calibri" w:cs="Calibri"/>
                <w:b/>
                <w:sz w:val="20"/>
                <w:szCs w:val="20"/>
              </w:rPr>
              <w:t>výdaje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5B7DA4E" w14:textId="4D08FE7A" w:rsidR="00905400" w:rsidRPr="0087361C" w:rsidRDefault="00F206D4" w:rsidP="0090540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73E16765" w14:textId="6694D31B" w:rsidR="00905400" w:rsidRPr="0087361C" w:rsidRDefault="00F206D4" w:rsidP="00022A31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4 820 669 703,49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30606F54" w14:textId="588A9297" w:rsidR="00905400" w:rsidRPr="0087361C" w:rsidRDefault="00905400" w:rsidP="001B0623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361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2 343 752 827,97</w:t>
            </w:r>
          </w:p>
        </w:tc>
      </w:tr>
    </w:tbl>
    <w:p w14:paraId="008D0CF0" w14:textId="4BF178F1" w:rsidR="00006A03" w:rsidRPr="0094689E" w:rsidRDefault="008C73F2" w:rsidP="0087361C">
      <w:pPr>
        <w:autoSpaceDE w:val="0"/>
        <w:autoSpaceDN w:val="0"/>
        <w:adjustRightInd w:val="0"/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FA51C9">
        <w:rPr>
          <w:rFonts w:asciiTheme="minorHAnsi" w:hAnsiTheme="minorHAnsi" w:cstheme="minorHAnsi"/>
          <w:b/>
          <w:sz w:val="20"/>
          <w:szCs w:val="20"/>
        </w:rPr>
        <w:t>Zdroj:</w:t>
      </w:r>
      <w:r w:rsidRPr="0094689E">
        <w:rPr>
          <w:rFonts w:asciiTheme="minorHAnsi" w:hAnsiTheme="minorHAnsi" w:cstheme="minorHAnsi"/>
          <w:sz w:val="20"/>
          <w:szCs w:val="20"/>
        </w:rPr>
        <w:t xml:space="preserve"> </w:t>
      </w:r>
      <w:r w:rsidR="002C5746" w:rsidRPr="0094689E">
        <w:rPr>
          <w:rFonts w:asciiTheme="minorHAnsi" w:hAnsiTheme="minorHAnsi" w:cstheme="minorHAnsi"/>
          <w:sz w:val="20"/>
          <w:szCs w:val="20"/>
        </w:rPr>
        <w:t>MO</w:t>
      </w:r>
      <w:r w:rsidR="00022A31" w:rsidRPr="0094689E">
        <w:rPr>
          <w:rFonts w:asciiTheme="minorHAnsi" w:hAnsiTheme="minorHAnsi" w:cstheme="minorHAnsi"/>
          <w:sz w:val="20"/>
          <w:szCs w:val="20"/>
        </w:rPr>
        <w:t>.</w:t>
      </w:r>
    </w:p>
    <w:p w14:paraId="09B99BAF" w14:textId="7B2289CE" w:rsidR="00306A1C" w:rsidRPr="0094689E" w:rsidRDefault="00306A1C" w:rsidP="00A41D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09B057A" w14:textId="77777777" w:rsidR="00D33A66" w:rsidRDefault="00D33A6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0B8F5B0" w14:textId="39EF888C" w:rsidR="00B46663" w:rsidRDefault="002F097A" w:rsidP="003D0AF7">
      <w:pPr>
        <w:pStyle w:val="Nzev"/>
        <w:tabs>
          <w:tab w:val="right" w:pos="9072"/>
        </w:tabs>
        <w:spacing w:after="24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10C95">
        <w:rPr>
          <w:rFonts w:asciiTheme="minorHAnsi" w:hAnsiTheme="minorHAnsi" w:cstheme="minorHAnsi"/>
          <w:b/>
          <w:bCs/>
          <w:sz w:val="24"/>
          <w:szCs w:val="24"/>
        </w:rPr>
        <w:t>Příloha č. 2</w:t>
      </w:r>
    </w:p>
    <w:p w14:paraId="6B9F113B" w14:textId="16781CC1" w:rsidR="002F097A" w:rsidRPr="00610C95" w:rsidRDefault="002F097A" w:rsidP="003D0AF7">
      <w:pPr>
        <w:pStyle w:val="Nzev"/>
        <w:tabs>
          <w:tab w:val="right" w:pos="9072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610C95">
        <w:rPr>
          <w:rFonts w:asciiTheme="minorHAnsi" w:hAnsiTheme="minorHAnsi" w:cstheme="minorHAnsi"/>
          <w:b/>
          <w:bCs/>
          <w:sz w:val="24"/>
          <w:szCs w:val="24"/>
        </w:rPr>
        <w:t xml:space="preserve">Výdaje na </w:t>
      </w:r>
      <w:r w:rsidR="00700E50">
        <w:rPr>
          <w:rFonts w:asciiTheme="minorHAnsi" w:hAnsiTheme="minorHAnsi" w:cstheme="minorHAnsi"/>
          <w:b/>
          <w:bCs/>
          <w:sz w:val="24"/>
          <w:szCs w:val="24"/>
        </w:rPr>
        <w:t xml:space="preserve">mimo-vojskové </w:t>
      </w:r>
      <w:r w:rsidRPr="00610C95">
        <w:rPr>
          <w:rFonts w:asciiTheme="minorHAnsi" w:hAnsiTheme="minorHAnsi" w:cstheme="minorHAnsi"/>
          <w:b/>
          <w:bCs/>
          <w:sz w:val="24"/>
          <w:szCs w:val="24"/>
        </w:rPr>
        <w:t>opravy</w:t>
      </w:r>
      <w:r w:rsidR="00700E5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610C95">
        <w:rPr>
          <w:rFonts w:asciiTheme="minorHAnsi" w:hAnsiTheme="minorHAnsi" w:cstheme="minorHAnsi"/>
          <w:b/>
          <w:bCs/>
          <w:sz w:val="24"/>
          <w:szCs w:val="24"/>
        </w:rPr>
        <w:t xml:space="preserve"> údržbu a nákup náhradních dílů obrněné techniky Armády</w:t>
      </w:r>
      <w:r w:rsidR="00A157B2">
        <w:rPr>
          <w:rFonts w:asciiTheme="minorHAnsi" w:hAnsiTheme="minorHAnsi" w:cstheme="minorHAnsi"/>
          <w:b/>
          <w:bCs/>
          <w:sz w:val="24"/>
          <w:szCs w:val="24"/>
        </w:rPr>
        <w:t xml:space="preserve"> v letech 2016</w:t>
      </w:r>
      <w:r w:rsidR="00A157B2" w:rsidRPr="00610C95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A157B2">
        <w:rPr>
          <w:rFonts w:asciiTheme="minorHAnsi" w:hAnsiTheme="minorHAnsi" w:cstheme="minorHAnsi"/>
          <w:b/>
          <w:bCs/>
          <w:sz w:val="24"/>
          <w:szCs w:val="24"/>
        </w:rPr>
        <w:t>2018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850"/>
        <w:gridCol w:w="1587"/>
        <w:gridCol w:w="1587"/>
        <w:gridCol w:w="1701"/>
      </w:tblGrid>
      <w:tr w:rsidR="002F097A" w:rsidRPr="00D74E97" w14:paraId="7B06FD62" w14:textId="77777777" w:rsidTr="00680549">
        <w:trPr>
          <w:trHeight w:val="397"/>
          <w:jc w:val="center"/>
        </w:trPr>
        <w:tc>
          <w:tcPr>
            <w:tcW w:w="3402" w:type="dxa"/>
            <w:shd w:val="clear" w:color="auto" w:fill="E5F1FF"/>
            <w:noWrap/>
            <w:vAlign w:val="center"/>
          </w:tcPr>
          <w:p w14:paraId="5064EF6E" w14:textId="77777777" w:rsidR="002F097A" w:rsidRPr="00D74E97" w:rsidRDefault="002F097A" w:rsidP="00E60E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 obrněné techniky</w:t>
            </w:r>
          </w:p>
        </w:tc>
        <w:tc>
          <w:tcPr>
            <w:tcW w:w="850" w:type="dxa"/>
            <w:shd w:val="clear" w:color="auto" w:fill="E5F1FF"/>
            <w:noWrap/>
            <w:vAlign w:val="center"/>
          </w:tcPr>
          <w:p w14:paraId="4B42377C" w14:textId="77777777" w:rsidR="002F097A" w:rsidRPr="00D74E97" w:rsidRDefault="002F097A" w:rsidP="00E60E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1587" w:type="dxa"/>
            <w:shd w:val="clear" w:color="auto" w:fill="E5F1FF"/>
            <w:noWrap/>
            <w:vAlign w:val="center"/>
          </w:tcPr>
          <w:p w14:paraId="465778CC" w14:textId="2E9B417A" w:rsidR="002F097A" w:rsidRPr="00D74E97" w:rsidRDefault="002F097A" w:rsidP="00E60E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D74E97">
              <w:rPr>
                <w:rFonts w:ascii="Calibri" w:hAnsi="Calibri" w:cs="Calibri"/>
                <w:b/>
                <w:sz w:val="20"/>
                <w:szCs w:val="20"/>
              </w:rPr>
              <w:t>Výdaje celkem v Kč</w:t>
            </w:r>
          </w:p>
        </w:tc>
        <w:tc>
          <w:tcPr>
            <w:tcW w:w="1587" w:type="dxa"/>
            <w:shd w:val="clear" w:color="auto" w:fill="E5F1FF"/>
            <w:vAlign w:val="center"/>
          </w:tcPr>
          <w:p w14:paraId="24C20167" w14:textId="4BD2BE01" w:rsidR="002F097A" w:rsidRPr="00D74E97" w:rsidRDefault="002F097A" w:rsidP="00E60E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sz w:val="20"/>
                <w:szCs w:val="20"/>
              </w:rPr>
              <w:t>Výdaje na 1 kus v Kč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41BC9759" w14:textId="180A1523" w:rsidR="002F097A" w:rsidRPr="00D74E97" w:rsidRDefault="002F097A" w:rsidP="00A157B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sz w:val="20"/>
                <w:szCs w:val="20"/>
              </w:rPr>
              <w:t>Průměrn</w:t>
            </w:r>
            <w:r w:rsidR="00A157B2">
              <w:rPr>
                <w:rFonts w:ascii="Calibri" w:hAnsi="Calibri" w:cs="Calibri"/>
                <w:b/>
                <w:sz w:val="20"/>
                <w:szCs w:val="20"/>
              </w:rPr>
              <w:t>é</w:t>
            </w:r>
            <w:r w:rsidRPr="00D74E97">
              <w:rPr>
                <w:rFonts w:ascii="Calibri" w:hAnsi="Calibri" w:cs="Calibri"/>
                <w:b/>
                <w:sz w:val="20"/>
                <w:szCs w:val="20"/>
              </w:rPr>
              <w:t xml:space="preserve"> ročn</w:t>
            </w:r>
            <w:r w:rsidR="00A157B2">
              <w:rPr>
                <w:rFonts w:ascii="Calibri" w:hAnsi="Calibri" w:cs="Calibri"/>
                <w:b/>
                <w:sz w:val="20"/>
                <w:szCs w:val="20"/>
              </w:rPr>
              <w:t>í výdaje</w:t>
            </w:r>
            <w:r w:rsidRPr="00D74E97">
              <w:rPr>
                <w:rFonts w:ascii="Calibri" w:hAnsi="Calibri" w:cs="Calibri"/>
                <w:b/>
                <w:sz w:val="20"/>
                <w:szCs w:val="20"/>
              </w:rPr>
              <w:t xml:space="preserve"> na 1 kus </w:t>
            </w:r>
            <w:r w:rsidR="00680549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D74E97">
              <w:rPr>
                <w:rFonts w:ascii="Calibri" w:hAnsi="Calibri" w:cs="Calibri"/>
                <w:b/>
                <w:sz w:val="20"/>
                <w:szCs w:val="20"/>
              </w:rPr>
              <w:t>v Kč</w:t>
            </w:r>
          </w:p>
        </w:tc>
      </w:tr>
      <w:tr w:rsidR="002F097A" w:rsidRPr="00D74E97" w14:paraId="5CCA71DC" w14:textId="77777777" w:rsidTr="00680549">
        <w:trPr>
          <w:trHeight w:val="217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56338073" w14:textId="77777777" w:rsidR="002F097A" w:rsidRPr="00D74E97" w:rsidRDefault="002F097A" w:rsidP="00E60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Obrněné automobily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D3B2B1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47AEDE5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87 234 254</w:t>
            </w:r>
          </w:p>
        </w:tc>
        <w:tc>
          <w:tcPr>
            <w:tcW w:w="1587" w:type="dxa"/>
            <w:vAlign w:val="center"/>
          </w:tcPr>
          <w:p w14:paraId="1B052982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461 557</w:t>
            </w:r>
          </w:p>
        </w:tc>
        <w:tc>
          <w:tcPr>
            <w:tcW w:w="1701" w:type="dxa"/>
            <w:vAlign w:val="center"/>
          </w:tcPr>
          <w:p w14:paraId="3016265C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153 852</w:t>
            </w:r>
          </w:p>
        </w:tc>
      </w:tr>
      <w:tr w:rsidR="002F097A" w:rsidRPr="00D74E97" w14:paraId="4C138906" w14:textId="77777777" w:rsidTr="00680549">
        <w:trPr>
          <w:trHeight w:val="217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5D7EE7FA" w14:textId="77777777" w:rsidR="002F097A" w:rsidRPr="00D74E97" w:rsidRDefault="002F097A" w:rsidP="00E60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Lehká obrněná vozidla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96409A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7394B87" w14:textId="5CEFAB54" w:rsidR="002F097A" w:rsidRPr="00D74E97" w:rsidRDefault="00F8574D" w:rsidP="00D74E97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189 155 874</w:t>
            </w:r>
          </w:p>
        </w:tc>
        <w:tc>
          <w:tcPr>
            <w:tcW w:w="1587" w:type="dxa"/>
            <w:vAlign w:val="center"/>
          </w:tcPr>
          <w:p w14:paraId="1C13765A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1 501 237</w:t>
            </w:r>
          </w:p>
        </w:tc>
        <w:tc>
          <w:tcPr>
            <w:tcW w:w="1701" w:type="dxa"/>
            <w:vAlign w:val="center"/>
          </w:tcPr>
          <w:p w14:paraId="31B01B49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500 412</w:t>
            </w:r>
          </w:p>
        </w:tc>
      </w:tr>
      <w:tr w:rsidR="002F097A" w:rsidRPr="00D74E97" w14:paraId="3378208F" w14:textId="77777777" w:rsidTr="00680549">
        <w:trPr>
          <w:trHeight w:val="110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247C8C4A" w14:textId="77777777" w:rsidR="002F097A" w:rsidRPr="00D74E97" w:rsidRDefault="002F097A" w:rsidP="00E60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KBVP a KOT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1EB5F1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A36CE33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567 397 820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391205D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5 302 783</w:t>
            </w:r>
          </w:p>
        </w:tc>
        <w:tc>
          <w:tcPr>
            <w:tcW w:w="1701" w:type="dxa"/>
            <w:vAlign w:val="center"/>
          </w:tcPr>
          <w:p w14:paraId="21938593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1 767 594</w:t>
            </w:r>
          </w:p>
        </w:tc>
      </w:tr>
      <w:tr w:rsidR="002F097A" w:rsidRPr="00D74E97" w14:paraId="66772BD9" w14:textId="77777777" w:rsidTr="00680549">
        <w:trPr>
          <w:trHeight w:val="128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2285E4B8" w14:textId="388BE9EC" w:rsidR="002F097A" w:rsidRPr="00D74E97" w:rsidRDefault="002F097A" w:rsidP="007013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Tank</w:t>
            </w:r>
            <w:r w:rsidR="007013C3"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A4275C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87" w:type="dxa"/>
            <w:noWrap/>
            <w:vAlign w:val="center"/>
          </w:tcPr>
          <w:p w14:paraId="0586B6F6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119 250 072</w:t>
            </w:r>
          </w:p>
        </w:tc>
        <w:tc>
          <w:tcPr>
            <w:tcW w:w="1587" w:type="dxa"/>
            <w:vAlign w:val="center"/>
          </w:tcPr>
          <w:p w14:paraId="1C25BA3C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910 306</w:t>
            </w:r>
          </w:p>
        </w:tc>
        <w:tc>
          <w:tcPr>
            <w:tcW w:w="1701" w:type="dxa"/>
            <w:vAlign w:val="center"/>
          </w:tcPr>
          <w:p w14:paraId="6E66527B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303 435</w:t>
            </w:r>
          </w:p>
        </w:tc>
      </w:tr>
      <w:tr w:rsidR="002F097A" w:rsidRPr="00D74E97" w14:paraId="1DEAAE72" w14:textId="77777777" w:rsidTr="00680549">
        <w:trPr>
          <w:trHeight w:val="128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04DA04B8" w14:textId="77777777" w:rsidR="002F097A" w:rsidRPr="00D74E97" w:rsidRDefault="002F097A" w:rsidP="00E60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Speciální technika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F3B500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7" w:type="dxa"/>
            <w:noWrap/>
            <w:vAlign w:val="center"/>
          </w:tcPr>
          <w:p w14:paraId="327396A5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3 696 731</w:t>
            </w:r>
          </w:p>
        </w:tc>
        <w:tc>
          <w:tcPr>
            <w:tcW w:w="1587" w:type="dxa"/>
            <w:vAlign w:val="center"/>
          </w:tcPr>
          <w:p w14:paraId="17670306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60 602</w:t>
            </w:r>
          </w:p>
        </w:tc>
        <w:tc>
          <w:tcPr>
            <w:tcW w:w="1701" w:type="dxa"/>
            <w:vAlign w:val="center"/>
          </w:tcPr>
          <w:p w14:paraId="65EBB0CE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20 201</w:t>
            </w:r>
          </w:p>
        </w:tc>
      </w:tr>
      <w:tr w:rsidR="002F097A" w:rsidRPr="00D74E97" w14:paraId="322F46ED" w14:textId="77777777" w:rsidTr="00680549">
        <w:trPr>
          <w:trHeight w:val="128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4F331C90" w14:textId="77777777" w:rsidR="002F097A" w:rsidRPr="00D74E97" w:rsidRDefault="002F097A" w:rsidP="00E60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Samohybné houfnice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DB8F49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7" w:type="dxa"/>
            <w:noWrap/>
            <w:vAlign w:val="center"/>
          </w:tcPr>
          <w:p w14:paraId="6014CE97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115 277 962</w:t>
            </w:r>
          </w:p>
        </w:tc>
        <w:tc>
          <w:tcPr>
            <w:tcW w:w="1587" w:type="dxa"/>
            <w:vAlign w:val="center"/>
          </w:tcPr>
          <w:p w14:paraId="1946666D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1 295 258</w:t>
            </w:r>
          </w:p>
        </w:tc>
        <w:tc>
          <w:tcPr>
            <w:tcW w:w="1701" w:type="dxa"/>
            <w:vAlign w:val="center"/>
          </w:tcPr>
          <w:p w14:paraId="3CD428D5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431 753</w:t>
            </w:r>
          </w:p>
        </w:tc>
      </w:tr>
      <w:tr w:rsidR="002F097A" w:rsidRPr="00D74E97" w14:paraId="5C7AE5AF" w14:textId="77777777" w:rsidTr="00680549">
        <w:trPr>
          <w:trHeight w:val="128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5AC0B9E1" w14:textId="77777777" w:rsidR="002F097A" w:rsidRPr="00D74E97" w:rsidRDefault="002F097A" w:rsidP="00E60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Starší bojová vozidla pěchoty, obrněné transportéry a  speciální technika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A7C707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58B2CA9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213 076 438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73D366B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639 869</w:t>
            </w:r>
          </w:p>
        </w:tc>
        <w:tc>
          <w:tcPr>
            <w:tcW w:w="1701" w:type="dxa"/>
            <w:vAlign w:val="center"/>
          </w:tcPr>
          <w:p w14:paraId="025D9DC9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213 290</w:t>
            </w:r>
          </w:p>
        </w:tc>
      </w:tr>
      <w:tr w:rsidR="002F097A" w:rsidRPr="00D74E97" w14:paraId="07536CD5" w14:textId="77777777" w:rsidTr="00680549">
        <w:trPr>
          <w:trHeight w:val="164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71CA5738" w14:textId="77777777" w:rsidR="002F097A" w:rsidRPr="00D74E97" w:rsidRDefault="002F097A" w:rsidP="00E60E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Ostatní starší obrněná technika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80FEB8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7" w:type="dxa"/>
            <w:noWrap/>
            <w:vAlign w:val="center"/>
          </w:tcPr>
          <w:p w14:paraId="41B8D0F4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4 430 388</w:t>
            </w:r>
          </w:p>
        </w:tc>
        <w:tc>
          <w:tcPr>
            <w:tcW w:w="1587" w:type="dxa"/>
            <w:vAlign w:val="center"/>
          </w:tcPr>
          <w:p w14:paraId="6A350112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85 200</w:t>
            </w:r>
          </w:p>
        </w:tc>
        <w:tc>
          <w:tcPr>
            <w:tcW w:w="1701" w:type="dxa"/>
            <w:vAlign w:val="center"/>
          </w:tcPr>
          <w:p w14:paraId="0E7706FA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4E97">
              <w:rPr>
                <w:rFonts w:ascii="Calibri" w:hAnsi="Calibri" w:cs="Calibri"/>
                <w:sz w:val="20"/>
                <w:szCs w:val="20"/>
              </w:rPr>
              <w:t>28 400</w:t>
            </w:r>
          </w:p>
        </w:tc>
      </w:tr>
      <w:tr w:rsidR="002F097A" w:rsidRPr="00D74E97" w14:paraId="49D88A49" w14:textId="77777777" w:rsidTr="00680549">
        <w:trPr>
          <w:trHeight w:val="197"/>
          <w:jc w:val="center"/>
        </w:trPr>
        <w:tc>
          <w:tcPr>
            <w:tcW w:w="3402" w:type="dxa"/>
            <w:shd w:val="clear" w:color="auto" w:fill="F2C6C9"/>
            <w:noWrap/>
            <w:vAlign w:val="center"/>
          </w:tcPr>
          <w:p w14:paraId="2682C9D9" w14:textId="7F46F08E" w:rsidR="002F097A" w:rsidRPr="00D74E97" w:rsidRDefault="002F097A" w:rsidP="00E60E6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Celkem </w:t>
            </w:r>
            <w:r w:rsidR="005B39E0" w:rsidRPr="00D74E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počet a </w:t>
            </w:r>
            <w:r w:rsidRPr="00D74E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850" w:type="dxa"/>
            <w:shd w:val="clear" w:color="auto" w:fill="F2C6C9"/>
            <w:noWrap/>
            <w:vAlign w:val="center"/>
          </w:tcPr>
          <w:p w14:paraId="02865297" w14:textId="77777777" w:rsidR="002F097A" w:rsidRPr="00D74E97" w:rsidRDefault="002F097A" w:rsidP="00D74E97">
            <w:pPr>
              <w:ind w:right="17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1 088</w:t>
            </w:r>
          </w:p>
        </w:tc>
        <w:tc>
          <w:tcPr>
            <w:tcW w:w="1587" w:type="dxa"/>
            <w:shd w:val="clear" w:color="auto" w:fill="F2C6C9"/>
            <w:noWrap/>
            <w:vAlign w:val="center"/>
          </w:tcPr>
          <w:p w14:paraId="761B2CA4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sz w:val="20"/>
                <w:szCs w:val="20"/>
              </w:rPr>
              <w:t>1 299 519 539</w:t>
            </w:r>
          </w:p>
        </w:tc>
        <w:tc>
          <w:tcPr>
            <w:tcW w:w="1587" w:type="dxa"/>
            <w:shd w:val="clear" w:color="auto" w:fill="F2C6C9"/>
            <w:vAlign w:val="center"/>
          </w:tcPr>
          <w:p w14:paraId="0B8C7BDB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2C6C9"/>
            <w:vAlign w:val="center"/>
          </w:tcPr>
          <w:p w14:paraId="277836BC" w14:textId="77777777" w:rsidR="002F097A" w:rsidRPr="00D74E97" w:rsidRDefault="002F097A" w:rsidP="00D74E97">
            <w:pPr>
              <w:ind w:right="57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74E9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14:paraId="133DF102" w14:textId="77777777" w:rsidR="002F097A" w:rsidRPr="0094689E" w:rsidRDefault="002F097A" w:rsidP="00D74E97">
      <w:p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1A669C">
        <w:rPr>
          <w:rFonts w:asciiTheme="minorHAnsi" w:hAnsiTheme="minorHAnsi" w:cstheme="minorHAnsi"/>
          <w:b/>
          <w:sz w:val="20"/>
          <w:szCs w:val="20"/>
        </w:rPr>
        <w:t>Zdroj:</w:t>
      </w:r>
      <w:r w:rsidRPr="0094689E">
        <w:rPr>
          <w:rFonts w:asciiTheme="minorHAnsi" w:hAnsiTheme="minorHAnsi" w:cstheme="minorHAnsi"/>
          <w:sz w:val="20"/>
          <w:szCs w:val="20"/>
        </w:rPr>
        <w:t xml:space="preserve"> MO.</w:t>
      </w:r>
    </w:p>
    <w:p w14:paraId="770D93DA" w14:textId="684B3355" w:rsidR="00306A1C" w:rsidRPr="00022A31" w:rsidRDefault="00306A1C" w:rsidP="00A41D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306A1C" w:rsidRPr="00022A31" w:rsidSect="00CF5714">
      <w:pgSz w:w="11907" w:h="16839" w:code="9"/>
      <w:pgMar w:top="1417" w:right="1417" w:bottom="1417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A81D2" w14:textId="77777777" w:rsidR="006F1498" w:rsidRDefault="006F1498">
      <w:r>
        <w:separator/>
      </w:r>
    </w:p>
  </w:endnote>
  <w:endnote w:type="continuationSeparator" w:id="0">
    <w:p w14:paraId="4563D0A9" w14:textId="77777777" w:rsidR="006F1498" w:rsidRDefault="006F1498">
      <w:r>
        <w:continuationSeparator/>
      </w:r>
    </w:p>
  </w:endnote>
  <w:endnote w:type="continuationNotice" w:id="1">
    <w:p w14:paraId="7C9F2ED7" w14:textId="77777777" w:rsidR="006F1498" w:rsidRDefault="006F1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2494" w14:textId="77777777" w:rsidR="006F1498" w:rsidRDefault="006F14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61784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D1FF215" w14:textId="5C281F7C" w:rsidR="006F1498" w:rsidRPr="00417867" w:rsidRDefault="006F1498" w:rsidP="00417867">
        <w:pPr>
          <w:pStyle w:val="Zpat"/>
          <w:jc w:val="center"/>
          <w:rPr>
            <w:rFonts w:ascii="Calibri" w:hAnsi="Calibri" w:cs="Calibri"/>
          </w:rPr>
        </w:pPr>
        <w:r w:rsidRPr="00417867">
          <w:rPr>
            <w:rFonts w:ascii="Calibri" w:hAnsi="Calibri" w:cs="Calibri"/>
          </w:rPr>
          <w:fldChar w:fldCharType="begin"/>
        </w:r>
        <w:r w:rsidRPr="00417867">
          <w:rPr>
            <w:rFonts w:ascii="Calibri" w:hAnsi="Calibri" w:cs="Calibri"/>
          </w:rPr>
          <w:instrText>PAGE   \* MERGEFORMAT</w:instrText>
        </w:r>
        <w:r w:rsidRPr="00417867">
          <w:rPr>
            <w:rFonts w:ascii="Calibri" w:hAnsi="Calibri" w:cs="Calibri"/>
          </w:rPr>
          <w:fldChar w:fldCharType="separate"/>
        </w:r>
        <w:r w:rsidR="00D310BD">
          <w:rPr>
            <w:rFonts w:ascii="Calibri" w:hAnsi="Calibri" w:cs="Calibri"/>
            <w:noProof/>
          </w:rPr>
          <w:t>21</w:t>
        </w:r>
        <w:r w:rsidRPr="00417867">
          <w:rPr>
            <w:rFonts w:ascii="Calibri" w:hAnsi="Calibri" w:cs="Calibr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B7262" w14:textId="5C2338AA" w:rsidR="006F1498" w:rsidRPr="00417867" w:rsidRDefault="006F1498" w:rsidP="00417867">
    <w:pPr>
      <w:pStyle w:val="Zpat"/>
      <w:jc w:val="center"/>
      <w:rPr>
        <w:rFonts w:ascii="Calibri" w:hAnsi="Calibri" w:cs="Calibri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22BC" w14:textId="77777777" w:rsidR="006F1498" w:rsidRDefault="006F1498">
      <w:r>
        <w:separator/>
      </w:r>
    </w:p>
  </w:footnote>
  <w:footnote w:type="continuationSeparator" w:id="0">
    <w:p w14:paraId="6562A493" w14:textId="77777777" w:rsidR="006F1498" w:rsidRDefault="006F1498">
      <w:r>
        <w:continuationSeparator/>
      </w:r>
    </w:p>
  </w:footnote>
  <w:footnote w:type="continuationNotice" w:id="1">
    <w:p w14:paraId="72F89748" w14:textId="77777777" w:rsidR="006F1498" w:rsidRDefault="006F1498"/>
  </w:footnote>
  <w:footnote w:id="2">
    <w:p w14:paraId="799189BB" w14:textId="77777777" w:rsidR="006F1498" w:rsidRPr="00953BC6" w:rsidRDefault="006F1498" w:rsidP="004949A3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953BC6">
        <w:rPr>
          <w:rStyle w:val="Znakapoznpodarou"/>
          <w:rFonts w:asciiTheme="minorHAnsi" w:hAnsiTheme="minorHAnsi" w:cstheme="minorHAnsi"/>
        </w:rPr>
        <w:footnoteRef/>
      </w:r>
      <w:r w:rsidRPr="00953B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Jedná se zejména o náklady na provoz, opravy a udržování obrněné techniky, neboť tyto položky tvoří mimo celkové ceny za pořízení zpravidla největší část nákladů životního cyklu obrněné techniky.</w:t>
      </w:r>
    </w:p>
  </w:footnote>
  <w:footnote w:id="3">
    <w:p w14:paraId="6CAAB5DF" w14:textId="77777777" w:rsidR="006F1498" w:rsidRPr="00937F42" w:rsidRDefault="006F1498" w:rsidP="00A52888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937F42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Ustanovení § 21 zákona č</w:t>
      </w:r>
      <w:r w:rsidRPr="00A71C75">
        <w:rPr>
          <w:rFonts w:asciiTheme="minorHAnsi" w:hAnsiTheme="minorHAnsi" w:cstheme="minorHAnsi"/>
        </w:rPr>
        <w:t>. 2/1969 Sb., o zřízení ministerstev a jiných ústředních orgánů státní správy České</w:t>
      </w:r>
      <w:r>
        <w:rPr>
          <w:rFonts w:asciiTheme="minorHAnsi" w:hAnsiTheme="minorHAnsi" w:cstheme="minorHAnsi"/>
        </w:rPr>
        <w:t xml:space="preserve"> republiky.</w:t>
      </w:r>
    </w:p>
  </w:footnote>
  <w:footnote w:id="4">
    <w:p w14:paraId="5F3286F2" w14:textId="77777777" w:rsidR="006F1498" w:rsidRPr="003602CB" w:rsidRDefault="006F1498" w:rsidP="00A52888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727051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Ustanovení § 14 odst. 4 z</w:t>
      </w:r>
      <w:r w:rsidRPr="00727051">
        <w:rPr>
          <w:rFonts w:asciiTheme="minorHAnsi" w:hAnsiTheme="minorHAnsi" w:cstheme="minorHAnsi"/>
        </w:rPr>
        <w:t>ákon</w:t>
      </w:r>
      <w:r>
        <w:rPr>
          <w:rFonts w:asciiTheme="minorHAnsi" w:hAnsiTheme="minorHAnsi" w:cstheme="minorHAnsi"/>
        </w:rPr>
        <w:t>a</w:t>
      </w:r>
      <w:r w:rsidRPr="00727051">
        <w:rPr>
          <w:rFonts w:asciiTheme="minorHAnsi" w:hAnsiTheme="minorHAnsi" w:cstheme="minorHAnsi"/>
        </w:rPr>
        <w:t xml:space="preserve"> č. 219/2000 Sb., o majetku České republiky a jejím vystupov</w:t>
      </w:r>
      <w:r>
        <w:rPr>
          <w:rFonts w:asciiTheme="minorHAnsi" w:hAnsiTheme="minorHAnsi" w:cstheme="minorHAnsi"/>
        </w:rPr>
        <w:t xml:space="preserve">ání v právních </w:t>
      </w:r>
      <w:r w:rsidRPr="003602CB">
        <w:rPr>
          <w:rFonts w:asciiTheme="minorHAnsi" w:hAnsiTheme="minorHAnsi" w:cstheme="minorHAnsi"/>
        </w:rPr>
        <w:t>vztazích.</w:t>
      </w:r>
    </w:p>
  </w:footnote>
  <w:footnote w:id="5">
    <w:p w14:paraId="0323ECAA" w14:textId="414FFD5E" w:rsidR="006F1498" w:rsidRPr="003602CB" w:rsidRDefault="006F1498" w:rsidP="003602CB">
      <w:pPr>
        <w:pStyle w:val="Textpoznpodarou"/>
        <w:tabs>
          <w:tab w:val="left" w:pos="284"/>
        </w:tabs>
        <w:ind w:left="284" w:hanging="284"/>
        <w:jc w:val="both"/>
        <w:rPr>
          <w:rStyle w:val="Znakapoznpodarou"/>
          <w:rFonts w:asciiTheme="minorHAnsi" w:hAnsiTheme="minorHAnsi" w:cstheme="minorHAnsi"/>
        </w:rPr>
      </w:pPr>
      <w:r w:rsidRPr="003602CB">
        <w:rPr>
          <w:rStyle w:val="Znakapoznpodarou"/>
          <w:rFonts w:asciiTheme="minorHAnsi" w:hAnsiTheme="minorHAnsi" w:cstheme="minorHAnsi"/>
        </w:rPr>
        <w:footnoteRef/>
      </w:r>
      <w:r w:rsidRPr="003602CB">
        <w:rPr>
          <w:rFonts w:asciiTheme="minorHAnsi" w:hAnsiTheme="minorHAnsi" w:cstheme="minorHAnsi"/>
        </w:rPr>
        <w:t xml:space="preserve"> </w:t>
      </w:r>
      <w:r w:rsidRPr="003602C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Dle </w:t>
      </w:r>
      <w:r w:rsidRPr="00D87177">
        <w:rPr>
          <w:rFonts w:asciiTheme="minorHAnsi" w:hAnsiTheme="minorHAnsi" w:cstheme="minorHAnsi"/>
          <w:i/>
        </w:rPr>
        <w:t>S</w:t>
      </w:r>
      <w:r w:rsidRPr="00F0673B">
        <w:rPr>
          <w:rFonts w:asciiTheme="minorHAnsi" w:hAnsiTheme="minorHAnsi" w:cstheme="minorHAnsi"/>
          <w:i/>
        </w:rPr>
        <w:t xml:space="preserve">měrnice MO </w:t>
      </w:r>
      <w:r w:rsidRPr="001230B6">
        <w:rPr>
          <w:rFonts w:asciiTheme="minorHAnsi" w:hAnsiTheme="minorHAnsi" w:cstheme="minorHAnsi"/>
          <w:i/>
        </w:rPr>
        <w:t>pro</w:t>
      </w:r>
      <w:r w:rsidRPr="00341608">
        <w:rPr>
          <w:rFonts w:asciiTheme="minorHAnsi" w:hAnsiTheme="minorHAnsi" w:cstheme="minorHAnsi"/>
          <w:i/>
        </w:rPr>
        <w:t xml:space="preserve"> sledování a vyhodnocování koeficientu technické pohotovosti čj. 1706/2008-3042-POM</w:t>
      </w:r>
      <w:r>
        <w:rPr>
          <w:rFonts w:asciiTheme="minorHAnsi" w:hAnsiTheme="minorHAnsi" w:cstheme="minorHAnsi"/>
        </w:rPr>
        <w:t>.</w:t>
      </w:r>
    </w:p>
  </w:footnote>
  <w:footnote w:id="6">
    <w:p w14:paraId="713D8EDC" w14:textId="7087A1DD" w:rsidR="006F1498" w:rsidRPr="00D13D51" w:rsidRDefault="006F1498" w:rsidP="00A52888">
      <w:pPr>
        <w:pStyle w:val="Textpoznpodarou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13D51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27051">
        <w:rPr>
          <w:rFonts w:asciiTheme="minorHAnsi" w:hAnsiTheme="minorHAnsi" w:cstheme="minorHAnsi"/>
        </w:rPr>
        <w:t>Zákon č. 137/2006 Sb., o veřejných zakázkách</w:t>
      </w:r>
      <w:r>
        <w:rPr>
          <w:rFonts w:asciiTheme="minorHAnsi" w:hAnsiTheme="minorHAnsi" w:cstheme="minorHAnsi"/>
        </w:rPr>
        <w:t xml:space="preserve">; zákon </w:t>
      </w:r>
      <w:r w:rsidRPr="00727051">
        <w:rPr>
          <w:rFonts w:asciiTheme="minorHAnsi" w:hAnsiTheme="minorHAnsi" w:cstheme="minorHAnsi"/>
        </w:rPr>
        <w:t>č. 134/2016 Sb., o zadávání veřejných zakázek.</w:t>
      </w:r>
    </w:p>
  </w:footnote>
  <w:footnote w:id="7">
    <w:p w14:paraId="10751C42" w14:textId="6151115F" w:rsidR="006F1498" w:rsidRPr="00334AED" w:rsidRDefault="006F1498" w:rsidP="00DF68AE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334AED">
        <w:rPr>
          <w:rStyle w:val="Znakapoznpodarou"/>
          <w:rFonts w:asciiTheme="minorHAnsi" w:hAnsiTheme="minorHAnsi" w:cstheme="minorHAnsi"/>
        </w:rPr>
        <w:footnoteRef/>
      </w:r>
      <w:r w:rsidRPr="00334A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Ustanovení § 12 odst. 1 zákona č. 218/2000 Sb., o </w:t>
      </w:r>
      <w:r w:rsidRPr="00DF68AE">
        <w:rPr>
          <w:rFonts w:asciiTheme="minorHAnsi" w:hAnsiTheme="minorHAnsi" w:cstheme="minorHAnsi"/>
        </w:rPr>
        <w:t>rozpočtových pravidlech a o změně některých</w:t>
      </w:r>
      <w:r>
        <w:rPr>
          <w:rFonts w:asciiTheme="minorHAnsi" w:hAnsiTheme="minorHAnsi" w:cstheme="minorHAnsi"/>
        </w:rPr>
        <w:t xml:space="preserve"> </w:t>
      </w:r>
      <w:r w:rsidRPr="00DF68AE">
        <w:rPr>
          <w:rFonts w:asciiTheme="minorHAnsi" w:hAnsiTheme="minorHAnsi" w:cstheme="minorHAnsi"/>
        </w:rPr>
        <w:t>souvisejících zákonů</w:t>
      </w:r>
      <w:r>
        <w:rPr>
          <w:rFonts w:asciiTheme="minorHAnsi" w:hAnsiTheme="minorHAnsi" w:cstheme="minorHAnsi"/>
        </w:rPr>
        <w:t xml:space="preserve"> </w:t>
      </w:r>
      <w:r w:rsidRPr="00DF68AE">
        <w:rPr>
          <w:rFonts w:asciiTheme="minorHAnsi" w:hAnsiTheme="minorHAnsi" w:cstheme="minorHAnsi"/>
        </w:rPr>
        <w:t>(rozpočtová pravidla)</w:t>
      </w:r>
      <w:r>
        <w:rPr>
          <w:rFonts w:asciiTheme="minorHAnsi" w:hAnsiTheme="minorHAnsi" w:cstheme="minorHAnsi"/>
        </w:rPr>
        <w:t>.</w:t>
      </w:r>
    </w:p>
  </w:footnote>
  <w:footnote w:id="8">
    <w:p w14:paraId="602FE8AD" w14:textId="5FDC3FF2" w:rsidR="006F1498" w:rsidRPr="000A65E3" w:rsidRDefault="006F1498" w:rsidP="00E52884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0A65E3">
        <w:rPr>
          <w:rStyle w:val="Znakapoznpodarou"/>
          <w:rFonts w:asciiTheme="minorHAnsi" w:hAnsiTheme="minorHAnsi" w:cstheme="minorHAnsi"/>
        </w:rPr>
        <w:footnoteRef/>
      </w:r>
      <w:r w:rsidRPr="000A65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Ustanovení § 2 písm. n) a o) zákona č. 320/2001 Sb., o finanční kontrole ve veřejné správě a o změně některých zákonů (zákon o finanční kontrole).   </w:t>
      </w:r>
    </w:p>
  </w:footnote>
  <w:footnote w:id="9">
    <w:p w14:paraId="2E9A7996" w14:textId="25706861" w:rsidR="006F1498" w:rsidRPr="003D1894" w:rsidRDefault="006F1498" w:rsidP="00177724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3D1894">
        <w:rPr>
          <w:rStyle w:val="Znakapoznpodarou"/>
          <w:rFonts w:asciiTheme="minorHAnsi" w:hAnsiTheme="minorHAnsi" w:cstheme="minorHAnsi"/>
        </w:rPr>
        <w:footnoteRef/>
      </w:r>
      <w:r w:rsidRPr="003D18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Usnesení vlády České republiky ze dne 18. května 2011 č. 369, </w:t>
      </w:r>
      <w:r w:rsidRPr="00AF5EE2">
        <w:rPr>
          <w:rFonts w:asciiTheme="minorHAnsi" w:hAnsiTheme="minorHAnsi" w:cstheme="minorHAnsi"/>
          <w:i/>
        </w:rPr>
        <w:t>o Bílé knize o obraně</w:t>
      </w:r>
      <w:r>
        <w:rPr>
          <w:rFonts w:asciiTheme="minorHAnsi" w:hAnsiTheme="minorHAnsi" w:cstheme="minorHAnsi"/>
        </w:rPr>
        <w:t>,</w:t>
      </w:r>
      <w:r w:rsidRPr="00F67B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usnesení vlády České republiky ze dne 19. prosince 2016 č. 1166, </w:t>
      </w:r>
      <w:r w:rsidRPr="00AF5EE2">
        <w:rPr>
          <w:rFonts w:asciiTheme="minorHAnsi" w:hAnsiTheme="minorHAnsi" w:cstheme="minorHAnsi"/>
          <w:i/>
        </w:rPr>
        <w:t>ke Strategii vyzbrojování a podpory rozvoje obranného průmyslu České republiky do roku 2025</w:t>
      </w:r>
      <w:r>
        <w:rPr>
          <w:rFonts w:asciiTheme="minorHAnsi" w:hAnsiTheme="minorHAnsi" w:cstheme="minorHAnsi"/>
        </w:rPr>
        <w:t xml:space="preserve">, usnesení vlády České republiky ze dne 18. března 2019 č. 187, </w:t>
      </w:r>
      <w:r w:rsidRPr="00AF5EE2">
        <w:rPr>
          <w:rFonts w:asciiTheme="minorHAnsi" w:hAnsiTheme="minorHAnsi" w:cstheme="minorHAnsi"/>
          <w:i/>
        </w:rPr>
        <w:t>o Dlouhodobém výhledu pro obranu 2035</w:t>
      </w:r>
      <w:r>
        <w:rPr>
          <w:rFonts w:asciiTheme="minorHAnsi" w:hAnsiTheme="minorHAnsi" w:cstheme="minorHAnsi"/>
        </w:rPr>
        <w:t xml:space="preserve">. </w:t>
      </w:r>
    </w:p>
  </w:footnote>
  <w:footnote w:id="10">
    <w:p w14:paraId="4F1446B6" w14:textId="4F97BBFE" w:rsidR="006F1498" w:rsidRPr="00F22755" w:rsidRDefault="006F1498" w:rsidP="000D6014">
      <w:pPr>
        <w:pStyle w:val="Textpoznpodarou"/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 w:rsidRPr="00F22755">
        <w:rPr>
          <w:rStyle w:val="Znakapoznpodarou"/>
          <w:rFonts w:ascii="Calibri" w:hAnsi="Calibri" w:cs="Calibri"/>
        </w:rPr>
        <w:footnoteRef/>
      </w:r>
      <w:r w:rsidRPr="00F22755">
        <w:rPr>
          <w:rFonts w:ascii="Calibri" w:hAnsi="Calibri" w:cs="Calibri"/>
        </w:rPr>
        <w:t xml:space="preserve"> </w:t>
      </w:r>
      <w:r w:rsidRPr="00F22755">
        <w:rPr>
          <w:rFonts w:ascii="Calibri" w:hAnsi="Calibri" w:cs="Calibri"/>
        </w:rPr>
        <w:tab/>
        <w:t>Specifické vojenské systémy vyráběné v omezeném počtu podle konkrétních požadavků zadavatele.</w:t>
      </w:r>
    </w:p>
  </w:footnote>
  <w:footnote w:id="11">
    <w:p w14:paraId="7268A945" w14:textId="57946184" w:rsidR="006F1498" w:rsidRPr="00F22755" w:rsidRDefault="006F1498" w:rsidP="004949A3">
      <w:pPr>
        <w:pStyle w:val="Textpoznpodarou"/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 w:rsidRPr="00F22755">
        <w:rPr>
          <w:rStyle w:val="Znakapoznpodarou"/>
          <w:rFonts w:ascii="Calibri" w:hAnsi="Calibri" w:cs="Calibri"/>
        </w:rPr>
        <w:footnoteRef/>
      </w:r>
      <w:r w:rsidRPr="00F22755">
        <w:rPr>
          <w:rFonts w:ascii="Calibri" w:hAnsi="Calibri" w:cs="Calibri"/>
        </w:rPr>
        <w:t xml:space="preserve"> </w:t>
      </w:r>
      <w:r w:rsidRPr="00F22755">
        <w:rPr>
          <w:rFonts w:ascii="Calibri" w:hAnsi="Calibri" w:cs="Calibri"/>
        </w:rPr>
        <w:tab/>
        <w:t>Jedná se o průměrné přímé provozní náklady včetně nákladů na údržbu, vojskové a mimo-vojskové opravy, obligatorní náklady na obsluhu vozidel, jejich ukládání a skladování. Průměrné náklady na výcvik ve střelbě byly z provádění analýz nákladů životního cyklu vyjmuty.</w:t>
      </w:r>
    </w:p>
  </w:footnote>
  <w:footnote w:id="12">
    <w:p w14:paraId="3D765A79" w14:textId="4E8F5FC7" w:rsidR="006F1498" w:rsidRPr="004D0DA0" w:rsidRDefault="006F1498" w:rsidP="004D0DA0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4D0DA0">
        <w:rPr>
          <w:rStyle w:val="Znakapoznpodarou"/>
          <w:rFonts w:asciiTheme="minorHAnsi" w:hAnsiTheme="minorHAnsi" w:cstheme="minorHAnsi"/>
        </w:rPr>
        <w:footnoteRef/>
      </w:r>
      <w:r w:rsidRPr="004D0D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Jedná se o kolová obrněná vozidla na podvozku 8x8.</w:t>
      </w:r>
    </w:p>
  </w:footnote>
  <w:footnote w:id="13">
    <w:p w14:paraId="63D0BA1D" w14:textId="702BA70D" w:rsidR="006F1498" w:rsidRPr="0005755D" w:rsidRDefault="006F1498" w:rsidP="0010087F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05755D">
        <w:rPr>
          <w:rStyle w:val="Znakapoznpodarou"/>
          <w:rFonts w:asciiTheme="minorHAnsi" w:hAnsiTheme="minorHAnsi" w:cstheme="minorHAnsi"/>
        </w:rPr>
        <w:footnoteRef/>
      </w:r>
      <w:r w:rsidRPr="000575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Cena investiční akce je uvedena včetně DPH. </w:t>
      </w:r>
    </w:p>
  </w:footnote>
  <w:footnote w:id="14">
    <w:p w14:paraId="5970A05B" w14:textId="2749075F" w:rsidR="006F1498" w:rsidRPr="00EF1655" w:rsidRDefault="006F1498" w:rsidP="002F097A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AB28C5">
        <w:rPr>
          <w:rStyle w:val="Znakapoznpodarou"/>
          <w:rFonts w:asciiTheme="minorHAnsi" w:hAnsiTheme="minorHAnsi" w:cstheme="minorHAnsi"/>
        </w:rPr>
        <w:footnoteRef/>
      </w:r>
      <w:r w:rsidRPr="00AB28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Usnesení vlády </w:t>
      </w:r>
      <w:r w:rsidRPr="002F097A">
        <w:rPr>
          <w:rFonts w:asciiTheme="minorHAnsi" w:hAnsiTheme="minorHAnsi" w:cstheme="minorHAnsi"/>
        </w:rPr>
        <w:t>České republiky ze dne 16. září 2019 č. 652</w:t>
      </w:r>
      <w:r>
        <w:rPr>
          <w:rFonts w:asciiTheme="minorHAnsi" w:hAnsiTheme="minorHAnsi" w:cstheme="minorHAnsi"/>
        </w:rPr>
        <w:t>,</w:t>
      </w:r>
      <w:r w:rsidRPr="002F097A">
        <w:rPr>
          <w:rFonts w:asciiTheme="minorHAnsi" w:hAnsiTheme="minorHAnsi" w:cstheme="minorHAnsi"/>
        </w:rPr>
        <w:t xml:space="preserve"> </w:t>
      </w:r>
      <w:r w:rsidRPr="005574FF">
        <w:rPr>
          <w:rFonts w:asciiTheme="minorHAnsi" w:hAnsiTheme="minorHAnsi" w:cstheme="minorHAnsi"/>
          <w:i/>
        </w:rPr>
        <w:t>k návrhu zákona o státním rozpočtu České republiky na rok 2020 a střednědobého výhledu státního rozpočtu České republiky na léta 2021 a 2022</w:t>
      </w:r>
      <w:r w:rsidRPr="00EF1655">
        <w:rPr>
          <w:rFonts w:asciiTheme="minorHAnsi" w:hAnsiTheme="minorHAnsi" w:cstheme="minorHAnsi"/>
        </w:rPr>
        <w:t>.</w:t>
      </w:r>
    </w:p>
  </w:footnote>
  <w:footnote w:id="15">
    <w:p w14:paraId="6B3EC6A4" w14:textId="1756F3AD" w:rsidR="006F1498" w:rsidRPr="00EF1655" w:rsidRDefault="006F1498" w:rsidP="00EF1655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EF1655">
        <w:rPr>
          <w:rStyle w:val="Znakapoznpodarou"/>
          <w:rFonts w:asciiTheme="minorHAnsi" w:hAnsiTheme="minorHAnsi" w:cstheme="minorHAnsi"/>
        </w:rPr>
        <w:footnoteRef/>
      </w:r>
      <w:r w:rsidRPr="00EF1655">
        <w:rPr>
          <w:rFonts w:asciiTheme="minorHAnsi" w:hAnsiTheme="minorHAnsi" w:cstheme="minorHAnsi"/>
        </w:rPr>
        <w:t xml:space="preserve"> </w:t>
      </w:r>
      <w:r w:rsidRPr="00EF1655">
        <w:rPr>
          <w:rFonts w:asciiTheme="minorHAnsi" w:hAnsiTheme="minorHAnsi" w:cstheme="minorHAnsi"/>
        </w:rPr>
        <w:tab/>
        <w:t>Usnesení vlády České republiky ze dne 4. února 2015 č. 79</w:t>
      </w:r>
      <w:r>
        <w:rPr>
          <w:rFonts w:asciiTheme="minorHAnsi" w:hAnsiTheme="minorHAnsi" w:cstheme="minorHAnsi"/>
        </w:rPr>
        <w:t>,</w:t>
      </w:r>
      <w:r w:rsidRPr="00EF1655">
        <w:rPr>
          <w:rFonts w:asciiTheme="minorHAnsi" w:hAnsiTheme="minorHAnsi" w:cstheme="minorHAnsi"/>
        </w:rPr>
        <w:t xml:space="preserve"> </w:t>
      </w:r>
      <w:r w:rsidRPr="005574FF">
        <w:rPr>
          <w:rFonts w:asciiTheme="minorHAnsi" w:hAnsiTheme="minorHAnsi" w:cstheme="minorHAnsi"/>
          <w:i/>
        </w:rPr>
        <w:t>o Bezpečnostní strategii České republiky 2015</w:t>
      </w:r>
      <w:r w:rsidRPr="00EF1655">
        <w:rPr>
          <w:rFonts w:asciiTheme="minorHAnsi" w:hAnsiTheme="minorHAnsi" w:cstheme="minorHAnsi"/>
        </w:rPr>
        <w:t>, usnesení vlády České republiky ze dne 21. prosince 2015 č. 1094</w:t>
      </w:r>
      <w:r>
        <w:rPr>
          <w:rFonts w:asciiTheme="minorHAnsi" w:hAnsiTheme="minorHAnsi" w:cstheme="minorHAnsi"/>
        </w:rPr>
        <w:t>,</w:t>
      </w:r>
      <w:r w:rsidRPr="00EF1655">
        <w:rPr>
          <w:rFonts w:asciiTheme="minorHAnsi" w:hAnsiTheme="minorHAnsi" w:cstheme="minorHAnsi"/>
        </w:rPr>
        <w:t xml:space="preserve"> </w:t>
      </w:r>
      <w:r w:rsidRPr="005574FF">
        <w:rPr>
          <w:rFonts w:asciiTheme="minorHAnsi" w:hAnsiTheme="minorHAnsi" w:cstheme="minorHAnsi"/>
          <w:i/>
        </w:rPr>
        <w:t>o Koncepci výstavby České republiky do roku 2025</w:t>
      </w:r>
      <w:r>
        <w:rPr>
          <w:rFonts w:asciiTheme="minorHAnsi" w:hAnsiTheme="minorHAnsi" w:cstheme="minorHAnsi"/>
        </w:rPr>
        <w:t>,</w:t>
      </w:r>
      <w:r w:rsidRPr="00EF1655">
        <w:rPr>
          <w:rFonts w:asciiTheme="minorHAnsi" w:hAnsiTheme="minorHAnsi" w:cstheme="minorHAnsi"/>
        </w:rPr>
        <w:t xml:space="preserve"> nebo </w:t>
      </w:r>
      <w:r w:rsidRPr="00EF1655">
        <w:rPr>
          <w:rFonts w:asciiTheme="minorHAnsi" w:hAnsiTheme="minorHAnsi" w:cstheme="minorHAnsi"/>
          <w:i/>
        </w:rPr>
        <w:t>Smlouva koaličních stran o zajištění obrany České republiky</w:t>
      </w:r>
      <w:r w:rsidRPr="00EF1655">
        <w:rPr>
          <w:rFonts w:asciiTheme="minorHAnsi" w:hAnsiTheme="minorHAnsi" w:cstheme="minorHAnsi"/>
        </w:rPr>
        <w:t xml:space="preserve"> ze dne 2. září 2014. </w:t>
      </w:r>
    </w:p>
  </w:footnote>
  <w:footnote w:id="16">
    <w:p w14:paraId="4D453A7C" w14:textId="17AE620A" w:rsidR="006F1498" w:rsidRPr="00727051" w:rsidRDefault="006F1498" w:rsidP="00D1660A">
      <w:pPr>
        <w:pStyle w:val="Textpoznpodarou"/>
        <w:ind w:left="284" w:hanging="284"/>
        <w:rPr>
          <w:rFonts w:asciiTheme="minorHAnsi" w:hAnsiTheme="minorHAnsi" w:cstheme="minorHAnsi"/>
        </w:rPr>
      </w:pPr>
      <w:r w:rsidRPr="00EF1655">
        <w:rPr>
          <w:rStyle w:val="Znakapoznpodarou"/>
          <w:rFonts w:asciiTheme="minorHAnsi" w:hAnsiTheme="minorHAnsi" w:cstheme="minorHAnsi"/>
        </w:rPr>
        <w:footnoteRef/>
      </w:r>
      <w:r w:rsidRPr="00EF1655">
        <w:rPr>
          <w:rFonts w:asciiTheme="minorHAnsi" w:hAnsiTheme="minorHAnsi" w:cstheme="minorHAnsi"/>
        </w:rPr>
        <w:t xml:space="preserve"> </w:t>
      </w:r>
      <w:r w:rsidRPr="00EF1655">
        <w:rPr>
          <w:rFonts w:asciiTheme="minorHAnsi" w:hAnsiTheme="minorHAnsi" w:cstheme="minorHAnsi"/>
        </w:rPr>
        <w:tab/>
        <w:t>Zákon č. 219/1999 Sb., o ozbrojených silách České republiky.</w:t>
      </w:r>
    </w:p>
  </w:footnote>
  <w:footnote w:id="17">
    <w:p w14:paraId="14DCC127" w14:textId="19990E9D" w:rsidR="006F1498" w:rsidRPr="00D466EB" w:rsidRDefault="006F1498" w:rsidP="00D61D8D">
      <w:pPr>
        <w:pStyle w:val="Textpoznpodarou"/>
        <w:ind w:left="284" w:hanging="284"/>
        <w:rPr>
          <w:rFonts w:asciiTheme="minorHAnsi" w:hAnsiTheme="minorHAnsi" w:cstheme="minorHAnsi"/>
        </w:rPr>
      </w:pPr>
      <w:r w:rsidRPr="00D466EB">
        <w:rPr>
          <w:rStyle w:val="Znakapoznpodarou"/>
          <w:rFonts w:asciiTheme="minorHAnsi" w:hAnsiTheme="minorHAnsi" w:cstheme="minorHAnsi"/>
        </w:rPr>
        <w:footnoteRef/>
      </w:r>
      <w:r w:rsidRPr="00D466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Standardizační dohoda Severoamerické aliance.</w:t>
      </w:r>
    </w:p>
  </w:footnote>
  <w:footnote w:id="18">
    <w:p w14:paraId="5E1D1C97" w14:textId="34B7E640" w:rsidR="006F1498" w:rsidRPr="00EC0ACF" w:rsidRDefault="006F1498" w:rsidP="00EC0ACF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C0ACF">
        <w:rPr>
          <w:rStyle w:val="Znakapoznpodarou"/>
          <w:rFonts w:asciiTheme="minorHAnsi" w:hAnsiTheme="minorHAnsi" w:cstheme="minorHAnsi"/>
        </w:rPr>
        <w:footnoteRef/>
      </w:r>
      <w:r w:rsidRPr="00EC0A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Údaj nezahrnuje radiolokátory a odpalovací zařízení používaná vzdušnými silami Armády. </w:t>
      </w:r>
    </w:p>
  </w:footnote>
  <w:footnote w:id="19">
    <w:p w14:paraId="271C6F22" w14:textId="0E08FCB2" w:rsidR="006F1498" w:rsidRPr="0067156E" w:rsidRDefault="006F1498" w:rsidP="00431FB1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67156E">
        <w:rPr>
          <w:rStyle w:val="Znakapoznpodarou"/>
          <w:rFonts w:asciiTheme="minorHAnsi" w:hAnsiTheme="minorHAnsi" w:cstheme="minorHAnsi"/>
        </w:rPr>
        <w:footnoteRef/>
      </w:r>
      <w:r w:rsidRPr="006715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Kromě obrněné techniky v provozu (tj. techniky zařazené v provozní kategorii) Armáda spravuje např. obrněnou techniku</w:t>
      </w:r>
      <w:r w:rsidRPr="008243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uloženou disponibilní nebo obrněnou techniku uloženou v zásobách pro zabezpečení bojové činnosti. Ukládáním techniky lze regulovat počet techniky v provozu, a tím i efektivitu systému zabezpečení provozu, údržby a oprav techniky.</w:t>
      </w:r>
    </w:p>
  </w:footnote>
  <w:footnote w:id="20">
    <w:p w14:paraId="3846A16A" w14:textId="338DA86B" w:rsidR="006F1498" w:rsidRPr="00EF64EC" w:rsidRDefault="006F1498" w:rsidP="00EF64EC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EF64EC">
        <w:rPr>
          <w:rStyle w:val="Znakapoznpodarou"/>
          <w:rFonts w:asciiTheme="minorHAnsi" w:hAnsiTheme="minorHAnsi" w:cstheme="minorHAnsi"/>
        </w:rPr>
        <w:footnoteRef/>
      </w:r>
      <w:r w:rsidRPr="00EF64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Výdaje vynaložené v letech 2016–2018 a výdaje vynaložené nebo plánované v roce 2019.</w:t>
      </w:r>
    </w:p>
  </w:footnote>
  <w:footnote w:id="21">
    <w:p w14:paraId="2C895179" w14:textId="46A02E8B" w:rsidR="006F1498" w:rsidRPr="006707B7" w:rsidRDefault="006F1498" w:rsidP="006707B7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6707B7">
        <w:rPr>
          <w:rStyle w:val="Znakapoznpodarou"/>
          <w:rFonts w:asciiTheme="minorHAnsi" w:hAnsiTheme="minorHAnsi" w:cstheme="minorHAnsi"/>
        </w:rPr>
        <w:footnoteRef/>
      </w:r>
      <w:r w:rsidRPr="006707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89/2012 Sb., občanský zákoník.</w:t>
      </w:r>
    </w:p>
  </w:footnote>
  <w:footnote w:id="22">
    <w:p w14:paraId="7EA4C3BF" w14:textId="4D0605CE" w:rsidR="006F1498" w:rsidRPr="00F206A5" w:rsidRDefault="006F1498" w:rsidP="009C7992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F206A5">
        <w:rPr>
          <w:rStyle w:val="Znakapoznpodarou"/>
          <w:rFonts w:asciiTheme="minorHAnsi" w:hAnsiTheme="minorHAnsi" w:cstheme="minorHAnsi"/>
        </w:rPr>
        <w:footnoteRef/>
      </w:r>
      <w:r w:rsidRPr="00F206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Pojmy hospodárnost, efektivnost a účelnost jsou vymezeny v ustanovení § 2 písm. m) až o) zákona č. 320/2001 Sb., o finanční kontrole ve veřejné správě a o změně některých zákonů (zákon o finanční kontrole).</w:t>
      </w:r>
    </w:p>
  </w:footnote>
  <w:footnote w:id="23">
    <w:p w14:paraId="0437E335" w14:textId="0C33C020" w:rsidR="006F1498" w:rsidRPr="00A00E85" w:rsidRDefault="006F1498" w:rsidP="00A00E85">
      <w:pPr>
        <w:pStyle w:val="Textpoznpodarou"/>
        <w:tabs>
          <w:tab w:val="left" w:pos="284"/>
        </w:tabs>
        <w:rPr>
          <w:rFonts w:asciiTheme="minorHAnsi" w:hAnsiTheme="minorHAnsi"/>
        </w:rPr>
      </w:pPr>
      <w:r w:rsidRPr="00A00E85">
        <w:rPr>
          <w:rStyle w:val="Znakapoznpodarou"/>
          <w:rFonts w:asciiTheme="minorHAnsi" w:hAnsiTheme="minorHAnsi"/>
        </w:rPr>
        <w:footnoteRef/>
      </w:r>
      <w:r w:rsidRPr="00A00E8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Kontrolována z nich byla pouze akce na pořízení pěti vyprošťovacích vozidel.</w:t>
      </w:r>
    </w:p>
  </w:footnote>
  <w:footnote w:id="24">
    <w:p w14:paraId="0375FB4A" w14:textId="75BF36D6" w:rsidR="006F1498" w:rsidRPr="0092465F" w:rsidRDefault="006F1498" w:rsidP="0092465F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92465F">
        <w:rPr>
          <w:rStyle w:val="Znakapoznpodarou"/>
          <w:rFonts w:asciiTheme="minorHAnsi" w:hAnsiTheme="minorHAnsi" w:cstheme="minorHAnsi"/>
        </w:rPr>
        <w:footnoteRef/>
      </w:r>
      <w:r w:rsidRPr="009246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Smlouva byla uzavřena dne 5. ledna 2016.</w:t>
      </w:r>
    </w:p>
  </w:footnote>
  <w:footnote w:id="25">
    <w:p w14:paraId="0311C701" w14:textId="08C8DC4B" w:rsidR="006F1498" w:rsidRPr="00DE41CE" w:rsidRDefault="006F1498" w:rsidP="00DE41CE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DE41CE">
        <w:rPr>
          <w:rStyle w:val="Znakapoznpodarou"/>
          <w:rFonts w:asciiTheme="minorHAnsi" w:hAnsiTheme="minorHAnsi" w:cstheme="minorHAnsi"/>
        </w:rPr>
        <w:footnoteRef/>
      </w:r>
      <w:r w:rsidRPr="00DE41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Ustanovení </w:t>
      </w:r>
      <w:r w:rsidRPr="00B71363">
        <w:rPr>
          <w:rFonts w:asciiTheme="minorHAnsi" w:hAnsiTheme="minorHAnsi"/>
          <w:iCs/>
        </w:rPr>
        <w:t>§ 18 odst. 1 písm. e) zákona č. 137/2006 Sb</w:t>
      </w:r>
      <w:r>
        <w:rPr>
          <w:rFonts w:asciiTheme="minorHAnsi" w:hAnsiTheme="minorHAnsi"/>
          <w:iCs/>
        </w:rPr>
        <w:t>., o veřejných zakázkách.</w:t>
      </w:r>
    </w:p>
  </w:footnote>
  <w:footnote w:id="26">
    <w:p w14:paraId="71B5AA20" w14:textId="3D275193" w:rsidR="006F1498" w:rsidRPr="00F00D82" w:rsidRDefault="006F1498" w:rsidP="00A93B59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F00D82">
        <w:rPr>
          <w:rStyle w:val="Znakapoznpodarou"/>
          <w:rFonts w:asciiTheme="minorHAnsi" w:hAnsiTheme="minorHAnsi" w:cstheme="minorHAnsi"/>
        </w:rPr>
        <w:footnoteRef/>
      </w:r>
      <w:r w:rsidRPr="00F00D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„</w:t>
      </w:r>
      <w:r w:rsidRPr="00B87481">
        <w:rPr>
          <w:rFonts w:asciiTheme="minorHAnsi" w:hAnsiTheme="minorHAnsi" w:cstheme="minorHAnsi"/>
        </w:rPr>
        <w:t>Uzamčení zákazníka</w:t>
      </w:r>
      <w:r>
        <w:rPr>
          <w:rFonts w:asciiTheme="minorHAnsi" w:hAnsiTheme="minorHAnsi" w:cstheme="minorHAnsi"/>
        </w:rPr>
        <w:t>“</w:t>
      </w:r>
      <w:r w:rsidRPr="00B87481">
        <w:rPr>
          <w:rFonts w:asciiTheme="minorHAnsi" w:hAnsiTheme="minorHAnsi" w:cstheme="minorHAnsi"/>
        </w:rPr>
        <w:t xml:space="preserve"> činí </w:t>
      </w:r>
      <w:hyperlink r:id="rId1" w:tooltip="Zákazník" w:history="1">
        <w:r w:rsidRPr="00B87481">
          <w:rPr>
            <w:rStyle w:val="Hypertextovodkaz"/>
            <w:rFonts w:asciiTheme="minorHAnsi" w:hAnsiTheme="minorHAnsi" w:cstheme="minorHAnsi"/>
            <w:color w:val="auto"/>
            <w:u w:val="none"/>
          </w:rPr>
          <w:t>zákazníka</w:t>
        </w:r>
      </w:hyperlink>
      <w:r w:rsidRPr="00B87481">
        <w:rPr>
          <w:rFonts w:asciiTheme="minorHAnsi" w:hAnsiTheme="minorHAnsi" w:cstheme="minorHAnsi"/>
        </w:rPr>
        <w:t xml:space="preserve"> závislým na </w:t>
      </w:r>
      <w:hyperlink r:id="rId2" w:tooltip="Produkt" w:history="1">
        <w:r w:rsidRPr="00B87481">
          <w:rPr>
            <w:rStyle w:val="Hypertextovodkaz"/>
            <w:rFonts w:asciiTheme="minorHAnsi" w:hAnsiTheme="minorHAnsi" w:cstheme="minorHAnsi"/>
            <w:color w:val="auto"/>
            <w:u w:val="none"/>
          </w:rPr>
          <w:t>produktech</w:t>
        </w:r>
      </w:hyperlink>
      <w:r w:rsidRPr="00B87481">
        <w:rPr>
          <w:rFonts w:asciiTheme="minorHAnsi" w:hAnsiTheme="minorHAnsi" w:cstheme="minorHAnsi"/>
        </w:rPr>
        <w:t xml:space="preserve"> a službách konkrétního subjektu tím, že vytváří značné náklady na přechod na produkty a služby jiných subjektů. V technologicky vyspělých odvětvích je tento efekt častý. V rámci zadávání veřejných zakázek je třeba hledat možnosti k vyvážení postavení zadavatele, například kalkulovat náklady na celý životní cyklus produktu a řešit přístup k autorských právům/licencím.</w:t>
      </w:r>
    </w:p>
  </w:footnote>
  <w:footnote w:id="27">
    <w:p w14:paraId="56C4CDA2" w14:textId="09D2EB2B" w:rsidR="006F1498" w:rsidRPr="002B131D" w:rsidRDefault="006F1498" w:rsidP="00A93B59">
      <w:pPr>
        <w:pStyle w:val="Textpoznpodarou"/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2B131D">
        <w:rPr>
          <w:rStyle w:val="Znakapoznpodarou"/>
          <w:rFonts w:asciiTheme="minorHAnsi" w:hAnsiTheme="minorHAnsi" w:cstheme="minorHAnsi"/>
        </w:rPr>
        <w:footnoteRef/>
      </w:r>
      <w:r w:rsidRPr="002B13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Analýzu systému údržby pozemní vojenské techniky zpracoval státní podnik Vojenský výzkumný ústav, s. p., v letech 2016–2018 pod názvem </w:t>
      </w:r>
      <w:r>
        <w:rPr>
          <w:rFonts w:asciiTheme="minorHAnsi" w:hAnsiTheme="minorHAnsi" w:cstheme="minorHAnsi"/>
          <w:i/>
        </w:rPr>
        <w:t xml:space="preserve">ÚSYS – Systém údržby techniky v resortu MO. </w:t>
      </w:r>
      <w:r>
        <w:rPr>
          <w:rFonts w:asciiTheme="minorHAnsi" w:hAnsiTheme="minorHAnsi" w:cstheme="minorHAnsi"/>
        </w:rPr>
        <w:t xml:space="preserve"> </w:t>
      </w:r>
    </w:p>
  </w:footnote>
  <w:footnote w:id="28">
    <w:p w14:paraId="4D2E9157" w14:textId="7B94946E" w:rsidR="006F1498" w:rsidRPr="00863BC7" w:rsidRDefault="006F1498" w:rsidP="00005CA4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15242F">
        <w:rPr>
          <w:rStyle w:val="Znakapoznpodarou"/>
          <w:rFonts w:asciiTheme="minorHAnsi" w:hAnsiTheme="minorHAnsi" w:cstheme="minorHAnsi"/>
        </w:rPr>
        <w:footnoteRef/>
      </w:r>
      <w:r w:rsidRPr="001524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Například v případě veřejné zakázky na kompletní servisní podporu KBVP a KOT doporučila sekce legislativní a právní MO přehodnotit soubor servisních činností, které měl dodavatel zajišťovat, neboť některé náklady uvedené v návrhu smlouvy byly podle ní několikanásobně vyšší než náklady na zajištění těchto činností </w:t>
      </w:r>
      <w:r w:rsidRPr="00863BC7">
        <w:rPr>
          <w:rFonts w:asciiTheme="minorHAnsi" w:hAnsiTheme="minorHAnsi" w:cstheme="minorHAnsi"/>
        </w:rPr>
        <w:t>vlastním</w:t>
      </w:r>
      <w:r>
        <w:rPr>
          <w:rFonts w:asciiTheme="minorHAnsi" w:hAnsiTheme="minorHAnsi" w:cstheme="minorHAnsi"/>
        </w:rPr>
        <w:t>i silami</w:t>
      </w:r>
      <w:r w:rsidRPr="00863BC7">
        <w:rPr>
          <w:rFonts w:asciiTheme="minorHAnsi" w:hAnsiTheme="minorHAnsi" w:cstheme="minorHAnsi"/>
        </w:rPr>
        <w:t xml:space="preserve"> Armády.</w:t>
      </w:r>
    </w:p>
  </w:footnote>
  <w:footnote w:id="29">
    <w:p w14:paraId="13A64DD0" w14:textId="29452A20" w:rsidR="006F1498" w:rsidRPr="00AF00C9" w:rsidRDefault="006F1498" w:rsidP="0076694C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4F60BB">
        <w:rPr>
          <w:rStyle w:val="Znakapoznpodarou"/>
          <w:rFonts w:asciiTheme="minorHAnsi" w:hAnsiTheme="minorHAnsi" w:cstheme="minorHAnsi"/>
        </w:rPr>
        <w:footnoteRef/>
      </w:r>
      <w:r w:rsidRPr="004F60BB">
        <w:rPr>
          <w:rFonts w:asciiTheme="minorHAnsi" w:hAnsiTheme="minorHAnsi" w:cstheme="minorHAnsi"/>
        </w:rPr>
        <w:t xml:space="preserve"> </w:t>
      </w:r>
      <w:r w:rsidRPr="00AF00C9">
        <w:rPr>
          <w:rFonts w:asciiTheme="minorHAnsi" w:hAnsiTheme="minorHAnsi" w:cstheme="minorHAnsi"/>
        </w:rPr>
        <w:tab/>
        <w:t>Hodnota investičních akcí evidovaných v </w:t>
      </w:r>
      <w:r>
        <w:rPr>
          <w:rFonts w:asciiTheme="minorHAnsi" w:hAnsiTheme="minorHAnsi" w:cstheme="minorHAnsi"/>
        </w:rPr>
        <w:t>i</w:t>
      </w:r>
      <w:r w:rsidRPr="00AF00C9">
        <w:rPr>
          <w:rFonts w:asciiTheme="minorHAnsi" w:hAnsiTheme="minorHAnsi" w:cstheme="minorHAnsi"/>
        </w:rPr>
        <w:t xml:space="preserve">nformačním systému </w:t>
      </w:r>
      <w:r w:rsidRPr="00140FE8">
        <w:rPr>
          <w:rFonts w:asciiTheme="minorHAnsi" w:hAnsiTheme="minorHAnsi" w:cstheme="minorHAnsi"/>
          <w:i/>
        </w:rPr>
        <w:t>Správa majetku ve vlastnictví státu</w:t>
      </w:r>
      <w:r w:rsidRPr="00AF00C9">
        <w:rPr>
          <w:rFonts w:asciiTheme="minorHAnsi" w:hAnsiTheme="minorHAnsi" w:cstheme="minorHAnsi"/>
        </w:rPr>
        <w:t xml:space="preserve"> ke dni 16. září 2019. </w:t>
      </w:r>
    </w:p>
  </w:footnote>
  <w:footnote w:id="30">
    <w:p w14:paraId="51182ED3" w14:textId="0EEAD81A" w:rsidR="006F1498" w:rsidRPr="00C208F3" w:rsidRDefault="006F1498" w:rsidP="00650454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C208F3">
        <w:rPr>
          <w:rStyle w:val="Znakapoznpodarou"/>
          <w:rFonts w:asciiTheme="minorHAnsi" w:hAnsiTheme="minorHAnsi" w:cstheme="minorHAnsi"/>
        </w:rPr>
        <w:footnoteRef/>
      </w:r>
      <w:r w:rsidRPr="00C208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Cena je uváděna včetně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3A6C" w14:textId="77777777" w:rsidR="006F1498" w:rsidRDefault="006F14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EAC8C" w14:textId="77777777" w:rsidR="006F1498" w:rsidRDefault="006F14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6D27" w14:textId="77777777" w:rsidR="006F1498" w:rsidRDefault="006F14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D84"/>
    <w:multiLevelType w:val="hybridMultilevel"/>
    <w:tmpl w:val="1018BBB6"/>
    <w:lvl w:ilvl="0" w:tplc="BE3C809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E97E60"/>
    <w:multiLevelType w:val="hybridMultilevel"/>
    <w:tmpl w:val="D4463E0C"/>
    <w:lvl w:ilvl="0" w:tplc="BE3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85D48"/>
    <w:multiLevelType w:val="hybridMultilevel"/>
    <w:tmpl w:val="C8F03BE6"/>
    <w:lvl w:ilvl="0" w:tplc="BE3C809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427C1C"/>
    <w:multiLevelType w:val="hybridMultilevel"/>
    <w:tmpl w:val="0EAE6968"/>
    <w:lvl w:ilvl="0" w:tplc="BE3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0E00"/>
    <w:multiLevelType w:val="hybridMultilevel"/>
    <w:tmpl w:val="9AE4A0CC"/>
    <w:lvl w:ilvl="0" w:tplc="BE3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F72"/>
    <w:multiLevelType w:val="hybridMultilevel"/>
    <w:tmpl w:val="C6263920"/>
    <w:lvl w:ilvl="0" w:tplc="BE3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025A"/>
    <w:multiLevelType w:val="hybridMultilevel"/>
    <w:tmpl w:val="2010686C"/>
    <w:lvl w:ilvl="0" w:tplc="70DE75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105470"/>
    <w:multiLevelType w:val="hybridMultilevel"/>
    <w:tmpl w:val="48729408"/>
    <w:lvl w:ilvl="0" w:tplc="BE3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80530"/>
    <w:multiLevelType w:val="hybridMultilevel"/>
    <w:tmpl w:val="37922A42"/>
    <w:lvl w:ilvl="0" w:tplc="7B2471CE">
      <w:numFmt w:val="bullet"/>
      <w:lvlText w:val="-"/>
      <w:lvlJc w:val="left"/>
      <w:pPr>
        <w:ind w:left="4614" w:hanging="360"/>
      </w:pPr>
      <w:rPr>
        <w:rFonts w:ascii="Calibri" w:eastAsia="Calibri" w:hAnsi="Calibri" w:cs="Calibri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9" w15:restartNumberingAfterBreak="0">
    <w:nsid w:val="41662DD9"/>
    <w:multiLevelType w:val="hybridMultilevel"/>
    <w:tmpl w:val="2D486A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75F5"/>
    <w:multiLevelType w:val="hybridMultilevel"/>
    <w:tmpl w:val="5ACCC82E"/>
    <w:lvl w:ilvl="0" w:tplc="75DE4D8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328B6"/>
    <w:multiLevelType w:val="hybridMultilevel"/>
    <w:tmpl w:val="9CECA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20154"/>
    <w:multiLevelType w:val="hybridMultilevel"/>
    <w:tmpl w:val="362814A6"/>
    <w:lvl w:ilvl="0" w:tplc="BE3C809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53C1494B"/>
    <w:multiLevelType w:val="hybridMultilevel"/>
    <w:tmpl w:val="F3EC3D78"/>
    <w:lvl w:ilvl="0" w:tplc="50BE2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B19BE"/>
    <w:multiLevelType w:val="hybridMultilevel"/>
    <w:tmpl w:val="CF8E106E"/>
    <w:lvl w:ilvl="0" w:tplc="0CD6EA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B119CA"/>
    <w:multiLevelType w:val="hybridMultilevel"/>
    <w:tmpl w:val="FBAA70AA"/>
    <w:lvl w:ilvl="0" w:tplc="BE3C8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415A47"/>
    <w:multiLevelType w:val="hybridMultilevel"/>
    <w:tmpl w:val="CAAA4FC4"/>
    <w:lvl w:ilvl="0" w:tplc="8E90AE92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13D0B"/>
    <w:multiLevelType w:val="hybridMultilevel"/>
    <w:tmpl w:val="275430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C90A32"/>
    <w:multiLevelType w:val="hybridMultilevel"/>
    <w:tmpl w:val="9BC0AC48"/>
    <w:lvl w:ilvl="0" w:tplc="BE3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9"/>
  </w:num>
  <w:num w:numId="5">
    <w:abstractNumId w:val="8"/>
  </w:num>
  <w:num w:numId="6">
    <w:abstractNumId w:val="6"/>
  </w:num>
  <w:num w:numId="7">
    <w:abstractNumId w:val="18"/>
  </w:num>
  <w:num w:numId="8">
    <w:abstractNumId w:val="14"/>
  </w:num>
  <w:num w:numId="9">
    <w:abstractNumId w:val="17"/>
  </w:num>
  <w:num w:numId="10">
    <w:abstractNumId w:val="15"/>
  </w:num>
  <w:num w:numId="11">
    <w:abstractNumId w:val="1"/>
  </w:num>
  <w:num w:numId="12">
    <w:abstractNumId w:val="4"/>
  </w:num>
  <w:num w:numId="13">
    <w:abstractNumId w:val="5"/>
  </w:num>
  <w:num w:numId="14">
    <w:abstractNumId w:val="11"/>
  </w:num>
  <w:num w:numId="15">
    <w:abstractNumId w:val="12"/>
  </w:num>
  <w:num w:numId="16">
    <w:abstractNumId w:val="3"/>
  </w:num>
  <w:num w:numId="17">
    <w:abstractNumId w:val="2"/>
  </w:num>
  <w:num w:numId="18">
    <w:abstractNumId w:val="7"/>
  </w:num>
  <w:num w:numId="1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63"/>
    <w:rsid w:val="00000192"/>
    <w:rsid w:val="00000932"/>
    <w:rsid w:val="000028EB"/>
    <w:rsid w:val="00002A51"/>
    <w:rsid w:val="00003B71"/>
    <w:rsid w:val="00003DFF"/>
    <w:rsid w:val="00004A85"/>
    <w:rsid w:val="000053F6"/>
    <w:rsid w:val="00005CA4"/>
    <w:rsid w:val="00006515"/>
    <w:rsid w:val="00006A03"/>
    <w:rsid w:val="000075DC"/>
    <w:rsid w:val="00007F86"/>
    <w:rsid w:val="00010587"/>
    <w:rsid w:val="00010B18"/>
    <w:rsid w:val="00010C87"/>
    <w:rsid w:val="00012F7E"/>
    <w:rsid w:val="00013FEC"/>
    <w:rsid w:val="000146BD"/>
    <w:rsid w:val="000156E8"/>
    <w:rsid w:val="0001660A"/>
    <w:rsid w:val="000167AF"/>
    <w:rsid w:val="000168F4"/>
    <w:rsid w:val="00016AA8"/>
    <w:rsid w:val="0001728E"/>
    <w:rsid w:val="00020301"/>
    <w:rsid w:val="00021601"/>
    <w:rsid w:val="00021B61"/>
    <w:rsid w:val="00022A31"/>
    <w:rsid w:val="00022A7C"/>
    <w:rsid w:val="00022AB8"/>
    <w:rsid w:val="00023BD8"/>
    <w:rsid w:val="00024080"/>
    <w:rsid w:val="000241C8"/>
    <w:rsid w:val="00024365"/>
    <w:rsid w:val="00024D4E"/>
    <w:rsid w:val="000255C9"/>
    <w:rsid w:val="000258DC"/>
    <w:rsid w:val="0002687E"/>
    <w:rsid w:val="0002741F"/>
    <w:rsid w:val="0003154D"/>
    <w:rsid w:val="00031B7C"/>
    <w:rsid w:val="00031BC0"/>
    <w:rsid w:val="0003227C"/>
    <w:rsid w:val="00032A2F"/>
    <w:rsid w:val="00033315"/>
    <w:rsid w:val="0003342C"/>
    <w:rsid w:val="00033A69"/>
    <w:rsid w:val="00034076"/>
    <w:rsid w:val="0003508B"/>
    <w:rsid w:val="00036A86"/>
    <w:rsid w:val="00036E98"/>
    <w:rsid w:val="00037A77"/>
    <w:rsid w:val="0004078C"/>
    <w:rsid w:val="00040808"/>
    <w:rsid w:val="0004124E"/>
    <w:rsid w:val="000424C6"/>
    <w:rsid w:val="0004299C"/>
    <w:rsid w:val="00042E50"/>
    <w:rsid w:val="00043D4D"/>
    <w:rsid w:val="00044858"/>
    <w:rsid w:val="00046EFE"/>
    <w:rsid w:val="0005054A"/>
    <w:rsid w:val="00050723"/>
    <w:rsid w:val="000511C3"/>
    <w:rsid w:val="00051699"/>
    <w:rsid w:val="00051935"/>
    <w:rsid w:val="00051A2C"/>
    <w:rsid w:val="00052ADF"/>
    <w:rsid w:val="00053573"/>
    <w:rsid w:val="0005371B"/>
    <w:rsid w:val="00053FE7"/>
    <w:rsid w:val="000540FC"/>
    <w:rsid w:val="000562F4"/>
    <w:rsid w:val="00057447"/>
    <w:rsid w:val="0005755D"/>
    <w:rsid w:val="00061583"/>
    <w:rsid w:val="00061C4B"/>
    <w:rsid w:val="0006325F"/>
    <w:rsid w:val="00063BE5"/>
    <w:rsid w:val="0006438D"/>
    <w:rsid w:val="00064945"/>
    <w:rsid w:val="000658D1"/>
    <w:rsid w:val="00065DED"/>
    <w:rsid w:val="00066198"/>
    <w:rsid w:val="00066240"/>
    <w:rsid w:val="00067DDE"/>
    <w:rsid w:val="00070A17"/>
    <w:rsid w:val="0007227E"/>
    <w:rsid w:val="00072511"/>
    <w:rsid w:val="000739AF"/>
    <w:rsid w:val="00073D72"/>
    <w:rsid w:val="00073DB3"/>
    <w:rsid w:val="00074418"/>
    <w:rsid w:val="000752E1"/>
    <w:rsid w:val="00075707"/>
    <w:rsid w:val="0007695F"/>
    <w:rsid w:val="00077E98"/>
    <w:rsid w:val="000802AE"/>
    <w:rsid w:val="00083150"/>
    <w:rsid w:val="000839EB"/>
    <w:rsid w:val="00083DBA"/>
    <w:rsid w:val="00084E88"/>
    <w:rsid w:val="00086B4E"/>
    <w:rsid w:val="00086CB0"/>
    <w:rsid w:val="00090F60"/>
    <w:rsid w:val="00091505"/>
    <w:rsid w:val="00091B08"/>
    <w:rsid w:val="0009226B"/>
    <w:rsid w:val="00092CE3"/>
    <w:rsid w:val="00093B58"/>
    <w:rsid w:val="00094183"/>
    <w:rsid w:val="00094687"/>
    <w:rsid w:val="00095594"/>
    <w:rsid w:val="0009632E"/>
    <w:rsid w:val="000973E3"/>
    <w:rsid w:val="00097F4E"/>
    <w:rsid w:val="000A0884"/>
    <w:rsid w:val="000A0DE4"/>
    <w:rsid w:val="000A2728"/>
    <w:rsid w:val="000A35D1"/>
    <w:rsid w:val="000A421F"/>
    <w:rsid w:val="000A5351"/>
    <w:rsid w:val="000A56F7"/>
    <w:rsid w:val="000A65E3"/>
    <w:rsid w:val="000A765F"/>
    <w:rsid w:val="000B1AB3"/>
    <w:rsid w:val="000B26BF"/>
    <w:rsid w:val="000B3906"/>
    <w:rsid w:val="000B3F77"/>
    <w:rsid w:val="000B4E5B"/>
    <w:rsid w:val="000B4F18"/>
    <w:rsid w:val="000B5436"/>
    <w:rsid w:val="000B5566"/>
    <w:rsid w:val="000B63BE"/>
    <w:rsid w:val="000B72D9"/>
    <w:rsid w:val="000B7723"/>
    <w:rsid w:val="000C07E3"/>
    <w:rsid w:val="000C125E"/>
    <w:rsid w:val="000C1DA4"/>
    <w:rsid w:val="000C2F0E"/>
    <w:rsid w:val="000C3F8A"/>
    <w:rsid w:val="000C4B54"/>
    <w:rsid w:val="000C5AB8"/>
    <w:rsid w:val="000C6AA1"/>
    <w:rsid w:val="000C78E7"/>
    <w:rsid w:val="000D106A"/>
    <w:rsid w:val="000D20AF"/>
    <w:rsid w:val="000D2F3B"/>
    <w:rsid w:val="000D3473"/>
    <w:rsid w:val="000D3605"/>
    <w:rsid w:val="000D46BB"/>
    <w:rsid w:val="000D6014"/>
    <w:rsid w:val="000D7009"/>
    <w:rsid w:val="000E0DDB"/>
    <w:rsid w:val="000E12E7"/>
    <w:rsid w:val="000E1D61"/>
    <w:rsid w:val="000E2182"/>
    <w:rsid w:val="000E2575"/>
    <w:rsid w:val="000E2A5C"/>
    <w:rsid w:val="000E2F98"/>
    <w:rsid w:val="000E3A95"/>
    <w:rsid w:val="000E4C12"/>
    <w:rsid w:val="000E4C36"/>
    <w:rsid w:val="000E5FA1"/>
    <w:rsid w:val="000E616F"/>
    <w:rsid w:val="000E6E7E"/>
    <w:rsid w:val="000F0799"/>
    <w:rsid w:val="000F0D5B"/>
    <w:rsid w:val="000F1E6C"/>
    <w:rsid w:val="000F329C"/>
    <w:rsid w:val="000F44E9"/>
    <w:rsid w:val="000F54EC"/>
    <w:rsid w:val="000F6789"/>
    <w:rsid w:val="000F68E3"/>
    <w:rsid w:val="000F7A99"/>
    <w:rsid w:val="000F7BAE"/>
    <w:rsid w:val="0010043E"/>
    <w:rsid w:val="00100654"/>
    <w:rsid w:val="0010087F"/>
    <w:rsid w:val="00100A19"/>
    <w:rsid w:val="0010189F"/>
    <w:rsid w:val="00101E07"/>
    <w:rsid w:val="00102F95"/>
    <w:rsid w:val="001038D3"/>
    <w:rsid w:val="0010397D"/>
    <w:rsid w:val="001043C9"/>
    <w:rsid w:val="00105236"/>
    <w:rsid w:val="001067DC"/>
    <w:rsid w:val="00106909"/>
    <w:rsid w:val="00106CF7"/>
    <w:rsid w:val="00106F23"/>
    <w:rsid w:val="00110C30"/>
    <w:rsid w:val="00110EBC"/>
    <w:rsid w:val="00111226"/>
    <w:rsid w:val="0011197A"/>
    <w:rsid w:val="00112DA8"/>
    <w:rsid w:val="00113035"/>
    <w:rsid w:val="00113669"/>
    <w:rsid w:val="00113D9D"/>
    <w:rsid w:val="00113EE4"/>
    <w:rsid w:val="00113FFA"/>
    <w:rsid w:val="00114529"/>
    <w:rsid w:val="00114D91"/>
    <w:rsid w:val="001152BA"/>
    <w:rsid w:val="00115C47"/>
    <w:rsid w:val="00115EDE"/>
    <w:rsid w:val="00116456"/>
    <w:rsid w:val="0011658E"/>
    <w:rsid w:val="00116AEF"/>
    <w:rsid w:val="00116C55"/>
    <w:rsid w:val="00117CB6"/>
    <w:rsid w:val="001209F3"/>
    <w:rsid w:val="00120D2F"/>
    <w:rsid w:val="00121412"/>
    <w:rsid w:val="00121CCA"/>
    <w:rsid w:val="001230B6"/>
    <w:rsid w:val="001239B2"/>
    <w:rsid w:val="00123FBB"/>
    <w:rsid w:val="00124308"/>
    <w:rsid w:val="00124B16"/>
    <w:rsid w:val="001258DF"/>
    <w:rsid w:val="00125D95"/>
    <w:rsid w:val="00131076"/>
    <w:rsid w:val="0013122D"/>
    <w:rsid w:val="001325A2"/>
    <w:rsid w:val="00132D38"/>
    <w:rsid w:val="0013353D"/>
    <w:rsid w:val="00134AA8"/>
    <w:rsid w:val="00134C36"/>
    <w:rsid w:val="00135676"/>
    <w:rsid w:val="0013632B"/>
    <w:rsid w:val="0013651C"/>
    <w:rsid w:val="001368AD"/>
    <w:rsid w:val="00136B69"/>
    <w:rsid w:val="00136B8C"/>
    <w:rsid w:val="00137947"/>
    <w:rsid w:val="00140FE8"/>
    <w:rsid w:val="00141293"/>
    <w:rsid w:val="00141496"/>
    <w:rsid w:val="001418AA"/>
    <w:rsid w:val="00141E34"/>
    <w:rsid w:val="001425FD"/>
    <w:rsid w:val="0014296D"/>
    <w:rsid w:val="00143408"/>
    <w:rsid w:val="001437EA"/>
    <w:rsid w:val="00143C0C"/>
    <w:rsid w:val="00144E33"/>
    <w:rsid w:val="0014582A"/>
    <w:rsid w:val="0014669F"/>
    <w:rsid w:val="001469F8"/>
    <w:rsid w:val="0014797D"/>
    <w:rsid w:val="00150034"/>
    <w:rsid w:val="00150CD1"/>
    <w:rsid w:val="001519FD"/>
    <w:rsid w:val="0015242F"/>
    <w:rsid w:val="00152849"/>
    <w:rsid w:val="00152F09"/>
    <w:rsid w:val="0015305D"/>
    <w:rsid w:val="00153704"/>
    <w:rsid w:val="001538EE"/>
    <w:rsid w:val="00153F11"/>
    <w:rsid w:val="001543F3"/>
    <w:rsid w:val="001549EA"/>
    <w:rsid w:val="00154BD0"/>
    <w:rsid w:val="00154C3E"/>
    <w:rsid w:val="001554E2"/>
    <w:rsid w:val="00155F5C"/>
    <w:rsid w:val="00156318"/>
    <w:rsid w:val="00156C53"/>
    <w:rsid w:val="00156E29"/>
    <w:rsid w:val="00156E73"/>
    <w:rsid w:val="00157D5D"/>
    <w:rsid w:val="00160CDC"/>
    <w:rsid w:val="0016112D"/>
    <w:rsid w:val="0016131F"/>
    <w:rsid w:val="00162137"/>
    <w:rsid w:val="00162BE3"/>
    <w:rsid w:val="00162FD1"/>
    <w:rsid w:val="001637E8"/>
    <w:rsid w:val="001638D7"/>
    <w:rsid w:val="001645FE"/>
    <w:rsid w:val="00164806"/>
    <w:rsid w:val="00164EA0"/>
    <w:rsid w:val="001659F7"/>
    <w:rsid w:val="00166096"/>
    <w:rsid w:val="00170152"/>
    <w:rsid w:val="00170340"/>
    <w:rsid w:val="00171F47"/>
    <w:rsid w:val="00172123"/>
    <w:rsid w:val="00172262"/>
    <w:rsid w:val="00173D86"/>
    <w:rsid w:val="00177724"/>
    <w:rsid w:val="00177B83"/>
    <w:rsid w:val="00180830"/>
    <w:rsid w:val="001813D2"/>
    <w:rsid w:val="0018148A"/>
    <w:rsid w:val="00182270"/>
    <w:rsid w:val="00183784"/>
    <w:rsid w:val="00183A88"/>
    <w:rsid w:val="00183E73"/>
    <w:rsid w:val="00184CEA"/>
    <w:rsid w:val="00185D85"/>
    <w:rsid w:val="00185ED4"/>
    <w:rsid w:val="0018649B"/>
    <w:rsid w:val="00186DF5"/>
    <w:rsid w:val="00187089"/>
    <w:rsid w:val="00187C7D"/>
    <w:rsid w:val="00187F6F"/>
    <w:rsid w:val="00190D54"/>
    <w:rsid w:val="00192EFE"/>
    <w:rsid w:val="00194206"/>
    <w:rsid w:val="00194A2A"/>
    <w:rsid w:val="00195563"/>
    <w:rsid w:val="001959F4"/>
    <w:rsid w:val="00196657"/>
    <w:rsid w:val="00196CB7"/>
    <w:rsid w:val="00197BBE"/>
    <w:rsid w:val="001A1844"/>
    <w:rsid w:val="001A44AD"/>
    <w:rsid w:val="001A470F"/>
    <w:rsid w:val="001A5463"/>
    <w:rsid w:val="001A669C"/>
    <w:rsid w:val="001A6F98"/>
    <w:rsid w:val="001A6FD8"/>
    <w:rsid w:val="001A7794"/>
    <w:rsid w:val="001A7BBC"/>
    <w:rsid w:val="001B0011"/>
    <w:rsid w:val="001B0623"/>
    <w:rsid w:val="001B1184"/>
    <w:rsid w:val="001B149E"/>
    <w:rsid w:val="001B1CCF"/>
    <w:rsid w:val="001B24EC"/>
    <w:rsid w:val="001B66D7"/>
    <w:rsid w:val="001C0011"/>
    <w:rsid w:val="001C0910"/>
    <w:rsid w:val="001C0D21"/>
    <w:rsid w:val="001C2708"/>
    <w:rsid w:val="001C3472"/>
    <w:rsid w:val="001C3751"/>
    <w:rsid w:val="001C4520"/>
    <w:rsid w:val="001C49CB"/>
    <w:rsid w:val="001C4F93"/>
    <w:rsid w:val="001C5283"/>
    <w:rsid w:val="001C6019"/>
    <w:rsid w:val="001C6636"/>
    <w:rsid w:val="001C73D2"/>
    <w:rsid w:val="001C7590"/>
    <w:rsid w:val="001C7CFA"/>
    <w:rsid w:val="001C7E5B"/>
    <w:rsid w:val="001D1EA6"/>
    <w:rsid w:val="001D2FE6"/>
    <w:rsid w:val="001D5841"/>
    <w:rsid w:val="001D588F"/>
    <w:rsid w:val="001D5E83"/>
    <w:rsid w:val="001D65E2"/>
    <w:rsid w:val="001E0975"/>
    <w:rsid w:val="001E09C2"/>
    <w:rsid w:val="001E0FB2"/>
    <w:rsid w:val="001E1427"/>
    <w:rsid w:val="001E1AC2"/>
    <w:rsid w:val="001E1F9A"/>
    <w:rsid w:val="001E1FC5"/>
    <w:rsid w:val="001E28B7"/>
    <w:rsid w:val="001E3E28"/>
    <w:rsid w:val="001E4B2E"/>
    <w:rsid w:val="001E4D47"/>
    <w:rsid w:val="001E5727"/>
    <w:rsid w:val="001E5BD1"/>
    <w:rsid w:val="001E5C1D"/>
    <w:rsid w:val="001E7763"/>
    <w:rsid w:val="001F06A4"/>
    <w:rsid w:val="001F27F0"/>
    <w:rsid w:val="001F2852"/>
    <w:rsid w:val="001F32BE"/>
    <w:rsid w:val="001F46DC"/>
    <w:rsid w:val="001F48ED"/>
    <w:rsid w:val="001F4A2E"/>
    <w:rsid w:val="001F4DE1"/>
    <w:rsid w:val="001F4FC6"/>
    <w:rsid w:val="001F5B75"/>
    <w:rsid w:val="001F6B6D"/>
    <w:rsid w:val="001F7210"/>
    <w:rsid w:val="002003AA"/>
    <w:rsid w:val="0020068C"/>
    <w:rsid w:val="00201BEB"/>
    <w:rsid w:val="0020443D"/>
    <w:rsid w:val="0020490C"/>
    <w:rsid w:val="00206AAE"/>
    <w:rsid w:val="00207F28"/>
    <w:rsid w:val="0021118C"/>
    <w:rsid w:val="00212091"/>
    <w:rsid w:val="00212413"/>
    <w:rsid w:val="002142D4"/>
    <w:rsid w:val="00214F9C"/>
    <w:rsid w:val="0021516C"/>
    <w:rsid w:val="00220059"/>
    <w:rsid w:val="00222566"/>
    <w:rsid w:val="00223263"/>
    <w:rsid w:val="002239BD"/>
    <w:rsid w:val="00224040"/>
    <w:rsid w:val="002248C8"/>
    <w:rsid w:val="002250BB"/>
    <w:rsid w:val="002268EB"/>
    <w:rsid w:val="00231794"/>
    <w:rsid w:val="00231F46"/>
    <w:rsid w:val="00237C97"/>
    <w:rsid w:val="00240D00"/>
    <w:rsid w:val="002410C4"/>
    <w:rsid w:val="00242256"/>
    <w:rsid w:val="00242B70"/>
    <w:rsid w:val="00242DB0"/>
    <w:rsid w:val="00243624"/>
    <w:rsid w:val="00243AA6"/>
    <w:rsid w:val="00243C07"/>
    <w:rsid w:val="00243FE4"/>
    <w:rsid w:val="002448A2"/>
    <w:rsid w:val="00245856"/>
    <w:rsid w:val="00245BC6"/>
    <w:rsid w:val="0024600F"/>
    <w:rsid w:val="00246114"/>
    <w:rsid w:val="00252CA2"/>
    <w:rsid w:val="00252ECE"/>
    <w:rsid w:val="00253050"/>
    <w:rsid w:val="002533F8"/>
    <w:rsid w:val="00253E17"/>
    <w:rsid w:val="00254B0E"/>
    <w:rsid w:val="002572CE"/>
    <w:rsid w:val="00260FE7"/>
    <w:rsid w:val="002616C5"/>
    <w:rsid w:val="00261A64"/>
    <w:rsid w:val="0026253B"/>
    <w:rsid w:val="00262C94"/>
    <w:rsid w:val="002634A4"/>
    <w:rsid w:val="00264646"/>
    <w:rsid w:val="00266941"/>
    <w:rsid w:val="00267313"/>
    <w:rsid w:val="00271D0E"/>
    <w:rsid w:val="00271E52"/>
    <w:rsid w:val="00272AF5"/>
    <w:rsid w:val="00273933"/>
    <w:rsid w:val="00274259"/>
    <w:rsid w:val="00275E07"/>
    <w:rsid w:val="00276D65"/>
    <w:rsid w:val="00277615"/>
    <w:rsid w:val="00277FA4"/>
    <w:rsid w:val="00280592"/>
    <w:rsid w:val="002806B2"/>
    <w:rsid w:val="00280863"/>
    <w:rsid w:val="00281B38"/>
    <w:rsid w:val="00283146"/>
    <w:rsid w:val="002834C7"/>
    <w:rsid w:val="00284B42"/>
    <w:rsid w:val="00284FEC"/>
    <w:rsid w:val="002850EE"/>
    <w:rsid w:val="00285720"/>
    <w:rsid w:val="00285C34"/>
    <w:rsid w:val="00285CF5"/>
    <w:rsid w:val="002870EB"/>
    <w:rsid w:val="002872A5"/>
    <w:rsid w:val="00287942"/>
    <w:rsid w:val="00287BA5"/>
    <w:rsid w:val="00287C66"/>
    <w:rsid w:val="00290F9C"/>
    <w:rsid w:val="00291C0A"/>
    <w:rsid w:val="00292080"/>
    <w:rsid w:val="0029246A"/>
    <w:rsid w:val="00292C76"/>
    <w:rsid w:val="0029465B"/>
    <w:rsid w:val="002970D3"/>
    <w:rsid w:val="002978CB"/>
    <w:rsid w:val="00297BEA"/>
    <w:rsid w:val="00297D41"/>
    <w:rsid w:val="002A0046"/>
    <w:rsid w:val="002A05CC"/>
    <w:rsid w:val="002A078C"/>
    <w:rsid w:val="002A07D6"/>
    <w:rsid w:val="002A1785"/>
    <w:rsid w:val="002A233C"/>
    <w:rsid w:val="002A29F6"/>
    <w:rsid w:val="002A318B"/>
    <w:rsid w:val="002A37B6"/>
    <w:rsid w:val="002A6714"/>
    <w:rsid w:val="002A68FA"/>
    <w:rsid w:val="002A7AA5"/>
    <w:rsid w:val="002B0428"/>
    <w:rsid w:val="002B131D"/>
    <w:rsid w:val="002B1974"/>
    <w:rsid w:val="002B2458"/>
    <w:rsid w:val="002B2667"/>
    <w:rsid w:val="002B284C"/>
    <w:rsid w:val="002B2C66"/>
    <w:rsid w:val="002B2EE7"/>
    <w:rsid w:val="002B359A"/>
    <w:rsid w:val="002B3960"/>
    <w:rsid w:val="002B40E1"/>
    <w:rsid w:val="002B44B5"/>
    <w:rsid w:val="002B44FE"/>
    <w:rsid w:val="002B5BB7"/>
    <w:rsid w:val="002B5C3E"/>
    <w:rsid w:val="002B5D48"/>
    <w:rsid w:val="002B71A2"/>
    <w:rsid w:val="002B7A89"/>
    <w:rsid w:val="002B7F17"/>
    <w:rsid w:val="002C049A"/>
    <w:rsid w:val="002C0943"/>
    <w:rsid w:val="002C0C75"/>
    <w:rsid w:val="002C0D33"/>
    <w:rsid w:val="002C1D07"/>
    <w:rsid w:val="002C1DB8"/>
    <w:rsid w:val="002C25D9"/>
    <w:rsid w:val="002C2B1A"/>
    <w:rsid w:val="002C305C"/>
    <w:rsid w:val="002C3139"/>
    <w:rsid w:val="002C345C"/>
    <w:rsid w:val="002C3C9B"/>
    <w:rsid w:val="002C4DDA"/>
    <w:rsid w:val="002C5746"/>
    <w:rsid w:val="002C6FC2"/>
    <w:rsid w:val="002C7564"/>
    <w:rsid w:val="002D0805"/>
    <w:rsid w:val="002D0950"/>
    <w:rsid w:val="002D1457"/>
    <w:rsid w:val="002D18F3"/>
    <w:rsid w:val="002D1B32"/>
    <w:rsid w:val="002D1F87"/>
    <w:rsid w:val="002D3136"/>
    <w:rsid w:val="002D3F80"/>
    <w:rsid w:val="002D40AC"/>
    <w:rsid w:val="002D41E9"/>
    <w:rsid w:val="002D578C"/>
    <w:rsid w:val="002D5DA9"/>
    <w:rsid w:val="002D6F20"/>
    <w:rsid w:val="002D774C"/>
    <w:rsid w:val="002E01EA"/>
    <w:rsid w:val="002E046A"/>
    <w:rsid w:val="002E04E2"/>
    <w:rsid w:val="002E08C9"/>
    <w:rsid w:val="002E1219"/>
    <w:rsid w:val="002E1D2E"/>
    <w:rsid w:val="002E36BE"/>
    <w:rsid w:val="002E4096"/>
    <w:rsid w:val="002E6450"/>
    <w:rsid w:val="002E691C"/>
    <w:rsid w:val="002E6A06"/>
    <w:rsid w:val="002E72CD"/>
    <w:rsid w:val="002F024F"/>
    <w:rsid w:val="002F097A"/>
    <w:rsid w:val="002F1CEB"/>
    <w:rsid w:val="002F3C93"/>
    <w:rsid w:val="002F47B8"/>
    <w:rsid w:val="002F542C"/>
    <w:rsid w:val="002F573B"/>
    <w:rsid w:val="002F5CCC"/>
    <w:rsid w:val="002F7495"/>
    <w:rsid w:val="00302120"/>
    <w:rsid w:val="00302601"/>
    <w:rsid w:val="00304644"/>
    <w:rsid w:val="00304ED3"/>
    <w:rsid w:val="00305463"/>
    <w:rsid w:val="00305F2D"/>
    <w:rsid w:val="00306A1C"/>
    <w:rsid w:val="00306D30"/>
    <w:rsid w:val="00306F89"/>
    <w:rsid w:val="003074EA"/>
    <w:rsid w:val="00310EED"/>
    <w:rsid w:val="00311705"/>
    <w:rsid w:val="00312682"/>
    <w:rsid w:val="00312836"/>
    <w:rsid w:val="00312BFA"/>
    <w:rsid w:val="00313199"/>
    <w:rsid w:val="003139E0"/>
    <w:rsid w:val="00314B4A"/>
    <w:rsid w:val="00315142"/>
    <w:rsid w:val="003153EB"/>
    <w:rsid w:val="003157FB"/>
    <w:rsid w:val="00315FCD"/>
    <w:rsid w:val="003162B9"/>
    <w:rsid w:val="00316C7A"/>
    <w:rsid w:val="003202FF"/>
    <w:rsid w:val="0032056A"/>
    <w:rsid w:val="003206E1"/>
    <w:rsid w:val="00320EE0"/>
    <w:rsid w:val="003213F6"/>
    <w:rsid w:val="00321D66"/>
    <w:rsid w:val="00323B15"/>
    <w:rsid w:val="00324DDF"/>
    <w:rsid w:val="003265B0"/>
    <w:rsid w:val="00331690"/>
    <w:rsid w:val="00332865"/>
    <w:rsid w:val="00333E99"/>
    <w:rsid w:val="00334AED"/>
    <w:rsid w:val="003351E5"/>
    <w:rsid w:val="00335934"/>
    <w:rsid w:val="00336057"/>
    <w:rsid w:val="0033626F"/>
    <w:rsid w:val="003378D0"/>
    <w:rsid w:val="003400FC"/>
    <w:rsid w:val="00340435"/>
    <w:rsid w:val="00340EBC"/>
    <w:rsid w:val="00341096"/>
    <w:rsid w:val="003415E5"/>
    <w:rsid w:val="00341608"/>
    <w:rsid w:val="003417B6"/>
    <w:rsid w:val="00341849"/>
    <w:rsid w:val="00341A5D"/>
    <w:rsid w:val="00341CAF"/>
    <w:rsid w:val="00343320"/>
    <w:rsid w:val="00343563"/>
    <w:rsid w:val="0034379D"/>
    <w:rsid w:val="00344A94"/>
    <w:rsid w:val="00345317"/>
    <w:rsid w:val="00345E32"/>
    <w:rsid w:val="00346343"/>
    <w:rsid w:val="00346521"/>
    <w:rsid w:val="0034655F"/>
    <w:rsid w:val="0034748C"/>
    <w:rsid w:val="00347528"/>
    <w:rsid w:val="003503C9"/>
    <w:rsid w:val="003507D2"/>
    <w:rsid w:val="00351F75"/>
    <w:rsid w:val="00352016"/>
    <w:rsid w:val="003521AD"/>
    <w:rsid w:val="00352836"/>
    <w:rsid w:val="00352A51"/>
    <w:rsid w:val="00353783"/>
    <w:rsid w:val="00353F67"/>
    <w:rsid w:val="003540AE"/>
    <w:rsid w:val="00354107"/>
    <w:rsid w:val="00354815"/>
    <w:rsid w:val="0035485C"/>
    <w:rsid w:val="00354DC9"/>
    <w:rsid w:val="00355767"/>
    <w:rsid w:val="00355919"/>
    <w:rsid w:val="003602CB"/>
    <w:rsid w:val="003616C0"/>
    <w:rsid w:val="00361875"/>
    <w:rsid w:val="00362815"/>
    <w:rsid w:val="00363ECA"/>
    <w:rsid w:val="00364B62"/>
    <w:rsid w:val="00365168"/>
    <w:rsid w:val="003677F8"/>
    <w:rsid w:val="00367A7D"/>
    <w:rsid w:val="003723DB"/>
    <w:rsid w:val="00372A47"/>
    <w:rsid w:val="00373046"/>
    <w:rsid w:val="0037342C"/>
    <w:rsid w:val="00373766"/>
    <w:rsid w:val="00374D7F"/>
    <w:rsid w:val="00374EED"/>
    <w:rsid w:val="0037517C"/>
    <w:rsid w:val="003760F9"/>
    <w:rsid w:val="0037641D"/>
    <w:rsid w:val="0037666A"/>
    <w:rsid w:val="00376A1A"/>
    <w:rsid w:val="00376A68"/>
    <w:rsid w:val="00376C33"/>
    <w:rsid w:val="00377F4B"/>
    <w:rsid w:val="00381135"/>
    <w:rsid w:val="00381E9F"/>
    <w:rsid w:val="003821EA"/>
    <w:rsid w:val="00382352"/>
    <w:rsid w:val="0038275B"/>
    <w:rsid w:val="00382DF0"/>
    <w:rsid w:val="00383329"/>
    <w:rsid w:val="00383ED6"/>
    <w:rsid w:val="00384149"/>
    <w:rsid w:val="00384D3F"/>
    <w:rsid w:val="00385B6B"/>
    <w:rsid w:val="0038671D"/>
    <w:rsid w:val="00386722"/>
    <w:rsid w:val="0038693A"/>
    <w:rsid w:val="00386FEE"/>
    <w:rsid w:val="00387471"/>
    <w:rsid w:val="003874F0"/>
    <w:rsid w:val="0039190C"/>
    <w:rsid w:val="00391B51"/>
    <w:rsid w:val="00391FBB"/>
    <w:rsid w:val="00392CBF"/>
    <w:rsid w:val="00392CCC"/>
    <w:rsid w:val="003936F8"/>
    <w:rsid w:val="00393D50"/>
    <w:rsid w:val="00394AAC"/>
    <w:rsid w:val="00395D4D"/>
    <w:rsid w:val="00396155"/>
    <w:rsid w:val="00396A94"/>
    <w:rsid w:val="00396EAE"/>
    <w:rsid w:val="003978AF"/>
    <w:rsid w:val="003A1B76"/>
    <w:rsid w:val="003A1C84"/>
    <w:rsid w:val="003A1D01"/>
    <w:rsid w:val="003A2001"/>
    <w:rsid w:val="003A25F6"/>
    <w:rsid w:val="003A2709"/>
    <w:rsid w:val="003A27BA"/>
    <w:rsid w:val="003A2C2C"/>
    <w:rsid w:val="003A30C9"/>
    <w:rsid w:val="003A3CBD"/>
    <w:rsid w:val="003A3DBC"/>
    <w:rsid w:val="003A5076"/>
    <w:rsid w:val="003A55BA"/>
    <w:rsid w:val="003A5C3C"/>
    <w:rsid w:val="003A7869"/>
    <w:rsid w:val="003A7B37"/>
    <w:rsid w:val="003B154D"/>
    <w:rsid w:val="003B2435"/>
    <w:rsid w:val="003B2DC6"/>
    <w:rsid w:val="003B40E2"/>
    <w:rsid w:val="003B4613"/>
    <w:rsid w:val="003B4AEA"/>
    <w:rsid w:val="003B5A9A"/>
    <w:rsid w:val="003B62C4"/>
    <w:rsid w:val="003B63BE"/>
    <w:rsid w:val="003B671D"/>
    <w:rsid w:val="003B77D6"/>
    <w:rsid w:val="003C0503"/>
    <w:rsid w:val="003C0781"/>
    <w:rsid w:val="003C1F7E"/>
    <w:rsid w:val="003C2281"/>
    <w:rsid w:val="003C2BCF"/>
    <w:rsid w:val="003C3B31"/>
    <w:rsid w:val="003C47BB"/>
    <w:rsid w:val="003C49FA"/>
    <w:rsid w:val="003C61F8"/>
    <w:rsid w:val="003C63AC"/>
    <w:rsid w:val="003C6C8D"/>
    <w:rsid w:val="003C6F05"/>
    <w:rsid w:val="003D0AF7"/>
    <w:rsid w:val="003D1368"/>
    <w:rsid w:val="003D187C"/>
    <w:rsid w:val="003D1894"/>
    <w:rsid w:val="003D3005"/>
    <w:rsid w:val="003D41C0"/>
    <w:rsid w:val="003D45B7"/>
    <w:rsid w:val="003D7354"/>
    <w:rsid w:val="003D79EB"/>
    <w:rsid w:val="003E0CFB"/>
    <w:rsid w:val="003E2C8B"/>
    <w:rsid w:val="003E2E16"/>
    <w:rsid w:val="003E2E5B"/>
    <w:rsid w:val="003E310B"/>
    <w:rsid w:val="003E313B"/>
    <w:rsid w:val="003E3360"/>
    <w:rsid w:val="003E3A1A"/>
    <w:rsid w:val="003E486D"/>
    <w:rsid w:val="003E49B9"/>
    <w:rsid w:val="003E5EB2"/>
    <w:rsid w:val="003E6A48"/>
    <w:rsid w:val="003E6DA1"/>
    <w:rsid w:val="003F04EB"/>
    <w:rsid w:val="003F0EE0"/>
    <w:rsid w:val="003F1745"/>
    <w:rsid w:val="003F19C3"/>
    <w:rsid w:val="003F28CB"/>
    <w:rsid w:val="003F3299"/>
    <w:rsid w:val="003F3908"/>
    <w:rsid w:val="003F4704"/>
    <w:rsid w:val="003F5C5C"/>
    <w:rsid w:val="003F5E0A"/>
    <w:rsid w:val="003F64B9"/>
    <w:rsid w:val="003F68C7"/>
    <w:rsid w:val="003F758F"/>
    <w:rsid w:val="003F75A4"/>
    <w:rsid w:val="003F7B67"/>
    <w:rsid w:val="003F7ED4"/>
    <w:rsid w:val="00400024"/>
    <w:rsid w:val="004000B7"/>
    <w:rsid w:val="004024CF"/>
    <w:rsid w:val="00402B02"/>
    <w:rsid w:val="00403021"/>
    <w:rsid w:val="00403022"/>
    <w:rsid w:val="00403916"/>
    <w:rsid w:val="00403DD5"/>
    <w:rsid w:val="0040402E"/>
    <w:rsid w:val="00404A8A"/>
    <w:rsid w:val="0040546F"/>
    <w:rsid w:val="00405755"/>
    <w:rsid w:val="00407954"/>
    <w:rsid w:val="00410046"/>
    <w:rsid w:val="0041100F"/>
    <w:rsid w:val="004114D8"/>
    <w:rsid w:val="00413353"/>
    <w:rsid w:val="00414FE4"/>
    <w:rsid w:val="00415C67"/>
    <w:rsid w:val="004161C7"/>
    <w:rsid w:val="00416C50"/>
    <w:rsid w:val="004177C0"/>
    <w:rsid w:val="00417867"/>
    <w:rsid w:val="00417BC8"/>
    <w:rsid w:val="004204F7"/>
    <w:rsid w:val="00420A2A"/>
    <w:rsid w:val="004236D4"/>
    <w:rsid w:val="004247C7"/>
    <w:rsid w:val="00425712"/>
    <w:rsid w:val="00426A01"/>
    <w:rsid w:val="00427C00"/>
    <w:rsid w:val="00431764"/>
    <w:rsid w:val="00431FB1"/>
    <w:rsid w:val="004326DB"/>
    <w:rsid w:val="0043368A"/>
    <w:rsid w:val="00433A8E"/>
    <w:rsid w:val="00433FD7"/>
    <w:rsid w:val="0043439D"/>
    <w:rsid w:val="00434C3E"/>
    <w:rsid w:val="00435044"/>
    <w:rsid w:val="004352FF"/>
    <w:rsid w:val="004363FF"/>
    <w:rsid w:val="0043707A"/>
    <w:rsid w:val="0043716B"/>
    <w:rsid w:val="00437C5C"/>
    <w:rsid w:val="00440DCE"/>
    <w:rsid w:val="00441118"/>
    <w:rsid w:val="00441294"/>
    <w:rsid w:val="004423DA"/>
    <w:rsid w:val="00442772"/>
    <w:rsid w:val="004429CF"/>
    <w:rsid w:val="00442A6D"/>
    <w:rsid w:val="00442C09"/>
    <w:rsid w:val="004440E9"/>
    <w:rsid w:val="00444793"/>
    <w:rsid w:val="004448BE"/>
    <w:rsid w:val="00445F92"/>
    <w:rsid w:val="004461A9"/>
    <w:rsid w:val="004469D2"/>
    <w:rsid w:val="00446E19"/>
    <w:rsid w:val="004471BA"/>
    <w:rsid w:val="00447AD2"/>
    <w:rsid w:val="00447B1E"/>
    <w:rsid w:val="00450483"/>
    <w:rsid w:val="00450906"/>
    <w:rsid w:val="0045134E"/>
    <w:rsid w:val="004516EC"/>
    <w:rsid w:val="00451F11"/>
    <w:rsid w:val="00452CC9"/>
    <w:rsid w:val="00452E93"/>
    <w:rsid w:val="0045316E"/>
    <w:rsid w:val="004531C3"/>
    <w:rsid w:val="00453729"/>
    <w:rsid w:val="004548DC"/>
    <w:rsid w:val="00457E96"/>
    <w:rsid w:val="004608AC"/>
    <w:rsid w:val="004613F7"/>
    <w:rsid w:val="00461567"/>
    <w:rsid w:val="00461762"/>
    <w:rsid w:val="004623F2"/>
    <w:rsid w:val="00462F78"/>
    <w:rsid w:val="00464892"/>
    <w:rsid w:val="0046505B"/>
    <w:rsid w:val="00467AAF"/>
    <w:rsid w:val="004705E5"/>
    <w:rsid w:val="004727DB"/>
    <w:rsid w:val="00472D05"/>
    <w:rsid w:val="00473E20"/>
    <w:rsid w:val="00473F91"/>
    <w:rsid w:val="00474851"/>
    <w:rsid w:val="0047496C"/>
    <w:rsid w:val="004771AF"/>
    <w:rsid w:val="0047749B"/>
    <w:rsid w:val="0047758E"/>
    <w:rsid w:val="0047789B"/>
    <w:rsid w:val="00483881"/>
    <w:rsid w:val="00483F05"/>
    <w:rsid w:val="0048462A"/>
    <w:rsid w:val="004847E1"/>
    <w:rsid w:val="0048548F"/>
    <w:rsid w:val="00485F91"/>
    <w:rsid w:val="00486906"/>
    <w:rsid w:val="004906E0"/>
    <w:rsid w:val="00491474"/>
    <w:rsid w:val="00492BE3"/>
    <w:rsid w:val="00492E33"/>
    <w:rsid w:val="00493109"/>
    <w:rsid w:val="00493907"/>
    <w:rsid w:val="004949A3"/>
    <w:rsid w:val="004957EC"/>
    <w:rsid w:val="00495E3F"/>
    <w:rsid w:val="00495FCE"/>
    <w:rsid w:val="004960BC"/>
    <w:rsid w:val="00497DCC"/>
    <w:rsid w:val="004A05A2"/>
    <w:rsid w:val="004A16AE"/>
    <w:rsid w:val="004A197A"/>
    <w:rsid w:val="004A27D4"/>
    <w:rsid w:val="004A3500"/>
    <w:rsid w:val="004A3F76"/>
    <w:rsid w:val="004A4BE2"/>
    <w:rsid w:val="004A4F7C"/>
    <w:rsid w:val="004A5291"/>
    <w:rsid w:val="004A53ED"/>
    <w:rsid w:val="004A5C5A"/>
    <w:rsid w:val="004A6B35"/>
    <w:rsid w:val="004A6BE9"/>
    <w:rsid w:val="004A6D4E"/>
    <w:rsid w:val="004A7011"/>
    <w:rsid w:val="004A70B1"/>
    <w:rsid w:val="004A7619"/>
    <w:rsid w:val="004B0227"/>
    <w:rsid w:val="004B1773"/>
    <w:rsid w:val="004B3996"/>
    <w:rsid w:val="004B3E47"/>
    <w:rsid w:val="004B3E7F"/>
    <w:rsid w:val="004B4FC0"/>
    <w:rsid w:val="004B5D37"/>
    <w:rsid w:val="004B5E7F"/>
    <w:rsid w:val="004B7B7E"/>
    <w:rsid w:val="004C0454"/>
    <w:rsid w:val="004C1394"/>
    <w:rsid w:val="004C1413"/>
    <w:rsid w:val="004C1A86"/>
    <w:rsid w:val="004C1AD1"/>
    <w:rsid w:val="004C2EE4"/>
    <w:rsid w:val="004C434A"/>
    <w:rsid w:val="004C5760"/>
    <w:rsid w:val="004C5F90"/>
    <w:rsid w:val="004C78E7"/>
    <w:rsid w:val="004C7DAE"/>
    <w:rsid w:val="004D02C7"/>
    <w:rsid w:val="004D0DA0"/>
    <w:rsid w:val="004D23D8"/>
    <w:rsid w:val="004D2EBA"/>
    <w:rsid w:val="004D40CF"/>
    <w:rsid w:val="004D59F0"/>
    <w:rsid w:val="004E020F"/>
    <w:rsid w:val="004E1039"/>
    <w:rsid w:val="004E134C"/>
    <w:rsid w:val="004E15CB"/>
    <w:rsid w:val="004E18EF"/>
    <w:rsid w:val="004E19D5"/>
    <w:rsid w:val="004E1D23"/>
    <w:rsid w:val="004E2F1B"/>
    <w:rsid w:val="004E31D6"/>
    <w:rsid w:val="004E325F"/>
    <w:rsid w:val="004E3B5F"/>
    <w:rsid w:val="004E415C"/>
    <w:rsid w:val="004E6C8E"/>
    <w:rsid w:val="004E790E"/>
    <w:rsid w:val="004F0033"/>
    <w:rsid w:val="004F0757"/>
    <w:rsid w:val="004F08AC"/>
    <w:rsid w:val="004F1E59"/>
    <w:rsid w:val="004F3454"/>
    <w:rsid w:val="004F39C9"/>
    <w:rsid w:val="004F42D1"/>
    <w:rsid w:val="004F4540"/>
    <w:rsid w:val="004F492A"/>
    <w:rsid w:val="004F5A4E"/>
    <w:rsid w:val="004F5E20"/>
    <w:rsid w:val="004F5F2F"/>
    <w:rsid w:val="004F60BB"/>
    <w:rsid w:val="004F6312"/>
    <w:rsid w:val="004F631B"/>
    <w:rsid w:val="004F7C6E"/>
    <w:rsid w:val="00500052"/>
    <w:rsid w:val="00500162"/>
    <w:rsid w:val="00501A70"/>
    <w:rsid w:val="005025BA"/>
    <w:rsid w:val="00502A41"/>
    <w:rsid w:val="0050517B"/>
    <w:rsid w:val="00506FAD"/>
    <w:rsid w:val="00510194"/>
    <w:rsid w:val="00512467"/>
    <w:rsid w:val="00512704"/>
    <w:rsid w:val="00512A75"/>
    <w:rsid w:val="0051388C"/>
    <w:rsid w:val="00514080"/>
    <w:rsid w:val="0051606F"/>
    <w:rsid w:val="0051780F"/>
    <w:rsid w:val="00517AF2"/>
    <w:rsid w:val="00517E43"/>
    <w:rsid w:val="005228D9"/>
    <w:rsid w:val="00523274"/>
    <w:rsid w:val="00523C3E"/>
    <w:rsid w:val="005254EB"/>
    <w:rsid w:val="0052675E"/>
    <w:rsid w:val="00526CF2"/>
    <w:rsid w:val="005274EB"/>
    <w:rsid w:val="00532008"/>
    <w:rsid w:val="005353B7"/>
    <w:rsid w:val="005366DD"/>
    <w:rsid w:val="005370F4"/>
    <w:rsid w:val="005401FE"/>
    <w:rsid w:val="00540922"/>
    <w:rsid w:val="00540B05"/>
    <w:rsid w:val="00542313"/>
    <w:rsid w:val="005423B2"/>
    <w:rsid w:val="00542AF0"/>
    <w:rsid w:val="00543057"/>
    <w:rsid w:val="005453FA"/>
    <w:rsid w:val="005457B5"/>
    <w:rsid w:val="00546632"/>
    <w:rsid w:val="00546939"/>
    <w:rsid w:val="00546D79"/>
    <w:rsid w:val="00546EAF"/>
    <w:rsid w:val="00550805"/>
    <w:rsid w:val="00550F80"/>
    <w:rsid w:val="00550FC6"/>
    <w:rsid w:val="0055243C"/>
    <w:rsid w:val="00552ADD"/>
    <w:rsid w:val="005532C1"/>
    <w:rsid w:val="005541D6"/>
    <w:rsid w:val="0055575A"/>
    <w:rsid w:val="005574FF"/>
    <w:rsid w:val="00560223"/>
    <w:rsid w:val="00560E7A"/>
    <w:rsid w:val="005613B4"/>
    <w:rsid w:val="0056151E"/>
    <w:rsid w:val="00562545"/>
    <w:rsid w:val="0056265E"/>
    <w:rsid w:val="00562B24"/>
    <w:rsid w:val="00564343"/>
    <w:rsid w:val="00564A2C"/>
    <w:rsid w:val="00564DA5"/>
    <w:rsid w:val="005655DE"/>
    <w:rsid w:val="00565674"/>
    <w:rsid w:val="0056587B"/>
    <w:rsid w:val="005673C1"/>
    <w:rsid w:val="0056797F"/>
    <w:rsid w:val="00567A24"/>
    <w:rsid w:val="0057129E"/>
    <w:rsid w:val="00571462"/>
    <w:rsid w:val="00571766"/>
    <w:rsid w:val="0057253C"/>
    <w:rsid w:val="005740C8"/>
    <w:rsid w:val="00576A9C"/>
    <w:rsid w:val="00577D4E"/>
    <w:rsid w:val="005811CB"/>
    <w:rsid w:val="0058231E"/>
    <w:rsid w:val="00582504"/>
    <w:rsid w:val="0058265A"/>
    <w:rsid w:val="005834AC"/>
    <w:rsid w:val="005837DB"/>
    <w:rsid w:val="00584117"/>
    <w:rsid w:val="00584144"/>
    <w:rsid w:val="005846AF"/>
    <w:rsid w:val="0058478B"/>
    <w:rsid w:val="0058496D"/>
    <w:rsid w:val="00585270"/>
    <w:rsid w:val="00586C16"/>
    <w:rsid w:val="00586DA1"/>
    <w:rsid w:val="0059051B"/>
    <w:rsid w:val="005914B8"/>
    <w:rsid w:val="00591C87"/>
    <w:rsid w:val="005920F2"/>
    <w:rsid w:val="00593172"/>
    <w:rsid w:val="00595EE0"/>
    <w:rsid w:val="00595F0D"/>
    <w:rsid w:val="00595F32"/>
    <w:rsid w:val="00595F8F"/>
    <w:rsid w:val="00596A13"/>
    <w:rsid w:val="00596C03"/>
    <w:rsid w:val="00596C1D"/>
    <w:rsid w:val="00597176"/>
    <w:rsid w:val="005A0986"/>
    <w:rsid w:val="005A1904"/>
    <w:rsid w:val="005A1D42"/>
    <w:rsid w:val="005A1EFC"/>
    <w:rsid w:val="005A2712"/>
    <w:rsid w:val="005A2E54"/>
    <w:rsid w:val="005A4171"/>
    <w:rsid w:val="005A589E"/>
    <w:rsid w:val="005A665A"/>
    <w:rsid w:val="005B01A3"/>
    <w:rsid w:val="005B1097"/>
    <w:rsid w:val="005B1143"/>
    <w:rsid w:val="005B18EF"/>
    <w:rsid w:val="005B1A88"/>
    <w:rsid w:val="005B1C66"/>
    <w:rsid w:val="005B2CEA"/>
    <w:rsid w:val="005B39E0"/>
    <w:rsid w:val="005B3C75"/>
    <w:rsid w:val="005B3D91"/>
    <w:rsid w:val="005B3DFE"/>
    <w:rsid w:val="005B44F1"/>
    <w:rsid w:val="005B50E3"/>
    <w:rsid w:val="005B6A04"/>
    <w:rsid w:val="005B7B3E"/>
    <w:rsid w:val="005C17B3"/>
    <w:rsid w:val="005C207E"/>
    <w:rsid w:val="005C2AD4"/>
    <w:rsid w:val="005C2C13"/>
    <w:rsid w:val="005C306E"/>
    <w:rsid w:val="005C4598"/>
    <w:rsid w:val="005C48F9"/>
    <w:rsid w:val="005C4DD4"/>
    <w:rsid w:val="005C594A"/>
    <w:rsid w:val="005C791F"/>
    <w:rsid w:val="005C7CF2"/>
    <w:rsid w:val="005C7F29"/>
    <w:rsid w:val="005D11D4"/>
    <w:rsid w:val="005D19AC"/>
    <w:rsid w:val="005D1A9B"/>
    <w:rsid w:val="005D1B10"/>
    <w:rsid w:val="005D241B"/>
    <w:rsid w:val="005D2F17"/>
    <w:rsid w:val="005D314D"/>
    <w:rsid w:val="005D431F"/>
    <w:rsid w:val="005D5060"/>
    <w:rsid w:val="005D53DD"/>
    <w:rsid w:val="005D541D"/>
    <w:rsid w:val="005D5E4F"/>
    <w:rsid w:val="005D691B"/>
    <w:rsid w:val="005D6D25"/>
    <w:rsid w:val="005E1001"/>
    <w:rsid w:val="005E3AB9"/>
    <w:rsid w:val="005E4A36"/>
    <w:rsid w:val="005E5F8E"/>
    <w:rsid w:val="005E63E6"/>
    <w:rsid w:val="005F0D1B"/>
    <w:rsid w:val="005F3A98"/>
    <w:rsid w:val="005F3CF0"/>
    <w:rsid w:val="005F44F9"/>
    <w:rsid w:val="005F46B4"/>
    <w:rsid w:val="005F4D1B"/>
    <w:rsid w:val="005F5932"/>
    <w:rsid w:val="005F5F42"/>
    <w:rsid w:val="005F6B51"/>
    <w:rsid w:val="005F7C8B"/>
    <w:rsid w:val="00600874"/>
    <w:rsid w:val="0060154D"/>
    <w:rsid w:val="00601652"/>
    <w:rsid w:val="00601778"/>
    <w:rsid w:val="00601D85"/>
    <w:rsid w:val="006026B5"/>
    <w:rsid w:val="00603F0B"/>
    <w:rsid w:val="00605290"/>
    <w:rsid w:val="00605B24"/>
    <w:rsid w:val="00606BF5"/>
    <w:rsid w:val="00606E53"/>
    <w:rsid w:val="00610ADF"/>
    <w:rsid w:val="00610C95"/>
    <w:rsid w:val="006117BB"/>
    <w:rsid w:val="006125DA"/>
    <w:rsid w:val="00613335"/>
    <w:rsid w:val="00613C61"/>
    <w:rsid w:val="00613E02"/>
    <w:rsid w:val="006142D6"/>
    <w:rsid w:val="0061461D"/>
    <w:rsid w:val="00614B68"/>
    <w:rsid w:val="00614F71"/>
    <w:rsid w:val="0061653C"/>
    <w:rsid w:val="006166B0"/>
    <w:rsid w:val="00616CC9"/>
    <w:rsid w:val="00617A30"/>
    <w:rsid w:val="0062006C"/>
    <w:rsid w:val="00620451"/>
    <w:rsid w:val="006206C4"/>
    <w:rsid w:val="006227B8"/>
    <w:rsid w:val="00622A14"/>
    <w:rsid w:val="00623020"/>
    <w:rsid w:val="006231B3"/>
    <w:rsid w:val="006236F3"/>
    <w:rsid w:val="00624D5A"/>
    <w:rsid w:val="00624FAE"/>
    <w:rsid w:val="00625C93"/>
    <w:rsid w:val="0062657F"/>
    <w:rsid w:val="006270D5"/>
    <w:rsid w:val="006276D8"/>
    <w:rsid w:val="006278D2"/>
    <w:rsid w:val="00627960"/>
    <w:rsid w:val="00627B66"/>
    <w:rsid w:val="00631197"/>
    <w:rsid w:val="00631ABE"/>
    <w:rsid w:val="00631B04"/>
    <w:rsid w:val="00632539"/>
    <w:rsid w:val="006334A2"/>
    <w:rsid w:val="006346FD"/>
    <w:rsid w:val="00634CA6"/>
    <w:rsid w:val="006366A8"/>
    <w:rsid w:val="00636C7C"/>
    <w:rsid w:val="00641492"/>
    <w:rsid w:val="00642937"/>
    <w:rsid w:val="00642B5A"/>
    <w:rsid w:val="00642BB0"/>
    <w:rsid w:val="00642CAC"/>
    <w:rsid w:val="00642D09"/>
    <w:rsid w:val="00643176"/>
    <w:rsid w:val="0064321D"/>
    <w:rsid w:val="006439DB"/>
    <w:rsid w:val="006445A7"/>
    <w:rsid w:val="00644CF5"/>
    <w:rsid w:val="006474F4"/>
    <w:rsid w:val="00647720"/>
    <w:rsid w:val="00650454"/>
    <w:rsid w:val="00650D5C"/>
    <w:rsid w:val="00651A28"/>
    <w:rsid w:val="00652ACD"/>
    <w:rsid w:val="00652F83"/>
    <w:rsid w:val="0065483E"/>
    <w:rsid w:val="00654A64"/>
    <w:rsid w:val="006554BC"/>
    <w:rsid w:val="0065592A"/>
    <w:rsid w:val="00655F63"/>
    <w:rsid w:val="00660AAB"/>
    <w:rsid w:val="00660FBE"/>
    <w:rsid w:val="006615F2"/>
    <w:rsid w:val="00661612"/>
    <w:rsid w:val="0066187D"/>
    <w:rsid w:val="00661A63"/>
    <w:rsid w:val="00662429"/>
    <w:rsid w:val="006633E6"/>
    <w:rsid w:val="00663AFE"/>
    <w:rsid w:val="00663BCA"/>
    <w:rsid w:val="0066452A"/>
    <w:rsid w:val="00664601"/>
    <w:rsid w:val="00664BD9"/>
    <w:rsid w:val="006655A8"/>
    <w:rsid w:val="00665CE5"/>
    <w:rsid w:val="00665EDE"/>
    <w:rsid w:val="006661A4"/>
    <w:rsid w:val="00666776"/>
    <w:rsid w:val="00666E7A"/>
    <w:rsid w:val="00667520"/>
    <w:rsid w:val="006707B7"/>
    <w:rsid w:val="00670891"/>
    <w:rsid w:val="00670CB9"/>
    <w:rsid w:val="0067156E"/>
    <w:rsid w:val="00671D4B"/>
    <w:rsid w:val="00671DB4"/>
    <w:rsid w:val="00672A5F"/>
    <w:rsid w:val="0067310D"/>
    <w:rsid w:val="006733FD"/>
    <w:rsid w:val="006735C3"/>
    <w:rsid w:val="006738AD"/>
    <w:rsid w:val="00674B74"/>
    <w:rsid w:val="00675BD9"/>
    <w:rsid w:val="00676ADF"/>
    <w:rsid w:val="00676C2B"/>
    <w:rsid w:val="00676C7A"/>
    <w:rsid w:val="00676DE1"/>
    <w:rsid w:val="00680549"/>
    <w:rsid w:val="00680B33"/>
    <w:rsid w:val="00680EEF"/>
    <w:rsid w:val="00681DC8"/>
    <w:rsid w:val="00682759"/>
    <w:rsid w:val="00682F4C"/>
    <w:rsid w:val="0068352B"/>
    <w:rsid w:val="00683897"/>
    <w:rsid w:val="0068392E"/>
    <w:rsid w:val="00684711"/>
    <w:rsid w:val="00684B3C"/>
    <w:rsid w:val="00684EA4"/>
    <w:rsid w:val="00684FF3"/>
    <w:rsid w:val="006852F6"/>
    <w:rsid w:val="00685322"/>
    <w:rsid w:val="006909B8"/>
    <w:rsid w:val="00690A28"/>
    <w:rsid w:val="00693B77"/>
    <w:rsid w:val="0069602E"/>
    <w:rsid w:val="006964DF"/>
    <w:rsid w:val="0069666C"/>
    <w:rsid w:val="00696739"/>
    <w:rsid w:val="00697B1C"/>
    <w:rsid w:val="00697D32"/>
    <w:rsid w:val="006A00DC"/>
    <w:rsid w:val="006A1437"/>
    <w:rsid w:val="006A20C3"/>
    <w:rsid w:val="006A3393"/>
    <w:rsid w:val="006A374F"/>
    <w:rsid w:val="006A427F"/>
    <w:rsid w:val="006A5383"/>
    <w:rsid w:val="006A7F10"/>
    <w:rsid w:val="006B08A0"/>
    <w:rsid w:val="006B241E"/>
    <w:rsid w:val="006B2D2D"/>
    <w:rsid w:val="006B4CCD"/>
    <w:rsid w:val="006B4D39"/>
    <w:rsid w:val="006B56D7"/>
    <w:rsid w:val="006B5E3B"/>
    <w:rsid w:val="006B7215"/>
    <w:rsid w:val="006B7328"/>
    <w:rsid w:val="006B765B"/>
    <w:rsid w:val="006B7E66"/>
    <w:rsid w:val="006C03D9"/>
    <w:rsid w:val="006C0633"/>
    <w:rsid w:val="006C159A"/>
    <w:rsid w:val="006C27C6"/>
    <w:rsid w:val="006C4B02"/>
    <w:rsid w:val="006C50DA"/>
    <w:rsid w:val="006D01AF"/>
    <w:rsid w:val="006D01F5"/>
    <w:rsid w:val="006D06A6"/>
    <w:rsid w:val="006D0F59"/>
    <w:rsid w:val="006D103F"/>
    <w:rsid w:val="006D131A"/>
    <w:rsid w:val="006D1332"/>
    <w:rsid w:val="006D306A"/>
    <w:rsid w:val="006D3C03"/>
    <w:rsid w:val="006D403E"/>
    <w:rsid w:val="006D4604"/>
    <w:rsid w:val="006D46CF"/>
    <w:rsid w:val="006D4EAD"/>
    <w:rsid w:val="006D54D3"/>
    <w:rsid w:val="006D609C"/>
    <w:rsid w:val="006D62DE"/>
    <w:rsid w:val="006D6A9B"/>
    <w:rsid w:val="006D7D02"/>
    <w:rsid w:val="006E15A2"/>
    <w:rsid w:val="006E189B"/>
    <w:rsid w:val="006E1B8C"/>
    <w:rsid w:val="006E2078"/>
    <w:rsid w:val="006E4F23"/>
    <w:rsid w:val="006E5316"/>
    <w:rsid w:val="006E6893"/>
    <w:rsid w:val="006E7A3D"/>
    <w:rsid w:val="006F1498"/>
    <w:rsid w:val="006F1820"/>
    <w:rsid w:val="006F187F"/>
    <w:rsid w:val="006F2199"/>
    <w:rsid w:val="006F36F5"/>
    <w:rsid w:val="006F3B5E"/>
    <w:rsid w:val="006F4996"/>
    <w:rsid w:val="006F4E15"/>
    <w:rsid w:val="006F53B2"/>
    <w:rsid w:val="006F5CD2"/>
    <w:rsid w:val="006F686F"/>
    <w:rsid w:val="006F6CC7"/>
    <w:rsid w:val="006F715B"/>
    <w:rsid w:val="006F7302"/>
    <w:rsid w:val="006F761B"/>
    <w:rsid w:val="007000F3"/>
    <w:rsid w:val="00700995"/>
    <w:rsid w:val="00700E50"/>
    <w:rsid w:val="007013C3"/>
    <w:rsid w:val="007014C3"/>
    <w:rsid w:val="0070206F"/>
    <w:rsid w:val="00703E98"/>
    <w:rsid w:val="00703FD9"/>
    <w:rsid w:val="007046D5"/>
    <w:rsid w:val="0070495B"/>
    <w:rsid w:val="00704FD5"/>
    <w:rsid w:val="007055CD"/>
    <w:rsid w:val="00706247"/>
    <w:rsid w:val="00707288"/>
    <w:rsid w:val="0070773E"/>
    <w:rsid w:val="007102FC"/>
    <w:rsid w:val="00710AC4"/>
    <w:rsid w:val="00710E1F"/>
    <w:rsid w:val="00710EEA"/>
    <w:rsid w:val="007126C6"/>
    <w:rsid w:val="007128AD"/>
    <w:rsid w:val="0071331E"/>
    <w:rsid w:val="007133D9"/>
    <w:rsid w:val="00714340"/>
    <w:rsid w:val="00714BDE"/>
    <w:rsid w:val="00714DC6"/>
    <w:rsid w:val="007158C4"/>
    <w:rsid w:val="00716011"/>
    <w:rsid w:val="00716404"/>
    <w:rsid w:val="007177D5"/>
    <w:rsid w:val="00717DA2"/>
    <w:rsid w:val="00717DCD"/>
    <w:rsid w:val="00720246"/>
    <w:rsid w:val="00720B2F"/>
    <w:rsid w:val="00724260"/>
    <w:rsid w:val="007251D9"/>
    <w:rsid w:val="00727051"/>
    <w:rsid w:val="007307F5"/>
    <w:rsid w:val="007319AD"/>
    <w:rsid w:val="00732808"/>
    <w:rsid w:val="007339A2"/>
    <w:rsid w:val="007340D7"/>
    <w:rsid w:val="007347A4"/>
    <w:rsid w:val="007356BA"/>
    <w:rsid w:val="007364E4"/>
    <w:rsid w:val="007366F0"/>
    <w:rsid w:val="007375AC"/>
    <w:rsid w:val="00737B50"/>
    <w:rsid w:val="00737BFD"/>
    <w:rsid w:val="0074013A"/>
    <w:rsid w:val="00740620"/>
    <w:rsid w:val="0074194E"/>
    <w:rsid w:val="00741D14"/>
    <w:rsid w:val="007420D3"/>
    <w:rsid w:val="00743E8D"/>
    <w:rsid w:val="00745A4B"/>
    <w:rsid w:val="00745CEC"/>
    <w:rsid w:val="00745F35"/>
    <w:rsid w:val="007500A6"/>
    <w:rsid w:val="007500D2"/>
    <w:rsid w:val="00750FF2"/>
    <w:rsid w:val="007514FC"/>
    <w:rsid w:val="00751887"/>
    <w:rsid w:val="0075217D"/>
    <w:rsid w:val="00752208"/>
    <w:rsid w:val="0075254F"/>
    <w:rsid w:val="00752883"/>
    <w:rsid w:val="00753358"/>
    <w:rsid w:val="0075373E"/>
    <w:rsid w:val="007570DF"/>
    <w:rsid w:val="0076104B"/>
    <w:rsid w:val="007621B9"/>
    <w:rsid w:val="00762242"/>
    <w:rsid w:val="00762249"/>
    <w:rsid w:val="007629E8"/>
    <w:rsid w:val="00763DFE"/>
    <w:rsid w:val="00764B1C"/>
    <w:rsid w:val="0076524D"/>
    <w:rsid w:val="007659C9"/>
    <w:rsid w:val="0076657E"/>
    <w:rsid w:val="0076694C"/>
    <w:rsid w:val="00766A08"/>
    <w:rsid w:val="00766C72"/>
    <w:rsid w:val="00770C87"/>
    <w:rsid w:val="00771079"/>
    <w:rsid w:val="00771856"/>
    <w:rsid w:val="007719F6"/>
    <w:rsid w:val="00771C46"/>
    <w:rsid w:val="00772CB1"/>
    <w:rsid w:val="00772F04"/>
    <w:rsid w:val="007745CC"/>
    <w:rsid w:val="00774E91"/>
    <w:rsid w:val="0077522B"/>
    <w:rsid w:val="00775864"/>
    <w:rsid w:val="00777A0C"/>
    <w:rsid w:val="00777E38"/>
    <w:rsid w:val="00780FD2"/>
    <w:rsid w:val="00781600"/>
    <w:rsid w:val="007816CB"/>
    <w:rsid w:val="00782B5D"/>
    <w:rsid w:val="00783B0F"/>
    <w:rsid w:val="007841F0"/>
    <w:rsid w:val="00785491"/>
    <w:rsid w:val="0078595E"/>
    <w:rsid w:val="007860CE"/>
    <w:rsid w:val="00787948"/>
    <w:rsid w:val="00787F5F"/>
    <w:rsid w:val="00787FB7"/>
    <w:rsid w:val="00790F2A"/>
    <w:rsid w:val="00791EBF"/>
    <w:rsid w:val="00792BCD"/>
    <w:rsid w:val="00792E4A"/>
    <w:rsid w:val="00793028"/>
    <w:rsid w:val="00793249"/>
    <w:rsid w:val="007933A1"/>
    <w:rsid w:val="00794FDA"/>
    <w:rsid w:val="00795786"/>
    <w:rsid w:val="00795D86"/>
    <w:rsid w:val="00795EC2"/>
    <w:rsid w:val="0079637F"/>
    <w:rsid w:val="007A0982"/>
    <w:rsid w:val="007A2BE0"/>
    <w:rsid w:val="007A3A9A"/>
    <w:rsid w:val="007A4A20"/>
    <w:rsid w:val="007A5803"/>
    <w:rsid w:val="007A5A2C"/>
    <w:rsid w:val="007A62BE"/>
    <w:rsid w:val="007A6EDD"/>
    <w:rsid w:val="007A7AD9"/>
    <w:rsid w:val="007B00D5"/>
    <w:rsid w:val="007B1758"/>
    <w:rsid w:val="007B1E34"/>
    <w:rsid w:val="007B4548"/>
    <w:rsid w:val="007B5EB8"/>
    <w:rsid w:val="007B6721"/>
    <w:rsid w:val="007B7C64"/>
    <w:rsid w:val="007B7C96"/>
    <w:rsid w:val="007C008E"/>
    <w:rsid w:val="007C02C4"/>
    <w:rsid w:val="007C09A3"/>
    <w:rsid w:val="007C0F54"/>
    <w:rsid w:val="007C19AA"/>
    <w:rsid w:val="007C1E0F"/>
    <w:rsid w:val="007C2EA8"/>
    <w:rsid w:val="007C3EC4"/>
    <w:rsid w:val="007C4643"/>
    <w:rsid w:val="007C547A"/>
    <w:rsid w:val="007C7CB9"/>
    <w:rsid w:val="007D11BC"/>
    <w:rsid w:val="007D182F"/>
    <w:rsid w:val="007D2D6E"/>
    <w:rsid w:val="007D4FAE"/>
    <w:rsid w:val="007D5AEB"/>
    <w:rsid w:val="007D600D"/>
    <w:rsid w:val="007D65AD"/>
    <w:rsid w:val="007D69E5"/>
    <w:rsid w:val="007D792B"/>
    <w:rsid w:val="007D7DE6"/>
    <w:rsid w:val="007E0E8C"/>
    <w:rsid w:val="007E1531"/>
    <w:rsid w:val="007E1632"/>
    <w:rsid w:val="007E25FC"/>
    <w:rsid w:val="007E2C29"/>
    <w:rsid w:val="007E34E1"/>
    <w:rsid w:val="007E37A6"/>
    <w:rsid w:val="007E49F9"/>
    <w:rsid w:val="007E4DC6"/>
    <w:rsid w:val="007E57EF"/>
    <w:rsid w:val="007E5999"/>
    <w:rsid w:val="007E6514"/>
    <w:rsid w:val="007E654A"/>
    <w:rsid w:val="007E6F17"/>
    <w:rsid w:val="007E6F7A"/>
    <w:rsid w:val="007E789B"/>
    <w:rsid w:val="007E7AAC"/>
    <w:rsid w:val="007E7BA6"/>
    <w:rsid w:val="007F1862"/>
    <w:rsid w:val="007F1C23"/>
    <w:rsid w:val="007F244D"/>
    <w:rsid w:val="007F4F49"/>
    <w:rsid w:val="007F5E69"/>
    <w:rsid w:val="007F77A0"/>
    <w:rsid w:val="00800081"/>
    <w:rsid w:val="00800351"/>
    <w:rsid w:val="00800EE3"/>
    <w:rsid w:val="008019EC"/>
    <w:rsid w:val="008028B1"/>
    <w:rsid w:val="00802BE3"/>
    <w:rsid w:val="00802C3D"/>
    <w:rsid w:val="008069A4"/>
    <w:rsid w:val="008101D6"/>
    <w:rsid w:val="00811465"/>
    <w:rsid w:val="008118BE"/>
    <w:rsid w:val="0081214C"/>
    <w:rsid w:val="0081297A"/>
    <w:rsid w:val="008136EB"/>
    <w:rsid w:val="00813B8D"/>
    <w:rsid w:val="00813E53"/>
    <w:rsid w:val="00813EB4"/>
    <w:rsid w:val="00813F24"/>
    <w:rsid w:val="00815B41"/>
    <w:rsid w:val="00816294"/>
    <w:rsid w:val="00816779"/>
    <w:rsid w:val="00816C7C"/>
    <w:rsid w:val="008170F3"/>
    <w:rsid w:val="008171B5"/>
    <w:rsid w:val="0081722C"/>
    <w:rsid w:val="00817E15"/>
    <w:rsid w:val="00820003"/>
    <w:rsid w:val="00821C61"/>
    <w:rsid w:val="00821F0E"/>
    <w:rsid w:val="00821F8F"/>
    <w:rsid w:val="00822BC5"/>
    <w:rsid w:val="00823A23"/>
    <w:rsid w:val="00823A97"/>
    <w:rsid w:val="00823EA0"/>
    <w:rsid w:val="008241C5"/>
    <w:rsid w:val="00824255"/>
    <w:rsid w:val="00824380"/>
    <w:rsid w:val="00824B59"/>
    <w:rsid w:val="00824DBF"/>
    <w:rsid w:val="008256BF"/>
    <w:rsid w:val="00826E90"/>
    <w:rsid w:val="00826EBD"/>
    <w:rsid w:val="008313AB"/>
    <w:rsid w:val="008319E1"/>
    <w:rsid w:val="0083200C"/>
    <w:rsid w:val="00832460"/>
    <w:rsid w:val="00832AA7"/>
    <w:rsid w:val="00833854"/>
    <w:rsid w:val="0083410C"/>
    <w:rsid w:val="008345AB"/>
    <w:rsid w:val="00834786"/>
    <w:rsid w:val="008360E3"/>
    <w:rsid w:val="00837715"/>
    <w:rsid w:val="00837E7E"/>
    <w:rsid w:val="00840149"/>
    <w:rsid w:val="0084043D"/>
    <w:rsid w:val="0084141C"/>
    <w:rsid w:val="00841D0E"/>
    <w:rsid w:val="00842181"/>
    <w:rsid w:val="00842B83"/>
    <w:rsid w:val="00843425"/>
    <w:rsid w:val="00843E1C"/>
    <w:rsid w:val="00844BE3"/>
    <w:rsid w:val="008456C2"/>
    <w:rsid w:val="00846248"/>
    <w:rsid w:val="0084638D"/>
    <w:rsid w:val="0084747A"/>
    <w:rsid w:val="0085057E"/>
    <w:rsid w:val="00850688"/>
    <w:rsid w:val="008513ED"/>
    <w:rsid w:val="00851A08"/>
    <w:rsid w:val="00851A68"/>
    <w:rsid w:val="00852089"/>
    <w:rsid w:val="00852BA1"/>
    <w:rsid w:val="00853390"/>
    <w:rsid w:val="0085439C"/>
    <w:rsid w:val="00854541"/>
    <w:rsid w:val="00854EE1"/>
    <w:rsid w:val="008561C3"/>
    <w:rsid w:val="008573F0"/>
    <w:rsid w:val="0085780B"/>
    <w:rsid w:val="008578F3"/>
    <w:rsid w:val="00860217"/>
    <w:rsid w:val="00860310"/>
    <w:rsid w:val="0086046E"/>
    <w:rsid w:val="00860CC7"/>
    <w:rsid w:val="008616D4"/>
    <w:rsid w:val="00861AD2"/>
    <w:rsid w:val="00861FA4"/>
    <w:rsid w:val="00862F7C"/>
    <w:rsid w:val="008639E1"/>
    <w:rsid w:val="00863BC7"/>
    <w:rsid w:val="00865386"/>
    <w:rsid w:val="008671B5"/>
    <w:rsid w:val="00867848"/>
    <w:rsid w:val="00867E77"/>
    <w:rsid w:val="00870425"/>
    <w:rsid w:val="00871099"/>
    <w:rsid w:val="008710E9"/>
    <w:rsid w:val="00871E2D"/>
    <w:rsid w:val="008730AE"/>
    <w:rsid w:val="0087316C"/>
    <w:rsid w:val="0087361C"/>
    <w:rsid w:val="00873A5D"/>
    <w:rsid w:val="00875706"/>
    <w:rsid w:val="00875733"/>
    <w:rsid w:val="00875BD9"/>
    <w:rsid w:val="00875C53"/>
    <w:rsid w:val="00875C75"/>
    <w:rsid w:val="008776C0"/>
    <w:rsid w:val="00877D90"/>
    <w:rsid w:val="008813DC"/>
    <w:rsid w:val="00881423"/>
    <w:rsid w:val="008818D2"/>
    <w:rsid w:val="00881B0C"/>
    <w:rsid w:val="008832E4"/>
    <w:rsid w:val="008834FD"/>
    <w:rsid w:val="00884271"/>
    <w:rsid w:val="00884309"/>
    <w:rsid w:val="00884F4D"/>
    <w:rsid w:val="00884FE5"/>
    <w:rsid w:val="00885EAA"/>
    <w:rsid w:val="00891493"/>
    <w:rsid w:val="0089183F"/>
    <w:rsid w:val="0089347E"/>
    <w:rsid w:val="008935E5"/>
    <w:rsid w:val="00893C46"/>
    <w:rsid w:val="00894CCF"/>
    <w:rsid w:val="00896302"/>
    <w:rsid w:val="00896380"/>
    <w:rsid w:val="00897B7F"/>
    <w:rsid w:val="008A0335"/>
    <w:rsid w:val="008A040F"/>
    <w:rsid w:val="008A0898"/>
    <w:rsid w:val="008A14F6"/>
    <w:rsid w:val="008A152B"/>
    <w:rsid w:val="008A2B98"/>
    <w:rsid w:val="008A3A38"/>
    <w:rsid w:val="008A4D5B"/>
    <w:rsid w:val="008A4EF6"/>
    <w:rsid w:val="008A5449"/>
    <w:rsid w:val="008A6984"/>
    <w:rsid w:val="008A77FF"/>
    <w:rsid w:val="008A78C6"/>
    <w:rsid w:val="008B0961"/>
    <w:rsid w:val="008B0ADD"/>
    <w:rsid w:val="008B1110"/>
    <w:rsid w:val="008B1812"/>
    <w:rsid w:val="008B2A12"/>
    <w:rsid w:val="008B33E1"/>
    <w:rsid w:val="008B382E"/>
    <w:rsid w:val="008B42C9"/>
    <w:rsid w:val="008B47F9"/>
    <w:rsid w:val="008B4EFC"/>
    <w:rsid w:val="008B553D"/>
    <w:rsid w:val="008B55B1"/>
    <w:rsid w:val="008B7C3E"/>
    <w:rsid w:val="008C0C8B"/>
    <w:rsid w:val="008C1748"/>
    <w:rsid w:val="008C2861"/>
    <w:rsid w:val="008C2BB6"/>
    <w:rsid w:val="008C44B8"/>
    <w:rsid w:val="008C46AA"/>
    <w:rsid w:val="008C5412"/>
    <w:rsid w:val="008C625B"/>
    <w:rsid w:val="008C6FD4"/>
    <w:rsid w:val="008C73F2"/>
    <w:rsid w:val="008D0EDD"/>
    <w:rsid w:val="008D1C73"/>
    <w:rsid w:val="008D1CC9"/>
    <w:rsid w:val="008D1D0B"/>
    <w:rsid w:val="008D3ADF"/>
    <w:rsid w:val="008D3C34"/>
    <w:rsid w:val="008D499C"/>
    <w:rsid w:val="008D542E"/>
    <w:rsid w:val="008D5524"/>
    <w:rsid w:val="008D60F1"/>
    <w:rsid w:val="008E241B"/>
    <w:rsid w:val="008E36A0"/>
    <w:rsid w:val="008E45E0"/>
    <w:rsid w:val="008E533A"/>
    <w:rsid w:val="008E5DC5"/>
    <w:rsid w:val="008E625D"/>
    <w:rsid w:val="008E65D0"/>
    <w:rsid w:val="008F04AE"/>
    <w:rsid w:val="008F0785"/>
    <w:rsid w:val="008F0AD4"/>
    <w:rsid w:val="008F1F5C"/>
    <w:rsid w:val="008F2013"/>
    <w:rsid w:val="008F3F99"/>
    <w:rsid w:val="008F44BF"/>
    <w:rsid w:val="008F454B"/>
    <w:rsid w:val="008F567E"/>
    <w:rsid w:val="008F5F80"/>
    <w:rsid w:val="008F6AF6"/>
    <w:rsid w:val="008F7035"/>
    <w:rsid w:val="008F7CE7"/>
    <w:rsid w:val="00901591"/>
    <w:rsid w:val="00905400"/>
    <w:rsid w:val="00906E8A"/>
    <w:rsid w:val="0090767B"/>
    <w:rsid w:val="00907CCE"/>
    <w:rsid w:val="0091067F"/>
    <w:rsid w:val="00910D28"/>
    <w:rsid w:val="00911C1B"/>
    <w:rsid w:val="009122AC"/>
    <w:rsid w:val="0091248A"/>
    <w:rsid w:val="00912E64"/>
    <w:rsid w:val="0091371A"/>
    <w:rsid w:val="00913744"/>
    <w:rsid w:val="00914957"/>
    <w:rsid w:val="0091527B"/>
    <w:rsid w:val="00916ECB"/>
    <w:rsid w:val="00917408"/>
    <w:rsid w:val="0091788B"/>
    <w:rsid w:val="0092249A"/>
    <w:rsid w:val="0092277A"/>
    <w:rsid w:val="009228DF"/>
    <w:rsid w:val="00922F04"/>
    <w:rsid w:val="00923C3B"/>
    <w:rsid w:val="00924543"/>
    <w:rsid w:val="0092465F"/>
    <w:rsid w:val="009253E7"/>
    <w:rsid w:val="00925584"/>
    <w:rsid w:val="00925A4B"/>
    <w:rsid w:val="00926D06"/>
    <w:rsid w:val="0092768C"/>
    <w:rsid w:val="00927E26"/>
    <w:rsid w:val="009313BA"/>
    <w:rsid w:val="00931CB6"/>
    <w:rsid w:val="0093248D"/>
    <w:rsid w:val="00934127"/>
    <w:rsid w:val="009344AC"/>
    <w:rsid w:val="0093486C"/>
    <w:rsid w:val="009362C8"/>
    <w:rsid w:val="00936575"/>
    <w:rsid w:val="009365AB"/>
    <w:rsid w:val="00936EA4"/>
    <w:rsid w:val="009378FA"/>
    <w:rsid w:val="00937BF9"/>
    <w:rsid w:val="00937F42"/>
    <w:rsid w:val="009415E4"/>
    <w:rsid w:val="00941DCC"/>
    <w:rsid w:val="0094254D"/>
    <w:rsid w:val="00942BFE"/>
    <w:rsid w:val="00945D53"/>
    <w:rsid w:val="00946884"/>
    <w:rsid w:val="0094689E"/>
    <w:rsid w:val="00950A00"/>
    <w:rsid w:val="00951017"/>
    <w:rsid w:val="00951236"/>
    <w:rsid w:val="00951CAF"/>
    <w:rsid w:val="00951E37"/>
    <w:rsid w:val="00953BC6"/>
    <w:rsid w:val="0095493F"/>
    <w:rsid w:val="00954D7E"/>
    <w:rsid w:val="00955B56"/>
    <w:rsid w:val="00955FAB"/>
    <w:rsid w:val="00957F79"/>
    <w:rsid w:val="009602BA"/>
    <w:rsid w:val="00960334"/>
    <w:rsid w:val="009608EA"/>
    <w:rsid w:val="00960A0E"/>
    <w:rsid w:val="00962443"/>
    <w:rsid w:val="009628AF"/>
    <w:rsid w:val="0096317E"/>
    <w:rsid w:val="00963D59"/>
    <w:rsid w:val="00963F73"/>
    <w:rsid w:val="009641D0"/>
    <w:rsid w:val="00965AF5"/>
    <w:rsid w:val="00966E5A"/>
    <w:rsid w:val="00967046"/>
    <w:rsid w:val="00967171"/>
    <w:rsid w:val="00967973"/>
    <w:rsid w:val="00967C46"/>
    <w:rsid w:val="009704D9"/>
    <w:rsid w:val="00970661"/>
    <w:rsid w:val="00970A23"/>
    <w:rsid w:val="00971B97"/>
    <w:rsid w:val="00972A72"/>
    <w:rsid w:val="0097391E"/>
    <w:rsid w:val="00973939"/>
    <w:rsid w:val="00973CF6"/>
    <w:rsid w:val="00973E0F"/>
    <w:rsid w:val="009744F6"/>
    <w:rsid w:val="00974E0A"/>
    <w:rsid w:val="00976507"/>
    <w:rsid w:val="0097727F"/>
    <w:rsid w:val="0097753F"/>
    <w:rsid w:val="00977A58"/>
    <w:rsid w:val="00981EF2"/>
    <w:rsid w:val="00982018"/>
    <w:rsid w:val="009833A5"/>
    <w:rsid w:val="009833DE"/>
    <w:rsid w:val="00983862"/>
    <w:rsid w:val="00983BC4"/>
    <w:rsid w:val="009853FE"/>
    <w:rsid w:val="00985C5A"/>
    <w:rsid w:val="00986079"/>
    <w:rsid w:val="00986408"/>
    <w:rsid w:val="00986E58"/>
    <w:rsid w:val="009872EF"/>
    <w:rsid w:val="0098756F"/>
    <w:rsid w:val="00987F6F"/>
    <w:rsid w:val="00990161"/>
    <w:rsid w:val="00990C86"/>
    <w:rsid w:val="009922C3"/>
    <w:rsid w:val="009922E4"/>
    <w:rsid w:val="00993ACA"/>
    <w:rsid w:val="00993E82"/>
    <w:rsid w:val="0099409F"/>
    <w:rsid w:val="00994514"/>
    <w:rsid w:val="00994BE6"/>
    <w:rsid w:val="009950D6"/>
    <w:rsid w:val="0099529B"/>
    <w:rsid w:val="00995CEE"/>
    <w:rsid w:val="00996DC5"/>
    <w:rsid w:val="009977B8"/>
    <w:rsid w:val="009A0A87"/>
    <w:rsid w:val="009A0C20"/>
    <w:rsid w:val="009A0D85"/>
    <w:rsid w:val="009A13A2"/>
    <w:rsid w:val="009A1413"/>
    <w:rsid w:val="009A215A"/>
    <w:rsid w:val="009A2986"/>
    <w:rsid w:val="009A2E94"/>
    <w:rsid w:val="009A4F59"/>
    <w:rsid w:val="009A55BA"/>
    <w:rsid w:val="009A5690"/>
    <w:rsid w:val="009A6457"/>
    <w:rsid w:val="009A65EB"/>
    <w:rsid w:val="009A6EDE"/>
    <w:rsid w:val="009A7973"/>
    <w:rsid w:val="009B1266"/>
    <w:rsid w:val="009B1C0B"/>
    <w:rsid w:val="009B2773"/>
    <w:rsid w:val="009B4A8A"/>
    <w:rsid w:val="009B51EF"/>
    <w:rsid w:val="009B59A6"/>
    <w:rsid w:val="009B6CAA"/>
    <w:rsid w:val="009B6F57"/>
    <w:rsid w:val="009B6FD1"/>
    <w:rsid w:val="009B700A"/>
    <w:rsid w:val="009B7409"/>
    <w:rsid w:val="009B79C5"/>
    <w:rsid w:val="009C0875"/>
    <w:rsid w:val="009C10C2"/>
    <w:rsid w:val="009C2C1B"/>
    <w:rsid w:val="009C2CC3"/>
    <w:rsid w:val="009C5693"/>
    <w:rsid w:val="009C60CD"/>
    <w:rsid w:val="009C74B9"/>
    <w:rsid w:val="009C7992"/>
    <w:rsid w:val="009C7AE0"/>
    <w:rsid w:val="009D02A9"/>
    <w:rsid w:val="009D0473"/>
    <w:rsid w:val="009D0B0C"/>
    <w:rsid w:val="009D1B5F"/>
    <w:rsid w:val="009D2A03"/>
    <w:rsid w:val="009D32A5"/>
    <w:rsid w:val="009D350F"/>
    <w:rsid w:val="009D3F8B"/>
    <w:rsid w:val="009D58F3"/>
    <w:rsid w:val="009D5D48"/>
    <w:rsid w:val="009E0620"/>
    <w:rsid w:val="009E1425"/>
    <w:rsid w:val="009E1670"/>
    <w:rsid w:val="009E252E"/>
    <w:rsid w:val="009E2E5C"/>
    <w:rsid w:val="009E33B1"/>
    <w:rsid w:val="009E4198"/>
    <w:rsid w:val="009E63F7"/>
    <w:rsid w:val="009E64B3"/>
    <w:rsid w:val="009E6EB0"/>
    <w:rsid w:val="009E737F"/>
    <w:rsid w:val="009E74BC"/>
    <w:rsid w:val="009E7F1D"/>
    <w:rsid w:val="009F0B6B"/>
    <w:rsid w:val="009F1164"/>
    <w:rsid w:val="009F124E"/>
    <w:rsid w:val="009F2A37"/>
    <w:rsid w:val="009F466A"/>
    <w:rsid w:val="009F4C4D"/>
    <w:rsid w:val="009F506A"/>
    <w:rsid w:val="009F69EB"/>
    <w:rsid w:val="00A00E85"/>
    <w:rsid w:val="00A03236"/>
    <w:rsid w:val="00A036EF"/>
    <w:rsid w:val="00A03AE0"/>
    <w:rsid w:val="00A05ECC"/>
    <w:rsid w:val="00A0685E"/>
    <w:rsid w:val="00A068F4"/>
    <w:rsid w:val="00A06EF7"/>
    <w:rsid w:val="00A0736D"/>
    <w:rsid w:val="00A119FF"/>
    <w:rsid w:val="00A11D65"/>
    <w:rsid w:val="00A128EB"/>
    <w:rsid w:val="00A12E15"/>
    <w:rsid w:val="00A14182"/>
    <w:rsid w:val="00A144BC"/>
    <w:rsid w:val="00A149FD"/>
    <w:rsid w:val="00A14DF8"/>
    <w:rsid w:val="00A1530A"/>
    <w:rsid w:val="00A157B2"/>
    <w:rsid w:val="00A15B43"/>
    <w:rsid w:val="00A15FDB"/>
    <w:rsid w:val="00A1602F"/>
    <w:rsid w:val="00A1637C"/>
    <w:rsid w:val="00A1677D"/>
    <w:rsid w:val="00A16D15"/>
    <w:rsid w:val="00A17247"/>
    <w:rsid w:val="00A17ACA"/>
    <w:rsid w:val="00A20E42"/>
    <w:rsid w:val="00A218CC"/>
    <w:rsid w:val="00A219B6"/>
    <w:rsid w:val="00A22BEA"/>
    <w:rsid w:val="00A22C04"/>
    <w:rsid w:val="00A2355A"/>
    <w:rsid w:val="00A23AE7"/>
    <w:rsid w:val="00A248F2"/>
    <w:rsid w:val="00A24A8A"/>
    <w:rsid w:val="00A25293"/>
    <w:rsid w:val="00A274BB"/>
    <w:rsid w:val="00A302F7"/>
    <w:rsid w:val="00A30483"/>
    <w:rsid w:val="00A30D5B"/>
    <w:rsid w:val="00A30DFA"/>
    <w:rsid w:val="00A31F41"/>
    <w:rsid w:val="00A332BA"/>
    <w:rsid w:val="00A33AC1"/>
    <w:rsid w:val="00A33FA8"/>
    <w:rsid w:val="00A3464C"/>
    <w:rsid w:val="00A3582C"/>
    <w:rsid w:val="00A35D04"/>
    <w:rsid w:val="00A40495"/>
    <w:rsid w:val="00A41582"/>
    <w:rsid w:val="00A41D86"/>
    <w:rsid w:val="00A42007"/>
    <w:rsid w:val="00A422A3"/>
    <w:rsid w:val="00A42CBE"/>
    <w:rsid w:val="00A42FC5"/>
    <w:rsid w:val="00A4352B"/>
    <w:rsid w:val="00A43E0F"/>
    <w:rsid w:val="00A43E3F"/>
    <w:rsid w:val="00A4693E"/>
    <w:rsid w:val="00A471FA"/>
    <w:rsid w:val="00A50008"/>
    <w:rsid w:val="00A50857"/>
    <w:rsid w:val="00A5087D"/>
    <w:rsid w:val="00A50D14"/>
    <w:rsid w:val="00A50EB9"/>
    <w:rsid w:val="00A51130"/>
    <w:rsid w:val="00A515ED"/>
    <w:rsid w:val="00A51719"/>
    <w:rsid w:val="00A51930"/>
    <w:rsid w:val="00A52888"/>
    <w:rsid w:val="00A528F5"/>
    <w:rsid w:val="00A5398E"/>
    <w:rsid w:val="00A53BE9"/>
    <w:rsid w:val="00A5624E"/>
    <w:rsid w:val="00A575EB"/>
    <w:rsid w:val="00A604D5"/>
    <w:rsid w:val="00A6098A"/>
    <w:rsid w:val="00A61F4C"/>
    <w:rsid w:val="00A63551"/>
    <w:rsid w:val="00A635F1"/>
    <w:rsid w:val="00A648FB"/>
    <w:rsid w:val="00A649AA"/>
    <w:rsid w:val="00A65354"/>
    <w:rsid w:val="00A711C7"/>
    <w:rsid w:val="00A71C75"/>
    <w:rsid w:val="00A724E1"/>
    <w:rsid w:val="00A73144"/>
    <w:rsid w:val="00A73A46"/>
    <w:rsid w:val="00A73AAD"/>
    <w:rsid w:val="00A766EA"/>
    <w:rsid w:val="00A76A62"/>
    <w:rsid w:val="00A76BB1"/>
    <w:rsid w:val="00A77894"/>
    <w:rsid w:val="00A805F2"/>
    <w:rsid w:val="00A8068D"/>
    <w:rsid w:val="00A81822"/>
    <w:rsid w:val="00A81A5F"/>
    <w:rsid w:val="00A81EF3"/>
    <w:rsid w:val="00A828BF"/>
    <w:rsid w:val="00A832D3"/>
    <w:rsid w:val="00A833C9"/>
    <w:rsid w:val="00A835E3"/>
    <w:rsid w:val="00A83B3D"/>
    <w:rsid w:val="00A84FE8"/>
    <w:rsid w:val="00A85021"/>
    <w:rsid w:val="00A857A6"/>
    <w:rsid w:val="00A85A69"/>
    <w:rsid w:val="00A86521"/>
    <w:rsid w:val="00A87589"/>
    <w:rsid w:val="00A904F3"/>
    <w:rsid w:val="00A916FD"/>
    <w:rsid w:val="00A93AE1"/>
    <w:rsid w:val="00A93B59"/>
    <w:rsid w:val="00A93F94"/>
    <w:rsid w:val="00A9402D"/>
    <w:rsid w:val="00A94600"/>
    <w:rsid w:val="00A9500E"/>
    <w:rsid w:val="00A956E5"/>
    <w:rsid w:val="00A95D15"/>
    <w:rsid w:val="00A96141"/>
    <w:rsid w:val="00A9692C"/>
    <w:rsid w:val="00A96FCF"/>
    <w:rsid w:val="00A974A3"/>
    <w:rsid w:val="00A97804"/>
    <w:rsid w:val="00A97D53"/>
    <w:rsid w:val="00AA0C90"/>
    <w:rsid w:val="00AA1B4D"/>
    <w:rsid w:val="00AA2758"/>
    <w:rsid w:val="00AA2A51"/>
    <w:rsid w:val="00AA3595"/>
    <w:rsid w:val="00AA3AC7"/>
    <w:rsid w:val="00AA3F3F"/>
    <w:rsid w:val="00AA4165"/>
    <w:rsid w:val="00AA4753"/>
    <w:rsid w:val="00AA4E07"/>
    <w:rsid w:val="00AA4F76"/>
    <w:rsid w:val="00AB2675"/>
    <w:rsid w:val="00AB2770"/>
    <w:rsid w:val="00AB28C5"/>
    <w:rsid w:val="00AB2BC0"/>
    <w:rsid w:val="00AB39FD"/>
    <w:rsid w:val="00AB407A"/>
    <w:rsid w:val="00AB40C3"/>
    <w:rsid w:val="00AB4453"/>
    <w:rsid w:val="00AB44C1"/>
    <w:rsid w:val="00AB4D12"/>
    <w:rsid w:val="00AB6DAF"/>
    <w:rsid w:val="00AC0657"/>
    <w:rsid w:val="00AC09E6"/>
    <w:rsid w:val="00AC2EDA"/>
    <w:rsid w:val="00AC38F8"/>
    <w:rsid w:val="00AC65E8"/>
    <w:rsid w:val="00AC68DB"/>
    <w:rsid w:val="00AC7865"/>
    <w:rsid w:val="00AC7A0B"/>
    <w:rsid w:val="00AD0397"/>
    <w:rsid w:val="00AD1DA8"/>
    <w:rsid w:val="00AD3261"/>
    <w:rsid w:val="00AD3E2B"/>
    <w:rsid w:val="00AD597C"/>
    <w:rsid w:val="00AD68DD"/>
    <w:rsid w:val="00AD6F6A"/>
    <w:rsid w:val="00AD72F1"/>
    <w:rsid w:val="00AD7C64"/>
    <w:rsid w:val="00AE02E1"/>
    <w:rsid w:val="00AE1A76"/>
    <w:rsid w:val="00AE2364"/>
    <w:rsid w:val="00AE25E5"/>
    <w:rsid w:val="00AE2718"/>
    <w:rsid w:val="00AE2B1C"/>
    <w:rsid w:val="00AE2C0D"/>
    <w:rsid w:val="00AE31C8"/>
    <w:rsid w:val="00AE37C6"/>
    <w:rsid w:val="00AE4BCF"/>
    <w:rsid w:val="00AE51C4"/>
    <w:rsid w:val="00AE6846"/>
    <w:rsid w:val="00AE7AD4"/>
    <w:rsid w:val="00AF00C9"/>
    <w:rsid w:val="00AF1256"/>
    <w:rsid w:val="00AF4059"/>
    <w:rsid w:val="00AF5EE2"/>
    <w:rsid w:val="00AF61EE"/>
    <w:rsid w:val="00AF653F"/>
    <w:rsid w:val="00AF671A"/>
    <w:rsid w:val="00B00CBE"/>
    <w:rsid w:val="00B02581"/>
    <w:rsid w:val="00B0398A"/>
    <w:rsid w:val="00B03D9B"/>
    <w:rsid w:val="00B0431D"/>
    <w:rsid w:val="00B04A49"/>
    <w:rsid w:val="00B04B8E"/>
    <w:rsid w:val="00B051ED"/>
    <w:rsid w:val="00B05FD9"/>
    <w:rsid w:val="00B061A2"/>
    <w:rsid w:val="00B06260"/>
    <w:rsid w:val="00B06444"/>
    <w:rsid w:val="00B06471"/>
    <w:rsid w:val="00B101AE"/>
    <w:rsid w:val="00B10C12"/>
    <w:rsid w:val="00B1113B"/>
    <w:rsid w:val="00B114B3"/>
    <w:rsid w:val="00B12308"/>
    <w:rsid w:val="00B12835"/>
    <w:rsid w:val="00B12F7D"/>
    <w:rsid w:val="00B1572B"/>
    <w:rsid w:val="00B15B78"/>
    <w:rsid w:val="00B15BA7"/>
    <w:rsid w:val="00B170F2"/>
    <w:rsid w:val="00B171D3"/>
    <w:rsid w:val="00B17AF2"/>
    <w:rsid w:val="00B17C37"/>
    <w:rsid w:val="00B20900"/>
    <w:rsid w:val="00B2122C"/>
    <w:rsid w:val="00B21D75"/>
    <w:rsid w:val="00B22450"/>
    <w:rsid w:val="00B22915"/>
    <w:rsid w:val="00B22C92"/>
    <w:rsid w:val="00B23072"/>
    <w:rsid w:val="00B2364F"/>
    <w:rsid w:val="00B23779"/>
    <w:rsid w:val="00B24658"/>
    <w:rsid w:val="00B254A2"/>
    <w:rsid w:val="00B2561F"/>
    <w:rsid w:val="00B265F1"/>
    <w:rsid w:val="00B26C47"/>
    <w:rsid w:val="00B276D2"/>
    <w:rsid w:val="00B27900"/>
    <w:rsid w:val="00B30327"/>
    <w:rsid w:val="00B31BF8"/>
    <w:rsid w:val="00B32576"/>
    <w:rsid w:val="00B3541E"/>
    <w:rsid w:val="00B3542B"/>
    <w:rsid w:val="00B3574B"/>
    <w:rsid w:val="00B36392"/>
    <w:rsid w:val="00B37009"/>
    <w:rsid w:val="00B37CFC"/>
    <w:rsid w:val="00B40EF2"/>
    <w:rsid w:val="00B4266C"/>
    <w:rsid w:val="00B42C0C"/>
    <w:rsid w:val="00B43DBE"/>
    <w:rsid w:val="00B4427F"/>
    <w:rsid w:val="00B45374"/>
    <w:rsid w:val="00B45390"/>
    <w:rsid w:val="00B4598D"/>
    <w:rsid w:val="00B46385"/>
    <w:rsid w:val="00B46570"/>
    <w:rsid w:val="00B46663"/>
    <w:rsid w:val="00B46D8C"/>
    <w:rsid w:val="00B47DA2"/>
    <w:rsid w:val="00B508AB"/>
    <w:rsid w:val="00B50CFF"/>
    <w:rsid w:val="00B52331"/>
    <w:rsid w:val="00B5251D"/>
    <w:rsid w:val="00B52AE1"/>
    <w:rsid w:val="00B53BBC"/>
    <w:rsid w:val="00B53F28"/>
    <w:rsid w:val="00B54B49"/>
    <w:rsid w:val="00B55901"/>
    <w:rsid w:val="00B55C08"/>
    <w:rsid w:val="00B5617B"/>
    <w:rsid w:val="00B57ECF"/>
    <w:rsid w:val="00B63223"/>
    <w:rsid w:val="00B6362C"/>
    <w:rsid w:val="00B637A9"/>
    <w:rsid w:val="00B65713"/>
    <w:rsid w:val="00B664A6"/>
    <w:rsid w:val="00B70859"/>
    <w:rsid w:val="00B70EA7"/>
    <w:rsid w:val="00B71363"/>
    <w:rsid w:val="00B7172C"/>
    <w:rsid w:val="00B72263"/>
    <w:rsid w:val="00B73800"/>
    <w:rsid w:val="00B760A2"/>
    <w:rsid w:val="00B76C8C"/>
    <w:rsid w:val="00B77473"/>
    <w:rsid w:val="00B7765E"/>
    <w:rsid w:val="00B80357"/>
    <w:rsid w:val="00B80A5A"/>
    <w:rsid w:val="00B80E5F"/>
    <w:rsid w:val="00B81A85"/>
    <w:rsid w:val="00B82FFE"/>
    <w:rsid w:val="00B83400"/>
    <w:rsid w:val="00B8385C"/>
    <w:rsid w:val="00B849B2"/>
    <w:rsid w:val="00B850A8"/>
    <w:rsid w:val="00B86018"/>
    <w:rsid w:val="00B87481"/>
    <w:rsid w:val="00B87B73"/>
    <w:rsid w:val="00B87CAF"/>
    <w:rsid w:val="00B9035B"/>
    <w:rsid w:val="00B90A72"/>
    <w:rsid w:val="00B91637"/>
    <w:rsid w:val="00B91811"/>
    <w:rsid w:val="00B91CCF"/>
    <w:rsid w:val="00B9254B"/>
    <w:rsid w:val="00B9348A"/>
    <w:rsid w:val="00B93751"/>
    <w:rsid w:val="00B9402E"/>
    <w:rsid w:val="00B95760"/>
    <w:rsid w:val="00B95F03"/>
    <w:rsid w:val="00B966CE"/>
    <w:rsid w:val="00B96739"/>
    <w:rsid w:val="00B9759E"/>
    <w:rsid w:val="00B975F5"/>
    <w:rsid w:val="00B976A2"/>
    <w:rsid w:val="00BA11C8"/>
    <w:rsid w:val="00BA2B1D"/>
    <w:rsid w:val="00BA2D6F"/>
    <w:rsid w:val="00BA2F24"/>
    <w:rsid w:val="00BA323B"/>
    <w:rsid w:val="00BA36B7"/>
    <w:rsid w:val="00BA3A78"/>
    <w:rsid w:val="00BA4956"/>
    <w:rsid w:val="00BA60CF"/>
    <w:rsid w:val="00BA7120"/>
    <w:rsid w:val="00BB022B"/>
    <w:rsid w:val="00BB0447"/>
    <w:rsid w:val="00BB04AF"/>
    <w:rsid w:val="00BB197B"/>
    <w:rsid w:val="00BB2413"/>
    <w:rsid w:val="00BB2F18"/>
    <w:rsid w:val="00BB3A5A"/>
    <w:rsid w:val="00BB3D15"/>
    <w:rsid w:val="00BB5DA5"/>
    <w:rsid w:val="00BB6B61"/>
    <w:rsid w:val="00BB6E22"/>
    <w:rsid w:val="00BB7853"/>
    <w:rsid w:val="00BC0EF5"/>
    <w:rsid w:val="00BC360C"/>
    <w:rsid w:val="00BC3984"/>
    <w:rsid w:val="00BC40CE"/>
    <w:rsid w:val="00BC44EA"/>
    <w:rsid w:val="00BC4DDA"/>
    <w:rsid w:val="00BC60E2"/>
    <w:rsid w:val="00BC67B3"/>
    <w:rsid w:val="00BC6BBE"/>
    <w:rsid w:val="00BC753A"/>
    <w:rsid w:val="00BC772D"/>
    <w:rsid w:val="00BC7D5B"/>
    <w:rsid w:val="00BC7DA1"/>
    <w:rsid w:val="00BD182F"/>
    <w:rsid w:val="00BD1E53"/>
    <w:rsid w:val="00BD29FC"/>
    <w:rsid w:val="00BD2B6B"/>
    <w:rsid w:val="00BD31E8"/>
    <w:rsid w:val="00BD5E8F"/>
    <w:rsid w:val="00BE0F1D"/>
    <w:rsid w:val="00BE12DD"/>
    <w:rsid w:val="00BE2382"/>
    <w:rsid w:val="00BE3105"/>
    <w:rsid w:val="00BE3246"/>
    <w:rsid w:val="00BE39F0"/>
    <w:rsid w:val="00BE4075"/>
    <w:rsid w:val="00BE4A04"/>
    <w:rsid w:val="00BE4F56"/>
    <w:rsid w:val="00BE5CE4"/>
    <w:rsid w:val="00BE5D31"/>
    <w:rsid w:val="00BE7995"/>
    <w:rsid w:val="00BE7F67"/>
    <w:rsid w:val="00BF0670"/>
    <w:rsid w:val="00BF0BED"/>
    <w:rsid w:val="00BF0E4F"/>
    <w:rsid w:val="00BF1834"/>
    <w:rsid w:val="00BF1A98"/>
    <w:rsid w:val="00BF2992"/>
    <w:rsid w:val="00BF30EB"/>
    <w:rsid w:val="00BF339B"/>
    <w:rsid w:val="00BF3DCE"/>
    <w:rsid w:val="00BF63E1"/>
    <w:rsid w:val="00BF709D"/>
    <w:rsid w:val="00BF77AA"/>
    <w:rsid w:val="00BF7969"/>
    <w:rsid w:val="00BF7B17"/>
    <w:rsid w:val="00BF7BB3"/>
    <w:rsid w:val="00C00543"/>
    <w:rsid w:val="00C00C23"/>
    <w:rsid w:val="00C00FE3"/>
    <w:rsid w:val="00C02A24"/>
    <w:rsid w:val="00C04DC4"/>
    <w:rsid w:val="00C05527"/>
    <w:rsid w:val="00C0643F"/>
    <w:rsid w:val="00C069BF"/>
    <w:rsid w:val="00C06DC4"/>
    <w:rsid w:val="00C074D6"/>
    <w:rsid w:val="00C075F1"/>
    <w:rsid w:val="00C0784F"/>
    <w:rsid w:val="00C07942"/>
    <w:rsid w:val="00C10B32"/>
    <w:rsid w:val="00C1202A"/>
    <w:rsid w:val="00C138B7"/>
    <w:rsid w:val="00C1393B"/>
    <w:rsid w:val="00C14C71"/>
    <w:rsid w:val="00C172B7"/>
    <w:rsid w:val="00C20236"/>
    <w:rsid w:val="00C20355"/>
    <w:rsid w:val="00C208F3"/>
    <w:rsid w:val="00C212DE"/>
    <w:rsid w:val="00C21A77"/>
    <w:rsid w:val="00C22073"/>
    <w:rsid w:val="00C22F3C"/>
    <w:rsid w:val="00C2441F"/>
    <w:rsid w:val="00C25065"/>
    <w:rsid w:val="00C252A4"/>
    <w:rsid w:val="00C25BE3"/>
    <w:rsid w:val="00C27A29"/>
    <w:rsid w:val="00C27F7D"/>
    <w:rsid w:val="00C30C09"/>
    <w:rsid w:val="00C3204D"/>
    <w:rsid w:val="00C324EA"/>
    <w:rsid w:val="00C3300E"/>
    <w:rsid w:val="00C3430B"/>
    <w:rsid w:val="00C34B10"/>
    <w:rsid w:val="00C3505C"/>
    <w:rsid w:val="00C36116"/>
    <w:rsid w:val="00C36385"/>
    <w:rsid w:val="00C402C8"/>
    <w:rsid w:val="00C40E00"/>
    <w:rsid w:val="00C41851"/>
    <w:rsid w:val="00C423CF"/>
    <w:rsid w:val="00C42975"/>
    <w:rsid w:val="00C43AD2"/>
    <w:rsid w:val="00C44ECC"/>
    <w:rsid w:val="00C454CD"/>
    <w:rsid w:val="00C50041"/>
    <w:rsid w:val="00C5331A"/>
    <w:rsid w:val="00C53B22"/>
    <w:rsid w:val="00C53ECF"/>
    <w:rsid w:val="00C54C4A"/>
    <w:rsid w:val="00C550B2"/>
    <w:rsid w:val="00C55E1B"/>
    <w:rsid w:val="00C56BE7"/>
    <w:rsid w:val="00C60486"/>
    <w:rsid w:val="00C60DCD"/>
    <w:rsid w:val="00C61E09"/>
    <w:rsid w:val="00C62D66"/>
    <w:rsid w:val="00C62F35"/>
    <w:rsid w:val="00C63F30"/>
    <w:rsid w:val="00C64988"/>
    <w:rsid w:val="00C700FA"/>
    <w:rsid w:val="00C70AB6"/>
    <w:rsid w:val="00C724B5"/>
    <w:rsid w:val="00C75274"/>
    <w:rsid w:val="00C752E7"/>
    <w:rsid w:val="00C75613"/>
    <w:rsid w:val="00C77309"/>
    <w:rsid w:val="00C8053B"/>
    <w:rsid w:val="00C81F42"/>
    <w:rsid w:val="00C82DF3"/>
    <w:rsid w:val="00C83763"/>
    <w:rsid w:val="00C83D97"/>
    <w:rsid w:val="00C84207"/>
    <w:rsid w:val="00C85BC7"/>
    <w:rsid w:val="00C85F2C"/>
    <w:rsid w:val="00C86FE3"/>
    <w:rsid w:val="00C87D4F"/>
    <w:rsid w:val="00C87F38"/>
    <w:rsid w:val="00C920E2"/>
    <w:rsid w:val="00C93074"/>
    <w:rsid w:val="00C9354F"/>
    <w:rsid w:val="00C93787"/>
    <w:rsid w:val="00C939EC"/>
    <w:rsid w:val="00C93AC2"/>
    <w:rsid w:val="00C948DD"/>
    <w:rsid w:val="00C954AD"/>
    <w:rsid w:val="00C9594E"/>
    <w:rsid w:val="00C95ED2"/>
    <w:rsid w:val="00C96CCE"/>
    <w:rsid w:val="00CA0358"/>
    <w:rsid w:val="00CA0C05"/>
    <w:rsid w:val="00CA17F6"/>
    <w:rsid w:val="00CA1E5F"/>
    <w:rsid w:val="00CA274F"/>
    <w:rsid w:val="00CA2840"/>
    <w:rsid w:val="00CA2B13"/>
    <w:rsid w:val="00CA2FE1"/>
    <w:rsid w:val="00CA3510"/>
    <w:rsid w:val="00CA3D24"/>
    <w:rsid w:val="00CA47EA"/>
    <w:rsid w:val="00CA4A6E"/>
    <w:rsid w:val="00CA4F81"/>
    <w:rsid w:val="00CA5516"/>
    <w:rsid w:val="00CA5640"/>
    <w:rsid w:val="00CA577F"/>
    <w:rsid w:val="00CA5ECF"/>
    <w:rsid w:val="00CB117A"/>
    <w:rsid w:val="00CB29BF"/>
    <w:rsid w:val="00CB49FF"/>
    <w:rsid w:val="00CB5870"/>
    <w:rsid w:val="00CB666B"/>
    <w:rsid w:val="00CB6B52"/>
    <w:rsid w:val="00CB7546"/>
    <w:rsid w:val="00CB7C0D"/>
    <w:rsid w:val="00CC0724"/>
    <w:rsid w:val="00CC07D6"/>
    <w:rsid w:val="00CC1A00"/>
    <w:rsid w:val="00CC264F"/>
    <w:rsid w:val="00CC2A70"/>
    <w:rsid w:val="00CC370C"/>
    <w:rsid w:val="00CC4E25"/>
    <w:rsid w:val="00CC7B42"/>
    <w:rsid w:val="00CD1679"/>
    <w:rsid w:val="00CD267F"/>
    <w:rsid w:val="00CD2AD6"/>
    <w:rsid w:val="00CD332E"/>
    <w:rsid w:val="00CD3A7F"/>
    <w:rsid w:val="00CD3C59"/>
    <w:rsid w:val="00CD5F74"/>
    <w:rsid w:val="00CD5FED"/>
    <w:rsid w:val="00CD77A3"/>
    <w:rsid w:val="00CE0347"/>
    <w:rsid w:val="00CE03D2"/>
    <w:rsid w:val="00CE0687"/>
    <w:rsid w:val="00CE0C3A"/>
    <w:rsid w:val="00CE1B68"/>
    <w:rsid w:val="00CE23AE"/>
    <w:rsid w:val="00CE250B"/>
    <w:rsid w:val="00CE3FCE"/>
    <w:rsid w:val="00CE44B7"/>
    <w:rsid w:val="00CE4F10"/>
    <w:rsid w:val="00CE542D"/>
    <w:rsid w:val="00CF01FD"/>
    <w:rsid w:val="00CF0CDA"/>
    <w:rsid w:val="00CF24F3"/>
    <w:rsid w:val="00CF2826"/>
    <w:rsid w:val="00CF289D"/>
    <w:rsid w:val="00CF4D48"/>
    <w:rsid w:val="00CF54B7"/>
    <w:rsid w:val="00CF5714"/>
    <w:rsid w:val="00CF5F12"/>
    <w:rsid w:val="00CF60B7"/>
    <w:rsid w:val="00CF64A4"/>
    <w:rsid w:val="00CF6601"/>
    <w:rsid w:val="00CF6622"/>
    <w:rsid w:val="00CF68FC"/>
    <w:rsid w:val="00CF77AB"/>
    <w:rsid w:val="00D012A4"/>
    <w:rsid w:val="00D01C4A"/>
    <w:rsid w:val="00D01F75"/>
    <w:rsid w:val="00D02C8F"/>
    <w:rsid w:val="00D0420A"/>
    <w:rsid w:val="00D04B55"/>
    <w:rsid w:val="00D05CE9"/>
    <w:rsid w:val="00D064AD"/>
    <w:rsid w:val="00D06845"/>
    <w:rsid w:val="00D06E69"/>
    <w:rsid w:val="00D0719C"/>
    <w:rsid w:val="00D07204"/>
    <w:rsid w:val="00D07DB2"/>
    <w:rsid w:val="00D11194"/>
    <w:rsid w:val="00D13236"/>
    <w:rsid w:val="00D1394E"/>
    <w:rsid w:val="00D13BF9"/>
    <w:rsid w:val="00D13D51"/>
    <w:rsid w:val="00D13F56"/>
    <w:rsid w:val="00D14AB9"/>
    <w:rsid w:val="00D15E9C"/>
    <w:rsid w:val="00D16541"/>
    <w:rsid w:val="00D1660A"/>
    <w:rsid w:val="00D17BC0"/>
    <w:rsid w:val="00D17C2A"/>
    <w:rsid w:val="00D20D2C"/>
    <w:rsid w:val="00D213F2"/>
    <w:rsid w:val="00D21583"/>
    <w:rsid w:val="00D21D25"/>
    <w:rsid w:val="00D21D93"/>
    <w:rsid w:val="00D22700"/>
    <w:rsid w:val="00D264F4"/>
    <w:rsid w:val="00D267F4"/>
    <w:rsid w:val="00D269A0"/>
    <w:rsid w:val="00D301CD"/>
    <w:rsid w:val="00D30E7A"/>
    <w:rsid w:val="00D31065"/>
    <w:rsid w:val="00D310BD"/>
    <w:rsid w:val="00D312EC"/>
    <w:rsid w:val="00D31983"/>
    <w:rsid w:val="00D32991"/>
    <w:rsid w:val="00D32A79"/>
    <w:rsid w:val="00D33A66"/>
    <w:rsid w:val="00D33D51"/>
    <w:rsid w:val="00D353FC"/>
    <w:rsid w:val="00D35F9F"/>
    <w:rsid w:val="00D3691A"/>
    <w:rsid w:val="00D36CB1"/>
    <w:rsid w:val="00D3763C"/>
    <w:rsid w:val="00D376B4"/>
    <w:rsid w:val="00D405C3"/>
    <w:rsid w:val="00D415BC"/>
    <w:rsid w:val="00D415E7"/>
    <w:rsid w:val="00D4228B"/>
    <w:rsid w:val="00D429F2"/>
    <w:rsid w:val="00D440EA"/>
    <w:rsid w:val="00D44380"/>
    <w:rsid w:val="00D4643E"/>
    <w:rsid w:val="00D466E0"/>
    <w:rsid w:val="00D466EB"/>
    <w:rsid w:val="00D46FA6"/>
    <w:rsid w:val="00D47032"/>
    <w:rsid w:val="00D47895"/>
    <w:rsid w:val="00D505CA"/>
    <w:rsid w:val="00D52036"/>
    <w:rsid w:val="00D52286"/>
    <w:rsid w:val="00D531AC"/>
    <w:rsid w:val="00D559DF"/>
    <w:rsid w:val="00D56DBA"/>
    <w:rsid w:val="00D5705A"/>
    <w:rsid w:val="00D5752B"/>
    <w:rsid w:val="00D578D1"/>
    <w:rsid w:val="00D57C76"/>
    <w:rsid w:val="00D60F7F"/>
    <w:rsid w:val="00D6179C"/>
    <w:rsid w:val="00D61D8D"/>
    <w:rsid w:val="00D626B0"/>
    <w:rsid w:val="00D63C1A"/>
    <w:rsid w:val="00D63CC2"/>
    <w:rsid w:val="00D64C02"/>
    <w:rsid w:val="00D64C89"/>
    <w:rsid w:val="00D65722"/>
    <w:rsid w:val="00D6615A"/>
    <w:rsid w:val="00D663CF"/>
    <w:rsid w:val="00D66ADF"/>
    <w:rsid w:val="00D67EDA"/>
    <w:rsid w:val="00D70EFF"/>
    <w:rsid w:val="00D7279D"/>
    <w:rsid w:val="00D72B35"/>
    <w:rsid w:val="00D734DC"/>
    <w:rsid w:val="00D74096"/>
    <w:rsid w:val="00D74E97"/>
    <w:rsid w:val="00D750B1"/>
    <w:rsid w:val="00D765B9"/>
    <w:rsid w:val="00D767DC"/>
    <w:rsid w:val="00D76AFE"/>
    <w:rsid w:val="00D76C19"/>
    <w:rsid w:val="00D76F2C"/>
    <w:rsid w:val="00D77028"/>
    <w:rsid w:val="00D77D11"/>
    <w:rsid w:val="00D8126C"/>
    <w:rsid w:val="00D8180D"/>
    <w:rsid w:val="00D82043"/>
    <w:rsid w:val="00D82B74"/>
    <w:rsid w:val="00D82D91"/>
    <w:rsid w:val="00D830CD"/>
    <w:rsid w:val="00D836E5"/>
    <w:rsid w:val="00D861F0"/>
    <w:rsid w:val="00D86824"/>
    <w:rsid w:val="00D86CA1"/>
    <w:rsid w:val="00D87177"/>
    <w:rsid w:val="00D87C83"/>
    <w:rsid w:val="00D90735"/>
    <w:rsid w:val="00D91EB8"/>
    <w:rsid w:val="00D92574"/>
    <w:rsid w:val="00D92653"/>
    <w:rsid w:val="00D932E3"/>
    <w:rsid w:val="00D958CC"/>
    <w:rsid w:val="00D95FB4"/>
    <w:rsid w:val="00D96D76"/>
    <w:rsid w:val="00DA14A3"/>
    <w:rsid w:val="00DA2734"/>
    <w:rsid w:val="00DA3D61"/>
    <w:rsid w:val="00DA43D9"/>
    <w:rsid w:val="00DA50A3"/>
    <w:rsid w:val="00DA622F"/>
    <w:rsid w:val="00DA7058"/>
    <w:rsid w:val="00DB0348"/>
    <w:rsid w:val="00DB127D"/>
    <w:rsid w:val="00DB1749"/>
    <w:rsid w:val="00DB2023"/>
    <w:rsid w:val="00DB2944"/>
    <w:rsid w:val="00DB3CB9"/>
    <w:rsid w:val="00DB56D3"/>
    <w:rsid w:val="00DB5EEC"/>
    <w:rsid w:val="00DB6AA7"/>
    <w:rsid w:val="00DB7F40"/>
    <w:rsid w:val="00DC030A"/>
    <w:rsid w:val="00DC04B1"/>
    <w:rsid w:val="00DC0717"/>
    <w:rsid w:val="00DC17D3"/>
    <w:rsid w:val="00DC2F1F"/>
    <w:rsid w:val="00DC3834"/>
    <w:rsid w:val="00DC49C1"/>
    <w:rsid w:val="00DC5315"/>
    <w:rsid w:val="00DC6863"/>
    <w:rsid w:val="00DD05B0"/>
    <w:rsid w:val="00DD1056"/>
    <w:rsid w:val="00DD2BD8"/>
    <w:rsid w:val="00DD5424"/>
    <w:rsid w:val="00DD5777"/>
    <w:rsid w:val="00DD68EF"/>
    <w:rsid w:val="00DD7098"/>
    <w:rsid w:val="00DD730B"/>
    <w:rsid w:val="00DD75ED"/>
    <w:rsid w:val="00DD7894"/>
    <w:rsid w:val="00DE07E8"/>
    <w:rsid w:val="00DE12AE"/>
    <w:rsid w:val="00DE18E1"/>
    <w:rsid w:val="00DE1A8B"/>
    <w:rsid w:val="00DE2070"/>
    <w:rsid w:val="00DE2FBC"/>
    <w:rsid w:val="00DE3B69"/>
    <w:rsid w:val="00DE41CE"/>
    <w:rsid w:val="00DE46A4"/>
    <w:rsid w:val="00DE491A"/>
    <w:rsid w:val="00DE4A10"/>
    <w:rsid w:val="00DE6088"/>
    <w:rsid w:val="00DE6BBF"/>
    <w:rsid w:val="00DF0A39"/>
    <w:rsid w:val="00DF1D41"/>
    <w:rsid w:val="00DF2858"/>
    <w:rsid w:val="00DF4693"/>
    <w:rsid w:val="00DF4930"/>
    <w:rsid w:val="00DF4DB0"/>
    <w:rsid w:val="00DF4F0B"/>
    <w:rsid w:val="00DF56E0"/>
    <w:rsid w:val="00DF5CE6"/>
    <w:rsid w:val="00DF64AC"/>
    <w:rsid w:val="00DF68AE"/>
    <w:rsid w:val="00DF76FE"/>
    <w:rsid w:val="00DF7EC2"/>
    <w:rsid w:val="00E00199"/>
    <w:rsid w:val="00E01ADD"/>
    <w:rsid w:val="00E023E2"/>
    <w:rsid w:val="00E02F44"/>
    <w:rsid w:val="00E03155"/>
    <w:rsid w:val="00E0357F"/>
    <w:rsid w:val="00E040DD"/>
    <w:rsid w:val="00E051EA"/>
    <w:rsid w:val="00E0521F"/>
    <w:rsid w:val="00E058E7"/>
    <w:rsid w:val="00E06EB7"/>
    <w:rsid w:val="00E071A6"/>
    <w:rsid w:val="00E07362"/>
    <w:rsid w:val="00E07AF9"/>
    <w:rsid w:val="00E07C75"/>
    <w:rsid w:val="00E07D24"/>
    <w:rsid w:val="00E10189"/>
    <w:rsid w:val="00E10A09"/>
    <w:rsid w:val="00E10F2D"/>
    <w:rsid w:val="00E11DB8"/>
    <w:rsid w:val="00E124E3"/>
    <w:rsid w:val="00E1287E"/>
    <w:rsid w:val="00E1416D"/>
    <w:rsid w:val="00E147E7"/>
    <w:rsid w:val="00E161FF"/>
    <w:rsid w:val="00E1634C"/>
    <w:rsid w:val="00E166BF"/>
    <w:rsid w:val="00E17801"/>
    <w:rsid w:val="00E17969"/>
    <w:rsid w:val="00E200CE"/>
    <w:rsid w:val="00E203DC"/>
    <w:rsid w:val="00E204D4"/>
    <w:rsid w:val="00E20E84"/>
    <w:rsid w:val="00E23F04"/>
    <w:rsid w:val="00E2444F"/>
    <w:rsid w:val="00E252C7"/>
    <w:rsid w:val="00E25638"/>
    <w:rsid w:val="00E26692"/>
    <w:rsid w:val="00E26C09"/>
    <w:rsid w:val="00E27658"/>
    <w:rsid w:val="00E30C76"/>
    <w:rsid w:val="00E312B4"/>
    <w:rsid w:val="00E32031"/>
    <w:rsid w:val="00E32C93"/>
    <w:rsid w:val="00E33470"/>
    <w:rsid w:val="00E34EC0"/>
    <w:rsid w:val="00E351C2"/>
    <w:rsid w:val="00E35FEB"/>
    <w:rsid w:val="00E36189"/>
    <w:rsid w:val="00E36417"/>
    <w:rsid w:val="00E36B65"/>
    <w:rsid w:val="00E36BF9"/>
    <w:rsid w:val="00E36D52"/>
    <w:rsid w:val="00E3717A"/>
    <w:rsid w:val="00E378D9"/>
    <w:rsid w:val="00E40F35"/>
    <w:rsid w:val="00E41032"/>
    <w:rsid w:val="00E4151C"/>
    <w:rsid w:val="00E41697"/>
    <w:rsid w:val="00E4184D"/>
    <w:rsid w:val="00E41B24"/>
    <w:rsid w:val="00E42E9C"/>
    <w:rsid w:val="00E43543"/>
    <w:rsid w:val="00E45CCE"/>
    <w:rsid w:val="00E479E1"/>
    <w:rsid w:val="00E50ADB"/>
    <w:rsid w:val="00E50C6C"/>
    <w:rsid w:val="00E51469"/>
    <w:rsid w:val="00E52884"/>
    <w:rsid w:val="00E528DE"/>
    <w:rsid w:val="00E532DB"/>
    <w:rsid w:val="00E53976"/>
    <w:rsid w:val="00E54288"/>
    <w:rsid w:val="00E549C7"/>
    <w:rsid w:val="00E5538D"/>
    <w:rsid w:val="00E55AEA"/>
    <w:rsid w:val="00E55FBC"/>
    <w:rsid w:val="00E56C39"/>
    <w:rsid w:val="00E57BBF"/>
    <w:rsid w:val="00E57E18"/>
    <w:rsid w:val="00E60E6B"/>
    <w:rsid w:val="00E627B7"/>
    <w:rsid w:val="00E6323C"/>
    <w:rsid w:val="00E634B0"/>
    <w:rsid w:val="00E63D35"/>
    <w:rsid w:val="00E640AE"/>
    <w:rsid w:val="00E6452E"/>
    <w:rsid w:val="00E646B8"/>
    <w:rsid w:val="00E64AB2"/>
    <w:rsid w:val="00E65C74"/>
    <w:rsid w:val="00E67BFB"/>
    <w:rsid w:val="00E67C78"/>
    <w:rsid w:val="00E70508"/>
    <w:rsid w:val="00E708EE"/>
    <w:rsid w:val="00E7090C"/>
    <w:rsid w:val="00E723FE"/>
    <w:rsid w:val="00E72F77"/>
    <w:rsid w:val="00E734EC"/>
    <w:rsid w:val="00E7458F"/>
    <w:rsid w:val="00E7493D"/>
    <w:rsid w:val="00E75561"/>
    <w:rsid w:val="00E755C9"/>
    <w:rsid w:val="00E75813"/>
    <w:rsid w:val="00E758E5"/>
    <w:rsid w:val="00E75FA0"/>
    <w:rsid w:val="00E76204"/>
    <w:rsid w:val="00E7691F"/>
    <w:rsid w:val="00E804F4"/>
    <w:rsid w:val="00E80580"/>
    <w:rsid w:val="00E8104A"/>
    <w:rsid w:val="00E81294"/>
    <w:rsid w:val="00E81787"/>
    <w:rsid w:val="00E81AE4"/>
    <w:rsid w:val="00E81B22"/>
    <w:rsid w:val="00E81B76"/>
    <w:rsid w:val="00E82223"/>
    <w:rsid w:val="00E8335D"/>
    <w:rsid w:val="00E834C6"/>
    <w:rsid w:val="00E83951"/>
    <w:rsid w:val="00E84CE5"/>
    <w:rsid w:val="00E84EE0"/>
    <w:rsid w:val="00E85E02"/>
    <w:rsid w:val="00E86CD1"/>
    <w:rsid w:val="00E90FC9"/>
    <w:rsid w:val="00E9148D"/>
    <w:rsid w:val="00E91824"/>
    <w:rsid w:val="00E939FF"/>
    <w:rsid w:val="00E94106"/>
    <w:rsid w:val="00E948C4"/>
    <w:rsid w:val="00E94A43"/>
    <w:rsid w:val="00E954C9"/>
    <w:rsid w:val="00E95F0B"/>
    <w:rsid w:val="00E960EB"/>
    <w:rsid w:val="00E96531"/>
    <w:rsid w:val="00EA1ED3"/>
    <w:rsid w:val="00EA28CF"/>
    <w:rsid w:val="00EA30F8"/>
    <w:rsid w:val="00EA40B4"/>
    <w:rsid w:val="00EA4A37"/>
    <w:rsid w:val="00EA4AB6"/>
    <w:rsid w:val="00EA5155"/>
    <w:rsid w:val="00EA6D77"/>
    <w:rsid w:val="00EB0C8E"/>
    <w:rsid w:val="00EB153D"/>
    <w:rsid w:val="00EB1569"/>
    <w:rsid w:val="00EB28C9"/>
    <w:rsid w:val="00EB377D"/>
    <w:rsid w:val="00EB391D"/>
    <w:rsid w:val="00EB3C22"/>
    <w:rsid w:val="00EB3F58"/>
    <w:rsid w:val="00EB61C5"/>
    <w:rsid w:val="00EB694F"/>
    <w:rsid w:val="00EC0ACF"/>
    <w:rsid w:val="00EC246D"/>
    <w:rsid w:val="00EC2A19"/>
    <w:rsid w:val="00EC2DC6"/>
    <w:rsid w:val="00EC3093"/>
    <w:rsid w:val="00EC341D"/>
    <w:rsid w:val="00EC3A0F"/>
    <w:rsid w:val="00EC4AA0"/>
    <w:rsid w:val="00EC5EBE"/>
    <w:rsid w:val="00EC789F"/>
    <w:rsid w:val="00EC7AE3"/>
    <w:rsid w:val="00EC7DFE"/>
    <w:rsid w:val="00ED0125"/>
    <w:rsid w:val="00ED29EB"/>
    <w:rsid w:val="00ED4A01"/>
    <w:rsid w:val="00ED4DE7"/>
    <w:rsid w:val="00ED5735"/>
    <w:rsid w:val="00ED5F5F"/>
    <w:rsid w:val="00ED6369"/>
    <w:rsid w:val="00ED6D68"/>
    <w:rsid w:val="00ED6DBA"/>
    <w:rsid w:val="00ED79C6"/>
    <w:rsid w:val="00ED7AC3"/>
    <w:rsid w:val="00EE00EE"/>
    <w:rsid w:val="00EE046C"/>
    <w:rsid w:val="00EE0623"/>
    <w:rsid w:val="00EE19A8"/>
    <w:rsid w:val="00EE4DC3"/>
    <w:rsid w:val="00EE53E7"/>
    <w:rsid w:val="00EE5B98"/>
    <w:rsid w:val="00EE7A10"/>
    <w:rsid w:val="00EF0BD8"/>
    <w:rsid w:val="00EF14A2"/>
    <w:rsid w:val="00EF1655"/>
    <w:rsid w:val="00EF16E4"/>
    <w:rsid w:val="00EF24C1"/>
    <w:rsid w:val="00EF28B7"/>
    <w:rsid w:val="00EF3023"/>
    <w:rsid w:val="00EF477E"/>
    <w:rsid w:val="00EF48B9"/>
    <w:rsid w:val="00EF4A55"/>
    <w:rsid w:val="00EF5508"/>
    <w:rsid w:val="00EF5AC4"/>
    <w:rsid w:val="00EF602A"/>
    <w:rsid w:val="00EF64EC"/>
    <w:rsid w:val="00EF782F"/>
    <w:rsid w:val="00F00D82"/>
    <w:rsid w:val="00F01658"/>
    <w:rsid w:val="00F01C62"/>
    <w:rsid w:val="00F027D3"/>
    <w:rsid w:val="00F03414"/>
    <w:rsid w:val="00F05BA5"/>
    <w:rsid w:val="00F05E9C"/>
    <w:rsid w:val="00F0645A"/>
    <w:rsid w:val="00F0673B"/>
    <w:rsid w:val="00F12155"/>
    <w:rsid w:val="00F13E44"/>
    <w:rsid w:val="00F15E7C"/>
    <w:rsid w:val="00F160E6"/>
    <w:rsid w:val="00F162B2"/>
    <w:rsid w:val="00F16AFD"/>
    <w:rsid w:val="00F16BA2"/>
    <w:rsid w:val="00F204DC"/>
    <w:rsid w:val="00F206A5"/>
    <w:rsid w:val="00F206D4"/>
    <w:rsid w:val="00F214DF"/>
    <w:rsid w:val="00F22755"/>
    <w:rsid w:val="00F22C31"/>
    <w:rsid w:val="00F23384"/>
    <w:rsid w:val="00F245C4"/>
    <w:rsid w:val="00F2612A"/>
    <w:rsid w:val="00F2784F"/>
    <w:rsid w:val="00F27C52"/>
    <w:rsid w:val="00F27D33"/>
    <w:rsid w:val="00F27ED1"/>
    <w:rsid w:val="00F3189C"/>
    <w:rsid w:val="00F3253B"/>
    <w:rsid w:val="00F326FE"/>
    <w:rsid w:val="00F36A3B"/>
    <w:rsid w:val="00F36B4F"/>
    <w:rsid w:val="00F37373"/>
    <w:rsid w:val="00F37C4A"/>
    <w:rsid w:val="00F37EBC"/>
    <w:rsid w:val="00F40788"/>
    <w:rsid w:val="00F41264"/>
    <w:rsid w:val="00F416AB"/>
    <w:rsid w:val="00F41A28"/>
    <w:rsid w:val="00F42C18"/>
    <w:rsid w:val="00F43955"/>
    <w:rsid w:val="00F4471D"/>
    <w:rsid w:val="00F448C4"/>
    <w:rsid w:val="00F44A9B"/>
    <w:rsid w:val="00F45484"/>
    <w:rsid w:val="00F50A0D"/>
    <w:rsid w:val="00F50B80"/>
    <w:rsid w:val="00F50D77"/>
    <w:rsid w:val="00F50DCA"/>
    <w:rsid w:val="00F51539"/>
    <w:rsid w:val="00F52965"/>
    <w:rsid w:val="00F541C3"/>
    <w:rsid w:val="00F5497E"/>
    <w:rsid w:val="00F5673D"/>
    <w:rsid w:val="00F567EA"/>
    <w:rsid w:val="00F5766E"/>
    <w:rsid w:val="00F57C99"/>
    <w:rsid w:val="00F57CEF"/>
    <w:rsid w:val="00F611AD"/>
    <w:rsid w:val="00F62BB7"/>
    <w:rsid w:val="00F63572"/>
    <w:rsid w:val="00F643DB"/>
    <w:rsid w:val="00F64B81"/>
    <w:rsid w:val="00F65D81"/>
    <w:rsid w:val="00F6675A"/>
    <w:rsid w:val="00F66C53"/>
    <w:rsid w:val="00F67065"/>
    <w:rsid w:val="00F677B6"/>
    <w:rsid w:val="00F67BF0"/>
    <w:rsid w:val="00F70F57"/>
    <w:rsid w:val="00F72548"/>
    <w:rsid w:val="00F72740"/>
    <w:rsid w:val="00F729F5"/>
    <w:rsid w:val="00F732D9"/>
    <w:rsid w:val="00F73E22"/>
    <w:rsid w:val="00F744F4"/>
    <w:rsid w:val="00F7456A"/>
    <w:rsid w:val="00F750D1"/>
    <w:rsid w:val="00F76B0F"/>
    <w:rsid w:val="00F76DAA"/>
    <w:rsid w:val="00F821B8"/>
    <w:rsid w:val="00F82300"/>
    <w:rsid w:val="00F825BF"/>
    <w:rsid w:val="00F82FB5"/>
    <w:rsid w:val="00F83664"/>
    <w:rsid w:val="00F84805"/>
    <w:rsid w:val="00F85727"/>
    <w:rsid w:val="00F8574D"/>
    <w:rsid w:val="00F85A4F"/>
    <w:rsid w:val="00F86002"/>
    <w:rsid w:val="00F86E3B"/>
    <w:rsid w:val="00F872EF"/>
    <w:rsid w:val="00F876F5"/>
    <w:rsid w:val="00F9055E"/>
    <w:rsid w:val="00F905F2"/>
    <w:rsid w:val="00F909FA"/>
    <w:rsid w:val="00F922BA"/>
    <w:rsid w:val="00F9236F"/>
    <w:rsid w:val="00F92D14"/>
    <w:rsid w:val="00F92FB1"/>
    <w:rsid w:val="00F937F4"/>
    <w:rsid w:val="00F944CE"/>
    <w:rsid w:val="00F94CFC"/>
    <w:rsid w:val="00F95592"/>
    <w:rsid w:val="00F96FB3"/>
    <w:rsid w:val="00F9779C"/>
    <w:rsid w:val="00F97B44"/>
    <w:rsid w:val="00F97BE1"/>
    <w:rsid w:val="00FA0913"/>
    <w:rsid w:val="00FA161F"/>
    <w:rsid w:val="00FA190B"/>
    <w:rsid w:val="00FA1D9A"/>
    <w:rsid w:val="00FA4D69"/>
    <w:rsid w:val="00FA51C9"/>
    <w:rsid w:val="00FA5DA8"/>
    <w:rsid w:val="00FA603B"/>
    <w:rsid w:val="00FA685E"/>
    <w:rsid w:val="00FA6A43"/>
    <w:rsid w:val="00FA74D9"/>
    <w:rsid w:val="00FB0950"/>
    <w:rsid w:val="00FB198E"/>
    <w:rsid w:val="00FB1A92"/>
    <w:rsid w:val="00FB1DD5"/>
    <w:rsid w:val="00FB2D4D"/>
    <w:rsid w:val="00FB2EF5"/>
    <w:rsid w:val="00FB4C2B"/>
    <w:rsid w:val="00FB5DF0"/>
    <w:rsid w:val="00FB661D"/>
    <w:rsid w:val="00FB7E70"/>
    <w:rsid w:val="00FC094F"/>
    <w:rsid w:val="00FC0FA1"/>
    <w:rsid w:val="00FC0FED"/>
    <w:rsid w:val="00FC196E"/>
    <w:rsid w:val="00FC26CC"/>
    <w:rsid w:val="00FC27C9"/>
    <w:rsid w:val="00FC2A92"/>
    <w:rsid w:val="00FC329E"/>
    <w:rsid w:val="00FC37CB"/>
    <w:rsid w:val="00FC3878"/>
    <w:rsid w:val="00FC3DD7"/>
    <w:rsid w:val="00FC4673"/>
    <w:rsid w:val="00FC7E70"/>
    <w:rsid w:val="00FD10DB"/>
    <w:rsid w:val="00FD12D8"/>
    <w:rsid w:val="00FD2CF7"/>
    <w:rsid w:val="00FD40EC"/>
    <w:rsid w:val="00FD43E8"/>
    <w:rsid w:val="00FD542C"/>
    <w:rsid w:val="00FD6636"/>
    <w:rsid w:val="00FD6BBF"/>
    <w:rsid w:val="00FD705A"/>
    <w:rsid w:val="00FE1B11"/>
    <w:rsid w:val="00FE1C7F"/>
    <w:rsid w:val="00FE1F3E"/>
    <w:rsid w:val="00FE2323"/>
    <w:rsid w:val="00FE2D8B"/>
    <w:rsid w:val="00FE3C9B"/>
    <w:rsid w:val="00FE3EC4"/>
    <w:rsid w:val="00FE46FF"/>
    <w:rsid w:val="00FE54F8"/>
    <w:rsid w:val="00FE5AEA"/>
    <w:rsid w:val="00FE634E"/>
    <w:rsid w:val="00FE6C6A"/>
    <w:rsid w:val="00FE7AA8"/>
    <w:rsid w:val="00FF2885"/>
    <w:rsid w:val="00FF2BA4"/>
    <w:rsid w:val="00FF2ECA"/>
    <w:rsid w:val="00FF30D1"/>
    <w:rsid w:val="00FF3407"/>
    <w:rsid w:val="00FF385D"/>
    <w:rsid w:val="00FF3B71"/>
    <w:rsid w:val="00FF53C3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D40DE02"/>
  <w15:docId w15:val="{E79B39C5-6420-497C-AA12-7EBA8C95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223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iPriority w:val="99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uiPriority w:val="99"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aliases w:val="fn,pozn. pod čarou,Schriftart: 9 pt,Schriftart: 10 pt,Schriftart: 8 pt,Podrozdział,Podrozdzia3,ft,Char Char, Char Char"/>
    <w:basedOn w:val="Normln"/>
    <w:uiPriority w:val="99"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aliases w:val="fn Char1,pozn. pod čarou Char,Schriftart: 9 pt Char,Schriftart: 10 pt Char,Schriftart: 8 pt Char,Podrozdział Char,Podrozdzia3 Char,ft Char,Char Char Char, Char Char Char,fn Char"/>
    <w:basedOn w:val="Standardnpsmoodstavce"/>
    <w:uiPriority w:val="99"/>
    <w:rsid w:val="00074A01"/>
  </w:style>
  <w:style w:type="character" w:styleId="Znakapoznpodarou">
    <w:name w:val="footnote reference"/>
    <w:aliases w:val="Footnote,Footnote call,PGI Fußnote Ziffer + Times New Roman,12 b.,Zúžené o ...,PGI Fußnote Ziffer"/>
    <w:basedOn w:val="Standardnpsmoodstavce"/>
    <w:uiPriority w:val="99"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aliases w:val="odrážky,List Paragraph_0,List Paragraph_0_0,Nadpis pro KZ,Odstavec se seznamem1,Odstavec se seznamem2,List Paragraph,Odstavec cíl se seznamem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E67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3163D4"/>
  </w:style>
  <w:style w:type="paragraph" w:styleId="Normlnweb">
    <w:name w:val="Normal (Web)"/>
    <w:basedOn w:val="Normln"/>
    <w:uiPriority w:val="99"/>
    <w:semiHidden/>
    <w:unhideWhenUsed/>
    <w:rsid w:val="003163D4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3163D4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67B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67B99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667B99"/>
    <w:rPr>
      <w:vertAlign w:val="superscript"/>
    </w:rPr>
  </w:style>
  <w:style w:type="character" w:customStyle="1" w:styleId="A0">
    <w:name w:val="A0"/>
    <w:uiPriority w:val="99"/>
    <w:rsid w:val="00AD28AE"/>
    <w:rPr>
      <w:rFonts w:cs="Myriad Pro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AD28AE"/>
    <w:rPr>
      <w:rFonts w:cs="Myriad Pro"/>
      <w:b/>
      <w:bCs/>
      <w:color w:val="000000"/>
      <w:sz w:val="44"/>
      <w:szCs w:val="44"/>
    </w:rPr>
  </w:style>
  <w:style w:type="character" w:customStyle="1" w:styleId="st1">
    <w:name w:val="st1"/>
    <w:basedOn w:val="Standardnpsmoodstavce"/>
    <w:rsid w:val="009858DF"/>
  </w:style>
  <w:style w:type="character" w:customStyle="1" w:styleId="tgc">
    <w:name w:val="_tgc"/>
    <w:basedOn w:val="Standardnpsmoodstavce"/>
    <w:rsid w:val="00FC2078"/>
  </w:style>
  <w:style w:type="paragraph" w:styleId="Nzev">
    <w:name w:val="Title"/>
    <w:basedOn w:val="Normln"/>
    <w:link w:val="NzevChar"/>
    <w:qFormat/>
    <w:rsid w:val="008D4B89"/>
    <w:pPr>
      <w:jc w:val="center"/>
    </w:pPr>
    <w:rPr>
      <w:rFonts w:ascii="Times New Roman" w:hAnsi="Times New Roman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D4B89"/>
    <w:rPr>
      <w:sz w:val="28"/>
      <w:szCs w:val="28"/>
    </w:rPr>
  </w:style>
  <w:style w:type="paragraph" w:customStyle="1" w:styleId="Pa18">
    <w:name w:val="Pa18"/>
    <w:basedOn w:val="Default"/>
    <w:next w:val="Default"/>
    <w:uiPriority w:val="99"/>
    <w:rsid w:val="009E75B5"/>
    <w:pPr>
      <w:spacing w:line="21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9E75B5"/>
    <w:rPr>
      <w:rFonts w:cs="Calibri"/>
      <w:b/>
      <w:bCs/>
      <w:color w:val="000000"/>
      <w:sz w:val="54"/>
      <w:szCs w:val="54"/>
    </w:rPr>
  </w:style>
  <w:style w:type="character" w:customStyle="1" w:styleId="A15">
    <w:name w:val="A15"/>
    <w:uiPriority w:val="99"/>
    <w:rsid w:val="009E75B5"/>
    <w:rPr>
      <w:rFonts w:cs="Calibri"/>
      <w:color w:val="000000"/>
      <w:sz w:val="36"/>
      <w:szCs w:val="36"/>
    </w:rPr>
  </w:style>
  <w:style w:type="paragraph" w:customStyle="1" w:styleId="Pa19">
    <w:name w:val="Pa19"/>
    <w:basedOn w:val="Default"/>
    <w:next w:val="Default"/>
    <w:uiPriority w:val="99"/>
    <w:rsid w:val="009E75B5"/>
    <w:pPr>
      <w:spacing w:line="21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7D792B"/>
    <w:pPr>
      <w:spacing w:line="21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7D792B"/>
    <w:rPr>
      <w:rFonts w:cs="Calibri"/>
      <w:b/>
      <w:bCs/>
      <w:color w:val="000000"/>
      <w:sz w:val="34"/>
      <w:szCs w:val="34"/>
    </w:rPr>
  </w:style>
  <w:style w:type="paragraph" w:customStyle="1" w:styleId="Pa16">
    <w:name w:val="Pa16"/>
    <w:basedOn w:val="Default"/>
    <w:next w:val="Default"/>
    <w:uiPriority w:val="99"/>
    <w:rsid w:val="007D792B"/>
    <w:pPr>
      <w:spacing w:line="211" w:lineRule="atLeast"/>
    </w:pPr>
    <w:rPr>
      <w:rFonts w:cs="Times New Roman"/>
      <w:color w:val="auto"/>
    </w:rPr>
  </w:style>
  <w:style w:type="character" w:customStyle="1" w:styleId="A13">
    <w:name w:val="A13"/>
    <w:uiPriority w:val="99"/>
    <w:rsid w:val="007D792B"/>
    <w:rPr>
      <w:rFonts w:ascii="Arial" w:hAnsi="Arial" w:cs="Arial"/>
      <w:b/>
      <w:bCs/>
      <w:color w:val="000000"/>
      <w:sz w:val="19"/>
      <w:szCs w:val="19"/>
    </w:rPr>
  </w:style>
  <w:style w:type="character" w:customStyle="1" w:styleId="OdstavecseseznamemChar">
    <w:name w:val="Odstavec se seznamem Char"/>
    <w:aliases w:val="odrážky Char,List Paragraph_0 Char,List Paragraph_0_0 Char,Nadpis pro KZ Char,Odstavec se seznamem1 Char,Odstavec se seznamem2 Char,List Paragraph Char,Odstavec cíl se seznamem Char"/>
    <w:link w:val="Odstavecseseznamem"/>
    <w:uiPriority w:val="34"/>
    <w:rsid w:val="00F92FB1"/>
    <w:rPr>
      <w:rFonts w:ascii="Arial" w:hAnsi="Arial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2FB1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  <w:lang w:eastAsia="en-US"/>
    </w:rPr>
  </w:style>
  <w:style w:type="paragraph" w:customStyle="1" w:styleId="Odstavec">
    <w:name w:val="Odstavec"/>
    <w:basedOn w:val="Normln"/>
    <w:rsid w:val="0033626F"/>
    <w:pPr>
      <w:spacing w:before="120"/>
      <w:ind w:firstLine="709"/>
      <w:jc w:val="both"/>
    </w:pPr>
    <w:rPr>
      <w:rFonts w:ascii="Times New Roman" w:hAnsi="Times New Roman"/>
      <w:szCs w:val="20"/>
    </w:rPr>
  </w:style>
  <w:style w:type="paragraph" w:customStyle="1" w:styleId="l3">
    <w:name w:val="l3"/>
    <w:basedOn w:val="Normln"/>
    <w:rsid w:val="0054231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2">
    <w:name w:val="l2"/>
    <w:basedOn w:val="Normln"/>
    <w:rsid w:val="0054231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4">
    <w:name w:val="l4"/>
    <w:basedOn w:val="Normln"/>
    <w:rsid w:val="00542313"/>
    <w:pPr>
      <w:spacing w:before="100" w:beforeAutospacing="1" w:after="100" w:afterAutospacing="1"/>
    </w:pPr>
    <w:rPr>
      <w:rFonts w:ascii="Times New Roman" w:hAnsi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542313"/>
    <w:rPr>
      <w:i/>
      <w:iCs/>
    </w:rPr>
  </w:style>
  <w:style w:type="character" w:styleId="Zdraznn">
    <w:name w:val="Emphasis"/>
    <w:basedOn w:val="Standardnpsmoodstavce"/>
    <w:uiPriority w:val="20"/>
    <w:qFormat/>
    <w:rsid w:val="00512467"/>
    <w:rPr>
      <w:b/>
      <w:bCs/>
      <w:i w:val="0"/>
      <w:iCs w:val="0"/>
    </w:rPr>
  </w:style>
  <w:style w:type="paragraph" w:customStyle="1" w:styleId="l1">
    <w:name w:val="l1"/>
    <w:basedOn w:val="Normln"/>
    <w:rsid w:val="003D41C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ral">
    <w:name w:val="aural"/>
    <w:basedOn w:val="Standardnpsmoodstavce"/>
    <w:rsid w:val="00E43543"/>
  </w:style>
  <w:style w:type="numbering" w:customStyle="1" w:styleId="Bezseznamu1">
    <w:name w:val="Bez seznamu1"/>
    <w:next w:val="Bezseznamu"/>
    <w:uiPriority w:val="99"/>
    <w:semiHidden/>
    <w:unhideWhenUsed/>
    <w:rsid w:val="00584117"/>
  </w:style>
  <w:style w:type="table" w:customStyle="1" w:styleId="Mkatabulky2">
    <w:name w:val="Mřížka tabulky2"/>
    <w:basedOn w:val="Normlntabulka"/>
    <w:next w:val="Mkatabulky"/>
    <w:uiPriority w:val="39"/>
    <w:rsid w:val="00772F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1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s.wikipedia.org/wiki/Produkt" TargetMode="External"/><Relationship Id="rId1" Type="http://schemas.openxmlformats.org/officeDocument/2006/relationships/hyperlink" Target="https://cs.wikipedia.org/wiki/Z%C3%A1kazn%C3%AD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F9C3-D13A-47EF-BA63-F61B707A4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347A-F5E8-4EAA-9ACC-BF9749B23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228B4-BA39-49C6-B50E-51DA7CF18AF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7DADA2-C871-4C1C-9279-005BE88790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6DCDF3-0474-4F3A-ACDC-DE53D85C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E57E3D79.dotm</Template>
  <TotalTime>7</TotalTime>
  <Pages>21</Pages>
  <Words>7242</Words>
  <Characters>42733</Characters>
  <Application>Microsoft Office Word</Application>
  <DocSecurity>0</DocSecurity>
  <Lines>356</Lines>
  <Paragraphs>99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Nejvyšší kontrolní úřad</Company>
  <LinksUpToDate>false</LinksUpToDate>
  <CharactersWithSpaces>49876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19/13 - Obrněná technika Armády České republiky</dc:title>
  <dc:creator/>
  <cp:keywords>kontrolní závěr; armáda; armádní technika</cp:keywords>
  <cp:lastModifiedBy>KOKRDA Daniel</cp:lastModifiedBy>
  <cp:revision>6</cp:revision>
  <cp:lastPrinted>2020-03-04T07:52:00Z</cp:lastPrinted>
  <dcterms:created xsi:type="dcterms:W3CDTF">2020-04-29T10:04:00Z</dcterms:created>
  <dcterms:modified xsi:type="dcterms:W3CDTF">2020-05-05T08:50:00Z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111/17-NKU200/511/17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ContentTypeId">
    <vt:lpwstr>0x0101002F7A625AE9F5AB4A939F92BCAA7FEC02</vt:lpwstr>
  </property>
  <property fmtid="{D5CDD505-2E9C-101B-9397-08002B2CF9AE}" pid="7" name="DatumPlatnosti_PisemnostTypZpristupneniInformaciZOSZ_Pisemnost">
    <vt:lpwstr>ZOSZ_DatumPlatnosti</vt:lpwstr>
  </property>
  <property fmtid="{D5CDD505-2E9C-101B-9397-08002B2CF9AE}" pid="8" name="DatumPoriz_Pisemnost">
    <vt:lpwstr>22.8.2017</vt:lpwstr>
  </property>
  <property fmtid="{D5CDD505-2E9C-101B-9397-08002B2CF9AE}" pid="9" name="DisplayName_CisloObalky_PostaOdes">
    <vt:lpwstr>{DisplayName_CisloObalky_PostaOdes}</vt:lpwstr>
  </property>
  <property fmtid="{D5CDD505-2E9C-101B-9397-08002B2CF9AE}" pid="10" name="DisplayName_SpisovyUzel_PoziceZodpo_Pisemnost">
    <vt:lpwstr>Sekce kontrolní</vt:lpwstr>
  </property>
  <property fmtid="{D5CDD505-2E9C-101B-9397-08002B2CF9AE}" pid="11" name="DisplayName_UserPoriz_Pisemnost">
    <vt:lpwstr>Jana Másílková</vt:lpwstr>
  </property>
  <property fmtid="{D5CDD505-2E9C-101B-9397-08002B2CF9AE}" pid="12" name="EC_Pisemnost">
    <vt:lpwstr>17-11137/NKU</vt:lpwstr>
  </property>
  <property fmtid="{D5CDD505-2E9C-101B-9397-08002B2CF9AE}" pid="13" name="Key_BarCode_Pisemnost">
    <vt:lpwstr>*B000296365*</vt:lpwstr>
  </property>
  <property fmtid="{D5CDD505-2E9C-101B-9397-08002B2CF9AE}" pid="14" name="KRukam">
    <vt:lpwstr>{KRukam}</vt:lpwstr>
  </property>
  <property fmtid="{D5CDD505-2E9C-101B-9397-08002B2CF9AE}" pid="15" name="Odkaz">
    <vt:lpwstr>ODKAZ</vt:lpwstr>
  </property>
  <property fmtid="{D5CDD505-2E9C-101B-9397-08002B2CF9AE}" pid="16" name="Password_PisemnostTypZpristupneniInformaciZOSZ_Pisemnost">
    <vt:lpwstr>ZOSZ_Password</vt:lpwstr>
  </property>
  <property fmtid="{D5CDD505-2E9C-101B-9397-08002B2CF9AE}" pid="17" name="PocetListuDokumentu_Pisemnost">
    <vt:lpwstr>1</vt:lpwstr>
  </property>
  <property fmtid="{D5CDD505-2E9C-101B-9397-08002B2CF9AE}" pid="18" name="PocetListu_Pisemnost">
    <vt:lpwstr>1</vt:lpwstr>
  </property>
  <property fmtid="{D5CDD505-2E9C-101B-9397-08002B2CF9AE}" pid="19" name="PocetPriloh_Pisemnost">
    <vt:lpwstr>0</vt:lpwstr>
  </property>
  <property fmtid="{D5CDD505-2E9C-101B-9397-08002B2CF9AE}" pid="20" name="Podpis">
    <vt:lpwstr/>
  </property>
  <property fmtid="{D5CDD505-2E9C-101B-9397-08002B2CF9AE}" pid="21" name="SkartacniZnakLhuta_PisemnostZnak">
    <vt:lpwstr>?/?</vt:lpwstr>
  </property>
  <property fmtid="{D5CDD505-2E9C-101B-9397-08002B2CF9AE}" pid="22" name="SmlouvaCislo">
    <vt:lpwstr>ČÍSLO SMLOUVY</vt:lpwstr>
  </property>
  <property fmtid="{D5CDD505-2E9C-101B-9397-08002B2CF9AE}" pid="23" name="SZ_Spis_Pisemnost">
    <vt:lpwstr>111/17</vt:lpwstr>
  </property>
  <property fmtid="{D5CDD505-2E9C-101B-9397-08002B2CF9AE}" pid="24" name="TEST">
    <vt:lpwstr>testovací pole</vt:lpwstr>
  </property>
  <property fmtid="{D5CDD505-2E9C-101B-9397-08002B2CF9AE}" pid="25" name="TypPrilohy_Pisemnost">
    <vt:lpwstr>1</vt:lpwstr>
  </property>
  <property fmtid="{D5CDD505-2E9C-101B-9397-08002B2CF9AE}" pid="26" name="UserName_PisemnostTypZpristupneniInformaciZOSZ_Pisemnost">
    <vt:lpwstr>ZOSZ_UserName</vt:lpwstr>
  </property>
  <property fmtid="{D5CDD505-2E9C-101B-9397-08002B2CF9AE}" pid="27" name="Vec_Pisemnost">
    <vt:lpwstr>Program KA 17/01 - připomínkové řízení </vt:lpwstr>
  </property>
  <property fmtid="{D5CDD505-2E9C-101B-9397-08002B2CF9AE}" pid="28" name="Zkratka_SpisovyUzel_PoziceZodpo_Pisemnost">
    <vt:lpwstr>200</vt:lpwstr>
  </property>
</Properties>
</file>