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EF838" w14:textId="77777777" w:rsidR="00291417" w:rsidRPr="00291417" w:rsidRDefault="00291417" w:rsidP="00291417">
      <w:pPr>
        <w:spacing w:after="0"/>
        <w:jc w:val="center"/>
      </w:pPr>
      <w:r w:rsidRPr="00291417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18F115B7" wp14:editId="73DAC081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F57C65" w14:textId="77777777" w:rsidR="00291417" w:rsidRPr="00291417" w:rsidRDefault="00291417" w:rsidP="00291417">
      <w:pPr>
        <w:spacing w:after="0"/>
        <w:jc w:val="center"/>
      </w:pPr>
    </w:p>
    <w:p w14:paraId="69B218CA" w14:textId="77777777" w:rsidR="00291417" w:rsidRPr="00291417" w:rsidRDefault="00291417" w:rsidP="00291417">
      <w:pPr>
        <w:spacing w:after="0"/>
        <w:jc w:val="center"/>
      </w:pPr>
    </w:p>
    <w:p w14:paraId="706DDF03" w14:textId="77777777" w:rsidR="00291417" w:rsidRPr="00291417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291417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421169EE" w14:textId="77777777" w:rsidR="00031FF6" w:rsidRDefault="00031FF6" w:rsidP="00031FF6">
      <w:pPr>
        <w:spacing w:after="0"/>
        <w:jc w:val="center"/>
      </w:pPr>
    </w:p>
    <w:p w14:paraId="3119A268" w14:textId="77777777" w:rsidR="00EC3A0D" w:rsidRPr="00EC3A0D" w:rsidRDefault="00A640AE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4907BB">
        <w:rPr>
          <w:rFonts w:asciiTheme="minorHAnsi" w:eastAsiaTheme="minorHAnsi" w:hAnsiTheme="minorHAnsi" w:cstheme="minorHAnsi"/>
          <w:b/>
          <w:sz w:val="28"/>
          <w:szCs w:val="28"/>
        </w:rPr>
        <w:t>9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4907BB">
        <w:rPr>
          <w:rFonts w:asciiTheme="minorHAnsi" w:eastAsiaTheme="minorHAnsi" w:hAnsiTheme="minorHAnsi" w:cstheme="minorHAnsi"/>
          <w:b/>
          <w:sz w:val="28"/>
          <w:szCs w:val="28"/>
        </w:rPr>
        <w:t>0</w:t>
      </w:r>
      <w:r w:rsidR="0025109E">
        <w:rPr>
          <w:rFonts w:asciiTheme="minorHAnsi" w:eastAsiaTheme="minorHAnsi" w:hAnsiTheme="minorHAnsi" w:cstheme="minorHAnsi"/>
          <w:b/>
          <w:sz w:val="28"/>
          <w:szCs w:val="28"/>
        </w:rPr>
        <w:t>8</w:t>
      </w:r>
    </w:p>
    <w:p w14:paraId="3F784C8B" w14:textId="77777777" w:rsidR="00031FF6" w:rsidRDefault="00031FF6" w:rsidP="00031FF6">
      <w:pPr>
        <w:spacing w:after="0"/>
        <w:jc w:val="center"/>
      </w:pPr>
    </w:p>
    <w:p w14:paraId="051D4565" w14:textId="77777777" w:rsidR="00937A73" w:rsidRPr="00937A73" w:rsidRDefault="00A640AE" w:rsidP="00937A73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37A73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402FC1">
        <w:rPr>
          <w:rFonts w:asciiTheme="minorHAnsi" w:eastAsiaTheme="minorHAnsi" w:hAnsiTheme="minorHAnsi" w:cstheme="minorHAnsi"/>
          <w:b/>
          <w:i/>
          <w:sz w:val="28"/>
          <w:szCs w:val="28"/>
        </w:rPr>
        <w:t>Ministe</w:t>
      </w:r>
      <w:bookmarkStart w:id="0" w:name="_GoBack"/>
      <w:bookmarkEnd w:id="0"/>
      <w:r w:rsidRPr="00402FC1">
        <w:rPr>
          <w:rFonts w:asciiTheme="minorHAnsi" w:eastAsiaTheme="minorHAnsi" w:hAnsiTheme="minorHAnsi" w:cstheme="minorHAnsi"/>
          <w:b/>
          <w:i/>
          <w:sz w:val="28"/>
          <w:szCs w:val="28"/>
        </w:rPr>
        <w:t xml:space="preserve">rstvo </w:t>
      </w:r>
      <w:r w:rsidR="004816F1" w:rsidRPr="00402FC1">
        <w:rPr>
          <w:rFonts w:asciiTheme="minorHAnsi" w:eastAsiaTheme="minorHAnsi" w:hAnsiTheme="minorHAnsi" w:cstheme="minorHAnsi"/>
          <w:b/>
          <w:i/>
          <w:sz w:val="28"/>
          <w:szCs w:val="28"/>
        </w:rPr>
        <w:t>doprav</w:t>
      </w:r>
      <w:r w:rsidRPr="00402FC1">
        <w:rPr>
          <w:rFonts w:asciiTheme="minorHAnsi" w:eastAsiaTheme="minorHAnsi" w:hAnsiTheme="minorHAnsi" w:cstheme="minorHAnsi"/>
          <w:b/>
          <w:i/>
          <w:sz w:val="28"/>
          <w:szCs w:val="28"/>
        </w:rPr>
        <w:t>y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Pr="00937A73">
        <w:rPr>
          <w:rFonts w:asciiTheme="minorHAnsi" w:eastAsiaTheme="minorHAnsi" w:hAnsiTheme="minorHAnsi" w:cstheme="minorHAnsi"/>
          <w:b/>
          <w:sz w:val="28"/>
          <w:szCs w:val="28"/>
        </w:rPr>
        <w:t xml:space="preserve">za rok 2018, účetní závěrka Ministerstva </w:t>
      </w:r>
      <w:r w:rsidR="004816F1">
        <w:rPr>
          <w:rFonts w:asciiTheme="minorHAnsi" w:eastAsiaTheme="minorHAnsi" w:hAnsiTheme="minorHAnsi" w:cstheme="minorHAnsi"/>
          <w:b/>
          <w:sz w:val="28"/>
          <w:szCs w:val="28"/>
        </w:rPr>
        <w:t>doprav</w:t>
      </w:r>
      <w:r w:rsidRPr="00937A73">
        <w:rPr>
          <w:rFonts w:asciiTheme="minorHAnsi" w:eastAsiaTheme="minorHAnsi" w:hAnsiTheme="minorHAnsi" w:cstheme="minorHAnsi"/>
          <w:b/>
          <w:sz w:val="28"/>
          <w:szCs w:val="28"/>
        </w:rPr>
        <w:t xml:space="preserve">y za rok 2018 </w:t>
      </w:r>
      <w:r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Pr="00937A73">
        <w:rPr>
          <w:rFonts w:asciiTheme="minorHAnsi" w:eastAsiaTheme="minorHAnsi" w:hAnsiTheme="minorHAnsi" w:cstheme="minorHAnsi"/>
          <w:b/>
          <w:sz w:val="28"/>
          <w:szCs w:val="28"/>
        </w:rPr>
        <w:t xml:space="preserve">a údaje předkládané Ministerstvem </w:t>
      </w:r>
      <w:r w:rsidR="004816F1">
        <w:rPr>
          <w:rFonts w:asciiTheme="minorHAnsi" w:eastAsiaTheme="minorHAnsi" w:hAnsiTheme="minorHAnsi" w:cstheme="minorHAnsi"/>
          <w:b/>
          <w:sz w:val="28"/>
          <w:szCs w:val="28"/>
        </w:rPr>
        <w:t>doprav</w:t>
      </w:r>
      <w:r w:rsidRPr="00937A73">
        <w:rPr>
          <w:rFonts w:asciiTheme="minorHAnsi" w:eastAsiaTheme="minorHAnsi" w:hAnsiTheme="minorHAnsi" w:cstheme="minorHAnsi"/>
          <w:b/>
          <w:sz w:val="28"/>
          <w:szCs w:val="28"/>
        </w:rPr>
        <w:t>y pro hodnocení plnění státního rozpočtu za rok 2018</w:t>
      </w:r>
    </w:p>
    <w:p w14:paraId="4EFBDF73" w14:textId="19796712" w:rsidR="00937A73" w:rsidRDefault="00937A73" w:rsidP="00031FF6">
      <w:pPr>
        <w:spacing w:after="0"/>
        <w:jc w:val="both"/>
      </w:pPr>
    </w:p>
    <w:p w14:paraId="6173D3A3" w14:textId="77777777" w:rsidR="00D7372A" w:rsidRDefault="00D7372A" w:rsidP="00031FF6">
      <w:pPr>
        <w:spacing w:after="0"/>
        <w:jc w:val="both"/>
      </w:pPr>
    </w:p>
    <w:p w14:paraId="2FB81B9D" w14:textId="77777777" w:rsid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 w:rsidR="00EA44A3">
        <w:rPr>
          <w:rFonts w:asciiTheme="minorHAnsi" w:eastAsiaTheme="minorHAnsi" w:hAnsiTheme="minorHAnsi" w:cstheme="minorHAnsi"/>
        </w:rPr>
        <w:t>také</w:t>
      </w:r>
      <w:r w:rsidRPr="00EC3A0D">
        <w:rPr>
          <w:rFonts w:asciiTheme="minorHAnsi" w:eastAsiaTheme="minorHAnsi" w:hAnsiTheme="minorHAnsi" w:cstheme="minorHAnsi"/>
        </w:rPr>
        <w:t xml:space="preserve"> „NKÚ“) na rok 201</w:t>
      </w:r>
      <w:r w:rsidR="00937A73">
        <w:rPr>
          <w:rFonts w:asciiTheme="minorHAnsi" w:eastAsiaTheme="minorHAnsi" w:hAnsiTheme="minorHAnsi" w:cstheme="minorHAnsi"/>
        </w:rPr>
        <w:t>9</w:t>
      </w:r>
      <w:r w:rsidRPr="00EC3A0D">
        <w:rPr>
          <w:rFonts w:asciiTheme="minorHAnsi" w:eastAsiaTheme="minorHAnsi" w:hAnsiTheme="minorHAnsi" w:cstheme="minorHAnsi"/>
        </w:rPr>
        <w:t xml:space="preserve"> pod číslem </w:t>
      </w:r>
      <w:r w:rsidR="007C43B0">
        <w:rPr>
          <w:rFonts w:asciiTheme="minorHAnsi" w:eastAsiaTheme="minorHAnsi" w:hAnsiTheme="minorHAnsi" w:cstheme="minorHAnsi"/>
        </w:rPr>
        <w:t>1</w:t>
      </w:r>
      <w:r w:rsidR="00937A73">
        <w:rPr>
          <w:rFonts w:asciiTheme="minorHAnsi" w:eastAsiaTheme="minorHAnsi" w:hAnsiTheme="minorHAnsi" w:cstheme="minorHAnsi"/>
        </w:rPr>
        <w:t>9</w:t>
      </w:r>
      <w:r w:rsidRPr="00EC3A0D">
        <w:rPr>
          <w:rFonts w:asciiTheme="minorHAnsi" w:eastAsiaTheme="minorHAnsi" w:hAnsiTheme="minorHAnsi" w:cstheme="minorHAnsi"/>
        </w:rPr>
        <w:t>/</w:t>
      </w:r>
      <w:r w:rsidR="00937A73">
        <w:rPr>
          <w:rFonts w:asciiTheme="minorHAnsi" w:eastAsiaTheme="minorHAnsi" w:hAnsiTheme="minorHAnsi" w:cstheme="minorHAnsi"/>
        </w:rPr>
        <w:t>0</w:t>
      </w:r>
      <w:r w:rsidR="004816F1">
        <w:rPr>
          <w:rFonts w:asciiTheme="minorHAnsi" w:eastAsiaTheme="minorHAnsi" w:hAnsiTheme="minorHAnsi" w:cstheme="minorHAnsi"/>
        </w:rPr>
        <w:t>8</w:t>
      </w:r>
      <w:r w:rsidRPr="00EC3A0D">
        <w:rPr>
          <w:rFonts w:asciiTheme="minorHAnsi" w:eastAsiaTheme="minorHAnsi" w:hAnsiTheme="minorHAnsi" w:cstheme="minorHAnsi"/>
        </w:rPr>
        <w:t xml:space="preserve">. </w:t>
      </w:r>
      <w:r w:rsidR="005F2754">
        <w:rPr>
          <w:rFonts w:asciiTheme="minorHAnsi" w:eastAsiaTheme="minorHAnsi" w:hAnsiTheme="minorHAnsi" w:cstheme="minorHAnsi"/>
        </w:rPr>
        <w:t>Kontrolní akci řídi</w:t>
      </w:r>
      <w:r w:rsidR="004816F1">
        <w:rPr>
          <w:rFonts w:asciiTheme="minorHAnsi" w:eastAsiaTheme="minorHAnsi" w:hAnsiTheme="minorHAnsi" w:cstheme="minorHAnsi"/>
        </w:rPr>
        <w:t>l</w:t>
      </w:r>
      <w:r w:rsidRPr="00EC3A0D">
        <w:rPr>
          <w:rFonts w:asciiTheme="minorHAnsi" w:eastAsiaTheme="minorHAnsi" w:hAnsiTheme="minorHAnsi" w:cstheme="minorHAnsi"/>
        </w:rPr>
        <w:t xml:space="preserve"> a kontrolní závěr vypracoval člen</w:t>
      </w:r>
      <w:r w:rsidR="005F2754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</w:rPr>
        <w:t>NKÚ Ing. </w:t>
      </w:r>
      <w:r w:rsidR="004816F1">
        <w:rPr>
          <w:rFonts w:asciiTheme="minorHAnsi" w:eastAsiaTheme="minorHAnsi" w:hAnsiTheme="minorHAnsi" w:cstheme="minorHAnsi"/>
        </w:rPr>
        <w:t>Daniel Reisiegel, MPA</w:t>
      </w:r>
      <w:r w:rsidRPr="00EC3A0D">
        <w:rPr>
          <w:rFonts w:asciiTheme="minorHAnsi" w:eastAsiaTheme="minorHAnsi" w:hAnsiTheme="minorHAnsi" w:cstheme="minorHAnsi"/>
        </w:rPr>
        <w:t>.</w:t>
      </w:r>
    </w:p>
    <w:p w14:paraId="450831E6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66F128E" w14:textId="22A1B523" w:rsidR="00CC0706" w:rsidRPr="00CC0706" w:rsidRDefault="00A640AE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EC3A0D">
        <w:rPr>
          <w:rFonts w:asciiTheme="minorHAnsi" w:eastAsiaTheme="minorHAnsi" w:hAnsiTheme="minorHAnsi" w:cstheme="minorHAnsi"/>
        </w:rPr>
        <w:t xml:space="preserve">Cílem kontroly bylo prověřit, </w:t>
      </w:r>
      <w:r w:rsidRPr="00EC3A0D">
        <w:rPr>
          <w:rFonts w:asciiTheme="minorHAnsi" w:eastAsiaTheme="minorHAnsi" w:hAnsiTheme="minorHAnsi" w:cstheme="minorHAnsi"/>
          <w:bCs/>
        </w:rPr>
        <w:t xml:space="preserve">zda </w:t>
      </w:r>
      <w:r w:rsidRPr="00CC0706">
        <w:rPr>
          <w:rFonts w:asciiTheme="minorHAnsi" w:eastAsiaTheme="minorHAnsi" w:hAnsiTheme="minorHAnsi" w:cstheme="minorHAnsi"/>
          <w:bCs/>
        </w:rPr>
        <w:t xml:space="preserve">Ministerstvo </w:t>
      </w:r>
      <w:r w:rsidR="004816F1">
        <w:rPr>
          <w:rFonts w:asciiTheme="minorHAnsi" w:eastAsiaTheme="minorHAnsi" w:hAnsiTheme="minorHAnsi" w:cstheme="minorHAnsi"/>
          <w:bCs/>
        </w:rPr>
        <w:t>dopravy</w:t>
      </w:r>
      <w:r w:rsidRPr="00CC0706">
        <w:rPr>
          <w:rFonts w:asciiTheme="minorHAnsi" w:eastAsiaTheme="minorHAnsi" w:hAnsiTheme="minorHAnsi" w:cstheme="minorHAnsi"/>
          <w:bCs/>
        </w:rPr>
        <w:t xml:space="preserve"> p</w:t>
      </w:r>
      <w:r w:rsidR="00291417">
        <w:rPr>
          <w:rFonts w:asciiTheme="minorHAnsi" w:eastAsiaTheme="minorHAnsi" w:hAnsiTheme="minorHAnsi" w:cstheme="minorHAnsi"/>
          <w:bCs/>
        </w:rPr>
        <w:t>ři sestavení závěrečného účtu a</w:t>
      </w:r>
      <w:r w:rsidR="009B5780">
        <w:rPr>
          <w:rFonts w:asciiTheme="minorHAnsi" w:eastAsiaTheme="minorHAnsi" w:hAnsiTheme="minorHAnsi" w:cstheme="minorHAnsi"/>
          <w:bCs/>
        </w:rPr>
        <w:t xml:space="preserve"> </w:t>
      </w:r>
      <w:r w:rsidRPr="00CC0706">
        <w:rPr>
          <w:rFonts w:asciiTheme="minorHAnsi" w:eastAsiaTheme="minorHAnsi" w:hAnsiTheme="minorHAnsi" w:cstheme="minorHAnsi"/>
          <w:bCs/>
        </w:rPr>
        <w:t>při</w:t>
      </w:r>
      <w:r w:rsidR="009B5780">
        <w:rPr>
          <w:rFonts w:asciiTheme="minorHAnsi" w:eastAsiaTheme="minorHAnsi" w:hAnsiTheme="minorHAnsi" w:cstheme="minorHAnsi"/>
          <w:bCs/>
        </w:rPr>
        <w:t xml:space="preserve"> </w:t>
      </w:r>
      <w:r w:rsidRPr="00CC0706">
        <w:rPr>
          <w:rFonts w:asciiTheme="minorHAnsi" w:eastAsiaTheme="minorHAnsi" w:hAnsiTheme="minorHAnsi" w:cstheme="minorHAnsi"/>
          <w:bCs/>
        </w:rPr>
        <w:t>vedení účetnictví a sestavení účetní závěrky a předkládání údajů pro hodnocení plnění státního rozpočtu za rok 2018 postupovalo v souladu s příslušnými právními předpisy.</w:t>
      </w:r>
    </w:p>
    <w:p w14:paraId="4E27AECC" w14:textId="77777777" w:rsidR="00031FF6" w:rsidRPr="000D72DE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</w:rPr>
      </w:pPr>
    </w:p>
    <w:p w14:paraId="6369A073" w14:textId="77777777" w:rsidR="00EC3A0D" w:rsidRP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</w:rPr>
        <w:t>Kontrolovaná osoba:</w:t>
      </w:r>
    </w:p>
    <w:p w14:paraId="663D3B89" w14:textId="77777777" w:rsidR="00EC3A0D" w:rsidRP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Ministerstvo </w:t>
      </w:r>
      <w:r w:rsidR="004816F1">
        <w:rPr>
          <w:rFonts w:asciiTheme="minorHAnsi" w:eastAsiaTheme="minorHAnsi" w:hAnsiTheme="minorHAnsi" w:cstheme="minorHAnsi"/>
        </w:rPr>
        <w:t>doprav</w:t>
      </w:r>
      <w:r w:rsidR="00CC0706">
        <w:rPr>
          <w:rFonts w:asciiTheme="minorHAnsi" w:eastAsiaTheme="minorHAnsi" w:hAnsiTheme="minorHAnsi" w:cstheme="minorHAnsi"/>
        </w:rPr>
        <w:t>y</w:t>
      </w:r>
      <w:r w:rsidRPr="00EC3A0D">
        <w:rPr>
          <w:rFonts w:asciiTheme="minorHAnsi" w:eastAsiaTheme="minorHAnsi" w:hAnsiTheme="minorHAnsi" w:cstheme="minorHAnsi"/>
        </w:rPr>
        <w:t xml:space="preserve"> (dále také „M</w:t>
      </w:r>
      <w:r w:rsidR="004816F1">
        <w:rPr>
          <w:rFonts w:asciiTheme="minorHAnsi" w:eastAsiaTheme="minorHAnsi" w:hAnsiTheme="minorHAnsi" w:cstheme="minorHAnsi"/>
        </w:rPr>
        <w:t>D</w:t>
      </w:r>
      <w:r w:rsidRPr="00EC3A0D">
        <w:rPr>
          <w:rFonts w:asciiTheme="minorHAnsi" w:eastAsiaTheme="minorHAnsi" w:hAnsiTheme="minorHAnsi" w:cstheme="minorHAnsi"/>
        </w:rPr>
        <w:t>“).</w:t>
      </w:r>
    </w:p>
    <w:p w14:paraId="5621D5DA" w14:textId="77777777" w:rsidR="00031FF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B15F94A" w14:textId="77777777" w:rsid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>Kontrolováno bylo období roku 201</w:t>
      </w:r>
      <w:r w:rsidR="00CC0706">
        <w:rPr>
          <w:rFonts w:asciiTheme="minorHAnsi" w:eastAsiaTheme="minorHAnsi" w:hAnsiTheme="minorHAnsi" w:cstheme="minorHAnsi"/>
        </w:rPr>
        <w:t>8</w:t>
      </w:r>
      <w:r w:rsidR="004E3929">
        <w:rPr>
          <w:rFonts w:asciiTheme="minorHAnsi" w:eastAsiaTheme="minorHAnsi" w:hAnsiTheme="minorHAnsi" w:cstheme="minorHAnsi"/>
        </w:rPr>
        <w:t xml:space="preserve"> včetně</w:t>
      </w:r>
      <w:r w:rsidRPr="00EC3A0D">
        <w:rPr>
          <w:rFonts w:asciiTheme="minorHAnsi" w:eastAsiaTheme="minorHAnsi" w:hAnsiTheme="minorHAnsi" w:cstheme="minorHAnsi"/>
        </w:rPr>
        <w:t xml:space="preserve"> související</w:t>
      </w:r>
      <w:r w:rsidR="004E3929">
        <w:rPr>
          <w:rFonts w:asciiTheme="minorHAnsi" w:eastAsiaTheme="minorHAnsi" w:hAnsiTheme="minorHAnsi" w:cstheme="minorHAnsi"/>
        </w:rPr>
        <w:t>ch</w:t>
      </w:r>
      <w:r w:rsidRPr="00EC3A0D">
        <w:rPr>
          <w:rFonts w:asciiTheme="minorHAnsi" w:eastAsiaTheme="minorHAnsi" w:hAnsiTheme="minorHAnsi" w:cstheme="minorHAnsi"/>
        </w:rPr>
        <w:t xml:space="preserve"> skutečnost</w:t>
      </w:r>
      <w:r w:rsidR="004E3929">
        <w:rPr>
          <w:rFonts w:asciiTheme="minorHAnsi" w:eastAsiaTheme="minorHAnsi" w:hAnsiTheme="minorHAnsi" w:cstheme="minorHAnsi"/>
        </w:rPr>
        <w:t>í</w:t>
      </w:r>
      <w:r w:rsidRPr="00EC3A0D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EC3A0D">
        <w:rPr>
          <w:rFonts w:asciiTheme="minorHAnsi" w:eastAsiaTheme="minorHAnsi" w:hAnsiTheme="minorHAnsi" w:cstheme="minorHAnsi"/>
        </w:rPr>
        <w:t>.</w:t>
      </w:r>
    </w:p>
    <w:p w14:paraId="450977B4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7421CEB" w14:textId="77777777" w:rsid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Kontrola byla prováděna u </w:t>
      </w:r>
      <w:r w:rsidR="000D3F2D">
        <w:rPr>
          <w:rFonts w:asciiTheme="minorHAnsi" w:eastAsiaTheme="minorHAnsi" w:hAnsiTheme="minorHAnsi" w:cstheme="minorHAnsi"/>
        </w:rPr>
        <w:t>kontrolované osoby</w:t>
      </w:r>
      <w:r w:rsidRPr="00EC3A0D">
        <w:rPr>
          <w:rFonts w:asciiTheme="minorHAnsi" w:eastAsiaTheme="minorHAnsi" w:hAnsiTheme="minorHAnsi" w:cstheme="minorHAnsi"/>
        </w:rPr>
        <w:t xml:space="preserve"> v době od </w:t>
      </w:r>
      <w:r w:rsidR="004816F1">
        <w:rPr>
          <w:rFonts w:asciiTheme="minorHAnsi" w:eastAsiaTheme="minorHAnsi" w:hAnsiTheme="minorHAnsi" w:cstheme="minorHAnsi"/>
        </w:rPr>
        <w:t>května</w:t>
      </w:r>
      <w:r w:rsidR="00CC0706">
        <w:rPr>
          <w:rFonts w:asciiTheme="minorHAnsi" w:eastAsiaTheme="minorHAnsi" w:hAnsiTheme="minorHAnsi" w:cstheme="minorHAnsi"/>
        </w:rPr>
        <w:t xml:space="preserve"> 2019</w:t>
      </w:r>
      <w:r w:rsidRPr="00EC3A0D">
        <w:rPr>
          <w:rFonts w:asciiTheme="minorHAnsi" w:eastAsiaTheme="minorHAnsi" w:hAnsiTheme="minorHAnsi" w:cstheme="minorHAnsi"/>
        </w:rPr>
        <w:t xml:space="preserve"> do </w:t>
      </w:r>
      <w:r w:rsidR="004816F1">
        <w:rPr>
          <w:rFonts w:asciiTheme="minorHAnsi" w:eastAsiaTheme="minorHAnsi" w:hAnsiTheme="minorHAnsi" w:cstheme="minorHAnsi"/>
        </w:rPr>
        <w:t>listopadu</w:t>
      </w:r>
      <w:r w:rsidR="005F2754">
        <w:rPr>
          <w:rFonts w:asciiTheme="minorHAnsi" w:eastAsiaTheme="minorHAnsi" w:hAnsiTheme="minorHAnsi" w:cstheme="minorHAnsi"/>
        </w:rPr>
        <w:t xml:space="preserve"> 201</w:t>
      </w:r>
      <w:r w:rsidR="00CC0706">
        <w:rPr>
          <w:rFonts w:asciiTheme="minorHAnsi" w:eastAsiaTheme="minorHAnsi" w:hAnsiTheme="minorHAnsi" w:cstheme="minorHAnsi"/>
        </w:rPr>
        <w:t>9</w:t>
      </w:r>
      <w:r w:rsidRPr="00EC3A0D">
        <w:rPr>
          <w:rFonts w:asciiTheme="minorHAnsi" w:eastAsiaTheme="minorHAnsi" w:hAnsiTheme="minorHAnsi" w:cstheme="minorHAnsi"/>
        </w:rPr>
        <w:t>.</w:t>
      </w:r>
    </w:p>
    <w:p w14:paraId="5E5C25C2" w14:textId="77777777"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0215AC5" w14:textId="77777777"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AA4027E" w14:textId="4B2DBBBE" w:rsidR="00EC3A0D" w:rsidRPr="00FF054A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EC3A0D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EC3A0D">
        <w:rPr>
          <w:rFonts w:asciiTheme="minorHAnsi" w:eastAsiaTheme="minorHAnsi" w:hAnsiTheme="minorHAnsi" w:cstheme="minorHAnsi"/>
        </w:rPr>
        <w:t xml:space="preserve">   na </w:t>
      </w:r>
      <w:r w:rsidRPr="001842ED">
        <w:rPr>
          <w:rFonts w:asciiTheme="minorHAnsi" w:eastAsiaTheme="minorHAnsi" w:hAnsiTheme="minorHAnsi" w:cstheme="minorHAnsi"/>
        </w:rPr>
        <w:t>svém</w:t>
      </w:r>
      <w:r w:rsidR="00CC0706" w:rsidRPr="001842ED">
        <w:rPr>
          <w:rFonts w:asciiTheme="minorHAnsi" w:eastAsiaTheme="minorHAnsi" w:hAnsiTheme="minorHAnsi" w:cstheme="minorHAnsi"/>
        </w:rPr>
        <w:t xml:space="preserve"> </w:t>
      </w:r>
      <w:r w:rsidR="00427182">
        <w:rPr>
          <w:rFonts w:asciiTheme="minorHAnsi" w:eastAsiaTheme="minorHAnsi" w:hAnsiTheme="minorHAnsi" w:cstheme="minorHAnsi"/>
        </w:rPr>
        <w:t>II</w:t>
      </w:r>
      <w:r w:rsidR="00CC0706" w:rsidRPr="001842ED">
        <w:rPr>
          <w:rFonts w:asciiTheme="minorHAnsi" w:eastAsiaTheme="minorHAnsi" w:hAnsiTheme="minorHAnsi" w:cstheme="minorHAnsi"/>
        </w:rPr>
        <w:t>.</w:t>
      </w:r>
      <w:r w:rsidR="009E57D6" w:rsidRPr="001842ED">
        <w:rPr>
          <w:rFonts w:asciiTheme="minorHAnsi" w:eastAsiaTheme="minorHAnsi" w:hAnsiTheme="minorHAnsi" w:cstheme="minorHAnsi"/>
        </w:rPr>
        <w:t xml:space="preserve"> </w:t>
      </w:r>
      <w:r w:rsidRPr="001842ED">
        <w:rPr>
          <w:rFonts w:asciiTheme="minorHAnsi" w:eastAsiaTheme="minorHAnsi" w:hAnsiTheme="minorHAnsi" w:cstheme="minorHAnsi"/>
        </w:rPr>
        <w:t>jednání, které se konalo dne</w:t>
      </w:r>
      <w:r w:rsidR="00243613" w:rsidRPr="001842ED">
        <w:rPr>
          <w:rFonts w:asciiTheme="minorHAnsi" w:eastAsiaTheme="minorHAnsi" w:hAnsiTheme="minorHAnsi" w:cstheme="minorHAnsi"/>
        </w:rPr>
        <w:t xml:space="preserve"> </w:t>
      </w:r>
      <w:r w:rsidR="00427182">
        <w:rPr>
          <w:rFonts w:asciiTheme="minorHAnsi" w:eastAsiaTheme="minorHAnsi" w:hAnsiTheme="minorHAnsi" w:cstheme="minorHAnsi"/>
        </w:rPr>
        <w:t>10. února</w:t>
      </w:r>
      <w:r w:rsidR="001842ED">
        <w:rPr>
          <w:rFonts w:asciiTheme="minorHAnsi" w:eastAsiaTheme="minorHAnsi" w:hAnsiTheme="minorHAnsi" w:cstheme="minorHAnsi"/>
        </w:rPr>
        <w:t xml:space="preserve"> </w:t>
      </w:r>
      <w:r w:rsidR="009E57D6" w:rsidRPr="001842ED">
        <w:rPr>
          <w:rFonts w:asciiTheme="minorHAnsi" w:eastAsiaTheme="minorHAnsi" w:hAnsiTheme="minorHAnsi" w:cstheme="minorHAnsi"/>
        </w:rPr>
        <w:t>2</w:t>
      </w:r>
      <w:r w:rsidRPr="001842ED">
        <w:rPr>
          <w:rFonts w:asciiTheme="minorHAnsi" w:eastAsiaTheme="minorHAnsi" w:hAnsiTheme="minorHAnsi" w:cstheme="minorHAnsi"/>
        </w:rPr>
        <w:t>0</w:t>
      </w:r>
      <w:r w:rsidR="004816F1">
        <w:rPr>
          <w:rFonts w:asciiTheme="minorHAnsi" w:eastAsiaTheme="minorHAnsi" w:hAnsiTheme="minorHAnsi" w:cstheme="minorHAnsi"/>
        </w:rPr>
        <w:t>20</w:t>
      </w:r>
      <w:r w:rsidRPr="001842ED">
        <w:rPr>
          <w:rFonts w:asciiTheme="minorHAnsi" w:eastAsiaTheme="minorHAnsi" w:hAnsiTheme="minorHAnsi" w:cstheme="minorHAnsi"/>
        </w:rPr>
        <w:t>,</w:t>
      </w:r>
    </w:p>
    <w:p w14:paraId="31008E31" w14:textId="77777777" w:rsidR="00EC3A0D" w:rsidRPr="00FF054A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FF054A">
        <w:rPr>
          <w:rFonts w:asciiTheme="minorHAnsi" w:eastAsiaTheme="minorHAnsi" w:hAnsiTheme="minorHAnsi" w:cstheme="minorHAnsi"/>
        </w:rPr>
        <w:t xml:space="preserve">   usnesením č</w:t>
      </w:r>
      <w:r w:rsidRPr="001842ED">
        <w:rPr>
          <w:rFonts w:asciiTheme="minorHAnsi" w:eastAsiaTheme="minorHAnsi" w:hAnsiTheme="minorHAnsi" w:cstheme="minorHAnsi"/>
        </w:rPr>
        <w:t xml:space="preserve">. </w:t>
      </w:r>
      <w:r w:rsidR="00427182">
        <w:rPr>
          <w:rFonts w:asciiTheme="minorHAnsi" w:eastAsiaTheme="minorHAnsi" w:hAnsiTheme="minorHAnsi" w:cstheme="minorHAnsi"/>
        </w:rPr>
        <w:t>7</w:t>
      </w:r>
      <w:r w:rsidR="001842ED">
        <w:rPr>
          <w:rFonts w:asciiTheme="minorHAnsi" w:eastAsiaTheme="minorHAnsi" w:hAnsiTheme="minorHAnsi" w:cstheme="minorHAnsi"/>
        </w:rPr>
        <w:t>/</w:t>
      </w:r>
      <w:r w:rsidR="00427182">
        <w:rPr>
          <w:rFonts w:asciiTheme="minorHAnsi" w:eastAsiaTheme="minorHAnsi" w:hAnsiTheme="minorHAnsi" w:cstheme="minorHAnsi"/>
        </w:rPr>
        <w:t>II</w:t>
      </w:r>
      <w:r w:rsidRPr="001842ED">
        <w:rPr>
          <w:rFonts w:asciiTheme="minorHAnsi" w:eastAsiaTheme="minorHAnsi" w:hAnsiTheme="minorHAnsi" w:cstheme="minorHAnsi"/>
        </w:rPr>
        <w:t>/20</w:t>
      </w:r>
      <w:r w:rsidR="00754BDD">
        <w:rPr>
          <w:rFonts w:asciiTheme="minorHAnsi" w:eastAsiaTheme="minorHAnsi" w:hAnsiTheme="minorHAnsi" w:cstheme="minorHAnsi"/>
        </w:rPr>
        <w:t>20</w:t>
      </w:r>
    </w:p>
    <w:p w14:paraId="7D5BAF49" w14:textId="77777777" w:rsidR="00EC3A0D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FF054A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FF054A">
        <w:rPr>
          <w:rFonts w:asciiTheme="minorHAnsi" w:eastAsiaTheme="minorHAnsi" w:hAnsiTheme="minorHAnsi" w:cstheme="minorHAnsi"/>
        </w:rPr>
        <w:t xml:space="preserve">   v tomto znění:</w:t>
      </w:r>
    </w:p>
    <w:p w14:paraId="41607A48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2D3FF240" w14:textId="77777777" w:rsidR="00031FF6" w:rsidRDefault="00A640AE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50080C" w14:paraId="639ED559" w14:textId="77777777" w:rsidTr="00416B49">
        <w:trPr>
          <w:trHeight w:val="964"/>
        </w:trPr>
        <w:tc>
          <w:tcPr>
            <w:tcW w:w="7967" w:type="dxa"/>
          </w:tcPr>
          <w:p w14:paraId="093D4FC7" w14:textId="77777777" w:rsidR="00416B49" w:rsidRDefault="00815D89" w:rsidP="00563E22">
            <w:pPr>
              <w:ind w:right="241"/>
              <w:jc w:val="center"/>
              <w:rPr>
                <w:rFonts w:asciiTheme="minorHAnsi" w:eastAsiaTheme="minorHAnsi" w:hAnsiTheme="minorHAnsi" w:cstheme="minorHAnsi"/>
                <w:b/>
                <w:cap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/>
                <w:caps/>
                <w:sz w:val="28"/>
                <w:szCs w:val="28"/>
              </w:rPr>
              <w:lastRenderedPageBreak/>
              <w:t>účetní závěrka, finanční výkazy a závěrečný účet ministe</w:t>
            </w:r>
            <w:r w:rsidR="0019669E">
              <w:rPr>
                <w:rFonts w:asciiTheme="minorHAnsi" w:eastAsiaTheme="minorHAnsi" w:hAnsiTheme="minorHAnsi" w:cstheme="minorHAnsi"/>
                <w:b/>
                <w:caps/>
                <w:sz w:val="28"/>
                <w:szCs w:val="28"/>
              </w:rPr>
              <w:t>r</w:t>
            </w:r>
            <w:r>
              <w:rPr>
                <w:rFonts w:asciiTheme="minorHAnsi" w:eastAsiaTheme="minorHAnsi" w:hAnsiTheme="minorHAnsi" w:cstheme="minorHAnsi"/>
                <w:b/>
                <w:caps/>
                <w:sz w:val="28"/>
                <w:szCs w:val="28"/>
              </w:rPr>
              <w:t>stva dopravy za rok 2018</w:t>
            </w:r>
          </w:p>
          <w:p w14:paraId="102A468F" w14:textId="77777777" w:rsidR="00416B49" w:rsidRDefault="00416B49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14:paraId="40E19771" w14:textId="77777777" w:rsidR="00F20DE4" w:rsidRDefault="00F20DE4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6890"/>
            </w:tblGrid>
            <w:tr w:rsidR="002B2905" w14:paraId="0892E4C3" w14:textId="77777777" w:rsidTr="009171ED">
              <w:tc>
                <w:tcPr>
                  <w:tcW w:w="8624" w:type="dxa"/>
                  <w:gridSpan w:val="2"/>
                  <w:vAlign w:val="center"/>
                </w:tcPr>
                <w:p w14:paraId="297BAC6F" w14:textId="77777777" w:rsidR="002B2905" w:rsidRPr="002B2905" w:rsidRDefault="002B2905" w:rsidP="009171ED">
                  <w:pPr>
                    <w:ind w:right="238"/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</w:pPr>
                  <w:r w:rsidRPr="002B2905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>Spolehlivost účetní závěrky</w:t>
                  </w:r>
                  <w:r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 MD</w:t>
                  </w:r>
                  <w:r w:rsidRPr="002B2905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 sestavené k 31. PROSINCI 2018</w:t>
                  </w:r>
                </w:p>
              </w:tc>
            </w:tr>
            <w:tr w:rsidR="002B2905" w14:paraId="7F55BFE7" w14:textId="77777777" w:rsidTr="009171ED">
              <w:tc>
                <w:tcPr>
                  <w:tcW w:w="1734" w:type="dxa"/>
                  <w:vAlign w:val="center"/>
                </w:tcPr>
                <w:p w14:paraId="065EB66E" w14:textId="77777777" w:rsidR="002B2905" w:rsidRDefault="002B2905" w:rsidP="009171ED">
                  <w:pPr>
                    <w:ind w:right="238"/>
                    <w:rPr>
                      <w:rFonts w:cs="Calibri"/>
                      <w:iCs/>
                      <w:szCs w:val="20"/>
                    </w:rPr>
                  </w:pPr>
                  <w:r w:rsidRPr="00F20DE4">
                    <w:rPr>
                      <w:b/>
                      <w:sz w:val="28"/>
                      <w:szCs w:val="28"/>
                    </w:rPr>
                    <w:t>5,9 mld. Kč</w:t>
                  </w:r>
                </w:p>
              </w:tc>
              <w:tc>
                <w:tcPr>
                  <w:tcW w:w="6890" w:type="dxa"/>
                  <w:vAlign w:val="center"/>
                </w:tcPr>
                <w:p w14:paraId="7A89462A" w14:textId="77777777" w:rsidR="002B2905" w:rsidRDefault="002B2905" w:rsidP="00584A5B">
                  <w:pPr>
                    <w:ind w:right="238"/>
                    <w:jc w:val="both"/>
                    <w:rPr>
                      <w:rFonts w:cs="Calibri"/>
                      <w:iCs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Významné</w:t>
                  </w:r>
                  <w:r w:rsidR="009233E8">
                    <w:rPr>
                      <w:rStyle w:val="Znakapoznpodarou"/>
                      <w:sz w:val="22"/>
                      <w:szCs w:val="22"/>
                    </w:rPr>
                    <w:footnoteReference w:id="2"/>
                  </w:r>
                  <w:r>
                    <w:rPr>
                      <w:sz w:val="22"/>
                      <w:szCs w:val="22"/>
                    </w:rPr>
                    <w:t xml:space="preserve"> n</w:t>
                  </w:r>
                  <w:r w:rsidRPr="002D42BE">
                    <w:rPr>
                      <w:sz w:val="22"/>
                      <w:szCs w:val="22"/>
                    </w:rPr>
                    <w:t>esprávnost</w:t>
                  </w:r>
                  <w:r>
                    <w:rPr>
                      <w:sz w:val="22"/>
                      <w:szCs w:val="22"/>
                    </w:rPr>
                    <w:t>i</w:t>
                  </w:r>
                  <w:r w:rsidR="00F20DE4">
                    <w:rPr>
                      <w:sz w:val="22"/>
                      <w:szCs w:val="22"/>
                    </w:rPr>
                    <w:t>, v jejichž rozsahu nelze údaje účetní závěrky považovat za spolehlivé</w:t>
                  </w:r>
                  <w:r w:rsidR="009C6C1F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7AFEA7F" w14:textId="77777777" w:rsidR="002B2905" w:rsidRDefault="002B2905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14:paraId="52C3BB10" w14:textId="68250509" w:rsidR="00416B49" w:rsidRDefault="00A640AE" w:rsidP="00DB46DD">
            <w:pPr>
              <w:ind w:left="33" w:right="241"/>
              <w:jc w:val="both"/>
              <w:rPr>
                <w:b/>
              </w:rPr>
            </w:pPr>
            <w:r w:rsidRPr="00046890">
              <w:rPr>
                <w:b/>
              </w:rPr>
              <w:t xml:space="preserve">Spolehlivost </w:t>
            </w:r>
            <w:r w:rsidR="00855445">
              <w:rPr>
                <w:b/>
              </w:rPr>
              <w:t xml:space="preserve">účetní závěrky </w:t>
            </w:r>
            <w:r w:rsidR="009171ED">
              <w:rPr>
                <w:b/>
              </w:rPr>
              <w:t xml:space="preserve">MD </w:t>
            </w:r>
            <w:r w:rsidR="00855445">
              <w:rPr>
                <w:b/>
              </w:rPr>
              <w:t>sestavené k</w:t>
            </w:r>
            <w:r w:rsidR="0048643B">
              <w:rPr>
                <w:b/>
              </w:rPr>
              <w:t xml:space="preserve"> </w:t>
            </w:r>
            <w:r w:rsidR="00855445">
              <w:rPr>
                <w:b/>
              </w:rPr>
              <w:t>31.</w:t>
            </w:r>
            <w:r w:rsidR="0048643B">
              <w:rPr>
                <w:b/>
              </w:rPr>
              <w:t xml:space="preserve"> </w:t>
            </w:r>
            <w:r w:rsidR="00855445">
              <w:rPr>
                <w:b/>
              </w:rPr>
              <w:t xml:space="preserve">prosinci 2018 </w:t>
            </w:r>
            <w:r w:rsidRPr="00046890">
              <w:rPr>
                <w:b/>
              </w:rPr>
              <w:t>ve struktuře dle jednotlivých výkazů</w:t>
            </w:r>
          </w:p>
          <w:p w14:paraId="39EC461B" w14:textId="77777777" w:rsidR="00855445" w:rsidRPr="00046890" w:rsidRDefault="00855445" w:rsidP="00ED6741">
            <w:pPr>
              <w:ind w:left="33" w:right="241"/>
              <w:jc w:val="center"/>
              <w:rPr>
                <w:b/>
              </w:rPr>
            </w:pPr>
          </w:p>
          <w:p w14:paraId="384A45DD" w14:textId="77777777" w:rsidR="00416B49" w:rsidRDefault="00855445" w:rsidP="00563E22">
            <w:pPr>
              <w:spacing w:after="0"/>
              <w:ind w:right="241"/>
              <w:rPr>
                <w:b/>
              </w:rPr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2A180974" wp14:editId="772F72E4">
                  <wp:extent cx="5522976" cy="1950085"/>
                  <wp:effectExtent l="0" t="0" r="190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 kruhový 19-0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422" cy="195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6F0C7" w14:textId="77777777" w:rsidR="005655FB" w:rsidRDefault="005655FB" w:rsidP="00563E22">
            <w:pPr>
              <w:spacing w:after="0"/>
              <w:ind w:right="241"/>
              <w:jc w:val="center"/>
              <w:rPr>
                <w:rFonts w:cs="Calibri"/>
                <w:b/>
                <w:iCs/>
                <w:caps/>
                <w:szCs w:val="20"/>
              </w:rPr>
            </w:pPr>
          </w:p>
          <w:p w14:paraId="4C2FAC54" w14:textId="77777777" w:rsidR="00F20DE4" w:rsidRDefault="00F20DE4" w:rsidP="00563E22">
            <w:pPr>
              <w:spacing w:after="0"/>
              <w:ind w:right="241"/>
              <w:jc w:val="center"/>
              <w:rPr>
                <w:rFonts w:cs="Calibri"/>
                <w:b/>
                <w:iCs/>
                <w:caps/>
                <w:szCs w:val="20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6890"/>
            </w:tblGrid>
            <w:tr w:rsidR="002B2905" w14:paraId="10CF9754" w14:textId="77777777" w:rsidTr="009171ED">
              <w:tc>
                <w:tcPr>
                  <w:tcW w:w="8624" w:type="dxa"/>
                  <w:gridSpan w:val="2"/>
                  <w:vAlign w:val="center"/>
                </w:tcPr>
                <w:p w14:paraId="5BF2E888" w14:textId="77777777" w:rsidR="002B2905" w:rsidRPr="002B2905" w:rsidRDefault="002B2905" w:rsidP="009171ED">
                  <w:pPr>
                    <w:ind w:right="238"/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</w:pPr>
                  <w:r w:rsidRPr="002B2905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Spolehlivost </w:t>
                  </w:r>
                  <w:r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Výkazu pro hodnocení plnění rozpočtu </w:t>
                  </w:r>
                  <w:r w:rsidR="006732DB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MD </w:t>
                  </w:r>
                  <w:r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>za</w:t>
                  </w:r>
                  <w:r w:rsidR="006732DB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 rok</w:t>
                  </w:r>
                  <w:r w:rsidRPr="002B2905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 2018</w:t>
                  </w:r>
                </w:p>
              </w:tc>
            </w:tr>
            <w:tr w:rsidR="002B2905" w14:paraId="5D94FA2C" w14:textId="77777777" w:rsidTr="009171ED">
              <w:tc>
                <w:tcPr>
                  <w:tcW w:w="1734" w:type="dxa"/>
                  <w:vAlign w:val="center"/>
                </w:tcPr>
                <w:p w14:paraId="06ED36E7" w14:textId="77777777" w:rsidR="002B2905" w:rsidRPr="00523A77" w:rsidRDefault="006732DB" w:rsidP="009171ED">
                  <w:pPr>
                    <w:ind w:right="238"/>
                    <w:rPr>
                      <w:rFonts w:cs="Calibri"/>
                      <w:iCs/>
                      <w:szCs w:val="20"/>
                    </w:rPr>
                  </w:pPr>
                  <w:r w:rsidRPr="00F20DE4">
                    <w:rPr>
                      <w:b/>
                      <w:sz w:val="28"/>
                      <w:szCs w:val="28"/>
                    </w:rPr>
                    <w:t>3</w:t>
                  </w:r>
                  <w:r w:rsidR="002B2905" w:rsidRPr="00F20DE4">
                    <w:rPr>
                      <w:b/>
                      <w:sz w:val="28"/>
                      <w:szCs w:val="28"/>
                    </w:rPr>
                    <w:t>,</w:t>
                  </w:r>
                  <w:r w:rsidRPr="00F20DE4">
                    <w:rPr>
                      <w:b/>
                      <w:sz w:val="28"/>
                      <w:szCs w:val="28"/>
                    </w:rPr>
                    <w:t>8</w:t>
                  </w:r>
                  <w:r w:rsidR="002B2905" w:rsidRPr="00F20DE4">
                    <w:rPr>
                      <w:b/>
                      <w:sz w:val="28"/>
                      <w:szCs w:val="28"/>
                    </w:rPr>
                    <w:t xml:space="preserve"> mld. Kč</w:t>
                  </w:r>
                </w:p>
              </w:tc>
              <w:tc>
                <w:tcPr>
                  <w:tcW w:w="6890" w:type="dxa"/>
                  <w:vAlign w:val="center"/>
                </w:tcPr>
                <w:p w14:paraId="555FF709" w14:textId="77777777" w:rsidR="002B2905" w:rsidRDefault="006732DB" w:rsidP="00584A5B">
                  <w:pPr>
                    <w:ind w:right="238"/>
                    <w:jc w:val="both"/>
                    <w:rPr>
                      <w:rFonts w:cs="Calibri"/>
                      <w:iCs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Významné</w:t>
                  </w:r>
                  <w:r w:rsidR="009233E8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 xml:space="preserve"> n</w:t>
                  </w:r>
                  <w:r w:rsidRPr="002D42BE">
                    <w:rPr>
                      <w:sz w:val="22"/>
                      <w:szCs w:val="22"/>
                    </w:rPr>
                    <w:t>esprávnost</w:t>
                  </w:r>
                  <w:r>
                    <w:rPr>
                      <w:sz w:val="22"/>
                      <w:szCs w:val="22"/>
                    </w:rPr>
                    <w:t>i</w:t>
                  </w:r>
                  <w:r w:rsidRPr="002D42BE">
                    <w:rPr>
                      <w:sz w:val="22"/>
                      <w:szCs w:val="22"/>
                    </w:rPr>
                    <w:t xml:space="preserve"> v</w:t>
                  </w:r>
                  <w:r>
                    <w:rPr>
                      <w:sz w:val="22"/>
                      <w:szCs w:val="22"/>
                    </w:rPr>
                    <w:t xml:space="preserve">e vykázání </w:t>
                  </w:r>
                  <w:r w:rsidRPr="002D42BE">
                    <w:rPr>
                      <w:sz w:val="22"/>
                      <w:szCs w:val="22"/>
                    </w:rPr>
                    <w:t xml:space="preserve">výdajů </w:t>
                  </w:r>
                  <w:r>
                    <w:rPr>
                      <w:sz w:val="22"/>
                      <w:szCs w:val="22"/>
                    </w:rPr>
                    <w:t>dle odvětvového členění</w:t>
                  </w:r>
                  <w:r w:rsidR="00F20DE4">
                    <w:rPr>
                      <w:sz w:val="22"/>
                      <w:szCs w:val="22"/>
                    </w:rPr>
                    <w:t>, v jejichž rozsahu nelze údaje výkazu pro hodnocení plnění rozpočtu považovat za spolehlivé</w:t>
                  </w:r>
                  <w:r w:rsidR="009C6C1F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74E4506" w14:textId="77777777" w:rsidR="002B2905" w:rsidRDefault="002B2905" w:rsidP="009171ED">
            <w:pPr>
              <w:ind w:right="238"/>
              <w:rPr>
                <w:rFonts w:cs="Calibri"/>
                <w:b/>
                <w:iCs/>
                <w:caps/>
                <w:szCs w:val="20"/>
              </w:rPr>
            </w:pPr>
          </w:p>
          <w:p w14:paraId="50BAC541" w14:textId="77777777" w:rsidR="00F20DE4" w:rsidRDefault="00F20DE4" w:rsidP="009171ED">
            <w:pPr>
              <w:ind w:right="238"/>
              <w:rPr>
                <w:rFonts w:cs="Calibri"/>
                <w:b/>
                <w:iCs/>
                <w:caps/>
                <w:szCs w:val="20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6890"/>
            </w:tblGrid>
            <w:tr w:rsidR="002B2905" w14:paraId="0F5F69F8" w14:textId="77777777" w:rsidTr="009171ED">
              <w:tc>
                <w:tcPr>
                  <w:tcW w:w="8624" w:type="dxa"/>
                  <w:gridSpan w:val="2"/>
                  <w:vAlign w:val="center"/>
                </w:tcPr>
                <w:p w14:paraId="282E32CB" w14:textId="1A03262C" w:rsidR="002B2905" w:rsidRPr="002B2905" w:rsidRDefault="002B2905" w:rsidP="0048643B">
                  <w:pPr>
                    <w:ind w:right="-164"/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</w:pPr>
                  <w:r w:rsidRPr="002B2905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Spolehlivost </w:t>
                  </w:r>
                  <w:r w:rsidR="006732DB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závěrečného účtu kapitoly státního rozpočtu </w:t>
                  </w:r>
                  <w:r w:rsidR="0048643B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327 – </w:t>
                  </w:r>
                  <w:r w:rsidR="0048643B" w:rsidRPr="00402FC1">
                    <w:rPr>
                      <w:rFonts w:cs="Calibri"/>
                      <w:b/>
                      <w:i/>
                      <w:iCs/>
                      <w:caps/>
                      <w:sz w:val="22"/>
                      <w:szCs w:val="22"/>
                    </w:rPr>
                    <w:t>Ministerstvo</w:t>
                  </w:r>
                  <w:r w:rsidR="0048643B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 </w:t>
                  </w:r>
                  <w:r w:rsidR="0048643B" w:rsidRPr="00402FC1">
                    <w:rPr>
                      <w:rFonts w:cs="Calibri"/>
                      <w:b/>
                      <w:i/>
                      <w:iCs/>
                      <w:caps/>
                      <w:sz w:val="22"/>
                      <w:szCs w:val="22"/>
                    </w:rPr>
                    <w:t>dopravy</w:t>
                  </w:r>
                  <w:r w:rsidR="006732DB">
                    <w:rPr>
                      <w:rFonts w:cs="Calibri"/>
                      <w:b/>
                      <w:iCs/>
                      <w:caps/>
                      <w:sz w:val="22"/>
                      <w:szCs w:val="22"/>
                    </w:rPr>
                    <w:t xml:space="preserve"> za rok 2018</w:t>
                  </w:r>
                </w:p>
              </w:tc>
            </w:tr>
            <w:tr w:rsidR="002B2905" w14:paraId="3B7E1A53" w14:textId="77777777" w:rsidTr="009171ED">
              <w:tc>
                <w:tcPr>
                  <w:tcW w:w="1734" w:type="dxa"/>
                  <w:vAlign w:val="center"/>
                </w:tcPr>
                <w:p w14:paraId="5A7108DD" w14:textId="77777777" w:rsidR="002B2905" w:rsidRDefault="006732DB" w:rsidP="009171ED">
                  <w:pPr>
                    <w:ind w:right="238"/>
                    <w:jc w:val="center"/>
                    <w:rPr>
                      <w:rFonts w:cs="Calibri"/>
                      <w:iCs/>
                      <w:szCs w:val="20"/>
                    </w:rPr>
                  </w:pPr>
                  <w:r w:rsidRPr="00F20DE4">
                    <w:rPr>
                      <w:rFonts w:ascii="Segoe UI Symbol" w:hAnsi="Segoe UI Symbol" w:cs="Segoe UI Symbol"/>
                      <w:b/>
                      <w:sz w:val="44"/>
                      <w:szCs w:val="44"/>
                    </w:rPr>
                    <w:t>✓</w:t>
                  </w:r>
                </w:p>
              </w:tc>
              <w:tc>
                <w:tcPr>
                  <w:tcW w:w="6890" w:type="dxa"/>
                  <w:vAlign w:val="center"/>
                </w:tcPr>
                <w:p w14:paraId="3D6DE1D9" w14:textId="1E369C3C" w:rsidR="002B2905" w:rsidRDefault="005F2FBC" w:rsidP="0048643B">
                  <w:pPr>
                    <w:ind w:right="238"/>
                    <w:jc w:val="both"/>
                    <w:rPr>
                      <w:rFonts w:cs="Calibri"/>
                      <w:iCs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V</w:t>
                  </w:r>
                  <w:r w:rsidR="0048643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závěrečném účtu </w:t>
                  </w:r>
                  <w:r w:rsidR="006732DB">
                    <w:rPr>
                      <w:sz w:val="22"/>
                      <w:szCs w:val="22"/>
                    </w:rPr>
                    <w:t>n</w:t>
                  </w:r>
                  <w:r w:rsidR="006732DB" w:rsidRPr="002D42BE">
                    <w:rPr>
                      <w:sz w:val="22"/>
                      <w:szCs w:val="22"/>
                    </w:rPr>
                    <w:t xml:space="preserve">ebyly zjištěny </w:t>
                  </w:r>
                  <w:r w:rsidR="00DB46DD">
                    <w:rPr>
                      <w:sz w:val="22"/>
                      <w:szCs w:val="22"/>
                    </w:rPr>
                    <w:t>významné nesprávnosti, které by</w:t>
                  </w:r>
                  <w:r w:rsidR="0048643B">
                    <w:rPr>
                      <w:sz w:val="22"/>
                      <w:szCs w:val="22"/>
                    </w:rPr>
                    <w:t xml:space="preserve"> </w:t>
                  </w:r>
                  <w:r w:rsidR="006732DB" w:rsidRPr="002D42BE">
                    <w:rPr>
                      <w:sz w:val="22"/>
                      <w:szCs w:val="22"/>
                    </w:rPr>
                    <w:t xml:space="preserve">měly vliv na </w:t>
                  </w:r>
                  <w:r>
                    <w:rPr>
                      <w:sz w:val="22"/>
                      <w:szCs w:val="22"/>
                    </w:rPr>
                    <w:t xml:space="preserve">jeho </w:t>
                  </w:r>
                  <w:r w:rsidR="006732DB" w:rsidRPr="002D42BE">
                    <w:rPr>
                      <w:sz w:val="22"/>
                      <w:szCs w:val="22"/>
                    </w:rPr>
                    <w:t>celkovou vypoví</w:t>
                  </w:r>
                  <w:r w:rsidR="006732DB">
                    <w:rPr>
                      <w:sz w:val="22"/>
                      <w:szCs w:val="22"/>
                    </w:rPr>
                    <w:t>dací schopnost</w:t>
                  </w:r>
                  <w:r w:rsidR="009C6C1F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Jedinou výjimku představuje nesprávné vykázání</w:t>
                  </w:r>
                  <w:r w:rsidRPr="002D42BE">
                    <w:rPr>
                      <w:sz w:val="22"/>
                      <w:szCs w:val="22"/>
                    </w:rPr>
                    <w:t xml:space="preserve"> výdajů </w:t>
                  </w:r>
                  <w:r w:rsidR="00DB46DD">
                    <w:rPr>
                      <w:sz w:val="22"/>
                      <w:szCs w:val="22"/>
                    </w:rPr>
                    <w:t>dle odvětvového členění ve</w:t>
                  </w:r>
                  <w:r w:rsidR="0048643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výkazu pro hodnocení plnění </w:t>
                  </w:r>
                  <w:r w:rsidRPr="002D42BE">
                    <w:rPr>
                      <w:sz w:val="22"/>
                      <w:szCs w:val="22"/>
                    </w:rPr>
                    <w:t>rozpočtu</w:t>
                  </w:r>
                  <w:r>
                    <w:rPr>
                      <w:sz w:val="22"/>
                      <w:szCs w:val="22"/>
                    </w:rPr>
                    <w:t>, které j</w:t>
                  </w:r>
                  <w:r w:rsidR="00457829">
                    <w:rPr>
                      <w:sz w:val="22"/>
                      <w:szCs w:val="22"/>
                    </w:rPr>
                    <w:t>sou</w:t>
                  </w:r>
                  <w:r>
                    <w:rPr>
                      <w:sz w:val="22"/>
                      <w:szCs w:val="22"/>
                    </w:rPr>
                    <w:t xml:space="preserve"> v závěrečném účtu uveden</w:t>
                  </w:r>
                  <w:r w:rsidR="00457829">
                    <w:rPr>
                      <w:sz w:val="22"/>
                      <w:szCs w:val="22"/>
                    </w:rPr>
                    <w:t>y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6FC4A97B" w14:textId="77777777" w:rsidR="002B2905" w:rsidRDefault="002B2905" w:rsidP="009171ED">
            <w:pPr>
              <w:ind w:right="238"/>
              <w:rPr>
                <w:rFonts w:cs="Calibri"/>
                <w:b/>
                <w:iCs/>
                <w:caps/>
                <w:szCs w:val="20"/>
              </w:rPr>
            </w:pPr>
          </w:p>
          <w:p w14:paraId="66A6D0E3" w14:textId="77777777" w:rsidR="00BA1A35" w:rsidRDefault="00BA1A35" w:rsidP="00563E22">
            <w:pPr>
              <w:spacing w:after="0"/>
              <w:ind w:right="241"/>
            </w:pPr>
          </w:p>
        </w:tc>
        <w:tc>
          <w:tcPr>
            <w:tcW w:w="1105" w:type="dxa"/>
          </w:tcPr>
          <w:p w14:paraId="28A88263" w14:textId="77777777" w:rsidR="00585F30" w:rsidRPr="00D24148" w:rsidRDefault="00585F30" w:rsidP="008C5754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5F6B98D0" w14:textId="77777777" w:rsidR="006732DB" w:rsidRDefault="006732DB">
      <w:pPr>
        <w:spacing w:after="160" w:line="259" w:lineRule="auto"/>
      </w:pPr>
      <w:r>
        <w:br w:type="page"/>
      </w:r>
    </w:p>
    <w:p w14:paraId="3DD24977" w14:textId="77777777" w:rsidR="0033466E" w:rsidRPr="00C854EE" w:rsidRDefault="00A640AE" w:rsidP="00CB541E">
      <w:pPr>
        <w:pStyle w:val="Nadpis1"/>
        <w:keepNext/>
        <w:spacing w:after="0" w:line="240" w:lineRule="auto"/>
      </w:pPr>
      <w:r>
        <w:lastRenderedPageBreak/>
        <w:t>I</w:t>
      </w:r>
      <w:r w:rsidRPr="0033466E">
        <w:t>. Shrnutí a vyhodnocení</w:t>
      </w:r>
    </w:p>
    <w:p w14:paraId="47593545" w14:textId="77777777" w:rsidR="00750FBA" w:rsidRPr="0044274D" w:rsidRDefault="00750FBA" w:rsidP="00CB541E">
      <w:pPr>
        <w:keepNext/>
        <w:spacing w:after="0"/>
        <w:jc w:val="both"/>
        <w:rPr>
          <w:rFonts w:eastAsiaTheme="minorHAnsi" w:cs="Calibri"/>
          <w:b/>
          <w:sz w:val="28"/>
          <w:szCs w:val="28"/>
        </w:rPr>
      </w:pPr>
    </w:p>
    <w:p w14:paraId="445D6624" w14:textId="77777777" w:rsidR="002B1289" w:rsidRPr="00D966F6" w:rsidRDefault="00A640AE" w:rsidP="002B1289">
      <w:pPr>
        <w:spacing w:after="0"/>
        <w:jc w:val="both"/>
        <w:rPr>
          <w:rFonts w:eastAsiaTheme="minorHAnsi" w:cs="Calibri"/>
        </w:rPr>
      </w:pPr>
      <w:r w:rsidRPr="00D966F6">
        <w:rPr>
          <w:rFonts w:eastAsiaTheme="minorHAnsi" w:cs="Calibri"/>
        </w:rPr>
        <w:t xml:space="preserve">NKÚ prověřil </w:t>
      </w:r>
      <w:r w:rsidR="00AB5C4B">
        <w:rPr>
          <w:rFonts w:eastAsiaTheme="minorHAnsi" w:cs="Calibri"/>
        </w:rPr>
        <w:t>správnost vedení účetnictví</w:t>
      </w:r>
      <w:r w:rsidR="000D3F2D">
        <w:rPr>
          <w:rFonts w:eastAsiaTheme="minorHAnsi" w:cs="Calibri"/>
        </w:rPr>
        <w:t xml:space="preserve">, </w:t>
      </w:r>
      <w:r w:rsidR="001E0261">
        <w:rPr>
          <w:rFonts w:eastAsiaTheme="minorHAnsi" w:cs="Calibri"/>
        </w:rPr>
        <w:t>spolehlivost</w:t>
      </w:r>
      <w:r w:rsidRPr="00D966F6">
        <w:rPr>
          <w:rFonts w:eastAsiaTheme="minorHAnsi" w:cs="Calibri"/>
        </w:rPr>
        <w:t xml:space="preserve"> účetního</w:t>
      </w:r>
      <w:r w:rsidR="000D3F2D">
        <w:rPr>
          <w:rFonts w:eastAsiaTheme="minorHAnsi" w:cs="Calibri"/>
        </w:rPr>
        <w:t xml:space="preserve"> a rozpočtového </w:t>
      </w:r>
      <w:r w:rsidR="00AB5C4B">
        <w:rPr>
          <w:rFonts w:eastAsiaTheme="minorHAnsi" w:cs="Calibri"/>
        </w:rPr>
        <w:t>výkaznictví</w:t>
      </w:r>
      <w:r w:rsidR="000D3F2D">
        <w:rPr>
          <w:rFonts w:eastAsiaTheme="minorHAnsi" w:cs="Calibri"/>
        </w:rPr>
        <w:t xml:space="preserve"> </w:t>
      </w:r>
      <w:r w:rsidR="00D11772">
        <w:rPr>
          <w:rFonts w:eastAsiaTheme="minorHAnsi" w:cs="Calibri"/>
        </w:rPr>
        <w:br/>
      </w:r>
      <w:r w:rsidR="000D3F2D">
        <w:rPr>
          <w:rFonts w:eastAsiaTheme="minorHAnsi" w:cs="Calibri"/>
        </w:rPr>
        <w:t>a správnost sestavení závěrečného účtu.</w:t>
      </w:r>
      <w:r w:rsidR="002B1289">
        <w:rPr>
          <w:rFonts w:eastAsiaTheme="minorHAnsi" w:cs="Calibri"/>
        </w:rPr>
        <w:t xml:space="preserve"> </w:t>
      </w:r>
      <w:r w:rsidR="00225B92">
        <w:rPr>
          <w:rFonts w:eastAsiaTheme="minorHAnsi" w:cs="Calibri"/>
        </w:rPr>
        <w:t>Bylo prověřeno nastavení vnitřního kontrolního systému a u</w:t>
      </w:r>
      <w:r w:rsidR="00EA4763">
        <w:rPr>
          <w:rFonts w:eastAsiaTheme="minorHAnsi" w:cs="Calibri"/>
        </w:rPr>
        <w:t xml:space="preserve"> prověřovaných transakcí byl</w:t>
      </w:r>
      <w:r w:rsidR="009171ED">
        <w:rPr>
          <w:rFonts w:eastAsiaTheme="minorHAnsi" w:cs="Calibri"/>
        </w:rPr>
        <w:t>a</w:t>
      </w:r>
      <w:r w:rsidR="00EA4763">
        <w:rPr>
          <w:rFonts w:eastAsiaTheme="minorHAnsi" w:cs="Calibri"/>
        </w:rPr>
        <w:t xml:space="preserve"> ověřen</w:t>
      </w:r>
      <w:r w:rsidR="009171ED">
        <w:rPr>
          <w:rFonts w:eastAsiaTheme="minorHAnsi" w:cs="Calibri"/>
        </w:rPr>
        <w:t>a</w:t>
      </w:r>
      <w:r w:rsidR="00EA4763">
        <w:rPr>
          <w:rFonts w:eastAsiaTheme="minorHAnsi" w:cs="Calibri"/>
        </w:rPr>
        <w:t xml:space="preserve"> </w:t>
      </w:r>
      <w:r w:rsidR="00225B92">
        <w:rPr>
          <w:rFonts w:eastAsiaTheme="minorHAnsi" w:cs="Calibri"/>
        </w:rPr>
        <w:t xml:space="preserve">jeho </w:t>
      </w:r>
      <w:r w:rsidR="009171ED">
        <w:rPr>
          <w:rFonts w:eastAsiaTheme="minorHAnsi" w:cs="Calibri"/>
        </w:rPr>
        <w:t>funkčnost</w:t>
      </w:r>
      <w:r w:rsidR="00EA4763">
        <w:rPr>
          <w:rFonts w:eastAsiaTheme="minorHAnsi" w:cs="Calibri"/>
        </w:rPr>
        <w:t xml:space="preserve">. </w:t>
      </w:r>
      <w:r w:rsidR="002B1289" w:rsidRPr="002B1289">
        <w:rPr>
          <w:rFonts w:eastAsiaTheme="minorHAnsi" w:cs="Calibri"/>
        </w:rPr>
        <w:t>Při kontrole bylo provedeno i vyhodnocení opatření přijatých k nápravě nedostatků zjištěných kontrolní akcí NKÚ č. 1</w:t>
      </w:r>
      <w:r w:rsidR="002B1289">
        <w:rPr>
          <w:rFonts w:eastAsiaTheme="minorHAnsi" w:cs="Calibri"/>
        </w:rPr>
        <w:t>3</w:t>
      </w:r>
      <w:r w:rsidR="002B1289" w:rsidRPr="002B1289">
        <w:rPr>
          <w:rFonts w:eastAsiaTheme="minorHAnsi" w:cs="Calibri"/>
        </w:rPr>
        <w:t>/</w:t>
      </w:r>
      <w:r w:rsidR="002B1289">
        <w:rPr>
          <w:rFonts w:eastAsiaTheme="minorHAnsi" w:cs="Calibri"/>
        </w:rPr>
        <w:t>3</w:t>
      </w:r>
      <w:r w:rsidR="002B1289" w:rsidRPr="002B1289">
        <w:rPr>
          <w:rFonts w:eastAsiaTheme="minorHAnsi" w:cs="Calibri"/>
        </w:rPr>
        <w:t>9</w:t>
      </w:r>
      <w:r w:rsidR="002B1289">
        <w:rPr>
          <w:rStyle w:val="Znakapoznpodarou"/>
          <w:rFonts w:eastAsiaTheme="minorHAnsi" w:cs="Calibri"/>
        </w:rPr>
        <w:footnoteReference w:id="3"/>
      </w:r>
      <w:r w:rsidR="002B1289">
        <w:rPr>
          <w:rFonts w:eastAsiaTheme="minorHAnsi" w:cs="Calibri"/>
        </w:rPr>
        <w:t>.</w:t>
      </w:r>
    </w:p>
    <w:p w14:paraId="4E245742" w14:textId="77777777" w:rsidR="00B30899" w:rsidRP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63345332" w14:textId="77777777" w:rsidR="0033466E" w:rsidRPr="00B30899" w:rsidRDefault="00F71588" w:rsidP="00402FC1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640AE" w:rsidRPr="00B30899">
        <w:rPr>
          <w:rFonts w:ascii="Calibri" w:hAnsi="Calibri" w:cs="Calibri"/>
        </w:rPr>
        <w:t xml:space="preserve">. </w:t>
      </w:r>
      <w:r w:rsidR="00D966F6">
        <w:rPr>
          <w:rFonts w:ascii="Calibri" w:hAnsi="Calibri" w:cs="Calibri"/>
        </w:rPr>
        <w:t>Vedení účetnictví a s</w:t>
      </w:r>
      <w:r w:rsidR="00A640AE" w:rsidRPr="00B30899">
        <w:rPr>
          <w:rFonts w:ascii="Calibri" w:hAnsi="Calibri" w:cs="Calibri"/>
        </w:rPr>
        <w:t xml:space="preserve">polehlivost údajů </w:t>
      </w:r>
      <w:r w:rsidR="00EA4763">
        <w:rPr>
          <w:rFonts w:ascii="Calibri" w:hAnsi="Calibri" w:cs="Calibri"/>
        </w:rPr>
        <w:t xml:space="preserve">účetní závěrky </w:t>
      </w:r>
      <w:r w:rsidR="00B96158">
        <w:rPr>
          <w:rFonts w:ascii="Calibri" w:hAnsi="Calibri" w:cs="Calibri"/>
        </w:rPr>
        <w:t xml:space="preserve">Ministerstva dopravy </w:t>
      </w:r>
      <w:r w:rsidR="00EA4763">
        <w:rPr>
          <w:rFonts w:ascii="Calibri" w:hAnsi="Calibri" w:cs="Calibri"/>
        </w:rPr>
        <w:t>sestavené k 31. prosinci 2018</w:t>
      </w:r>
    </w:p>
    <w:p w14:paraId="6968854B" w14:textId="77777777" w:rsidR="005C6382" w:rsidRDefault="005C6382" w:rsidP="005C6382">
      <w:pPr>
        <w:spacing w:after="0"/>
        <w:jc w:val="both"/>
        <w:rPr>
          <w:rFonts w:cs="Calibr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1A5B7E" w14:paraId="347DC07A" w14:textId="77777777" w:rsidTr="00FE5E0D">
        <w:tc>
          <w:tcPr>
            <w:tcW w:w="9062" w:type="dxa"/>
            <w:shd w:val="clear" w:color="auto" w:fill="E5F1FF"/>
          </w:tcPr>
          <w:p w14:paraId="69CE902B" w14:textId="77777777" w:rsidR="001A5B7E" w:rsidRPr="001A5B7E" w:rsidRDefault="001A5B7E" w:rsidP="00FE5E0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MD nevedlo v roce 2018 správné a úplné účetnictví ve smyslu ustanovení § 8 zákona č. 563/1991 Sb., o účetnictví.</w:t>
            </w:r>
          </w:p>
        </w:tc>
      </w:tr>
    </w:tbl>
    <w:p w14:paraId="574DCFA7" w14:textId="77777777" w:rsidR="00B30899" w:rsidRDefault="00B30899" w:rsidP="00B30899">
      <w:pPr>
        <w:spacing w:after="0"/>
        <w:jc w:val="both"/>
        <w:rPr>
          <w:rFonts w:eastAsiaTheme="minorHAnsi" w:cs="Calibri"/>
        </w:rPr>
      </w:pPr>
    </w:p>
    <w:p w14:paraId="5F241082" w14:textId="03ABA7B3" w:rsidR="009416E0" w:rsidRDefault="00EA4763" w:rsidP="00B30899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K</w:t>
      </w:r>
      <w:r w:rsidR="0033466E" w:rsidRPr="00B30899">
        <w:rPr>
          <w:rFonts w:eastAsia="Calibri" w:cs="Calibri"/>
        </w:rPr>
        <w:t xml:space="preserve">ontrolou </w:t>
      </w:r>
      <w:r>
        <w:rPr>
          <w:rFonts w:eastAsia="Calibri" w:cs="Calibri"/>
        </w:rPr>
        <w:t xml:space="preserve">bylo </w:t>
      </w:r>
      <w:r w:rsidR="0033466E" w:rsidRPr="00B30899">
        <w:rPr>
          <w:rFonts w:eastAsia="Calibri" w:cs="Calibri"/>
        </w:rPr>
        <w:t xml:space="preserve">zjištěno, že </w:t>
      </w:r>
      <w:r w:rsidR="00855445">
        <w:rPr>
          <w:rFonts w:eastAsia="Calibri" w:cs="Calibri"/>
        </w:rPr>
        <w:t xml:space="preserve">MD </w:t>
      </w:r>
      <w:r w:rsidR="0033466E" w:rsidRPr="00B30899">
        <w:rPr>
          <w:rFonts w:eastAsia="Calibri" w:cs="Calibri"/>
        </w:rPr>
        <w:t xml:space="preserve">některé informace </w:t>
      </w:r>
      <w:r w:rsidR="00855445">
        <w:rPr>
          <w:rFonts w:eastAsia="Calibri" w:cs="Calibri"/>
        </w:rPr>
        <w:t>v účetní závěrce sestavené k 31.</w:t>
      </w:r>
      <w:r w:rsidR="0028444B">
        <w:rPr>
          <w:rFonts w:eastAsia="Calibri" w:cs="Calibri"/>
        </w:rPr>
        <w:t> 12. </w:t>
      </w:r>
      <w:r w:rsidR="00855445">
        <w:rPr>
          <w:rFonts w:eastAsia="Calibri" w:cs="Calibri"/>
        </w:rPr>
        <w:t xml:space="preserve">2018 (dále také „ÚZ“) </w:t>
      </w:r>
      <w:r w:rsidR="00A640AE" w:rsidRPr="00B30899">
        <w:rPr>
          <w:rFonts w:eastAsia="Calibri" w:cs="Calibri"/>
        </w:rPr>
        <w:t>nevykázalo</w:t>
      </w:r>
      <w:r w:rsidR="0033466E" w:rsidRPr="00B30899">
        <w:rPr>
          <w:rFonts w:eastAsia="Calibri" w:cs="Calibri"/>
        </w:rPr>
        <w:t xml:space="preserve"> v souladu s právními předpisy upravujícími vedení účetnictví</w:t>
      </w:r>
      <w:r w:rsidR="00D10BE1">
        <w:rPr>
          <w:rFonts w:eastAsia="Calibri" w:cs="Calibri"/>
        </w:rPr>
        <w:t xml:space="preserve"> pro</w:t>
      </w:r>
      <w:r w:rsidR="00D7372A">
        <w:rPr>
          <w:rFonts w:eastAsia="Calibri" w:cs="Calibri"/>
        </w:rPr>
        <w:t xml:space="preserve"> </w:t>
      </w:r>
      <w:r w:rsidR="002624F9">
        <w:rPr>
          <w:rFonts w:eastAsia="Calibri" w:cs="Calibri"/>
        </w:rPr>
        <w:t>organizační složky státu</w:t>
      </w:r>
      <w:r w:rsidR="001C7DCC">
        <w:rPr>
          <w:rFonts w:eastAsia="Calibri" w:cs="Calibri"/>
        </w:rPr>
        <w:t>. V údajích za běžn</w:t>
      </w:r>
      <w:r w:rsidR="00A42FE7">
        <w:rPr>
          <w:rFonts w:eastAsia="Calibri" w:cs="Calibri"/>
        </w:rPr>
        <w:t xml:space="preserve">é účetní období byly zjištěny </w:t>
      </w:r>
      <w:r w:rsidR="00764B6F" w:rsidRPr="00764B6F">
        <w:rPr>
          <w:rFonts w:eastAsia="Calibri" w:cs="Calibri"/>
          <w:b/>
        </w:rPr>
        <w:t>významné</w:t>
      </w:r>
      <w:r w:rsidR="0019669E">
        <w:rPr>
          <w:rFonts w:eastAsia="Calibri" w:cs="Calibri"/>
          <w:b/>
          <w:vertAlign w:val="superscript"/>
        </w:rPr>
        <w:t>1</w:t>
      </w:r>
      <w:r w:rsidR="00764B6F">
        <w:rPr>
          <w:rFonts w:eastAsia="Calibri" w:cs="Calibri"/>
        </w:rPr>
        <w:t xml:space="preserve"> </w:t>
      </w:r>
      <w:r w:rsidR="001C7DCC" w:rsidRPr="00C953C7">
        <w:rPr>
          <w:rFonts w:eastAsia="Calibri" w:cs="Calibri"/>
          <w:b/>
        </w:rPr>
        <w:t>nesprávnosti</w:t>
      </w:r>
      <w:r w:rsidR="001C7DCC">
        <w:rPr>
          <w:rFonts w:eastAsia="Calibri" w:cs="Calibri"/>
        </w:rPr>
        <w:t xml:space="preserve"> v celkové výši </w:t>
      </w:r>
      <w:r w:rsidR="00855445">
        <w:rPr>
          <w:rFonts w:eastAsia="Calibri" w:cs="Calibri"/>
          <w:b/>
        </w:rPr>
        <w:t>5,94</w:t>
      </w:r>
      <w:r w:rsidR="001C7DCC" w:rsidRPr="001C7DCC">
        <w:rPr>
          <w:rFonts w:eastAsia="Calibri" w:cs="Calibri"/>
          <w:b/>
        </w:rPr>
        <w:t> ml</w:t>
      </w:r>
      <w:r w:rsidR="00855445">
        <w:rPr>
          <w:rFonts w:eastAsia="Calibri" w:cs="Calibri"/>
          <w:b/>
        </w:rPr>
        <w:t>d</w:t>
      </w:r>
      <w:r w:rsidR="001C7DCC" w:rsidRPr="001C7DCC">
        <w:rPr>
          <w:rFonts w:eastAsia="Calibri" w:cs="Calibri"/>
          <w:b/>
        </w:rPr>
        <w:t>. Kč</w:t>
      </w:r>
      <w:r w:rsidR="00B96158" w:rsidRPr="00545A24">
        <w:rPr>
          <w:rFonts w:eastAsia="Calibri" w:cs="Calibri"/>
          <w:b/>
        </w:rPr>
        <w:t>.</w:t>
      </w:r>
    </w:p>
    <w:p w14:paraId="059A3913" w14:textId="77777777" w:rsidR="001C7DCC" w:rsidRDefault="001C7DCC" w:rsidP="00B30899">
      <w:pPr>
        <w:spacing w:after="0"/>
        <w:jc w:val="both"/>
        <w:rPr>
          <w:rFonts w:eastAsia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50080C" w14:paraId="6BDED144" w14:textId="77777777" w:rsidTr="00C32A01">
        <w:tc>
          <w:tcPr>
            <w:tcW w:w="9062" w:type="dxa"/>
            <w:shd w:val="clear" w:color="auto" w:fill="E5F1FF"/>
          </w:tcPr>
          <w:p w14:paraId="088C4C52" w14:textId="6B4D37CB" w:rsidR="00C32A01" w:rsidRPr="00C32A01" w:rsidRDefault="00A640AE" w:rsidP="00C32A01">
            <w:pPr>
              <w:jc w:val="both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Při kontrole byly zjištěny nesprávnosti s významným dopadem na ÚZ:</w:t>
            </w:r>
          </w:p>
          <w:p w14:paraId="0958A508" w14:textId="130219FB" w:rsidR="00D97F52" w:rsidRPr="00D97F52" w:rsidRDefault="00256429" w:rsidP="00A94CCD">
            <w:pPr>
              <w:numPr>
                <w:ilvl w:val="0"/>
                <w:numId w:val="4"/>
              </w:numPr>
              <w:ind w:left="714" w:hanging="357"/>
              <w:jc w:val="both"/>
              <w:rPr>
                <w:rFonts w:eastAsia="Calibri" w:cs="Calibri"/>
              </w:rPr>
            </w:pPr>
            <w:r>
              <w:rPr>
                <w:rFonts w:asciiTheme="minorHAnsi" w:hAnsiTheme="minorHAnsi" w:cstheme="minorHAnsi"/>
              </w:rPr>
              <w:t xml:space="preserve">MD </w:t>
            </w:r>
            <w:r w:rsidR="00D97F52" w:rsidRPr="00D97F52">
              <w:rPr>
                <w:rFonts w:asciiTheme="minorHAnsi" w:hAnsiTheme="minorHAnsi" w:cstheme="minorHAnsi"/>
              </w:rPr>
              <w:t xml:space="preserve">ve výkazu zisku a ztráty </w:t>
            </w:r>
            <w:r w:rsidR="00D97F52" w:rsidRPr="003A3629">
              <w:rPr>
                <w:rFonts w:asciiTheme="minorHAnsi" w:hAnsiTheme="minorHAnsi" w:cstheme="minorHAnsi"/>
              </w:rPr>
              <w:t xml:space="preserve">vykázalo </w:t>
            </w:r>
            <w:r w:rsidR="00D97F52" w:rsidRPr="00D97F52">
              <w:rPr>
                <w:rFonts w:asciiTheme="minorHAnsi" w:hAnsiTheme="minorHAnsi" w:cstheme="minorHAnsi"/>
              </w:rPr>
              <w:t xml:space="preserve">na účtu </w:t>
            </w:r>
            <w:r w:rsidR="00D97F52" w:rsidRPr="00545A24">
              <w:rPr>
                <w:rFonts w:asciiTheme="minorHAnsi" w:hAnsiTheme="minorHAnsi" w:cstheme="minorHAnsi"/>
              </w:rPr>
              <w:t>549 </w:t>
            </w:r>
            <w:r w:rsidR="00D97F52" w:rsidRPr="00D97F52">
              <w:rPr>
                <w:rFonts w:asciiTheme="minorHAnsi" w:hAnsiTheme="minorHAnsi" w:cstheme="minorHAnsi"/>
                <w:i/>
              </w:rPr>
              <w:t>– Ostatní náklady z činnosti</w:t>
            </w:r>
            <w:r w:rsidR="00D97F52" w:rsidRPr="00D97F52">
              <w:rPr>
                <w:rFonts w:asciiTheme="minorHAnsi" w:hAnsiTheme="minorHAnsi" w:cstheme="minorHAnsi"/>
              </w:rPr>
              <w:t xml:space="preserve"> </w:t>
            </w:r>
            <w:r w:rsidR="00D97F52" w:rsidRPr="003A3629">
              <w:rPr>
                <w:rFonts w:asciiTheme="minorHAnsi" w:hAnsiTheme="minorHAnsi" w:cstheme="minorHAnsi"/>
                <w:b/>
                <w:bCs/>
              </w:rPr>
              <w:t>náklady vzniklé z titulu poskytnutých náhrad na kompenzaci slev jízdného</w:t>
            </w:r>
            <w:r w:rsidR="00B043E4" w:rsidRPr="003A3629">
              <w:rPr>
                <w:rFonts w:asciiTheme="minorHAnsi" w:hAnsiTheme="minorHAnsi" w:cstheme="minorHAnsi"/>
                <w:b/>
                <w:bCs/>
              </w:rPr>
              <w:t>, které</w:t>
            </w:r>
            <w:r w:rsidR="00D97F52" w:rsidRPr="003A3629">
              <w:rPr>
                <w:rFonts w:asciiTheme="minorHAnsi" w:hAnsiTheme="minorHAnsi" w:cstheme="minorHAnsi"/>
                <w:b/>
              </w:rPr>
              <w:t xml:space="preserve"> vš</w:t>
            </w:r>
            <w:r w:rsidR="00D97F52" w:rsidRPr="00D97F52">
              <w:rPr>
                <w:rFonts w:asciiTheme="minorHAnsi" w:hAnsiTheme="minorHAnsi" w:cstheme="minorHAnsi"/>
                <w:b/>
              </w:rPr>
              <w:t>ak mají povahu transferu</w:t>
            </w:r>
            <w:r w:rsidR="0048643B">
              <w:rPr>
                <w:rFonts w:asciiTheme="minorHAnsi" w:hAnsiTheme="minorHAnsi" w:cstheme="minorHAnsi"/>
                <w:b/>
              </w:rPr>
              <w:t>,</w:t>
            </w:r>
            <w:r w:rsidR="00D97F52" w:rsidRPr="00D97F52">
              <w:rPr>
                <w:rFonts w:asciiTheme="minorHAnsi" w:hAnsiTheme="minorHAnsi" w:cstheme="minorHAnsi"/>
              </w:rPr>
              <w:t xml:space="preserve"> a </w:t>
            </w:r>
            <w:r w:rsidR="0048643B">
              <w:rPr>
                <w:rFonts w:asciiTheme="minorHAnsi" w:hAnsiTheme="minorHAnsi" w:cstheme="minorHAnsi"/>
              </w:rPr>
              <w:t xml:space="preserve">proto </w:t>
            </w:r>
            <w:r w:rsidR="00D97F52" w:rsidRPr="00D97F52">
              <w:rPr>
                <w:rFonts w:asciiTheme="minorHAnsi" w:hAnsiTheme="minorHAnsi" w:cstheme="minorHAnsi"/>
              </w:rPr>
              <w:t xml:space="preserve">měly být vykázány na účtu </w:t>
            </w:r>
            <w:r w:rsidR="00D97F52" w:rsidRPr="00545A24">
              <w:rPr>
                <w:rFonts w:asciiTheme="minorHAnsi" w:hAnsiTheme="minorHAnsi" w:cstheme="minorHAnsi"/>
              </w:rPr>
              <w:t>571</w:t>
            </w:r>
            <w:r w:rsidR="00D97F52">
              <w:rPr>
                <w:rFonts w:asciiTheme="minorHAnsi" w:hAnsiTheme="minorHAnsi" w:cstheme="minorHAnsi"/>
                <w:i/>
              </w:rPr>
              <w:t> </w:t>
            </w:r>
            <w:r w:rsidR="00D97F52" w:rsidRPr="00D97F52">
              <w:rPr>
                <w:rFonts w:asciiTheme="minorHAnsi" w:hAnsiTheme="minorHAnsi" w:cstheme="minorHAnsi"/>
                <w:i/>
              </w:rPr>
              <w:t>–</w:t>
            </w:r>
            <w:r w:rsidR="00D97F52">
              <w:rPr>
                <w:rFonts w:asciiTheme="minorHAnsi" w:hAnsiTheme="minorHAnsi" w:cstheme="minorHAnsi"/>
                <w:i/>
              </w:rPr>
              <w:t> </w:t>
            </w:r>
            <w:r w:rsidR="00D97F52" w:rsidRPr="00D97F52">
              <w:rPr>
                <w:rFonts w:asciiTheme="minorHAnsi" w:hAnsiTheme="minorHAnsi" w:cstheme="minorHAnsi"/>
                <w:i/>
              </w:rPr>
              <w:t>Náklady vybraných ústředních vládních institucí na transfery</w:t>
            </w:r>
            <w:r w:rsidR="00D97F52" w:rsidRPr="00D97F52">
              <w:rPr>
                <w:rFonts w:asciiTheme="minorHAnsi" w:hAnsiTheme="minorHAnsi" w:cstheme="minorHAnsi"/>
              </w:rPr>
              <w:t xml:space="preserve">. </w:t>
            </w:r>
            <w:r w:rsidR="00B043E4" w:rsidRPr="00C6684D">
              <w:rPr>
                <w:rFonts w:eastAsia="Calibri" w:cs="Calibri"/>
              </w:rPr>
              <w:t xml:space="preserve">V důsledku této nesprávnosti byl </w:t>
            </w:r>
            <w:r w:rsidR="00B043E4" w:rsidRPr="00C6684D">
              <w:rPr>
                <w:rFonts w:eastAsia="Calibri" w:cs="Calibri"/>
                <w:b/>
              </w:rPr>
              <w:t xml:space="preserve">zůstatek účtu </w:t>
            </w:r>
            <w:r w:rsidR="00B043E4">
              <w:rPr>
                <w:rFonts w:eastAsia="Calibri" w:cs="Calibri"/>
                <w:b/>
              </w:rPr>
              <w:t>549 na</w:t>
            </w:r>
            <w:r w:rsidR="00B043E4" w:rsidRPr="00C6684D">
              <w:rPr>
                <w:rFonts w:eastAsia="Calibri" w:cs="Calibri"/>
                <w:b/>
              </w:rPr>
              <w:t xml:space="preserve">dhodnocen o </w:t>
            </w:r>
            <w:r w:rsidR="00B043E4">
              <w:rPr>
                <w:rFonts w:eastAsia="Calibri" w:cs="Calibri"/>
                <w:b/>
              </w:rPr>
              <w:t>2,07</w:t>
            </w:r>
            <w:r w:rsidR="00B043E4" w:rsidRPr="00C6684D">
              <w:rPr>
                <w:rFonts w:eastAsia="Calibri" w:cs="Calibri"/>
                <w:b/>
              </w:rPr>
              <w:t xml:space="preserve"> ml</w:t>
            </w:r>
            <w:r w:rsidR="00B043E4">
              <w:rPr>
                <w:rFonts w:eastAsia="Calibri" w:cs="Calibri"/>
                <w:b/>
              </w:rPr>
              <w:t>d</w:t>
            </w:r>
            <w:r w:rsidR="00B043E4" w:rsidRPr="00C6684D">
              <w:rPr>
                <w:rFonts w:eastAsia="Calibri" w:cs="Calibri"/>
                <w:b/>
              </w:rPr>
              <w:t xml:space="preserve">. Kč a zůstatek účtu </w:t>
            </w:r>
            <w:r w:rsidR="00B043E4">
              <w:rPr>
                <w:rFonts w:eastAsia="Calibri" w:cs="Calibri"/>
                <w:b/>
              </w:rPr>
              <w:t>571</w:t>
            </w:r>
            <w:r w:rsidR="00B043E4" w:rsidRPr="00C6684D">
              <w:rPr>
                <w:rFonts w:eastAsia="Calibri" w:cs="Calibri"/>
                <w:b/>
              </w:rPr>
              <w:t xml:space="preserve"> </w:t>
            </w:r>
            <w:r w:rsidR="00B043E4">
              <w:rPr>
                <w:rFonts w:eastAsia="Calibri" w:cs="Calibri"/>
                <w:b/>
              </w:rPr>
              <w:t xml:space="preserve">o stejnou částku </w:t>
            </w:r>
            <w:r w:rsidR="00B043E4" w:rsidRPr="00C6684D">
              <w:rPr>
                <w:rFonts w:eastAsia="Calibri" w:cs="Calibri"/>
                <w:b/>
              </w:rPr>
              <w:t>podho</w:t>
            </w:r>
            <w:r w:rsidR="00B043E4">
              <w:rPr>
                <w:rFonts w:eastAsia="Calibri" w:cs="Calibri"/>
                <w:b/>
              </w:rPr>
              <w:t>dnocen</w:t>
            </w:r>
            <w:r w:rsidR="00B043E4" w:rsidRPr="00545A24">
              <w:rPr>
                <w:rFonts w:eastAsia="Calibri" w:cs="Calibri"/>
                <w:b/>
              </w:rPr>
              <w:t>.</w:t>
            </w:r>
            <w:r w:rsidR="00B043E4" w:rsidRPr="00D97F52">
              <w:rPr>
                <w:rFonts w:asciiTheme="minorHAnsi" w:hAnsiTheme="minorHAnsi" w:cstheme="minorHAnsi"/>
              </w:rPr>
              <w:t xml:space="preserve"> </w:t>
            </w:r>
            <w:r w:rsidR="00D97F52" w:rsidRPr="00E578AE">
              <w:rPr>
                <w:rFonts w:asciiTheme="minorHAnsi" w:hAnsiTheme="minorHAnsi" w:cstheme="minorHAnsi"/>
                <w:b/>
              </w:rPr>
              <w:t>Související neuhrazené závazky</w:t>
            </w:r>
            <w:r w:rsidR="00D97F52" w:rsidRPr="00D97F52">
              <w:rPr>
                <w:rFonts w:asciiTheme="minorHAnsi" w:hAnsiTheme="minorHAnsi" w:cstheme="minorHAnsi"/>
              </w:rPr>
              <w:t xml:space="preserve"> v</w:t>
            </w:r>
            <w:r w:rsidR="00F603A8">
              <w:rPr>
                <w:rFonts w:asciiTheme="minorHAnsi" w:hAnsiTheme="minorHAnsi" w:cstheme="minorHAnsi"/>
              </w:rPr>
              <w:t>ykázalo MD ve výkazu rozvaha na</w:t>
            </w:r>
            <w:r w:rsidR="00BD39F8">
              <w:rPr>
                <w:rFonts w:asciiTheme="minorHAnsi" w:hAnsiTheme="minorHAnsi" w:cstheme="minorHAnsi"/>
              </w:rPr>
              <w:t xml:space="preserve"> </w:t>
            </w:r>
            <w:r w:rsidR="00D97F52" w:rsidRPr="00D97F52">
              <w:rPr>
                <w:rFonts w:asciiTheme="minorHAnsi" w:hAnsiTheme="minorHAnsi" w:cstheme="minorHAnsi"/>
              </w:rPr>
              <w:t xml:space="preserve">účtu </w:t>
            </w:r>
            <w:r w:rsidR="00D97F52" w:rsidRPr="00545A24">
              <w:rPr>
                <w:rFonts w:asciiTheme="minorHAnsi" w:hAnsiTheme="minorHAnsi" w:cstheme="minorHAnsi"/>
              </w:rPr>
              <w:t>321</w:t>
            </w:r>
            <w:r w:rsidR="00D97F52">
              <w:rPr>
                <w:rFonts w:asciiTheme="minorHAnsi" w:hAnsiTheme="minorHAnsi" w:cstheme="minorHAnsi"/>
                <w:i/>
              </w:rPr>
              <w:t> </w:t>
            </w:r>
            <w:r w:rsidR="00D97F52" w:rsidRPr="00D97F52">
              <w:rPr>
                <w:rFonts w:asciiTheme="minorHAnsi" w:hAnsiTheme="minorHAnsi" w:cstheme="minorHAnsi"/>
                <w:i/>
              </w:rPr>
              <w:t>–</w:t>
            </w:r>
            <w:r w:rsidR="00D97F52">
              <w:rPr>
                <w:rFonts w:asciiTheme="minorHAnsi" w:hAnsiTheme="minorHAnsi" w:cstheme="minorHAnsi"/>
                <w:i/>
              </w:rPr>
              <w:t> </w:t>
            </w:r>
            <w:r w:rsidR="00D97F52" w:rsidRPr="00D97F52">
              <w:rPr>
                <w:rFonts w:asciiTheme="minorHAnsi" w:hAnsiTheme="minorHAnsi" w:cstheme="minorHAnsi"/>
                <w:i/>
              </w:rPr>
              <w:t>Dodavatelé</w:t>
            </w:r>
            <w:r w:rsidR="00D97F52" w:rsidRPr="00D97F52">
              <w:rPr>
                <w:rFonts w:asciiTheme="minorHAnsi" w:hAnsiTheme="minorHAnsi" w:cstheme="minorHAnsi"/>
              </w:rPr>
              <w:t xml:space="preserve">, ačkoliv je jako závazky z poskytnutých transferů mělo vykázat na účtu </w:t>
            </w:r>
            <w:r w:rsidR="00D97F52" w:rsidRPr="00545A24">
              <w:rPr>
                <w:rFonts w:asciiTheme="minorHAnsi" w:hAnsiTheme="minorHAnsi" w:cstheme="minorHAnsi"/>
                <w:iCs/>
              </w:rPr>
              <w:t>345</w:t>
            </w:r>
            <w:r w:rsidR="00D97F52">
              <w:rPr>
                <w:rFonts w:asciiTheme="minorHAnsi" w:hAnsiTheme="minorHAnsi" w:cstheme="minorHAnsi"/>
                <w:i/>
                <w:iCs/>
              </w:rPr>
              <w:t> </w:t>
            </w:r>
            <w:r w:rsidR="00D97F52" w:rsidRPr="00D97F52">
              <w:rPr>
                <w:rFonts w:asciiTheme="minorHAnsi" w:hAnsiTheme="minorHAnsi" w:cstheme="minorHAnsi"/>
                <w:i/>
              </w:rPr>
              <w:t>–</w:t>
            </w:r>
            <w:r w:rsidR="00D97F52">
              <w:rPr>
                <w:rFonts w:asciiTheme="minorHAnsi" w:hAnsiTheme="minorHAnsi" w:cstheme="minorHAnsi"/>
                <w:i/>
              </w:rPr>
              <w:t> </w:t>
            </w:r>
            <w:r w:rsidR="00D97F52" w:rsidRPr="00D97F52">
              <w:rPr>
                <w:rFonts w:asciiTheme="minorHAnsi" w:hAnsiTheme="minorHAnsi" w:cstheme="minorHAnsi"/>
                <w:i/>
                <w:iCs/>
              </w:rPr>
              <w:t>Závazky k osobám mimo vybrané vládní instituce</w:t>
            </w:r>
            <w:r w:rsidR="00B043E4">
              <w:rPr>
                <w:rFonts w:asciiTheme="minorHAnsi" w:hAnsiTheme="minorHAnsi" w:cstheme="minorHAnsi"/>
                <w:iCs/>
              </w:rPr>
              <w:t xml:space="preserve">. </w:t>
            </w:r>
            <w:r w:rsidR="00B043E4" w:rsidRPr="00C6684D">
              <w:rPr>
                <w:rFonts w:eastAsia="Calibri" w:cs="Calibri"/>
              </w:rPr>
              <w:t xml:space="preserve">V důsledku této nesprávnosti byl </w:t>
            </w:r>
            <w:r w:rsidR="00B043E4" w:rsidRPr="00C6684D">
              <w:rPr>
                <w:rFonts w:eastAsia="Calibri" w:cs="Calibri"/>
                <w:b/>
              </w:rPr>
              <w:t xml:space="preserve">zůstatek účtu </w:t>
            </w:r>
            <w:r w:rsidR="003A3629">
              <w:rPr>
                <w:rFonts w:eastAsia="Calibri" w:cs="Calibri"/>
                <w:b/>
              </w:rPr>
              <w:t>321</w:t>
            </w:r>
            <w:r w:rsidR="00B043E4" w:rsidRPr="00C6684D">
              <w:rPr>
                <w:rFonts w:eastAsia="Calibri" w:cs="Calibri"/>
                <w:b/>
              </w:rPr>
              <w:t xml:space="preserve"> </w:t>
            </w:r>
            <w:r w:rsidR="003A3629">
              <w:rPr>
                <w:rFonts w:eastAsia="Calibri" w:cs="Calibri"/>
                <w:b/>
              </w:rPr>
              <w:t>na</w:t>
            </w:r>
            <w:r w:rsidR="00B043E4" w:rsidRPr="00C6684D">
              <w:rPr>
                <w:rFonts w:eastAsia="Calibri" w:cs="Calibri"/>
                <w:b/>
              </w:rPr>
              <w:t xml:space="preserve">dhodnocen o </w:t>
            </w:r>
            <w:r w:rsidR="003A3629">
              <w:rPr>
                <w:rFonts w:eastAsia="Calibri" w:cs="Calibri"/>
                <w:b/>
              </w:rPr>
              <w:t>0,5</w:t>
            </w:r>
            <w:r w:rsidR="00BC3A13">
              <w:rPr>
                <w:rFonts w:eastAsia="Calibri" w:cs="Calibri"/>
                <w:b/>
              </w:rPr>
              <w:t>5</w:t>
            </w:r>
            <w:r w:rsidR="00B043E4" w:rsidRPr="00C6684D">
              <w:rPr>
                <w:rFonts w:eastAsia="Calibri" w:cs="Calibri"/>
                <w:b/>
              </w:rPr>
              <w:t xml:space="preserve"> ml</w:t>
            </w:r>
            <w:r w:rsidR="003A3629">
              <w:rPr>
                <w:rFonts w:eastAsia="Calibri" w:cs="Calibri"/>
                <w:b/>
              </w:rPr>
              <w:t>d</w:t>
            </w:r>
            <w:r w:rsidR="00B043E4" w:rsidRPr="00C6684D">
              <w:rPr>
                <w:rFonts w:eastAsia="Calibri" w:cs="Calibri"/>
                <w:b/>
              </w:rPr>
              <w:t>. Kč a</w:t>
            </w:r>
            <w:r w:rsidR="0048643B">
              <w:rPr>
                <w:rFonts w:eastAsia="Calibri" w:cs="Calibri"/>
                <w:b/>
              </w:rPr>
              <w:t> </w:t>
            </w:r>
            <w:r w:rsidR="00B043E4" w:rsidRPr="00C6684D">
              <w:rPr>
                <w:rFonts w:eastAsia="Calibri" w:cs="Calibri"/>
                <w:b/>
              </w:rPr>
              <w:t xml:space="preserve">zůstatek účtu </w:t>
            </w:r>
            <w:r w:rsidR="003A3629">
              <w:rPr>
                <w:rFonts w:eastAsia="Calibri" w:cs="Calibri"/>
                <w:b/>
              </w:rPr>
              <w:t>345</w:t>
            </w:r>
            <w:r w:rsidR="00B043E4" w:rsidRPr="00C6684D">
              <w:rPr>
                <w:rFonts w:eastAsia="Calibri" w:cs="Calibri"/>
                <w:b/>
              </w:rPr>
              <w:t xml:space="preserve"> </w:t>
            </w:r>
            <w:r w:rsidR="003A3629">
              <w:rPr>
                <w:rFonts w:eastAsia="Calibri" w:cs="Calibri"/>
                <w:b/>
              </w:rPr>
              <w:t xml:space="preserve">o stejnou částku </w:t>
            </w:r>
            <w:r w:rsidR="00B043E4" w:rsidRPr="00C6684D">
              <w:rPr>
                <w:rFonts w:eastAsia="Calibri" w:cs="Calibri"/>
                <w:b/>
              </w:rPr>
              <w:t>podho</w:t>
            </w:r>
            <w:r w:rsidR="00B043E4">
              <w:rPr>
                <w:rFonts w:eastAsia="Calibri" w:cs="Calibri"/>
                <w:b/>
              </w:rPr>
              <w:t>dnocen</w:t>
            </w:r>
            <w:r>
              <w:rPr>
                <w:rFonts w:asciiTheme="minorHAnsi" w:hAnsiTheme="minorHAnsi" w:cstheme="minorHAnsi"/>
                <w:b/>
                <w:iCs/>
              </w:rPr>
              <w:t>.</w:t>
            </w:r>
          </w:p>
          <w:p w14:paraId="28BFE313" w14:textId="14FD4F58" w:rsidR="00D97F52" w:rsidRPr="004E302A" w:rsidRDefault="00256429" w:rsidP="00D97F52">
            <w:pPr>
              <w:pStyle w:val="Odstavecseseznamem"/>
              <w:numPr>
                <w:ilvl w:val="0"/>
                <w:numId w:val="4"/>
              </w:numPr>
              <w:spacing w:before="120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D97F52" w:rsidRPr="00E578AE">
              <w:rPr>
                <w:rFonts w:asciiTheme="minorHAnsi" w:hAnsiTheme="minorHAnsi" w:cstheme="minorHAnsi"/>
              </w:rPr>
              <w:t xml:space="preserve">e výkazu zisku a ztráty vykázalo </w:t>
            </w:r>
            <w:r>
              <w:rPr>
                <w:rFonts w:asciiTheme="minorHAnsi" w:hAnsiTheme="minorHAnsi" w:cstheme="minorHAnsi"/>
              </w:rPr>
              <w:t xml:space="preserve">MD </w:t>
            </w:r>
            <w:r w:rsidR="00D97F52" w:rsidRPr="00E578AE">
              <w:rPr>
                <w:rFonts w:asciiTheme="minorHAnsi" w:hAnsiTheme="minorHAnsi" w:cstheme="minorHAnsi"/>
                <w:bCs/>
              </w:rPr>
              <w:t xml:space="preserve">na účtu </w:t>
            </w:r>
            <w:r w:rsidR="00D97F52" w:rsidRPr="00545A24">
              <w:rPr>
                <w:rFonts w:asciiTheme="minorHAnsi" w:hAnsiTheme="minorHAnsi" w:cstheme="minorHAnsi"/>
                <w:bCs/>
              </w:rPr>
              <w:t>675</w:t>
            </w:r>
            <w:r w:rsidR="00E578AE">
              <w:rPr>
                <w:rFonts w:asciiTheme="minorHAnsi" w:hAnsiTheme="minorHAnsi" w:cstheme="minorHAnsi"/>
                <w:bCs/>
                <w:i/>
              </w:rPr>
              <w:t> </w:t>
            </w:r>
            <w:r w:rsidR="00D97F52" w:rsidRPr="00E578AE">
              <w:rPr>
                <w:rFonts w:asciiTheme="minorHAnsi" w:hAnsiTheme="minorHAnsi" w:cstheme="minorHAnsi"/>
                <w:i/>
              </w:rPr>
              <w:t>–</w:t>
            </w:r>
            <w:r w:rsidR="00E578AE">
              <w:rPr>
                <w:rFonts w:asciiTheme="minorHAnsi" w:hAnsiTheme="minorHAnsi" w:cstheme="minorHAnsi"/>
                <w:i/>
              </w:rPr>
              <w:t> </w:t>
            </w:r>
            <w:r w:rsidR="00D97F52" w:rsidRPr="00E578AE">
              <w:rPr>
                <w:rFonts w:asciiTheme="minorHAnsi" w:hAnsiTheme="minorHAnsi" w:cstheme="minorHAnsi"/>
                <w:bCs/>
                <w:i/>
                <w:iCs/>
              </w:rPr>
              <w:t>Výnosy vybraných ústředních vládních institucí z předfinancování transferů</w:t>
            </w:r>
            <w:r w:rsidR="00D97F52" w:rsidRPr="004E302A">
              <w:rPr>
                <w:rFonts w:asciiTheme="minorHAnsi" w:hAnsiTheme="minorHAnsi" w:cstheme="minorHAnsi"/>
                <w:b/>
                <w:bCs/>
              </w:rPr>
              <w:t xml:space="preserve"> použití prostředků rezervního fondu</w:t>
            </w:r>
            <w:r w:rsidR="00E91772" w:rsidRPr="00545A24">
              <w:rPr>
                <w:rFonts w:asciiTheme="minorHAnsi" w:hAnsiTheme="minorHAnsi" w:cstheme="minorHAnsi"/>
                <w:b/>
                <w:bCs/>
              </w:rPr>
              <w:t>,</w:t>
            </w:r>
            <w:r w:rsidR="00E91772" w:rsidRPr="00E91772">
              <w:rPr>
                <w:rFonts w:asciiTheme="minorHAnsi" w:hAnsiTheme="minorHAnsi" w:cstheme="minorHAnsi"/>
                <w:bCs/>
              </w:rPr>
              <w:t xml:space="preserve"> které však mělo </w:t>
            </w:r>
            <w:r w:rsidR="00D97F52" w:rsidRPr="00E91772">
              <w:rPr>
                <w:rFonts w:asciiTheme="minorHAnsi" w:hAnsiTheme="minorHAnsi" w:cstheme="minorHAnsi"/>
                <w:bCs/>
              </w:rPr>
              <w:t>být vyká</w:t>
            </w:r>
            <w:r w:rsidR="00E91772" w:rsidRPr="00E91772">
              <w:rPr>
                <w:rFonts w:asciiTheme="minorHAnsi" w:hAnsiTheme="minorHAnsi" w:cstheme="minorHAnsi"/>
                <w:bCs/>
              </w:rPr>
              <w:t>z</w:t>
            </w:r>
            <w:r w:rsidR="00D97F52" w:rsidRPr="00E91772">
              <w:rPr>
                <w:rFonts w:asciiTheme="minorHAnsi" w:hAnsiTheme="minorHAnsi" w:cstheme="minorHAnsi"/>
                <w:bCs/>
              </w:rPr>
              <w:t>án</w:t>
            </w:r>
            <w:r w:rsidR="00E91772" w:rsidRPr="00E91772">
              <w:rPr>
                <w:rFonts w:asciiTheme="minorHAnsi" w:hAnsiTheme="minorHAnsi" w:cstheme="minorHAnsi"/>
                <w:bCs/>
              </w:rPr>
              <w:t>o</w:t>
            </w:r>
            <w:r w:rsidR="00D97F52" w:rsidRPr="00E91772">
              <w:rPr>
                <w:rFonts w:asciiTheme="minorHAnsi" w:hAnsiTheme="minorHAnsi" w:cstheme="minorHAnsi"/>
                <w:bCs/>
                <w:iCs/>
              </w:rPr>
              <w:t xml:space="preserve"> na účtu </w:t>
            </w:r>
            <w:r w:rsidR="00D97F52" w:rsidRPr="00545A24">
              <w:rPr>
                <w:rFonts w:asciiTheme="minorHAnsi" w:hAnsiTheme="minorHAnsi" w:cstheme="minorHAnsi"/>
                <w:bCs/>
                <w:iCs/>
              </w:rPr>
              <w:t>648</w:t>
            </w:r>
            <w:r w:rsidR="00E578AE" w:rsidRPr="00E91772">
              <w:rPr>
                <w:rFonts w:asciiTheme="minorHAnsi" w:hAnsiTheme="minorHAnsi" w:cstheme="minorHAnsi"/>
                <w:bCs/>
                <w:i/>
                <w:iCs/>
              </w:rPr>
              <w:t> </w:t>
            </w:r>
            <w:r w:rsidR="00D97F52" w:rsidRPr="00E91772">
              <w:rPr>
                <w:rFonts w:asciiTheme="minorHAnsi" w:hAnsiTheme="minorHAnsi" w:cstheme="minorHAnsi"/>
                <w:i/>
              </w:rPr>
              <w:t>–</w:t>
            </w:r>
            <w:r w:rsidR="00E578AE" w:rsidRPr="00E91772">
              <w:rPr>
                <w:rFonts w:asciiTheme="minorHAnsi" w:hAnsiTheme="minorHAnsi" w:cstheme="minorHAnsi"/>
                <w:i/>
              </w:rPr>
              <w:t> </w:t>
            </w:r>
            <w:r w:rsidR="00D97F52" w:rsidRPr="00E91772">
              <w:rPr>
                <w:rFonts w:asciiTheme="minorHAnsi" w:hAnsiTheme="minorHAnsi" w:cstheme="minorHAnsi"/>
                <w:bCs/>
                <w:i/>
                <w:iCs/>
              </w:rPr>
              <w:t>Čerpání fondů</w:t>
            </w:r>
            <w:r w:rsidR="00E91772" w:rsidRPr="00E91772">
              <w:rPr>
                <w:rFonts w:asciiTheme="minorHAnsi" w:hAnsiTheme="minorHAnsi" w:cstheme="minorHAnsi"/>
                <w:bCs/>
                <w:iCs/>
              </w:rPr>
              <w:t xml:space="preserve">. </w:t>
            </w:r>
            <w:r w:rsidR="00E91772" w:rsidRPr="00C6684D">
              <w:rPr>
                <w:rFonts w:eastAsia="Calibri" w:cs="Calibri"/>
              </w:rPr>
              <w:t xml:space="preserve">V důsledku této nesprávnosti byl </w:t>
            </w:r>
            <w:r w:rsidR="00E91772" w:rsidRPr="00C6684D">
              <w:rPr>
                <w:rFonts w:eastAsia="Calibri" w:cs="Calibri"/>
                <w:b/>
              </w:rPr>
              <w:t xml:space="preserve">zůstatek účtu </w:t>
            </w:r>
            <w:r w:rsidR="00E91772">
              <w:rPr>
                <w:rFonts w:eastAsia="Calibri" w:cs="Calibri"/>
                <w:b/>
              </w:rPr>
              <w:t>675</w:t>
            </w:r>
            <w:r w:rsidR="00E91772" w:rsidRPr="00C6684D">
              <w:rPr>
                <w:rFonts w:eastAsia="Calibri" w:cs="Calibri"/>
                <w:b/>
              </w:rPr>
              <w:t xml:space="preserve"> </w:t>
            </w:r>
            <w:r w:rsidR="00E91772">
              <w:rPr>
                <w:rFonts w:eastAsia="Calibri" w:cs="Calibri"/>
                <w:b/>
              </w:rPr>
              <w:t>na</w:t>
            </w:r>
            <w:r w:rsidR="00E91772" w:rsidRPr="00C6684D">
              <w:rPr>
                <w:rFonts w:eastAsia="Calibri" w:cs="Calibri"/>
                <w:b/>
              </w:rPr>
              <w:t xml:space="preserve">dhodnocen o </w:t>
            </w:r>
            <w:r w:rsidR="00E91772">
              <w:rPr>
                <w:rFonts w:eastAsia="Calibri" w:cs="Calibri"/>
                <w:b/>
              </w:rPr>
              <w:t>0,7</w:t>
            </w:r>
            <w:r w:rsidR="00FA2B90">
              <w:rPr>
                <w:rFonts w:eastAsia="Calibri" w:cs="Calibri"/>
                <w:b/>
              </w:rPr>
              <w:t>2</w:t>
            </w:r>
            <w:r w:rsidR="00E91772" w:rsidRPr="00C6684D">
              <w:rPr>
                <w:rFonts w:eastAsia="Calibri" w:cs="Calibri"/>
                <w:b/>
              </w:rPr>
              <w:t xml:space="preserve"> ml</w:t>
            </w:r>
            <w:r w:rsidR="00E91772">
              <w:rPr>
                <w:rFonts w:eastAsia="Calibri" w:cs="Calibri"/>
                <w:b/>
              </w:rPr>
              <w:t>d</w:t>
            </w:r>
            <w:r w:rsidR="00E91772" w:rsidRPr="00C6684D">
              <w:rPr>
                <w:rFonts w:eastAsia="Calibri" w:cs="Calibri"/>
                <w:b/>
              </w:rPr>
              <w:t xml:space="preserve">. Kč a zůstatek účtu </w:t>
            </w:r>
            <w:r w:rsidR="00E91772">
              <w:rPr>
                <w:rFonts w:eastAsia="Calibri" w:cs="Calibri"/>
                <w:b/>
              </w:rPr>
              <w:t>648</w:t>
            </w:r>
            <w:r w:rsidR="00E91772" w:rsidRPr="00C6684D">
              <w:rPr>
                <w:rFonts w:eastAsia="Calibri" w:cs="Calibri"/>
                <w:b/>
              </w:rPr>
              <w:t xml:space="preserve"> </w:t>
            </w:r>
            <w:r w:rsidR="00E91772">
              <w:rPr>
                <w:rFonts w:eastAsia="Calibri" w:cs="Calibri"/>
                <w:b/>
              </w:rPr>
              <w:t xml:space="preserve">o stejnou částku </w:t>
            </w:r>
            <w:r w:rsidR="00E91772" w:rsidRPr="00C6684D">
              <w:rPr>
                <w:rFonts w:eastAsia="Calibri" w:cs="Calibri"/>
                <w:b/>
              </w:rPr>
              <w:t>podho</w:t>
            </w:r>
            <w:r w:rsidR="00E91772">
              <w:rPr>
                <w:rFonts w:eastAsia="Calibri" w:cs="Calibri"/>
                <w:b/>
              </w:rPr>
              <w:t>dnocen</w:t>
            </w:r>
            <w:r>
              <w:rPr>
                <w:rFonts w:eastAsia="Calibri" w:cs="Calibri"/>
                <w:b/>
              </w:rPr>
              <w:t>.</w:t>
            </w:r>
          </w:p>
          <w:p w14:paraId="64770819" w14:textId="4B3ED924" w:rsidR="00D97F52" w:rsidRPr="00E91772" w:rsidRDefault="00BA7F9E" w:rsidP="00D97F52">
            <w:pPr>
              <w:pStyle w:val="Odstavecseseznamem"/>
              <w:numPr>
                <w:ilvl w:val="0"/>
                <w:numId w:val="4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MD v</w:t>
            </w:r>
            <w:r w:rsidR="00D97F52" w:rsidRPr="00E91772">
              <w:rPr>
                <w:rFonts w:asciiTheme="minorHAnsi" w:hAnsiTheme="minorHAnsi" w:cstheme="minorHAnsi"/>
              </w:rPr>
              <w:t xml:space="preserve">e výkazu zisku a ztráty vykázalo </w:t>
            </w:r>
            <w:r w:rsidR="00D97F52" w:rsidRPr="00E91772">
              <w:rPr>
                <w:rFonts w:asciiTheme="minorHAnsi" w:hAnsiTheme="minorHAnsi" w:cstheme="minorHAnsi"/>
                <w:bCs/>
              </w:rPr>
              <w:t xml:space="preserve">na účtu </w:t>
            </w:r>
            <w:r w:rsidR="00D97F52" w:rsidRPr="00545A24">
              <w:rPr>
                <w:rFonts w:asciiTheme="minorHAnsi" w:hAnsiTheme="minorHAnsi" w:cstheme="minorHAnsi"/>
                <w:bCs/>
              </w:rPr>
              <w:t>675</w:t>
            </w:r>
            <w:r w:rsidR="00E91772">
              <w:rPr>
                <w:rFonts w:asciiTheme="minorHAnsi" w:hAnsiTheme="minorHAnsi" w:cstheme="minorHAnsi"/>
                <w:bCs/>
                <w:i/>
              </w:rPr>
              <w:t> </w:t>
            </w:r>
            <w:r w:rsidR="00D97F52" w:rsidRPr="00E91772">
              <w:rPr>
                <w:rFonts w:asciiTheme="minorHAnsi" w:hAnsiTheme="minorHAnsi" w:cstheme="minorHAnsi"/>
                <w:i/>
              </w:rPr>
              <w:t>–</w:t>
            </w:r>
            <w:r w:rsidR="00E91772">
              <w:rPr>
                <w:rFonts w:asciiTheme="minorHAnsi" w:hAnsiTheme="minorHAnsi" w:cstheme="minorHAnsi"/>
                <w:i/>
              </w:rPr>
              <w:t> </w:t>
            </w:r>
            <w:r w:rsidR="00D97F52" w:rsidRPr="00E91772">
              <w:rPr>
                <w:rFonts w:asciiTheme="minorHAnsi" w:hAnsiTheme="minorHAnsi" w:cstheme="minorHAnsi"/>
                <w:bCs/>
                <w:i/>
                <w:iCs/>
              </w:rPr>
              <w:t>Výnosy vybraných ústředních vládních institucí z předfinancování transferů</w:t>
            </w:r>
            <w:r w:rsidR="00D97F52" w:rsidRPr="00E91772">
              <w:rPr>
                <w:rFonts w:asciiTheme="minorHAnsi" w:hAnsiTheme="minorHAnsi" w:cstheme="minorHAnsi"/>
                <w:bCs/>
              </w:rPr>
              <w:t xml:space="preserve"> </w:t>
            </w:r>
            <w:r w:rsidR="00D97F52" w:rsidRPr="00E91772">
              <w:rPr>
                <w:rFonts w:asciiTheme="minorHAnsi" w:hAnsiTheme="minorHAnsi" w:cstheme="minorHAnsi"/>
                <w:b/>
                <w:bCs/>
              </w:rPr>
              <w:t>výnosy, u</w:t>
            </w:r>
            <w:r w:rsidR="00D97F52" w:rsidRPr="00E91772">
              <w:rPr>
                <w:rFonts w:asciiTheme="minorHAnsi" w:hAnsiTheme="minorHAnsi" w:cstheme="minorHAnsi"/>
                <w:b/>
                <w:bCs/>
                <w:iCs/>
              </w:rPr>
              <w:t xml:space="preserve"> nichž bylo konečným příjemcem transferu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.</w:t>
            </w:r>
            <w:r w:rsidR="00E91772" w:rsidRPr="00E9177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Tyto výnosy</w:t>
            </w:r>
            <w:r w:rsidR="00E9177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D97F52" w:rsidRPr="00E91772">
              <w:rPr>
                <w:rFonts w:asciiTheme="minorHAnsi" w:hAnsiTheme="minorHAnsi" w:cstheme="minorHAnsi"/>
                <w:bCs/>
                <w:iCs/>
              </w:rPr>
              <w:t xml:space="preserve">měly být vykázány na účtu </w:t>
            </w:r>
            <w:r w:rsidR="00D97F52" w:rsidRPr="00545A24">
              <w:rPr>
                <w:rFonts w:asciiTheme="minorHAnsi" w:hAnsiTheme="minorHAnsi" w:cstheme="minorHAnsi"/>
                <w:bCs/>
                <w:iCs/>
              </w:rPr>
              <w:t>671</w:t>
            </w:r>
            <w:r w:rsidR="00E91772">
              <w:rPr>
                <w:rFonts w:asciiTheme="minorHAnsi" w:hAnsiTheme="minorHAnsi" w:cstheme="minorHAnsi"/>
                <w:bCs/>
                <w:i/>
                <w:iCs/>
              </w:rPr>
              <w:t> </w:t>
            </w:r>
            <w:r w:rsidR="00D97F52" w:rsidRPr="00E91772">
              <w:rPr>
                <w:rFonts w:asciiTheme="minorHAnsi" w:hAnsiTheme="minorHAnsi" w:cstheme="minorHAnsi"/>
                <w:i/>
              </w:rPr>
              <w:t>–</w:t>
            </w:r>
            <w:r w:rsidR="00E91772">
              <w:rPr>
                <w:rFonts w:asciiTheme="minorHAnsi" w:hAnsiTheme="minorHAnsi" w:cstheme="minorHAnsi"/>
                <w:i/>
              </w:rPr>
              <w:t> </w:t>
            </w:r>
            <w:r w:rsidR="00D97F52" w:rsidRPr="00E91772">
              <w:rPr>
                <w:rFonts w:asciiTheme="minorHAnsi" w:hAnsiTheme="minorHAnsi" w:cstheme="minorHAnsi"/>
                <w:bCs/>
                <w:i/>
                <w:iCs/>
              </w:rPr>
              <w:t>Výnosy vybraných ústředních vládních institucí z</w:t>
            </w:r>
            <w:r w:rsidR="00E91772">
              <w:rPr>
                <w:rFonts w:asciiTheme="minorHAnsi" w:hAnsiTheme="minorHAnsi" w:cstheme="minorHAnsi"/>
                <w:bCs/>
                <w:i/>
                <w:iCs/>
              </w:rPr>
              <w:t> </w:t>
            </w:r>
            <w:r w:rsidR="00D97F52" w:rsidRPr="00E91772">
              <w:rPr>
                <w:rFonts w:asciiTheme="minorHAnsi" w:hAnsiTheme="minorHAnsi" w:cstheme="minorHAnsi"/>
                <w:bCs/>
                <w:i/>
                <w:iCs/>
              </w:rPr>
              <w:t>transferů</w:t>
            </w:r>
            <w:r w:rsidR="00E91772">
              <w:rPr>
                <w:rFonts w:asciiTheme="minorHAnsi" w:hAnsiTheme="minorHAnsi" w:cstheme="minorHAnsi"/>
                <w:bCs/>
                <w:iCs/>
              </w:rPr>
              <w:t xml:space="preserve">. </w:t>
            </w:r>
            <w:r w:rsidR="00E91772" w:rsidRPr="00C6684D">
              <w:rPr>
                <w:rFonts w:eastAsia="Calibri" w:cs="Calibri"/>
              </w:rPr>
              <w:t xml:space="preserve">V důsledku této nesprávnosti byl </w:t>
            </w:r>
            <w:r w:rsidR="00E91772" w:rsidRPr="00C6684D">
              <w:rPr>
                <w:rFonts w:eastAsia="Calibri" w:cs="Calibri"/>
                <w:b/>
              </w:rPr>
              <w:t xml:space="preserve">zůstatek účtu </w:t>
            </w:r>
            <w:r w:rsidR="00E91772">
              <w:rPr>
                <w:rFonts w:eastAsia="Calibri" w:cs="Calibri"/>
                <w:b/>
              </w:rPr>
              <w:t>675</w:t>
            </w:r>
            <w:r w:rsidR="00E91772" w:rsidRPr="00C6684D">
              <w:rPr>
                <w:rFonts w:eastAsia="Calibri" w:cs="Calibri"/>
                <w:b/>
              </w:rPr>
              <w:t xml:space="preserve"> </w:t>
            </w:r>
            <w:r w:rsidR="00E91772">
              <w:rPr>
                <w:rFonts w:eastAsia="Calibri" w:cs="Calibri"/>
                <w:b/>
              </w:rPr>
              <w:t>na</w:t>
            </w:r>
            <w:r w:rsidR="00E91772" w:rsidRPr="00C6684D">
              <w:rPr>
                <w:rFonts w:eastAsia="Calibri" w:cs="Calibri"/>
                <w:b/>
              </w:rPr>
              <w:t xml:space="preserve">dhodnocen o </w:t>
            </w:r>
            <w:r w:rsidR="00E91772">
              <w:rPr>
                <w:rFonts w:eastAsia="Calibri" w:cs="Calibri"/>
                <w:b/>
              </w:rPr>
              <w:t>0,1</w:t>
            </w:r>
            <w:r w:rsidR="00BC3A13">
              <w:rPr>
                <w:rFonts w:eastAsia="Calibri" w:cs="Calibri"/>
                <w:b/>
              </w:rPr>
              <w:t>1</w:t>
            </w:r>
            <w:r w:rsidR="00E91772" w:rsidRPr="00C6684D">
              <w:rPr>
                <w:rFonts w:eastAsia="Calibri" w:cs="Calibri"/>
                <w:b/>
              </w:rPr>
              <w:t xml:space="preserve"> ml</w:t>
            </w:r>
            <w:r w:rsidR="00E91772">
              <w:rPr>
                <w:rFonts w:eastAsia="Calibri" w:cs="Calibri"/>
                <w:b/>
              </w:rPr>
              <w:t>d</w:t>
            </w:r>
            <w:r w:rsidR="00E91772" w:rsidRPr="00C6684D">
              <w:rPr>
                <w:rFonts w:eastAsia="Calibri" w:cs="Calibri"/>
                <w:b/>
              </w:rPr>
              <w:t xml:space="preserve">. Kč a zůstatek účtu </w:t>
            </w:r>
            <w:r w:rsidR="00E91772">
              <w:rPr>
                <w:rFonts w:eastAsia="Calibri" w:cs="Calibri"/>
                <w:b/>
              </w:rPr>
              <w:t>671</w:t>
            </w:r>
            <w:r w:rsidR="00E91772" w:rsidRPr="00C6684D">
              <w:rPr>
                <w:rFonts w:eastAsia="Calibri" w:cs="Calibri"/>
                <w:b/>
              </w:rPr>
              <w:t xml:space="preserve"> </w:t>
            </w:r>
            <w:r w:rsidR="00E91772">
              <w:rPr>
                <w:rFonts w:eastAsia="Calibri" w:cs="Calibri"/>
                <w:b/>
              </w:rPr>
              <w:t xml:space="preserve">o stejnou částku </w:t>
            </w:r>
            <w:r w:rsidR="00E91772" w:rsidRPr="00C6684D">
              <w:rPr>
                <w:rFonts w:eastAsia="Calibri" w:cs="Calibri"/>
                <w:b/>
              </w:rPr>
              <w:t>podho</w:t>
            </w:r>
            <w:r w:rsidR="00E91772">
              <w:rPr>
                <w:rFonts w:eastAsia="Calibri" w:cs="Calibri"/>
                <w:b/>
              </w:rPr>
              <w:t>dnocen</w:t>
            </w:r>
            <w:r w:rsidR="00256429">
              <w:rPr>
                <w:rFonts w:eastAsia="Calibri" w:cs="Calibri"/>
                <w:b/>
              </w:rPr>
              <w:t>.</w:t>
            </w:r>
          </w:p>
          <w:p w14:paraId="457E89C3" w14:textId="60E22BD8" w:rsidR="00D97F52" w:rsidRPr="00E91772" w:rsidRDefault="00BA7F9E" w:rsidP="00D97F52">
            <w:pPr>
              <w:numPr>
                <w:ilvl w:val="0"/>
                <w:numId w:val="4"/>
              </w:numPr>
              <w:ind w:left="714" w:hanging="357"/>
              <w:jc w:val="both"/>
              <w:rPr>
                <w:rFonts w:eastAsia="Calibri" w:cs="Calibri"/>
              </w:rPr>
            </w:pPr>
            <w:r>
              <w:rPr>
                <w:rFonts w:asciiTheme="minorHAnsi" w:hAnsiTheme="minorHAnsi" w:cstheme="minorHAnsi"/>
              </w:rPr>
              <w:lastRenderedPageBreak/>
              <w:t>V</w:t>
            </w:r>
            <w:r w:rsidR="00D97F52" w:rsidRPr="00E91772">
              <w:rPr>
                <w:rFonts w:asciiTheme="minorHAnsi" w:hAnsiTheme="minorHAnsi" w:cstheme="minorHAnsi"/>
              </w:rPr>
              <w:t xml:space="preserve"> příloze </w:t>
            </w:r>
            <w:r>
              <w:rPr>
                <w:rFonts w:asciiTheme="minorHAnsi" w:hAnsiTheme="minorHAnsi" w:cstheme="minorHAnsi"/>
              </w:rPr>
              <w:t xml:space="preserve">ÚZ </w:t>
            </w:r>
            <w:r w:rsidR="00D97F52" w:rsidRPr="00E91772">
              <w:rPr>
                <w:rFonts w:asciiTheme="minorHAnsi" w:hAnsiTheme="minorHAnsi" w:cstheme="minorHAnsi"/>
              </w:rPr>
              <w:t xml:space="preserve">vykázalo </w:t>
            </w:r>
            <w:r>
              <w:rPr>
                <w:rFonts w:asciiTheme="minorHAnsi" w:hAnsiTheme="minorHAnsi" w:cstheme="minorHAnsi"/>
              </w:rPr>
              <w:t xml:space="preserve">Ministerstvo dopravy </w:t>
            </w:r>
            <w:r w:rsidR="00D97F52" w:rsidRPr="00E91772">
              <w:rPr>
                <w:rFonts w:asciiTheme="minorHAnsi" w:hAnsiTheme="minorHAnsi" w:cstheme="minorHAnsi"/>
              </w:rPr>
              <w:t xml:space="preserve">na účtu </w:t>
            </w:r>
            <w:r w:rsidR="00D97F52" w:rsidRPr="00545A24">
              <w:rPr>
                <w:rFonts w:asciiTheme="minorHAnsi" w:hAnsiTheme="minorHAnsi" w:cstheme="minorHAnsi"/>
              </w:rPr>
              <w:t>951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D97F52" w:rsidRPr="00E91772">
              <w:rPr>
                <w:rFonts w:asciiTheme="minorHAnsi" w:hAnsiTheme="minorHAnsi" w:cstheme="minorHAnsi"/>
                <w:i/>
              </w:rPr>
              <w:t>–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D97F52" w:rsidRPr="00E91772">
              <w:rPr>
                <w:rFonts w:asciiTheme="minorHAnsi" w:hAnsiTheme="minorHAnsi" w:cstheme="minorHAnsi"/>
                <w:i/>
              </w:rPr>
              <w:t>Dlouhodobé podmíněné pohledávky z předfinancování transferů</w:t>
            </w:r>
            <w:r w:rsidR="00D97F52" w:rsidRPr="00E91772">
              <w:rPr>
                <w:rFonts w:asciiTheme="minorHAnsi" w:hAnsiTheme="minorHAnsi" w:cstheme="minorHAnsi"/>
              </w:rPr>
              <w:t xml:space="preserve"> </w:t>
            </w:r>
            <w:r w:rsidR="00A92CBE">
              <w:rPr>
                <w:rFonts w:asciiTheme="minorHAnsi" w:hAnsiTheme="minorHAnsi" w:cstheme="minorHAnsi"/>
                <w:b/>
              </w:rPr>
              <w:t>neexistující p</w:t>
            </w:r>
            <w:r w:rsidR="00D97F52" w:rsidRPr="00B96158">
              <w:rPr>
                <w:rFonts w:asciiTheme="minorHAnsi" w:hAnsiTheme="minorHAnsi" w:cstheme="minorHAnsi"/>
                <w:b/>
              </w:rPr>
              <w:t>odmíněné pohledávky</w:t>
            </w:r>
            <w:r w:rsidR="00E91772" w:rsidRPr="00545A24">
              <w:rPr>
                <w:rFonts w:asciiTheme="minorHAnsi" w:hAnsiTheme="minorHAnsi" w:cstheme="minorHAnsi"/>
                <w:b/>
              </w:rPr>
              <w:t>.</w:t>
            </w:r>
            <w:r w:rsidR="00E91772">
              <w:rPr>
                <w:rFonts w:asciiTheme="minorHAnsi" w:hAnsiTheme="minorHAnsi" w:cstheme="minorHAnsi"/>
              </w:rPr>
              <w:t xml:space="preserve"> </w:t>
            </w:r>
            <w:r w:rsidR="00E91772" w:rsidRPr="00C6684D">
              <w:rPr>
                <w:rFonts w:eastAsia="Calibri" w:cs="Calibri"/>
              </w:rPr>
              <w:t xml:space="preserve">V důsledku této nesprávnosti byl </w:t>
            </w:r>
            <w:r w:rsidR="00E91772" w:rsidRPr="00C6684D">
              <w:rPr>
                <w:rFonts w:eastAsia="Calibri" w:cs="Calibri"/>
                <w:b/>
              </w:rPr>
              <w:t xml:space="preserve">zůstatek účtu </w:t>
            </w:r>
            <w:r w:rsidR="00E91772">
              <w:rPr>
                <w:rFonts w:eastAsia="Calibri" w:cs="Calibri"/>
                <w:b/>
              </w:rPr>
              <w:t>951</w:t>
            </w:r>
            <w:r w:rsidR="00E91772" w:rsidRPr="00C6684D">
              <w:rPr>
                <w:rFonts w:eastAsia="Calibri" w:cs="Calibri"/>
                <w:b/>
              </w:rPr>
              <w:t xml:space="preserve"> </w:t>
            </w:r>
            <w:r w:rsidR="006C0ADA">
              <w:rPr>
                <w:rFonts w:eastAsia="Calibri" w:cs="Calibri"/>
                <w:b/>
              </w:rPr>
              <w:t>na</w:t>
            </w:r>
            <w:r w:rsidR="00E91772" w:rsidRPr="00C6684D">
              <w:rPr>
                <w:rFonts w:eastAsia="Calibri" w:cs="Calibri"/>
                <w:b/>
              </w:rPr>
              <w:t xml:space="preserve">dhodnocen o </w:t>
            </w:r>
            <w:r w:rsidR="00E91772">
              <w:rPr>
                <w:rFonts w:eastAsia="Calibri" w:cs="Calibri"/>
                <w:b/>
              </w:rPr>
              <w:t>2,4</w:t>
            </w:r>
            <w:r w:rsidR="003765AC">
              <w:rPr>
                <w:rFonts w:eastAsia="Calibri" w:cs="Calibri"/>
                <w:b/>
              </w:rPr>
              <w:t>1</w:t>
            </w:r>
            <w:r w:rsidR="00E91772">
              <w:rPr>
                <w:rFonts w:eastAsia="Calibri" w:cs="Calibri"/>
                <w:b/>
              </w:rPr>
              <w:t xml:space="preserve"> </w:t>
            </w:r>
            <w:r w:rsidR="00E91772" w:rsidRPr="00C6684D">
              <w:rPr>
                <w:rFonts w:eastAsia="Calibri" w:cs="Calibri"/>
                <w:b/>
              </w:rPr>
              <w:t>ml</w:t>
            </w:r>
            <w:r w:rsidR="00E91772">
              <w:rPr>
                <w:rFonts w:eastAsia="Calibri" w:cs="Calibri"/>
                <w:b/>
              </w:rPr>
              <w:t>d</w:t>
            </w:r>
            <w:r w:rsidR="00E91772" w:rsidRPr="00C6684D">
              <w:rPr>
                <w:rFonts w:eastAsia="Calibri" w:cs="Calibri"/>
                <w:b/>
              </w:rPr>
              <w:t>. Kč</w:t>
            </w:r>
            <w:r w:rsidR="00BD39F8">
              <w:rPr>
                <w:rFonts w:eastAsia="Calibri" w:cs="Calibri"/>
                <w:b/>
              </w:rPr>
              <w:t>.</w:t>
            </w:r>
          </w:p>
          <w:p w14:paraId="2277E026" w14:textId="5FB8EF22" w:rsidR="009B6040" w:rsidRDefault="00B96158" w:rsidP="00DA23AF">
            <w:pPr>
              <w:spacing w:after="0"/>
              <w:jc w:val="both"/>
              <w:rPr>
                <w:rFonts w:eastAsia="Calibri" w:cs="Calibri"/>
              </w:rPr>
            </w:pPr>
            <w:r w:rsidRPr="004E302A">
              <w:rPr>
                <w:rFonts w:asciiTheme="minorHAnsi" w:hAnsiTheme="minorHAnsi" w:cstheme="minorHAnsi"/>
                <w:b/>
              </w:rPr>
              <w:t xml:space="preserve">Uvedené nesprávnosti měly významný vliv na </w:t>
            </w:r>
            <w:r>
              <w:rPr>
                <w:rFonts w:asciiTheme="minorHAnsi" w:hAnsiTheme="minorHAnsi" w:cstheme="minorHAnsi"/>
                <w:b/>
              </w:rPr>
              <w:t>ÚZ</w:t>
            </w:r>
            <w:r w:rsidRPr="004E302A">
              <w:rPr>
                <w:rFonts w:asciiTheme="minorHAnsi" w:hAnsiTheme="minorHAnsi" w:cstheme="minorHAnsi"/>
                <w:b/>
              </w:rPr>
              <w:t xml:space="preserve">. Z tohoto důvodu </w:t>
            </w:r>
            <w:r w:rsidR="00616573">
              <w:rPr>
                <w:rFonts w:asciiTheme="minorHAnsi" w:hAnsiTheme="minorHAnsi" w:cstheme="minorHAnsi"/>
                <w:b/>
              </w:rPr>
              <w:t xml:space="preserve">NKÚ </w:t>
            </w:r>
            <w:r w:rsidRPr="004E302A">
              <w:rPr>
                <w:rFonts w:asciiTheme="minorHAnsi" w:hAnsiTheme="minorHAnsi" w:cstheme="minorHAnsi"/>
                <w:b/>
              </w:rPr>
              <w:t>vyhodnotil</w:t>
            </w:r>
            <w:r w:rsidR="00616573">
              <w:rPr>
                <w:rFonts w:asciiTheme="minorHAnsi" w:hAnsiTheme="minorHAnsi" w:cstheme="minorHAnsi"/>
                <w:b/>
              </w:rPr>
              <w:t xml:space="preserve"> </w:t>
            </w:r>
            <w:r w:rsidRPr="004E302A">
              <w:rPr>
                <w:rFonts w:asciiTheme="minorHAnsi" w:hAnsiTheme="minorHAnsi" w:cstheme="minorHAnsi"/>
                <w:b/>
              </w:rPr>
              <w:t>informace ve výkazu zisku a ztráty, v rozvaze a ve výkazu příloha</w:t>
            </w:r>
            <w:r w:rsidR="00BD39F8">
              <w:rPr>
                <w:rFonts w:asciiTheme="minorHAnsi" w:hAnsiTheme="minorHAnsi" w:cstheme="minorHAnsi"/>
                <w:b/>
              </w:rPr>
              <w:t xml:space="preserve"> </w:t>
            </w:r>
            <w:r w:rsidRPr="004E302A">
              <w:rPr>
                <w:rFonts w:asciiTheme="minorHAnsi" w:hAnsiTheme="minorHAnsi" w:cstheme="minorHAnsi"/>
                <w:b/>
              </w:rPr>
              <w:t xml:space="preserve">na uvedených účtech jako nespolehlivé. V rozsahu ostatních informací podává </w:t>
            </w:r>
            <w:r>
              <w:rPr>
                <w:rFonts w:asciiTheme="minorHAnsi" w:hAnsiTheme="minorHAnsi" w:cstheme="minorHAnsi"/>
                <w:b/>
              </w:rPr>
              <w:t>ÚZ</w:t>
            </w:r>
            <w:r w:rsidRPr="004E302A">
              <w:rPr>
                <w:rFonts w:asciiTheme="minorHAnsi" w:hAnsiTheme="minorHAnsi" w:cstheme="minorHAnsi"/>
                <w:b/>
              </w:rPr>
              <w:t xml:space="preserve"> věrný a poctivý obraz předmětu účetnictví a finanční situace účetní jednotky dle účetních předpisů pro některé vybrané účetní jednotky</w:t>
            </w:r>
            <w:r w:rsidR="009B6040" w:rsidRPr="005C3250">
              <w:rPr>
                <w:rFonts w:eastAsia="Calibri" w:cs="Calibri"/>
                <w:b/>
              </w:rPr>
              <w:t>.</w:t>
            </w:r>
          </w:p>
        </w:tc>
      </w:tr>
    </w:tbl>
    <w:p w14:paraId="5E0F1822" w14:textId="77777777" w:rsidR="00C32A01" w:rsidRDefault="00C32A01" w:rsidP="00B30899">
      <w:pPr>
        <w:spacing w:after="0"/>
        <w:jc w:val="both"/>
        <w:rPr>
          <w:rFonts w:eastAsia="Calibri" w:cs="Calibri"/>
        </w:rPr>
      </w:pPr>
    </w:p>
    <w:p w14:paraId="041DC911" w14:textId="77777777" w:rsidR="00D966F6" w:rsidRDefault="00B96158" w:rsidP="00B30899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Podrobnosti k </w:t>
      </w:r>
      <w:r w:rsidR="009F01CA">
        <w:rPr>
          <w:rFonts w:eastAsia="Calibri" w:cs="Calibri"/>
        </w:rPr>
        <w:t>uvedeným</w:t>
      </w:r>
      <w:r>
        <w:rPr>
          <w:rFonts w:eastAsia="Calibri" w:cs="Calibri"/>
        </w:rPr>
        <w:t xml:space="preserve"> </w:t>
      </w:r>
      <w:r w:rsidR="006B22D3">
        <w:rPr>
          <w:rFonts w:eastAsia="Calibri" w:cs="Calibri"/>
        </w:rPr>
        <w:t xml:space="preserve">významným </w:t>
      </w:r>
      <w:r>
        <w:rPr>
          <w:rFonts w:eastAsia="Calibri" w:cs="Calibri"/>
        </w:rPr>
        <w:t xml:space="preserve">nesprávnostem </w:t>
      </w:r>
      <w:r w:rsidR="00D92036">
        <w:rPr>
          <w:rFonts w:eastAsia="Calibri" w:cs="Calibri"/>
        </w:rPr>
        <w:t xml:space="preserve">v ÚZ </w:t>
      </w:r>
      <w:r>
        <w:rPr>
          <w:rFonts w:eastAsia="Calibri" w:cs="Calibri"/>
        </w:rPr>
        <w:t xml:space="preserve">jsou </w:t>
      </w:r>
      <w:r w:rsidR="006B22D3">
        <w:rPr>
          <w:rFonts w:eastAsia="Calibri" w:cs="Calibri"/>
        </w:rPr>
        <w:t xml:space="preserve">spolu s některými dalšími zjištěnými nesprávnostmi </w:t>
      </w:r>
      <w:r>
        <w:rPr>
          <w:rFonts w:eastAsia="Calibri" w:cs="Calibri"/>
        </w:rPr>
        <w:t xml:space="preserve">uvedeny v části </w:t>
      </w:r>
      <w:r w:rsidRPr="00C824F8">
        <w:rPr>
          <w:rFonts w:eastAsia="Calibri" w:cs="Calibri"/>
        </w:rPr>
        <w:t>IV.1.</w:t>
      </w:r>
      <w:r w:rsidR="00CE0742">
        <w:rPr>
          <w:rFonts w:eastAsia="Calibri" w:cs="Calibri"/>
        </w:rPr>
        <w:t xml:space="preserve"> tohoto kon</w:t>
      </w:r>
      <w:r>
        <w:rPr>
          <w:rFonts w:eastAsia="Calibri" w:cs="Calibri"/>
        </w:rPr>
        <w:t>trolního závěru.</w:t>
      </w:r>
    </w:p>
    <w:p w14:paraId="05B73632" w14:textId="77777777" w:rsidR="00F279C1" w:rsidRDefault="00F279C1" w:rsidP="00B30899">
      <w:pPr>
        <w:spacing w:after="0"/>
        <w:jc w:val="both"/>
        <w:rPr>
          <w:rFonts w:eastAsia="Calibri" w:cs="Calibri"/>
        </w:rPr>
      </w:pPr>
    </w:p>
    <w:p w14:paraId="60A6C54C" w14:textId="77777777" w:rsidR="005161AE" w:rsidRDefault="005645B6" w:rsidP="00B30899">
      <w:pPr>
        <w:spacing w:after="0"/>
        <w:jc w:val="both"/>
        <w:rPr>
          <w:rFonts w:eastAsia="Calibri" w:cs="Calibri"/>
        </w:rPr>
      </w:pPr>
      <w:r>
        <w:rPr>
          <w:rFonts w:cstheme="minorHAnsi"/>
        </w:rPr>
        <w:t>Z</w:t>
      </w:r>
      <w:r w:rsidR="003909E2" w:rsidRPr="00CC0AB7">
        <w:rPr>
          <w:rFonts w:cstheme="minorHAnsi"/>
        </w:rPr>
        <w:t>jištěné významné nesprávnosti se týkají pouze několika položek účetní závěrky</w:t>
      </w:r>
      <w:r w:rsidR="0019669E">
        <w:rPr>
          <w:rFonts w:cstheme="minorHAnsi"/>
        </w:rPr>
        <w:t>.</w:t>
      </w:r>
      <w:r w:rsidR="003909E2" w:rsidRPr="00CC0AB7">
        <w:rPr>
          <w:rFonts w:cstheme="minorHAnsi"/>
        </w:rPr>
        <w:t xml:space="preserve"> </w:t>
      </w:r>
      <w:r w:rsidR="0019669E">
        <w:rPr>
          <w:rFonts w:cstheme="minorHAnsi"/>
        </w:rPr>
        <w:t>J</w:t>
      </w:r>
      <w:r w:rsidR="003909E2" w:rsidRPr="00CC0AB7">
        <w:rPr>
          <w:rFonts w:cstheme="minorHAnsi"/>
        </w:rPr>
        <w:t xml:space="preserve">ejich hodnota je sice pro uživatele významná, avšak v kontextu ÚZ MD není zásadní. Z tohoto důvodu </w:t>
      </w:r>
      <w:r w:rsidR="00AD479E">
        <w:rPr>
          <w:rFonts w:cstheme="minorHAnsi"/>
        </w:rPr>
        <w:t>NKÚ</w:t>
      </w:r>
      <w:r w:rsidR="003909E2" w:rsidRPr="00CC0AB7">
        <w:rPr>
          <w:rFonts w:cstheme="minorHAnsi"/>
        </w:rPr>
        <w:t xml:space="preserve"> nehodnotí ÚZ MD jako nespolehlivou v celém rozsahu, ale uvádí, že nespolehlivé jsou údaje vykazované na položkách </w:t>
      </w:r>
      <w:r w:rsidR="00FD4263">
        <w:rPr>
          <w:rFonts w:cstheme="minorHAnsi"/>
        </w:rPr>
        <w:t>ÚZ</w:t>
      </w:r>
      <w:r w:rsidR="003909E2" w:rsidRPr="00CC0AB7">
        <w:rPr>
          <w:rFonts w:cstheme="minorHAnsi"/>
        </w:rPr>
        <w:t xml:space="preserve">, </w:t>
      </w:r>
      <w:r w:rsidR="003909E2">
        <w:rPr>
          <w:rFonts w:cstheme="minorHAnsi"/>
        </w:rPr>
        <w:t>u</w:t>
      </w:r>
      <w:r w:rsidR="003909E2" w:rsidRPr="00CC0AB7">
        <w:rPr>
          <w:rFonts w:cstheme="minorHAnsi"/>
        </w:rPr>
        <w:t xml:space="preserve"> kterých byly zjištěny významné nesprávnosti</w:t>
      </w:r>
      <w:r w:rsidR="006D6B51">
        <w:rPr>
          <w:rFonts w:eastAsia="Calibri" w:cs="Calibri"/>
        </w:rPr>
        <w:t>.</w:t>
      </w:r>
    </w:p>
    <w:p w14:paraId="78EBEA18" w14:textId="2D16B1F5" w:rsidR="005645B6" w:rsidRDefault="005645B6" w:rsidP="00B30899">
      <w:pPr>
        <w:spacing w:after="0"/>
        <w:jc w:val="both"/>
        <w:rPr>
          <w:rFonts w:eastAsia="Calibri" w:cs="Calibri"/>
        </w:rPr>
      </w:pPr>
    </w:p>
    <w:p w14:paraId="0D8093BB" w14:textId="77777777" w:rsidR="006D6B51" w:rsidRDefault="00AD479E" w:rsidP="00B30899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Dále je třeba upozornit na </w:t>
      </w:r>
      <w:r w:rsidR="005161AE">
        <w:rPr>
          <w:rFonts w:eastAsia="Calibri" w:cs="Calibri"/>
        </w:rPr>
        <w:t xml:space="preserve">potíže s aplikací některých </w:t>
      </w:r>
      <w:r w:rsidRPr="00A769ED">
        <w:rPr>
          <w:rFonts w:asciiTheme="minorHAnsi" w:hAnsiTheme="minorHAnsi" w:cstheme="minorHAnsi"/>
        </w:rPr>
        <w:t xml:space="preserve">ustanovení předpisů </w:t>
      </w:r>
      <w:r>
        <w:rPr>
          <w:rFonts w:cs="Calibri"/>
        </w:rPr>
        <w:t xml:space="preserve">pro vedení účetnictví organizačních složek státu </w:t>
      </w:r>
      <w:r w:rsidR="00FD4263">
        <w:rPr>
          <w:rFonts w:asciiTheme="minorHAnsi" w:hAnsiTheme="minorHAnsi" w:cstheme="minorHAnsi"/>
        </w:rPr>
        <w:t xml:space="preserve">(viz část I.4. tohoto kontrolního závěru), </w:t>
      </w:r>
      <w:r w:rsidR="005161AE">
        <w:rPr>
          <w:rFonts w:asciiTheme="minorHAnsi" w:hAnsiTheme="minorHAnsi" w:cstheme="minorHAnsi"/>
        </w:rPr>
        <w:t xml:space="preserve">které </w:t>
      </w:r>
      <w:r w:rsidR="009C6C1F">
        <w:rPr>
          <w:rFonts w:asciiTheme="minorHAnsi" w:hAnsiTheme="minorHAnsi" w:cstheme="minorHAnsi"/>
        </w:rPr>
        <w:t xml:space="preserve">představují </w:t>
      </w:r>
      <w:r w:rsidR="00FD4263">
        <w:rPr>
          <w:rFonts w:asciiTheme="minorHAnsi" w:hAnsiTheme="minorHAnsi" w:cstheme="minorHAnsi"/>
        </w:rPr>
        <w:t>zvýšené nároky na správné zaúčtování a vykázání některých účetních případů.</w:t>
      </w:r>
    </w:p>
    <w:p w14:paraId="18B02DE6" w14:textId="77777777" w:rsidR="003909E2" w:rsidRDefault="003909E2" w:rsidP="00B30899">
      <w:pPr>
        <w:spacing w:after="0"/>
        <w:jc w:val="both"/>
        <w:rPr>
          <w:rFonts w:eastAsia="Calibri" w:cs="Calibri"/>
        </w:rPr>
      </w:pPr>
    </w:p>
    <w:p w14:paraId="39DD968A" w14:textId="77777777" w:rsidR="00D97754" w:rsidRDefault="00D97754" w:rsidP="00B30899">
      <w:pPr>
        <w:spacing w:after="0"/>
        <w:jc w:val="both"/>
        <w:rPr>
          <w:rFonts w:eastAsia="Calibri" w:cs="Calibri"/>
        </w:rPr>
      </w:pPr>
    </w:p>
    <w:p w14:paraId="04E4F8A3" w14:textId="77777777" w:rsidR="0033466E" w:rsidRPr="00B30899" w:rsidRDefault="00F71588" w:rsidP="00463EB3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A640AE" w:rsidRPr="00B30899">
        <w:rPr>
          <w:rFonts w:ascii="Calibri" w:hAnsi="Calibri" w:cs="Calibri"/>
        </w:rPr>
        <w:t xml:space="preserve">. </w:t>
      </w:r>
      <w:r w:rsidR="0028444B">
        <w:rPr>
          <w:rFonts w:ascii="Calibri" w:hAnsi="Calibri" w:cs="Calibri"/>
        </w:rPr>
        <w:t>Spolehlivost</w:t>
      </w:r>
      <w:r w:rsidR="000D1EC1">
        <w:rPr>
          <w:rFonts w:ascii="Calibri" w:hAnsi="Calibri" w:cs="Calibri"/>
        </w:rPr>
        <w:t xml:space="preserve"> </w:t>
      </w:r>
      <w:r w:rsidR="0028444B">
        <w:rPr>
          <w:rFonts w:ascii="Calibri" w:hAnsi="Calibri" w:cs="Calibri"/>
        </w:rPr>
        <w:t xml:space="preserve">výkazu pro hodnocení plnění rozpočtu </w:t>
      </w:r>
      <w:r w:rsidR="00A1771E">
        <w:rPr>
          <w:rFonts w:ascii="Calibri" w:hAnsi="Calibri" w:cs="Calibri"/>
        </w:rPr>
        <w:t>Ministerstv</w:t>
      </w:r>
      <w:r w:rsidR="0028444B">
        <w:rPr>
          <w:rFonts w:ascii="Calibri" w:hAnsi="Calibri" w:cs="Calibri"/>
        </w:rPr>
        <w:t>a</w:t>
      </w:r>
      <w:r w:rsidR="00A1771E">
        <w:rPr>
          <w:rFonts w:ascii="Calibri" w:hAnsi="Calibri" w:cs="Calibri"/>
        </w:rPr>
        <w:t xml:space="preserve"> </w:t>
      </w:r>
      <w:r w:rsidR="00F65CE6">
        <w:rPr>
          <w:rFonts w:ascii="Calibri" w:hAnsi="Calibri" w:cs="Calibri"/>
        </w:rPr>
        <w:t>doprav</w:t>
      </w:r>
      <w:r w:rsidR="00A1771E">
        <w:rPr>
          <w:rFonts w:ascii="Calibri" w:hAnsi="Calibri" w:cs="Calibri"/>
        </w:rPr>
        <w:t xml:space="preserve">y </w:t>
      </w:r>
      <w:r w:rsidR="0028444B">
        <w:rPr>
          <w:rFonts w:ascii="Calibri" w:hAnsi="Calibri" w:cs="Calibri"/>
        </w:rPr>
        <w:t>sestaveného k 31. 12. </w:t>
      </w:r>
      <w:r w:rsidR="00747FFC" w:rsidRPr="00B30899">
        <w:rPr>
          <w:rFonts w:ascii="Calibri" w:hAnsi="Calibri" w:cs="Calibri"/>
        </w:rPr>
        <w:t>201</w:t>
      </w:r>
      <w:r w:rsidR="00A1771E">
        <w:rPr>
          <w:rFonts w:ascii="Calibri" w:hAnsi="Calibri" w:cs="Calibri"/>
        </w:rPr>
        <w:t>8</w:t>
      </w:r>
    </w:p>
    <w:p w14:paraId="5F234A26" w14:textId="22FDD2F3" w:rsidR="00C953C7" w:rsidRDefault="0028444B" w:rsidP="00100FAA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K</w:t>
      </w:r>
      <w:r w:rsidRPr="00B30899">
        <w:rPr>
          <w:rFonts w:eastAsia="Calibri" w:cs="Calibri"/>
        </w:rPr>
        <w:t xml:space="preserve">ontrolou </w:t>
      </w:r>
      <w:r>
        <w:rPr>
          <w:rFonts w:eastAsia="Calibri" w:cs="Calibri"/>
        </w:rPr>
        <w:t xml:space="preserve">bylo </w:t>
      </w:r>
      <w:r w:rsidRPr="00B30899">
        <w:rPr>
          <w:rFonts w:eastAsia="Calibri" w:cs="Calibri"/>
        </w:rPr>
        <w:t xml:space="preserve">zjištěno, že </w:t>
      </w:r>
      <w:r>
        <w:rPr>
          <w:rFonts w:eastAsia="Calibri" w:cs="Calibri"/>
        </w:rPr>
        <w:t xml:space="preserve">MD </w:t>
      </w:r>
      <w:r w:rsidRPr="00B30899">
        <w:rPr>
          <w:rFonts w:eastAsia="Calibri" w:cs="Calibri"/>
        </w:rPr>
        <w:t xml:space="preserve">některé informace </w:t>
      </w:r>
      <w:r w:rsidR="00AF3705">
        <w:rPr>
          <w:rFonts w:asciiTheme="minorHAnsi" w:hAnsiTheme="minorHAnsi" w:cstheme="minorHAnsi"/>
        </w:rPr>
        <w:t>v</w:t>
      </w:r>
      <w:r w:rsidR="00C953C7" w:rsidRPr="004E302A">
        <w:rPr>
          <w:rFonts w:asciiTheme="minorHAnsi" w:hAnsiTheme="minorHAnsi" w:cstheme="minorHAnsi"/>
        </w:rPr>
        <w:t xml:space="preserve">e výkazu pro hodnocení plnění rozpočtu Ministerstva dopravy sestaveném k 31. 12. 2018 </w:t>
      </w:r>
      <w:r w:rsidR="00C953C7">
        <w:rPr>
          <w:rFonts w:eastAsia="Calibri" w:cs="Calibri"/>
        </w:rPr>
        <w:t xml:space="preserve">(dále také „výkaz FIN 1-12 OSS“) </w:t>
      </w:r>
      <w:r w:rsidRPr="00B30899">
        <w:rPr>
          <w:rFonts w:eastAsia="Calibri" w:cs="Calibri"/>
        </w:rPr>
        <w:t>nevykázalo v souladu s právními předpisy</w:t>
      </w:r>
      <w:r>
        <w:rPr>
          <w:rFonts w:eastAsia="Calibri" w:cs="Calibri"/>
        </w:rPr>
        <w:t xml:space="preserve">. V údajích </w:t>
      </w:r>
      <w:r w:rsidR="00C953C7">
        <w:rPr>
          <w:rFonts w:eastAsia="Calibri" w:cs="Calibri"/>
        </w:rPr>
        <w:t xml:space="preserve">ve sloupci </w:t>
      </w:r>
      <w:r w:rsidR="00AF3705">
        <w:rPr>
          <w:rFonts w:eastAsia="Calibri" w:cs="Calibri"/>
        </w:rPr>
        <w:t>„</w:t>
      </w:r>
      <w:r w:rsidR="00C953C7">
        <w:rPr>
          <w:rFonts w:eastAsia="Calibri" w:cs="Calibri"/>
        </w:rPr>
        <w:t>skutečnost</w:t>
      </w:r>
      <w:r w:rsidR="00AF3705">
        <w:rPr>
          <w:rFonts w:eastAsia="Calibri" w:cs="Calibri"/>
        </w:rPr>
        <w:t>“</w:t>
      </w:r>
      <w:r w:rsidR="00C953C7">
        <w:rPr>
          <w:rFonts w:eastAsia="Calibri" w:cs="Calibri"/>
        </w:rPr>
        <w:t xml:space="preserve"> byly z hlediska </w:t>
      </w:r>
      <w:r w:rsidR="00C953C7" w:rsidRPr="00C953C7">
        <w:rPr>
          <w:rFonts w:eastAsia="Calibri" w:cs="Calibri"/>
          <w:b/>
        </w:rPr>
        <w:t xml:space="preserve">odvětvového </w:t>
      </w:r>
      <w:r w:rsidR="00C953C7">
        <w:rPr>
          <w:rFonts w:eastAsia="Calibri" w:cs="Calibri"/>
          <w:b/>
        </w:rPr>
        <w:t>členění</w:t>
      </w:r>
      <w:r w:rsidR="00C953C7">
        <w:rPr>
          <w:rFonts w:eastAsia="Calibri" w:cs="Calibri"/>
        </w:rPr>
        <w:t xml:space="preserve"> rozpočtové skladby </w:t>
      </w:r>
      <w:r>
        <w:rPr>
          <w:rFonts w:eastAsia="Calibri" w:cs="Calibri"/>
        </w:rPr>
        <w:t xml:space="preserve">zjištěny </w:t>
      </w:r>
      <w:r w:rsidR="00764B6F" w:rsidRPr="00764B6F">
        <w:rPr>
          <w:rFonts w:eastAsia="Calibri" w:cs="Calibri"/>
          <w:b/>
        </w:rPr>
        <w:t>významné</w:t>
      </w:r>
      <w:r w:rsidR="0019669E">
        <w:rPr>
          <w:rFonts w:eastAsia="Calibri" w:cs="Calibri"/>
          <w:b/>
          <w:vertAlign w:val="superscript"/>
        </w:rPr>
        <w:t>1</w:t>
      </w:r>
      <w:r w:rsidR="00764B6F">
        <w:rPr>
          <w:rFonts w:eastAsia="Calibri" w:cs="Calibri"/>
        </w:rPr>
        <w:t xml:space="preserve"> </w:t>
      </w:r>
      <w:r w:rsidRPr="00C953C7">
        <w:rPr>
          <w:rFonts w:eastAsia="Calibri" w:cs="Calibri"/>
          <w:b/>
        </w:rPr>
        <w:t>nesprávnosti</w:t>
      </w:r>
      <w:r>
        <w:rPr>
          <w:rFonts w:eastAsia="Calibri" w:cs="Calibri"/>
        </w:rPr>
        <w:t xml:space="preserve"> v celkové výši </w:t>
      </w:r>
      <w:r w:rsidR="00C953C7">
        <w:rPr>
          <w:rFonts w:eastAsia="Calibri" w:cs="Calibri"/>
          <w:b/>
        </w:rPr>
        <w:t>3</w:t>
      </w:r>
      <w:r>
        <w:rPr>
          <w:rFonts w:eastAsia="Calibri" w:cs="Calibri"/>
          <w:b/>
        </w:rPr>
        <w:t>,</w:t>
      </w:r>
      <w:r w:rsidR="00C953C7">
        <w:rPr>
          <w:rFonts w:eastAsia="Calibri" w:cs="Calibri"/>
          <w:b/>
        </w:rPr>
        <w:t>7</w:t>
      </w:r>
      <w:r w:rsidR="00C22D2B">
        <w:rPr>
          <w:rFonts w:eastAsia="Calibri" w:cs="Calibri"/>
          <w:b/>
        </w:rPr>
        <w:t>6</w:t>
      </w:r>
      <w:r w:rsidRPr="001C7DCC">
        <w:rPr>
          <w:rFonts w:eastAsia="Calibri" w:cs="Calibri"/>
          <w:b/>
        </w:rPr>
        <w:t> ml</w:t>
      </w:r>
      <w:r>
        <w:rPr>
          <w:rFonts w:eastAsia="Calibri" w:cs="Calibri"/>
          <w:b/>
        </w:rPr>
        <w:t>d</w:t>
      </w:r>
      <w:r w:rsidRPr="001C7DCC">
        <w:rPr>
          <w:rFonts w:eastAsia="Calibri" w:cs="Calibri"/>
          <w:b/>
        </w:rPr>
        <w:t>. Kč</w:t>
      </w:r>
      <w:r w:rsidRPr="007833AD">
        <w:rPr>
          <w:rFonts w:eastAsia="Calibri" w:cs="Calibri"/>
          <w:b/>
        </w:rPr>
        <w:t>.</w:t>
      </w:r>
    </w:p>
    <w:p w14:paraId="67E071D6" w14:textId="77777777" w:rsidR="00C953C7" w:rsidRDefault="00C953C7" w:rsidP="00100FAA">
      <w:pPr>
        <w:spacing w:after="0"/>
        <w:jc w:val="both"/>
        <w:rPr>
          <w:rFonts w:eastAsia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616573" w14:paraId="3C7F9E4D" w14:textId="77777777" w:rsidTr="00FE5E0D">
        <w:tc>
          <w:tcPr>
            <w:tcW w:w="9062" w:type="dxa"/>
            <w:shd w:val="clear" w:color="auto" w:fill="E5F1FF"/>
          </w:tcPr>
          <w:p w14:paraId="287C1D5F" w14:textId="77777777" w:rsidR="00616573" w:rsidRPr="00DA7442" w:rsidRDefault="00616573" w:rsidP="00616573">
            <w:pPr>
              <w:spacing w:before="120"/>
              <w:jc w:val="both"/>
              <w:rPr>
                <w:rFonts w:cs="Calibri"/>
                <w:sz w:val="6"/>
                <w:szCs w:val="6"/>
              </w:rPr>
            </w:pPr>
            <w:r>
              <w:rPr>
                <w:rFonts w:eastAsia="Calibri" w:cs="Calibri"/>
              </w:rPr>
              <w:t xml:space="preserve">Z hlediska </w:t>
            </w:r>
            <w:r w:rsidRPr="00C953C7">
              <w:rPr>
                <w:rFonts w:eastAsia="Calibri" w:cs="Calibri"/>
                <w:b/>
              </w:rPr>
              <w:t>druhového členění</w:t>
            </w:r>
            <w:r>
              <w:rPr>
                <w:rFonts w:eastAsia="Calibri" w:cs="Calibri"/>
              </w:rPr>
              <w:t xml:space="preserve"> a </w:t>
            </w:r>
            <w:r w:rsidRPr="00C953C7">
              <w:rPr>
                <w:rFonts w:eastAsia="Calibri" w:cs="Calibri"/>
                <w:b/>
              </w:rPr>
              <w:t xml:space="preserve">prostorového </w:t>
            </w:r>
            <w:r w:rsidRPr="00C953C7">
              <w:rPr>
                <w:rFonts w:asciiTheme="minorHAnsi" w:hAnsiTheme="minorHAnsi" w:cstheme="minorHAnsi"/>
                <w:b/>
              </w:rPr>
              <w:t>původu</w:t>
            </w:r>
            <w:r w:rsidRPr="004E302A">
              <w:rPr>
                <w:rFonts w:asciiTheme="minorHAnsi" w:hAnsiTheme="minorHAnsi" w:cstheme="minorHAnsi"/>
              </w:rPr>
              <w:t xml:space="preserve"> dle rozpočtové skladby</w:t>
            </w:r>
            <w:r>
              <w:rPr>
                <w:rFonts w:asciiTheme="minorHAnsi" w:hAnsiTheme="minorHAnsi" w:cstheme="minorHAnsi"/>
              </w:rPr>
              <w:t xml:space="preserve"> nezjistil NKÚ ve výkazu FIN 1-12 OSS </w:t>
            </w:r>
            <w:r w:rsidRPr="00C953C7">
              <w:rPr>
                <w:rFonts w:asciiTheme="minorHAnsi" w:hAnsiTheme="minorHAnsi" w:cstheme="minorHAnsi"/>
                <w:b/>
              </w:rPr>
              <w:t>žádné významné nesprávnosti</w:t>
            </w:r>
            <w:r w:rsidRPr="007833AD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6E8D32E" w14:textId="77777777" w:rsidR="00616573" w:rsidRDefault="00616573" w:rsidP="00100FAA">
      <w:pPr>
        <w:spacing w:after="0"/>
        <w:jc w:val="both"/>
        <w:rPr>
          <w:rFonts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DA7442" w14:paraId="1FDF36AB" w14:textId="77777777" w:rsidTr="00DA7442">
        <w:tc>
          <w:tcPr>
            <w:tcW w:w="9062" w:type="dxa"/>
            <w:shd w:val="clear" w:color="auto" w:fill="E5F1FF"/>
          </w:tcPr>
          <w:p w14:paraId="2CFA5212" w14:textId="7E927683" w:rsidR="00764B6F" w:rsidRPr="00D3262A" w:rsidRDefault="00FA2B90" w:rsidP="00D3262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FA2B90">
              <w:rPr>
                <w:rFonts w:asciiTheme="minorHAnsi" w:hAnsiTheme="minorHAnsi" w:cstheme="minorHAnsi"/>
              </w:rPr>
              <w:t>Z hlediska</w:t>
            </w:r>
            <w:r w:rsidRPr="00FB7B71">
              <w:rPr>
                <w:rFonts w:asciiTheme="minorHAnsi" w:hAnsiTheme="minorHAnsi" w:cstheme="minorHAnsi"/>
                <w:b/>
              </w:rPr>
              <w:t xml:space="preserve"> odvětvového </w:t>
            </w:r>
            <w:r>
              <w:rPr>
                <w:rFonts w:asciiTheme="minorHAnsi" w:hAnsiTheme="minorHAnsi" w:cstheme="minorHAnsi"/>
                <w:b/>
              </w:rPr>
              <w:t xml:space="preserve">členění </w:t>
            </w:r>
            <w:r w:rsidRPr="00FA2B90">
              <w:rPr>
                <w:rFonts w:asciiTheme="minorHAnsi" w:hAnsiTheme="minorHAnsi" w:cstheme="minorHAnsi"/>
              </w:rPr>
              <w:t>dle rozpočtové skladby byly</w:t>
            </w:r>
            <w:r w:rsidR="00764B6F" w:rsidRPr="00FA2B90">
              <w:rPr>
                <w:rFonts w:asciiTheme="minorHAnsi" w:hAnsiTheme="minorHAnsi" w:cstheme="minorHAnsi"/>
              </w:rPr>
              <w:t xml:space="preserve"> </w:t>
            </w:r>
            <w:r w:rsidRPr="00FA2B90">
              <w:rPr>
                <w:rFonts w:asciiTheme="minorHAnsi" w:hAnsiTheme="minorHAnsi" w:cstheme="minorHAnsi"/>
              </w:rPr>
              <w:t xml:space="preserve">při </w:t>
            </w:r>
            <w:r w:rsidR="00764B6F" w:rsidRPr="00FA2B90">
              <w:rPr>
                <w:rFonts w:asciiTheme="minorHAnsi" w:hAnsiTheme="minorHAnsi" w:cstheme="minorHAnsi"/>
              </w:rPr>
              <w:t>kontrole zjištěny</w:t>
            </w:r>
            <w:r w:rsidR="00764B6F" w:rsidRPr="00FE1A4D">
              <w:rPr>
                <w:rFonts w:asciiTheme="minorHAnsi" w:hAnsiTheme="minorHAnsi" w:cstheme="minorHAnsi"/>
                <w:b/>
              </w:rPr>
              <w:t xml:space="preserve"> nesprávnosti s významným dopadem na výkaz FIN 1-12 OSS</w:t>
            </w:r>
            <w:r w:rsidR="008E603B" w:rsidRPr="00FE1A4D">
              <w:rPr>
                <w:rFonts w:asciiTheme="minorHAnsi" w:hAnsiTheme="minorHAnsi" w:cstheme="minorHAnsi"/>
                <w:b/>
              </w:rPr>
              <w:t>, kdy MD</w:t>
            </w:r>
            <w:r w:rsidR="008E603B" w:rsidRPr="00D3262A">
              <w:rPr>
                <w:rFonts w:asciiTheme="minorHAnsi" w:hAnsiTheme="minorHAnsi" w:cstheme="minorHAnsi"/>
              </w:rPr>
              <w:t xml:space="preserve"> </w:t>
            </w:r>
            <w:r w:rsidR="00FE1A4D" w:rsidRPr="00FB7B71">
              <w:rPr>
                <w:rFonts w:asciiTheme="minorHAnsi" w:hAnsiTheme="minorHAnsi" w:cstheme="minorHAnsi"/>
                <w:b/>
              </w:rPr>
              <w:t>zatříd</w:t>
            </w:r>
            <w:r w:rsidR="00FB7B71" w:rsidRPr="00FB7B71">
              <w:rPr>
                <w:rFonts w:asciiTheme="minorHAnsi" w:hAnsiTheme="minorHAnsi" w:cstheme="minorHAnsi"/>
                <w:b/>
              </w:rPr>
              <w:t xml:space="preserve">ilo </w:t>
            </w:r>
            <w:r w:rsidR="00764B6F" w:rsidRPr="00FB7B71">
              <w:rPr>
                <w:rFonts w:asciiTheme="minorHAnsi" w:hAnsiTheme="minorHAnsi" w:cstheme="minorHAnsi"/>
                <w:b/>
              </w:rPr>
              <w:t>výdaj</w:t>
            </w:r>
            <w:r w:rsidR="00FB7B71" w:rsidRPr="00FB7B71">
              <w:rPr>
                <w:rFonts w:asciiTheme="minorHAnsi" w:hAnsiTheme="minorHAnsi" w:cstheme="minorHAnsi"/>
                <w:b/>
              </w:rPr>
              <w:t>e</w:t>
            </w:r>
            <w:r w:rsidR="005F688C">
              <w:rPr>
                <w:rFonts w:asciiTheme="minorHAnsi" w:hAnsiTheme="minorHAnsi" w:cstheme="minorHAnsi"/>
                <w:b/>
              </w:rPr>
              <w:t xml:space="preserve"> na</w:t>
            </w:r>
            <w:r w:rsidR="0058677F">
              <w:rPr>
                <w:rFonts w:asciiTheme="minorHAnsi" w:hAnsiTheme="minorHAnsi" w:cstheme="minorHAnsi"/>
                <w:b/>
              </w:rPr>
              <w:t xml:space="preserve"> </w:t>
            </w:r>
            <w:r w:rsidR="00764B6F" w:rsidRPr="00FB7B71">
              <w:rPr>
                <w:rFonts w:asciiTheme="minorHAnsi" w:hAnsiTheme="minorHAnsi" w:cstheme="minorHAnsi"/>
                <w:b/>
              </w:rPr>
              <w:t xml:space="preserve">paragraf rozpočtové skladby </w:t>
            </w:r>
            <w:r w:rsidR="00764B6F" w:rsidRPr="007833AD">
              <w:rPr>
                <w:rFonts w:asciiTheme="minorHAnsi" w:hAnsiTheme="minorHAnsi" w:cstheme="minorHAnsi"/>
                <w:b/>
              </w:rPr>
              <w:t>2299</w:t>
            </w:r>
            <w:r w:rsidR="00764B6F" w:rsidRPr="00FB7B71">
              <w:rPr>
                <w:rFonts w:asciiTheme="minorHAnsi" w:hAnsiTheme="minorHAnsi" w:cstheme="minorHAnsi"/>
                <w:b/>
                <w:i/>
              </w:rPr>
              <w:t> – Ostatní záležitosti v</w:t>
            </w:r>
            <w:r w:rsidR="00FE1A4D" w:rsidRPr="00FB7B71">
              <w:rPr>
                <w:rFonts w:asciiTheme="minorHAnsi" w:hAnsiTheme="minorHAnsi" w:cstheme="minorHAnsi"/>
                <w:b/>
                <w:i/>
              </w:rPr>
              <w:t> </w:t>
            </w:r>
            <w:r w:rsidR="00764B6F" w:rsidRPr="00FB7B71">
              <w:rPr>
                <w:rFonts w:asciiTheme="minorHAnsi" w:hAnsiTheme="minorHAnsi" w:cstheme="minorHAnsi"/>
                <w:b/>
                <w:i/>
              </w:rPr>
              <w:t>dopravě</w:t>
            </w:r>
            <w:r w:rsidR="00FE1A4D" w:rsidRPr="00FB7B71">
              <w:rPr>
                <w:rFonts w:asciiTheme="minorHAnsi" w:hAnsiTheme="minorHAnsi" w:cstheme="minorHAnsi"/>
                <w:b/>
              </w:rPr>
              <w:t xml:space="preserve">, přestože mělo informace o tom, na jaké </w:t>
            </w:r>
            <w:r w:rsidR="00FB7B71" w:rsidRPr="00FB7B71">
              <w:rPr>
                <w:rFonts w:asciiTheme="minorHAnsi" w:hAnsiTheme="minorHAnsi" w:cstheme="minorHAnsi"/>
                <w:b/>
              </w:rPr>
              <w:t xml:space="preserve">konkrétní </w:t>
            </w:r>
            <w:r w:rsidR="00FE1A4D" w:rsidRPr="00FB7B71">
              <w:rPr>
                <w:rFonts w:asciiTheme="minorHAnsi" w:hAnsiTheme="minorHAnsi" w:cstheme="minorHAnsi"/>
                <w:b/>
              </w:rPr>
              <w:t>odvětví peněžní prostředky poskytuje</w:t>
            </w:r>
            <w:r w:rsidR="00FE1A4D" w:rsidRPr="007833AD">
              <w:rPr>
                <w:rFonts w:asciiTheme="minorHAnsi" w:hAnsiTheme="minorHAnsi" w:cstheme="minorHAnsi"/>
                <w:b/>
              </w:rPr>
              <w:t>.</w:t>
            </w:r>
            <w:r w:rsidR="00FE1A4D">
              <w:rPr>
                <w:rFonts w:asciiTheme="minorHAnsi" w:hAnsiTheme="minorHAnsi" w:cstheme="minorHAnsi"/>
              </w:rPr>
              <w:t xml:space="preserve"> </w:t>
            </w:r>
            <w:r w:rsidR="00FE1A4D" w:rsidRPr="00C6684D">
              <w:rPr>
                <w:rFonts w:eastAsia="Calibri" w:cs="Calibri"/>
              </w:rPr>
              <w:t xml:space="preserve">V důsledku této nesprávnosti byl </w:t>
            </w:r>
            <w:r w:rsidR="00FE1A4D" w:rsidRPr="00FE1A4D">
              <w:rPr>
                <w:rFonts w:asciiTheme="minorHAnsi" w:hAnsiTheme="minorHAnsi" w:cstheme="minorHAnsi"/>
                <w:b/>
              </w:rPr>
              <w:t xml:space="preserve">paragraf </w:t>
            </w:r>
            <w:r w:rsidR="00FB7B71">
              <w:rPr>
                <w:rFonts w:asciiTheme="minorHAnsi" w:hAnsiTheme="minorHAnsi" w:cstheme="minorHAnsi"/>
                <w:b/>
              </w:rPr>
              <w:t xml:space="preserve">rozpočtové skladby </w:t>
            </w:r>
            <w:r w:rsidR="00FE1A4D" w:rsidRPr="00FE1A4D">
              <w:rPr>
                <w:rFonts w:asciiTheme="minorHAnsi" w:hAnsiTheme="minorHAnsi" w:cstheme="minorHAnsi"/>
                <w:b/>
              </w:rPr>
              <w:t xml:space="preserve">2299 </w:t>
            </w:r>
            <w:r w:rsidR="00FB7B71">
              <w:rPr>
                <w:rFonts w:asciiTheme="minorHAnsi" w:hAnsiTheme="minorHAnsi" w:cstheme="minorHAnsi"/>
                <w:b/>
              </w:rPr>
              <w:t xml:space="preserve">nadhodnocen </w:t>
            </w:r>
            <w:r w:rsidR="00FE1A4D" w:rsidRPr="00FE1A4D">
              <w:rPr>
                <w:rFonts w:asciiTheme="minorHAnsi" w:hAnsiTheme="minorHAnsi" w:cstheme="minorHAnsi"/>
                <w:b/>
              </w:rPr>
              <w:t>o 3,76 mld. Kč</w:t>
            </w:r>
            <w:r w:rsidR="00FE1A4D" w:rsidRPr="007833AD">
              <w:rPr>
                <w:rFonts w:asciiTheme="minorHAnsi" w:hAnsiTheme="minorHAnsi" w:cstheme="minorHAnsi"/>
                <w:b/>
              </w:rPr>
              <w:t>.</w:t>
            </w:r>
            <w:r w:rsidR="00FE1A4D">
              <w:rPr>
                <w:rFonts w:asciiTheme="minorHAnsi" w:hAnsiTheme="minorHAnsi" w:cstheme="minorHAnsi"/>
              </w:rPr>
              <w:t xml:space="preserve"> Tyto výdaje mělo MD </w:t>
            </w:r>
            <w:r w:rsidR="00764B6F" w:rsidRPr="00D3262A">
              <w:rPr>
                <w:rFonts w:asciiTheme="minorHAnsi" w:hAnsiTheme="minorHAnsi" w:cstheme="minorHAnsi"/>
              </w:rPr>
              <w:t>zatřídit</w:t>
            </w:r>
            <w:r w:rsidR="008E603B" w:rsidRPr="00D3262A">
              <w:rPr>
                <w:rFonts w:asciiTheme="minorHAnsi" w:hAnsiTheme="minorHAnsi" w:cstheme="minorHAnsi"/>
              </w:rPr>
              <w:t xml:space="preserve"> ve výši</w:t>
            </w:r>
            <w:r w:rsidR="00764B6F" w:rsidRPr="00D3262A">
              <w:rPr>
                <w:rFonts w:asciiTheme="minorHAnsi" w:hAnsiTheme="minorHAnsi" w:cstheme="minorHAnsi"/>
              </w:rPr>
              <w:t>:</w:t>
            </w:r>
          </w:p>
          <w:p w14:paraId="1A2B4586" w14:textId="53D96F4F" w:rsidR="00764B6F" w:rsidRPr="00981A93" w:rsidRDefault="00764B6F" w:rsidP="00AC46B0">
            <w:pPr>
              <w:pStyle w:val="Odstavecseseznamem"/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981A93">
              <w:rPr>
                <w:rFonts w:asciiTheme="minorHAnsi" w:hAnsiTheme="minorHAnsi" w:cstheme="minorHAnsi"/>
                <w:b/>
              </w:rPr>
              <w:t>2,3</w:t>
            </w:r>
            <w:r w:rsidR="003765AC" w:rsidRPr="00981A93">
              <w:rPr>
                <w:rFonts w:asciiTheme="minorHAnsi" w:hAnsiTheme="minorHAnsi" w:cstheme="minorHAnsi"/>
                <w:b/>
              </w:rPr>
              <w:t>2</w:t>
            </w:r>
            <w:r w:rsidRPr="00981A93">
              <w:rPr>
                <w:rFonts w:asciiTheme="minorHAnsi" w:hAnsiTheme="minorHAnsi" w:cstheme="minorHAnsi"/>
                <w:b/>
              </w:rPr>
              <w:t xml:space="preserve"> mld. Kč</w:t>
            </w:r>
            <w:r w:rsidRPr="00981A93">
              <w:rPr>
                <w:rFonts w:asciiTheme="minorHAnsi" w:hAnsiTheme="minorHAnsi" w:cstheme="minorHAnsi"/>
              </w:rPr>
              <w:t xml:space="preserve"> na </w:t>
            </w:r>
            <w:r w:rsidRPr="00981A93">
              <w:rPr>
                <w:rFonts w:asciiTheme="minorHAnsi" w:hAnsiTheme="minorHAnsi" w:cstheme="minorHAnsi"/>
                <w:b/>
              </w:rPr>
              <w:t xml:space="preserve">paragraf rozpočtové skladby </w:t>
            </w:r>
            <w:r w:rsidRPr="007833AD">
              <w:rPr>
                <w:rFonts w:asciiTheme="minorHAnsi" w:hAnsiTheme="minorHAnsi" w:cstheme="minorHAnsi"/>
                <w:b/>
              </w:rPr>
              <w:t>2241</w:t>
            </w:r>
            <w:r w:rsidRPr="00981A93">
              <w:rPr>
                <w:rFonts w:asciiTheme="minorHAnsi" w:hAnsiTheme="minorHAnsi" w:cstheme="minorHAnsi"/>
                <w:b/>
                <w:i/>
              </w:rPr>
              <w:t> – Železniční dráhy</w:t>
            </w:r>
            <w:r w:rsidR="005F688C" w:rsidRPr="007833AD">
              <w:rPr>
                <w:rFonts w:asciiTheme="minorHAnsi" w:hAnsiTheme="minorHAnsi" w:cstheme="minorHAnsi"/>
                <w:b/>
              </w:rPr>
              <w:t>,</w:t>
            </w:r>
            <w:r w:rsidR="005F688C">
              <w:rPr>
                <w:rFonts w:asciiTheme="minorHAnsi" w:hAnsiTheme="minorHAnsi" w:cstheme="minorHAnsi"/>
              </w:rPr>
              <w:t xml:space="preserve"> který je</w:t>
            </w:r>
            <w:r w:rsidR="00BD39F8">
              <w:rPr>
                <w:rFonts w:asciiTheme="minorHAnsi" w:hAnsiTheme="minorHAnsi" w:cstheme="minorHAnsi"/>
              </w:rPr>
              <w:t xml:space="preserve"> </w:t>
            </w:r>
            <w:r w:rsidR="0045596F">
              <w:rPr>
                <w:rFonts w:asciiTheme="minorHAnsi" w:hAnsiTheme="minorHAnsi" w:cstheme="minorHAnsi"/>
              </w:rPr>
              <w:t>o </w:t>
            </w:r>
            <w:r w:rsidR="00FE1A4D" w:rsidRPr="00981A93">
              <w:rPr>
                <w:rFonts w:asciiTheme="minorHAnsi" w:hAnsiTheme="minorHAnsi" w:cstheme="minorHAnsi"/>
              </w:rPr>
              <w:t xml:space="preserve">uvedenou částku </w:t>
            </w:r>
            <w:r w:rsidR="00FE1A4D" w:rsidRPr="00981A93">
              <w:rPr>
                <w:rFonts w:asciiTheme="minorHAnsi" w:hAnsiTheme="minorHAnsi" w:cstheme="minorHAnsi"/>
                <w:b/>
              </w:rPr>
              <w:t>podhodnocen</w:t>
            </w:r>
            <w:r w:rsidRPr="007833AD">
              <w:rPr>
                <w:rFonts w:asciiTheme="minorHAnsi" w:hAnsiTheme="minorHAnsi" w:cstheme="minorHAnsi"/>
                <w:b/>
              </w:rPr>
              <w:t>,</w:t>
            </w:r>
          </w:p>
          <w:p w14:paraId="0916D603" w14:textId="77777777" w:rsidR="00764B6F" w:rsidRPr="00981A93" w:rsidRDefault="00764B6F" w:rsidP="008E603B">
            <w:pPr>
              <w:pStyle w:val="Odstavecseseznamem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981A93">
              <w:rPr>
                <w:rFonts w:asciiTheme="minorHAnsi" w:hAnsiTheme="minorHAnsi" w:cstheme="minorHAnsi"/>
                <w:b/>
              </w:rPr>
              <w:t>1,40 mld. Kč</w:t>
            </w:r>
            <w:r w:rsidRPr="00981A93">
              <w:rPr>
                <w:rFonts w:asciiTheme="minorHAnsi" w:hAnsiTheme="minorHAnsi" w:cstheme="minorHAnsi"/>
              </w:rPr>
              <w:t xml:space="preserve"> na </w:t>
            </w:r>
            <w:r w:rsidRPr="00981A93">
              <w:rPr>
                <w:rFonts w:asciiTheme="minorHAnsi" w:hAnsiTheme="minorHAnsi" w:cstheme="minorHAnsi"/>
                <w:b/>
              </w:rPr>
              <w:t xml:space="preserve">paragraf rozpočtové skladby </w:t>
            </w:r>
            <w:r w:rsidRPr="007833AD">
              <w:rPr>
                <w:rFonts w:asciiTheme="minorHAnsi" w:hAnsiTheme="minorHAnsi" w:cstheme="minorHAnsi"/>
                <w:b/>
              </w:rPr>
              <w:t>2212</w:t>
            </w:r>
            <w:r w:rsidRPr="00981A93">
              <w:rPr>
                <w:rFonts w:asciiTheme="minorHAnsi" w:hAnsiTheme="minorHAnsi" w:cstheme="minorHAnsi"/>
                <w:b/>
                <w:i/>
              </w:rPr>
              <w:t> – Silnice</w:t>
            </w:r>
            <w:r w:rsidR="00FE1A4D" w:rsidRPr="007833AD">
              <w:rPr>
                <w:rFonts w:asciiTheme="minorHAnsi" w:hAnsiTheme="minorHAnsi" w:cstheme="minorHAnsi"/>
                <w:b/>
              </w:rPr>
              <w:t>,</w:t>
            </w:r>
            <w:r w:rsidR="00FE1A4D" w:rsidRPr="00981A93">
              <w:rPr>
                <w:rFonts w:asciiTheme="minorHAnsi" w:hAnsiTheme="minorHAnsi" w:cstheme="minorHAnsi"/>
              </w:rPr>
              <w:t xml:space="preserve"> který je o uvedenou částku </w:t>
            </w:r>
            <w:r w:rsidR="00FE1A4D" w:rsidRPr="00981A93">
              <w:rPr>
                <w:rFonts w:asciiTheme="minorHAnsi" w:hAnsiTheme="minorHAnsi" w:cstheme="minorHAnsi"/>
                <w:b/>
              </w:rPr>
              <w:t>podhodnocen</w:t>
            </w:r>
            <w:r w:rsidR="00BD39F8">
              <w:rPr>
                <w:rFonts w:asciiTheme="minorHAnsi" w:hAnsiTheme="minorHAnsi" w:cstheme="minorHAnsi"/>
                <w:b/>
              </w:rPr>
              <w:t>,</w:t>
            </w:r>
            <w:r w:rsidRPr="00981A93">
              <w:rPr>
                <w:rFonts w:asciiTheme="minorHAnsi" w:hAnsiTheme="minorHAnsi" w:cstheme="minorHAnsi"/>
              </w:rPr>
              <w:t xml:space="preserve"> a</w:t>
            </w:r>
          </w:p>
          <w:p w14:paraId="4C1CEAA2" w14:textId="77777777" w:rsidR="00764B6F" w:rsidRPr="00D3262A" w:rsidRDefault="00764B6F" w:rsidP="008E603B">
            <w:pPr>
              <w:pStyle w:val="Odstavecseseznamem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981A93">
              <w:rPr>
                <w:rFonts w:asciiTheme="minorHAnsi" w:hAnsiTheme="minorHAnsi" w:cstheme="minorHAnsi"/>
                <w:b/>
              </w:rPr>
              <w:t>0,04 mld. Kč</w:t>
            </w:r>
            <w:r w:rsidRPr="00981A93">
              <w:rPr>
                <w:rFonts w:asciiTheme="minorHAnsi" w:hAnsiTheme="minorHAnsi" w:cstheme="minorHAnsi"/>
              </w:rPr>
              <w:t xml:space="preserve"> na</w:t>
            </w:r>
            <w:r w:rsidRPr="00D3262A">
              <w:rPr>
                <w:rFonts w:asciiTheme="minorHAnsi" w:hAnsiTheme="minorHAnsi" w:cstheme="minorHAnsi"/>
              </w:rPr>
              <w:t xml:space="preserve"> </w:t>
            </w:r>
            <w:r w:rsidRPr="00FB7B71">
              <w:rPr>
                <w:rFonts w:asciiTheme="minorHAnsi" w:hAnsiTheme="minorHAnsi" w:cstheme="minorHAnsi"/>
                <w:b/>
              </w:rPr>
              <w:t xml:space="preserve">paragraf rozpočtové skladby </w:t>
            </w:r>
            <w:r w:rsidRPr="007833AD">
              <w:rPr>
                <w:rFonts w:asciiTheme="minorHAnsi" w:hAnsiTheme="minorHAnsi" w:cstheme="minorHAnsi"/>
                <w:b/>
              </w:rPr>
              <w:t>2211</w:t>
            </w:r>
            <w:r w:rsidRPr="00FB7B71">
              <w:rPr>
                <w:rFonts w:asciiTheme="minorHAnsi" w:hAnsiTheme="minorHAnsi" w:cstheme="minorHAnsi"/>
                <w:b/>
                <w:i/>
              </w:rPr>
              <w:t> – Dálnice</w:t>
            </w:r>
            <w:r w:rsidR="00FE1A4D" w:rsidRPr="007833AD">
              <w:rPr>
                <w:rFonts w:asciiTheme="minorHAnsi" w:hAnsiTheme="minorHAnsi" w:cstheme="minorHAnsi"/>
                <w:b/>
              </w:rPr>
              <w:t>,</w:t>
            </w:r>
            <w:r w:rsidR="00FE1A4D">
              <w:rPr>
                <w:rFonts w:asciiTheme="minorHAnsi" w:hAnsiTheme="minorHAnsi" w:cstheme="minorHAnsi"/>
              </w:rPr>
              <w:t xml:space="preserve"> který je o uvedenou částku </w:t>
            </w:r>
            <w:r w:rsidR="00FE1A4D" w:rsidRPr="00FB7B71">
              <w:rPr>
                <w:rFonts w:asciiTheme="minorHAnsi" w:hAnsiTheme="minorHAnsi" w:cstheme="minorHAnsi"/>
                <w:b/>
              </w:rPr>
              <w:t>podhodnocen</w:t>
            </w:r>
            <w:r w:rsidR="00D3262A" w:rsidRPr="007833AD">
              <w:rPr>
                <w:rFonts w:asciiTheme="minorHAnsi" w:hAnsiTheme="minorHAnsi" w:cstheme="minorHAnsi"/>
                <w:b/>
              </w:rPr>
              <w:t>.</w:t>
            </w:r>
          </w:p>
          <w:p w14:paraId="0C6235E0" w14:textId="77777777" w:rsidR="00FB7B71" w:rsidRDefault="00764B6F" w:rsidP="00DA74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B7B71">
              <w:rPr>
                <w:rFonts w:asciiTheme="minorHAnsi" w:hAnsiTheme="minorHAnsi" w:cstheme="minorHAnsi"/>
                <w:b/>
              </w:rPr>
              <w:lastRenderedPageBreak/>
              <w:t xml:space="preserve">Uvedené nesprávnosti měly významný vliv na výkaz </w:t>
            </w:r>
            <w:r w:rsidR="008E603B" w:rsidRPr="00FB7B71">
              <w:rPr>
                <w:rFonts w:asciiTheme="minorHAnsi" w:hAnsiTheme="minorHAnsi" w:cstheme="minorHAnsi"/>
                <w:b/>
              </w:rPr>
              <w:t>FIN 1-12 OSS</w:t>
            </w:r>
            <w:r w:rsidRPr="00FB7B71">
              <w:rPr>
                <w:rFonts w:asciiTheme="minorHAnsi" w:hAnsiTheme="minorHAnsi" w:cstheme="minorHAnsi"/>
                <w:b/>
              </w:rPr>
              <w:t>. Z tohoto důvodu</w:t>
            </w:r>
            <w:r w:rsidR="00616573">
              <w:rPr>
                <w:rFonts w:asciiTheme="minorHAnsi" w:hAnsiTheme="minorHAnsi" w:cstheme="minorHAnsi"/>
                <w:b/>
              </w:rPr>
              <w:t xml:space="preserve"> NKÚ</w:t>
            </w:r>
            <w:r w:rsidRPr="00FB7B71">
              <w:rPr>
                <w:rFonts w:asciiTheme="minorHAnsi" w:hAnsiTheme="minorHAnsi" w:cstheme="minorHAnsi"/>
                <w:b/>
              </w:rPr>
              <w:t xml:space="preserve"> vyhodnotil informace na uvedených paragrafech jako nespolehlivé.</w:t>
            </w:r>
          </w:p>
          <w:p w14:paraId="2EB990DE" w14:textId="77777777" w:rsidR="00FA2B90" w:rsidRDefault="00FA2B90" w:rsidP="00DA74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1FF75ADC" w14:textId="77777777" w:rsidR="00764B6F" w:rsidRPr="00FB7B71" w:rsidRDefault="00764B6F" w:rsidP="00DA7442">
            <w:pPr>
              <w:spacing w:after="0"/>
              <w:jc w:val="both"/>
              <w:rPr>
                <w:rFonts w:cs="Calibri"/>
                <w:b/>
              </w:rPr>
            </w:pPr>
            <w:r w:rsidRPr="00FB7B71">
              <w:rPr>
                <w:rFonts w:asciiTheme="minorHAnsi" w:hAnsiTheme="minorHAnsi" w:cstheme="minorHAnsi"/>
                <w:b/>
              </w:rPr>
              <w:t xml:space="preserve">V rozsahu ostatních informací </w:t>
            </w:r>
            <w:r w:rsidR="00616573">
              <w:rPr>
                <w:rFonts w:asciiTheme="minorHAnsi" w:hAnsiTheme="minorHAnsi" w:cstheme="minorHAnsi"/>
                <w:b/>
              </w:rPr>
              <w:t xml:space="preserve">z hlediska odvětvového členění dle rozpočtové skladby </w:t>
            </w:r>
            <w:r w:rsidRPr="00FB7B71">
              <w:rPr>
                <w:rFonts w:asciiTheme="minorHAnsi" w:hAnsiTheme="minorHAnsi" w:cstheme="minorHAnsi"/>
                <w:b/>
              </w:rPr>
              <w:t>nezjistil</w:t>
            </w:r>
            <w:r w:rsidR="00616573">
              <w:rPr>
                <w:rFonts w:asciiTheme="minorHAnsi" w:hAnsiTheme="minorHAnsi" w:cstheme="minorHAnsi"/>
                <w:b/>
              </w:rPr>
              <w:t xml:space="preserve"> NKÚ</w:t>
            </w:r>
            <w:r w:rsidRPr="00FB7B71">
              <w:rPr>
                <w:rFonts w:asciiTheme="minorHAnsi" w:hAnsiTheme="minorHAnsi" w:cstheme="minorHAnsi"/>
                <w:b/>
              </w:rPr>
              <w:t xml:space="preserve"> žádné skutečnosti svědčící o tom, že </w:t>
            </w:r>
            <w:r w:rsidR="00616573">
              <w:rPr>
                <w:rFonts w:asciiTheme="minorHAnsi" w:hAnsiTheme="minorHAnsi" w:cstheme="minorHAnsi"/>
                <w:b/>
              </w:rPr>
              <w:t xml:space="preserve">výkaz </w:t>
            </w:r>
            <w:r w:rsidR="008E603B" w:rsidRPr="00FB7B71">
              <w:rPr>
                <w:rFonts w:asciiTheme="minorHAnsi" w:hAnsiTheme="minorHAnsi" w:cstheme="minorHAnsi"/>
                <w:b/>
              </w:rPr>
              <w:t>FIN 1-12 OSS</w:t>
            </w:r>
            <w:r w:rsidRPr="00FB7B71">
              <w:rPr>
                <w:rFonts w:asciiTheme="minorHAnsi" w:hAnsiTheme="minorHAnsi" w:cstheme="minorHAnsi"/>
                <w:b/>
              </w:rPr>
              <w:t xml:space="preserve"> není ve všech významných ohledech sestaven v souladu s příslušnými právními předpisy.</w:t>
            </w:r>
          </w:p>
          <w:p w14:paraId="6F6564F6" w14:textId="77777777" w:rsidR="00DA7442" w:rsidRPr="00DA7442" w:rsidRDefault="00DA7442" w:rsidP="008E603B">
            <w:pPr>
              <w:spacing w:after="0"/>
              <w:jc w:val="both"/>
              <w:rPr>
                <w:rFonts w:cs="Calibri"/>
                <w:sz w:val="6"/>
                <w:szCs w:val="6"/>
              </w:rPr>
            </w:pPr>
          </w:p>
        </w:tc>
      </w:tr>
    </w:tbl>
    <w:p w14:paraId="5140F6FE" w14:textId="77777777" w:rsidR="00DA7442" w:rsidRDefault="00DA7442" w:rsidP="00100FAA">
      <w:pPr>
        <w:spacing w:after="0"/>
        <w:jc w:val="both"/>
        <w:rPr>
          <w:rFonts w:cs="Calibri"/>
        </w:rPr>
      </w:pPr>
    </w:p>
    <w:p w14:paraId="445042F1" w14:textId="77777777" w:rsidR="00C953C7" w:rsidRDefault="00C953C7" w:rsidP="00C953C7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Podrobnosti k </w:t>
      </w:r>
      <w:r w:rsidR="009F01CA">
        <w:rPr>
          <w:rFonts w:eastAsia="Calibri" w:cs="Calibri"/>
        </w:rPr>
        <w:t>uvede</w:t>
      </w:r>
      <w:r>
        <w:rPr>
          <w:rFonts w:eastAsia="Calibri" w:cs="Calibri"/>
        </w:rPr>
        <w:t xml:space="preserve">ným nesprávnostem ve výkazu FIN 1-12 OSS jsou uvedeny v části </w:t>
      </w:r>
      <w:r w:rsidRPr="00C824F8">
        <w:rPr>
          <w:rFonts w:eastAsia="Calibri" w:cs="Calibri"/>
        </w:rPr>
        <w:t>IV.</w:t>
      </w:r>
      <w:r>
        <w:rPr>
          <w:rFonts w:eastAsia="Calibri" w:cs="Calibri"/>
        </w:rPr>
        <w:t>2</w:t>
      </w:r>
      <w:r w:rsidRPr="00C824F8">
        <w:rPr>
          <w:rFonts w:eastAsia="Calibri" w:cs="Calibri"/>
        </w:rPr>
        <w:t>.</w:t>
      </w:r>
      <w:r>
        <w:rPr>
          <w:rFonts w:eastAsia="Calibri" w:cs="Calibri"/>
        </w:rPr>
        <w:t xml:space="preserve"> tohoto kontrolního závěru.</w:t>
      </w:r>
    </w:p>
    <w:p w14:paraId="5624FB21" w14:textId="77777777" w:rsidR="00F9151D" w:rsidRDefault="00F9151D" w:rsidP="00C953C7">
      <w:pPr>
        <w:spacing w:after="0"/>
        <w:jc w:val="both"/>
        <w:rPr>
          <w:rFonts w:eastAsia="Calibri" w:cs="Calibri"/>
        </w:rPr>
      </w:pPr>
    </w:p>
    <w:p w14:paraId="63C30A30" w14:textId="77777777" w:rsidR="00D97754" w:rsidRDefault="00D97754" w:rsidP="00C953C7">
      <w:pPr>
        <w:spacing w:after="0"/>
        <w:jc w:val="both"/>
        <w:rPr>
          <w:rFonts w:eastAsia="Calibri" w:cs="Calibri"/>
        </w:rPr>
      </w:pPr>
    </w:p>
    <w:p w14:paraId="4C6AAE2D" w14:textId="77777777" w:rsidR="0033466E" w:rsidRPr="00FE1A4D" w:rsidRDefault="00F9151D" w:rsidP="0028444B">
      <w:pPr>
        <w:spacing w:after="160" w:line="259" w:lineRule="auto"/>
        <w:rPr>
          <w:rFonts w:cs="Calibri"/>
          <w:b/>
        </w:rPr>
      </w:pPr>
      <w:r>
        <w:rPr>
          <w:rFonts w:cs="Calibri"/>
          <w:b/>
        </w:rPr>
        <w:t>3</w:t>
      </w:r>
      <w:r w:rsidR="00A640AE" w:rsidRPr="004E442B">
        <w:rPr>
          <w:rFonts w:cs="Calibri"/>
          <w:b/>
        </w:rPr>
        <w:t xml:space="preserve">. Závěrečný účet kapitoly </w:t>
      </w:r>
      <w:r w:rsidR="00980ECB" w:rsidRPr="00396770">
        <w:rPr>
          <w:rFonts w:cs="Calibri"/>
          <w:b/>
        </w:rPr>
        <w:t>327</w:t>
      </w:r>
      <w:r w:rsidR="00A640AE" w:rsidRPr="004E442B">
        <w:rPr>
          <w:rFonts w:cs="Calibri"/>
          <w:b/>
          <w:i/>
        </w:rPr>
        <w:t xml:space="preserve"> </w:t>
      </w:r>
      <w:r w:rsidRPr="004E442B">
        <w:rPr>
          <w:rFonts w:asciiTheme="minorHAnsi" w:hAnsiTheme="minorHAnsi" w:cstheme="minorHAnsi"/>
          <w:b/>
          <w:i/>
        </w:rPr>
        <w:t>–</w:t>
      </w:r>
      <w:r w:rsidR="000E56AE" w:rsidRPr="004E442B">
        <w:rPr>
          <w:rFonts w:asciiTheme="minorHAnsi" w:hAnsiTheme="minorHAnsi" w:cstheme="minorHAnsi"/>
          <w:b/>
          <w:i/>
        </w:rPr>
        <w:t xml:space="preserve"> </w:t>
      </w:r>
      <w:r w:rsidR="00A640AE" w:rsidRPr="004E442B">
        <w:rPr>
          <w:rFonts w:cs="Calibri"/>
          <w:b/>
          <w:i/>
        </w:rPr>
        <w:t>M</w:t>
      </w:r>
      <w:r w:rsidR="000E56AE" w:rsidRPr="004E442B">
        <w:rPr>
          <w:rFonts w:cs="Calibri"/>
          <w:b/>
          <w:i/>
        </w:rPr>
        <w:t>inisterstvo dopravy</w:t>
      </w:r>
      <w:r w:rsidR="00A640AE" w:rsidRPr="004E442B">
        <w:rPr>
          <w:rFonts w:cs="Calibri"/>
          <w:b/>
        </w:rPr>
        <w:t xml:space="preserve"> za rok 201</w:t>
      </w:r>
      <w:r w:rsidR="00BD1756" w:rsidRPr="004E442B">
        <w:rPr>
          <w:rFonts w:cs="Calibri"/>
          <w:b/>
        </w:rPr>
        <w:t>8</w:t>
      </w:r>
    </w:p>
    <w:p w14:paraId="33A8CCEA" w14:textId="0582EC3E" w:rsidR="00BA6E7E" w:rsidRPr="003A1441" w:rsidRDefault="00083E50" w:rsidP="00BA6E7E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Kontrolou byl rovněž prověřen</w:t>
      </w:r>
      <w:r w:rsidR="003A1441" w:rsidRPr="003A1441">
        <w:rPr>
          <w:rFonts w:eastAsia="Calibri" w:cs="Calibri"/>
        </w:rPr>
        <w:t xml:space="preserve"> soulad sestavení</w:t>
      </w:r>
      <w:r w:rsidR="0045596F">
        <w:rPr>
          <w:rFonts w:eastAsia="Calibri" w:cs="Calibri"/>
        </w:rPr>
        <w:t xml:space="preserve"> závěrečného účtu kapitoly 327 –</w:t>
      </w:r>
      <w:r w:rsidR="003A1441" w:rsidRPr="003A1441">
        <w:rPr>
          <w:rFonts w:eastAsia="Calibri" w:cs="Calibri"/>
        </w:rPr>
        <w:t xml:space="preserve"> </w:t>
      </w:r>
      <w:r w:rsidR="003A1441" w:rsidRPr="00396770">
        <w:rPr>
          <w:rFonts w:eastAsia="Calibri" w:cs="Calibri"/>
          <w:i/>
        </w:rPr>
        <w:t>Ministerstvo dopravy</w:t>
      </w:r>
      <w:r w:rsidR="003A1441" w:rsidRPr="003A1441">
        <w:rPr>
          <w:rFonts w:eastAsia="Calibri" w:cs="Calibri"/>
        </w:rPr>
        <w:t xml:space="preserve"> za rok 2018 s vyhláškou č. 419/2001 Sb</w:t>
      </w:r>
      <w:r w:rsidR="003A1441" w:rsidRPr="004E302A">
        <w:rPr>
          <w:rFonts w:asciiTheme="minorHAnsi" w:hAnsiTheme="minorHAnsi" w:cstheme="minorHAnsi"/>
        </w:rPr>
        <w:t>., o rozsahu, struktuře a termínech údajů předkládaných pro vypracování návrhu státního závěrečného účtu a o rozsahu a termínech sestavení návrhů závěrečných účtů kapitol státního rozpočtu</w:t>
      </w:r>
      <w:r w:rsidR="003A1441">
        <w:rPr>
          <w:rFonts w:asciiTheme="minorHAnsi" w:hAnsiTheme="minorHAnsi" w:cstheme="minorHAnsi"/>
        </w:rPr>
        <w:t>,</w:t>
      </w:r>
      <w:r w:rsidR="003A1441" w:rsidRPr="003A1441">
        <w:rPr>
          <w:rFonts w:eastAsia="Calibri" w:cs="Calibri"/>
        </w:rPr>
        <w:t xml:space="preserve"> a soulad informací v něm uvedených se vstupními údaji v </w:t>
      </w:r>
      <w:r w:rsidR="003A1441">
        <w:rPr>
          <w:rFonts w:eastAsia="Calibri" w:cs="Calibri"/>
        </w:rPr>
        <w:t>rozpočtovém systému, s </w:t>
      </w:r>
      <w:r w:rsidR="003A1441" w:rsidRPr="003A1441">
        <w:rPr>
          <w:rFonts w:eastAsia="Calibri" w:cs="Calibri"/>
        </w:rPr>
        <w:t xml:space="preserve">finančními výkazy a </w:t>
      </w:r>
      <w:r w:rsidR="00B02E30">
        <w:rPr>
          <w:rFonts w:eastAsia="Calibri" w:cs="Calibri"/>
        </w:rPr>
        <w:t xml:space="preserve">s </w:t>
      </w:r>
      <w:r w:rsidR="003A1441" w:rsidRPr="003A1441">
        <w:rPr>
          <w:rFonts w:eastAsia="Calibri" w:cs="Calibri"/>
        </w:rPr>
        <w:t>údaji analytických evidencí.</w:t>
      </w:r>
    </w:p>
    <w:p w14:paraId="6DC9FB4E" w14:textId="77777777" w:rsidR="00C159BE" w:rsidRPr="00FF1F3B" w:rsidRDefault="00A640AE" w:rsidP="00B30899">
      <w:pPr>
        <w:spacing w:after="0"/>
        <w:jc w:val="both"/>
        <w:rPr>
          <w:rFonts w:cs="Calibri"/>
        </w:rPr>
      </w:pPr>
      <w:r w:rsidRPr="00FF1F3B">
        <w:rPr>
          <w:rFonts w:cs="Calibri"/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7872A" wp14:editId="22E95DA8">
                <wp:simplePos x="0" y="0"/>
                <wp:positionH relativeFrom="margin">
                  <wp:posOffset>-635</wp:posOffset>
                </wp:positionH>
                <wp:positionV relativeFrom="paragraph">
                  <wp:posOffset>189230</wp:posOffset>
                </wp:positionV>
                <wp:extent cx="5762625" cy="1052830"/>
                <wp:effectExtent l="0" t="0" r="9525" b="0"/>
                <wp:wrapTopAndBottom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5283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BA1FB" w14:textId="584345C6" w:rsidR="0088208D" w:rsidRPr="003A1441" w:rsidRDefault="0088208D" w:rsidP="00BD1756">
                            <w:pPr>
                              <w:shd w:val="clear" w:color="auto" w:fill="E5F1FF"/>
                              <w:spacing w:before="40" w:after="40"/>
                              <w:jc w:val="both"/>
                              <w:rPr>
                                <w:rFonts w:cs="Arial"/>
                              </w:rPr>
                            </w:pP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S 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výjimkou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významných nesprávností uvedených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v 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části I.2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.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</w:rPr>
                              <w:t xml:space="preserve"> 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podrobně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</w:rPr>
                              <w:t xml:space="preserve"> v části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IV.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</w:rPr>
                              <w:t xml:space="preserve"> tohoto kontrolního závěru 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nebyly při kontrole zjištěny žádné skutečnosti svědčící o tom, že informace uvedené v závěrečném účtu kapitoly státního rozpočtu 327 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–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 w:rsidRPr="00396770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Ministerstvo dopravy</w:t>
                            </w:r>
                            <w:r w:rsidRPr="003A14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za rok 2018 nejsou ve všech významných ohledech v souladu s příslušnými právními předpisy.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7872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.05pt;margin-top:14.9pt;width:453.75pt;height:8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" fillcolor="#e5f1ff" stroked="f" strokeweight=".5pt">
                <v:textbox>
                  <w:txbxContent>
                    <w:p w14:paraId="366BA1FB" w14:textId="584345C6" w:rsidR="0088208D" w:rsidRPr="003A1441" w:rsidRDefault="0088208D" w:rsidP="00BD1756">
                      <w:pPr>
                        <w:shd w:val="clear" w:color="auto" w:fill="E5F1FF"/>
                        <w:spacing w:before="40" w:after="40"/>
                        <w:jc w:val="both"/>
                        <w:rPr>
                          <w:rFonts w:cs="Arial"/>
                        </w:rPr>
                      </w:pP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S 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výjimkou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 xml:space="preserve"> významných nesprávností uvedených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v 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části I.2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.</w:t>
                      </w:r>
                      <w:r w:rsidRPr="003A1441">
                        <w:rPr>
                          <w:rFonts w:asciiTheme="minorHAnsi" w:hAnsiTheme="minorHAnsi" w:cstheme="minorHAnsi"/>
                        </w:rPr>
                        <w:t xml:space="preserve"> a </w:t>
                      </w:r>
                      <w:r>
                        <w:rPr>
                          <w:rFonts w:asciiTheme="minorHAnsi" w:hAnsiTheme="minorHAnsi" w:cstheme="minorHAnsi"/>
                        </w:rPr>
                        <w:t>podrobně</w:t>
                      </w:r>
                      <w:r w:rsidRPr="003A1441">
                        <w:rPr>
                          <w:rFonts w:asciiTheme="minorHAnsi" w:hAnsiTheme="minorHAnsi" w:cstheme="minorHAnsi"/>
                        </w:rPr>
                        <w:t xml:space="preserve"> v části </w:t>
                      </w:r>
                      <w:r>
                        <w:rPr>
                          <w:rFonts w:asciiTheme="minorHAnsi" w:hAnsiTheme="minorHAnsi" w:cstheme="minorHAnsi"/>
                        </w:rPr>
                        <w:t>IV.</w:t>
                      </w:r>
                      <w:r w:rsidRPr="003A1441">
                        <w:rPr>
                          <w:rFonts w:asciiTheme="minorHAnsi" w:hAnsiTheme="minorHAnsi" w:cstheme="minorHAnsi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Pr="003A1441">
                        <w:rPr>
                          <w:rFonts w:asciiTheme="minorHAnsi" w:hAnsiTheme="minorHAnsi" w:cstheme="minorHAnsi"/>
                        </w:rPr>
                        <w:t xml:space="preserve"> tohoto kontrolního závěru 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nebyly při kontrole zjištěny žádné skutečnosti svědčící o tom, že informace uvedené v závěrečném účtu kapitoly státního rozpočtu 327 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–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 w:rsidRPr="00396770">
                        <w:rPr>
                          <w:rFonts w:asciiTheme="minorHAnsi" w:hAnsiTheme="minorHAnsi" w:cstheme="minorHAnsi"/>
                          <w:b/>
                          <w:i/>
                        </w:rPr>
                        <w:t>Ministerstvo dopravy</w:t>
                      </w:r>
                      <w:r w:rsidRPr="003A1441">
                        <w:rPr>
                          <w:rFonts w:asciiTheme="minorHAnsi" w:hAnsiTheme="minorHAnsi" w:cstheme="minorHAnsi"/>
                          <w:b/>
                        </w:rPr>
                        <w:t xml:space="preserve"> za rok 2018 nejsou ve všech významných ohledech v souladu s příslušnými právními předpisy.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BAD86B" w14:textId="77777777" w:rsidR="00C801D9" w:rsidRDefault="00C801D9" w:rsidP="00C801D9">
      <w:pPr>
        <w:spacing w:after="0"/>
        <w:jc w:val="both"/>
        <w:rPr>
          <w:rFonts w:cs="Calibri"/>
        </w:rPr>
      </w:pPr>
    </w:p>
    <w:p w14:paraId="330D6F17" w14:textId="77777777" w:rsidR="00D97754" w:rsidRPr="00B30899" w:rsidRDefault="00D97754" w:rsidP="00C801D9">
      <w:pPr>
        <w:spacing w:after="0"/>
        <w:jc w:val="both"/>
        <w:rPr>
          <w:rFonts w:cs="Calibri"/>
        </w:rPr>
      </w:pPr>
    </w:p>
    <w:p w14:paraId="256BA6B0" w14:textId="77777777" w:rsidR="00382509" w:rsidRDefault="00981A93" w:rsidP="005279FB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382509">
        <w:rPr>
          <w:rFonts w:ascii="Calibri" w:hAnsi="Calibri" w:cs="Calibri"/>
        </w:rPr>
        <w:t xml:space="preserve">. Upozornění na některá ustanovení předpisů pro vedení účetnictví </w:t>
      </w:r>
      <w:r w:rsidR="00964CC0">
        <w:rPr>
          <w:rFonts w:ascii="Calibri" w:hAnsi="Calibri" w:cs="Calibri"/>
        </w:rPr>
        <w:t>organizačních složek státu</w:t>
      </w:r>
      <w:r w:rsidR="00382509">
        <w:rPr>
          <w:rFonts w:ascii="Calibri" w:hAnsi="Calibri" w:cs="Calibri"/>
        </w:rPr>
        <w:t xml:space="preserve"> a pro </w:t>
      </w:r>
      <w:r w:rsidR="00A769ED">
        <w:rPr>
          <w:rFonts w:ascii="Calibri" w:hAnsi="Calibri" w:cs="Calibri"/>
        </w:rPr>
        <w:t>s</w:t>
      </w:r>
      <w:r w:rsidR="00A769ED" w:rsidRPr="00A769ED">
        <w:rPr>
          <w:rFonts w:ascii="Calibri" w:hAnsi="Calibri" w:cs="Calibri"/>
        </w:rPr>
        <w:t>estavení návrhů závěrečných účtů kapitol státního rozpočt</w:t>
      </w:r>
      <w:r w:rsidR="00A769ED">
        <w:rPr>
          <w:rFonts w:ascii="Calibri" w:hAnsi="Calibri" w:cs="Calibri"/>
        </w:rPr>
        <w:t>u</w:t>
      </w:r>
    </w:p>
    <w:p w14:paraId="2DE685E8" w14:textId="77777777" w:rsidR="00A769ED" w:rsidRPr="00A769ED" w:rsidRDefault="00A769ED" w:rsidP="009C298D">
      <w:pPr>
        <w:keepNext/>
        <w:spacing w:after="0"/>
        <w:jc w:val="both"/>
        <w:rPr>
          <w:rFonts w:asciiTheme="minorHAnsi" w:hAnsiTheme="minorHAnsi" w:cstheme="minorHAnsi"/>
        </w:rPr>
      </w:pPr>
      <w:r w:rsidRPr="00A769ED">
        <w:rPr>
          <w:rFonts w:asciiTheme="minorHAnsi" w:hAnsiTheme="minorHAnsi" w:cstheme="minorHAnsi"/>
        </w:rPr>
        <w:t xml:space="preserve">Některá ustanovení předpisů </w:t>
      </w:r>
      <w:r>
        <w:rPr>
          <w:rFonts w:cs="Calibri"/>
        </w:rPr>
        <w:t xml:space="preserve">pro vedení účetnictví </w:t>
      </w:r>
      <w:r w:rsidR="00964CC0">
        <w:rPr>
          <w:rFonts w:cs="Calibri"/>
        </w:rPr>
        <w:t xml:space="preserve">organizačních složek státu </w:t>
      </w:r>
      <w:r>
        <w:rPr>
          <w:rFonts w:cs="Calibri"/>
        </w:rPr>
        <w:t>a pro s</w:t>
      </w:r>
      <w:r w:rsidRPr="00A769ED">
        <w:rPr>
          <w:rFonts w:cs="Calibri"/>
        </w:rPr>
        <w:t>estavení návrhů závěrečných účtů kapitol státního rozpočt</w:t>
      </w:r>
      <w:r>
        <w:rPr>
          <w:rFonts w:cs="Calibri"/>
        </w:rPr>
        <w:t>u</w:t>
      </w:r>
      <w:r w:rsidRPr="00A769ED">
        <w:rPr>
          <w:rFonts w:asciiTheme="minorHAnsi" w:hAnsiTheme="minorHAnsi" w:cstheme="minorHAnsi"/>
        </w:rPr>
        <w:t xml:space="preserve"> </w:t>
      </w:r>
      <w:r w:rsidR="00B35B6F">
        <w:rPr>
          <w:rFonts w:asciiTheme="minorHAnsi" w:hAnsiTheme="minorHAnsi" w:cstheme="minorHAnsi"/>
        </w:rPr>
        <w:t>způsobují potíže s jejich aplikací</w:t>
      </w:r>
      <w:r w:rsidRPr="00A769ED">
        <w:rPr>
          <w:rFonts w:asciiTheme="minorHAnsi" w:hAnsiTheme="minorHAnsi" w:cstheme="minorHAnsi"/>
        </w:rPr>
        <w:t xml:space="preserve">, jiná </w:t>
      </w:r>
      <w:r w:rsidR="009C298D">
        <w:rPr>
          <w:rFonts w:asciiTheme="minorHAnsi" w:hAnsiTheme="minorHAnsi" w:cstheme="minorHAnsi"/>
        </w:rPr>
        <w:t xml:space="preserve">ustanovení těchto předpisů </w:t>
      </w:r>
      <w:r w:rsidR="0084223B">
        <w:rPr>
          <w:rFonts w:asciiTheme="minorHAnsi" w:hAnsiTheme="minorHAnsi" w:cstheme="minorHAnsi"/>
        </w:rPr>
        <w:t xml:space="preserve">snižují vypovídací schopnost některých </w:t>
      </w:r>
      <w:r w:rsidR="00AC7189">
        <w:rPr>
          <w:rFonts w:asciiTheme="minorHAnsi" w:hAnsiTheme="minorHAnsi" w:cstheme="minorHAnsi"/>
        </w:rPr>
        <w:t>informací</w:t>
      </w:r>
      <w:r w:rsidR="0084223B">
        <w:rPr>
          <w:rFonts w:asciiTheme="minorHAnsi" w:hAnsiTheme="minorHAnsi" w:cstheme="minorHAnsi"/>
        </w:rPr>
        <w:t xml:space="preserve"> </w:t>
      </w:r>
      <w:r w:rsidR="00B35B6F">
        <w:rPr>
          <w:rFonts w:asciiTheme="minorHAnsi" w:hAnsiTheme="minorHAnsi" w:cstheme="minorHAnsi"/>
        </w:rPr>
        <w:t>v účetní závěrce MD.</w:t>
      </w:r>
      <w:r w:rsidRPr="00A769ED">
        <w:rPr>
          <w:rFonts w:asciiTheme="minorHAnsi" w:hAnsiTheme="minorHAnsi" w:cstheme="minorHAnsi"/>
        </w:rPr>
        <w:t xml:space="preserve"> Jedná se o následující oblasti:</w:t>
      </w:r>
    </w:p>
    <w:p w14:paraId="7FABD232" w14:textId="55BEAF83" w:rsidR="00A769ED" w:rsidRDefault="0087502E" w:rsidP="005279FB">
      <w:pPr>
        <w:pStyle w:val="Odstavecseseznamem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</w:rPr>
      </w:pPr>
      <w:r w:rsidRPr="0087502E">
        <w:rPr>
          <w:rFonts w:asciiTheme="minorHAnsi" w:hAnsiTheme="minorHAnsi" w:cstheme="minorHAnsi"/>
        </w:rPr>
        <w:t>vymezení termínu „transfer“ v</w:t>
      </w:r>
      <w:r w:rsidR="00B42112">
        <w:rPr>
          <w:rFonts w:asciiTheme="minorHAnsi" w:hAnsiTheme="minorHAnsi" w:cstheme="minorHAnsi"/>
        </w:rPr>
        <w:t xml:space="preserve"> č</w:t>
      </w:r>
      <w:r>
        <w:rPr>
          <w:rFonts w:asciiTheme="minorHAnsi" w:hAnsiTheme="minorHAnsi" w:cstheme="minorHAnsi"/>
        </w:rPr>
        <w:t>eském účetním standardu (dále také „</w:t>
      </w:r>
      <w:r w:rsidRPr="0087502E">
        <w:rPr>
          <w:rFonts w:asciiTheme="minorHAnsi" w:hAnsiTheme="minorHAnsi" w:cstheme="minorHAnsi"/>
        </w:rPr>
        <w:t>ČÚS</w:t>
      </w:r>
      <w:r>
        <w:rPr>
          <w:rFonts w:asciiTheme="minorHAnsi" w:hAnsiTheme="minorHAnsi" w:cstheme="minorHAnsi"/>
        </w:rPr>
        <w:t>“) č. </w:t>
      </w:r>
      <w:r w:rsidRPr="0087502E">
        <w:rPr>
          <w:rFonts w:asciiTheme="minorHAnsi" w:hAnsiTheme="minorHAnsi" w:cstheme="minorHAnsi"/>
        </w:rPr>
        <w:t>703</w:t>
      </w:r>
      <w:r>
        <w:rPr>
          <w:rFonts w:asciiTheme="minorHAnsi" w:hAnsiTheme="minorHAnsi" w:cstheme="minorHAnsi"/>
        </w:rPr>
        <w:t> </w:t>
      </w:r>
      <w:r w:rsidRPr="00CF58C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5279FB">
        <w:rPr>
          <w:rFonts w:asciiTheme="minorHAnsi" w:hAnsiTheme="minorHAnsi" w:cstheme="minorHAnsi"/>
          <w:i/>
        </w:rPr>
        <w:t>Transfery</w:t>
      </w:r>
      <w:r w:rsidR="00A769ED" w:rsidRPr="00A769ED">
        <w:rPr>
          <w:rFonts w:asciiTheme="minorHAnsi" w:hAnsiTheme="minorHAnsi" w:cstheme="minorHAnsi"/>
        </w:rPr>
        <w:t xml:space="preserve"> (viz část I</w:t>
      </w:r>
      <w:r w:rsidR="00A769ED">
        <w:rPr>
          <w:rFonts w:asciiTheme="minorHAnsi" w:hAnsiTheme="minorHAnsi" w:cstheme="minorHAnsi"/>
        </w:rPr>
        <w:t>V</w:t>
      </w:r>
      <w:r w:rsidR="002C7399">
        <w:rPr>
          <w:rFonts w:asciiTheme="minorHAnsi" w:hAnsiTheme="minorHAnsi" w:cstheme="minorHAnsi"/>
        </w:rPr>
        <w:t>.4.1 tohoto kontrolního závěru),</w:t>
      </w:r>
    </w:p>
    <w:p w14:paraId="7DABBBDA" w14:textId="77777777" w:rsidR="000644BF" w:rsidRDefault="003E6655" w:rsidP="005279FB">
      <w:pPr>
        <w:pStyle w:val="Odstavecseseznamem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vyk</w:t>
      </w:r>
      <w:r w:rsidR="00621E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621E7C">
        <w:rPr>
          <w:rFonts w:asciiTheme="minorHAnsi" w:hAnsiTheme="minorHAnsi" w:cstheme="minorHAnsi"/>
        </w:rPr>
        <w:t>ová</w:t>
      </w:r>
      <w:r>
        <w:rPr>
          <w:rFonts w:asciiTheme="minorHAnsi" w:hAnsiTheme="minorHAnsi" w:cstheme="minorHAnsi"/>
        </w:rPr>
        <w:t xml:space="preserve">ní </w:t>
      </w:r>
      <w:r w:rsidR="0055177B">
        <w:rPr>
          <w:rFonts w:asciiTheme="minorHAnsi" w:hAnsiTheme="minorHAnsi" w:cstheme="minorHAnsi"/>
        </w:rPr>
        <w:t xml:space="preserve">závazků souvisejících s přijetím </w:t>
      </w:r>
      <w:r>
        <w:rPr>
          <w:rFonts w:asciiTheme="minorHAnsi" w:hAnsiTheme="minorHAnsi" w:cstheme="minorHAnsi"/>
        </w:rPr>
        <w:t>transferů ze zahraničí ve vlastním kapitálu</w:t>
      </w:r>
      <w:r w:rsidR="006C0ADA">
        <w:rPr>
          <w:rFonts w:asciiTheme="minorHAnsi" w:hAnsiTheme="minorHAnsi" w:cstheme="minorHAnsi"/>
        </w:rPr>
        <w:t>, což</w:t>
      </w:r>
      <w:r>
        <w:rPr>
          <w:rFonts w:asciiTheme="minorHAnsi" w:hAnsiTheme="minorHAnsi" w:cstheme="minorHAnsi"/>
        </w:rPr>
        <w:t xml:space="preserve"> vyplýv</w:t>
      </w:r>
      <w:r w:rsidR="006C0ADA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z</w:t>
      </w:r>
      <w:r w:rsidR="006C0AD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ustanovení</w:t>
      </w:r>
      <w:r w:rsidR="006C0ADA">
        <w:rPr>
          <w:rFonts w:asciiTheme="minorHAnsi" w:hAnsiTheme="minorHAnsi" w:cstheme="minorHAnsi"/>
        </w:rPr>
        <w:t xml:space="preserve"> </w:t>
      </w:r>
      <w:r w:rsidR="006C0ADA" w:rsidRPr="0087502E">
        <w:rPr>
          <w:rFonts w:asciiTheme="minorHAnsi" w:hAnsiTheme="minorHAnsi" w:cstheme="minorHAnsi"/>
        </w:rPr>
        <w:t>ČÚS</w:t>
      </w:r>
      <w:r>
        <w:rPr>
          <w:rFonts w:asciiTheme="minorHAnsi" w:hAnsiTheme="minorHAnsi" w:cstheme="minorHAnsi"/>
        </w:rPr>
        <w:t xml:space="preserve"> č. </w:t>
      </w:r>
      <w:r w:rsidRPr="0087502E">
        <w:rPr>
          <w:rFonts w:asciiTheme="minorHAnsi" w:hAnsiTheme="minorHAnsi" w:cstheme="minorHAnsi"/>
        </w:rPr>
        <w:t>703</w:t>
      </w:r>
      <w:r>
        <w:rPr>
          <w:rFonts w:asciiTheme="minorHAnsi" w:hAnsiTheme="minorHAnsi" w:cstheme="minorHAnsi"/>
        </w:rPr>
        <w:t> </w:t>
      </w:r>
      <w:r w:rsidRPr="00CF58C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5279FB">
        <w:rPr>
          <w:rFonts w:asciiTheme="minorHAnsi" w:hAnsiTheme="minorHAnsi" w:cstheme="minorHAnsi"/>
          <w:i/>
        </w:rPr>
        <w:t>Transfery</w:t>
      </w:r>
      <w:r>
        <w:rPr>
          <w:rFonts w:asciiTheme="minorHAnsi" w:hAnsiTheme="minorHAnsi" w:cstheme="minorHAnsi"/>
        </w:rPr>
        <w:t xml:space="preserve"> a </w:t>
      </w:r>
      <w:r w:rsidRPr="0087502E">
        <w:rPr>
          <w:rFonts w:asciiTheme="minorHAnsi" w:hAnsiTheme="minorHAnsi" w:cstheme="minorHAnsi"/>
        </w:rPr>
        <w:t>70</w:t>
      </w:r>
      <w:r>
        <w:rPr>
          <w:rFonts w:asciiTheme="minorHAnsi" w:hAnsiTheme="minorHAnsi" w:cstheme="minorHAnsi"/>
        </w:rPr>
        <w:t>4 </w:t>
      </w:r>
      <w:r w:rsidRPr="00CF58C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5279FB">
        <w:rPr>
          <w:rFonts w:asciiTheme="minorHAnsi" w:hAnsiTheme="minorHAnsi" w:cstheme="minorHAnsi"/>
          <w:i/>
        </w:rPr>
        <w:t>Fondy účetní jednotky</w:t>
      </w:r>
      <w:r>
        <w:rPr>
          <w:rFonts w:asciiTheme="minorHAnsi" w:hAnsiTheme="minorHAnsi" w:cstheme="minorHAnsi"/>
        </w:rPr>
        <w:t xml:space="preserve"> (viz část </w:t>
      </w:r>
      <w:r w:rsidRPr="00A769E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V.4.2 tohoto kontrolního závěru)</w:t>
      </w:r>
      <w:r w:rsidR="00621E7C">
        <w:rPr>
          <w:rFonts w:asciiTheme="minorHAnsi" w:hAnsiTheme="minorHAnsi" w:cstheme="minorHAnsi"/>
        </w:rPr>
        <w:t>,</w:t>
      </w:r>
    </w:p>
    <w:p w14:paraId="4052856B" w14:textId="77777777" w:rsidR="003E6655" w:rsidRPr="00A769ED" w:rsidRDefault="00621E7C" w:rsidP="005279FB">
      <w:pPr>
        <w:pStyle w:val="Odstavecseseznamem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vykazování </w:t>
      </w:r>
      <w:r w:rsidR="0055177B">
        <w:rPr>
          <w:rFonts w:asciiTheme="minorHAnsi" w:hAnsiTheme="minorHAnsi" w:cstheme="minorHAnsi"/>
        </w:rPr>
        <w:t>výnosů ze zahraničních transferů jako čerpání rezervního fondu</w:t>
      </w:r>
      <w:r w:rsidR="006C0ADA">
        <w:rPr>
          <w:rFonts w:asciiTheme="minorHAnsi" w:hAnsiTheme="minorHAnsi" w:cstheme="minorHAnsi"/>
        </w:rPr>
        <w:t xml:space="preserve">, což </w:t>
      </w:r>
      <w:r w:rsidR="0055177B">
        <w:rPr>
          <w:rFonts w:asciiTheme="minorHAnsi" w:hAnsiTheme="minorHAnsi" w:cstheme="minorHAnsi"/>
        </w:rPr>
        <w:t>vyplýv</w:t>
      </w:r>
      <w:r w:rsidR="006C0ADA">
        <w:rPr>
          <w:rFonts w:asciiTheme="minorHAnsi" w:hAnsiTheme="minorHAnsi" w:cstheme="minorHAnsi"/>
        </w:rPr>
        <w:t>á</w:t>
      </w:r>
      <w:r w:rsidR="0055177B">
        <w:rPr>
          <w:rFonts w:asciiTheme="minorHAnsi" w:hAnsiTheme="minorHAnsi" w:cstheme="minorHAnsi"/>
        </w:rPr>
        <w:t xml:space="preserve"> z ustanovení </w:t>
      </w:r>
      <w:r w:rsidR="006C0ADA" w:rsidRPr="0087502E">
        <w:rPr>
          <w:rFonts w:asciiTheme="minorHAnsi" w:hAnsiTheme="minorHAnsi" w:cstheme="minorHAnsi"/>
        </w:rPr>
        <w:t>ČÚS</w:t>
      </w:r>
      <w:r w:rsidR="006C0ADA">
        <w:rPr>
          <w:rFonts w:asciiTheme="minorHAnsi" w:hAnsiTheme="minorHAnsi" w:cstheme="minorHAnsi"/>
        </w:rPr>
        <w:t xml:space="preserve"> </w:t>
      </w:r>
      <w:r w:rsidR="0055177B">
        <w:rPr>
          <w:rFonts w:asciiTheme="minorHAnsi" w:hAnsiTheme="minorHAnsi" w:cstheme="minorHAnsi"/>
        </w:rPr>
        <w:t>č. </w:t>
      </w:r>
      <w:r w:rsidR="0055177B" w:rsidRPr="0087502E">
        <w:rPr>
          <w:rFonts w:asciiTheme="minorHAnsi" w:hAnsiTheme="minorHAnsi" w:cstheme="minorHAnsi"/>
        </w:rPr>
        <w:t>703</w:t>
      </w:r>
      <w:r w:rsidR="0055177B">
        <w:rPr>
          <w:rFonts w:asciiTheme="minorHAnsi" w:hAnsiTheme="minorHAnsi" w:cstheme="minorHAnsi"/>
        </w:rPr>
        <w:t> </w:t>
      </w:r>
      <w:r w:rsidR="0055177B" w:rsidRPr="00CF58C4">
        <w:rPr>
          <w:rFonts w:asciiTheme="minorHAnsi" w:hAnsiTheme="minorHAnsi" w:cstheme="minorHAnsi"/>
        </w:rPr>
        <w:t>–</w:t>
      </w:r>
      <w:r w:rsidR="0055177B">
        <w:rPr>
          <w:rFonts w:asciiTheme="minorHAnsi" w:hAnsiTheme="minorHAnsi" w:cstheme="minorHAnsi"/>
        </w:rPr>
        <w:t> </w:t>
      </w:r>
      <w:r w:rsidR="0055177B" w:rsidRPr="005279FB">
        <w:rPr>
          <w:rFonts w:asciiTheme="minorHAnsi" w:hAnsiTheme="minorHAnsi" w:cstheme="minorHAnsi"/>
          <w:i/>
        </w:rPr>
        <w:t>Transfery</w:t>
      </w:r>
      <w:r w:rsidR="0055177B">
        <w:rPr>
          <w:rFonts w:asciiTheme="minorHAnsi" w:hAnsiTheme="minorHAnsi" w:cstheme="minorHAnsi"/>
        </w:rPr>
        <w:t xml:space="preserve"> a </w:t>
      </w:r>
      <w:r w:rsidR="0055177B" w:rsidRPr="0087502E">
        <w:rPr>
          <w:rFonts w:asciiTheme="minorHAnsi" w:hAnsiTheme="minorHAnsi" w:cstheme="minorHAnsi"/>
        </w:rPr>
        <w:t>70</w:t>
      </w:r>
      <w:r w:rsidR="0055177B">
        <w:rPr>
          <w:rFonts w:asciiTheme="minorHAnsi" w:hAnsiTheme="minorHAnsi" w:cstheme="minorHAnsi"/>
        </w:rPr>
        <w:t>4 </w:t>
      </w:r>
      <w:r w:rsidR="0055177B" w:rsidRPr="00CF58C4">
        <w:rPr>
          <w:rFonts w:asciiTheme="minorHAnsi" w:hAnsiTheme="minorHAnsi" w:cstheme="minorHAnsi"/>
        </w:rPr>
        <w:t>–</w:t>
      </w:r>
      <w:r w:rsidR="0055177B">
        <w:rPr>
          <w:rFonts w:asciiTheme="minorHAnsi" w:hAnsiTheme="minorHAnsi" w:cstheme="minorHAnsi"/>
        </w:rPr>
        <w:t> </w:t>
      </w:r>
      <w:r w:rsidR="0055177B" w:rsidRPr="005279FB">
        <w:rPr>
          <w:rFonts w:asciiTheme="minorHAnsi" w:hAnsiTheme="minorHAnsi" w:cstheme="minorHAnsi"/>
          <w:i/>
        </w:rPr>
        <w:t>Fondy účetní jednotky</w:t>
      </w:r>
      <w:r w:rsidR="0055177B">
        <w:rPr>
          <w:rFonts w:asciiTheme="minorHAnsi" w:hAnsiTheme="minorHAnsi" w:cstheme="minorHAnsi"/>
        </w:rPr>
        <w:t xml:space="preserve"> (viz část </w:t>
      </w:r>
      <w:r w:rsidR="0055177B" w:rsidRPr="00A769ED">
        <w:rPr>
          <w:rFonts w:asciiTheme="minorHAnsi" w:hAnsiTheme="minorHAnsi" w:cstheme="minorHAnsi"/>
        </w:rPr>
        <w:t>I</w:t>
      </w:r>
      <w:r w:rsidR="0055177B">
        <w:rPr>
          <w:rFonts w:asciiTheme="minorHAnsi" w:hAnsiTheme="minorHAnsi" w:cstheme="minorHAnsi"/>
        </w:rPr>
        <w:t>V.4.3 tohoto kontrolního závěru),</w:t>
      </w:r>
    </w:p>
    <w:p w14:paraId="38D53103" w14:textId="77777777" w:rsidR="00382509" w:rsidRDefault="00721B6A" w:rsidP="005279FB">
      <w:pPr>
        <w:pStyle w:val="Odstavecseseznamem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vyk</w:t>
      </w:r>
      <w:r w:rsidR="00621E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621E7C">
        <w:rPr>
          <w:rFonts w:asciiTheme="minorHAnsi" w:hAnsiTheme="minorHAnsi" w:cstheme="minorHAnsi"/>
        </w:rPr>
        <w:t>ová</w:t>
      </w:r>
      <w:r>
        <w:rPr>
          <w:rFonts w:asciiTheme="minorHAnsi" w:hAnsiTheme="minorHAnsi" w:cstheme="minorHAnsi"/>
        </w:rPr>
        <w:t xml:space="preserve">ní peněžních toků souvisejících s rezervním fondem v přehledu o peněžních tocích (viz část </w:t>
      </w:r>
      <w:r w:rsidRPr="00A769E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V.4.</w:t>
      </w:r>
      <w:r w:rsidR="003E66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tohoto</w:t>
      </w:r>
      <w:r w:rsidR="000644BF">
        <w:rPr>
          <w:rFonts w:asciiTheme="minorHAnsi" w:hAnsiTheme="minorHAnsi" w:cstheme="minorHAnsi"/>
        </w:rPr>
        <w:t xml:space="preserve"> kontrolního závěru) a</w:t>
      </w:r>
    </w:p>
    <w:p w14:paraId="65C62371" w14:textId="77777777" w:rsidR="00721B6A" w:rsidRDefault="00571FCC" w:rsidP="005279FB">
      <w:pPr>
        <w:pStyle w:val="Odstavecseseznamem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neuvádění některých akruálních informací v závěrečných účtech kapitol státního rozpočtu (viz část </w:t>
      </w:r>
      <w:r w:rsidRPr="00A769E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V.4.5 tohoto kontrolního závěru).</w:t>
      </w:r>
    </w:p>
    <w:p w14:paraId="7D4AA0B4" w14:textId="77777777" w:rsidR="00D97754" w:rsidRDefault="00D97754">
      <w:pPr>
        <w:spacing w:after="160" w:line="259" w:lineRule="auto"/>
        <w:rPr>
          <w:rFonts w:eastAsiaTheme="minorHAnsi" w:cs="Calibri"/>
        </w:rPr>
      </w:pPr>
      <w:r>
        <w:rPr>
          <w:rFonts w:eastAsiaTheme="minorHAnsi" w:cs="Calibri"/>
        </w:rPr>
        <w:br w:type="page"/>
      </w:r>
    </w:p>
    <w:p w14:paraId="330426DB" w14:textId="77777777" w:rsidR="00E91FF5" w:rsidRPr="00C159BE" w:rsidRDefault="00A640AE" w:rsidP="00C159BE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C159BE">
        <w:rPr>
          <w:rFonts w:ascii="Calibri" w:hAnsi="Calibri" w:cs="Calibri"/>
          <w:szCs w:val="24"/>
        </w:rPr>
        <w:lastRenderedPageBreak/>
        <w:t>II. Informace o kontrolované oblasti</w:t>
      </w:r>
    </w:p>
    <w:p w14:paraId="41537700" w14:textId="77777777" w:rsidR="00C159BE" w:rsidRDefault="00C159BE" w:rsidP="00C159BE">
      <w:pPr>
        <w:keepNext/>
        <w:spacing w:after="0"/>
        <w:jc w:val="both"/>
        <w:rPr>
          <w:rFonts w:cs="Calibri"/>
        </w:rPr>
      </w:pPr>
    </w:p>
    <w:p w14:paraId="3A0913DE" w14:textId="1C5800CA" w:rsidR="009F20AA" w:rsidRDefault="00980ECB" w:rsidP="009F20A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</w:t>
      </w:r>
      <w:r w:rsidR="00A640AE" w:rsidRPr="009F20AA">
        <w:rPr>
          <w:rFonts w:asciiTheme="minorHAnsi" w:hAnsiTheme="minorHAnsi" w:cstheme="minorHAnsi"/>
        </w:rPr>
        <w:t xml:space="preserve"> </w:t>
      </w:r>
      <w:r w:rsidR="00826AF2" w:rsidRPr="004E302A">
        <w:rPr>
          <w:rFonts w:asciiTheme="minorHAnsi" w:hAnsiTheme="minorHAnsi" w:cstheme="minorHAnsi"/>
        </w:rPr>
        <w:t>bylo zřízeno zákonem č. 2/1969 Sb., o zřízení ministerstev a jiných ústředních orgánů státní správy České republiky. Dle tohoto zákona je MD úst</w:t>
      </w:r>
      <w:r w:rsidR="005F688C">
        <w:rPr>
          <w:rFonts w:asciiTheme="minorHAnsi" w:hAnsiTheme="minorHAnsi" w:cstheme="minorHAnsi"/>
        </w:rPr>
        <w:t>ředním orgánem státní správy ve</w:t>
      </w:r>
      <w:r w:rsidR="00243445">
        <w:rPr>
          <w:rFonts w:asciiTheme="minorHAnsi" w:hAnsiTheme="minorHAnsi" w:cstheme="minorHAnsi"/>
        </w:rPr>
        <w:t xml:space="preserve"> </w:t>
      </w:r>
      <w:r w:rsidR="00826AF2" w:rsidRPr="004E302A">
        <w:rPr>
          <w:rFonts w:asciiTheme="minorHAnsi" w:hAnsiTheme="minorHAnsi" w:cstheme="minorHAnsi"/>
        </w:rPr>
        <w:t>věcech dopravy a odpovídá za</w:t>
      </w:r>
      <w:r w:rsidR="00243445">
        <w:rPr>
          <w:rFonts w:asciiTheme="minorHAnsi" w:hAnsiTheme="minorHAnsi" w:cstheme="minorHAnsi"/>
        </w:rPr>
        <w:t xml:space="preserve"> </w:t>
      </w:r>
      <w:r w:rsidR="00826AF2" w:rsidRPr="004E302A">
        <w:rPr>
          <w:rFonts w:asciiTheme="minorHAnsi" w:hAnsiTheme="minorHAnsi" w:cstheme="minorHAnsi"/>
        </w:rPr>
        <w:t>tvorbu státní politiky v oblasti dopravy a v rozsahu své působnosti za její uskutečňování.</w:t>
      </w:r>
    </w:p>
    <w:p w14:paraId="094BEF76" w14:textId="77777777" w:rsidR="00826AF2" w:rsidRDefault="00826AF2" w:rsidP="009F20AA">
      <w:pPr>
        <w:spacing w:after="0"/>
        <w:jc w:val="both"/>
        <w:rPr>
          <w:rFonts w:asciiTheme="minorHAnsi" w:hAnsiTheme="minorHAnsi" w:cstheme="minorHAnsi"/>
        </w:rPr>
      </w:pPr>
    </w:p>
    <w:p w14:paraId="412E441B" w14:textId="77777777" w:rsidR="00826AF2" w:rsidRDefault="00826AF2" w:rsidP="00826AF2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V souladu se zákonem č. 219/2000 Sb., o majetku České republiky a jejím vystupování v právních vztazích, je MD organizační složkou státu a dle zákona č. 563/1991 Sb., o účetnictví, </w:t>
      </w:r>
      <w:r w:rsidR="00FF0056">
        <w:rPr>
          <w:rFonts w:asciiTheme="minorHAnsi" w:hAnsiTheme="minorHAnsi" w:cstheme="minorHAnsi"/>
        </w:rPr>
        <w:t>v</w:t>
      </w:r>
      <w:r w:rsidRPr="004E302A">
        <w:rPr>
          <w:rFonts w:asciiTheme="minorHAnsi" w:hAnsiTheme="minorHAnsi" w:cstheme="minorHAnsi"/>
        </w:rPr>
        <w:t>ybranou</w:t>
      </w:r>
      <w:r w:rsidR="00FF0056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účetní</w:t>
      </w:r>
      <w:r w:rsidR="00FF0056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jednotkou.</w:t>
      </w:r>
      <w:r w:rsidR="00FF0056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MD</w:t>
      </w:r>
      <w:r w:rsidR="00FF0056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je v souladu se zákonem č. 218/2000 Sb.</w:t>
      </w:r>
      <w:r w:rsidR="0015152A">
        <w:rPr>
          <w:rFonts w:asciiTheme="minorHAnsi" w:hAnsiTheme="minorHAnsi" w:cstheme="minorHAnsi"/>
        </w:rPr>
        <w:t>, o rozpočtových pravidlech a o změně některých souvisejících zákonů (rozpočtová pravidla),</w:t>
      </w:r>
      <w:r w:rsidRPr="004E302A">
        <w:rPr>
          <w:rFonts w:asciiTheme="minorHAnsi" w:hAnsiTheme="minorHAnsi" w:cstheme="minorHAnsi"/>
        </w:rPr>
        <w:t xml:space="preserve"> správcem rozpočtové kapitoly 327 </w:t>
      </w:r>
      <w:r w:rsidR="00F0475A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5279FB">
        <w:rPr>
          <w:rFonts w:asciiTheme="minorHAnsi" w:hAnsiTheme="minorHAnsi" w:cstheme="minorHAnsi"/>
          <w:i/>
        </w:rPr>
        <w:t>Ministerstvo dopravy</w:t>
      </w:r>
      <w:r w:rsidRPr="004E302A">
        <w:rPr>
          <w:rFonts w:asciiTheme="minorHAnsi" w:hAnsiTheme="minorHAnsi" w:cstheme="minorHAnsi"/>
        </w:rPr>
        <w:t>.</w:t>
      </w:r>
    </w:p>
    <w:p w14:paraId="26F7892A" w14:textId="77777777" w:rsidR="00826AF2" w:rsidRPr="004E302A" w:rsidRDefault="00826AF2" w:rsidP="00826AF2">
      <w:pPr>
        <w:spacing w:after="0"/>
        <w:jc w:val="both"/>
        <w:rPr>
          <w:rFonts w:asciiTheme="minorHAnsi" w:hAnsiTheme="minorHAnsi" w:cstheme="minorHAnsi"/>
        </w:rPr>
      </w:pPr>
    </w:p>
    <w:p w14:paraId="0155E36F" w14:textId="77777777" w:rsidR="00826AF2" w:rsidRPr="004E302A" w:rsidRDefault="00826AF2" w:rsidP="00826AF2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MD bylo k 31. 12. 2018 zřizovatelem šesti </w:t>
      </w:r>
      <w:r w:rsidR="000231EC">
        <w:rPr>
          <w:rFonts w:asciiTheme="minorHAnsi" w:hAnsiTheme="minorHAnsi" w:cstheme="minorHAnsi"/>
        </w:rPr>
        <w:t>organizačních složek státu</w:t>
      </w:r>
      <w:r w:rsidRPr="004E302A">
        <w:rPr>
          <w:rFonts w:asciiTheme="minorHAnsi" w:hAnsiTheme="minorHAnsi" w:cstheme="minorHAnsi"/>
        </w:rPr>
        <w:t xml:space="preserve"> a dvou příspěvkových organizací.</w:t>
      </w:r>
    </w:p>
    <w:p w14:paraId="5702BE43" w14:textId="77777777" w:rsidR="009F20AA" w:rsidRDefault="009F20AA" w:rsidP="009F20AA">
      <w:pPr>
        <w:spacing w:after="0"/>
        <w:jc w:val="both"/>
        <w:rPr>
          <w:rFonts w:asciiTheme="minorHAnsi" w:hAnsiTheme="minorHAnsi" w:cstheme="minorHAnsi"/>
        </w:rPr>
      </w:pPr>
    </w:p>
    <w:p w14:paraId="1F49FF3D" w14:textId="77777777" w:rsidR="00E91FF5" w:rsidRPr="00826AF2" w:rsidRDefault="00A640AE" w:rsidP="009F20AA">
      <w:pPr>
        <w:spacing w:after="0"/>
        <w:jc w:val="both"/>
        <w:rPr>
          <w:rFonts w:asciiTheme="minorHAnsi" w:hAnsiTheme="minorHAnsi" w:cstheme="minorHAnsi"/>
        </w:rPr>
      </w:pPr>
      <w:r w:rsidRPr="00826AF2">
        <w:rPr>
          <w:rFonts w:asciiTheme="minorHAnsi" w:hAnsiTheme="minorHAnsi" w:cstheme="minorHAnsi"/>
        </w:rPr>
        <w:t>Přehled základních údajů z ÚZ a z výkazu FIN 1-12 OSS je uveden v následujících tabulkách.</w:t>
      </w:r>
    </w:p>
    <w:p w14:paraId="74D17F81" w14:textId="77777777" w:rsidR="0015152A" w:rsidRDefault="0015152A" w:rsidP="00C159BE">
      <w:pPr>
        <w:keepNext/>
        <w:spacing w:after="40"/>
        <w:ind w:left="1304" w:hanging="1304"/>
        <w:jc w:val="both"/>
        <w:rPr>
          <w:rFonts w:cs="Calibri"/>
          <w:b/>
        </w:rPr>
      </w:pPr>
    </w:p>
    <w:p w14:paraId="2415687C" w14:textId="77777777" w:rsidR="00494B0F" w:rsidRPr="000E0B18" w:rsidRDefault="00A640AE" w:rsidP="00C159BE">
      <w:pPr>
        <w:keepNext/>
        <w:spacing w:after="40"/>
        <w:ind w:left="1304" w:hanging="1304"/>
        <w:jc w:val="both"/>
        <w:rPr>
          <w:rFonts w:cs="Calibri"/>
        </w:rPr>
      </w:pPr>
      <w:r w:rsidRPr="000E0B18">
        <w:rPr>
          <w:rFonts w:cs="Calibri"/>
          <w:b/>
        </w:rPr>
        <w:t xml:space="preserve">Tabulka č. </w:t>
      </w:r>
      <w:r w:rsidR="007A062A">
        <w:rPr>
          <w:rFonts w:cs="Calibri"/>
          <w:b/>
        </w:rPr>
        <w:t>1</w:t>
      </w:r>
      <w:r w:rsidRPr="000E0B18">
        <w:rPr>
          <w:rFonts w:cs="Calibri"/>
          <w:b/>
        </w:rPr>
        <w:t xml:space="preserve">: </w:t>
      </w:r>
      <w:r w:rsidRPr="000E0B18">
        <w:rPr>
          <w:rFonts w:cs="Calibri"/>
          <w:b/>
        </w:rPr>
        <w:tab/>
        <w:t>Údaje</w:t>
      </w:r>
      <w:r w:rsidR="0015152A">
        <w:rPr>
          <w:rFonts w:cs="Calibri"/>
          <w:b/>
        </w:rPr>
        <w:t xml:space="preserve"> z</w:t>
      </w:r>
      <w:r w:rsidRPr="000E0B18">
        <w:rPr>
          <w:rFonts w:cs="Calibri"/>
          <w:b/>
        </w:rPr>
        <w:t xml:space="preserve"> </w:t>
      </w:r>
      <w:r w:rsidR="000B3825" w:rsidRPr="000E0B18">
        <w:rPr>
          <w:rFonts w:cs="Calibri"/>
          <w:b/>
        </w:rPr>
        <w:t>ÚZ</w:t>
      </w:r>
      <w:r w:rsidRPr="000E0B18">
        <w:rPr>
          <w:rFonts w:cs="Calibri"/>
          <w:b/>
        </w:rPr>
        <w:t xml:space="preserve"> – rozvaha a výkaz zisku a ztráty, údaje za běžné účetní období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50080C" w14:paraId="52AE1BA6" w14:textId="77777777" w:rsidTr="00D816F4">
        <w:trPr>
          <w:trHeight w:val="3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5610D2" w14:textId="77777777" w:rsidR="00494B0F" w:rsidRPr="000E0B18" w:rsidRDefault="00A640AE" w:rsidP="00C159BE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E0B18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D035D5" w14:textId="77777777" w:rsidR="00494B0F" w:rsidRPr="000E0B18" w:rsidRDefault="00A640AE" w:rsidP="003765A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E0B18">
              <w:rPr>
                <w:rFonts w:cs="Arial"/>
                <w:b/>
                <w:bCs/>
                <w:sz w:val="20"/>
                <w:szCs w:val="20"/>
              </w:rPr>
              <w:t>Částka v</w:t>
            </w:r>
            <w:r w:rsidR="00021070">
              <w:rPr>
                <w:rFonts w:cs="Arial"/>
                <w:b/>
                <w:bCs/>
                <w:sz w:val="20"/>
                <w:szCs w:val="20"/>
              </w:rPr>
              <w:t> ml</w:t>
            </w:r>
            <w:r w:rsidR="003765AC">
              <w:rPr>
                <w:rFonts w:cs="Arial"/>
                <w:b/>
                <w:bCs/>
                <w:sz w:val="20"/>
                <w:szCs w:val="20"/>
              </w:rPr>
              <w:t>d</w:t>
            </w:r>
            <w:r w:rsidR="00021070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0E0B18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</w:tr>
      <w:tr w:rsidR="0050080C" w14:paraId="57D8B4C2" w14:textId="77777777" w:rsidTr="00D816F4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7F06" w14:textId="77777777" w:rsidR="00494B0F" w:rsidRPr="000E0B18" w:rsidRDefault="00A640AE" w:rsidP="00C159BE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0E0B18">
              <w:rPr>
                <w:rFonts w:cs="Arial"/>
                <w:sz w:val="20"/>
                <w:szCs w:val="20"/>
              </w:rPr>
              <w:t>Aktiva netto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1393" w14:textId="77777777" w:rsidR="00494B0F" w:rsidRPr="00C40DD4" w:rsidRDefault="00021070" w:rsidP="005279FB">
            <w:pPr>
              <w:keepNext/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</w:t>
            </w:r>
            <w:r w:rsidR="003765AC">
              <w:rPr>
                <w:rFonts w:cs="Arial"/>
                <w:sz w:val="20"/>
                <w:szCs w:val="20"/>
              </w:rPr>
              <w:t>,70</w:t>
            </w:r>
          </w:p>
        </w:tc>
      </w:tr>
      <w:tr w:rsidR="0050080C" w14:paraId="03722019" w14:textId="77777777" w:rsidTr="00D816F4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5D2" w14:textId="77777777" w:rsidR="00494B0F" w:rsidRPr="005279FB" w:rsidRDefault="00A640AE" w:rsidP="00C159BE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34522">
              <w:rPr>
                <w:rFonts w:cs="Arial"/>
                <w:sz w:val="20"/>
                <w:szCs w:val="20"/>
              </w:rPr>
              <w:t>Pasiva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FFFA" w14:textId="77777777" w:rsidR="00494B0F" w:rsidRPr="00C40DD4" w:rsidRDefault="00021070" w:rsidP="005279FB">
            <w:pPr>
              <w:keepNext/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</w:t>
            </w:r>
            <w:r w:rsidR="003765AC">
              <w:rPr>
                <w:rFonts w:cs="Arial"/>
                <w:sz w:val="20"/>
                <w:szCs w:val="20"/>
              </w:rPr>
              <w:t>,70</w:t>
            </w:r>
          </w:p>
        </w:tc>
      </w:tr>
      <w:tr w:rsidR="0050080C" w14:paraId="51D3CE24" w14:textId="77777777" w:rsidTr="00D816F4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FF60" w14:textId="77777777" w:rsidR="00494B0F" w:rsidRPr="000E0B18" w:rsidRDefault="00A640AE" w:rsidP="00C159BE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0E0B18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EABB" w14:textId="77777777" w:rsidR="00494B0F" w:rsidRPr="00C40DD4" w:rsidRDefault="00021070" w:rsidP="005279FB">
            <w:pPr>
              <w:keepNext/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  <w:r w:rsidR="003765AC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6</w:t>
            </w:r>
            <w:r w:rsidR="003765AC">
              <w:rPr>
                <w:rFonts w:cs="Arial"/>
                <w:sz w:val="20"/>
                <w:szCs w:val="20"/>
              </w:rPr>
              <w:t>7</w:t>
            </w:r>
          </w:p>
        </w:tc>
      </w:tr>
      <w:tr w:rsidR="0050080C" w14:paraId="75CB3F57" w14:textId="77777777" w:rsidTr="00D816F4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1C7C" w14:textId="77777777" w:rsidR="00494B0F" w:rsidRPr="000E0B18" w:rsidRDefault="00A640AE" w:rsidP="00C159BE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0E0B18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9FFA" w14:textId="77777777" w:rsidR="00494B0F" w:rsidRPr="00C40DD4" w:rsidRDefault="00021070" w:rsidP="005279FB">
            <w:pPr>
              <w:keepNext/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  <w:r w:rsidR="003765AC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</w:tr>
    </w:tbl>
    <w:p w14:paraId="1149E0D3" w14:textId="430F7136" w:rsidR="00494B0F" w:rsidRPr="000E0B18" w:rsidRDefault="00A640AE" w:rsidP="00C159BE">
      <w:pPr>
        <w:keepNext/>
        <w:spacing w:after="0"/>
        <w:rPr>
          <w:rFonts w:cs="Arial"/>
          <w:sz w:val="20"/>
          <w:szCs w:val="20"/>
        </w:rPr>
      </w:pPr>
      <w:r w:rsidRPr="000E0B18">
        <w:rPr>
          <w:rFonts w:cs="Arial"/>
          <w:b/>
          <w:sz w:val="20"/>
          <w:szCs w:val="20"/>
        </w:rPr>
        <w:t>Zdroj:</w:t>
      </w:r>
      <w:r w:rsidRPr="000E0B18">
        <w:rPr>
          <w:rFonts w:cs="Arial"/>
          <w:sz w:val="20"/>
          <w:szCs w:val="20"/>
        </w:rPr>
        <w:t xml:space="preserve"> </w:t>
      </w:r>
      <w:r w:rsidR="00B71059">
        <w:rPr>
          <w:rFonts w:cs="Arial"/>
          <w:sz w:val="20"/>
          <w:szCs w:val="20"/>
        </w:rPr>
        <w:t>ú</w:t>
      </w:r>
      <w:r w:rsidR="00211583">
        <w:rPr>
          <w:rFonts w:cs="Arial"/>
          <w:sz w:val="20"/>
          <w:szCs w:val="20"/>
        </w:rPr>
        <w:t>četní závěrka</w:t>
      </w:r>
      <w:r w:rsidR="001F1370">
        <w:rPr>
          <w:rFonts w:cs="Arial"/>
          <w:sz w:val="20"/>
          <w:szCs w:val="20"/>
        </w:rPr>
        <w:t>.</w:t>
      </w:r>
    </w:p>
    <w:p w14:paraId="5A42A7A3" w14:textId="77777777" w:rsidR="00494B0F" w:rsidRPr="003765AC" w:rsidRDefault="00A640AE" w:rsidP="007012B8">
      <w:pPr>
        <w:spacing w:after="0"/>
        <w:ind w:left="567" w:hanging="567"/>
        <w:jc w:val="both"/>
        <w:rPr>
          <w:rFonts w:cs="Arial"/>
          <w:sz w:val="20"/>
          <w:szCs w:val="20"/>
          <w:highlight w:val="yellow"/>
        </w:rPr>
      </w:pPr>
      <w:r w:rsidRPr="000E0B18">
        <w:rPr>
          <w:rFonts w:cs="Arial"/>
          <w:b/>
          <w:sz w:val="20"/>
          <w:szCs w:val="20"/>
        </w:rPr>
        <w:t>Pozn.:</w:t>
      </w:r>
      <w:r w:rsidR="000E0B18" w:rsidRPr="000E0B18">
        <w:rPr>
          <w:rFonts w:cs="Arial"/>
          <w:sz w:val="20"/>
          <w:szCs w:val="20"/>
        </w:rPr>
        <w:t xml:space="preserve"> </w:t>
      </w:r>
      <w:r w:rsidR="000E0B18" w:rsidRPr="000E0B18">
        <w:rPr>
          <w:rFonts w:cs="Arial"/>
          <w:sz w:val="20"/>
          <w:szCs w:val="20"/>
        </w:rPr>
        <w:tab/>
      </w:r>
      <w:r w:rsidR="00021070" w:rsidRPr="00021070">
        <w:rPr>
          <w:rFonts w:cs="Arial"/>
          <w:sz w:val="20"/>
          <w:szCs w:val="20"/>
        </w:rPr>
        <w:t>Hodnota aktiv je uvedena v netto hodnotě, brutto hodnota aktiv byla k 31. 12. 2018 ve výši 52</w:t>
      </w:r>
      <w:r w:rsidR="003765AC">
        <w:rPr>
          <w:rFonts w:cs="Arial"/>
          <w:sz w:val="20"/>
          <w:szCs w:val="20"/>
        </w:rPr>
        <w:t>,</w:t>
      </w:r>
      <w:r w:rsidR="00021070" w:rsidRPr="00021070">
        <w:rPr>
          <w:rFonts w:cs="Arial"/>
          <w:sz w:val="20"/>
          <w:szCs w:val="20"/>
        </w:rPr>
        <w:t>63 ml</w:t>
      </w:r>
      <w:r w:rsidR="003765AC">
        <w:rPr>
          <w:rFonts w:cs="Arial"/>
          <w:sz w:val="20"/>
          <w:szCs w:val="20"/>
        </w:rPr>
        <w:t>d</w:t>
      </w:r>
      <w:r w:rsidR="00211583">
        <w:rPr>
          <w:rFonts w:cs="Arial"/>
          <w:sz w:val="20"/>
          <w:szCs w:val="20"/>
        </w:rPr>
        <w:t>. Kč</w:t>
      </w:r>
      <w:r w:rsidR="001F1370">
        <w:rPr>
          <w:rFonts w:cs="Arial"/>
          <w:sz w:val="20"/>
          <w:szCs w:val="20"/>
        </w:rPr>
        <w:t>.</w:t>
      </w:r>
    </w:p>
    <w:p w14:paraId="4A25FFC4" w14:textId="77777777" w:rsidR="00CF2F57" w:rsidRPr="005279FB" w:rsidRDefault="00CF2F57">
      <w:pPr>
        <w:spacing w:after="0"/>
        <w:rPr>
          <w:rFonts w:cs="Arial"/>
          <w:highlight w:val="yellow"/>
        </w:rPr>
      </w:pPr>
    </w:p>
    <w:p w14:paraId="2ED1DD18" w14:textId="77777777" w:rsidR="00494B0F" w:rsidRDefault="00A640AE" w:rsidP="00FF1F3B">
      <w:pPr>
        <w:keepNext/>
        <w:spacing w:after="40"/>
        <w:ind w:left="1247" w:hanging="1247"/>
        <w:jc w:val="both"/>
        <w:rPr>
          <w:rFonts w:cs="Arial"/>
          <w:b/>
          <w:spacing w:val="-4"/>
        </w:rPr>
      </w:pPr>
      <w:r w:rsidRPr="00FE62B5">
        <w:rPr>
          <w:rFonts w:cs="Arial"/>
          <w:b/>
          <w:spacing w:val="-4"/>
        </w:rPr>
        <w:t xml:space="preserve">Tabulka č. </w:t>
      </w:r>
      <w:r w:rsidR="007A062A">
        <w:rPr>
          <w:rFonts w:cs="Arial"/>
          <w:b/>
          <w:spacing w:val="-4"/>
        </w:rPr>
        <w:t>2</w:t>
      </w:r>
      <w:r w:rsidRPr="00FE62B5">
        <w:rPr>
          <w:rFonts w:cs="Arial"/>
          <w:b/>
          <w:spacing w:val="-4"/>
        </w:rPr>
        <w:t xml:space="preserve">: </w:t>
      </w:r>
      <w:r w:rsidRPr="00FE62B5">
        <w:rPr>
          <w:rFonts w:cs="Arial"/>
          <w:b/>
          <w:spacing w:val="-4"/>
        </w:rPr>
        <w:tab/>
        <w:t xml:space="preserve">Údaje </w:t>
      </w:r>
      <w:r w:rsidR="0015152A">
        <w:rPr>
          <w:rFonts w:cs="Arial"/>
          <w:b/>
          <w:spacing w:val="-4"/>
        </w:rPr>
        <w:t xml:space="preserve">z </w:t>
      </w:r>
      <w:r w:rsidR="000B3825" w:rsidRPr="00FE62B5">
        <w:rPr>
          <w:rFonts w:cs="Arial"/>
          <w:b/>
          <w:spacing w:val="-4"/>
        </w:rPr>
        <w:t>ÚZ</w:t>
      </w:r>
      <w:r w:rsidRPr="00FE62B5">
        <w:rPr>
          <w:rFonts w:cs="Arial"/>
          <w:b/>
          <w:spacing w:val="-4"/>
        </w:rPr>
        <w:t xml:space="preserve"> – informace o stavu účtů v knize podrozvahových účtů, údaje za běžné účetní období</w:t>
      </w:r>
    </w:p>
    <w:tbl>
      <w:tblPr>
        <w:tblW w:w="90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6752"/>
        <w:gridCol w:w="1753"/>
      </w:tblGrid>
      <w:tr w:rsidR="0050080C" w14:paraId="436C82A7" w14:textId="77777777" w:rsidTr="006B22D3">
        <w:trPr>
          <w:trHeight w:val="300"/>
          <w:tblHeader/>
        </w:trPr>
        <w:tc>
          <w:tcPr>
            <w:tcW w:w="7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41BA1DC" w14:textId="77777777" w:rsidR="00085D01" w:rsidRPr="001D2F47" w:rsidRDefault="00A640AE" w:rsidP="00085D0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1D3AFA" w14:textId="77777777" w:rsidR="00085D01" w:rsidRPr="001D2F47" w:rsidRDefault="00A640AE" w:rsidP="00376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D2F4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v</w:t>
            </w:r>
            <w:r w:rsidR="000210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ml</w:t>
            </w:r>
            <w:r w:rsidR="003765A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0210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021070" w14:paraId="5E02B4A3" w14:textId="77777777" w:rsidTr="006B22D3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27FF" w14:textId="77777777" w:rsidR="00021070" w:rsidRPr="001D2F47" w:rsidRDefault="00021070" w:rsidP="006B22D3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P.II.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279F" w14:textId="77777777" w:rsidR="00021070" w:rsidRPr="00021070" w:rsidRDefault="00021070" w:rsidP="00021070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Krátkodobé podmíněné pohledávky z transferů a krátkodobé podmíněné závazky z transferů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B43" w14:textId="77777777" w:rsidR="00021070" w:rsidRPr="003D2549" w:rsidRDefault="00021070" w:rsidP="005279FB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3765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6B22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021070" w14:paraId="45470E3A" w14:textId="77777777" w:rsidTr="006B22D3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F40" w14:textId="77777777" w:rsidR="00021070" w:rsidRPr="00021070" w:rsidRDefault="00021070" w:rsidP="006B22D3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P.IV.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0285" w14:textId="77777777" w:rsidR="00021070" w:rsidRPr="00021070" w:rsidRDefault="00021070" w:rsidP="00021070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Další podmíněné pohledávky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5ABE" w14:textId="77777777" w:rsidR="00021070" w:rsidRPr="003D2549" w:rsidRDefault="003765AC" w:rsidP="005279FB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</w:t>
            </w:r>
            <w:r w:rsidR="000210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21070" w14:paraId="40ED5B53" w14:textId="77777777" w:rsidTr="006B22D3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B3CA" w14:textId="77777777" w:rsidR="00021070" w:rsidRPr="00021070" w:rsidRDefault="00021070" w:rsidP="006B22D3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P.V.</w:t>
            </w:r>
          </w:p>
        </w:tc>
        <w:tc>
          <w:tcPr>
            <w:tcW w:w="6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3BB9" w14:textId="77777777" w:rsidR="00021070" w:rsidRPr="00021070" w:rsidRDefault="00021070" w:rsidP="00021070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Dlouhodobé podmíněné pohledávky z transferů a dlouhodobé podmíněné závazky z transferů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2544" w14:textId="77777777" w:rsidR="00021070" w:rsidRPr="003D2549" w:rsidRDefault="00021070" w:rsidP="005279FB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  <w:r w:rsidR="003765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</w:tr>
      <w:tr w:rsidR="00021070" w14:paraId="4BA43761" w14:textId="77777777" w:rsidTr="006B22D3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4CC7" w14:textId="77777777" w:rsidR="00021070" w:rsidRPr="00021070" w:rsidRDefault="00021070" w:rsidP="006B22D3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P.VII.</w:t>
            </w:r>
          </w:p>
        </w:tc>
        <w:tc>
          <w:tcPr>
            <w:tcW w:w="6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4F06" w14:textId="77777777" w:rsidR="00021070" w:rsidRPr="00021070" w:rsidRDefault="00021070" w:rsidP="00021070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0"/>
                <w:szCs w:val="20"/>
              </w:rPr>
            </w:pPr>
            <w:r w:rsidRPr="00021070">
              <w:rPr>
                <w:rFonts w:eastAsiaTheme="minorHAnsi" w:cstheme="minorHAnsi"/>
                <w:sz w:val="20"/>
                <w:szCs w:val="20"/>
              </w:rPr>
              <w:t>Další podmíněné závazky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8633" w14:textId="77777777" w:rsidR="00021070" w:rsidRPr="003D2549" w:rsidRDefault="00021070" w:rsidP="005279FB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765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,40</w:t>
            </w:r>
          </w:p>
        </w:tc>
      </w:tr>
    </w:tbl>
    <w:p w14:paraId="75ED70F5" w14:textId="7AF46C6D" w:rsidR="00494B0F" w:rsidRPr="00FE62B5" w:rsidRDefault="00A640AE" w:rsidP="008D6D79">
      <w:pPr>
        <w:spacing w:before="40" w:after="0"/>
        <w:rPr>
          <w:sz w:val="20"/>
        </w:rPr>
      </w:pPr>
      <w:r w:rsidRPr="00FE62B5">
        <w:rPr>
          <w:b/>
          <w:sz w:val="20"/>
        </w:rPr>
        <w:t>Zdroj:</w:t>
      </w:r>
      <w:r w:rsidRPr="00FE62B5">
        <w:rPr>
          <w:sz w:val="20"/>
        </w:rPr>
        <w:t xml:space="preserve"> </w:t>
      </w:r>
      <w:r w:rsidR="00B71059">
        <w:rPr>
          <w:rFonts w:cs="Arial"/>
          <w:sz w:val="20"/>
          <w:szCs w:val="20"/>
        </w:rPr>
        <w:t>ú</w:t>
      </w:r>
      <w:r w:rsidR="00211583">
        <w:rPr>
          <w:rFonts w:cs="Arial"/>
          <w:sz w:val="20"/>
          <w:szCs w:val="20"/>
        </w:rPr>
        <w:t>četní závěrka</w:t>
      </w:r>
      <w:r w:rsidR="001F1370">
        <w:rPr>
          <w:rFonts w:cs="Arial"/>
          <w:sz w:val="20"/>
          <w:szCs w:val="20"/>
        </w:rPr>
        <w:t>.</w:t>
      </w:r>
    </w:p>
    <w:p w14:paraId="31135659" w14:textId="77777777" w:rsidR="00494B0F" w:rsidRPr="005279FB" w:rsidRDefault="00494B0F" w:rsidP="007C7C81">
      <w:pPr>
        <w:spacing w:after="0"/>
        <w:rPr>
          <w:highlight w:val="yellow"/>
        </w:rPr>
      </w:pPr>
    </w:p>
    <w:p w14:paraId="4DE46B2C" w14:textId="77777777" w:rsidR="00494B0F" w:rsidRPr="00FE62B5" w:rsidRDefault="00A640AE" w:rsidP="00CB541E">
      <w:pPr>
        <w:keepNext/>
        <w:spacing w:after="40"/>
        <w:rPr>
          <w:rFonts w:cs="Arial"/>
          <w:b/>
        </w:rPr>
      </w:pPr>
      <w:r w:rsidRPr="00FE62B5">
        <w:rPr>
          <w:rFonts w:cs="Arial"/>
          <w:b/>
        </w:rPr>
        <w:t xml:space="preserve">Tabulka č. </w:t>
      </w:r>
      <w:r w:rsidR="007A062A">
        <w:rPr>
          <w:rFonts w:cs="Arial"/>
          <w:b/>
        </w:rPr>
        <w:t>3</w:t>
      </w:r>
      <w:r w:rsidRPr="00FE62B5">
        <w:rPr>
          <w:rFonts w:cs="Arial"/>
          <w:b/>
        </w:rPr>
        <w:t>:</w:t>
      </w:r>
      <w:r w:rsidRPr="00FE62B5">
        <w:rPr>
          <w:rFonts w:cs="Arial"/>
        </w:rPr>
        <w:t xml:space="preserve"> </w:t>
      </w:r>
      <w:r w:rsidRPr="00FE62B5">
        <w:rPr>
          <w:rFonts w:cs="Arial"/>
          <w:b/>
        </w:rPr>
        <w:t>Údaje z výkazu p</w:t>
      </w:r>
      <w:r w:rsidR="00D816F4">
        <w:rPr>
          <w:rFonts w:cs="Arial"/>
          <w:b/>
        </w:rPr>
        <w:t xml:space="preserve">ro hodnocení plnění rozpočtu </w:t>
      </w:r>
      <w:r w:rsidR="00980ECB">
        <w:rPr>
          <w:rFonts w:cs="Arial"/>
          <w:b/>
        </w:rPr>
        <w:t>MD</w:t>
      </w:r>
      <w:r w:rsidRPr="00FE62B5">
        <w:rPr>
          <w:rFonts w:cs="Arial"/>
          <w:b/>
        </w:rPr>
        <w:t xml:space="preserve"> za rok 201</w:t>
      </w:r>
      <w:r w:rsidR="00D816F4">
        <w:rPr>
          <w:rFonts w:cs="Arial"/>
          <w:b/>
        </w:rPr>
        <w:t>8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50080C" w14:paraId="2C0D3A5A" w14:textId="77777777" w:rsidTr="00D816F4">
        <w:trPr>
          <w:trHeight w:val="3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F064D4" w14:textId="77777777" w:rsidR="00494B0F" w:rsidRPr="00673AEF" w:rsidRDefault="00A640AE" w:rsidP="00B92BDD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673AEF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58FDCB" w14:textId="77777777" w:rsidR="00494B0F" w:rsidRPr="00673AEF" w:rsidRDefault="00A640AE" w:rsidP="003765AC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673AEF">
              <w:rPr>
                <w:rFonts w:cs="Arial"/>
                <w:b/>
                <w:bCs/>
                <w:sz w:val="20"/>
              </w:rPr>
              <w:t>Částka v</w:t>
            </w:r>
            <w:r w:rsidR="00021070">
              <w:rPr>
                <w:rFonts w:cs="Arial"/>
                <w:b/>
                <w:bCs/>
                <w:sz w:val="20"/>
              </w:rPr>
              <w:t> ml</w:t>
            </w:r>
            <w:r w:rsidR="003765AC">
              <w:rPr>
                <w:rFonts w:cs="Arial"/>
                <w:b/>
                <w:bCs/>
                <w:sz w:val="20"/>
              </w:rPr>
              <w:t>d</w:t>
            </w:r>
            <w:r w:rsidR="00021070">
              <w:rPr>
                <w:rFonts w:cs="Arial"/>
                <w:b/>
                <w:bCs/>
                <w:sz w:val="20"/>
              </w:rPr>
              <w:t xml:space="preserve">. </w:t>
            </w:r>
            <w:r w:rsidRPr="00673AEF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50080C" w14:paraId="7243845D" w14:textId="77777777" w:rsidTr="00D816F4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4DDD" w14:textId="77777777" w:rsidR="00494B0F" w:rsidRPr="00FE62B5" w:rsidRDefault="00A640AE" w:rsidP="00B92BDD">
            <w:pPr>
              <w:spacing w:after="0"/>
              <w:rPr>
                <w:rFonts w:cs="Arial"/>
                <w:sz w:val="20"/>
              </w:rPr>
            </w:pPr>
            <w:r w:rsidRPr="00FE62B5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CF7A" w14:textId="77777777" w:rsidR="00494B0F" w:rsidRPr="003D2549" w:rsidRDefault="00021070" w:rsidP="005279FB">
            <w:pPr>
              <w:spacing w:after="0"/>
              <w:ind w:right="57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</w:t>
            </w:r>
            <w:r w:rsidR="003765AC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>8</w:t>
            </w:r>
            <w:r w:rsidR="003765AC">
              <w:rPr>
                <w:rFonts w:cs="Arial"/>
                <w:sz w:val="20"/>
              </w:rPr>
              <w:t>8</w:t>
            </w:r>
          </w:p>
        </w:tc>
      </w:tr>
      <w:tr w:rsidR="0050080C" w14:paraId="54E796E7" w14:textId="77777777" w:rsidTr="00D816F4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62B" w14:textId="77777777" w:rsidR="00494B0F" w:rsidRPr="00FE62B5" w:rsidRDefault="00A640AE" w:rsidP="00B92BDD">
            <w:pPr>
              <w:spacing w:after="0"/>
              <w:rPr>
                <w:rFonts w:cs="Arial"/>
                <w:sz w:val="20"/>
              </w:rPr>
            </w:pPr>
            <w:r w:rsidRPr="00FE62B5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42620" w14:textId="77777777" w:rsidR="00494B0F" w:rsidRPr="003D2549" w:rsidRDefault="00021070" w:rsidP="005279FB">
            <w:pPr>
              <w:spacing w:after="0"/>
              <w:ind w:right="57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51</w:t>
            </w:r>
            <w:r w:rsidR="003765AC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>51</w:t>
            </w:r>
          </w:p>
        </w:tc>
      </w:tr>
    </w:tbl>
    <w:p w14:paraId="539510BB" w14:textId="77777777" w:rsidR="00077ACA" w:rsidRPr="00673AEF" w:rsidRDefault="00A640AE" w:rsidP="008D6D79">
      <w:pPr>
        <w:spacing w:before="40" w:after="0"/>
        <w:rPr>
          <w:sz w:val="20"/>
        </w:rPr>
      </w:pPr>
      <w:r w:rsidRPr="00673AEF">
        <w:rPr>
          <w:b/>
          <w:sz w:val="20"/>
        </w:rPr>
        <w:t>Zdroj:</w:t>
      </w:r>
      <w:r w:rsidR="006B22D3">
        <w:rPr>
          <w:sz w:val="20"/>
        </w:rPr>
        <w:t xml:space="preserve"> výkaz FIN 1-12 OSS</w:t>
      </w:r>
      <w:r w:rsidR="001F1370">
        <w:rPr>
          <w:sz w:val="20"/>
        </w:rPr>
        <w:t>.</w:t>
      </w:r>
    </w:p>
    <w:p w14:paraId="18AFB698" w14:textId="77777777" w:rsidR="0015152A" w:rsidRDefault="0015152A" w:rsidP="003765AC">
      <w:pPr>
        <w:spacing w:after="0"/>
        <w:ind w:left="567" w:hanging="567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7FCA4D6" w14:textId="77777777" w:rsidR="00D97754" w:rsidRDefault="00D97754" w:rsidP="003765AC">
      <w:pPr>
        <w:spacing w:after="0"/>
        <w:ind w:left="567" w:hanging="567"/>
        <w:jc w:val="both"/>
        <w:rPr>
          <w:highlight w:val="yellow"/>
        </w:rPr>
      </w:pPr>
      <w:r>
        <w:rPr>
          <w:highlight w:val="yellow"/>
        </w:rPr>
        <w:br w:type="page"/>
      </w:r>
    </w:p>
    <w:p w14:paraId="224C6163" w14:textId="77777777" w:rsidR="0033466E" w:rsidRPr="00673AEF" w:rsidRDefault="00A640AE" w:rsidP="00CB541E">
      <w:pPr>
        <w:pStyle w:val="Nadpis1"/>
        <w:keepNext/>
        <w:spacing w:after="0" w:line="240" w:lineRule="auto"/>
      </w:pPr>
      <w:r w:rsidRPr="00673AEF">
        <w:lastRenderedPageBreak/>
        <w:t>I</w:t>
      </w:r>
      <w:r w:rsidR="00E91FF5" w:rsidRPr="00673AEF">
        <w:t>I</w:t>
      </w:r>
      <w:r w:rsidRPr="00673AEF">
        <w:t xml:space="preserve">I. </w:t>
      </w:r>
      <w:r w:rsidRPr="001050B5">
        <w:t>Rozsah kontroly</w:t>
      </w:r>
    </w:p>
    <w:p w14:paraId="6740DCEB" w14:textId="77777777" w:rsidR="00F05073" w:rsidRPr="00673AEF" w:rsidRDefault="00F05073" w:rsidP="00CB541E">
      <w:pPr>
        <w:keepNext/>
        <w:spacing w:after="0"/>
        <w:jc w:val="both"/>
        <w:rPr>
          <w:rFonts w:cs="Calibri"/>
        </w:rPr>
      </w:pPr>
    </w:p>
    <w:p w14:paraId="3E6807ED" w14:textId="5AB57D98" w:rsidR="00BF0C81" w:rsidRDefault="00A640AE" w:rsidP="00BF0C81">
      <w:pPr>
        <w:spacing w:after="0"/>
        <w:jc w:val="both"/>
        <w:rPr>
          <w:rFonts w:eastAsiaTheme="minorHAnsi" w:cs="Calibri"/>
        </w:rPr>
      </w:pPr>
      <w:r w:rsidRPr="00673AEF">
        <w:rPr>
          <w:rFonts w:cs="Calibri"/>
        </w:rPr>
        <w:t xml:space="preserve">Kontrolní akce byla kontrolou typu finanční audit a jejím cílem bylo </w:t>
      </w:r>
      <w:r w:rsidR="00BF0C81">
        <w:rPr>
          <w:rFonts w:eastAsiaTheme="minorHAnsi" w:cs="Calibri"/>
        </w:rPr>
        <w:t xml:space="preserve">prověřit, zda </w:t>
      </w:r>
      <w:r w:rsidR="00980ECB">
        <w:rPr>
          <w:rFonts w:eastAsiaTheme="minorHAnsi" w:cs="Calibri"/>
        </w:rPr>
        <w:t>MD</w:t>
      </w:r>
      <w:r w:rsidR="00BF0C81" w:rsidRPr="00B30899">
        <w:rPr>
          <w:rFonts w:eastAsiaTheme="minorHAnsi" w:cs="Calibri"/>
        </w:rPr>
        <w:t xml:space="preserve"> při vedení účetnictví v roce 201</w:t>
      </w:r>
      <w:r w:rsidR="00BF0C81">
        <w:rPr>
          <w:rFonts w:eastAsiaTheme="minorHAnsi" w:cs="Calibri"/>
        </w:rPr>
        <w:t>8</w:t>
      </w:r>
      <w:r w:rsidR="00BF0C81" w:rsidRPr="00B30899">
        <w:rPr>
          <w:rFonts w:eastAsiaTheme="minorHAnsi" w:cs="Calibri"/>
        </w:rPr>
        <w:t xml:space="preserve"> a sestavení účetní závěrky k 31. prosinci</w:t>
      </w:r>
      <w:r w:rsidR="00BF0C81">
        <w:rPr>
          <w:rFonts w:eastAsiaTheme="minorHAnsi" w:cs="Calibri"/>
        </w:rPr>
        <w:t xml:space="preserve"> 2018</w:t>
      </w:r>
      <w:r w:rsidR="00FF0056">
        <w:rPr>
          <w:rFonts w:eastAsiaTheme="minorHAnsi" w:cs="Calibri"/>
        </w:rPr>
        <w:t>, při předkládání údajů pro</w:t>
      </w:r>
      <w:r w:rsidR="00DC5954">
        <w:rPr>
          <w:rFonts w:eastAsiaTheme="minorHAnsi" w:cs="Calibri"/>
        </w:rPr>
        <w:t xml:space="preserve"> </w:t>
      </w:r>
      <w:r w:rsidR="00BF0C81" w:rsidRPr="00B30899">
        <w:rPr>
          <w:rFonts w:eastAsiaTheme="minorHAnsi" w:cs="Calibri"/>
        </w:rPr>
        <w:t>hodnocení plnění rozpočtu a při sestavení závěrečného účtu za rok 201</w:t>
      </w:r>
      <w:r w:rsidR="00BF0C81">
        <w:rPr>
          <w:rFonts w:eastAsiaTheme="minorHAnsi" w:cs="Calibri"/>
        </w:rPr>
        <w:t>8</w:t>
      </w:r>
      <w:r w:rsidR="00BF0C81" w:rsidRPr="00B30899">
        <w:rPr>
          <w:rFonts w:eastAsiaTheme="minorHAnsi" w:cs="Calibri"/>
        </w:rPr>
        <w:t xml:space="preserve"> postupovalo v souladu s příslušnými právními předpisy</w:t>
      </w:r>
      <w:r w:rsidR="00BF0C81">
        <w:rPr>
          <w:rFonts w:eastAsiaTheme="minorHAnsi" w:cs="Calibri"/>
        </w:rPr>
        <w:t>.</w:t>
      </w:r>
    </w:p>
    <w:p w14:paraId="3804DFCC" w14:textId="77777777" w:rsidR="00291417" w:rsidRDefault="00291417" w:rsidP="00BF0C81">
      <w:pPr>
        <w:spacing w:after="0"/>
        <w:jc w:val="both"/>
        <w:rPr>
          <w:rFonts w:eastAsiaTheme="minorHAnsi" w:cs="Calibri"/>
        </w:rPr>
      </w:pPr>
    </w:p>
    <w:p w14:paraId="2E0A60A3" w14:textId="3E2F5F43" w:rsidR="00720C07" w:rsidRPr="00673AEF" w:rsidRDefault="00A640AE" w:rsidP="00F05073">
      <w:pPr>
        <w:spacing w:after="0"/>
        <w:jc w:val="both"/>
        <w:rPr>
          <w:rFonts w:cs="Calibri"/>
        </w:rPr>
      </w:pPr>
      <w:r w:rsidRPr="00D97754">
        <w:rPr>
          <w:rFonts w:cs="Calibri"/>
          <w:b/>
        </w:rPr>
        <w:t>Kontrolovaný objem</w:t>
      </w:r>
      <w:r w:rsidRPr="00B922BC">
        <w:rPr>
          <w:rFonts w:cs="Calibri"/>
        </w:rPr>
        <w:t xml:space="preserve"> finančních prostředků a majetku představuje hodnotu aktiv, pasiv, nákladů, výnosů a podrozvahových účtů vykázaných v</w:t>
      </w:r>
      <w:r w:rsidR="00150880">
        <w:rPr>
          <w:rFonts w:cs="Calibri"/>
        </w:rPr>
        <w:t> </w:t>
      </w:r>
      <w:r w:rsidRPr="00B922BC">
        <w:rPr>
          <w:rFonts w:cs="Calibri"/>
        </w:rPr>
        <w:t>ÚZ</w:t>
      </w:r>
      <w:r w:rsidR="00150880">
        <w:rPr>
          <w:rFonts w:cs="Calibri"/>
        </w:rPr>
        <w:t xml:space="preserve"> </w:t>
      </w:r>
      <w:r w:rsidR="00647539">
        <w:rPr>
          <w:rFonts w:cs="Calibri"/>
        </w:rPr>
        <w:t>a příjmů a výdajů vykázaných ve</w:t>
      </w:r>
      <w:r w:rsidR="00DC5954">
        <w:rPr>
          <w:rFonts w:cs="Calibri"/>
        </w:rPr>
        <w:t xml:space="preserve"> </w:t>
      </w:r>
      <w:r w:rsidR="00150880">
        <w:rPr>
          <w:rFonts w:cs="Calibri"/>
        </w:rPr>
        <w:t>výkazu FIN 1-12 OSS</w:t>
      </w:r>
      <w:r w:rsidR="00225B92">
        <w:rPr>
          <w:rFonts w:cs="Calibri"/>
        </w:rPr>
        <w:t>, které jsou</w:t>
      </w:r>
      <w:r w:rsidRPr="00B922BC">
        <w:rPr>
          <w:rFonts w:cs="Calibri"/>
        </w:rPr>
        <w:t xml:space="preserve"> vyčíslen</w:t>
      </w:r>
      <w:r w:rsidR="00225B92">
        <w:rPr>
          <w:rFonts w:cs="Calibri"/>
        </w:rPr>
        <w:t>y</w:t>
      </w:r>
      <w:r w:rsidRPr="00B922BC">
        <w:rPr>
          <w:rFonts w:cs="Calibri"/>
        </w:rPr>
        <w:t xml:space="preserve"> v tabulkách č. </w:t>
      </w:r>
      <w:r w:rsidR="00021070">
        <w:rPr>
          <w:rFonts w:cs="Calibri"/>
        </w:rPr>
        <w:t>1</w:t>
      </w:r>
      <w:r w:rsidR="006A0DE4">
        <w:rPr>
          <w:rFonts w:cs="Calibri"/>
        </w:rPr>
        <w:t>–</w:t>
      </w:r>
      <w:r w:rsidR="00150880">
        <w:rPr>
          <w:rFonts w:cs="Calibri"/>
        </w:rPr>
        <w:t>3</w:t>
      </w:r>
      <w:r w:rsidRPr="00B922BC">
        <w:rPr>
          <w:rFonts w:cs="Calibri"/>
        </w:rPr>
        <w:t>.</w:t>
      </w:r>
    </w:p>
    <w:p w14:paraId="5F2A2AA6" w14:textId="77777777" w:rsidR="00F05073" w:rsidRPr="006E7406" w:rsidRDefault="00F05073" w:rsidP="00F05073">
      <w:pPr>
        <w:spacing w:after="0"/>
        <w:jc w:val="both"/>
        <w:rPr>
          <w:rFonts w:cs="Calibri"/>
        </w:rPr>
      </w:pPr>
    </w:p>
    <w:p w14:paraId="6FB30F8C" w14:textId="2A8D0905" w:rsidR="0033466E" w:rsidRDefault="00A640AE" w:rsidP="00F05073">
      <w:pPr>
        <w:spacing w:after="0"/>
        <w:jc w:val="both"/>
        <w:rPr>
          <w:rFonts w:cs="Calibri"/>
          <w:bCs/>
        </w:rPr>
      </w:pPr>
      <w:r w:rsidRPr="00673AEF">
        <w:rPr>
          <w:rFonts w:cs="Calibri"/>
        </w:rPr>
        <w:t xml:space="preserve">Kontrola se zaměřila na činnosti a skutečnosti, které </w:t>
      </w:r>
      <w:r w:rsidRPr="00D97754">
        <w:rPr>
          <w:rFonts w:cs="Calibri"/>
        </w:rPr>
        <w:t>byly předmětem účetnictví</w:t>
      </w:r>
      <w:r w:rsidR="00291417" w:rsidRPr="00D97754">
        <w:rPr>
          <w:rFonts w:cs="Calibri"/>
        </w:rPr>
        <w:t xml:space="preserve"> a</w:t>
      </w:r>
      <w:r w:rsidR="00291417">
        <w:rPr>
          <w:rFonts w:cs="Calibri"/>
        </w:rPr>
        <w:t xml:space="preserve"> měly vliv na</w:t>
      </w:r>
      <w:r w:rsidR="00DC5954">
        <w:rPr>
          <w:rFonts w:cs="Calibri"/>
        </w:rPr>
        <w:t xml:space="preserve"> </w:t>
      </w:r>
      <w:r w:rsidRPr="00673AEF">
        <w:rPr>
          <w:rFonts w:cs="Calibri"/>
        </w:rPr>
        <w:t>hodnotu kontrolovaných významných konečných zůstatků účtů v </w:t>
      </w:r>
      <w:r w:rsidR="000B3825" w:rsidRPr="00673AEF">
        <w:rPr>
          <w:rFonts w:cs="Calibri"/>
        </w:rPr>
        <w:t>ÚZ</w:t>
      </w:r>
      <w:r w:rsidR="00FF0056">
        <w:rPr>
          <w:rFonts w:cs="Calibri"/>
        </w:rPr>
        <w:t>, které měly vliv na</w:t>
      </w:r>
      <w:r w:rsidR="00DC5954">
        <w:rPr>
          <w:rFonts w:cs="Calibri"/>
        </w:rPr>
        <w:t xml:space="preserve"> </w:t>
      </w:r>
      <w:r w:rsidRPr="00673AEF">
        <w:rPr>
          <w:rFonts w:cs="Calibri"/>
        </w:rPr>
        <w:t xml:space="preserve">hodnotu významných údajů předkládaných pro hodnocení </w:t>
      </w:r>
      <w:r w:rsidR="005E41D6">
        <w:rPr>
          <w:rFonts w:cs="Calibri"/>
        </w:rPr>
        <w:t>plnění státního rozpočtu za</w:t>
      </w:r>
      <w:r w:rsidR="00DC5954">
        <w:rPr>
          <w:rFonts w:cs="Calibri"/>
        </w:rPr>
        <w:t xml:space="preserve"> </w:t>
      </w:r>
      <w:r w:rsidR="001B0BE7">
        <w:rPr>
          <w:rFonts w:cs="Calibri"/>
        </w:rPr>
        <w:t>rok</w:t>
      </w:r>
      <w:r w:rsidR="00DC5954">
        <w:rPr>
          <w:rFonts w:cs="Calibri"/>
        </w:rPr>
        <w:t xml:space="preserve"> </w:t>
      </w:r>
      <w:r w:rsidRPr="00673AEF">
        <w:rPr>
          <w:rFonts w:cs="Calibri"/>
        </w:rPr>
        <w:t>201</w:t>
      </w:r>
      <w:r w:rsidR="00306CED">
        <w:rPr>
          <w:rFonts w:cs="Calibri"/>
        </w:rPr>
        <w:t>8</w:t>
      </w:r>
      <w:r w:rsidRPr="00673AEF">
        <w:rPr>
          <w:rFonts w:cs="Calibri"/>
        </w:rPr>
        <w:t xml:space="preserve"> a na závěrečný účet kapitoly </w:t>
      </w:r>
      <w:r w:rsidR="00306CED">
        <w:rPr>
          <w:rFonts w:cs="Calibri"/>
        </w:rPr>
        <w:t xml:space="preserve">státního rozpočtu </w:t>
      </w:r>
      <w:r w:rsidR="00980ECB">
        <w:rPr>
          <w:rFonts w:cs="Calibri"/>
        </w:rPr>
        <w:t>327</w:t>
      </w:r>
      <w:r w:rsidR="00306CED">
        <w:rPr>
          <w:rFonts w:cs="Calibri"/>
        </w:rPr>
        <w:t xml:space="preserve"> M</w:t>
      </w:r>
      <w:r w:rsidR="00980ECB">
        <w:rPr>
          <w:rFonts w:cs="Calibri"/>
        </w:rPr>
        <w:t>D</w:t>
      </w:r>
      <w:r w:rsidRPr="00673AEF">
        <w:rPr>
          <w:rFonts w:cs="Calibri"/>
        </w:rPr>
        <w:t xml:space="preserve"> za</w:t>
      </w:r>
      <w:r w:rsidR="00DC5954">
        <w:rPr>
          <w:rFonts w:cs="Calibri"/>
        </w:rPr>
        <w:t xml:space="preserve"> </w:t>
      </w:r>
      <w:r w:rsidRPr="00673AEF">
        <w:rPr>
          <w:rFonts w:cs="Calibri"/>
        </w:rPr>
        <w:t>rok 201</w:t>
      </w:r>
      <w:r w:rsidR="00306CED">
        <w:rPr>
          <w:rFonts w:cs="Calibri"/>
        </w:rPr>
        <w:t>8</w:t>
      </w:r>
      <w:r w:rsidRPr="00673AEF">
        <w:rPr>
          <w:rFonts w:cs="Calibri"/>
          <w:bCs/>
        </w:rPr>
        <w:t>.</w:t>
      </w:r>
    </w:p>
    <w:p w14:paraId="4368679E" w14:textId="77777777" w:rsidR="00F279C1" w:rsidRDefault="00F279C1" w:rsidP="00F05073">
      <w:pPr>
        <w:spacing w:after="0"/>
        <w:jc w:val="both"/>
        <w:rPr>
          <w:rFonts w:cs="Calibri"/>
          <w:bCs/>
        </w:rPr>
      </w:pPr>
    </w:p>
    <w:p w14:paraId="175BF8AF" w14:textId="77777777" w:rsidR="00F279C1" w:rsidRDefault="00F279C1" w:rsidP="00F279C1">
      <w:pPr>
        <w:spacing w:after="0"/>
        <w:jc w:val="both"/>
        <w:rPr>
          <w:rFonts w:cs="Calibri"/>
        </w:rPr>
      </w:pPr>
      <w:r w:rsidRPr="00714F53">
        <w:rPr>
          <w:rFonts w:cs="Calibri"/>
        </w:rPr>
        <w:t xml:space="preserve">V oblasti vedení </w:t>
      </w:r>
      <w:r w:rsidRPr="00D97754">
        <w:rPr>
          <w:rFonts w:cs="Calibri"/>
          <w:b/>
        </w:rPr>
        <w:t>účetnictví</w:t>
      </w:r>
      <w:r w:rsidRPr="00714F53">
        <w:rPr>
          <w:rFonts w:cs="Calibri"/>
        </w:rPr>
        <w:t xml:space="preserve"> se kontrola zaměřila na jeho správnost, úplnost, průkaznost a srozumitelnost. Prověřila dodržování směrné účtové osnovy a správnost používání účetních metod. U vybraných účetních případů byla provedena kontrola s cílem </w:t>
      </w:r>
      <w:r>
        <w:rPr>
          <w:rFonts w:cs="Calibri"/>
        </w:rPr>
        <w:t>pro</w:t>
      </w:r>
      <w:r w:rsidRPr="00714F53">
        <w:rPr>
          <w:rFonts w:cs="Calibri"/>
        </w:rPr>
        <w:t>věřit systém účtování a vykazování informací o skutečnostech, které jsou předmětem účetnictví.</w:t>
      </w:r>
      <w:r w:rsidRPr="00B30899">
        <w:rPr>
          <w:rFonts w:cs="Calibri"/>
        </w:rPr>
        <w:t xml:space="preserve"> </w:t>
      </w:r>
    </w:p>
    <w:p w14:paraId="3E6014B6" w14:textId="77777777" w:rsidR="00F279C1" w:rsidRPr="00673AEF" w:rsidRDefault="00F279C1" w:rsidP="00F05073">
      <w:pPr>
        <w:spacing w:after="0"/>
        <w:jc w:val="both"/>
        <w:rPr>
          <w:rFonts w:cs="Calibri"/>
          <w:bCs/>
        </w:rPr>
      </w:pPr>
    </w:p>
    <w:p w14:paraId="07075A5F" w14:textId="4F531DBC" w:rsidR="008D562A" w:rsidRPr="00673AEF" w:rsidRDefault="00A640AE" w:rsidP="00F05073">
      <w:pPr>
        <w:spacing w:after="0"/>
        <w:jc w:val="both"/>
        <w:rPr>
          <w:rFonts w:eastAsiaTheme="minorHAnsi" w:cs="Calibri"/>
        </w:rPr>
      </w:pPr>
      <w:r w:rsidRPr="00673AEF">
        <w:rPr>
          <w:rFonts w:eastAsiaTheme="minorHAnsi" w:cs="Calibri"/>
        </w:rPr>
        <w:t xml:space="preserve">V případě </w:t>
      </w:r>
      <w:r w:rsidRPr="001077EB">
        <w:rPr>
          <w:rFonts w:eastAsiaTheme="minorHAnsi" w:cs="Calibri"/>
          <w:b/>
        </w:rPr>
        <w:t>údajů předkládaných pro hodnocení plnění státního rozpočtu</w:t>
      </w:r>
      <w:r w:rsidRPr="00673AEF">
        <w:rPr>
          <w:rFonts w:eastAsiaTheme="minorHAnsi" w:cs="Calibri"/>
        </w:rPr>
        <w:t xml:space="preserve"> bylo prověřováno, zda byla dodržena správnost třídění příjmů a výdajů rozpočtovou skladbou v</w:t>
      </w:r>
      <w:r w:rsidR="0068144D">
        <w:rPr>
          <w:rFonts w:eastAsiaTheme="minorHAnsi" w:cs="Calibri"/>
        </w:rPr>
        <w:t xml:space="preserve"> </w:t>
      </w:r>
      <w:r w:rsidRPr="00673AEF">
        <w:rPr>
          <w:rFonts w:eastAsiaTheme="minorHAnsi" w:cs="Calibri"/>
        </w:rPr>
        <w:t>oblasti druhového a</w:t>
      </w:r>
      <w:r w:rsidR="00DC5954">
        <w:rPr>
          <w:rFonts w:eastAsiaTheme="minorHAnsi" w:cs="Calibri"/>
        </w:rPr>
        <w:t xml:space="preserve"> </w:t>
      </w:r>
      <w:r w:rsidRPr="00673AEF">
        <w:rPr>
          <w:rFonts w:eastAsiaTheme="minorHAnsi" w:cs="Calibri"/>
        </w:rPr>
        <w:t xml:space="preserve">odvětvového </w:t>
      </w:r>
      <w:r w:rsidR="00150880">
        <w:rPr>
          <w:rFonts w:eastAsiaTheme="minorHAnsi" w:cs="Calibri"/>
        </w:rPr>
        <w:t>členění</w:t>
      </w:r>
      <w:r w:rsidR="00150880" w:rsidRPr="00673AEF">
        <w:rPr>
          <w:rFonts w:eastAsiaTheme="minorHAnsi" w:cs="Calibri"/>
        </w:rPr>
        <w:t xml:space="preserve"> </w:t>
      </w:r>
      <w:r w:rsidR="00150880">
        <w:rPr>
          <w:rFonts w:eastAsiaTheme="minorHAnsi" w:cs="Calibri"/>
        </w:rPr>
        <w:t xml:space="preserve">a prostorového původu </w:t>
      </w:r>
      <w:r w:rsidRPr="00673AEF">
        <w:rPr>
          <w:rFonts w:eastAsiaTheme="minorHAnsi" w:cs="Calibri"/>
        </w:rPr>
        <w:t>dle vyhlášky č.</w:t>
      </w:r>
      <w:r w:rsidR="00225B92">
        <w:rPr>
          <w:rFonts w:eastAsiaTheme="minorHAnsi" w:cs="Calibri"/>
        </w:rPr>
        <w:t> </w:t>
      </w:r>
      <w:r w:rsidRPr="00673AEF">
        <w:rPr>
          <w:rFonts w:eastAsiaTheme="minorHAnsi" w:cs="Calibri"/>
        </w:rPr>
        <w:t>323/2002</w:t>
      </w:r>
      <w:r w:rsidR="00150880">
        <w:rPr>
          <w:rFonts w:eastAsiaTheme="minorHAnsi" w:cs="Calibri"/>
        </w:rPr>
        <w:t> </w:t>
      </w:r>
      <w:r w:rsidRPr="00673AEF">
        <w:rPr>
          <w:rFonts w:eastAsiaTheme="minorHAnsi" w:cs="Calibri"/>
        </w:rPr>
        <w:t xml:space="preserve">Sb., </w:t>
      </w:r>
      <w:r w:rsidR="00D11772">
        <w:rPr>
          <w:rFonts w:eastAsiaTheme="minorHAnsi" w:cs="Calibri"/>
        </w:rPr>
        <w:br/>
      </w:r>
      <w:r w:rsidRPr="00673AEF">
        <w:rPr>
          <w:rFonts w:eastAsiaTheme="minorHAnsi" w:cs="Calibri"/>
        </w:rPr>
        <w:t>o rozpočtové skladbě.</w:t>
      </w:r>
    </w:p>
    <w:p w14:paraId="4022903B" w14:textId="77777777" w:rsidR="00F05073" w:rsidRPr="00673AEF" w:rsidRDefault="00F05073" w:rsidP="00F05073">
      <w:pPr>
        <w:spacing w:after="0"/>
        <w:jc w:val="both"/>
        <w:rPr>
          <w:rFonts w:eastAsiaTheme="minorHAnsi" w:cs="Calibri"/>
        </w:rPr>
      </w:pPr>
    </w:p>
    <w:p w14:paraId="0903F73C" w14:textId="7FFF830F" w:rsidR="008465AF" w:rsidRPr="00673AEF" w:rsidRDefault="00A640AE" w:rsidP="00F05073">
      <w:pPr>
        <w:spacing w:after="0"/>
        <w:jc w:val="both"/>
        <w:rPr>
          <w:rFonts w:cs="Calibri"/>
        </w:rPr>
      </w:pPr>
      <w:r w:rsidRPr="00673AEF">
        <w:rPr>
          <w:rFonts w:cs="Calibri"/>
        </w:rPr>
        <w:t xml:space="preserve">Výběr položek účetní závěrky a údajů předkládaných </w:t>
      </w:r>
      <w:r w:rsidR="00980ECB">
        <w:rPr>
          <w:rFonts w:cs="Calibri"/>
        </w:rPr>
        <w:t>M</w:t>
      </w:r>
      <w:r w:rsidR="00DC5954">
        <w:rPr>
          <w:rFonts w:cs="Calibri"/>
        </w:rPr>
        <w:t>inisterstvem dopravy</w:t>
      </w:r>
      <w:r w:rsidRPr="00673AEF">
        <w:rPr>
          <w:rFonts w:cs="Calibri"/>
        </w:rPr>
        <w:t xml:space="preserve"> pro hodnocení plnění státního rozpočtu proved</w:t>
      </w:r>
      <w:r w:rsidR="00FB15C1" w:rsidRPr="00673AEF">
        <w:rPr>
          <w:rFonts w:cs="Calibri"/>
        </w:rPr>
        <w:t>l NKÚ</w:t>
      </w:r>
      <w:r w:rsidRPr="00673AEF">
        <w:rPr>
          <w:rFonts w:cs="Calibri"/>
        </w:rPr>
        <w:t xml:space="preserve"> se zaměřením </w:t>
      </w:r>
      <w:r w:rsidR="003D632E">
        <w:rPr>
          <w:rFonts w:cs="Calibri"/>
        </w:rPr>
        <w:t xml:space="preserve">na </w:t>
      </w:r>
      <w:r w:rsidR="007A59A0">
        <w:rPr>
          <w:rFonts w:cs="Calibri"/>
        </w:rPr>
        <w:t xml:space="preserve">významnost a </w:t>
      </w:r>
      <w:r w:rsidRPr="00673AEF">
        <w:rPr>
          <w:rFonts w:cs="Calibri"/>
        </w:rPr>
        <w:t xml:space="preserve">na vyhodnocená rizika </w:t>
      </w:r>
      <w:r w:rsidR="00396237">
        <w:rPr>
          <w:rFonts w:cs="Calibri"/>
        </w:rPr>
        <w:t xml:space="preserve">významné </w:t>
      </w:r>
      <w:r w:rsidRPr="00673AEF">
        <w:rPr>
          <w:rFonts w:cs="Calibri"/>
        </w:rPr>
        <w:t>nesprávnosti vykázaných údajů.</w:t>
      </w:r>
    </w:p>
    <w:p w14:paraId="78307D6E" w14:textId="77777777" w:rsidR="00F05073" w:rsidRPr="005279FB" w:rsidRDefault="00F05073" w:rsidP="00F05073">
      <w:pPr>
        <w:spacing w:after="0"/>
        <w:jc w:val="both"/>
        <w:rPr>
          <w:rFonts w:eastAsiaTheme="minorHAnsi" w:cs="Calibri"/>
        </w:rPr>
      </w:pPr>
    </w:p>
    <w:p w14:paraId="7748CD7C" w14:textId="0853D5E8" w:rsidR="007A59A0" w:rsidRPr="004D6020" w:rsidRDefault="007A59A0" w:rsidP="007A59A0">
      <w:pPr>
        <w:spacing w:after="60"/>
        <w:jc w:val="both"/>
        <w:rPr>
          <w:rFonts w:cs="Calibri"/>
          <w:b/>
          <w:color w:val="000000"/>
        </w:rPr>
      </w:pPr>
      <w:r w:rsidRPr="00DE6626">
        <w:rPr>
          <w:rFonts w:cs="Calibri"/>
          <w:lang w:eastAsia="cs-CZ"/>
        </w:rPr>
        <w:t xml:space="preserve">Při kontrole </w:t>
      </w:r>
      <w:r w:rsidRPr="0093276B">
        <w:rPr>
          <w:rFonts w:cs="Calibri"/>
          <w:b/>
          <w:lang w:eastAsia="cs-CZ"/>
        </w:rPr>
        <w:t>závěrečného účtu</w:t>
      </w:r>
      <w:r w:rsidRPr="00DE6626">
        <w:rPr>
          <w:rFonts w:cs="Calibri"/>
          <w:lang w:eastAsia="cs-CZ"/>
        </w:rPr>
        <w:t xml:space="preserve"> kapitoly </w:t>
      </w:r>
      <w:r>
        <w:rPr>
          <w:rFonts w:cs="Calibri"/>
          <w:lang w:eastAsia="cs-CZ"/>
        </w:rPr>
        <w:t>327</w:t>
      </w:r>
      <w:r w:rsidRPr="00DE6626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MD</w:t>
      </w:r>
      <w:r w:rsidRPr="00DE6626">
        <w:rPr>
          <w:rFonts w:cs="Calibri"/>
          <w:lang w:eastAsia="cs-CZ"/>
        </w:rPr>
        <w:t xml:space="preserve"> za rok 201</w:t>
      </w:r>
      <w:r>
        <w:rPr>
          <w:rFonts w:cs="Calibri"/>
          <w:lang w:eastAsia="cs-CZ"/>
        </w:rPr>
        <w:t xml:space="preserve">8 bylo prověřováno, zda je sestaven v souladu s požadavky vyhlášky č. 419/2001 Sb. i v souladu se skutečností, to znamená, zda vybrané údaje uváděné v závěrečném účtu jsou správné a úplné ve srovnání s finančními výkazy, s </w:t>
      </w:r>
      <w:r w:rsidRPr="004B16DD">
        <w:rPr>
          <w:rFonts w:cs="Calibri"/>
          <w:lang w:eastAsia="cs-CZ"/>
        </w:rPr>
        <w:t>údaj</w:t>
      </w:r>
      <w:r>
        <w:rPr>
          <w:rFonts w:cs="Calibri"/>
          <w:lang w:eastAsia="cs-CZ"/>
        </w:rPr>
        <w:t>i</w:t>
      </w:r>
      <w:r w:rsidRPr="004B16DD">
        <w:rPr>
          <w:rFonts w:cs="Calibri"/>
          <w:lang w:eastAsia="cs-CZ"/>
        </w:rPr>
        <w:t xml:space="preserve"> z účetních závěrek </w:t>
      </w:r>
      <w:r>
        <w:rPr>
          <w:rFonts w:cs="Calibri"/>
          <w:lang w:eastAsia="cs-CZ"/>
        </w:rPr>
        <w:t>MD</w:t>
      </w:r>
      <w:r w:rsidRPr="004B16DD">
        <w:rPr>
          <w:rFonts w:cs="Calibri"/>
          <w:lang w:eastAsia="cs-CZ"/>
        </w:rPr>
        <w:t xml:space="preserve"> a podřízených organizací</w:t>
      </w:r>
      <w:r>
        <w:rPr>
          <w:rFonts w:cs="Calibri"/>
          <w:lang w:eastAsia="cs-CZ"/>
        </w:rPr>
        <w:t>, s podklady jednotlivých věcně příslušných odborů MD a</w:t>
      </w:r>
      <w:r w:rsidR="00DC5954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podřízených organizací</w:t>
      </w:r>
      <w:r w:rsidRPr="000263DE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a s </w:t>
      </w:r>
      <w:r w:rsidRPr="004B16DD">
        <w:rPr>
          <w:lang w:eastAsia="cs-CZ"/>
        </w:rPr>
        <w:t>jin</w:t>
      </w:r>
      <w:r>
        <w:rPr>
          <w:lang w:eastAsia="cs-CZ"/>
        </w:rPr>
        <w:t>ými</w:t>
      </w:r>
      <w:r w:rsidRPr="004B16DD">
        <w:rPr>
          <w:lang w:eastAsia="cs-CZ"/>
        </w:rPr>
        <w:t xml:space="preserve"> veřejně dostupn</w:t>
      </w:r>
      <w:r>
        <w:rPr>
          <w:lang w:eastAsia="cs-CZ"/>
        </w:rPr>
        <w:t>ými</w:t>
      </w:r>
      <w:r w:rsidRPr="004B16DD">
        <w:rPr>
          <w:lang w:eastAsia="cs-CZ"/>
        </w:rPr>
        <w:t xml:space="preserve"> zdroj</w:t>
      </w:r>
      <w:r>
        <w:rPr>
          <w:lang w:eastAsia="cs-CZ"/>
        </w:rPr>
        <w:t>i</w:t>
      </w:r>
      <w:r w:rsidRPr="004B16DD">
        <w:rPr>
          <w:lang w:eastAsia="cs-CZ"/>
        </w:rPr>
        <w:t xml:space="preserve"> </w:t>
      </w:r>
      <w:r>
        <w:rPr>
          <w:lang w:eastAsia="cs-CZ"/>
        </w:rPr>
        <w:t>(</w:t>
      </w:r>
      <w:r w:rsidR="00F7360D">
        <w:rPr>
          <w:lang w:eastAsia="cs-CZ"/>
        </w:rPr>
        <w:t>např. </w:t>
      </w:r>
      <w:r w:rsidRPr="004B16DD">
        <w:rPr>
          <w:lang w:eastAsia="cs-CZ"/>
        </w:rPr>
        <w:t xml:space="preserve">usnesení vlády </w:t>
      </w:r>
      <w:r w:rsidR="00964CC0">
        <w:rPr>
          <w:lang w:eastAsia="cs-CZ"/>
        </w:rPr>
        <w:t>České republiky</w:t>
      </w:r>
      <w:r>
        <w:rPr>
          <w:lang w:eastAsia="cs-CZ"/>
        </w:rPr>
        <w:t xml:space="preserve"> či</w:t>
      </w:r>
      <w:r w:rsidRPr="004B16DD">
        <w:rPr>
          <w:lang w:eastAsia="cs-CZ"/>
        </w:rPr>
        <w:t xml:space="preserve"> veřejně přístupn</w:t>
      </w:r>
      <w:r>
        <w:rPr>
          <w:lang w:eastAsia="cs-CZ"/>
        </w:rPr>
        <w:t>é</w:t>
      </w:r>
      <w:r w:rsidRPr="004B16DD">
        <w:rPr>
          <w:lang w:eastAsia="cs-CZ"/>
        </w:rPr>
        <w:t xml:space="preserve"> rejstříky</w:t>
      </w:r>
      <w:r>
        <w:rPr>
          <w:lang w:eastAsia="cs-CZ"/>
        </w:rPr>
        <w:t>)</w:t>
      </w:r>
      <w:r w:rsidRPr="004B16DD">
        <w:rPr>
          <w:lang w:eastAsia="cs-CZ"/>
        </w:rPr>
        <w:t>.</w:t>
      </w:r>
    </w:p>
    <w:p w14:paraId="3EFFF6DF" w14:textId="77777777" w:rsidR="007A59A0" w:rsidRDefault="007A59A0" w:rsidP="00F05073">
      <w:pPr>
        <w:spacing w:after="0"/>
        <w:jc w:val="both"/>
        <w:rPr>
          <w:rFonts w:eastAsiaTheme="minorHAnsi" w:cs="Calibri"/>
        </w:rPr>
      </w:pPr>
    </w:p>
    <w:p w14:paraId="7CAEA758" w14:textId="1341D7B6" w:rsidR="00BF0440" w:rsidRDefault="007205C4" w:rsidP="00F05073">
      <w:pPr>
        <w:spacing w:after="0"/>
        <w:jc w:val="both"/>
        <w:rPr>
          <w:rFonts w:eastAsiaTheme="minorHAnsi" w:cs="Calibri"/>
        </w:rPr>
      </w:pPr>
      <w:r>
        <w:rPr>
          <w:rFonts w:eastAsiaTheme="minorHAnsi" w:cs="Calibri"/>
        </w:rPr>
        <w:t>Dále byl p</w:t>
      </w:r>
      <w:r w:rsidR="00A640AE" w:rsidRPr="00673AEF">
        <w:rPr>
          <w:rFonts w:eastAsiaTheme="minorHAnsi" w:cs="Calibri"/>
        </w:rPr>
        <w:t xml:space="preserve">rověřován soulad </w:t>
      </w:r>
      <w:r w:rsidR="00A640AE" w:rsidRPr="0093276B">
        <w:rPr>
          <w:rFonts w:eastAsiaTheme="minorHAnsi" w:cs="Calibri"/>
          <w:b/>
        </w:rPr>
        <w:t>nastavení v</w:t>
      </w:r>
      <w:r w:rsidR="00673AEF" w:rsidRPr="0093276B">
        <w:rPr>
          <w:rFonts w:eastAsiaTheme="minorHAnsi" w:cs="Calibri"/>
          <w:b/>
        </w:rPr>
        <w:t>nitřního kontrolního systému</w:t>
      </w:r>
      <w:r w:rsidR="00673AEF" w:rsidRPr="00673AEF">
        <w:rPr>
          <w:rFonts w:eastAsiaTheme="minorHAnsi" w:cs="Calibri"/>
        </w:rPr>
        <w:t xml:space="preserve"> </w:t>
      </w:r>
      <w:r w:rsidR="00980ECB">
        <w:rPr>
          <w:rFonts w:eastAsiaTheme="minorHAnsi" w:cs="Calibri"/>
        </w:rPr>
        <w:t>MD</w:t>
      </w:r>
      <w:r w:rsidR="00A640AE" w:rsidRPr="00673AEF">
        <w:rPr>
          <w:rFonts w:eastAsiaTheme="minorHAnsi" w:cs="Calibri"/>
        </w:rPr>
        <w:t xml:space="preserve"> s</w:t>
      </w:r>
      <w:r w:rsidR="008F46EE" w:rsidRPr="00673AEF">
        <w:rPr>
          <w:rFonts w:eastAsiaTheme="minorHAnsi" w:cs="Calibri"/>
        </w:rPr>
        <w:t xml:space="preserve">e zákonem </w:t>
      </w:r>
      <w:r w:rsidR="00131510">
        <w:rPr>
          <w:rFonts w:eastAsiaTheme="minorHAnsi" w:cs="Calibri"/>
        </w:rPr>
        <w:t>č. </w:t>
      </w:r>
      <w:r w:rsidR="00396237">
        <w:rPr>
          <w:rFonts w:eastAsiaTheme="minorHAnsi" w:cs="Calibri"/>
        </w:rPr>
        <w:t xml:space="preserve">320/2001 Sb., </w:t>
      </w:r>
      <w:r w:rsidR="008F46EE" w:rsidRPr="00673AEF">
        <w:rPr>
          <w:rFonts w:eastAsiaTheme="minorHAnsi" w:cs="Calibri"/>
        </w:rPr>
        <w:t xml:space="preserve">o finanční kontrole </w:t>
      </w:r>
      <w:r w:rsidR="00396237">
        <w:rPr>
          <w:rFonts w:eastAsiaTheme="minorHAnsi" w:cs="Calibri"/>
        </w:rPr>
        <w:t xml:space="preserve">ve veřejné správě a o změně některých zákonů (zákon </w:t>
      </w:r>
      <w:r w:rsidR="00D11772">
        <w:rPr>
          <w:rFonts w:eastAsiaTheme="minorHAnsi" w:cs="Calibri"/>
        </w:rPr>
        <w:br/>
      </w:r>
      <w:r w:rsidR="00396237">
        <w:rPr>
          <w:rFonts w:eastAsiaTheme="minorHAnsi" w:cs="Calibri"/>
        </w:rPr>
        <w:t xml:space="preserve">o finanční kontrole), </w:t>
      </w:r>
      <w:r w:rsidR="008F46EE" w:rsidRPr="00673AEF">
        <w:rPr>
          <w:rFonts w:eastAsiaTheme="minorHAnsi" w:cs="Calibri"/>
        </w:rPr>
        <w:t xml:space="preserve">a </w:t>
      </w:r>
      <w:r w:rsidR="004508AB">
        <w:rPr>
          <w:rFonts w:eastAsiaTheme="minorHAnsi" w:cs="Calibri"/>
        </w:rPr>
        <w:t xml:space="preserve">jeho </w:t>
      </w:r>
      <w:r w:rsidR="008F46EE" w:rsidRPr="00673AEF">
        <w:rPr>
          <w:rFonts w:eastAsiaTheme="minorHAnsi" w:cs="Calibri"/>
        </w:rPr>
        <w:t>prováděcí vyhláškou</w:t>
      </w:r>
      <w:r w:rsidR="00A2472A" w:rsidRPr="00673AEF">
        <w:rPr>
          <w:rFonts w:eastAsiaTheme="minorHAnsi" w:cs="Calibri"/>
        </w:rPr>
        <w:t xml:space="preserve"> č. 416/2004 Sb</w:t>
      </w:r>
      <w:r w:rsidR="00A2472A" w:rsidRPr="00BF0440">
        <w:rPr>
          <w:rFonts w:eastAsiaTheme="minorHAnsi" w:cs="Calibri"/>
        </w:rPr>
        <w:t xml:space="preserve">., </w:t>
      </w:r>
      <w:r w:rsidR="00942B30" w:rsidRPr="00BF0440">
        <w:rPr>
          <w:rFonts w:eastAsiaTheme="minorHAnsi" w:cs="Calibri"/>
        </w:rPr>
        <w:t>kterou se provádí zákon č.</w:t>
      </w:r>
      <w:r w:rsidR="009E57D6" w:rsidRPr="00BF0440">
        <w:rPr>
          <w:rFonts w:eastAsiaTheme="minorHAnsi" w:cs="Calibri"/>
        </w:rPr>
        <w:t> </w:t>
      </w:r>
      <w:r w:rsidR="00942B30" w:rsidRPr="00BF0440">
        <w:rPr>
          <w:rFonts w:eastAsiaTheme="minorHAnsi" w:cs="Calibri"/>
        </w:rPr>
        <w:t>320/2001 Sb., o finanční kontrole ve veřejné správě a o změně některých zákonů (zákon o</w:t>
      </w:r>
      <w:r w:rsidR="009E57D6" w:rsidRPr="00BF0440">
        <w:rPr>
          <w:rFonts w:eastAsiaTheme="minorHAnsi" w:cs="Calibri"/>
        </w:rPr>
        <w:t> </w:t>
      </w:r>
      <w:r w:rsidR="00942B30" w:rsidRPr="00BF0440">
        <w:rPr>
          <w:rFonts w:eastAsiaTheme="minorHAnsi" w:cs="Calibri"/>
        </w:rPr>
        <w:t>finanční kontrole), ve znění zákona č.</w:t>
      </w:r>
      <w:r w:rsidR="00DC5954">
        <w:rPr>
          <w:rFonts w:eastAsiaTheme="minorHAnsi" w:cs="Calibri"/>
        </w:rPr>
        <w:t xml:space="preserve"> </w:t>
      </w:r>
      <w:r w:rsidR="00942B30" w:rsidRPr="00BF0440">
        <w:rPr>
          <w:rFonts w:eastAsiaTheme="minorHAnsi" w:cs="Calibri"/>
        </w:rPr>
        <w:t>309/2002 Sb., zákona č. 320/2002 Sb. a zákona č.</w:t>
      </w:r>
      <w:r w:rsidR="009E57D6" w:rsidRPr="00BF0440">
        <w:rPr>
          <w:rFonts w:eastAsiaTheme="minorHAnsi" w:cs="Calibri"/>
        </w:rPr>
        <w:t> </w:t>
      </w:r>
      <w:r w:rsidR="00942B30" w:rsidRPr="00BF0440">
        <w:rPr>
          <w:rFonts w:eastAsiaTheme="minorHAnsi" w:cs="Calibri"/>
        </w:rPr>
        <w:t>123/2003 Sb.,</w:t>
      </w:r>
      <w:r w:rsidR="005C411C" w:rsidRPr="00673AEF">
        <w:rPr>
          <w:rFonts w:eastAsiaTheme="minorHAnsi" w:cs="Calibri"/>
        </w:rPr>
        <w:t xml:space="preserve"> a </w:t>
      </w:r>
      <w:r w:rsidR="00F17530" w:rsidRPr="00673AEF">
        <w:rPr>
          <w:rFonts w:eastAsiaTheme="minorHAnsi" w:cs="Calibri"/>
        </w:rPr>
        <w:t>t</w:t>
      </w:r>
      <w:r w:rsidR="005C411C" w:rsidRPr="00673AEF">
        <w:rPr>
          <w:rFonts w:eastAsiaTheme="minorHAnsi" w:cs="Calibri"/>
        </w:rPr>
        <w:t>o v rozsahu stanoveného předmětu a cíle kontrolní akce</w:t>
      </w:r>
      <w:r w:rsidR="008F46EE" w:rsidRPr="00673AEF">
        <w:rPr>
          <w:rFonts w:eastAsiaTheme="minorHAnsi" w:cs="Calibri"/>
        </w:rPr>
        <w:t>.</w:t>
      </w:r>
      <w:r w:rsidR="00BD55A4" w:rsidRPr="00673AEF">
        <w:rPr>
          <w:rFonts w:eastAsiaTheme="minorHAnsi" w:cs="Calibri"/>
        </w:rPr>
        <w:t xml:space="preserve"> U vybraných transakcí </w:t>
      </w:r>
      <w:r w:rsidR="00A640AE">
        <w:rPr>
          <w:rFonts w:eastAsiaTheme="minorHAnsi" w:cs="Calibri"/>
        </w:rPr>
        <w:t xml:space="preserve">bylo prověřováno </w:t>
      </w:r>
      <w:r w:rsidR="00CE0742">
        <w:rPr>
          <w:rFonts w:eastAsiaTheme="minorHAnsi" w:cs="Calibri"/>
        </w:rPr>
        <w:t xml:space="preserve">i </w:t>
      </w:r>
      <w:r w:rsidR="00A640AE">
        <w:rPr>
          <w:rFonts w:eastAsiaTheme="minorHAnsi" w:cs="Calibri"/>
        </w:rPr>
        <w:t>provedení finanční kontroly.</w:t>
      </w:r>
    </w:p>
    <w:p w14:paraId="5356CF1B" w14:textId="77777777" w:rsidR="00BF0440" w:rsidRDefault="00BF0440" w:rsidP="00F05073">
      <w:pPr>
        <w:spacing w:after="0"/>
        <w:jc w:val="both"/>
        <w:rPr>
          <w:rFonts w:eastAsiaTheme="minorHAnsi" w:cs="Calibri"/>
        </w:rPr>
      </w:pPr>
    </w:p>
    <w:p w14:paraId="44542DA1" w14:textId="77777777" w:rsidR="00F05073" w:rsidRPr="0088208D" w:rsidRDefault="00A640AE" w:rsidP="00F05073">
      <w:pPr>
        <w:spacing w:after="0"/>
        <w:jc w:val="both"/>
        <w:rPr>
          <w:rFonts w:eastAsiaTheme="minorHAnsi" w:cs="Calibri"/>
        </w:rPr>
      </w:pPr>
      <w:r w:rsidRPr="0093276B">
        <w:rPr>
          <w:rFonts w:eastAsiaTheme="minorHAnsi" w:cs="Calibri"/>
        </w:rPr>
        <w:lastRenderedPageBreak/>
        <w:t xml:space="preserve">V rámci kontroly </w:t>
      </w:r>
      <w:r>
        <w:rPr>
          <w:rFonts w:eastAsiaTheme="minorHAnsi" w:cs="Calibri"/>
        </w:rPr>
        <w:t xml:space="preserve">byla také </w:t>
      </w:r>
      <w:r w:rsidRPr="0093276B">
        <w:rPr>
          <w:rFonts w:eastAsiaTheme="minorHAnsi" w:cs="Calibri"/>
          <w:b/>
        </w:rPr>
        <w:t xml:space="preserve">vyhodnocena opatření přijatá k nápravě nedostatků zjištěných v rámci kontrolní akce </w:t>
      </w:r>
      <w:r w:rsidR="00CE0742">
        <w:rPr>
          <w:rFonts w:eastAsiaTheme="minorHAnsi" w:cs="Calibri"/>
          <w:b/>
        </w:rPr>
        <w:t xml:space="preserve">NKÚ </w:t>
      </w:r>
      <w:r w:rsidRPr="0093276B">
        <w:rPr>
          <w:rFonts w:eastAsiaTheme="minorHAnsi" w:cs="Calibri"/>
          <w:b/>
        </w:rPr>
        <w:t xml:space="preserve">č. </w:t>
      </w:r>
      <w:r w:rsidRPr="0088208D">
        <w:rPr>
          <w:rFonts w:eastAsiaTheme="minorHAnsi" w:cs="Calibri"/>
          <w:b/>
        </w:rPr>
        <w:t>1</w:t>
      </w:r>
      <w:r w:rsidR="00CE0742" w:rsidRPr="0088208D">
        <w:rPr>
          <w:rFonts w:eastAsiaTheme="minorHAnsi" w:cs="Calibri"/>
          <w:b/>
        </w:rPr>
        <w:t>3</w:t>
      </w:r>
      <w:r w:rsidRPr="0088208D">
        <w:rPr>
          <w:rFonts w:eastAsiaTheme="minorHAnsi" w:cs="Calibri"/>
          <w:b/>
        </w:rPr>
        <w:t>/</w:t>
      </w:r>
      <w:r w:rsidR="00CE0742" w:rsidRPr="0088208D">
        <w:rPr>
          <w:rFonts w:eastAsiaTheme="minorHAnsi" w:cs="Calibri"/>
          <w:b/>
        </w:rPr>
        <w:t>3</w:t>
      </w:r>
      <w:r w:rsidRPr="0088208D">
        <w:rPr>
          <w:rFonts w:eastAsiaTheme="minorHAnsi" w:cs="Calibri"/>
          <w:b/>
        </w:rPr>
        <w:t>9</w:t>
      </w:r>
      <w:r w:rsidR="00014250" w:rsidRPr="00CE0742">
        <w:rPr>
          <w:rFonts w:eastAsiaTheme="minorHAnsi" w:cs="Calibri"/>
          <w:i/>
        </w:rPr>
        <w:t xml:space="preserve"> –</w:t>
      </w:r>
      <w:r w:rsidRPr="00CE0742">
        <w:rPr>
          <w:rFonts w:eastAsiaTheme="minorHAnsi" w:cs="Calibri"/>
          <w:i/>
        </w:rPr>
        <w:t xml:space="preserve"> Závěrečný</w:t>
      </w:r>
      <w:r w:rsidRPr="0093276B">
        <w:rPr>
          <w:rFonts w:eastAsiaTheme="minorHAnsi" w:cs="Calibri"/>
          <w:i/>
        </w:rPr>
        <w:t xml:space="preserve"> účet kapitoly státního rozpočtu Ministerstvo </w:t>
      </w:r>
      <w:r w:rsidR="00F65CE6">
        <w:rPr>
          <w:rFonts w:eastAsiaTheme="minorHAnsi" w:cs="Calibri"/>
          <w:i/>
        </w:rPr>
        <w:t>doprav</w:t>
      </w:r>
      <w:r w:rsidRPr="0093276B">
        <w:rPr>
          <w:rFonts w:eastAsiaTheme="minorHAnsi" w:cs="Calibri"/>
          <w:i/>
        </w:rPr>
        <w:t>y za rok 201</w:t>
      </w:r>
      <w:r w:rsidR="00CE0742">
        <w:rPr>
          <w:rFonts w:eastAsiaTheme="minorHAnsi" w:cs="Calibri"/>
          <w:i/>
        </w:rPr>
        <w:t>3</w:t>
      </w:r>
      <w:r w:rsidRPr="0093276B">
        <w:rPr>
          <w:rFonts w:eastAsiaTheme="minorHAnsi" w:cs="Calibri"/>
          <w:i/>
        </w:rPr>
        <w:t xml:space="preserve">, účetní závěrka a </w:t>
      </w:r>
      <w:r w:rsidR="00CE0742">
        <w:rPr>
          <w:rFonts w:eastAsiaTheme="minorHAnsi" w:cs="Calibri"/>
          <w:i/>
        </w:rPr>
        <w:t>finanční výkazy</w:t>
      </w:r>
      <w:r w:rsidRPr="0093276B">
        <w:rPr>
          <w:rFonts w:eastAsiaTheme="minorHAnsi" w:cs="Calibri"/>
          <w:i/>
        </w:rPr>
        <w:t xml:space="preserve"> Ministerstv</w:t>
      </w:r>
      <w:r w:rsidR="00CE0742">
        <w:rPr>
          <w:rFonts w:eastAsiaTheme="minorHAnsi" w:cs="Calibri"/>
          <w:i/>
        </w:rPr>
        <w:t>a</w:t>
      </w:r>
      <w:r w:rsidRPr="0093276B">
        <w:rPr>
          <w:rFonts w:eastAsiaTheme="minorHAnsi" w:cs="Calibri"/>
          <w:i/>
        </w:rPr>
        <w:t xml:space="preserve"> </w:t>
      </w:r>
      <w:r w:rsidR="00F65CE6">
        <w:rPr>
          <w:rFonts w:eastAsiaTheme="minorHAnsi" w:cs="Calibri"/>
          <w:i/>
        </w:rPr>
        <w:t>doprav</w:t>
      </w:r>
      <w:r w:rsidRPr="0093276B">
        <w:rPr>
          <w:rFonts w:eastAsiaTheme="minorHAnsi" w:cs="Calibri"/>
          <w:i/>
        </w:rPr>
        <w:t>y za rok 201</w:t>
      </w:r>
      <w:r w:rsidR="00CE0742">
        <w:rPr>
          <w:rFonts w:eastAsiaTheme="minorHAnsi" w:cs="Calibri"/>
          <w:i/>
        </w:rPr>
        <w:t>3</w:t>
      </w:r>
      <w:r w:rsidRPr="0088208D">
        <w:rPr>
          <w:rFonts w:eastAsiaTheme="minorHAnsi" w:cs="Calibri"/>
        </w:rPr>
        <w:t>.</w:t>
      </w:r>
    </w:p>
    <w:p w14:paraId="6C6745C3" w14:textId="77777777" w:rsidR="0093276B" w:rsidRPr="0093276B" w:rsidRDefault="0093276B" w:rsidP="00F05073">
      <w:pPr>
        <w:spacing w:after="0"/>
        <w:jc w:val="both"/>
        <w:rPr>
          <w:rFonts w:eastAsiaTheme="minorHAnsi" w:cs="Calibri"/>
        </w:rPr>
      </w:pPr>
    </w:p>
    <w:p w14:paraId="50EC4698" w14:textId="1A160BC5" w:rsidR="0093276B" w:rsidRDefault="00F63C35" w:rsidP="0088208D">
      <w:pPr>
        <w:spacing w:after="0"/>
        <w:ind w:left="624" w:hanging="624"/>
        <w:jc w:val="both"/>
        <w:rPr>
          <w:rFonts w:cs="Calibri"/>
          <w:lang w:eastAsia="cs-CZ"/>
        </w:rPr>
      </w:pPr>
      <w:r w:rsidRPr="00673AEF">
        <w:rPr>
          <w:rFonts w:asciiTheme="minorHAnsi" w:hAnsiTheme="minorHAnsi" w:cs="Calibri"/>
          <w:b/>
          <w:sz w:val="20"/>
          <w:szCs w:val="20"/>
        </w:rPr>
        <w:t>Pozn.:</w:t>
      </w:r>
      <w:r w:rsidRPr="00673AEF">
        <w:rPr>
          <w:rFonts w:asciiTheme="minorHAnsi" w:hAnsiTheme="minorHAnsi" w:cs="Calibri"/>
          <w:sz w:val="20"/>
          <w:szCs w:val="20"/>
        </w:rPr>
        <w:t xml:space="preserve"> </w:t>
      </w:r>
      <w:r w:rsidRPr="00673AEF">
        <w:rPr>
          <w:rFonts w:asciiTheme="minorHAnsi" w:hAnsiTheme="minorHAnsi" w:cs="Calibri"/>
          <w:sz w:val="20"/>
          <w:szCs w:val="20"/>
        </w:rPr>
        <w:tab/>
        <w:t xml:space="preserve">Všechny právní předpisy uvedené v tomto kontrolním závěru jsou </w:t>
      </w:r>
      <w:r>
        <w:rPr>
          <w:rFonts w:asciiTheme="minorHAnsi" w:hAnsiTheme="minorHAnsi" w:cs="Calibri"/>
          <w:sz w:val="20"/>
          <w:szCs w:val="20"/>
        </w:rPr>
        <w:t>aplikovány ve znění účinném pro</w:t>
      </w:r>
      <w:r w:rsidR="00234522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kontrolované období</w:t>
      </w:r>
      <w:r w:rsidR="00234522">
        <w:rPr>
          <w:rFonts w:asciiTheme="minorHAnsi" w:hAnsiTheme="minorHAnsi" w:cs="Calibri"/>
          <w:sz w:val="20"/>
          <w:szCs w:val="20"/>
        </w:rPr>
        <w:t>.</w:t>
      </w:r>
    </w:p>
    <w:p w14:paraId="135D1FB2" w14:textId="77777777" w:rsidR="00720C07" w:rsidRPr="0088208D" w:rsidRDefault="00720C07" w:rsidP="00F05073">
      <w:pPr>
        <w:spacing w:after="0"/>
        <w:jc w:val="both"/>
        <w:rPr>
          <w:rFonts w:cs="Calibri"/>
          <w:highlight w:val="yellow"/>
        </w:rPr>
      </w:pPr>
    </w:p>
    <w:p w14:paraId="7695A768" w14:textId="77777777" w:rsidR="00C1695F" w:rsidRDefault="00C1695F">
      <w:pPr>
        <w:spacing w:after="160" w:line="259" w:lineRule="auto"/>
        <w:rPr>
          <w:rFonts w:eastAsiaTheme="minorHAnsi" w:cs="Calibri"/>
          <w:b/>
          <w:sz w:val="28"/>
        </w:rPr>
      </w:pPr>
    </w:p>
    <w:p w14:paraId="66444660" w14:textId="77777777" w:rsidR="0033466E" w:rsidRPr="00DE6626" w:rsidRDefault="00A640AE" w:rsidP="00CB541E">
      <w:pPr>
        <w:pStyle w:val="Nadpis1"/>
        <w:keepNext/>
        <w:spacing w:after="0" w:line="240" w:lineRule="auto"/>
        <w:rPr>
          <w:rFonts w:ascii="Calibri" w:hAnsi="Calibri" w:cs="Calibri"/>
          <w:sz w:val="24"/>
          <w:szCs w:val="24"/>
        </w:rPr>
      </w:pPr>
      <w:r w:rsidRPr="00DE6626">
        <w:rPr>
          <w:rFonts w:ascii="Calibri" w:hAnsi="Calibri" w:cs="Calibri"/>
          <w:szCs w:val="24"/>
        </w:rPr>
        <w:t>IV. Podrobné skutečnosti zjištěné kontrolou</w:t>
      </w:r>
    </w:p>
    <w:p w14:paraId="644CCBFB" w14:textId="77777777" w:rsidR="00303DFA" w:rsidRPr="0088208D" w:rsidRDefault="00303DFA" w:rsidP="00CB541E">
      <w:pPr>
        <w:keepNext/>
        <w:spacing w:after="0"/>
        <w:jc w:val="both"/>
        <w:rPr>
          <w:rFonts w:cs="Calibri"/>
        </w:rPr>
      </w:pPr>
    </w:p>
    <w:p w14:paraId="713A46BB" w14:textId="77777777" w:rsidR="00303DFA" w:rsidRPr="0088208D" w:rsidRDefault="00303DFA" w:rsidP="00CB541E">
      <w:pPr>
        <w:keepNext/>
        <w:spacing w:after="0"/>
        <w:jc w:val="both"/>
        <w:rPr>
          <w:rFonts w:cs="Calibri"/>
        </w:rPr>
      </w:pPr>
    </w:p>
    <w:p w14:paraId="63B85903" w14:textId="77777777" w:rsidR="00A7490F" w:rsidRDefault="00EA7700" w:rsidP="00A94CCD">
      <w:pPr>
        <w:pStyle w:val="Nadpis2"/>
        <w:keepNext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S</w:t>
      </w:r>
      <w:r w:rsidR="006F0304" w:rsidRPr="00B30899">
        <w:rPr>
          <w:rFonts w:ascii="Calibri" w:hAnsi="Calibri" w:cs="Calibri"/>
        </w:rPr>
        <w:t xml:space="preserve">polehlivost údajů </w:t>
      </w:r>
      <w:r w:rsidR="006F0304">
        <w:rPr>
          <w:rFonts w:ascii="Calibri" w:hAnsi="Calibri" w:cs="Calibri"/>
        </w:rPr>
        <w:t>účetní závěrky Ministerstva dopravy sestavené k 31. prosinci 2018</w:t>
      </w:r>
      <w:r w:rsidR="00A640AE" w:rsidRPr="00DE6626">
        <w:rPr>
          <w:rFonts w:ascii="Calibri" w:hAnsi="Calibri" w:cs="Calibri"/>
          <w:lang w:eastAsia="cs-CZ"/>
        </w:rPr>
        <w:t xml:space="preserve"> </w:t>
      </w:r>
    </w:p>
    <w:p w14:paraId="323BA347" w14:textId="77777777" w:rsidR="00E3406A" w:rsidRDefault="00E3406A" w:rsidP="00E3406A">
      <w:pPr>
        <w:rPr>
          <w:lang w:eastAsia="cs-CZ"/>
        </w:rPr>
      </w:pPr>
    </w:p>
    <w:p w14:paraId="34F3B6CE" w14:textId="77777777" w:rsidR="00DA7442" w:rsidRPr="00DA7442" w:rsidRDefault="00DA7442" w:rsidP="00DA7442">
      <w:pPr>
        <w:jc w:val="both"/>
        <w:rPr>
          <w:lang w:eastAsia="cs-CZ"/>
        </w:rPr>
      </w:pPr>
      <w:r w:rsidRPr="00DA7442">
        <w:rPr>
          <w:lang w:eastAsia="cs-CZ"/>
        </w:rPr>
        <w:t xml:space="preserve">Při </w:t>
      </w:r>
      <w:r w:rsidR="00EA7700">
        <w:rPr>
          <w:lang w:eastAsia="cs-CZ"/>
        </w:rPr>
        <w:t>prověření</w:t>
      </w:r>
      <w:r w:rsidRPr="00DA7442">
        <w:rPr>
          <w:lang w:eastAsia="cs-CZ"/>
        </w:rPr>
        <w:t xml:space="preserve"> </w:t>
      </w:r>
      <w:r w:rsidR="007F612A">
        <w:rPr>
          <w:lang w:eastAsia="cs-CZ"/>
        </w:rPr>
        <w:t xml:space="preserve">spolehlivosti ÚZ </w:t>
      </w:r>
      <w:r w:rsidRPr="00DA7442">
        <w:rPr>
          <w:lang w:eastAsia="cs-CZ"/>
        </w:rPr>
        <w:t>byly zjištěny a vyčísleny nesprávnosti, jejich dopad na jednotlivé části ÚZ zobrazuje následující tabulka.</w:t>
      </w:r>
    </w:p>
    <w:p w14:paraId="04B8D8C7" w14:textId="77777777" w:rsidR="00DA7442" w:rsidRPr="00B30899" w:rsidRDefault="00DA7442" w:rsidP="00DA7442">
      <w:pPr>
        <w:shd w:val="clear" w:color="auto" w:fill="FFFFFF" w:themeFill="background1"/>
        <w:tabs>
          <w:tab w:val="right" w:pos="9072"/>
        </w:tabs>
        <w:spacing w:after="40"/>
        <w:jc w:val="both"/>
        <w:rPr>
          <w:rFonts w:eastAsiaTheme="minorHAnsi" w:cs="Calibri"/>
          <w:b/>
        </w:rPr>
      </w:pPr>
      <w:r>
        <w:rPr>
          <w:rFonts w:eastAsiaTheme="minorHAnsi" w:cs="Calibri"/>
          <w:b/>
        </w:rPr>
        <w:t>Tabulka č. 4</w:t>
      </w:r>
      <w:r w:rsidRPr="00B30899">
        <w:rPr>
          <w:rFonts w:eastAsiaTheme="minorHAnsi" w:cs="Calibri"/>
          <w:b/>
        </w:rPr>
        <w:t>: Přehled vyčíslených nesprávností zjiště</w:t>
      </w:r>
      <w:r>
        <w:rPr>
          <w:rFonts w:eastAsiaTheme="minorHAnsi" w:cs="Calibri"/>
          <w:b/>
        </w:rPr>
        <w:t xml:space="preserve">ných v jednotlivých částech ÚZ </w:t>
      </w:r>
      <w:r w:rsidR="00FF1F3B">
        <w:rPr>
          <w:rFonts w:eastAsiaTheme="minorHAnsi" w:cs="Calibri"/>
          <w:b/>
        </w:rPr>
        <w:tab/>
      </w:r>
      <w:r w:rsidRPr="00B30899">
        <w:rPr>
          <w:rFonts w:eastAsiaTheme="minorHAnsi" w:cs="Calibri"/>
          <w:b/>
        </w:rPr>
        <w:t>(v Kč)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389"/>
      </w:tblGrid>
      <w:tr w:rsidR="00DA7442" w14:paraId="1D3968A6" w14:textId="77777777" w:rsidTr="00980ECB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0F8E6" w14:textId="77777777" w:rsidR="00DA7442" w:rsidRPr="007A748F" w:rsidRDefault="00DA7442" w:rsidP="00980ECB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Nesprávnost v účetní závěrce</w:t>
            </w:r>
          </w:p>
        </w:tc>
      </w:tr>
      <w:tr w:rsidR="00DA7442" w14:paraId="3BE7108C" w14:textId="77777777" w:rsidTr="002A3700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3E705AA8" w14:textId="77777777" w:rsidR="00DA7442" w:rsidRPr="007A748F" w:rsidRDefault="00DA7442" w:rsidP="00980ECB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Výkaz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752BB44" w14:textId="77777777" w:rsidR="00DA7442" w:rsidRPr="007A748F" w:rsidRDefault="00DA7442" w:rsidP="00980ECB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</w:t>
            </w:r>
          </w:p>
        </w:tc>
      </w:tr>
      <w:tr w:rsidR="00DA7442" w14:paraId="7746B558" w14:textId="77777777" w:rsidTr="002A3700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2939E" w14:textId="77777777" w:rsidR="00DA7442" w:rsidRPr="00A1771E" w:rsidRDefault="00DA7442" w:rsidP="00980ECB">
            <w:pPr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A1771E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 V ÚČETNÍ ZÁVĚRCE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5D630" w14:textId="77777777" w:rsidR="00DA7442" w:rsidRPr="00A1771E" w:rsidRDefault="006F0304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5</w:t>
            </w:r>
            <w:r w:rsidR="00DC188C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 </w:t>
            </w: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9</w:t>
            </w:r>
            <w:r w:rsidR="00DC188C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41 474 615,34</w:t>
            </w:r>
          </w:p>
        </w:tc>
      </w:tr>
      <w:tr w:rsidR="00DA7442" w14:paraId="44084C20" w14:textId="77777777" w:rsidTr="002A3700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7DCDD" w14:textId="77777777"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Rozvaha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0F9B4" w14:textId="77777777" w:rsidR="00DA7442" w:rsidRPr="007A748F" w:rsidRDefault="00DC188C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593 216 605,08</w:t>
            </w:r>
          </w:p>
        </w:tc>
      </w:tr>
      <w:tr w:rsidR="00DA7442" w14:paraId="1AE6074D" w14:textId="77777777" w:rsidTr="002A3700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D4A62" w14:textId="77777777"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Výkaz zisku a ztráty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B5483" w14:textId="77777777" w:rsidR="00DA7442" w:rsidRPr="007A748F" w:rsidRDefault="00DC188C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2 889 264 884,0</w:t>
            </w:r>
            <w:r w:rsidR="00182A3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2</w:t>
            </w:r>
          </w:p>
        </w:tc>
      </w:tr>
      <w:tr w:rsidR="00DA7442" w14:paraId="16300E0B" w14:textId="77777777" w:rsidTr="002A3700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2C30F" w14:textId="77777777"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peněžních tocích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1BEC3" w14:textId="77777777" w:rsidR="00DA7442" w:rsidRDefault="00DC188C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9 361 516,46</w:t>
            </w:r>
          </w:p>
        </w:tc>
      </w:tr>
      <w:tr w:rsidR="00DA7442" w14:paraId="037B2A36" w14:textId="77777777" w:rsidTr="002A3700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76F3F" w14:textId="77777777"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změnách vlastního kapitálu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3A704" w14:textId="77777777" w:rsidR="00DA7442" w:rsidRPr="007A748F" w:rsidRDefault="00DA7442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  <w:r w:rsidR="006F0304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,00</w:t>
            </w:r>
          </w:p>
        </w:tc>
      </w:tr>
      <w:tr w:rsidR="00DA7442" w14:paraId="1F763B4F" w14:textId="77777777" w:rsidTr="002A3700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F005B" w14:textId="77777777"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Příloha účetní závěrky (podrozvahové účty)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D7961" w14:textId="77777777" w:rsidR="00DA7442" w:rsidRPr="007A748F" w:rsidRDefault="006F0304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2</w:t>
            </w:r>
            <w:r w:rsidR="00DC188C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 </w:t>
            </w: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4</w:t>
            </w:r>
            <w:r w:rsidR="00DC188C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49 631 609,78</w:t>
            </w:r>
          </w:p>
        </w:tc>
      </w:tr>
    </w:tbl>
    <w:p w14:paraId="15CDFA9A" w14:textId="52857F3E" w:rsidR="00DA7442" w:rsidRPr="007A748F" w:rsidRDefault="00DA7442" w:rsidP="00DA7442">
      <w:pPr>
        <w:spacing w:before="40" w:after="0"/>
        <w:rPr>
          <w:rFonts w:asciiTheme="minorHAnsi" w:eastAsiaTheme="minorHAnsi" w:hAnsiTheme="minorHAnsi" w:cs="Calibri"/>
          <w:sz w:val="20"/>
          <w:szCs w:val="20"/>
        </w:rPr>
      </w:pPr>
      <w:r w:rsidRPr="007A748F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7A748F">
        <w:rPr>
          <w:rFonts w:asciiTheme="minorHAnsi" w:eastAsiaTheme="minorHAnsi" w:hAnsiTheme="minorHAnsi" w:cs="Calibri"/>
          <w:sz w:val="20"/>
          <w:szCs w:val="20"/>
        </w:rPr>
        <w:t xml:space="preserve"> </w:t>
      </w:r>
      <w:r w:rsidR="00AA5216">
        <w:rPr>
          <w:rFonts w:asciiTheme="minorHAnsi" w:eastAsiaTheme="minorHAnsi" w:hAnsiTheme="minorHAnsi" w:cs="Calibri"/>
          <w:sz w:val="20"/>
          <w:szCs w:val="20"/>
        </w:rPr>
        <w:t xml:space="preserve">účetní závěrka MD sestavená k 31. 12. 2018; </w:t>
      </w:r>
      <w:r>
        <w:rPr>
          <w:rFonts w:asciiTheme="minorHAnsi" w:eastAsiaTheme="minorHAnsi" w:hAnsiTheme="minorHAnsi" w:cs="Calibri"/>
          <w:sz w:val="20"/>
          <w:szCs w:val="20"/>
        </w:rPr>
        <w:t>výpočet</w:t>
      </w:r>
      <w:r w:rsidR="00730BE0">
        <w:rPr>
          <w:rFonts w:asciiTheme="minorHAnsi" w:eastAsiaTheme="minorHAnsi" w:hAnsiTheme="minorHAnsi" w:cs="Calibri"/>
          <w:sz w:val="20"/>
          <w:szCs w:val="20"/>
        </w:rPr>
        <w:t xml:space="preserve"> NKÚ</w:t>
      </w:r>
      <w:r w:rsidR="001F1370">
        <w:rPr>
          <w:rFonts w:asciiTheme="minorHAnsi" w:eastAsiaTheme="minorHAnsi" w:hAnsiTheme="minorHAnsi" w:cs="Calibri"/>
          <w:sz w:val="20"/>
          <w:szCs w:val="20"/>
        </w:rPr>
        <w:t>.</w:t>
      </w:r>
    </w:p>
    <w:p w14:paraId="1A13A291" w14:textId="77777777" w:rsidR="00DA7442" w:rsidRPr="00B30899" w:rsidRDefault="00DA7442" w:rsidP="00DA7442">
      <w:pPr>
        <w:spacing w:after="0"/>
        <w:jc w:val="both"/>
        <w:rPr>
          <w:rFonts w:eastAsia="Calibri" w:cs="Calibri"/>
        </w:rPr>
      </w:pPr>
    </w:p>
    <w:p w14:paraId="7E504620" w14:textId="167C2C05" w:rsidR="00DA7442" w:rsidRDefault="00DA7442" w:rsidP="00DA7442">
      <w:pPr>
        <w:spacing w:after="0"/>
        <w:jc w:val="both"/>
        <w:rPr>
          <w:rFonts w:cs="Calibri"/>
        </w:rPr>
      </w:pPr>
      <w:r w:rsidRPr="00FD4424">
        <w:rPr>
          <w:rFonts w:cs="Calibri"/>
        </w:rPr>
        <w:t>Pro posouzení spolehlivosti</w:t>
      </w:r>
      <w:r>
        <w:rPr>
          <w:rFonts w:cs="Calibri"/>
        </w:rPr>
        <w:t xml:space="preserve"> informací v </w:t>
      </w:r>
      <w:r w:rsidR="003F4F72">
        <w:rPr>
          <w:rFonts w:cs="Calibri"/>
        </w:rPr>
        <w:t>ÚZ</w:t>
      </w:r>
      <w:r>
        <w:rPr>
          <w:rFonts w:cs="Calibri"/>
        </w:rPr>
        <w:t xml:space="preserve"> </w:t>
      </w:r>
      <w:r w:rsidRPr="00FD4424">
        <w:rPr>
          <w:rFonts w:cs="Calibri"/>
        </w:rPr>
        <w:t xml:space="preserve">byla stanovena </w:t>
      </w:r>
      <w:r w:rsidRPr="005C4D1F">
        <w:rPr>
          <w:rFonts w:cs="Calibri"/>
          <w:b/>
        </w:rPr>
        <w:t>významnost</w:t>
      </w:r>
      <w:r w:rsidRPr="00FD4424">
        <w:rPr>
          <w:rFonts w:cs="Calibri"/>
        </w:rPr>
        <w:t xml:space="preserve"> </w:t>
      </w:r>
      <w:r>
        <w:rPr>
          <w:rFonts w:cs="Calibri"/>
        </w:rPr>
        <w:t xml:space="preserve">neboli </w:t>
      </w:r>
      <w:r w:rsidRPr="00FD4424">
        <w:rPr>
          <w:rFonts w:cs="Calibri"/>
        </w:rPr>
        <w:t>materialita</w:t>
      </w:r>
      <w:r>
        <w:rPr>
          <w:rStyle w:val="Znakapoznpodarou"/>
          <w:rFonts w:cs="Calibri"/>
        </w:rPr>
        <w:footnoteReference w:id="4"/>
      </w:r>
      <w:r w:rsidRPr="00FD4424">
        <w:rPr>
          <w:rFonts w:cs="Calibri"/>
        </w:rPr>
        <w:t xml:space="preserve"> </w:t>
      </w:r>
      <w:r w:rsidR="00E86DD7">
        <w:rPr>
          <w:rFonts w:cs="Calibri"/>
        </w:rPr>
        <w:br/>
      </w:r>
      <w:r w:rsidR="00B75D1D">
        <w:rPr>
          <w:rFonts w:cs="Calibri"/>
        </w:rPr>
        <w:t>ve</w:t>
      </w:r>
      <w:r w:rsidR="00E86DD7">
        <w:rPr>
          <w:rFonts w:cs="Calibri"/>
        </w:rPr>
        <w:t xml:space="preserve"> </w:t>
      </w:r>
      <w:r w:rsidRPr="00A1771E">
        <w:rPr>
          <w:rFonts w:cs="Calibri"/>
        </w:rPr>
        <w:t xml:space="preserve">výši </w:t>
      </w:r>
      <w:r w:rsidR="006F0304" w:rsidRPr="005C4D1F">
        <w:rPr>
          <w:rFonts w:cs="Calibri"/>
          <w:b/>
        </w:rPr>
        <w:t>1</w:t>
      </w:r>
      <w:r w:rsidRPr="005C4D1F">
        <w:rPr>
          <w:rFonts w:cs="Calibri"/>
          <w:b/>
        </w:rPr>
        <w:t xml:space="preserve"> ml</w:t>
      </w:r>
      <w:r w:rsidR="006F0304" w:rsidRPr="005C4D1F">
        <w:rPr>
          <w:rFonts w:cs="Calibri"/>
          <w:b/>
        </w:rPr>
        <w:t>d</w:t>
      </w:r>
      <w:r w:rsidRPr="005C4D1F">
        <w:rPr>
          <w:rFonts w:cs="Calibri"/>
          <w:b/>
        </w:rPr>
        <w:t>. Kč</w:t>
      </w:r>
      <w:r w:rsidRPr="0088208D">
        <w:rPr>
          <w:rFonts w:cs="Calibri"/>
          <w:b/>
        </w:rPr>
        <w:t>.</w:t>
      </w:r>
      <w:r>
        <w:rPr>
          <w:rFonts w:cs="Calibri"/>
        </w:rPr>
        <w:t xml:space="preserve"> </w:t>
      </w:r>
      <w:r w:rsidR="003F4F72">
        <w:rPr>
          <w:rFonts w:cs="Calibri"/>
        </w:rPr>
        <w:t xml:space="preserve">Kontrolou zjištěné </w:t>
      </w:r>
      <w:r w:rsidR="003F4F72">
        <w:rPr>
          <w:rFonts w:cs="Calibri"/>
          <w:b/>
        </w:rPr>
        <w:t>ne</w:t>
      </w:r>
      <w:r w:rsidRPr="00A1771E">
        <w:rPr>
          <w:rFonts w:cs="Calibri"/>
          <w:b/>
        </w:rPr>
        <w:t>správnost</w:t>
      </w:r>
      <w:r w:rsidR="003F4F72">
        <w:rPr>
          <w:rFonts w:cs="Calibri"/>
          <w:b/>
        </w:rPr>
        <w:t xml:space="preserve">i </w:t>
      </w:r>
      <w:r>
        <w:rPr>
          <w:rFonts w:cs="Calibri"/>
        </w:rPr>
        <w:t xml:space="preserve">v ÚZ tak </w:t>
      </w:r>
      <w:r w:rsidRPr="00A1771E">
        <w:rPr>
          <w:rFonts w:cs="Calibri"/>
          <w:b/>
        </w:rPr>
        <w:t>měl</w:t>
      </w:r>
      <w:r w:rsidR="003F4F72">
        <w:rPr>
          <w:rFonts w:cs="Calibri"/>
          <w:b/>
        </w:rPr>
        <w:t>y</w:t>
      </w:r>
      <w:r w:rsidR="00B75D1D">
        <w:rPr>
          <w:rFonts w:cs="Calibri"/>
          <w:b/>
        </w:rPr>
        <w:t xml:space="preserve"> významný dopad na</w:t>
      </w:r>
      <w:r w:rsidR="00BD39F8">
        <w:rPr>
          <w:rFonts w:cs="Calibri"/>
          <w:b/>
        </w:rPr>
        <w:t xml:space="preserve"> </w:t>
      </w:r>
      <w:r w:rsidR="003F4F72">
        <w:rPr>
          <w:rFonts w:cs="Calibri"/>
          <w:b/>
        </w:rPr>
        <w:t xml:space="preserve">spolehlivost </w:t>
      </w:r>
      <w:r w:rsidR="001A5ED4">
        <w:rPr>
          <w:rFonts w:cs="Calibri"/>
          <w:b/>
        </w:rPr>
        <w:t xml:space="preserve">ÚZ, a to na informace uvedené ve </w:t>
      </w:r>
      <w:r w:rsidR="007700A0">
        <w:rPr>
          <w:rFonts w:cs="Calibri"/>
          <w:b/>
        </w:rPr>
        <w:t>v</w:t>
      </w:r>
      <w:r w:rsidRPr="00A1771E">
        <w:rPr>
          <w:rFonts w:cs="Calibri"/>
          <w:b/>
        </w:rPr>
        <w:t>ýkaz</w:t>
      </w:r>
      <w:r w:rsidR="003F4F72">
        <w:rPr>
          <w:rFonts w:cs="Calibri"/>
          <w:b/>
        </w:rPr>
        <w:t>u zisku a ztráty</w:t>
      </w:r>
      <w:r w:rsidR="00FB5DF8" w:rsidRPr="00981A93">
        <w:rPr>
          <w:rFonts w:cs="Calibri"/>
          <w:b/>
        </w:rPr>
        <w:t xml:space="preserve">, </w:t>
      </w:r>
      <w:r w:rsidR="001A5ED4">
        <w:rPr>
          <w:rFonts w:cs="Calibri"/>
          <w:b/>
        </w:rPr>
        <w:t xml:space="preserve">v </w:t>
      </w:r>
      <w:r w:rsidR="00454FA2" w:rsidRPr="00981A93">
        <w:rPr>
          <w:rFonts w:cs="Calibri"/>
          <w:b/>
        </w:rPr>
        <w:t>r</w:t>
      </w:r>
      <w:r w:rsidR="00FB5DF8" w:rsidRPr="00981A93">
        <w:rPr>
          <w:rFonts w:cs="Calibri"/>
          <w:b/>
        </w:rPr>
        <w:t>ozva</w:t>
      </w:r>
      <w:r w:rsidR="001A5ED4">
        <w:rPr>
          <w:rFonts w:cs="Calibri"/>
          <w:b/>
        </w:rPr>
        <w:t>ze</w:t>
      </w:r>
      <w:r w:rsidR="003F4F72">
        <w:rPr>
          <w:rFonts w:cs="Calibri"/>
          <w:b/>
        </w:rPr>
        <w:t xml:space="preserve"> a </w:t>
      </w:r>
      <w:r w:rsidR="001A5ED4">
        <w:rPr>
          <w:rFonts w:cs="Calibri"/>
          <w:b/>
        </w:rPr>
        <w:t xml:space="preserve">v </w:t>
      </w:r>
      <w:r w:rsidR="007700A0">
        <w:rPr>
          <w:rFonts w:cs="Calibri"/>
          <w:b/>
        </w:rPr>
        <w:t>p</w:t>
      </w:r>
      <w:r w:rsidRPr="00A1771E">
        <w:rPr>
          <w:rFonts w:cs="Calibri"/>
          <w:b/>
        </w:rPr>
        <w:t>řílo</w:t>
      </w:r>
      <w:r w:rsidR="001A5ED4">
        <w:rPr>
          <w:rFonts w:cs="Calibri"/>
          <w:b/>
        </w:rPr>
        <w:t>ze</w:t>
      </w:r>
      <w:r w:rsidRPr="0088208D">
        <w:rPr>
          <w:rFonts w:cs="Calibri"/>
          <w:b/>
        </w:rPr>
        <w:t>.</w:t>
      </w:r>
    </w:p>
    <w:p w14:paraId="689F3554" w14:textId="77777777" w:rsidR="00DA7442" w:rsidRDefault="00DA7442" w:rsidP="00E3406A">
      <w:pPr>
        <w:rPr>
          <w:lang w:eastAsia="cs-CZ"/>
        </w:rPr>
      </w:pPr>
    </w:p>
    <w:p w14:paraId="3ECDD386" w14:textId="77777777" w:rsidR="0080604D" w:rsidRDefault="0080604D" w:rsidP="0080604D">
      <w:pPr>
        <w:spacing w:after="0"/>
        <w:jc w:val="both"/>
        <w:rPr>
          <w:rFonts w:cs="Calibri"/>
        </w:rPr>
      </w:pPr>
      <w:r>
        <w:rPr>
          <w:rFonts w:cs="Calibri"/>
        </w:rPr>
        <w:t>MD v roce 2018 v některých případech nevykázalo v ÚZ správné údaje. Jednalo se zejména o skutečnosti uvedené v následujících částech 1</w:t>
      </w:r>
      <w:r w:rsidRPr="00EC79D2">
        <w:rPr>
          <w:rFonts w:cs="Calibri"/>
        </w:rPr>
        <w:t>.1</w:t>
      </w:r>
      <w:r w:rsidRPr="007A062A">
        <w:rPr>
          <w:rFonts w:cs="Calibri"/>
        </w:rPr>
        <w:t xml:space="preserve"> až </w:t>
      </w:r>
      <w:r>
        <w:rPr>
          <w:rFonts w:cs="Calibri"/>
        </w:rPr>
        <w:t>1</w:t>
      </w:r>
      <w:r w:rsidRPr="00EC79D2">
        <w:rPr>
          <w:rFonts w:cs="Calibri"/>
        </w:rPr>
        <w:t>.</w:t>
      </w:r>
      <w:r>
        <w:rPr>
          <w:rFonts w:cs="Calibri"/>
        </w:rPr>
        <w:t>8 tohoto kontrolního závěru.</w:t>
      </w:r>
    </w:p>
    <w:p w14:paraId="793886C1" w14:textId="77777777" w:rsidR="0080604D" w:rsidRPr="002C7399" w:rsidRDefault="0080604D" w:rsidP="002C7399">
      <w:pPr>
        <w:spacing w:after="0"/>
        <w:jc w:val="both"/>
        <w:rPr>
          <w:rFonts w:cs="Calibri"/>
        </w:rPr>
      </w:pPr>
    </w:p>
    <w:p w14:paraId="08969A78" w14:textId="77777777" w:rsidR="0080604D" w:rsidRPr="002C7399" w:rsidRDefault="0080604D" w:rsidP="002C7399">
      <w:pPr>
        <w:spacing w:after="0"/>
        <w:jc w:val="both"/>
        <w:rPr>
          <w:rFonts w:cs="Calibri"/>
        </w:rPr>
      </w:pPr>
    </w:p>
    <w:p w14:paraId="14B0A6EB" w14:textId="77777777" w:rsidR="000F5927" w:rsidRPr="0043045F" w:rsidRDefault="00312B2F" w:rsidP="0043045F">
      <w:pPr>
        <w:pStyle w:val="Nadpis3"/>
      </w:pPr>
      <w:r>
        <w:t>Nesprávné vykázání k</w:t>
      </w:r>
      <w:r w:rsidR="002A3700">
        <w:t>ompenzac</w:t>
      </w:r>
      <w:r>
        <w:t>í</w:t>
      </w:r>
      <w:r w:rsidR="002A3700">
        <w:t xml:space="preserve"> slev z jízdného ve veřejné dopravě</w:t>
      </w:r>
    </w:p>
    <w:p w14:paraId="5800371F" w14:textId="77777777" w:rsidR="008C6B5E" w:rsidRDefault="008C6B5E" w:rsidP="008C6B5E">
      <w:pPr>
        <w:pStyle w:val="Odstavecseseznamem"/>
        <w:keepNext/>
        <w:spacing w:after="0"/>
        <w:ind w:left="360"/>
        <w:jc w:val="both"/>
        <w:rPr>
          <w:rFonts w:cs="Calibri"/>
          <w:b/>
        </w:rPr>
      </w:pPr>
    </w:p>
    <w:p w14:paraId="1B4F917B" w14:textId="3AC5DC11" w:rsidR="00836D96" w:rsidRPr="00836D96" w:rsidRDefault="005C4D1F" w:rsidP="00836D96">
      <w:pPr>
        <w:spacing w:after="0"/>
        <w:jc w:val="both"/>
        <w:rPr>
          <w:rFonts w:cs="Calibri"/>
        </w:rPr>
      </w:pPr>
      <w:r w:rsidRPr="000D45FA">
        <w:rPr>
          <w:rFonts w:cs="Calibri"/>
          <w:b/>
        </w:rPr>
        <w:t>MD účtovalo o nákladech</w:t>
      </w:r>
      <w:r w:rsidRPr="00850D25">
        <w:rPr>
          <w:rFonts w:cs="Calibri"/>
        </w:rPr>
        <w:t xml:space="preserve"> vzniklých z titulu poskytnutých náhrad </w:t>
      </w:r>
      <w:r w:rsidRPr="000D45FA">
        <w:rPr>
          <w:rFonts w:cs="Calibri"/>
          <w:b/>
        </w:rPr>
        <w:t xml:space="preserve">na kompenzaci slev jízdného </w:t>
      </w:r>
      <w:r w:rsidR="000D45FA" w:rsidRPr="000D45FA">
        <w:rPr>
          <w:rFonts w:cs="Calibri"/>
          <w:b/>
        </w:rPr>
        <w:t>ve veřejné dopravě</w:t>
      </w:r>
      <w:r w:rsidR="000D45FA">
        <w:rPr>
          <w:rFonts w:cs="Calibri"/>
        </w:rPr>
        <w:t xml:space="preserve"> </w:t>
      </w:r>
      <w:r w:rsidRPr="00850D25">
        <w:rPr>
          <w:rFonts w:cs="Calibri"/>
        </w:rPr>
        <w:t xml:space="preserve">a </w:t>
      </w:r>
      <w:r w:rsidR="00956E75">
        <w:rPr>
          <w:rFonts w:cs="Calibri"/>
        </w:rPr>
        <w:t xml:space="preserve">o </w:t>
      </w:r>
      <w:r w:rsidRPr="00850D25">
        <w:rPr>
          <w:rFonts w:cs="Calibri"/>
        </w:rPr>
        <w:t xml:space="preserve">souvisejících závazcích </w:t>
      </w:r>
      <w:r w:rsidR="000D45FA" w:rsidRPr="000D45FA">
        <w:rPr>
          <w:rFonts w:cs="Calibri"/>
          <w:b/>
        </w:rPr>
        <w:t>jako o nákladech</w:t>
      </w:r>
      <w:r w:rsidR="000D45FA">
        <w:rPr>
          <w:rFonts w:cs="Calibri"/>
        </w:rPr>
        <w:t xml:space="preserve"> a závazcích </w:t>
      </w:r>
      <w:r w:rsidR="000D45FA" w:rsidRPr="000D45FA">
        <w:rPr>
          <w:rFonts w:cs="Calibri"/>
          <w:b/>
        </w:rPr>
        <w:t>z činnosti</w:t>
      </w:r>
      <w:r w:rsidR="000D45FA">
        <w:rPr>
          <w:rFonts w:cs="Calibri"/>
        </w:rPr>
        <w:t xml:space="preserve"> </w:t>
      </w:r>
      <w:r w:rsidRPr="00850D25">
        <w:rPr>
          <w:rFonts w:cs="Calibri"/>
        </w:rPr>
        <w:t xml:space="preserve">prostřednictvím účtů </w:t>
      </w:r>
      <w:r w:rsidRPr="0088208D">
        <w:rPr>
          <w:rFonts w:cs="Calibri"/>
        </w:rPr>
        <w:t>549</w:t>
      </w:r>
      <w:r w:rsidR="00850D25" w:rsidRPr="00836D96">
        <w:rPr>
          <w:rFonts w:cs="Calibri"/>
          <w:i/>
        </w:rPr>
        <w:t> </w:t>
      </w:r>
      <w:r w:rsidRPr="00836D96">
        <w:rPr>
          <w:rFonts w:cs="Calibri"/>
          <w:i/>
        </w:rPr>
        <w:t>–</w:t>
      </w:r>
      <w:r w:rsidR="00850D25" w:rsidRPr="00836D96">
        <w:rPr>
          <w:rFonts w:cs="Calibri"/>
          <w:i/>
        </w:rPr>
        <w:t> </w:t>
      </w:r>
      <w:r w:rsidRPr="00836D96">
        <w:rPr>
          <w:rFonts w:cs="Calibri"/>
          <w:i/>
        </w:rPr>
        <w:t xml:space="preserve">Ostatní náklady </w:t>
      </w:r>
      <w:r w:rsidR="000D69FE" w:rsidRPr="00836D96">
        <w:rPr>
          <w:rFonts w:cs="Calibri"/>
          <w:i/>
        </w:rPr>
        <w:t>z</w:t>
      </w:r>
      <w:r w:rsidRPr="00836D96">
        <w:rPr>
          <w:rFonts w:cs="Calibri"/>
          <w:i/>
        </w:rPr>
        <w:t xml:space="preserve"> činnosti</w:t>
      </w:r>
      <w:r w:rsidRPr="00850D25">
        <w:rPr>
          <w:rFonts w:cs="Calibri"/>
        </w:rPr>
        <w:t xml:space="preserve"> a </w:t>
      </w:r>
      <w:r w:rsidRPr="0088208D">
        <w:rPr>
          <w:rFonts w:cs="Calibri"/>
        </w:rPr>
        <w:t>321</w:t>
      </w:r>
      <w:r w:rsidR="000D69FE" w:rsidRPr="00836D96">
        <w:rPr>
          <w:rFonts w:cs="Calibri"/>
          <w:i/>
        </w:rPr>
        <w:t> </w:t>
      </w:r>
      <w:r w:rsidRPr="00836D96">
        <w:rPr>
          <w:rFonts w:cs="Calibri"/>
          <w:i/>
        </w:rPr>
        <w:t>–</w:t>
      </w:r>
      <w:r w:rsidR="000D69FE" w:rsidRPr="00836D96">
        <w:rPr>
          <w:rFonts w:cs="Calibri"/>
          <w:i/>
        </w:rPr>
        <w:t> </w:t>
      </w:r>
      <w:r w:rsidRPr="00836D96">
        <w:rPr>
          <w:rFonts w:cs="Calibri"/>
          <w:i/>
        </w:rPr>
        <w:t>Dodavatelé</w:t>
      </w:r>
      <w:r w:rsidRPr="00850D25">
        <w:rPr>
          <w:rFonts w:cs="Calibri"/>
        </w:rPr>
        <w:t xml:space="preserve">. </w:t>
      </w:r>
      <w:r w:rsidR="002E1DEA">
        <w:rPr>
          <w:rFonts w:cs="Calibri"/>
        </w:rPr>
        <w:t>V</w:t>
      </w:r>
      <w:r w:rsidR="004963CD">
        <w:rPr>
          <w:rFonts w:cs="Calibri"/>
        </w:rPr>
        <w:t xml:space="preserve"> tomto </w:t>
      </w:r>
      <w:r w:rsidR="002E1DEA">
        <w:rPr>
          <w:rFonts w:cs="Calibri"/>
        </w:rPr>
        <w:t>případě s</w:t>
      </w:r>
      <w:r w:rsidR="00B75D1D">
        <w:rPr>
          <w:rFonts w:cs="Calibri"/>
        </w:rPr>
        <w:t>e</w:t>
      </w:r>
      <w:r w:rsidR="00AA5216">
        <w:rPr>
          <w:rFonts w:cs="Calibri"/>
        </w:rPr>
        <w:t xml:space="preserve"> </w:t>
      </w:r>
      <w:r w:rsidR="002E1DEA" w:rsidRPr="00836D96">
        <w:rPr>
          <w:rFonts w:cs="Calibri"/>
        </w:rPr>
        <w:t xml:space="preserve">však </w:t>
      </w:r>
      <w:r w:rsidR="002E1DEA">
        <w:rPr>
          <w:rFonts w:cs="Calibri"/>
        </w:rPr>
        <w:t>n</w:t>
      </w:r>
      <w:r w:rsidR="000D69FE" w:rsidRPr="00836D96">
        <w:rPr>
          <w:rFonts w:cs="Calibri"/>
        </w:rPr>
        <w:t>ejedná o nákup služby pro potřeby MD od jeho dodavatele</w:t>
      </w:r>
      <w:r w:rsidR="00836D96" w:rsidRPr="00836D96">
        <w:rPr>
          <w:rFonts w:cs="Calibri"/>
        </w:rPr>
        <w:t xml:space="preserve">. </w:t>
      </w:r>
      <w:r w:rsidR="000D45FA">
        <w:rPr>
          <w:rFonts w:cs="Calibri"/>
        </w:rPr>
        <w:t>Ekonomickým obsahem</w:t>
      </w:r>
      <w:r w:rsidR="000D69FE" w:rsidRPr="00836D96">
        <w:rPr>
          <w:rFonts w:cs="Calibri"/>
        </w:rPr>
        <w:t xml:space="preserve"> </w:t>
      </w:r>
      <w:r w:rsidR="00836D96" w:rsidRPr="00836D96">
        <w:rPr>
          <w:rFonts w:cs="Calibri"/>
        </w:rPr>
        <w:t xml:space="preserve">kompenzací slev z jízdného ve veřejné dopravě </w:t>
      </w:r>
      <w:r w:rsidR="000D69FE" w:rsidRPr="00836D96">
        <w:rPr>
          <w:rFonts w:cs="Calibri"/>
        </w:rPr>
        <w:t xml:space="preserve">je povinné poskytnutí prostředků státního </w:t>
      </w:r>
      <w:r w:rsidR="000D69FE" w:rsidRPr="00836D96">
        <w:rPr>
          <w:rFonts w:cs="Calibri"/>
        </w:rPr>
        <w:lastRenderedPageBreak/>
        <w:t>rozpočtu na úhrad</w:t>
      </w:r>
      <w:r w:rsidR="00836D96" w:rsidRPr="00836D96">
        <w:rPr>
          <w:rFonts w:cs="Calibri"/>
        </w:rPr>
        <w:t>u</w:t>
      </w:r>
      <w:r w:rsidR="000D69FE" w:rsidRPr="00836D96">
        <w:rPr>
          <w:rFonts w:cs="Calibri"/>
        </w:rPr>
        <w:t xml:space="preserve"> újmy, která vznikla dopravcům státem nařízenou slevou ve prospěch vymezené skupiny cestujících, tj. obdoba dotace, grantu, příspěvku, subvence, dávky, nenávratné finanční výpomoci, podpory či peněžního daru, kdy MD nezískává přímou protihodnotu. </w:t>
      </w:r>
      <w:r w:rsidR="000D69FE" w:rsidRPr="000D45FA">
        <w:rPr>
          <w:rFonts w:cs="Calibri"/>
          <w:b/>
        </w:rPr>
        <w:t>Jedná se</w:t>
      </w:r>
      <w:r w:rsidR="000D69FE" w:rsidRPr="00836D96">
        <w:rPr>
          <w:rFonts w:cs="Calibri"/>
        </w:rPr>
        <w:t xml:space="preserve"> tedy </w:t>
      </w:r>
      <w:r w:rsidR="000D69FE" w:rsidRPr="000D45FA">
        <w:rPr>
          <w:rFonts w:cs="Calibri"/>
          <w:b/>
        </w:rPr>
        <w:t>o transfer</w:t>
      </w:r>
      <w:r w:rsidR="000D69FE" w:rsidRPr="0088208D">
        <w:rPr>
          <w:rFonts w:cs="Calibri"/>
          <w:b/>
        </w:rPr>
        <w:t>.</w:t>
      </w:r>
    </w:p>
    <w:p w14:paraId="568CE0C4" w14:textId="77777777" w:rsidR="00836D96" w:rsidRDefault="00836D96" w:rsidP="00836D96">
      <w:pPr>
        <w:spacing w:after="0"/>
        <w:jc w:val="both"/>
        <w:rPr>
          <w:rFonts w:cs="Calibri"/>
        </w:rPr>
      </w:pPr>
    </w:p>
    <w:p w14:paraId="7597AB2C" w14:textId="3787955C" w:rsidR="005C4D1F" w:rsidRDefault="00836D96" w:rsidP="00836D96">
      <w:pPr>
        <w:spacing w:after="0"/>
        <w:jc w:val="both"/>
        <w:rPr>
          <w:rFonts w:cs="Calibri"/>
        </w:rPr>
      </w:pPr>
      <w:r w:rsidRPr="00836D96">
        <w:rPr>
          <w:rFonts w:cs="Calibri"/>
        </w:rPr>
        <w:t xml:space="preserve">V důsledku této skutečnosti MD </w:t>
      </w:r>
      <w:r w:rsidR="004963CD">
        <w:rPr>
          <w:rFonts w:cs="Calibri"/>
        </w:rPr>
        <w:t xml:space="preserve">ve výkazu zisku a ztráty </w:t>
      </w:r>
      <w:r w:rsidRPr="00836D96">
        <w:rPr>
          <w:rFonts w:cs="Calibri"/>
        </w:rPr>
        <w:t xml:space="preserve">v údajích za běžné účetní období </w:t>
      </w:r>
      <w:r w:rsidRPr="00836D96">
        <w:rPr>
          <w:rFonts w:cs="Calibri"/>
          <w:b/>
        </w:rPr>
        <w:t xml:space="preserve">podhodnotilo zůstatek účtu </w:t>
      </w:r>
      <w:r w:rsidRPr="0088208D">
        <w:rPr>
          <w:rFonts w:cs="Calibri"/>
          <w:b/>
        </w:rPr>
        <w:t>571</w:t>
      </w:r>
      <w:r w:rsidRPr="00836D96">
        <w:rPr>
          <w:rFonts w:cs="Calibri"/>
          <w:b/>
          <w:i/>
        </w:rPr>
        <w:t> – Náklady vybraných ú</w:t>
      </w:r>
      <w:r w:rsidR="00B75D1D">
        <w:rPr>
          <w:rFonts w:cs="Calibri"/>
          <w:b/>
          <w:i/>
        </w:rPr>
        <w:t>středních vládních institucí na</w:t>
      </w:r>
      <w:r w:rsidR="00FE5AB5">
        <w:rPr>
          <w:rFonts w:cs="Calibri"/>
          <w:b/>
          <w:i/>
        </w:rPr>
        <w:t xml:space="preserve"> </w:t>
      </w:r>
      <w:r w:rsidRPr="00836D96">
        <w:rPr>
          <w:rFonts w:cs="Calibri"/>
          <w:b/>
          <w:i/>
        </w:rPr>
        <w:t>transfery</w:t>
      </w:r>
      <w:r w:rsidRPr="00836D96">
        <w:rPr>
          <w:rFonts w:cs="Calibri"/>
          <w:b/>
        </w:rPr>
        <w:t xml:space="preserve"> o 2 072 031 788,21 Kč a o stejnou částku nadhodnotilo zůstatek účtu </w:t>
      </w:r>
      <w:r w:rsidRPr="0088208D">
        <w:rPr>
          <w:rFonts w:cs="Calibri"/>
          <w:b/>
        </w:rPr>
        <w:t>549</w:t>
      </w:r>
      <w:r w:rsidRPr="00836D96">
        <w:rPr>
          <w:rFonts w:cs="Calibri"/>
          <w:b/>
          <w:i/>
        </w:rPr>
        <w:t> – Ostatní náklady z činnosti</w:t>
      </w:r>
      <w:r w:rsidRPr="0088208D">
        <w:rPr>
          <w:rFonts w:cs="Calibri"/>
          <w:b/>
        </w:rPr>
        <w:t>.</w:t>
      </w:r>
      <w:r w:rsidRPr="00836D96">
        <w:rPr>
          <w:rFonts w:cs="Calibri"/>
        </w:rPr>
        <w:t xml:space="preserve"> MD dále </w:t>
      </w:r>
      <w:r w:rsidR="004963CD">
        <w:rPr>
          <w:rFonts w:cs="Calibri"/>
        </w:rPr>
        <w:t xml:space="preserve">ve výkazu rozvaha </w:t>
      </w:r>
      <w:r w:rsidRPr="00836D96">
        <w:rPr>
          <w:rFonts w:cs="Calibri"/>
        </w:rPr>
        <w:t xml:space="preserve">v údajích za běžné účetní období </w:t>
      </w:r>
      <w:r w:rsidRPr="00836D96">
        <w:rPr>
          <w:rFonts w:cs="Calibri"/>
          <w:b/>
        </w:rPr>
        <w:t xml:space="preserve">podhodnotilo zůstatek účtu </w:t>
      </w:r>
      <w:r w:rsidRPr="0088208D">
        <w:rPr>
          <w:rFonts w:cs="Calibri"/>
          <w:b/>
        </w:rPr>
        <w:t>345</w:t>
      </w:r>
      <w:r w:rsidRPr="00836D96">
        <w:rPr>
          <w:rFonts w:cs="Calibri"/>
          <w:b/>
          <w:i/>
        </w:rPr>
        <w:t> – Závazky k osobám mimo vybrané vládní instituce</w:t>
      </w:r>
      <w:r w:rsidR="00B75D1D">
        <w:rPr>
          <w:rFonts w:cs="Calibri"/>
          <w:b/>
        </w:rPr>
        <w:t xml:space="preserve"> o </w:t>
      </w:r>
      <w:r w:rsidRPr="00836D96">
        <w:rPr>
          <w:rFonts w:cs="Calibri"/>
          <w:b/>
        </w:rPr>
        <w:t>552 067 718,07</w:t>
      </w:r>
      <w:r w:rsidR="00AA5216">
        <w:rPr>
          <w:rFonts w:cs="Calibri"/>
          <w:b/>
        </w:rPr>
        <w:t> </w:t>
      </w:r>
      <w:r w:rsidRPr="00836D96">
        <w:rPr>
          <w:rFonts w:cs="Calibri"/>
          <w:b/>
        </w:rPr>
        <w:t>Kč a</w:t>
      </w:r>
      <w:r w:rsidR="00FE5AB5">
        <w:rPr>
          <w:rFonts w:cs="Calibri"/>
          <w:b/>
        </w:rPr>
        <w:t> </w:t>
      </w:r>
      <w:r w:rsidRPr="00836D96">
        <w:rPr>
          <w:rFonts w:cs="Calibri"/>
          <w:b/>
        </w:rPr>
        <w:t xml:space="preserve">o stejnou částku nadhodnotilo zůstatek účtu </w:t>
      </w:r>
      <w:r w:rsidRPr="0088208D">
        <w:rPr>
          <w:rFonts w:cs="Calibri"/>
          <w:b/>
        </w:rPr>
        <w:t>321</w:t>
      </w:r>
      <w:r w:rsidRPr="00836D96">
        <w:rPr>
          <w:rFonts w:cs="Calibri"/>
          <w:b/>
          <w:i/>
        </w:rPr>
        <w:t> – Dodavatelé</w:t>
      </w:r>
      <w:r w:rsidRPr="0088208D">
        <w:rPr>
          <w:rFonts w:cs="Calibri"/>
          <w:b/>
        </w:rPr>
        <w:t>.</w:t>
      </w:r>
    </w:p>
    <w:p w14:paraId="568EAD5F" w14:textId="77777777" w:rsidR="00836D96" w:rsidRDefault="00836D96" w:rsidP="00836D96">
      <w:pPr>
        <w:spacing w:after="0"/>
        <w:jc w:val="both"/>
        <w:rPr>
          <w:rFonts w:cs="Calibri"/>
        </w:rPr>
      </w:pPr>
    </w:p>
    <w:p w14:paraId="3A9DEF0D" w14:textId="77777777" w:rsidR="00636781" w:rsidRDefault="00636781" w:rsidP="00836D96">
      <w:pPr>
        <w:spacing w:after="0"/>
        <w:jc w:val="both"/>
        <w:rPr>
          <w:rFonts w:cs="Calibri"/>
        </w:rPr>
      </w:pPr>
    </w:p>
    <w:p w14:paraId="57E8A1E2" w14:textId="77777777" w:rsidR="0046051F" w:rsidRPr="0043045F" w:rsidRDefault="00312B2F" w:rsidP="0088208D">
      <w:pPr>
        <w:pStyle w:val="Nadpis3"/>
        <w:jc w:val="left"/>
      </w:pPr>
      <w:bookmarkStart w:id="1" w:name="_Toc256000055"/>
      <w:bookmarkStart w:id="2" w:name="_Toc256000014"/>
      <w:bookmarkStart w:id="3" w:name="_Toc24381829"/>
      <w:r>
        <w:rPr>
          <w:rFonts w:asciiTheme="minorHAnsi" w:hAnsiTheme="minorHAnsi" w:cstheme="minorHAnsi"/>
        </w:rPr>
        <w:t>Nesprávné vykázání č</w:t>
      </w:r>
      <w:r w:rsidR="0046051F" w:rsidRPr="004E302A">
        <w:rPr>
          <w:rFonts w:asciiTheme="minorHAnsi" w:hAnsiTheme="minorHAnsi" w:cstheme="minorHAnsi"/>
        </w:rPr>
        <w:t>erpání prostředků rezervního fondu v souvislosti s poskytováním transferů</w:t>
      </w:r>
      <w:bookmarkEnd w:id="1"/>
      <w:bookmarkEnd w:id="2"/>
      <w:bookmarkEnd w:id="3"/>
    </w:p>
    <w:p w14:paraId="129744FA" w14:textId="77777777" w:rsidR="00836D96" w:rsidRDefault="00836D96" w:rsidP="00836D96">
      <w:pPr>
        <w:spacing w:after="0"/>
        <w:jc w:val="both"/>
        <w:rPr>
          <w:rFonts w:cs="Calibri"/>
        </w:rPr>
      </w:pPr>
    </w:p>
    <w:p w14:paraId="503DF78C" w14:textId="77777777" w:rsidR="00636781" w:rsidRDefault="00903772" w:rsidP="00836D96">
      <w:pPr>
        <w:spacing w:after="0"/>
        <w:jc w:val="both"/>
        <w:rPr>
          <w:rFonts w:cs="Calibri"/>
        </w:rPr>
      </w:pPr>
      <w:r w:rsidRPr="004E302A">
        <w:rPr>
          <w:rFonts w:asciiTheme="minorHAnsi" w:hAnsiTheme="minorHAnsi" w:cstheme="minorHAnsi"/>
          <w:bCs/>
          <w:iCs/>
        </w:rPr>
        <w:t xml:space="preserve">MD </w:t>
      </w:r>
      <w:r w:rsidR="00D254D0">
        <w:rPr>
          <w:rFonts w:asciiTheme="minorHAnsi" w:hAnsiTheme="minorHAnsi" w:cstheme="minorHAnsi"/>
          <w:bCs/>
          <w:iCs/>
        </w:rPr>
        <w:t xml:space="preserve">přijímalo </w:t>
      </w:r>
      <w:r w:rsidR="00317AB2">
        <w:rPr>
          <w:rFonts w:asciiTheme="minorHAnsi" w:hAnsiTheme="minorHAnsi" w:cstheme="minorHAnsi"/>
          <w:bCs/>
          <w:iCs/>
        </w:rPr>
        <w:t xml:space="preserve">v letech 2015 a 2016 na bankovní účet rezervního fondu </w:t>
      </w:r>
      <w:r w:rsidRPr="004E302A">
        <w:rPr>
          <w:rFonts w:asciiTheme="minorHAnsi" w:hAnsiTheme="minorHAnsi" w:cstheme="minorHAnsi"/>
          <w:bCs/>
          <w:iCs/>
        </w:rPr>
        <w:t xml:space="preserve">z rozpočtu </w:t>
      </w:r>
      <w:r w:rsidR="001C6E98">
        <w:rPr>
          <w:rFonts w:asciiTheme="minorHAnsi" w:hAnsiTheme="minorHAnsi" w:cstheme="minorHAnsi"/>
          <w:bCs/>
          <w:iCs/>
        </w:rPr>
        <w:t xml:space="preserve">Evropské unie (dále také „EU“) </w:t>
      </w:r>
      <w:r w:rsidRPr="004E302A">
        <w:rPr>
          <w:rFonts w:asciiTheme="minorHAnsi" w:hAnsiTheme="minorHAnsi" w:cstheme="minorHAnsi"/>
          <w:bCs/>
          <w:iCs/>
        </w:rPr>
        <w:t xml:space="preserve">peněžní prostředky </w:t>
      </w:r>
      <w:r w:rsidRPr="0088208D">
        <w:rPr>
          <w:rFonts w:asciiTheme="minorHAnsi" w:hAnsiTheme="minorHAnsi" w:cstheme="minorHAnsi"/>
          <w:i/>
        </w:rPr>
        <w:t>Nástroje pro propojení Evropy</w:t>
      </w:r>
      <w:r w:rsidRPr="004E302A">
        <w:rPr>
          <w:rFonts w:asciiTheme="minorHAnsi" w:hAnsiTheme="minorHAnsi" w:cstheme="minorHAnsi"/>
        </w:rPr>
        <w:t xml:space="preserve">, které </w:t>
      </w:r>
      <w:r w:rsidR="00317AB2">
        <w:rPr>
          <w:rFonts w:asciiTheme="minorHAnsi" w:hAnsiTheme="minorHAnsi" w:cstheme="minorHAnsi"/>
        </w:rPr>
        <w:t xml:space="preserve">v roce 2018 </w:t>
      </w:r>
      <w:r w:rsidRPr="004E302A">
        <w:rPr>
          <w:rFonts w:asciiTheme="minorHAnsi" w:hAnsiTheme="minorHAnsi" w:cstheme="minorHAnsi"/>
        </w:rPr>
        <w:t>prostřednictvím S</w:t>
      </w:r>
      <w:r>
        <w:rPr>
          <w:rFonts w:asciiTheme="minorHAnsi" w:hAnsiTheme="minorHAnsi" w:cstheme="minorHAnsi"/>
        </w:rPr>
        <w:t xml:space="preserve">tátního fondu dopravní infrastruktury </w:t>
      </w:r>
      <w:r w:rsidRPr="004E302A">
        <w:rPr>
          <w:rFonts w:asciiTheme="minorHAnsi" w:hAnsiTheme="minorHAnsi" w:cstheme="minorHAnsi"/>
        </w:rPr>
        <w:t xml:space="preserve">poskytovalo konečným příjemcům. </w:t>
      </w:r>
      <w:r w:rsidR="0046051F" w:rsidRPr="00636781">
        <w:rPr>
          <w:rFonts w:cs="Calibri"/>
          <w:b/>
        </w:rPr>
        <w:t xml:space="preserve">MD účtovalo o použití </w:t>
      </w:r>
      <w:r w:rsidR="00D9088B">
        <w:rPr>
          <w:rFonts w:cs="Calibri"/>
          <w:b/>
        </w:rPr>
        <w:t xml:space="preserve">uvedených </w:t>
      </w:r>
      <w:r w:rsidR="0046051F" w:rsidRPr="00636781">
        <w:rPr>
          <w:rFonts w:cs="Calibri"/>
          <w:b/>
        </w:rPr>
        <w:t>prostředků rezervního fondu</w:t>
      </w:r>
      <w:r w:rsidR="0046051F" w:rsidRPr="0046051F">
        <w:rPr>
          <w:rFonts w:cs="Calibri"/>
        </w:rPr>
        <w:t xml:space="preserve"> </w:t>
      </w:r>
      <w:r w:rsidR="00F26868">
        <w:rPr>
          <w:rFonts w:cs="Calibri"/>
        </w:rPr>
        <w:t xml:space="preserve">při jejich poskytování </w:t>
      </w:r>
      <w:r w:rsidR="0046051F" w:rsidRPr="0046051F">
        <w:rPr>
          <w:rFonts w:cs="Calibri"/>
        </w:rPr>
        <w:t xml:space="preserve">prostřednictvím účtu </w:t>
      </w:r>
      <w:r w:rsidR="0046051F" w:rsidRPr="0088208D">
        <w:rPr>
          <w:rFonts w:cs="Calibri"/>
        </w:rPr>
        <w:t>675</w:t>
      </w:r>
      <w:r w:rsidR="0046051F" w:rsidRPr="0046051F">
        <w:rPr>
          <w:rFonts w:cs="Calibri"/>
          <w:i/>
        </w:rPr>
        <w:t> – Výnosy vybraných ústředních vládních institucí z předfinancování transferů</w:t>
      </w:r>
      <w:r w:rsidR="00636781">
        <w:rPr>
          <w:rFonts w:cs="Calibri"/>
        </w:rPr>
        <w:t xml:space="preserve"> </w:t>
      </w:r>
      <w:r w:rsidR="00636781" w:rsidRPr="00636781">
        <w:rPr>
          <w:rFonts w:cs="Calibri"/>
          <w:b/>
        </w:rPr>
        <w:t>jako o výnosech z</w:t>
      </w:r>
      <w:r w:rsidR="00636781">
        <w:rPr>
          <w:rFonts w:cs="Calibri"/>
          <w:b/>
        </w:rPr>
        <w:t xml:space="preserve"> předfinancování </w:t>
      </w:r>
      <w:r w:rsidR="00636781" w:rsidRPr="00BE582B">
        <w:rPr>
          <w:rFonts w:cs="Calibri"/>
          <w:b/>
        </w:rPr>
        <w:t>transferů, přestože</w:t>
      </w:r>
      <w:r w:rsidR="00636781">
        <w:rPr>
          <w:rFonts w:cs="Calibri"/>
        </w:rPr>
        <w:t xml:space="preserve"> o této skutečnosti </w:t>
      </w:r>
      <w:r w:rsidR="00636781" w:rsidRPr="00636781">
        <w:rPr>
          <w:rFonts w:cs="Calibri"/>
          <w:b/>
        </w:rPr>
        <w:t>mělo účtovat jako o čerpání rezervního fondu</w:t>
      </w:r>
      <w:r w:rsidR="00636781" w:rsidRPr="0088208D">
        <w:rPr>
          <w:rFonts w:cs="Calibri"/>
          <w:b/>
        </w:rPr>
        <w:t>.</w:t>
      </w:r>
    </w:p>
    <w:p w14:paraId="744E8FB2" w14:textId="77777777" w:rsidR="00636781" w:rsidRDefault="00636781" w:rsidP="00836D96">
      <w:pPr>
        <w:spacing w:after="0"/>
        <w:jc w:val="both"/>
        <w:rPr>
          <w:rFonts w:cs="Calibri"/>
        </w:rPr>
      </w:pPr>
    </w:p>
    <w:p w14:paraId="04EB97B4" w14:textId="77777777" w:rsidR="00836D96" w:rsidRPr="00636781" w:rsidRDefault="00636781" w:rsidP="00836D96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MD tak ve výkazu zisku a ztráty </w:t>
      </w:r>
      <w:r w:rsidRPr="00836D96">
        <w:rPr>
          <w:rFonts w:cs="Calibri"/>
        </w:rPr>
        <w:t xml:space="preserve">v údajích za běžné účetní období </w:t>
      </w:r>
      <w:r w:rsidRPr="00636781">
        <w:rPr>
          <w:rFonts w:cs="Calibri"/>
          <w:b/>
        </w:rPr>
        <w:t xml:space="preserve">podhodnotilo zůstatek účtu </w:t>
      </w:r>
      <w:r w:rsidRPr="0088208D">
        <w:rPr>
          <w:rFonts w:cs="Calibri"/>
          <w:b/>
        </w:rPr>
        <w:t>648</w:t>
      </w:r>
      <w:r w:rsidRPr="00636781">
        <w:rPr>
          <w:rFonts w:cs="Calibri"/>
          <w:b/>
          <w:i/>
        </w:rPr>
        <w:t> – Čerpání fondů</w:t>
      </w:r>
      <w:r>
        <w:rPr>
          <w:rFonts w:cs="Calibri"/>
          <w:b/>
        </w:rPr>
        <w:t xml:space="preserve"> o </w:t>
      </w:r>
      <w:r w:rsidRPr="00636781">
        <w:rPr>
          <w:rFonts w:asciiTheme="minorHAnsi" w:hAnsiTheme="minorHAnsi" w:cstheme="minorHAnsi"/>
          <w:b/>
          <w:bCs/>
          <w:iCs/>
        </w:rPr>
        <w:t>717 094 005,53</w:t>
      </w:r>
      <w:r w:rsidRPr="00636781">
        <w:rPr>
          <w:rFonts w:asciiTheme="minorHAnsi" w:hAnsiTheme="minorHAnsi" w:cstheme="minorHAnsi"/>
          <w:b/>
          <w:bCs/>
        </w:rPr>
        <w:t xml:space="preserve"> Kč</w:t>
      </w:r>
      <w:r w:rsidRPr="00636781">
        <w:rPr>
          <w:rFonts w:cs="Calibri"/>
          <w:b/>
        </w:rPr>
        <w:t xml:space="preserve"> a o stejnou částku nadhodnotilo zůstatek účtu </w:t>
      </w:r>
      <w:r w:rsidRPr="0088208D">
        <w:rPr>
          <w:rFonts w:cs="Calibri"/>
          <w:b/>
        </w:rPr>
        <w:t>675</w:t>
      </w:r>
      <w:r w:rsidRPr="00636781">
        <w:rPr>
          <w:rFonts w:cs="Calibri"/>
          <w:b/>
          <w:i/>
        </w:rPr>
        <w:t> – Výnosy vybraných ústředních vládních institucí z předfinancování transferů</w:t>
      </w:r>
      <w:r w:rsidRPr="0088208D">
        <w:rPr>
          <w:rFonts w:cs="Calibri"/>
          <w:b/>
        </w:rPr>
        <w:t>.</w:t>
      </w:r>
    </w:p>
    <w:p w14:paraId="5D278791" w14:textId="77777777" w:rsidR="00636781" w:rsidRDefault="00636781" w:rsidP="00836D96">
      <w:pPr>
        <w:spacing w:after="0"/>
        <w:jc w:val="both"/>
        <w:rPr>
          <w:rFonts w:cs="Calibri"/>
        </w:rPr>
      </w:pPr>
    </w:p>
    <w:p w14:paraId="5088A1D6" w14:textId="77777777" w:rsidR="00636781" w:rsidRPr="00636781" w:rsidRDefault="00636781" w:rsidP="00836D96">
      <w:pPr>
        <w:spacing w:after="0"/>
        <w:jc w:val="both"/>
        <w:rPr>
          <w:rFonts w:cs="Calibri"/>
        </w:rPr>
      </w:pPr>
    </w:p>
    <w:p w14:paraId="24B5789E" w14:textId="77777777" w:rsidR="00636781" w:rsidRPr="0043045F" w:rsidRDefault="00312B2F" w:rsidP="00636781">
      <w:pPr>
        <w:pStyle w:val="Nadpis3"/>
      </w:pPr>
      <w:bookmarkStart w:id="4" w:name="_Toc256000056"/>
      <w:bookmarkStart w:id="5" w:name="_Toc256000015"/>
      <w:bookmarkStart w:id="6" w:name="_Toc24381830"/>
      <w:r>
        <w:rPr>
          <w:rFonts w:asciiTheme="minorHAnsi" w:hAnsiTheme="minorHAnsi" w:cstheme="minorHAnsi"/>
        </w:rPr>
        <w:t>Nesprávné vykázání v</w:t>
      </w:r>
      <w:r w:rsidR="00636781" w:rsidRPr="004E302A">
        <w:rPr>
          <w:rFonts w:asciiTheme="minorHAnsi" w:hAnsiTheme="minorHAnsi" w:cstheme="minorHAnsi"/>
        </w:rPr>
        <w:t>ýnos</w:t>
      </w:r>
      <w:r>
        <w:rPr>
          <w:rFonts w:asciiTheme="minorHAnsi" w:hAnsiTheme="minorHAnsi" w:cstheme="minorHAnsi"/>
        </w:rPr>
        <w:t>ů</w:t>
      </w:r>
      <w:r w:rsidR="00636781" w:rsidRPr="004E302A">
        <w:rPr>
          <w:rFonts w:asciiTheme="minorHAnsi" w:hAnsiTheme="minorHAnsi" w:cstheme="minorHAnsi"/>
        </w:rPr>
        <w:t xml:space="preserve"> z transferů přijatých v rámci technické pomoci</w:t>
      </w:r>
      <w:bookmarkEnd w:id="4"/>
      <w:bookmarkEnd w:id="5"/>
      <w:bookmarkEnd w:id="6"/>
    </w:p>
    <w:p w14:paraId="60E11220" w14:textId="77777777" w:rsidR="00636781" w:rsidRDefault="00636781" w:rsidP="00636781">
      <w:pPr>
        <w:spacing w:after="0"/>
        <w:jc w:val="both"/>
        <w:rPr>
          <w:rFonts w:cs="Calibri"/>
        </w:rPr>
      </w:pPr>
    </w:p>
    <w:p w14:paraId="35812F77" w14:textId="77777777" w:rsidR="00636781" w:rsidRDefault="008A3C1C" w:rsidP="00636781">
      <w:pPr>
        <w:spacing w:after="0"/>
        <w:jc w:val="both"/>
        <w:rPr>
          <w:rFonts w:cs="Calibri"/>
        </w:rPr>
      </w:pPr>
      <w:r w:rsidRPr="004E302A">
        <w:rPr>
          <w:rFonts w:asciiTheme="minorHAnsi" w:hAnsiTheme="minorHAnsi" w:cstheme="minorHAnsi"/>
        </w:rPr>
        <w:t xml:space="preserve">MD </w:t>
      </w:r>
      <w:r>
        <w:rPr>
          <w:rFonts w:asciiTheme="minorHAnsi" w:hAnsiTheme="minorHAnsi" w:cstheme="minorHAnsi"/>
        </w:rPr>
        <w:t xml:space="preserve">realizovalo v roce 2018 </w:t>
      </w:r>
      <w:r w:rsidRPr="004E302A">
        <w:rPr>
          <w:rFonts w:asciiTheme="minorHAnsi" w:hAnsiTheme="minorHAnsi" w:cstheme="minorHAnsi"/>
        </w:rPr>
        <w:t>projekty v rámci operačníc</w:t>
      </w:r>
      <w:r>
        <w:rPr>
          <w:rFonts w:asciiTheme="minorHAnsi" w:hAnsiTheme="minorHAnsi" w:cstheme="minorHAnsi"/>
        </w:rPr>
        <w:t>h programů spolufinancovaných z </w:t>
      </w:r>
      <w:r w:rsidRPr="004E302A">
        <w:rPr>
          <w:rFonts w:asciiTheme="minorHAnsi" w:hAnsiTheme="minorHAnsi" w:cstheme="minorHAnsi"/>
        </w:rPr>
        <w:t>rozpočtu EU</w:t>
      </w:r>
      <w:r>
        <w:rPr>
          <w:rFonts w:asciiTheme="minorHAnsi" w:hAnsiTheme="minorHAnsi" w:cstheme="minorHAnsi"/>
        </w:rPr>
        <w:t xml:space="preserve">, u kterých figurovalo </w:t>
      </w:r>
      <w:r w:rsidRPr="004E302A">
        <w:rPr>
          <w:rFonts w:asciiTheme="minorHAnsi" w:hAnsiTheme="minorHAnsi" w:cstheme="minorHAnsi"/>
        </w:rPr>
        <w:t>jako konečný příjemce</w:t>
      </w:r>
      <w:r>
        <w:rPr>
          <w:rFonts w:asciiTheme="minorHAnsi" w:hAnsiTheme="minorHAnsi" w:cstheme="minorHAnsi"/>
        </w:rPr>
        <w:t xml:space="preserve"> transferů</w:t>
      </w:r>
      <w:r w:rsidRPr="00C426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636781" w:rsidRPr="00636781">
        <w:rPr>
          <w:rFonts w:cs="Calibri"/>
          <w:b/>
        </w:rPr>
        <w:t xml:space="preserve">MD </w:t>
      </w:r>
      <w:r>
        <w:rPr>
          <w:rFonts w:cs="Calibri"/>
          <w:b/>
        </w:rPr>
        <w:t xml:space="preserve">však o těchto </w:t>
      </w:r>
      <w:r w:rsidR="00636781">
        <w:rPr>
          <w:rFonts w:cs="Calibri"/>
          <w:b/>
        </w:rPr>
        <w:t xml:space="preserve">výnosech </w:t>
      </w:r>
      <w:r w:rsidR="00636781" w:rsidRPr="00636781">
        <w:rPr>
          <w:rFonts w:cs="Calibri"/>
          <w:b/>
        </w:rPr>
        <w:t xml:space="preserve">z </w:t>
      </w:r>
      <w:r w:rsidR="00636781" w:rsidRPr="00636781">
        <w:rPr>
          <w:rFonts w:asciiTheme="minorHAnsi" w:hAnsiTheme="minorHAnsi" w:cstheme="minorHAnsi"/>
          <w:b/>
        </w:rPr>
        <w:t>transferů přijatých v rámci technické pomoc</w:t>
      </w:r>
      <w:r w:rsidR="00636781" w:rsidRPr="008A3C1C">
        <w:rPr>
          <w:rFonts w:asciiTheme="minorHAnsi" w:hAnsiTheme="minorHAnsi" w:cstheme="minorHAnsi"/>
          <w:b/>
        </w:rPr>
        <w:t>i</w:t>
      </w:r>
      <w:r w:rsidR="00636781" w:rsidRPr="008A3C1C">
        <w:rPr>
          <w:rFonts w:cs="Calibri"/>
          <w:b/>
        </w:rPr>
        <w:t xml:space="preserve"> </w:t>
      </w:r>
      <w:r w:rsidRPr="008A3C1C">
        <w:rPr>
          <w:rFonts w:cs="Calibri"/>
          <w:b/>
        </w:rPr>
        <w:t>účtovalo</w:t>
      </w:r>
      <w:r>
        <w:rPr>
          <w:rFonts w:cs="Calibri"/>
        </w:rPr>
        <w:t xml:space="preserve"> </w:t>
      </w:r>
      <w:r w:rsidR="00636781" w:rsidRPr="0046051F">
        <w:rPr>
          <w:rFonts w:cs="Calibri"/>
        </w:rPr>
        <w:t xml:space="preserve">prostřednictvím účtu </w:t>
      </w:r>
      <w:r w:rsidR="00636781" w:rsidRPr="0088208D">
        <w:rPr>
          <w:rFonts w:cs="Calibri"/>
        </w:rPr>
        <w:t>675</w:t>
      </w:r>
      <w:r w:rsidR="00636781" w:rsidRPr="0046051F">
        <w:rPr>
          <w:rFonts w:cs="Calibri"/>
          <w:i/>
        </w:rPr>
        <w:t> – Výnosy vybraných ústředních vládních institucí z předfinancování transferů</w:t>
      </w:r>
      <w:r>
        <w:rPr>
          <w:rFonts w:cs="Calibri"/>
        </w:rPr>
        <w:t>, který není určen pro konečné příjemce transferů,</w:t>
      </w:r>
      <w:r w:rsidR="00636781">
        <w:rPr>
          <w:rFonts w:cs="Calibri"/>
        </w:rPr>
        <w:t xml:space="preserve"> </w:t>
      </w:r>
      <w:r w:rsidR="00636781" w:rsidRPr="00636781">
        <w:rPr>
          <w:rFonts w:cs="Calibri"/>
          <w:b/>
        </w:rPr>
        <w:t>jako o výnosech z</w:t>
      </w:r>
      <w:r w:rsidR="00636781">
        <w:rPr>
          <w:rFonts w:cs="Calibri"/>
          <w:b/>
        </w:rPr>
        <w:t xml:space="preserve"> předfinancování </w:t>
      </w:r>
      <w:r w:rsidR="00636781" w:rsidRPr="00636781">
        <w:rPr>
          <w:rFonts w:cs="Calibri"/>
          <w:b/>
        </w:rPr>
        <w:t>transferů, přestože</w:t>
      </w:r>
      <w:r w:rsidR="00636781">
        <w:rPr>
          <w:rFonts w:cs="Calibri"/>
        </w:rPr>
        <w:t xml:space="preserve"> v tomto případě </w:t>
      </w:r>
      <w:r w:rsidR="00636781" w:rsidRPr="00636781">
        <w:rPr>
          <w:rFonts w:cs="Calibri"/>
          <w:b/>
        </w:rPr>
        <w:t>bylo konečným příjemcem</w:t>
      </w:r>
      <w:r w:rsidR="00636781">
        <w:rPr>
          <w:rFonts w:cs="Calibri"/>
        </w:rPr>
        <w:t xml:space="preserve"> uvedených transferů.</w:t>
      </w:r>
    </w:p>
    <w:p w14:paraId="3806B9E7" w14:textId="77777777" w:rsidR="00636781" w:rsidRDefault="00636781" w:rsidP="00636781">
      <w:pPr>
        <w:spacing w:after="0"/>
        <w:jc w:val="both"/>
        <w:rPr>
          <w:rFonts w:cs="Calibri"/>
        </w:rPr>
      </w:pPr>
    </w:p>
    <w:p w14:paraId="7516AC4E" w14:textId="77777777" w:rsidR="00636781" w:rsidRPr="00636781" w:rsidRDefault="009F5ADA" w:rsidP="00636781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V důsledku této skutečnosti </w:t>
      </w:r>
      <w:r w:rsidR="00636781">
        <w:rPr>
          <w:rFonts w:cs="Calibri"/>
        </w:rPr>
        <w:t xml:space="preserve">MD ve výkazu zisku a ztráty </w:t>
      </w:r>
      <w:r w:rsidR="00636781" w:rsidRPr="00836D96">
        <w:rPr>
          <w:rFonts w:cs="Calibri"/>
        </w:rPr>
        <w:t xml:space="preserve">v údajích za běžné účetní období </w:t>
      </w:r>
      <w:r w:rsidR="00636781" w:rsidRPr="00636781">
        <w:rPr>
          <w:rFonts w:cs="Calibri"/>
          <w:b/>
        </w:rPr>
        <w:t xml:space="preserve">podhodnotilo zůstatek účtu </w:t>
      </w:r>
      <w:r w:rsidR="002B7874" w:rsidRPr="0088208D">
        <w:rPr>
          <w:rFonts w:asciiTheme="minorHAnsi" w:hAnsiTheme="minorHAnsi" w:cstheme="minorHAnsi"/>
          <w:b/>
        </w:rPr>
        <w:t>671</w:t>
      </w:r>
      <w:r w:rsidR="002B7874">
        <w:rPr>
          <w:rFonts w:asciiTheme="minorHAnsi" w:hAnsiTheme="minorHAnsi" w:cstheme="minorHAnsi"/>
          <w:b/>
          <w:i/>
        </w:rPr>
        <w:t> </w:t>
      </w:r>
      <w:r w:rsidR="002B7874" w:rsidRPr="00CB5021">
        <w:rPr>
          <w:rFonts w:asciiTheme="minorHAnsi" w:hAnsiTheme="minorHAnsi" w:cstheme="minorHAnsi"/>
          <w:b/>
          <w:i/>
        </w:rPr>
        <w:t>–</w:t>
      </w:r>
      <w:r w:rsidR="002B7874">
        <w:rPr>
          <w:rFonts w:asciiTheme="minorHAnsi" w:hAnsiTheme="minorHAnsi" w:cstheme="minorHAnsi"/>
          <w:b/>
          <w:i/>
        </w:rPr>
        <w:t> </w:t>
      </w:r>
      <w:r w:rsidR="002B7874" w:rsidRPr="004E302A">
        <w:rPr>
          <w:rFonts w:asciiTheme="minorHAnsi" w:hAnsiTheme="minorHAnsi" w:cstheme="minorHAnsi"/>
          <w:b/>
          <w:i/>
        </w:rPr>
        <w:t>Výnosy vybraných ústředních vládních institucí z transferů</w:t>
      </w:r>
      <w:r w:rsidR="002B7874" w:rsidRPr="004E302A">
        <w:rPr>
          <w:rFonts w:asciiTheme="minorHAnsi" w:hAnsiTheme="minorHAnsi" w:cstheme="minorHAnsi"/>
          <w:b/>
        </w:rPr>
        <w:t xml:space="preserve"> </w:t>
      </w:r>
      <w:r w:rsidR="00636781">
        <w:rPr>
          <w:rFonts w:cs="Calibri"/>
          <w:b/>
        </w:rPr>
        <w:t xml:space="preserve">o </w:t>
      </w:r>
      <w:r w:rsidR="002B7874" w:rsidRPr="004E302A">
        <w:rPr>
          <w:rFonts w:asciiTheme="minorHAnsi" w:hAnsiTheme="minorHAnsi" w:cstheme="minorHAnsi"/>
          <w:b/>
        </w:rPr>
        <w:t xml:space="preserve">114 753 910,19 Kč </w:t>
      </w:r>
      <w:r w:rsidR="00636781" w:rsidRPr="00636781">
        <w:rPr>
          <w:rFonts w:cs="Calibri"/>
          <w:b/>
        </w:rPr>
        <w:t xml:space="preserve">a o stejnou částku nadhodnotilo zůstatek účtu </w:t>
      </w:r>
      <w:r w:rsidR="00636781" w:rsidRPr="0088208D">
        <w:rPr>
          <w:rFonts w:cs="Calibri"/>
          <w:b/>
        </w:rPr>
        <w:t>675</w:t>
      </w:r>
      <w:r w:rsidR="00636781" w:rsidRPr="00636781">
        <w:rPr>
          <w:rFonts w:cs="Calibri"/>
          <w:b/>
          <w:i/>
        </w:rPr>
        <w:t> – Výnosy vybraných ústředních vládních institucí z předfinancování transferů</w:t>
      </w:r>
      <w:r w:rsidR="00636781" w:rsidRPr="0088208D">
        <w:rPr>
          <w:rFonts w:cs="Calibri"/>
          <w:b/>
        </w:rPr>
        <w:t>.</w:t>
      </w:r>
    </w:p>
    <w:p w14:paraId="01DD20EE" w14:textId="77777777" w:rsidR="00636781" w:rsidRDefault="00636781" w:rsidP="00836D96">
      <w:pPr>
        <w:spacing w:after="0"/>
        <w:jc w:val="both"/>
        <w:rPr>
          <w:rFonts w:cs="Calibri"/>
        </w:rPr>
      </w:pPr>
    </w:p>
    <w:p w14:paraId="1B44EFDA" w14:textId="77777777" w:rsidR="00636781" w:rsidRDefault="00636781" w:rsidP="00836D96">
      <w:pPr>
        <w:spacing w:after="0"/>
        <w:jc w:val="both"/>
        <w:rPr>
          <w:rFonts w:cs="Calibri"/>
        </w:rPr>
      </w:pPr>
    </w:p>
    <w:p w14:paraId="3EB24A2D" w14:textId="77777777" w:rsidR="001829CC" w:rsidRPr="00636781" w:rsidRDefault="001829CC" w:rsidP="00836D96">
      <w:pPr>
        <w:spacing w:after="0"/>
        <w:jc w:val="both"/>
        <w:rPr>
          <w:rFonts w:cs="Calibri"/>
        </w:rPr>
      </w:pPr>
    </w:p>
    <w:p w14:paraId="58D471DE" w14:textId="77777777" w:rsidR="00312B2F" w:rsidRPr="0043045F" w:rsidRDefault="00312B2F" w:rsidP="0088208D">
      <w:pPr>
        <w:pStyle w:val="Nadpis3"/>
        <w:ind w:left="369" w:hanging="369"/>
        <w:jc w:val="left"/>
      </w:pPr>
      <w:r>
        <w:rPr>
          <w:rFonts w:asciiTheme="minorHAnsi" w:hAnsiTheme="minorHAnsi" w:cstheme="minorHAnsi"/>
        </w:rPr>
        <w:lastRenderedPageBreak/>
        <w:t>Vykázání neexistujících dlouhodobých podmíněných pohledávek z předfinancování</w:t>
      </w:r>
      <w:r w:rsidRPr="004E302A">
        <w:rPr>
          <w:rFonts w:asciiTheme="minorHAnsi" w:hAnsiTheme="minorHAnsi" w:cstheme="minorHAnsi"/>
        </w:rPr>
        <w:t xml:space="preserve"> transferů</w:t>
      </w:r>
    </w:p>
    <w:p w14:paraId="69214376" w14:textId="77777777" w:rsidR="00312B2F" w:rsidRDefault="00312B2F" w:rsidP="00312B2F">
      <w:pPr>
        <w:spacing w:after="0"/>
        <w:jc w:val="both"/>
        <w:rPr>
          <w:rFonts w:cs="Calibri"/>
        </w:rPr>
      </w:pPr>
    </w:p>
    <w:p w14:paraId="3C2602B3" w14:textId="068CBD40" w:rsidR="00312B2F" w:rsidRPr="00B8353E" w:rsidRDefault="00312B2F" w:rsidP="00312B2F">
      <w:pPr>
        <w:spacing w:after="0"/>
        <w:jc w:val="both"/>
        <w:rPr>
          <w:rFonts w:cs="Calibri"/>
        </w:rPr>
      </w:pPr>
      <w:r w:rsidRPr="00636781">
        <w:rPr>
          <w:rFonts w:cs="Calibri"/>
          <w:b/>
        </w:rPr>
        <w:t xml:space="preserve">MD </w:t>
      </w:r>
      <w:r w:rsidR="008D71D0">
        <w:rPr>
          <w:rFonts w:cs="Calibri"/>
          <w:b/>
        </w:rPr>
        <w:t>vykázalo</w:t>
      </w:r>
      <w:r w:rsidR="008D71D0" w:rsidRPr="00636781">
        <w:rPr>
          <w:rFonts w:cs="Calibri"/>
          <w:b/>
        </w:rPr>
        <w:t xml:space="preserve"> </w:t>
      </w:r>
      <w:r w:rsidR="00BA0621" w:rsidRPr="00BA0621">
        <w:rPr>
          <w:rFonts w:cs="Calibri"/>
        </w:rPr>
        <w:t xml:space="preserve">prostřednictvím účtu </w:t>
      </w:r>
      <w:r w:rsidR="00BA0621" w:rsidRPr="0088208D">
        <w:rPr>
          <w:rFonts w:asciiTheme="minorHAnsi" w:hAnsiTheme="minorHAnsi" w:cstheme="minorHAnsi"/>
        </w:rPr>
        <w:t>951</w:t>
      </w:r>
      <w:r w:rsidR="00BA0621" w:rsidRPr="00BA0621">
        <w:rPr>
          <w:rFonts w:asciiTheme="minorHAnsi" w:hAnsiTheme="minorHAnsi" w:cstheme="minorHAnsi"/>
          <w:i/>
        </w:rPr>
        <w:t> – Dlouhodobé podmíněné pohledávky z předfinancování transferů</w:t>
      </w:r>
      <w:r w:rsidR="00BA0621" w:rsidRPr="00636781">
        <w:rPr>
          <w:rFonts w:cs="Calibri"/>
          <w:b/>
        </w:rPr>
        <w:t xml:space="preserve"> </w:t>
      </w:r>
      <w:r w:rsidR="00BA0621">
        <w:rPr>
          <w:rFonts w:cs="Calibri"/>
          <w:b/>
        </w:rPr>
        <w:t>neexistující dlouhodob</w:t>
      </w:r>
      <w:r w:rsidR="005F5A30">
        <w:rPr>
          <w:rFonts w:cs="Calibri"/>
          <w:b/>
        </w:rPr>
        <w:t>é</w:t>
      </w:r>
      <w:r w:rsidR="00BA0621">
        <w:rPr>
          <w:rFonts w:cs="Calibri"/>
          <w:b/>
        </w:rPr>
        <w:t xml:space="preserve"> podmíněn</w:t>
      </w:r>
      <w:r w:rsidR="005F5A30">
        <w:rPr>
          <w:rFonts w:cs="Calibri"/>
          <w:b/>
        </w:rPr>
        <w:t>é</w:t>
      </w:r>
      <w:r w:rsidR="00BA0621">
        <w:rPr>
          <w:rFonts w:cs="Calibri"/>
          <w:b/>
        </w:rPr>
        <w:t xml:space="preserve"> pohledávk</w:t>
      </w:r>
      <w:r w:rsidR="005F5A30">
        <w:rPr>
          <w:rFonts w:cs="Calibri"/>
          <w:b/>
        </w:rPr>
        <w:t>y</w:t>
      </w:r>
      <w:r w:rsidR="00BA0621">
        <w:rPr>
          <w:rFonts w:cs="Calibri"/>
          <w:b/>
        </w:rPr>
        <w:t xml:space="preserve"> z předfinancování transferů</w:t>
      </w:r>
      <w:r w:rsidR="00B8353E">
        <w:rPr>
          <w:rFonts w:cs="Calibri"/>
        </w:rPr>
        <w:t xml:space="preserve"> týkající se </w:t>
      </w:r>
      <w:r w:rsidR="006259C2">
        <w:rPr>
          <w:rFonts w:cs="Calibri"/>
        </w:rPr>
        <w:t>o</w:t>
      </w:r>
      <w:r w:rsidR="00F0475A">
        <w:rPr>
          <w:rFonts w:cs="Calibri"/>
        </w:rPr>
        <w:t xml:space="preserve">peračního programu </w:t>
      </w:r>
      <w:r w:rsidR="006259C2" w:rsidRPr="0088208D">
        <w:rPr>
          <w:rFonts w:cs="Calibri"/>
          <w:i/>
        </w:rPr>
        <w:t>D</w:t>
      </w:r>
      <w:r w:rsidR="00F0475A" w:rsidRPr="0088208D">
        <w:rPr>
          <w:rFonts w:cs="Calibri"/>
          <w:i/>
        </w:rPr>
        <w:t>oprava 2014–</w:t>
      </w:r>
      <w:r w:rsidR="00B8353E" w:rsidRPr="0088208D">
        <w:rPr>
          <w:rFonts w:cs="Calibri"/>
          <w:i/>
        </w:rPr>
        <w:t>2020</w:t>
      </w:r>
      <w:r>
        <w:rPr>
          <w:rFonts w:cs="Calibri"/>
        </w:rPr>
        <w:t>.</w:t>
      </w:r>
      <w:r w:rsidR="00B8353E">
        <w:rPr>
          <w:rFonts w:asciiTheme="minorHAnsi" w:hAnsiTheme="minorHAnsi" w:cstheme="minorHAnsi"/>
        </w:rPr>
        <w:t xml:space="preserve"> </w:t>
      </w:r>
    </w:p>
    <w:p w14:paraId="19425809" w14:textId="77777777" w:rsidR="00312B2F" w:rsidRDefault="00312B2F" w:rsidP="00312B2F">
      <w:pPr>
        <w:spacing w:after="0"/>
        <w:jc w:val="both"/>
        <w:rPr>
          <w:rFonts w:cs="Calibri"/>
        </w:rPr>
      </w:pPr>
    </w:p>
    <w:p w14:paraId="2137FDEE" w14:textId="73821C86" w:rsidR="00312B2F" w:rsidRPr="00636781" w:rsidRDefault="00312B2F" w:rsidP="00312B2F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MD tak ve výkazu </w:t>
      </w:r>
      <w:r w:rsidR="00BA0621">
        <w:rPr>
          <w:rFonts w:cs="Calibri"/>
        </w:rPr>
        <w:t>příloha</w:t>
      </w:r>
      <w:r>
        <w:rPr>
          <w:rFonts w:cs="Calibri"/>
        </w:rPr>
        <w:t xml:space="preserve"> </w:t>
      </w:r>
      <w:r w:rsidRPr="00836D96">
        <w:rPr>
          <w:rFonts w:cs="Calibri"/>
        </w:rPr>
        <w:t xml:space="preserve">v údajích za běžné účetní období </w:t>
      </w:r>
      <w:r w:rsidRPr="00636781">
        <w:rPr>
          <w:rFonts w:cs="Calibri"/>
          <w:b/>
        </w:rPr>
        <w:t xml:space="preserve">nadhodnotilo </w:t>
      </w:r>
      <w:r w:rsidR="00183CD7">
        <w:rPr>
          <w:rFonts w:cs="Calibri"/>
          <w:b/>
        </w:rPr>
        <w:br/>
      </w:r>
      <w:r w:rsidRPr="00636781">
        <w:rPr>
          <w:rFonts w:cs="Calibri"/>
          <w:b/>
        </w:rPr>
        <w:t xml:space="preserve">zůstatek účtu </w:t>
      </w:r>
      <w:r w:rsidR="00BA0621" w:rsidRPr="0088208D">
        <w:rPr>
          <w:rFonts w:asciiTheme="minorHAnsi" w:hAnsiTheme="minorHAnsi" w:cstheme="minorHAnsi"/>
          <w:b/>
        </w:rPr>
        <w:t>951</w:t>
      </w:r>
      <w:r w:rsidR="00183CD7">
        <w:rPr>
          <w:rFonts w:asciiTheme="minorHAnsi" w:hAnsiTheme="minorHAnsi" w:cstheme="minorHAnsi"/>
          <w:b/>
        </w:rPr>
        <w:t xml:space="preserve"> </w:t>
      </w:r>
      <w:r w:rsidR="00BA0621" w:rsidRPr="00CB5021">
        <w:rPr>
          <w:rFonts w:asciiTheme="minorHAnsi" w:hAnsiTheme="minorHAnsi" w:cstheme="minorHAnsi"/>
          <w:b/>
          <w:i/>
        </w:rPr>
        <w:t>–</w:t>
      </w:r>
      <w:r w:rsidR="00183CD7">
        <w:rPr>
          <w:rFonts w:asciiTheme="minorHAnsi" w:hAnsiTheme="minorHAnsi" w:cstheme="minorHAnsi"/>
          <w:b/>
          <w:i/>
        </w:rPr>
        <w:t xml:space="preserve"> </w:t>
      </w:r>
      <w:r w:rsidR="00BA0621" w:rsidRPr="004E302A">
        <w:rPr>
          <w:rFonts w:asciiTheme="minorHAnsi" w:hAnsiTheme="minorHAnsi" w:cstheme="minorHAnsi"/>
          <w:b/>
          <w:i/>
        </w:rPr>
        <w:t xml:space="preserve">Dlouhodobé podmíněné pohledávky z předfinancování transferů </w:t>
      </w:r>
      <w:r w:rsidR="00BA0621" w:rsidRPr="004E302A">
        <w:rPr>
          <w:rFonts w:asciiTheme="minorHAnsi" w:hAnsiTheme="minorHAnsi" w:cstheme="minorHAnsi"/>
          <w:b/>
        </w:rPr>
        <w:t>o</w:t>
      </w:r>
      <w:r w:rsidR="00183CD7">
        <w:rPr>
          <w:rFonts w:asciiTheme="minorHAnsi" w:hAnsiTheme="minorHAnsi" w:cstheme="minorHAnsi"/>
          <w:b/>
        </w:rPr>
        <w:t> </w:t>
      </w:r>
      <w:r w:rsidR="00BA0621" w:rsidRPr="004E302A">
        <w:rPr>
          <w:rFonts w:asciiTheme="minorHAnsi" w:hAnsiTheme="minorHAnsi" w:cstheme="minorHAnsi"/>
          <w:b/>
        </w:rPr>
        <w:t>2 407 238 372,92 Kč</w:t>
      </w:r>
      <w:r w:rsidRPr="0088208D">
        <w:rPr>
          <w:rFonts w:cs="Calibri"/>
          <w:b/>
        </w:rPr>
        <w:t>.</w:t>
      </w:r>
    </w:p>
    <w:p w14:paraId="7C1550D3" w14:textId="77777777" w:rsidR="00636781" w:rsidRDefault="00636781" w:rsidP="00836D96">
      <w:pPr>
        <w:spacing w:after="0"/>
        <w:jc w:val="both"/>
        <w:rPr>
          <w:rFonts w:cs="Calibri"/>
        </w:rPr>
      </w:pPr>
    </w:p>
    <w:p w14:paraId="58CAA5CA" w14:textId="77777777" w:rsidR="00BA0621" w:rsidRDefault="00BA0621" w:rsidP="00836D96">
      <w:pPr>
        <w:spacing w:after="0"/>
        <w:jc w:val="both"/>
        <w:rPr>
          <w:rFonts w:cs="Calibri"/>
        </w:rPr>
      </w:pPr>
    </w:p>
    <w:p w14:paraId="71470907" w14:textId="77777777" w:rsidR="00FE5E0D" w:rsidRPr="0043045F" w:rsidRDefault="00FE5E0D" w:rsidP="0088208D">
      <w:pPr>
        <w:pStyle w:val="Nadpis3"/>
        <w:ind w:left="369" w:hanging="369"/>
        <w:jc w:val="left"/>
      </w:pPr>
      <w:r>
        <w:rPr>
          <w:rFonts w:asciiTheme="minorHAnsi" w:hAnsiTheme="minorHAnsi" w:cstheme="minorHAnsi"/>
        </w:rPr>
        <w:t xml:space="preserve">Nesprávné vykázání </w:t>
      </w:r>
      <w:bookmarkStart w:id="7" w:name="_Toc256000057"/>
      <w:bookmarkStart w:id="8" w:name="_Toc256000016"/>
      <w:bookmarkStart w:id="9" w:name="_Toc24381831"/>
      <w:r w:rsidR="00607932" w:rsidRPr="004E302A">
        <w:rPr>
          <w:rFonts w:asciiTheme="minorHAnsi" w:hAnsiTheme="minorHAnsi" w:cstheme="minorHAnsi"/>
        </w:rPr>
        <w:t>poskytnut</w:t>
      </w:r>
      <w:r w:rsidR="00607932">
        <w:rPr>
          <w:rFonts w:asciiTheme="minorHAnsi" w:hAnsiTheme="minorHAnsi" w:cstheme="minorHAnsi"/>
        </w:rPr>
        <w:t>í</w:t>
      </w:r>
      <w:r w:rsidR="00607932" w:rsidRPr="004E302A">
        <w:rPr>
          <w:rFonts w:asciiTheme="minorHAnsi" w:hAnsiTheme="minorHAnsi" w:cstheme="minorHAnsi"/>
        </w:rPr>
        <w:t xml:space="preserve"> </w:t>
      </w:r>
      <w:r w:rsidR="00607932">
        <w:rPr>
          <w:rFonts w:asciiTheme="minorHAnsi" w:hAnsiTheme="minorHAnsi" w:cstheme="minorHAnsi"/>
        </w:rPr>
        <w:t xml:space="preserve">peněžních prostředků </w:t>
      </w:r>
      <w:r w:rsidR="00607932" w:rsidRPr="004E302A">
        <w:rPr>
          <w:rFonts w:asciiTheme="minorHAnsi" w:hAnsiTheme="minorHAnsi" w:cstheme="minorHAnsi"/>
        </w:rPr>
        <w:t>zřízeným příspěvkovým organizacím na pořízení dlouhodobého majetku</w:t>
      </w:r>
      <w:bookmarkEnd w:id="7"/>
      <w:bookmarkEnd w:id="8"/>
      <w:bookmarkEnd w:id="9"/>
    </w:p>
    <w:p w14:paraId="4D3238CB" w14:textId="77777777" w:rsidR="00FE5E0D" w:rsidRDefault="00FE5E0D" w:rsidP="00FE5E0D">
      <w:pPr>
        <w:spacing w:after="0"/>
        <w:jc w:val="both"/>
        <w:rPr>
          <w:rFonts w:cs="Calibri"/>
        </w:rPr>
      </w:pPr>
    </w:p>
    <w:p w14:paraId="1AB9A947" w14:textId="41B4EEAD" w:rsidR="00FE5E0D" w:rsidRDefault="00FE5E0D" w:rsidP="00FE5E0D">
      <w:pPr>
        <w:spacing w:after="0"/>
        <w:jc w:val="both"/>
        <w:rPr>
          <w:rFonts w:cs="Calibri"/>
        </w:rPr>
      </w:pPr>
      <w:r w:rsidRPr="00636781">
        <w:rPr>
          <w:rFonts w:cs="Calibri"/>
          <w:b/>
        </w:rPr>
        <w:t xml:space="preserve">MD účtovalo o </w:t>
      </w:r>
      <w:r w:rsidR="00607932" w:rsidRPr="004E302A">
        <w:rPr>
          <w:rFonts w:asciiTheme="minorHAnsi" w:hAnsiTheme="minorHAnsi" w:cstheme="minorHAnsi"/>
          <w:b/>
        </w:rPr>
        <w:t>peněžních prostředcích poskytnutých zřízeným příspěvkovým organizacím na poříz</w:t>
      </w:r>
      <w:r w:rsidR="00607932">
        <w:rPr>
          <w:rFonts w:asciiTheme="minorHAnsi" w:hAnsiTheme="minorHAnsi" w:cstheme="minorHAnsi"/>
          <w:b/>
        </w:rPr>
        <w:t xml:space="preserve">ení dlouhodobého majetku </w:t>
      </w:r>
      <w:r w:rsidR="00607932" w:rsidRPr="0046051F">
        <w:rPr>
          <w:rFonts w:cs="Calibri"/>
        </w:rPr>
        <w:t xml:space="preserve">prostřednictvím účtu </w:t>
      </w:r>
      <w:r w:rsidR="00607932" w:rsidRPr="0088208D">
        <w:rPr>
          <w:rFonts w:asciiTheme="minorHAnsi" w:hAnsiTheme="minorHAnsi" w:cstheme="minorHAnsi"/>
        </w:rPr>
        <w:t>571</w:t>
      </w:r>
      <w:r w:rsidR="00607932">
        <w:rPr>
          <w:rFonts w:asciiTheme="minorHAnsi" w:hAnsiTheme="minorHAnsi" w:cstheme="minorHAnsi"/>
          <w:i/>
        </w:rPr>
        <w:t> </w:t>
      </w:r>
      <w:r w:rsidR="00607932" w:rsidRPr="00607932">
        <w:rPr>
          <w:rFonts w:asciiTheme="minorHAnsi" w:hAnsiTheme="minorHAnsi" w:cstheme="minorHAnsi"/>
          <w:i/>
        </w:rPr>
        <w:t>–</w:t>
      </w:r>
      <w:r w:rsidR="00607932">
        <w:rPr>
          <w:rFonts w:asciiTheme="minorHAnsi" w:hAnsiTheme="minorHAnsi" w:cstheme="minorHAnsi"/>
          <w:i/>
        </w:rPr>
        <w:t> </w:t>
      </w:r>
      <w:r w:rsidR="00607932" w:rsidRPr="00607932">
        <w:rPr>
          <w:rFonts w:asciiTheme="minorHAnsi" w:hAnsiTheme="minorHAnsi" w:cstheme="minorHAnsi"/>
          <w:i/>
        </w:rPr>
        <w:t>Náklady vybraných ústředních vládních institucí na transfery</w:t>
      </w:r>
      <w:r w:rsidR="00607932">
        <w:rPr>
          <w:rFonts w:cs="Calibri"/>
        </w:rPr>
        <w:t xml:space="preserve"> </w:t>
      </w:r>
      <w:r w:rsidR="00607932">
        <w:rPr>
          <w:rFonts w:asciiTheme="minorHAnsi" w:hAnsiTheme="minorHAnsi" w:cstheme="minorHAnsi"/>
          <w:b/>
        </w:rPr>
        <w:t>jako o</w:t>
      </w:r>
      <w:r w:rsidR="00FE5AB5">
        <w:rPr>
          <w:rFonts w:asciiTheme="minorHAnsi" w:hAnsiTheme="minorHAnsi" w:cstheme="minorHAnsi"/>
          <w:b/>
        </w:rPr>
        <w:t xml:space="preserve"> </w:t>
      </w:r>
      <w:r w:rsidR="00607932" w:rsidRPr="004E302A">
        <w:rPr>
          <w:rFonts w:asciiTheme="minorHAnsi" w:hAnsiTheme="minorHAnsi" w:cstheme="minorHAnsi"/>
          <w:b/>
        </w:rPr>
        <w:t xml:space="preserve">poskytnutém </w:t>
      </w:r>
      <w:r w:rsidR="00607932" w:rsidRPr="001D5FF7">
        <w:rPr>
          <w:rFonts w:asciiTheme="minorHAnsi" w:hAnsiTheme="minorHAnsi" w:cstheme="minorHAnsi"/>
          <w:b/>
        </w:rPr>
        <w:t>transferu</w:t>
      </w:r>
      <w:r w:rsidRPr="001D5FF7">
        <w:rPr>
          <w:rFonts w:cs="Calibri"/>
          <w:b/>
        </w:rPr>
        <w:t>, přestože</w:t>
      </w:r>
      <w:r>
        <w:rPr>
          <w:rFonts w:cs="Calibri"/>
        </w:rPr>
        <w:t xml:space="preserve"> o této skutečnosti </w:t>
      </w:r>
      <w:r w:rsidRPr="00636781">
        <w:rPr>
          <w:rFonts w:cs="Calibri"/>
          <w:b/>
        </w:rPr>
        <w:t xml:space="preserve">mělo účtovat </w:t>
      </w:r>
      <w:r w:rsidR="00454FA2">
        <w:rPr>
          <w:rFonts w:cs="Calibri"/>
          <w:b/>
        </w:rPr>
        <w:t xml:space="preserve">jako </w:t>
      </w:r>
      <w:r w:rsidRPr="00636781">
        <w:rPr>
          <w:rFonts w:cs="Calibri"/>
          <w:b/>
        </w:rPr>
        <w:t xml:space="preserve">o </w:t>
      </w:r>
      <w:r w:rsidR="00607932">
        <w:rPr>
          <w:rFonts w:cs="Calibri"/>
          <w:b/>
        </w:rPr>
        <w:t xml:space="preserve">snížení </w:t>
      </w:r>
      <w:r w:rsidR="001D5FF7">
        <w:rPr>
          <w:rFonts w:cs="Calibri"/>
          <w:b/>
        </w:rPr>
        <w:t>vlastního kapitálu</w:t>
      </w:r>
      <w:r w:rsidRPr="0088208D">
        <w:rPr>
          <w:rFonts w:cs="Calibri"/>
          <w:b/>
        </w:rPr>
        <w:t>.</w:t>
      </w:r>
    </w:p>
    <w:p w14:paraId="5F9FC0FD" w14:textId="77777777" w:rsidR="00FE5E0D" w:rsidRDefault="00FE5E0D" w:rsidP="00FE5E0D">
      <w:pPr>
        <w:spacing w:after="0"/>
        <w:jc w:val="both"/>
        <w:rPr>
          <w:rFonts w:cs="Calibri"/>
        </w:rPr>
      </w:pPr>
    </w:p>
    <w:p w14:paraId="0EBB8C98" w14:textId="31655E54" w:rsidR="00FE5E0D" w:rsidRPr="00636781" w:rsidRDefault="00607932" w:rsidP="00FE5E0D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V důsledku této skutečnosti </w:t>
      </w:r>
      <w:r w:rsidR="00FE5E0D">
        <w:rPr>
          <w:rFonts w:cs="Calibri"/>
        </w:rPr>
        <w:t xml:space="preserve">MD ve výkazu zisku a ztráty </w:t>
      </w:r>
      <w:r w:rsidR="00FE5E0D" w:rsidRPr="00836D96">
        <w:rPr>
          <w:rFonts w:cs="Calibri"/>
        </w:rPr>
        <w:t xml:space="preserve">v údajích za běžné účetní období </w:t>
      </w:r>
      <w:r>
        <w:rPr>
          <w:rFonts w:cs="Calibri"/>
          <w:b/>
        </w:rPr>
        <w:t>na</w:t>
      </w:r>
      <w:r w:rsidR="00FE5E0D" w:rsidRPr="00636781">
        <w:rPr>
          <w:rFonts w:cs="Calibri"/>
          <w:b/>
        </w:rPr>
        <w:t xml:space="preserve">dhodnotilo zůstatek </w:t>
      </w:r>
      <w:r w:rsidR="00FE5E0D" w:rsidRPr="00607932">
        <w:rPr>
          <w:rFonts w:cs="Calibri"/>
          <w:b/>
        </w:rPr>
        <w:t xml:space="preserve">účtu </w:t>
      </w:r>
      <w:r w:rsidRPr="0088208D">
        <w:rPr>
          <w:rFonts w:asciiTheme="minorHAnsi" w:hAnsiTheme="minorHAnsi" w:cstheme="minorHAnsi"/>
          <w:b/>
        </w:rPr>
        <w:t>571</w:t>
      </w:r>
      <w:r w:rsidRPr="00607932">
        <w:rPr>
          <w:rFonts w:asciiTheme="minorHAnsi" w:hAnsiTheme="minorHAnsi" w:cstheme="minorHAnsi"/>
          <w:b/>
          <w:i/>
        </w:rPr>
        <w:t xml:space="preserve"> – Náklady vybraných ústředních </w:t>
      </w:r>
      <w:r w:rsidR="00570B41">
        <w:rPr>
          <w:rFonts w:asciiTheme="minorHAnsi" w:hAnsiTheme="minorHAnsi" w:cstheme="minorHAnsi"/>
          <w:b/>
          <w:i/>
        </w:rPr>
        <w:t>vládních institucí na</w:t>
      </w:r>
      <w:r w:rsidR="00FE5AB5">
        <w:rPr>
          <w:rFonts w:asciiTheme="minorHAnsi" w:hAnsiTheme="minorHAnsi" w:cstheme="minorHAnsi"/>
          <w:b/>
          <w:i/>
        </w:rPr>
        <w:t xml:space="preserve"> </w:t>
      </w:r>
      <w:r w:rsidRPr="00607932">
        <w:rPr>
          <w:rFonts w:asciiTheme="minorHAnsi" w:hAnsiTheme="minorHAnsi" w:cstheme="minorHAnsi"/>
          <w:b/>
          <w:i/>
        </w:rPr>
        <w:t>transfery</w:t>
      </w:r>
      <w:r w:rsidRPr="00607932">
        <w:rPr>
          <w:rFonts w:cs="Calibri"/>
          <w:b/>
        </w:rPr>
        <w:t xml:space="preserve"> </w:t>
      </w:r>
      <w:r w:rsidR="00FE5E0D" w:rsidRPr="00607932">
        <w:rPr>
          <w:rFonts w:cs="Calibri"/>
          <w:b/>
        </w:rPr>
        <w:t xml:space="preserve">o </w:t>
      </w:r>
      <w:r w:rsidRPr="004E302A">
        <w:rPr>
          <w:rFonts w:asciiTheme="minorHAnsi" w:hAnsiTheme="minorHAnsi" w:cstheme="minorHAnsi"/>
          <w:b/>
        </w:rPr>
        <w:t xml:space="preserve">58 081 510,97 Kč </w:t>
      </w:r>
      <w:r w:rsidR="00FE5E0D" w:rsidRPr="00636781">
        <w:rPr>
          <w:rFonts w:cs="Calibri"/>
          <w:b/>
        </w:rPr>
        <w:t xml:space="preserve">a o stejnou částku </w:t>
      </w:r>
      <w:r>
        <w:rPr>
          <w:rFonts w:cs="Calibri"/>
        </w:rPr>
        <w:t xml:space="preserve">ve výkazu rozvaha </w:t>
      </w:r>
      <w:r w:rsidRPr="00836D96">
        <w:rPr>
          <w:rFonts w:cs="Calibri"/>
        </w:rPr>
        <w:t xml:space="preserve">v údajích za běžné účetní období </w:t>
      </w:r>
      <w:r w:rsidR="00FE5E0D" w:rsidRPr="00636781">
        <w:rPr>
          <w:rFonts w:cs="Calibri"/>
          <w:b/>
        </w:rPr>
        <w:t xml:space="preserve">nadhodnotilo zůstatek účtu </w:t>
      </w:r>
      <w:r w:rsidRPr="0088208D">
        <w:rPr>
          <w:rFonts w:asciiTheme="minorHAnsi" w:hAnsiTheme="minorHAnsi" w:cstheme="minorHAnsi"/>
          <w:b/>
        </w:rPr>
        <w:t>401</w:t>
      </w:r>
      <w:r>
        <w:rPr>
          <w:rFonts w:asciiTheme="minorHAnsi" w:hAnsiTheme="minorHAnsi" w:cstheme="minorHAnsi"/>
          <w:b/>
          <w:i/>
        </w:rPr>
        <w:t> </w:t>
      </w:r>
      <w:r w:rsidRPr="00CB5021">
        <w:rPr>
          <w:rFonts w:asciiTheme="minorHAnsi" w:hAnsiTheme="minorHAnsi" w:cstheme="minorHAnsi"/>
          <w:b/>
          <w:i/>
        </w:rPr>
        <w:t>–</w:t>
      </w:r>
      <w:r>
        <w:rPr>
          <w:rFonts w:asciiTheme="minorHAnsi" w:hAnsiTheme="minorHAnsi" w:cstheme="minorHAnsi"/>
          <w:b/>
          <w:i/>
        </w:rPr>
        <w:t> </w:t>
      </w:r>
      <w:r w:rsidRPr="005600B9">
        <w:rPr>
          <w:rFonts w:asciiTheme="minorHAnsi" w:hAnsiTheme="minorHAnsi" w:cstheme="minorHAnsi"/>
          <w:b/>
          <w:i/>
        </w:rPr>
        <w:t>Jmění</w:t>
      </w:r>
      <w:r w:rsidRPr="004E302A">
        <w:rPr>
          <w:rFonts w:asciiTheme="minorHAnsi" w:hAnsiTheme="minorHAnsi" w:cstheme="minorHAnsi"/>
          <w:b/>
          <w:i/>
        </w:rPr>
        <w:t xml:space="preserve"> účetní jednotky</w:t>
      </w:r>
      <w:r w:rsidR="00FE5E0D" w:rsidRPr="0088208D">
        <w:rPr>
          <w:rFonts w:cs="Calibri"/>
          <w:b/>
        </w:rPr>
        <w:t>.</w:t>
      </w:r>
    </w:p>
    <w:p w14:paraId="4C0D5F29" w14:textId="77777777" w:rsidR="00BA0621" w:rsidRDefault="00BA0621" w:rsidP="00836D96">
      <w:pPr>
        <w:spacing w:after="0"/>
        <w:jc w:val="both"/>
        <w:rPr>
          <w:rFonts w:cs="Calibri"/>
        </w:rPr>
      </w:pPr>
    </w:p>
    <w:p w14:paraId="38088DB9" w14:textId="77777777" w:rsidR="001D5FF7" w:rsidRDefault="001D5FF7" w:rsidP="00836D96">
      <w:pPr>
        <w:spacing w:after="0"/>
        <w:jc w:val="both"/>
        <w:rPr>
          <w:rFonts w:cs="Calibri"/>
        </w:rPr>
      </w:pPr>
    </w:p>
    <w:p w14:paraId="3B31C647" w14:textId="77777777" w:rsidR="001D5FF7" w:rsidRPr="0043045F" w:rsidRDefault="001D5FF7" w:rsidP="0088208D">
      <w:pPr>
        <w:pStyle w:val="Nadpis3"/>
        <w:ind w:left="369" w:hanging="369"/>
      </w:pPr>
      <w:r>
        <w:rPr>
          <w:rFonts w:asciiTheme="minorHAnsi" w:hAnsiTheme="minorHAnsi" w:cstheme="minorHAnsi"/>
        </w:rPr>
        <w:t>Nepřecenění závazků a pohledávek vyjádřených v cizí měně na českou měnu</w:t>
      </w:r>
    </w:p>
    <w:p w14:paraId="7F9063FC" w14:textId="77777777" w:rsidR="001D5FF7" w:rsidRDefault="001D5FF7" w:rsidP="001D5FF7">
      <w:pPr>
        <w:spacing w:after="0"/>
        <w:jc w:val="both"/>
        <w:rPr>
          <w:rFonts w:cs="Calibri"/>
        </w:rPr>
      </w:pPr>
    </w:p>
    <w:p w14:paraId="6158C4B7" w14:textId="1498EABE" w:rsidR="001D5FF7" w:rsidRDefault="00B8353E" w:rsidP="001D5FF7">
      <w:pPr>
        <w:spacing w:after="0"/>
        <w:jc w:val="both"/>
        <w:rPr>
          <w:rFonts w:cs="Calibri"/>
        </w:rPr>
      </w:pPr>
      <w:r w:rsidRPr="004E302A">
        <w:rPr>
          <w:rFonts w:asciiTheme="minorHAnsi" w:hAnsiTheme="minorHAnsi" w:cstheme="minorHAnsi"/>
          <w:bCs/>
          <w:iCs/>
        </w:rPr>
        <w:t xml:space="preserve">MD </w:t>
      </w:r>
      <w:r>
        <w:rPr>
          <w:rFonts w:asciiTheme="minorHAnsi" w:hAnsiTheme="minorHAnsi" w:cstheme="minorHAnsi"/>
          <w:bCs/>
          <w:iCs/>
        </w:rPr>
        <w:t xml:space="preserve">přijímalo v letech 2017 a 2018 na </w:t>
      </w:r>
      <w:r w:rsidRPr="00715166">
        <w:rPr>
          <w:rFonts w:asciiTheme="minorHAnsi" w:hAnsiTheme="minorHAnsi" w:cstheme="minorHAnsi"/>
          <w:bCs/>
          <w:iCs/>
        </w:rPr>
        <w:t>příjmový účet státního rozpočtu</w:t>
      </w:r>
      <w:r>
        <w:rPr>
          <w:rFonts w:asciiTheme="minorHAnsi" w:hAnsiTheme="minorHAnsi" w:cstheme="minorHAnsi"/>
          <w:bCs/>
          <w:iCs/>
        </w:rPr>
        <w:t xml:space="preserve"> </w:t>
      </w:r>
      <w:r w:rsidRPr="004E302A">
        <w:rPr>
          <w:rFonts w:asciiTheme="minorHAnsi" w:hAnsiTheme="minorHAnsi" w:cstheme="minorHAnsi"/>
          <w:bCs/>
          <w:iCs/>
        </w:rPr>
        <w:t xml:space="preserve">z rozpočtu EU peněžní prostředky </w:t>
      </w:r>
      <w:r w:rsidRPr="0088208D">
        <w:rPr>
          <w:rFonts w:asciiTheme="minorHAnsi" w:hAnsiTheme="minorHAnsi" w:cstheme="minorHAnsi"/>
          <w:i/>
        </w:rPr>
        <w:t>Nástroje pro propojení Evropy</w:t>
      </w:r>
      <w:r w:rsidRPr="004E302A">
        <w:rPr>
          <w:rFonts w:asciiTheme="minorHAnsi" w:hAnsiTheme="minorHAnsi" w:cstheme="minorHAnsi"/>
        </w:rPr>
        <w:t xml:space="preserve">, které </w:t>
      </w:r>
      <w:r>
        <w:rPr>
          <w:rFonts w:asciiTheme="minorHAnsi" w:hAnsiTheme="minorHAnsi" w:cstheme="minorHAnsi"/>
        </w:rPr>
        <w:t xml:space="preserve">v roce 2018 </w:t>
      </w:r>
      <w:r w:rsidRPr="004E302A">
        <w:rPr>
          <w:rFonts w:asciiTheme="minorHAnsi" w:hAnsiTheme="minorHAnsi" w:cstheme="minorHAnsi"/>
        </w:rPr>
        <w:t>prostřednictvím S</w:t>
      </w:r>
      <w:r>
        <w:rPr>
          <w:rFonts w:asciiTheme="minorHAnsi" w:hAnsiTheme="minorHAnsi" w:cstheme="minorHAnsi"/>
        </w:rPr>
        <w:t xml:space="preserve">tátního fondu dopravní infrastruktury </w:t>
      </w:r>
      <w:r w:rsidRPr="004E302A">
        <w:rPr>
          <w:rFonts w:asciiTheme="minorHAnsi" w:hAnsiTheme="minorHAnsi" w:cstheme="minorHAnsi"/>
        </w:rPr>
        <w:t>poskytovalo konečným příjemcům.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vropská komise</w:t>
      </w:r>
      <w:r w:rsidRPr="004E302A">
        <w:rPr>
          <w:rFonts w:asciiTheme="minorHAnsi" w:hAnsiTheme="minorHAnsi" w:cstheme="minorHAnsi"/>
        </w:rPr>
        <w:t xml:space="preserve"> </w:t>
      </w:r>
      <w:r w:rsidR="007E4C47">
        <w:rPr>
          <w:rFonts w:asciiTheme="minorHAnsi" w:hAnsiTheme="minorHAnsi" w:cstheme="minorHAnsi"/>
        </w:rPr>
        <w:t>poskytuje</w:t>
      </w:r>
      <w:r w:rsidR="007E4C47" w:rsidRPr="004E30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tyto </w:t>
      </w:r>
      <w:r w:rsidRPr="004E302A">
        <w:rPr>
          <w:rFonts w:asciiTheme="minorHAnsi" w:hAnsiTheme="minorHAnsi" w:cstheme="minorHAnsi"/>
        </w:rPr>
        <w:t>peněžní prostředky v</w:t>
      </w:r>
      <w:r w:rsidR="0021486C">
        <w:rPr>
          <w:rFonts w:asciiTheme="minorHAnsi" w:hAnsiTheme="minorHAnsi" w:cstheme="minorHAnsi"/>
        </w:rPr>
        <w:t> </w:t>
      </w:r>
      <w:r w:rsidR="00243561">
        <w:rPr>
          <w:rFonts w:asciiTheme="minorHAnsi" w:hAnsiTheme="minorHAnsi" w:cstheme="minorHAnsi"/>
        </w:rPr>
        <w:t>eurech</w:t>
      </w:r>
      <w:r w:rsidR="0021486C">
        <w:rPr>
          <w:rFonts w:asciiTheme="minorHAnsi" w:hAnsiTheme="minorHAnsi" w:cstheme="minorHAnsi"/>
        </w:rPr>
        <w:t>,</w:t>
      </w:r>
      <w:r w:rsidRPr="004E30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MD </w:t>
      </w:r>
      <w:r w:rsidR="0021486C">
        <w:rPr>
          <w:rFonts w:asciiTheme="minorHAnsi" w:hAnsiTheme="minorHAnsi" w:cstheme="minorHAnsi"/>
          <w:bCs/>
          <w:iCs/>
        </w:rPr>
        <w:t>proto</w:t>
      </w:r>
      <w:r>
        <w:rPr>
          <w:rFonts w:asciiTheme="minorHAnsi" w:hAnsiTheme="minorHAnsi" w:cstheme="minorHAnsi"/>
          <w:bCs/>
          <w:iCs/>
        </w:rPr>
        <w:t xml:space="preserve"> mělo související záv</w:t>
      </w:r>
      <w:r w:rsidR="00570B41">
        <w:rPr>
          <w:rFonts w:asciiTheme="minorHAnsi" w:hAnsiTheme="minorHAnsi" w:cstheme="minorHAnsi"/>
          <w:bCs/>
          <w:iCs/>
        </w:rPr>
        <w:t>azky a pohledávky přepočítat na</w:t>
      </w:r>
      <w:r w:rsidR="00FF1F3B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>česk</w:t>
      </w:r>
      <w:r w:rsidR="003D632E">
        <w:rPr>
          <w:rFonts w:asciiTheme="minorHAnsi" w:hAnsiTheme="minorHAnsi" w:cstheme="minorHAnsi"/>
          <w:bCs/>
          <w:iCs/>
        </w:rPr>
        <w:t>o</w:t>
      </w:r>
      <w:r>
        <w:rPr>
          <w:rFonts w:asciiTheme="minorHAnsi" w:hAnsiTheme="minorHAnsi" w:cstheme="minorHAnsi"/>
          <w:bCs/>
          <w:iCs/>
        </w:rPr>
        <w:t>u měnu</w:t>
      </w:r>
      <w:r w:rsidR="0056529B">
        <w:rPr>
          <w:rFonts w:asciiTheme="minorHAnsi" w:hAnsiTheme="minorHAnsi" w:cstheme="minorHAnsi"/>
          <w:bCs/>
          <w:iCs/>
        </w:rPr>
        <w:t xml:space="preserve"> v souladu s </w:t>
      </w:r>
      <w:r w:rsidR="00715166">
        <w:rPr>
          <w:rFonts w:asciiTheme="minorHAnsi" w:hAnsiTheme="minorHAnsi" w:cstheme="minorHAnsi"/>
          <w:bCs/>
          <w:iCs/>
        </w:rPr>
        <w:t xml:space="preserve">právními </w:t>
      </w:r>
      <w:r w:rsidR="0056529B">
        <w:rPr>
          <w:rFonts w:asciiTheme="minorHAnsi" w:hAnsiTheme="minorHAnsi" w:cstheme="minorHAnsi"/>
          <w:bCs/>
          <w:iCs/>
        </w:rPr>
        <w:t>předpisy</w:t>
      </w:r>
      <w:r w:rsidRPr="00B8353E">
        <w:rPr>
          <w:rFonts w:asciiTheme="minorHAnsi" w:hAnsiTheme="minorHAnsi" w:cstheme="minorHAnsi"/>
          <w:bCs/>
          <w:iCs/>
        </w:rPr>
        <w:t xml:space="preserve">. </w:t>
      </w:r>
      <w:r w:rsidR="001D5FF7">
        <w:rPr>
          <w:rFonts w:asciiTheme="minorHAnsi" w:hAnsiTheme="minorHAnsi" w:cstheme="minorHAnsi"/>
          <w:b/>
          <w:bCs/>
          <w:iCs/>
        </w:rPr>
        <w:t xml:space="preserve">MD </w:t>
      </w:r>
      <w:r w:rsidR="00287073">
        <w:rPr>
          <w:rFonts w:asciiTheme="minorHAnsi" w:hAnsiTheme="minorHAnsi" w:cstheme="minorHAnsi"/>
          <w:b/>
          <w:bCs/>
          <w:iCs/>
        </w:rPr>
        <w:t xml:space="preserve">však </w:t>
      </w:r>
      <w:r>
        <w:rPr>
          <w:rFonts w:asciiTheme="minorHAnsi" w:hAnsiTheme="minorHAnsi" w:cstheme="minorHAnsi"/>
          <w:b/>
          <w:bCs/>
          <w:iCs/>
        </w:rPr>
        <w:t xml:space="preserve">uvedené </w:t>
      </w:r>
      <w:r w:rsidR="001D5FF7" w:rsidRPr="004E302A">
        <w:rPr>
          <w:rFonts w:asciiTheme="minorHAnsi" w:hAnsiTheme="minorHAnsi" w:cstheme="minorHAnsi"/>
          <w:b/>
          <w:bCs/>
          <w:iCs/>
        </w:rPr>
        <w:t xml:space="preserve">závazky a pohledávky </w:t>
      </w:r>
      <w:r w:rsidR="001D5FF7">
        <w:rPr>
          <w:rFonts w:asciiTheme="minorHAnsi" w:hAnsiTheme="minorHAnsi" w:cstheme="minorHAnsi"/>
          <w:b/>
          <w:bCs/>
          <w:iCs/>
        </w:rPr>
        <w:t xml:space="preserve">vyjádřené </w:t>
      </w:r>
      <w:r w:rsidR="001D5FF7" w:rsidRPr="004E302A">
        <w:rPr>
          <w:rFonts w:asciiTheme="minorHAnsi" w:hAnsiTheme="minorHAnsi" w:cstheme="minorHAnsi"/>
          <w:b/>
          <w:bCs/>
          <w:iCs/>
        </w:rPr>
        <w:t xml:space="preserve">v cizí měně </w:t>
      </w:r>
      <w:r w:rsidR="00893F34">
        <w:rPr>
          <w:rFonts w:asciiTheme="minorHAnsi" w:hAnsiTheme="minorHAnsi" w:cstheme="minorHAnsi"/>
          <w:b/>
          <w:bCs/>
          <w:iCs/>
        </w:rPr>
        <w:t xml:space="preserve">nepřecenilo </w:t>
      </w:r>
      <w:r w:rsidR="00287073">
        <w:rPr>
          <w:rFonts w:asciiTheme="minorHAnsi" w:hAnsiTheme="minorHAnsi" w:cstheme="minorHAnsi"/>
          <w:b/>
          <w:bCs/>
          <w:iCs/>
        </w:rPr>
        <w:t xml:space="preserve">při jejich vzniku </w:t>
      </w:r>
      <w:r w:rsidR="001D5FF7">
        <w:rPr>
          <w:rFonts w:asciiTheme="minorHAnsi" w:hAnsiTheme="minorHAnsi" w:cstheme="minorHAnsi"/>
          <w:b/>
          <w:bCs/>
          <w:iCs/>
        </w:rPr>
        <w:t xml:space="preserve">na českou měnu </w:t>
      </w:r>
      <w:r w:rsidR="00893F34">
        <w:rPr>
          <w:rFonts w:asciiTheme="minorHAnsi" w:hAnsiTheme="minorHAnsi" w:cstheme="minorHAnsi"/>
          <w:b/>
          <w:bCs/>
          <w:iCs/>
        </w:rPr>
        <w:t>správným kurzem a</w:t>
      </w:r>
      <w:r w:rsidR="0021486C">
        <w:rPr>
          <w:rFonts w:asciiTheme="minorHAnsi" w:hAnsiTheme="minorHAnsi" w:cstheme="minorHAnsi"/>
          <w:b/>
          <w:bCs/>
          <w:iCs/>
        </w:rPr>
        <w:t> </w:t>
      </w:r>
      <w:r w:rsidR="00893F34">
        <w:rPr>
          <w:rFonts w:asciiTheme="minorHAnsi" w:hAnsiTheme="minorHAnsi" w:cstheme="minorHAnsi"/>
          <w:b/>
          <w:bCs/>
          <w:iCs/>
        </w:rPr>
        <w:t xml:space="preserve">k rozvahovému dni </w:t>
      </w:r>
      <w:r w:rsidR="00287073">
        <w:rPr>
          <w:rFonts w:asciiTheme="minorHAnsi" w:hAnsiTheme="minorHAnsi" w:cstheme="minorHAnsi"/>
          <w:b/>
          <w:bCs/>
          <w:iCs/>
        </w:rPr>
        <w:t xml:space="preserve">navíc </w:t>
      </w:r>
      <w:r w:rsidR="00893F34">
        <w:rPr>
          <w:rFonts w:asciiTheme="minorHAnsi" w:hAnsiTheme="minorHAnsi" w:cstheme="minorHAnsi"/>
          <w:b/>
          <w:bCs/>
          <w:iCs/>
        </w:rPr>
        <w:t>neprovedlo jejich přecenění</w:t>
      </w:r>
      <w:r w:rsidR="00287073">
        <w:rPr>
          <w:rFonts w:asciiTheme="minorHAnsi" w:hAnsiTheme="minorHAnsi" w:cstheme="minorHAnsi"/>
          <w:b/>
          <w:bCs/>
          <w:iCs/>
        </w:rPr>
        <w:t xml:space="preserve"> kurzem k 31. 12. 2018</w:t>
      </w:r>
      <w:r w:rsidR="00893F34">
        <w:rPr>
          <w:rFonts w:asciiTheme="minorHAnsi" w:hAnsiTheme="minorHAnsi" w:cstheme="minorHAnsi"/>
          <w:b/>
          <w:bCs/>
          <w:iCs/>
        </w:rPr>
        <w:t xml:space="preserve"> </w:t>
      </w:r>
      <w:r w:rsidR="001D5FF7" w:rsidRPr="001D5FF7">
        <w:rPr>
          <w:rFonts w:asciiTheme="minorHAnsi" w:hAnsiTheme="minorHAnsi" w:cstheme="minorHAnsi"/>
          <w:bCs/>
          <w:iCs/>
        </w:rPr>
        <w:t>a</w:t>
      </w:r>
      <w:r w:rsidR="00287073">
        <w:rPr>
          <w:rFonts w:asciiTheme="minorHAnsi" w:hAnsiTheme="minorHAnsi" w:cstheme="minorHAnsi"/>
          <w:bCs/>
          <w:iCs/>
        </w:rPr>
        <w:t xml:space="preserve"> </w:t>
      </w:r>
      <w:r w:rsidR="001D5FF7" w:rsidRPr="001D5FF7">
        <w:rPr>
          <w:rFonts w:asciiTheme="minorHAnsi" w:hAnsiTheme="minorHAnsi" w:cstheme="minorHAnsi"/>
          <w:bCs/>
          <w:iCs/>
        </w:rPr>
        <w:t xml:space="preserve">neúčtovalo </w:t>
      </w:r>
      <w:r w:rsidR="00287073">
        <w:rPr>
          <w:rFonts w:asciiTheme="minorHAnsi" w:hAnsiTheme="minorHAnsi" w:cstheme="minorHAnsi"/>
          <w:bCs/>
          <w:iCs/>
        </w:rPr>
        <w:t xml:space="preserve">tak </w:t>
      </w:r>
      <w:r w:rsidR="001D5FF7" w:rsidRPr="001D5FF7">
        <w:rPr>
          <w:rFonts w:asciiTheme="minorHAnsi" w:hAnsiTheme="minorHAnsi" w:cstheme="minorHAnsi"/>
          <w:bCs/>
          <w:iCs/>
        </w:rPr>
        <w:t xml:space="preserve">o </w:t>
      </w:r>
      <w:r w:rsidR="00454FA2">
        <w:rPr>
          <w:rFonts w:asciiTheme="minorHAnsi" w:hAnsiTheme="minorHAnsi" w:cstheme="minorHAnsi"/>
          <w:bCs/>
          <w:iCs/>
        </w:rPr>
        <w:t xml:space="preserve">vzniklých </w:t>
      </w:r>
      <w:r w:rsidR="001D5FF7" w:rsidRPr="001D5FF7">
        <w:rPr>
          <w:rFonts w:asciiTheme="minorHAnsi" w:hAnsiTheme="minorHAnsi" w:cstheme="minorHAnsi"/>
          <w:bCs/>
          <w:iCs/>
        </w:rPr>
        <w:t>kurzových rozdílech</w:t>
      </w:r>
      <w:r w:rsidR="001D5FF7">
        <w:rPr>
          <w:rFonts w:cs="Calibri"/>
        </w:rPr>
        <w:t>.</w:t>
      </w:r>
    </w:p>
    <w:p w14:paraId="257F7839" w14:textId="77777777" w:rsidR="001D5FF7" w:rsidRDefault="001D5FF7" w:rsidP="001D5FF7">
      <w:pPr>
        <w:spacing w:after="0"/>
        <w:jc w:val="both"/>
        <w:rPr>
          <w:rFonts w:cs="Calibri"/>
        </w:rPr>
      </w:pPr>
    </w:p>
    <w:p w14:paraId="2633F115" w14:textId="77777777" w:rsidR="001D5FF7" w:rsidRPr="00636781" w:rsidRDefault="001D5FF7" w:rsidP="001D5FF7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MD tak ve výkazu rozvaha </w:t>
      </w:r>
      <w:r w:rsidRPr="00836D96">
        <w:rPr>
          <w:rFonts w:cs="Calibri"/>
        </w:rPr>
        <w:t xml:space="preserve">v údajích za běžné účetní období </w:t>
      </w:r>
      <w:r>
        <w:rPr>
          <w:rFonts w:cs="Calibri"/>
          <w:b/>
        </w:rPr>
        <w:t>na</w:t>
      </w:r>
      <w:r w:rsidRPr="00636781">
        <w:rPr>
          <w:rFonts w:cs="Calibri"/>
          <w:b/>
        </w:rPr>
        <w:t xml:space="preserve">dhodnotilo zůstatek </w:t>
      </w:r>
      <w:r w:rsidRPr="00607932">
        <w:rPr>
          <w:rFonts w:cs="Calibri"/>
          <w:b/>
        </w:rPr>
        <w:t xml:space="preserve">účtu </w:t>
      </w:r>
      <w:r w:rsidR="003B3C57" w:rsidRPr="0088208D">
        <w:rPr>
          <w:rFonts w:asciiTheme="minorHAnsi" w:hAnsiTheme="minorHAnsi" w:cstheme="minorHAnsi"/>
          <w:b/>
          <w:bCs/>
          <w:iCs/>
        </w:rPr>
        <w:t>388</w:t>
      </w:r>
      <w:r w:rsidR="003B3C57">
        <w:rPr>
          <w:rFonts w:asciiTheme="minorHAnsi" w:hAnsiTheme="minorHAnsi" w:cstheme="minorHAnsi"/>
          <w:b/>
          <w:bCs/>
          <w:i/>
          <w:iCs/>
        </w:rPr>
        <w:t> </w:t>
      </w:r>
      <w:r w:rsidR="003B3C57" w:rsidRPr="00CB5021">
        <w:rPr>
          <w:rFonts w:asciiTheme="minorHAnsi" w:hAnsiTheme="minorHAnsi" w:cstheme="minorHAnsi"/>
          <w:b/>
          <w:i/>
        </w:rPr>
        <w:t>–</w:t>
      </w:r>
      <w:r w:rsidR="003B3C57">
        <w:rPr>
          <w:rFonts w:asciiTheme="minorHAnsi" w:hAnsiTheme="minorHAnsi" w:cstheme="minorHAnsi"/>
          <w:b/>
          <w:i/>
        </w:rPr>
        <w:t> </w:t>
      </w:r>
      <w:r w:rsidR="003B3C57" w:rsidRPr="004E302A">
        <w:rPr>
          <w:rFonts w:asciiTheme="minorHAnsi" w:hAnsiTheme="minorHAnsi" w:cstheme="minorHAnsi"/>
          <w:b/>
          <w:bCs/>
          <w:i/>
          <w:iCs/>
        </w:rPr>
        <w:t>Dohadné účty aktivní</w:t>
      </w:r>
      <w:r w:rsidR="003B3C57" w:rsidRPr="004E302A">
        <w:rPr>
          <w:rFonts w:asciiTheme="minorHAnsi" w:hAnsiTheme="minorHAnsi" w:cstheme="minorHAnsi"/>
          <w:b/>
          <w:bCs/>
          <w:iCs/>
        </w:rPr>
        <w:t xml:space="preserve"> </w:t>
      </w:r>
      <w:r w:rsidRPr="00607932">
        <w:rPr>
          <w:rFonts w:cs="Calibri"/>
          <w:b/>
        </w:rPr>
        <w:t xml:space="preserve">o </w:t>
      </w:r>
      <w:r w:rsidR="003B3C57" w:rsidRPr="004E302A">
        <w:rPr>
          <w:rFonts w:asciiTheme="minorHAnsi" w:hAnsiTheme="minorHAnsi" w:cstheme="minorHAnsi"/>
          <w:b/>
          <w:bCs/>
          <w:iCs/>
        </w:rPr>
        <w:t xml:space="preserve">10 533 190,48 Kč </w:t>
      </w:r>
      <w:r w:rsidRPr="00636781">
        <w:rPr>
          <w:rFonts w:cs="Calibri"/>
          <w:b/>
        </w:rPr>
        <w:t xml:space="preserve">a o stejnou částku nadhodnotilo zůstatek účtu </w:t>
      </w:r>
      <w:r w:rsidR="003B3C57" w:rsidRPr="0088208D">
        <w:rPr>
          <w:rFonts w:asciiTheme="minorHAnsi" w:hAnsiTheme="minorHAnsi" w:cstheme="minorHAnsi"/>
          <w:b/>
          <w:bCs/>
          <w:iCs/>
        </w:rPr>
        <w:t>472</w:t>
      </w:r>
      <w:r w:rsidR="003B3C57">
        <w:rPr>
          <w:rFonts w:asciiTheme="minorHAnsi" w:hAnsiTheme="minorHAnsi" w:cstheme="minorHAnsi"/>
          <w:b/>
          <w:bCs/>
          <w:i/>
          <w:iCs/>
        </w:rPr>
        <w:t> </w:t>
      </w:r>
      <w:r w:rsidR="003B3C57" w:rsidRPr="00CB5021">
        <w:rPr>
          <w:rFonts w:asciiTheme="minorHAnsi" w:hAnsiTheme="minorHAnsi" w:cstheme="minorHAnsi"/>
          <w:b/>
          <w:i/>
        </w:rPr>
        <w:t>–</w:t>
      </w:r>
      <w:r w:rsidR="003B3C57">
        <w:rPr>
          <w:rFonts w:asciiTheme="minorHAnsi" w:hAnsiTheme="minorHAnsi" w:cstheme="minorHAnsi"/>
          <w:b/>
          <w:i/>
        </w:rPr>
        <w:t> </w:t>
      </w:r>
      <w:r w:rsidR="003B3C57" w:rsidRPr="004E302A">
        <w:rPr>
          <w:rFonts w:asciiTheme="minorHAnsi" w:hAnsiTheme="minorHAnsi" w:cstheme="minorHAnsi"/>
          <w:b/>
          <w:bCs/>
          <w:i/>
          <w:iCs/>
        </w:rPr>
        <w:t>Dlouhodobé přijaté zálohy na transfery</w:t>
      </w:r>
      <w:r w:rsidRPr="0088208D">
        <w:rPr>
          <w:rFonts w:cs="Calibri"/>
          <w:b/>
        </w:rPr>
        <w:t>.</w:t>
      </w:r>
      <w:r w:rsidR="003B3C57">
        <w:rPr>
          <w:rFonts w:cs="Calibri"/>
        </w:rPr>
        <w:t xml:space="preserve"> </w:t>
      </w:r>
      <w:r>
        <w:rPr>
          <w:rFonts w:cs="Calibri"/>
        </w:rPr>
        <w:t xml:space="preserve">MD </w:t>
      </w:r>
      <w:r w:rsidR="003B3C57">
        <w:rPr>
          <w:rFonts w:cs="Calibri"/>
        </w:rPr>
        <w:t xml:space="preserve">dále </w:t>
      </w:r>
      <w:r>
        <w:rPr>
          <w:rFonts w:cs="Calibri"/>
        </w:rPr>
        <w:t xml:space="preserve">ve výkazu zisku a ztráty </w:t>
      </w:r>
      <w:r w:rsidRPr="00836D96">
        <w:rPr>
          <w:rFonts w:cs="Calibri"/>
        </w:rPr>
        <w:t xml:space="preserve">v údajích za běžné účetní období </w:t>
      </w:r>
      <w:r w:rsidR="003B3C57">
        <w:rPr>
          <w:rFonts w:cs="Calibri"/>
          <w:b/>
        </w:rPr>
        <w:t>po</w:t>
      </w:r>
      <w:r w:rsidRPr="00636781">
        <w:rPr>
          <w:rFonts w:cs="Calibri"/>
          <w:b/>
        </w:rPr>
        <w:t xml:space="preserve">dhodnotilo zůstatek </w:t>
      </w:r>
      <w:r w:rsidRPr="00607932">
        <w:rPr>
          <w:rFonts w:cs="Calibri"/>
          <w:b/>
        </w:rPr>
        <w:t xml:space="preserve">účtu </w:t>
      </w:r>
      <w:r w:rsidR="003B3C57" w:rsidRPr="0088208D">
        <w:rPr>
          <w:rFonts w:asciiTheme="minorHAnsi" w:hAnsiTheme="minorHAnsi" w:cstheme="minorHAnsi"/>
          <w:b/>
          <w:bCs/>
          <w:iCs/>
        </w:rPr>
        <w:t>563</w:t>
      </w:r>
      <w:r w:rsidR="003B3C57">
        <w:rPr>
          <w:rFonts w:asciiTheme="minorHAnsi" w:hAnsiTheme="minorHAnsi" w:cstheme="minorHAnsi"/>
          <w:b/>
          <w:bCs/>
          <w:i/>
          <w:iCs/>
        </w:rPr>
        <w:t> </w:t>
      </w:r>
      <w:r w:rsidR="003B3C57" w:rsidRPr="00CB5021">
        <w:rPr>
          <w:rFonts w:asciiTheme="minorHAnsi" w:hAnsiTheme="minorHAnsi" w:cstheme="minorHAnsi"/>
          <w:b/>
          <w:i/>
        </w:rPr>
        <w:t>–</w:t>
      </w:r>
      <w:r w:rsidR="003B3C57">
        <w:rPr>
          <w:rFonts w:asciiTheme="minorHAnsi" w:hAnsiTheme="minorHAnsi" w:cstheme="minorHAnsi"/>
          <w:b/>
          <w:i/>
        </w:rPr>
        <w:t> </w:t>
      </w:r>
      <w:r w:rsidR="003B3C57" w:rsidRPr="004E302A">
        <w:rPr>
          <w:rFonts w:asciiTheme="minorHAnsi" w:hAnsiTheme="minorHAnsi" w:cstheme="minorHAnsi"/>
          <w:b/>
          <w:bCs/>
          <w:i/>
          <w:iCs/>
        </w:rPr>
        <w:t>Kurzové ztráty</w:t>
      </w:r>
      <w:r w:rsidR="003B3C57" w:rsidRPr="004E302A">
        <w:rPr>
          <w:rFonts w:asciiTheme="minorHAnsi" w:hAnsiTheme="minorHAnsi" w:cstheme="minorHAnsi"/>
          <w:b/>
          <w:bCs/>
          <w:iCs/>
        </w:rPr>
        <w:t xml:space="preserve"> o 15 227 824,95 Kč</w:t>
      </w:r>
      <w:r w:rsidR="003B3C57">
        <w:rPr>
          <w:rFonts w:asciiTheme="minorHAnsi" w:hAnsiTheme="minorHAnsi" w:cstheme="minorHAnsi"/>
          <w:b/>
          <w:bCs/>
          <w:iCs/>
        </w:rPr>
        <w:t xml:space="preserve">, podhodnotilo zůstatek účtu </w:t>
      </w:r>
      <w:r w:rsidR="003B3C57" w:rsidRPr="0088208D">
        <w:rPr>
          <w:rFonts w:asciiTheme="minorHAnsi" w:hAnsiTheme="minorHAnsi" w:cstheme="minorHAnsi"/>
          <w:b/>
          <w:bCs/>
          <w:iCs/>
        </w:rPr>
        <w:t>663</w:t>
      </w:r>
      <w:r w:rsidR="003B3C57">
        <w:rPr>
          <w:rFonts w:asciiTheme="minorHAnsi" w:hAnsiTheme="minorHAnsi" w:cstheme="minorHAnsi"/>
          <w:b/>
          <w:bCs/>
          <w:i/>
          <w:iCs/>
        </w:rPr>
        <w:t> </w:t>
      </w:r>
      <w:r w:rsidR="003B3C57" w:rsidRPr="00CB5021">
        <w:rPr>
          <w:rFonts w:asciiTheme="minorHAnsi" w:hAnsiTheme="minorHAnsi" w:cstheme="minorHAnsi"/>
          <w:b/>
          <w:i/>
        </w:rPr>
        <w:t>–</w:t>
      </w:r>
      <w:r w:rsidR="003B3C57">
        <w:rPr>
          <w:rFonts w:asciiTheme="minorHAnsi" w:hAnsiTheme="minorHAnsi" w:cstheme="minorHAnsi"/>
          <w:b/>
          <w:i/>
        </w:rPr>
        <w:t> </w:t>
      </w:r>
      <w:r w:rsidR="003B3C57" w:rsidRPr="004E302A">
        <w:rPr>
          <w:rFonts w:asciiTheme="minorHAnsi" w:hAnsiTheme="minorHAnsi" w:cstheme="minorHAnsi"/>
          <w:b/>
          <w:bCs/>
          <w:i/>
          <w:iCs/>
        </w:rPr>
        <w:t>Kurzové zisky</w:t>
      </w:r>
      <w:r w:rsidR="003B3C57" w:rsidRPr="004E302A">
        <w:rPr>
          <w:rFonts w:asciiTheme="minorHAnsi" w:hAnsiTheme="minorHAnsi" w:cstheme="minorHAnsi"/>
          <w:b/>
          <w:bCs/>
          <w:iCs/>
        </w:rPr>
        <w:t xml:space="preserve"> o 10 028 604,17 Kč</w:t>
      </w:r>
      <w:r w:rsidR="003B3C57" w:rsidRPr="00636781">
        <w:rPr>
          <w:rFonts w:cs="Calibri"/>
          <w:b/>
        </w:rPr>
        <w:t xml:space="preserve"> </w:t>
      </w:r>
      <w:r w:rsidRPr="00636781">
        <w:rPr>
          <w:rFonts w:cs="Calibri"/>
          <w:b/>
        </w:rPr>
        <w:t>a</w:t>
      </w:r>
      <w:r w:rsidR="003B3C57">
        <w:rPr>
          <w:rFonts w:cs="Calibri"/>
          <w:b/>
        </w:rPr>
        <w:t xml:space="preserve"> podhodnotilo zůstatek účtu </w:t>
      </w:r>
      <w:r w:rsidR="003B3C57" w:rsidRPr="0088208D">
        <w:rPr>
          <w:rFonts w:asciiTheme="minorHAnsi" w:hAnsiTheme="minorHAnsi" w:cstheme="minorHAnsi"/>
          <w:b/>
          <w:bCs/>
          <w:iCs/>
        </w:rPr>
        <w:t>675</w:t>
      </w:r>
      <w:r w:rsidR="003B3C57">
        <w:rPr>
          <w:rFonts w:asciiTheme="minorHAnsi" w:hAnsiTheme="minorHAnsi" w:cstheme="minorHAnsi"/>
          <w:b/>
          <w:bCs/>
          <w:i/>
          <w:iCs/>
        </w:rPr>
        <w:t> </w:t>
      </w:r>
      <w:r w:rsidR="003B3C57" w:rsidRPr="00CB5021">
        <w:rPr>
          <w:rFonts w:asciiTheme="minorHAnsi" w:hAnsiTheme="minorHAnsi" w:cstheme="minorHAnsi"/>
          <w:b/>
          <w:i/>
        </w:rPr>
        <w:t>–</w:t>
      </w:r>
      <w:r w:rsidR="003B3C57">
        <w:rPr>
          <w:rFonts w:asciiTheme="minorHAnsi" w:hAnsiTheme="minorHAnsi" w:cstheme="minorHAnsi"/>
          <w:b/>
          <w:i/>
        </w:rPr>
        <w:t> </w:t>
      </w:r>
      <w:r w:rsidR="003B3C57" w:rsidRPr="004E302A">
        <w:rPr>
          <w:rFonts w:asciiTheme="minorHAnsi" w:hAnsiTheme="minorHAnsi" w:cstheme="minorHAnsi"/>
          <w:b/>
          <w:bCs/>
          <w:i/>
          <w:iCs/>
        </w:rPr>
        <w:t>Výnosy vybraných ústředních vládních institucí z předfinancování transferů</w:t>
      </w:r>
      <w:r w:rsidR="003B3C57" w:rsidRPr="004E302A">
        <w:rPr>
          <w:rFonts w:asciiTheme="minorHAnsi" w:hAnsiTheme="minorHAnsi" w:cstheme="minorHAnsi"/>
          <w:b/>
          <w:bCs/>
          <w:iCs/>
        </w:rPr>
        <w:t xml:space="preserve"> </w:t>
      </w:r>
      <w:r w:rsidR="00D11772">
        <w:rPr>
          <w:rFonts w:asciiTheme="minorHAnsi" w:hAnsiTheme="minorHAnsi" w:cstheme="minorHAnsi"/>
          <w:b/>
          <w:bCs/>
          <w:iCs/>
        </w:rPr>
        <w:br/>
      </w:r>
      <w:r w:rsidR="003B3C57" w:rsidRPr="004E302A">
        <w:rPr>
          <w:rFonts w:asciiTheme="minorHAnsi" w:hAnsiTheme="minorHAnsi" w:cstheme="minorHAnsi"/>
          <w:b/>
          <w:bCs/>
          <w:iCs/>
        </w:rPr>
        <w:t>o 5</w:t>
      </w:r>
      <w:r w:rsidR="003B3C57">
        <w:rPr>
          <w:rFonts w:asciiTheme="minorHAnsi" w:hAnsiTheme="minorHAnsi" w:cstheme="minorHAnsi"/>
          <w:b/>
          <w:bCs/>
          <w:iCs/>
        </w:rPr>
        <w:t> </w:t>
      </w:r>
      <w:r w:rsidR="003B3C57" w:rsidRPr="004E302A">
        <w:rPr>
          <w:rFonts w:asciiTheme="minorHAnsi" w:hAnsiTheme="minorHAnsi" w:cstheme="minorHAnsi"/>
          <w:b/>
          <w:bCs/>
          <w:iCs/>
        </w:rPr>
        <w:t>199 220,78 Kč</w:t>
      </w:r>
      <w:r w:rsidRPr="0088208D">
        <w:rPr>
          <w:rFonts w:cs="Calibri"/>
          <w:b/>
        </w:rPr>
        <w:t>.</w:t>
      </w:r>
    </w:p>
    <w:p w14:paraId="31B48C52" w14:textId="77777777" w:rsidR="00BA0621" w:rsidRDefault="00BA0621" w:rsidP="00836D96">
      <w:pPr>
        <w:spacing w:after="0"/>
        <w:jc w:val="both"/>
        <w:rPr>
          <w:rFonts w:cs="Calibri"/>
        </w:rPr>
      </w:pPr>
    </w:p>
    <w:p w14:paraId="7677E985" w14:textId="77777777" w:rsidR="00297278" w:rsidRDefault="00297278" w:rsidP="00836D96">
      <w:pPr>
        <w:spacing w:after="0"/>
        <w:jc w:val="both"/>
        <w:rPr>
          <w:rFonts w:cs="Calibri"/>
        </w:rPr>
      </w:pPr>
    </w:p>
    <w:p w14:paraId="71469B4F" w14:textId="77777777" w:rsidR="007C7EFA" w:rsidRPr="0043045F" w:rsidRDefault="007C7EFA" w:rsidP="0088208D">
      <w:pPr>
        <w:pStyle w:val="Nadpis3"/>
        <w:ind w:left="369" w:hanging="369"/>
      </w:pPr>
      <w:r>
        <w:rPr>
          <w:rFonts w:asciiTheme="minorHAnsi" w:hAnsiTheme="minorHAnsi" w:cstheme="minorHAnsi"/>
        </w:rPr>
        <w:lastRenderedPageBreak/>
        <w:t>Neúčtování o věcných břemenech</w:t>
      </w:r>
    </w:p>
    <w:p w14:paraId="3CC1199D" w14:textId="77777777" w:rsidR="007C7EFA" w:rsidRDefault="007C7EFA" w:rsidP="007C7EFA">
      <w:pPr>
        <w:spacing w:after="0"/>
        <w:jc w:val="both"/>
        <w:rPr>
          <w:rFonts w:cs="Calibri"/>
        </w:rPr>
      </w:pPr>
    </w:p>
    <w:p w14:paraId="570075E0" w14:textId="77777777" w:rsidR="007C7EFA" w:rsidRDefault="007C7EFA" w:rsidP="007C7EFA">
      <w:pPr>
        <w:spacing w:after="0"/>
        <w:jc w:val="both"/>
        <w:rPr>
          <w:rFonts w:cs="Calibri"/>
        </w:rPr>
      </w:pPr>
      <w:r w:rsidRPr="00636781">
        <w:rPr>
          <w:rFonts w:cs="Calibri"/>
          <w:b/>
        </w:rPr>
        <w:t xml:space="preserve">MD </w:t>
      </w:r>
      <w:r>
        <w:rPr>
          <w:rFonts w:cs="Calibri"/>
          <w:b/>
        </w:rPr>
        <w:t xml:space="preserve">nevykázalo </w:t>
      </w:r>
      <w:r>
        <w:rPr>
          <w:rFonts w:cs="Calibri"/>
        </w:rPr>
        <w:t>na účtech</w:t>
      </w:r>
      <w:r w:rsidRPr="007C7EFA">
        <w:rPr>
          <w:rFonts w:cs="Calibri"/>
        </w:rPr>
        <w:t xml:space="preserve"> </w:t>
      </w:r>
      <w:r w:rsidRPr="0088208D">
        <w:rPr>
          <w:rFonts w:asciiTheme="minorHAnsi" w:hAnsiTheme="minorHAnsi" w:cstheme="minorHAnsi"/>
        </w:rPr>
        <w:t>028</w:t>
      </w:r>
      <w:r w:rsidRPr="007C7EFA">
        <w:rPr>
          <w:rFonts w:asciiTheme="minorHAnsi" w:hAnsiTheme="minorHAnsi" w:cstheme="minorHAnsi"/>
          <w:i/>
        </w:rPr>
        <w:t> – Drobný dlouhodobý hmotný majetek</w:t>
      </w:r>
      <w:r w:rsidRPr="007C7EFA">
        <w:rPr>
          <w:rFonts w:asciiTheme="minorHAnsi" w:hAnsiTheme="minorHAnsi" w:cstheme="minorHAnsi"/>
          <w:bCs/>
          <w:iCs/>
        </w:rPr>
        <w:t xml:space="preserve"> a </w:t>
      </w:r>
      <w:r w:rsidRPr="0088208D">
        <w:rPr>
          <w:rFonts w:asciiTheme="minorHAnsi" w:hAnsiTheme="minorHAnsi" w:cstheme="minorHAnsi"/>
          <w:bCs/>
          <w:iCs/>
        </w:rPr>
        <w:t>029</w:t>
      </w:r>
      <w:r w:rsidRPr="007C7EFA">
        <w:rPr>
          <w:rFonts w:asciiTheme="minorHAnsi" w:hAnsiTheme="minorHAnsi" w:cstheme="minorHAnsi"/>
          <w:bCs/>
          <w:i/>
          <w:iCs/>
        </w:rPr>
        <w:t> </w:t>
      </w:r>
      <w:r w:rsidRPr="007C7EFA">
        <w:rPr>
          <w:rFonts w:asciiTheme="minorHAnsi" w:hAnsiTheme="minorHAnsi" w:cstheme="minorHAnsi"/>
          <w:i/>
        </w:rPr>
        <w:t>– </w:t>
      </w:r>
      <w:r w:rsidRPr="007C7EFA">
        <w:rPr>
          <w:rFonts w:asciiTheme="minorHAnsi" w:hAnsiTheme="minorHAnsi" w:cstheme="minorHAnsi"/>
          <w:bCs/>
          <w:i/>
          <w:iCs/>
        </w:rPr>
        <w:t>Ostatní dlouhodobý hmotný majetek</w:t>
      </w:r>
      <w:r w:rsidRPr="004E302A">
        <w:rPr>
          <w:rFonts w:asciiTheme="minorHAnsi" w:hAnsiTheme="minorHAnsi" w:cstheme="minorHAnsi"/>
          <w:b/>
          <w:bCs/>
          <w:iCs/>
        </w:rPr>
        <w:t xml:space="preserve"> věcná břemena zřízená na základě smluv ve prospěch MD</w:t>
      </w:r>
      <w:r w:rsidRPr="0088208D">
        <w:rPr>
          <w:rFonts w:cs="Calibri"/>
          <w:b/>
        </w:rPr>
        <w:t>.</w:t>
      </w:r>
    </w:p>
    <w:p w14:paraId="47B6E40C" w14:textId="77777777" w:rsidR="007C7EFA" w:rsidRDefault="007C7EFA" w:rsidP="007C7EFA">
      <w:pPr>
        <w:spacing w:after="0"/>
        <w:jc w:val="both"/>
        <w:rPr>
          <w:rFonts w:cs="Calibri"/>
        </w:rPr>
      </w:pPr>
    </w:p>
    <w:p w14:paraId="4E5779C0" w14:textId="77777777" w:rsidR="00BA0621" w:rsidRPr="007C7EFA" w:rsidRDefault="007C7EFA" w:rsidP="00836D96">
      <w:pPr>
        <w:spacing w:after="0"/>
        <w:jc w:val="both"/>
        <w:rPr>
          <w:rFonts w:cs="Calibri"/>
        </w:rPr>
      </w:pPr>
      <w:r w:rsidRPr="007C7EFA">
        <w:rPr>
          <w:rFonts w:asciiTheme="minorHAnsi" w:hAnsiTheme="minorHAnsi" w:cstheme="minorHAnsi"/>
          <w:bCs/>
          <w:iCs/>
        </w:rPr>
        <w:t xml:space="preserve">Uvedená nesprávnost nemá </w:t>
      </w:r>
      <w:r>
        <w:rPr>
          <w:rFonts w:asciiTheme="minorHAnsi" w:hAnsiTheme="minorHAnsi" w:cstheme="minorHAnsi"/>
          <w:bCs/>
          <w:iCs/>
        </w:rPr>
        <w:t xml:space="preserve">významný </w:t>
      </w:r>
      <w:r w:rsidRPr="007C7EFA">
        <w:rPr>
          <w:rFonts w:asciiTheme="minorHAnsi" w:hAnsiTheme="minorHAnsi" w:cstheme="minorHAnsi"/>
          <w:bCs/>
          <w:iCs/>
        </w:rPr>
        <w:t xml:space="preserve">vliv na údaje vykázané v rozvaze za běžné účetní období ve sloupci </w:t>
      </w:r>
      <w:r w:rsidR="00FD3AE9">
        <w:rPr>
          <w:rFonts w:asciiTheme="minorHAnsi" w:hAnsiTheme="minorHAnsi" w:cstheme="minorHAnsi"/>
          <w:bCs/>
          <w:iCs/>
        </w:rPr>
        <w:t>„</w:t>
      </w:r>
      <w:r w:rsidRPr="007C7EFA">
        <w:rPr>
          <w:rFonts w:asciiTheme="minorHAnsi" w:hAnsiTheme="minorHAnsi" w:cstheme="minorHAnsi"/>
          <w:bCs/>
          <w:iCs/>
        </w:rPr>
        <w:t>netto</w:t>
      </w:r>
      <w:r w:rsidR="00FD3AE9">
        <w:rPr>
          <w:rFonts w:asciiTheme="minorHAnsi" w:hAnsiTheme="minorHAnsi" w:cstheme="minorHAnsi"/>
          <w:bCs/>
          <w:iCs/>
        </w:rPr>
        <w:t>“</w:t>
      </w:r>
      <w:r>
        <w:rPr>
          <w:rFonts w:asciiTheme="minorHAnsi" w:hAnsiTheme="minorHAnsi" w:cstheme="minorHAnsi"/>
          <w:bCs/>
          <w:iCs/>
        </w:rPr>
        <w:t xml:space="preserve">, avšak vzhledem ke skutečnosti, </w:t>
      </w:r>
      <w:r>
        <w:rPr>
          <w:rFonts w:asciiTheme="minorHAnsi" w:hAnsiTheme="minorHAnsi" w:cstheme="minorHAnsi"/>
        </w:rPr>
        <w:t xml:space="preserve">že MD neúčtovalo o žádném věcném břemenu, </w:t>
      </w:r>
      <w:r w:rsidRPr="004908D8">
        <w:rPr>
          <w:rFonts w:asciiTheme="minorHAnsi" w:hAnsiTheme="minorHAnsi" w:cstheme="minorHAnsi"/>
        </w:rPr>
        <w:t>jedná se o</w:t>
      </w:r>
      <w:r w:rsidRPr="007C7EFA">
        <w:rPr>
          <w:rFonts w:asciiTheme="minorHAnsi" w:hAnsiTheme="minorHAnsi" w:cstheme="minorHAnsi"/>
          <w:b/>
        </w:rPr>
        <w:t xml:space="preserve"> systémovou nesprávnost</w:t>
      </w:r>
      <w:r w:rsidRPr="0088208D">
        <w:rPr>
          <w:rFonts w:asciiTheme="minorHAnsi" w:hAnsiTheme="minorHAnsi" w:cstheme="minorHAnsi"/>
          <w:b/>
        </w:rPr>
        <w:t>.</w:t>
      </w:r>
    </w:p>
    <w:p w14:paraId="0CE688FB" w14:textId="77777777" w:rsidR="0043045F" w:rsidRDefault="0043045F" w:rsidP="0043045F">
      <w:pPr>
        <w:spacing w:after="0"/>
        <w:jc w:val="both"/>
        <w:rPr>
          <w:rFonts w:cs="Calibri"/>
        </w:rPr>
      </w:pPr>
    </w:p>
    <w:p w14:paraId="0321AA94" w14:textId="77777777" w:rsidR="0015152A" w:rsidRDefault="0015152A" w:rsidP="0043045F">
      <w:pPr>
        <w:spacing w:after="0"/>
        <w:jc w:val="both"/>
        <w:rPr>
          <w:rFonts w:cs="Calibri"/>
        </w:rPr>
      </w:pPr>
    </w:p>
    <w:p w14:paraId="3D999561" w14:textId="77777777" w:rsidR="007C7EFA" w:rsidRPr="0043045F" w:rsidRDefault="007C7EFA" w:rsidP="0088208D">
      <w:pPr>
        <w:pStyle w:val="Nadpis3"/>
        <w:ind w:left="369" w:hanging="369"/>
      </w:pPr>
      <w:r>
        <w:rPr>
          <w:rFonts w:asciiTheme="minorHAnsi" w:hAnsiTheme="minorHAnsi" w:cstheme="minorHAnsi"/>
        </w:rPr>
        <w:t>Neinformování</w:t>
      </w:r>
      <w:r w:rsidR="00907DFC">
        <w:rPr>
          <w:rFonts w:asciiTheme="minorHAnsi" w:hAnsiTheme="minorHAnsi" w:cstheme="minorHAnsi"/>
        </w:rPr>
        <w:t xml:space="preserve"> o použité účetní metodě v</w:t>
      </w:r>
      <w:r w:rsidR="004B7860">
        <w:rPr>
          <w:rFonts w:asciiTheme="minorHAnsi" w:hAnsiTheme="minorHAnsi" w:cstheme="minorHAnsi"/>
        </w:rPr>
        <w:t> účetní závěrce</w:t>
      </w:r>
    </w:p>
    <w:p w14:paraId="48048B1F" w14:textId="77777777" w:rsidR="007C7EFA" w:rsidRPr="0088208D" w:rsidRDefault="007C7EFA" w:rsidP="007C7EFA">
      <w:pPr>
        <w:spacing w:after="0"/>
        <w:jc w:val="both"/>
        <w:rPr>
          <w:rFonts w:cs="Calibri"/>
          <w:b/>
        </w:rPr>
      </w:pPr>
    </w:p>
    <w:p w14:paraId="715A0FC8" w14:textId="77777777" w:rsidR="007F2CFB" w:rsidRDefault="007F2CFB" w:rsidP="007C7EFA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MD vytvořilo v roce 2016 k majetkové </w:t>
      </w:r>
      <w:r>
        <w:rPr>
          <w:rFonts w:asciiTheme="minorHAnsi" w:hAnsiTheme="minorHAnsi" w:cstheme="minorHAnsi"/>
        </w:rPr>
        <w:t xml:space="preserve">účasti vykazované na účtu </w:t>
      </w:r>
      <w:r w:rsidRPr="0088208D">
        <w:rPr>
          <w:rFonts w:asciiTheme="minorHAnsi" w:hAnsiTheme="minorHAnsi" w:cstheme="minorHAnsi"/>
        </w:rPr>
        <w:t>061</w:t>
      </w:r>
      <w:r w:rsidR="007D45A1">
        <w:rPr>
          <w:rFonts w:asciiTheme="minorHAnsi" w:hAnsiTheme="minorHAnsi" w:cstheme="minorHAnsi"/>
          <w:i/>
        </w:rPr>
        <w:t> </w:t>
      </w:r>
      <w:r w:rsidRPr="00D31426">
        <w:rPr>
          <w:rFonts w:asciiTheme="minorHAnsi" w:hAnsiTheme="minorHAnsi" w:cstheme="minorHAnsi"/>
          <w:i/>
        </w:rPr>
        <w:t>–</w:t>
      </w:r>
      <w:r w:rsidR="007D45A1">
        <w:rPr>
          <w:rFonts w:asciiTheme="minorHAnsi" w:hAnsiTheme="minorHAnsi" w:cstheme="minorHAnsi"/>
          <w:i/>
        </w:rPr>
        <w:t> </w:t>
      </w:r>
      <w:r w:rsidRPr="004E302A">
        <w:rPr>
          <w:rFonts w:asciiTheme="minorHAnsi" w:hAnsiTheme="minorHAnsi" w:cstheme="minorHAnsi"/>
          <w:i/>
        </w:rPr>
        <w:t>Majetkové účasti v osobách s rozhodujícím vlivem</w:t>
      </w:r>
      <w:r w:rsidRPr="004E302A">
        <w:rPr>
          <w:rFonts w:asciiTheme="minorHAnsi" w:hAnsiTheme="minorHAnsi" w:cstheme="minorHAnsi"/>
        </w:rPr>
        <w:t xml:space="preserve"> opravnou položku, kterou následně v roce 2017 částečně snížilo a v roce 2018 zrušilo i její zbývající část. O významných </w:t>
      </w:r>
      <w:r w:rsidR="007D45A1">
        <w:rPr>
          <w:rFonts w:asciiTheme="minorHAnsi" w:hAnsiTheme="minorHAnsi" w:cstheme="minorHAnsi"/>
        </w:rPr>
        <w:t>zůstatcích účtů souvisejících s </w:t>
      </w:r>
      <w:r w:rsidRPr="004E302A">
        <w:rPr>
          <w:rFonts w:asciiTheme="minorHAnsi" w:hAnsiTheme="minorHAnsi" w:cstheme="minorHAnsi"/>
        </w:rPr>
        <w:t>tvorbou a rušením uvedené opravné položky informovalo MD v účetních závěrkách za roky 2016 až 2018 pouze v část</w:t>
      </w:r>
      <w:r>
        <w:rPr>
          <w:rFonts w:asciiTheme="minorHAnsi" w:hAnsiTheme="minorHAnsi" w:cstheme="minorHAnsi"/>
        </w:rPr>
        <w:t>ech</w:t>
      </w:r>
      <w:r w:rsidRPr="004E302A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  <w:i/>
        </w:rPr>
        <w:t>E.1. Doplňující informace k položkám rozvahy</w:t>
      </w:r>
      <w:r w:rsidRPr="004E302A">
        <w:rPr>
          <w:rFonts w:asciiTheme="minorHAnsi" w:hAnsiTheme="minorHAnsi" w:cstheme="minorHAnsi"/>
        </w:rPr>
        <w:t xml:space="preserve"> a </w:t>
      </w:r>
      <w:r w:rsidRPr="004E302A">
        <w:rPr>
          <w:rFonts w:asciiTheme="minorHAnsi" w:hAnsiTheme="minorHAnsi" w:cstheme="minorHAnsi"/>
          <w:i/>
        </w:rPr>
        <w:t>E.2. Doplňující informace k položkám výkazu zisku a ztráty</w:t>
      </w:r>
      <w:r w:rsidRPr="004E302A">
        <w:rPr>
          <w:rFonts w:asciiTheme="minorHAnsi" w:hAnsiTheme="minorHAnsi" w:cstheme="minorHAnsi"/>
        </w:rPr>
        <w:t>.</w:t>
      </w:r>
    </w:p>
    <w:p w14:paraId="271C5E99" w14:textId="77777777" w:rsidR="007F2CFB" w:rsidRDefault="007F2CFB" w:rsidP="007C7EFA">
      <w:pPr>
        <w:spacing w:after="0"/>
        <w:jc w:val="both"/>
        <w:rPr>
          <w:rFonts w:asciiTheme="minorHAnsi" w:hAnsiTheme="minorHAnsi" w:cstheme="minorHAnsi"/>
        </w:rPr>
      </w:pPr>
    </w:p>
    <w:p w14:paraId="0665DFA3" w14:textId="7EC96771" w:rsidR="00DB3340" w:rsidRDefault="00DB3340" w:rsidP="007C7EFA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>Dle zákona č. 563/1991 Sb.</w:t>
      </w:r>
      <w:r>
        <w:rPr>
          <w:rFonts w:asciiTheme="minorHAnsi" w:hAnsiTheme="minorHAnsi" w:cstheme="minorHAnsi"/>
        </w:rPr>
        <w:t xml:space="preserve">, o účetnictví, </w:t>
      </w:r>
      <w:r w:rsidRPr="004E302A">
        <w:rPr>
          <w:rFonts w:asciiTheme="minorHAnsi" w:hAnsiTheme="minorHAnsi" w:cstheme="minorHAnsi"/>
        </w:rPr>
        <w:t>jsou účetní jednotky povinny v</w:t>
      </w:r>
      <w:r>
        <w:rPr>
          <w:rFonts w:asciiTheme="minorHAnsi" w:hAnsiTheme="minorHAnsi" w:cstheme="minorHAnsi"/>
        </w:rPr>
        <w:t xml:space="preserve"> části A.3 </w:t>
      </w:r>
      <w:r w:rsidRPr="004E302A">
        <w:rPr>
          <w:rFonts w:asciiTheme="minorHAnsi" w:hAnsiTheme="minorHAnsi" w:cstheme="minorHAnsi"/>
        </w:rPr>
        <w:t>přílo</w:t>
      </w:r>
      <w:r>
        <w:rPr>
          <w:rFonts w:asciiTheme="minorHAnsi" w:hAnsiTheme="minorHAnsi" w:cstheme="minorHAnsi"/>
        </w:rPr>
        <w:t>hy</w:t>
      </w:r>
      <w:r w:rsidRPr="004E302A">
        <w:rPr>
          <w:rFonts w:asciiTheme="minorHAnsi" w:hAnsiTheme="minorHAnsi" w:cstheme="minorHAnsi"/>
        </w:rPr>
        <w:t xml:space="preserve"> účetní závěrky vždy uvést informaci o použitých účetních metodách. </w:t>
      </w:r>
      <w:r w:rsidRPr="00DB3340">
        <w:rPr>
          <w:rFonts w:asciiTheme="minorHAnsi" w:hAnsiTheme="minorHAnsi" w:cstheme="minorHAnsi"/>
          <w:b/>
        </w:rPr>
        <w:t xml:space="preserve">V případě účetní metody </w:t>
      </w:r>
      <w:r w:rsidRPr="00DB3340">
        <w:rPr>
          <w:rFonts w:asciiTheme="minorHAnsi" w:hAnsiTheme="minorHAnsi" w:cstheme="minorHAnsi"/>
          <w:b/>
          <w:i/>
        </w:rPr>
        <w:t>postup tvorby a použití opravných položek k majetkovým účastem</w:t>
      </w:r>
      <w:r w:rsidRPr="00DB3340">
        <w:rPr>
          <w:rFonts w:asciiTheme="minorHAnsi" w:hAnsiTheme="minorHAnsi" w:cstheme="minorHAnsi"/>
          <w:b/>
        </w:rPr>
        <w:t xml:space="preserve"> však MD popis metody</w:t>
      </w:r>
      <w:r w:rsidRPr="004E302A">
        <w:rPr>
          <w:rFonts w:asciiTheme="minorHAnsi" w:hAnsiTheme="minorHAnsi" w:cstheme="minorHAnsi"/>
        </w:rPr>
        <w:t xml:space="preserve"> </w:t>
      </w:r>
      <w:r w:rsidR="009615AF" w:rsidRPr="009615AF">
        <w:rPr>
          <w:rFonts w:asciiTheme="minorHAnsi" w:hAnsiTheme="minorHAnsi" w:cstheme="minorHAnsi"/>
          <w:b/>
        </w:rPr>
        <w:t>v</w:t>
      </w:r>
      <w:r w:rsidR="0010296A">
        <w:rPr>
          <w:rFonts w:asciiTheme="minorHAnsi" w:hAnsiTheme="minorHAnsi" w:cstheme="minorHAnsi"/>
          <w:b/>
        </w:rPr>
        <w:t> účetní závěrce za rok 2018</w:t>
      </w:r>
      <w:r w:rsidR="009615AF" w:rsidRPr="009615AF">
        <w:rPr>
          <w:rFonts w:asciiTheme="minorHAnsi" w:hAnsiTheme="minorHAnsi" w:cstheme="minorHAnsi"/>
          <w:b/>
        </w:rPr>
        <w:t xml:space="preserve"> neuvedlo</w:t>
      </w:r>
      <w:r w:rsidR="001B30F4" w:rsidRPr="00876E95">
        <w:rPr>
          <w:rStyle w:val="Znakapoznpodarou"/>
          <w:rFonts w:asciiTheme="minorHAnsi" w:hAnsiTheme="minorHAnsi" w:cstheme="minorHAnsi"/>
          <w:b/>
        </w:rPr>
        <w:footnoteReference w:id="5"/>
      </w:r>
      <w:r w:rsidRPr="0088208D">
        <w:rPr>
          <w:rFonts w:asciiTheme="minorHAnsi" w:hAnsiTheme="minorHAnsi" w:cstheme="minorHAnsi"/>
          <w:b/>
        </w:rPr>
        <w:t>.</w:t>
      </w:r>
    </w:p>
    <w:p w14:paraId="0D4131B5" w14:textId="77777777" w:rsidR="0080604D" w:rsidRDefault="0080604D" w:rsidP="0043045F">
      <w:pPr>
        <w:spacing w:after="0"/>
        <w:jc w:val="both"/>
        <w:rPr>
          <w:rFonts w:cs="Calibri"/>
        </w:rPr>
      </w:pPr>
    </w:p>
    <w:p w14:paraId="191C96CB" w14:textId="77777777" w:rsidR="002C7399" w:rsidRPr="00636781" w:rsidRDefault="002C7399" w:rsidP="0043045F">
      <w:pPr>
        <w:spacing w:after="0"/>
        <w:jc w:val="both"/>
        <w:rPr>
          <w:rFonts w:cs="Calibri"/>
        </w:rPr>
      </w:pPr>
    </w:p>
    <w:p w14:paraId="78D19966" w14:textId="77777777" w:rsidR="00ED1ECF" w:rsidRPr="0053413D" w:rsidRDefault="0080604D" w:rsidP="0088208D">
      <w:pPr>
        <w:pStyle w:val="Nadpis2"/>
        <w:keepNext/>
        <w:numPr>
          <w:ilvl w:val="0"/>
          <w:numId w:val="2"/>
        </w:numPr>
        <w:spacing w:after="0" w:line="240" w:lineRule="auto"/>
        <w:ind w:left="284" w:hanging="284"/>
        <w:contextualSpacing w:val="0"/>
        <w:jc w:val="left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Spolehlivost výkazu pro hodnocení plnění rozpočtu Ministerstva dopravy sestaveného k 31. 12. </w:t>
      </w:r>
      <w:r w:rsidRPr="00B30899">
        <w:rPr>
          <w:rFonts w:ascii="Calibri" w:hAnsi="Calibri" w:cs="Calibri"/>
        </w:rPr>
        <w:t>201</w:t>
      </w:r>
      <w:r>
        <w:rPr>
          <w:rFonts w:ascii="Calibri" w:hAnsi="Calibri" w:cs="Calibri"/>
        </w:rPr>
        <w:t>8</w:t>
      </w:r>
    </w:p>
    <w:p w14:paraId="1BF6CBFA" w14:textId="77777777" w:rsidR="00ED1ECF" w:rsidRDefault="00ED1ECF" w:rsidP="00E720D7">
      <w:pPr>
        <w:spacing w:after="0"/>
        <w:jc w:val="both"/>
        <w:rPr>
          <w:rFonts w:cs="Calibri"/>
        </w:rPr>
      </w:pPr>
    </w:p>
    <w:p w14:paraId="65FBFB47" w14:textId="6A916460" w:rsidR="007F612A" w:rsidRPr="00DA7442" w:rsidRDefault="007F612A" w:rsidP="007F612A">
      <w:pPr>
        <w:jc w:val="both"/>
        <w:rPr>
          <w:lang w:eastAsia="cs-CZ"/>
        </w:rPr>
      </w:pPr>
      <w:r w:rsidRPr="00DA7442">
        <w:rPr>
          <w:lang w:eastAsia="cs-CZ"/>
        </w:rPr>
        <w:t xml:space="preserve">Při </w:t>
      </w:r>
      <w:r w:rsidR="00EA7700">
        <w:rPr>
          <w:lang w:eastAsia="cs-CZ"/>
        </w:rPr>
        <w:t>prověření</w:t>
      </w:r>
      <w:r w:rsidRPr="00DA7442">
        <w:rPr>
          <w:lang w:eastAsia="cs-CZ"/>
        </w:rPr>
        <w:t xml:space="preserve"> </w:t>
      </w:r>
      <w:r w:rsidR="00EA7700">
        <w:rPr>
          <w:lang w:eastAsia="cs-CZ"/>
        </w:rPr>
        <w:t xml:space="preserve">spolehlivosti </w:t>
      </w:r>
      <w:r w:rsidR="00EA7700">
        <w:rPr>
          <w:rFonts w:eastAsia="Calibri" w:cs="Calibri"/>
        </w:rPr>
        <w:t>výkazu FIN 1-12 OSS</w:t>
      </w:r>
      <w:r w:rsidR="00EA7700" w:rsidRPr="00DA7442">
        <w:rPr>
          <w:lang w:eastAsia="cs-CZ"/>
        </w:rPr>
        <w:t xml:space="preserve"> </w:t>
      </w:r>
      <w:r w:rsidRPr="00DA7442">
        <w:rPr>
          <w:lang w:eastAsia="cs-CZ"/>
        </w:rPr>
        <w:t xml:space="preserve">byly zjištěny a vyčísleny nesprávnosti, jejich dopad na </w:t>
      </w:r>
      <w:r w:rsidR="00EA7700">
        <w:rPr>
          <w:lang w:eastAsia="cs-CZ"/>
        </w:rPr>
        <w:t xml:space="preserve">výkaz </w:t>
      </w:r>
      <w:r w:rsidR="00EA7700">
        <w:rPr>
          <w:rFonts w:eastAsia="Calibri" w:cs="Calibri"/>
        </w:rPr>
        <w:t>FIN 1-12 OSS</w:t>
      </w:r>
      <w:r w:rsidR="00183CD7">
        <w:rPr>
          <w:rFonts w:eastAsia="Calibri" w:cs="Calibri"/>
        </w:rPr>
        <w:t xml:space="preserve"> </w:t>
      </w:r>
      <w:r w:rsidRPr="00DA7442">
        <w:rPr>
          <w:lang w:eastAsia="cs-CZ"/>
        </w:rPr>
        <w:t>zobrazuje následující tabulka.</w:t>
      </w:r>
    </w:p>
    <w:p w14:paraId="0EE3BB3F" w14:textId="77777777" w:rsidR="007F612A" w:rsidRPr="00B30899" w:rsidRDefault="007F612A" w:rsidP="007F612A">
      <w:pPr>
        <w:shd w:val="clear" w:color="auto" w:fill="FFFFFF" w:themeFill="background1"/>
        <w:tabs>
          <w:tab w:val="right" w:pos="9072"/>
        </w:tabs>
        <w:spacing w:after="40"/>
        <w:jc w:val="both"/>
        <w:rPr>
          <w:rFonts w:eastAsiaTheme="minorHAnsi" w:cs="Calibri"/>
          <w:b/>
        </w:rPr>
      </w:pPr>
      <w:r>
        <w:rPr>
          <w:rFonts w:eastAsiaTheme="minorHAnsi" w:cs="Calibri"/>
          <w:b/>
        </w:rPr>
        <w:t>Tabulka č. 5</w:t>
      </w:r>
      <w:r w:rsidRPr="00B30899">
        <w:rPr>
          <w:rFonts w:eastAsiaTheme="minorHAnsi" w:cs="Calibri"/>
          <w:b/>
        </w:rPr>
        <w:t>: Přehled vyčíslených nesprávností zjiště</w:t>
      </w:r>
      <w:r>
        <w:rPr>
          <w:rFonts w:eastAsiaTheme="minorHAnsi" w:cs="Calibri"/>
          <w:b/>
        </w:rPr>
        <w:t>ných v</w:t>
      </w:r>
      <w:r w:rsidR="006D72D8">
        <w:rPr>
          <w:rFonts w:eastAsiaTheme="minorHAnsi" w:cs="Calibri"/>
          <w:b/>
        </w:rPr>
        <w:t xml:space="preserve">e </w:t>
      </w:r>
      <w:r w:rsidR="006D72D8" w:rsidRPr="006D72D8">
        <w:rPr>
          <w:rFonts w:eastAsiaTheme="minorHAnsi" w:cs="Calibri"/>
          <w:b/>
        </w:rPr>
        <w:t>výkaz</w:t>
      </w:r>
      <w:r w:rsidR="006D72D8">
        <w:rPr>
          <w:rFonts w:eastAsiaTheme="minorHAnsi" w:cs="Calibri"/>
          <w:b/>
        </w:rPr>
        <w:t>u</w:t>
      </w:r>
      <w:r w:rsidR="006D72D8" w:rsidRPr="006D72D8">
        <w:rPr>
          <w:rFonts w:eastAsiaTheme="minorHAnsi" w:cs="Calibri"/>
          <w:b/>
        </w:rPr>
        <w:t xml:space="preserve"> FIN 1-12 OSS</w:t>
      </w:r>
      <w:r w:rsidR="00FF1F3B">
        <w:rPr>
          <w:rFonts w:eastAsiaTheme="minorHAnsi" w:cs="Calibri"/>
          <w:b/>
        </w:rPr>
        <w:t xml:space="preserve"> </w:t>
      </w:r>
      <w:r w:rsidR="00FF1F3B">
        <w:rPr>
          <w:rFonts w:eastAsiaTheme="minorHAnsi" w:cs="Calibri"/>
          <w:b/>
        </w:rPr>
        <w:tab/>
      </w:r>
      <w:r w:rsidRPr="00B30899">
        <w:rPr>
          <w:rFonts w:eastAsiaTheme="minorHAnsi" w:cs="Calibri"/>
          <w:b/>
        </w:rPr>
        <w:t>(v Kč)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389"/>
      </w:tblGrid>
      <w:tr w:rsidR="007F612A" w14:paraId="138B5AC0" w14:textId="77777777" w:rsidTr="00A769E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31B4E" w14:textId="77777777" w:rsidR="007F612A" w:rsidRPr="007A748F" w:rsidRDefault="007F612A" w:rsidP="006D72D8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Nesprávnost v</w:t>
            </w: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e </w:t>
            </w:r>
            <w:r w:rsidR="006D72D8" w:rsidRPr="006D72D8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výkaz</w:t>
            </w:r>
            <w:r w:rsidR="006D72D8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u</w:t>
            </w:r>
            <w:r w:rsidR="006D72D8" w:rsidRPr="006D72D8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 FIN 1-12 OSS</w:t>
            </w:r>
          </w:p>
        </w:tc>
      </w:tr>
      <w:tr w:rsidR="007F612A" w14:paraId="76EAB5BC" w14:textId="77777777" w:rsidTr="00A769E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6425424D" w14:textId="77777777" w:rsidR="007F612A" w:rsidRPr="007A748F" w:rsidRDefault="006D72D8" w:rsidP="006D72D8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Údaje předkládané pro hodnocení plnění rozpočtu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46D79EA" w14:textId="77777777" w:rsidR="007F612A" w:rsidRPr="007A748F" w:rsidRDefault="007F612A" w:rsidP="00A769ED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</w:t>
            </w:r>
          </w:p>
        </w:tc>
      </w:tr>
      <w:tr w:rsidR="007F612A" w14:paraId="15F810E3" w14:textId="77777777" w:rsidTr="00A769ED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AE230" w14:textId="77777777" w:rsidR="007F612A" w:rsidRPr="00A1771E" w:rsidRDefault="007F612A" w:rsidP="006D72D8">
            <w:pPr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A1771E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 V</w:t>
            </w:r>
            <w:r w:rsidR="006D72D8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E VÝKAZU FIN 1-12 OSS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40CB3" w14:textId="77777777" w:rsidR="007F612A" w:rsidRPr="00A1771E" w:rsidRDefault="006D72D8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3 767 479 988,42</w:t>
            </w:r>
          </w:p>
        </w:tc>
      </w:tr>
      <w:tr w:rsidR="007F612A" w14:paraId="22D25DA2" w14:textId="77777777" w:rsidTr="00A769ED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C907B" w14:textId="77777777" w:rsidR="007F612A" w:rsidRPr="007A748F" w:rsidRDefault="006D72D8" w:rsidP="00A769ED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Příjmy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FAB7B" w14:textId="77777777" w:rsidR="007F612A" w:rsidRPr="007A748F" w:rsidRDefault="006D72D8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0,00</w:t>
            </w:r>
          </w:p>
        </w:tc>
      </w:tr>
      <w:tr w:rsidR="007F612A" w14:paraId="4D429687" w14:textId="77777777" w:rsidTr="00A769ED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EE26B" w14:textId="77777777" w:rsidR="007F612A" w:rsidRPr="007A748F" w:rsidRDefault="006D72D8" w:rsidP="00A769ED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Výdaje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12985" w14:textId="77777777" w:rsidR="007F612A" w:rsidRPr="007A748F" w:rsidRDefault="006D72D8" w:rsidP="0088208D">
            <w:pPr>
              <w:spacing w:after="0"/>
              <w:ind w:right="57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3 767 479 988,42</w:t>
            </w:r>
          </w:p>
        </w:tc>
      </w:tr>
    </w:tbl>
    <w:p w14:paraId="0E959044" w14:textId="77777777" w:rsidR="007F612A" w:rsidRPr="007A748F" w:rsidRDefault="007F612A" w:rsidP="007F612A">
      <w:pPr>
        <w:spacing w:before="40" w:after="0"/>
        <w:rPr>
          <w:rFonts w:asciiTheme="minorHAnsi" w:eastAsiaTheme="minorHAnsi" w:hAnsiTheme="minorHAnsi" w:cs="Calibri"/>
          <w:sz w:val="20"/>
          <w:szCs w:val="20"/>
        </w:rPr>
      </w:pPr>
      <w:r w:rsidRPr="007A748F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7A748F">
        <w:rPr>
          <w:rFonts w:asciiTheme="minorHAnsi" w:eastAsiaTheme="minorHAnsi" w:hAnsiTheme="minorHAnsi" w:cs="Calibri"/>
          <w:sz w:val="20"/>
          <w:szCs w:val="20"/>
        </w:rPr>
        <w:t xml:space="preserve"> </w:t>
      </w:r>
      <w:r w:rsidR="00CA6BD5">
        <w:rPr>
          <w:rFonts w:asciiTheme="minorHAnsi" w:eastAsiaTheme="minorHAnsi" w:hAnsiTheme="minorHAnsi" w:cs="Calibri"/>
          <w:sz w:val="20"/>
          <w:szCs w:val="20"/>
        </w:rPr>
        <w:t xml:space="preserve">výkaz Ministerstva dopravy FIN 1-12 OSS za rok 2018; </w:t>
      </w:r>
      <w:r>
        <w:rPr>
          <w:rFonts w:asciiTheme="minorHAnsi" w:eastAsiaTheme="minorHAnsi" w:hAnsiTheme="minorHAnsi" w:cs="Calibri"/>
          <w:sz w:val="20"/>
          <w:szCs w:val="20"/>
        </w:rPr>
        <w:t>výpočet NKÚ</w:t>
      </w:r>
      <w:r w:rsidR="006138B8">
        <w:rPr>
          <w:rFonts w:asciiTheme="minorHAnsi" w:eastAsiaTheme="minorHAnsi" w:hAnsiTheme="minorHAnsi" w:cs="Calibri"/>
          <w:sz w:val="20"/>
          <w:szCs w:val="20"/>
        </w:rPr>
        <w:t>.</w:t>
      </w:r>
    </w:p>
    <w:p w14:paraId="1ACC354E" w14:textId="77777777" w:rsidR="007F612A" w:rsidRPr="00B30899" w:rsidRDefault="007F612A" w:rsidP="007F612A">
      <w:pPr>
        <w:spacing w:after="0"/>
        <w:jc w:val="both"/>
        <w:rPr>
          <w:rFonts w:eastAsia="Calibri" w:cs="Calibri"/>
        </w:rPr>
      </w:pPr>
    </w:p>
    <w:p w14:paraId="2725B872" w14:textId="7AA997B9" w:rsidR="007F612A" w:rsidRDefault="007F612A" w:rsidP="007F612A">
      <w:pPr>
        <w:spacing w:after="0"/>
        <w:jc w:val="both"/>
        <w:rPr>
          <w:rFonts w:cs="Calibri"/>
        </w:rPr>
      </w:pPr>
      <w:r w:rsidRPr="00FD4424">
        <w:rPr>
          <w:rFonts w:cs="Calibri"/>
        </w:rPr>
        <w:t>Pro posouzení spolehlivosti</w:t>
      </w:r>
      <w:r>
        <w:rPr>
          <w:rFonts w:cs="Calibri"/>
        </w:rPr>
        <w:t xml:space="preserve"> informací v</w:t>
      </w:r>
      <w:r w:rsidR="00E400E6">
        <w:rPr>
          <w:rFonts w:cs="Calibri"/>
        </w:rPr>
        <w:t>e výkazu FIN 1-12 OSS</w:t>
      </w:r>
      <w:r>
        <w:rPr>
          <w:rFonts w:cs="Calibri"/>
        </w:rPr>
        <w:t xml:space="preserve"> </w:t>
      </w:r>
      <w:r w:rsidRPr="00FD4424">
        <w:rPr>
          <w:rFonts w:cs="Calibri"/>
        </w:rPr>
        <w:t xml:space="preserve">byla stanovena </w:t>
      </w:r>
      <w:r w:rsidRPr="005C4D1F">
        <w:rPr>
          <w:rFonts w:cs="Calibri"/>
          <w:b/>
        </w:rPr>
        <w:t>významnost</w:t>
      </w:r>
      <w:r w:rsidRPr="00FD4424">
        <w:rPr>
          <w:rFonts w:cs="Calibri"/>
        </w:rPr>
        <w:t xml:space="preserve"> </w:t>
      </w:r>
      <w:r>
        <w:rPr>
          <w:rFonts w:cs="Calibri"/>
        </w:rPr>
        <w:t xml:space="preserve">neboli </w:t>
      </w:r>
      <w:r w:rsidRPr="00FD4424">
        <w:rPr>
          <w:rFonts w:cs="Calibri"/>
        </w:rPr>
        <w:t>materialita</w:t>
      </w:r>
      <w:r w:rsidR="00681E50" w:rsidRPr="00681E50">
        <w:rPr>
          <w:rFonts w:cs="Calibri"/>
          <w:vertAlign w:val="superscript"/>
        </w:rPr>
        <w:t>3</w:t>
      </w:r>
      <w:r w:rsidRPr="00FD4424">
        <w:rPr>
          <w:rFonts w:cs="Calibri"/>
        </w:rPr>
        <w:t xml:space="preserve"> </w:t>
      </w:r>
      <w:r w:rsidRPr="00A1771E">
        <w:rPr>
          <w:rFonts w:cs="Calibri"/>
        </w:rPr>
        <w:t xml:space="preserve">ve výši </w:t>
      </w:r>
      <w:r w:rsidRPr="005C4D1F">
        <w:rPr>
          <w:rFonts w:cs="Calibri"/>
          <w:b/>
        </w:rPr>
        <w:t>1 mld. Kč</w:t>
      </w:r>
      <w:r w:rsidRPr="0088208D">
        <w:rPr>
          <w:rFonts w:cs="Calibri"/>
          <w:b/>
        </w:rPr>
        <w:t>.</w:t>
      </w:r>
      <w:r>
        <w:rPr>
          <w:rFonts w:cs="Calibri"/>
        </w:rPr>
        <w:t xml:space="preserve"> Kontrolou zjištěné </w:t>
      </w:r>
      <w:r>
        <w:rPr>
          <w:rFonts w:cs="Calibri"/>
          <w:b/>
        </w:rPr>
        <w:t>ne</w:t>
      </w:r>
      <w:r w:rsidRPr="00A1771E">
        <w:rPr>
          <w:rFonts w:cs="Calibri"/>
          <w:b/>
        </w:rPr>
        <w:t>správnost</w:t>
      </w:r>
      <w:r>
        <w:rPr>
          <w:rFonts w:cs="Calibri"/>
          <w:b/>
        </w:rPr>
        <w:t xml:space="preserve">i </w:t>
      </w:r>
      <w:r w:rsidR="006D72D8" w:rsidRPr="0088208D">
        <w:rPr>
          <w:rFonts w:eastAsia="Calibri" w:cs="Calibri"/>
          <w:b/>
        </w:rPr>
        <w:t>ve výkazu FIN 1-12 OSS</w:t>
      </w:r>
      <w:r w:rsidR="006D72D8">
        <w:rPr>
          <w:rFonts w:cs="Calibri"/>
        </w:rPr>
        <w:t xml:space="preserve"> </w:t>
      </w:r>
      <w:r>
        <w:rPr>
          <w:rFonts w:cs="Calibri"/>
        </w:rPr>
        <w:t xml:space="preserve">tak </w:t>
      </w:r>
      <w:r w:rsidRPr="00A1771E">
        <w:rPr>
          <w:rFonts w:cs="Calibri"/>
          <w:b/>
        </w:rPr>
        <w:t>měl</w:t>
      </w:r>
      <w:r>
        <w:rPr>
          <w:rFonts w:cs="Calibri"/>
          <w:b/>
        </w:rPr>
        <w:t>y</w:t>
      </w:r>
      <w:r w:rsidRPr="00A1771E">
        <w:rPr>
          <w:rFonts w:cs="Calibri"/>
          <w:b/>
        </w:rPr>
        <w:t xml:space="preserve"> významný dopad na </w:t>
      </w:r>
      <w:r>
        <w:rPr>
          <w:rFonts w:cs="Calibri"/>
          <w:b/>
        </w:rPr>
        <w:t>spolehlivost</w:t>
      </w:r>
      <w:r w:rsidR="006D72D8">
        <w:rPr>
          <w:rFonts w:cs="Calibri"/>
          <w:b/>
        </w:rPr>
        <w:t xml:space="preserve"> </w:t>
      </w:r>
      <w:r w:rsidR="000F27E7">
        <w:rPr>
          <w:rFonts w:cs="Calibri"/>
          <w:b/>
        </w:rPr>
        <w:t xml:space="preserve">informací uvedených v tomto výkazu. </w:t>
      </w:r>
    </w:p>
    <w:p w14:paraId="6D21AF59" w14:textId="77777777" w:rsidR="007F612A" w:rsidRDefault="007F612A" w:rsidP="0080604D">
      <w:pPr>
        <w:spacing w:after="0"/>
        <w:jc w:val="both"/>
        <w:rPr>
          <w:rFonts w:cs="Calibri"/>
        </w:rPr>
      </w:pPr>
    </w:p>
    <w:p w14:paraId="7A3608DC" w14:textId="490E86F1" w:rsidR="004B7860" w:rsidRPr="006617DD" w:rsidRDefault="003120C9" w:rsidP="006617DD">
      <w:pPr>
        <w:spacing w:after="0"/>
        <w:jc w:val="both"/>
        <w:rPr>
          <w:rFonts w:cs="Calibri"/>
        </w:rPr>
      </w:pPr>
      <w:r>
        <w:rPr>
          <w:rFonts w:cs="Calibri"/>
        </w:rPr>
        <w:t>Významné nesprávnosti souvis</w:t>
      </w:r>
      <w:r w:rsidR="000F27E7">
        <w:rPr>
          <w:rFonts w:cs="Calibri"/>
        </w:rPr>
        <w:t>ej</w:t>
      </w:r>
      <w:r>
        <w:rPr>
          <w:rFonts w:cs="Calibri"/>
        </w:rPr>
        <w:t xml:space="preserve">í s dotací, kterou </w:t>
      </w:r>
      <w:r w:rsidR="006617DD" w:rsidRPr="003120C9">
        <w:rPr>
          <w:rFonts w:cs="Calibri"/>
        </w:rPr>
        <w:t>MD poskytlo v roce 2018 Státnímu fondu dopravní infrastruktury</w:t>
      </w:r>
      <w:r w:rsidRPr="003120C9">
        <w:rPr>
          <w:rFonts w:cs="Calibri"/>
        </w:rPr>
        <w:t>.</w:t>
      </w:r>
      <w:r>
        <w:rPr>
          <w:rFonts w:cs="Calibri"/>
          <w:b/>
        </w:rPr>
        <w:t xml:space="preserve"> </w:t>
      </w:r>
      <w:r>
        <w:rPr>
          <w:rFonts w:cs="Calibri"/>
        </w:rPr>
        <w:t>T</w:t>
      </w:r>
      <w:r w:rsidR="006617DD" w:rsidRPr="006617DD">
        <w:rPr>
          <w:rFonts w:cs="Calibri"/>
        </w:rPr>
        <w:t xml:space="preserve">yto výdaje </w:t>
      </w:r>
      <w:r>
        <w:rPr>
          <w:rFonts w:cs="Calibri"/>
        </w:rPr>
        <w:t xml:space="preserve">MD </w:t>
      </w:r>
      <w:r w:rsidR="006617DD" w:rsidRPr="006617DD">
        <w:rPr>
          <w:rFonts w:cs="Calibri"/>
        </w:rPr>
        <w:t xml:space="preserve">zatřídilo z hlediska odvětvového na paragraf </w:t>
      </w:r>
      <w:r w:rsidR="006617DD" w:rsidRPr="006617DD">
        <w:rPr>
          <w:rFonts w:cs="Calibri"/>
        </w:rPr>
        <w:lastRenderedPageBreak/>
        <w:t xml:space="preserve">rozpočtové skladby </w:t>
      </w:r>
      <w:r w:rsidR="006617DD" w:rsidRPr="00F046E6">
        <w:rPr>
          <w:rFonts w:cs="Calibri"/>
        </w:rPr>
        <w:t>2299</w:t>
      </w:r>
      <w:r w:rsidR="006617DD" w:rsidRPr="006617DD">
        <w:rPr>
          <w:rFonts w:cs="Calibri"/>
          <w:i/>
        </w:rPr>
        <w:t> – Ostatní záležitosti v dopravě</w:t>
      </w:r>
      <w:r w:rsidR="006617DD" w:rsidRPr="006617DD">
        <w:rPr>
          <w:rFonts w:cs="Calibri"/>
        </w:rPr>
        <w:t xml:space="preserve">. </w:t>
      </w:r>
      <w:r>
        <w:rPr>
          <w:rFonts w:cs="Calibri"/>
        </w:rPr>
        <w:t>J</w:t>
      </w:r>
      <w:r w:rsidR="00B02E30">
        <w:rPr>
          <w:rFonts w:cs="Calibri"/>
        </w:rPr>
        <w:t xml:space="preserve">iž </w:t>
      </w:r>
      <w:r w:rsidR="006617DD">
        <w:rPr>
          <w:rFonts w:cs="Calibri"/>
        </w:rPr>
        <w:t xml:space="preserve">před poskytnutím dotace </w:t>
      </w:r>
      <w:r>
        <w:rPr>
          <w:rFonts w:cs="Calibri"/>
        </w:rPr>
        <w:t xml:space="preserve">však </w:t>
      </w:r>
      <w:r w:rsidR="004B7860" w:rsidRPr="006617DD">
        <w:rPr>
          <w:rFonts w:cs="Calibri"/>
        </w:rPr>
        <w:t>mělo informace</w:t>
      </w:r>
      <w:r w:rsidR="00B02E30">
        <w:rPr>
          <w:rFonts w:cs="Calibri"/>
        </w:rPr>
        <w:t xml:space="preserve"> o tom</w:t>
      </w:r>
      <w:r w:rsidR="004B7860" w:rsidRPr="006617DD">
        <w:rPr>
          <w:rFonts w:cs="Calibri"/>
        </w:rPr>
        <w:t xml:space="preserve">, na jaký </w:t>
      </w:r>
      <w:r w:rsidR="00454FA2">
        <w:rPr>
          <w:rFonts w:cs="Calibri"/>
        </w:rPr>
        <w:t>druh</w:t>
      </w:r>
      <w:r w:rsidR="00B02E30">
        <w:rPr>
          <w:rFonts w:cs="Calibri"/>
        </w:rPr>
        <w:t xml:space="preserve"> </w:t>
      </w:r>
      <w:r w:rsidR="004B7860" w:rsidRPr="006617DD">
        <w:rPr>
          <w:rFonts w:cs="Calibri"/>
        </w:rPr>
        <w:t>projekt</w:t>
      </w:r>
      <w:r w:rsidR="00B02E30">
        <w:rPr>
          <w:rFonts w:cs="Calibri"/>
        </w:rPr>
        <w:t>u</w:t>
      </w:r>
      <w:r w:rsidR="004B7860" w:rsidRPr="006617DD">
        <w:rPr>
          <w:rFonts w:cs="Calibri"/>
        </w:rPr>
        <w:t xml:space="preserve"> peněžní prostředky poskytuje</w:t>
      </w:r>
      <w:r w:rsidR="00B02E30" w:rsidRPr="003120C9">
        <w:rPr>
          <w:rFonts w:cs="Calibri"/>
        </w:rPr>
        <w:t>,</w:t>
      </w:r>
      <w:r w:rsidR="004B7860" w:rsidRPr="003120C9">
        <w:rPr>
          <w:rFonts w:cs="Calibri"/>
        </w:rPr>
        <w:t xml:space="preserve"> a mělo </w:t>
      </w:r>
      <w:r w:rsidR="00B02E30" w:rsidRPr="003120C9">
        <w:rPr>
          <w:rFonts w:cs="Calibri"/>
        </w:rPr>
        <w:t xml:space="preserve">tedy </w:t>
      </w:r>
      <w:r w:rsidR="004B7860" w:rsidRPr="003120C9">
        <w:rPr>
          <w:rFonts w:cs="Calibri"/>
        </w:rPr>
        <w:t xml:space="preserve">zvolit </w:t>
      </w:r>
      <w:r w:rsidR="00B02E30" w:rsidRPr="003120C9">
        <w:rPr>
          <w:rFonts w:cs="Calibri"/>
        </w:rPr>
        <w:t xml:space="preserve">takový </w:t>
      </w:r>
      <w:r w:rsidR="004B7860" w:rsidRPr="003120C9">
        <w:rPr>
          <w:rFonts w:cs="Calibri"/>
        </w:rPr>
        <w:t>paragraf rozpočtové skladby, který nejlépe odpoví</w:t>
      </w:r>
      <w:r w:rsidR="00E82D26">
        <w:rPr>
          <w:rFonts w:cs="Calibri"/>
        </w:rPr>
        <w:t>dá druhu činnosti, na kterou se</w:t>
      </w:r>
      <w:r w:rsidR="00810E04">
        <w:rPr>
          <w:rFonts w:cs="Calibri"/>
        </w:rPr>
        <w:t xml:space="preserve"> </w:t>
      </w:r>
      <w:r w:rsidR="004B7860" w:rsidRPr="003120C9">
        <w:rPr>
          <w:rFonts w:cs="Calibri"/>
        </w:rPr>
        <w:t>výdaje vynakládají</w:t>
      </w:r>
      <w:r w:rsidR="004B7860" w:rsidRPr="006617DD">
        <w:rPr>
          <w:rFonts w:cs="Calibri"/>
        </w:rPr>
        <w:t>.</w:t>
      </w:r>
    </w:p>
    <w:p w14:paraId="05FED710" w14:textId="77777777" w:rsidR="004B7860" w:rsidRPr="006617DD" w:rsidRDefault="004B7860" w:rsidP="00E720D7">
      <w:pPr>
        <w:spacing w:after="0"/>
        <w:jc w:val="both"/>
        <w:rPr>
          <w:rFonts w:cs="Calibri"/>
        </w:rPr>
      </w:pPr>
    </w:p>
    <w:p w14:paraId="1C8D2D19" w14:textId="77777777" w:rsidR="004B7860" w:rsidRPr="00636781" w:rsidRDefault="004B7860" w:rsidP="004B7860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V důsledku této skutečnosti MD ve výkazu </w:t>
      </w:r>
      <w:r w:rsidR="000478A5">
        <w:rPr>
          <w:rFonts w:cs="Calibri"/>
        </w:rPr>
        <w:t>FIN 1-12 OSS</w:t>
      </w:r>
      <w:r w:rsidRPr="00836D96">
        <w:rPr>
          <w:rFonts w:cs="Calibri"/>
        </w:rPr>
        <w:t xml:space="preserve"> </w:t>
      </w:r>
      <w:r>
        <w:rPr>
          <w:rFonts w:cs="Calibri"/>
          <w:b/>
        </w:rPr>
        <w:t>na</w:t>
      </w:r>
      <w:r w:rsidRPr="00636781">
        <w:rPr>
          <w:rFonts w:cs="Calibri"/>
          <w:b/>
        </w:rPr>
        <w:t xml:space="preserve">dhodnotilo </w:t>
      </w:r>
      <w:r w:rsidR="000478A5">
        <w:rPr>
          <w:rFonts w:cs="Calibri"/>
          <w:b/>
        </w:rPr>
        <w:t>rozpočtový paragraf</w:t>
      </w:r>
      <w:r w:rsidRPr="00607932">
        <w:rPr>
          <w:rFonts w:cs="Calibri"/>
          <w:b/>
        </w:rPr>
        <w:t xml:space="preserve"> </w:t>
      </w:r>
      <w:r w:rsidR="000478A5" w:rsidRPr="00F046E6">
        <w:rPr>
          <w:rFonts w:asciiTheme="minorHAnsi" w:hAnsiTheme="minorHAnsi" w:cstheme="minorHAnsi"/>
          <w:b/>
        </w:rPr>
        <w:t>2299</w:t>
      </w:r>
      <w:r w:rsidRPr="00607932">
        <w:rPr>
          <w:rFonts w:asciiTheme="minorHAnsi" w:hAnsiTheme="minorHAnsi" w:cstheme="minorHAnsi"/>
          <w:b/>
          <w:i/>
        </w:rPr>
        <w:t> – </w:t>
      </w:r>
      <w:r w:rsidR="000478A5">
        <w:rPr>
          <w:rFonts w:asciiTheme="minorHAnsi" w:hAnsiTheme="minorHAnsi" w:cstheme="minorHAnsi"/>
          <w:b/>
          <w:i/>
        </w:rPr>
        <w:t>Ostatní záležitosti v dopravě</w:t>
      </w:r>
      <w:r w:rsidRPr="00607932">
        <w:rPr>
          <w:rFonts w:cs="Calibri"/>
          <w:b/>
        </w:rPr>
        <w:t xml:space="preserve"> o </w:t>
      </w:r>
      <w:r w:rsidR="000478A5">
        <w:rPr>
          <w:rFonts w:cs="Calibri"/>
          <w:b/>
        </w:rPr>
        <w:t>3 760 364 065,83</w:t>
      </w:r>
      <w:r w:rsidRPr="004E302A">
        <w:rPr>
          <w:rFonts w:asciiTheme="minorHAnsi" w:hAnsiTheme="minorHAnsi" w:cstheme="minorHAnsi"/>
          <w:b/>
        </w:rPr>
        <w:t xml:space="preserve"> Kč</w:t>
      </w:r>
      <w:r w:rsidR="000478A5">
        <w:rPr>
          <w:rFonts w:asciiTheme="minorHAnsi" w:hAnsiTheme="minorHAnsi" w:cstheme="minorHAnsi"/>
          <w:b/>
        </w:rPr>
        <w:t xml:space="preserve"> a po</w:t>
      </w:r>
      <w:r w:rsidR="000478A5" w:rsidRPr="00636781">
        <w:rPr>
          <w:rFonts w:cs="Calibri"/>
          <w:b/>
        </w:rPr>
        <w:t>dhodnotilo</w:t>
      </w:r>
      <w:r w:rsidR="00454FA2">
        <w:rPr>
          <w:rFonts w:cs="Calibri"/>
          <w:b/>
        </w:rPr>
        <w:t xml:space="preserve"> rozpočtový paragraf</w:t>
      </w:r>
      <w:r w:rsidR="00454FA2" w:rsidRPr="00607932">
        <w:rPr>
          <w:rFonts w:cs="Calibri"/>
          <w:b/>
        </w:rPr>
        <w:t xml:space="preserve"> </w:t>
      </w:r>
      <w:r w:rsidR="00B02E30" w:rsidRPr="00F046E6">
        <w:rPr>
          <w:rFonts w:asciiTheme="minorHAnsi" w:eastAsiaTheme="minorHAnsi" w:hAnsiTheme="minorHAnsi" w:cstheme="minorHAnsi"/>
          <w:b/>
        </w:rPr>
        <w:t>2241</w:t>
      </w:r>
      <w:r w:rsidR="00B02E30">
        <w:rPr>
          <w:rFonts w:asciiTheme="minorHAnsi" w:eastAsiaTheme="minorHAnsi" w:hAnsiTheme="minorHAnsi" w:cstheme="minorHAnsi"/>
          <w:b/>
          <w:i/>
        </w:rPr>
        <w:t> </w:t>
      </w:r>
      <w:r w:rsidR="00B02E30" w:rsidRPr="00CB5021">
        <w:rPr>
          <w:rFonts w:asciiTheme="minorHAnsi" w:hAnsiTheme="minorHAnsi" w:cstheme="minorHAnsi"/>
          <w:b/>
          <w:i/>
        </w:rPr>
        <w:t>–</w:t>
      </w:r>
      <w:r w:rsidR="00B02E30">
        <w:rPr>
          <w:rFonts w:asciiTheme="minorHAnsi" w:hAnsiTheme="minorHAnsi" w:cstheme="minorHAnsi"/>
          <w:b/>
          <w:i/>
        </w:rPr>
        <w:t> </w:t>
      </w:r>
      <w:r w:rsidR="00B02E30" w:rsidRPr="004E302A">
        <w:rPr>
          <w:rFonts w:asciiTheme="minorHAnsi" w:eastAsiaTheme="minorHAnsi" w:hAnsiTheme="minorHAnsi" w:cstheme="minorHAnsi"/>
          <w:b/>
          <w:i/>
        </w:rPr>
        <w:t xml:space="preserve">Železniční dráhy </w:t>
      </w:r>
      <w:r w:rsidR="00B02E30" w:rsidRPr="004E302A">
        <w:rPr>
          <w:rFonts w:asciiTheme="minorHAnsi" w:eastAsiaTheme="minorHAnsi" w:hAnsiTheme="minorHAnsi" w:cstheme="minorHAnsi"/>
          <w:b/>
        </w:rPr>
        <w:t xml:space="preserve">o </w:t>
      </w:r>
      <w:r w:rsidR="00B02E30">
        <w:rPr>
          <w:rFonts w:asciiTheme="minorHAnsi" w:eastAsiaTheme="minorHAnsi" w:hAnsiTheme="minorHAnsi" w:cstheme="minorHAnsi"/>
          <w:b/>
        </w:rPr>
        <w:t>2 316 852 550,53</w:t>
      </w:r>
      <w:r w:rsidR="00B02E30" w:rsidRPr="004E302A">
        <w:rPr>
          <w:rFonts w:asciiTheme="minorHAnsi" w:eastAsiaTheme="minorHAnsi" w:hAnsiTheme="minorHAnsi" w:cstheme="minorHAnsi"/>
          <w:b/>
        </w:rPr>
        <w:t xml:space="preserve"> Kč</w:t>
      </w:r>
      <w:r w:rsidR="00454FA2">
        <w:rPr>
          <w:rFonts w:asciiTheme="minorHAnsi" w:eastAsiaTheme="minorHAnsi" w:hAnsiTheme="minorHAnsi" w:cstheme="minorHAnsi"/>
          <w:b/>
        </w:rPr>
        <w:t xml:space="preserve">, </w:t>
      </w:r>
      <w:r w:rsidR="00454FA2">
        <w:rPr>
          <w:rFonts w:cs="Calibri"/>
          <w:b/>
        </w:rPr>
        <w:t>rozpočtový paragraf</w:t>
      </w:r>
      <w:r w:rsidR="00454FA2" w:rsidRPr="00607932">
        <w:rPr>
          <w:rFonts w:cs="Calibri"/>
          <w:b/>
        </w:rPr>
        <w:t xml:space="preserve"> </w:t>
      </w:r>
      <w:r w:rsidR="00B02E30" w:rsidRPr="00F046E6">
        <w:rPr>
          <w:rFonts w:asciiTheme="minorHAnsi" w:hAnsiTheme="minorHAnsi" w:cstheme="minorHAnsi"/>
          <w:b/>
        </w:rPr>
        <w:t>2212</w:t>
      </w:r>
      <w:r w:rsidR="00B02E30">
        <w:rPr>
          <w:rFonts w:asciiTheme="minorHAnsi" w:hAnsiTheme="minorHAnsi" w:cstheme="minorHAnsi"/>
          <w:b/>
          <w:i/>
        </w:rPr>
        <w:t> </w:t>
      </w:r>
      <w:r w:rsidR="00B02E30" w:rsidRPr="00CB5021">
        <w:rPr>
          <w:rFonts w:asciiTheme="minorHAnsi" w:hAnsiTheme="minorHAnsi" w:cstheme="minorHAnsi"/>
          <w:b/>
          <w:i/>
        </w:rPr>
        <w:t>–</w:t>
      </w:r>
      <w:r w:rsidR="00B02E30">
        <w:rPr>
          <w:rFonts w:asciiTheme="minorHAnsi" w:hAnsiTheme="minorHAnsi" w:cstheme="minorHAnsi"/>
          <w:b/>
          <w:i/>
        </w:rPr>
        <w:t> </w:t>
      </w:r>
      <w:r w:rsidR="00B02E30" w:rsidRPr="004E302A">
        <w:rPr>
          <w:rFonts w:asciiTheme="minorHAnsi" w:hAnsiTheme="minorHAnsi" w:cstheme="minorHAnsi"/>
          <w:b/>
          <w:i/>
        </w:rPr>
        <w:t>Silnice</w:t>
      </w:r>
      <w:r w:rsidR="00B02E30" w:rsidRPr="004E302A">
        <w:rPr>
          <w:rFonts w:asciiTheme="minorHAnsi" w:hAnsiTheme="minorHAnsi" w:cstheme="minorHAnsi"/>
          <w:b/>
        </w:rPr>
        <w:t xml:space="preserve"> </w:t>
      </w:r>
      <w:r w:rsidR="00D11772">
        <w:rPr>
          <w:rFonts w:asciiTheme="minorHAnsi" w:hAnsiTheme="minorHAnsi" w:cstheme="minorHAnsi"/>
          <w:b/>
        </w:rPr>
        <w:br/>
      </w:r>
      <w:r w:rsidR="00B02E30" w:rsidRPr="004E302A">
        <w:rPr>
          <w:rFonts w:asciiTheme="minorHAnsi" w:hAnsiTheme="minorHAnsi" w:cstheme="minorHAnsi"/>
          <w:b/>
        </w:rPr>
        <w:t>o 1 400 000 000 Kč</w:t>
      </w:r>
      <w:r w:rsidR="00454FA2">
        <w:rPr>
          <w:rFonts w:asciiTheme="minorHAnsi" w:hAnsiTheme="minorHAnsi" w:cstheme="minorHAnsi"/>
          <w:b/>
        </w:rPr>
        <w:t xml:space="preserve"> a </w:t>
      </w:r>
      <w:r w:rsidR="00454FA2">
        <w:rPr>
          <w:rFonts w:cs="Calibri"/>
          <w:b/>
        </w:rPr>
        <w:t>rozpočtový paragraf</w:t>
      </w:r>
      <w:r w:rsidR="00454FA2" w:rsidRPr="00607932">
        <w:rPr>
          <w:rFonts w:cs="Calibri"/>
          <w:b/>
        </w:rPr>
        <w:t xml:space="preserve"> </w:t>
      </w:r>
      <w:r w:rsidR="00454FA2" w:rsidRPr="00F046E6">
        <w:rPr>
          <w:rFonts w:asciiTheme="minorHAnsi" w:hAnsiTheme="minorHAnsi" w:cstheme="minorHAnsi"/>
          <w:b/>
        </w:rPr>
        <w:t>2211</w:t>
      </w:r>
      <w:r w:rsidR="00454FA2" w:rsidRPr="00607932">
        <w:rPr>
          <w:rFonts w:asciiTheme="minorHAnsi" w:hAnsiTheme="minorHAnsi" w:cstheme="minorHAnsi"/>
          <w:b/>
          <w:i/>
        </w:rPr>
        <w:t> – </w:t>
      </w:r>
      <w:r w:rsidR="00454FA2">
        <w:rPr>
          <w:rFonts w:asciiTheme="minorHAnsi" w:hAnsiTheme="minorHAnsi" w:cstheme="minorHAnsi"/>
          <w:b/>
          <w:i/>
        </w:rPr>
        <w:t>Dálnice</w:t>
      </w:r>
      <w:r w:rsidR="00454FA2" w:rsidRPr="004E302A">
        <w:rPr>
          <w:rFonts w:asciiTheme="minorHAnsi" w:hAnsiTheme="minorHAnsi" w:cstheme="minorHAnsi"/>
          <w:b/>
        </w:rPr>
        <w:t xml:space="preserve"> </w:t>
      </w:r>
      <w:r w:rsidR="00454FA2">
        <w:rPr>
          <w:rFonts w:asciiTheme="minorHAnsi" w:hAnsiTheme="minorHAnsi" w:cstheme="minorHAnsi"/>
          <w:b/>
        </w:rPr>
        <w:t>o 43 511 515,30 Kč</w:t>
      </w:r>
      <w:r w:rsidRPr="00F046E6">
        <w:rPr>
          <w:rFonts w:cs="Calibri"/>
          <w:b/>
        </w:rPr>
        <w:t>.</w:t>
      </w:r>
    </w:p>
    <w:p w14:paraId="6F07D8F8" w14:textId="77777777" w:rsidR="004B7860" w:rsidRDefault="004B7860" w:rsidP="00E720D7">
      <w:pPr>
        <w:spacing w:after="0"/>
        <w:jc w:val="both"/>
        <w:rPr>
          <w:rFonts w:cs="Calibri"/>
        </w:rPr>
      </w:pPr>
    </w:p>
    <w:p w14:paraId="1B1B8779" w14:textId="77777777" w:rsidR="00F56C49" w:rsidRDefault="00F56C49" w:rsidP="005D7D07">
      <w:pPr>
        <w:spacing w:after="0"/>
        <w:jc w:val="both"/>
        <w:rPr>
          <w:rFonts w:cs="Calibri"/>
        </w:rPr>
      </w:pPr>
    </w:p>
    <w:p w14:paraId="0A28FDA9" w14:textId="77777777" w:rsidR="007A31B7" w:rsidRPr="00E33943" w:rsidRDefault="00B02E30" w:rsidP="00F046E6">
      <w:pPr>
        <w:pStyle w:val="Nadpis2"/>
        <w:keepNext/>
        <w:numPr>
          <w:ilvl w:val="0"/>
          <w:numId w:val="2"/>
        </w:numPr>
        <w:spacing w:after="0" w:line="240" w:lineRule="auto"/>
        <w:ind w:left="284" w:hanging="284"/>
        <w:contextualSpacing w:val="0"/>
        <w:jc w:val="left"/>
        <w:rPr>
          <w:rFonts w:ascii="Calibri" w:hAnsi="Calibri" w:cs="Calibri"/>
          <w:lang w:eastAsia="cs-CZ"/>
        </w:rPr>
      </w:pPr>
      <w:r w:rsidRPr="004E442B">
        <w:rPr>
          <w:rFonts w:cs="Calibri"/>
        </w:rPr>
        <w:t xml:space="preserve">Závěrečný účet kapitoly </w:t>
      </w:r>
      <w:r w:rsidRPr="00F046E6">
        <w:rPr>
          <w:rFonts w:cs="Calibri"/>
        </w:rPr>
        <w:t>327</w:t>
      </w:r>
      <w:r w:rsidRPr="004E442B">
        <w:rPr>
          <w:rFonts w:cs="Calibri"/>
          <w:i/>
        </w:rPr>
        <w:t xml:space="preserve"> </w:t>
      </w:r>
      <w:r w:rsidRPr="004E442B">
        <w:rPr>
          <w:i/>
        </w:rPr>
        <w:t xml:space="preserve">– </w:t>
      </w:r>
      <w:r w:rsidRPr="004E442B">
        <w:rPr>
          <w:rFonts w:cs="Calibri"/>
          <w:i/>
        </w:rPr>
        <w:t>Ministerstvo dopravy</w:t>
      </w:r>
      <w:r w:rsidRPr="004E442B">
        <w:rPr>
          <w:rFonts w:cs="Calibri"/>
        </w:rPr>
        <w:t xml:space="preserve"> za rok 2018</w:t>
      </w:r>
    </w:p>
    <w:p w14:paraId="6197E18F" w14:textId="77777777" w:rsidR="007A31B7" w:rsidRDefault="007A31B7" w:rsidP="007A31B7">
      <w:pPr>
        <w:spacing w:after="0"/>
        <w:jc w:val="both"/>
        <w:rPr>
          <w:rFonts w:cs="Calibri"/>
        </w:rPr>
      </w:pPr>
    </w:p>
    <w:p w14:paraId="1AB50863" w14:textId="4F2B4A38" w:rsidR="003C1FEE" w:rsidRPr="004B16DD" w:rsidRDefault="00A640AE" w:rsidP="00AC46B0">
      <w:pPr>
        <w:spacing w:after="0"/>
        <w:jc w:val="both"/>
        <w:rPr>
          <w:rFonts w:cs="Calibri"/>
        </w:rPr>
      </w:pPr>
      <w:r w:rsidRPr="004B16DD">
        <w:rPr>
          <w:rFonts w:cs="Calibri"/>
        </w:rPr>
        <w:t xml:space="preserve">Při kontrole závěrečného účtu </w:t>
      </w:r>
      <w:r w:rsidRPr="000D2D9E">
        <w:rPr>
          <w:rFonts w:cs="Calibri"/>
        </w:rPr>
        <w:t xml:space="preserve">kapitoly </w:t>
      </w:r>
      <w:r w:rsidR="00CB5F2C">
        <w:rPr>
          <w:rFonts w:cs="Calibri"/>
        </w:rPr>
        <w:t xml:space="preserve">státního rozpočtu </w:t>
      </w:r>
      <w:r w:rsidR="000D2D9E" w:rsidRPr="00F046E6">
        <w:rPr>
          <w:rFonts w:cs="Calibri"/>
        </w:rPr>
        <w:t>327</w:t>
      </w:r>
      <w:r w:rsidR="000D2D9E" w:rsidRPr="00AC46B0">
        <w:rPr>
          <w:rFonts w:cs="Calibri"/>
          <w:i/>
        </w:rPr>
        <w:t xml:space="preserve"> – Ministerstvo dopravy</w:t>
      </w:r>
      <w:r w:rsidR="000D2D9E" w:rsidRPr="000D2D9E">
        <w:rPr>
          <w:rFonts w:cs="Calibri"/>
        </w:rPr>
        <w:t xml:space="preserve"> </w:t>
      </w:r>
      <w:r w:rsidRPr="000D2D9E">
        <w:rPr>
          <w:rFonts w:cs="Calibri"/>
        </w:rPr>
        <w:t>za rok 2018 byla ověřena správnost a úplnost údajů a číselných hodnot uvedených v průvodní</w:t>
      </w:r>
      <w:r w:rsidRPr="004B16DD">
        <w:rPr>
          <w:rFonts w:cs="Calibri"/>
        </w:rPr>
        <w:t xml:space="preserve"> zprávě, v číselných sestavách a v tabulkových přílohách.</w:t>
      </w:r>
    </w:p>
    <w:p w14:paraId="2E0F84D9" w14:textId="77777777" w:rsidR="00AC46B0" w:rsidRDefault="00AC46B0" w:rsidP="00AC46B0">
      <w:pPr>
        <w:spacing w:after="0"/>
        <w:jc w:val="both"/>
        <w:rPr>
          <w:rFonts w:cs="Calibri"/>
        </w:rPr>
      </w:pPr>
    </w:p>
    <w:p w14:paraId="24684C3B" w14:textId="582CAC3D" w:rsidR="00FC0170" w:rsidRDefault="00AC46B0" w:rsidP="00AC46B0">
      <w:pPr>
        <w:spacing w:after="0"/>
        <w:jc w:val="both"/>
        <w:rPr>
          <w:rFonts w:cs="Calibri"/>
        </w:rPr>
      </w:pPr>
      <w:r>
        <w:rPr>
          <w:rFonts w:cs="Calibri"/>
        </w:rPr>
        <w:t>V</w:t>
      </w:r>
      <w:r w:rsidRPr="00AC46B0">
        <w:rPr>
          <w:rFonts w:cs="Calibri"/>
        </w:rPr>
        <w:t>ýznamn</w:t>
      </w:r>
      <w:r>
        <w:rPr>
          <w:rFonts w:cs="Calibri"/>
        </w:rPr>
        <w:t>é</w:t>
      </w:r>
      <w:r w:rsidRPr="00AC46B0">
        <w:rPr>
          <w:rFonts w:cs="Calibri"/>
        </w:rPr>
        <w:t xml:space="preserve"> nesprávnost</w:t>
      </w:r>
      <w:r>
        <w:rPr>
          <w:rFonts w:cs="Calibri"/>
        </w:rPr>
        <w:t>i</w:t>
      </w:r>
      <w:r w:rsidRPr="00AC46B0">
        <w:rPr>
          <w:rFonts w:cs="Calibri"/>
        </w:rPr>
        <w:t xml:space="preserve"> uveden</w:t>
      </w:r>
      <w:r>
        <w:rPr>
          <w:rFonts w:cs="Calibri"/>
        </w:rPr>
        <w:t>é</w:t>
      </w:r>
      <w:r w:rsidRPr="00AC46B0">
        <w:rPr>
          <w:rFonts w:cs="Calibri"/>
        </w:rPr>
        <w:t xml:space="preserve"> v části IV.2 tohoto kontrolního závěru </w:t>
      </w:r>
      <w:r>
        <w:rPr>
          <w:rFonts w:cs="Calibri"/>
        </w:rPr>
        <w:t>spočívající v nesprávném zatřídění některých poskytnutých dotací ve výkazu FIN 1-12 OSS dle</w:t>
      </w:r>
      <w:r w:rsidR="00183CD7">
        <w:rPr>
          <w:rFonts w:cs="Calibri"/>
        </w:rPr>
        <w:t xml:space="preserve"> </w:t>
      </w:r>
      <w:r>
        <w:rPr>
          <w:rFonts w:cs="Calibri"/>
        </w:rPr>
        <w:t xml:space="preserve">odvětvového třídění rozpočtové skladby byly obsaženy </w:t>
      </w:r>
      <w:r w:rsidR="002322A0">
        <w:rPr>
          <w:rFonts w:cs="Calibri"/>
        </w:rPr>
        <w:t xml:space="preserve">i </w:t>
      </w:r>
      <w:r>
        <w:rPr>
          <w:rFonts w:cs="Calibri"/>
        </w:rPr>
        <w:t xml:space="preserve">v </w:t>
      </w:r>
      <w:r w:rsidRPr="004B16DD">
        <w:rPr>
          <w:rFonts w:cs="Calibri"/>
        </w:rPr>
        <w:t>závěrečné</w:t>
      </w:r>
      <w:r>
        <w:rPr>
          <w:rFonts w:cs="Calibri"/>
        </w:rPr>
        <w:t>m</w:t>
      </w:r>
      <w:r w:rsidRPr="004B16DD">
        <w:rPr>
          <w:rFonts w:cs="Calibri"/>
        </w:rPr>
        <w:t xml:space="preserve"> účtu </w:t>
      </w:r>
      <w:r w:rsidRPr="000D2D9E">
        <w:rPr>
          <w:rFonts w:cs="Calibri"/>
        </w:rPr>
        <w:t>kapitoly</w:t>
      </w:r>
      <w:r w:rsidR="0093334C">
        <w:rPr>
          <w:rFonts w:cs="Calibri"/>
        </w:rPr>
        <w:t xml:space="preserve"> </w:t>
      </w:r>
      <w:r w:rsidR="0047093D">
        <w:rPr>
          <w:rFonts w:cs="Calibri"/>
        </w:rPr>
        <w:br/>
      </w:r>
      <w:r w:rsidRPr="00F046E6">
        <w:rPr>
          <w:rFonts w:cs="Calibri"/>
        </w:rPr>
        <w:t>327</w:t>
      </w:r>
      <w:r w:rsidRPr="00AC46B0">
        <w:rPr>
          <w:rFonts w:cs="Calibri"/>
          <w:i/>
        </w:rPr>
        <w:t xml:space="preserve"> – Ministerstvo dopravy</w:t>
      </w:r>
      <w:r w:rsidRPr="000D2D9E">
        <w:rPr>
          <w:rFonts w:cs="Calibri"/>
        </w:rPr>
        <w:t xml:space="preserve"> za rok 2018</w:t>
      </w:r>
      <w:r w:rsidR="00FC0170">
        <w:rPr>
          <w:rFonts w:cs="Calibri"/>
        </w:rPr>
        <w:t>.</w:t>
      </w:r>
    </w:p>
    <w:p w14:paraId="50412D47" w14:textId="77777777" w:rsidR="00FC0170" w:rsidRDefault="00FC0170" w:rsidP="00AC46B0">
      <w:pPr>
        <w:spacing w:after="0"/>
        <w:jc w:val="both"/>
        <w:rPr>
          <w:rFonts w:cs="Calibri"/>
        </w:rPr>
      </w:pPr>
    </w:p>
    <w:p w14:paraId="6F72DF52" w14:textId="0D2F02EB" w:rsidR="007A062A" w:rsidRDefault="00AC46B0" w:rsidP="00FC017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Dále byly kontrolou zjištěny </w:t>
      </w:r>
      <w:r w:rsidR="00FC0170">
        <w:rPr>
          <w:rFonts w:cs="Calibri"/>
        </w:rPr>
        <w:t xml:space="preserve">některé další nesprávnosti, které však nebyly významné. MD v závěrečném účtu neuvedlo </w:t>
      </w:r>
      <w:r w:rsidRPr="00FC0170">
        <w:rPr>
          <w:rFonts w:cs="Calibri"/>
        </w:rPr>
        <w:t xml:space="preserve">informaci o výsledku některých </w:t>
      </w:r>
      <w:r w:rsidR="00726EC4">
        <w:rPr>
          <w:rFonts w:cs="Calibri"/>
        </w:rPr>
        <w:t>vnějších kontrol provedených na</w:t>
      </w:r>
      <w:r w:rsidR="000F27E7">
        <w:rPr>
          <w:rFonts w:cs="Calibri"/>
        </w:rPr>
        <w:t xml:space="preserve"> </w:t>
      </w:r>
      <w:r w:rsidRPr="00FC0170">
        <w:rPr>
          <w:rFonts w:cs="Calibri"/>
        </w:rPr>
        <w:t>MD </w:t>
      </w:r>
      <w:r w:rsidR="000F27E7">
        <w:rPr>
          <w:rFonts w:cs="Calibri"/>
        </w:rPr>
        <w:t>–</w:t>
      </w:r>
      <w:r w:rsidRPr="00FC0170">
        <w:rPr>
          <w:rFonts w:cs="Calibri"/>
        </w:rPr>
        <w:t> ústředním orgánu státní správy a</w:t>
      </w:r>
      <w:r w:rsidR="00FC0170">
        <w:rPr>
          <w:rFonts w:cs="Calibri"/>
        </w:rPr>
        <w:t xml:space="preserve"> </w:t>
      </w:r>
      <w:r w:rsidRPr="00FC0170">
        <w:rPr>
          <w:rFonts w:cs="Calibri"/>
        </w:rPr>
        <w:t xml:space="preserve">u některých kontrol </w:t>
      </w:r>
      <w:r w:rsidR="002322A0">
        <w:rPr>
          <w:rFonts w:cs="Calibri"/>
        </w:rPr>
        <w:t xml:space="preserve">neuvedlo </w:t>
      </w:r>
      <w:r w:rsidRPr="00FC0170">
        <w:rPr>
          <w:rFonts w:cs="Calibri"/>
        </w:rPr>
        <w:t>informaci o přijatých opatřeních k odstranění zjištěných závad a zhodnocení jejich plnění.</w:t>
      </w:r>
    </w:p>
    <w:p w14:paraId="24EE4786" w14:textId="77777777" w:rsidR="00726EC4" w:rsidRPr="00FC0170" w:rsidRDefault="00726EC4" w:rsidP="00FC0170">
      <w:pPr>
        <w:spacing w:after="0"/>
        <w:jc w:val="both"/>
        <w:rPr>
          <w:rFonts w:cs="Calibri"/>
        </w:rPr>
      </w:pPr>
    </w:p>
    <w:p w14:paraId="643AA789" w14:textId="77777777" w:rsidR="00BC13B9" w:rsidRPr="00C51F38" w:rsidRDefault="00BC13B9" w:rsidP="00C51F38">
      <w:pPr>
        <w:spacing w:after="0"/>
        <w:jc w:val="both"/>
        <w:rPr>
          <w:rFonts w:cs="Calibri"/>
        </w:rPr>
      </w:pPr>
    </w:p>
    <w:p w14:paraId="393A1407" w14:textId="77777777" w:rsidR="00A769ED" w:rsidRPr="00A769ED" w:rsidRDefault="00A769ED" w:rsidP="00F046E6">
      <w:pPr>
        <w:pStyle w:val="Nadpis2"/>
        <w:keepNext/>
        <w:numPr>
          <w:ilvl w:val="0"/>
          <w:numId w:val="2"/>
        </w:numPr>
        <w:spacing w:after="0" w:line="240" w:lineRule="auto"/>
        <w:ind w:left="284" w:hanging="284"/>
        <w:contextualSpacing w:val="0"/>
        <w:jc w:val="left"/>
        <w:rPr>
          <w:rFonts w:cs="Calibri"/>
        </w:rPr>
      </w:pPr>
      <w:r w:rsidRPr="00A769ED">
        <w:rPr>
          <w:rFonts w:cs="Calibri"/>
        </w:rPr>
        <w:t xml:space="preserve">Upozornění na některá ustanovení předpisů pro vedení účetnictví </w:t>
      </w:r>
      <w:r w:rsidR="00EB729D">
        <w:rPr>
          <w:rFonts w:cs="Calibri"/>
        </w:rPr>
        <w:t>organizačních složek státu</w:t>
      </w:r>
      <w:r w:rsidRPr="00A769ED">
        <w:rPr>
          <w:rFonts w:cs="Calibri"/>
        </w:rPr>
        <w:t xml:space="preserve"> a pro sestavení návrhů závěrečných účtů kapitol státního rozpočtu</w:t>
      </w:r>
    </w:p>
    <w:p w14:paraId="041F218B" w14:textId="77777777" w:rsidR="00A769ED" w:rsidRDefault="00A769ED" w:rsidP="00A769ED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eastAsiaTheme="minorHAnsi"/>
          <w:b w:val="0"/>
        </w:rPr>
      </w:pPr>
    </w:p>
    <w:p w14:paraId="39569289" w14:textId="77777777" w:rsidR="00A769ED" w:rsidRPr="00FC0170" w:rsidRDefault="002C7399" w:rsidP="00A769ED">
      <w:pPr>
        <w:spacing w:after="0"/>
        <w:jc w:val="both"/>
        <w:rPr>
          <w:rFonts w:cs="Calibri"/>
        </w:rPr>
      </w:pPr>
      <w:r w:rsidRPr="00A769ED">
        <w:rPr>
          <w:rFonts w:asciiTheme="minorHAnsi" w:hAnsiTheme="minorHAnsi" w:cstheme="minorHAnsi"/>
        </w:rPr>
        <w:t xml:space="preserve">Některá ustanovení předpisů </w:t>
      </w:r>
      <w:r>
        <w:rPr>
          <w:rFonts w:cs="Calibri"/>
        </w:rPr>
        <w:t xml:space="preserve">pro vedení účetnictví </w:t>
      </w:r>
      <w:r w:rsidR="00EB729D">
        <w:rPr>
          <w:rFonts w:cs="Calibri"/>
        </w:rPr>
        <w:t>organizačních složek státu</w:t>
      </w:r>
      <w:r>
        <w:rPr>
          <w:rFonts w:cs="Calibri"/>
        </w:rPr>
        <w:t xml:space="preserve"> a pro s</w:t>
      </w:r>
      <w:r w:rsidRPr="00A769ED">
        <w:rPr>
          <w:rFonts w:cs="Calibri"/>
        </w:rPr>
        <w:t>estavení návrhů závěrečných účtů kapitol státního rozpočt</w:t>
      </w:r>
      <w:r>
        <w:rPr>
          <w:rFonts w:cs="Calibri"/>
        </w:rPr>
        <w:t>u</w:t>
      </w:r>
      <w:r w:rsidRPr="00A769ED">
        <w:rPr>
          <w:rFonts w:asciiTheme="minorHAnsi" w:hAnsiTheme="minorHAnsi" w:cstheme="minorHAnsi"/>
        </w:rPr>
        <w:t xml:space="preserve"> </w:t>
      </w:r>
      <w:r w:rsidR="0045119C">
        <w:rPr>
          <w:rFonts w:asciiTheme="minorHAnsi" w:hAnsiTheme="minorHAnsi" w:cstheme="minorHAnsi"/>
        </w:rPr>
        <w:t>způsobují potíže s jejich aplikací</w:t>
      </w:r>
      <w:r w:rsidRPr="00A769ED">
        <w:rPr>
          <w:rFonts w:asciiTheme="minorHAnsi" w:hAnsiTheme="minorHAnsi" w:cstheme="minorHAnsi"/>
        </w:rPr>
        <w:t xml:space="preserve">, jiná </w:t>
      </w:r>
      <w:r w:rsidR="00D93E91">
        <w:rPr>
          <w:rFonts w:asciiTheme="minorHAnsi" w:hAnsiTheme="minorHAnsi" w:cstheme="minorHAnsi"/>
        </w:rPr>
        <w:t xml:space="preserve">ustanovení těchto předpisů </w:t>
      </w:r>
      <w:r w:rsidR="0084223B">
        <w:rPr>
          <w:rFonts w:asciiTheme="minorHAnsi" w:hAnsiTheme="minorHAnsi" w:cstheme="minorHAnsi"/>
        </w:rPr>
        <w:t xml:space="preserve">snižují vypovídací schopnost některých </w:t>
      </w:r>
      <w:r w:rsidR="00AC7189">
        <w:rPr>
          <w:rFonts w:asciiTheme="minorHAnsi" w:hAnsiTheme="minorHAnsi" w:cstheme="minorHAnsi"/>
        </w:rPr>
        <w:t>informací</w:t>
      </w:r>
      <w:r w:rsidRPr="00A769ED">
        <w:rPr>
          <w:rFonts w:asciiTheme="minorHAnsi" w:hAnsiTheme="minorHAnsi" w:cstheme="minorHAnsi"/>
        </w:rPr>
        <w:t xml:space="preserve"> </w:t>
      </w:r>
      <w:r w:rsidR="0045119C">
        <w:rPr>
          <w:rFonts w:asciiTheme="minorHAnsi" w:hAnsiTheme="minorHAnsi" w:cstheme="minorHAnsi"/>
        </w:rPr>
        <w:t>v účetní závěrce MD</w:t>
      </w:r>
      <w:r w:rsidRPr="00A769ED">
        <w:rPr>
          <w:rFonts w:asciiTheme="minorHAnsi" w:hAnsiTheme="minorHAnsi" w:cstheme="minorHAnsi"/>
        </w:rPr>
        <w:t>. Jedná se o následující oblasti</w:t>
      </w:r>
      <w:r w:rsidR="00A769ED" w:rsidRPr="00FC0170">
        <w:rPr>
          <w:rFonts w:cs="Calibri"/>
        </w:rPr>
        <w:t>.</w:t>
      </w:r>
    </w:p>
    <w:p w14:paraId="49405EB8" w14:textId="77777777" w:rsidR="00A769ED" w:rsidRPr="001C6E98" w:rsidRDefault="00A769ED" w:rsidP="001C6E98">
      <w:pPr>
        <w:spacing w:after="0"/>
        <w:jc w:val="both"/>
        <w:rPr>
          <w:rFonts w:cs="Calibri"/>
        </w:rPr>
      </w:pPr>
    </w:p>
    <w:p w14:paraId="457EA796" w14:textId="77777777" w:rsidR="00DB3340" w:rsidRPr="00243561" w:rsidRDefault="00DB3340" w:rsidP="00243561">
      <w:pPr>
        <w:keepNext/>
        <w:spacing w:after="0"/>
        <w:jc w:val="both"/>
        <w:outlineLvl w:val="2"/>
        <w:rPr>
          <w:rFonts w:cs="Calibri"/>
          <w:b/>
          <w:vanish/>
        </w:rPr>
      </w:pPr>
    </w:p>
    <w:p w14:paraId="26F0112A" w14:textId="77777777" w:rsidR="002C7399" w:rsidRDefault="00243561" w:rsidP="00243561">
      <w:pPr>
        <w:pStyle w:val="Nadpis3"/>
        <w:numPr>
          <w:ilvl w:val="0"/>
          <w:numId w:val="0"/>
        </w:numPr>
      </w:pPr>
      <w:r>
        <w:t xml:space="preserve">4.1 </w:t>
      </w:r>
      <w:r w:rsidR="0087502E">
        <w:t>Vymezení termínu „transfer“</w:t>
      </w:r>
    </w:p>
    <w:p w14:paraId="62CF52C5" w14:textId="77777777" w:rsidR="002C7399" w:rsidRDefault="002C7399" w:rsidP="001C6E98">
      <w:pPr>
        <w:spacing w:after="0"/>
        <w:jc w:val="both"/>
        <w:rPr>
          <w:rFonts w:eastAsiaTheme="minorHAnsi"/>
          <w:b/>
        </w:rPr>
      </w:pPr>
    </w:p>
    <w:p w14:paraId="46A73997" w14:textId="3B46CF8C" w:rsidR="00085D3C" w:rsidRPr="0084223B" w:rsidRDefault="00513FEF" w:rsidP="00F046E6">
      <w:pPr>
        <w:spacing w:after="240"/>
        <w:jc w:val="both"/>
        <w:rPr>
          <w:rFonts w:cs="Calibri"/>
        </w:rPr>
      </w:pPr>
      <w:r w:rsidRPr="00FA5082">
        <w:rPr>
          <w:rFonts w:asciiTheme="minorHAnsi" w:hAnsiTheme="minorHAnsi" w:cstheme="minorHAnsi"/>
        </w:rPr>
        <w:t xml:space="preserve">MD </w:t>
      </w:r>
      <w:r w:rsidR="00E03F0A" w:rsidRPr="00FA5082">
        <w:rPr>
          <w:rFonts w:asciiTheme="minorHAnsi" w:hAnsiTheme="minorHAnsi" w:cstheme="minorHAnsi"/>
        </w:rPr>
        <w:t xml:space="preserve">vyplácí dopravcům kompenzace </w:t>
      </w:r>
      <w:r w:rsidR="00997254" w:rsidRPr="00FA5082">
        <w:rPr>
          <w:rFonts w:asciiTheme="minorHAnsi" w:hAnsiTheme="minorHAnsi" w:cstheme="minorHAnsi"/>
        </w:rPr>
        <w:t xml:space="preserve">za </w:t>
      </w:r>
      <w:r w:rsidR="00E03F0A" w:rsidRPr="00FA5082">
        <w:rPr>
          <w:rFonts w:asciiTheme="minorHAnsi" w:hAnsiTheme="minorHAnsi" w:cstheme="minorHAnsi"/>
        </w:rPr>
        <w:t xml:space="preserve">státem nařízené slevy z </w:t>
      </w:r>
      <w:r w:rsidR="00085D3C">
        <w:rPr>
          <w:rFonts w:asciiTheme="minorHAnsi" w:hAnsiTheme="minorHAnsi" w:cstheme="minorHAnsi"/>
        </w:rPr>
        <w:t xml:space="preserve">jízdného ve veřejné dopravě, přičemž </w:t>
      </w:r>
      <w:r w:rsidR="00E738BA">
        <w:rPr>
          <w:rFonts w:cs="Calibri"/>
        </w:rPr>
        <w:t>e</w:t>
      </w:r>
      <w:r w:rsidR="00085D3C">
        <w:rPr>
          <w:rFonts w:cs="Calibri"/>
        </w:rPr>
        <w:t>konomickým obsahem</w:t>
      </w:r>
      <w:r w:rsidR="00085D3C" w:rsidRPr="00836D96">
        <w:rPr>
          <w:rFonts w:cs="Calibri"/>
        </w:rPr>
        <w:t xml:space="preserve"> kompenzací</w:t>
      </w:r>
      <w:r w:rsidR="00085D3C">
        <w:rPr>
          <w:rFonts w:cs="Calibri"/>
        </w:rPr>
        <w:t xml:space="preserve"> těchto </w:t>
      </w:r>
      <w:r w:rsidR="00085D3C" w:rsidRPr="00836D96">
        <w:rPr>
          <w:rFonts w:cs="Calibri"/>
        </w:rPr>
        <w:t>slev je povinné poskytnutí prostředků státního rozpočtu na úhradu újmy, která vznikla dopra</w:t>
      </w:r>
      <w:r w:rsidR="00726EC4">
        <w:rPr>
          <w:rFonts w:cs="Calibri"/>
        </w:rPr>
        <w:t>vcům státem nařízenou slevou ve</w:t>
      </w:r>
      <w:r w:rsidR="00FE5AB5">
        <w:rPr>
          <w:rFonts w:cs="Calibri"/>
        </w:rPr>
        <w:t xml:space="preserve"> </w:t>
      </w:r>
      <w:r w:rsidR="00085D3C" w:rsidRPr="00836D96">
        <w:rPr>
          <w:rFonts w:cs="Calibri"/>
        </w:rPr>
        <w:t xml:space="preserve">prospěch vymezené skupiny cestujících, </w:t>
      </w:r>
      <w:r w:rsidR="000F27E7">
        <w:rPr>
          <w:rFonts w:cs="Calibri"/>
        </w:rPr>
        <w:t>jde tedy o</w:t>
      </w:r>
      <w:r w:rsidR="00085D3C" w:rsidRPr="00836D96">
        <w:rPr>
          <w:rFonts w:cs="Calibri"/>
        </w:rPr>
        <w:t xml:space="preserve"> obdob</w:t>
      </w:r>
      <w:r w:rsidR="000F27E7">
        <w:rPr>
          <w:rFonts w:cs="Calibri"/>
        </w:rPr>
        <w:t>u</w:t>
      </w:r>
      <w:r w:rsidR="00085D3C" w:rsidRPr="00836D96">
        <w:rPr>
          <w:rFonts w:cs="Calibri"/>
        </w:rPr>
        <w:t xml:space="preserve"> dotace, grantu, příspěvku, subvence, dávky, nenávratné finanční výpomoci, podpory či peněžního daru</w:t>
      </w:r>
      <w:r w:rsidR="00AC7189">
        <w:rPr>
          <w:rFonts w:cs="Calibri"/>
        </w:rPr>
        <w:t xml:space="preserve"> dle ČÚS </w:t>
      </w:r>
      <w:r w:rsidR="000F27E7">
        <w:rPr>
          <w:rFonts w:cs="Calibri"/>
        </w:rPr>
        <w:br/>
      </w:r>
      <w:r w:rsidR="00AC7189">
        <w:rPr>
          <w:rFonts w:cs="Calibri"/>
        </w:rPr>
        <w:t>č.</w:t>
      </w:r>
      <w:r w:rsidR="000F27E7">
        <w:rPr>
          <w:rFonts w:cs="Calibri"/>
        </w:rPr>
        <w:t xml:space="preserve"> </w:t>
      </w:r>
      <w:r w:rsidR="00AC7189">
        <w:rPr>
          <w:rFonts w:cs="Calibri"/>
        </w:rPr>
        <w:t>703</w:t>
      </w:r>
      <w:r w:rsidR="00AC7189" w:rsidRPr="00FA5082">
        <w:rPr>
          <w:rFonts w:asciiTheme="minorHAnsi" w:hAnsiTheme="minorHAnsi" w:cstheme="minorHAnsi"/>
        </w:rPr>
        <w:t xml:space="preserve"> </w:t>
      </w:r>
      <w:r w:rsidR="00AC7189" w:rsidRPr="00997254">
        <w:rPr>
          <w:rFonts w:asciiTheme="minorHAnsi" w:hAnsiTheme="minorHAnsi" w:cstheme="minorHAnsi"/>
        </w:rPr>
        <w:t>–</w:t>
      </w:r>
      <w:r w:rsidR="00AC7189" w:rsidRPr="00FA5082">
        <w:rPr>
          <w:rFonts w:asciiTheme="minorHAnsi" w:hAnsiTheme="minorHAnsi" w:cstheme="minorHAnsi"/>
        </w:rPr>
        <w:t xml:space="preserve"> </w:t>
      </w:r>
      <w:r w:rsidR="00AC7189" w:rsidRPr="00F046E6">
        <w:rPr>
          <w:rFonts w:asciiTheme="minorHAnsi" w:hAnsiTheme="minorHAnsi" w:cstheme="minorHAnsi"/>
          <w:i/>
        </w:rPr>
        <w:t>Transfery</w:t>
      </w:r>
      <w:r w:rsidR="00085D3C" w:rsidRPr="00836D96">
        <w:rPr>
          <w:rFonts w:cs="Calibri"/>
        </w:rPr>
        <w:t xml:space="preserve">, kdy </w:t>
      </w:r>
      <w:r w:rsidR="00085D3C" w:rsidRPr="0084223B">
        <w:rPr>
          <w:rFonts w:cs="Calibri"/>
        </w:rPr>
        <w:t xml:space="preserve">poskytovatel </w:t>
      </w:r>
      <w:r w:rsidR="0084223B" w:rsidRPr="0084223B">
        <w:rPr>
          <w:rFonts w:cs="Calibri"/>
        </w:rPr>
        <w:t xml:space="preserve">za vydané </w:t>
      </w:r>
      <w:r w:rsidR="00085D3C" w:rsidRPr="0084223B">
        <w:rPr>
          <w:rFonts w:cs="Calibri"/>
        </w:rPr>
        <w:t>prostředk</w:t>
      </w:r>
      <w:r w:rsidR="0084223B" w:rsidRPr="0084223B">
        <w:rPr>
          <w:rFonts w:cs="Calibri"/>
        </w:rPr>
        <w:t>y</w:t>
      </w:r>
      <w:r w:rsidR="00085D3C" w:rsidRPr="0084223B">
        <w:rPr>
          <w:rFonts w:cs="Calibri"/>
        </w:rPr>
        <w:t xml:space="preserve"> nezískává přímou protihodnotu.</w:t>
      </w:r>
      <w:r w:rsidR="0084223B">
        <w:rPr>
          <w:rFonts w:cs="Calibri"/>
        </w:rPr>
        <w:t xml:space="preserve"> O</w:t>
      </w:r>
      <w:r w:rsidR="000F27E7">
        <w:rPr>
          <w:rFonts w:cs="Calibri"/>
        </w:rPr>
        <w:t> </w:t>
      </w:r>
      <w:r w:rsidR="0084223B">
        <w:rPr>
          <w:rFonts w:cs="Calibri"/>
        </w:rPr>
        <w:t xml:space="preserve">těchto nákladech účtovalo MD nesprávně jako o nákladech </w:t>
      </w:r>
      <w:r w:rsidR="005A0558">
        <w:rPr>
          <w:rFonts w:cs="Calibri"/>
        </w:rPr>
        <w:t xml:space="preserve">z činnosti </w:t>
      </w:r>
      <w:r w:rsidR="0084223B">
        <w:rPr>
          <w:rFonts w:cs="Calibri"/>
        </w:rPr>
        <w:t xml:space="preserve">na účtu </w:t>
      </w:r>
      <w:r w:rsidR="0084223B" w:rsidRPr="00F046E6">
        <w:rPr>
          <w:rFonts w:cs="Calibri"/>
        </w:rPr>
        <w:t>549</w:t>
      </w:r>
      <w:r w:rsidR="0084223B" w:rsidRPr="00836D96">
        <w:rPr>
          <w:rFonts w:cs="Calibri"/>
          <w:i/>
        </w:rPr>
        <w:t> – Ostatní náklady z</w:t>
      </w:r>
      <w:r w:rsidR="00AC7189">
        <w:rPr>
          <w:rFonts w:cs="Calibri"/>
          <w:i/>
        </w:rPr>
        <w:t> </w:t>
      </w:r>
      <w:r w:rsidR="0084223B" w:rsidRPr="00836D96">
        <w:rPr>
          <w:rFonts w:cs="Calibri"/>
          <w:i/>
        </w:rPr>
        <w:t>činnosti</w:t>
      </w:r>
      <w:r w:rsidR="00AC7189">
        <w:rPr>
          <w:rFonts w:cs="Calibri"/>
        </w:rPr>
        <w:t>, přestože se jedná o náklady na transfery.</w:t>
      </w:r>
    </w:p>
    <w:p w14:paraId="30A72FEA" w14:textId="77777777" w:rsidR="00997254" w:rsidRDefault="00997254" w:rsidP="00FA5082">
      <w:pPr>
        <w:spacing w:after="0"/>
        <w:jc w:val="both"/>
        <w:rPr>
          <w:rFonts w:cstheme="minorHAnsi"/>
        </w:rPr>
      </w:pPr>
      <w:r w:rsidRPr="00085D3C">
        <w:rPr>
          <w:rFonts w:asciiTheme="minorHAnsi" w:hAnsiTheme="minorHAnsi" w:cstheme="minorHAnsi"/>
        </w:rPr>
        <w:lastRenderedPageBreak/>
        <w:t>Při</w:t>
      </w:r>
      <w:r w:rsidRPr="00FA5082">
        <w:rPr>
          <w:rFonts w:asciiTheme="minorHAnsi" w:hAnsiTheme="minorHAnsi" w:cstheme="minorHAnsi"/>
        </w:rPr>
        <w:t xml:space="preserve"> rozhodování o tom, zda </w:t>
      </w:r>
      <w:r w:rsidR="00483E90">
        <w:rPr>
          <w:rFonts w:asciiTheme="minorHAnsi" w:hAnsiTheme="minorHAnsi" w:cstheme="minorHAnsi"/>
        </w:rPr>
        <w:t xml:space="preserve">prostředky poskytnuté na </w:t>
      </w:r>
      <w:r w:rsidRPr="00FA5082">
        <w:rPr>
          <w:rFonts w:asciiTheme="minorHAnsi" w:hAnsiTheme="minorHAnsi" w:cstheme="minorHAnsi"/>
        </w:rPr>
        <w:t>tyto slevy</w:t>
      </w:r>
      <w:r w:rsidR="00483E90">
        <w:rPr>
          <w:rFonts w:asciiTheme="minorHAnsi" w:hAnsiTheme="minorHAnsi" w:cstheme="minorHAnsi"/>
        </w:rPr>
        <w:t xml:space="preserve"> má</w:t>
      </w:r>
      <w:r w:rsidRPr="00FA5082">
        <w:rPr>
          <w:rFonts w:asciiTheme="minorHAnsi" w:hAnsiTheme="minorHAnsi" w:cstheme="minorHAnsi"/>
        </w:rPr>
        <w:t xml:space="preserve"> MD účtovat a vykazovat jako transfer, nebo jako náklad</w:t>
      </w:r>
      <w:r w:rsidR="00BA0981">
        <w:rPr>
          <w:rFonts w:asciiTheme="minorHAnsi" w:hAnsiTheme="minorHAnsi" w:cstheme="minorHAnsi"/>
        </w:rPr>
        <w:t xml:space="preserve"> z činnosti</w:t>
      </w:r>
      <w:r w:rsidR="00FA5082" w:rsidRPr="00FA5082">
        <w:rPr>
          <w:rFonts w:asciiTheme="minorHAnsi" w:hAnsiTheme="minorHAnsi" w:cstheme="minorHAnsi"/>
        </w:rPr>
        <w:t>,</w:t>
      </w:r>
      <w:r w:rsidRPr="00FA5082">
        <w:rPr>
          <w:rFonts w:asciiTheme="minorHAnsi" w:hAnsiTheme="minorHAnsi" w:cstheme="minorHAnsi"/>
        </w:rPr>
        <w:t xml:space="preserve"> je nezbytné použít vymezení termínu „transfer“, kter</w:t>
      </w:r>
      <w:r w:rsidR="005214AB" w:rsidRPr="00FA5082">
        <w:rPr>
          <w:rFonts w:asciiTheme="minorHAnsi" w:hAnsiTheme="minorHAnsi" w:cstheme="minorHAnsi"/>
        </w:rPr>
        <w:t>é je uvedeno</w:t>
      </w:r>
      <w:r w:rsidRPr="00FA5082">
        <w:rPr>
          <w:rFonts w:asciiTheme="minorHAnsi" w:hAnsiTheme="minorHAnsi" w:cstheme="minorHAnsi"/>
        </w:rPr>
        <w:t xml:space="preserve"> v ČÚS č. 703 </w:t>
      </w:r>
      <w:r w:rsidRPr="00997254">
        <w:rPr>
          <w:rFonts w:asciiTheme="minorHAnsi" w:hAnsiTheme="minorHAnsi" w:cstheme="minorHAnsi"/>
        </w:rPr>
        <w:t>–</w:t>
      </w:r>
      <w:r w:rsidRPr="00FA5082">
        <w:rPr>
          <w:rFonts w:asciiTheme="minorHAnsi" w:hAnsiTheme="minorHAnsi" w:cstheme="minorHAnsi"/>
        </w:rPr>
        <w:t xml:space="preserve"> </w:t>
      </w:r>
      <w:r w:rsidRPr="00F046E6">
        <w:rPr>
          <w:rFonts w:asciiTheme="minorHAnsi" w:hAnsiTheme="minorHAnsi" w:cstheme="minorHAnsi"/>
          <w:i/>
        </w:rPr>
        <w:t>Transfery</w:t>
      </w:r>
      <w:r w:rsidRPr="00FA5082">
        <w:rPr>
          <w:rFonts w:asciiTheme="minorHAnsi" w:hAnsiTheme="minorHAnsi" w:cstheme="minorHAnsi"/>
        </w:rPr>
        <w:t xml:space="preserve">. </w:t>
      </w:r>
      <w:r w:rsidR="005214AB" w:rsidRPr="00FA5082">
        <w:rPr>
          <w:rFonts w:asciiTheme="minorHAnsi" w:hAnsiTheme="minorHAnsi" w:cstheme="minorHAnsi"/>
        </w:rPr>
        <w:t xml:space="preserve">Toto vymezení obsahuje </w:t>
      </w:r>
      <w:r w:rsidR="00085D3C">
        <w:rPr>
          <w:rFonts w:asciiTheme="minorHAnsi" w:hAnsiTheme="minorHAnsi" w:cstheme="minorHAnsi"/>
        </w:rPr>
        <w:t>příklad</w:t>
      </w:r>
      <w:r w:rsidR="00483E90">
        <w:rPr>
          <w:rFonts w:asciiTheme="minorHAnsi" w:hAnsiTheme="minorHAnsi" w:cstheme="minorHAnsi"/>
        </w:rPr>
        <w:t>y</w:t>
      </w:r>
      <w:r w:rsidR="00FA5082" w:rsidRPr="00FA5082">
        <w:rPr>
          <w:rFonts w:asciiTheme="minorHAnsi" w:hAnsiTheme="minorHAnsi" w:cstheme="minorHAnsi"/>
        </w:rPr>
        <w:t xml:space="preserve"> </w:t>
      </w:r>
      <w:r w:rsidR="00FA5082">
        <w:rPr>
          <w:rFonts w:asciiTheme="minorHAnsi" w:hAnsiTheme="minorHAnsi" w:cstheme="minorHAnsi"/>
        </w:rPr>
        <w:t>plnění</w:t>
      </w:r>
      <w:r w:rsidR="00FA5082" w:rsidRPr="00FA5082">
        <w:rPr>
          <w:rFonts w:asciiTheme="minorHAnsi" w:hAnsiTheme="minorHAnsi" w:cstheme="minorHAnsi"/>
        </w:rPr>
        <w:t xml:space="preserve">, </w:t>
      </w:r>
      <w:r w:rsidR="00FA5082">
        <w:rPr>
          <w:rFonts w:asciiTheme="minorHAnsi" w:hAnsiTheme="minorHAnsi" w:cstheme="minorHAnsi"/>
        </w:rPr>
        <w:t xml:space="preserve">která se za transfer považují, přičemž jejich společným znakem je </w:t>
      </w:r>
      <w:r w:rsidR="00C4693F">
        <w:rPr>
          <w:rFonts w:asciiTheme="minorHAnsi" w:hAnsiTheme="minorHAnsi" w:cstheme="minorHAnsi"/>
        </w:rPr>
        <w:t>zjevně</w:t>
      </w:r>
      <w:r w:rsidR="008A3502">
        <w:rPr>
          <w:rFonts w:asciiTheme="minorHAnsi" w:hAnsiTheme="minorHAnsi" w:cstheme="minorHAnsi"/>
        </w:rPr>
        <w:t xml:space="preserve"> </w:t>
      </w:r>
      <w:r w:rsidR="00FA5082">
        <w:rPr>
          <w:rFonts w:asciiTheme="minorHAnsi" w:hAnsiTheme="minorHAnsi" w:cstheme="minorHAnsi"/>
        </w:rPr>
        <w:t xml:space="preserve">skutečnost, </w:t>
      </w:r>
      <w:r w:rsidR="00FA5082" w:rsidRPr="003C165D">
        <w:rPr>
          <w:rFonts w:cstheme="minorHAnsi"/>
        </w:rPr>
        <w:t>že se jedná o</w:t>
      </w:r>
      <w:r w:rsidR="00912C2E">
        <w:rPr>
          <w:rFonts w:cstheme="minorHAnsi"/>
        </w:rPr>
        <w:t> </w:t>
      </w:r>
      <w:r w:rsidR="00FA5082" w:rsidRPr="003C165D">
        <w:rPr>
          <w:rFonts w:cstheme="minorHAnsi"/>
        </w:rPr>
        <w:t xml:space="preserve">plnění, za něž </w:t>
      </w:r>
      <w:r w:rsidR="00FA5082">
        <w:rPr>
          <w:rFonts w:cstheme="minorHAnsi"/>
        </w:rPr>
        <w:t xml:space="preserve">jejich </w:t>
      </w:r>
      <w:r w:rsidR="00FA5082" w:rsidRPr="003C165D">
        <w:rPr>
          <w:rFonts w:cstheme="minorHAnsi"/>
        </w:rPr>
        <w:t>poskytov</w:t>
      </w:r>
      <w:r w:rsidR="00FA5082">
        <w:rPr>
          <w:rFonts w:cstheme="minorHAnsi"/>
        </w:rPr>
        <w:t>atel neobdrží</w:t>
      </w:r>
      <w:r w:rsidR="00FA5082" w:rsidRPr="003C165D">
        <w:rPr>
          <w:rFonts w:cstheme="minorHAnsi"/>
        </w:rPr>
        <w:t xml:space="preserve"> přím</w:t>
      </w:r>
      <w:r w:rsidR="00FA5082">
        <w:rPr>
          <w:rFonts w:cstheme="minorHAnsi"/>
        </w:rPr>
        <w:t>ou</w:t>
      </w:r>
      <w:r w:rsidR="00FA5082" w:rsidRPr="003C165D">
        <w:rPr>
          <w:rFonts w:cstheme="minorHAnsi"/>
        </w:rPr>
        <w:t xml:space="preserve"> protihodnot</w:t>
      </w:r>
      <w:r w:rsidR="00FA5082">
        <w:rPr>
          <w:rFonts w:cstheme="minorHAnsi"/>
        </w:rPr>
        <w:t>u.</w:t>
      </w:r>
      <w:r w:rsidR="00E738BA">
        <w:rPr>
          <w:rFonts w:cstheme="minorHAnsi"/>
        </w:rPr>
        <w:t xml:space="preserve"> Uvedené vymezení termínu „transfer“ dále obsahuje přehled </w:t>
      </w:r>
      <w:r w:rsidR="00E738BA">
        <w:rPr>
          <w:rFonts w:asciiTheme="minorHAnsi" w:hAnsiTheme="minorHAnsi" w:cstheme="minorHAnsi"/>
        </w:rPr>
        <w:t>plnění</w:t>
      </w:r>
      <w:r w:rsidR="00E738BA" w:rsidRPr="00FA5082">
        <w:rPr>
          <w:rFonts w:asciiTheme="minorHAnsi" w:hAnsiTheme="minorHAnsi" w:cstheme="minorHAnsi"/>
        </w:rPr>
        <w:t xml:space="preserve">, </w:t>
      </w:r>
      <w:r w:rsidR="00E738BA">
        <w:rPr>
          <w:rFonts w:asciiTheme="minorHAnsi" w:hAnsiTheme="minorHAnsi" w:cstheme="minorHAnsi"/>
        </w:rPr>
        <w:t>která se za transfer naopak nepovažují.</w:t>
      </w:r>
    </w:p>
    <w:p w14:paraId="18E5F66F" w14:textId="77777777" w:rsidR="00513FEF" w:rsidRDefault="00513FEF" w:rsidP="0087502E">
      <w:pPr>
        <w:spacing w:after="0"/>
        <w:jc w:val="both"/>
        <w:rPr>
          <w:rFonts w:asciiTheme="minorHAnsi" w:hAnsiTheme="minorHAnsi" w:cstheme="minorHAnsi"/>
        </w:rPr>
      </w:pPr>
    </w:p>
    <w:p w14:paraId="492BAC4F" w14:textId="7CB5C792" w:rsidR="0087502E" w:rsidRPr="0087502E" w:rsidRDefault="0087502E" w:rsidP="0087502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87502E">
        <w:rPr>
          <w:rFonts w:asciiTheme="minorHAnsi" w:hAnsiTheme="minorHAnsi" w:cstheme="minorHAnsi"/>
        </w:rPr>
        <w:t xml:space="preserve">a účelem omezení možných </w:t>
      </w:r>
      <w:r w:rsidR="00EA7689">
        <w:rPr>
          <w:rFonts w:asciiTheme="minorHAnsi" w:hAnsiTheme="minorHAnsi" w:cstheme="minorHAnsi"/>
        </w:rPr>
        <w:t xml:space="preserve">problémů souvisejících s určováním, zda se </w:t>
      </w:r>
      <w:r w:rsidR="00BC3CC2">
        <w:rPr>
          <w:rFonts w:asciiTheme="minorHAnsi" w:hAnsiTheme="minorHAnsi" w:cstheme="minorHAnsi"/>
        </w:rPr>
        <w:t xml:space="preserve">v případě poskytnutých prostředků </w:t>
      </w:r>
      <w:r w:rsidR="00EA7689">
        <w:rPr>
          <w:rFonts w:asciiTheme="minorHAnsi" w:hAnsiTheme="minorHAnsi" w:cstheme="minorHAnsi"/>
        </w:rPr>
        <w:t>jedná o transfer</w:t>
      </w:r>
      <w:r w:rsidR="000E6A4F">
        <w:rPr>
          <w:rFonts w:asciiTheme="minorHAnsi" w:hAnsiTheme="minorHAnsi" w:cstheme="minorHAnsi"/>
        </w:rPr>
        <w:t>,</w:t>
      </w:r>
      <w:r w:rsidR="00EA7689">
        <w:rPr>
          <w:rFonts w:asciiTheme="minorHAnsi" w:hAnsiTheme="minorHAnsi" w:cstheme="minorHAnsi"/>
        </w:rPr>
        <w:t xml:space="preserve"> </w:t>
      </w:r>
      <w:r w:rsidR="000E6A4F">
        <w:rPr>
          <w:rFonts w:asciiTheme="minorHAnsi" w:hAnsiTheme="minorHAnsi" w:cstheme="minorHAnsi"/>
        </w:rPr>
        <w:t>přičemž</w:t>
      </w:r>
      <w:r w:rsidR="00BC3CC2">
        <w:rPr>
          <w:rFonts w:asciiTheme="minorHAnsi" w:hAnsiTheme="minorHAnsi" w:cstheme="minorHAnsi"/>
        </w:rPr>
        <w:t xml:space="preserve"> právě</w:t>
      </w:r>
      <w:r w:rsidR="00EA7689">
        <w:rPr>
          <w:rFonts w:asciiTheme="minorHAnsi" w:hAnsiTheme="minorHAnsi" w:cstheme="minorHAnsi"/>
        </w:rPr>
        <w:t xml:space="preserve"> </w:t>
      </w:r>
      <w:r w:rsidR="000E6A4F">
        <w:rPr>
          <w:rFonts w:asciiTheme="minorHAnsi" w:hAnsiTheme="minorHAnsi" w:cstheme="minorHAnsi"/>
        </w:rPr>
        <w:t>v případě</w:t>
      </w:r>
      <w:r w:rsidR="00EA7689">
        <w:rPr>
          <w:rFonts w:asciiTheme="minorHAnsi" w:hAnsiTheme="minorHAnsi" w:cstheme="minorHAnsi"/>
        </w:rPr>
        <w:t xml:space="preserve"> MD vedly až ke vzniku </w:t>
      </w:r>
      <w:r w:rsidR="00E514D7">
        <w:rPr>
          <w:rFonts w:asciiTheme="minorHAnsi" w:hAnsiTheme="minorHAnsi" w:cstheme="minorHAnsi"/>
        </w:rPr>
        <w:t xml:space="preserve">významné </w:t>
      </w:r>
      <w:r w:rsidR="00EA7689">
        <w:rPr>
          <w:rFonts w:asciiTheme="minorHAnsi" w:hAnsiTheme="minorHAnsi" w:cstheme="minorHAnsi"/>
        </w:rPr>
        <w:t>nesprávnost</w:t>
      </w:r>
      <w:r w:rsidR="00E514D7">
        <w:rPr>
          <w:rFonts w:asciiTheme="minorHAnsi" w:hAnsiTheme="minorHAnsi" w:cstheme="minorHAnsi"/>
        </w:rPr>
        <w:t>i</w:t>
      </w:r>
      <w:r w:rsidR="00EA7689">
        <w:rPr>
          <w:rFonts w:asciiTheme="minorHAnsi" w:hAnsiTheme="minorHAnsi" w:cstheme="minorHAnsi"/>
        </w:rPr>
        <w:t xml:space="preserve">, </w:t>
      </w:r>
      <w:r w:rsidRPr="00E643A1">
        <w:rPr>
          <w:rFonts w:asciiTheme="minorHAnsi" w:hAnsiTheme="minorHAnsi" w:cstheme="minorHAnsi"/>
        </w:rPr>
        <w:t>NKÚ doporučuje, aby</w:t>
      </w:r>
      <w:r w:rsidRPr="0087502E">
        <w:rPr>
          <w:rFonts w:asciiTheme="minorHAnsi" w:hAnsiTheme="minorHAnsi" w:cstheme="minorHAnsi"/>
        </w:rPr>
        <w:t xml:space="preserve"> </w:t>
      </w:r>
      <w:r w:rsidR="00EA7689" w:rsidRPr="0055177B">
        <w:rPr>
          <w:rFonts w:asciiTheme="minorHAnsi" w:hAnsiTheme="minorHAnsi" w:cstheme="minorHAnsi"/>
          <w:b/>
        </w:rPr>
        <w:t>vymezení termínu „transfer“</w:t>
      </w:r>
      <w:r w:rsidR="00EA7689">
        <w:rPr>
          <w:rFonts w:asciiTheme="minorHAnsi" w:hAnsiTheme="minorHAnsi" w:cstheme="minorHAnsi"/>
          <w:b/>
        </w:rPr>
        <w:t xml:space="preserve"> </w:t>
      </w:r>
      <w:r w:rsidRPr="0055177B">
        <w:rPr>
          <w:rFonts w:asciiTheme="minorHAnsi" w:hAnsiTheme="minorHAnsi" w:cstheme="minorHAnsi"/>
          <w:b/>
        </w:rPr>
        <w:t>bylo v ČÚS č. 703 – </w:t>
      </w:r>
      <w:r w:rsidRPr="00F046E6">
        <w:rPr>
          <w:rFonts w:asciiTheme="minorHAnsi" w:hAnsiTheme="minorHAnsi" w:cstheme="minorHAnsi"/>
          <w:b/>
          <w:i/>
        </w:rPr>
        <w:t>Transfery</w:t>
      </w:r>
      <w:r w:rsidRPr="0055177B">
        <w:rPr>
          <w:rFonts w:asciiTheme="minorHAnsi" w:hAnsiTheme="minorHAnsi" w:cstheme="minorHAnsi"/>
          <w:b/>
        </w:rPr>
        <w:t xml:space="preserve"> uvedeno koncepčněji</w:t>
      </w:r>
      <w:r w:rsidRPr="00F046E6">
        <w:rPr>
          <w:rFonts w:asciiTheme="minorHAnsi" w:hAnsiTheme="minorHAnsi" w:cstheme="minorHAnsi"/>
          <w:b/>
        </w:rPr>
        <w:t>,</w:t>
      </w:r>
      <w:r w:rsidRPr="0087502E">
        <w:rPr>
          <w:rFonts w:asciiTheme="minorHAnsi" w:hAnsiTheme="minorHAnsi" w:cstheme="minorHAnsi"/>
        </w:rPr>
        <w:t xml:space="preserve"> nikoliv pouze pozitivním a negativním výčtem. Inspirativní</w:t>
      </w:r>
      <w:r w:rsidR="00AC7189">
        <w:rPr>
          <w:rFonts w:asciiTheme="minorHAnsi" w:hAnsiTheme="minorHAnsi" w:cstheme="minorHAnsi"/>
        </w:rPr>
        <w:t xml:space="preserve"> </w:t>
      </w:r>
      <w:r w:rsidRPr="0087502E">
        <w:rPr>
          <w:rFonts w:asciiTheme="minorHAnsi" w:hAnsiTheme="minorHAnsi" w:cstheme="minorHAnsi"/>
        </w:rPr>
        <w:t xml:space="preserve">vymezení </w:t>
      </w:r>
      <w:r w:rsidR="00000944">
        <w:rPr>
          <w:rFonts w:asciiTheme="minorHAnsi" w:hAnsiTheme="minorHAnsi" w:cstheme="minorHAnsi"/>
        </w:rPr>
        <w:t>spočívající v uvedení klíčové vlastnosti transferů</w:t>
      </w:r>
      <w:r w:rsidR="00D15019">
        <w:rPr>
          <w:rFonts w:asciiTheme="minorHAnsi" w:hAnsiTheme="minorHAnsi" w:cstheme="minorHAnsi"/>
        </w:rPr>
        <w:t>, kterou je</w:t>
      </w:r>
      <w:r w:rsidR="00000944">
        <w:rPr>
          <w:rFonts w:asciiTheme="minorHAnsi" w:hAnsiTheme="minorHAnsi" w:cstheme="minorHAnsi"/>
        </w:rPr>
        <w:t xml:space="preserve"> </w:t>
      </w:r>
      <w:r w:rsidR="00000944" w:rsidRPr="00E738BA">
        <w:rPr>
          <w:rFonts w:asciiTheme="minorHAnsi" w:hAnsiTheme="minorHAnsi" w:cstheme="minorHAnsi"/>
          <w:b/>
        </w:rPr>
        <w:t>absence protihodnoty</w:t>
      </w:r>
      <w:r w:rsidR="00D15019" w:rsidRPr="00F046E6">
        <w:rPr>
          <w:rFonts w:asciiTheme="minorHAnsi" w:hAnsiTheme="minorHAnsi" w:cstheme="minorHAnsi"/>
          <w:b/>
        </w:rPr>
        <w:t>,</w:t>
      </w:r>
      <w:r w:rsidR="000009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</w:t>
      </w:r>
      <w:r w:rsidR="0095136C">
        <w:rPr>
          <w:rFonts w:asciiTheme="minorHAnsi" w:hAnsiTheme="minorHAnsi" w:cstheme="minorHAnsi"/>
        </w:rPr>
        <w:t xml:space="preserve">pro tzv. nesměnné transakce </w:t>
      </w:r>
      <w:r>
        <w:rPr>
          <w:rFonts w:asciiTheme="minorHAnsi" w:hAnsiTheme="minorHAnsi" w:cstheme="minorHAnsi"/>
        </w:rPr>
        <w:t xml:space="preserve">uvedeno např. </w:t>
      </w:r>
      <w:r w:rsidRPr="0087502E">
        <w:rPr>
          <w:rFonts w:asciiTheme="minorHAnsi" w:hAnsiTheme="minorHAnsi" w:cstheme="minorHAnsi"/>
        </w:rPr>
        <w:t>v</w:t>
      </w:r>
      <w:r w:rsidR="000F27E7">
        <w:rPr>
          <w:rFonts w:asciiTheme="minorHAnsi" w:hAnsiTheme="minorHAnsi" w:cstheme="minorHAnsi"/>
        </w:rPr>
        <w:t xml:space="preserve"> </w:t>
      </w:r>
      <w:r w:rsidRPr="00F046E6">
        <w:rPr>
          <w:rFonts w:asciiTheme="minorHAnsi" w:hAnsiTheme="minorHAnsi" w:cstheme="minorHAnsi"/>
          <w:i/>
        </w:rPr>
        <w:t xml:space="preserve">Mezinárodních účetních standardech pro veřejný sektor </w:t>
      </w:r>
      <w:r w:rsidRPr="0087502E">
        <w:rPr>
          <w:rFonts w:asciiTheme="minorHAnsi" w:hAnsiTheme="minorHAnsi" w:cstheme="minorHAnsi"/>
        </w:rPr>
        <w:t>(IPSAS)</w:t>
      </w:r>
      <w:r w:rsidR="00982A09">
        <w:rPr>
          <w:rStyle w:val="Znakapoznpodarou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>.</w:t>
      </w:r>
    </w:p>
    <w:p w14:paraId="2B7E1E14" w14:textId="77777777" w:rsidR="00A769ED" w:rsidRPr="001C6E98" w:rsidRDefault="00A769ED" w:rsidP="001C6E98">
      <w:pPr>
        <w:spacing w:after="0"/>
        <w:jc w:val="both"/>
        <w:rPr>
          <w:rFonts w:asciiTheme="minorHAnsi" w:hAnsiTheme="minorHAnsi" w:cstheme="minorHAnsi"/>
        </w:rPr>
      </w:pPr>
    </w:p>
    <w:p w14:paraId="2054B4C4" w14:textId="77777777" w:rsidR="0087502E" w:rsidRPr="001C6E98" w:rsidRDefault="0087502E" w:rsidP="001C6E98">
      <w:pPr>
        <w:spacing w:after="0"/>
        <w:jc w:val="both"/>
        <w:rPr>
          <w:rFonts w:asciiTheme="minorHAnsi" w:hAnsiTheme="minorHAnsi" w:cstheme="minorHAnsi"/>
        </w:rPr>
      </w:pPr>
    </w:p>
    <w:p w14:paraId="6CA79253" w14:textId="77777777" w:rsidR="003E6655" w:rsidRDefault="00FF1F3B" w:rsidP="00FF1F3B">
      <w:pPr>
        <w:pStyle w:val="Nadpis3"/>
        <w:numPr>
          <w:ilvl w:val="0"/>
          <w:numId w:val="0"/>
        </w:numPr>
      </w:pPr>
      <w:r>
        <w:rPr>
          <w:rFonts w:asciiTheme="minorHAnsi" w:hAnsiTheme="minorHAnsi" w:cstheme="minorHAnsi"/>
        </w:rPr>
        <w:t xml:space="preserve">4.2 </w:t>
      </w:r>
      <w:r w:rsidR="003E6655">
        <w:rPr>
          <w:rFonts w:asciiTheme="minorHAnsi" w:hAnsiTheme="minorHAnsi" w:cstheme="minorHAnsi"/>
        </w:rPr>
        <w:t>V</w:t>
      </w:r>
      <w:r w:rsidR="0055177B">
        <w:rPr>
          <w:rFonts w:asciiTheme="minorHAnsi" w:hAnsiTheme="minorHAnsi" w:cstheme="minorHAnsi"/>
        </w:rPr>
        <w:t>ykazování závazků souvisejících s přijetím transferů ze zahraničí ve vlastním kapitálu</w:t>
      </w:r>
    </w:p>
    <w:p w14:paraId="73A57329" w14:textId="77777777" w:rsidR="003E6655" w:rsidRDefault="003E6655" w:rsidP="001C6E98">
      <w:pPr>
        <w:spacing w:after="0"/>
        <w:jc w:val="both"/>
        <w:rPr>
          <w:rFonts w:eastAsiaTheme="minorHAnsi"/>
        </w:rPr>
      </w:pPr>
    </w:p>
    <w:p w14:paraId="2D3FD339" w14:textId="296EBBB3" w:rsidR="003E6655" w:rsidRDefault="003E6655" w:rsidP="003E6655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MD </w:t>
      </w:r>
      <w:r w:rsidR="00F750E9" w:rsidRPr="004E302A">
        <w:rPr>
          <w:rFonts w:asciiTheme="minorHAnsi" w:hAnsiTheme="minorHAnsi" w:cstheme="minorHAnsi"/>
        </w:rPr>
        <w:t xml:space="preserve">v letech 2015 a 2016 přijímalo do rezervního fondu </w:t>
      </w:r>
      <w:r w:rsidRPr="004E302A">
        <w:rPr>
          <w:rFonts w:asciiTheme="minorHAnsi" w:hAnsiTheme="minorHAnsi" w:cstheme="minorHAnsi"/>
        </w:rPr>
        <w:t xml:space="preserve">peněžní prostředky </w:t>
      </w:r>
      <w:r w:rsidR="00F750E9">
        <w:rPr>
          <w:rFonts w:asciiTheme="minorHAnsi" w:hAnsiTheme="minorHAnsi" w:cstheme="minorHAnsi"/>
        </w:rPr>
        <w:t>ze zahraničí</w:t>
      </w:r>
      <w:r w:rsidRPr="004E302A">
        <w:rPr>
          <w:rFonts w:asciiTheme="minorHAnsi" w:hAnsiTheme="minorHAnsi" w:cstheme="minorHAnsi"/>
        </w:rPr>
        <w:t>, které jsou ve smyslu bodu 3.1. ČÚS č. </w:t>
      </w:r>
      <w:r>
        <w:rPr>
          <w:rFonts w:asciiTheme="minorHAnsi" w:hAnsiTheme="minorHAnsi" w:cstheme="minorHAnsi"/>
        </w:rPr>
        <w:t>703 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Transfery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transferem. Tyto peněžní prostředky jsou určen</w:t>
      </w:r>
      <w:r w:rsidR="00BA235C">
        <w:rPr>
          <w:rFonts w:asciiTheme="minorHAnsi" w:hAnsiTheme="minorHAnsi" w:cstheme="minorHAnsi"/>
        </w:rPr>
        <w:t>y</w:t>
      </w:r>
      <w:r w:rsidRPr="004E302A">
        <w:rPr>
          <w:rFonts w:asciiTheme="minorHAnsi" w:hAnsiTheme="minorHAnsi" w:cstheme="minorHAnsi"/>
        </w:rPr>
        <w:t xml:space="preserve"> k finančnímu vypořádání a MD je v letech 2017 a 2018 čerpalo prostřednictvím státního rozpočtu a poskytovalo je na základě rozhodnutí o poskytnutí dotace S</w:t>
      </w:r>
      <w:r w:rsidR="00F750E9">
        <w:rPr>
          <w:rFonts w:asciiTheme="minorHAnsi" w:hAnsiTheme="minorHAnsi" w:cstheme="minorHAnsi"/>
        </w:rPr>
        <w:t xml:space="preserve">tátnímu fondu dopravní infrastruktury, </w:t>
      </w:r>
      <w:r w:rsidRPr="004E302A">
        <w:rPr>
          <w:rFonts w:asciiTheme="minorHAnsi" w:hAnsiTheme="minorHAnsi" w:cstheme="minorHAnsi"/>
        </w:rPr>
        <w:t>kter</w:t>
      </w:r>
      <w:r w:rsidR="00F750E9">
        <w:rPr>
          <w:rFonts w:asciiTheme="minorHAnsi" w:hAnsiTheme="minorHAnsi" w:cstheme="minorHAnsi"/>
        </w:rPr>
        <w:t>ý</w:t>
      </w:r>
      <w:r w:rsidRPr="004E302A">
        <w:rPr>
          <w:rFonts w:asciiTheme="minorHAnsi" w:hAnsiTheme="minorHAnsi" w:cstheme="minorHAnsi"/>
        </w:rPr>
        <w:t xml:space="preserve"> je dále poskytoval konečným příjemcům. </w:t>
      </w:r>
      <w:r w:rsidR="00F750E9">
        <w:rPr>
          <w:rFonts w:asciiTheme="minorHAnsi" w:hAnsiTheme="minorHAnsi" w:cstheme="minorHAnsi"/>
        </w:rPr>
        <w:t>Tyto přijaté p</w:t>
      </w:r>
      <w:r w:rsidRPr="004E302A">
        <w:rPr>
          <w:rFonts w:asciiTheme="minorHAnsi" w:hAnsiTheme="minorHAnsi" w:cstheme="minorHAnsi"/>
        </w:rPr>
        <w:t>eněžní prostředky (tj. přijaté dlouhodobé zálohy na transfer určený k finančnímu vypořádání) tedy představují dlouhodobý závazek MD, který zanikne až v okamžiku vypořádání přijatého transferu po ukončení realizace projektu</w:t>
      </w:r>
      <w:r w:rsidR="001147E8">
        <w:rPr>
          <w:rFonts w:asciiTheme="minorHAnsi" w:hAnsiTheme="minorHAnsi" w:cstheme="minorHAnsi"/>
        </w:rPr>
        <w:t>,</w:t>
      </w:r>
      <w:r w:rsidRPr="004E302A">
        <w:rPr>
          <w:rFonts w:asciiTheme="minorHAnsi" w:hAnsiTheme="minorHAnsi" w:cstheme="minorHAnsi"/>
        </w:rPr>
        <w:t xml:space="preserve"> </w:t>
      </w:r>
      <w:r w:rsidR="00F750E9">
        <w:rPr>
          <w:rFonts w:asciiTheme="minorHAnsi" w:hAnsiTheme="minorHAnsi" w:cstheme="minorHAnsi"/>
        </w:rPr>
        <w:t xml:space="preserve">až </w:t>
      </w:r>
      <w:r w:rsidRPr="004E302A">
        <w:rPr>
          <w:rFonts w:asciiTheme="minorHAnsi" w:hAnsiTheme="minorHAnsi" w:cstheme="minorHAnsi"/>
        </w:rPr>
        <w:t xml:space="preserve">bude známa </w:t>
      </w:r>
      <w:r w:rsidR="009B4C60">
        <w:rPr>
          <w:rFonts w:asciiTheme="minorHAnsi" w:hAnsiTheme="minorHAnsi" w:cstheme="minorHAnsi"/>
        </w:rPr>
        <w:t>skutečná výše pohledávky za </w:t>
      </w:r>
      <w:r w:rsidR="00F750E9">
        <w:rPr>
          <w:rFonts w:asciiTheme="minorHAnsi" w:hAnsiTheme="minorHAnsi" w:cstheme="minorHAnsi"/>
        </w:rPr>
        <w:t>Evropskou komisí.</w:t>
      </w:r>
    </w:p>
    <w:p w14:paraId="0496F7C5" w14:textId="77777777" w:rsidR="003E6655" w:rsidRPr="004E302A" w:rsidRDefault="003E6655" w:rsidP="003E6655">
      <w:pPr>
        <w:spacing w:after="0"/>
        <w:jc w:val="both"/>
        <w:rPr>
          <w:rFonts w:asciiTheme="minorHAnsi" w:hAnsiTheme="minorHAnsi" w:cstheme="minorHAnsi"/>
        </w:rPr>
      </w:pPr>
    </w:p>
    <w:p w14:paraId="2EABEDAD" w14:textId="34593990" w:rsidR="00F750E9" w:rsidRPr="00F750E9" w:rsidRDefault="003E6655" w:rsidP="003E6655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>Dle bodu 3.3. ČÚS č. </w:t>
      </w:r>
      <w:r>
        <w:rPr>
          <w:rFonts w:asciiTheme="minorHAnsi" w:hAnsiTheme="minorHAnsi" w:cstheme="minorHAnsi"/>
        </w:rPr>
        <w:t>703</w:t>
      </w:r>
      <w:r w:rsidR="00BB25C7"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 w:rsidR="00BB25C7"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Transfery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 xml:space="preserve">však </w:t>
      </w:r>
      <w:r>
        <w:rPr>
          <w:rFonts w:asciiTheme="minorHAnsi" w:hAnsiTheme="minorHAnsi" w:cstheme="minorHAnsi"/>
        </w:rPr>
        <w:t>organizační složka státu</w:t>
      </w:r>
      <w:r w:rsidRPr="004E302A">
        <w:rPr>
          <w:rFonts w:asciiTheme="minorHAnsi" w:hAnsiTheme="minorHAnsi" w:cstheme="minorHAnsi"/>
        </w:rPr>
        <w:t xml:space="preserve"> v případě, že ČÚS č. 704</w:t>
      </w:r>
      <w:r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Fondy účetní jednotky</w:t>
      </w:r>
      <w:r w:rsidRPr="004E302A">
        <w:rPr>
          <w:rFonts w:asciiTheme="minorHAnsi" w:hAnsiTheme="minorHAnsi" w:cstheme="minorHAnsi"/>
        </w:rPr>
        <w:t xml:space="preserve"> stanoví odlišný postup účtování o transferu, aplikuje postup stanovený v ČÚS č. 704</w:t>
      </w:r>
      <w:r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Fondy účetní jednotky</w:t>
      </w:r>
      <w:r w:rsidRPr="004E302A">
        <w:rPr>
          <w:rFonts w:asciiTheme="minorHAnsi" w:hAnsiTheme="minorHAnsi" w:cstheme="minorHAnsi"/>
        </w:rPr>
        <w:t xml:space="preserve">. MD tedy o </w:t>
      </w:r>
      <w:r w:rsidR="00F750E9">
        <w:rPr>
          <w:rFonts w:asciiTheme="minorHAnsi" w:hAnsiTheme="minorHAnsi" w:cstheme="minorHAnsi"/>
        </w:rPr>
        <w:t xml:space="preserve">transferech přijatých ze zahraničí </w:t>
      </w:r>
      <w:r w:rsidRPr="004E302A">
        <w:rPr>
          <w:rFonts w:asciiTheme="minorHAnsi" w:hAnsiTheme="minorHAnsi" w:cstheme="minorHAnsi"/>
        </w:rPr>
        <w:t>v souladu s bodem 3.3. ČÚS č. </w:t>
      </w:r>
      <w:r>
        <w:rPr>
          <w:rFonts w:asciiTheme="minorHAnsi" w:hAnsiTheme="minorHAnsi" w:cstheme="minorHAnsi"/>
        </w:rPr>
        <w:t>703 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Transfery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účtovalo postupem stanoveným v bodu 6.1.1. písm. a) ČÚS č. </w:t>
      </w:r>
      <w:r>
        <w:rPr>
          <w:rFonts w:asciiTheme="minorHAnsi" w:hAnsiTheme="minorHAnsi" w:cstheme="minorHAnsi"/>
        </w:rPr>
        <w:t>704</w:t>
      </w:r>
      <w:r w:rsidR="00F750E9"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 w:rsidR="00F750E9"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Fondy účetní jednotky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 xml:space="preserve">a tyto transfery přijaté ze zahraničí určené k finančnímu vypořádání zaúčtovalo jako tvorbu rezervního fondu a k 31. 12. 2018 je ve výši 394 684 128,94 Kč vykázalo jako vlastní kapitál na účtu </w:t>
      </w:r>
      <w:r w:rsidRPr="00F046E6">
        <w:rPr>
          <w:rFonts w:asciiTheme="minorHAnsi" w:hAnsiTheme="minorHAnsi" w:cstheme="minorHAnsi"/>
        </w:rPr>
        <w:t>414</w:t>
      </w:r>
      <w:r w:rsidR="00F750E9">
        <w:rPr>
          <w:rFonts w:asciiTheme="minorHAnsi" w:hAnsiTheme="minorHAnsi" w:cstheme="minorHAnsi"/>
          <w:i/>
        </w:rPr>
        <w:t> </w:t>
      </w:r>
      <w:r w:rsidRPr="00D31426">
        <w:rPr>
          <w:rFonts w:asciiTheme="minorHAnsi" w:hAnsiTheme="minorHAnsi" w:cstheme="minorHAnsi"/>
          <w:i/>
        </w:rPr>
        <w:t>–</w:t>
      </w:r>
      <w:r w:rsidR="00F750E9">
        <w:rPr>
          <w:rFonts w:asciiTheme="minorHAnsi" w:hAnsiTheme="minorHAnsi" w:cstheme="minorHAnsi"/>
          <w:i/>
        </w:rPr>
        <w:t> </w:t>
      </w:r>
      <w:r w:rsidRPr="004E302A">
        <w:rPr>
          <w:rFonts w:asciiTheme="minorHAnsi" w:hAnsiTheme="minorHAnsi" w:cstheme="minorHAnsi"/>
          <w:i/>
        </w:rPr>
        <w:t>Rezervní fond z ostatních titulů</w:t>
      </w:r>
      <w:r w:rsidRPr="00F046E6">
        <w:rPr>
          <w:rFonts w:asciiTheme="minorHAnsi" w:hAnsiTheme="minorHAnsi" w:cstheme="minorHAnsi"/>
        </w:rPr>
        <w:t>.</w:t>
      </w:r>
      <w:r w:rsidRPr="004E302A">
        <w:rPr>
          <w:rFonts w:asciiTheme="minorHAnsi" w:hAnsiTheme="minorHAnsi" w:cstheme="minorHAnsi"/>
          <w:i/>
        </w:rPr>
        <w:t xml:space="preserve"> </w:t>
      </w:r>
      <w:r w:rsidRPr="004E302A">
        <w:rPr>
          <w:rFonts w:asciiTheme="minorHAnsi" w:hAnsiTheme="minorHAnsi" w:cstheme="minorHAnsi"/>
        </w:rPr>
        <w:t>Postup stanovený v bodu 3.3. ČÚS č. </w:t>
      </w:r>
      <w:r>
        <w:rPr>
          <w:rFonts w:asciiTheme="minorHAnsi" w:hAnsiTheme="minorHAnsi" w:cstheme="minorHAnsi"/>
        </w:rPr>
        <w:t>703 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F046E6">
        <w:rPr>
          <w:rFonts w:asciiTheme="minorHAnsi" w:hAnsiTheme="minorHAnsi" w:cstheme="minorHAnsi"/>
          <w:i/>
        </w:rPr>
        <w:t>Transfery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 xml:space="preserve">vede k tomu, že v případě příjmu zahraničních transferů určených k finančnímu </w:t>
      </w:r>
      <w:r w:rsidRPr="00F750E9">
        <w:rPr>
          <w:rFonts w:asciiTheme="minorHAnsi" w:hAnsiTheme="minorHAnsi" w:cstheme="minorHAnsi"/>
        </w:rPr>
        <w:t xml:space="preserve">vypořádání do rezervního fondu </w:t>
      </w:r>
      <w:r w:rsidR="00F750E9" w:rsidRPr="00F750E9">
        <w:rPr>
          <w:rFonts w:asciiTheme="minorHAnsi" w:hAnsiTheme="minorHAnsi" w:cstheme="minorHAnsi"/>
        </w:rPr>
        <w:t>organizační složka státu</w:t>
      </w:r>
      <w:r w:rsidRPr="00F750E9">
        <w:rPr>
          <w:rFonts w:asciiTheme="minorHAnsi" w:hAnsiTheme="minorHAnsi" w:cstheme="minorHAnsi"/>
        </w:rPr>
        <w:t xml:space="preserve"> vykazuje přijaté zálohy (tj. závazky, které bude nutno teprve vypořádat) jako vlastní kapitál</w:t>
      </w:r>
      <w:r w:rsidR="004261D7">
        <w:rPr>
          <w:rFonts w:asciiTheme="minorHAnsi" w:hAnsiTheme="minorHAnsi" w:cstheme="minorHAnsi"/>
        </w:rPr>
        <w:t xml:space="preserve">, </w:t>
      </w:r>
      <w:r w:rsidR="004B522A">
        <w:rPr>
          <w:rFonts w:asciiTheme="minorHAnsi" w:hAnsiTheme="minorHAnsi" w:cstheme="minorHAnsi"/>
        </w:rPr>
        <w:t>přestože by je dle jejich ekonomické podstaty měla vykázat</w:t>
      </w:r>
      <w:r w:rsidR="004261D7">
        <w:rPr>
          <w:rFonts w:asciiTheme="minorHAnsi" w:hAnsiTheme="minorHAnsi" w:cstheme="minorHAnsi"/>
        </w:rPr>
        <w:t xml:space="preserve"> jako cizí zdroje</w:t>
      </w:r>
      <w:r w:rsidR="00F750E9" w:rsidRPr="00F750E9">
        <w:rPr>
          <w:rFonts w:asciiTheme="minorHAnsi" w:hAnsiTheme="minorHAnsi" w:cstheme="minorHAnsi"/>
        </w:rPr>
        <w:t>.</w:t>
      </w:r>
    </w:p>
    <w:p w14:paraId="14C9C6AA" w14:textId="77777777" w:rsidR="00F750E9" w:rsidRPr="00F750E9" w:rsidRDefault="00F750E9" w:rsidP="003E6655">
      <w:pPr>
        <w:spacing w:after="0"/>
        <w:jc w:val="both"/>
        <w:rPr>
          <w:rFonts w:asciiTheme="minorHAnsi" w:hAnsiTheme="minorHAnsi" w:cstheme="minorHAnsi"/>
        </w:rPr>
      </w:pPr>
    </w:p>
    <w:p w14:paraId="1BD71FCF" w14:textId="37768728" w:rsidR="003E6655" w:rsidRDefault="003E6655" w:rsidP="003E6655">
      <w:pPr>
        <w:spacing w:after="0"/>
        <w:jc w:val="both"/>
        <w:rPr>
          <w:rFonts w:eastAsiaTheme="minorHAnsi"/>
        </w:rPr>
      </w:pPr>
      <w:r w:rsidRPr="00F750E9">
        <w:rPr>
          <w:rFonts w:asciiTheme="minorHAnsi" w:hAnsiTheme="minorHAnsi" w:cstheme="minorHAnsi"/>
        </w:rPr>
        <w:t xml:space="preserve">Dle názoru </w:t>
      </w:r>
      <w:r w:rsidR="00F750E9" w:rsidRPr="00F750E9">
        <w:rPr>
          <w:rFonts w:asciiTheme="minorHAnsi" w:hAnsiTheme="minorHAnsi" w:cstheme="minorHAnsi"/>
        </w:rPr>
        <w:t>NKÚ</w:t>
      </w:r>
      <w:r w:rsidRPr="00F750E9">
        <w:rPr>
          <w:rFonts w:asciiTheme="minorHAnsi" w:hAnsiTheme="minorHAnsi" w:cstheme="minorHAnsi"/>
        </w:rPr>
        <w:t xml:space="preserve"> </w:t>
      </w:r>
      <w:r w:rsidRPr="00F750E9">
        <w:rPr>
          <w:rFonts w:asciiTheme="minorHAnsi" w:hAnsiTheme="minorHAnsi" w:cstheme="minorHAnsi"/>
          <w:b/>
        </w:rPr>
        <w:t xml:space="preserve">zaúčtování a vykázání </w:t>
      </w:r>
      <w:r w:rsidR="002322A0">
        <w:rPr>
          <w:rFonts w:asciiTheme="minorHAnsi" w:hAnsiTheme="minorHAnsi" w:cstheme="minorHAnsi"/>
          <w:b/>
        </w:rPr>
        <w:t>závazků souvisejících s</w:t>
      </w:r>
      <w:r w:rsidR="000575EA">
        <w:rPr>
          <w:rFonts w:asciiTheme="minorHAnsi" w:hAnsiTheme="minorHAnsi" w:cstheme="minorHAnsi"/>
          <w:b/>
        </w:rPr>
        <w:t> </w:t>
      </w:r>
      <w:r w:rsidR="002322A0">
        <w:rPr>
          <w:rFonts w:asciiTheme="minorHAnsi" w:hAnsiTheme="minorHAnsi" w:cstheme="minorHAnsi"/>
          <w:b/>
        </w:rPr>
        <w:t>transferem</w:t>
      </w:r>
      <w:r w:rsidR="009B4C60">
        <w:rPr>
          <w:rFonts w:asciiTheme="minorHAnsi" w:hAnsiTheme="minorHAnsi" w:cstheme="minorHAnsi"/>
          <w:b/>
        </w:rPr>
        <w:t xml:space="preserve"> přijatým ze</w:t>
      </w:r>
      <w:r w:rsidR="007A5B6E">
        <w:rPr>
          <w:rFonts w:asciiTheme="minorHAnsi" w:hAnsiTheme="minorHAnsi" w:cstheme="minorHAnsi"/>
          <w:b/>
        </w:rPr>
        <w:t xml:space="preserve"> </w:t>
      </w:r>
      <w:r w:rsidR="000575EA">
        <w:rPr>
          <w:rFonts w:asciiTheme="minorHAnsi" w:hAnsiTheme="minorHAnsi" w:cstheme="minorHAnsi"/>
          <w:b/>
        </w:rPr>
        <w:t>zahraničí</w:t>
      </w:r>
      <w:r w:rsidRPr="00F750E9">
        <w:rPr>
          <w:rFonts w:asciiTheme="minorHAnsi" w:hAnsiTheme="minorHAnsi" w:cstheme="minorHAnsi"/>
          <w:b/>
        </w:rPr>
        <w:t xml:space="preserve"> ve vlastním kapitálu neodpovídá věcné podstatě </w:t>
      </w:r>
      <w:r w:rsidR="00A808EE">
        <w:rPr>
          <w:rFonts w:asciiTheme="minorHAnsi" w:hAnsiTheme="minorHAnsi" w:cstheme="minorHAnsi"/>
          <w:b/>
        </w:rPr>
        <w:t>vlastního kapitálu</w:t>
      </w:r>
      <w:r w:rsidRPr="00F046E6">
        <w:rPr>
          <w:rFonts w:asciiTheme="minorHAnsi" w:hAnsiTheme="minorHAnsi" w:cstheme="minorHAnsi"/>
          <w:b/>
        </w:rPr>
        <w:t>.</w:t>
      </w:r>
    </w:p>
    <w:p w14:paraId="26EBF695" w14:textId="77777777" w:rsidR="003E6655" w:rsidRPr="001C6E98" w:rsidRDefault="003E6655" w:rsidP="001C6E98">
      <w:pPr>
        <w:spacing w:after="0"/>
        <w:jc w:val="both"/>
        <w:rPr>
          <w:rFonts w:asciiTheme="minorHAnsi" w:hAnsiTheme="minorHAnsi" w:cstheme="minorHAnsi"/>
        </w:rPr>
      </w:pPr>
    </w:p>
    <w:p w14:paraId="455F7650" w14:textId="77777777" w:rsidR="003E6655" w:rsidRPr="001C6E98" w:rsidRDefault="003E6655" w:rsidP="001C6E98">
      <w:pPr>
        <w:spacing w:after="0"/>
        <w:jc w:val="both"/>
        <w:rPr>
          <w:rFonts w:asciiTheme="minorHAnsi" w:hAnsiTheme="minorHAnsi" w:cstheme="minorHAnsi"/>
        </w:rPr>
      </w:pPr>
    </w:p>
    <w:p w14:paraId="7A4AC023" w14:textId="77777777" w:rsidR="0055177B" w:rsidRDefault="00FF1F3B" w:rsidP="00FF1F3B">
      <w:pPr>
        <w:pStyle w:val="Nadpis3"/>
        <w:numPr>
          <w:ilvl w:val="0"/>
          <w:numId w:val="0"/>
        </w:numPr>
      </w:pPr>
      <w:r>
        <w:rPr>
          <w:rFonts w:asciiTheme="minorHAnsi" w:hAnsiTheme="minorHAnsi" w:cstheme="minorHAnsi"/>
        </w:rPr>
        <w:lastRenderedPageBreak/>
        <w:t xml:space="preserve">4.3 </w:t>
      </w:r>
      <w:r w:rsidR="0055177B">
        <w:rPr>
          <w:rFonts w:asciiTheme="minorHAnsi" w:hAnsiTheme="minorHAnsi" w:cstheme="minorHAnsi"/>
        </w:rPr>
        <w:t>Vykazování výnosů ze zahraničních transferů jako čerpání rezervního fondu</w:t>
      </w:r>
    </w:p>
    <w:p w14:paraId="20BA0031" w14:textId="77777777" w:rsidR="0055177B" w:rsidRDefault="0055177B" w:rsidP="001C6E98">
      <w:pPr>
        <w:spacing w:after="0"/>
        <w:jc w:val="both"/>
        <w:rPr>
          <w:rFonts w:asciiTheme="minorHAnsi" w:hAnsiTheme="minorHAnsi" w:cstheme="minorHAnsi"/>
        </w:rPr>
      </w:pPr>
    </w:p>
    <w:p w14:paraId="1AA62CD9" w14:textId="77648F9B" w:rsidR="0055177B" w:rsidRDefault="00680DCF" w:rsidP="0055177B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MD v letech 2015 a 2016 přijímalo do rezervního fondu peněžní prostředky </w:t>
      </w:r>
      <w:r>
        <w:rPr>
          <w:rFonts w:asciiTheme="minorHAnsi" w:hAnsiTheme="minorHAnsi" w:cstheme="minorHAnsi"/>
        </w:rPr>
        <w:t>ze zahraničí</w:t>
      </w:r>
      <w:r w:rsidRPr="004E302A">
        <w:rPr>
          <w:rFonts w:asciiTheme="minorHAnsi" w:hAnsiTheme="minorHAnsi" w:cstheme="minorHAnsi"/>
        </w:rPr>
        <w:t>, které jsou ve smyslu bodu 3.1. ČÚS č. </w:t>
      </w:r>
      <w:r>
        <w:rPr>
          <w:rFonts w:asciiTheme="minorHAnsi" w:hAnsiTheme="minorHAnsi" w:cstheme="minorHAnsi"/>
        </w:rPr>
        <w:t>703 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D1325C">
        <w:rPr>
          <w:rFonts w:asciiTheme="minorHAnsi" w:hAnsiTheme="minorHAnsi" w:cstheme="minorHAnsi"/>
          <w:i/>
        </w:rPr>
        <w:t>Transfery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transferem. Tyto peněžní prostředky jsou určen</w:t>
      </w:r>
      <w:r w:rsidR="00127D05">
        <w:rPr>
          <w:rFonts w:asciiTheme="minorHAnsi" w:hAnsiTheme="minorHAnsi" w:cstheme="minorHAnsi"/>
        </w:rPr>
        <w:t>y</w:t>
      </w:r>
      <w:r w:rsidRPr="004E302A">
        <w:rPr>
          <w:rFonts w:asciiTheme="minorHAnsi" w:hAnsiTheme="minorHAnsi" w:cstheme="minorHAnsi"/>
        </w:rPr>
        <w:t xml:space="preserve"> k finančnímu vypořádání a MD je v letech 2017 a 2018 čerpalo prostřednictvím státního rozpočtu a poskytovalo je na základě rozhodnutí o poskytnutí dotace S</w:t>
      </w:r>
      <w:r>
        <w:rPr>
          <w:rFonts w:asciiTheme="minorHAnsi" w:hAnsiTheme="minorHAnsi" w:cstheme="minorHAnsi"/>
        </w:rPr>
        <w:t xml:space="preserve">tátnímu fondu dopravní infrastruktury, </w:t>
      </w:r>
      <w:r w:rsidRPr="004E302A">
        <w:rPr>
          <w:rFonts w:asciiTheme="minorHAnsi" w:hAnsiTheme="minorHAnsi" w:cstheme="minorHAnsi"/>
        </w:rPr>
        <w:t>kter</w:t>
      </w:r>
      <w:r>
        <w:rPr>
          <w:rFonts w:asciiTheme="minorHAnsi" w:hAnsiTheme="minorHAnsi" w:cstheme="minorHAnsi"/>
        </w:rPr>
        <w:t>ý</w:t>
      </w:r>
      <w:r w:rsidRPr="004E302A">
        <w:rPr>
          <w:rFonts w:asciiTheme="minorHAnsi" w:hAnsiTheme="minorHAnsi" w:cstheme="minorHAnsi"/>
        </w:rPr>
        <w:t xml:space="preserve"> je dále poskytoval konečným příjemců</w:t>
      </w:r>
      <w:r>
        <w:rPr>
          <w:rFonts w:asciiTheme="minorHAnsi" w:hAnsiTheme="minorHAnsi" w:cstheme="minorHAnsi"/>
        </w:rPr>
        <w:t>m</w:t>
      </w:r>
      <w:r w:rsidR="0055177B" w:rsidRPr="0055177B">
        <w:rPr>
          <w:rFonts w:asciiTheme="minorHAnsi" w:hAnsiTheme="minorHAnsi" w:cstheme="minorHAnsi"/>
        </w:rPr>
        <w:t>.</w:t>
      </w:r>
    </w:p>
    <w:p w14:paraId="74133A86" w14:textId="77777777" w:rsidR="0055177B" w:rsidRPr="0055177B" w:rsidRDefault="0055177B" w:rsidP="0055177B">
      <w:pPr>
        <w:spacing w:after="0"/>
        <w:jc w:val="both"/>
        <w:rPr>
          <w:rFonts w:asciiTheme="minorHAnsi" w:hAnsiTheme="minorHAnsi" w:cstheme="minorHAnsi"/>
        </w:rPr>
      </w:pPr>
    </w:p>
    <w:p w14:paraId="20B921A4" w14:textId="612A4894" w:rsidR="0055177B" w:rsidRPr="0055177B" w:rsidRDefault="0055177B" w:rsidP="0055177B">
      <w:pPr>
        <w:spacing w:after="0"/>
        <w:jc w:val="both"/>
        <w:rPr>
          <w:rFonts w:asciiTheme="minorHAnsi" w:hAnsiTheme="minorHAnsi" w:cstheme="minorHAnsi"/>
        </w:rPr>
      </w:pPr>
      <w:r w:rsidRPr="0055177B">
        <w:rPr>
          <w:rFonts w:asciiTheme="minorHAnsi" w:hAnsiTheme="minorHAnsi" w:cstheme="minorHAnsi"/>
        </w:rPr>
        <w:t>Dle bodu 3.3. ČÚS č. </w:t>
      </w:r>
      <w:r>
        <w:rPr>
          <w:rFonts w:asciiTheme="minorHAnsi" w:hAnsiTheme="minorHAnsi" w:cstheme="minorHAnsi"/>
        </w:rPr>
        <w:t>703 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D1325C">
        <w:rPr>
          <w:rFonts w:asciiTheme="minorHAnsi" w:hAnsiTheme="minorHAnsi" w:cstheme="minorHAnsi"/>
          <w:i/>
        </w:rPr>
        <w:t>Transfery</w:t>
      </w:r>
      <w:r w:rsidRPr="005517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organizační složka státu</w:t>
      </w:r>
      <w:r w:rsidRPr="0055177B">
        <w:rPr>
          <w:rFonts w:asciiTheme="minorHAnsi" w:hAnsiTheme="minorHAnsi" w:cstheme="minorHAnsi"/>
        </w:rPr>
        <w:t xml:space="preserve"> v případě, že ČÚS č. </w:t>
      </w:r>
      <w:r w:rsidRPr="004E302A">
        <w:rPr>
          <w:rFonts w:asciiTheme="minorHAnsi" w:hAnsiTheme="minorHAnsi" w:cstheme="minorHAnsi"/>
        </w:rPr>
        <w:t>704</w:t>
      </w:r>
      <w:r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D1325C">
        <w:rPr>
          <w:rFonts w:asciiTheme="minorHAnsi" w:hAnsiTheme="minorHAnsi" w:cstheme="minorHAnsi"/>
          <w:i/>
        </w:rPr>
        <w:t>Fondy účetní jednotky</w:t>
      </w:r>
      <w:r w:rsidRPr="0055177B">
        <w:rPr>
          <w:rFonts w:asciiTheme="minorHAnsi" w:hAnsiTheme="minorHAnsi" w:cstheme="minorHAnsi"/>
        </w:rPr>
        <w:t xml:space="preserve"> stanoví odlišný postup účtování o transferu, aplikuje postup stanovený v ČÚS č. </w:t>
      </w:r>
      <w:r w:rsidRPr="004E302A">
        <w:rPr>
          <w:rFonts w:asciiTheme="minorHAnsi" w:hAnsiTheme="minorHAnsi" w:cstheme="minorHAnsi"/>
        </w:rPr>
        <w:t>704</w:t>
      </w:r>
      <w:r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D1325C">
        <w:rPr>
          <w:rFonts w:asciiTheme="minorHAnsi" w:hAnsiTheme="minorHAnsi" w:cstheme="minorHAnsi"/>
          <w:i/>
        </w:rPr>
        <w:t>Fondy účetní jednotky</w:t>
      </w:r>
      <w:r w:rsidRPr="0055177B">
        <w:rPr>
          <w:rFonts w:asciiTheme="minorHAnsi" w:hAnsiTheme="minorHAnsi" w:cstheme="minorHAnsi"/>
        </w:rPr>
        <w:t xml:space="preserve">. Účtování </w:t>
      </w:r>
      <w:r w:rsidR="00680DCF">
        <w:rPr>
          <w:rFonts w:asciiTheme="minorHAnsi" w:hAnsiTheme="minorHAnsi" w:cstheme="minorHAnsi"/>
        </w:rPr>
        <w:t xml:space="preserve">o </w:t>
      </w:r>
      <w:r w:rsidRPr="0055177B">
        <w:rPr>
          <w:rFonts w:asciiTheme="minorHAnsi" w:hAnsiTheme="minorHAnsi" w:cstheme="minorHAnsi"/>
        </w:rPr>
        <w:t>použití prostředků rezervního fondu v souladu s bod</w:t>
      </w:r>
      <w:r w:rsidR="00680DCF">
        <w:rPr>
          <w:rFonts w:asciiTheme="minorHAnsi" w:hAnsiTheme="minorHAnsi" w:cstheme="minorHAnsi"/>
        </w:rPr>
        <w:t>em</w:t>
      </w:r>
      <w:r w:rsidRPr="0055177B">
        <w:rPr>
          <w:rFonts w:asciiTheme="minorHAnsi" w:hAnsiTheme="minorHAnsi" w:cstheme="minorHAnsi"/>
        </w:rPr>
        <w:t xml:space="preserve"> 6.1.2. ČÚS č.</w:t>
      </w:r>
      <w:r w:rsidR="00680DCF">
        <w:rPr>
          <w:rFonts w:asciiTheme="minorHAnsi" w:hAnsiTheme="minorHAnsi" w:cstheme="minorHAnsi"/>
        </w:rPr>
        <w:t> </w:t>
      </w:r>
      <w:r w:rsidRPr="004E302A">
        <w:rPr>
          <w:rFonts w:asciiTheme="minorHAnsi" w:hAnsiTheme="minorHAnsi" w:cstheme="minorHAnsi"/>
        </w:rPr>
        <w:t>704</w:t>
      </w:r>
      <w:r>
        <w:rPr>
          <w:rFonts w:asciiTheme="minorHAnsi" w:hAnsiTheme="minorHAnsi" w:cstheme="minorHAnsi"/>
        </w:rPr>
        <w:t> </w:t>
      </w:r>
      <w:r w:rsidRPr="00D96AD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 </w:t>
      </w:r>
      <w:r w:rsidRPr="00D1325C">
        <w:rPr>
          <w:rFonts w:asciiTheme="minorHAnsi" w:hAnsiTheme="minorHAnsi" w:cstheme="minorHAnsi"/>
          <w:i/>
        </w:rPr>
        <w:t>Fondy účetní jednotky</w:t>
      </w:r>
      <w:r w:rsidRPr="0055177B">
        <w:rPr>
          <w:rFonts w:asciiTheme="minorHAnsi" w:hAnsiTheme="minorHAnsi" w:cstheme="minorHAnsi"/>
        </w:rPr>
        <w:t xml:space="preserve"> prostřednictvím výnosového účtu </w:t>
      </w:r>
      <w:r w:rsidRPr="00D1325C">
        <w:rPr>
          <w:rFonts w:asciiTheme="minorHAnsi" w:hAnsiTheme="minorHAnsi" w:cstheme="minorHAnsi"/>
        </w:rPr>
        <w:t>648</w:t>
      </w:r>
      <w:r>
        <w:rPr>
          <w:rFonts w:asciiTheme="minorHAnsi" w:hAnsiTheme="minorHAnsi" w:cstheme="minorHAnsi"/>
          <w:i/>
        </w:rPr>
        <w:t> </w:t>
      </w:r>
      <w:r w:rsidRPr="00D31426"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  <w:i/>
        </w:rPr>
        <w:t> </w:t>
      </w:r>
      <w:r w:rsidRPr="0055177B">
        <w:rPr>
          <w:rFonts w:asciiTheme="minorHAnsi" w:hAnsiTheme="minorHAnsi" w:cstheme="minorHAnsi"/>
          <w:i/>
        </w:rPr>
        <w:t>Čerpání fondů</w:t>
      </w:r>
      <w:r w:rsidR="00127D05">
        <w:rPr>
          <w:rFonts w:asciiTheme="minorHAnsi" w:hAnsiTheme="minorHAnsi" w:cstheme="minorHAnsi"/>
        </w:rPr>
        <w:t>,</w:t>
      </w:r>
      <w:r w:rsidRPr="0055177B">
        <w:rPr>
          <w:rFonts w:asciiTheme="minorHAnsi" w:hAnsiTheme="minorHAnsi" w:cstheme="minorHAnsi"/>
        </w:rPr>
        <w:t xml:space="preserve"> a nikoliv prostřednictvím výnosového účt</w:t>
      </w:r>
      <w:r w:rsidR="00680DCF">
        <w:rPr>
          <w:rFonts w:asciiTheme="minorHAnsi" w:hAnsiTheme="minorHAnsi" w:cstheme="minorHAnsi"/>
        </w:rPr>
        <w:t>u</w:t>
      </w:r>
      <w:r w:rsidRPr="0055177B">
        <w:rPr>
          <w:rFonts w:asciiTheme="minorHAnsi" w:hAnsiTheme="minorHAnsi" w:cstheme="minorHAnsi"/>
        </w:rPr>
        <w:t xml:space="preserve"> </w:t>
      </w:r>
      <w:r w:rsidRPr="00D1325C">
        <w:rPr>
          <w:rFonts w:asciiTheme="minorHAnsi" w:hAnsiTheme="minorHAnsi" w:cstheme="minorHAnsi"/>
        </w:rPr>
        <w:t>675</w:t>
      </w:r>
      <w:r>
        <w:rPr>
          <w:rFonts w:asciiTheme="minorHAnsi" w:hAnsiTheme="minorHAnsi" w:cstheme="minorHAnsi"/>
          <w:i/>
        </w:rPr>
        <w:t> </w:t>
      </w:r>
      <w:r w:rsidRPr="00D31426"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  <w:i/>
        </w:rPr>
        <w:t> </w:t>
      </w:r>
      <w:r w:rsidRPr="0055177B">
        <w:rPr>
          <w:rFonts w:asciiTheme="minorHAnsi" w:hAnsiTheme="minorHAnsi" w:cstheme="minorHAnsi"/>
          <w:i/>
        </w:rPr>
        <w:t>Výnosy vybraných ústředních vládních institucí z předfinancování transferů</w:t>
      </w:r>
      <w:r w:rsidRPr="0055177B">
        <w:rPr>
          <w:rFonts w:asciiTheme="minorHAnsi" w:hAnsiTheme="minorHAnsi" w:cstheme="minorHAnsi"/>
        </w:rPr>
        <w:t xml:space="preserve"> neumožňuje přiřadit k používanému nákladovému účtu </w:t>
      </w:r>
      <w:r w:rsidRPr="00D1325C">
        <w:rPr>
          <w:rFonts w:asciiTheme="minorHAnsi" w:hAnsiTheme="minorHAnsi" w:cstheme="minorHAnsi"/>
        </w:rPr>
        <w:t>575</w:t>
      </w:r>
      <w:r>
        <w:rPr>
          <w:rFonts w:asciiTheme="minorHAnsi" w:hAnsiTheme="minorHAnsi" w:cstheme="minorHAnsi"/>
          <w:i/>
        </w:rPr>
        <w:t> </w:t>
      </w:r>
      <w:r w:rsidRPr="00D31426"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  <w:i/>
        </w:rPr>
        <w:t> </w:t>
      </w:r>
      <w:r w:rsidRPr="0055177B">
        <w:rPr>
          <w:rFonts w:asciiTheme="minorHAnsi" w:hAnsiTheme="minorHAnsi" w:cstheme="minorHAnsi"/>
          <w:i/>
        </w:rPr>
        <w:t xml:space="preserve">Náklady vybraných ústředních vládních institucí </w:t>
      </w:r>
      <w:r w:rsidR="00127D05">
        <w:rPr>
          <w:rFonts w:asciiTheme="minorHAnsi" w:hAnsiTheme="minorHAnsi" w:cstheme="minorHAnsi"/>
          <w:i/>
        </w:rPr>
        <w:t xml:space="preserve">na </w:t>
      </w:r>
      <w:r w:rsidRPr="0055177B">
        <w:rPr>
          <w:rFonts w:asciiTheme="minorHAnsi" w:hAnsiTheme="minorHAnsi" w:cstheme="minorHAnsi"/>
          <w:i/>
        </w:rPr>
        <w:t>předfinancování transferů</w:t>
      </w:r>
      <w:r w:rsidRPr="0055177B">
        <w:rPr>
          <w:rFonts w:asciiTheme="minorHAnsi" w:hAnsiTheme="minorHAnsi" w:cstheme="minorHAnsi"/>
        </w:rPr>
        <w:t xml:space="preserve"> stejný druh výnosu.</w:t>
      </w:r>
    </w:p>
    <w:p w14:paraId="794C46E6" w14:textId="77777777" w:rsidR="0055177B" w:rsidRDefault="0055177B" w:rsidP="0055177B">
      <w:pPr>
        <w:spacing w:after="0"/>
        <w:jc w:val="both"/>
        <w:rPr>
          <w:rFonts w:asciiTheme="minorHAnsi" w:hAnsiTheme="minorHAnsi" w:cstheme="minorHAnsi"/>
        </w:rPr>
      </w:pPr>
    </w:p>
    <w:p w14:paraId="7E48D9D7" w14:textId="77777777" w:rsidR="0055177B" w:rsidRPr="0055177B" w:rsidRDefault="0055177B" w:rsidP="0055177B">
      <w:pPr>
        <w:spacing w:after="0"/>
        <w:jc w:val="both"/>
        <w:rPr>
          <w:rFonts w:eastAsiaTheme="minorHAnsi"/>
        </w:rPr>
      </w:pPr>
      <w:r>
        <w:rPr>
          <w:rFonts w:asciiTheme="minorHAnsi" w:hAnsiTheme="minorHAnsi" w:cstheme="minorHAnsi"/>
        </w:rPr>
        <w:t xml:space="preserve">NKÚ </w:t>
      </w:r>
      <w:r w:rsidRPr="0055177B">
        <w:rPr>
          <w:rFonts w:asciiTheme="minorHAnsi" w:hAnsiTheme="minorHAnsi" w:cstheme="minorHAnsi"/>
        </w:rPr>
        <w:t xml:space="preserve">má za to, že </w:t>
      </w:r>
      <w:r w:rsidRPr="0055177B">
        <w:rPr>
          <w:rFonts w:asciiTheme="minorHAnsi" w:hAnsiTheme="minorHAnsi" w:cstheme="minorHAnsi"/>
          <w:b/>
        </w:rPr>
        <w:t>úprava účtování a vykazování uvedených výnosů upřednostňuje formu (prostředky rezervního fondu) před obsahem (předfinancování transferu spolufinancovaného ze zahraničí)</w:t>
      </w:r>
      <w:r w:rsidRPr="00D1325C">
        <w:rPr>
          <w:rFonts w:asciiTheme="minorHAnsi" w:hAnsiTheme="minorHAnsi" w:cstheme="minorHAnsi"/>
          <w:b/>
        </w:rPr>
        <w:t>.</w:t>
      </w:r>
    </w:p>
    <w:p w14:paraId="4BDA09B6" w14:textId="77777777" w:rsidR="0055177B" w:rsidRPr="001C6E98" w:rsidRDefault="0055177B" w:rsidP="001C6E98">
      <w:pPr>
        <w:spacing w:after="0"/>
        <w:jc w:val="both"/>
        <w:rPr>
          <w:rFonts w:eastAsiaTheme="minorHAnsi"/>
          <w:b/>
        </w:rPr>
      </w:pPr>
    </w:p>
    <w:p w14:paraId="06B367A8" w14:textId="77777777" w:rsidR="0055177B" w:rsidRPr="001C6E98" w:rsidRDefault="0055177B" w:rsidP="001C6E98">
      <w:pPr>
        <w:spacing w:after="0"/>
        <w:jc w:val="both"/>
        <w:rPr>
          <w:rFonts w:eastAsiaTheme="minorHAnsi"/>
          <w:b/>
        </w:rPr>
      </w:pPr>
    </w:p>
    <w:p w14:paraId="2B9C5806" w14:textId="77777777" w:rsidR="0087502E" w:rsidRDefault="00FF1F3B" w:rsidP="00FF1F3B">
      <w:pPr>
        <w:pStyle w:val="Nadpis3"/>
        <w:numPr>
          <w:ilvl w:val="0"/>
          <w:numId w:val="0"/>
        </w:numPr>
        <w:ind w:left="369" w:hanging="369"/>
        <w:jc w:val="left"/>
      </w:pPr>
      <w:r>
        <w:rPr>
          <w:rFonts w:asciiTheme="minorHAnsi" w:hAnsiTheme="minorHAnsi" w:cstheme="minorHAnsi"/>
        </w:rPr>
        <w:t xml:space="preserve">4.4 </w:t>
      </w:r>
      <w:r w:rsidR="00721B6A">
        <w:rPr>
          <w:rFonts w:asciiTheme="minorHAnsi" w:hAnsiTheme="minorHAnsi" w:cstheme="minorHAnsi"/>
        </w:rPr>
        <w:t>Vyk</w:t>
      </w:r>
      <w:r w:rsidR="0055177B">
        <w:rPr>
          <w:rFonts w:asciiTheme="minorHAnsi" w:hAnsiTheme="minorHAnsi" w:cstheme="minorHAnsi"/>
        </w:rPr>
        <w:t>a</w:t>
      </w:r>
      <w:r w:rsidR="00721B6A">
        <w:rPr>
          <w:rFonts w:asciiTheme="minorHAnsi" w:hAnsiTheme="minorHAnsi" w:cstheme="minorHAnsi"/>
        </w:rPr>
        <w:t>z</w:t>
      </w:r>
      <w:r w:rsidR="0055177B">
        <w:rPr>
          <w:rFonts w:asciiTheme="minorHAnsi" w:hAnsiTheme="minorHAnsi" w:cstheme="minorHAnsi"/>
        </w:rPr>
        <w:t>ov</w:t>
      </w:r>
      <w:r w:rsidR="00721B6A">
        <w:rPr>
          <w:rFonts w:asciiTheme="minorHAnsi" w:hAnsiTheme="minorHAnsi" w:cstheme="minorHAnsi"/>
        </w:rPr>
        <w:t>ání peněžních toků souvisejících s rezervním fondem v přehledu o peněžních tocích</w:t>
      </w:r>
    </w:p>
    <w:p w14:paraId="27E9964E" w14:textId="77777777" w:rsidR="0087502E" w:rsidRDefault="0087502E" w:rsidP="001C6E98">
      <w:pPr>
        <w:spacing w:after="0"/>
        <w:jc w:val="both"/>
        <w:rPr>
          <w:rFonts w:eastAsiaTheme="minorHAnsi"/>
          <w:b/>
        </w:rPr>
      </w:pPr>
    </w:p>
    <w:p w14:paraId="4737E3AF" w14:textId="20C403CD" w:rsidR="00721B6A" w:rsidRPr="004E302A" w:rsidRDefault="00721B6A" w:rsidP="00721B6A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V některých případech, konkrétně při tvorbě rezervního fondu z důvodu přijetí peněžních prostředků poskytnutých organizační složce státu ze zahraničí, může nastat situace, kdy organizační složka státu nemá k dispozici vhodnou položku </w:t>
      </w:r>
      <w:r w:rsidR="0050580E">
        <w:rPr>
          <w:rFonts w:asciiTheme="minorHAnsi" w:hAnsiTheme="minorHAnsi" w:cstheme="minorHAnsi"/>
        </w:rPr>
        <w:t>přehledu o peněžních tocích, na</w:t>
      </w:r>
      <w:r w:rsidR="005F701B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které by uvedený pohyb vykázala. Uvedená peněžní operace však musí být v p</w:t>
      </w:r>
      <w:r>
        <w:rPr>
          <w:rFonts w:asciiTheme="minorHAnsi" w:hAnsiTheme="minorHAnsi" w:cstheme="minorHAnsi"/>
        </w:rPr>
        <w:t>řehledu o </w:t>
      </w:r>
      <w:r w:rsidRPr="004E302A">
        <w:rPr>
          <w:rFonts w:asciiTheme="minorHAnsi" w:hAnsiTheme="minorHAnsi" w:cstheme="minorHAnsi"/>
        </w:rPr>
        <w:t xml:space="preserve">peněžních tocích na některé z položek vykázána, jinak by nesouhlasil zůstatek položky </w:t>
      </w:r>
      <w:r w:rsidR="000644BF">
        <w:rPr>
          <w:rFonts w:asciiTheme="minorHAnsi" w:hAnsiTheme="minorHAnsi" w:cstheme="minorHAnsi"/>
          <w:i/>
        </w:rPr>
        <w:t>R. </w:t>
      </w:r>
      <w:r w:rsidRPr="004E302A">
        <w:rPr>
          <w:rFonts w:asciiTheme="minorHAnsi" w:hAnsiTheme="minorHAnsi" w:cstheme="minorHAnsi"/>
          <w:i/>
        </w:rPr>
        <w:t>Stav peněžních prostředků k rozvahovému dni</w:t>
      </w:r>
      <w:r w:rsidRPr="004E302A">
        <w:rPr>
          <w:rFonts w:asciiTheme="minorHAnsi" w:hAnsiTheme="minorHAnsi" w:cstheme="minorHAnsi"/>
        </w:rPr>
        <w:t xml:space="preserve"> </w:t>
      </w:r>
      <w:r w:rsidR="00A82A07">
        <w:rPr>
          <w:rFonts w:asciiTheme="minorHAnsi" w:hAnsiTheme="minorHAnsi" w:cstheme="minorHAnsi"/>
        </w:rPr>
        <w:t>se</w:t>
      </w:r>
      <w:r w:rsidRPr="004E302A">
        <w:rPr>
          <w:rFonts w:asciiTheme="minorHAnsi" w:hAnsiTheme="minorHAnsi" w:cstheme="minorHAnsi"/>
        </w:rPr>
        <w:t xml:space="preserve"> stav</w:t>
      </w:r>
      <w:r w:rsidR="00A82A07">
        <w:rPr>
          <w:rFonts w:asciiTheme="minorHAnsi" w:hAnsiTheme="minorHAnsi" w:cstheme="minorHAnsi"/>
        </w:rPr>
        <w:t>em</w:t>
      </w:r>
      <w:r w:rsidRPr="004E302A">
        <w:rPr>
          <w:rFonts w:asciiTheme="minorHAnsi" w:hAnsiTheme="minorHAnsi" w:cstheme="minorHAnsi"/>
        </w:rPr>
        <w:t xml:space="preserve"> peněžních prostředků podle </w:t>
      </w:r>
      <w:r w:rsidR="004C08AB">
        <w:rPr>
          <w:rFonts w:asciiTheme="minorHAnsi" w:hAnsiTheme="minorHAnsi" w:cstheme="minorHAnsi"/>
        </w:rPr>
        <w:t xml:space="preserve">ustanovení </w:t>
      </w:r>
      <w:r w:rsidRPr="004E302A">
        <w:rPr>
          <w:rFonts w:asciiTheme="minorHAnsi" w:hAnsiTheme="minorHAnsi" w:cstheme="minorHAnsi"/>
        </w:rPr>
        <w:t xml:space="preserve">§ 43 odst. </w:t>
      </w:r>
      <w:r w:rsidR="00E643A1">
        <w:rPr>
          <w:rFonts w:asciiTheme="minorHAnsi" w:hAnsiTheme="minorHAnsi" w:cstheme="minorHAnsi"/>
        </w:rPr>
        <w:t>6 písm. c) vyhlášky č. 410/2009 </w:t>
      </w:r>
      <w:r w:rsidRPr="004E302A">
        <w:rPr>
          <w:rFonts w:asciiTheme="minorHAnsi" w:hAnsiTheme="minorHAnsi" w:cstheme="minorHAnsi"/>
        </w:rPr>
        <w:t>Sb.</w:t>
      </w:r>
      <w:r w:rsidR="00E643A1">
        <w:rPr>
          <w:rFonts w:asciiTheme="minorHAnsi" w:hAnsiTheme="minorHAnsi" w:cstheme="minorHAnsi"/>
        </w:rPr>
        <w:t>,</w:t>
      </w:r>
      <w:r w:rsidR="00E643A1">
        <w:rPr>
          <w:rFonts w:asciiTheme="minorHAnsi" w:eastAsiaTheme="minorHAnsi" w:hAnsiTheme="minorHAnsi" w:cstheme="minorHAnsi"/>
        </w:rPr>
        <w:t xml:space="preserve"> kterou se provádějí některá ustanovení zákona č. 563/1991 Sb., o účetnictví, ve znění pozdějších předpisů, pro některé vybrané účetní jednotky</w:t>
      </w:r>
      <w:r w:rsidR="00E643A1">
        <w:rPr>
          <w:rFonts w:asciiTheme="minorHAnsi" w:hAnsiTheme="minorHAnsi" w:cstheme="minorHAnsi"/>
        </w:rPr>
        <w:t xml:space="preserve">. </w:t>
      </w:r>
      <w:r w:rsidRPr="004E302A">
        <w:rPr>
          <w:rFonts w:asciiTheme="minorHAnsi" w:hAnsiTheme="minorHAnsi" w:cstheme="minorHAnsi"/>
        </w:rPr>
        <w:t xml:space="preserve">Položka </w:t>
      </w:r>
      <w:r w:rsidRPr="004E302A">
        <w:rPr>
          <w:rFonts w:asciiTheme="minorHAnsi" w:hAnsiTheme="minorHAnsi" w:cstheme="minorHAnsi"/>
          <w:i/>
        </w:rPr>
        <w:t>R. Stav peněžních prostředků k rozvahovému dni</w:t>
      </w:r>
      <w:r w:rsidRPr="004E302A">
        <w:rPr>
          <w:rFonts w:asciiTheme="minorHAnsi" w:hAnsiTheme="minorHAnsi" w:cstheme="minorHAnsi"/>
        </w:rPr>
        <w:t xml:space="preserve"> totiž obsahuje i zůstatek rozvahového účtu </w:t>
      </w:r>
      <w:r w:rsidRPr="00D1325C">
        <w:rPr>
          <w:rFonts w:asciiTheme="minorHAnsi" w:hAnsiTheme="minorHAnsi" w:cstheme="minorHAnsi"/>
        </w:rPr>
        <w:t>225</w:t>
      </w:r>
      <w:r>
        <w:rPr>
          <w:rFonts w:asciiTheme="minorHAnsi" w:hAnsiTheme="minorHAnsi" w:cstheme="minorHAnsi"/>
          <w:i/>
        </w:rPr>
        <w:t> </w:t>
      </w:r>
      <w:r w:rsidRPr="00D31426"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  <w:i/>
        </w:rPr>
        <w:t> </w:t>
      </w:r>
      <w:r w:rsidRPr="004E302A">
        <w:rPr>
          <w:rFonts w:asciiTheme="minorHAnsi" w:hAnsiTheme="minorHAnsi" w:cstheme="minorHAnsi"/>
          <w:i/>
        </w:rPr>
        <w:t>Běžné účty fondů organizačních složek státu</w:t>
      </w:r>
      <w:r w:rsidRPr="004E302A">
        <w:rPr>
          <w:rFonts w:asciiTheme="minorHAnsi" w:hAnsiTheme="minorHAnsi" w:cstheme="minorHAnsi"/>
        </w:rPr>
        <w:t xml:space="preserve">, na kterém se sledují prostředky rezervního fondu. </w:t>
      </w:r>
    </w:p>
    <w:p w14:paraId="46269700" w14:textId="77777777" w:rsidR="00721B6A" w:rsidRDefault="00721B6A" w:rsidP="00721B6A">
      <w:pPr>
        <w:spacing w:after="0"/>
        <w:jc w:val="both"/>
        <w:rPr>
          <w:rFonts w:asciiTheme="minorHAnsi" w:hAnsiTheme="minorHAnsi" w:cstheme="minorHAnsi"/>
        </w:rPr>
      </w:pPr>
    </w:p>
    <w:p w14:paraId="517BC074" w14:textId="5CF6E66A" w:rsidR="00721B6A" w:rsidRPr="004E302A" w:rsidRDefault="00721B6A" w:rsidP="00D1325C">
      <w:pPr>
        <w:spacing w:after="24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Pro </w:t>
      </w:r>
      <w:r w:rsidR="00A82A07">
        <w:rPr>
          <w:rFonts w:asciiTheme="minorHAnsi" w:hAnsiTheme="minorHAnsi" w:cstheme="minorHAnsi"/>
        </w:rPr>
        <w:t>s</w:t>
      </w:r>
      <w:r w:rsidRPr="004E302A">
        <w:rPr>
          <w:rFonts w:asciiTheme="minorHAnsi" w:hAnsiTheme="minorHAnsi" w:cstheme="minorHAnsi"/>
        </w:rPr>
        <w:t xml:space="preserve">plnění povinnosti vykázat správný údaj na položce </w:t>
      </w:r>
      <w:r>
        <w:rPr>
          <w:rFonts w:asciiTheme="minorHAnsi" w:hAnsiTheme="minorHAnsi" w:cstheme="minorHAnsi"/>
          <w:i/>
        </w:rPr>
        <w:t>R. Stav peněžních prostředků k </w:t>
      </w:r>
      <w:r w:rsidRPr="004E302A">
        <w:rPr>
          <w:rFonts w:asciiTheme="minorHAnsi" w:hAnsiTheme="minorHAnsi" w:cstheme="minorHAnsi"/>
          <w:i/>
        </w:rPr>
        <w:t>rozvahovému dni</w:t>
      </w:r>
      <w:r w:rsidRPr="004E302A">
        <w:rPr>
          <w:rFonts w:asciiTheme="minorHAnsi" w:hAnsiTheme="minorHAnsi" w:cstheme="minorHAnsi"/>
        </w:rPr>
        <w:t xml:space="preserve"> v souvislosti s případnými toky peněžních prostředků rezervního fondu tak jako obsahově nejbližší položka připadá v úvahu položka </w:t>
      </w:r>
      <w:r w:rsidRPr="004E302A">
        <w:rPr>
          <w:rFonts w:asciiTheme="minorHAnsi" w:hAnsiTheme="minorHAnsi" w:cstheme="minorHAnsi"/>
          <w:i/>
        </w:rPr>
        <w:t>C.I. Peněžní toky vyplývající ze změny vlastního kapitálu</w:t>
      </w:r>
      <w:r w:rsidRPr="004E302A">
        <w:rPr>
          <w:rFonts w:asciiTheme="minorHAnsi" w:hAnsiTheme="minorHAnsi" w:cstheme="minorHAnsi"/>
        </w:rPr>
        <w:t xml:space="preserve">, která dle </w:t>
      </w:r>
      <w:r w:rsidR="00BC6CB4">
        <w:rPr>
          <w:rFonts w:asciiTheme="minorHAnsi" w:hAnsiTheme="minorHAnsi" w:cstheme="minorHAnsi"/>
        </w:rPr>
        <w:t xml:space="preserve">ustanovení </w:t>
      </w:r>
      <w:r w:rsidRPr="004E302A">
        <w:rPr>
          <w:rFonts w:asciiTheme="minorHAnsi" w:hAnsiTheme="minorHAnsi" w:cstheme="minorHAnsi"/>
        </w:rPr>
        <w:t xml:space="preserve">§ 43 odst. 6 písm. b) vyhlášky č. 410/2009 Sb. obsahuje </w:t>
      </w:r>
      <w:r w:rsidRPr="00D1325C">
        <w:rPr>
          <w:rFonts w:asciiTheme="minorHAnsi" w:hAnsiTheme="minorHAnsi" w:cstheme="minorHAnsi"/>
        </w:rPr>
        <w:t>„</w:t>
      </w:r>
      <w:r w:rsidRPr="004E302A">
        <w:rPr>
          <w:rFonts w:asciiTheme="minorHAnsi" w:hAnsiTheme="minorHAnsi" w:cstheme="minorHAnsi"/>
          <w:i/>
        </w:rPr>
        <w:t>zvýšení či snížení stavu peněžních prostřed</w:t>
      </w:r>
      <w:r w:rsidR="00BC6CB4">
        <w:rPr>
          <w:rFonts w:asciiTheme="minorHAnsi" w:hAnsiTheme="minorHAnsi" w:cstheme="minorHAnsi"/>
          <w:i/>
        </w:rPr>
        <w:t>ků způsobené změnou struktury a </w:t>
      </w:r>
      <w:r w:rsidRPr="004E302A">
        <w:rPr>
          <w:rFonts w:asciiTheme="minorHAnsi" w:hAnsiTheme="minorHAnsi" w:cstheme="minorHAnsi"/>
          <w:i/>
        </w:rPr>
        <w:t>zvýšením či snížením stavu vlastního kapitálu podle § 26</w:t>
      </w:r>
      <w:r w:rsidRPr="00D1325C">
        <w:rPr>
          <w:rFonts w:asciiTheme="minorHAnsi" w:hAnsiTheme="minorHAnsi" w:cstheme="minorHAnsi"/>
        </w:rPr>
        <w:t>“</w:t>
      </w:r>
      <w:r w:rsidRPr="00A82A07">
        <w:rPr>
          <w:rFonts w:asciiTheme="minorHAnsi" w:hAnsiTheme="minorHAnsi" w:cstheme="minorHAnsi"/>
        </w:rPr>
        <w:t>,</w:t>
      </w:r>
      <w:r w:rsidRPr="004E302A">
        <w:rPr>
          <w:rFonts w:asciiTheme="minorHAnsi" w:hAnsiTheme="minorHAnsi" w:cstheme="minorHAnsi"/>
        </w:rPr>
        <w:t xml:space="preserve"> tj. týká se vlastního kapitálu. Syntetický účet </w:t>
      </w:r>
      <w:r w:rsidRPr="00D1325C">
        <w:rPr>
          <w:rFonts w:asciiTheme="minorHAnsi" w:hAnsiTheme="minorHAnsi" w:cstheme="minorHAnsi"/>
        </w:rPr>
        <w:t>414</w:t>
      </w:r>
      <w:r w:rsidR="00127D05">
        <w:rPr>
          <w:rFonts w:asciiTheme="minorHAnsi" w:hAnsiTheme="minorHAnsi" w:cstheme="minorHAnsi"/>
        </w:rPr>
        <w:t xml:space="preserve"> </w:t>
      </w:r>
      <w:r w:rsidRPr="00D31426">
        <w:rPr>
          <w:rFonts w:asciiTheme="minorHAnsi" w:hAnsiTheme="minorHAnsi" w:cstheme="minorHAnsi"/>
          <w:i/>
        </w:rPr>
        <w:t>–</w:t>
      </w:r>
      <w:r w:rsidR="00127D05">
        <w:rPr>
          <w:rFonts w:asciiTheme="minorHAnsi" w:hAnsiTheme="minorHAnsi" w:cstheme="minorHAnsi"/>
          <w:i/>
        </w:rPr>
        <w:t xml:space="preserve"> </w:t>
      </w:r>
      <w:r w:rsidRPr="004E302A">
        <w:rPr>
          <w:rFonts w:asciiTheme="minorHAnsi" w:hAnsiTheme="minorHAnsi" w:cstheme="minorHAnsi"/>
          <w:i/>
        </w:rPr>
        <w:t>Rezervní fond z ostatních titulů</w:t>
      </w:r>
      <w:r w:rsidRPr="004E302A">
        <w:rPr>
          <w:rFonts w:asciiTheme="minorHAnsi" w:hAnsiTheme="minorHAnsi" w:cstheme="minorHAnsi"/>
        </w:rPr>
        <w:t xml:space="preserve"> však ve vyhlášce č.</w:t>
      </w:r>
      <w:r w:rsidR="00127D05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410/2009 Sb. není obsahově vymezen v</w:t>
      </w:r>
      <w:r w:rsidR="00E94F9A">
        <w:rPr>
          <w:rFonts w:asciiTheme="minorHAnsi" w:hAnsiTheme="minorHAnsi" w:cstheme="minorHAnsi"/>
        </w:rPr>
        <w:t xml:space="preserve"> ustanovení </w:t>
      </w:r>
      <w:r w:rsidRPr="004E302A">
        <w:rPr>
          <w:rFonts w:asciiTheme="minorHAnsi" w:hAnsiTheme="minorHAnsi" w:cstheme="minorHAnsi"/>
        </w:rPr>
        <w:t>§</w:t>
      </w:r>
      <w:r w:rsidR="00127D05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26 (vlastní kapitál), ale v</w:t>
      </w:r>
      <w:r w:rsidR="00BC6CB4">
        <w:rPr>
          <w:rFonts w:asciiTheme="minorHAnsi" w:hAnsiTheme="minorHAnsi" w:cstheme="minorHAnsi"/>
        </w:rPr>
        <w:t xml:space="preserve"> ustanovení </w:t>
      </w:r>
      <w:r w:rsidRPr="004E302A">
        <w:rPr>
          <w:rFonts w:asciiTheme="minorHAnsi" w:hAnsiTheme="minorHAnsi" w:cstheme="minorHAnsi"/>
        </w:rPr>
        <w:t>§ 27 (fondy účetní jednotky).</w:t>
      </w:r>
    </w:p>
    <w:p w14:paraId="088361BD" w14:textId="4F695171" w:rsidR="00721B6A" w:rsidRPr="0055177B" w:rsidRDefault="00721B6A" w:rsidP="00721B6A">
      <w:pPr>
        <w:spacing w:after="0"/>
        <w:jc w:val="both"/>
        <w:rPr>
          <w:rFonts w:asciiTheme="minorHAnsi" w:hAnsiTheme="minorHAnsi" w:cstheme="minorHAnsi"/>
          <w:b/>
        </w:rPr>
      </w:pPr>
      <w:r w:rsidRPr="0055177B">
        <w:rPr>
          <w:rFonts w:asciiTheme="minorHAnsi" w:hAnsiTheme="minorHAnsi" w:cstheme="minorHAnsi"/>
          <w:b/>
        </w:rPr>
        <w:lastRenderedPageBreak/>
        <w:t>Organizační složka státu tak nemá možnost, jak peněžní operace spojené s rezervním fondem v přehledu o peněžních tocích vykázat, aniž by porušila někter</w:t>
      </w:r>
      <w:r w:rsidR="000644BF" w:rsidRPr="0055177B">
        <w:rPr>
          <w:rFonts w:asciiTheme="minorHAnsi" w:hAnsiTheme="minorHAnsi" w:cstheme="minorHAnsi"/>
          <w:b/>
        </w:rPr>
        <w:t>é z ustanovení § 43 vyhlášky č.</w:t>
      </w:r>
      <w:r w:rsidR="00EB28FA">
        <w:rPr>
          <w:rFonts w:asciiTheme="minorHAnsi" w:hAnsiTheme="minorHAnsi" w:cstheme="minorHAnsi"/>
          <w:b/>
        </w:rPr>
        <w:t xml:space="preserve"> </w:t>
      </w:r>
      <w:r w:rsidRPr="0055177B">
        <w:rPr>
          <w:rFonts w:asciiTheme="minorHAnsi" w:hAnsiTheme="minorHAnsi" w:cstheme="minorHAnsi"/>
          <w:b/>
        </w:rPr>
        <w:t xml:space="preserve">410/2009 Sb. </w:t>
      </w:r>
      <w:r w:rsidR="000644BF" w:rsidRPr="0055177B">
        <w:rPr>
          <w:rFonts w:asciiTheme="minorHAnsi" w:hAnsiTheme="minorHAnsi" w:cstheme="minorHAnsi"/>
          <w:b/>
        </w:rPr>
        <w:t>P</w:t>
      </w:r>
      <w:r w:rsidRPr="0055177B">
        <w:rPr>
          <w:rFonts w:asciiTheme="minorHAnsi" w:hAnsiTheme="minorHAnsi" w:cstheme="minorHAnsi"/>
          <w:b/>
        </w:rPr>
        <w:t xml:space="preserve">oužití položky </w:t>
      </w:r>
      <w:r w:rsidRPr="0055177B">
        <w:rPr>
          <w:rFonts w:asciiTheme="minorHAnsi" w:hAnsiTheme="minorHAnsi" w:cstheme="minorHAnsi"/>
          <w:b/>
          <w:i/>
        </w:rPr>
        <w:t>C.I. Peněžní toky vyplývající ze změny vlastního kapitálu</w:t>
      </w:r>
      <w:r w:rsidRPr="0055177B">
        <w:rPr>
          <w:rFonts w:asciiTheme="minorHAnsi" w:hAnsiTheme="minorHAnsi" w:cstheme="minorHAnsi"/>
          <w:b/>
        </w:rPr>
        <w:t xml:space="preserve"> </w:t>
      </w:r>
      <w:r w:rsidR="000644BF" w:rsidRPr="0055177B">
        <w:rPr>
          <w:rFonts w:asciiTheme="minorHAnsi" w:hAnsiTheme="minorHAnsi" w:cstheme="minorHAnsi"/>
          <w:b/>
        </w:rPr>
        <w:t>tak nelze vyhodnotit jako nesprávné, neboť</w:t>
      </w:r>
      <w:r w:rsidRPr="0055177B">
        <w:rPr>
          <w:rFonts w:asciiTheme="minorHAnsi" w:hAnsiTheme="minorHAnsi" w:cstheme="minorHAnsi"/>
          <w:b/>
        </w:rPr>
        <w:t xml:space="preserve"> </w:t>
      </w:r>
      <w:r w:rsidR="000644BF" w:rsidRPr="0055177B">
        <w:rPr>
          <w:rFonts w:asciiTheme="minorHAnsi" w:hAnsiTheme="minorHAnsi" w:cstheme="minorHAnsi"/>
          <w:b/>
        </w:rPr>
        <w:t>b</w:t>
      </w:r>
      <w:r w:rsidRPr="0055177B">
        <w:rPr>
          <w:rFonts w:asciiTheme="minorHAnsi" w:hAnsiTheme="minorHAnsi" w:cstheme="minorHAnsi"/>
          <w:b/>
        </w:rPr>
        <w:t>ez použití uvedené nebo jiné položky přehledu o peněžních tocích by jej nebylo možné sestavit.</w:t>
      </w:r>
    </w:p>
    <w:p w14:paraId="33494B3B" w14:textId="77777777" w:rsidR="001607C3" w:rsidRPr="0015152A" w:rsidRDefault="001607C3" w:rsidP="001C6E98">
      <w:pPr>
        <w:spacing w:after="0"/>
        <w:jc w:val="both"/>
        <w:rPr>
          <w:rFonts w:eastAsiaTheme="minorHAnsi"/>
          <w:b/>
        </w:rPr>
      </w:pPr>
    </w:p>
    <w:p w14:paraId="1DD7D96C" w14:textId="77777777" w:rsidR="0015152A" w:rsidRPr="0015152A" w:rsidRDefault="0015152A" w:rsidP="0015152A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eastAsiaTheme="minorHAnsi"/>
          <w:b w:val="0"/>
        </w:rPr>
      </w:pPr>
    </w:p>
    <w:p w14:paraId="7CBCC68B" w14:textId="77777777" w:rsidR="001607C3" w:rsidRDefault="00FF1F3B" w:rsidP="00FF1F3B">
      <w:pPr>
        <w:pStyle w:val="Nadpis3"/>
        <w:numPr>
          <w:ilvl w:val="0"/>
          <w:numId w:val="0"/>
        </w:numPr>
        <w:ind w:left="369" w:hanging="369"/>
        <w:jc w:val="left"/>
      </w:pPr>
      <w:r>
        <w:rPr>
          <w:rFonts w:asciiTheme="minorHAnsi" w:hAnsiTheme="minorHAnsi" w:cstheme="minorHAnsi"/>
        </w:rPr>
        <w:t xml:space="preserve">4.5 </w:t>
      </w:r>
      <w:r w:rsidR="001607C3">
        <w:rPr>
          <w:rFonts w:asciiTheme="minorHAnsi" w:hAnsiTheme="minorHAnsi" w:cstheme="minorHAnsi"/>
        </w:rPr>
        <w:t>Neuvádění některých akruálních informací v závěrečných účtech kapitol státního rozpočtu</w:t>
      </w:r>
    </w:p>
    <w:p w14:paraId="7119B92E" w14:textId="77777777" w:rsidR="001607C3" w:rsidRDefault="001607C3" w:rsidP="0015152A">
      <w:pPr>
        <w:spacing w:after="0"/>
        <w:jc w:val="both"/>
        <w:rPr>
          <w:rFonts w:eastAsiaTheme="minorHAnsi"/>
          <w:b/>
        </w:rPr>
      </w:pPr>
    </w:p>
    <w:p w14:paraId="02E20F21" w14:textId="310B49EB" w:rsidR="001607C3" w:rsidRPr="006335D5" w:rsidRDefault="001607C3" w:rsidP="001607C3">
      <w:pPr>
        <w:spacing w:after="0"/>
        <w:jc w:val="both"/>
        <w:rPr>
          <w:rFonts w:cs="Calibri"/>
          <w:b/>
        </w:rPr>
      </w:pPr>
      <w:r w:rsidRPr="00B30899">
        <w:rPr>
          <w:rFonts w:cs="Calibri"/>
          <w:b/>
        </w:rPr>
        <w:t>NKÚ</w:t>
      </w:r>
      <w:r>
        <w:rPr>
          <w:rFonts w:cs="Calibri"/>
          <w:b/>
        </w:rPr>
        <w:t xml:space="preserve"> </w:t>
      </w:r>
      <w:r w:rsidRPr="00B30899">
        <w:rPr>
          <w:rFonts w:cs="Calibri"/>
          <w:b/>
        </w:rPr>
        <w:t>dlouhodobě upozorňuje</w:t>
      </w:r>
      <w:r>
        <w:rPr>
          <w:rFonts w:cs="Calibri"/>
          <w:b/>
        </w:rPr>
        <w:t xml:space="preserve"> na to</w:t>
      </w:r>
      <w:r w:rsidRPr="00B30899">
        <w:rPr>
          <w:rFonts w:cs="Calibri"/>
          <w:b/>
        </w:rPr>
        <w:t>,</w:t>
      </w:r>
      <w:r w:rsidRPr="00B30899">
        <w:rPr>
          <w:rFonts w:cs="Calibri"/>
        </w:rPr>
        <w:t xml:space="preserve"> </w:t>
      </w:r>
      <w:r w:rsidRPr="00B30899">
        <w:rPr>
          <w:rFonts w:cs="Calibri"/>
          <w:b/>
        </w:rPr>
        <w:t>že rozsah informací</w:t>
      </w:r>
      <w:r w:rsidRPr="00FC33CB">
        <w:rPr>
          <w:rFonts w:cs="Calibri"/>
          <w:b/>
        </w:rPr>
        <w:t>,</w:t>
      </w:r>
      <w:r w:rsidRPr="00B30899">
        <w:rPr>
          <w:rFonts w:cs="Calibri"/>
        </w:rPr>
        <w:t xml:space="preserve"> které jsou stanoveny vyhláškou č.</w:t>
      </w:r>
      <w:r>
        <w:rPr>
          <w:rFonts w:cs="Calibri"/>
        </w:rPr>
        <w:t> </w:t>
      </w:r>
      <w:r w:rsidRPr="001607C3">
        <w:rPr>
          <w:rFonts w:cs="Calibri"/>
        </w:rPr>
        <w:t>419/20</w:t>
      </w:r>
      <w:r>
        <w:rPr>
          <w:rFonts w:cs="Calibri"/>
        </w:rPr>
        <w:t>01 Sb</w:t>
      </w:r>
      <w:r w:rsidRPr="001607C3">
        <w:rPr>
          <w:rFonts w:cs="Calibri"/>
        </w:rPr>
        <w:t>.</w:t>
      </w:r>
      <w:r w:rsidR="005A793B">
        <w:rPr>
          <w:rFonts w:cs="Calibri"/>
        </w:rPr>
        <w:t xml:space="preserve"> </w:t>
      </w:r>
      <w:r w:rsidRPr="00B30899">
        <w:rPr>
          <w:rFonts w:cs="Calibri"/>
        </w:rPr>
        <w:t xml:space="preserve">jako povinně zveřejňované v závěrečném účtu, </w:t>
      </w:r>
      <w:r w:rsidRPr="00B30899">
        <w:rPr>
          <w:rFonts w:cs="Calibri"/>
          <w:b/>
        </w:rPr>
        <w:t>nebyl po roce 2010 doplněn o</w:t>
      </w:r>
      <w:r w:rsidR="005A793B">
        <w:rPr>
          <w:rFonts w:cs="Calibri"/>
          <w:b/>
        </w:rPr>
        <w:t> </w:t>
      </w:r>
      <w:r w:rsidRPr="00B30899">
        <w:rPr>
          <w:rFonts w:cs="Calibri"/>
          <w:b/>
        </w:rPr>
        <w:t>další údaje, jejichž vykazování bylo účetní reformou v oblasti veřejných financí stanoveno a které o hospodaření s rozpočtovými prostředky v příslušném rozpočtovém roce vypovídají lépe než jen peněžní toky.</w:t>
      </w:r>
      <w:r w:rsidRPr="00B30899">
        <w:rPr>
          <w:rFonts w:cs="Calibri"/>
        </w:rPr>
        <w:t xml:space="preserve"> Ukazují totiž nejen </w:t>
      </w:r>
      <w:r>
        <w:rPr>
          <w:rFonts w:cs="Calibri"/>
        </w:rPr>
        <w:t xml:space="preserve">peněžní toky, ale i </w:t>
      </w:r>
      <w:r w:rsidRPr="00B30899">
        <w:rPr>
          <w:rFonts w:cs="Calibri"/>
        </w:rPr>
        <w:t>náklady a výnosy za příslušné rozpočtové období</w:t>
      </w:r>
      <w:r w:rsidR="003F41AC">
        <w:rPr>
          <w:rFonts w:cs="Calibri"/>
        </w:rPr>
        <w:t>,</w:t>
      </w:r>
      <w:r w:rsidRPr="00B30899">
        <w:rPr>
          <w:rFonts w:cs="Calibri"/>
        </w:rPr>
        <w:t xml:space="preserve"> nároky (pohledávky)</w:t>
      </w:r>
      <w:r>
        <w:rPr>
          <w:rFonts w:cs="Calibri"/>
        </w:rPr>
        <w:t xml:space="preserve"> a</w:t>
      </w:r>
      <w:r w:rsidR="00FF1F3B">
        <w:rPr>
          <w:rFonts w:cs="Calibri"/>
        </w:rPr>
        <w:t xml:space="preserve"> </w:t>
      </w:r>
      <w:r w:rsidRPr="00B30899">
        <w:rPr>
          <w:rFonts w:cs="Calibri"/>
        </w:rPr>
        <w:t>závazky existující ke konci rozpočtového roku a</w:t>
      </w:r>
      <w:r>
        <w:rPr>
          <w:rFonts w:cs="Calibri"/>
        </w:rPr>
        <w:t xml:space="preserve"> dále</w:t>
      </w:r>
      <w:r w:rsidRPr="00B30899">
        <w:rPr>
          <w:rFonts w:cs="Calibri"/>
        </w:rPr>
        <w:t xml:space="preserve"> i</w:t>
      </w:r>
      <w:r w:rsidR="005A793B">
        <w:rPr>
          <w:rFonts w:cs="Calibri"/>
        </w:rPr>
        <w:t> </w:t>
      </w:r>
      <w:r w:rsidRPr="00B30899">
        <w:rPr>
          <w:rFonts w:cs="Calibri"/>
        </w:rPr>
        <w:t>potenciální nároky (podmíněné pohledávky) a potenciální závazky (podmíněné závazky).</w:t>
      </w:r>
    </w:p>
    <w:p w14:paraId="356B0A61" w14:textId="77777777" w:rsidR="001607C3" w:rsidRPr="00B30899" w:rsidRDefault="001607C3" w:rsidP="001607C3">
      <w:pPr>
        <w:spacing w:after="0"/>
        <w:jc w:val="both"/>
        <w:rPr>
          <w:rFonts w:cs="Calibri"/>
        </w:rPr>
      </w:pPr>
    </w:p>
    <w:p w14:paraId="6679F737" w14:textId="77777777" w:rsidR="001607C3" w:rsidRDefault="001607C3" w:rsidP="001607C3">
      <w:pPr>
        <w:widowControl w:val="0"/>
        <w:spacing w:after="0"/>
        <w:jc w:val="both"/>
        <w:rPr>
          <w:rFonts w:cs="Calibri"/>
        </w:rPr>
      </w:pPr>
      <w:r w:rsidRPr="00C910FE">
        <w:rPr>
          <w:rFonts w:cs="Calibri"/>
          <w:b/>
        </w:rPr>
        <w:t>Všechny tyto informace umožňují podat celkový obraz o výsledku hospodaření v daném roce nezkreslený o ekonomické dopady a zátěže působící na jiná období</w:t>
      </w:r>
      <w:r w:rsidRPr="00D1325C">
        <w:rPr>
          <w:rFonts w:cs="Calibri"/>
          <w:b/>
        </w:rPr>
        <w:t>.</w:t>
      </w:r>
      <w:r w:rsidRPr="00B30899">
        <w:rPr>
          <w:rFonts w:cs="Calibri"/>
        </w:rPr>
        <w:t xml:space="preserve"> Zatímco např. odložení úhrady závazků vede u peněžně založeného systému, tedy i v případě finančních výkazů, k dosažení rozpočtově lepšího výsledku hospodaření, v akruálně</w:t>
      </w:r>
      <w:r>
        <w:rPr>
          <w:rStyle w:val="Znakapoznpodarou"/>
          <w:rFonts w:cs="Calibri"/>
        </w:rPr>
        <w:footnoteReference w:id="7"/>
      </w:r>
      <w:r w:rsidRPr="00B30899">
        <w:rPr>
          <w:rFonts w:cs="Calibri"/>
        </w:rPr>
        <w:t xml:space="preserve"> založeném účetnictví takový postup k dosažení lepšího výsledku hospodaření nevede. Náklady zatíží výsledek hospodaření již při vzniku závazku, ne až v okamžiku jeho úhrady.</w:t>
      </w:r>
    </w:p>
    <w:p w14:paraId="700DF0DD" w14:textId="77777777" w:rsidR="00B65BCD" w:rsidRDefault="00B65BCD" w:rsidP="001607C3">
      <w:pPr>
        <w:widowControl w:val="0"/>
        <w:spacing w:after="0"/>
        <w:jc w:val="both"/>
        <w:rPr>
          <w:rFonts w:cs="Calibri"/>
        </w:rPr>
      </w:pPr>
    </w:p>
    <w:p w14:paraId="61DE4019" w14:textId="77777777" w:rsidR="001607C3" w:rsidRDefault="001607C3" w:rsidP="001C6E98">
      <w:pPr>
        <w:spacing w:after="0"/>
        <w:jc w:val="both"/>
        <w:rPr>
          <w:rFonts w:cs="Calibri"/>
        </w:rPr>
      </w:pPr>
    </w:p>
    <w:p w14:paraId="264DFBFD" w14:textId="77777777" w:rsidR="00981A93" w:rsidRPr="00981A93" w:rsidRDefault="00981A93" w:rsidP="00981A93">
      <w:pPr>
        <w:pStyle w:val="Nadpis2"/>
        <w:keepNext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cs="Calibri"/>
        </w:rPr>
      </w:pPr>
      <w:r>
        <w:rPr>
          <w:rFonts w:cs="Calibri"/>
        </w:rPr>
        <w:t>Vnitřní kontrolní systém</w:t>
      </w:r>
    </w:p>
    <w:p w14:paraId="18C8EAE2" w14:textId="77777777" w:rsidR="00981A93" w:rsidRDefault="00981A93" w:rsidP="00981A93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6EE7AF00" w14:textId="6FAA7D24" w:rsidR="00981A93" w:rsidRPr="00981A93" w:rsidRDefault="00981A93" w:rsidP="00981A93">
      <w:pPr>
        <w:spacing w:after="0"/>
        <w:jc w:val="both"/>
        <w:rPr>
          <w:rFonts w:cs="Calibri"/>
        </w:rPr>
      </w:pPr>
      <w:r w:rsidRPr="00AC2A81">
        <w:rPr>
          <w:rFonts w:asciiTheme="minorHAnsi" w:hAnsiTheme="minorHAnsi" w:cstheme="minorHAnsi"/>
          <w:color w:val="000000"/>
        </w:rPr>
        <w:t>U vybraných transakcí NKÚ prověřil provádění předběžné ří</w:t>
      </w:r>
      <w:r w:rsidR="00B65BCD">
        <w:rPr>
          <w:rFonts w:asciiTheme="minorHAnsi" w:hAnsiTheme="minorHAnsi" w:cstheme="minorHAnsi"/>
          <w:color w:val="000000"/>
        </w:rPr>
        <w:t>d</w:t>
      </w:r>
      <w:r w:rsidR="00127D05">
        <w:rPr>
          <w:rFonts w:asciiTheme="minorHAnsi" w:hAnsiTheme="minorHAnsi" w:cstheme="minorHAnsi"/>
          <w:color w:val="000000"/>
        </w:rPr>
        <w:t>i</w:t>
      </w:r>
      <w:r w:rsidR="00B65BCD">
        <w:rPr>
          <w:rFonts w:asciiTheme="minorHAnsi" w:hAnsiTheme="minorHAnsi" w:cstheme="minorHAnsi"/>
          <w:color w:val="000000"/>
        </w:rPr>
        <w:t>cí kontroly před vznikem a</w:t>
      </w:r>
      <w:r w:rsidR="00127D05">
        <w:rPr>
          <w:rFonts w:asciiTheme="minorHAnsi" w:hAnsiTheme="minorHAnsi" w:cstheme="minorHAnsi"/>
          <w:color w:val="000000"/>
        </w:rPr>
        <w:t xml:space="preserve"> </w:t>
      </w:r>
      <w:r w:rsidR="00B65BCD">
        <w:rPr>
          <w:rFonts w:asciiTheme="minorHAnsi" w:hAnsiTheme="minorHAnsi" w:cstheme="minorHAnsi"/>
          <w:color w:val="000000"/>
        </w:rPr>
        <w:t>po</w:t>
      </w:r>
      <w:r w:rsidR="00127D05">
        <w:rPr>
          <w:rFonts w:asciiTheme="minorHAnsi" w:hAnsiTheme="minorHAnsi" w:cstheme="minorHAnsi"/>
          <w:color w:val="000000"/>
        </w:rPr>
        <w:t xml:space="preserve"> </w:t>
      </w:r>
      <w:r w:rsidRPr="00AC2A81">
        <w:rPr>
          <w:rFonts w:asciiTheme="minorHAnsi" w:hAnsiTheme="minorHAnsi" w:cstheme="minorHAnsi"/>
          <w:color w:val="000000"/>
        </w:rPr>
        <w:t xml:space="preserve">vzniku závazku, resp. před vznikem a po vzniku </w:t>
      </w:r>
      <w:r w:rsidRPr="00981A93">
        <w:rPr>
          <w:rFonts w:asciiTheme="minorHAnsi" w:hAnsiTheme="minorHAnsi" w:cstheme="minorHAnsi"/>
          <w:color w:val="000000"/>
        </w:rPr>
        <w:t>nároku</w:t>
      </w:r>
      <w:r w:rsidR="00127D05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a</w:t>
      </w:r>
      <w:r w:rsidRPr="00981A93">
        <w:rPr>
          <w:rFonts w:asciiTheme="minorHAnsi" w:hAnsiTheme="minorHAnsi" w:cstheme="minorHAnsi"/>
          <w:color w:val="000000"/>
        </w:rPr>
        <w:t xml:space="preserve"> nezjistil žádné skutečnosti svědčící </w:t>
      </w:r>
      <w:r w:rsidR="00127D05">
        <w:rPr>
          <w:rFonts w:asciiTheme="minorHAnsi" w:hAnsiTheme="minorHAnsi" w:cstheme="minorHAnsi"/>
          <w:color w:val="000000"/>
        </w:rPr>
        <w:br/>
      </w:r>
      <w:r w:rsidRPr="00981A93">
        <w:rPr>
          <w:rFonts w:asciiTheme="minorHAnsi" w:hAnsiTheme="minorHAnsi" w:cstheme="minorHAnsi"/>
          <w:color w:val="000000"/>
        </w:rPr>
        <w:t>o tom, že předběžná říd</w:t>
      </w:r>
      <w:r w:rsidR="00127D05">
        <w:rPr>
          <w:rFonts w:asciiTheme="minorHAnsi" w:hAnsiTheme="minorHAnsi" w:cstheme="minorHAnsi"/>
          <w:color w:val="000000"/>
        </w:rPr>
        <w:t>i</w:t>
      </w:r>
      <w:r w:rsidRPr="00981A93">
        <w:rPr>
          <w:rFonts w:asciiTheme="minorHAnsi" w:hAnsiTheme="minorHAnsi" w:cstheme="minorHAnsi"/>
          <w:color w:val="000000"/>
        </w:rPr>
        <w:t>cí kontrola nebyla u vybraných transakcí provedena</w:t>
      </w:r>
      <w:r>
        <w:rPr>
          <w:rFonts w:asciiTheme="minorHAnsi" w:hAnsiTheme="minorHAnsi" w:cstheme="minorHAnsi"/>
          <w:color w:val="000000"/>
        </w:rPr>
        <w:t xml:space="preserve"> ve všech významných ohledech v </w:t>
      </w:r>
      <w:r w:rsidRPr="00981A93">
        <w:rPr>
          <w:rFonts w:asciiTheme="minorHAnsi" w:hAnsiTheme="minorHAnsi" w:cstheme="minorHAnsi"/>
          <w:color w:val="000000"/>
        </w:rPr>
        <w:t>souladu s příslušnými právními předpisy</w:t>
      </w:r>
      <w:r>
        <w:rPr>
          <w:rFonts w:asciiTheme="minorHAnsi" w:hAnsiTheme="minorHAnsi" w:cstheme="minorHAnsi"/>
          <w:color w:val="000000"/>
        </w:rPr>
        <w:t>.</w:t>
      </w:r>
    </w:p>
    <w:p w14:paraId="4931771B" w14:textId="77777777" w:rsidR="00981A93" w:rsidRPr="001C6E98" w:rsidRDefault="00981A93" w:rsidP="00981A93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09B31410" w14:textId="77777777" w:rsidR="00981A93" w:rsidRPr="001C6E98" w:rsidRDefault="00981A93" w:rsidP="00981A93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361567B4" w14:textId="38BE1C01" w:rsidR="00981A93" w:rsidRPr="00981A93" w:rsidRDefault="00981A93" w:rsidP="00D1325C">
      <w:pPr>
        <w:pStyle w:val="Nadpis2"/>
        <w:numPr>
          <w:ilvl w:val="0"/>
          <w:numId w:val="2"/>
        </w:numPr>
        <w:spacing w:after="0" w:line="240" w:lineRule="auto"/>
        <w:ind w:left="284" w:hanging="284"/>
        <w:contextualSpacing w:val="0"/>
        <w:jc w:val="left"/>
        <w:rPr>
          <w:rFonts w:cs="Calibri"/>
        </w:rPr>
      </w:pPr>
      <w:r w:rsidRPr="00981A93">
        <w:rPr>
          <w:rFonts w:cs="Calibri"/>
        </w:rPr>
        <w:t xml:space="preserve">Vyhodnocení opatření přijatých k nápravě nedostatků </w:t>
      </w:r>
      <w:r w:rsidR="009A5B3B">
        <w:rPr>
          <w:rFonts w:cs="Calibri"/>
        </w:rPr>
        <w:t>zjištěných</w:t>
      </w:r>
      <w:r w:rsidRPr="00981A93">
        <w:rPr>
          <w:rFonts w:cs="Calibri"/>
        </w:rPr>
        <w:t xml:space="preserve"> kontrolní akc</w:t>
      </w:r>
      <w:r w:rsidR="009A5B3B">
        <w:rPr>
          <w:rFonts w:cs="Calibri"/>
        </w:rPr>
        <w:t>í</w:t>
      </w:r>
      <w:r w:rsidRPr="00981A93">
        <w:rPr>
          <w:rFonts w:cs="Calibri"/>
        </w:rPr>
        <w:t xml:space="preserve"> NKÚ č.</w:t>
      </w:r>
      <w:r w:rsidR="009A5B3B">
        <w:rPr>
          <w:rFonts w:cs="Calibri"/>
        </w:rPr>
        <w:t> </w:t>
      </w:r>
      <w:r w:rsidRPr="00981A93">
        <w:rPr>
          <w:rFonts w:cs="Calibri"/>
        </w:rPr>
        <w:t>13/39</w:t>
      </w:r>
    </w:p>
    <w:p w14:paraId="6E383F93" w14:textId="77777777" w:rsidR="00981A93" w:rsidRDefault="00981A93" w:rsidP="00D1325C">
      <w:pPr>
        <w:spacing w:after="0"/>
        <w:jc w:val="both"/>
        <w:rPr>
          <w:rFonts w:asciiTheme="minorHAnsi" w:hAnsiTheme="minorHAnsi" w:cstheme="minorHAnsi"/>
        </w:rPr>
      </w:pPr>
    </w:p>
    <w:p w14:paraId="7EEBECC6" w14:textId="6F36CA6D" w:rsidR="00981A93" w:rsidRPr="00981A93" w:rsidRDefault="00981A93" w:rsidP="00D1325C">
      <w:pPr>
        <w:spacing w:after="0"/>
        <w:jc w:val="both"/>
        <w:rPr>
          <w:rFonts w:cs="Calibri"/>
        </w:rPr>
      </w:pPr>
      <w:r w:rsidRPr="004E302A">
        <w:rPr>
          <w:rFonts w:asciiTheme="minorHAnsi" w:hAnsiTheme="minorHAnsi" w:cstheme="minorHAnsi"/>
        </w:rPr>
        <w:t>Vláda České republiky svým usnesením ze dne 4.</w:t>
      </w:r>
      <w:r w:rsidR="00183CD7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února</w:t>
      </w:r>
      <w:r w:rsidR="00183CD7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 xml:space="preserve">2015 </w:t>
      </w:r>
      <w:r>
        <w:rPr>
          <w:rFonts w:asciiTheme="minorHAnsi" w:hAnsiTheme="minorHAnsi" w:cstheme="minorHAnsi"/>
        </w:rPr>
        <w:t>č. </w:t>
      </w:r>
      <w:r w:rsidRPr="004E302A">
        <w:rPr>
          <w:rFonts w:asciiTheme="minorHAnsi" w:hAnsiTheme="minorHAnsi" w:cstheme="minorHAnsi"/>
        </w:rPr>
        <w:t xml:space="preserve">73 vzala </w:t>
      </w:r>
      <w:r w:rsidR="00127D05" w:rsidRPr="004E302A">
        <w:rPr>
          <w:rFonts w:asciiTheme="minorHAnsi" w:hAnsiTheme="minorHAnsi" w:cstheme="minorHAnsi"/>
        </w:rPr>
        <w:t xml:space="preserve">na vědomí </w:t>
      </w:r>
      <w:r w:rsidRPr="004E302A">
        <w:rPr>
          <w:rFonts w:asciiTheme="minorHAnsi" w:hAnsiTheme="minorHAnsi" w:cstheme="minorHAnsi"/>
        </w:rPr>
        <w:t>kontrolní závěr z</w:t>
      </w:r>
      <w:r>
        <w:rPr>
          <w:rFonts w:asciiTheme="minorHAnsi" w:hAnsiTheme="minorHAnsi" w:cstheme="minorHAnsi"/>
        </w:rPr>
        <w:t> kontrolní akce</w:t>
      </w:r>
      <w:r w:rsidRPr="004E30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NKÚ </w:t>
      </w:r>
      <w:r w:rsidRPr="004E302A">
        <w:rPr>
          <w:rFonts w:asciiTheme="minorHAnsi" w:hAnsiTheme="minorHAnsi" w:cstheme="minorHAnsi"/>
        </w:rPr>
        <w:t xml:space="preserve">č. 13/39 </w:t>
      </w:r>
      <w:r w:rsidR="00127D05">
        <w:rPr>
          <w:rFonts w:asciiTheme="minorHAnsi" w:hAnsiTheme="minorHAnsi" w:cstheme="minorHAnsi"/>
        </w:rPr>
        <w:t>i</w:t>
      </w:r>
      <w:r w:rsidRPr="004E302A">
        <w:rPr>
          <w:rFonts w:asciiTheme="minorHAnsi" w:hAnsiTheme="minorHAnsi" w:cstheme="minorHAnsi"/>
        </w:rPr>
        <w:t xml:space="preserve"> stanovisko MD a uložila ministru dopravy realizovat opatření uvedená ve </w:t>
      </w:r>
      <w:r w:rsidRPr="00981A93">
        <w:rPr>
          <w:rFonts w:asciiTheme="minorHAnsi" w:hAnsiTheme="minorHAnsi" w:cstheme="minorHAnsi"/>
        </w:rPr>
        <w:t xml:space="preserve">stanovisku. </w:t>
      </w:r>
      <w:r w:rsidRPr="00981A93">
        <w:rPr>
          <w:rFonts w:eastAsia="Calibri" w:cs="Calibri"/>
        </w:rPr>
        <w:t>Z celkem 18 opatření, kter</w:t>
      </w:r>
      <w:r w:rsidR="009B5780">
        <w:rPr>
          <w:rFonts w:eastAsia="Calibri" w:cs="Calibri"/>
        </w:rPr>
        <w:t>á</w:t>
      </w:r>
      <w:r w:rsidRPr="00981A93">
        <w:rPr>
          <w:rFonts w:eastAsia="Calibri" w:cs="Calibri"/>
        </w:rPr>
        <w:t xml:space="preserve"> MD navrhlo v reakci na výsledky kontrolní akce NKÚ č. 13/39, jich bylo 12 realizováno a 6 opatření již </w:t>
      </w:r>
      <w:r w:rsidR="00D04B86" w:rsidRPr="00981A93">
        <w:rPr>
          <w:rFonts w:eastAsia="Calibri" w:cs="Calibri"/>
        </w:rPr>
        <w:t>není</w:t>
      </w:r>
      <w:r w:rsidR="00D04B86">
        <w:rPr>
          <w:rFonts w:eastAsia="Calibri" w:cs="Calibri"/>
        </w:rPr>
        <w:t xml:space="preserve"> </w:t>
      </w:r>
      <w:r w:rsidR="009B5780" w:rsidRPr="00981A93">
        <w:rPr>
          <w:rFonts w:eastAsia="Calibri" w:cs="Calibri"/>
        </w:rPr>
        <w:t>relevantních</w:t>
      </w:r>
      <w:r w:rsidR="009B5780">
        <w:rPr>
          <w:rFonts w:eastAsia="Calibri" w:cs="Calibri"/>
        </w:rPr>
        <w:t xml:space="preserve"> (</w:t>
      </w:r>
      <w:r w:rsidR="009544C5">
        <w:rPr>
          <w:rFonts w:eastAsia="Calibri" w:cs="Calibri"/>
        </w:rPr>
        <w:t>zejména z důvodu změny účetních předpisů</w:t>
      </w:r>
      <w:r w:rsidR="009B5780">
        <w:rPr>
          <w:rFonts w:eastAsia="Calibri" w:cs="Calibri"/>
        </w:rPr>
        <w:t>)</w:t>
      </w:r>
      <w:r w:rsidRPr="00981A93">
        <w:rPr>
          <w:rFonts w:eastAsia="Calibri" w:cs="Calibri"/>
        </w:rPr>
        <w:t>.</w:t>
      </w:r>
    </w:p>
    <w:p w14:paraId="3BE76A3B" w14:textId="77777777" w:rsidR="00C1695F" w:rsidRDefault="00C1695F" w:rsidP="00A769ED">
      <w:pPr>
        <w:pStyle w:val="Nadpis2"/>
        <w:keepNext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rFonts w:eastAsiaTheme="minorHAnsi"/>
          <w:b w:val="0"/>
        </w:rPr>
      </w:pPr>
      <w:r>
        <w:rPr>
          <w:rFonts w:eastAsiaTheme="minorHAnsi"/>
        </w:rPr>
        <w:br w:type="page"/>
      </w:r>
    </w:p>
    <w:p w14:paraId="37E32E7A" w14:textId="77777777" w:rsidR="00112642" w:rsidRPr="00DE6626" w:rsidRDefault="00A640AE" w:rsidP="00E93037">
      <w:pPr>
        <w:keepNext/>
        <w:spacing w:after="0"/>
        <w:rPr>
          <w:rFonts w:asciiTheme="minorHAnsi" w:eastAsiaTheme="minorHAnsi" w:hAnsiTheme="minorHAnsi" w:cstheme="minorHAnsi"/>
          <w:b/>
        </w:rPr>
      </w:pPr>
      <w:r w:rsidRPr="00DE6626">
        <w:rPr>
          <w:rFonts w:asciiTheme="minorHAnsi" w:eastAsiaTheme="minorHAnsi" w:hAnsiTheme="minorHAnsi" w:cstheme="minorHAnsi"/>
          <w:b/>
        </w:rPr>
        <w:lastRenderedPageBreak/>
        <w:t>Seznam zkratek</w:t>
      </w:r>
    </w:p>
    <w:p w14:paraId="30549202" w14:textId="77777777" w:rsidR="009B5780" w:rsidRPr="00D1325C" w:rsidRDefault="009B5780" w:rsidP="00E93037">
      <w:pPr>
        <w:keepNext/>
        <w:tabs>
          <w:tab w:val="left" w:pos="2552"/>
        </w:tabs>
        <w:spacing w:after="0"/>
        <w:ind w:left="2552" w:hanging="2552"/>
        <w:rPr>
          <w:rFonts w:asciiTheme="minorHAnsi" w:eastAsiaTheme="minorHAnsi" w:hAnsiTheme="minorHAnsi" w:cstheme="minorHAnsi"/>
        </w:rPr>
      </w:pPr>
    </w:p>
    <w:p w14:paraId="01B203D6" w14:textId="77777777" w:rsidR="00A771A5" w:rsidRDefault="00980ECB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327</w:t>
      </w:r>
      <w:r w:rsidR="00A640AE">
        <w:rPr>
          <w:rFonts w:asciiTheme="minorHAnsi" w:eastAsiaTheme="minorHAnsi" w:hAnsiTheme="minorHAnsi" w:cstheme="minorHAnsi"/>
        </w:rPr>
        <w:t xml:space="preserve"> M</w:t>
      </w:r>
      <w:r>
        <w:rPr>
          <w:rFonts w:asciiTheme="minorHAnsi" w:eastAsiaTheme="minorHAnsi" w:hAnsiTheme="minorHAnsi" w:cstheme="minorHAnsi"/>
        </w:rPr>
        <w:t>D</w:t>
      </w:r>
      <w:r w:rsidR="00A640AE">
        <w:rPr>
          <w:rFonts w:asciiTheme="minorHAnsi" w:eastAsiaTheme="minorHAnsi" w:hAnsiTheme="minorHAnsi" w:cstheme="minorHAnsi"/>
        </w:rPr>
        <w:tab/>
        <w:t xml:space="preserve">kapitola státního rozpočtu </w:t>
      </w:r>
      <w:r w:rsidR="00A640AE" w:rsidRPr="00D1325C">
        <w:rPr>
          <w:rFonts w:asciiTheme="minorHAnsi" w:eastAsiaTheme="minorHAnsi" w:hAnsiTheme="minorHAnsi" w:cstheme="minorHAnsi"/>
        </w:rPr>
        <w:t>3</w:t>
      </w:r>
      <w:r w:rsidRPr="00D1325C">
        <w:rPr>
          <w:rFonts w:asciiTheme="minorHAnsi" w:eastAsiaTheme="minorHAnsi" w:hAnsiTheme="minorHAnsi" w:cstheme="minorHAnsi"/>
        </w:rPr>
        <w:t>27</w:t>
      </w:r>
      <w:r w:rsidR="00A640AE" w:rsidRPr="000D2D9E">
        <w:rPr>
          <w:rFonts w:asciiTheme="minorHAnsi" w:eastAsiaTheme="minorHAnsi" w:hAnsiTheme="minorHAnsi" w:cstheme="minorHAnsi"/>
          <w:i/>
        </w:rPr>
        <w:t xml:space="preserve"> –</w:t>
      </w:r>
      <w:r w:rsidR="00A640AE">
        <w:rPr>
          <w:rFonts w:asciiTheme="minorHAnsi" w:eastAsiaTheme="minorHAnsi" w:hAnsiTheme="minorHAnsi" w:cstheme="minorHAnsi"/>
        </w:rPr>
        <w:t xml:space="preserve"> </w:t>
      </w:r>
      <w:r w:rsidR="00A640AE" w:rsidRPr="00A771A5">
        <w:rPr>
          <w:rFonts w:asciiTheme="minorHAnsi" w:eastAsiaTheme="minorHAnsi" w:hAnsiTheme="minorHAnsi" w:cstheme="minorHAnsi"/>
          <w:i/>
        </w:rPr>
        <w:t xml:space="preserve">Ministerstvo </w:t>
      </w:r>
      <w:r>
        <w:rPr>
          <w:rFonts w:asciiTheme="minorHAnsi" w:eastAsiaTheme="minorHAnsi" w:hAnsiTheme="minorHAnsi" w:cstheme="minorHAnsi"/>
          <w:i/>
        </w:rPr>
        <w:t>dopravy</w:t>
      </w:r>
    </w:p>
    <w:p w14:paraId="2549DEFE" w14:textId="1A7C38D8" w:rsidR="0087502E" w:rsidRDefault="0087502E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ČÚS</w:t>
      </w:r>
      <w:r>
        <w:rPr>
          <w:rFonts w:asciiTheme="minorHAnsi" w:eastAsiaTheme="minorHAnsi" w:hAnsiTheme="minorHAnsi" w:cstheme="minorHAnsi"/>
        </w:rPr>
        <w:tab/>
      </w:r>
      <w:r w:rsidR="009B5780">
        <w:rPr>
          <w:rFonts w:asciiTheme="minorHAnsi" w:eastAsiaTheme="minorHAnsi" w:hAnsiTheme="minorHAnsi" w:cstheme="minorHAnsi"/>
        </w:rPr>
        <w:t>č</w:t>
      </w:r>
      <w:r>
        <w:rPr>
          <w:rFonts w:asciiTheme="minorHAnsi" w:eastAsiaTheme="minorHAnsi" w:hAnsiTheme="minorHAnsi" w:cstheme="minorHAnsi"/>
        </w:rPr>
        <w:t>eský účetní standard</w:t>
      </w:r>
    </w:p>
    <w:p w14:paraId="1DFC7D3C" w14:textId="77777777" w:rsidR="00FE738C" w:rsidRDefault="00FE738C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EU</w:t>
      </w:r>
      <w:r>
        <w:rPr>
          <w:rFonts w:asciiTheme="minorHAnsi" w:eastAsiaTheme="minorHAnsi" w:hAnsiTheme="minorHAnsi" w:cstheme="minorHAnsi"/>
        </w:rPr>
        <w:tab/>
        <w:t>Evropská unie</w:t>
      </w:r>
    </w:p>
    <w:p w14:paraId="7A5D31CC" w14:textId="77777777" w:rsidR="00FB2152" w:rsidRPr="00D207EA" w:rsidRDefault="00FF6FE3" w:rsidP="00C910FE">
      <w:pPr>
        <w:tabs>
          <w:tab w:val="left" w:pos="2552"/>
        </w:tabs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MD</w:t>
      </w:r>
      <w:r w:rsidR="000B169C" w:rsidRPr="00D207EA">
        <w:rPr>
          <w:rFonts w:asciiTheme="minorHAnsi" w:eastAsiaTheme="minorHAnsi" w:hAnsiTheme="minorHAnsi" w:cstheme="minorHAnsi"/>
        </w:rPr>
        <w:tab/>
        <w:t xml:space="preserve">Ministerstvo </w:t>
      </w:r>
      <w:r w:rsidR="00F65CE6">
        <w:rPr>
          <w:rFonts w:asciiTheme="minorHAnsi" w:eastAsiaTheme="minorHAnsi" w:hAnsiTheme="minorHAnsi" w:cstheme="minorHAnsi"/>
        </w:rPr>
        <w:t>doprav</w:t>
      </w:r>
      <w:r w:rsidR="00A771A5">
        <w:rPr>
          <w:rFonts w:asciiTheme="minorHAnsi" w:eastAsiaTheme="minorHAnsi" w:hAnsiTheme="minorHAnsi" w:cstheme="minorHAnsi"/>
        </w:rPr>
        <w:t>y</w:t>
      </w:r>
    </w:p>
    <w:p w14:paraId="644C587E" w14:textId="77777777" w:rsidR="00112642" w:rsidRPr="00D207EA" w:rsidRDefault="00A640AE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D207EA">
        <w:rPr>
          <w:rFonts w:asciiTheme="minorHAnsi" w:eastAsiaTheme="minorHAnsi" w:hAnsiTheme="minorHAnsi" w:cstheme="minorHAnsi"/>
        </w:rPr>
        <w:t>NKÚ</w:t>
      </w:r>
      <w:r w:rsidRPr="00D207EA">
        <w:rPr>
          <w:rFonts w:asciiTheme="minorHAnsi" w:eastAsiaTheme="minorHAnsi" w:hAnsiTheme="minorHAnsi" w:cstheme="minorHAnsi"/>
        </w:rPr>
        <w:tab/>
        <w:t>Nejvyšší kontrolní úřad</w:t>
      </w:r>
    </w:p>
    <w:p w14:paraId="5FEBBD80" w14:textId="77777777" w:rsidR="00112642" w:rsidRDefault="00A640AE" w:rsidP="00282CC9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D207EA">
        <w:rPr>
          <w:rFonts w:asciiTheme="minorHAnsi" w:eastAsiaTheme="minorHAnsi" w:hAnsiTheme="minorHAnsi" w:cstheme="minorHAnsi"/>
        </w:rPr>
        <w:t>ÚZ</w:t>
      </w:r>
      <w:r w:rsidRPr="00D207EA">
        <w:rPr>
          <w:rFonts w:asciiTheme="minorHAnsi" w:eastAsiaTheme="minorHAnsi" w:hAnsiTheme="minorHAnsi" w:cstheme="minorHAnsi"/>
        </w:rPr>
        <w:tab/>
        <w:t>účetní závěrka</w:t>
      </w:r>
      <w:r w:rsidR="000B169C" w:rsidRPr="00D207EA">
        <w:rPr>
          <w:rFonts w:asciiTheme="minorHAnsi" w:eastAsiaTheme="minorHAnsi" w:hAnsiTheme="minorHAnsi" w:cstheme="minorHAnsi"/>
        </w:rPr>
        <w:t xml:space="preserve"> </w:t>
      </w:r>
      <w:r w:rsidR="00FF6FE3">
        <w:rPr>
          <w:rFonts w:asciiTheme="minorHAnsi" w:eastAsiaTheme="minorHAnsi" w:hAnsiTheme="minorHAnsi" w:cstheme="minorHAnsi"/>
        </w:rPr>
        <w:t>MD</w:t>
      </w:r>
      <w:r w:rsidR="00C05582" w:rsidRPr="00D207EA">
        <w:rPr>
          <w:rFonts w:asciiTheme="minorHAnsi" w:eastAsiaTheme="minorHAnsi" w:hAnsiTheme="minorHAnsi" w:cstheme="minorHAnsi"/>
        </w:rPr>
        <w:t xml:space="preserve"> sestavená k 31. prosinci 201</w:t>
      </w:r>
      <w:r w:rsidR="00A771A5">
        <w:rPr>
          <w:rFonts w:asciiTheme="minorHAnsi" w:eastAsiaTheme="minorHAnsi" w:hAnsiTheme="minorHAnsi" w:cstheme="minorHAnsi"/>
        </w:rPr>
        <w:t>8</w:t>
      </w:r>
    </w:p>
    <w:p w14:paraId="71D1CEA2" w14:textId="77777777" w:rsidR="00112642" w:rsidRDefault="00A640AE" w:rsidP="00D1325C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D207EA">
        <w:rPr>
          <w:rFonts w:asciiTheme="minorHAnsi" w:eastAsiaTheme="minorHAnsi" w:hAnsiTheme="minorHAnsi" w:cstheme="minorHAnsi"/>
        </w:rPr>
        <w:t>výkaz FIN 1-12 OSS</w:t>
      </w:r>
      <w:r w:rsidRPr="00D207EA">
        <w:rPr>
          <w:rFonts w:asciiTheme="minorHAnsi" w:eastAsiaTheme="minorHAnsi" w:hAnsiTheme="minorHAnsi" w:cstheme="minorHAnsi"/>
        </w:rPr>
        <w:tab/>
        <w:t>výkaz pro hodnocení plnění rozpočtu správců kapitol a organizačních složek státu</w:t>
      </w:r>
    </w:p>
    <w:sectPr w:rsidR="00112642" w:rsidSect="004321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C887B" w14:textId="77777777" w:rsidR="0088208D" w:rsidRDefault="0088208D">
      <w:pPr>
        <w:spacing w:after="0"/>
      </w:pPr>
      <w:r>
        <w:separator/>
      </w:r>
    </w:p>
  </w:endnote>
  <w:endnote w:type="continuationSeparator" w:id="0">
    <w:p w14:paraId="67CC349D" w14:textId="77777777" w:rsidR="0088208D" w:rsidRDefault="00882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7C6E" w14:textId="77777777" w:rsidR="00822471" w:rsidRDefault="008224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927037"/>
      <w:docPartObj>
        <w:docPartGallery w:val="Page Numbers (Bottom of Page)"/>
        <w:docPartUnique/>
      </w:docPartObj>
    </w:sdtPr>
    <w:sdtEndPr/>
    <w:sdtContent>
      <w:p w14:paraId="6C160EC5" w14:textId="336AD504" w:rsidR="0088208D" w:rsidRDefault="0088208D" w:rsidP="00055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02">
          <w:rPr>
            <w:noProof/>
          </w:rPr>
          <w:t>16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3922B" w14:textId="77777777" w:rsidR="00822471" w:rsidRDefault="008224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E33C7" w14:textId="77777777" w:rsidR="0088208D" w:rsidRDefault="0088208D" w:rsidP="002B7978">
      <w:pPr>
        <w:spacing w:after="0"/>
      </w:pPr>
      <w:r>
        <w:separator/>
      </w:r>
    </w:p>
  </w:footnote>
  <w:footnote w:type="continuationSeparator" w:id="0">
    <w:p w14:paraId="1ECA045B" w14:textId="77777777" w:rsidR="0088208D" w:rsidRDefault="0088208D" w:rsidP="002B7978">
      <w:pPr>
        <w:spacing w:after="0"/>
      </w:pPr>
      <w:r>
        <w:continuationSeparator/>
      </w:r>
    </w:p>
  </w:footnote>
  <w:footnote w:type="continuationNotice" w:id="1">
    <w:p w14:paraId="2A0A9B50" w14:textId="77777777" w:rsidR="0088208D" w:rsidRDefault="0088208D">
      <w:pPr>
        <w:spacing w:after="0"/>
      </w:pPr>
    </w:p>
  </w:footnote>
  <w:footnote w:id="2">
    <w:p w14:paraId="06766110" w14:textId="77777777" w:rsidR="0088208D" w:rsidRPr="005F2FBC" w:rsidRDefault="0088208D" w:rsidP="00243561">
      <w:pPr>
        <w:pStyle w:val="Textpoznpodarou"/>
        <w:ind w:left="284" w:hanging="284"/>
        <w:rPr>
          <w:rFonts w:asciiTheme="minorHAnsi" w:hAnsiTheme="minorHAnsi" w:cstheme="minorHAnsi"/>
        </w:rPr>
      </w:pPr>
      <w:r w:rsidRPr="00982A09">
        <w:rPr>
          <w:rStyle w:val="Znakapoznpodarou"/>
          <w:rFonts w:asciiTheme="minorHAnsi" w:hAnsiTheme="minorHAnsi" w:cstheme="minorHAnsi"/>
        </w:rPr>
        <w:footnoteRef/>
      </w:r>
      <w:r w:rsidRPr="00982A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82A09">
        <w:rPr>
          <w:rFonts w:asciiTheme="minorHAnsi" w:hAnsiTheme="minorHAnsi" w:cstheme="minorHAnsi"/>
        </w:rPr>
        <w:t>Významnost byla pro účetní závěrku i pro výkaz pro hodnocení plnění rozpočtu stanovena ve výši 1 mld. Kč</w:t>
      </w:r>
      <w:r>
        <w:rPr>
          <w:rFonts w:asciiTheme="minorHAnsi" w:hAnsiTheme="minorHAnsi" w:cstheme="minorHAnsi"/>
        </w:rPr>
        <w:t>, tj. </w:t>
      </w:r>
      <w:r w:rsidRPr="00982A09">
        <w:rPr>
          <w:rFonts w:asciiTheme="minorHAnsi" w:hAnsiTheme="minorHAnsi" w:cstheme="minorHAnsi"/>
        </w:rPr>
        <w:t>ve výši přibližně 2 % z</w:t>
      </w:r>
      <w:r w:rsidRPr="008C5AC8">
        <w:rPr>
          <w:rFonts w:asciiTheme="minorHAnsi" w:hAnsiTheme="minorHAnsi" w:cstheme="minorHAnsi"/>
        </w:rPr>
        <w:t> celkových nákladů, resp. výdajů</w:t>
      </w:r>
      <w:r w:rsidRPr="005F2FBC">
        <w:rPr>
          <w:rFonts w:asciiTheme="minorHAnsi" w:hAnsiTheme="minorHAnsi" w:cstheme="minorHAnsi"/>
        </w:rPr>
        <w:t>.</w:t>
      </w:r>
    </w:p>
  </w:footnote>
  <w:footnote w:id="3">
    <w:p w14:paraId="06765C49" w14:textId="7D340CE4" w:rsidR="0088208D" w:rsidRPr="00457829" w:rsidRDefault="0088208D" w:rsidP="002435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82A09">
        <w:rPr>
          <w:rStyle w:val="Znakapoznpodarou"/>
          <w:rFonts w:asciiTheme="minorHAnsi" w:hAnsiTheme="minorHAnsi" w:cstheme="minorHAnsi"/>
        </w:rPr>
        <w:footnoteRef/>
      </w:r>
      <w:r w:rsidRPr="00982A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82A09">
        <w:rPr>
          <w:rFonts w:asciiTheme="minorHAnsi" w:hAnsiTheme="minorHAnsi" w:cstheme="minorHAnsi"/>
        </w:rPr>
        <w:t xml:space="preserve">Kontrolní akce č. 13/39 </w:t>
      </w:r>
      <w:r>
        <w:rPr>
          <w:rFonts w:asciiTheme="minorHAnsi" w:hAnsiTheme="minorHAnsi" w:cstheme="minorHAnsi"/>
        </w:rPr>
        <w:t>–</w:t>
      </w:r>
      <w:r w:rsidRPr="00982A09">
        <w:rPr>
          <w:rFonts w:asciiTheme="minorHAnsi" w:hAnsiTheme="minorHAnsi" w:cstheme="minorHAnsi"/>
        </w:rPr>
        <w:t xml:space="preserve"> </w:t>
      </w:r>
      <w:r w:rsidRPr="00982A09">
        <w:rPr>
          <w:rFonts w:asciiTheme="minorHAnsi" w:hAnsiTheme="minorHAnsi" w:cstheme="minorHAnsi"/>
          <w:i/>
        </w:rPr>
        <w:t xml:space="preserve">Závěrečný účet kapitoly státního rozpočtu Ministerstvo dopravy za rok 2013, účetní závěrka </w:t>
      </w:r>
      <w:r w:rsidRPr="008C5AC8">
        <w:rPr>
          <w:rFonts w:asciiTheme="minorHAnsi" w:hAnsiTheme="minorHAnsi" w:cstheme="minorHAnsi"/>
          <w:i/>
        </w:rPr>
        <w:t>a finanční výkazy Ministerstva dopravy za rok 2013</w:t>
      </w:r>
      <w:r w:rsidRPr="008C5AC8">
        <w:rPr>
          <w:rFonts w:asciiTheme="minorHAnsi" w:hAnsiTheme="minorHAnsi" w:cstheme="minorHAnsi"/>
        </w:rPr>
        <w:t>; kontrolní závěr byl zveřejn</w:t>
      </w:r>
      <w:r w:rsidRPr="00457829">
        <w:rPr>
          <w:rFonts w:asciiTheme="minorHAnsi" w:hAnsiTheme="minorHAnsi" w:cstheme="minorHAnsi"/>
        </w:rPr>
        <w:t xml:space="preserve">ěn v částce 4/2014 </w:t>
      </w:r>
      <w:r w:rsidRPr="00E52219">
        <w:rPr>
          <w:rFonts w:asciiTheme="minorHAnsi" w:hAnsiTheme="minorHAnsi" w:cstheme="minorHAnsi"/>
          <w:i/>
        </w:rPr>
        <w:t>Věstníku NKÚ</w:t>
      </w:r>
      <w:r w:rsidRPr="00457829">
        <w:rPr>
          <w:rFonts w:asciiTheme="minorHAnsi" w:hAnsiTheme="minorHAnsi" w:cstheme="minorHAnsi"/>
        </w:rPr>
        <w:t>.</w:t>
      </w:r>
    </w:p>
  </w:footnote>
  <w:footnote w:id="4">
    <w:p w14:paraId="05BF1C36" w14:textId="2B5F489E" w:rsidR="0088208D" w:rsidRPr="00457829" w:rsidRDefault="0088208D" w:rsidP="00DA744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82A09">
        <w:rPr>
          <w:rStyle w:val="Znakapoznpodarou"/>
          <w:rFonts w:asciiTheme="minorHAnsi" w:hAnsiTheme="minorHAnsi" w:cstheme="minorHAnsi"/>
        </w:rPr>
        <w:footnoteRef/>
      </w:r>
      <w:r w:rsidRPr="00982A09">
        <w:rPr>
          <w:rFonts w:asciiTheme="minorHAnsi" w:hAnsiTheme="minorHAnsi" w:cstheme="minorHAnsi"/>
        </w:rPr>
        <w:t xml:space="preserve"> </w:t>
      </w:r>
      <w:r w:rsidRPr="00982A09">
        <w:rPr>
          <w:rFonts w:asciiTheme="minorHAnsi" w:hAnsiTheme="minorHAnsi" w:cstheme="minorHAnsi"/>
        </w:rPr>
        <w:tab/>
        <w:t xml:space="preserve">Hladina významnosti </w:t>
      </w:r>
      <w:r>
        <w:rPr>
          <w:rFonts w:asciiTheme="minorHAnsi" w:hAnsiTheme="minorHAnsi" w:cstheme="minorHAnsi"/>
        </w:rPr>
        <w:t xml:space="preserve">(materialita) </w:t>
      </w:r>
      <w:r w:rsidRPr="00982A09">
        <w:rPr>
          <w:rFonts w:asciiTheme="minorHAnsi" w:hAnsiTheme="minorHAnsi" w:cstheme="minorHAnsi"/>
        </w:rPr>
        <w:t>reprezentuje hodnotu nesprávností, jej</w:t>
      </w:r>
      <w:r>
        <w:rPr>
          <w:rFonts w:asciiTheme="minorHAnsi" w:hAnsiTheme="minorHAnsi" w:cstheme="minorHAnsi"/>
        </w:rPr>
        <w:t>íž</w:t>
      </w:r>
      <w:r w:rsidRPr="00982A09">
        <w:rPr>
          <w:rFonts w:asciiTheme="minorHAnsi" w:hAnsiTheme="minorHAnsi" w:cstheme="minorHAnsi"/>
        </w:rPr>
        <w:t xml:space="preserve"> překročení by již mohlo ovlivnit přiměřeně znalého uživatele. Při stanovení hladiny významnosti postupuje NKÚ v souladu s mezinárodními standardy nejvyšších kontrolních institucí (</w:t>
      </w:r>
      <w:r>
        <w:rPr>
          <w:rFonts w:asciiTheme="minorHAnsi" w:hAnsiTheme="minorHAnsi" w:cstheme="minorHAnsi"/>
        </w:rPr>
        <w:t xml:space="preserve">standardy </w:t>
      </w:r>
      <w:r w:rsidRPr="00982A09">
        <w:rPr>
          <w:rFonts w:asciiTheme="minorHAnsi" w:hAnsiTheme="minorHAnsi" w:cstheme="minorHAnsi"/>
        </w:rPr>
        <w:t>ISSAI</w:t>
      </w:r>
      <w:r w:rsidRPr="008C5AC8">
        <w:rPr>
          <w:rFonts w:asciiTheme="minorHAnsi" w:hAnsiTheme="minorHAnsi" w:cstheme="minorHAnsi"/>
        </w:rPr>
        <w:t>) pro finanční audit a kontrolními standardy NKÚ</w:t>
      </w:r>
      <w:r w:rsidRPr="00457829">
        <w:rPr>
          <w:rFonts w:asciiTheme="minorHAnsi" w:hAnsiTheme="minorHAnsi" w:cstheme="minorHAnsi"/>
        </w:rPr>
        <w:t>.</w:t>
      </w:r>
    </w:p>
  </w:footnote>
  <w:footnote w:id="5">
    <w:p w14:paraId="0FAA063B" w14:textId="3FC916A0" w:rsidR="0088208D" w:rsidRPr="00982A09" w:rsidRDefault="0088208D" w:rsidP="001B30F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82A09">
        <w:rPr>
          <w:rStyle w:val="Znakapoznpodarou"/>
          <w:rFonts w:asciiTheme="minorHAnsi" w:hAnsiTheme="minorHAnsi" w:cstheme="minorHAnsi"/>
        </w:rPr>
        <w:footnoteRef/>
      </w:r>
      <w:r w:rsidRPr="00982A09">
        <w:rPr>
          <w:rFonts w:asciiTheme="minorHAnsi" w:hAnsiTheme="minorHAnsi" w:cstheme="minorHAnsi"/>
        </w:rPr>
        <w:t xml:space="preserve"> </w:t>
      </w:r>
      <w:r w:rsidRPr="00982A09">
        <w:rPr>
          <w:rFonts w:asciiTheme="minorHAnsi" w:hAnsiTheme="minorHAnsi" w:cstheme="minorHAnsi"/>
        </w:rPr>
        <w:tab/>
        <w:t>Komentář k této účetní metodě MD neuvedlo ani v účetní závěrce za rok 2016, kdy opravnou položku vytvořilo. Uvedlo jej pouze v účetní závěrce za rok 2017</w:t>
      </w:r>
      <w:r>
        <w:rPr>
          <w:rFonts w:asciiTheme="minorHAnsi" w:hAnsiTheme="minorHAnsi" w:cstheme="minorHAnsi"/>
        </w:rPr>
        <w:t>.</w:t>
      </w:r>
    </w:p>
  </w:footnote>
  <w:footnote w:id="6">
    <w:p w14:paraId="08BDCB45" w14:textId="7227B76F" w:rsidR="0088208D" w:rsidRPr="00982A09" w:rsidRDefault="0088208D" w:rsidP="002435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82A09">
        <w:rPr>
          <w:rStyle w:val="Znakapoznpodarou"/>
          <w:rFonts w:asciiTheme="minorHAnsi" w:hAnsiTheme="minorHAnsi" w:cstheme="minorHAnsi"/>
        </w:rPr>
        <w:footnoteRef/>
      </w:r>
      <w:r w:rsidRPr="00982A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 nesměnné transakci účetní jednotka buď získá hodnotu od jiné jednotky, aniž by jí směnou poskytla přibližně stejnou hodnotu, nebo poskytuje hodnotu jiné jednotce, aniž by přímo obdržela přibližně stejnou hodnotu (</w:t>
      </w:r>
      <w:r w:rsidRPr="00F046E6">
        <w:rPr>
          <w:rFonts w:asciiTheme="minorHAnsi" w:hAnsiTheme="minorHAnsi" w:cstheme="minorHAnsi"/>
          <w:i/>
        </w:rPr>
        <w:t>Příručka mezinárodních účetních standardů pro veřejný sektor</w:t>
      </w:r>
      <w:r>
        <w:rPr>
          <w:rFonts w:asciiTheme="minorHAnsi" w:hAnsiTheme="minorHAnsi" w:cstheme="minorHAnsi"/>
        </w:rPr>
        <w:t>, 2016, svazek I, str. 383).</w:t>
      </w:r>
    </w:p>
  </w:footnote>
  <w:footnote w:id="7">
    <w:p w14:paraId="742BD4A1" w14:textId="77777777" w:rsidR="0088208D" w:rsidRPr="00982A09" w:rsidRDefault="0088208D" w:rsidP="00243561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82A0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982A09">
        <w:rPr>
          <w:rFonts w:asciiTheme="minorHAnsi" w:hAnsiTheme="minorHAnsi" w:cstheme="minorHAnsi"/>
          <w:sz w:val="20"/>
          <w:szCs w:val="20"/>
        </w:rPr>
        <w:t xml:space="preserve"> </w:t>
      </w:r>
      <w:r w:rsidRPr="00982A09">
        <w:rPr>
          <w:rFonts w:asciiTheme="minorHAnsi" w:hAnsiTheme="minorHAnsi" w:cstheme="minorHAnsi"/>
          <w:sz w:val="20"/>
          <w:szCs w:val="20"/>
        </w:rPr>
        <w:tab/>
        <w:t>Akruální princip (nebo také báze, koncept) je jedna ze základních účetních zásad a spočívá v tom, že náklady a výnosy se účtují do období, se kterým věcně a časově souvisejí, aniž by bylo bráno v úvahu, kdy došlo k reálnému pohybu peněz.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2D71" w14:textId="77777777" w:rsidR="00822471" w:rsidRDefault="008224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454B6" w14:textId="77777777" w:rsidR="00822471" w:rsidRDefault="008224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C0D3" w14:textId="77777777" w:rsidR="00822471" w:rsidRDefault="008224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A9"/>
    <w:multiLevelType w:val="hybridMultilevel"/>
    <w:tmpl w:val="C29ED62E"/>
    <w:lvl w:ilvl="0" w:tplc="0D4217B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1786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E79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40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8E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47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A4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EC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03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3F47"/>
    <w:multiLevelType w:val="hybridMultilevel"/>
    <w:tmpl w:val="6FBA91A2"/>
    <w:lvl w:ilvl="0" w:tplc="23A62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1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B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A0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09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42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4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05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5935"/>
    <w:multiLevelType w:val="hybridMultilevel"/>
    <w:tmpl w:val="2C2AA754"/>
    <w:lvl w:ilvl="0" w:tplc="64B63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EA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4A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21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0C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2C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0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C1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4F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F0B"/>
    <w:multiLevelType w:val="multilevel"/>
    <w:tmpl w:val="B3DED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365BB2"/>
    <w:multiLevelType w:val="hybridMultilevel"/>
    <w:tmpl w:val="D9202DF2"/>
    <w:lvl w:ilvl="0" w:tplc="DE167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63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61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22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4D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61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C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0F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D40F3"/>
    <w:multiLevelType w:val="multilevel"/>
    <w:tmpl w:val="B880A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575A33"/>
    <w:multiLevelType w:val="hybridMultilevel"/>
    <w:tmpl w:val="4D145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A82530"/>
    <w:multiLevelType w:val="hybridMultilevel"/>
    <w:tmpl w:val="398405EE"/>
    <w:lvl w:ilvl="0" w:tplc="955E9FD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EFC86D4E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B28C3418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13A1B00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74CF25A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1BBA2740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B276CA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81E2445C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FFE0FC50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6B1415A"/>
    <w:multiLevelType w:val="hybridMultilevel"/>
    <w:tmpl w:val="B10A4144"/>
    <w:lvl w:ilvl="0" w:tplc="CA721D3A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93629E4C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79CCE90A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B0E27E44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61DCB552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80BC3F50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16E6C00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C0B6AFE2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438F570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1CE36EE7"/>
    <w:multiLevelType w:val="hybridMultilevel"/>
    <w:tmpl w:val="E826B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483"/>
    <w:multiLevelType w:val="multilevel"/>
    <w:tmpl w:val="E5B8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5166CC"/>
    <w:multiLevelType w:val="singleLevel"/>
    <w:tmpl w:val="FF04C6FE"/>
    <w:lvl w:ilvl="0">
      <w:start w:val="4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13" w15:restartNumberingAfterBreak="0">
    <w:nsid w:val="606D7289"/>
    <w:multiLevelType w:val="hybridMultilevel"/>
    <w:tmpl w:val="6950A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A3C48"/>
    <w:multiLevelType w:val="hybridMultilevel"/>
    <w:tmpl w:val="88E2E0F2"/>
    <w:lvl w:ilvl="0" w:tplc="B5C24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25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4A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2D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7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67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45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0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A5FAF"/>
    <w:multiLevelType w:val="hybridMultilevel"/>
    <w:tmpl w:val="15A6F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8228F2"/>
    <w:multiLevelType w:val="hybridMultilevel"/>
    <w:tmpl w:val="A670C614"/>
    <w:lvl w:ilvl="0" w:tplc="4D6E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8E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6B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21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2C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69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67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82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21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13ED0"/>
    <w:multiLevelType w:val="hybridMultilevel"/>
    <w:tmpl w:val="5204D490"/>
    <w:lvl w:ilvl="0" w:tplc="E31A12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6D6C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85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AB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80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00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A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B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108"/>
    <w:multiLevelType w:val="hybridMultilevel"/>
    <w:tmpl w:val="94F02480"/>
    <w:lvl w:ilvl="0" w:tplc="A27CF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FEE8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CC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1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1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09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8C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6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24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4668E"/>
    <w:multiLevelType w:val="hybridMultilevel"/>
    <w:tmpl w:val="50183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50011"/>
    <w:multiLevelType w:val="hybridMultilevel"/>
    <w:tmpl w:val="54C8FE7A"/>
    <w:lvl w:ilvl="0" w:tplc="F49C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C2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AB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65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A0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2D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0F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AD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E9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7"/>
  </w:num>
  <w:num w:numId="9">
    <w:abstractNumId w:val="2"/>
  </w:num>
  <w:num w:numId="10">
    <w:abstractNumId w:val="8"/>
  </w:num>
  <w:num w:numId="11">
    <w:abstractNumId w:val="14"/>
  </w:num>
  <w:num w:numId="12">
    <w:abstractNumId w:val="18"/>
  </w:num>
  <w:num w:numId="13">
    <w:abstractNumId w:val="0"/>
  </w:num>
  <w:num w:numId="14">
    <w:abstractNumId w:val="21"/>
  </w:num>
  <w:num w:numId="15">
    <w:abstractNumId w:val="10"/>
  </w:num>
  <w:num w:numId="16">
    <w:abstractNumId w:val="19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6"/>
  </w:num>
  <w:num w:numId="24">
    <w:abstractNumId w:val="16"/>
  </w:num>
  <w:num w:numId="25">
    <w:abstractNumId w:val="16"/>
  </w:num>
  <w:num w:numId="26">
    <w:abstractNumId w:val="12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27">
    <w:abstractNumId w:val="7"/>
  </w:num>
  <w:num w:numId="28">
    <w:abstractNumId w:val="9"/>
  </w:num>
  <w:num w:numId="29">
    <w:abstractNumId w:val="13"/>
  </w:num>
  <w:num w:numId="30">
    <w:abstractNumId w:val="2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6"/>
  </w:num>
  <w:num w:numId="37">
    <w:abstractNumId w:val="15"/>
  </w:num>
  <w:num w:numId="38">
    <w:abstractNumId w:val="10"/>
  </w:num>
  <w:num w:numId="3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62"/>
    <w:rsid w:val="00000944"/>
    <w:rsid w:val="00004EF9"/>
    <w:rsid w:val="00005413"/>
    <w:rsid w:val="00006623"/>
    <w:rsid w:val="000102DC"/>
    <w:rsid w:val="00010565"/>
    <w:rsid w:val="00010948"/>
    <w:rsid w:val="000116ED"/>
    <w:rsid w:val="00012047"/>
    <w:rsid w:val="00012334"/>
    <w:rsid w:val="000136D6"/>
    <w:rsid w:val="00013D01"/>
    <w:rsid w:val="00013F4A"/>
    <w:rsid w:val="00014250"/>
    <w:rsid w:val="000150C6"/>
    <w:rsid w:val="00015F85"/>
    <w:rsid w:val="00017CCE"/>
    <w:rsid w:val="00017D5E"/>
    <w:rsid w:val="00017EA4"/>
    <w:rsid w:val="000205FD"/>
    <w:rsid w:val="00020979"/>
    <w:rsid w:val="000209B1"/>
    <w:rsid w:val="00021070"/>
    <w:rsid w:val="00021226"/>
    <w:rsid w:val="00022153"/>
    <w:rsid w:val="000221DC"/>
    <w:rsid w:val="000231EC"/>
    <w:rsid w:val="000233DE"/>
    <w:rsid w:val="00024CEB"/>
    <w:rsid w:val="00025582"/>
    <w:rsid w:val="000263DE"/>
    <w:rsid w:val="00026B84"/>
    <w:rsid w:val="0002708F"/>
    <w:rsid w:val="00027564"/>
    <w:rsid w:val="00027C18"/>
    <w:rsid w:val="000305CE"/>
    <w:rsid w:val="00031DBA"/>
    <w:rsid w:val="00031FF6"/>
    <w:rsid w:val="000342EB"/>
    <w:rsid w:val="0003469E"/>
    <w:rsid w:val="0003552A"/>
    <w:rsid w:val="000365ED"/>
    <w:rsid w:val="0004116C"/>
    <w:rsid w:val="00041B06"/>
    <w:rsid w:val="000428C2"/>
    <w:rsid w:val="00042F32"/>
    <w:rsid w:val="00042F6E"/>
    <w:rsid w:val="00043EF9"/>
    <w:rsid w:val="00044496"/>
    <w:rsid w:val="00044B71"/>
    <w:rsid w:val="00044F4C"/>
    <w:rsid w:val="000453AD"/>
    <w:rsid w:val="00045D1D"/>
    <w:rsid w:val="00045D4B"/>
    <w:rsid w:val="00046890"/>
    <w:rsid w:val="000473BB"/>
    <w:rsid w:val="000478A5"/>
    <w:rsid w:val="00050275"/>
    <w:rsid w:val="00052ABF"/>
    <w:rsid w:val="0005321F"/>
    <w:rsid w:val="00054A5F"/>
    <w:rsid w:val="00054D70"/>
    <w:rsid w:val="00054DA8"/>
    <w:rsid w:val="00055581"/>
    <w:rsid w:val="000562E0"/>
    <w:rsid w:val="00056E58"/>
    <w:rsid w:val="00056E6D"/>
    <w:rsid w:val="000570C7"/>
    <w:rsid w:val="000575EA"/>
    <w:rsid w:val="00060CDE"/>
    <w:rsid w:val="00062738"/>
    <w:rsid w:val="00063109"/>
    <w:rsid w:val="00063906"/>
    <w:rsid w:val="00063D9B"/>
    <w:rsid w:val="000641B2"/>
    <w:rsid w:val="000644BF"/>
    <w:rsid w:val="00066AC4"/>
    <w:rsid w:val="0007244A"/>
    <w:rsid w:val="000728F2"/>
    <w:rsid w:val="00073218"/>
    <w:rsid w:val="00075A94"/>
    <w:rsid w:val="00077ACA"/>
    <w:rsid w:val="00080832"/>
    <w:rsid w:val="00080C55"/>
    <w:rsid w:val="0008172A"/>
    <w:rsid w:val="00081853"/>
    <w:rsid w:val="000819E2"/>
    <w:rsid w:val="00082128"/>
    <w:rsid w:val="000822BF"/>
    <w:rsid w:val="000825AB"/>
    <w:rsid w:val="00082C74"/>
    <w:rsid w:val="00083E50"/>
    <w:rsid w:val="0008453D"/>
    <w:rsid w:val="00084BDF"/>
    <w:rsid w:val="00085038"/>
    <w:rsid w:val="000851F9"/>
    <w:rsid w:val="00085D01"/>
    <w:rsid w:val="00085D3C"/>
    <w:rsid w:val="000867C9"/>
    <w:rsid w:val="000872BF"/>
    <w:rsid w:val="0009214F"/>
    <w:rsid w:val="0009232A"/>
    <w:rsid w:val="00092816"/>
    <w:rsid w:val="00093120"/>
    <w:rsid w:val="00094908"/>
    <w:rsid w:val="0009689F"/>
    <w:rsid w:val="0009702E"/>
    <w:rsid w:val="000A0E8B"/>
    <w:rsid w:val="000A36E9"/>
    <w:rsid w:val="000A3F7E"/>
    <w:rsid w:val="000A4006"/>
    <w:rsid w:val="000A5267"/>
    <w:rsid w:val="000A5714"/>
    <w:rsid w:val="000A5A79"/>
    <w:rsid w:val="000A5BDF"/>
    <w:rsid w:val="000A5C4F"/>
    <w:rsid w:val="000A5D44"/>
    <w:rsid w:val="000A5ECA"/>
    <w:rsid w:val="000A7032"/>
    <w:rsid w:val="000A75DF"/>
    <w:rsid w:val="000B0C14"/>
    <w:rsid w:val="000B169C"/>
    <w:rsid w:val="000B1794"/>
    <w:rsid w:val="000B2255"/>
    <w:rsid w:val="000B3825"/>
    <w:rsid w:val="000B4ABD"/>
    <w:rsid w:val="000B4B91"/>
    <w:rsid w:val="000B59DC"/>
    <w:rsid w:val="000B63A1"/>
    <w:rsid w:val="000B7E39"/>
    <w:rsid w:val="000B7ED0"/>
    <w:rsid w:val="000C04E6"/>
    <w:rsid w:val="000C1D99"/>
    <w:rsid w:val="000C591E"/>
    <w:rsid w:val="000D1BFE"/>
    <w:rsid w:val="000D1EC1"/>
    <w:rsid w:val="000D22A5"/>
    <w:rsid w:val="000D2D9E"/>
    <w:rsid w:val="000D3F2D"/>
    <w:rsid w:val="000D45FA"/>
    <w:rsid w:val="000D69FE"/>
    <w:rsid w:val="000D72DE"/>
    <w:rsid w:val="000D7A9E"/>
    <w:rsid w:val="000D7EB0"/>
    <w:rsid w:val="000E04F4"/>
    <w:rsid w:val="000E082C"/>
    <w:rsid w:val="000E0B18"/>
    <w:rsid w:val="000E12F1"/>
    <w:rsid w:val="000E25B5"/>
    <w:rsid w:val="000E2836"/>
    <w:rsid w:val="000E31D2"/>
    <w:rsid w:val="000E3621"/>
    <w:rsid w:val="000E4ED7"/>
    <w:rsid w:val="000E4F78"/>
    <w:rsid w:val="000E56AE"/>
    <w:rsid w:val="000E6A4F"/>
    <w:rsid w:val="000E7694"/>
    <w:rsid w:val="000E7D3E"/>
    <w:rsid w:val="000F209F"/>
    <w:rsid w:val="000F2220"/>
    <w:rsid w:val="000F27E7"/>
    <w:rsid w:val="000F2B19"/>
    <w:rsid w:val="000F3D0A"/>
    <w:rsid w:val="000F3E30"/>
    <w:rsid w:val="000F42EF"/>
    <w:rsid w:val="000F5927"/>
    <w:rsid w:val="00100FAA"/>
    <w:rsid w:val="0010296A"/>
    <w:rsid w:val="00103E92"/>
    <w:rsid w:val="001050B5"/>
    <w:rsid w:val="001055C3"/>
    <w:rsid w:val="00106409"/>
    <w:rsid w:val="00107771"/>
    <w:rsid w:val="001077EB"/>
    <w:rsid w:val="00111FB1"/>
    <w:rsid w:val="00112642"/>
    <w:rsid w:val="00112DFF"/>
    <w:rsid w:val="00113B06"/>
    <w:rsid w:val="00113F2D"/>
    <w:rsid w:val="00114033"/>
    <w:rsid w:val="001141E0"/>
    <w:rsid w:val="00114527"/>
    <w:rsid w:val="00114660"/>
    <w:rsid w:val="001147E8"/>
    <w:rsid w:val="00115015"/>
    <w:rsid w:val="00116A85"/>
    <w:rsid w:val="00117093"/>
    <w:rsid w:val="0011741A"/>
    <w:rsid w:val="00120064"/>
    <w:rsid w:val="001202CB"/>
    <w:rsid w:val="00121D77"/>
    <w:rsid w:val="00122BD1"/>
    <w:rsid w:val="00122E3A"/>
    <w:rsid w:val="00122E42"/>
    <w:rsid w:val="001231C4"/>
    <w:rsid w:val="00124CA1"/>
    <w:rsid w:val="00124FA7"/>
    <w:rsid w:val="0012538B"/>
    <w:rsid w:val="00125F5D"/>
    <w:rsid w:val="0012623F"/>
    <w:rsid w:val="00126597"/>
    <w:rsid w:val="001268C7"/>
    <w:rsid w:val="00127D05"/>
    <w:rsid w:val="00131249"/>
    <w:rsid w:val="00131510"/>
    <w:rsid w:val="001317BD"/>
    <w:rsid w:val="00133A17"/>
    <w:rsid w:val="001344EE"/>
    <w:rsid w:val="001346E6"/>
    <w:rsid w:val="00136983"/>
    <w:rsid w:val="00137C89"/>
    <w:rsid w:val="00141652"/>
    <w:rsid w:val="00141F5F"/>
    <w:rsid w:val="001426DD"/>
    <w:rsid w:val="001433FE"/>
    <w:rsid w:val="001441BA"/>
    <w:rsid w:val="00144E09"/>
    <w:rsid w:val="00144E9E"/>
    <w:rsid w:val="00147308"/>
    <w:rsid w:val="00150880"/>
    <w:rsid w:val="00150A18"/>
    <w:rsid w:val="0015152A"/>
    <w:rsid w:val="001519E4"/>
    <w:rsid w:val="00152AD3"/>
    <w:rsid w:val="00153444"/>
    <w:rsid w:val="0015589D"/>
    <w:rsid w:val="001569F8"/>
    <w:rsid w:val="001579AE"/>
    <w:rsid w:val="00157F5E"/>
    <w:rsid w:val="001607C3"/>
    <w:rsid w:val="00160F7E"/>
    <w:rsid w:val="00161C6F"/>
    <w:rsid w:val="0016246A"/>
    <w:rsid w:val="00163CD9"/>
    <w:rsid w:val="001645E7"/>
    <w:rsid w:val="0016469A"/>
    <w:rsid w:val="00164D18"/>
    <w:rsid w:val="0016566E"/>
    <w:rsid w:val="00166481"/>
    <w:rsid w:val="00167779"/>
    <w:rsid w:val="00171017"/>
    <w:rsid w:val="0017383D"/>
    <w:rsid w:val="00174F1F"/>
    <w:rsid w:val="00175C4F"/>
    <w:rsid w:val="00175EAB"/>
    <w:rsid w:val="00175F87"/>
    <w:rsid w:val="00176D6E"/>
    <w:rsid w:val="00180B90"/>
    <w:rsid w:val="00181225"/>
    <w:rsid w:val="00181402"/>
    <w:rsid w:val="001818B8"/>
    <w:rsid w:val="0018212D"/>
    <w:rsid w:val="001829CC"/>
    <w:rsid w:val="00182A3F"/>
    <w:rsid w:val="00182DA3"/>
    <w:rsid w:val="00182ED1"/>
    <w:rsid w:val="00183CD7"/>
    <w:rsid w:val="001842ED"/>
    <w:rsid w:val="001848D6"/>
    <w:rsid w:val="001866A7"/>
    <w:rsid w:val="00186EEC"/>
    <w:rsid w:val="00192BAA"/>
    <w:rsid w:val="001937B5"/>
    <w:rsid w:val="00193A3D"/>
    <w:rsid w:val="00194BE8"/>
    <w:rsid w:val="0019669E"/>
    <w:rsid w:val="001A07D1"/>
    <w:rsid w:val="001A1065"/>
    <w:rsid w:val="001A164B"/>
    <w:rsid w:val="001A2929"/>
    <w:rsid w:val="001A3920"/>
    <w:rsid w:val="001A3DDF"/>
    <w:rsid w:val="001A482C"/>
    <w:rsid w:val="001A5200"/>
    <w:rsid w:val="001A55E7"/>
    <w:rsid w:val="001A5B7E"/>
    <w:rsid w:val="001A5ED4"/>
    <w:rsid w:val="001A601C"/>
    <w:rsid w:val="001A6D72"/>
    <w:rsid w:val="001A7309"/>
    <w:rsid w:val="001B0BE7"/>
    <w:rsid w:val="001B1165"/>
    <w:rsid w:val="001B19A8"/>
    <w:rsid w:val="001B2E9E"/>
    <w:rsid w:val="001B30F4"/>
    <w:rsid w:val="001B461B"/>
    <w:rsid w:val="001B48A7"/>
    <w:rsid w:val="001B5272"/>
    <w:rsid w:val="001B571E"/>
    <w:rsid w:val="001B5B1F"/>
    <w:rsid w:val="001B65AD"/>
    <w:rsid w:val="001B76BE"/>
    <w:rsid w:val="001C0001"/>
    <w:rsid w:val="001C0B2C"/>
    <w:rsid w:val="001C1977"/>
    <w:rsid w:val="001C2B16"/>
    <w:rsid w:val="001C48EB"/>
    <w:rsid w:val="001C4B29"/>
    <w:rsid w:val="001C555C"/>
    <w:rsid w:val="001C649A"/>
    <w:rsid w:val="001C6E98"/>
    <w:rsid w:val="001C718B"/>
    <w:rsid w:val="001C7DCC"/>
    <w:rsid w:val="001D24A7"/>
    <w:rsid w:val="001D24FB"/>
    <w:rsid w:val="001D2A6F"/>
    <w:rsid w:val="001D2F47"/>
    <w:rsid w:val="001D3757"/>
    <w:rsid w:val="001D383E"/>
    <w:rsid w:val="001D4050"/>
    <w:rsid w:val="001D4C2D"/>
    <w:rsid w:val="001D57E4"/>
    <w:rsid w:val="001D5FF7"/>
    <w:rsid w:val="001D7EAE"/>
    <w:rsid w:val="001E0261"/>
    <w:rsid w:val="001E0315"/>
    <w:rsid w:val="001E0492"/>
    <w:rsid w:val="001E0C8B"/>
    <w:rsid w:val="001E0CB2"/>
    <w:rsid w:val="001E1607"/>
    <w:rsid w:val="001E416B"/>
    <w:rsid w:val="001E4832"/>
    <w:rsid w:val="001E58E4"/>
    <w:rsid w:val="001E5E41"/>
    <w:rsid w:val="001E63C1"/>
    <w:rsid w:val="001E668D"/>
    <w:rsid w:val="001E6D4C"/>
    <w:rsid w:val="001E6D9E"/>
    <w:rsid w:val="001E79D0"/>
    <w:rsid w:val="001F0066"/>
    <w:rsid w:val="001F1370"/>
    <w:rsid w:val="001F1A92"/>
    <w:rsid w:val="001F1F57"/>
    <w:rsid w:val="001F24A6"/>
    <w:rsid w:val="001F2AF2"/>
    <w:rsid w:val="001F396F"/>
    <w:rsid w:val="001F3DD9"/>
    <w:rsid w:val="001F5A2A"/>
    <w:rsid w:val="001F68CD"/>
    <w:rsid w:val="001F740C"/>
    <w:rsid w:val="001F78DB"/>
    <w:rsid w:val="002008C3"/>
    <w:rsid w:val="002010CA"/>
    <w:rsid w:val="00201CD3"/>
    <w:rsid w:val="00203788"/>
    <w:rsid w:val="00203DF0"/>
    <w:rsid w:val="00203F77"/>
    <w:rsid w:val="0020473E"/>
    <w:rsid w:val="0020520F"/>
    <w:rsid w:val="002053F1"/>
    <w:rsid w:val="0020630C"/>
    <w:rsid w:val="002065FA"/>
    <w:rsid w:val="00206C3F"/>
    <w:rsid w:val="00206F66"/>
    <w:rsid w:val="0020705B"/>
    <w:rsid w:val="002073BC"/>
    <w:rsid w:val="00207A52"/>
    <w:rsid w:val="00207AE7"/>
    <w:rsid w:val="00207EEB"/>
    <w:rsid w:val="002102C6"/>
    <w:rsid w:val="0021095E"/>
    <w:rsid w:val="002112A1"/>
    <w:rsid w:val="00211583"/>
    <w:rsid w:val="00211E0B"/>
    <w:rsid w:val="002142FC"/>
    <w:rsid w:val="0021486C"/>
    <w:rsid w:val="002202D3"/>
    <w:rsid w:val="0022055C"/>
    <w:rsid w:val="00220FB8"/>
    <w:rsid w:val="00221698"/>
    <w:rsid w:val="00221B06"/>
    <w:rsid w:val="00221ED8"/>
    <w:rsid w:val="00223C06"/>
    <w:rsid w:val="00224417"/>
    <w:rsid w:val="00224E62"/>
    <w:rsid w:val="0022512B"/>
    <w:rsid w:val="002256BA"/>
    <w:rsid w:val="00225B92"/>
    <w:rsid w:val="00227273"/>
    <w:rsid w:val="002272FC"/>
    <w:rsid w:val="00227A36"/>
    <w:rsid w:val="00230275"/>
    <w:rsid w:val="00230568"/>
    <w:rsid w:val="00231A23"/>
    <w:rsid w:val="00231E37"/>
    <w:rsid w:val="002322A0"/>
    <w:rsid w:val="002322B2"/>
    <w:rsid w:val="00232AA0"/>
    <w:rsid w:val="00233035"/>
    <w:rsid w:val="00233606"/>
    <w:rsid w:val="00234522"/>
    <w:rsid w:val="0023597E"/>
    <w:rsid w:val="00236288"/>
    <w:rsid w:val="00236760"/>
    <w:rsid w:val="00237D37"/>
    <w:rsid w:val="00243445"/>
    <w:rsid w:val="00243561"/>
    <w:rsid w:val="00243613"/>
    <w:rsid w:val="00243906"/>
    <w:rsid w:val="00243D16"/>
    <w:rsid w:val="00245288"/>
    <w:rsid w:val="00247441"/>
    <w:rsid w:val="0025109E"/>
    <w:rsid w:val="0025166D"/>
    <w:rsid w:val="00252999"/>
    <w:rsid w:val="00252CA2"/>
    <w:rsid w:val="00256429"/>
    <w:rsid w:val="00256992"/>
    <w:rsid w:val="00260714"/>
    <w:rsid w:val="00261A10"/>
    <w:rsid w:val="00261E6F"/>
    <w:rsid w:val="00261EB6"/>
    <w:rsid w:val="002624F9"/>
    <w:rsid w:val="00263E20"/>
    <w:rsid w:val="002640B7"/>
    <w:rsid w:val="00264B64"/>
    <w:rsid w:val="002653B6"/>
    <w:rsid w:val="002668D3"/>
    <w:rsid w:val="00267A31"/>
    <w:rsid w:val="0027012B"/>
    <w:rsid w:val="00270555"/>
    <w:rsid w:val="002705EA"/>
    <w:rsid w:val="002706A7"/>
    <w:rsid w:val="00270CEC"/>
    <w:rsid w:val="00271621"/>
    <w:rsid w:val="00273C0E"/>
    <w:rsid w:val="00276D86"/>
    <w:rsid w:val="00276FF1"/>
    <w:rsid w:val="0028022D"/>
    <w:rsid w:val="002806CD"/>
    <w:rsid w:val="00280CE6"/>
    <w:rsid w:val="0028239D"/>
    <w:rsid w:val="00282745"/>
    <w:rsid w:val="00282CC9"/>
    <w:rsid w:val="0028444B"/>
    <w:rsid w:val="0028508F"/>
    <w:rsid w:val="002856DF"/>
    <w:rsid w:val="00285731"/>
    <w:rsid w:val="00286962"/>
    <w:rsid w:val="00286992"/>
    <w:rsid w:val="00286A25"/>
    <w:rsid w:val="00287073"/>
    <w:rsid w:val="00287651"/>
    <w:rsid w:val="002902F1"/>
    <w:rsid w:val="002904B5"/>
    <w:rsid w:val="00290CBF"/>
    <w:rsid w:val="00291417"/>
    <w:rsid w:val="00292355"/>
    <w:rsid w:val="0029287A"/>
    <w:rsid w:val="002940F9"/>
    <w:rsid w:val="00295B5D"/>
    <w:rsid w:val="0029650F"/>
    <w:rsid w:val="00297278"/>
    <w:rsid w:val="00297D3D"/>
    <w:rsid w:val="002A0082"/>
    <w:rsid w:val="002A0552"/>
    <w:rsid w:val="002A2279"/>
    <w:rsid w:val="002A2937"/>
    <w:rsid w:val="002A3700"/>
    <w:rsid w:val="002A3A62"/>
    <w:rsid w:val="002A4667"/>
    <w:rsid w:val="002A4B22"/>
    <w:rsid w:val="002A4CFB"/>
    <w:rsid w:val="002A5276"/>
    <w:rsid w:val="002A6451"/>
    <w:rsid w:val="002B1289"/>
    <w:rsid w:val="002B25DC"/>
    <w:rsid w:val="002B2905"/>
    <w:rsid w:val="002B2D52"/>
    <w:rsid w:val="002B3144"/>
    <w:rsid w:val="002B33D1"/>
    <w:rsid w:val="002B48A1"/>
    <w:rsid w:val="002B4BE1"/>
    <w:rsid w:val="002B4FE0"/>
    <w:rsid w:val="002B5103"/>
    <w:rsid w:val="002B520E"/>
    <w:rsid w:val="002B593E"/>
    <w:rsid w:val="002B5BE9"/>
    <w:rsid w:val="002B738A"/>
    <w:rsid w:val="002B7874"/>
    <w:rsid w:val="002B7978"/>
    <w:rsid w:val="002B7E11"/>
    <w:rsid w:val="002C1255"/>
    <w:rsid w:val="002C1566"/>
    <w:rsid w:val="002C1F2D"/>
    <w:rsid w:val="002C1FF8"/>
    <w:rsid w:val="002C4512"/>
    <w:rsid w:val="002C45B7"/>
    <w:rsid w:val="002C610A"/>
    <w:rsid w:val="002C616D"/>
    <w:rsid w:val="002C6339"/>
    <w:rsid w:val="002C66A8"/>
    <w:rsid w:val="002C6A7C"/>
    <w:rsid w:val="002C7334"/>
    <w:rsid w:val="002C7399"/>
    <w:rsid w:val="002D0B15"/>
    <w:rsid w:val="002D2A4C"/>
    <w:rsid w:val="002D30C7"/>
    <w:rsid w:val="002D42BE"/>
    <w:rsid w:val="002D454E"/>
    <w:rsid w:val="002D5086"/>
    <w:rsid w:val="002D512A"/>
    <w:rsid w:val="002E0057"/>
    <w:rsid w:val="002E0E60"/>
    <w:rsid w:val="002E10E7"/>
    <w:rsid w:val="002E16B9"/>
    <w:rsid w:val="002E1B90"/>
    <w:rsid w:val="002E1DEA"/>
    <w:rsid w:val="002E1E39"/>
    <w:rsid w:val="002E291B"/>
    <w:rsid w:val="002E2B4E"/>
    <w:rsid w:val="002E46CB"/>
    <w:rsid w:val="002E4D79"/>
    <w:rsid w:val="002E5E13"/>
    <w:rsid w:val="002E74EE"/>
    <w:rsid w:val="002E7E66"/>
    <w:rsid w:val="002F05A9"/>
    <w:rsid w:val="002F13D4"/>
    <w:rsid w:val="002F196C"/>
    <w:rsid w:val="002F660E"/>
    <w:rsid w:val="002F7BB7"/>
    <w:rsid w:val="00301691"/>
    <w:rsid w:val="00303714"/>
    <w:rsid w:val="00303DFA"/>
    <w:rsid w:val="00304A16"/>
    <w:rsid w:val="003065EB"/>
    <w:rsid w:val="00306A28"/>
    <w:rsid w:val="00306CED"/>
    <w:rsid w:val="00307089"/>
    <w:rsid w:val="00310273"/>
    <w:rsid w:val="003120C9"/>
    <w:rsid w:val="00312B2F"/>
    <w:rsid w:val="0031446D"/>
    <w:rsid w:val="00315579"/>
    <w:rsid w:val="00317AB2"/>
    <w:rsid w:val="00317CD3"/>
    <w:rsid w:val="00321595"/>
    <w:rsid w:val="00323475"/>
    <w:rsid w:val="00323ED7"/>
    <w:rsid w:val="00325610"/>
    <w:rsid w:val="00326274"/>
    <w:rsid w:val="003275F1"/>
    <w:rsid w:val="00330263"/>
    <w:rsid w:val="003319DD"/>
    <w:rsid w:val="00333E78"/>
    <w:rsid w:val="00334192"/>
    <w:rsid w:val="0033466E"/>
    <w:rsid w:val="00334C15"/>
    <w:rsid w:val="00335A64"/>
    <w:rsid w:val="00336C97"/>
    <w:rsid w:val="00336FC6"/>
    <w:rsid w:val="00336FCE"/>
    <w:rsid w:val="00337885"/>
    <w:rsid w:val="00337CCB"/>
    <w:rsid w:val="003411FB"/>
    <w:rsid w:val="0034133D"/>
    <w:rsid w:val="00341F93"/>
    <w:rsid w:val="003422CC"/>
    <w:rsid w:val="003426E4"/>
    <w:rsid w:val="0034402E"/>
    <w:rsid w:val="0034549B"/>
    <w:rsid w:val="00346ADF"/>
    <w:rsid w:val="00346E29"/>
    <w:rsid w:val="00350CE5"/>
    <w:rsid w:val="00352670"/>
    <w:rsid w:val="00354510"/>
    <w:rsid w:val="0035533B"/>
    <w:rsid w:val="00356B7D"/>
    <w:rsid w:val="00357F64"/>
    <w:rsid w:val="0036088C"/>
    <w:rsid w:val="00360D8E"/>
    <w:rsid w:val="00361537"/>
    <w:rsid w:val="00361C7A"/>
    <w:rsid w:val="00362548"/>
    <w:rsid w:val="003634E8"/>
    <w:rsid w:val="003637BB"/>
    <w:rsid w:val="003640D1"/>
    <w:rsid w:val="003652CE"/>
    <w:rsid w:val="0036604E"/>
    <w:rsid w:val="00367CD1"/>
    <w:rsid w:val="00367E2A"/>
    <w:rsid w:val="00370004"/>
    <w:rsid w:val="00371092"/>
    <w:rsid w:val="003715A0"/>
    <w:rsid w:val="00371D47"/>
    <w:rsid w:val="00373044"/>
    <w:rsid w:val="00373721"/>
    <w:rsid w:val="003738A8"/>
    <w:rsid w:val="003765AC"/>
    <w:rsid w:val="00376FAE"/>
    <w:rsid w:val="0037709C"/>
    <w:rsid w:val="0037750C"/>
    <w:rsid w:val="00380502"/>
    <w:rsid w:val="0038058B"/>
    <w:rsid w:val="003808DA"/>
    <w:rsid w:val="0038145B"/>
    <w:rsid w:val="00382509"/>
    <w:rsid w:val="00382976"/>
    <w:rsid w:val="00382BBC"/>
    <w:rsid w:val="00382FBD"/>
    <w:rsid w:val="0038314C"/>
    <w:rsid w:val="0038395C"/>
    <w:rsid w:val="00383F1A"/>
    <w:rsid w:val="0038445D"/>
    <w:rsid w:val="003861AF"/>
    <w:rsid w:val="003862F0"/>
    <w:rsid w:val="00387118"/>
    <w:rsid w:val="00387654"/>
    <w:rsid w:val="003879E9"/>
    <w:rsid w:val="00387D65"/>
    <w:rsid w:val="003909E2"/>
    <w:rsid w:val="00391B34"/>
    <w:rsid w:val="00392434"/>
    <w:rsid w:val="00393398"/>
    <w:rsid w:val="00395544"/>
    <w:rsid w:val="003957E2"/>
    <w:rsid w:val="00396237"/>
    <w:rsid w:val="00396408"/>
    <w:rsid w:val="003964D2"/>
    <w:rsid w:val="00396770"/>
    <w:rsid w:val="00397AD4"/>
    <w:rsid w:val="003A04B9"/>
    <w:rsid w:val="003A0501"/>
    <w:rsid w:val="003A1441"/>
    <w:rsid w:val="003A1E97"/>
    <w:rsid w:val="003A21C5"/>
    <w:rsid w:val="003A3629"/>
    <w:rsid w:val="003A4602"/>
    <w:rsid w:val="003A4B77"/>
    <w:rsid w:val="003A5F72"/>
    <w:rsid w:val="003A6213"/>
    <w:rsid w:val="003A6939"/>
    <w:rsid w:val="003A6E50"/>
    <w:rsid w:val="003B09A2"/>
    <w:rsid w:val="003B1447"/>
    <w:rsid w:val="003B19D2"/>
    <w:rsid w:val="003B21F7"/>
    <w:rsid w:val="003B3C57"/>
    <w:rsid w:val="003B4E0F"/>
    <w:rsid w:val="003B5B51"/>
    <w:rsid w:val="003B685A"/>
    <w:rsid w:val="003C1E0F"/>
    <w:rsid w:val="003C1FEE"/>
    <w:rsid w:val="003C21D3"/>
    <w:rsid w:val="003C3550"/>
    <w:rsid w:val="003C6B59"/>
    <w:rsid w:val="003C6E4B"/>
    <w:rsid w:val="003D0A7A"/>
    <w:rsid w:val="003D167A"/>
    <w:rsid w:val="003D2549"/>
    <w:rsid w:val="003D2874"/>
    <w:rsid w:val="003D2AEE"/>
    <w:rsid w:val="003D2C17"/>
    <w:rsid w:val="003D3350"/>
    <w:rsid w:val="003D3386"/>
    <w:rsid w:val="003D43EB"/>
    <w:rsid w:val="003D4CF9"/>
    <w:rsid w:val="003D5D9E"/>
    <w:rsid w:val="003D632E"/>
    <w:rsid w:val="003D7B26"/>
    <w:rsid w:val="003E177A"/>
    <w:rsid w:val="003E298D"/>
    <w:rsid w:val="003E466F"/>
    <w:rsid w:val="003E4AEB"/>
    <w:rsid w:val="003E6655"/>
    <w:rsid w:val="003E7636"/>
    <w:rsid w:val="003F0379"/>
    <w:rsid w:val="003F0EB8"/>
    <w:rsid w:val="003F1D52"/>
    <w:rsid w:val="003F31C8"/>
    <w:rsid w:val="003F41AC"/>
    <w:rsid w:val="003F4E76"/>
    <w:rsid w:val="003F4F72"/>
    <w:rsid w:val="003F6D54"/>
    <w:rsid w:val="00401CFF"/>
    <w:rsid w:val="00401DFC"/>
    <w:rsid w:val="00402643"/>
    <w:rsid w:val="00402B73"/>
    <w:rsid w:val="00402F5B"/>
    <w:rsid w:val="00402FC1"/>
    <w:rsid w:val="00403262"/>
    <w:rsid w:val="00403FB0"/>
    <w:rsid w:val="00404F7D"/>
    <w:rsid w:val="00405668"/>
    <w:rsid w:val="00405F08"/>
    <w:rsid w:val="00406FE3"/>
    <w:rsid w:val="00410963"/>
    <w:rsid w:val="00411630"/>
    <w:rsid w:val="004117CE"/>
    <w:rsid w:val="004123A2"/>
    <w:rsid w:val="004139C8"/>
    <w:rsid w:val="00413A26"/>
    <w:rsid w:val="004145B5"/>
    <w:rsid w:val="00414922"/>
    <w:rsid w:val="00415F77"/>
    <w:rsid w:val="00416341"/>
    <w:rsid w:val="00416B49"/>
    <w:rsid w:val="00417569"/>
    <w:rsid w:val="00417F82"/>
    <w:rsid w:val="00420B57"/>
    <w:rsid w:val="00420E03"/>
    <w:rsid w:val="004218DF"/>
    <w:rsid w:val="0042198F"/>
    <w:rsid w:val="00421C51"/>
    <w:rsid w:val="00422CFF"/>
    <w:rsid w:val="0042309E"/>
    <w:rsid w:val="004232AD"/>
    <w:rsid w:val="00423451"/>
    <w:rsid w:val="004240B5"/>
    <w:rsid w:val="004249DB"/>
    <w:rsid w:val="00424DE4"/>
    <w:rsid w:val="0042576A"/>
    <w:rsid w:val="0042614B"/>
    <w:rsid w:val="004261D7"/>
    <w:rsid w:val="00426C29"/>
    <w:rsid w:val="00426C9B"/>
    <w:rsid w:val="004270B8"/>
    <w:rsid w:val="00427182"/>
    <w:rsid w:val="0043045F"/>
    <w:rsid w:val="00430D48"/>
    <w:rsid w:val="0043145D"/>
    <w:rsid w:val="0043187C"/>
    <w:rsid w:val="00432127"/>
    <w:rsid w:val="0043303A"/>
    <w:rsid w:val="00433FFC"/>
    <w:rsid w:val="004340F7"/>
    <w:rsid w:val="004360FE"/>
    <w:rsid w:val="00436FAE"/>
    <w:rsid w:val="004378C7"/>
    <w:rsid w:val="00437C41"/>
    <w:rsid w:val="004409DB"/>
    <w:rsid w:val="004412F2"/>
    <w:rsid w:val="00441323"/>
    <w:rsid w:val="0044274D"/>
    <w:rsid w:val="00445147"/>
    <w:rsid w:val="00445900"/>
    <w:rsid w:val="00445E50"/>
    <w:rsid w:val="00446B25"/>
    <w:rsid w:val="00446B75"/>
    <w:rsid w:val="00447180"/>
    <w:rsid w:val="0044736D"/>
    <w:rsid w:val="00447728"/>
    <w:rsid w:val="00450781"/>
    <w:rsid w:val="004508AB"/>
    <w:rsid w:val="0045119C"/>
    <w:rsid w:val="004512E1"/>
    <w:rsid w:val="00452ACB"/>
    <w:rsid w:val="00452CBF"/>
    <w:rsid w:val="00453B6A"/>
    <w:rsid w:val="00454A54"/>
    <w:rsid w:val="00454FA2"/>
    <w:rsid w:val="004550FC"/>
    <w:rsid w:val="0045581D"/>
    <w:rsid w:val="0045596F"/>
    <w:rsid w:val="00456329"/>
    <w:rsid w:val="004566B8"/>
    <w:rsid w:val="00456AEA"/>
    <w:rsid w:val="00457435"/>
    <w:rsid w:val="00457829"/>
    <w:rsid w:val="00457B47"/>
    <w:rsid w:val="0046051F"/>
    <w:rsid w:val="0046154A"/>
    <w:rsid w:val="00462094"/>
    <w:rsid w:val="00462E1E"/>
    <w:rsid w:val="00463EB3"/>
    <w:rsid w:val="004641C2"/>
    <w:rsid w:val="00464329"/>
    <w:rsid w:val="004649BF"/>
    <w:rsid w:val="00465B7F"/>
    <w:rsid w:val="00465DAF"/>
    <w:rsid w:val="00467C0B"/>
    <w:rsid w:val="0047093D"/>
    <w:rsid w:val="00471A12"/>
    <w:rsid w:val="00474B60"/>
    <w:rsid w:val="004751E9"/>
    <w:rsid w:val="00476545"/>
    <w:rsid w:val="0047696E"/>
    <w:rsid w:val="00477F42"/>
    <w:rsid w:val="00480446"/>
    <w:rsid w:val="00480BF6"/>
    <w:rsid w:val="0048142A"/>
    <w:rsid w:val="004816F1"/>
    <w:rsid w:val="00481CF7"/>
    <w:rsid w:val="004830A7"/>
    <w:rsid w:val="00483E90"/>
    <w:rsid w:val="00483F2C"/>
    <w:rsid w:val="00484687"/>
    <w:rsid w:val="00485FED"/>
    <w:rsid w:val="0048643B"/>
    <w:rsid w:val="004907BB"/>
    <w:rsid w:val="004907D9"/>
    <w:rsid w:val="004908D8"/>
    <w:rsid w:val="00491140"/>
    <w:rsid w:val="00493351"/>
    <w:rsid w:val="00493895"/>
    <w:rsid w:val="00493A7D"/>
    <w:rsid w:val="00493FDA"/>
    <w:rsid w:val="00494B0F"/>
    <w:rsid w:val="00494D7D"/>
    <w:rsid w:val="00495715"/>
    <w:rsid w:val="004957E9"/>
    <w:rsid w:val="00495AA8"/>
    <w:rsid w:val="00495EFD"/>
    <w:rsid w:val="004963CD"/>
    <w:rsid w:val="00497DD3"/>
    <w:rsid w:val="004A017B"/>
    <w:rsid w:val="004A0ADF"/>
    <w:rsid w:val="004A1717"/>
    <w:rsid w:val="004A2E8F"/>
    <w:rsid w:val="004A43A8"/>
    <w:rsid w:val="004A482D"/>
    <w:rsid w:val="004A4AEB"/>
    <w:rsid w:val="004A4FC0"/>
    <w:rsid w:val="004A5A3E"/>
    <w:rsid w:val="004A64D5"/>
    <w:rsid w:val="004A6ED0"/>
    <w:rsid w:val="004A71F1"/>
    <w:rsid w:val="004A7344"/>
    <w:rsid w:val="004B022C"/>
    <w:rsid w:val="004B04D2"/>
    <w:rsid w:val="004B16DD"/>
    <w:rsid w:val="004B1DC2"/>
    <w:rsid w:val="004B2913"/>
    <w:rsid w:val="004B45EC"/>
    <w:rsid w:val="004B522A"/>
    <w:rsid w:val="004B7860"/>
    <w:rsid w:val="004C08AB"/>
    <w:rsid w:val="004C15A4"/>
    <w:rsid w:val="004C1B38"/>
    <w:rsid w:val="004C1CFE"/>
    <w:rsid w:val="004C1EC8"/>
    <w:rsid w:val="004C2048"/>
    <w:rsid w:val="004C287D"/>
    <w:rsid w:val="004C33C8"/>
    <w:rsid w:val="004C3BD3"/>
    <w:rsid w:val="004C5793"/>
    <w:rsid w:val="004C6E57"/>
    <w:rsid w:val="004C73BA"/>
    <w:rsid w:val="004C759B"/>
    <w:rsid w:val="004C76A5"/>
    <w:rsid w:val="004D05B3"/>
    <w:rsid w:val="004D1174"/>
    <w:rsid w:val="004D1438"/>
    <w:rsid w:val="004D1C8E"/>
    <w:rsid w:val="004D3BC8"/>
    <w:rsid w:val="004D4B30"/>
    <w:rsid w:val="004D4CE9"/>
    <w:rsid w:val="004D5986"/>
    <w:rsid w:val="004D5B8A"/>
    <w:rsid w:val="004D5EA9"/>
    <w:rsid w:val="004D6020"/>
    <w:rsid w:val="004D6D6E"/>
    <w:rsid w:val="004E0283"/>
    <w:rsid w:val="004E0354"/>
    <w:rsid w:val="004E1DEA"/>
    <w:rsid w:val="004E2DFE"/>
    <w:rsid w:val="004E3929"/>
    <w:rsid w:val="004E442B"/>
    <w:rsid w:val="004E51D8"/>
    <w:rsid w:val="004E5CB5"/>
    <w:rsid w:val="004E5F90"/>
    <w:rsid w:val="004E62D1"/>
    <w:rsid w:val="004E681A"/>
    <w:rsid w:val="004E6877"/>
    <w:rsid w:val="004E6DB5"/>
    <w:rsid w:val="004F17CC"/>
    <w:rsid w:val="004F2707"/>
    <w:rsid w:val="004F3336"/>
    <w:rsid w:val="004F6213"/>
    <w:rsid w:val="004F6901"/>
    <w:rsid w:val="004F7A10"/>
    <w:rsid w:val="0050080C"/>
    <w:rsid w:val="00500A39"/>
    <w:rsid w:val="00501308"/>
    <w:rsid w:val="0050225B"/>
    <w:rsid w:val="005022D7"/>
    <w:rsid w:val="00503EC8"/>
    <w:rsid w:val="0050580E"/>
    <w:rsid w:val="00505E75"/>
    <w:rsid w:val="00510195"/>
    <w:rsid w:val="00511295"/>
    <w:rsid w:val="0051220C"/>
    <w:rsid w:val="0051353E"/>
    <w:rsid w:val="005138A0"/>
    <w:rsid w:val="00513FEF"/>
    <w:rsid w:val="0051411A"/>
    <w:rsid w:val="00514AB2"/>
    <w:rsid w:val="00515564"/>
    <w:rsid w:val="005161AE"/>
    <w:rsid w:val="005167CF"/>
    <w:rsid w:val="0052081B"/>
    <w:rsid w:val="005214AB"/>
    <w:rsid w:val="00521611"/>
    <w:rsid w:val="00522052"/>
    <w:rsid w:val="005226B4"/>
    <w:rsid w:val="005229EA"/>
    <w:rsid w:val="00523A77"/>
    <w:rsid w:val="00524918"/>
    <w:rsid w:val="0052587D"/>
    <w:rsid w:val="00525D4F"/>
    <w:rsid w:val="00525FE4"/>
    <w:rsid w:val="0052634B"/>
    <w:rsid w:val="00526ED1"/>
    <w:rsid w:val="005279FB"/>
    <w:rsid w:val="00531553"/>
    <w:rsid w:val="005321FE"/>
    <w:rsid w:val="0053282F"/>
    <w:rsid w:val="0053413D"/>
    <w:rsid w:val="00535BBA"/>
    <w:rsid w:val="00535FCD"/>
    <w:rsid w:val="005377D4"/>
    <w:rsid w:val="0054059A"/>
    <w:rsid w:val="00541078"/>
    <w:rsid w:val="00541808"/>
    <w:rsid w:val="005422BD"/>
    <w:rsid w:val="005449FF"/>
    <w:rsid w:val="005453FA"/>
    <w:rsid w:val="0054571C"/>
    <w:rsid w:val="00545A24"/>
    <w:rsid w:val="00546DCA"/>
    <w:rsid w:val="00547CC6"/>
    <w:rsid w:val="00547D0C"/>
    <w:rsid w:val="00550879"/>
    <w:rsid w:val="00550F2D"/>
    <w:rsid w:val="005512FE"/>
    <w:rsid w:val="0055177B"/>
    <w:rsid w:val="005517FD"/>
    <w:rsid w:val="00551FB7"/>
    <w:rsid w:val="005529DF"/>
    <w:rsid w:val="00553060"/>
    <w:rsid w:val="00553238"/>
    <w:rsid w:val="00554E3B"/>
    <w:rsid w:val="0055653C"/>
    <w:rsid w:val="00556A45"/>
    <w:rsid w:val="00556BF1"/>
    <w:rsid w:val="00556D1E"/>
    <w:rsid w:val="00557379"/>
    <w:rsid w:val="00557716"/>
    <w:rsid w:val="0056112E"/>
    <w:rsid w:val="00561D7A"/>
    <w:rsid w:val="00562520"/>
    <w:rsid w:val="00562690"/>
    <w:rsid w:val="00563BD7"/>
    <w:rsid w:val="00563E22"/>
    <w:rsid w:val="005645B6"/>
    <w:rsid w:val="0056529B"/>
    <w:rsid w:val="00565349"/>
    <w:rsid w:val="00565512"/>
    <w:rsid w:val="005655FB"/>
    <w:rsid w:val="00570B41"/>
    <w:rsid w:val="0057162B"/>
    <w:rsid w:val="00571FCC"/>
    <w:rsid w:val="005721CF"/>
    <w:rsid w:val="0057256E"/>
    <w:rsid w:val="00573587"/>
    <w:rsid w:val="005759AF"/>
    <w:rsid w:val="00575BE8"/>
    <w:rsid w:val="005773AE"/>
    <w:rsid w:val="0058089B"/>
    <w:rsid w:val="00580947"/>
    <w:rsid w:val="00581B21"/>
    <w:rsid w:val="00581CE8"/>
    <w:rsid w:val="00581D6B"/>
    <w:rsid w:val="00581F8E"/>
    <w:rsid w:val="00582484"/>
    <w:rsid w:val="005825EF"/>
    <w:rsid w:val="00584A5B"/>
    <w:rsid w:val="00585F30"/>
    <w:rsid w:val="0058677F"/>
    <w:rsid w:val="00586C12"/>
    <w:rsid w:val="005874C0"/>
    <w:rsid w:val="00590193"/>
    <w:rsid w:val="0059028E"/>
    <w:rsid w:val="005903C0"/>
    <w:rsid w:val="00591832"/>
    <w:rsid w:val="00593273"/>
    <w:rsid w:val="00596B90"/>
    <w:rsid w:val="00596BDB"/>
    <w:rsid w:val="0059781D"/>
    <w:rsid w:val="005A0558"/>
    <w:rsid w:val="005A07A0"/>
    <w:rsid w:val="005A0F92"/>
    <w:rsid w:val="005A1156"/>
    <w:rsid w:val="005A194D"/>
    <w:rsid w:val="005A260B"/>
    <w:rsid w:val="005A3F1A"/>
    <w:rsid w:val="005A4611"/>
    <w:rsid w:val="005A4DBA"/>
    <w:rsid w:val="005A50CA"/>
    <w:rsid w:val="005A689C"/>
    <w:rsid w:val="005A7618"/>
    <w:rsid w:val="005A793B"/>
    <w:rsid w:val="005B0805"/>
    <w:rsid w:val="005B2A02"/>
    <w:rsid w:val="005B3644"/>
    <w:rsid w:val="005B379B"/>
    <w:rsid w:val="005B385D"/>
    <w:rsid w:val="005B41D9"/>
    <w:rsid w:val="005B4815"/>
    <w:rsid w:val="005B4C77"/>
    <w:rsid w:val="005B73E0"/>
    <w:rsid w:val="005B7807"/>
    <w:rsid w:val="005C15FF"/>
    <w:rsid w:val="005C25B2"/>
    <w:rsid w:val="005C304C"/>
    <w:rsid w:val="005C3250"/>
    <w:rsid w:val="005C3755"/>
    <w:rsid w:val="005C3BF4"/>
    <w:rsid w:val="005C3C2B"/>
    <w:rsid w:val="005C411C"/>
    <w:rsid w:val="005C4475"/>
    <w:rsid w:val="005C4963"/>
    <w:rsid w:val="005C4D1F"/>
    <w:rsid w:val="005C519D"/>
    <w:rsid w:val="005C5B58"/>
    <w:rsid w:val="005C6382"/>
    <w:rsid w:val="005C66C2"/>
    <w:rsid w:val="005C70C8"/>
    <w:rsid w:val="005D031D"/>
    <w:rsid w:val="005D0F32"/>
    <w:rsid w:val="005D1545"/>
    <w:rsid w:val="005D3033"/>
    <w:rsid w:val="005D6067"/>
    <w:rsid w:val="005D723B"/>
    <w:rsid w:val="005D736A"/>
    <w:rsid w:val="005D79F3"/>
    <w:rsid w:val="005D7D07"/>
    <w:rsid w:val="005E02E3"/>
    <w:rsid w:val="005E09BA"/>
    <w:rsid w:val="005E1998"/>
    <w:rsid w:val="005E231D"/>
    <w:rsid w:val="005E23AC"/>
    <w:rsid w:val="005E2524"/>
    <w:rsid w:val="005E273E"/>
    <w:rsid w:val="005E41D6"/>
    <w:rsid w:val="005E5E30"/>
    <w:rsid w:val="005E6054"/>
    <w:rsid w:val="005F0312"/>
    <w:rsid w:val="005F0A0B"/>
    <w:rsid w:val="005F237A"/>
    <w:rsid w:val="005F2754"/>
    <w:rsid w:val="005F2FBC"/>
    <w:rsid w:val="005F3BC0"/>
    <w:rsid w:val="005F3DD6"/>
    <w:rsid w:val="005F51F6"/>
    <w:rsid w:val="005F59BC"/>
    <w:rsid w:val="005F5A30"/>
    <w:rsid w:val="005F6102"/>
    <w:rsid w:val="005F688C"/>
    <w:rsid w:val="005F6DA2"/>
    <w:rsid w:val="005F701B"/>
    <w:rsid w:val="005F7187"/>
    <w:rsid w:val="005F7727"/>
    <w:rsid w:val="005F7AE1"/>
    <w:rsid w:val="006005A6"/>
    <w:rsid w:val="006016CF"/>
    <w:rsid w:val="006027A3"/>
    <w:rsid w:val="006043BA"/>
    <w:rsid w:val="00605746"/>
    <w:rsid w:val="00606269"/>
    <w:rsid w:val="0060687A"/>
    <w:rsid w:val="00606AFB"/>
    <w:rsid w:val="006070FB"/>
    <w:rsid w:val="00607932"/>
    <w:rsid w:val="006102DE"/>
    <w:rsid w:val="00612A11"/>
    <w:rsid w:val="006138B8"/>
    <w:rsid w:val="00615E4C"/>
    <w:rsid w:val="00615F42"/>
    <w:rsid w:val="00616144"/>
    <w:rsid w:val="0061633E"/>
    <w:rsid w:val="00616573"/>
    <w:rsid w:val="00616A11"/>
    <w:rsid w:val="00617271"/>
    <w:rsid w:val="0061735F"/>
    <w:rsid w:val="00617556"/>
    <w:rsid w:val="00617E2D"/>
    <w:rsid w:val="006202A7"/>
    <w:rsid w:val="00621AB8"/>
    <w:rsid w:val="00621E7C"/>
    <w:rsid w:val="00622AA1"/>
    <w:rsid w:val="00622DEC"/>
    <w:rsid w:val="0062404B"/>
    <w:rsid w:val="00624A66"/>
    <w:rsid w:val="00624A7F"/>
    <w:rsid w:val="00625899"/>
    <w:rsid w:val="006259C2"/>
    <w:rsid w:val="0062642D"/>
    <w:rsid w:val="0062674F"/>
    <w:rsid w:val="006268C3"/>
    <w:rsid w:val="00627021"/>
    <w:rsid w:val="0063180E"/>
    <w:rsid w:val="006325DF"/>
    <w:rsid w:val="00632EB8"/>
    <w:rsid w:val="006335D5"/>
    <w:rsid w:val="00633830"/>
    <w:rsid w:val="00635CD5"/>
    <w:rsid w:val="00635D62"/>
    <w:rsid w:val="0063621B"/>
    <w:rsid w:val="006366D4"/>
    <w:rsid w:val="00636781"/>
    <w:rsid w:val="00637D90"/>
    <w:rsid w:val="0064287A"/>
    <w:rsid w:val="0064527C"/>
    <w:rsid w:val="006455AD"/>
    <w:rsid w:val="00646D22"/>
    <w:rsid w:val="00646E23"/>
    <w:rsid w:val="00647539"/>
    <w:rsid w:val="0065031F"/>
    <w:rsid w:val="00650738"/>
    <w:rsid w:val="00652E21"/>
    <w:rsid w:val="00655F71"/>
    <w:rsid w:val="00656961"/>
    <w:rsid w:val="00656B7E"/>
    <w:rsid w:val="006617DD"/>
    <w:rsid w:val="006621E5"/>
    <w:rsid w:val="00663442"/>
    <w:rsid w:val="00663657"/>
    <w:rsid w:val="00664567"/>
    <w:rsid w:val="00664A0E"/>
    <w:rsid w:val="00664D24"/>
    <w:rsid w:val="00664DC0"/>
    <w:rsid w:val="00666DCA"/>
    <w:rsid w:val="00666FB3"/>
    <w:rsid w:val="006700B2"/>
    <w:rsid w:val="006719B8"/>
    <w:rsid w:val="00672459"/>
    <w:rsid w:val="00672F76"/>
    <w:rsid w:val="006732DB"/>
    <w:rsid w:val="00673511"/>
    <w:rsid w:val="00673642"/>
    <w:rsid w:val="00673AEF"/>
    <w:rsid w:val="00673EB8"/>
    <w:rsid w:val="006744B0"/>
    <w:rsid w:val="00674FF2"/>
    <w:rsid w:val="00676B98"/>
    <w:rsid w:val="00680D51"/>
    <w:rsid w:val="00680DCF"/>
    <w:rsid w:val="00680F28"/>
    <w:rsid w:val="0068144D"/>
    <w:rsid w:val="00681B87"/>
    <w:rsid w:val="00681C83"/>
    <w:rsid w:val="00681D82"/>
    <w:rsid w:val="00681E50"/>
    <w:rsid w:val="0068404C"/>
    <w:rsid w:val="006840FC"/>
    <w:rsid w:val="006847C5"/>
    <w:rsid w:val="00684871"/>
    <w:rsid w:val="00684FE1"/>
    <w:rsid w:val="006855EE"/>
    <w:rsid w:val="00686898"/>
    <w:rsid w:val="00686A98"/>
    <w:rsid w:val="00687A4F"/>
    <w:rsid w:val="00687D48"/>
    <w:rsid w:val="00690CC4"/>
    <w:rsid w:val="0069206B"/>
    <w:rsid w:val="00692D27"/>
    <w:rsid w:val="006934D4"/>
    <w:rsid w:val="00694594"/>
    <w:rsid w:val="006957FD"/>
    <w:rsid w:val="00695A31"/>
    <w:rsid w:val="006960EB"/>
    <w:rsid w:val="0069760A"/>
    <w:rsid w:val="006976BB"/>
    <w:rsid w:val="006A0DE4"/>
    <w:rsid w:val="006A2419"/>
    <w:rsid w:val="006A2890"/>
    <w:rsid w:val="006A4E4E"/>
    <w:rsid w:val="006A5F7C"/>
    <w:rsid w:val="006A7E85"/>
    <w:rsid w:val="006B05F9"/>
    <w:rsid w:val="006B1BCA"/>
    <w:rsid w:val="006B22D3"/>
    <w:rsid w:val="006B25A0"/>
    <w:rsid w:val="006B2761"/>
    <w:rsid w:val="006B30AD"/>
    <w:rsid w:val="006B4171"/>
    <w:rsid w:val="006B4BDE"/>
    <w:rsid w:val="006B4DEB"/>
    <w:rsid w:val="006B685D"/>
    <w:rsid w:val="006B6AD1"/>
    <w:rsid w:val="006B71B6"/>
    <w:rsid w:val="006C0537"/>
    <w:rsid w:val="006C0608"/>
    <w:rsid w:val="006C0725"/>
    <w:rsid w:val="006C0ADA"/>
    <w:rsid w:val="006C0E9F"/>
    <w:rsid w:val="006C2664"/>
    <w:rsid w:val="006C2990"/>
    <w:rsid w:val="006C29BB"/>
    <w:rsid w:val="006C2BF4"/>
    <w:rsid w:val="006C2F01"/>
    <w:rsid w:val="006C4114"/>
    <w:rsid w:val="006C468D"/>
    <w:rsid w:val="006C5A9E"/>
    <w:rsid w:val="006C5D57"/>
    <w:rsid w:val="006C5FF3"/>
    <w:rsid w:val="006C60CB"/>
    <w:rsid w:val="006C650B"/>
    <w:rsid w:val="006C6938"/>
    <w:rsid w:val="006C6A42"/>
    <w:rsid w:val="006C6B19"/>
    <w:rsid w:val="006C7027"/>
    <w:rsid w:val="006C73C9"/>
    <w:rsid w:val="006C7725"/>
    <w:rsid w:val="006D1134"/>
    <w:rsid w:val="006D19AE"/>
    <w:rsid w:val="006D35D1"/>
    <w:rsid w:val="006D42F4"/>
    <w:rsid w:val="006D5259"/>
    <w:rsid w:val="006D599F"/>
    <w:rsid w:val="006D5C75"/>
    <w:rsid w:val="006D6480"/>
    <w:rsid w:val="006D6B51"/>
    <w:rsid w:val="006D72D8"/>
    <w:rsid w:val="006E0BA4"/>
    <w:rsid w:val="006E0C3E"/>
    <w:rsid w:val="006E1090"/>
    <w:rsid w:val="006E214E"/>
    <w:rsid w:val="006E42AC"/>
    <w:rsid w:val="006E4F11"/>
    <w:rsid w:val="006E693A"/>
    <w:rsid w:val="006E7406"/>
    <w:rsid w:val="006F0304"/>
    <w:rsid w:val="006F0ECE"/>
    <w:rsid w:val="006F151D"/>
    <w:rsid w:val="006F22CB"/>
    <w:rsid w:val="006F2E83"/>
    <w:rsid w:val="006F3417"/>
    <w:rsid w:val="006F3F69"/>
    <w:rsid w:val="006F5B9A"/>
    <w:rsid w:val="0070021B"/>
    <w:rsid w:val="007012B8"/>
    <w:rsid w:val="00702396"/>
    <w:rsid w:val="00702D4B"/>
    <w:rsid w:val="00703420"/>
    <w:rsid w:val="00703907"/>
    <w:rsid w:val="007040AA"/>
    <w:rsid w:val="007050C7"/>
    <w:rsid w:val="0070588C"/>
    <w:rsid w:val="007058D8"/>
    <w:rsid w:val="00706A27"/>
    <w:rsid w:val="00706F07"/>
    <w:rsid w:val="00707DEA"/>
    <w:rsid w:val="00707E4A"/>
    <w:rsid w:val="007109D7"/>
    <w:rsid w:val="00710DCE"/>
    <w:rsid w:val="00711621"/>
    <w:rsid w:val="00714F53"/>
    <w:rsid w:val="00714F84"/>
    <w:rsid w:val="007150C6"/>
    <w:rsid w:val="00715166"/>
    <w:rsid w:val="00715624"/>
    <w:rsid w:val="007161EF"/>
    <w:rsid w:val="0071755D"/>
    <w:rsid w:val="00717569"/>
    <w:rsid w:val="00717B10"/>
    <w:rsid w:val="00717FC5"/>
    <w:rsid w:val="007205C4"/>
    <w:rsid w:val="00720C07"/>
    <w:rsid w:val="007215AD"/>
    <w:rsid w:val="00721B6A"/>
    <w:rsid w:val="007222F8"/>
    <w:rsid w:val="0072283D"/>
    <w:rsid w:val="00724EE1"/>
    <w:rsid w:val="007254E8"/>
    <w:rsid w:val="00725FF3"/>
    <w:rsid w:val="007266D1"/>
    <w:rsid w:val="00726EC4"/>
    <w:rsid w:val="00727173"/>
    <w:rsid w:val="00730BE0"/>
    <w:rsid w:val="00731036"/>
    <w:rsid w:val="007320C8"/>
    <w:rsid w:val="007338A1"/>
    <w:rsid w:val="007340FF"/>
    <w:rsid w:val="00736F0B"/>
    <w:rsid w:val="00736F70"/>
    <w:rsid w:val="00737849"/>
    <w:rsid w:val="00741FDF"/>
    <w:rsid w:val="0074292C"/>
    <w:rsid w:val="00742E28"/>
    <w:rsid w:val="00743B19"/>
    <w:rsid w:val="007440F8"/>
    <w:rsid w:val="00744F09"/>
    <w:rsid w:val="00745253"/>
    <w:rsid w:val="007461F4"/>
    <w:rsid w:val="00746C9B"/>
    <w:rsid w:val="00747FFC"/>
    <w:rsid w:val="00750FBA"/>
    <w:rsid w:val="00751A84"/>
    <w:rsid w:val="00752163"/>
    <w:rsid w:val="00752A7B"/>
    <w:rsid w:val="00752AD1"/>
    <w:rsid w:val="00754BDD"/>
    <w:rsid w:val="00755DD7"/>
    <w:rsid w:val="007567C6"/>
    <w:rsid w:val="00757611"/>
    <w:rsid w:val="00757862"/>
    <w:rsid w:val="0076032B"/>
    <w:rsid w:val="00760ABF"/>
    <w:rsid w:val="007626B8"/>
    <w:rsid w:val="00763197"/>
    <w:rsid w:val="007640A8"/>
    <w:rsid w:val="00764B6F"/>
    <w:rsid w:val="00765366"/>
    <w:rsid w:val="00765CB9"/>
    <w:rsid w:val="007668FB"/>
    <w:rsid w:val="00767827"/>
    <w:rsid w:val="007700A0"/>
    <w:rsid w:val="00770322"/>
    <w:rsid w:val="00772221"/>
    <w:rsid w:val="00772A28"/>
    <w:rsid w:val="00774579"/>
    <w:rsid w:val="007745F6"/>
    <w:rsid w:val="0077701F"/>
    <w:rsid w:val="0077709F"/>
    <w:rsid w:val="00777119"/>
    <w:rsid w:val="007771C2"/>
    <w:rsid w:val="007771FA"/>
    <w:rsid w:val="007777A7"/>
    <w:rsid w:val="007814C9"/>
    <w:rsid w:val="00782503"/>
    <w:rsid w:val="00782FF9"/>
    <w:rsid w:val="007833AD"/>
    <w:rsid w:val="00783492"/>
    <w:rsid w:val="0078374F"/>
    <w:rsid w:val="0078422D"/>
    <w:rsid w:val="00784650"/>
    <w:rsid w:val="00787F69"/>
    <w:rsid w:val="0079078A"/>
    <w:rsid w:val="00790ECD"/>
    <w:rsid w:val="007917EF"/>
    <w:rsid w:val="007932B5"/>
    <w:rsid w:val="00794491"/>
    <w:rsid w:val="0079712A"/>
    <w:rsid w:val="0079722E"/>
    <w:rsid w:val="007A062A"/>
    <w:rsid w:val="007A0E0E"/>
    <w:rsid w:val="007A1349"/>
    <w:rsid w:val="007A1654"/>
    <w:rsid w:val="007A2400"/>
    <w:rsid w:val="007A31B7"/>
    <w:rsid w:val="007A3C4B"/>
    <w:rsid w:val="007A59A0"/>
    <w:rsid w:val="007A5B6E"/>
    <w:rsid w:val="007A748F"/>
    <w:rsid w:val="007A7522"/>
    <w:rsid w:val="007A7591"/>
    <w:rsid w:val="007B01E8"/>
    <w:rsid w:val="007B0677"/>
    <w:rsid w:val="007B100C"/>
    <w:rsid w:val="007B1430"/>
    <w:rsid w:val="007B46B9"/>
    <w:rsid w:val="007B498C"/>
    <w:rsid w:val="007B4E02"/>
    <w:rsid w:val="007B553A"/>
    <w:rsid w:val="007B6F89"/>
    <w:rsid w:val="007C088E"/>
    <w:rsid w:val="007C1D16"/>
    <w:rsid w:val="007C2EE5"/>
    <w:rsid w:val="007C43B0"/>
    <w:rsid w:val="007C49AC"/>
    <w:rsid w:val="007C5D7D"/>
    <w:rsid w:val="007C5E0B"/>
    <w:rsid w:val="007C7C81"/>
    <w:rsid w:val="007C7EFA"/>
    <w:rsid w:val="007D0244"/>
    <w:rsid w:val="007D05BC"/>
    <w:rsid w:val="007D0987"/>
    <w:rsid w:val="007D0B38"/>
    <w:rsid w:val="007D15FE"/>
    <w:rsid w:val="007D18DF"/>
    <w:rsid w:val="007D1BDA"/>
    <w:rsid w:val="007D230A"/>
    <w:rsid w:val="007D2F7E"/>
    <w:rsid w:val="007D3126"/>
    <w:rsid w:val="007D39CE"/>
    <w:rsid w:val="007D4146"/>
    <w:rsid w:val="007D45A1"/>
    <w:rsid w:val="007E0113"/>
    <w:rsid w:val="007E146D"/>
    <w:rsid w:val="007E1CD1"/>
    <w:rsid w:val="007E22DF"/>
    <w:rsid w:val="007E3BF4"/>
    <w:rsid w:val="007E3F8F"/>
    <w:rsid w:val="007E467D"/>
    <w:rsid w:val="007E48AB"/>
    <w:rsid w:val="007E4C47"/>
    <w:rsid w:val="007E4F1C"/>
    <w:rsid w:val="007E519A"/>
    <w:rsid w:val="007E5640"/>
    <w:rsid w:val="007E5DD4"/>
    <w:rsid w:val="007E6F1A"/>
    <w:rsid w:val="007E755D"/>
    <w:rsid w:val="007E7613"/>
    <w:rsid w:val="007F120A"/>
    <w:rsid w:val="007F196A"/>
    <w:rsid w:val="007F1A05"/>
    <w:rsid w:val="007F2456"/>
    <w:rsid w:val="007F2B6B"/>
    <w:rsid w:val="007F2CFB"/>
    <w:rsid w:val="007F2E81"/>
    <w:rsid w:val="007F4B00"/>
    <w:rsid w:val="007F55F5"/>
    <w:rsid w:val="007F612A"/>
    <w:rsid w:val="007F75E3"/>
    <w:rsid w:val="00800516"/>
    <w:rsid w:val="0080259A"/>
    <w:rsid w:val="008046B3"/>
    <w:rsid w:val="0080552E"/>
    <w:rsid w:val="00805B7A"/>
    <w:rsid w:val="0080604D"/>
    <w:rsid w:val="00810E04"/>
    <w:rsid w:val="00811613"/>
    <w:rsid w:val="00811CF7"/>
    <w:rsid w:val="00812390"/>
    <w:rsid w:val="008126B8"/>
    <w:rsid w:val="00812CBE"/>
    <w:rsid w:val="00813203"/>
    <w:rsid w:val="0081324E"/>
    <w:rsid w:val="00813437"/>
    <w:rsid w:val="0081347E"/>
    <w:rsid w:val="00813BFC"/>
    <w:rsid w:val="00813EF6"/>
    <w:rsid w:val="008149BA"/>
    <w:rsid w:val="00814CF6"/>
    <w:rsid w:val="00814E79"/>
    <w:rsid w:val="00815D89"/>
    <w:rsid w:val="008203C0"/>
    <w:rsid w:val="0082046F"/>
    <w:rsid w:val="00820829"/>
    <w:rsid w:val="00820E5C"/>
    <w:rsid w:val="008222AC"/>
    <w:rsid w:val="00822471"/>
    <w:rsid w:val="00824D16"/>
    <w:rsid w:val="0082603F"/>
    <w:rsid w:val="00826AF2"/>
    <w:rsid w:val="00831872"/>
    <w:rsid w:val="00832DBA"/>
    <w:rsid w:val="0083314C"/>
    <w:rsid w:val="00833A3E"/>
    <w:rsid w:val="008341ED"/>
    <w:rsid w:val="00834976"/>
    <w:rsid w:val="008363E6"/>
    <w:rsid w:val="00836D96"/>
    <w:rsid w:val="008379F2"/>
    <w:rsid w:val="00837EDF"/>
    <w:rsid w:val="0084031C"/>
    <w:rsid w:val="0084044E"/>
    <w:rsid w:val="008416B4"/>
    <w:rsid w:val="00841975"/>
    <w:rsid w:val="00841FBE"/>
    <w:rsid w:val="0084223B"/>
    <w:rsid w:val="0084279E"/>
    <w:rsid w:val="00843DF1"/>
    <w:rsid w:val="008465AF"/>
    <w:rsid w:val="008467AB"/>
    <w:rsid w:val="00847737"/>
    <w:rsid w:val="0085093F"/>
    <w:rsid w:val="00850D25"/>
    <w:rsid w:val="00851238"/>
    <w:rsid w:val="00851DC3"/>
    <w:rsid w:val="00853140"/>
    <w:rsid w:val="00853A11"/>
    <w:rsid w:val="008551B0"/>
    <w:rsid w:val="00855445"/>
    <w:rsid w:val="008615D8"/>
    <w:rsid w:val="00861E3F"/>
    <w:rsid w:val="008621B6"/>
    <w:rsid w:val="008630B0"/>
    <w:rsid w:val="00866402"/>
    <w:rsid w:val="008664C0"/>
    <w:rsid w:val="0086705E"/>
    <w:rsid w:val="00867315"/>
    <w:rsid w:val="0087180F"/>
    <w:rsid w:val="008728F6"/>
    <w:rsid w:val="0087502E"/>
    <w:rsid w:val="00876B67"/>
    <w:rsid w:val="00876E95"/>
    <w:rsid w:val="008770EC"/>
    <w:rsid w:val="00877DC8"/>
    <w:rsid w:val="00880DAA"/>
    <w:rsid w:val="008814BA"/>
    <w:rsid w:val="00881983"/>
    <w:rsid w:val="0088208D"/>
    <w:rsid w:val="008827CC"/>
    <w:rsid w:val="008862B9"/>
    <w:rsid w:val="008868AE"/>
    <w:rsid w:val="00886903"/>
    <w:rsid w:val="00890040"/>
    <w:rsid w:val="00890925"/>
    <w:rsid w:val="0089247E"/>
    <w:rsid w:val="00893F34"/>
    <w:rsid w:val="008940E5"/>
    <w:rsid w:val="00896409"/>
    <w:rsid w:val="00896E6E"/>
    <w:rsid w:val="008A160F"/>
    <w:rsid w:val="008A1A05"/>
    <w:rsid w:val="008A26DF"/>
    <w:rsid w:val="008A34C3"/>
    <w:rsid w:val="008A3502"/>
    <w:rsid w:val="008A3C1C"/>
    <w:rsid w:val="008A49CA"/>
    <w:rsid w:val="008A49F7"/>
    <w:rsid w:val="008A4CC0"/>
    <w:rsid w:val="008A53A8"/>
    <w:rsid w:val="008A7641"/>
    <w:rsid w:val="008A7E7C"/>
    <w:rsid w:val="008B0836"/>
    <w:rsid w:val="008B1481"/>
    <w:rsid w:val="008B2D62"/>
    <w:rsid w:val="008B48D4"/>
    <w:rsid w:val="008B5D16"/>
    <w:rsid w:val="008B6763"/>
    <w:rsid w:val="008B7A99"/>
    <w:rsid w:val="008B7B0C"/>
    <w:rsid w:val="008B7EC5"/>
    <w:rsid w:val="008C0614"/>
    <w:rsid w:val="008C1CDF"/>
    <w:rsid w:val="008C1F91"/>
    <w:rsid w:val="008C2C68"/>
    <w:rsid w:val="008C3C42"/>
    <w:rsid w:val="008C5754"/>
    <w:rsid w:val="008C5AC8"/>
    <w:rsid w:val="008C6B5E"/>
    <w:rsid w:val="008C6C35"/>
    <w:rsid w:val="008C6D83"/>
    <w:rsid w:val="008D027C"/>
    <w:rsid w:val="008D0A0E"/>
    <w:rsid w:val="008D1F8E"/>
    <w:rsid w:val="008D2BCC"/>
    <w:rsid w:val="008D381A"/>
    <w:rsid w:val="008D562A"/>
    <w:rsid w:val="008D5F5E"/>
    <w:rsid w:val="008D6124"/>
    <w:rsid w:val="008D655F"/>
    <w:rsid w:val="008D6D79"/>
    <w:rsid w:val="008D71D0"/>
    <w:rsid w:val="008D7339"/>
    <w:rsid w:val="008D7A23"/>
    <w:rsid w:val="008D7FE9"/>
    <w:rsid w:val="008E18AD"/>
    <w:rsid w:val="008E1AA9"/>
    <w:rsid w:val="008E2B4A"/>
    <w:rsid w:val="008E4E1E"/>
    <w:rsid w:val="008E56BF"/>
    <w:rsid w:val="008E5DA3"/>
    <w:rsid w:val="008E603B"/>
    <w:rsid w:val="008E6938"/>
    <w:rsid w:val="008F2934"/>
    <w:rsid w:val="008F2E27"/>
    <w:rsid w:val="008F44BC"/>
    <w:rsid w:val="008F46EE"/>
    <w:rsid w:val="008F4798"/>
    <w:rsid w:val="008F7D80"/>
    <w:rsid w:val="008F7F32"/>
    <w:rsid w:val="00900879"/>
    <w:rsid w:val="0090153E"/>
    <w:rsid w:val="00902397"/>
    <w:rsid w:val="00902664"/>
    <w:rsid w:val="0090292C"/>
    <w:rsid w:val="00902E90"/>
    <w:rsid w:val="00903359"/>
    <w:rsid w:val="00903772"/>
    <w:rsid w:val="0090450E"/>
    <w:rsid w:val="00904871"/>
    <w:rsid w:val="00904F96"/>
    <w:rsid w:val="00906654"/>
    <w:rsid w:val="00906808"/>
    <w:rsid w:val="00906D08"/>
    <w:rsid w:val="00907C05"/>
    <w:rsid w:val="00907DFC"/>
    <w:rsid w:val="009107FE"/>
    <w:rsid w:val="00911643"/>
    <w:rsid w:val="00911D19"/>
    <w:rsid w:val="009127B0"/>
    <w:rsid w:val="00912C2E"/>
    <w:rsid w:val="00913200"/>
    <w:rsid w:val="00915F3D"/>
    <w:rsid w:val="00916785"/>
    <w:rsid w:val="009171ED"/>
    <w:rsid w:val="009172AF"/>
    <w:rsid w:val="00920135"/>
    <w:rsid w:val="00920BDB"/>
    <w:rsid w:val="00921FAA"/>
    <w:rsid w:val="009233E8"/>
    <w:rsid w:val="00923725"/>
    <w:rsid w:val="0092400A"/>
    <w:rsid w:val="00924D4E"/>
    <w:rsid w:val="0092527D"/>
    <w:rsid w:val="00925517"/>
    <w:rsid w:val="00926311"/>
    <w:rsid w:val="00926363"/>
    <w:rsid w:val="0092707C"/>
    <w:rsid w:val="009273FF"/>
    <w:rsid w:val="009276CE"/>
    <w:rsid w:val="00930479"/>
    <w:rsid w:val="009317ED"/>
    <w:rsid w:val="00931D82"/>
    <w:rsid w:val="0093276B"/>
    <w:rsid w:val="0093334C"/>
    <w:rsid w:val="009348E8"/>
    <w:rsid w:val="00934952"/>
    <w:rsid w:val="009350ED"/>
    <w:rsid w:val="00935DF3"/>
    <w:rsid w:val="00936D3F"/>
    <w:rsid w:val="009374F1"/>
    <w:rsid w:val="00937A73"/>
    <w:rsid w:val="009402CE"/>
    <w:rsid w:val="009416E0"/>
    <w:rsid w:val="00941984"/>
    <w:rsid w:val="00941E2F"/>
    <w:rsid w:val="00942492"/>
    <w:rsid w:val="00942B30"/>
    <w:rsid w:val="00942BF3"/>
    <w:rsid w:val="00943CBE"/>
    <w:rsid w:val="00950D12"/>
    <w:rsid w:val="00951261"/>
    <w:rsid w:val="0095136C"/>
    <w:rsid w:val="00953F8F"/>
    <w:rsid w:val="009544C5"/>
    <w:rsid w:val="0095492C"/>
    <w:rsid w:val="00955325"/>
    <w:rsid w:val="0095566B"/>
    <w:rsid w:val="00955BFB"/>
    <w:rsid w:val="00956E75"/>
    <w:rsid w:val="00957889"/>
    <w:rsid w:val="009603A1"/>
    <w:rsid w:val="009610AC"/>
    <w:rsid w:val="009615AF"/>
    <w:rsid w:val="009620BE"/>
    <w:rsid w:val="0096405F"/>
    <w:rsid w:val="0096488A"/>
    <w:rsid w:val="0096495F"/>
    <w:rsid w:val="00964CC0"/>
    <w:rsid w:val="00965820"/>
    <w:rsid w:val="00966331"/>
    <w:rsid w:val="009674A3"/>
    <w:rsid w:val="009675BF"/>
    <w:rsid w:val="009710D3"/>
    <w:rsid w:val="009712DF"/>
    <w:rsid w:val="0097519D"/>
    <w:rsid w:val="00975E4C"/>
    <w:rsid w:val="0097756E"/>
    <w:rsid w:val="0097792E"/>
    <w:rsid w:val="00980ECB"/>
    <w:rsid w:val="00981A93"/>
    <w:rsid w:val="00981B3C"/>
    <w:rsid w:val="00981BEB"/>
    <w:rsid w:val="00982A09"/>
    <w:rsid w:val="0098311D"/>
    <w:rsid w:val="009845A6"/>
    <w:rsid w:val="00985587"/>
    <w:rsid w:val="0098569D"/>
    <w:rsid w:val="0098622B"/>
    <w:rsid w:val="0098626D"/>
    <w:rsid w:val="00986748"/>
    <w:rsid w:val="009870AA"/>
    <w:rsid w:val="00987C68"/>
    <w:rsid w:val="00991368"/>
    <w:rsid w:val="009919D8"/>
    <w:rsid w:val="00991BFC"/>
    <w:rsid w:val="00992A5D"/>
    <w:rsid w:val="00993907"/>
    <w:rsid w:val="0099622C"/>
    <w:rsid w:val="00996850"/>
    <w:rsid w:val="00997254"/>
    <w:rsid w:val="009A02B1"/>
    <w:rsid w:val="009A0566"/>
    <w:rsid w:val="009A4237"/>
    <w:rsid w:val="009A44C5"/>
    <w:rsid w:val="009A5088"/>
    <w:rsid w:val="009A50E5"/>
    <w:rsid w:val="009A5B3B"/>
    <w:rsid w:val="009A5ED2"/>
    <w:rsid w:val="009A6157"/>
    <w:rsid w:val="009A6A9B"/>
    <w:rsid w:val="009A785F"/>
    <w:rsid w:val="009B4C60"/>
    <w:rsid w:val="009B5780"/>
    <w:rsid w:val="009B57B3"/>
    <w:rsid w:val="009B6040"/>
    <w:rsid w:val="009B6778"/>
    <w:rsid w:val="009B6FFA"/>
    <w:rsid w:val="009B71EA"/>
    <w:rsid w:val="009C1214"/>
    <w:rsid w:val="009C16AC"/>
    <w:rsid w:val="009C1955"/>
    <w:rsid w:val="009C298D"/>
    <w:rsid w:val="009C3736"/>
    <w:rsid w:val="009C3A50"/>
    <w:rsid w:val="009C4862"/>
    <w:rsid w:val="009C5484"/>
    <w:rsid w:val="009C54D5"/>
    <w:rsid w:val="009C6098"/>
    <w:rsid w:val="009C6BE5"/>
    <w:rsid w:val="009C6C1F"/>
    <w:rsid w:val="009D10CF"/>
    <w:rsid w:val="009D254F"/>
    <w:rsid w:val="009D3800"/>
    <w:rsid w:val="009D3CEA"/>
    <w:rsid w:val="009D42AF"/>
    <w:rsid w:val="009D4806"/>
    <w:rsid w:val="009D4B10"/>
    <w:rsid w:val="009D6A02"/>
    <w:rsid w:val="009D7C97"/>
    <w:rsid w:val="009D7EB8"/>
    <w:rsid w:val="009E060C"/>
    <w:rsid w:val="009E1123"/>
    <w:rsid w:val="009E1D5E"/>
    <w:rsid w:val="009E1F6A"/>
    <w:rsid w:val="009E2554"/>
    <w:rsid w:val="009E57D6"/>
    <w:rsid w:val="009E712F"/>
    <w:rsid w:val="009E715B"/>
    <w:rsid w:val="009E7304"/>
    <w:rsid w:val="009E775D"/>
    <w:rsid w:val="009E7F05"/>
    <w:rsid w:val="009F018F"/>
    <w:rsid w:val="009F01CA"/>
    <w:rsid w:val="009F0793"/>
    <w:rsid w:val="009F0CA6"/>
    <w:rsid w:val="009F1B47"/>
    <w:rsid w:val="009F20AA"/>
    <w:rsid w:val="009F2E65"/>
    <w:rsid w:val="009F38B1"/>
    <w:rsid w:val="009F3BD4"/>
    <w:rsid w:val="009F53DB"/>
    <w:rsid w:val="009F57CC"/>
    <w:rsid w:val="009F5ADA"/>
    <w:rsid w:val="009F797B"/>
    <w:rsid w:val="009F7D01"/>
    <w:rsid w:val="00A00F11"/>
    <w:rsid w:val="00A01F1B"/>
    <w:rsid w:val="00A02511"/>
    <w:rsid w:val="00A0335D"/>
    <w:rsid w:val="00A03D68"/>
    <w:rsid w:val="00A04AED"/>
    <w:rsid w:val="00A06EE9"/>
    <w:rsid w:val="00A07DE6"/>
    <w:rsid w:val="00A100BE"/>
    <w:rsid w:val="00A10162"/>
    <w:rsid w:val="00A11FF6"/>
    <w:rsid w:val="00A121D3"/>
    <w:rsid w:val="00A12882"/>
    <w:rsid w:val="00A13246"/>
    <w:rsid w:val="00A13A73"/>
    <w:rsid w:val="00A15130"/>
    <w:rsid w:val="00A1675E"/>
    <w:rsid w:val="00A1771E"/>
    <w:rsid w:val="00A17978"/>
    <w:rsid w:val="00A204D4"/>
    <w:rsid w:val="00A21459"/>
    <w:rsid w:val="00A2184F"/>
    <w:rsid w:val="00A22952"/>
    <w:rsid w:val="00A2472A"/>
    <w:rsid w:val="00A24AAC"/>
    <w:rsid w:val="00A24C8F"/>
    <w:rsid w:val="00A25186"/>
    <w:rsid w:val="00A25BE9"/>
    <w:rsid w:val="00A269ED"/>
    <w:rsid w:val="00A278EA"/>
    <w:rsid w:val="00A322CB"/>
    <w:rsid w:val="00A33361"/>
    <w:rsid w:val="00A33719"/>
    <w:rsid w:val="00A35684"/>
    <w:rsid w:val="00A36905"/>
    <w:rsid w:val="00A36C62"/>
    <w:rsid w:val="00A3736C"/>
    <w:rsid w:val="00A3756B"/>
    <w:rsid w:val="00A40A8C"/>
    <w:rsid w:val="00A414C8"/>
    <w:rsid w:val="00A41DA2"/>
    <w:rsid w:val="00A41F00"/>
    <w:rsid w:val="00A428DD"/>
    <w:rsid w:val="00A42FE7"/>
    <w:rsid w:val="00A43F72"/>
    <w:rsid w:val="00A449CE"/>
    <w:rsid w:val="00A45819"/>
    <w:rsid w:val="00A46958"/>
    <w:rsid w:val="00A46FBF"/>
    <w:rsid w:val="00A500B4"/>
    <w:rsid w:val="00A50B68"/>
    <w:rsid w:val="00A5208D"/>
    <w:rsid w:val="00A52745"/>
    <w:rsid w:val="00A53016"/>
    <w:rsid w:val="00A54100"/>
    <w:rsid w:val="00A5506D"/>
    <w:rsid w:val="00A55563"/>
    <w:rsid w:val="00A5665E"/>
    <w:rsid w:val="00A56AEA"/>
    <w:rsid w:val="00A56B67"/>
    <w:rsid w:val="00A60C5D"/>
    <w:rsid w:val="00A60E2B"/>
    <w:rsid w:val="00A60F40"/>
    <w:rsid w:val="00A63102"/>
    <w:rsid w:val="00A637FA"/>
    <w:rsid w:val="00A640AE"/>
    <w:rsid w:val="00A647F4"/>
    <w:rsid w:val="00A70D4E"/>
    <w:rsid w:val="00A72717"/>
    <w:rsid w:val="00A7490F"/>
    <w:rsid w:val="00A75D02"/>
    <w:rsid w:val="00A75F33"/>
    <w:rsid w:val="00A769ED"/>
    <w:rsid w:val="00A771A5"/>
    <w:rsid w:val="00A77239"/>
    <w:rsid w:val="00A772B2"/>
    <w:rsid w:val="00A7759D"/>
    <w:rsid w:val="00A808EE"/>
    <w:rsid w:val="00A80924"/>
    <w:rsid w:val="00A82A07"/>
    <w:rsid w:val="00A83AB5"/>
    <w:rsid w:val="00A857A5"/>
    <w:rsid w:val="00A86A19"/>
    <w:rsid w:val="00A877B4"/>
    <w:rsid w:val="00A9086A"/>
    <w:rsid w:val="00A92CBE"/>
    <w:rsid w:val="00A93E91"/>
    <w:rsid w:val="00A94CCD"/>
    <w:rsid w:val="00A96BCF"/>
    <w:rsid w:val="00A97466"/>
    <w:rsid w:val="00A9783F"/>
    <w:rsid w:val="00AA0261"/>
    <w:rsid w:val="00AA197B"/>
    <w:rsid w:val="00AA20E7"/>
    <w:rsid w:val="00AA3707"/>
    <w:rsid w:val="00AA3C3C"/>
    <w:rsid w:val="00AA4FD5"/>
    <w:rsid w:val="00AA5216"/>
    <w:rsid w:val="00AA633C"/>
    <w:rsid w:val="00AB0B60"/>
    <w:rsid w:val="00AB0FF4"/>
    <w:rsid w:val="00AB10C6"/>
    <w:rsid w:val="00AB5A6D"/>
    <w:rsid w:val="00AB5C4B"/>
    <w:rsid w:val="00AB61E3"/>
    <w:rsid w:val="00AB7EA8"/>
    <w:rsid w:val="00AC0ACE"/>
    <w:rsid w:val="00AC112F"/>
    <w:rsid w:val="00AC1417"/>
    <w:rsid w:val="00AC1867"/>
    <w:rsid w:val="00AC2A81"/>
    <w:rsid w:val="00AC4259"/>
    <w:rsid w:val="00AC44B1"/>
    <w:rsid w:val="00AC46B0"/>
    <w:rsid w:val="00AC4872"/>
    <w:rsid w:val="00AC5298"/>
    <w:rsid w:val="00AC5728"/>
    <w:rsid w:val="00AC7189"/>
    <w:rsid w:val="00AC738F"/>
    <w:rsid w:val="00AC75A8"/>
    <w:rsid w:val="00AC7CAF"/>
    <w:rsid w:val="00AD2396"/>
    <w:rsid w:val="00AD280F"/>
    <w:rsid w:val="00AD479E"/>
    <w:rsid w:val="00AD7C22"/>
    <w:rsid w:val="00AD7D39"/>
    <w:rsid w:val="00AE1FFB"/>
    <w:rsid w:val="00AE224A"/>
    <w:rsid w:val="00AE26FF"/>
    <w:rsid w:val="00AE4B12"/>
    <w:rsid w:val="00AE55B5"/>
    <w:rsid w:val="00AE5B52"/>
    <w:rsid w:val="00AE7A36"/>
    <w:rsid w:val="00AF004C"/>
    <w:rsid w:val="00AF0AB0"/>
    <w:rsid w:val="00AF0C4B"/>
    <w:rsid w:val="00AF12FA"/>
    <w:rsid w:val="00AF286B"/>
    <w:rsid w:val="00AF2925"/>
    <w:rsid w:val="00AF3204"/>
    <w:rsid w:val="00AF3705"/>
    <w:rsid w:val="00AF379A"/>
    <w:rsid w:val="00AF3C62"/>
    <w:rsid w:val="00AF3FC2"/>
    <w:rsid w:val="00AF4A6C"/>
    <w:rsid w:val="00AF4B43"/>
    <w:rsid w:val="00AF5183"/>
    <w:rsid w:val="00AF758E"/>
    <w:rsid w:val="00B0051F"/>
    <w:rsid w:val="00B00A1A"/>
    <w:rsid w:val="00B00AEC"/>
    <w:rsid w:val="00B01E55"/>
    <w:rsid w:val="00B027D7"/>
    <w:rsid w:val="00B02E30"/>
    <w:rsid w:val="00B035D1"/>
    <w:rsid w:val="00B03FEA"/>
    <w:rsid w:val="00B043E4"/>
    <w:rsid w:val="00B057B3"/>
    <w:rsid w:val="00B05F4F"/>
    <w:rsid w:val="00B07170"/>
    <w:rsid w:val="00B1171E"/>
    <w:rsid w:val="00B13568"/>
    <w:rsid w:val="00B1411E"/>
    <w:rsid w:val="00B143AD"/>
    <w:rsid w:val="00B144F7"/>
    <w:rsid w:val="00B15320"/>
    <w:rsid w:val="00B15EA8"/>
    <w:rsid w:val="00B160BC"/>
    <w:rsid w:val="00B171F6"/>
    <w:rsid w:val="00B209EE"/>
    <w:rsid w:val="00B223ED"/>
    <w:rsid w:val="00B246DA"/>
    <w:rsid w:val="00B24AA9"/>
    <w:rsid w:val="00B27066"/>
    <w:rsid w:val="00B27974"/>
    <w:rsid w:val="00B306DC"/>
    <w:rsid w:val="00B3079B"/>
    <w:rsid w:val="00B30899"/>
    <w:rsid w:val="00B30CC9"/>
    <w:rsid w:val="00B30F37"/>
    <w:rsid w:val="00B32C03"/>
    <w:rsid w:val="00B32D25"/>
    <w:rsid w:val="00B339DE"/>
    <w:rsid w:val="00B33CC7"/>
    <w:rsid w:val="00B351C5"/>
    <w:rsid w:val="00B35632"/>
    <w:rsid w:val="00B35B6F"/>
    <w:rsid w:val="00B35C4A"/>
    <w:rsid w:val="00B3660B"/>
    <w:rsid w:val="00B370E8"/>
    <w:rsid w:val="00B37CEC"/>
    <w:rsid w:val="00B406C8"/>
    <w:rsid w:val="00B40BB1"/>
    <w:rsid w:val="00B41352"/>
    <w:rsid w:val="00B4161E"/>
    <w:rsid w:val="00B41E33"/>
    <w:rsid w:val="00B42112"/>
    <w:rsid w:val="00B42AE8"/>
    <w:rsid w:val="00B44033"/>
    <w:rsid w:val="00B442CE"/>
    <w:rsid w:val="00B45498"/>
    <w:rsid w:val="00B468C8"/>
    <w:rsid w:val="00B500E7"/>
    <w:rsid w:val="00B5139E"/>
    <w:rsid w:val="00B5152A"/>
    <w:rsid w:val="00B5318E"/>
    <w:rsid w:val="00B56AA2"/>
    <w:rsid w:val="00B56CEA"/>
    <w:rsid w:val="00B630BC"/>
    <w:rsid w:val="00B63E5D"/>
    <w:rsid w:val="00B647D9"/>
    <w:rsid w:val="00B64CF6"/>
    <w:rsid w:val="00B65B6A"/>
    <w:rsid w:val="00B65BCD"/>
    <w:rsid w:val="00B65BDC"/>
    <w:rsid w:val="00B660AB"/>
    <w:rsid w:val="00B671A7"/>
    <w:rsid w:val="00B6741C"/>
    <w:rsid w:val="00B67AFB"/>
    <w:rsid w:val="00B67C67"/>
    <w:rsid w:val="00B7018D"/>
    <w:rsid w:val="00B71059"/>
    <w:rsid w:val="00B71402"/>
    <w:rsid w:val="00B718E0"/>
    <w:rsid w:val="00B7190B"/>
    <w:rsid w:val="00B71C3A"/>
    <w:rsid w:val="00B7238F"/>
    <w:rsid w:val="00B733E5"/>
    <w:rsid w:val="00B73817"/>
    <w:rsid w:val="00B7495C"/>
    <w:rsid w:val="00B754DD"/>
    <w:rsid w:val="00B75D1D"/>
    <w:rsid w:val="00B77ECB"/>
    <w:rsid w:val="00B82E1F"/>
    <w:rsid w:val="00B83057"/>
    <w:rsid w:val="00B8353E"/>
    <w:rsid w:val="00B8437D"/>
    <w:rsid w:val="00B85247"/>
    <w:rsid w:val="00B85259"/>
    <w:rsid w:val="00B85592"/>
    <w:rsid w:val="00B85827"/>
    <w:rsid w:val="00B85E6B"/>
    <w:rsid w:val="00B8607C"/>
    <w:rsid w:val="00B922BC"/>
    <w:rsid w:val="00B9236E"/>
    <w:rsid w:val="00B92BDD"/>
    <w:rsid w:val="00B931B2"/>
    <w:rsid w:val="00B936B2"/>
    <w:rsid w:val="00B94944"/>
    <w:rsid w:val="00B950BD"/>
    <w:rsid w:val="00B96158"/>
    <w:rsid w:val="00B9754B"/>
    <w:rsid w:val="00B97FD6"/>
    <w:rsid w:val="00BA001C"/>
    <w:rsid w:val="00BA0621"/>
    <w:rsid w:val="00BA0981"/>
    <w:rsid w:val="00BA1342"/>
    <w:rsid w:val="00BA157C"/>
    <w:rsid w:val="00BA19E9"/>
    <w:rsid w:val="00BA1A35"/>
    <w:rsid w:val="00BA20EC"/>
    <w:rsid w:val="00BA235C"/>
    <w:rsid w:val="00BA33D4"/>
    <w:rsid w:val="00BA4A08"/>
    <w:rsid w:val="00BA61B4"/>
    <w:rsid w:val="00BA6374"/>
    <w:rsid w:val="00BA6E7E"/>
    <w:rsid w:val="00BA7F5E"/>
    <w:rsid w:val="00BA7F9E"/>
    <w:rsid w:val="00BB20C2"/>
    <w:rsid w:val="00BB25C7"/>
    <w:rsid w:val="00BB272B"/>
    <w:rsid w:val="00BB2B8B"/>
    <w:rsid w:val="00BB4028"/>
    <w:rsid w:val="00BB4B3B"/>
    <w:rsid w:val="00BB70AE"/>
    <w:rsid w:val="00BB7137"/>
    <w:rsid w:val="00BB7329"/>
    <w:rsid w:val="00BB74C7"/>
    <w:rsid w:val="00BB7DA9"/>
    <w:rsid w:val="00BB7ECE"/>
    <w:rsid w:val="00BC00C1"/>
    <w:rsid w:val="00BC13B9"/>
    <w:rsid w:val="00BC3A13"/>
    <w:rsid w:val="00BC3CC2"/>
    <w:rsid w:val="00BC47BC"/>
    <w:rsid w:val="00BC60EA"/>
    <w:rsid w:val="00BC6C74"/>
    <w:rsid w:val="00BC6C9B"/>
    <w:rsid w:val="00BC6CB4"/>
    <w:rsid w:val="00BD0976"/>
    <w:rsid w:val="00BD1756"/>
    <w:rsid w:val="00BD1851"/>
    <w:rsid w:val="00BD23A2"/>
    <w:rsid w:val="00BD39F8"/>
    <w:rsid w:val="00BD4838"/>
    <w:rsid w:val="00BD4892"/>
    <w:rsid w:val="00BD489D"/>
    <w:rsid w:val="00BD4E31"/>
    <w:rsid w:val="00BD51C4"/>
    <w:rsid w:val="00BD5488"/>
    <w:rsid w:val="00BD55A4"/>
    <w:rsid w:val="00BD6244"/>
    <w:rsid w:val="00BD6285"/>
    <w:rsid w:val="00BE08D3"/>
    <w:rsid w:val="00BE0DA1"/>
    <w:rsid w:val="00BE1738"/>
    <w:rsid w:val="00BE17E5"/>
    <w:rsid w:val="00BE1F4E"/>
    <w:rsid w:val="00BE28C6"/>
    <w:rsid w:val="00BE4CFF"/>
    <w:rsid w:val="00BE5004"/>
    <w:rsid w:val="00BE582B"/>
    <w:rsid w:val="00BE5F9D"/>
    <w:rsid w:val="00BE6F64"/>
    <w:rsid w:val="00BF0440"/>
    <w:rsid w:val="00BF0C81"/>
    <w:rsid w:val="00BF36E0"/>
    <w:rsid w:val="00BF433E"/>
    <w:rsid w:val="00BF59BC"/>
    <w:rsid w:val="00BF5F53"/>
    <w:rsid w:val="00BF6997"/>
    <w:rsid w:val="00BF749F"/>
    <w:rsid w:val="00BF7606"/>
    <w:rsid w:val="00C0030F"/>
    <w:rsid w:val="00C0057C"/>
    <w:rsid w:val="00C00B71"/>
    <w:rsid w:val="00C014E4"/>
    <w:rsid w:val="00C02436"/>
    <w:rsid w:val="00C02608"/>
    <w:rsid w:val="00C02639"/>
    <w:rsid w:val="00C03A4A"/>
    <w:rsid w:val="00C04075"/>
    <w:rsid w:val="00C04489"/>
    <w:rsid w:val="00C045F9"/>
    <w:rsid w:val="00C05582"/>
    <w:rsid w:val="00C05A88"/>
    <w:rsid w:val="00C06665"/>
    <w:rsid w:val="00C0679B"/>
    <w:rsid w:val="00C074F1"/>
    <w:rsid w:val="00C107F1"/>
    <w:rsid w:val="00C12C40"/>
    <w:rsid w:val="00C130DC"/>
    <w:rsid w:val="00C13157"/>
    <w:rsid w:val="00C13CB8"/>
    <w:rsid w:val="00C14926"/>
    <w:rsid w:val="00C14C19"/>
    <w:rsid w:val="00C14D2E"/>
    <w:rsid w:val="00C15718"/>
    <w:rsid w:val="00C159BE"/>
    <w:rsid w:val="00C166AE"/>
    <w:rsid w:val="00C16899"/>
    <w:rsid w:val="00C1695F"/>
    <w:rsid w:val="00C16E3A"/>
    <w:rsid w:val="00C172CD"/>
    <w:rsid w:val="00C2018D"/>
    <w:rsid w:val="00C20336"/>
    <w:rsid w:val="00C212D0"/>
    <w:rsid w:val="00C22D02"/>
    <w:rsid w:val="00C22D2B"/>
    <w:rsid w:val="00C22E30"/>
    <w:rsid w:val="00C24CD6"/>
    <w:rsid w:val="00C2778F"/>
    <w:rsid w:val="00C30899"/>
    <w:rsid w:val="00C317B0"/>
    <w:rsid w:val="00C32A01"/>
    <w:rsid w:val="00C32C07"/>
    <w:rsid w:val="00C33132"/>
    <w:rsid w:val="00C341C2"/>
    <w:rsid w:val="00C40742"/>
    <w:rsid w:val="00C40841"/>
    <w:rsid w:val="00C409E7"/>
    <w:rsid w:val="00C40DD4"/>
    <w:rsid w:val="00C417B7"/>
    <w:rsid w:val="00C426C8"/>
    <w:rsid w:val="00C42D28"/>
    <w:rsid w:val="00C439E8"/>
    <w:rsid w:val="00C44ADE"/>
    <w:rsid w:val="00C45B56"/>
    <w:rsid w:val="00C46423"/>
    <w:rsid w:val="00C4693F"/>
    <w:rsid w:val="00C46CCC"/>
    <w:rsid w:val="00C47251"/>
    <w:rsid w:val="00C5131D"/>
    <w:rsid w:val="00C51914"/>
    <w:rsid w:val="00C51F0F"/>
    <w:rsid w:val="00C51F38"/>
    <w:rsid w:val="00C520E8"/>
    <w:rsid w:val="00C52A59"/>
    <w:rsid w:val="00C52E1A"/>
    <w:rsid w:val="00C53B82"/>
    <w:rsid w:val="00C546B6"/>
    <w:rsid w:val="00C617AE"/>
    <w:rsid w:val="00C63FBD"/>
    <w:rsid w:val="00C64147"/>
    <w:rsid w:val="00C64E66"/>
    <w:rsid w:val="00C6684D"/>
    <w:rsid w:val="00C67C92"/>
    <w:rsid w:val="00C7349C"/>
    <w:rsid w:val="00C73D75"/>
    <w:rsid w:val="00C74B55"/>
    <w:rsid w:val="00C76B39"/>
    <w:rsid w:val="00C777AA"/>
    <w:rsid w:val="00C801D9"/>
    <w:rsid w:val="00C80B0F"/>
    <w:rsid w:val="00C81244"/>
    <w:rsid w:val="00C812FF"/>
    <w:rsid w:val="00C81454"/>
    <w:rsid w:val="00C817FB"/>
    <w:rsid w:val="00C81AD9"/>
    <w:rsid w:val="00C824F8"/>
    <w:rsid w:val="00C83265"/>
    <w:rsid w:val="00C83FD1"/>
    <w:rsid w:val="00C84243"/>
    <w:rsid w:val="00C84584"/>
    <w:rsid w:val="00C84949"/>
    <w:rsid w:val="00C853A1"/>
    <w:rsid w:val="00C853FE"/>
    <w:rsid w:val="00C854EE"/>
    <w:rsid w:val="00C85F67"/>
    <w:rsid w:val="00C87125"/>
    <w:rsid w:val="00C87D77"/>
    <w:rsid w:val="00C907BA"/>
    <w:rsid w:val="00C910FE"/>
    <w:rsid w:val="00C936AD"/>
    <w:rsid w:val="00C9525D"/>
    <w:rsid w:val="00C952E0"/>
    <w:rsid w:val="00C95394"/>
    <w:rsid w:val="00C953C7"/>
    <w:rsid w:val="00C97371"/>
    <w:rsid w:val="00C97ED8"/>
    <w:rsid w:val="00CA063F"/>
    <w:rsid w:val="00CA1396"/>
    <w:rsid w:val="00CA1E22"/>
    <w:rsid w:val="00CA221F"/>
    <w:rsid w:val="00CA2D2A"/>
    <w:rsid w:val="00CA3561"/>
    <w:rsid w:val="00CA50F5"/>
    <w:rsid w:val="00CA519E"/>
    <w:rsid w:val="00CA587F"/>
    <w:rsid w:val="00CA6BD5"/>
    <w:rsid w:val="00CA72AE"/>
    <w:rsid w:val="00CB100C"/>
    <w:rsid w:val="00CB1690"/>
    <w:rsid w:val="00CB19ED"/>
    <w:rsid w:val="00CB39F5"/>
    <w:rsid w:val="00CB530B"/>
    <w:rsid w:val="00CB541E"/>
    <w:rsid w:val="00CB5F2C"/>
    <w:rsid w:val="00CB6633"/>
    <w:rsid w:val="00CB7B14"/>
    <w:rsid w:val="00CC0706"/>
    <w:rsid w:val="00CC07F8"/>
    <w:rsid w:val="00CC1AFE"/>
    <w:rsid w:val="00CC207A"/>
    <w:rsid w:val="00CC21FD"/>
    <w:rsid w:val="00CC2710"/>
    <w:rsid w:val="00CC272D"/>
    <w:rsid w:val="00CC2A25"/>
    <w:rsid w:val="00CC2ADF"/>
    <w:rsid w:val="00CC62DF"/>
    <w:rsid w:val="00CC68CE"/>
    <w:rsid w:val="00CD2009"/>
    <w:rsid w:val="00CD2142"/>
    <w:rsid w:val="00CD41AB"/>
    <w:rsid w:val="00CD4AE2"/>
    <w:rsid w:val="00CD5C63"/>
    <w:rsid w:val="00CD75D0"/>
    <w:rsid w:val="00CE0742"/>
    <w:rsid w:val="00CE0DC1"/>
    <w:rsid w:val="00CE1D2B"/>
    <w:rsid w:val="00CE3276"/>
    <w:rsid w:val="00CE3980"/>
    <w:rsid w:val="00CE4009"/>
    <w:rsid w:val="00CE4424"/>
    <w:rsid w:val="00CE4D3D"/>
    <w:rsid w:val="00CE5E4F"/>
    <w:rsid w:val="00CE668D"/>
    <w:rsid w:val="00CE748B"/>
    <w:rsid w:val="00CE7A77"/>
    <w:rsid w:val="00CF14A6"/>
    <w:rsid w:val="00CF18F9"/>
    <w:rsid w:val="00CF2F57"/>
    <w:rsid w:val="00CF35ED"/>
    <w:rsid w:val="00CF3DC6"/>
    <w:rsid w:val="00CF4288"/>
    <w:rsid w:val="00CF46DA"/>
    <w:rsid w:val="00CF48DC"/>
    <w:rsid w:val="00CF72B0"/>
    <w:rsid w:val="00CF7492"/>
    <w:rsid w:val="00D01E14"/>
    <w:rsid w:val="00D026BB"/>
    <w:rsid w:val="00D029FF"/>
    <w:rsid w:val="00D0424A"/>
    <w:rsid w:val="00D04B86"/>
    <w:rsid w:val="00D04F88"/>
    <w:rsid w:val="00D05A9F"/>
    <w:rsid w:val="00D06D43"/>
    <w:rsid w:val="00D100CD"/>
    <w:rsid w:val="00D10374"/>
    <w:rsid w:val="00D104F0"/>
    <w:rsid w:val="00D10667"/>
    <w:rsid w:val="00D10BE1"/>
    <w:rsid w:val="00D113F2"/>
    <w:rsid w:val="00D11772"/>
    <w:rsid w:val="00D118FD"/>
    <w:rsid w:val="00D11BE9"/>
    <w:rsid w:val="00D129A7"/>
    <w:rsid w:val="00D12A57"/>
    <w:rsid w:val="00D12E29"/>
    <w:rsid w:val="00D1325C"/>
    <w:rsid w:val="00D15019"/>
    <w:rsid w:val="00D156A4"/>
    <w:rsid w:val="00D16408"/>
    <w:rsid w:val="00D16D62"/>
    <w:rsid w:val="00D201FC"/>
    <w:rsid w:val="00D20529"/>
    <w:rsid w:val="00D207EA"/>
    <w:rsid w:val="00D213E8"/>
    <w:rsid w:val="00D223F2"/>
    <w:rsid w:val="00D22BDC"/>
    <w:rsid w:val="00D24148"/>
    <w:rsid w:val="00D25171"/>
    <w:rsid w:val="00D254D0"/>
    <w:rsid w:val="00D258F4"/>
    <w:rsid w:val="00D25BD9"/>
    <w:rsid w:val="00D2616D"/>
    <w:rsid w:val="00D263E6"/>
    <w:rsid w:val="00D26B45"/>
    <w:rsid w:val="00D26BAC"/>
    <w:rsid w:val="00D30EF2"/>
    <w:rsid w:val="00D31D2D"/>
    <w:rsid w:val="00D31E6E"/>
    <w:rsid w:val="00D3262A"/>
    <w:rsid w:val="00D32BC9"/>
    <w:rsid w:val="00D32D62"/>
    <w:rsid w:val="00D333AA"/>
    <w:rsid w:val="00D3347A"/>
    <w:rsid w:val="00D335A0"/>
    <w:rsid w:val="00D33C70"/>
    <w:rsid w:val="00D35A8B"/>
    <w:rsid w:val="00D366A4"/>
    <w:rsid w:val="00D370D4"/>
    <w:rsid w:val="00D4126E"/>
    <w:rsid w:val="00D417E3"/>
    <w:rsid w:val="00D41E54"/>
    <w:rsid w:val="00D43444"/>
    <w:rsid w:val="00D44055"/>
    <w:rsid w:val="00D4412C"/>
    <w:rsid w:val="00D44352"/>
    <w:rsid w:val="00D47ACB"/>
    <w:rsid w:val="00D47F83"/>
    <w:rsid w:val="00D52A12"/>
    <w:rsid w:val="00D53232"/>
    <w:rsid w:val="00D537F9"/>
    <w:rsid w:val="00D5389A"/>
    <w:rsid w:val="00D542D3"/>
    <w:rsid w:val="00D54DAC"/>
    <w:rsid w:val="00D56081"/>
    <w:rsid w:val="00D56F76"/>
    <w:rsid w:val="00D6078C"/>
    <w:rsid w:val="00D608AB"/>
    <w:rsid w:val="00D61033"/>
    <w:rsid w:val="00D61A7A"/>
    <w:rsid w:val="00D65274"/>
    <w:rsid w:val="00D6552A"/>
    <w:rsid w:val="00D66B50"/>
    <w:rsid w:val="00D7331F"/>
    <w:rsid w:val="00D7372A"/>
    <w:rsid w:val="00D74282"/>
    <w:rsid w:val="00D75277"/>
    <w:rsid w:val="00D75415"/>
    <w:rsid w:val="00D75EAE"/>
    <w:rsid w:val="00D75F19"/>
    <w:rsid w:val="00D76A27"/>
    <w:rsid w:val="00D76AC4"/>
    <w:rsid w:val="00D816F4"/>
    <w:rsid w:val="00D81912"/>
    <w:rsid w:val="00D8238F"/>
    <w:rsid w:val="00D825D6"/>
    <w:rsid w:val="00D85452"/>
    <w:rsid w:val="00D85514"/>
    <w:rsid w:val="00D9059D"/>
    <w:rsid w:val="00D9088B"/>
    <w:rsid w:val="00D90A66"/>
    <w:rsid w:val="00D90B09"/>
    <w:rsid w:val="00D92036"/>
    <w:rsid w:val="00D92085"/>
    <w:rsid w:val="00D9218A"/>
    <w:rsid w:val="00D9354C"/>
    <w:rsid w:val="00D93E91"/>
    <w:rsid w:val="00D95636"/>
    <w:rsid w:val="00D95C64"/>
    <w:rsid w:val="00D95F53"/>
    <w:rsid w:val="00D96206"/>
    <w:rsid w:val="00D966F6"/>
    <w:rsid w:val="00D97754"/>
    <w:rsid w:val="00D97D80"/>
    <w:rsid w:val="00D97F52"/>
    <w:rsid w:val="00DA031C"/>
    <w:rsid w:val="00DA040F"/>
    <w:rsid w:val="00DA23AF"/>
    <w:rsid w:val="00DA26B6"/>
    <w:rsid w:val="00DA2E28"/>
    <w:rsid w:val="00DA38B0"/>
    <w:rsid w:val="00DA4E93"/>
    <w:rsid w:val="00DA5B07"/>
    <w:rsid w:val="00DA5F54"/>
    <w:rsid w:val="00DA6A88"/>
    <w:rsid w:val="00DA7442"/>
    <w:rsid w:val="00DA77D7"/>
    <w:rsid w:val="00DB2AC1"/>
    <w:rsid w:val="00DB3340"/>
    <w:rsid w:val="00DB3899"/>
    <w:rsid w:val="00DB408A"/>
    <w:rsid w:val="00DB44A2"/>
    <w:rsid w:val="00DB44C5"/>
    <w:rsid w:val="00DB46DD"/>
    <w:rsid w:val="00DB5A84"/>
    <w:rsid w:val="00DB5EA6"/>
    <w:rsid w:val="00DB63C9"/>
    <w:rsid w:val="00DC0A33"/>
    <w:rsid w:val="00DC0F11"/>
    <w:rsid w:val="00DC188C"/>
    <w:rsid w:val="00DC1F27"/>
    <w:rsid w:val="00DC219A"/>
    <w:rsid w:val="00DC2519"/>
    <w:rsid w:val="00DC4129"/>
    <w:rsid w:val="00DC5954"/>
    <w:rsid w:val="00DC64EF"/>
    <w:rsid w:val="00DC7A44"/>
    <w:rsid w:val="00DD1864"/>
    <w:rsid w:val="00DD1E81"/>
    <w:rsid w:val="00DD3464"/>
    <w:rsid w:val="00DD5AEB"/>
    <w:rsid w:val="00DD5C1A"/>
    <w:rsid w:val="00DD5F2D"/>
    <w:rsid w:val="00DD6C78"/>
    <w:rsid w:val="00DE11C2"/>
    <w:rsid w:val="00DE13D3"/>
    <w:rsid w:val="00DE3790"/>
    <w:rsid w:val="00DE3F53"/>
    <w:rsid w:val="00DE410E"/>
    <w:rsid w:val="00DE42E3"/>
    <w:rsid w:val="00DE6626"/>
    <w:rsid w:val="00DF1B14"/>
    <w:rsid w:val="00DF1C73"/>
    <w:rsid w:val="00DF2873"/>
    <w:rsid w:val="00DF373B"/>
    <w:rsid w:val="00DF37D3"/>
    <w:rsid w:val="00DF4D59"/>
    <w:rsid w:val="00DF5EC8"/>
    <w:rsid w:val="00DF6819"/>
    <w:rsid w:val="00E00F70"/>
    <w:rsid w:val="00E016D0"/>
    <w:rsid w:val="00E01895"/>
    <w:rsid w:val="00E028E5"/>
    <w:rsid w:val="00E02D50"/>
    <w:rsid w:val="00E0387D"/>
    <w:rsid w:val="00E03F0A"/>
    <w:rsid w:val="00E05753"/>
    <w:rsid w:val="00E0626F"/>
    <w:rsid w:val="00E0671D"/>
    <w:rsid w:val="00E06FB3"/>
    <w:rsid w:val="00E0735B"/>
    <w:rsid w:val="00E073A2"/>
    <w:rsid w:val="00E07C86"/>
    <w:rsid w:val="00E07E86"/>
    <w:rsid w:val="00E1052F"/>
    <w:rsid w:val="00E10598"/>
    <w:rsid w:val="00E1077D"/>
    <w:rsid w:val="00E108AF"/>
    <w:rsid w:val="00E10CE1"/>
    <w:rsid w:val="00E111AA"/>
    <w:rsid w:val="00E112A5"/>
    <w:rsid w:val="00E11ED6"/>
    <w:rsid w:val="00E11F05"/>
    <w:rsid w:val="00E11F44"/>
    <w:rsid w:val="00E1206A"/>
    <w:rsid w:val="00E1340F"/>
    <w:rsid w:val="00E13BD4"/>
    <w:rsid w:val="00E14DF3"/>
    <w:rsid w:val="00E153D6"/>
    <w:rsid w:val="00E15B38"/>
    <w:rsid w:val="00E1609A"/>
    <w:rsid w:val="00E16149"/>
    <w:rsid w:val="00E16499"/>
    <w:rsid w:val="00E20979"/>
    <w:rsid w:val="00E20D3B"/>
    <w:rsid w:val="00E21748"/>
    <w:rsid w:val="00E21FE5"/>
    <w:rsid w:val="00E23194"/>
    <w:rsid w:val="00E232F0"/>
    <w:rsid w:val="00E235CA"/>
    <w:rsid w:val="00E23807"/>
    <w:rsid w:val="00E2659A"/>
    <w:rsid w:val="00E27E65"/>
    <w:rsid w:val="00E301D2"/>
    <w:rsid w:val="00E319E0"/>
    <w:rsid w:val="00E3250E"/>
    <w:rsid w:val="00E32AFC"/>
    <w:rsid w:val="00E3337E"/>
    <w:rsid w:val="00E33943"/>
    <w:rsid w:val="00E3406A"/>
    <w:rsid w:val="00E3419E"/>
    <w:rsid w:val="00E35131"/>
    <w:rsid w:val="00E360E3"/>
    <w:rsid w:val="00E368D8"/>
    <w:rsid w:val="00E37232"/>
    <w:rsid w:val="00E3748D"/>
    <w:rsid w:val="00E400E6"/>
    <w:rsid w:val="00E4114E"/>
    <w:rsid w:val="00E418A4"/>
    <w:rsid w:val="00E42812"/>
    <w:rsid w:val="00E43E22"/>
    <w:rsid w:val="00E43F6E"/>
    <w:rsid w:val="00E455D4"/>
    <w:rsid w:val="00E468AC"/>
    <w:rsid w:val="00E468DD"/>
    <w:rsid w:val="00E47BA8"/>
    <w:rsid w:val="00E500A1"/>
    <w:rsid w:val="00E500FD"/>
    <w:rsid w:val="00E50600"/>
    <w:rsid w:val="00E51204"/>
    <w:rsid w:val="00E514D7"/>
    <w:rsid w:val="00E51C0B"/>
    <w:rsid w:val="00E51FDF"/>
    <w:rsid w:val="00E52219"/>
    <w:rsid w:val="00E525CC"/>
    <w:rsid w:val="00E534B0"/>
    <w:rsid w:val="00E5459F"/>
    <w:rsid w:val="00E54A6D"/>
    <w:rsid w:val="00E54A7B"/>
    <w:rsid w:val="00E55D04"/>
    <w:rsid w:val="00E55FAC"/>
    <w:rsid w:val="00E578AE"/>
    <w:rsid w:val="00E57CFB"/>
    <w:rsid w:val="00E612A2"/>
    <w:rsid w:val="00E613A1"/>
    <w:rsid w:val="00E6291C"/>
    <w:rsid w:val="00E643A1"/>
    <w:rsid w:val="00E64EBD"/>
    <w:rsid w:val="00E676DA"/>
    <w:rsid w:val="00E706AA"/>
    <w:rsid w:val="00E720D7"/>
    <w:rsid w:val="00E738BA"/>
    <w:rsid w:val="00E74CF9"/>
    <w:rsid w:val="00E75224"/>
    <w:rsid w:val="00E7535E"/>
    <w:rsid w:val="00E75CF2"/>
    <w:rsid w:val="00E77BBF"/>
    <w:rsid w:val="00E814EC"/>
    <w:rsid w:val="00E82D26"/>
    <w:rsid w:val="00E83057"/>
    <w:rsid w:val="00E831E2"/>
    <w:rsid w:val="00E83899"/>
    <w:rsid w:val="00E84A53"/>
    <w:rsid w:val="00E84C9A"/>
    <w:rsid w:val="00E84EA4"/>
    <w:rsid w:val="00E851D5"/>
    <w:rsid w:val="00E86DD7"/>
    <w:rsid w:val="00E87CCE"/>
    <w:rsid w:val="00E915EB"/>
    <w:rsid w:val="00E91772"/>
    <w:rsid w:val="00E917E1"/>
    <w:rsid w:val="00E919A1"/>
    <w:rsid w:val="00E91FF5"/>
    <w:rsid w:val="00E9262F"/>
    <w:rsid w:val="00E93037"/>
    <w:rsid w:val="00E93B2F"/>
    <w:rsid w:val="00E93E4A"/>
    <w:rsid w:val="00E94F9A"/>
    <w:rsid w:val="00E9563C"/>
    <w:rsid w:val="00E960EE"/>
    <w:rsid w:val="00E9679A"/>
    <w:rsid w:val="00E97470"/>
    <w:rsid w:val="00EA0637"/>
    <w:rsid w:val="00EA262C"/>
    <w:rsid w:val="00EA29CC"/>
    <w:rsid w:val="00EA3FD4"/>
    <w:rsid w:val="00EA44A3"/>
    <w:rsid w:val="00EA4763"/>
    <w:rsid w:val="00EA4CF3"/>
    <w:rsid w:val="00EA563D"/>
    <w:rsid w:val="00EA6647"/>
    <w:rsid w:val="00EA66CC"/>
    <w:rsid w:val="00EA6C1D"/>
    <w:rsid w:val="00EA6CA8"/>
    <w:rsid w:val="00EA6E7C"/>
    <w:rsid w:val="00EA71EB"/>
    <w:rsid w:val="00EA736C"/>
    <w:rsid w:val="00EA7689"/>
    <w:rsid w:val="00EA7700"/>
    <w:rsid w:val="00EB0724"/>
    <w:rsid w:val="00EB28FA"/>
    <w:rsid w:val="00EB3291"/>
    <w:rsid w:val="00EB3FE1"/>
    <w:rsid w:val="00EB50B6"/>
    <w:rsid w:val="00EB57E9"/>
    <w:rsid w:val="00EB5838"/>
    <w:rsid w:val="00EB729D"/>
    <w:rsid w:val="00EC2BBE"/>
    <w:rsid w:val="00EC3A0D"/>
    <w:rsid w:val="00EC3E31"/>
    <w:rsid w:val="00EC4E38"/>
    <w:rsid w:val="00EC6B2A"/>
    <w:rsid w:val="00EC79D2"/>
    <w:rsid w:val="00EC7FEE"/>
    <w:rsid w:val="00ED1ECF"/>
    <w:rsid w:val="00ED26C7"/>
    <w:rsid w:val="00ED2790"/>
    <w:rsid w:val="00ED347C"/>
    <w:rsid w:val="00ED3E43"/>
    <w:rsid w:val="00ED3F44"/>
    <w:rsid w:val="00ED5143"/>
    <w:rsid w:val="00ED571C"/>
    <w:rsid w:val="00ED6174"/>
    <w:rsid w:val="00ED6741"/>
    <w:rsid w:val="00ED6997"/>
    <w:rsid w:val="00ED7FAD"/>
    <w:rsid w:val="00EE018D"/>
    <w:rsid w:val="00EE1666"/>
    <w:rsid w:val="00EE492B"/>
    <w:rsid w:val="00EE63BB"/>
    <w:rsid w:val="00EE6F0D"/>
    <w:rsid w:val="00EE7930"/>
    <w:rsid w:val="00EE7C77"/>
    <w:rsid w:val="00EF3204"/>
    <w:rsid w:val="00EF32F8"/>
    <w:rsid w:val="00EF5D04"/>
    <w:rsid w:val="00EF6018"/>
    <w:rsid w:val="00F00A24"/>
    <w:rsid w:val="00F00C1B"/>
    <w:rsid w:val="00F02134"/>
    <w:rsid w:val="00F0275F"/>
    <w:rsid w:val="00F03BD1"/>
    <w:rsid w:val="00F04633"/>
    <w:rsid w:val="00F046E6"/>
    <w:rsid w:val="00F0475A"/>
    <w:rsid w:val="00F04BD7"/>
    <w:rsid w:val="00F05073"/>
    <w:rsid w:val="00F054EE"/>
    <w:rsid w:val="00F063BC"/>
    <w:rsid w:val="00F06F8E"/>
    <w:rsid w:val="00F0746C"/>
    <w:rsid w:val="00F07D07"/>
    <w:rsid w:val="00F11463"/>
    <w:rsid w:val="00F127DF"/>
    <w:rsid w:val="00F1295A"/>
    <w:rsid w:val="00F13BB9"/>
    <w:rsid w:val="00F13C39"/>
    <w:rsid w:val="00F142FA"/>
    <w:rsid w:val="00F145F5"/>
    <w:rsid w:val="00F14BE6"/>
    <w:rsid w:val="00F15777"/>
    <w:rsid w:val="00F15E93"/>
    <w:rsid w:val="00F15F28"/>
    <w:rsid w:val="00F16CC4"/>
    <w:rsid w:val="00F1719F"/>
    <w:rsid w:val="00F17530"/>
    <w:rsid w:val="00F17CB7"/>
    <w:rsid w:val="00F20DE4"/>
    <w:rsid w:val="00F2185F"/>
    <w:rsid w:val="00F21C42"/>
    <w:rsid w:val="00F21E06"/>
    <w:rsid w:val="00F21FAB"/>
    <w:rsid w:val="00F2233D"/>
    <w:rsid w:val="00F2295D"/>
    <w:rsid w:val="00F2298B"/>
    <w:rsid w:val="00F230DA"/>
    <w:rsid w:val="00F233E1"/>
    <w:rsid w:val="00F254E7"/>
    <w:rsid w:val="00F26302"/>
    <w:rsid w:val="00F26868"/>
    <w:rsid w:val="00F27594"/>
    <w:rsid w:val="00F279C1"/>
    <w:rsid w:val="00F30112"/>
    <w:rsid w:val="00F31657"/>
    <w:rsid w:val="00F32C40"/>
    <w:rsid w:val="00F3395E"/>
    <w:rsid w:val="00F3504D"/>
    <w:rsid w:val="00F37279"/>
    <w:rsid w:val="00F37799"/>
    <w:rsid w:val="00F40713"/>
    <w:rsid w:val="00F40CE2"/>
    <w:rsid w:val="00F41954"/>
    <w:rsid w:val="00F42496"/>
    <w:rsid w:val="00F42BEB"/>
    <w:rsid w:val="00F42D25"/>
    <w:rsid w:val="00F4342A"/>
    <w:rsid w:val="00F444F2"/>
    <w:rsid w:val="00F44E64"/>
    <w:rsid w:val="00F45D35"/>
    <w:rsid w:val="00F520D0"/>
    <w:rsid w:val="00F52215"/>
    <w:rsid w:val="00F53CB6"/>
    <w:rsid w:val="00F545FE"/>
    <w:rsid w:val="00F55A83"/>
    <w:rsid w:val="00F55FEF"/>
    <w:rsid w:val="00F56051"/>
    <w:rsid w:val="00F56C49"/>
    <w:rsid w:val="00F57B2D"/>
    <w:rsid w:val="00F603A8"/>
    <w:rsid w:val="00F6225B"/>
    <w:rsid w:val="00F63C35"/>
    <w:rsid w:val="00F64160"/>
    <w:rsid w:val="00F647F8"/>
    <w:rsid w:val="00F65158"/>
    <w:rsid w:val="00F65CE6"/>
    <w:rsid w:val="00F667EA"/>
    <w:rsid w:val="00F70464"/>
    <w:rsid w:val="00F70932"/>
    <w:rsid w:val="00F71588"/>
    <w:rsid w:val="00F71A27"/>
    <w:rsid w:val="00F71FC9"/>
    <w:rsid w:val="00F727D7"/>
    <w:rsid w:val="00F7360D"/>
    <w:rsid w:val="00F73C4A"/>
    <w:rsid w:val="00F73E57"/>
    <w:rsid w:val="00F741D2"/>
    <w:rsid w:val="00F74AD4"/>
    <w:rsid w:val="00F74C0E"/>
    <w:rsid w:val="00F750E9"/>
    <w:rsid w:val="00F762BF"/>
    <w:rsid w:val="00F80074"/>
    <w:rsid w:val="00F802FB"/>
    <w:rsid w:val="00F80462"/>
    <w:rsid w:val="00F8245A"/>
    <w:rsid w:val="00F8246C"/>
    <w:rsid w:val="00F84DF6"/>
    <w:rsid w:val="00F856EE"/>
    <w:rsid w:val="00F85AA8"/>
    <w:rsid w:val="00F85B6F"/>
    <w:rsid w:val="00F8743A"/>
    <w:rsid w:val="00F87C66"/>
    <w:rsid w:val="00F91286"/>
    <w:rsid w:val="00F91483"/>
    <w:rsid w:val="00F9151D"/>
    <w:rsid w:val="00F921A7"/>
    <w:rsid w:val="00F92B8C"/>
    <w:rsid w:val="00F938C3"/>
    <w:rsid w:val="00F94683"/>
    <w:rsid w:val="00F9608B"/>
    <w:rsid w:val="00F96F26"/>
    <w:rsid w:val="00F97A53"/>
    <w:rsid w:val="00FA08FC"/>
    <w:rsid w:val="00FA0928"/>
    <w:rsid w:val="00FA1F9F"/>
    <w:rsid w:val="00FA1FEB"/>
    <w:rsid w:val="00FA2B90"/>
    <w:rsid w:val="00FA2FE2"/>
    <w:rsid w:val="00FA3A2E"/>
    <w:rsid w:val="00FA3F34"/>
    <w:rsid w:val="00FA5082"/>
    <w:rsid w:val="00FA59C5"/>
    <w:rsid w:val="00FA7A86"/>
    <w:rsid w:val="00FA7E9D"/>
    <w:rsid w:val="00FB12CD"/>
    <w:rsid w:val="00FB15C1"/>
    <w:rsid w:val="00FB2152"/>
    <w:rsid w:val="00FB2260"/>
    <w:rsid w:val="00FB2D9F"/>
    <w:rsid w:val="00FB30C0"/>
    <w:rsid w:val="00FB3BF5"/>
    <w:rsid w:val="00FB4E08"/>
    <w:rsid w:val="00FB4F9E"/>
    <w:rsid w:val="00FB5DF8"/>
    <w:rsid w:val="00FB67B9"/>
    <w:rsid w:val="00FB7387"/>
    <w:rsid w:val="00FB7B71"/>
    <w:rsid w:val="00FC0170"/>
    <w:rsid w:val="00FC0886"/>
    <w:rsid w:val="00FC18FB"/>
    <w:rsid w:val="00FC289A"/>
    <w:rsid w:val="00FC2E22"/>
    <w:rsid w:val="00FC33CB"/>
    <w:rsid w:val="00FC4832"/>
    <w:rsid w:val="00FC517B"/>
    <w:rsid w:val="00FC53F8"/>
    <w:rsid w:val="00FC5F8D"/>
    <w:rsid w:val="00FC6F63"/>
    <w:rsid w:val="00FC73D4"/>
    <w:rsid w:val="00FD17E3"/>
    <w:rsid w:val="00FD364D"/>
    <w:rsid w:val="00FD3AE9"/>
    <w:rsid w:val="00FD4263"/>
    <w:rsid w:val="00FD4424"/>
    <w:rsid w:val="00FD5E03"/>
    <w:rsid w:val="00FD5F9E"/>
    <w:rsid w:val="00FD643A"/>
    <w:rsid w:val="00FD713B"/>
    <w:rsid w:val="00FD787B"/>
    <w:rsid w:val="00FD7CB7"/>
    <w:rsid w:val="00FD7DA7"/>
    <w:rsid w:val="00FD7F20"/>
    <w:rsid w:val="00FE054C"/>
    <w:rsid w:val="00FE1A4D"/>
    <w:rsid w:val="00FE1AB7"/>
    <w:rsid w:val="00FE2C6E"/>
    <w:rsid w:val="00FE3CA3"/>
    <w:rsid w:val="00FE5672"/>
    <w:rsid w:val="00FE5AB5"/>
    <w:rsid w:val="00FE5E0D"/>
    <w:rsid w:val="00FE62B5"/>
    <w:rsid w:val="00FE68FB"/>
    <w:rsid w:val="00FE738C"/>
    <w:rsid w:val="00FE78BA"/>
    <w:rsid w:val="00FE79CF"/>
    <w:rsid w:val="00FF0056"/>
    <w:rsid w:val="00FF021B"/>
    <w:rsid w:val="00FF054A"/>
    <w:rsid w:val="00FF0989"/>
    <w:rsid w:val="00FF100A"/>
    <w:rsid w:val="00FF1F3B"/>
    <w:rsid w:val="00FF23C6"/>
    <w:rsid w:val="00FF4223"/>
    <w:rsid w:val="00FF4466"/>
    <w:rsid w:val="00FF474B"/>
    <w:rsid w:val="00FF480A"/>
    <w:rsid w:val="00FF5260"/>
    <w:rsid w:val="00FF5995"/>
    <w:rsid w:val="00FF6EE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26C6B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9A0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3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"/>
    <w:basedOn w:val="Standardnpsmoodstavce"/>
    <w:uiPriority w:val="99"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paragraph" w:styleId="Zkladntext2">
    <w:name w:val="Body Text 2"/>
    <w:basedOn w:val="Normln"/>
    <w:link w:val="Zkladntext2Char"/>
    <w:uiPriority w:val="99"/>
    <w:unhideWhenUsed/>
    <w:rsid w:val="00AC2A81"/>
    <w:pPr>
      <w:spacing w:line="480" w:lineRule="auto"/>
    </w:pPr>
    <w:rPr>
      <w:rFonts w:ascii="Times New Roman" w:hAnsi="Times New Roman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C2A8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8A8194ABDB559E4EA6DCF74D90837326" ma:contentTypeVersion="4" ma:contentTypeDescription="Nový dokument" ma:contentTypeScope="" ma:versionID="d89e704d5da6f95c6d8ec76e9aef2c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3682635821b83fa383227db51b23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97E2BB-C1B5-4097-B9CD-7B440EA72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9BB576-179A-4558-AD94-A3E8135B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5477189.dotm</Template>
  <TotalTime>70</TotalTime>
  <Pages>16</Pages>
  <Words>5178</Words>
  <Characters>30557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19/08 - Závěrečný účet kapitoly státního rozpočtu Ministerstvo dopravy za rok 2018, účetní závěrka Ministerstva dopravy za rok 2018 a údaje předkládané Ministerstvem dopravy pro hodnocení plnění státního rozpočtu za</vt:lpstr>
    </vt:vector>
  </TitlesOfParts>
  <Company>NKU</Company>
  <LinksUpToDate>false</LinksUpToDate>
  <CharactersWithSpaces>35664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19/08 - Závěrečný účet kapitoly státního rozpočtu Ministerstvo dopravy za rok 2018, účetní závěrka Ministerstva dopravy za rok 2018 a údaje předkládané Ministerstvem dopravy pro hodnocení plnění státního rozpočtu za rok 2018</dc:title>
  <dc:creator>Nejvyšší kontrolní úřad</dc:creator>
  <cp:keywords>kontrolní závěr; účetnictví; ministerstvo dopravy; MD</cp:keywords>
  <cp:lastModifiedBy>KOKRDA Daniel</cp:lastModifiedBy>
  <cp:revision>3</cp:revision>
  <cp:lastPrinted>2020-03-09T10:45:00Z</cp:lastPrinted>
  <dcterms:created xsi:type="dcterms:W3CDTF">2020-03-09T10:44:00Z</dcterms:created>
  <dcterms:modified xsi:type="dcterms:W3CDTF">2020-03-09T11:53:00Z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0x0101008A8194ABDB559E4EA6DCF74D90837326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