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5DD01" w14:textId="77777777" w:rsidR="00246D13" w:rsidRPr="00280955" w:rsidRDefault="00246D13" w:rsidP="00497852">
      <w:pPr>
        <w:widowControl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8095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94F5C4" wp14:editId="06A55F5C">
            <wp:simplePos x="0" y="0"/>
            <wp:positionH relativeFrom="column">
              <wp:posOffset>2480310</wp:posOffset>
            </wp:positionH>
            <wp:positionV relativeFrom="paragraph">
              <wp:posOffset>8255</wp:posOffset>
            </wp:positionV>
            <wp:extent cx="791210" cy="559435"/>
            <wp:effectExtent l="0" t="0" r="8890" b="0"/>
            <wp:wrapTopAndBottom/>
            <wp:docPr id="1" name="Obrázek 1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C4B4D" w14:textId="77777777" w:rsidR="00246D13" w:rsidRPr="00280955" w:rsidRDefault="00246D13" w:rsidP="00497852">
      <w:pPr>
        <w:widowControl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19DF2" w14:textId="77777777" w:rsidR="00246D13" w:rsidRPr="00280955" w:rsidRDefault="00246D13" w:rsidP="00497852">
      <w:pPr>
        <w:widowControl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D44FFA4" w14:textId="77777777" w:rsidR="00246D13" w:rsidRPr="00A35817" w:rsidRDefault="00246D13" w:rsidP="00497852">
      <w:pPr>
        <w:pStyle w:val="Nadpis8"/>
        <w:keepNext w:val="0"/>
        <w:rPr>
          <w:rFonts w:cs="Calibri"/>
          <w:noProof w:val="0"/>
          <w:color w:val="000000"/>
          <w:sz w:val="28"/>
          <w:szCs w:val="28"/>
        </w:rPr>
      </w:pPr>
      <w:r w:rsidRPr="00A35817">
        <w:rPr>
          <w:rFonts w:cs="Calibri"/>
          <w:noProof w:val="0"/>
          <w:color w:val="000000"/>
          <w:sz w:val="28"/>
          <w:szCs w:val="28"/>
        </w:rPr>
        <w:t>Kontrolní závěr z kontrolní akce</w:t>
      </w:r>
    </w:p>
    <w:p w14:paraId="4B100F4C" w14:textId="77777777" w:rsidR="00246D13" w:rsidRPr="00280955" w:rsidRDefault="00246D13" w:rsidP="00497852">
      <w:pPr>
        <w:widowControl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4227A37C" w14:textId="77777777" w:rsidR="00246D13" w:rsidRPr="00A35817" w:rsidRDefault="00246D13" w:rsidP="00497852">
      <w:pPr>
        <w:pStyle w:val="Nadpis8"/>
        <w:keepNext w:val="0"/>
        <w:rPr>
          <w:rFonts w:cs="Calibri"/>
          <w:noProof w:val="0"/>
          <w:color w:val="000000"/>
          <w:sz w:val="28"/>
          <w:szCs w:val="28"/>
        </w:rPr>
      </w:pPr>
      <w:r w:rsidRPr="00A35817">
        <w:rPr>
          <w:rFonts w:cs="Calibri"/>
          <w:noProof w:val="0"/>
          <w:color w:val="000000"/>
          <w:sz w:val="28"/>
          <w:szCs w:val="28"/>
        </w:rPr>
        <w:t>1</w:t>
      </w:r>
      <w:r w:rsidR="0056546D" w:rsidRPr="00A35817">
        <w:rPr>
          <w:rFonts w:cs="Calibri"/>
          <w:noProof w:val="0"/>
          <w:color w:val="000000"/>
          <w:sz w:val="28"/>
          <w:szCs w:val="28"/>
        </w:rPr>
        <w:t>9</w:t>
      </w:r>
      <w:r w:rsidRPr="00A35817">
        <w:rPr>
          <w:rFonts w:cs="Calibri"/>
          <w:noProof w:val="0"/>
          <w:color w:val="000000"/>
          <w:sz w:val="28"/>
          <w:szCs w:val="28"/>
        </w:rPr>
        <w:t>/</w:t>
      </w:r>
      <w:r w:rsidR="0056546D" w:rsidRPr="00A35817">
        <w:rPr>
          <w:rFonts w:cs="Calibri"/>
          <w:noProof w:val="0"/>
          <w:color w:val="000000"/>
          <w:sz w:val="28"/>
          <w:szCs w:val="28"/>
        </w:rPr>
        <w:t>07</w:t>
      </w:r>
    </w:p>
    <w:p w14:paraId="05B7B3D4" w14:textId="77777777" w:rsidR="00246D13" w:rsidRPr="00280955" w:rsidRDefault="00246D13" w:rsidP="00497852">
      <w:pPr>
        <w:widowControl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37A6F14" w14:textId="77777777" w:rsidR="00246D13" w:rsidRPr="00A35817" w:rsidRDefault="0056546D" w:rsidP="00497852">
      <w:pPr>
        <w:widowControl/>
        <w:jc w:val="center"/>
        <w:rPr>
          <w:rFonts w:ascii="Calibri" w:hAnsi="Calibri" w:cs="Calibri"/>
          <w:b/>
          <w:color w:val="000000"/>
          <w:sz w:val="28"/>
        </w:rPr>
      </w:pPr>
      <w:r w:rsidRPr="00A35817">
        <w:rPr>
          <w:rFonts w:ascii="Calibri" w:hAnsi="Calibri" w:cs="Calibri"/>
          <w:b/>
          <w:color w:val="000000"/>
          <w:sz w:val="28"/>
        </w:rPr>
        <w:t>Majetek a peněžní prostředky státu, se kterými je příslušná hospodařit Vězeňská služba České republiky</w:t>
      </w:r>
    </w:p>
    <w:p w14:paraId="3B0452C5" w14:textId="77777777" w:rsidR="00246D13" w:rsidRPr="00280955" w:rsidRDefault="00246D13" w:rsidP="00497852">
      <w:pPr>
        <w:widowControl/>
        <w:rPr>
          <w:rFonts w:asciiTheme="minorHAnsi" w:hAnsiTheme="minorHAnsi" w:cstheme="minorHAnsi"/>
          <w:color w:val="000000"/>
          <w:sz w:val="24"/>
          <w:szCs w:val="24"/>
        </w:rPr>
      </w:pPr>
    </w:p>
    <w:p w14:paraId="2FE816D3" w14:textId="77777777" w:rsidR="00246D13" w:rsidRPr="00280955" w:rsidRDefault="00246D13" w:rsidP="00497852">
      <w:pPr>
        <w:widowControl/>
        <w:rPr>
          <w:rFonts w:asciiTheme="minorHAnsi" w:hAnsiTheme="minorHAnsi" w:cstheme="minorHAnsi"/>
          <w:color w:val="000000"/>
          <w:sz w:val="24"/>
          <w:szCs w:val="24"/>
        </w:rPr>
      </w:pPr>
    </w:p>
    <w:p w14:paraId="75C06C86" w14:textId="77777777" w:rsidR="00413889" w:rsidRPr="00280955" w:rsidRDefault="00413889" w:rsidP="00497852">
      <w:pPr>
        <w:widowControl/>
        <w:rPr>
          <w:rFonts w:asciiTheme="minorHAnsi" w:hAnsiTheme="minorHAnsi" w:cstheme="minorHAnsi"/>
          <w:color w:val="000000"/>
          <w:sz w:val="24"/>
          <w:szCs w:val="24"/>
        </w:rPr>
      </w:pPr>
    </w:p>
    <w:p w14:paraId="721042A5" w14:textId="77777777" w:rsidR="00D244F5" w:rsidRPr="00280955" w:rsidRDefault="00D244F5" w:rsidP="00497852">
      <w:pPr>
        <w:widowControl/>
        <w:rPr>
          <w:rFonts w:asciiTheme="minorHAnsi" w:hAnsiTheme="minorHAnsi" w:cstheme="minorHAnsi"/>
          <w:color w:val="000000"/>
          <w:sz w:val="24"/>
          <w:szCs w:val="24"/>
        </w:rPr>
      </w:pPr>
    </w:p>
    <w:p w14:paraId="74D9986B" w14:textId="22589675" w:rsidR="00246D13" w:rsidRPr="00A35817" w:rsidRDefault="00246D13" w:rsidP="00497852">
      <w:pPr>
        <w:widowControl/>
        <w:jc w:val="both"/>
        <w:rPr>
          <w:rFonts w:ascii="Calibri" w:hAnsi="Calibri" w:cs="Calibri"/>
        </w:rPr>
      </w:pPr>
      <w:r w:rsidRPr="00A35817">
        <w:rPr>
          <w:rFonts w:asciiTheme="minorHAnsi" w:hAnsiTheme="minorHAnsi" w:cs="Calibri"/>
          <w:color w:val="000000"/>
          <w:sz w:val="24"/>
          <w:szCs w:val="24"/>
        </w:rPr>
        <w:t xml:space="preserve">Kontrolní akce byla zařazena do plánu kontrolní činnosti Nejvyššího kontrolního úřadu </w:t>
      </w:r>
      <w:r w:rsidR="009F090A" w:rsidRPr="00A35817">
        <w:rPr>
          <w:rFonts w:asciiTheme="minorHAnsi" w:hAnsiTheme="minorHAnsi" w:cs="Calibri"/>
          <w:color w:val="000000"/>
          <w:sz w:val="24"/>
          <w:szCs w:val="24"/>
        </w:rPr>
        <w:br/>
      </w:r>
      <w:r w:rsidRPr="00A35817">
        <w:rPr>
          <w:rFonts w:asciiTheme="minorHAnsi" w:hAnsiTheme="minorHAnsi" w:cs="Calibri"/>
          <w:color w:val="000000"/>
          <w:sz w:val="24"/>
          <w:szCs w:val="24"/>
        </w:rPr>
        <w:t>(NK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>Ú) na rok 201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>9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 xml:space="preserve"> pod číslem 1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>9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>/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>07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>. Kontrolní akci řídil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 xml:space="preserve"> a kontrolní závěr vypracoval člen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 xml:space="preserve"> NKÚ 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>Ing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>.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 xml:space="preserve"> Roman Procházka.</w:t>
      </w:r>
    </w:p>
    <w:p w14:paraId="5AB9310A" w14:textId="77777777" w:rsidR="00246D13" w:rsidRPr="00A35817" w:rsidRDefault="00246D13" w:rsidP="00497852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</w:p>
    <w:p w14:paraId="0D9B2354" w14:textId="77777777" w:rsidR="00D244F5" w:rsidRPr="00A35817" w:rsidRDefault="00D244F5" w:rsidP="00497852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</w:p>
    <w:p w14:paraId="13A70710" w14:textId="66284AFB" w:rsidR="00246D13" w:rsidRPr="00A35817" w:rsidRDefault="00246D13" w:rsidP="00497852">
      <w:pPr>
        <w:widowControl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color w:val="000000"/>
          <w:sz w:val="24"/>
          <w:szCs w:val="24"/>
        </w:rPr>
        <w:t>Cíl</w:t>
      </w:r>
      <w:r w:rsidR="00426928" w:rsidRPr="00A35817">
        <w:rPr>
          <w:rFonts w:asciiTheme="minorHAnsi" w:hAnsiTheme="minorHAnsi" w:cs="Calibri"/>
          <w:color w:val="000000"/>
          <w:sz w:val="24"/>
          <w:szCs w:val="24"/>
        </w:rPr>
        <w:t xml:space="preserve">em kontrolní akce bylo prověřit, 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>zda Vězeňská služba České republiky hospodaří s majetkem a peněžními prostředky státu účelně, hospodárně a v souladu s právními předpisy a zda realizovaná opatření přispívají k hospodárnosti výdajů v této oblasti.</w:t>
      </w:r>
    </w:p>
    <w:p w14:paraId="09C6B779" w14:textId="77777777" w:rsidR="00D244F5" w:rsidRPr="00A35817" w:rsidRDefault="00D244F5" w:rsidP="00497852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</w:p>
    <w:p w14:paraId="27795B73" w14:textId="77777777" w:rsidR="00D244F5" w:rsidRPr="00A35817" w:rsidRDefault="00D244F5" w:rsidP="00497852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</w:p>
    <w:p w14:paraId="75B610FB" w14:textId="77777777" w:rsidR="00246D13" w:rsidRPr="00A35817" w:rsidRDefault="00246D13" w:rsidP="00497852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color w:val="000000"/>
          <w:sz w:val="24"/>
          <w:szCs w:val="24"/>
        </w:rPr>
        <w:t>Kontro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 xml:space="preserve">la byla prováděna u kontrolovaných osob v období od 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>května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 xml:space="preserve"> 201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>9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 xml:space="preserve"> do </w:t>
      </w:r>
      <w:r w:rsidR="00D244F5" w:rsidRPr="00A35817">
        <w:rPr>
          <w:rFonts w:asciiTheme="minorHAnsi" w:hAnsiTheme="minorHAnsi" w:cs="Calibri"/>
          <w:color w:val="000000"/>
          <w:sz w:val="24"/>
          <w:szCs w:val="24"/>
        </w:rPr>
        <w:t>listopadu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 xml:space="preserve"> 2019. </w:t>
      </w:r>
    </w:p>
    <w:p w14:paraId="64B674F4" w14:textId="77777777" w:rsidR="00D244F5" w:rsidRPr="00A35817" w:rsidRDefault="00D244F5" w:rsidP="00497852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</w:p>
    <w:p w14:paraId="46B19393" w14:textId="77777777" w:rsidR="00246D13" w:rsidRPr="00A35817" w:rsidRDefault="00246D13" w:rsidP="00497852">
      <w:pPr>
        <w:widowControl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color w:val="000000"/>
          <w:sz w:val="24"/>
          <w:szCs w:val="24"/>
        </w:rPr>
        <w:t>Kont</w:t>
      </w:r>
      <w:r w:rsidR="009537FD" w:rsidRPr="00A35817">
        <w:rPr>
          <w:rFonts w:asciiTheme="minorHAnsi" w:hAnsiTheme="minorHAnsi" w:cs="Calibri"/>
          <w:color w:val="000000"/>
          <w:sz w:val="24"/>
          <w:szCs w:val="24"/>
        </w:rPr>
        <w:t>rolovaným obdobím byly roky 2016 až 2018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>, v případě věcných souvislostí i období předch</w:t>
      </w:r>
      <w:r w:rsidR="00527096" w:rsidRPr="00A35817">
        <w:rPr>
          <w:rFonts w:asciiTheme="minorHAnsi" w:hAnsiTheme="minorHAnsi" w:cs="Calibri"/>
          <w:color w:val="000000"/>
          <w:sz w:val="24"/>
          <w:szCs w:val="24"/>
        </w:rPr>
        <w:t>ázející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 xml:space="preserve"> a</w:t>
      </w:r>
      <w:r w:rsidR="006515CD" w:rsidRPr="00A3581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>období následující.</w:t>
      </w:r>
    </w:p>
    <w:p w14:paraId="25774D90" w14:textId="77777777" w:rsidR="00246D13" w:rsidRPr="00A35817" w:rsidRDefault="00246D13" w:rsidP="00497852">
      <w:pPr>
        <w:widowControl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6CE75B03" w14:textId="77777777" w:rsidR="00246D13" w:rsidRPr="00A35817" w:rsidRDefault="00657EBD" w:rsidP="00497852">
      <w:pPr>
        <w:widowControl/>
        <w:rPr>
          <w:rFonts w:asciiTheme="minorHAnsi" w:hAnsiTheme="minorHAnsi" w:cs="Calibri"/>
          <w:b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b/>
          <w:color w:val="000000"/>
          <w:sz w:val="24"/>
          <w:szCs w:val="24"/>
        </w:rPr>
        <w:t>Kontrolované osoby</w:t>
      </w:r>
      <w:r w:rsidR="00246D13" w:rsidRPr="00A35817">
        <w:rPr>
          <w:rFonts w:asciiTheme="minorHAnsi" w:hAnsiTheme="minorHAnsi" w:cs="Calibri"/>
          <w:b/>
          <w:color w:val="000000"/>
          <w:sz w:val="24"/>
          <w:szCs w:val="24"/>
        </w:rPr>
        <w:t xml:space="preserve">: </w:t>
      </w:r>
    </w:p>
    <w:p w14:paraId="029B69CB" w14:textId="77777777" w:rsidR="00C42141" w:rsidRPr="00A35817" w:rsidRDefault="009537FD" w:rsidP="00497852">
      <w:pPr>
        <w:pStyle w:val="Zkladn"/>
        <w:spacing w:before="0"/>
        <w:rPr>
          <w:rFonts w:asciiTheme="minorHAnsi" w:hAnsiTheme="minorHAnsi" w:cs="Calibri"/>
          <w:color w:val="000000"/>
          <w:lang w:eastAsia="cs-CZ"/>
        </w:rPr>
      </w:pPr>
      <w:r w:rsidRPr="00A35817">
        <w:rPr>
          <w:rFonts w:asciiTheme="minorHAnsi" w:hAnsiTheme="minorHAnsi" w:cs="Calibri"/>
          <w:color w:val="000000"/>
          <w:lang w:eastAsia="cs-CZ"/>
        </w:rPr>
        <w:t xml:space="preserve">Ministerstvo </w:t>
      </w:r>
      <w:r w:rsidR="00D244F5" w:rsidRPr="00A35817">
        <w:rPr>
          <w:rFonts w:asciiTheme="minorHAnsi" w:hAnsiTheme="minorHAnsi" w:cs="Calibri"/>
          <w:color w:val="000000"/>
          <w:lang w:eastAsia="cs-CZ"/>
        </w:rPr>
        <w:t>spravedlnosti</w:t>
      </w:r>
      <w:r w:rsidR="0052509B" w:rsidRPr="00A35817">
        <w:rPr>
          <w:rFonts w:asciiTheme="minorHAnsi" w:hAnsiTheme="minorHAnsi" w:cs="Calibri"/>
          <w:color w:val="000000"/>
          <w:lang w:eastAsia="cs-CZ"/>
        </w:rPr>
        <w:t xml:space="preserve"> </w:t>
      </w:r>
      <w:r w:rsidR="00BF779E">
        <w:rPr>
          <w:rFonts w:asciiTheme="minorHAnsi" w:hAnsiTheme="minorHAnsi" w:cs="Calibri"/>
          <w:color w:val="000000"/>
          <w:lang w:eastAsia="cs-CZ"/>
        </w:rPr>
        <w:t>(</w:t>
      </w:r>
      <w:r w:rsidRPr="00A35817">
        <w:rPr>
          <w:rFonts w:asciiTheme="minorHAnsi" w:hAnsiTheme="minorHAnsi" w:cs="Calibri"/>
          <w:color w:val="000000"/>
          <w:lang w:eastAsia="cs-CZ"/>
        </w:rPr>
        <w:t>M</w:t>
      </w:r>
      <w:r w:rsidR="00D244F5" w:rsidRPr="00A35817">
        <w:rPr>
          <w:rFonts w:asciiTheme="minorHAnsi" w:hAnsiTheme="minorHAnsi" w:cs="Calibri"/>
          <w:color w:val="000000"/>
          <w:lang w:eastAsia="cs-CZ"/>
        </w:rPr>
        <w:t>Sp</w:t>
      </w:r>
      <w:r w:rsidRPr="00A35817">
        <w:rPr>
          <w:rFonts w:asciiTheme="minorHAnsi" w:hAnsiTheme="minorHAnsi" w:cs="Calibri"/>
          <w:color w:val="000000"/>
          <w:lang w:eastAsia="cs-CZ"/>
        </w:rPr>
        <w:t>)</w:t>
      </w:r>
      <w:r w:rsidR="006806CA" w:rsidRPr="00A35817">
        <w:rPr>
          <w:rFonts w:asciiTheme="minorHAnsi" w:hAnsiTheme="minorHAnsi" w:cs="Calibri"/>
          <w:color w:val="000000"/>
          <w:lang w:eastAsia="cs-CZ"/>
        </w:rPr>
        <w:t>,</w:t>
      </w:r>
    </w:p>
    <w:p w14:paraId="1F365336" w14:textId="67CAC7CA" w:rsidR="00246D13" w:rsidRPr="00A35817" w:rsidRDefault="00D244F5" w:rsidP="00497852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  <w:r w:rsidRPr="00A35817">
        <w:rPr>
          <w:rFonts w:cs="Calibri"/>
          <w:b w:val="0"/>
          <w:bCs w:val="0"/>
          <w:color w:val="000000"/>
          <w:sz w:val="24"/>
          <w:szCs w:val="24"/>
        </w:rPr>
        <w:t>Vězeňská služba České republiky</w:t>
      </w:r>
      <w:r w:rsidR="00767DFB">
        <w:rPr>
          <w:rFonts w:cs="Calibri"/>
          <w:b w:val="0"/>
          <w:bCs w:val="0"/>
          <w:color w:val="000000"/>
          <w:sz w:val="24"/>
          <w:szCs w:val="24"/>
        </w:rPr>
        <w:t>, Praha</w:t>
      </w:r>
      <w:r w:rsidRPr="00A35817">
        <w:rPr>
          <w:rFonts w:cs="Calibri"/>
          <w:b w:val="0"/>
          <w:bCs w:val="0"/>
          <w:color w:val="000000"/>
          <w:sz w:val="24"/>
          <w:szCs w:val="24"/>
        </w:rPr>
        <w:t xml:space="preserve"> (</w:t>
      </w:r>
      <w:r w:rsidR="0099697E">
        <w:rPr>
          <w:rFonts w:cs="Calibri"/>
          <w:b w:val="0"/>
          <w:bCs w:val="0"/>
          <w:color w:val="000000"/>
          <w:sz w:val="24"/>
          <w:szCs w:val="24"/>
        </w:rPr>
        <w:t>VS ČR</w:t>
      </w:r>
      <w:r w:rsidRPr="00A35817">
        <w:rPr>
          <w:rFonts w:cs="Calibri"/>
          <w:b w:val="0"/>
          <w:bCs w:val="0"/>
          <w:color w:val="000000"/>
          <w:sz w:val="24"/>
          <w:szCs w:val="24"/>
        </w:rPr>
        <w:t>)</w:t>
      </w:r>
      <w:r w:rsidR="006806CA" w:rsidRPr="00A35817">
        <w:rPr>
          <w:rFonts w:cs="Calibri"/>
          <w:b w:val="0"/>
          <w:bCs w:val="0"/>
          <w:color w:val="000000"/>
          <w:sz w:val="24"/>
          <w:szCs w:val="24"/>
        </w:rPr>
        <w:t>.</w:t>
      </w:r>
    </w:p>
    <w:p w14:paraId="0222F685" w14:textId="77777777" w:rsidR="00246D13" w:rsidRPr="00A35817" w:rsidRDefault="00246D13" w:rsidP="00497852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</w:p>
    <w:p w14:paraId="125803C4" w14:textId="77777777" w:rsidR="00D244F5" w:rsidRPr="00A35817" w:rsidRDefault="00D244F5" w:rsidP="00497852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</w:p>
    <w:p w14:paraId="55953991" w14:textId="77777777" w:rsidR="007A1765" w:rsidRPr="00A35817" w:rsidRDefault="007A1765" w:rsidP="00497852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</w:p>
    <w:p w14:paraId="58CE4578" w14:textId="77777777" w:rsidR="007A1765" w:rsidRPr="00A35817" w:rsidRDefault="007A1765" w:rsidP="00497852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</w:p>
    <w:p w14:paraId="7C4BE59B" w14:textId="7DF5FB29" w:rsidR="00246D13" w:rsidRPr="00A35817" w:rsidRDefault="00246D13" w:rsidP="00497852">
      <w:pPr>
        <w:pStyle w:val="Zkladntext"/>
        <w:spacing w:after="120"/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i/>
          <w:iCs/>
          <w:color w:val="000000"/>
          <w:sz w:val="24"/>
          <w:szCs w:val="24"/>
        </w:rPr>
        <w:t>K o l e g i u m   N K Ú</w:t>
      </w:r>
      <w:r w:rsidRPr="00A35817">
        <w:rPr>
          <w:rFonts w:asciiTheme="minorHAnsi" w:hAnsiTheme="minorHAnsi" w:cs="Calibri"/>
          <w:b w:val="0"/>
          <w:i/>
          <w:iCs/>
          <w:color w:val="000000"/>
          <w:sz w:val="24"/>
          <w:szCs w:val="24"/>
        </w:rPr>
        <w:t xml:space="preserve">   </w:t>
      </w:r>
      <w:r w:rsidRPr="00A35817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na svém</w:t>
      </w:r>
      <w:r w:rsidR="00657EBD" w:rsidRPr="00A35817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 </w:t>
      </w:r>
      <w:r w:rsidR="0087457C" w:rsidRPr="00767DFB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II</w:t>
      </w:r>
      <w:r w:rsidR="00D66AB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I</w:t>
      </w:r>
      <w:r w:rsidR="00C525E0" w:rsidRPr="00767DFB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.</w:t>
      </w:r>
      <w:r w:rsidRPr="00767DFB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 jedná</w:t>
      </w:r>
      <w:r w:rsidR="00C525E0" w:rsidRPr="00767DFB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ní</w:t>
      </w:r>
      <w:r w:rsidR="00C525E0" w:rsidRPr="00A35817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, které se konalo dne </w:t>
      </w:r>
      <w:r w:rsidR="00D66AB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24</w:t>
      </w:r>
      <w:r w:rsidR="00767DFB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. února </w:t>
      </w:r>
      <w:r w:rsidR="0087457C" w:rsidRPr="00A35817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2020</w:t>
      </w:r>
      <w:r w:rsidR="00C525E0" w:rsidRPr="00A35817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,</w:t>
      </w:r>
    </w:p>
    <w:p w14:paraId="06B4636C" w14:textId="2C7EBD21" w:rsidR="00246D13" w:rsidRPr="00A35817" w:rsidRDefault="00246D13" w:rsidP="00497852">
      <w:pPr>
        <w:widowControl/>
        <w:spacing w:after="120"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b/>
          <w:bCs/>
          <w:i/>
          <w:iCs/>
          <w:color w:val="000000"/>
          <w:sz w:val="24"/>
          <w:szCs w:val="24"/>
        </w:rPr>
        <w:t>s c h v á l i l o</w:t>
      </w:r>
      <w:r w:rsidR="00AF232F" w:rsidRPr="00A35817">
        <w:rPr>
          <w:rFonts w:asciiTheme="minorHAnsi" w:hAnsiTheme="minorHAnsi" w:cs="Calibri"/>
          <w:color w:val="000000"/>
          <w:sz w:val="24"/>
          <w:szCs w:val="24"/>
        </w:rPr>
        <w:t xml:space="preserve">   usnesením </w:t>
      </w:r>
      <w:r w:rsidR="000857F2" w:rsidRPr="00A35817">
        <w:rPr>
          <w:rFonts w:asciiTheme="minorHAnsi" w:hAnsiTheme="minorHAnsi" w:cs="Calibri"/>
          <w:color w:val="000000"/>
          <w:sz w:val="24"/>
          <w:szCs w:val="24"/>
        </w:rPr>
        <w:t>č.</w:t>
      </w:r>
      <w:r w:rsidR="00AF232F" w:rsidRPr="00A3581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708AB">
        <w:rPr>
          <w:rFonts w:asciiTheme="minorHAnsi" w:hAnsiTheme="minorHAnsi" w:cs="Calibri"/>
          <w:color w:val="000000"/>
          <w:sz w:val="24"/>
          <w:szCs w:val="24"/>
        </w:rPr>
        <w:t>9</w:t>
      </w:r>
      <w:r w:rsidR="00767DFB">
        <w:rPr>
          <w:rFonts w:asciiTheme="minorHAnsi" w:hAnsiTheme="minorHAnsi" w:cs="Calibri"/>
          <w:color w:val="000000"/>
          <w:sz w:val="24"/>
          <w:szCs w:val="24"/>
        </w:rPr>
        <w:t>/</w:t>
      </w:r>
      <w:r w:rsidR="00D66AB1">
        <w:rPr>
          <w:rFonts w:asciiTheme="minorHAnsi" w:hAnsiTheme="minorHAnsi" w:cs="Calibri"/>
          <w:color w:val="000000"/>
          <w:sz w:val="24"/>
          <w:szCs w:val="24"/>
        </w:rPr>
        <w:t>III</w:t>
      </w:r>
      <w:r w:rsidR="00F25C86" w:rsidRPr="00A35817">
        <w:rPr>
          <w:rFonts w:asciiTheme="minorHAnsi" w:hAnsiTheme="minorHAnsi" w:cs="Calibri"/>
          <w:color w:val="000000"/>
          <w:sz w:val="24"/>
          <w:szCs w:val="24"/>
        </w:rPr>
        <w:t>/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>20</w:t>
      </w:r>
      <w:r w:rsidR="0087457C" w:rsidRPr="00A35817">
        <w:rPr>
          <w:rFonts w:asciiTheme="minorHAnsi" w:hAnsiTheme="minorHAnsi" w:cs="Calibri"/>
          <w:color w:val="000000"/>
          <w:sz w:val="24"/>
          <w:szCs w:val="24"/>
        </w:rPr>
        <w:t>20</w:t>
      </w:r>
    </w:p>
    <w:p w14:paraId="5156E04E" w14:textId="77777777" w:rsidR="00246D13" w:rsidRPr="00A35817" w:rsidRDefault="00246D13" w:rsidP="00497852">
      <w:pPr>
        <w:widowControl/>
        <w:spacing w:after="120"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b/>
          <w:bCs/>
          <w:i/>
          <w:iCs/>
          <w:color w:val="000000"/>
          <w:sz w:val="24"/>
          <w:szCs w:val="24"/>
        </w:rPr>
        <w:t>k o n t r o l n í   z á v ě r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 xml:space="preserve">   v tomto znění:</w:t>
      </w:r>
    </w:p>
    <w:p w14:paraId="0CE7E169" w14:textId="77777777" w:rsidR="00906A7E" w:rsidRPr="00A35817" w:rsidRDefault="00906A7E" w:rsidP="00497852">
      <w:pPr>
        <w:widowControl/>
        <w:autoSpaceDE/>
        <w:autoSpaceDN/>
        <w:adjustRightInd/>
        <w:spacing w:after="160" w:line="259" w:lineRule="auto"/>
        <w:rPr>
          <w:rFonts w:cs="Calibri"/>
          <w:b/>
          <w:color w:val="000000"/>
        </w:rPr>
      </w:pPr>
    </w:p>
    <w:p w14:paraId="62DE4EC1" w14:textId="77777777" w:rsidR="00413889" w:rsidRPr="00A35817" w:rsidRDefault="00413889" w:rsidP="00497852">
      <w:pPr>
        <w:widowControl/>
        <w:autoSpaceDE/>
        <w:autoSpaceDN/>
        <w:adjustRightInd/>
        <w:spacing w:after="160" w:line="259" w:lineRule="auto"/>
        <w:rPr>
          <w:rFonts w:cs="Calibri"/>
          <w:b/>
          <w:color w:val="000000"/>
        </w:rPr>
      </w:pPr>
    </w:p>
    <w:p w14:paraId="05802A44" w14:textId="77777777" w:rsidR="00906A7E" w:rsidRPr="00A35817" w:rsidRDefault="00906A7E" w:rsidP="00497852">
      <w:pPr>
        <w:widowControl/>
        <w:autoSpaceDE/>
        <w:autoSpaceDN/>
        <w:adjustRightInd/>
        <w:spacing w:after="160" w:line="259" w:lineRule="auto"/>
        <w:rPr>
          <w:rFonts w:cs="Calibri"/>
          <w:b/>
          <w:color w:val="000000"/>
        </w:rPr>
      </w:pPr>
    </w:p>
    <w:p w14:paraId="4E5EAF8D" w14:textId="77777777" w:rsidR="003375FC" w:rsidRPr="00287AB3" w:rsidRDefault="003375FC" w:rsidP="00497852">
      <w:pPr>
        <w:widowControl/>
        <w:rPr>
          <w:rStyle w:val="A4"/>
          <w:rFonts w:asciiTheme="minorHAnsi" w:hAnsiTheme="minorHAnsi"/>
          <w:color w:val="auto"/>
          <w:sz w:val="24"/>
          <w:szCs w:val="24"/>
        </w:rPr>
      </w:pPr>
      <w:bookmarkStart w:id="0" w:name="_GoBack"/>
      <w:bookmarkEnd w:id="0"/>
    </w:p>
    <w:p w14:paraId="50BC6852" w14:textId="77777777" w:rsidR="003375FC" w:rsidRPr="00287AB3" w:rsidRDefault="003375FC" w:rsidP="00497852">
      <w:pPr>
        <w:widowControl/>
        <w:rPr>
          <w:rStyle w:val="A4"/>
          <w:rFonts w:asciiTheme="minorHAnsi" w:hAnsiTheme="minorHAnsi"/>
          <w:color w:val="auto"/>
          <w:sz w:val="24"/>
          <w:szCs w:val="24"/>
        </w:rPr>
      </w:pPr>
    </w:p>
    <w:p w14:paraId="2F66F0E8" w14:textId="3121B4DA" w:rsidR="009F04C4" w:rsidRDefault="009F04C4" w:rsidP="00497852">
      <w:pPr>
        <w:widowControl/>
        <w:rPr>
          <w:rStyle w:val="A4"/>
          <w:rFonts w:asciiTheme="minorHAnsi" w:hAnsiTheme="minorHAnsi"/>
          <w:color w:val="auto"/>
          <w:sz w:val="24"/>
          <w:szCs w:val="24"/>
        </w:rPr>
      </w:pPr>
    </w:p>
    <w:p w14:paraId="742AC15D" w14:textId="5B54906B" w:rsidR="003375FC" w:rsidRDefault="003375FC" w:rsidP="00497852">
      <w:pPr>
        <w:widowControl/>
        <w:rPr>
          <w:rStyle w:val="A4"/>
          <w:rFonts w:asciiTheme="minorHAnsi" w:hAnsiTheme="minorHAnsi"/>
          <w:color w:val="auto"/>
          <w:sz w:val="24"/>
          <w:szCs w:val="24"/>
        </w:rPr>
      </w:pPr>
    </w:p>
    <w:p w14:paraId="56354118" w14:textId="77777777" w:rsidR="009F04C4" w:rsidRPr="00287AB3" w:rsidRDefault="009F04C4" w:rsidP="00497852">
      <w:pPr>
        <w:widowControl/>
        <w:rPr>
          <w:rStyle w:val="A4"/>
          <w:rFonts w:asciiTheme="minorHAnsi" w:hAnsiTheme="minorHAnsi"/>
          <w:color w:val="auto"/>
          <w:sz w:val="24"/>
          <w:szCs w:val="24"/>
        </w:rPr>
      </w:pPr>
    </w:p>
    <w:p w14:paraId="1C7BFCF1" w14:textId="4EE7B58C" w:rsidR="003375FC" w:rsidRPr="005B770C" w:rsidRDefault="00040943" w:rsidP="00497852">
      <w:pPr>
        <w:widowControl/>
        <w:rPr>
          <w:rStyle w:val="A4"/>
          <w:rFonts w:asciiTheme="minorHAnsi" w:hAnsiTheme="minorHAnsi" w:cstheme="minorHAnsi"/>
          <w:color w:val="5B9BD5" w:themeColor="accent1"/>
          <w:sz w:val="50"/>
          <w:szCs w:val="50"/>
        </w:rPr>
      </w:pPr>
      <w:r w:rsidRPr="005B770C">
        <w:rPr>
          <w:rStyle w:val="A4"/>
          <w:rFonts w:asciiTheme="minorHAnsi" w:hAnsiTheme="minorHAnsi" w:cstheme="minorHAnsi"/>
          <w:color w:val="5B9BD5" w:themeColor="accent1"/>
          <w:sz w:val="50"/>
          <w:szCs w:val="50"/>
        </w:rPr>
        <w:t>V</w:t>
      </w:r>
      <w:r w:rsidR="003375FC" w:rsidRPr="005B770C">
        <w:rPr>
          <w:rStyle w:val="A4"/>
          <w:rFonts w:asciiTheme="minorHAnsi" w:hAnsiTheme="minorHAnsi" w:cstheme="minorHAnsi"/>
          <w:color w:val="5B9BD5" w:themeColor="accent1"/>
          <w:sz w:val="50"/>
          <w:szCs w:val="50"/>
        </w:rPr>
        <w:t xml:space="preserve">ězeňství v České republice </w:t>
      </w:r>
    </w:p>
    <w:p w14:paraId="5BA36245" w14:textId="01BE5197" w:rsidR="003375FC" w:rsidRDefault="003375FC" w:rsidP="00497852">
      <w:pPr>
        <w:widowControl/>
        <w:rPr>
          <w:rStyle w:val="A1"/>
          <w:rFonts w:ascii="Calibri Light" w:hAnsi="Calibri Light" w:cs="Calibri Light"/>
        </w:rPr>
      </w:pPr>
    </w:p>
    <w:p w14:paraId="7D4CC6A6" w14:textId="77777777" w:rsidR="000B6B63" w:rsidRPr="00383FAC" w:rsidRDefault="000B6B63" w:rsidP="00497852">
      <w:pPr>
        <w:widowControl/>
        <w:rPr>
          <w:rStyle w:val="A1"/>
          <w:rFonts w:ascii="Calibri Light" w:hAnsi="Calibri Light" w:cs="Calibri Light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75FC" w14:paraId="7C767E14" w14:textId="77777777" w:rsidTr="000B34E6">
        <w:trPr>
          <w:trHeight w:val="1998"/>
        </w:trPr>
        <w:tc>
          <w:tcPr>
            <w:tcW w:w="3020" w:type="dxa"/>
          </w:tcPr>
          <w:p w14:paraId="25FDDE2A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375FC">
              <w:rPr>
                <w:rFonts w:asciiTheme="minorHAnsi" w:hAnsiTheme="minorHAnsi" w:cstheme="minorHAnsi"/>
                <w:b/>
                <w:sz w:val="40"/>
                <w:szCs w:val="40"/>
              </w:rPr>
              <w:t>21 577</w:t>
            </w:r>
          </w:p>
          <w:p w14:paraId="1740B6B8" w14:textId="1F404883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3375FC">
              <w:rPr>
                <w:rFonts w:asciiTheme="minorHAnsi" w:hAnsiTheme="minorHAnsi" w:cstheme="minorHAnsi"/>
                <w:b/>
              </w:rPr>
              <w:t>Počet vězněných osob</w:t>
            </w:r>
            <w:r w:rsidR="003F17A9">
              <w:rPr>
                <w:rFonts w:asciiTheme="minorHAnsi" w:hAnsiTheme="minorHAnsi" w:cstheme="minorHAnsi"/>
              </w:rPr>
              <w:t xml:space="preserve"> k 31.</w:t>
            </w:r>
            <w:r w:rsidR="005B222B">
              <w:rPr>
                <w:rFonts w:asciiTheme="minorHAnsi" w:hAnsiTheme="minorHAnsi" w:cstheme="minorHAnsi"/>
              </w:rPr>
              <w:t> </w:t>
            </w:r>
            <w:r w:rsidR="003F17A9">
              <w:rPr>
                <w:rFonts w:asciiTheme="minorHAnsi" w:hAnsiTheme="minorHAnsi" w:cstheme="minorHAnsi"/>
              </w:rPr>
              <w:t>12.</w:t>
            </w:r>
            <w:r w:rsidR="005B222B">
              <w:rPr>
                <w:rFonts w:asciiTheme="minorHAnsi" w:hAnsiTheme="minorHAnsi" w:cstheme="minorHAnsi"/>
              </w:rPr>
              <w:t> </w:t>
            </w:r>
            <w:r w:rsidRPr="003375FC">
              <w:rPr>
                <w:rFonts w:asciiTheme="minorHAnsi" w:hAnsiTheme="minorHAnsi" w:cstheme="minorHAnsi"/>
              </w:rPr>
              <w:t xml:space="preserve">2018. Dalších 2 949 odsouzených se </w:t>
            </w:r>
            <w:r w:rsidR="004C1A52">
              <w:rPr>
                <w:rFonts w:asciiTheme="minorHAnsi" w:hAnsiTheme="minorHAnsi" w:cstheme="minorHAnsi"/>
              </w:rPr>
              <w:t xml:space="preserve">k uvedenému datu </w:t>
            </w:r>
            <w:r w:rsidRPr="003375FC">
              <w:rPr>
                <w:rFonts w:asciiTheme="minorHAnsi" w:hAnsiTheme="minorHAnsi" w:cstheme="minorHAnsi"/>
              </w:rPr>
              <w:t>vyhýb</w:t>
            </w:r>
            <w:r w:rsidR="004C1A52">
              <w:rPr>
                <w:rFonts w:asciiTheme="minorHAnsi" w:hAnsiTheme="minorHAnsi" w:cstheme="minorHAnsi"/>
              </w:rPr>
              <w:t>alo</w:t>
            </w:r>
            <w:r w:rsidRPr="003375FC">
              <w:rPr>
                <w:rFonts w:asciiTheme="minorHAnsi" w:hAnsiTheme="minorHAnsi" w:cstheme="minorHAnsi"/>
              </w:rPr>
              <w:t xml:space="preserve"> trestu.</w:t>
            </w:r>
          </w:p>
          <w:p w14:paraId="28AE72EF" w14:textId="77777777" w:rsidR="003375FC" w:rsidRPr="003375FC" w:rsidRDefault="003375FC" w:rsidP="00497852">
            <w:pPr>
              <w:widowControl/>
              <w:jc w:val="center"/>
              <w:rPr>
                <w:rStyle w:val="A1"/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021" w:type="dxa"/>
          </w:tcPr>
          <w:p w14:paraId="477BF63E" w14:textId="4A2BE3DA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375FC">
              <w:rPr>
                <w:rFonts w:asciiTheme="minorHAnsi" w:eastAsiaTheme="minorHAnsi" w:hAnsiTheme="minorHAnsi" w:cstheme="minorHAnsi"/>
                <w:b/>
                <w:sz w:val="40"/>
                <w:szCs w:val="40"/>
                <w:lang w:eastAsia="en-US"/>
              </w:rPr>
              <w:t>11</w:t>
            </w:r>
            <w:r w:rsidRPr="003375FC">
              <w:rPr>
                <w:rFonts w:asciiTheme="minorHAnsi" w:hAnsiTheme="minorHAnsi" w:cstheme="minorHAnsi"/>
                <w:b/>
                <w:sz w:val="40"/>
                <w:szCs w:val="40"/>
              </w:rPr>
              <w:t> </w:t>
            </w:r>
            <w:r w:rsidR="00DB69B4">
              <w:rPr>
                <w:rFonts w:asciiTheme="minorHAnsi" w:eastAsiaTheme="minorHAnsi" w:hAnsiTheme="minorHAnsi" w:cstheme="minorHAnsi"/>
                <w:b/>
                <w:sz w:val="40"/>
                <w:szCs w:val="40"/>
                <w:lang w:eastAsia="en-US"/>
              </w:rPr>
              <w:t>331</w:t>
            </w:r>
          </w:p>
          <w:p w14:paraId="79A283EF" w14:textId="71DAF37B" w:rsidR="003375FC" w:rsidRPr="003375FC" w:rsidRDefault="003375FC" w:rsidP="00497852">
            <w:pPr>
              <w:widowControl/>
              <w:jc w:val="center"/>
              <w:rPr>
                <w:rStyle w:val="A1"/>
                <w:rFonts w:asciiTheme="minorHAnsi" w:hAnsiTheme="minorHAnsi" w:cstheme="minorHAnsi"/>
                <w:b/>
                <w:sz w:val="20"/>
                <w:szCs w:val="20"/>
              </w:rPr>
            </w:pPr>
            <w:r w:rsidRPr="003375FC">
              <w:rPr>
                <w:rStyle w:val="A1"/>
                <w:rFonts w:asciiTheme="minorHAnsi" w:hAnsiTheme="minorHAnsi" w:cstheme="minorHAnsi"/>
                <w:b/>
                <w:sz w:val="20"/>
              </w:rPr>
              <w:t xml:space="preserve">Počet </w:t>
            </w:r>
            <w:r w:rsidRPr="00D3717F">
              <w:rPr>
                <w:rStyle w:val="A1"/>
                <w:rFonts w:asciiTheme="minorHAnsi" w:hAnsiTheme="minorHAnsi" w:cstheme="minorHAnsi"/>
                <w:b/>
                <w:sz w:val="20"/>
              </w:rPr>
              <w:t xml:space="preserve">zaměstnanců </w:t>
            </w:r>
            <w:r w:rsidR="0053755F" w:rsidRPr="00D3717F">
              <w:rPr>
                <w:rStyle w:val="A1"/>
                <w:rFonts w:asciiTheme="minorHAnsi" w:hAnsiTheme="minorHAnsi" w:cstheme="minorHAnsi"/>
                <w:b/>
                <w:sz w:val="20"/>
              </w:rPr>
              <w:t>VS ČR</w:t>
            </w:r>
            <w:r w:rsidR="0053755F">
              <w:rPr>
                <w:rStyle w:val="A1"/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375FC">
              <w:rPr>
                <w:rStyle w:val="A1"/>
                <w:rFonts w:asciiTheme="minorHAnsi" w:hAnsiTheme="minorHAnsi" w:cstheme="minorHAnsi"/>
                <w:sz w:val="20"/>
              </w:rPr>
              <w:t>k 31.</w:t>
            </w:r>
            <w:r w:rsidR="005B222B">
              <w:rPr>
                <w:rStyle w:val="A1"/>
                <w:rFonts w:asciiTheme="minorHAnsi" w:hAnsiTheme="minorHAnsi" w:cstheme="minorHAnsi"/>
                <w:sz w:val="20"/>
              </w:rPr>
              <w:t> 1</w:t>
            </w:r>
            <w:r w:rsidRPr="003375FC">
              <w:rPr>
                <w:rStyle w:val="A1"/>
                <w:rFonts w:asciiTheme="minorHAnsi" w:hAnsiTheme="minorHAnsi" w:cstheme="minorHAnsi"/>
                <w:sz w:val="20"/>
              </w:rPr>
              <w:t>2.</w:t>
            </w:r>
            <w:r w:rsidR="005B222B">
              <w:rPr>
                <w:rStyle w:val="A1"/>
                <w:rFonts w:asciiTheme="minorHAnsi" w:hAnsiTheme="minorHAnsi" w:cstheme="minorHAnsi"/>
                <w:sz w:val="20"/>
              </w:rPr>
              <w:t> </w:t>
            </w:r>
            <w:r w:rsidR="00DB69B4">
              <w:rPr>
                <w:rStyle w:val="A1"/>
                <w:rFonts w:asciiTheme="minorHAnsi" w:hAnsiTheme="minorHAnsi" w:cstheme="minorHAnsi"/>
                <w:sz w:val="20"/>
              </w:rPr>
              <w:t>2018. Z toho 1 033</w:t>
            </w:r>
            <w:r w:rsidRPr="003375FC">
              <w:rPr>
                <w:rStyle w:val="A1"/>
                <w:rFonts w:asciiTheme="minorHAnsi" w:hAnsiTheme="minorHAnsi" w:cstheme="minorHAnsi"/>
                <w:sz w:val="20"/>
              </w:rPr>
              <w:t xml:space="preserve"> zaměstnanců justiční stráže.</w:t>
            </w:r>
          </w:p>
        </w:tc>
        <w:tc>
          <w:tcPr>
            <w:tcW w:w="3021" w:type="dxa"/>
          </w:tcPr>
          <w:p w14:paraId="6AAC58BD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  <w:b/>
                <w:color w:val="002060"/>
                <w:sz w:val="40"/>
                <w:szCs w:val="40"/>
              </w:rPr>
            </w:pPr>
            <w:r w:rsidRPr="003375FC">
              <w:rPr>
                <w:rFonts w:asciiTheme="minorHAnsi" w:hAnsiTheme="minorHAnsi" w:cstheme="minorHAnsi"/>
                <w:b/>
                <w:sz w:val="40"/>
                <w:szCs w:val="40"/>
              </w:rPr>
              <w:t>1 348 Kč</w:t>
            </w:r>
            <w:r w:rsidRPr="003375FC">
              <w:rPr>
                <w:rFonts w:asciiTheme="minorHAnsi" w:hAnsiTheme="minorHAnsi" w:cstheme="minorHAnsi"/>
                <w:b/>
                <w:color w:val="002060"/>
                <w:sz w:val="40"/>
                <w:szCs w:val="40"/>
              </w:rPr>
              <w:t xml:space="preserve"> </w:t>
            </w:r>
          </w:p>
          <w:p w14:paraId="70D540AB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3375FC">
              <w:rPr>
                <w:rFonts w:asciiTheme="minorHAnsi" w:hAnsiTheme="minorHAnsi" w:cstheme="minorHAnsi"/>
                <w:b/>
              </w:rPr>
              <w:t>Průměrný denní výdaj</w:t>
            </w:r>
            <w:r w:rsidRPr="003375FC">
              <w:rPr>
                <w:rFonts w:asciiTheme="minorHAnsi" w:hAnsiTheme="minorHAnsi" w:cstheme="minorHAnsi"/>
              </w:rPr>
              <w:t xml:space="preserve"> </w:t>
            </w:r>
          </w:p>
          <w:p w14:paraId="401EE38C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3375FC">
              <w:rPr>
                <w:rFonts w:asciiTheme="minorHAnsi" w:hAnsiTheme="minorHAnsi" w:cstheme="minorHAnsi"/>
              </w:rPr>
              <w:t>na jednu vězněnou osobu v roce 2018.</w:t>
            </w:r>
          </w:p>
          <w:p w14:paraId="7C0C3C69" w14:textId="77777777" w:rsidR="003375FC" w:rsidRPr="003375FC" w:rsidRDefault="003375FC" w:rsidP="00497852">
            <w:pPr>
              <w:widowControl/>
              <w:jc w:val="both"/>
              <w:rPr>
                <w:rStyle w:val="A1"/>
                <w:rFonts w:asciiTheme="minorHAnsi" w:hAnsiTheme="minorHAnsi" w:cstheme="minorHAnsi"/>
                <w:sz w:val="20"/>
              </w:rPr>
            </w:pPr>
          </w:p>
        </w:tc>
      </w:tr>
      <w:tr w:rsidR="003375FC" w14:paraId="6D0FBC18" w14:textId="77777777" w:rsidTr="000B34E6">
        <w:trPr>
          <w:trHeight w:val="1998"/>
        </w:trPr>
        <w:tc>
          <w:tcPr>
            <w:tcW w:w="3020" w:type="dxa"/>
          </w:tcPr>
          <w:p w14:paraId="68CFC1DF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375FC">
              <w:rPr>
                <w:rFonts w:asciiTheme="minorHAnsi" w:hAnsiTheme="minorHAnsi" w:cstheme="minorHAnsi"/>
                <w:b/>
                <w:sz w:val="40"/>
                <w:szCs w:val="40"/>
              </w:rPr>
              <w:t>203</w:t>
            </w:r>
          </w:p>
          <w:p w14:paraId="054D648D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3375FC">
              <w:rPr>
                <w:rFonts w:asciiTheme="minorHAnsi" w:hAnsiTheme="minorHAnsi" w:cstheme="minorHAnsi"/>
                <w:b/>
              </w:rPr>
              <w:t>Počet vězněných osob na 100 000 obyvatel</w:t>
            </w:r>
            <w:r w:rsidRPr="003375FC">
              <w:rPr>
                <w:rFonts w:asciiTheme="minorHAnsi" w:hAnsiTheme="minorHAnsi" w:cstheme="minorHAnsi"/>
              </w:rPr>
              <w:t xml:space="preserve"> v roce 2018.</w:t>
            </w:r>
          </w:p>
          <w:p w14:paraId="05173537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3021" w:type="dxa"/>
          </w:tcPr>
          <w:p w14:paraId="6661371A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  <w:b/>
                <w:color w:val="002060"/>
                <w:sz w:val="40"/>
                <w:szCs w:val="40"/>
              </w:rPr>
            </w:pPr>
            <w:r w:rsidRPr="003375FC">
              <w:rPr>
                <w:rFonts w:asciiTheme="minorHAnsi" w:hAnsiTheme="minorHAnsi" w:cstheme="minorHAnsi"/>
                <w:b/>
                <w:sz w:val="40"/>
                <w:szCs w:val="40"/>
              </w:rPr>
              <w:t>59,9 %</w:t>
            </w:r>
          </w:p>
          <w:p w14:paraId="3A8BBC28" w14:textId="67C10778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375FC">
              <w:rPr>
                <w:rFonts w:asciiTheme="minorHAnsi" w:hAnsiTheme="minorHAnsi" w:cstheme="minorHAnsi"/>
                <w:b/>
              </w:rPr>
              <w:t>Průměrná zaměstnanost odsouzených</w:t>
            </w:r>
            <w:r w:rsidRPr="003375FC">
              <w:rPr>
                <w:rStyle w:val="Znakapoznpodarou"/>
                <w:rFonts w:asciiTheme="minorHAnsi" w:hAnsiTheme="minorHAnsi" w:cstheme="minorHAnsi"/>
                <w:b/>
                <w:color w:val="000000"/>
              </w:rPr>
              <w:footnoteReference w:id="1"/>
            </w:r>
            <w:r w:rsidRPr="003375FC">
              <w:rPr>
                <w:rFonts w:asciiTheme="minorHAnsi" w:hAnsiTheme="minorHAnsi" w:cstheme="minorHAnsi"/>
                <w:b/>
              </w:rPr>
              <w:t xml:space="preserve"> </w:t>
            </w:r>
            <w:r w:rsidRPr="003375FC">
              <w:rPr>
                <w:rFonts w:asciiTheme="minorHAnsi" w:hAnsiTheme="minorHAnsi" w:cstheme="minorHAnsi"/>
              </w:rPr>
              <w:t>v roce 2018</w:t>
            </w:r>
            <w:r w:rsidRPr="00287AB3">
              <w:rPr>
                <w:rFonts w:asciiTheme="minorHAnsi" w:hAnsiTheme="minorHAnsi" w:cstheme="minorHAnsi"/>
              </w:rPr>
              <w:t>.</w:t>
            </w:r>
            <w:r w:rsidRPr="003375FC">
              <w:rPr>
                <w:rFonts w:asciiTheme="minorHAnsi" w:hAnsiTheme="minorHAnsi" w:cstheme="minorHAnsi"/>
              </w:rPr>
              <w:t xml:space="preserve"> Průměrný podíl zaměstnaných vězňů </w:t>
            </w:r>
            <w:r w:rsidR="004C1A52">
              <w:rPr>
                <w:rFonts w:asciiTheme="minorHAnsi" w:hAnsiTheme="minorHAnsi" w:cstheme="minorHAnsi"/>
              </w:rPr>
              <w:t xml:space="preserve">na </w:t>
            </w:r>
            <w:r w:rsidRPr="003375FC">
              <w:rPr>
                <w:rFonts w:asciiTheme="minorHAnsi" w:hAnsiTheme="minorHAnsi" w:cstheme="minorHAnsi"/>
              </w:rPr>
              <w:t>celkové</w:t>
            </w:r>
            <w:r w:rsidR="004C1A52">
              <w:rPr>
                <w:rFonts w:asciiTheme="minorHAnsi" w:hAnsiTheme="minorHAnsi" w:cstheme="minorHAnsi"/>
              </w:rPr>
              <w:t>m</w:t>
            </w:r>
            <w:r w:rsidRPr="003375FC">
              <w:rPr>
                <w:rFonts w:asciiTheme="minorHAnsi" w:hAnsiTheme="minorHAnsi" w:cstheme="minorHAnsi"/>
              </w:rPr>
              <w:t xml:space="preserve"> počtu vězňů je 43,8 %.</w:t>
            </w:r>
          </w:p>
        </w:tc>
        <w:tc>
          <w:tcPr>
            <w:tcW w:w="3021" w:type="dxa"/>
          </w:tcPr>
          <w:p w14:paraId="1DBE30F6" w14:textId="77777777" w:rsidR="003375FC" w:rsidRPr="003375FC" w:rsidRDefault="003375FC" w:rsidP="00497852">
            <w:pPr>
              <w:widowControl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375FC">
              <w:rPr>
                <w:rFonts w:asciiTheme="minorHAnsi" w:hAnsiTheme="minorHAnsi" w:cstheme="minorHAnsi"/>
                <w:b/>
                <w:sz w:val="40"/>
                <w:szCs w:val="40"/>
              </w:rPr>
              <w:t>?</w:t>
            </w:r>
          </w:p>
          <w:p w14:paraId="24690C75" w14:textId="66C57CA4" w:rsidR="003375FC" w:rsidRPr="003375FC" w:rsidRDefault="003F17A9" w:rsidP="00497852">
            <w:pPr>
              <w:widowControl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A07581">
              <w:rPr>
                <w:rFonts w:asciiTheme="minorHAnsi" w:hAnsiTheme="minorHAnsi" w:cstheme="minorHAnsi"/>
                <w:b/>
              </w:rPr>
              <w:t>Nap</w:t>
            </w:r>
            <w:r w:rsidR="003375FC" w:rsidRPr="00A07581">
              <w:rPr>
                <w:rFonts w:asciiTheme="minorHAnsi" w:hAnsiTheme="minorHAnsi" w:cstheme="minorHAnsi"/>
                <w:b/>
              </w:rPr>
              <w:t xml:space="preserve">lnění cílů </w:t>
            </w:r>
            <w:r w:rsidR="003375FC" w:rsidRPr="00A07581">
              <w:rPr>
                <w:rFonts w:asciiTheme="minorHAnsi" w:hAnsiTheme="minorHAnsi" w:cstheme="minorHAnsi"/>
              </w:rPr>
              <w:t xml:space="preserve">stanovených </w:t>
            </w:r>
            <w:r w:rsidR="00040943" w:rsidRPr="00A07581">
              <w:rPr>
                <w:rFonts w:asciiTheme="minorHAnsi" w:hAnsiTheme="minorHAnsi" w:cstheme="minorHAnsi"/>
              </w:rPr>
              <w:t>pro</w:t>
            </w:r>
            <w:r w:rsidR="00003387">
              <w:rPr>
                <w:rFonts w:asciiTheme="minorHAnsi" w:hAnsiTheme="minorHAnsi" w:cstheme="minorHAnsi"/>
              </w:rPr>
              <w:t xml:space="preserve"> </w:t>
            </w:r>
            <w:r w:rsidR="00040943" w:rsidRPr="00A07581">
              <w:rPr>
                <w:rFonts w:asciiTheme="minorHAnsi" w:hAnsiTheme="minorHAnsi" w:cstheme="minorHAnsi"/>
              </w:rPr>
              <w:t>rozvoj vězeňství do roku 2025.</w:t>
            </w:r>
          </w:p>
        </w:tc>
      </w:tr>
    </w:tbl>
    <w:p w14:paraId="29C8592A" w14:textId="1B965156" w:rsidR="00756ECC" w:rsidRPr="00A35817" w:rsidRDefault="00CB51B1" w:rsidP="00287AB3">
      <w:pPr>
        <w:widowControl/>
        <w:tabs>
          <w:tab w:val="left" w:pos="1418"/>
        </w:tabs>
        <w:autoSpaceDE/>
        <w:autoSpaceDN/>
        <w:adjustRightInd/>
        <w:spacing w:before="480" w:after="240"/>
        <w:ind w:left="1418" w:hanging="1418"/>
        <w:jc w:val="both"/>
        <w:rPr>
          <w:rFonts w:cs="Calibri"/>
          <w:b/>
          <w:color w:val="000000"/>
        </w:rPr>
      </w:pPr>
      <w:r>
        <w:rPr>
          <w:noProof/>
        </w:rPr>
        <w:drawing>
          <wp:inline distT="0" distB="0" distL="0" distR="0" wp14:anchorId="70BB1E2A" wp14:editId="1FBF5F0C">
            <wp:extent cx="5760720" cy="2663190"/>
            <wp:effectExtent l="0" t="0" r="0" b="381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7DF1E5" w14:textId="4F7CA5E8" w:rsidR="0079548E" w:rsidRDefault="0079548E" w:rsidP="00497852">
      <w:pPr>
        <w:pStyle w:val="Nadpis1"/>
        <w:keepNext w:val="0"/>
        <w:keepLines w:val="0"/>
        <w:widowControl/>
        <w:numPr>
          <w:ilvl w:val="0"/>
          <w:numId w:val="40"/>
        </w:numPr>
        <w:spacing w:before="0" w:after="120"/>
        <w:jc w:val="center"/>
        <w:rPr>
          <w:rFonts w:asciiTheme="minorHAnsi" w:hAnsiTheme="minorHAnsi" w:cstheme="minorHAnsi"/>
          <w:b/>
          <w:color w:val="auto"/>
        </w:rPr>
      </w:pPr>
      <w:r w:rsidRPr="00A35817">
        <w:rPr>
          <w:rFonts w:asciiTheme="minorHAnsi" w:hAnsiTheme="minorHAnsi" w:cstheme="minorHAnsi"/>
          <w:b/>
          <w:color w:val="auto"/>
        </w:rPr>
        <w:lastRenderedPageBreak/>
        <w:t>Shrnutí a vyhodnocení</w:t>
      </w:r>
    </w:p>
    <w:p w14:paraId="43BAD43A" w14:textId="15364B63" w:rsidR="00CB0884" w:rsidRDefault="004E1940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056374">
        <w:rPr>
          <w:rFonts w:asciiTheme="minorHAnsi" w:hAnsiTheme="minorHAnsi" w:cstheme="minorHAnsi"/>
          <w:sz w:val="24"/>
          <w:szCs w:val="24"/>
        </w:rPr>
        <w:t xml:space="preserve">NKÚ provedl kontrolu u MSp a VS ČR, a to </w:t>
      </w:r>
      <w:r w:rsidR="00925E4A">
        <w:rPr>
          <w:rFonts w:asciiTheme="minorHAnsi" w:hAnsiTheme="minorHAnsi" w:cstheme="minorHAnsi"/>
          <w:sz w:val="24"/>
          <w:szCs w:val="24"/>
        </w:rPr>
        <w:t>G</w:t>
      </w:r>
      <w:r w:rsidRPr="00056374">
        <w:rPr>
          <w:rFonts w:asciiTheme="minorHAnsi" w:hAnsiTheme="minorHAnsi" w:cstheme="minorHAnsi"/>
          <w:sz w:val="24"/>
          <w:szCs w:val="24"/>
        </w:rPr>
        <w:t>enerálního ředitelství (GŘ) a pěti vybraných věznic. Kontrola u MSp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6374">
        <w:rPr>
          <w:rFonts w:asciiTheme="minorHAnsi" w:hAnsiTheme="minorHAnsi" w:cstheme="minorHAnsi"/>
          <w:sz w:val="24"/>
          <w:szCs w:val="24"/>
        </w:rPr>
        <w:t>byla zaměřena na koncepční a říd</w:t>
      </w:r>
      <w:r w:rsidR="00B57396">
        <w:rPr>
          <w:rFonts w:asciiTheme="minorHAnsi" w:hAnsiTheme="minorHAnsi" w:cstheme="minorHAnsi"/>
          <w:sz w:val="24"/>
          <w:szCs w:val="24"/>
        </w:rPr>
        <w:t>i</w:t>
      </w:r>
      <w:r w:rsidRPr="00056374">
        <w:rPr>
          <w:rFonts w:asciiTheme="minorHAnsi" w:hAnsiTheme="minorHAnsi" w:cstheme="minorHAnsi"/>
          <w:sz w:val="24"/>
          <w:szCs w:val="24"/>
        </w:rPr>
        <w:t>cí činnost v oblasti vězeňství</w:t>
      </w:r>
      <w:r w:rsidR="00A07581">
        <w:rPr>
          <w:rFonts w:asciiTheme="minorHAnsi" w:hAnsiTheme="minorHAnsi" w:cstheme="minorHAnsi"/>
          <w:sz w:val="24"/>
          <w:szCs w:val="24"/>
        </w:rPr>
        <w:t>, tj. </w:t>
      </w:r>
      <w:r>
        <w:rPr>
          <w:rFonts w:asciiTheme="minorHAnsi" w:hAnsiTheme="minorHAnsi" w:cstheme="minorHAnsi"/>
          <w:sz w:val="24"/>
          <w:szCs w:val="24"/>
        </w:rPr>
        <w:t>zejména</w:t>
      </w:r>
      <w:r w:rsidR="00003387">
        <w:rPr>
          <w:rFonts w:asciiTheme="minorHAnsi" w:hAnsiTheme="minorHAnsi" w:cstheme="minorHAnsi"/>
          <w:sz w:val="24"/>
          <w:szCs w:val="24"/>
        </w:rPr>
        <w:t xml:space="preserve"> </w:t>
      </w:r>
      <w:r w:rsidRPr="00056374">
        <w:rPr>
          <w:rFonts w:asciiTheme="minorHAnsi" w:hAnsiTheme="minorHAnsi" w:cstheme="minorHAnsi"/>
          <w:sz w:val="24"/>
          <w:szCs w:val="24"/>
        </w:rPr>
        <w:t>stanovení a průběžné plnění cílů</w:t>
      </w:r>
      <w:r w:rsidR="005C2ABF">
        <w:rPr>
          <w:rFonts w:asciiTheme="minorHAnsi" w:hAnsiTheme="minorHAnsi" w:cstheme="minorHAnsi"/>
          <w:sz w:val="24"/>
          <w:szCs w:val="24"/>
        </w:rPr>
        <w:t xml:space="preserve"> </w:t>
      </w:r>
      <w:r w:rsidRPr="00287AB3">
        <w:rPr>
          <w:rFonts w:asciiTheme="minorHAnsi" w:hAnsiTheme="minorHAnsi" w:cstheme="minorHAnsi"/>
          <w:i/>
          <w:sz w:val="24"/>
          <w:szCs w:val="24"/>
        </w:rPr>
        <w:t>Koncepce vězeňství do roku 2025</w:t>
      </w:r>
      <w:r w:rsidRPr="00056374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Pr="00056374">
        <w:rPr>
          <w:rFonts w:asciiTheme="minorHAnsi" w:hAnsiTheme="minorHAnsi" w:cstheme="minorHAnsi"/>
          <w:sz w:val="24"/>
          <w:szCs w:val="24"/>
        </w:rPr>
        <w:t xml:space="preserve"> (Koncepce 2025)</w:t>
      </w:r>
      <w:r w:rsidR="00C1305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03387">
        <w:rPr>
          <w:rFonts w:asciiTheme="minorHAnsi" w:hAnsiTheme="minorHAnsi" w:cstheme="minorHAnsi"/>
          <w:sz w:val="24"/>
          <w:szCs w:val="24"/>
        </w:rPr>
        <w:t>a </w:t>
      </w:r>
      <w:r w:rsidR="003F17A9" w:rsidRPr="00A07581">
        <w:rPr>
          <w:rFonts w:asciiTheme="minorHAnsi" w:hAnsiTheme="minorHAnsi" w:cstheme="minorHAnsi"/>
          <w:sz w:val="24"/>
          <w:szCs w:val="24"/>
        </w:rPr>
        <w:t xml:space="preserve">hodnocení </w:t>
      </w:r>
      <w:r w:rsidRPr="00A07581">
        <w:rPr>
          <w:rFonts w:asciiTheme="minorHAnsi" w:hAnsiTheme="minorHAnsi" w:cstheme="minorHAnsi"/>
          <w:sz w:val="24"/>
          <w:szCs w:val="24"/>
        </w:rPr>
        <w:t>plnění</w:t>
      </w:r>
      <w:r w:rsidRPr="00056374">
        <w:rPr>
          <w:rFonts w:asciiTheme="minorHAnsi" w:hAnsiTheme="minorHAnsi" w:cstheme="minorHAnsi"/>
          <w:sz w:val="24"/>
          <w:szCs w:val="24"/>
        </w:rPr>
        <w:t xml:space="preserve"> </w:t>
      </w:r>
      <w:r w:rsidR="00C13057">
        <w:rPr>
          <w:rFonts w:asciiTheme="minorHAnsi" w:hAnsiTheme="minorHAnsi" w:cstheme="minorHAnsi"/>
          <w:sz w:val="24"/>
          <w:szCs w:val="24"/>
        </w:rPr>
        <w:t>a</w:t>
      </w:r>
      <w:r w:rsidRPr="00056374">
        <w:rPr>
          <w:rFonts w:asciiTheme="minorHAnsi" w:hAnsiTheme="minorHAnsi" w:cstheme="minorHAnsi"/>
          <w:sz w:val="24"/>
          <w:szCs w:val="24"/>
        </w:rPr>
        <w:t xml:space="preserve">kčních plánů (AP), ve kterých měly být rozpracovány cíle </w:t>
      </w:r>
      <w:r w:rsidR="00155077">
        <w:rPr>
          <w:rFonts w:asciiTheme="minorHAnsi" w:hAnsiTheme="minorHAnsi" w:cstheme="minorHAnsi"/>
          <w:sz w:val="24"/>
          <w:szCs w:val="24"/>
        </w:rPr>
        <w:t>K</w:t>
      </w:r>
      <w:r w:rsidRPr="00056374">
        <w:rPr>
          <w:rFonts w:asciiTheme="minorHAnsi" w:hAnsiTheme="minorHAnsi" w:cstheme="minorHAnsi"/>
          <w:sz w:val="24"/>
          <w:szCs w:val="24"/>
        </w:rPr>
        <w:t>oncepce</w:t>
      </w:r>
      <w:r w:rsidR="00155077">
        <w:rPr>
          <w:rFonts w:asciiTheme="minorHAnsi" w:hAnsiTheme="minorHAnsi" w:cstheme="minorHAnsi"/>
          <w:sz w:val="24"/>
          <w:szCs w:val="24"/>
        </w:rPr>
        <w:t xml:space="preserve"> 2025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1583F">
        <w:rPr>
          <w:rFonts w:asciiTheme="minorHAnsi" w:hAnsiTheme="minorHAnsi" w:cstheme="minorHAnsi"/>
          <w:sz w:val="24"/>
          <w:szCs w:val="24"/>
        </w:rPr>
        <w:t xml:space="preserve"> </w:t>
      </w:r>
      <w:r w:rsidRPr="00056374">
        <w:rPr>
          <w:rFonts w:asciiTheme="minorHAnsi" w:hAnsiTheme="minorHAnsi" w:cstheme="minorHAnsi"/>
          <w:sz w:val="24"/>
          <w:szCs w:val="24"/>
        </w:rPr>
        <w:t>Ověřováno bylo také plnění opatření přijatých k odstranění nedostatků zjištěn</w:t>
      </w:r>
      <w:r>
        <w:rPr>
          <w:rFonts w:asciiTheme="minorHAnsi" w:hAnsiTheme="minorHAnsi" w:cstheme="minorHAnsi"/>
          <w:sz w:val="24"/>
          <w:szCs w:val="24"/>
        </w:rPr>
        <w:t>ých předchozí kontrolní akcí č.</w:t>
      </w:r>
      <w:r w:rsidR="00735E95">
        <w:rPr>
          <w:rFonts w:asciiTheme="minorHAnsi" w:hAnsiTheme="minorHAnsi" w:cstheme="minorHAnsi"/>
          <w:sz w:val="24"/>
          <w:szCs w:val="24"/>
        </w:rPr>
        <w:t xml:space="preserve"> </w:t>
      </w:r>
      <w:r w:rsidRPr="00056374">
        <w:rPr>
          <w:rFonts w:asciiTheme="minorHAnsi" w:hAnsiTheme="minorHAnsi" w:cstheme="minorHAnsi"/>
          <w:sz w:val="24"/>
          <w:szCs w:val="24"/>
        </w:rPr>
        <w:t>10/17</w:t>
      </w:r>
      <w:bookmarkStart w:id="1" w:name="_Ref27547935"/>
      <w:r w:rsidRPr="00056374">
        <w:rPr>
          <w:rStyle w:val="Znakapoznpodarou"/>
          <w:rFonts w:asciiTheme="minorHAnsi" w:hAnsiTheme="minorHAnsi"/>
          <w:sz w:val="24"/>
          <w:szCs w:val="24"/>
        </w:rPr>
        <w:footnoteReference w:id="3"/>
      </w:r>
      <w:bookmarkEnd w:id="1"/>
      <w:r w:rsidRPr="0005637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6374">
        <w:rPr>
          <w:rFonts w:asciiTheme="minorHAnsi" w:hAnsiTheme="minorHAnsi" w:cstheme="minorHAnsi"/>
          <w:sz w:val="24"/>
          <w:szCs w:val="24"/>
        </w:rPr>
        <w:t>U GŘ a vybraných věznic byla kontro</w:t>
      </w:r>
      <w:r w:rsidR="00A07581">
        <w:rPr>
          <w:rFonts w:asciiTheme="minorHAnsi" w:hAnsiTheme="minorHAnsi" w:cstheme="minorHAnsi"/>
          <w:sz w:val="24"/>
          <w:szCs w:val="24"/>
        </w:rPr>
        <w:t>lována hospodárnost, účelnost a </w:t>
      </w:r>
      <w:r w:rsidRPr="00056374">
        <w:rPr>
          <w:rFonts w:asciiTheme="minorHAnsi" w:hAnsiTheme="minorHAnsi" w:cstheme="minorHAnsi"/>
          <w:sz w:val="24"/>
          <w:szCs w:val="24"/>
        </w:rPr>
        <w:t>soulad s právními předpisy při nakládání s majetkem a peněžními prostředky</w:t>
      </w:r>
      <w:r w:rsidR="00CB0884">
        <w:rPr>
          <w:rFonts w:asciiTheme="minorHAnsi" w:hAnsiTheme="minorHAnsi" w:cstheme="minorHAnsi"/>
          <w:sz w:val="24"/>
          <w:szCs w:val="24"/>
        </w:rPr>
        <w:t xml:space="preserve"> státu</w:t>
      </w:r>
      <w:r>
        <w:rPr>
          <w:rFonts w:asciiTheme="minorHAnsi" w:hAnsiTheme="minorHAnsi" w:cstheme="minorHAnsi"/>
          <w:sz w:val="24"/>
          <w:szCs w:val="24"/>
        </w:rPr>
        <w:t>, a to zejména při nabývání a pozbývání majetku</w:t>
      </w:r>
      <w:r w:rsidR="00CB0884">
        <w:rPr>
          <w:rFonts w:asciiTheme="minorHAnsi" w:hAnsiTheme="minorHAnsi" w:cstheme="minorHAnsi"/>
          <w:sz w:val="24"/>
          <w:szCs w:val="24"/>
        </w:rPr>
        <w:t xml:space="preserve"> a provádění centrálních nákupů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CD0574">
        <w:rPr>
          <w:rFonts w:asciiTheme="minorHAnsi" w:hAnsiTheme="minorHAnsi" w:cstheme="minorHAnsi"/>
          <w:sz w:val="24"/>
          <w:szCs w:val="24"/>
        </w:rPr>
        <w:t xml:space="preserve">Ověřována byla opatření přijatá </w:t>
      </w:r>
      <w:r w:rsidRPr="00056374">
        <w:rPr>
          <w:rFonts w:asciiTheme="minorHAnsi" w:hAnsiTheme="minorHAnsi" w:cstheme="minorHAnsi"/>
          <w:sz w:val="24"/>
          <w:szCs w:val="24"/>
        </w:rPr>
        <w:t xml:space="preserve">k zajištění hospodárnosti výdajů na nákup </w:t>
      </w:r>
      <w:r>
        <w:rPr>
          <w:rFonts w:asciiTheme="minorHAnsi" w:hAnsiTheme="minorHAnsi" w:cstheme="minorHAnsi"/>
          <w:sz w:val="24"/>
          <w:szCs w:val="24"/>
        </w:rPr>
        <w:t xml:space="preserve">vybraných </w:t>
      </w:r>
      <w:r w:rsidRPr="00056374">
        <w:rPr>
          <w:rFonts w:asciiTheme="minorHAnsi" w:hAnsiTheme="minorHAnsi" w:cstheme="minorHAnsi"/>
          <w:sz w:val="24"/>
          <w:szCs w:val="24"/>
        </w:rPr>
        <w:t>materiálů a služeb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56374">
        <w:rPr>
          <w:rFonts w:asciiTheme="minorHAnsi" w:hAnsiTheme="minorHAnsi" w:cstheme="minorHAnsi"/>
          <w:sz w:val="24"/>
          <w:szCs w:val="24"/>
        </w:rPr>
        <w:t xml:space="preserve"> </w:t>
      </w:r>
      <w:r w:rsidR="00CB0884">
        <w:rPr>
          <w:rFonts w:asciiTheme="minorHAnsi" w:hAnsiTheme="minorHAnsi" w:cstheme="minorHAnsi"/>
          <w:sz w:val="24"/>
          <w:szCs w:val="24"/>
        </w:rPr>
        <w:t xml:space="preserve">a to na základě výstupů projektu </w:t>
      </w:r>
      <w:r w:rsidR="00CB0884">
        <w:rPr>
          <w:rFonts w:asciiTheme="minorHAnsi" w:eastAsia="Times New Roman" w:hAnsiTheme="minorHAnsi" w:cstheme="minorHAnsi"/>
          <w:sz w:val="24"/>
          <w:szCs w:val="24"/>
          <w:lang w:eastAsia="en-US"/>
        </w:rPr>
        <w:t>MSp</w:t>
      </w:r>
      <w:r w:rsidR="00CB0884">
        <w:rPr>
          <w:rStyle w:val="Znakapoznpodarou"/>
          <w:rFonts w:asciiTheme="minorHAnsi" w:eastAsia="Times New Roman" w:hAnsiTheme="minorHAnsi"/>
          <w:sz w:val="24"/>
          <w:szCs w:val="24"/>
          <w:lang w:eastAsia="en-US"/>
        </w:rPr>
        <w:footnoteReference w:id="4"/>
      </w:r>
      <w:r w:rsidR="00CB0884">
        <w:rPr>
          <w:rFonts w:asciiTheme="minorHAnsi" w:eastAsia="Times New Roman" w:hAnsiTheme="minorHAnsi" w:cstheme="minorHAnsi"/>
          <w:sz w:val="24"/>
          <w:szCs w:val="24"/>
          <w:lang w:eastAsia="en-US"/>
        </w:rPr>
        <w:t>.</w:t>
      </w:r>
    </w:p>
    <w:p w14:paraId="75292194" w14:textId="5417D551" w:rsidR="004E1940" w:rsidRPr="006C5A33" w:rsidRDefault="00BB19B9" w:rsidP="00497852">
      <w:pPr>
        <w:widowControl/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17F">
        <w:rPr>
          <w:rFonts w:asciiTheme="minorHAnsi" w:hAnsiTheme="minorHAnsi" w:cstheme="minorHAnsi"/>
          <w:b/>
          <w:sz w:val="24"/>
          <w:szCs w:val="24"/>
        </w:rPr>
        <w:t>NKÚ na kontrolovaném vzorku nezjistil nehospodárné nakládání s</w:t>
      </w:r>
      <w:r w:rsidR="0036013C" w:rsidRPr="00D3717F">
        <w:rPr>
          <w:rFonts w:asciiTheme="minorHAnsi" w:hAnsiTheme="minorHAnsi" w:cstheme="minorHAnsi"/>
          <w:b/>
          <w:sz w:val="24"/>
          <w:szCs w:val="24"/>
        </w:rPr>
        <w:t> </w:t>
      </w:r>
      <w:r w:rsidRPr="00D3717F">
        <w:rPr>
          <w:rFonts w:asciiTheme="minorHAnsi" w:hAnsiTheme="minorHAnsi" w:cstheme="minorHAnsi"/>
          <w:b/>
          <w:sz w:val="24"/>
          <w:szCs w:val="24"/>
        </w:rPr>
        <w:t>majetkem</w:t>
      </w:r>
      <w:r w:rsidR="0036013C" w:rsidRPr="00D3717F">
        <w:rPr>
          <w:rFonts w:asciiTheme="minorHAnsi" w:hAnsiTheme="minorHAnsi" w:cstheme="minorHAnsi"/>
          <w:b/>
          <w:sz w:val="24"/>
          <w:szCs w:val="24"/>
        </w:rPr>
        <w:t xml:space="preserve"> a peněžními prostředky státu</w:t>
      </w:r>
      <w:r w:rsidRPr="00D3717F">
        <w:rPr>
          <w:rFonts w:asciiTheme="minorHAnsi" w:hAnsiTheme="minorHAnsi" w:cstheme="minorHAnsi"/>
          <w:b/>
          <w:sz w:val="24"/>
          <w:szCs w:val="24"/>
        </w:rPr>
        <w:t xml:space="preserve">. Kontrolovaný majetek </w:t>
      </w:r>
      <w:r w:rsidR="0036013C" w:rsidRPr="00D3717F">
        <w:rPr>
          <w:rFonts w:asciiTheme="minorHAnsi" w:hAnsiTheme="minorHAnsi" w:cstheme="minorHAnsi"/>
          <w:b/>
          <w:sz w:val="24"/>
          <w:szCs w:val="24"/>
        </w:rPr>
        <w:t xml:space="preserve">a vynaložené peněžní prostředky </w:t>
      </w:r>
      <w:r w:rsidRPr="00D3717F">
        <w:rPr>
          <w:rFonts w:asciiTheme="minorHAnsi" w:hAnsiTheme="minorHAnsi" w:cstheme="minorHAnsi"/>
          <w:b/>
          <w:sz w:val="24"/>
          <w:szCs w:val="24"/>
        </w:rPr>
        <w:t>sloužil</w:t>
      </w:r>
      <w:r w:rsidR="0036013C" w:rsidRPr="00D3717F">
        <w:rPr>
          <w:rFonts w:asciiTheme="minorHAnsi" w:hAnsiTheme="minorHAnsi" w:cstheme="minorHAnsi"/>
          <w:b/>
          <w:sz w:val="24"/>
          <w:szCs w:val="24"/>
        </w:rPr>
        <w:t>y</w:t>
      </w:r>
      <w:r w:rsidRPr="00D3717F">
        <w:rPr>
          <w:rFonts w:asciiTheme="minorHAnsi" w:hAnsiTheme="minorHAnsi" w:cstheme="minorHAnsi"/>
          <w:b/>
          <w:sz w:val="24"/>
          <w:szCs w:val="24"/>
        </w:rPr>
        <w:t xml:space="preserve"> k </w:t>
      </w:r>
      <w:r w:rsidR="00A44D9A" w:rsidRPr="00D3717F">
        <w:rPr>
          <w:rFonts w:asciiTheme="minorHAnsi" w:hAnsiTheme="minorHAnsi" w:cstheme="minorHAnsi"/>
          <w:b/>
          <w:sz w:val="24"/>
          <w:szCs w:val="24"/>
        </w:rPr>
        <w:t>zajištění</w:t>
      </w:r>
      <w:r w:rsidRPr="00D3717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013C" w:rsidRPr="00D3717F">
        <w:rPr>
          <w:rFonts w:asciiTheme="minorHAnsi" w:hAnsiTheme="minorHAnsi" w:cstheme="minorHAnsi"/>
          <w:b/>
          <w:sz w:val="24"/>
          <w:szCs w:val="24"/>
        </w:rPr>
        <w:t xml:space="preserve">funkcí a činností </w:t>
      </w:r>
      <w:r w:rsidR="00A44D9A" w:rsidRPr="00D3717F">
        <w:rPr>
          <w:rFonts w:asciiTheme="minorHAnsi" w:hAnsiTheme="minorHAnsi" w:cstheme="minorHAnsi"/>
          <w:b/>
          <w:sz w:val="24"/>
          <w:szCs w:val="24"/>
        </w:rPr>
        <w:t xml:space="preserve">VS ČR </w:t>
      </w:r>
      <w:r w:rsidR="0036013C" w:rsidRPr="00D3717F">
        <w:rPr>
          <w:rFonts w:asciiTheme="minorHAnsi" w:hAnsiTheme="minorHAnsi" w:cstheme="minorHAnsi"/>
          <w:b/>
          <w:sz w:val="24"/>
          <w:szCs w:val="24"/>
        </w:rPr>
        <w:t xml:space="preserve">a k </w:t>
      </w:r>
      <w:r w:rsidR="00A44D9A" w:rsidRPr="00D3717F">
        <w:rPr>
          <w:rFonts w:asciiTheme="minorHAnsi" w:hAnsiTheme="minorHAnsi" w:cstheme="minorHAnsi"/>
          <w:b/>
          <w:sz w:val="24"/>
          <w:szCs w:val="24"/>
        </w:rPr>
        <w:t>plnění</w:t>
      </w:r>
      <w:r w:rsidR="0036013C" w:rsidRPr="00D3717F">
        <w:rPr>
          <w:rFonts w:asciiTheme="minorHAnsi" w:hAnsiTheme="minorHAnsi" w:cstheme="minorHAnsi"/>
          <w:b/>
          <w:sz w:val="24"/>
          <w:szCs w:val="24"/>
        </w:rPr>
        <w:t xml:space="preserve"> stanovených </w:t>
      </w:r>
      <w:r w:rsidR="00A44D9A" w:rsidRPr="00D3717F">
        <w:rPr>
          <w:rFonts w:asciiTheme="minorHAnsi" w:hAnsiTheme="minorHAnsi" w:cstheme="minorHAnsi"/>
          <w:b/>
          <w:sz w:val="24"/>
          <w:szCs w:val="24"/>
        </w:rPr>
        <w:t>úkolů</w:t>
      </w:r>
      <w:r w:rsidRPr="00D3717F">
        <w:rPr>
          <w:rFonts w:asciiTheme="minorHAnsi" w:hAnsiTheme="minorHAnsi" w:cstheme="minorHAnsi"/>
          <w:b/>
          <w:sz w:val="24"/>
          <w:szCs w:val="24"/>
        </w:rPr>
        <w:t xml:space="preserve">. Zjištěny byly pouze jednotlivé případy porušení právních předpisů v oblasti pronajímání majetku, </w:t>
      </w:r>
      <w:r w:rsidR="00CA674C" w:rsidRPr="00D3717F">
        <w:rPr>
          <w:rFonts w:asciiTheme="minorHAnsi" w:hAnsiTheme="minorHAnsi" w:cstheme="minorHAnsi"/>
          <w:b/>
          <w:sz w:val="24"/>
          <w:szCs w:val="24"/>
        </w:rPr>
        <w:t xml:space="preserve">zadávání </w:t>
      </w:r>
      <w:r w:rsidRPr="00D3717F">
        <w:rPr>
          <w:rFonts w:asciiTheme="minorHAnsi" w:hAnsiTheme="minorHAnsi" w:cstheme="minorHAnsi"/>
          <w:b/>
          <w:sz w:val="24"/>
          <w:szCs w:val="24"/>
        </w:rPr>
        <w:t xml:space="preserve">veřejných zakázek a zveřejňování smluv v registru smluv. </w:t>
      </w:r>
    </w:p>
    <w:p w14:paraId="2A4F1DCC" w14:textId="77777777" w:rsidR="00B4382C" w:rsidRDefault="00B4382C" w:rsidP="00497852">
      <w:pPr>
        <w:widowControl/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2C42">
        <w:rPr>
          <w:rFonts w:asciiTheme="minorHAnsi" w:hAnsiTheme="minorHAnsi" w:cstheme="minorHAnsi"/>
          <w:b/>
          <w:sz w:val="24"/>
          <w:szCs w:val="24"/>
        </w:rPr>
        <w:t>NKÚ zjistil, že kontrol</w:t>
      </w:r>
      <w:r>
        <w:rPr>
          <w:rFonts w:asciiTheme="minorHAnsi" w:hAnsiTheme="minorHAnsi" w:cstheme="minorHAnsi"/>
          <w:b/>
          <w:sz w:val="24"/>
          <w:szCs w:val="24"/>
        </w:rPr>
        <w:t xml:space="preserve">ou ověřovaná opatření </w:t>
      </w:r>
      <w:r w:rsidRPr="00942C42">
        <w:rPr>
          <w:rFonts w:asciiTheme="minorHAnsi" w:hAnsiTheme="minorHAnsi" w:cstheme="minorHAnsi"/>
          <w:b/>
          <w:sz w:val="24"/>
          <w:szCs w:val="24"/>
        </w:rPr>
        <w:t>přispívají k hospodárnosti výdajů VS ČR.</w:t>
      </w:r>
    </w:p>
    <w:p w14:paraId="3836DDF2" w14:textId="35A4265D" w:rsidR="004364A9" w:rsidRPr="00D3717F" w:rsidRDefault="001F4BA0" w:rsidP="00497852">
      <w:pPr>
        <w:widowControl/>
        <w:spacing w:before="120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AF0091">
        <w:rPr>
          <w:rFonts w:asciiTheme="minorHAnsi" w:hAnsiTheme="minorHAnsi" w:cstheme="minorHAnsi"/>
          <w:sz w:val="24"/>
          <w:szCs w:val="24"/>
        </w:rPr>
        <w:t xml:space="preserve">ptimalizaci mandatorních a provozních výdajů jednotlivých věznic realizuje VS ČR zejména na základě výstupů projektu </w:t>
      </w:r>
      <w:r w:rsidR="00AF0091">
        <w:rPr>
          <w:rFonts w:asciiTheme="minorHAnsi" w:eastAsia="Times New Roman" w:hAnsiTheme="minorHAnsi" w:cstheme="minorHAnsi"/>
          <w:sz w:val="24"/>
          <w:szCs w:val="24"/>
          <w:lang w:eastAsia="en-US"/>
        </w:rPr>
        <w:t>MSp</w:t>
      </w:r>
      <w:r w:rsidR="00DB627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, </w:t>
      </w:r>
      <w:r w:rsidR="00DB6271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>který vytvořil mechanismy umožňující porovnání a hodnocení vybraných rozpočtových položek jednotlivých věznic.</w:t>
      </w:r>
      <w:r w:rsidR="000605EE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817644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>NKÚ na</w:t>
      </w:r>
      <w:r w:rsidR="00DB2A09" w:rsidRPr="00D3717F">
        <w:rPr>
          <w:rFonts w:asciiTheme="minorHAnsi" w:hAnsiTheme="minorHAnsi" w:cstheme="minorHAnsi"/>
          <w:sz w:val="24"/>
          <w:szCs w:val="24"/>
        </w:rPr>
        <w:t xml:space="preserve"> vybrané</w:t>
      </w:r>
      <w:r w:rsidR="00817644" w:rsidRPr="00D3717F">
        <w:rPr>
          <w:rFonts w:asciiTheme="minorHAnsi" w:hAnsiTheme="minorHAnsi" w:cstheme="minorHAnsi"/>
          <w:sz w:val="24"/>
          <w:szCs w:val="24"/>
        </w:rPr>
        <w:t>m vzorku výdajů</w:t>
      </w:r>
      <w:r w:rsidR="00DB2A09" w:rsidRPr="00D3717F">
        <w:rPr>
          <w:rFonts w:asciiTheme="minorHAnsi" w:hAnsiTheme="minorHAnsi" w:cstheme="minorHAnsi"/>
          <w:sz w:val="24"/>
          <w:szCs w:val="24"/>
        </w:rPr>
        <w:t xml:space="preserve"> ověř</w:t>
      </w:r>
      <w:r w:rsidR="00817644" w:rsidRPr="00D3717F">
        <w:rPr>
          <w:rFonts w:asciiTheme="minorHAnsi" w:hAnsiTheme="minorHAnsi" w:cstheme="minorHAnsi"/>
          <w:sz w:val="24"/>
          <w:szCs w:val="24"/>
        </w:rPr>
        <w:t>il</w:t>
      </w:r>
      <w:r w:rsidR="00DB2A09" w:rsidRPr="00D3717F">
        <w:rPr>
          <w:rFonts w:asciiTheme="minorHAnsi" w:hAnsiTheme="minorHAnsi" w:cstheme="minorHAnsi"/>
          <w:sz w:val="24"/>
          <w:szCs w:val="24"/>
        </w:rPr>
        <w:t xml:space="preserve">, že VS ČR prostřednictvím výstupů projektu </w:t>
      </w:r>
      <w:r w:rsidR="00DB2A09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provádí porovnání jednotkových cen nakupovaného materiálu a služeb u jednotlivých věznic a přijímá </w:t>
      </w:r>
      <w:r w:rsidR="00DB2A09" w:rsidRPr="00D3717F">
        <w:rPr>
          <w:rFonts w:asciiTheme="minorHAnsi" w:hAnsiTheme="minorHAnsi" w:cstheme="minorHAnsi"/>
          <w:sz w:val="24"/>
          <w:szCs w:val="24"/>
        </w:rPr>
        <w:t xml:space="preserve">opatření vedoucí </w:t>
      </w:r>
      <w:r w:rsidR="00DB6271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>k </w:t>
      </w:r>
      <w:r w:rsidR="00DB2A09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optimalizaci provozních výdajů. </w:t>
      </w:r>
      <w:r w:rsidR="004364A9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Většinu komodit </w:t>
      </w:r>
      <w:r w:rsidR="00C13057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pořídila </w:t>
      </w:r>
      <w:r w:rsidR="004364A9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>VS</w:t>
      </w:r>
      <w:r w:rsidR="00B92B1C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> </w:t>
      </w:r>
      <w:r w:rsidR="004364A9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>ČR prostřednictvím centrální</w:t>
      </w:r>
      <w:r w:rsidR="007A57C5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>ch</w:t>
      </w:r>
      <w:r w:rsidR="004364A9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nákup</w:t>
      </w:r>
      <w:r w:rsidR="007A57C5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>ů.</w:t>
      </w:r>
      <w:r w:rsidR="00B90897" w:rsidRPr="00D3717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</w:p>
    <w:p w14:paraId="2BED67A7" w14:textId="67DAE255" w:rsidR="00B4382C" w:rsidRPr="00D3717F" w:rsidRDefault="00C74DD0" w:rsidP="00497852">
      <w:pPr>
        <w:widowControl/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17F">
        <w:rPr>
          <w:rFonts w:asciiTheme="minorHAnsi" w:hAnsiTheme="minorHAnsi" w:cstheme="minorHAnsi"/>
          <w:sz w:val="24"/>
          <w:szCs w:val="24"/>
        </w:rPr>
        <w:t xml:space="preserve">Kontrolou NKÚ bylo dále ověřeno, že </w:t>
      </w:r>
      <w:r w:rsidR="00394A02">
        <w:rPr>
          <w:rFonts w:asciiTheme="minorHAnsi" w:hAnsiTheme="minorHAnsi" w:cstheme="minorHAnsi"/>
          <w:sz w:val="24"/>
          <w:szCs w:val="24"/>
        </w:rPr>
        <w:t xml:space="preserve">každoroční </w:t>
      </w:r>
      <w:r w:rsidRPr="00D3717F">
        <w:rPr>
          <w:rFonts w:asciiTheme="minorHAnsi" w:hAnsiTheme="minorHAnsi" w:cstheme="minorHAnsi"/>
          <w:sz w:val="24"/>
          <w:szCs w:val="24"/>
        </w:rPr>
        <w:t>zvýšení výdaj</w:t>
      </w:r>
      <w:r w:rsidR="001F4BA0" w:rsidRPr="00D3717F">
        <w:rPr>
          <w:rFonts w:asciiTheme="minorHAnsi" w:hAnsiTheme="minorHAnsi" w:cstheme="minorHAnsi"/>
          <w:sz w:val="24"/>
          <w:szCs w:val="24"/>
        </w:rPr>
        <w:t>ů o cca 1 mld. Kč v</w:t>
      </w:r>
      <w:r w:rsidR="00645514" w:rsidRPr="00D3717F">
        <w:rPr>
          <w:rFonts w:asciiTheme="minorHAnsi" w:hAnsiTheme="minorHAnsi" w:cstheme="minorHAnsi"/>
          <w:sz w:val="24"/>
          <w:szCs w:val="24"/>
        </w:rPr>
        <w:t> </w:t>
      </w:r>
      <w:r w:rsidR="001F4BA0" w:rsidRPr="00D3717F">
        <w:rPr>
          <w:rFonts w:asciiTheme="minorHAnsi" w:hAnsiTheme="minorHAnsi" w:cstheme="minorHAnsi"/>
          <w:sz w:val="24"/>
          <w:szCs w:val="24"/>
        </w:rPr>
        <w:t>období</w:t>
      </w:r>
      <w:r w:rsidR="00645514" w:rsidRPr="00D3717F">
        <w:rPr>
          <w:rFonts w:asciiTheme="minorHAnsi" w:hAnsiTheme="minorHAnsi" w:cstheme="minorHAnsi"/>
          <w:sz w:val="24"/>
          <w:szCs w:val="24"/>
        </w:rPr>
        <w:t xml:space="preserve"> </w:t>
      </w:r>
      <w:r w:rsidR="001F4BA0" w:rsidRPr="00D3717F">
        <w:rPr>
          <w:rFonts w:asciiTheme="minorHAnsi" w:hAnsiTheme="minorHAnsi" w:cstheme="minorHAnsi"/>
          <w:sz w:val="24"/>
          <w:szCs w:val="24"/>
        </w:rPr>
        <w:t>2016</w:t>
      </w:r>
      <w:r w:rsidR="00645514" w:rsidRPr="00D3717F">
        <w:rPr>
          <w:rFonts w:ascii="Calibri" w:eastAsia="Times New Roman" w:hAnsi="Calibri" w:cs="Calibri"/>
          <w:sz w:val="24"/>
          <w:szCs w:val="25"/>
        </w:rPr>
        <w:t>−</w:t>
      </w:r>
      <w:r w:rsidR="00645514" w:rsidRPr="00D3717F">
        <w:rPr>
          <w:rFonts w:asciiTheme="minorHAnsi" w:hAnsiTheme="minorHAnsi" w:cstheme="minorHAnsi"/>
          <w:sz w:val="24"/>
          <w:szCs w:val="24"/>
        </w:rPr>
        <w:t>2</w:t>
      </w:r>
      <w:r w:rsidRPr="00D3717F">
        <w:rPr>
          <w:rFonts w:asciiTheme="minorHAnsi" w:hAnsiTheme="minorHAnsi" w:cstheme="minorHAnsi"/>
          <w:sz w:val="24"/>
          <w:szCs w:val="24"/>
        </w:rPr>
        <w:t>018 bylo opodstatněné</w:t>
      </w:r>
      <w:r w:rsidR="00817644" w:rsidRPr="00D3717F">
        <w:rPr>
          <w:rFonts w:asciiTheme="minorHAnsi" w:hAnsiTheme="minorHAnsi" w:cstheme="minorHAnsi"/>
          <w:sz w:val="24"/>
          <w:szCs w:val="24"/>
        </w:rPr>
        <w:t>,</w:t>
      </w:r>
      <w:r w:rsidRPr="00D3717F">
        <w:rPr>
          <w:rFonts w:asciiTheme="minorHAnsi" w:hAnsiTheme="minorHAnsi" w:cstheme="minorHAnsi"/>
          <w:sz w:val="24"/>
          <w:szCs w:val="24"/>
        </w:rPr>
        <w:t xml:space="preserve"> </w:t>
      </w:r>
      <w:r w:rsidR="00817644" w:rsidRPr="00D3717F">
        <w:rPr>
          <w:rFonts w:asciiTheme="minorHAnsi" w:hAnsiTheme="minorHAnsi" w:cstheme="minorHAnsi"/>
          <w:sz w:val="24"/>
          <w:szCs w:val="24"/>
        </w:rPr>
        <w:t>neboť</w:t>
      </w:r>
      <w:r w:rsidRPr="00D3717F">
        <w:rPr>
          <w:rFonts w:asciiTheme="minorHAnsi" w:hAnsiTheme="minorHAnsi" w:cstheme="minorHAnsi"/>
          <w:sz w:val="24"/>
          <w:szCs w:val="24"/>
        </w:rPr>
        <w:t xml:space="preserve"> bylo způsobeno zejména navýšením peněžních prostředků na platy z</w:t>
      </w:r>
      <w:r w:rsidR="008A27D6">
        <w:rPr>
          <w:rFonts w:asciiTheme="minorHAnsi" w:hAnsiTheme="minorHAnsi" w:cstheme="minorHAnsi"/>
          <w:sz w:val="24"/>
          <w:szCs w:val="24"/>
        </w:rPr>
        <w:t> </w:t>
      </w:r>
      <w:r w:rsidRPr="00D3717F">
        <w:rPr>
          <w:rFonts w:asciiTheme="minorHAnsi" w:hAnsiTheme="minorHAnsi" w:cstheme="minorHAnsi"/>
          <w:sz w:val="24"/>
          <w:szCs w:val="24"/>
        </w:rPr>
        <w:t>důvodu zvýšení platových tarifů a také nárůst</w:t>
      </w:r>
      <w:r w:rsidR="00C13057">
        <w:rPr>
          <w:rFonts w:asciiTheme="minorHAnsi" w:hAnsiTheme="minorHAnsi" w:cstheme="minorHAnsi"/>
          <w:sz w:val="24"/>
          <w:szCs w:val="24"/>
        </w:rPr>
        <w:t>em</w:t>
      </w:r>
      <w:r w:rsidRPr="00D3717F">
        <w:rPr>
          <w:rFonts w:asciiTheme="minorHAnsi" w:hAnsiTheme="minorHAnsi" w:cstheme="minorHAnsi"/>
          <w:sz w:val="24"/>
          <w:szCs w:val="24"/>
        </w:rPr>
        <w:t xml:space="preserve"> počtu systemizovaných míst.</w:t>
      </w:r>
    </w:p>
    <w:p w14:paraId="62AAC951" w14:textId="5329C639" w:rsidR="00A95FC9" w:rsidRPr="00D3717F" w:rsidRDefault="004E1940" w:rsidP="00497852">
      <w:pPr>
        <w:widowControl/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17F">
        <w:rPr>
          <w:rFonts w:asciiTheme="minorHAnsi" w:hAnsiTheme="minorHAnsi" w:cstheme="minorHAnsi"/>
          <w:b/>
          <w:sz w:val="24"/>
          <w:szCs w:val="24"/>
        </w:rPr>
        <w:t xml:space="preserve">Dále NKÚ zjistil nedostatky v oblasti zpracování a vyhodnocování plnění cílů Koncepce 2025, které mohou mít negativní dopad na </w:t>
      </w:r>
      <w:r w:rsidR="00C13057">
        <w:rPr>
          <w:rFonts w:asciiTheme="minorHAnsi" w:hAnsiTheme="minorHAnsi" w:cstheme="minorHAnsi"/>
          <w:b/>
          <w:sz w:val="24"/>
          <w:szCs w:val="24"/>
        </w:rPr>
        <w:t>s</w:t>
      </w:r>
      <w:r w:rsidR="00A95FC9" w:rsidRPr="00D3717F">
        <w:rPr>
          <w:rFonts w:asciiTheme="minorHAnsi" w:hAnsiTheme="minorHAnsi" w:cstheme="minorHAnsi"/>
          <w:b/>
          <w:sz w:val="24"/>
          <w:szCs w:val="24"/>
        </w:rPr>
        <w:t>plnění záměrů Koncepce 2025</w:t>
      </w:r>
      <w:r w:rsidR="00791ECB" w:rsidRPr="00D3717F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0EBDC7CE" w14:textId="04A64F67" w:rsidR="00104B0F" w:rsidRPr="00D3717F" w:rsidRDefault="00104B0F" w:rsidP="00497852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="Calibri" w:eastAsia="Times New Roman" w:hAnsi="Calibri"/>
          <w:sz w:val="24"/>
          <w:szCs w:val="25"/>
        </w:rPr>
        <w:t>Podle zákona č.</w:t>
      </w:r>
      <w:r w:rsidR="00645514" w:rsidRPr="00D3717F">
        <w:rPr>
          <w:rFonts w:ascii="Calibri" w:eastAsia="Times New Roman" w:hAnsi="Calibri"/>
          <w:sz w:val="24"/>
          <w:szCs w:val="25"/>
        </w:rPr>
        <w:t> </w:t>
      </w:r>
      <w:r w:rsidRPr="00D3717F">
        <w:rPr>
          <w:rFonts w:ascii="Calibri" w:eastAsia="Times New Roman" w:hAnsi="Calibri"/>
          <w:sz w:val="24"/>
          <w:szCs w:val="25"/>
        </w:rPr>
        <w:t>2/1969 Sb.</w:t>
      </w:r>
      <w:r w:rsidRPr="00D3717F">
        <w:rPr>
          <w:rStyle w:val="Znakapoznpodarou"/>
          <w:rFonts w:ascii="Calibri" w:eastAsia="Times New Roman" w:hAnsi="Calibri"/>
          <w:sz w:val="24"/>
          <w:szCs w:val="25"/>
        </w:rPr>
        <w:footnoteReference w:id="5"/>
      </w:r>
      <w:r w:rsidRPr="00D3717F">
        <w:rPr>
          <w:rFonts w:ascii="Calibri" w:eastAsia="Times New Roman" w:hAnsi="Calibri"/>
          <w:sz w:val="24"/>
          <w:szCs w:val="25"/>
        </w:rPr>
        <w:t xml:space="preserve"> má MSp povinnost zpracovávat koncepce rozvoje svěřeného odvětví. 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Koncepce 2025 navazuje na </w:t>
      </w:r>
      <w:r w:rsidR="004E1940" w:rsidRPr="00287AB3">
        <w:rPr>
          <w:rFonts w:asciiTheme="minorHAnsi" w:hAnsiTheme="minorHAnsi" w:cstheme="minorHAnsi"/>
          <w:i/>
          <w:sz w:val="24"/>
          <w:szCs w:val="24"/>
        </w:rPr>
        <w:t>Koncepci rozvoje českého vězeňství 2015</w:t>
      </w:r>
      <w:r w:rsidR="004E1940" w:rsidRPr="00D3717F">
        <w:rPr>
          <w:rStyle w:val="Znakapoznpodarou"/>
          <w:rFonts w:asciiTheme="minorHAnsi" w:hAnsiTheme="minorHAnsi"/>
          <w:sz w:val="24"/>
          <w:szCs w:val="24"/>
        </w:rPr>
        <w:footnoteReference w:id="6"/>
      </w:r>
      <w:r w:rsidR="00D815FE" w:rsidRPr="00D3717F">
        <w:rPr>
          <w:rFonts w:asciiTheme="minorHAnsi" w:hAnsiTheme="minorHAnsi" w:cstheme="minorHAnsi"/>
          <w:sz w:val="24"/>
          <w:szCs w:val="24"/>
        </w:rPr>
        <w:t xml:space="preserve"> (Koncepce</w:t>
      </w:r>
      <w:r w:rsidR="00C13057">
        <w:rPr>
          <w:rFonts w:asciiTheme="minorHAnsi" w:hAnsiTheme="minorHAnsi" w:cstheme="minorHAnsi"/>
          <w:sz w:val="24"/>
          <w:szCs w:val="24"/>
        </w:rPr>
        <w:t xml:space="preserve"> </w:t>
      </w:r>
      <w:r w:rsidR="0042764D" w:rsidRPr="00D3717F">
        <w:rPr>
          <w:rFonts w:asciiTheme="minorHAnsi" w:hAnsiTheme="minorHAnsi" w:cstheme="minorHAnsi"/>
          <w:sz w:val="24"/>
          <w:szCs w:val="24"/>
        </w:rPr>
        <w:t>2015)</w:t>
      </w:r>
      <w:r w:rsidR="00495A3E" w:rsidRPr="00D3717F">
        <w:rPr>
          <w:rFonts w:asciiTheme="minorHAnsi" w:hAnsiTheme="minorHAnsi" w:cstheme="minorHAnsi"/>
          <w:sz w:val="24"/>
          <w:szCs w:val="24"/>
        </w:rPr>
        <w:t xml:space="preserve">. MSp </w:t>
      </w:r>
      <w:r w:rsidR="00AD0FBE" w:rsidRPr="00D3717F">
        <w:rPr>
          <w:rFonts w:asciiTheme="minorHAnsi" w:hAnsiTheme="minorHAnsi" w:cstheme="minorHAnsi"/>
          <w:sz w:val="24"/>
          <w:szCs w:val="24"/>
        </w:rPr>
        <w:t>ne</w:t>
      </w:r>
      <w:r w:rsidR="00495A3E" w:rsidRPr="00D3717F">
        <w:rPr>
          <w:rFonts w:asciiTheme="minorHAnsi" w:hAnsiTheme="minorHAnsi" w:cstheme="minorHAnsi"/>
          <w:sz w:val="24"/>
          <w:szCs w:val="24"/>
        </w:rPr>
        <w:t>proved</w:t>
      </w:r>
      <w:r w:rsidR="00AD0FBE" w:rsidRPr="00D3717F">
        <w:rPr>
          <w:rFonts w:asciiTheme="minorHAnsi" w:hAnsiTheme="minorHAnsi" w:cstheme="minorHAnsi"/>
          <w:sz w:val="24"/>
          <w:szCs w:val="24"/>
        </w:rPr>
        <w:t>l</w:t>
      </w:r>
      <w:r w:rsidR="00495A3E" w:rsidRPr="00D3717F">
        <w:rPr>
          <w:rFonts w:asciiTheme="minorHAnsi" w:hAnsiTheme="minorHAnsi" w:cstheme="minorHAnsi"/>
          <w:sz w:val="24"/>
          <w:szCs w:val="24"/>
        </w:rPr>
        <w:t xml:space="preserve">o celkové vyhodnocení naplnění Koncepce 2015, </w:t>
      </w:r>
      <w:r w:rsidR="00ED710D" w:rsidRPr="00D3717F">
        <w:rPr>
          <w:rFonts w:asciiTheme="minorHAnsi" w:hAnsiTheme="minorHAnsi" w:cstheme="minorHAnsi"/>
          <w:sz w:val="24"/>
          <w:szCs w:val="24"/>
        </w:rPr>
        <w:t>pouze</w:t>
      </w:r>
      <w:r w:rsidR="00495A3E" w:rsidRPr="00D3717F">
        <w:rPr>
          <w:rFonts w:asciiTheme="minorHAnsi" w:hAnsiTheme="minorHAnsi" w:cstheme="minorHAnsi"/>
          <w:sz w:val="24"/>
          <w:szCs w:val="24"/>
        </w:rPr>
        <w:t xml:space="preserve"> v Koncepci 2025</w:t>
      </w:r>
      <w:r w:rsidR="00EA33BD" w:rsidRPr="00D3717F">
        <w:rPr>
          <w:rFonts w:asciiTheme="minorHAnsi" w:hAnsiTheme="minorHAnsi" w:cstheme="minorHAnsi"/>
          <w:sz w:val="24"/>
          <w:szCs w:val="24"/>
        </w:rPr>
        <w:t xml:space="preserve"> konstatovalo, že 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cíle a záměry </w:t>
      </w:r>
      <w:r w:rsidR="00B86B21" w:rsidRPr="00D3717F">
        <w:rPr>
          <w:rFonts w:asciiTheme="minorHAnsi" w:hAnsiTheme="minorHAnsi" w:cstheme="minorHAnsi"/>
          <w:sz w:val="24"/>
          <w:szCs w:val="24"/>
        </w:rPr>
        <w:t xml:space="preserve">Koncepce 2015 se 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nepodařilo naplnit. MSp v Koncepci 2025 nevyčíslilo finanční prostředky potřebné </w:t>
      </w:r>
      <w:r w:rsidR="003D1232" w:rsidRPr="00D3717F">
        <w:rPr>
          <w:rFonts w:asciiTheme="minorHAnsi" w:hAnsiTheme="minorHAnsi" w:cstheme="minorHAnsi"/>
          <w:sz w:val="24"/>
          <w:szCs w:val="24"/>
        </w:rPr>
        <w:t>ke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 splnění jejích cílů, nestanovilo priority ani časovou osu jejich plnění</w:t>
      </w:r>
      <w:r w:rsidR="00EA33BD" w:rsidRPr="00D3717F">
        <w:rPr>
          <w:rFonts w:asciiTheme="minorHAnsi" w:hAnsiTheme="minorHAnsi" w:cstheme="minorHAnsi"/>
          <w:sz w:val="24"/>
          <w:szCs w:val="24"/>
        </w:rPr>
        <w:t xml:space="preserve"> a </w:t>
      </w:r>
      <w:r w:rsidR="004E1940" w:rsidRPr="00D3717F">
        <w:rPr>
          <w:rFonts w:asciiTheme="minorHAnsi" w:hAnsiTheme="minorHAnsi" w:cstheme="minorHAnsi"/>
          <w:sz w:val="24"/>
          <w:szCs w:val="24"/>
        </w:rPr>
        <w:t>nestanovilo měřiteln</w:t>
      </w:r>
      <w:r w:rsidR="00EA33BD" w:rsidRPr="00D3717F">
        <w:rPr>
          <w:rFonts w:asciiTheme="minorHAnsi" w:hAnsiTheme="minorHAnsi" w:cstheme="minorHAnsi"/>
          <w:sz w:val="24"/>
          <w:szCs w:val="24"/>
        </w:rPr>
        <w:t>é cíle</w:t>
      </w:r>
      <w:r w:rsidR="003B7B69" w:rsidRPr="00D3717F">
        <w:rPr>
          <w:rFonts w:asciiTheme="minorHAnsi" w:hAnsiTheme="minorHAnsi" w:cstheme="minorHAnsi"/>
          <w:sz w:val="24"/>
          <w:szCs w:val="24"/>
        </w:rPr>
        <w:t xml:space="preserve"> pro hodnocení jejich plnění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FBA6D20" w14:textId="77777777" w:rsidR="00B30622" w:rsidRDefault="00B30622" w:rsidP="00497852">
      <w:pPr>
        <w:widowControl/>
        <w:spacing w:before="120"/>
        <w:jc w:val="both"/>
        <w:rPr>
          <w:rFonts w:ascii="Calibri" w:eastAsia="Times New Roman" w:hAnsi="Calibri"/>
          <w:sz w:val="24"/>
          <w:szCs w:val="25"/>
        </w:rPr>
      </w:pPr>
    </w:p>
    <w:p w14:paraId="24491A32" w14:textId="7B40DBF6" w:rsidR="00B30622" w:rsidRPr="00B926AF" w:rsidRDefault="00712FE3" w:rsidP="00287AB3">
      <w:pPr>
        <w:widowControl/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6AF">
        <w:rPr>
          <w:rFonts w:asciiTheme="minorHAnsi" w:hAnsiTheme="minorHAnsi" w:cstheme="minorHAnsi"/>
          <w:b/>
          <w:sz w:val="24"/>
          <w:szCs w:val="24"/>
        </w:rPr>
        <w:lastRenderedPageBreak/>
        <w:t>Stanovení obecných neměřitelných cílů bez zajištění peněžních prostředků na jejich plnění může mít negativní dopad na splnění strategických cílů Koncepce 2025 a tím i</w:t>
      </w:r>
      <w:r w:rsidR="00CD45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26AF">
        <w:rPr>
          <w:rFonts w:asciiTheme="minorHAnsi" w:hAnsiTheme="minorHAnsi" w:cstheme="minorHAnsi"/>
          <w:b/>
          <w:sz w:val="24"/>
          <w:szCs w:val="24"/>
        </w:rPr>
        <w:t xml:space="preserve">na účelnost peněžních prostředků vynaložených na jejich plnění. </w:t>
      </w:r>
      <w:r w:rsidR="00B30622" w:rsidRPr="00B926AF">
        <w:rPr>
          <w:rFonts w:asciiTheme="minorHAnsi" w:hAnsiTheme="minorHAnsi" w:cstheme="minorHAnsi"/>
          <w:b/>
          <w:sz w:val="24"/>
          <w:szCs w:val="24"/>
        </w:rPr>
        <w:t xml:space="preserve">I přes skutečnost, že Koncepce 2025 má být naplněna až v roce 2025, NKÚ na základě analýzy obou koncepcí a zejména míry rozpracovanosti úkolů stanovených v AP </w:t>
      </w:r>
      <w:r w:rsidR="00CD45A4">
        <w:rPr>
          <w:rFonts w:asciiTheme="minorHAnsi" w:hAnsiTheme="minorHAnsi" w:cstheme="minorHAnsi"/>
          <w:b/>
          <w:sz w:val="24"/>
          <w:szCs w:val="24"/>
        </w:rPr>
        <w:t xml:space="preserve">pro roky </w:t>
      </w:r>
      <w:r w:rsidR="00B30622" w:rsidRPr="00B926AF">
        <w:rPr>
          <w:rFonts w:asciiTheme="minorHAnsi" w:hAnsiTheme="minorHAnsi" w:cstheme="minorHAnsi"/>
          <w:b/>
          <w:sz w:val="24"/>
          <w:szCs w:val="24"/>
        </w:rPr>
        <w:t xml:space="preserve">2016–2019 konstatuje, že </w:t>
      </w:r>
      <w:r w:rsidR="00B926AF">
        <w:rPr>
          <w:rFonts w:asciiTheme="minorHAnsi" w:hAnsiTheme="minorHAnsi" w:cstheme="minorHAnsi"/>
          <w:b/>
          <w:sz w:val="24"/>
          <w:szCs w:val="24"/>
        </w:rPr>
        <w:t>podobně jako u </w:t>
      </w:r>
      <w:r w:rsidR="00B30622" w:rsidRPr="00B926AF">
        <w:rPr>
          <w:rFonts w:asciiTheme="minorHAnsi" w:hAnsiTheme="minorHAnsi" w:cstheme="minorHAnsi"/>
          <w:b/>
          <w:sz w:val="24"/>
          <w:szCs w:val="24"/>
        </w:rPr>
        <w:t xml:space="preserve">Koncepce 2015 hrozí riziko, že záměry a cíle Koncepce 2025 nebudou naplněny. </w:t>
      </w:r>
    </w:p>
    <w:p w14:paraId="320DA0ED" w14:textId="6F062A81" w:rsidR="00CD45A4" w:rsidRPr="00B30622" w:rsidRDefault="00333E1B" w:rsidP="00287AB3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="Calibri" w:eastAsia="Times New Roman" w:hAnsi="Calibri"/>
          <w:sz w:val="24"/>
          <w:szCs w:val="25"/>
        </w:rPr>
        <w:t>MSp</w:t>
      </w:r>
      <w:r w:rsidR="00B92B1C" w:rsidRPr="00D3717F">
        <w:rPr>
          <w:rFonts w:ascii="Calibri" w:eastAsia="Times New Roman" w:hAnsi="Calibri"/>
          <w:sz w:val="24"/>
          <w:szCs w:val="25"/>
        </w:rPr>
        <w:t xml:space="preserve"> </w:t>
      </w:r>
      <w:r w:rsidRPr="00D3717F">
        <w:rPr>
          <w:rFonts w:ascii="Calibri" w:eastAsia="Times New Roman" w:hAnsi="Calibri"/>
          <w:sz w:val="24"/>
          <w:szCs w:val="25"/>
        </w:rPr>
        <w:t>nemá kompletní plán a</w:t>
      </w:r>
      <w:r w:rsidR="00CD45A4">
        <w:rPr>
          <w:rFonts w:ascii="Calibri" w:eastAsia="Times New Roman" w:hAnsi="Calibri"/>
          <w:sz w:val="24"/>
          <w:szCs w:val="25"/>
        </w:rPr>
        <w:t>ni</w:t>
      </w:r>
      <w:r w:rsidRPr="00D3717F">
        <w:rPr>
          <w:rFonts w:ascii="Calibri" w:eastAsia="Times New Roman" w:hAnsi="Calibri"/>
          <w:sz w:val="24"/>
          <w:szCs w:val="25"/>
        </w:rPr>
        <w:t xml:space="preserve"> časový harmonogram, kter</w:t>
      </w:r>
      <w:r w:rsidR="00A263E8" w:rsidRPr="00D3717F">
        <w:rPr>
          <w:rFonts w:ascii="Calibri" w:eastAsia="Times New Roman" w:hAnsi="Calibri"/>
          <w:sz w:val="24"/>
          <w:szCs w:val="25"/>
        </w:rPr>
        <w:t xml:space="preserve">ými by </w:t>
      </w:r>
      <w:r w:rsidRPr="00D3717F">
        <w:rPr>
          <w:rFonts w:ascii="Calibri" w:eastAsia="Times New Roman" w:hAnsi="Calibri"/>
          <w:sz w:val="24"/>
          <w:szCs w:val="25"/>
        </w:rPr>
        <w:t>rozpracov</w:t>
      </w:r>
      <w:r w:rsidR="002E54D7" w:rsidRPr="00D3717F">
        <w:rPr>
          <w:rFonts w:ascii="Calibri" w:eastAsia="Times New Roman" w:hAnsi="Calibri"/>
          <w:sz w:val="24"/>
          <w:szCs w:val="25"/>
        </w:rPr>
        <w:t>a</w:t>
      </w:r>
      <w:r w:rsidR="00A263E8" w:rsidRPr="00D3717F">
        <w:rPr>
          <w:rFonts w:ascii="Calibri" w:eastAsia="Times New Roman" w:hAnsi="Calibri"/>
          <w:sz w:val="24"/>
          <w:szCs w:val="25"/>
        </w:rPr>
        <w:t>lo</w:t>
      </w:r>
      <w:r w:rsidR="00675DE0" w:rsidRPr="00D3717F">
        <w:rPr>
          <w:rFonts w:ascii="Calibri" w:eastAsia="Times New Roman" w:hAnsi="Calibri"/>
          <w:sz w:val="24"/>
          <w:szCs w:val="25"/>
        </w:rPr>
        <w:t xml:space="preserve"> realizaci všech cílů a</w:t>
      </w:r>
      <w:r w:rsidR="00CD45A4">
        <w:rPr>
          <w:rFonts w:ascii="Calibri" w:eastAsia="Times New Roman" w:hAnsi="Calibri"/>
          <w:sz w:val="24"/>
          <w:szCs w:val="25"/>
        </w:rPr>
        <w:t xml:space="preserve"> </w:t>
      </w:r>
      <w:r w:rsidRPr="00D3717F">
        <w:rPr>
          <w:rFonts w:ascii="Calibri" w:eastAsia="Times New Roman" w:hAnsi="Calibri"/>
          <w:sz w:val="24"/>
          <w:szCs w:val="25"/>
        </w:rPr>
        <w:t>nástrojů koncepce do konce roku 2025</w:t>
      </w:r>
      <w:r w:rsidR="00ED710D" w:rsidRPr="00D3717F">
        <w:rPr>
          <w:rFonts w:ascii="Calibri" w:eastAsia="Times New Roman" w:hAnsi="Calibri"/>
          <w:sz w:val="24"/>
          <w:szCs w:val="25"/>
        </w:rPr>
        <w:t xml:space="preserve">. </w:t>
      </w:r>
      <w:r w:rsidR="00ED710D" w:rsidRPr="00D3717F">
        <w:rPr>
          <w:rFonts w:asciiTheme="minorHAnsi" w:hAnsiTheme="minorHAnsi" w:cstheme="minorHAnsi"/>
          <w:sz w:val="24"/>
          <w:szCs w:val="24"/>
        </w:rPr>
        <w:t xml:space="preserve">Cíle Koncepce 2025 </w:t>
      </w:r>
      <w:r w:rsidR="002E54D7" w:rsidRPr="00D3717F">
        <w:rPr>
          <w:rFonts w:asciiTheme="minorHAnsi" w:hAnsiTheme="minorHAnsi" w:cstheme="minorHAnsi"/>
          <w:sz w:val="24"/>
          <w:szCs w:val="24"/>
        </w:rPr>
        <w:t>mají</w:t>
      </w:r>
      <w:r w:rsidR="00ED710D" w:rsidRPr="00D3717F">
        <w:rPr>
          <w:rFonts w:asciiTheme="minorHAnsi" w:hAnsiTheme="minorHAnsi" w:cstheme="minorHAnsi"/>
          <w:sz w:val="24"/>
          <w:szCs w:val="24"/>
        </w:rPr>
        <w:t xml:space="preserve"> být rozpracovány do AP, ale </w:t>
      </w:r>
      <w:r w:rsidRPr="00D3717F">
        <w:rPr>
          <w:rFonts w:ascii="Calibri" w:eastAsia="Times New Roman" w:hAnsi="Calibri"/>
          <w:sz w:val="24"/>
          <w:szCs w:val="25"/>
        </w:rPr>
        <w:t>v</w:t>
      </w:r>
      <w:r w:rsidR="00CD45A4">
        <w:rPr>
          <w:rFonts w:ascii="Calibri" w:eastAsia="Times New Roman" w:hAnsi="Calibri"/>
          <w:sz w:val="24"/>
          <w:szCs w:val="25"/>
        </w:rPr>
        <w:t xml:space="preserve"> </w:t>
      </w:r>
      <w:r w:rsidR="00F409F0" w:rsidRPr="00D3717F">
        <w:rPr>
          <w:rFonts w:ascii="Calibri" w:eastAsia="Times New Roman" w:hAnsi="Calibri"/>
          <w:sz w:val="24"/>
          <w:szCs w:val="25"/>
        </w:rPr>
        <w:t>AP zpracovaných pro jednotlivé roky 2016</w:t>
      </w:r>
      <w:r w:rsidR="00F409F0" w:rsidRPr="00D3717F">
        <w:rPr>
          <w:rFonts w:ascii="Calibri" w:eastAsia="Times New Roman" w:hAnsi="Calibri" w:cs="Calibri"/>
          <w:sz w:val="24"/>
          <w:szCs w:val="25"/>
        </w:rPr>
        <w:t>−</w:t>
      </w:r>
      <w:r w:rsidR="00F409F0" w:rsidRPr="00D3717F">
        <w:rPr>
          <w:rFonts w:ascii="Calibri" w:eastAsia="Times New Roman" w:hAnsi="Calibri"/>
          <w:sz w:val="24"/>
          <w:szCs w:val="25"/>
        </w:rPr>
        <w:t>2019 ne</w:t>
      </w:r>
      <w:r w:rsidR="002E54D7" w:rsidRPr="00D3717F">
        <w:rPr>
          <w:rFonts w:ascii="Calibri" w:eastAsia="Times New Roman" w:hAnsi="Calibri"/>
          <w:sz w:val="24"/>
          <w:szCs w:val="25"/>
        </w:rPr>
        <w:t>jsou</w:t>
      </w:r>
      <w:r w:rsidR="00F409F0" w:rsidRPr="00D3717F">
        <w:rPr>
          <w:rFonts w:ascii="Calibri" w:eastAsia="Times New Roman" w:hAnsi="Calibri"/>
          <w:sz w:val="24"/>
          <w:szCs w:val="25"/>
        </w:rPr>
        <w:t xml:space="preserve"> </w:t>
      </w:r>
      <w:r w:rsidRPr="00D3717F">
        <w:rPr>
          <w:rFonts w:ascii="Calibri" w:eastAsia="Times New Roman" w:hAnsi="Calibri"/>
          <w:sz w:val="24"/>
          <w:szCs w:val="25"/>
        </w:rPr>
        <w:t>dosud některé cíle</w:t>
      </w:r>
      <w:r w:rsidR="00D815FE" w:rsidRPr="00D3717F">
        <w:rPr>
          <w:rFonts w:ascii="Calibri" w:eastAsia="Times New Roman" w:hAnsi="Calibri"/>
          <w:sz w:val="24"/>
          <w:szCs w:val="25"/>
        </w:rPr>
        <w:t xml:space="preserve"> Koncepce </w:t>
      </w:r>
      <w:r w:rsidR="00F409F0" w:rsidRPr="00D3717F">
        <w:rPr>
          <w:rFonts w:ascii="Calibri" w:eastAsia="Times New Roman" w:hAnsi="Calibri"/>
          <w:sz w:val="24"/>
          <w:szCs w:val="25"/>
        </w:rPr>
        <w:t>2025</w:t>
      </w:r>
      <w:r w:rsidRPr="00D3717F">
        <w:rPr>
          <w:rFonts w:ascii="Calibri" w:eastAsia="Times New Roman" w:hAnsi="Calibri"/>
          <w:sz w:val="24"/>
          <w:szCs w:val="25"/>
        </w:rPr>
        <w:t xml:space="preserve"> rozpracovány.</w:t>
      </w:r>
      <w:r w:rsidR="00F409F0" w:rsidRPr="00D3717F">
        <w:rPr>
          <w:rFonts w:ascii="Calibri" w:eastAsia="Times New Roman" w:hAnsi="Calibri"/>
          <w:sz w:val="24"/>
          <w:szCs w:val="25"/>
        </w:rPr>
        <w:t xml:space="preserve"> 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Velká část úkolů v AP spočív</w:t>
      </w:r>
      <w:r w:rsidR="002E54D7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á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</w:t>
      </w:r>
      <w:r w:rsidR="00003387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sestavování odborných komisí, provádění analýz, mapování situace a přípravě </w:t>
      </w:r>
      <w:r w:rsidR="00E11C4F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realizaci 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pilotních projektů</w:t>
      </w:r>
      <w:r w:rsidR="00E11C4F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D6B3C" w:rsidRPr="00287AB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Otevřená věznice Jiřice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D6B3C" w:rsidRPr="00287AB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Probační dům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r w:rsidR="00AD6B3C" w:rsidRPr="00287AB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Věznice Znojmo </w:t>
      </w:r>
      <w:r w:rsidR="00CD45A4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–</w:t>
      </w:r>
      <w:r w:rsidR="00AD6B3C" w:rsidRPr="00287AB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dluhové poradenství pro odsouzené</w:t>
      </w:r>
      <w:r w:rsidR="00CD45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B16AB6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45A4">
        <w:rPr>
          <w:rFonts w:asciiTheme="minorHAnsi" w:hAnsiTheme="minorHAnsi" w:cstheme="minorHAnsi"/>
          <w:color w:val="000000" w:themeColor="text1"/>
          <w:sz w:val="24"/>
          <w:szCs w:val="24"/>
        </w:rPr>
        <w:t>tyto projekty</w:t>
      </w:r>
      <w:r w:rsidR="00B16AB6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však týkají pouze malého počtu vězňů</w:t>
      </w:r>
      <w:r w:rsidR="00E11C4F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Realizací </w:t>
      </w:r>
      <w:r w:rsidR="002E061E">
        <w:rPr>
          <w:rFonts w:asciiTheme="minorHAnsi" w:hAnsiTheme="minorHAnsi" w:cstheme="minorHAnsi"/>
          <w:color w:val="000000" w:themeColor="text1"/>
          <w:sz w:val="24"/>
          <w:szCs w:val="24"/>
        </w:rPr>
        <w:t>uvedených</w:t>
      </w:r>
      <w:r w:rsidR="00E11C4F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aktivit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1C4F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jsou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sice plněny </w:t>
      </w:r>
      <w:r w:rsidR="00E11C4F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úkoly v AP</w:t>
      </w:r>
      <w:r w:rsidR="00AD6B3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EB3F61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ale teprve dokončení započatých aktivit a rozšíření výstupů pilotních projekt</w:t>
      </w:r>
      <w:r w:rsidR="00ED710D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ů</w:t>
      </w:r>
      <w:r w:rsidR="00EB3F61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bude mít pozitivní dopad na plnění cílů </w:t>
      </w:r>
      <w:r w:rsidR="00B92B1C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EB3F61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oncepce 2025</w:t>
      </w:r>
      <w:r w:rsidR="00645514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91ECB" w:rsidRPr="00D371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C92F48F" w14:textId="20FD77DF" w:rsidR="00F409F0" w:rsidRPr="00A07581" w:rsidRDefault="0098227B" w:rsidP="00497852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="Calibri" w:hAnsi="Calibri" w:cs="Calibri"/>
          <w:color w:val="000000"/>
          <w:sz w:val="24"/>
          <w:szCs w:val="24"/>
        </w:rPr>
        <w:t>MSp v</w:t>
      </w:r>
      <w:r w:rsidRPr="00D3717F">
        <w:rPr>
          <w:rFonts w:asciiTheme="minorHAnsi" w:hAnsiTheme="minorHAnsi" w:cstheme="minorHAnsi"/>
          <w:sz w:val="24"/>
          <w:szCs w:val="24"/>
        </w:rPr>
        <w:t xml:space="preserve"> </w:t>
      </w:r>
      <w:r w:rsidR="002E061E" w:rsidRPr="00287AB3">
        <w:rPr>
          <w:rFonts w:asciiTheme="minorHAnsi" w:hAnsiTheme="minorHAnsi" w:cstheme="minorHAnsi"/>
          <w:i/>
          <w:sz w:val="24"/>
          <w:szCs w:val="24"/>
        </w:rPr>
        <w:t>i</w:t>
      </w:r>
      <w:r w:rsidRPr="00287AB3">
        <w:rPr>
          <w:rFonts w:asciiTheme="minorHAnsi" w:hAnsiTheme="minorHAnsi" w:cstheme="minorHAnsi"/>
          <w:i/>
          <w:sz w:val="24"/>
          <w:szCs w:val="24"/>
        </w:rPr>
        <w:t>nformaci o plnění AP</w:t>
      </w:r>
      <w:r w:rsidR="00DC157B" w:rsidRPr="00D3717F">
        <w:rPr>
          <w:rFonts w:asciiTheme="minorHAnsi" w:hAnsiTheme="minorHAnsi" w:cstheme="minorHAnsi"/>
          <w:sz w:val="24"/>
          <w:szCs w:val="24"/>
        </w:rPr>
        <w:t>, kterou každoročně</w:t>
      </w:r>
      <w:r w:rsidRPr="00D3717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3717F">
        <w:rPr>
          <w:rFonts w:asciiTheme="minorHAnsi" w:hAnsiTheme="minorHAnsi" w:cstheme="minorHAnsi"/>
          <w:sz w:val="24"/>
          <w:szCs w:val="24"/>
        </w:rPr>
        <w:t>předklád</w:t>
      </w:r>
      <w:r w:rsidR="00DC157B" w:rsidRPr="00D3717F">
        <w:rPr>
          <w:rFonts w:asciiTheme="minorHAnsi" w:hAnsiTheme="minorHAnsi" w:cstheme="minorHAnsi"/>
          <w:sz w:val="24"/>
          <w:szCs w:val="24"/>
        </w:rPr>
        <w:t>á</w:t>
      </w:r>
      <w:r w:rsidRPr="00D3717F">
        <w:rPr>
          <w:rFonts w:asciiTheme="minorHAnsi" w:hAnsiTheme="minorHAnsi" w:cstheme="minorHAnsi"/>
          <w:sz w:val="24"/>
          <w:szCs w:val="24"/>
        </w:rPr>
        <w:t xml:space="preserve"> vládě ČR</w:t>
      </w:r>
      <w:r w:rsidR="00DC157B" w:rsidRPr="00D3717F">
        <w:rPr>
          <w:rFonts w:asciiTheme="minorHAnsi" w:hAnsiTheme="minorHAnsi" w:cstheme="minorHAnsi"/>
          <w:sz w:val="24"/>
          <w:szCs w:val="24"/>
        </w:rPr>
        <w:t>,</w:t>
      </w:r>
      <w:r w:rsidR="00156C0E" w:rsidRPr="00D3717F">
        <w:rPr>
          <w:rFonts w:asciiTheme="minorHAnsi" w:hAnsiTheme="minorHAnsi" w:cstheme="minorHAnsi"/>
          <w:sz w:val="24"/>
          <w:szCs w:val="24"/>
        </w:rPr>
        <w:t xml:space="preserve"> </w:t>
      </w:r>
      <w:r w:rsidRPr="00D3717F">
        <w:rPr>
          <w:rFonts w:asciiTheme="minorHAnsi" w:hAnsiTheme="minorHAnsi" w:cstheme="minorHAnsi"/>
          <w:sz w:val="24"/>
          <w:szCs w:val="24"/>
        </w:rPr>
        <w:t xml:space="preserve">nevyhodnocuje </w:t>
      </w:r>
      <w:r w:rsidR="002E061E" w:rsidRPr="00D3717F">
        <w:rPr>
          <w:rFonts w:asciiTheme="minorHAnsi" w:hAnsiTheme="minorHAnsi" w:cstheme="minorHAnsi"/>
          <w:sz w:val="24"/>
          <w:szCs w:val="24"/>
        </w:rPr>
        <w:t xml:space="preserve">průběžně </w:t>
      </w:r>
      <w:r w:rsidRPr="00D3717F">
        <w:rPr>
          <w:rFonts w:asciiTheme="minorHAnsi" w:hAnsiTheme="minorHAnsi" w:cstheme="minorHAnsi"/>
          <w:sz w:val="24"/>
          <w:szCs w:val="24"/>
        </w:rPr>
        <w:t>stav plnění cílů</w:t>
      </w:r>
      <w:r w:rsidR="002E061E">
        <w:rPr>
          <w:rFonts w:asciiTheme="minorHAnsi" w:hAnsiTheme="minorHAnsi" w:cstheme="minorHAnsi"/>
          <w:sz w:val="24"/>
          <w:szCs w:val="24"/>
        </w:rPr>
        <w:t xml:space="preserve"> </w:t>
      </w:r>
      <w:r w:rsidRPr="00D3717F">
        <w:rPr>
          <w:rFonts w:asciiTheme="minorHAnsi" w:hAnsiTheme="minorHAnsi" w:cstheme="minorHAnsi"/>
          <w:sz w:val="24"/>
          <w:szCs w:val="24"/>
        </w:rPr>
        <w:t xml:space="preserve">Koncepce 2025, ale </w:t>
      </w:r>
      <w:r w:rsidR="00156C0E" w:rsidRPr="00D3717F">
        <w:rPr>
          <w:rFonts w:asciiTheme="minorHAnsi" w:hAnsiTheme="minorHAnsi" w:cstheme="minorHAnsi"/>
          <w:sz w:val="24"/>
          <w:szCs w:val="24"/>
        </w:rPr>
        <w:t>hodnotí pouze plnění dílčích úkolů stanovených</w:t>
      </w:r>
      <w:r w:rsidR="00156C0E" w:rsidRPr="00A07581">
        <w:rPr>
          <w:rFonts w:asciiTheme="minorHAnsi" w:hAnsiTheme="minorHAnsi" w:cstheme="minorHAnsi"/>
          <w:sz w:val="24"/>
          <w:szCs w:val="24"/>
        </w:rPr>
        <w:t xml:space="preserve"> v AP pro daný rok.</w:t>
      </w:r>
      <w:r w:rsidRPr="00A07581">
        <w:rPr>
          <w:rFonts w:asciiTheme="minorHAnsi" w:hAnsiTheme="minorHAnsi" w:cstheme="minorHAnsi"/>
          <w:sz w:val="24"/>
          <w:szCs w:val="24"/>
        </w:rPr>
        <w:t xml:space="preserve"> </w:t>
      </w:r>
      <w:r w:rsidR="00156C0E" w:rsidRPr="00A07581">
        <w:rPr>
          <w:rFonts w:ascii="Calibri" w:hAnsi="Calibri" w:cs="Calibri"/>
          <w:color w:val="000000"/>
          <w:sz w:val="24"/>
          <w:szCs w:val="24"/>
        </w:rPr>
        <w:t>MSp tak nevyhodnocuje</w:t>
      </w:r>
      <w:r w:rsidR="00202CB2">
        <w:rPr>
          <w:rFonts w:asciiTheme="minorHAnsi" w:hAnsiTheme="minorHAnsi" w:cstheme="minorHAnsi"/>
          <w:sz w:val="24"/>
          <w:szCs w:val="24"/>
        </w:rPr>
        <w:t xml:space="preserve"> </w:t>
      </w:r>
      <w:r w:rsidR="00156C0E" w:rsidRPr="00A07581">
        <w:rPr>
          <w:rFonts w:asciiTheme="minorHAnsi" w:hAnsiTheme="minorHAnsi" w:cstheme="minorHAnsi"/>
          <w:sz w:val="24"/>
          <w:szCs w:val="24"/>
        </w:rPr>
        <w:t>plnění ú</w:t>
      </w:r>
      <w:r w:rsidR="00225411" w:rsidRPr="00A07581">
        <w:rPr>
          <w:rFonts w:asciiTheme="minorHAnsi" w:hAnsiTheme="minorHAnsi" w:cstheme="minorHAnsi"/>
          <w:sz w:val="24"/>
          <w:szCs w:val="24"/>
        </w:rPr>
        <w:t>kol</w:t>
      </w:r>
      <w:r w:rsidR="00156C0E" w:rsidRPr="00A07581">
        <w:rPr>
          <w:rFonts w:asciiTheme="minorHAnsi" w:hAnsiTheme="minorHAnsi" w:cstheme="minorHAnsi"/>
          <w:sz w:val="24"/>
          <w:szCs w:val="24"/>
        </w:rPr>
        <w:t>ů</w:t>
      </w:r>
      <w:r w:rsidR="00225411" w:rsidRPr="00A07581">
        <w:rPr>
          <w:rFonts w:asciiTheme="minorHAnsi" w:hAnsiTheme="minorHAnsi" w:cstheme="minorHAnsi"/>
          <w:sz w:val="24"/>
          <w:szCs w:val="24"/>
        </w:rPr>
        <w:t xml:space="preserve">, </w:t>
      </w:r>
      <w:r w:rsidR="00156C0E" w:rsidRPr="00A07581">
        <w:rPr>
          <w:rFonts w:asciiTheme="minorHAnsi" w:hAnsiTheme="minorHAnsi" w:cstheme="minorHAnsi"/>
          <w:sz w:val="24"/>
          <w:szCs w:val="24"/>
        </w:rPr>
        <w:t>jejichž realizace má být ukončena až</w:t>
      </w:r>
      <w:r w:rsidR="00056885" w:rsidRPr="00A07581">
        <w:rPr>
          <w:rFonts w:ascii="Calibri" w:hAnsi="Calibri" w:cs="Calibri"/>
          <w:color w:val="000000"/>
          <w:sz w:val="24"/>
          <w:szCs w:val="24"/>
        </w:rPr>
        <w:t xml:space="preserve"> v následujících letech</w:t>
      </w:r>
      <w:r w:rsidR="002E061E">
        <w:rPr>
          <w:rFonts w:ascii="Calibri" w:hAnsi="Calibri" w:cs="Calibri"/>
          <w:color w:val="000000"/>
          <w:sz w:val="24"/>
          <w:szCs w:val="24"/>
        </w:rPr>
        <w:t>,</w:t>
      </w:r>
      <w:r w:rsidR="00056885" w:rsidRPr="00A0758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56C0E" w:rsidRPr="00A07581">
        <w:rPr>
          <w:rFonts w:ascii="Calibri" w:hAnsi="Calibri" w:cs="Calibri"/>
          <w:color w:val="000000"/>
          <w:sz w:val="24"/>
          <w:szCs w:val="24"/>
        </w:rPr>
        <w:t>ani</w:t>
      </w:r>
      <w:r w:rsidR="00ED710D" w:rsidRPr="00A0758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56C0E" w:rsidRPr="00A07581">
        <w:rPr>
          <w:rFonts w:ascii="Calibri" w:hAnsi="Calibri" w:cs="Calibri"/>
          <w:color w:val="000000"/>
          <w:sz w:val="24"/>
          <w:szCs w:val="24"/>
        </w:rPr>
        <w:t>plnění průběžných úkolů.</w:t>
      </w:r>
      <w:r w:rsidR="00056885" w:rsidRPr="00A0758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27E39F0" w14:textId="36EC6746" w:rsidR="00E56208" w:rsidRDefault="004E1940" w:rsidP="00287AB3">
      <w:pPr>
        <w:widowControl/>
        <w:tabs>
          <w:tab w:val="left" w:pos="993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Theme="minorHAnsi" w:hAnsiTheme="minorHAnsi" w:cstheme="minorHAnsi"/>
          <w:sz w:val="24"/>
          <w:szCs w:val="24"/>
        </w:rPr>
        <w:t xml:space="preserve">MSp </w:t>
      </w:r>
      <w:r w:rsidR="0088131D" w:rsidRPr="00D3717F">
        <w:rPr>
          <w:rFonts w:asciiTheme="minorHAnsi" w:hAnsiTheme="minorHAnsi" w:cstheme="minorHAnsi"/>
          <w:sz w:val="24"/>
          <w:szCs w:val="24"/>
        </w:rPr>
        <w:t>a</w:t>
      </w:r>
      <w:r w:rsidR="00497852">
        <w:rPr>
          <w:rFonts w:asciiTheme="minorHAnsi" w:hAnsiTheme="minorHAnsi" w:cstheme="minorHAnsi"/>
          <w:sz w:val="24"/>
          <w:szCs w:val="24"/>
        </w:rPr>
        <w:t xml:space="preserve"> </w:t>
      </w:r>
      <w:r w:rsidRPr="00D3717F">
        <w:rPr>
          <w:rFonts w:asciiTheme="minorHAnsi" w:hAnsiTheme="minorHAnsi" w:cstheme="minorHAnsi"/>
          <w:sz w:val="24"/>
          <w:szCs w:val="24"/>
        </w:rPr>
        <w:t>VS ČR nezajistily dostatečnou kapacitu věznic a míra využití</w:t>
      </w:r>
      <w:r w:rsidRPr="00232DF7">
        <w:rPr>
          <w:rFonts w:asciiTheme="minorHAnsi" w:hAnsiTheme="minorHAnsi" w:cstheme="minorHAnsi"/>
          <w:sz w:val="24"/>
          <w:szCs w:val="24"/>
        </w:rPr>
        <w:t xml:space="preserve"> ubytovací kapacity</w:t>
      </w:r>
      <w:r w:rsidR="009A323C">
        <w:rPr>
          <w:rStyle w:val="Znakapoznpodarou"/>
          <w:rFonts w:asciiTheme="minorHAnsi" w:hAnsiTheme="minorHAnsi"/>
          <w:sz w:val="24"/>
          <w:szCs w:val="24"/>
        </w:rPr>
        <w:footnoteReference w:id="7"/>
      </w:r>
      <w:r w:rsidRPr="00232DF7">
        <w:rPr>
          <w:rFonts w:asciiTheme="minorHAnsi" w:hAnsiTheme="minorHAnsi" w:cstheme="minorHAnsi"/>
          <w:sz w:val="24"/>
          <w:szCs w:val="24"/>
        </w:rPr>
        <w:t xml:space="preserve"> pro výkon trestu odnětí svobody k 31.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Pr="00232DF7">
        <w:rPr>
          <w:rFonts w:asciiTheme="minorHAnsi" w:hAnsiTheme="minorHAnsi" w:cstheme="minorHAnsi"/>
          <w:sz w:val="24"/>
          <w:szCs w:val="24"/>
        </w:rPr>
        <w:t>12.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Pr="00232DF7">
        <w:rPr>
          <w:rFonts w:asciiTheme="minorHAnsi" w:hAnsiTheme="minorHAnsi" w:cstheme="minorHAnsi"/>
          <w:sz w:val="24"/>
          <w:szCs w:val="24"/>
        </w:rPr>
        <w:t>2018 dosahovala 105,1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Pr="00232DF7">
        <w:rPr>
          <w:rFonts w:asciiTheme="minorHAnsi" w:hAnsiTheme="minorHAnsi" w:cstheme="minorHAnsi"/>
          <w:sz w:val="24"/>
          <w:szCs w:val="24"/>
        </w:rPr>
        <w:t xml:space="preserve">%. </w:t>
      </w:r>
      <w:r w:rsidR="00E56208" w:rsidRPr="006D6BFB">
        <w:rPr>
          <w:rFonts w:asciiTheme="minorHAnsi" w:hAnsiTheme="minorHAnsi" w:cstheme="minorHAnsi"/>
          <w:sz w:val="24"/>
          <w:szCs w:val="24"/>
        </w:rPr>
        <w:t xml:space="preserve">Vzhledem k současnému poklesu počtu vězněných osob je </w:t>
      </w:r>
      <w:r w:rsidR="00E56208">
        <w:rPr>
          <w:rFonts w:asciiTheme="minorHAnsi" w:hAnsiTheme="minorHAnsi" w:cstheme="minorHAnsi"/>
          <w:sz w:val="24"/>
          <w:szCs w:val="24"/>
        </w:rPr>
        <w:t xml:space="preserve">sice </w:t>
      </w:r>
      <w:r w:rsidR="00E56208" w:rsidRPr="006D6BFB">
        <w:rPr>
          <w:rFonts w:asciiTheme="minorHAnsi" w:hAnsiTheme="minorHAnsi" w:cstheme="minorHAnsi"/>
          <w:sz w:val="24"/>
          <w:szCs w:val="24"/>
        </w:rPr>
        <w:t>reálné, že v brzké době dojde k dosažení ubytovací plochy</w:t>
      </w:r>
      <w:r w:rsidR="00E56208">
        <w:rPr>
          <w:rFonts w:asciiTheme="minorHAnsi" w:hAnsiTheme="minorHAnsi" w:cstheme="minorHAnsi"/>
          <w:sz w:val="24"/>
          <w:szCs w:val="24"/>
        </w:rPr>
        <w:t xml:space="preserve"> 4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="00E56208">
        <w:rPr>
          <w:rFonts w:asciiTheme="minorHAnsi" w:hAnsiTheme="minorHAnsi" w:cstheme="minorHAnsi"/>
          <w:sz w:val="24"/>
          <w:szCs w:val="24"/>
        </w:rPr>
        <w:t>m</w:t>
      </w:r>
      <w:r w:rsidR="00E56208" w:rsidRPr="00E5620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56208">
        <w:rPr>
          <w:rFonts w:asciiTheme="minorHAnsi" w:hAnsiTheme="minorHAnsi" w:cstheme="minorHAnsi"/>
          <w:sz w:val="24"/>
          <w:szCs w:val="24"/>
        </w:rPr>
        <w:t xml:space="preserve"> stanovené </w:t>
      </w:r>
      <w:r w:rsidR="00E56208" w:rsidRPr="006D6BFB">
        <w:rPr>
          <w:rFonts w:asciiTheme="minorHAnsi" w:hAnsiTheme="minorHAnsi" w:cstheme="minorHAnsi"/>
          <w:sz w:val="24"/>
          <w:szCs w:val="24"/>
        </w:rPr>
        <w:t>vyhláškou č.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="00E56208" w:rsidRPr="006D6BFB">
        <w:rPr>
          <w:rFonts w:asciiTheme="minorHAnsi" w:hAnsiTheme="minorHAnsi" w:cstheme="minorHAnsi"/>
          <w:sz w:val="24"/>
          <w:szCs w:val="24"/>
        </w:rPr>
        <w:t>345/1999 Sb.</w:t>
      </w:r>
      <w:r w:rsidR="00E56208">
        <w:rPr>
          <w:rStyle w:val="Znakapoznpodarou"/>
          <w:rFonts w:asciiTheme="minorHAnsi" w:hAnsiTheme="minorHAnsi"/>
          <w:sz w:val="24"/>
          <w:szCs w:val="24"/>
        </w:rPr>
        <w:footnoteReference w:id="8"/>
      </w:r>
      <w:r w:rsidR="00E56208" w:rsidRPr="006D6BFB">
        <w:rPr>
          <w:rFonts w:asciiTheme="minorHAnsi" w:hAnsiTheme="minorHAnsi" w:cstheme="minorHAnsi"/>
          <w:sz w:val="24"/>
          <w:szCs w:val="24"/>
        </w:rPr>
        <w:t>,</w:t>
      </w:r>
      <w:r w:rsidR="00E56208">
        <w:rPr>
          <w:rFonts w:asciiTheme="minorHAnsi" w:hAnsiTheme="minorHAnsi" w:cstheme="minorHAnsi"/>
          <w:sz w:val="24"/>
          <w:szCs w:val="24"/>
        </w:rPr>
        <w:t xml:space="preserve"> ale u</w:t>
      </w:r>
      <w:r w:rsidR="00E56208" w:rsidRPr="006D6BFB">
        <w:rPr>
          <w:rFonts w:asciiTheme="minorHAnsi" w:hAnsiTheme="minorHAnsi" w:cstheme="minorHAnsi"/>
          <w:sz w:val="24"/>
          <w:szCs w:val="24"/>
        </w:rPr>
        <w:t>bytovací plocha se nepřiblíží moderním evropským požadavkům ubytovacího standardu 6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="00E56208" w:rsidRPr="006D6BFB">
        <w:rPr>
          <w:rFonts w:asciiTheme="minorHAnsi" w:hAnsiTheme="minorHAnsi" w:cstheme="minorHAnsi"/>
          <w:sz w:val="24"/>
          <w:szCs w:val="24"/>
        </w:rPr>
        <w:t>m².</w:t>
      </w:r>
      <w:r w:rsidR="00E56208">
        <w:rPr>
          <w:rFonts w:asciiTheme="minorHAnsi" w:hAnsiTheme="minorHAnsi" w:cstheme="minorHAnsi"/>
          <w:sz w:val="24"/>
          <w:szCs w:val="24"/>
        </w:rPr>
        <w:t xml:space="preserve"> MSp</w:t>
      </w:r>
      <w:r w:rsidR="00734F26">
        <w:rPr>
          <w:rFonts w:asciiTheme="minorHAnsi" w:hAnsiTheme="minorHAnsi" w:cstheme="minorHAnsi"/>
          <w:sz w:val="24"/>
          <w:szCs w:val="24"/>
        </w:rPr>
        <w:t xml:space="preserve"> zatím</w:t>
      </w:r>
      <w:r w:rsidR="00E56208" w:rsidRPr="00E56208">
        <w:rPr>
          <w:rFonts w:asciiTheme="minorHAnsi" w:hAnsiTheme="minorHAnsi" w:cstheme="minorHAnsi"/>
          <w:sz w:val="24"/>
          <w:szCs w:val="24"/>
        </w:rPr>
        <w:t xml:space="preserve"> </w:t>
      </w:r>
      <w:r w:rsidR="00E56208">
        <w:rPr>
          <w:rFonts w:asciiTheme="minorHAnsi" w:hAnsiTheme="minorHAnsi" w:cstheme="minorHAnsi"/>
          <w:sz w:val="24"/>
          <w:szCs w:val="24"/>
        </w:rPr>
        <w:t>nepřistoupilo k </w:t>
      </w:r>
      <w:r w:rsidR="00E56208" w:rsidRPr="006D6BFB">
        <w:rPr>
          <w:rFonts w:asciiTheme="minorHAnsi" w:hAnsiTheme="minorHAnsi" w:cstheme="minorHAnsi"/>
          <w:sz w:val="24"/>
          <w:szCs w:val="24"/>
        </w:rPr>
        <w:t>legislativní změně, která by navýšila požadavky na ubytovací plochu.</w:t>
      </w:r>
    </w:p>
    <w:p w14:paraId="332EA8DC" w14:textId="6B5734E6" w:rsidR="00703C93" w:rsidRPr="00D3717F" w:rsidRDefault="00B92B1C" w:rsidP="00497852">
      <w:pPr>
        <w:widowControl/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VS ČR </w:t>
      </w:r>
      <w:r w:rsidR="002B1D6E">
        <w:rPr>
          <w:rFonts w:ascii="Calibri" w:eastAsia="Times New Roman" w:hAnsi="Calibri" w:cs="Calibri"/>
          <w:sz w:val="24"/>
          <w:szCs w:val="24"/>
          <w:lang w:eastAsia="en-US"/>
        </w:rPr>
        <w:t>za dobu</w:t>
      </w:r>
      <w:r w:rsidR="00B4382C">
        <w:rPr>
          <w:rFonts w:asciiTheme="minorHAnsi" w:hAnsiTheme="minorHAnsi" w:cstheme="minorHAnsi"/>
          <w:sz w:val="24"/>
          <w:szCs w:val="24"/>
        </w:rPr>
        <w:t xml:space="preserve"> realizace Koncepce 2025 </w:t>
      </w:r>
      <w:r w:rsidR="00B4382C" w:rsidRPr="00D3717F">
        <w:rPr>
          <w:rFonts w:ascii="Calibri" w:eastAsia="Times New Roman" w:hAnsi="Calibri" w:cs="Calibri"/>
          <w:sz w:val="24"/>
          <w:szCs w:val="24"/>
          <w:lang w:eastAsia="en-US"/>
        </w:rPr>
        <w:t>vybudovala 462 nových ubytovacích míst</w:t>
      </w:r>
      <w:r w:rsidR="0088131D" w:rsidRPr="00D3717F">
        <w:rPr>
          <w:rFonts w:ascii="Calibri" w:eastAsia="Times New Roman" w:hAnsi="Calibri" w:cs="Calibri"/>
          <w:sz w:val="24"/>
          <w:szCs w:val="24"/>
          <w:lang w:eastAsia="en-US"/>
        </w:rPr>
        <w:t>, která</w:t>
      </w:r>
      <w:r w:rsidR="00B4382C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 zlepš</w:t>
      </w:r>
      <w:r w:rsidR="0088131D" w:rsidRPr="00D3717F">
        <w:rPr>
          <w:rFonts w:ascii="Calibri" w:eastAsia="Times New Roman" w:hAnsi="Calibri" w:cs="Calibri"/>
          <w:sz w:val="24"/>
          <w:szCs w:val="24"/>
          <w:lang w:eastAsia="en-US"/>
        </w:rPr>
        <w:t>ila</w:t>
      </w:r>
      <w:r w:rsidR="00B4382C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88131D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kvalitu </w:t>
      </w:r>
      <w:r w:rsidR="00B4382C" w:rsidRPr="00D3717F">
        <w:rPr>
          <w:rFonts w:ascii="Calibri" w:eastAsia="Times New Roman" w:hAnsi="Calibri" w:cs="Calibri"/>
          <w:sz w:val="24"/>
          <w:szCs w:val="24"/>
          <w:lang w:eastAsia="en-US"/>
        </w:rPr>
        <w:t>ubytování vězňů</w:t>
      </w:r>
      <w:r w:rsidR="0088131D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, ale nezvýšila </w:t>
      </w:r>
      <w:r w:rsidR="00AB4FFE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vykazovanou </w:t>
      </w:r>
      <w:r w:rsidR="0088131D" w:rsidRPr="00D3717F">
        <w:rPr>
          <w:rFonts w:ascii="Calibri" w:eastAsia="Times New Roman" w:hAnsi="Calibri" w:cs="Calibri"/>
          <w:sz w:val="24"/>
          <w:szCs w:val="24"/>
          <w:lang w:eastAsia="en-US"/>
        </w:rPr>
        <w:t>ubytovací kapacitu věznic</w:t>
      </w:r>
      <w:r w:rsidR="00B4382C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  <w:r w:rsidR="004E1940" w:rsidRPr="00D3717F">
        <w:rPr>
          <w:rFonts w:asciiTheme="minorHAnsi" w:hAnsiTheme="minorHAnsi" w:cstheme="minorHAnsi"/>
          <w:sz w:val="24"/>
          <w:szCs w:val="24"/>
        </w:rPr>
        <w:t>Realizovaná opatření neřeší přetrvávající problém nevyhovujícího stavebního uspořádání většiny věznic. Nevhodná architektura a</w:t>
      </w:r>
      <w:r w:rsidR="00BB7CBC">
        <w:rPr>
          <w:rFonts w:asciiTheme="minorHAnsi" w:hAnsiTheme="minorHAnsi" w:cstheme="minorHAnsi"/>
          <w:sz w:val="24"/>
          <w:szCs w:val="24"/>
        </w:rPr>
        <w:t xml:space="preserve"> </w:t>
      </w:r>
      <w:r w:rsidR="004E1940" w:rsidRPr="00D3717F">
        <w:rPr>
          <w:rFonts w:asciiTheme="minorHAnsi" w:hAnsiTheme="minorHAnsi" w:cstheme="minorHAnsi"/>
          <w:sz w:val="24"/>
          <w:szCs w:val="24"/>
        </w:rPr>
        <w:t>přeplněnost věznic neumožňuj</w:t>
      </w:r>
      <w:r w:rsidR="002E061E">
        <w:rPr>
          <w:rFonts w:asciiTheme="minorHAnsi" w:hAnsiTheme="minorHAnsi" w:cstheme="minorHAnsi"/>
          <w:sz w:val="24"/>
          <w:szCs w:val="24"/>
        </w:rPr>
        <w:t>í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 účinnou diferenciaci odsouzených, což je předpokladem pro individuální zacházení s</w:t>
      </w:r>
      <w:r w:rsidR="00E72A07" w:rsidRPr="00D3717F">
        <w:rPr>
          <w:rFonts w:asciiTheme="minorHAnsi" w:hAnsiTheme="minorHAnsi" w:cstheme="minorHAnsi"/>
          <w:sz w:val="24"/>
          <w:szCs w:val="24"/>
        </w:rPr>
        <w:t> </w:t>
      </w:r>
      <w:r w:rsidR="004E1940" w:rsidRPr="00D3717F">
        <w:rPr>
          <w:rFonts w:asciiTheme="minorHAnsi" w:hAnsiTheme="minorHAnsi" w:cstheme="minorHAnsi"/>
          <w:sz w:val="24"/>
          <w:szCs w:val="24"/>
        </w:rPr>
        <w:t>vězni</w:t>
      </w:r>
      <w:r w:rsidR="00E72A07" w:rsidRPr="00D3717F">
        <w:rPr>
          <w:rFonts w:asciiTheme="minorHAnsi" w:hAnsiTheme="minorHAnsi" w:cstheme="minorHAnsi"/>
          <w:sz w:val="24"/>
          <w:szCs w:val="24"/>
        </w:rPr>
        <w:t>.</w:t>
      </w:r>
    </w:p>
    <w:p w14:paraId="3864AE9F" w14:textId="0B95485B" w:rsidR="00990830" w:rsidRPr="00D3717F" w:rsidRDefault="00831C71" w:rsidP="00497852">
      <w:pPr>
        <w:widowControl/>
        <w:tabs>
          <w:tab w:val="left" w:pos="993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="Calibri" w:eastAsia="Times New Roman" w:hAnsi="Calibri"/>
          <w:sz w:val="24"/>
          <w:szCs w:val="25"/>
        </w:rPr>
        <w:t xml:space="preserve">Kontrolou NKÚ bylo ověřeno, že </w:t>
      </w:r>
      <w:r w:rsidR="000C1501" w:rsidRPr="00D3717F">
        <w:rPr>
          <w:rFonts w:ascii="Calibri" w:eastAsia="Times New Roman" w:hAnsi="Calibri"/>
          <w:sz w:val="24"/>
          <w:szCs w:val="25"/>
        </w:rPr>
        <w:t>VS</w:t>
      </w:r>
      <w:r w:rsidR="00B92B1C" w:rsidRPr="00D3717F">
        <w:rPr>
          <w:rFonts w:ascii="Calibri" w:eastAsia="Times New Roman" w:hAnsi="Calibri"/>
          <w:sz w:val="24"/>
          <w:szCs w:val="25"/>
        </w:rPr>
        <w:t> </w:t>
      </w:r>
      <w:r w:rsidR="000C1501" w:rsidRPr="00D3717F">
        <w:rPr>
          <w:rFonts w:ascii="Calibri" w:eastAsia="Times New Roman" w:hAnsi="Calibri"/>
          <w:sz w:val="24"/>
          <w:szCs w:val="25"/>
        </w:rPr>
        <w:t>ČR v</w:t>
      </w:r>
      <w:r w:rsidR="00703C93" w:rsidRPr="00D3717F">
        <w:rPr>
          <w:rFonts w:ascii="Calibri" w:eastAsia="Times New Roman" w:hAnsi="Calibri"/>
          <w:sz w:val="24"/>
          <w:szCs w:val="25"/>
        </w:rPr>
        <w:t>ytváří podmínk</w:t>
      </w:r>
      <w:r w:rsidR="000C1501" w:rsidRPr="00D3717F">
        <w:rPr>
          <w:rFonts w:ascii="Calibri" w:eastAsia="Times New Roman" w:hAnsi="Calibri"/>
          <w:sz w:val="24"/>
          <w:szCs w:val="25"/>
        </w:rPr>
        <w:t>y</w:t>
      </w:r>
      <w:r w:rsidR="00703C93" w:rsidRPr="00D3717F">
        <w:rPr>
          <w:rFonts w:ascii="Calibri" w:eastAsia="Times New Roman" w:hAnsi="Calibri"/>
          <w:sz w:val="24"/>
          <w:szCs w:val="25"/>
        </w:rPr>
        <w:t xml:space="preserve"> </w:t>
      </w:r>
      <w:r w:rsidR="000C1501" w:rsidRPr="00D3717F">
        <w:rPr>
          <w:rFonts w:ascii="Calibri" w:eastAsia="Times New Roman" w:hAnsi="Calibri"/>
          <w:sz w:val="24"/>
          <w:szCs w:val="25"/>
        </w:rPr>
        <w:t xml:space="preserve">pro soustavné působení na vězně prostřednictvím programů zacházení, které </w:t>
      </w:r>
      <w:r w:rsidR="00703C93" w:rsidRPr="00D3717F">
        <w:rPr>
          <w:rFonts w:asciiTheme="minorHAnsi" w:hAnsiTheme="minorHAnsi" w:cstheme="minorHAnsi"/>
          <w:sz w:val="24"/>
          <w:szCs w:val="24"/>
        </w:rPr>
        <w:t>m</w:t>
      </w:r>
      <w:r w:rsidR="000C1501" w:rsidRPr="00D3717F">
        <w:rPr>
          <w:rFonts w:asciiTheme="minorHAnsi" w:hAnsiTheme="minorHAnsi" w:cstheme="minorHAnsi"/>
          <w:sz w:val="24"/>
          <w:szCs w:val="24"/>
        </w:rPr>
        <w:t>ají</w:t>
      </w:r>
      <w:r w:rsidR="00B92B1C" w:rsidRPr="00D3717F">
        <w:rPr>
          <w:rFonts w:asciiTheme="minorHAnsi" w:hAnsiTheme="minorHAnsi" w:cstheme="minorHAnsi"/>
          <w:sz w:val="24"/>
          <w:szCs w:val="24"/>
        </w:rPr>
        <w:t xml:space="preserve"> 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přispívat ke snižování rizika recidivy odsouzených. </w:t>
      </w:r>
      <w:r w:rsidR="00703C93" w:rsidRPr="00D3717F">
        <w:rPr>
          <w:rFonts w:asciiTheme="minorHAnsi" w:hAnsiTheme="minorHAnsi" w:cstheme="minorHAnsi"/>
          <w:sz w:val="24"/>
          <w:szCs w:val="24"/>
        </w:rPr>
        <w:t>Snížení</w:t>
      </w:r>
      <w:r w:rsidR="00990830" w:rsidRPr="00D3717F">
        <w:rPr>
          <w:rFonts w:asciiTheme="minorHAnsi" w:hAnsiTheme="minorHAnsi" w:cstheme="minorHAnsi"/>
          <w:sz w:val="24"/>
          <w:szCs w:val="24"/>
        </w:rPr>
        <w:t xml:space="preserve"> recidivy</w:t>
      </w:r>
      <w:r w:rsidR="00B4382C" w:rsidRPr="00D3717F">
        <w:rPr>
          <w:rFonts w:asciiTheme="minorHAnsi" w:hAnsiTheme="minorHAnsi" w:cstheme="minorHAnsi"/>
          <w:sz w:val="24"/>
          <w:szCs w:val="24"/>
        </w:rPr>
        <w:t xml:space="preserve"> </w:t>
      </w:r>
      <w:r w:rsidR="009C092B" w:rsidRPr="00D3717F">
        <w:rPr>
          <w:rFonts w:asciiTheme="minorHAnsi" w:hAnsiTheme="minorHAnsi" w:cstheme="minorHAnsi"/>
          <w:sz w:val="24"/>
          <w:szCs w:val="24"/>
        </w:rPr>
        <w:t>má vliv</w:t>
      </w:r>
      <w:r w:rsidR="00990830" w:rsidRPr="00D3717F">
        <w:rPr>
          <w:rFonts w:asciiTheme="minorHAnsi" w:hAnsiTheme="minorHAnsi" w:cstheme="minorHAnsi"/>
          <w:sz w:val="24"/>
          <w:szCs w:val="24"/>
        </w:rPr>
        <w:t xml:space="preserve"> na </w:t>
      </w:r>
      <w:r w:rsidR="00B4382C" w:rsidRPr="00D3717F">
        <w:rPr>
          <w:rFonts w:asciiTheme="minorHAnsi" w:hAnsiTheme="minorHAnsi" w:cstheme="minorHAnsi"/>
          <w:sz w:val="24"/>
          <w:szCs w:val="24"/>
        </w:rPr>
        <w:t xml:space="preserve">snížení počtu vězňů a tím i </w:t>
      </w:r>
      <w:r w:rsidR="00990830" w:rsidRPr="00D3717F">
        <w:rPr>
          <w:rFonts w:asciiTheme="minorHAnsi" w:hAnsiTheme="minorHAnsi" w:cstheme="minorHAnsi"/>
          <w:sz w:val="24"/>
          <w:szCs w:val="24"/>
        </w:rPr>
        <w:t>snížení budoucích výdajů na vězeňství</w:t>
      </w:r>
      <w:r w:rsidR="00B4382C" w:rsidRPr="00D3717F">
        <w:rPr>
          <w:rFonts w:asciiTheme="minorHAnsi" w:hAnsiTheme="minorHAnsi" w:cstheme="minorHAnsi"/>
          <w:sz w:val="24"/>
          <w:szCs w:val="24"/>
        </w:rPr>
        <w:t xml:space="preserve">. </w:t>
      </w:r>
      <w:r w:rsidR="006A66B2" w:rsidRPr="00D3717F">
        <w:rPr>
          <w:rFonts w:asciiTheme="minorHAnsi" w:hAnsiTheme="minorHAnsi" w:cstheme="minorHAnsi"/>
          <w:sz w:val="24"/>
          <w:szCs w:val="24"/>
        </w:rPr>
        <w:t>Přes</w:t>
      </w:r>
      <w:r w:rsidR="000C1501" w:rsidRPr="00D3717F">
        <w:rPr>
          <w:rFonts w:asciiTheme="minorHAnsi" w:hAnsiTheme="minorHAnsi" w:cstheme="minorHAnsi"/>
          <w:sz w:val="24"/>
          <w:szCs w:val="24"/>
        </w:rPr>
        <w:t xml:space="preserve"> uskutečněná</w:t>
      </w:r>
      <w:r w:rsidR="00003387" w:rsidRPr="00D3717F">
        <w:rPr>
          <w:rFonts w:asciiTheme="minorHAnsi" w:hAnsiTheme="minorHAnsi" w:cstheme="minorHAnsi"/>
          <w:sz w:val="24"/>
          <w:szCs w:val="24"/>
        </w:rPr>
        <w:t xml:space="preserve"> </w:t>
      </w:r>
      <w:r w:rsidR="000C1501" w:rsidRPr="00D3717F">
        <w:rPr>
          <w:rFonts w:asciiTheme="minorHAnsi" w:hAnsiTheme="minorHAnsi" w:cstheme="minorHAnsi"/>
          <w:sz w:val="24"/>
          <w:szCs w:val="24"/>
        </w:rPr>
        <w:t xml:space="preserve">opatření 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přetrvávají problémy </w:t>
      </w:r>
      <w:r w:rsidR="00B4382C" w:rsidRPr="00D3717F">
        <w:rPr>
          <w:rFonts w:asciiTheme="minorHAnsi" w:hAnsiTheme="minorHAnsi" w:cstheme="minorHAnsi"/>
          <w:sz w:val="24"/>
          <w:szCs w:val="24"/>
        </w:rPr>
        <w:t xml:space="preserve">zejména 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v oblasti zajištění práce pro zaměstnatelné odsouzené, v oblasti </w:t>
      </w:r>
      <w:r w:rsidR="00497852">
        <w:rPr>
          <w:rFonts w:asciiTheme="minorHAnsi" w:hAnsiTheme="minorHAnsi" w:cstheme="minorHAnsi"/>
          <w:sz w:val="24"/>
          <w:szCs w:val="24"/>
        </w:rPr>
        <w:t>pronikání</w:t>
      </w:r>
      <w:r w:rsidR="004E1940" w:rsidRPr="00D3717F">
        <w:rPr>
          <w:rFonts w:asciiTheme="minorHAnsi" w:hAnsiTheme="minorHAnsi" w:cstheme="minorHAnsi"/>
          <w:sz w:val="24"/>
          <w:szCs w:val="24"/>
        </w:rPr>
        <w:t xml:space="preserve"> návykových látek do věznic a zajištění dostatečného počtu odborného personálu, zejména vychovatelů. </w:t>
      </w:r>
    </w:p>
    <w:p w14:paraId="098BCF13" w14:textId="30C31044" w:rsidR="00E51BF0" w:rsidRPr="00D3717F" w:rsidRDefault="00E51BF0" w:rsidP="00497852">
      <w:pPr>
        <w:widowControl/>
        <w:spacing w:before="120"/>
        <w:jc w:val="both"/>
        <w:rPr>
          <w:rFonts w:ascii="Calibri" w:hAnsi="Calibri" w:cs="Calibri"/>
          <w:color w:val="000000"/>
          <w:sz w:val="24"/>
          <w:szCs w:val="24"/>
        </w:rPr>
      </w:pPr>
      <w:r w:rsidRPr="00D3717F">
        <w:rPr>
          <w:rFonts w:ascii="Calibri" w:hAnsi="Calibri" w:cs="Calibri"/>
          <w:color w:val="000000"/>
          <w:sz w:val="24"/>
          <w:szCs w:val="24"/>
        </w:rPr>
        <w:lastRenderedPageBreak/>
        <w:t>MSp i VS ČR provád</w:t>
      </w:r>
      <w:r w:rsidR="00B92B1C" w:rsidRPr="00D3717F">
        <w:rPr>
          <w:rFonts w:ascii="Calibri" w:hAnsi="Calibri" w:cs="Calibri"/>
          <w:color w:val="000000"/>
          <w:sz w:val="24"/>
          <w:szCs w:val="24"/>
        </w:rPr>
        <w:t>ějí</w:t>
      </w:r>
      <w:r w:rsidRPr="00D3717F">
        <w:rPr>
          <w:rFonts w:ascii="Calibri" w:hAnsi="Calibri" w:cs="Calibri"/>
          <w:color w:val="000000"/>
          <w:sz w:val="24"/>
          <w:szCs w:val="24"/>
        </w:rPr>
        <w:t xml:space="preserve"> kontroly v souladu se zavedeným kontrolním systémem, ke zjištěným nedostatkům ukládají nápravná opatření a vyhodnocují jejich plnění. MSp zajistilo provedení nápravných opatření </w:t>
      </w:r>
      <w:r w:rsidR="00202CB2" w:rsidRPr="00D3717F">
        <w:rPr>
          <w:rFonts w:ascii="Calibri" w:hAnsi="Calibri" w:cs="Calibri"/>
          <w:color w:val="000000"/>
          <w:sz w:val="24"/>
          <w:szCs w:val="24"/>
        </w:rPr>
        <w:t xml:space="preserve">k odstranění nedostatků zjištěných </w:t>
      </w:r>
      <w:r w:rsidRPr="00D3717F">
        <w:rPr>
          <w:rFonts w:ascii="Calibri" w:hAnsi="Calibri" w:cs="Calibri"/>
          <w:color w:val="000000"/>
          <w:sz w:val="24"/>
          <w:szCs w:val="24"/>
        </w:rPr>
        <w:t>KA č. 10/17.</w:t>
      </w:r>
    </w:p>
    <w:p w14:paraId="6257CF95" w14:textId="790574A4" w:rsidR="00990CDD" w:rsidRPr="00D3717F" w:rsidRDefault="00990CDD" w:rsidP="00497852">
      <w:pPr>
        <w:widowControl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Za účelem porovnání systému vězeňství v ČR se systémy v jiných zemích NKÚ </w:t>
      </w:r>
      <w:r w:rsidR="006E34B0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prostřednictvím GŘ </w:t>
      </w:r>
      <w:r w:rsidR="00FD3BC3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oslovil </w:t>
      </w:r>
      <w:r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vězeňské služby vybraných evropských států. Získaná data lze porovnávat pouze se znalostí způsobu jejich stanovení, resp. se znalostí způsobu výpočtu konkrétních statistických ukazatelů. NKÚ </w:t>
      </w:r>
      <w:r w:rsidR="00D077E0" w:rsidRPr="00D3717F">
        <w:rPr>
          <w:rFonts w:ascii="Calibri" w:eastAsia="Times New Roman" w:hAnsi="Calibri" w:cs="Calibri"/>
          <w:sz w:val="24"/>
          <w:szCs w:val="24"/>
          <w:lang w:eastAsia="en-US"/>
        </w:rPr>
        <w:t>posoudil</w:t>
      </w:r>
      <w:r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 skutečnosti ovlivňu</w:t>
      </w:r>
      <w:r w:rsidR="008343BC" w:rsidRPr="00D3717F">
        <w:rPr>
          <w:rFonts w:ascii="Calibri" w:eastAsia="Times New Roman" w:hAnsi="Calibri" w:cs="Calibri"/>
          <w:sz w:val="24"/>
          <w:szCs w:val="24"/>
          <w:lang w:eastAsia="en-US"/>
        </w:rPr>
        <w:t>jící možnost jejich porovnání a</w:t>
      </w:r>
      <w:r w:rsidR="00C2634E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D3717F">
        <w:rPr>
          <w:rFonts w:ascii="Calibri" w:eastAsia="Times New Roman" w:hAnsi="Calibri" w:cs="Calibri"/>
          <w:sz w:val="24"/>
          <w:szCs w:val="24"/>
          <w:lang w:eastAsia="en-US"/>
        </w:rPr>
        <w:t>v relevantních případech konstatoval</w:t>
      </w:r>
      <w:r w:rsidR="008343BC" w:rsidRPr="00D3717F">
        <w:rPr>
          <w:rFonts w:ascii="Calibri" w:eastAsia="Times New Roman" w:hAnsi="Calibri" w:cs="Calibri"/>
          <w:sz w:val="24"/>
          <w:szCs w:val="24"/>
          <w:lang w:eastAsia="en-US"/>
        </w:rPr>
        <w:t>, že vybrané statistické ukazatele vězeňství ČR jsou srovnatelné</w:t>
      </w:r>
      <w:r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 s</w:t>
      </w:r>
      <w:r w:rsidR="00FD3BC3" w:rsidRPr="00D3717F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8343BC" w:rsidRPr="00D3717F">
        <w:rPr>
          <w:rFonts w:ascii="Calibri" w:eastAsia="Times New Roman" w:hAnsi="Calibri" w:cs="Calibri"/>
          <w:sz w:val="24"/>
          <w:szCs w:val="24"/>
          <w:lang w:eastAsia="en-US"/>
        </w:rPr>
        <w:t>ukazateli</w:t>
      </w:r>
      <w:r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385D25"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porovnávaných </w:t>
      </w:r>
      <w:r w:rsidRPr="00D3717F">
        <w:rPr>
          <w:rFonts w:ascii="Calibri" w:eastAsia="Times New Roman" w:hAnsi="Calibri" w:cs="Calibri"/>
          <w:sz w:val="24"/>
          <w:szCs w:val="24"/>
          <w:lang w:eastAsia="en-US"/>
        </w:rPr>
        <w:t>evropských států</w:t>
      </w:r>
      <w:r w:rsidR="006548DE">
        <w:rPr>
          <w:rStyle w:val="Znakapoznpodarou"/>
          <w:rFonts w:ascii="Calibri" w:eastAsia="Times New Roman" w:hAnsi="Calibri"/>
          <w:sz w:val="24"/>
          <w:szCs w:val="24"/>
          <w:lang w:eastAsia="en-US"/>
        </w:rPr>
        <w:footnoteReference w:id="9"/>
      </w:r>
      <w:r w:rsidRPr="00D3717F"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</w:p>
    <w:p w14:paraId="17F9260D" w14:textId="77777777" w:rsidR="00246D13" w:rsidRPr="00A35817" w:rsidRDefault="00091F77" w:rsidP="00497852">
      <w:pPr>
        <w:pStyle w:val="Nadpis1"/>
        <w:keepLines w:val="0"/>
        <w:widowControl/>
        <w:spacing w:before="480"/>
        <w:jc w:val="center"/>
        <w:rPr>
          <w:rFonts w:asciiTheme="minorHAnsi" w:hAnsiTheme="minorHAnsi" w:cstheme="minorHAnsi"/>
          <w:b/>
          <w:color w:val="auto"/>
        </w:rPr>
      </w:pPr>
      <w:r w:rsidRPr="00A35817">
        <w:rPr>
          <w:rFonts w:asciiTheme="minorHAnsi" w:hAnsiTheme="minorHAnsi" w:cstheme="minorHAnsi"/>
          <w:b/>
          <w:bCs/>
          <w:color w:val="auto"/>
          <w:spacing w:val="-3"/>
          <w:szCs w:val="22"/>
        </w:rPr>
        <w:t>I</w:t>
      </w:r>
      <w:r w:rsidR="00246D13" w:rsidRPr="00A35817">
        <w:rPr>
          <w:rFonts w:asciiTheme="minorHAnsi" w:hAnsiTheme="minorHAnsi" w:cstheme="minorHAnsi"/>
          <w:b/>
          <w:bCs/>
          <w:color w:val="auto"/>
          <w:spacing w:val="-3"/>
          <w:szCs w:val="22"/>
        </w:rPr>
        <w:t>I</w:t>
      </w:r>
      <w:r w:rsidR="00246D13" w:rsidRPr="00A35817">
        <w:rPr>
          <w:rFonts w:asciiTheme="minorHAnsi" w:hAnsiTheme="minorHAnsi" w:cstheme="minorHAnsi"/>
          <w:b/>
          <w:color w:val="auto"/>
        </w:rPr>
        <w:t>.</w:t>
      </w:r>
      <w:r w:rsidR="004225A8" w:rsidRPr="00A35817">
        <w:rPr>
          <w:rFonts w:asciiTheme="minorHAnsi" w:hAnsiTheme="minorHAnsi" w:cstheme="minorHAnsi"/>
          <w:b/>
          <w:color w:val="auto"/>
        </w:rPr>
        <w:t xml:space="preserve"> </w:t>
      </w:r>
      <w:r w:rsidR="00246D13" w:rsidRPr="00A35817">
        <w:rPr>
          <w:rFonts w:asciiTheme="minorHAnsi" w:hAnsiTheme="minorHAnsi" w:cstheme="minorHAnsi"/>
          <w:b/>
          <w:color w:val="auto"/>
        </w:rPr>
        <w:t>Informace o kontrolované oblasti</w:t>
      </w:r>
    </w:p>
    <w:p w14:paraId="4C359252" w14:textId="77777777" w:rsidR="006578CD" w:rsidRPr="00A35817" w:rsidRDefault="006578CD" w:rsidP="00497852">
      <w:pPr>
        <w:widowControl/>
      </w:pPr>
    </w:p>
    <w:p w14:paraId="3E3B2636" w14:textId="08F7ADC2" w:rsidR="004225A8" w:rsidRPr="00A35817" w:rsidRDefault="0052509B" w:rsidP="00497852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b/>
          <w:sz w:val="24"/>
          <w:szCs w:val="24"/>
        </w:rPr>
        <w:t>M</w:t>
      </w:r>
      <w:r w:rsidR="0069105E" w:rsidRPr="00A35817">
        <w:rPr>
          <w:rFonts w:asciiTheme="minorHAnsi" w:hAnsiTheme="minorHAnsi" w:cstheme="minorHAnsi"/>
          <w:b/>
          <w:sz w:val="24"/>
          <w:szCs w:val="24"/>
        </w:rPr>
        <w:t>Sp</w:t>
      </w:r>
      <w:r w:rsidR="004F4DF4" w:rsidRPr="00A35817">
        <w:rPr>
          <w:rFonts w:asciiTheme="minorHAnsi" w:hAnsiTheme="minorHAnsi" w:cstheme="minorHAnsi"/>
          <w:sz w:val="24"/>
          <w:szCs w:val="24"/>
        </w:rPr>
        <w:t xml:space="preserve"> </w:t>
      </w:r>
      <w:r w:rsidR="00645514">
        <w:rPr>
          <w:rFonts w:asciiTheme="minorHAnsi" w:hAnsiTheme="minorHAnsi" w:cstheme="minorHAnsi"/>
          <w:sz w:val="24"/>
          <w:szCs w:val="24"/>
        </w:rPr>
        <w:t>je podle zákona č. </w:t>
      </w:r>
      <w:r w:rsidR="0069105E" w:rsidRPr="00A35817">
        <w:rPr>
          <w:rFonts w:asciiTheme="minorHAnsi" w:hAnsiTheme="minorHAnsi" w:cstheme="minorHAnsi"/>
          <w:sz w:val="24"/>
          <w:szCs w:val="24"/>
        </w:rPr>
        <w:t>2/1969 Sb.</w:t>
      </w:r>
      <w:r w:rsidR="00564521">
        <w:rPr>
          <w:rFonts w:asciiTheme="minorHAnsi" w:hAnsiTheme="minorHAnsi" w:cstheme="minorHAnsi"/>
          <w:sz w:val="24"/>
          <w:szCs w:val="24"/>
        </w:rPr>
        <w:t xml:space="preserve"> </w:t>
      </w:r>
      <w:r w:rsidR="0069105E" w:rsidRPr="00A35817">
        <w:rPr>
          <w:rFonts w:asciiTheme="minorHAnsi" w:hAnsiTheme="minorHAnsi" w:cstheme="minorHAnsi"/>
          <w:sz w:val="24"/>
          <w:szCs w:val="24"/>
        </w:rPr>
        <w:t>ústředním orgánem státní správy pro soudy, státní zastupitelství, vězeňství, probaci a mediaci. MSp při výkonu s</w:t>
      </w:r>
      <w:r w:rsidR="00564521">
        <w:rPr>
          <w:rFonts w:asciiTheme="minorHAnsi" w:hAnsiTheme="minorHAnsi" w:cstheme="minorHAnsi"/>
          <w:sz w:val="24"/>
          <w:szCs w:val="24"/>
        </w:rPr>
        <w:t>tátní správy vytváří podmínky k </w:t>
      </w:r>
      <w:r w:rsidR="0069105E" w:rsidRPr="00A35817">
        <w:rPr>
          <w:rFonts w:asciiTheme="minorHAnsi" w:hAnsiTheme="minorHAnsi" w:cstheme="minorHAnsi"/>
          <w:sz w:val="24"/>
          <w:szCs w:val="24"/>
        </w:rPr>
        <w:t xml:space="preserve">řádnému výkonu činnosti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, </w:t>
      </w:r>
      <w:r w:rsidR="0069105E" w:rsidRPr="00A35817">
        <w:rPr>
          <w:rFonts w:asciiTheme="minorHAnsi" w:hAnsiTheme="minorHAnsi" w:cstheme="minorHAnsi"/>
          <w:sz w:val="24"/>
          <w:szCs w:val="24"/>
        </w:rPr>
        <w:t xml:space="preserve">zpracovává koncepce rozvoje 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vězeňství a analyzuje dosahované výsledky v dané oblasti. </w:t>
      </w:r>
    </w:p>
    <w:p w14:paraId="7E35B7F6" w14:textId="132D0BA5" w:rsidR="00302D4E" w:rsidRPr="00A35817" w:rsidRDefault="0099697E" w:rsidP="00497852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VS ČR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byla z</w:t>
      </w:r>
      <w:r w:rsidR="00645514">
        <w:rPr>
          <w:rFonts w:asciiTheme="minorHAnsi" w:hAnsiTheme="minorHAnsi" w:cstheme="minorHAnsi"/>
          <w:sz w:val="24"/>
          <w:szCs w:val="24"/>
        </w:rPr>
        <w:t>řízena zákonem č. </w:t>
      </w:r>
      <w:r w:rsidR="00C8759E">
        <w:rPr>
          <w:rFonts w:asciiTheme="minorHAnsi" w:hAnsiTheme="minorHAnsi" w:cstheme="minorHAnsi"/>
          <w:sz w:val="24"/>
          <w:szCs w:val="24"/>
        </w:rPr>
        <w:t>555/1992 Sb.</w:t>
      </w:r>
      <w:r w:rsidR="00C8759E">
        <w:rPr>
          <w:rStyle w:val="Znakapoznpodarou"/>
          <w:rFonts w:asciiTheme="minorHAnsi" w:hAnsiTheme="minorHAnsi"/>
          <w:sz w:val="24"/>
          <w:szCs w:val="24"/>
        </w:rPr>
        <w:footnoteReference w:id="10"/>
      </w:r>
      <w:r w:rsidR="00C8759E">
        <w:rPr>
          <w:rFonts w:asciiTheme="minorHAnsi" w:hAnsiTheme="minorHAnsi" w:cstheme="minorHAnsi"/>
          <w:sz w:val="24"/>
          <w:szCs w:val="24"/>
        </w:rPr>
        <w:t>,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je organizační složkou státu a při plnění stanovených funkcí a činností využívá majetek státu, se kterým je příslušná hospodařit. </w:t>
      </w:r>
      <w:r>
        <w:rPr>
          <w:rFonts w:asciiTheme="minorHAnsi" w:hAnsiTheme="minorHAnsi" w:cstheme="minorHAnsi"/>
          <w:sz w:val="24"/>
          <w:szCs w:val="24"/>
        </w:rPr>
        <w:t>VS ČR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zajišťuje výkon vazby a výkon trestu odnětí svobody, jakož i</w:t>
      </w:r>
      <w:r w:rsidR="00497852">
        <w:rPr>
          <w:rFonts w:asciiTheme="minorHAnsi" w:hAnsiTheme="minorHAnsi" w:cstheme="minorHAnsi"/>
          <w:sz w:val="24"/>
          <w:szCs w:val="24"/>
        </w:rPr>
        <w:t xml:space="preserve"> 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ochranu pořádku a bezpečnosti při výkonu soudnictví a správě soudů, při činnosti státních zastupitelství a MSp. </w:t>
      </w:r>
      <w:r>
        <w:rPr>
          <w:rFonts w:asciiTheme="minorHAnsi" w:hAnsiTheme="minorHAnsi" w:cstheme="minorHAnsi"/>
          <w:sz w:val="24"/>
          <w:szCs w:val="24"/>
        </w:rPr>
        <w:t>VS ČR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je ozbrojeným bezpečnostním sborem, správním úřadem a</w:t>
      </w:r>
      <w:r w:rsidR="008E1E9A">
        <w:rPr>
          <w:rFonts w:asciiTheme="minorHAnsi" w:hAnsiTheme="minorHAnsi" w:cstheme="minorHAnsi"/>
          <w:sz w:val="24"/>
          <w:szCs w:val="24"/>
        </w:rPr>
        <w:t xml:space="preserve"> </w:t>
      </w:r>
      <w:r w:rsidR="00302D4E" w:rsidRPr="00A35817">
        <w:rPr>
          <w:rFonts w:asciiTheme="minorHAnsi" w:hAnsiTheme="minorHAnsi" w:cstheme="minorHAnsi"/>
          <w:sz w:val="24"/>
          <w:szCs w:val="24"/>
        </w:rPr>
        <w:t>účetní jednotkou.</w:t>
      </w:r>
    </w:p>
    <w:p w14:paraId="6DDF4A1B" w14:textId="02F782A0" w:rsidR="00811154" w:rsidRPr="00A35817" w:rsidRDefault="00302D4E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 xml:space="preserve">Organizačními jednotkami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Pr="00A35817">
        <w:rPr>
          <w:rFonts w:asciiTheme="minorHAnsi" w:hAnsiTheme="minorHAnsi" w:cstheme="minorHAnsi"/>
          <w:sz w:val="24"/>
          <w:szCs w:val="24"/>
        </w:rPr>
        <w:t xml:space="preserve"> je </w:t>
      </w:r>
      <w:r w:rsidR="00925E4A">
        <w:rPr>
          <w:rFonts w:asciiTheme="minorHAnsi" w:hAnsiTheme="minorHAnsi" w:cstheme="minorHAnsi"/>
          <w:sz w:val="24"/>
          <w:szCs w:val="24"/>
        </w:rPr>
        <w:t>G</w:t>
      </w:r>
      <w:r w:rsidRPr="00A35817">
        <w:rPr>
          <w:rFonts w:asciiTheme="minorHAnsi" w:hAnsiTheme="minorHAnsi" w:cstheme="minorHAnsi"/>
          <w:sz w:val="24"/>
          <w:szCs w:val="24"/>
        </w:rPr>
        <w:t>enerální ředitelství,</w:t>
      </w:r>
      <w:r w:rsidR="00990632">
        <w:rPr>
          <w:rFonts w:asciiTheme="minorHAnsi" w:hAnsiTheme="minorHAnsi" w:cstheme="minorHAnsi"/>
          <w:sz w:val="24"/>
          <w:szCs w:val="24"/>
        </w:rPr>
        <w:t xml:space="preserve"> </w:t>
      </w:r>
      <w:r w:rsidRPr="00A35817">
        <w:rPr>
          <w:rFonts w:asciiTheme="minorHAnsi" w:hAnsiTheme="minorHAnsi" w:cstheme="minorHAnsi"/>
          <w:sz w:val="24"/>
          <w:szCs w:val="24"/>
        </w:rPr>
        <w:t>25</w:t>
      </w:r>
      <w:r w:rsidR="00497852">
        <w:rPr>
          <w:rFonts w:asciiTheme="minorHAnsi" w:hAnsiTheme="minorHAnsi" w:cstheme="minorHAnsi"/>
          <w:sz w:val="24"/>
          <w:szCs w:val="24"/>
        </w:rPr>
        <w:t xml:space="preserve"> </w:t>
      </w:r>
      <w:r w:rsidR="0029420E" w:rsidRPr="00A35817">
        <w:rPr>
          <w:rFonts w:asciiTheme="minorHAnsi" w:hAnsiTheme="minorHAnsi" w:cstheme="minorHAnsi"/>
          <w:sz w:val="24"/>
          <w:szCs w:val="24"/>
        </w:rPr>
        <w:t>věznic,</w:t>
      </w:r>
      <w:r w:rsidR="00990632">
        <w:rPr>
          <w:rFonts w:asciiTheme="minorHAnsi" w:hAnsiTheme="minorHAnsi" w:cstheme="minorHAnsi"/>
          <w:sz w:val="24"/>
          <w:szCs w:val="24"/>
        </w:rPr>
        <w:t xml:space="preserve"> </w:t>
      </w:r>
      <w:r w:rsidR="0029420E" w:rsidRPr="00A35817">
        <w:rPr>
          <w:rFonts w:asciiTheme="minorHAnsi" w:hAnsiTheme="minorHAnsi" w:cstheme="minorHAnsi"/>
          <w:sz w:val="24"/>
          <w:szCs w:val="24"/>
        </w:rPr>
        <w:t>10</w:t>
      </w:r>
      <w:r w:rsidR="00497852">
        <w:rPr>
          <w:rFonts w:asciiTheme="minorHAnsi" w:hAnsiTheme="minorHAnsi" w:cstheme="minorHAnsi"/>
          <w:sz w:val="24"/>
          <w:szCs w:val="24"/>
        </w:rPr>
        <w:t xml:space="preserve"> </w:t>
      </w:r>
      <w:r w:rsidR="0029420E" w:rsidRPr="00A35817">
        <w:rPr>
          <w:rFonts w:asciiTheme="minorHAnsi" w:hAnsiTheme="minorHAnsi" w:cstheme="minorHAnsi"/>
          <w:sz w:val="24"/>
          <w:szCs w:val="24"/>
        </w:rPr>
        <w:t>vazebních věznic, 2 </w:t>
      </w:r>
      <w:r w:rsidRPr="00A35817">
        <w:rPr>
          <w:rFonts w:asciiTheme="minorHAnsi" w:hAnsiTheme="minorHAnsi" w:cstheme="minorHAnsi"/>
          <w:sz w:val="24"/>
          <w:szCs w:val="24"/>
        </w:rPr>
        <w:t>ústavy pro výkon zabezpečovací detence, Akademie Vězeňské služby České republiky</w:t>
      </w:r>
      <w:r w:rsidR="00B97840" w:rsidRPr="00A35817">
        <w:rPr>
          <w:rFonts w:asciiTheme="minorHAnsi" w:hAnsiTheme="minorHAnsi" w:cstheme="minorHAnsi"/>
          <w:sz w:val="24"/>
          <w:szCs w:val="24"/>
        </w:rPr>
        <w:t xml:space="preserve"> a </w:t>
      </w:r>
      <w:r w:rsidRPr="00A35817">
        <w:rPr>
          <w:rFonts w:asciiTheme="minorHAnsi" w:hAnsiTheme="minorHAnsi" w:cstheme="minorHAnsi"/>
          <w:sz w:val="24"/>
          <w:szCs w:val="24"/>
        </w:rPr>
        <w:t xml:space="preserve">Střední odborné učiliště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Pr="00A3581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2AE3D3" w14:textId="6C5AD698" w:rsidR="00302D4E" w:rsidRDefault="00B97840" w:rsidP="00497852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>O</w:t>
      </w:r>
      <w:r w:rsidR="00302D4E" w:rsidRPr="00A35817">
        <w:rPr>
          <w:rFonts w:asciiTheme="minorHAnsi" w:hAnsiTheme="minorHAnsi" w:cstheme="minorHAnsi"/>
          <w:sz w:val="24"/>
          <w:szCs w:val="24"/>
        </w:rPr>
        <w:t>dborným orgánem pro řízení, organiz</w:t>
      </w:r>
      <w:r w:rsidR="00497852">
        <w:rPr>
          <w:rFonts w:asciiTheme="minorHAnsi" w:hAnsiTheme="minorHAnsi" w:cstheme="minorHAnsi"/>
          <w:sz w:val="24"/>
          <w:szCs w:val="24"/>
        </w:rPr>
        <w:t>ování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a kontrolu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a pro plnění úkolů v oblasti státní správy vězeňství</w:t>
      </w:r>
      <w:r w:rsidRPr="00A35817">
        <w:rPr>
          <w:rFonts w:asciiTheme="minorHAnsi" w:hAnsiTheme="minorHAnsi" w:cstheme="minorHAnsi"/>
          <w:sz w:val="24"/>
          <w:szCs w:val="24"/>
        </w:rPr>
        <w:t xml:space="preserve"> je GŘ, které </w:t>
      </w:r>
      <w:r w:rsidR="00302D4E" w:rsidRPr="00A35817">
        <w:rPr>
          <w:rFonts w:asciiTheme="minorHAnsi" w:hAnsiTheme="minorHAnsi" w:cstheme="minorHAnsi"/>
          <w:sz w:val="24"/>
          <w:szCs w:val="24"/>
        </w:rPr>
        <w:t>zabezpečuje plnění společných úkolů ostatních organizačních jednotek</w:t>
      </w:r>
      <w:r w:rsidRPr="00A35817">
        <w:rPr>
          <w:rFonts w:asciiTheme="minorHAnsi" w:hAnsiTheme="minorHAnsi" w:cstheme="minorHAnsi"/>
          <w:sz w:val="24"/>
          <w:szCs w:val="24"/>
        </w:rPr>
        <w:t xml:space="preserve">. Tyto jednotky </w:t>
      </w:r>
      <w:r w:rsidR="00302D4E" w:rsidRPr="00A35817">
        <w:rPr>
          <w:rFonts w:asciiTheme="minorHAnsi" w:hAnsiTheme="minorHAnsi" w:cstheme="minorHAnsi"/>
          <w:sz w:val="24"/>
          <w:szCs w:val="24"/>
        </w:rPr>
        <w:t>metodicky řídí a kontrol</w:t>
      </w:r>
      <w:r w:rsidR="00C6346C">
        <w:rPr>
          <w:rFonts w:asciiTheme="minorHAnsi" w:hAnsiTheme="minorHAnsi" w:cstheme="minorHAnsi"/>
          <w:sz w:val="24"/>
          <w:szCs w:val="24"/>
        </w:rPr>
        <w:t>uje a tím vytváří předpoklady k </w:t>
      </w:r>
      <w:r w:rsidR="00302D4E" w:rsidRPr="00A35817">
        <w:rPr>
          <w:rFonts w:asciiTheme="minorHAnsi" w:hAnsiTheme="minorHAnsi" w:cstheme="minorHAnsi"/>
          <w:sz w:val="24"/>
          <w:szCs w:val="24"/>
        </w:rPr>
        <w:t>řádn</w:t>
      </w:r>
      <w:r w:rsidRPr="00A35817">
        <w:rPr>
          <w:rFonts w:asciiTheme="minorHAnsi" w:hAnsiTheme="minorHAnsi" w:cstheme="minorHAnsi"/>
          <w:sz w:val="24"/>
          <w:szCs w:val="24"/>
        </w:rPr>
        <w:t>ému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pln</w:t>
      </w:r>
      <w:r w:rsidRPr="00A35817">
        <w:rPr>
          <w:rFonts w:asciiTheme="minorHAnsi" w:hAnsiTheme="minorHAnsi" w:cstheme="minorHAnsi"/>
          <w:sz w:val="24"/>
          <w:szCs w:val="24"/>
        </w:rPr>
        <w:t>ění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úkol</w:t>
      </w:r>
      <w:r w:rsidRPr="00A35817">
        <w:rPr>
          <w:rFonts w:asciiTheme="minorHAnsi" w:hAnsiTheme="minorHAnsi" w:cstheme="minorHAnsi"/>
          <w:sz w:val="24"/>
          <w:szCs w:val="24"/>
        </w:rPr>
        <w:t>ů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. GŘ je zodpovědné za řízení a plnění rozpočtu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Pr="00A35817">
        <w:rPr>
          <w:rFonts w:asciiTheme="minorHAnsi" w:hAnsiTheme="minorHAnsi" w:cstheme="minorHAnsi"/>
          <w:sz w:val="24"/>
          <w:szCs w:val="24"/>
        </w:rPr>
        <w:t xml:space="preserve">. </w:t>
      </w:r>
      <w:r w:rsidR="00EB07D0">
        <w:rPr>
          <w:rFonts w:asciiTheme="minorHAnsi" w:hAnsiTheme="minorHAnsi" w:cstheme="minorHAnsi"/>
          <w:sz w:val="24"/>
          <w:szCs w:val="24"/>
        </w:rPr>
        <w:t>Metodicky z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ajišťuje kompletní správu nemovitého </w:t>
      </w:r>
      <w:r w:rsidRPr="00A35817">
        <w:rPr>
          <w:rFonts w:asciiTheme="minorHAnsi" w:hAnsiTheme="minorHAnsi" w:cstheme="minorHAnsi"/>
          <w:sz w:val="24"/>
          <w:szCs w:val="24"/>
        </w:rPr>
        <w:t xml:space="preserve">majetku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Pr="00A35817">
        <w:rPr>
          <w:rFonts w:asciiTheme="minorHAnsi" w:hAnsiTheme="minorHAnsi" w:cstheme="minorHAnsi"/>
          <w:sz w:val="24"/>
          <w:szCs w:val="24"/>
        </w:rPr>
        <w:t xml:space="preserve"> 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a pro organizační jednotky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="00302D4E" w:rsidRPr="00A35817">
        <w:rPr>
          <w:rFonts w:asciiTheme="minorHAnsi" w:hAnsiTheme="minorHAnsi" w:cstheme="minorHAnsi"/>
          <w:sz w:val="24"/>
          <w:szCs w:val="24"/>
        </w:rPr>
        <w:t xml:space="preserve"> zajišťuje centrální nákupy vybraných komodit.</w:t>
      </w:r>
    </w:p>
    <w:p w14:paraId="4A72CC6D" w14:textId="0F197C0D" w:rsidR="00B97840" w:rsidRPr="00A35817" w:rsidRDefault="0099697E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VS ČR</w:t>
      </w:r>
      <w:r w:rsidR="00B97840" w:rsidRPr="00A35817">
        <w:rPr>
          <w:rFonts w:asciiTheme="minorHAnsi" w:hAnsiTheme="minorHAnsi" w:cstheme="minorHAnsi"/>
          <w:sz w:val="24"/>
          <w:szCs w:val="24"/>
        </w:rPr>
        <w:t xml:space="preserve"> </w:t>
      </w:r>
      <w:r w:rsidR="00497852">
        <w:rPr>
          <w:rFonts w:asciiTheme="minorHAnsi" w:hAnsiTheme="minorHAnsi" w:cstheme="minorHAnsi"/>
          <w:sz w:val="24"/>
          <w:szCs w:val="24"/>
        </w:rPr>
        <w:t>vykonává</w:t>
      </w:r>
      <w:r w:rsidR="00B97840" w:rsidRPr="00A35817">
        <w:rPr>
          <w:rFonts w:asciiTheme="minorHAnsi" w:hAnsiTheme="minorHAnsi" w:cstheme="minorHAnsi"/>
          <w:sz w:val="24"/>
          <w:szCs w:val="24"/>
        </w:rPr>
        <w:t xml:space="preserve"> zejména následující </w:t>
      </w:r>
      <w:r w:rsidR="00497852">
        <w:rPr>
          <w:rFonts w:asciiTheme="minorHAnsi" w:hAnsiTheme="minorHAnsi" w:cstheme="minorHAnsi"/>
          <w:sz w:val="24"/>
          <w:szCs w:val="24"/>
        </w:rPr>
        <w:t>činnosti</w:t>
      </w:r>
      <w:r w:rsidR="00B97840" w:rsidRPr="00A35817">
        <w:rPr>
          <w:rFonts w:asciiTheme="minorHAnsi" w:hAnsiTheme="minorHAnsi" w:cstheme="minorHAnsi"/>
          <w:sz w:val="24"/>
          <w:szCs w:val="24"/>
        </w:rPr>
        <w:t xml:space="preserve"> v oblasti vězeňství:</w:t>
      </w:r>
    </w:p>
    <w:p w14:paraId="311942F9" w14:textId="77777777" w:rsidR="00B97840" w:rsidRPr="00A35817" w:rsidRDefault="00B97840" w:rsidP="00497852">
      <w:pPr>
        <w:widowControl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>•</w:t>
      </w:r>
      <w:r w:rsidRPr="00A35817">
        <w:rPr>
          <w:rFonts w:asciiTheme="minorHAnsi" w:hAnsiTheme="minorHAnsi" w:cstheme="minorHAnsi"/>
          <w:sz w:val="24"/>
          <w:szCs w:val="24"/>
        </w:rPr>
        <w:tab/>
        <w:t>spravuje a střeží vazební věznice, věznice a ústavy zabezpečovací detence;</w:t>
      </w:r>
    </w:p>
    <w:p w14:paraId="312B07F9" w14:textId="77777777" w:rsidR="00B97840" w:rsidRPr="00A35817" w:rsidRDefault="00B97840" w:rsidP="00497852">
      <w:pPr>
        <w:widowControl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>•</w:t>
      </w:r>
      <w:r w:rsidRPr="00A35817">
        <w:rPr>
          <w:rFonts w:asciiTheme="minorHAnsi" w:hAnsiTheme="minorHAnsi" w:cstheme="minorHAnsi"/>
          <w:sz w:val="24"/>
          <w:szCs w:val="24"/>
        </w:rPr>
        <w:tab/>
        <w:t>zajišťuje dodržování zákonem stanovených podmínek výkonu vazby, výkonu trestu odnětí svobody a výkonu zabezpečovací detence;</w:t>
      </w:r>
    </w:p>
    <w:p w14:paraId="5ADDBA2A" w14:textId="77777777" w:rsidR="00B97840" w:rsidRPr="00A35817" w:rsidRDefault="00B97840" w:rsidP="00497852">
      <w:pPr>
        <w:widowControl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>•</w:t>
      </w:r>
      <w:r w:rsidRPr="00A35817">
        <w:rPr>
          <w:rFonts w:asciiTheme="minorHAnsi" w:hAnsiTheme="minorHAnsi" w:cstheme="minorHAnsi"/>
          <w:sz w:val="24"/>
          <w:szCs w:val="24"/>
        </w:rPr>
        <w:tab/>
        <w:t>provádí eskorty vězněných osob;</w:t>
      </w:r>
    </w:p>
    <w:p w14:paraId="073BCDE1" w14:textId="77777777" w:rsidR="00B97840" w:rsidRPr="00A35817" w:rsidRDefault="00B97840" w:rsidP="00497852">
      <w:pPr>
        <w:widowControl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>•</w:t>
      </w:r>
      <w:r w:rsidRPr="00A35817">
        <w:rPr>
          <w:rFonts w:asciiTheme="minorHAnsi" w:hAnsiTheme="minorHAnsi" w:cstheme="minorHAnsi"/>
          <w:sz w:val="24"/>
          <w:szCs w:val="24"/>
        </w:rPr>
        <w:tab/>
        <w:t xml:space="preserve">prostřednictvím programů zacházení soustavně působí na vězněné osoby; </w:t>
      </w:r>
    </w:p>
    <w:p w14:paraId="1C55E471" w14:textId="77777777" w:rsidR="00B97840" w:rsidRPr="00A35817" w:rsidRDefault="00B97840" w:rsidP="00497852">
      <w:pPr>
        <w:widowControl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>•</w:t>
      </w:r>
      <w:r w:rsidRPr="00A35817">
        <w:rPr>
          <w:rFonts w:asciiTheme="minorHAnsi" w:hAnsiTheme="minorHAnsi" w:cstheme="minorHAnsi"/>
          <w:sz w:val="24"/>
          <w:szCs w:val="24"/>
        </w:rPr>
        <w:tab/>
        <w:t>vytváří podmínky pro pracovní a jinou účelnou činnost vězněných osob a vytváří podmínky pro jejich zaměstnávání</w:t>
      </w:r>
      <w:r w:rsidR="00564521">
        <w:rPr>
          <w:rFonts w:asciiTheme="minorHAnsi" w:hAnsiTheme="minorHAnsi" w:cstheme="minorHAnsi"/>
          <w:sz w:val="24"/>
          <w:szCs w:val="24"/>
        </w:rPr>
        <w:t>.</w:t>
      </w:r>
    </w:p>
    <w:p w14:paraId="26298344" w14:textId="5F21D6F4" w:rsidR="00302D4E" w:rsidRPr="00A35817" w:rsidRDefault="001D6EDD" w:rsidP="00497852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 xml:space="preserve">MSp jako správce kapitoly státního rozpočtu 336 stanovuje rozpočet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Pr="00A3581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DF544F7" w14:textId="77777777" w:rsidR="00327BCC" w:rsidRDefault="00327BCC" w:rsidP="00497852">
      <w:pPr>
        <w:widowControl/>
        <w:tabs>
          <w:tab w:val="right" w:pos="9072"/>
        </w:tabs>
        <w:spacing w:before="120" w:after="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B4AD89" w14:textId="77777777" w:rsidR="00327BCC" w:rsidRDefault="00327BCC" w:rsidP="00497852">
      <w:pPr>
        <w:widowControl/>
        <w:tabs>
          <w:tab w:val="right" w:pos="9072"/>
        </w:tabs>
        <w:spacing w:before="120" w:after="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9D94BB" w14:textId="751AAEE6" w:rsidR="00E86B50" w:rsidRPr="00A35817" w:rsidRDefault="00E86B50" w:rsidP="00497852">
      <w:pPr>
        <w:widowControl/>
        <w:tabs>
          <w:tab w:val="right" w:pos="9072"/>
        </w:tabs>
        <w:spacing w:before="120" w:after="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27F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Tabulka č. </w:t>
      </w:r>
      <w:r w:rsidR="0097379B" w:rsidRPr="007827F9">
        <w:rPr>
          <w:rFonts w:asciiTheme="minorHAnsi" w:hAnsiTheme="minorHAnsi" w:cstheme="minorHAnsi"/>
          <w:b/>
          <w:sz w:val="24"/>
          <w:szCs w:val="24"/>
        </w:rPr>
        <w:t>1</w:t>
      </w:r>
      <w:r w:rsidR="00B65D6B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Pr="007827F9">
        <w:rPr>
          <w:rFonts w:asciiTheme="minorHAnsi" w:hAnsiTheme="minorHAnsi" w:cstheme="minorHAnsi"/>
          <w:b/>
          <w:sz w:val="24"/>
          <w:szCs w:val="24"/>
        </w:rPr>
        <w:t xml:space="preserve"> Přehled příjmů a výdajů </w:t>
      </w:r>
      <w:r w:rsidR="001C14FB">
        <w:rPr>
          <w:rFonts w:asciiTheme="minorHAnsi" w:hAnsiTheme="minorHAnsi" w:cstheme="minorHAnsi"/>
          <w:b/>
          <w:sz w:val="24"/>
          <w:szCs w:val="24"/>
        </w:rPr>
        <w:t xml:space="preserve">VS ČR </w:t>
      </w:r>
      <w:r w:rsidRPr="007827F9">
        <w:rPr>
          <w:rFonts w:asciiTheme="minorHAnsi" w:hAnsiTheme="minorHAnsi" w:cstheme="minorHAnsi"/>
          <w:b/>
          <w:sz w:val="24"/>
          <w:szCs w:val="24"/>
        </w:rPr>
        <w:t>za roky 2016</w:t>
      </w:r>
      <w:r w:rsidR="00325937" w:rsidRPr="0032593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–</w:t>
      </w:r>
      <w:r w:rsidRPr="007827F9">
        <w:rPr>
          <w:rFonts w:asciiTheme="minorHAnsi" w:hAnsiTheme="minorHAnsi" w:cstheme="minorHAnsi"/>
          <w:b/>
          <w:sz w:val="24"/>
          <w:szCs w:val="24"/>
        </w:rPr>
        <w:t>2018</w:t>
      </w:r>
      <w:r w:rsidRPr="00A35817">
        <w:rPr>
          <w:rFonts w:asciiTheme="minorHAnsi" w:hAnsiTheme="minorHAnsi" w:cstheme="minorHAnsi"/>
          <w:sz w:val="24"/>
          <w:szCs w:val="24"/>
        </w:rPr>
        <w:tab/>
      </w:r>
      <w:r w:rsidRPr="00287AB3">
        <w:rPr>
          <w:rFonts w:asciiTheme="minorHAnsi" w:hAnsiTheme="minorHAnsi" w:cstheme="minorHAnsi"/>
          <w:b/>
          <w:sz w:val="24"/>
          <w:szCs w:val="24"/>
        </w:rPr>
        <w:t>(v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1780"/>
        <w:gridCol w:w="1780"/>
        <w:gridCol w:w="1780"/>
        <w:gridCol w:w="1780"/>
      </w:tblGrid>
      <w:tr w:rsidR="00E86B50" w:rsidRPr="00A35817" w14:paraId="01D36469" w14:textId="77777777" w:rsidTr="00287AB3">
        <w:trPr>
          <w:trHeight w:val="28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bottom"/>
            <w:hideMark/>
          </w:tcPr>
          <w:p w14:paraId="355F9949" w14:textId="5FB8BF3C" w:rsidR="00E86B50" w:rsidRPr="0010343A" w:rsidRDefault="00E86B50" w:rsidP="00497852">
            <w:pPr>
              <w:widowControl/>
              <w:autoSpaceDE/>
              <w:autoSpaceDN/>
              <w:adjustRightInd/>
              <w:ind w:left="204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F8846B5" w14:textId="77777777" w:rsidR="00E86B50" w:rsidRPr="0097379B" w:rsidRDefault="00E86B50" w:rsidP="00497852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2016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A0D68A5" w14:textId="77777777" w:rsidR="00E86B50" w:rsidRPr="0097379B" w:rsidRDefault="00E86B50" w:rsidP="00497852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2017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F744215" w14:textId="77777777" w:rsidR="00E86B50" w:rsidRPr="0097379B" w:rsidRDefault="00E86B50" w:rsidP="00497852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2018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A17E5AF" w14:textId="77777777" w:rsidR="00E86B50" w:rsidRPr="0097379B" w:rsidRDefault="00E86B50" w:rsidP="00497852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Celkem</w:t>
            </w:r>
          </w:p>
        </w:tc>
      </w:tr>
      <w:tr w:rsidR="00E86B50" w:rsidRPr="00A35817" w14:paraId="550A0C9D" w14:textId="77777777" w:rsidTr="00287AB3">
        <w:trPr>
          <w:trHeight w:val="283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D11C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left="204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>Příjmy celkem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E528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right="11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>1 200 928 319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130A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right="11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>1 376 783 652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2280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right="11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>1 512 132 676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675C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right="11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>4 089 844 647</w:t>
            </w:r>
          </w:p>
        </w:tc>
      </w:tr>
      <w:tr w:rsidR="00E86B50" w:rsidRPr="00A35817" w14:paraId="63DF90C3" w14:textId="77777777" w:rsidTr="00287AB3">
        <w:trPr>
          <w:trHeight w:val="283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4DA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left="204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 xml:space="preserve">Výdaje celkem 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1CE4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right="11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>8 807 686 684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F685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right="11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>9 798 679 170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4627" w14:textId="77777777" w:rsidR="00E86B50" w:rsidRPr="0097379B" w:rsidRDefault="00E86B50" w:rsidP="00497852">
            <w:pPr>
              <w:widowControl/>
              <w:autoSpaceDE/>
              <w:autoSpaceDN/>
              <w:adjustRightInd/>
              <w:ind w:right="11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97379B">
              <w:rPr>
                <w:rFonts w:asciiTheme="minorHAnsi" w:eastAsia="Times New Roman" w:hAnsiTheme="minorHAnsi" w:cstheme="minorHAnsi"/>
                <w:color w:val="000000"/>
              </w:rPr>
              <w:t>10 799 329 032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155E" w14:textId="34668F79" w:rsidR="00E86B50" w:rsidRPr="0097379B" w:rsidRDefault="000C1501" w:rsidP="00FD0DFE">
            <w:pPr>
              <w:widowControl/>
              <w:autoSpaceDE/>
              <w:autoSpaceDN/>
              <w:adjustRightInd/>
              <w:ind w:right="11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0C1501">
              <w:rPr>
                <w:rFonts w:asciiTheme="minorHAnsi" w:eastAsia="Times New Roman" w:hAnsiTheme="minorHAnsi" w:cstheme="minorHAnsi"/>
                <w:color w:val="000000"/>
              </w:rPr>
              <w:t>29 405 694 886</w:t>
            </w:r>
          </w:p>
        </w:tc>
      </w:tr>
    </w:tbl>
    <w:p w14:paraId="12C16BF9" w14:textId="77777777" w:rsidR="00E86B50" w:rsidRDefault="00E86B50" w:rsidP="00497852">
      <w:pPr>
        <w:widowControl/>
        <w:spacing w:before="40"/>
        <w:rPr>
          <w:rFonts w:asciiTheme="minorHAnsi" w:hAnsiTheme="minorHAnsi" w:cstheme="minorHAnsi"/>
          <w:color w:val="000000" w:themeColor="text1"/>
        </w:rPr>
      </w:pPr>
      <w:r w:rsidRPr="00A35817">
        <w:rPr>
          <w:rFonts w:asciiTheme="minorHAnsi" w:hAnsiTheme="minorHAnsi" w:cstheme="minorHAnsi"/>
          <w:b/>
        </w:rPr>
        <w:t>Zdroj:</w:t>
      </w:r>
      <w:r w:rsidRPr="00A35817">
        <w:rPr>
          <w:rFonts w:asciiTheme="minorHAnsi" w:hAnsiTheme="minorHAnsi" w:cstheme="minorHAnsi"/>
        </w:rPr>
        <w:t xml:space="preserve"> </w:t>
      </w:r>
      <w:r w:rsidR="0099697E">
        <w:rPr>
          <w:rFonts w:asciiTheme="minorHAnsi" w:hAnsiTheme="minorHAnsi" w:cstheme="minorHAnsi"/>
          <w:color w:val="000000" w:themeColor="text1"/>
        </w:rPr>
        <w:t>VS ČR</w:t>
      </w:r>
      <w:r w:rsidR="007D659E">
        <w:rPr>
          <w:rFonts w:asciiTheme="minorHAnsi" w:hAnsiTheme="minorHAnsi" w:cstheme="minorHAnsi"/>
          <w:color w:val="000000" w:themeColor="text1"/>
        </w:rPr>
        <w:t>.</w:t>
      </w:r>
    </w:p>
    <w:p w14:paraId="4572C7EF" w14:textId="42013F99" w:rsidR="00302D4E" w:rsidRPr="00A35817" w:rsidRDefault="00B6014A" w:rsidP="00497852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>Základním materiálem, ve kterém MSp stanov</w:t>
      </w:r>
      <w:r w:rsidR="00ED5881" w:rsidRPr="00A35817">
        <w:rPr>
          <w:rFonts w:asciiTheme="minorHAnsi" w:hAnsiTheme="minorHAnsi" w:cstheme="minorHAnsi"/>
          <w:sz w:val="24"/>
          <w:szCs w:val="24"/>
        </w:rPr>
        <w:t>ilo</w:t>
      </w:r>
      <w:r w:rsidRPr="00A35817">
        <w:rPr>
          <w:rFonts w:asciiTheme="minorHAnsi" w:hAnsiTheme="minorHAnsi" w:cstheme="minorHAnsi"/>
          <w:sz w:val="24"/>
          <w:szCs w:val="24"/>
        </w:rPr>
        <w:t xml:space="preserve"> koncepci rozvoje vězeňství</w:t>
      </w:r>
      <w:r w:rsidR="00776CE4">
        <w:rPr>
          <w:rFonts w:asciiTheme="minorHAnsi" w:hAnsiTheme="minorHAnsi" w:cstheme="minorHAnsi"/>
          <w:sz w:val="24"/>
          <w:szCs w:val="24"/>
        </w:rPr>
        <w:t>,</w:t>
      </w:r>
      <w:r w:rsidRPr="00A35817">
        <w:rPr>
          <w:rFonts w:asciiTheme="minorHAnsi" w:hAnsiTheme="minorHAnsi" w:cstheme="minorHAnsi"/>
          <w:sz w:val="24"/>
          <w:szCs w:val="24"/>
        </w:rPr>
        <w:t xml:space="preserve"> je </w:t>
      </w:r>
      <w:r w:rsidRPr="00287AB3">
        <w:rPr>
          <w:rFonts w:asciiTheme="minorHAnsi" w:hAnsiTheme="minorHAnsi" w:cstheme="minorHAnsi"/>
          <w:i/>
          <w:sz w:val="24"/>
          <w:szCs w:val="24"/>
        </w:rPr>
        <w:t>Koncepce vězeňství do roku 2025</w:t>
      </w:r>
      <w:r w:rsidRPr="008B44F9">
        <w:rPr>
          <w:rFonts w:asciiTheme="minorHAnsi" w:hAnsiTheme="minorHAnsi" w:cstheme="minorHAnsi"/>
          <w:sz w:val="24"/>
          <w:szCs w:val="24"/>
        </w:rPr>
        <w:t>.</w:t>
      </w:r>
      <w:r w:rsidR="00A07581">
        <w:rPr>
          <w:rFonts w:asciiTheme="minorHAnsi" w:hAnsiTheme="minorHAnsi" w:cstheme="minorHAnsi"/>
          <w:sz w:val="24"/>
          <w:szCs w:val="24"/>
        </w:rPr>
        <w:t xml:space="preserve"> </w:t>
      </w:r>
      <w:r w:rsidR="00F566A4" w:rsidRPr="00A35817">
        <w:rPr>
          <w:rFonts w:asciiTheme="minorHAnsi" w:hAnsiTheme="minorHAnsi" w:cstheme="minorHAnsi"/>
          <w:sz w:val="24"/>
          <w:szCs w:val="24"/>
        </w:rPr>
        <w:t xml:space="preserve">Autorem </w:t>
      </w:r>
      <w:r w:rsidR="00497852">
        <w:rPr>
          <w:rFonts w:asciiTheme="minorHAnsi" w:hAnsiTheme="minorHAnsi" w:cstheme="minorHAnsi"/>
          <w:sz w:val="24"/>
          <w:szCs w:val="24"/>
        </w:rPr>
        <w:t>této k</w:t>
      </w:r>
      <w:r w:rsidR="00F566A4" w:rsidRPr="00A35817">
        <w:rPr>
          <w:rFonts w:asciiTheme="minorHAnsi" w:hAnsiTheme="minorHAnsi" w:cstheme="minorHAnsi"/>
          <w:sz w:val="24"/>
          <w:szCs w:val="24"/>
        </w:rPr>
        <w:t xml:space="preserve">oncepce </w:t>
      </w:r>
      <w:r w:rsidR="00ED5881" w:rsidRPr="00A35817">
        <w:rPr>
          <w:rFonts w:asciiTheme="minorHAnsi" w:hAnsiTheme="minorHAnsi" w:cstheme="minorHAnsi"/>
          <w:sz w:val="24"/>
          <w:szCs w:val="24"/>
        </w:rPr>
        <w:t>byl</w:t>
      </w:r>
      <w:r w:rsidR="00F566A4" w:rsidRPr="00A35817">
        <w:rPr>
          <w:rFonts w:asciiTheme="minorHAnsi" w:hAnsiTheme="minorHAnsi" w:cstheme="minorHAnsi"/>
          <w:sz w:val="24"/>
          <w:szCs w:val="24"/>
        </w:rPr>
        <w:t xml:space="preserve"> široký tým cca 50 odborníků z MSp,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="00F566A4" w:rsidRPr="00A35817">
        <w:rPr>
          <w:rFonts w:asciiTheme="minorHAnsi" w:hAnsiTheme="minorHAnsi" w:cstheme="minorHAnsi"/>
          <w:sz w:val="24"/>
          <w:szCs w:val="24"/>
        </w:rPr>
        <w:t xml:space="preserve">, Probační a mediační služby, ministerstev a dalších </w:t>
      </w:r>
      <w:r w:rsidR="00A07581">
        <w:rPr>
          <w:rFonts w:asciiTheme="minorHAnsi" w:hAnsiTheme="minorHAnsi" w:cstheme="minorHAnsi"/>
          <w:sz w:val="24"/>
          <w:szCs w:val="24"/>
        </w:rPr>
        <w:t>institucí včetně akademických a</w:t>
      </w:r>
      <w:r w:rsidR="00497852">
        <w:rPr>
          <w:rFonts w:asciiTheme="minorHAnsi" w:hAnsiTheme="minorHAnsi" w:cstheme="minorHAnsi"/>
          <w:sz w:val="24"/>
          <w:szCs w:val="24"/>
        </w:rPr>
        <w:t xml:space="preserve"> </w:t>
      </w:r>
      <w:r w:rsidR="00F566A4" w:rsidRPr="00A35817">
        <w:rPr>
          <w:rFonts w:asciiTheme="minorHAnsi" w:hAnsiTheme="minorHAnsi" w:cstheme="minorHAnsi"/>
          <w:sz w:val="24"/>
          <w:szCs w:val="24"/>
        </w:rPr>
        <w:t xml:space="preserve">nestátních. Cílem této pracovní skupiny bylo vytvoření obecného </w:t>
      </w:r>
      <w:r w:rsidR="00D053C4">
        <w:rPr>
          <w:rFonts w:asciiTheme="minorHAnsi" w:hAnsiTheme="minorHAnsi" w:cstheme="minorHAnsi"/>
          <w:sz w:val="24"/>
          <w:szCs w:val="24"/>
        </w:rPr>
        <w:t xml:space="preserve">a </w:t>
      </w:r>
      <w:r w:rsidR="0010343A">
        <w:rPr>
          <w:rFonts w:asciiTheme="minorHAnsi" w:hAnsiTheme="minorHAnsi" w:cstheme="minorHAnsi"/>
          <w:sz w:val="24"/>
          <w:szCs w:val="24"/>
        </w:rPr>
        <w:t xml:space="preserve">po </w:t>
      </w:r>
      <w:r w:rsidR="00F566A4" w:rsidRPr="00A35817">
        <w:rPr>
          <w:rFonts w:asciiTheme="minorHAnsi" w:hAnsiTheme="minorHAnsi" w:cstheme="minorHAnsi"/>
          <w:sz w:val="24"/>
          <w:szCs w:val="24"/>
        </w:rPr>
        <w:t xml:space="preserve">dlouhou dobu platného dokumentu státní politiky, který na příštích deset let deklaruje východiska, cíle a konkrétní nástroje </w:t>
      </w:r>
      <w:r w:rsidR="008E1E9A">
        <w:rPr>
          <w:rFonts w:asciiTheme="minorHAnsi" w:hAnsiTheme="minorHAnsi" w:cstheme="minorHAnsi"/>
          <w:sz w:val="24"/>
          <w:szCs w:val="24"/>
        </w:rPr>
        <w:br/>
      </w:r>
      <w:r w:rsidR="00F566A4" w:rsidRPr="00A35817">
        <w:rPr>
          <w:rFonts w:asciiTheme="minorHAnsi" w:hAnsiTheme="minorHAnsi" w:cstheme="minorHAnsi"/>
          <w:sz w:val="24"/>
          <w:szCs w:val="24"/>
        </w:rPr>
        <w:t>pro</w:t>
      </w:r>
      <w:r w:rsidR="008E1E9A">
        <w:rPr>
          <w:rFonts w:asciiTheme="minorHAnsi" w:hAnsiTheme="minorHAnsi" w:cstheme="minorHAnsi"/>
          <w:sz w:val="24"/>
          <w:szCs w:val="24"/>
        </w:rPr>
        <w:t xml:space="preserve"> </w:t>
      </w:r>
      <w:r w:rsidR="002F6D9C" w:rsidRPr="00A35817">
        <w:rPr>
          <w:rFonts w:asciiTheme="minorHAnsi" w:hAnsiTheme="minorHAnsi" w:cstheme="minorHAnsi"/>
          <w:sz w:val="24"/>
          <w:szCs w:val="24"/>
        </w:rPr>
        <w:t>vytvoření moderního vězeňství</w:t>
      </w:r>
      <w:r w:rsidR="00A8597F">
        <w:rPr>
          <w:rFonts w:asciiTheme="minorHAnsi" w:hAnsiTheme="minorHAnsi" w:cstheme="minorHAnsi"/>
          <w:sz w:val="24"/>
          <w:szCs w:val="24"/>
        </w:rPr>
        <w:t xml:space="preserve">, </w:t>
      </w:r>
      <w:r w:rsidR="002F6D9C" w:rsidRPr="00A35817">
        <w:rPr>
          <w:rFonts w:asciiTheme="minorHAnsi" w:hAnsiTheme="minorHAnsi" w:cstheme="minorHAnsi"/>
          <w:sz w:val="24"/>
          <w:szCs w:val="24"/>
        </w:rPr>
        <w:t>srovnatelného s vězeňskými systémy vyspělých demokratických států.</w:t>
      </w:r>
    </w:p>
    <w:p w14:paraId="5F6CF224" w14:textId="36B5C747" w:rsidR="00B21BDD" w:rsidRPr="00A35817" w:rsidRDefault="00B21BDD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 xml:space="preserve">Koncepce 2025 se věnuje devíti hlavním oblastem, z nichž každá je zpracována v samostatné </w:t>
      </w:r>
      <w:r w:rsidR="00107DC4">
        <w:rPr>
          <w:rFonts w:asciiTheme="minorHAnsi" w:hAnsiTheme="minorHAnsi" w:cstheme="minorHAnsi"/>
          <w:sz w:val="24"/>
          <w:szCs w:val="24"/>
        </w:rPr>
        <w:t>kapitole, a to zaměstnávání</w:t>
      </w:r>
      <w:r w:rsidRPr="00A35817">
        <w:rPr>
          <w:rFonts w:asciiTheme="minorHAnsi" w:hAnsiTheme="minorHAnsi" w:cstheme="minorHAnsi"/>
          <w:sz w:val="24"/>
          <w:szCs w:val="24"/>
        </w:rPr>
        <w:t>, zdravotnictví, vzdělávání, programy zacházení, legislativní změny, problematika návykových látek, financování vězeňství, reso</w:t>
      </w:r>
      <w:r w:rsidR="00107DC4">
        <w:rPr>
          <w:rFonts w:asciiTheme="minorHAnsi" w:hAnsiTheme="minorHAnsi" w:cstheme="minorHAnsi"/>
          <w:sz w:val="24"/>
          <w:szCs w:val="24"/>
        </w:rPr>
        <w:t>cializace propouštěných vězňů a </w:t>
      </w:r>
      <w:r w:rsidRPr="00A35817">
        <w:rPr>
          <w:rFonts w:asciiTheme="minorHAnsi" w:hAnsiTheme="minorHAnsi" w:cstheme="minorHAnsi"/>
          <w:sz w:val="24"/>
          <w:szCs w:val="24"/>
        </w:rPr>
        <w:t>bezpečnost ve věznicích.</w:t>
      </w:r>
      <w:r w:rsidR="00ED7BD2">
        <w:rPr>
          <w:rFonts w:asciiTheme="minorHAnsi" w:hAnsiTheme="minorHAnsi" w:cstheme="minorHAnsi"/>
          <w:sz w:val="24"/>
          <w:szCs w:val="24"/>
        </w:rPr>
        <w:t xml:space="preserve"> </w:t>
      </w:r>
      <w:r w:rsidR="003F3B51" w:rsidRPr="003F3B51">
        <w:rPr>
          <w:rFonts w:asciiTheme="minorHAnsi" w:hAnsiTheme="minorHAnsi" w:cstheme="minorHAnsi"/>
          <w:sz w:val="24"/>
          <w:szCs w:val="24"/>
        </w:rPr>
        <w:t>Jednotlivé kapitoly ob</w:t>
      </w:r>
      <w:r w:rsidR="00564521">
        <w:rPr>
          <w:rFonts w:asciiTheme="minorHAnsi" w:hAnsiTheme="minorHAnsi" w:cstheme="minorHAnsi"/>
          <w:sz w:val="24"/>
          <w:szCs w:val="24"/>
        </w:rPr>
        <w:t xml:space="preserve">sahují </w:t>
      </w:r>
      <w:r w:rsidR="00107DC4">
        <w:rPr>
          <w:rFonts w:asciiTheme="minorHAnsi" w:hAnsiTheme="minorHAnsi" w:cstheme="minorHAnsi"/>
          <w:sz w:val="24"/>
          <w:szCs w:val="24"/>
        </w:rPr>
        <w:t xml:space="preserve">cíle a </w:t>
      </w:r>
      <w:r w:rsidR="00564521">
        <w:rPr>
          <w:rFonts w:asciiTheme="minorHAnsi" w:hAnsiTheme="minorHAnsi" w:cstheme="minorHAnsi"/>
          <w:sz w:val="24"/>
          <w:szCs w:val="24"/>
        </w:rPr>
        <w:t>popis současného stavu s </w:t>
      </w:r>
      <w:r w:rsidR="003F3B51" w:rsidRPr="003F3B51">
        <w:rPr>
          <w:rFonts w:asciiTheme="minorHAnsi" w:hAnsiTheme="minorHAnsi" w:cstheme="minorHAnsi"/>
          <w:sz w:val="24"/>
          <w:szCs w:val="24"/>
        </w:rPr>
        <w:t>označením problematických oblastí</w:t>
      </w:r>
      <w:r w:rsidR="003230A3">
        <w:rPr>
          <w:rFonts w:asciiTheme="minorHAnsi" w:hAnsiTheme="minorHAnsi" w:cstheme="minorHAnsi"/>
          <w:sz w:val="24"/>
          <w:szCs w:val="24"/>
        </w:rPr>
        <w:t>,</w:t>
      </w:r>
      <w:r w:rsidR="003F3B51" w:rsidRPr="003F3B51">
        <w:rPr>
          <w:rFonts w:asciiTheme="minorHAnsi" w:hAnsiTheme="minorHAnsi" w:cstheme="minorHAnsi"/>
          <w:sz w:val="24"/>
          <w:szCs w:val="24"/>
        </w:rPr>
        <w:t xml:space="preserve"> které mají být koncepcí řešeny.</w:t>
      </w:r>
    </w:p>
    <w:p w14:paraId="10A8807E" w14:textId="77777777" w:rsidR="00246D13" w:rsidRPr="00A35817" w:rsidRDefault="00C812A6" w:rsidP="00497852">
      <w:pPr>
        <w:pStyle w:val="Nadpis1"/>
        <w:keepNext w:val="0"/>
        <w:keepLines w:val="0"/>
        <w:widowControl/>
        <w:spacing w:before="480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A35817">
        <w:rPr>
          <w:rFonts w:asciiTheme="minorHAnsi" w:hAnsiTheme="minorHAnsi" w:cstheme="minorHAnsi"/>
          <w:b/>
          <w:color w:val="auto"/>
        </w:rPr>
        <w:t xml:space="preserve">III. </w:t>
      </w:r>
      <w:r w:rsidR="00246D13" w:rsidRPr="00A35817">
        <w:rPr>
          <w:rFonts w:asciiTheme="minorHAnsi" w:hAnsiTheme="minorHAnsi" w:cstheme="minorHAnsi"/>
          <w:b/>
          <w:color w:val="auto"/>
        </w:rPr>
        <w:t>Rozsah kontroly</w:t>
      </w:r>
    </w:p>
    <w:p w14:paraId="2B561E8B" w14:textId="77777777" w:rsidR="004E3409" w:rsidRPr="00A35817" w:rsidRDefault="004E3409" w:rsidP="00497852">
      <w:pPr>
        <w:widowControl/>
        <w:jc w:val="both"/>
        <w:rPr>
          <w:rFonts w:ascii="Calibri" w:hAnsi="Calibri" w:cs="Calibri"/>
          <w:sz w:val="24"/>
          <w:szCs w:val="24"/>
        </w:rPr>
      </w:pPr>
    </w:p>
    <w:p w14:paraId="21DE79E3" w14:textId="2360526D" w:rsidR="004E3409" w:rsidRPr="00D3717F" w:rsidRDefault="00246D13" w:rsidP="00497852">
      <w:pPr>
        <w:widowControl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="Calibri" w:hAnsi="Calibri" w:cs="Calibri"/>
          <w:sz w:val="24"/>
          <w:szCs w:val="24"/>
        </w:rPr>
        <w:t>Cílem kontrolní akce bylo prověřit</w:t>
      </w:r>
      <w:r w:rsidR="003941DF" w:rsidRPr="00A35817">
        <w:rPr>
          <w:rFonts w:ascii="Calibri" w:hAnsi="Calibri" w:cs="Calibri"/>
          <w:sz w:val="24"/>
          <w:szCs w:val="24"/>
        </w:rPr>
        <w:t xml:space="preserve">, </w:t>
      </w:r>
      <w:r w:rsidR="0087457C" w:rsidRPr="00A35817">
        <w:rPr>
          <w:rFonts w:asciiTheme="minorHAnsi" w:hAnsiTheme="minorHAnsi" w:cs="Calibri"/>
          <w:color w:val="000000"/>
          <w:sz w:val="24"/>
          <w:szCs w:val="24"/>
        </w:rPr>
        <w:t xml:space="preserve">zda </w:t>
      </w:r>
      <w:r w:rsidR="0099697E">
        <w:rPr>
          <w:rFonts w:asciiTheme="minorHAnsi" w:hAnsiTheme="minorHAnsi" w:cs="Calibri"/>
          <w:color w:val="000000"/>
          <w:sz w:val="24"/>
          <w:szCs w:val="24"/>
        </w:rPr>
        <w:t>VS ČR</w:t>
      </w:r>
      <w:r w:rsidR="00BB19B9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7457C" w:rsidRPr="00A35817">
        <w:rPr>
          <w:rFonts w:asciiTheme="minorHAnsi" w:hAnsiTheme="minorHAnsi" w:cs="Calibri"/>
          <w:color w:val="000000"/>
          <w:sz w:val="24"/>
          <w:szCs w:val="24"/>
        </w:rPr>
        <w:t xml:space="preserve">hospodaří s majetkem a peněžními prostředky </w:t>
      </w:r>
      <w:r w:rsidR="0087457C" w:rsidRPr="00D3717F">
        <w:rPr>
          <w:rFonts w:asciiTheme="minorHAnsi" w:hAnsiTheme="minorHAnsi" w:cs="Calibri"/>
          <w:color w:val="000000"/>
          <w:sz w:val="24"/>
          <w:szCs w:val="24"/>
        </w:rPr>
        <w:t xml:space="preserve">státu účelně, hospodárně </w:t>
      </w:r>
      <w:r w:rsidR="00350DB2" w:rsidRPr="00D3717F">
        <w:rPr>
          <w:rFonts w:asciiTheme="minorHAnsi" w:hAnsiTheme="minorHAnsi" w:cs="Calibri"/>
          <w:color w:val="000000"/>
          <w:sz w:val="24"/>
          <w:szCs w:val="24"/>
        </w:rPr>
        <w:t>a v souladu s právními předpisy.</w:t>
      </w:r>
    </w:p>
    <w:p w14:paraId="6EF6C690" w14:textId="77777777" w:rsidR="0087457C" w:rsidRPr="00D3717F" w:rsidRDefault="0087457C" w:rsidP="00497852">
      <w:pPr>
        <w:widowControl/>
        <w:jc w:val="both"/>
        <w:rPr>
          <w:rFonts w:ascii="Calibri" w:hAnsi="Calibri" w:cs="Calibri"/>
          <w:sz w:val="24"/>
          <w:szCs w:val="24"/>
        </w:rPr>
      </w:pPr>
    </w:p>
    <w:p w14:paraId="0C2C7EFF" w14:textId="2A9A9109" w:rsidR="005E4994" w:rsidRPr="00D3717F" w:rsidRDefault="00A05F96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>NKÚ prověřil u MSp</w:t>
      </w:r>
      <w:r w:rsidR="0087457C" w:rsidRPr="00D3717F">
        <w:rPr>
          <w:rFonts w:asciiTheme="minorHAnsi" w:hAnsiTheme="minorHAnsi" w:cstheme="minorHAnsi"/>
          <w:sz w:val="24"/>
          <w:szCs w:val="24"/>
        </w:rPr>
        <w:t>:</w:t>
      </w:r>
    </w:p>
    <w:p w14:paraId="2210B9B5" w14:textId="77777777" w:rsidR="0087457C" w:rsidRPr="00D3717F" w:rsidRDefault="0087457C" w:rsidP="00497852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Theme="minorHAnsi" w:hAnsiTheme="minorHAnsi" w:cstheme="minorHAnsi"/>
          <w:sz w:val="24"/>
          <w:szCs w:val="24"/>
        </w:rPr>
        <w:t>nastavení finančních vztahů a řídicích mechanismů ve vztahu k </w:t>
      </w:r>
      <w:r w:rsidR="0099697E" w:rsidRPr="00D3717F">
        <w:rPr>
          <w:rFonts w:asciiTheme="minorHAnsi" w:hAnsiTheme="minorHAnsi" w:cstheme="minorHAnsi"/>
          <w:sz w:val="24"/>
          <w:szCs w:val="24"/>
        </w:rPr>
        <w:t>VS ČR</w:t>
      </w:r>
      <w:r w:rsidRPr="00D3717F">
        <w:rPr>
          <w:rFonts w:asciiTheme="minorHAnsi" w:hAnsiTheme="minorHAnsi" w:cstheme="minorHAnsi"/>
          <w:sz w:val="24"/>
          <w:szCs w:val="24"/>
        </w:rPr>
        <w:t>;</w:t>
      </w:r>
    </w:p>
    <w:p w14:paraId="76B109A6" w14:textId="7308DAC8" w:rsidR="0087457C" w:rsidRPr="00A33D9E" w:rsidRDefault="0087457C" w:rsidP="00497852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Theme="minorHAnsi" w:hAnsiTheme="minorHAnsi" w:cstheme="minorHAnsi"/>
          <w:sz w:val="24"/>
          <w:szCs w:val="24"/>
        </w:rPr>
        <w:t>koncepční</w:t>
      </w:r>
      <w:r w:rsidR="00A33D9E">
        <w:rPr>
          <w:rFonts w:asciiTheme="minorHAnsi" w:hAnsiTheme="minorHAnsi" w:cstheme="minorHAnsi"/>
          <w:sz w:val="24"/>
          <w:szCs w:val="24"/>
        </w:rPr>
        <w:t xml:space="preserve"> </w:t>
      </w:r>
      <w:r w:rsidR="00A33D9E" w:rsidRPr="009F04C4">
        <w:rPr>
          <w:rFonts w:asciiTheme="minorHAnsi" w:hAnsiTheme="minorHAnsi" w:cstheme="minorHAnsi"/>
          <w:sz w:val="24"/>
          <w:szCs w:val="24"/>
        </w:rPr>
        <w:t>materiály</w:t>
      </w:r>
      <w:r w:rsidR="00A33D9E">
        <w:rPr>
          <w:rFonts w:asciiTheme="minorHAnsi" w:hAnsiTheme="minorHAnsi" w:cstheme="minorHAnsi"/>
          <w:sz w:val="24"/>
          <w:szCs w:val="24"/>
        </w:rPr>
        <w:t xml:space="preserve"> pro oblast vězeňství</w:t>
      </w:r>
      <w:r w:rsidR="00A33D9E" w:rsidRPr="00287AB3">
        <w:rPr>
          <w:rFonts w:asciiTheme="minorHAnsi" w:hAnsiTheme="minorHAnsi" w:cstheme="minorHAnsi"/>
          <w:sz w:val="24"/>
          <w:szCs w:val="24"/>
        </w:rPr>
        <w:t xml:space="preserve"> </w:t>
      </w:r>
      <w:r w:rsidR="00A33D9E" w:rsidRPr="00A33D9E">
        <w:rPr>
          <w:rFonts w:asciiTheme="minorHAnsi" w:hAnsiTheme="minorHAnsi" w:cstheme="minorHAnsi"/>
          <w:sz w:val="24"/>
          <w:szCs w:val="24"/>
        </w:rPr>
        <w:t xml:space="preserve">z hlediska definování konkrétních a měřitelných cílů včetně stanovení a zajištění peněžních prostředků </w:t>
      </w:r>
      <w:r w:rsidR="00293B0B" w:rsidRPr="0021549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293B0B">
        <w:rPr>
          <w:rFonts w:asciiTheme="minorHAnsi" w:hAnsiTheme="minorHAnsi" w:cstheme="minorHAnsi"/>
          <w:sz w:val="24"/>
          <w:szCs w:val="24"/>
        </w:rPr>
        <w:t xml:space="preserve"> </w:t>
      </w:r>
      <w:r w:rsidR="00A33D9E" w:rsidRPr="00A33D9E">
        <w:rPr>
          <w:rFonts w:asciiTheme="minorHAnsi" w:hAnsiTheme="minorHAnsi" w:cstheme="minorHAnsi"/>
          <w:sz w:val="24"/>
          <w:szCs w:val="24"/>
        </w:rPr>
        <w:t>vyhodnocení plnění cílů koncepce;</w:t>
      </w:r>
    </w:p>
    <w:p w14:paraId="00CC2EA7" w14:textId="5500ADF9" w:rsidR="0087457C" w:rsidRPr="00D3717F" w:rsidRDefault="0087457C" w:rsidP="00497852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Theme="minorHAnsi" w:hAnsiTheme="minorHAnsi" w:cstheme="minorHAnsi"/>
          <w:sz w:val="24"/>
          <w:szCs w:val="24"/>
        </w:rPr>
        <w:t>realizac</w:t>
      </w:r>
      <w:r w:rsidR="00F85E46" w:rsidRPr="00D3717F">
        <w:rPr>
          <w:rFonts w:asciiTheme="minorHAnsi" w:hAnsiTheme="minorHAnsi" w:cstheme="minorHAnsi"/>
          <w:sz w:val="24"/>
          <w:szCs w:val="24"/>
        </w:rPr>
        <w:t>i</w:t>
      </w:r>
      <w:r w:rsidRPr="00D3717F">
        <w:rPr>
          <w:rFonts w:asciiTheme="minorHAnsi" w:hAnsiTheme="minorHAnsi" w:cstheme="minorHAnsi"/>
          <w:sz w:val="24"/>
          <w:szCs w:val="24"/>
        </w:rPr>
        <w:t xml:space="preserve"> opatření k řešení nedostatečné kapacity věznic;</w:t>
      </w:r>
    </w:p>
    <w:p w14:paraId="7165B65C" w14:textId="4AEBF205" w:rsidR="003220E2" w:rsidRPr="00D3717F" w:rsidRDefault="003220E2" w:rsidP="00497852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Theme="minorHAnsi" w:hAnsiTheme="minorHAnsi" w:cstheme="minorHAnsi"/>
          <w:sz w:val="24"/>
          <w:szCs w:val="24"/>
        </w:rPr>
        <w:t>realizaci opatření přispívajících k hospodárnosti výdajů VS ČR včetně centrálních nákupů;</w:t>
      </w:r>
    </w:p>
    <w:p w14:paraId="34266E32" w14:textId="030187D8" w:rsidR="0087457C" w:rsidRPr="00D3717F" w:rsidRDefault="0087457C" w:rsidP="00497852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3717F">
        <w:rPr>
          <w:rFonts w:asciiTheme="minorHAnsi" w:hAnsiTheme="minorHAnsi" w:cstheme="minorHAnsi"/>
          <w:sz w:val="24"/>
          <w:szCs w:val="24"/>
        </w:rPr>
        <w:t>nápravná opatření deklarovaná ve stanovisku MSp</w:t>
      </w:r>
      <w:r w:rsidRPr="00D3717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45514" w:rsidRPr="00D3717F">
        <w:rPr>
          <w:rFonts w:asciiTheme="minorHAnsi" w:hAnsiTheme="minorHAnsi" w:cstheme="minorHAnsi"/>
          <w:sz w:val="24"/>
          <w:szCs w:val="24"/>
        </w:rPr>
        <w:t>ke kontrolnímu závěru z KA č. </w:t>
      </w:r>
      <w:r w:rsidRPr="00D3717F">
        <w:rPr>
          <w:rFonts w:asciiTheme="minorHAnsi" w:hAnsiTheme="minorHAnsi" w:cstheme="minorHAnsi"/>
          <w:sz w:val="24"/>
          <w:szCs w:val="24"/>
        </w:rPr>
        <w:t>10/17</w:t>
      </w:r>
      <w:r w:rsidR="00602ADC" w:rsidRPr="00D3717F">
        <w:rPr>
          <w:rFonts w:asciiTheme="minorHAnsi" w:hAnsiTheme="minorHAnsi" w:cstheme="minorHAnsi"/>
          <w:sz w:val="24"/>
          <w:szCs w:val="24"/>
        </w:rPr>
        <w:t>.</w:t>
      </w:r>
    </w:p>
    <w:p w14:paraId="415E507A" w14:textId="77777777" w:rsidR="00404465" w:rsidRPr="00D3717F" w:rsidRDefault="00404465" w:rsidP="00497852">
      <w:pPr>
        <w:widowControl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 xml:space="preserve">Kontrola </w:t>
      </w:r>
      <w:r w:rsidR="0099697E" w:rsidRPr="00D3717F">
        <w:rPr>
          <w:rFonts w:ascii="Calibri" w:hAnsi="Calibri" w:cs="Calibri"/>
          <w:sz w:val="24"/>
          <w:szCs w:val="24"/>
        </w:rPr>
        <w:t>VS ČR</w:t>
      </w:r>
      <w:r w:rsidRPr="00D3717F">
        <w:rPr>
          <w:rFonts w:ascii="Calibri" w:hAnsi="Calibri" w:cs="Calibri"/>
          <w:sz w:val="24"/>
          <w:szCs w:val="24"/>
        </w:rPr>
        <w:t xml:space="preserve"> byla prováděna u GŘ a dalších pěti organizačních jednotek, a to Věznice Heřmanice, Věznice Pardubice, Věznice Plzeň, Věznice Rýnovice a Věznice Stráž pod Ralskem. </w:t>
      </w:r>
    </w:p>
    <w:p w14:paraId="5A423545" w14:textId="39BDA074" w:rsidR="00EB3F61" w:rsidRDefault="00084CA0" w:rsidP="00497852">
      <w:pPr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Theme="minorHAnsi" w:hAnsiTheme="minorHAnsi" w:cstheme="minorHAnsi"/>
          <w:sz w:val="24"/>
          <w:szCs w:val="24"/>
        </w:rPr>
        <w:t xml:space="preserve">VS ČR </w:t>
      </w:r>
      <w:r w:rsidR="00776D3F" w:rsidRPr="00D3717F">
        <w:rPr>
          <w:rFonts w:asciiTheme="minorHAnsi" w:hAnsiTheme="minorHAnsi" w:cstheme="minorHAnsi"/>
          <w:sz w:val="24"/>
          <w:szCs w:val="24"/>
        </w:rPr>
        <w:t>je příslušná hospodařit</w:t>
      </w:r>
      <w:r w:rsidRPr="00D3717F">
        <w:rPr>
          <w:rFonts w:asciiTheme="minorHAnsi" w:hAnsiTheme="minorHAnsi" w:cstheme="minorHAnsi"/>
          <w:sz w:val="24"/>
          <w:szCs w:val="24"/>
        </w:rPr>
        <w:t xml:space="preserve"> s majetkem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21D6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jehož účetní hodnota ke dni 31.</w:t>
      </w:r>
      <w:r w:rsidR="00BB7CB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12.</w:t>
      </w:r>
      <w:r w:rsidR="00BB7CB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2018 </w:t>
      </w:r>
      <w:r w:rsidR="00D053C4">
        <w:rPr>
          <w:rFonts w:asciiTheme="minorHAnsi" w:hAnsiTheme="minorHAnsi" w:cstheme="minorHAnsi"/>
          <w:sz w:val="24"/>
          <w:szCs w:val="24"/>
        </w:rPr>
        <w:t>činila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4950">
        <w:rPr>
          <w:rFonts w:asciiTheme="minorHAnsi" w:hAnsiTheme="minorHAnsi" w:cstheme="minorHAnsi"/>
          <w:sz w:val="24"/>
          <w:szCs w:val="24"/>
        </w:rPr>
        <w:t>7</w:t>
      </w:r>
      <w:r w:rsidR="00D053C4">
        <w:rPr>
          <w:rFonts w:asciiTheme="minorHAnsi" w:hAnsiTheme="minorHAnsi" w:cstheme="minorHAnsi"/>
          <w:sz w:val="24"/>
          <w:szCs w:val="24"/>
        </w:rPr>
        <w:t> </w:t>
      </w:r>
      <w:r w:rsidRPr="005F4950">
        <w:rPr>
          <w:rFonts w:asciiTheme="minorHAnsi" w:hAnsiTheme="minorHAnsi" w:cstheme="minorHAnsi"/>
          <w:sz w:val="24"/>
          <w:szCs w:val="24"/>
        </w:rPr>
        <w:t>510</w:t>
      </w:r>
      <w:r w:rsidR="00D053C4">
        <w:rPr>
          <w:rFonts w:asciiTheme="minorHAnsi" w:hAnsiTheme="minorHAnsi" w:cstheme="minorHAnsi"/>
          <w:sz w:val="24"/>
          <w:szCs w:val="24"/>
        </w:rPr>
        <w:t> </w:t>
      </w:r>
      <w:r w:rsidRPr="005F4950">
        <w:rPr>
          <w:rFonts w:asciiTheme="minorHAnsi" w:hAnsiTheme="minorHAnsi" w:cstheme="minorHAnsi"/>
          <w:sz w:val="24"/>
          <w:szCs w:val="24"/>
        </w:rPr>
        <w:t>786</w:t>
      </w:r>
      <w:r w:rsidR="00BB7CBC">
        <w:rPr>
          <w:rFonts w:asciiTheme="minorHAnsi" w:hAnsiTheme="minorHAnsi" w:cstheme="minorHAnsi"/>
          <w:sz w:val="24"/>
          <w:szCs w:val="24"/>
        </w:rPr>
        <w:t xml:space="preserve"> </w:t>
      </w:r>
      <w:r w:rsidRPr="005F4950">
        <w:rPr>
          <w:rFonts w:asciiTheme="minorHAnsi" w:hAnsiTheme="minorHAnsi" w:cstheme="minorHAnsi"/>
          <w:sz w:val="24"/>
          <w:szCs w:val="24"/>
        </w:rPr>
        <w:t>87</w:t>
      </w:r>
      <w:r>
        <w:rPr>
          <w:rFonts w:asciiTheme="minorHAnsi" w:hAnsiTheme="minorHAnsi" w:cstheme="minorHAnsi"/>
          <w:sz w:val="24"/>
          <w:szCs w:val="24"/>
        </w:rPr>
        <w:t>7</w:t>
      </w:r>
      <w:r w:rsidR="00BB7CB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Kč. Výdaje VS ČR za roky 2016</w:t>
      </w:r>
      <w:r w:rsidR="00BB7CBC">
        <w:rPr>
          <w:rFonts w:asciiTheme="minorHAnsi" w:hAnsiTheme="minorHAnsi" w:cstheme="minorHAnsi"/>
          <w:sz w:val="24"/>
          <w:szCs w:val="24"/>
        </w:rPr>
        <w:t xml:space="preserve"> až </w:t>
      </w:r>
      <w:r>
        <w:rPr>
          <w:rFonts w:asciiTheme="minorHAnsi" w:hAnsiTheme="minorHAnsi" w:cstheme="minorHAnsi"/>
          <w:sz w:val="24"/>
          <w:szCs w:val="24"/>
        </w:rPr>
        <w:t xml:space="preserve">2018 dosáhly celkové výše </w:t>
      </w:r>
      <w:r w:rsidRPr="00A35817">
        <w:rPr>
          <w:rFonts w:asciiTheme="minorHAnsi" w:eastAsia="Times New Roman" w:hAnsiTheme="minorHAnsi" w:cstheme="minorHAnsi"/>
          <w:color w:val="000000"/>
          <w:sz w:val="24"/>
          <w:szCs w:val="24"/>
        </w:rPr>
        <w:t>29</w:t>
      </w:r>
      <w:r w:rsidR="00974FC2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Pr="00A35817">
        <w:rPr>
          <w:rFonts w:asciiTheme="minorHAnsi" w:eastAsia="Times New Roman" w:hAnsiTheme="minorHAnsi" w:cstheme="minorHAnsi"/>
          <w:color w:val="000000"/>
          <w:sz w:val="24"/>
          <w:szCs w:val="24"/>
        </w:rPr>
        <w:t>405</w:t>
      </w:r>
      <w:r w:rsidR="00974FC2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Pr="00A35817">
        <w:rPr>
          <w:rFonts w:asciiTheme="minorHAnsi" w:eastAsia="Times New Roman" w:hAnsiTheme="minorHAnsi" w:cstheme="minorHAnsi"/>
          <w:color w:val="000000"/>
          <w:sz w:val="24"/>
          <w:szCs w:val="24"/>
        </w:rPr>
        <w:t>694</w:t>
      </w:r>
      <w:r w:rsidR="00974FC2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Pr="00A35817">
        <w:rPr>
          <w:rFonts w:asciiTheme="minorHAnsi" w:eastAsia="Times New Roman" w:hAnsiTheme="minorHAnsi" w:cstheme="minorHAnsi"/>
          <w:color w:val="000000"/>
          <w:sz w:val="24"/>
          <w:szCs w:val="24"/>
        </w:rPr>
        <w:t>886</w:t>
      </w:r>
      <w:r w:rsidR="00974FC2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Kč.</w:t>
      </w:r>
    </w:p>
    <w:p w14:paraId="39026B3D" w14:textId="0787939A" w:rsidR="0087457C" w:rsidRPr="00D3717F" w:rsidRDefault="004A4781" w:rsidP="00497852">
      <w:pPr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>NKÚ prověřil u</w:t>
      </w:r>
      <w:r w:rsidR="00F85E46" w:rsidRPr="00D3717F">
        <w:rPr>
          <w:rFonts w:ascii="Calibri" w:hAnsi="Calibri" w:cs="Calibri"/>
          <w:sz w:val="24"/>
          <w:szCs w:val="24"/>
        </w:rPr>
        <w:t xml:space="preserve"> </w:t>
      </w:r>
      <w:r w:rsidR="00A05F96" w:rsidRPr="00D3717F">
        <w:rPr>
          <w:rFonts w:ascii="Calibri" w:hAnsi="Calibri" w:cs="Calibri"/>
          <w:sz w:val="24"/>
          <w:szCs w:val="24"/>
        </w:rPr>
        <w:t>VS ČR</w:t>
      </w:r>
      <w:r w:rsidR="0087457C" w:rsidRPr="00D3717F">
        <w:rPr>
          <w:rFonts w:ascii="Calibri" w:hAnsi="Calibri" w:cs="Calibri"/>
          <w:sz w:val="24"/>
          <w:szCs w:val="24"/>
        </w:rPr>
        <w:t>:</w:t>
      </w:r>
    </w:p>
    <w:p w14:paraId="2CD8CE77" w14:textId="77777777" w:rsidR="00FF07EE" w:rsidRPr="00D3717F" w:rsidRDefault="00FF07EE" w:rsidP="00497852">
      <w:pPr>
        <w:pStyle w:val="Odstavecseseznamem"/>
        <w:widowControl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 xml:space="preserve">činnosti vedoucí k naplnění cílů Koncepce 2025; </w:t>
      </w:r>
    </w:p>
    <w:p w14:paraId="147573C4" w14:textId="77777777" w:rsidR="00FF07EE" w:rsidRPr="00D3717F" w:rsidRDefault="00FF07EE" w:rsidP="00497852">
      <w:pPr>
        <w:pStyle w:val="Odstavecseseznamem"/>
        <w:widowControl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>zajišťování ubytovacích kapacit věznic;</w:t>
      </w:r>
    </w:p>
    <w:p w14:paraId="78E6D315" w14:textId="3FE35B42" w:rsidR="00FF07EE" w:rsidRPr="00D3717F" w:rsidRDefault="0093411C" w:rsidP="00497852">
      <w:pPr>
        <w:pStyle w:val="Odstavecseseznamem"/>
        <w:widowControl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 xml:space="preserve">postupy k zajištění </w:t>
      </w:r>
      <w:r w:rsidR="001C14FB" w:rsidRPr="00D3717F">
        <w:rPr>
          <w:rFonts w:ascii="Calibri" w:hAnsi="Calibri" w:cs="Calibri"/>
          <w:sz w:val="24"/>
          <w:szCs w:val="24"/>
        </w:rPr>
        <w:t>hospodárn</w:t>
      </w:r>
      <w:r w:rsidRPr="00D3717F">
        <w:rPr>
          <w:rFonts w:ascii="Calibri" w:hAnsi="Calibri" w:cs="Calibri"/>
          <w:sz w:val="24"/>
          <w:szCs w:val="24"/>
        </w:rPr>
        <w:t>ého nakládání</w:t>
      </w:r>
      <w:r w:rsidR="00FF07EE" w:rsidRPr="00D3717F">
        <w:rPr>
          <w:rFonts w:ascii="Calibri" w:hAnsi="Calibri" w:cs="Calibri"/>
          <w:sz w:val="24"/>
          <w:szCs w:val="24"/>
        </w:rPr>
        <w:t xml:space="preserve"> s majetkem státu, se kterým je </w:t>
      </w:r>
      <w:r w:rsidR="00A8597F" w:rsidRPr="00D3717F">
        <w:rPr>
          <w:rFonts w:ascii="Calibri" w:hAnsi="Calibri" w:cs="Calibri"/>
          <w:sz w:val="24"/>
          <w:szCs w:val="24"/>
        </w:rPr>
        <w:t xml:space="preserve">VS ČR </w:t>
      </w:r>
      <w:r w:rsidR="00FF07EE" w:rsidRPr="00D3717F">
        <w:rPr>
          <w:rFonts w:ascii="Calibri" w:hAnsi="Calibri" w:cs="Calibri"/>
          <w:sz w:val="24"/>
          <w:szCs w:val="24"/>
        </w:rPr>
        <w:t>příslušná hospodařit</w:t>
      </w:r>
      <w:r w:rsidR="00404465" w:rsidRPr="00D3717F">
        <w:rPr>
          <w:rFonts w:ascii="Calibri" w:hAnsi="Calibri" w:cs="Calibri"/>
          <w:sz w:val="24"/>
          <w:szCs w:val="24"/>
        </w:rPr>
        <w:t xml:space="preserve"> </w:t>
      </w:r>
      <w:r w:rsidR="00D47DAB" w:rsidRPr="00D3717F">
        <w:rPr>
          <w:rFonts w:ascii="Calibri" w:hAnsi="Calibri" w:cs="Calibri"/>
          <w:sz w:val="24"/>
          <w:szCs w:val="24"/>
        </w:rPr>
        <w:t>(vyjma pořízení majetku z programů reprodukce majetku)</w:t>
      </w:r>
      <w:r w:rsidR="00D053C4">
        <w:rPr>
          <w:rFonts w:ascii="Calibri" w:hAnsi="Calibri" w:cs="Calibri"/>
          <w:sz w:val="24"/>
          <w:szCs w:val="24"/>
        </w:rPr>
        <w:t>,</w:t>
      </w:r>
      <w:r w:rsidR="00D47DAB" w:rsidRPr="00D3717F">
        <w:rPr>
          <w:rFonts w:ascii="Calibri" w:hAnsi="Calibri" w:cs="Calibri"/>
          <w:sz w:val="24"/>
          <w:szCs w:val="24"/>
        </w:rPr>
        <w:t xml:space="preserve"> a</w:t>
      </w:r>
      <w:r w:rsidR="00404465" w:rsidRPr="00D3717F">
        <w:rPr>
          <w:rFonts w:ascii="Calibri" w:hAnsi="Calibri" w:cs="Calibri"/>
          <w:sz w:val="24"/>
          <w:szCs w:val="24"/>
        </w:rPr>
        <w:t xml:space="preserve"> opatření vedoucí ke snížení rozdílů při čerpání peněžních prostředků státního rozpočtu vybraných rozpočtových položek u jednotlivých věznic;</w:t>
      </w:r>
    </w:p>
    <w:p w14:paraId="4A3CC543" w14:textId="77777777" w:rsidR="00FF07EE" w:rsidRPr="00D3717F" w:rsidRDefault="00FF07EE" w:rsidP="00497852">
      <w:pPr>
        <w:pStyle w:val="Odstavecseseznamem"/>
        <w:widowControl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>zaměstnávání ods</w:t>
      </w:r>
      <w:r w:rsidR="003230A3" w:rsidRPr="00D3717F">
        <w:rPr>
          <w:rFonts w:ascii="Calibri" w:hAnsi="Calibri" w:cs="Calibri"/>
          <w:sz w:val="24"/>
          <w:szCs w:val="24"/>
        </w:rPr>
        <w:t xml:space="preserve">ouzených včetně zaměstnávání v provozovnách </w:t>
      </w:r>
      <w:r w:rsidRPr="00D3717F">
        <w:rPr>
          <w:rFonts w:ascii="Calibri" w:hAnsi="Calibri" w:cs="Calibri"/>
          <w:sz w:val="24"/>
          <w:szCs w:val="24"/>
        </w:rPr>
        <w:t>Středisk</w:t>
      </w:r>
      <w:r w:rsidR="003230A3" w:rsidRPr="00D3717F">
        <w:rPr>
          <w:rFonts w:ascii="Calibri" w:hAnsi="Calibri" w:cs="Calibri"/>
          <w:sz w:val="24"/>
          <w:szCs w:val="24"/>
        </w:rPr>
        <w:t>a</w:t>
      </w:r>
      <w:r w:rsidRPr="00D3717F">
        <w:rPr>
          <w:rFonts w:ascii="Calibri" w:hAnsi="Calibri" w:cs="Calibri"/>
          <w:sz w:val="24"/>
          <w:szCs w:val="24"/>
        </w:rPr>
        <w:t xml:space="preserve"> hospodářské činnosti</w:t>
      </w:r>
      <w:r w:rsidR="003230A3" w:rsidRPr="00D3717F">
        <w:rPr>
          <w:rFonts w:ascii="Calibri" w:hAnsi="Calibri" w:cs="Calibri"/>
          <w:sz w:val="24"/>
          <w:szCs w:val="24"/>
        </w:rPr>
        <w:t xml:space="preserve"> (SHČ)</w:t>
      </w:r>
      <w:r w:rsidRPr="00D3717F">
        <w:rPr>
          <w:rFonts w:ascii="Calibri" w:hAnsi="Calibri" w:cs="Calibri"/>
          <w:sz w:val="24"/>
          <w:szCs w:val="24"/>
        </w:rPr>
        <w:t xml:space="preserve">; </w:t>
      </w:r>
    </w:p>
    <w:p w14:paraId="165A2618" w14:textId="33BEE698" w:rsidR="009A4D3B" w:rsidRPr="00D3717F" w:rsidRDefault="00FF07EE" w:rsidP="00497852">
      <w:pPr>
        <w:pStyle w:val="Odstavecseseznamem"/>
        <w:widowControl/>
        <w:numPr>
          <w:ilvl w:val="0"/>
          <w:numId w:val="32"/>
        </w:numPr>
        <w:spacing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lastRenderedPageBreak/>
        <w:t>kontrolní činnost zaměřen</w:t>
      </w:r>
      <w:r w:rsidR="00F85E46" w:rsidRPr="00D3717F">
        <w:rPr>
          <w:rFonts w:ascii="Calibri" w:hAnsi="Calibri" w:cs="Calibri"/>
          <w:sz w:val="24"/>
          <w:szCs w:val="24"/>
        </w:rPr>
        <w:t>ou</w:t>
      </w:r>
      <w:r w:rsidRPr="00D3717F">
        <w:rPr>
          <w:rFonts w:ascii="Calibri" w:hAnsi="Calibri" w:cs="Calibri"/>
          <w:sz w:val="24"/>
          <w:szCs w:val="24"/>
        </w:rPr>
        <w:t xml:space="preserve"> na hospodaření věznic a její soulad se zavedeným kontrolním systémem</w:t>
      </w:r>
      <w:r w:rsidR="009A4D3B" w:rsidRPr="00D3717F">
        <w:rPr>
          <w:rFonts w:ascii="Calibri" w:hAnsi="Calibri" w:cs="Calibri"/>
          <w:sz w:val="24"/>
          <w:szCs w:val="24"/>
        </w:rPr>
        <w:t>;</w:t>
      </w:r>
      <w:r w:rsidR="004B4CDA" w:rsidRPr="00D3717F">
        <w:rPr>
          <w:rFonts w:ascii="Calibri" w:hAnsi="Calibri" w:cs="Calibri"/>
          <w:sz w:val="24"/>
          <w:szCs w:val="24"/>
        </w:rPr>
        <w:t xml:space="preserve"> </w:t>
      </w:r>
    </w:p>
    <w:p w14:paraId="18688644" w14:textId="7B87732B" w:rsidR="00EB3F61" w:rsidRPr="00D3717F" w:rsidRDefault="00FF07EE" w:rsidP="00497852">
      <w:pPr>
        <w:pStyle w:val="Odstavecseseznamem"/>
        <w:widowControl/>
        <w:numPr>
          <w:ilvl w:val="0"/>
          <w:numId w:val="32"/>
        </w:numPr>
        <w:spacing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>spoluprác</w:t>
      </w:r>
      <w:r w:rsidR="00F85E46" w:rsidRPr="00D3717F">
        <w:rPr>
          <w:rFonts w:ascii="Calibri" w:hAnsi="Calibri" w:cs="Calibri"/>
          <w:sz w:val="24"/>
          <w:szCs w:val="24"/>
        </w:rPr>
        <w:t>i</w:t>
      </w:r>
      <w:r w:rsidRPr="00D3717F">
        <w:rPr>
          <w:rFonts w:ascii="Calibri" w:hAnsi="Calibri" w:cs="Calibri"/>
          <w:sz w:val="24"/>
          <w:szCs w:val="24"/>
        </w:rPr>
        <w:t xml:space="preserve"> </w:t>
      </w:r>
      <w:r w:rsidR="0099697E" w:rsidRPr="00D3717F">
        <w:rPr>
          <w:rFonts w:ascii="Calibri" w:hAnsi="Calibri" w:cs="Calibri"/>
          <w:sz w:val="24"/>
          <w:szCs w:val="24"/>
        </w:rPr>
        <w:t>VS ČR</w:t>
      </w:r>
      <w:r w:rsidRPr="00D3717F">
        <w:rPr>
          <w:rFonts w:ascii="Calibri" w:hAnsi="Calibri" w:cs="Calibri"/>
          <w:sz w:val="24"/>
          <w:szCs w:val="24"/>
        </w:rPr>
        <w:t xml:space="preserve"> s jinými ins</w:t>
      </w:r>
      <w:r w:rsidR="00107DC4" w:rsidRPr="00D3717F">
        <w:rPr>
          <w:rFonts w:ascii="Calibri" w:hAnsi="Calibri" w:cs="Calibri"/>
          <w:sz w:val="24"/>
          <w:szCs w:val="24"/>
        </w:rPr>
        <w:t>titucemi, včetně mezinárodních.</w:t>
      </w:r>
    </w:p>
    <w:p w14:paraId="5D54CCB0" w14:textId="51C05E4C" w:rsidR="004A4781" w:rsidRPr="00D3717F" w:rsidRDefault="00A05F96" w:rsidP="00497852">
      <w:pPr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3717F">
        <w:rPr>
          <w:rFonts w:ascii="Calibri" w:hAnsi="Calibri" w:cs="Calibri"/>
          <w:sz w:val="24"/>
          <w:szCs w:val="24"/>
        </w:rPr>
        <w:t>NKÚ prověřil</w:t>
      </w:r>
      <w:r w:rsidR="004A4781" w:rsidRPr="00D3717F">
        <w:rPr>
          <w:rFonts w:ascii="Calibri" w:hAnsi="Calibri" w:cs="Calibri"/>
          <w:sz w:val="24"/>
          <w:szCs w:val="24"/>
        </w:rPr>
        <w:t>:</w:t>
      </w:r>
    </w:p>
    <w:p w14:paraId="18A4E3CF" w14:textId="77777777" w:rsidR="00246D13" w:rsidRPr="00D3717F" w:rsidRDefault="00246D13" w:rsidP="00497852">
      <w:pPr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ascii="Calibri" w:hAnsi="Calibri" w:cs="Calibri"/>
          <w:sz w:val="24"/>
          <w:szCs w:val="24"/>
          <w:lang w:eastAsia="en-US"/>
        </w:rPr>
      </w:pPr>
      <w:r w:rsidRPr="00D3717F">
        <w:rPr>
          <w:rFonts w:ascii="Calibri" w:hAnsi="Calibri" w:cs="Calibri"/>
          <w:sz w:val="24"/>
          <w:szCs w:val="24"/>
          <w:lang w:eastAsia="en-US"/>
        </w:rPr>
        <w:t>peněžní p</w:t>
      </w:r>
      <w:r w:rsidR="00EB65A4" w:rsidRPr="00D3717F">
        <w:rPr>
          <w:rFonts w:ascii="Calibri" w:hAnsi="Calibri" w:cs="Calibri"/>
          <w:sz w:val="24"/>
          <w:szCs w:val="24"/>
          <w:lang w:eastAsia="en-US"/>
        </w:rPr>
        <w:t>rostředk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>y</w:t>
      </w:r>
      <w:r w:rsidR="00EB65A4" w:rsidRPr="00D3717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>v hodnotě</w:t>
      </w:r>
      <w:r w:rsidR="00EB65A4" w:rsidRPr="00D3717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1E11E6" w:rsidRPr="00D3717F">
        <w:rPr>
          <w:rFonts w:ascii="Calibri" w:hAnsi="Calibri" w:cs="Calibri"/>
          <w:sz w:val="24"/>
          <w:szCs w:val="24"/>
          <w:lang w:eastAsia="en-US"/>
        </w:rPr>
        <w:t>48 474 725 Kč</w:t>
      </w:r>
      <w:r w:rsidR="003230A3" w:rsidRPr="00D3717F">
        <w:rPr>
          <w:rFonts w:ascii="Calibri" w:hAnsi="Calibri" w:cs="Calibri"/>
          <w:sz w:val="24"/>
          <w:szCs w:val="24"/>
          <w:lang w:eastAsia="en-US"/>
        </w:rPr>
        <w:t>;</w:t>
      </w:r>
    </w:p>
    <w:p w14:paraId="08C42B42" w14:textId="77777777" w:rsidR="00246D13" w:rsidRPr="00D3717F" w:rsidRDefault="00EB65A4" w:rsidP="00497852">
      <w:pPr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ascii="Calibri" w:hAnsi="Calibri" w:cs="Calibri"/>
          <w:sz w:val="24"/>
          <w:szCs w:val="24"/>
          <w:lang w:eastAsia="en-US"/>
        </w:rPr>
      </w:pPr>
      <w:r w:rsidRPr="00D3717F">
        <w:rPr>
          <w:rFonts w:ascii="Calibri" w:hAnsi="Calibri" w:cs="Calibri"/>
          <w:sz w:val="24"/>
          <w:szCs w:val="24"/>
          <w:lang w:eastAsia="en-US"/>
        </w:rPr>
        <w:t>majet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>e</w:t>
      </w:r>
      <w:r w:rsidRPr="00D3717F">
        <w:rPr>
          <w:rFonts w:ascii="Calibri" w:hAnsi="Calibri" w:cs="Calibri"/>
          <w:sz w:val="24"/>
          <w:szCs w:val="24"/>
          <w:lang w:eastAsia="en-US"/>
        </w:rPr>
        <w:t xml:space="preserve">k 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>ve výši</w:t>
      </w:r>
      <w:r w:rsidRPr="00D3717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1E11E6" w:rsidRPr="00D3717F">
        <w:rPr>
          <w:rFonts w:ascii="Calibri" w:hAnsi="Calibri" w:cs="Calibri"/>
          <w:sz w:val="24"/>
          <w:szCs w:val="24"/>
          <w:lang w:eastAsia="en-US"/>
        </w:rPr>
        <w:t>64 311 037 Kč</w:t>
      </w:r>
      <w:r w:rsidR="003230A3" w:rsidRPr="00D3717F">
        <w:rPr>
          <w:rFonts w:ascii="Calibri" w:hAnsi="Calibri" w:cs="Calibri"/>
          <w:sz w:val="24"/>
          <w:szCs w:val="24"/>
          <w:lang w:eastAsia="en-US"/>
        </w:rPr>
        <w:t>;</w:t>
      </w:r>
    </w:p>
    <w:p w14:paraId="68BC3926" w14:textId="77777777" w:rsidR="00246D13" w:rsidRPr="00D3717F" w:rsidRDefault="00246D13" w:rsidP="00497852">
      <w:pPr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ascii="Calibri" w:hAnsi="Calibri" w:cs="Calibri"/>
          <w:sz w:val="24"/>
          <w:szCs w:val="24"/>
          <w:lang w:eastAsia="en-US"/>
        </w:rPr>
      </w:pPr>
      <w:r w:rsidRPr="00D3717F">
        <w:rPr>
          <w:rFonts w:ascii="Calibri" w:hAnsi="Calibri" w:cs="Calibri"/>
          <w:sz w:val="24"/>
          <w:szCs w:val="24"/>
          <w:lang w:eastAsia="en-US"/>
        </w:rPr>
        <w:t>související veřejn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>é</w:t>
      </w:r>
      <w:r w:rsidRPr="00D3717F">
        <w:rPr>
          <w:rFonts w:ascii="Calibri" w:hAnsi="Calibri" w:cs="Calibri"/>
          <w:sz w:val="24"/>
          <w:szCs w:val="24"/>
          <w:lang w:eastAsia="en-US"/>
        </w:rPr>
        <w:t xml:space="preserve"> zakáz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>ky</w:t>
      </w:r>
      <w:r w:rsidR="00C15F1B" w:rsidRPr="00D3717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>v hodnotě</w:t>
      </w:r>
      <w:r w:rsidRPr="00D3717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1E11E6" w:rsidRPr="00D3717F">
        <w:rPr>
          <w:rFonts w:ascii="Calibri" w:hAnsi="Calibri" w:cs="Calibri"/>
          <w:sz w:val="24"/>
          <w:szCs w:val="24"/>
          <w:lang w:eastAsia="en-US"/>
        </w:rPr>
        <w:t>22 825 910</w:t>
      </w:r>
      <w:r w:rsidRPr="00D3717F">
        <w:rPr>
          <w:rFonts w:ascii="Calibri" w:hAnsi="Calibri" w:cs="Calibri"/>
          <w:sz w:val="24"/>
          <w:szCs w:val="24"/>
          <w:lang w:eastAsia="en-US"/>
        </w:rPr>
        <w:t xml:space="preserve"> Kč</w:t>
      </w:r>
      <w:r w:rsidR="00B91AB2" w:rsidRPr="00D3717F">
        <w:rPr>
          <w:rFonts w:ascii="Calibri" w:hAnsi="Calibri" w:cs="Calibri"/>
          <w:sz w:val="24"/>
          <w:szCs w:val="24"/>
          <w:lang w:eastAsia="en-US"/>
        </w:rPr>
        <w:t xml:space="preserve"> včetně DPH</w:t>
      </w:r>
      <w:r w:rsidRPr="00D3717F">
        <w:rPr>
          <w:rFonts w:ascii="Calibri" w:hAnsi="Calibri" w:cs="Calibri"/>
          <w:sz w:val="24"/>
          <w:szCs w:val="24"/>
          <w:lang w:eastAsia="en-US"/>
        </w:rPr>
        <w:t>.</w:t>
      </w:r>
    </w:p>
    <w:p w14:paraId="17E94D29" w14:textId="77777777" w:rsidR="00E51BF0" w:rsidRPr="00D3717F" w:rsidRDefault="00E51BF0" w:rsidP="00497852">
      <w:pPr>
        <w:widowControl/>
        <w:autoSpaceDE/>
        <w:autoSpaceDN/>
        <w:adjustRightInd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6C41D603" w14:textId="0D809BB8" w:rsidR="00246D13" w:rsidRPr="00A35817" w:rsidRDefault="00662765" w:rsidP="00497852">
      <w:pPr>
        <w:widowControl/>
        <w:autoSpaceDE/>
        <w:autoSpaceDN/>
        <w:adjustRightInd/>
        <w:jc w:val="both"/>
        <w:rPr>
          <w:rFonts w:ascii="Calibri" w:hAnsi="Calibri" w:cs="Calibri"/>
          <w:sz w:val="24"/>
          <w:szCs w:val="24"/>
          <w:lang w:eastAsia="en-US"/>
        </w:rPr>
      </w:pPr>
      <w:r w:rsidRPr="00D3717F">
        <w:rPr>
          <w:rFonts w:ascii="Calibri" w:hAnsi="Calibri" w:cs="Calibri"/>
          <w:sz w:val="24"/>
          <w:szCs w:val="24"/>
          <w:lang w:eastAsia="en-US"/>
        </w:rPr>
        <w:t xml:space="preserve">Kritéria byla čerpána zejména ze zákona </w:t>
      </w:r>
      <w:r w:rsidR="00645514" w:rsidRPr="00D3717F">
        <w:rPr>
          <w:rFonts w:ascii="Calibri" w:hAnsi="Calibri" w:cs="Calibri"/>
          <w:sz w:val="24"/>
          <w:szCs w:val="24"/>
          <w:lang w:eastAsia="en-US"/>
        </w:rPr>
        <w:t>č. 219/2000 Sb.</w:t>
      </w:r>
      <w:r w:rsidR="00E41B6E">
        <w:rPr>
          <w:rStyle w:val="Znakapoznpodarou"/>
          <w:rFonts w:ascii="Calibri" w:hAnsi="Calibri"/>
          <w:sz w:val="24"/>
          <w:szCs w:val="24"/>
          <w:lang w:eastAsia="en-US"/>
        </w:rPr>
        <w:footnoteReference w:id="11"/>
      </w:r>
      <w:r w:rsidR="00645514" w:rsidRPr="00D3717F">
        <w:rPr>
          <w:rFonts w:ascii="Calibri" w:hAnsi="Calibri" w:cs="Calibri"/>
          <w:sz w:val="24"/>
          <w:szCs w:val="24"/>
          <w:lang w:eastAsia="en-US"/>
        </w:rPr>
        <w:t>, zákona č. </w:t>
      </w:r>
      <w:r w:rsidR="00B17199" w:rsidRPr="00D3717F">
        <w:rPr>
          <w:rFonts w:ascii="Calibri" w:hAnsi="Calibri" w:cs="Calibri"/>
          <w:sz w:val="24"/>
          <w:szCs w:val="24"/>
          <w:lang w:eastAsia="en-US"/>
        </w:rPr>
        <w:t>218/2000 Sb.</w:t>
      </w:r>
      <w:r w:rsidR="00B17199" w:rsidRPr="00D3717F">
        <w:rPr>
          <w:rStyle w:val="Znakapoznpodarou"/>
          <w:rFonts w:ascii="Calibri" w:hAnsi="Calibri"/>
          <w:sz w:val="24"/>
          <w:szCs w:val="24"/>
          <w:lang w:eastAsia="en-US"/>
        </w:rPr>
        <w:footnoteReference w:id="12"/>
      </w:r>
      <w:r w:rsidRPr="00D3717F">
        <w:rPr>
          <w:rFonts w:ascii="Calibri" w:hAnsi="Calibri" w:cs="Calibri"/>
          <w:sz w:val="24"/>
          <w:szCs w:val="24"/>
          <w:lang w:eastAsia="en-US"/>
        </w:rPr>
        <w:t xml:space="preserve">, 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 xml:space="preserve">zákona </w:t>
      </w:r>
      <w:r w:rsidR="00645514" w:rsidRPr="00D3717F">
        <w:rPr>
          <w:rFonts w:ascii="Calibri" w:hAnsi="Calibri" w:cs="Calibri"/>
          <w:sz w:val="24"/>
          <w:szCs w:val="24"/>
          <w:lang w:eastAsia="en-US"/>
        </w:rPr>
        <w:t>č. </w:t>
      </w:r>
      <w:r w:rsidR="00B17199" w:rsidRPr="00D3717F">
        <w:rPr>
          <w:rFonts w:ascii="Calibri" w:hAnsi="Calibri" w:cs="Calibri"/>
          <w:sz w:val="24"/>
          <w:szCs w:val="24"/>
          <w:lang w:eastAsia="en-US"/>
        </w:rPr>
        <w:t>563/1991 Sb.</w:t>
      </w:r>
      <w:r w:rsidR="00B17199" w:rsidRPr="00D3717F">
        <w:rPr>
          <w:rStyle w:val="Znakapoznpodarou"/>
          <w:rFonts w:ascii="Calibri" w:hAnsi="Calibri"/>
          <w:sz w:val="24"/>
          <w:szCs w:val="24"/>
          <w:lang w:eastAsia="en-US"/>
        </w:rPr>
        <w:footnoteReference w:id="13"/>
      </w:r>
      <w:r w:rsidRPr="00D3717F">
        <w:rPr>
          <w:rFonts w:ascii="Calibri" w:hAnsi="Calibri" w:cs="Calibri"/>
          <w:sz w:val="24"/>
          <w:szCs w:val="24"/>
          <w:lang w:eastAsia="en-US"/>
        </w:rPr>
        <w:t xml:space="preserve">, 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 xml:space="preserve">zákona </w:t>
      </w:r>
      <w:r w:rsidR="00645514" w:rsidRPr="00D3717F">
        <w:rPr>
          <w:rFonts w:ascii="Calibri" w:hAnsi="Calibri" w:cs="Calibri"/>
          <w:sz w:val="24"/>
          <w:szCs w:val="24"/>
          <w:lang w:eastAsia="en-US"/>
        </w:rPr>
        <w:t>č. </w:t>
      </w:r>
      <w:r w:rsidR="00B17199" w:rsidRPr="00D3717F">
        <w:rPr>
          <w:rFonts w:ascii="Calibri" w:hAnsi="Calibri" w:cs="Calibri"/>
          <w:sz w:val="24"/>
          <w:szCs w:val="24"/>
          <w:lang w:eastAsia="en-US"/>
        </w:rPr>
        <w:t>555/1992 Sb.</w:t>
      </w:r>
      <w:r w:rsidR="008D25A4" w:rsidRPr="00D3717F">
        <w:rPr>
          <w:rFonts w:ascii="Calibri" w:hAnsi="Calibri" w:cs="Calibri"/>
          <w:sz w:val="24"/>
          <w:szCs w:val="24"/>
          <w:lang w:eastAsia="en-US"/>
        </w:rPr>
        <w:t xml:space="preserve">, </w:t>
      </w:r>
      <w:r w:rsidR="00645514" w:rsidRPr="00D3717F">
        <w:rPr>
          <w:rFonts w:ascii="Calibri" w:hAnsi="Calibri" w:cs="Calibri"/>
          <w:sz w:val="24"/>
          <w:szCs w:val="24"/>
          <w:lang w:eastAsia="en-US"/>
        </w:rPr>
        <w:t>zákona č. </w:t>
      </w:r>
      <w:r w:rsidR="003D1232" w:rsidRPr="00215499">
        <w:rPr>
          <w:rFonts w:ascii="Calibri" w:hAnsi="Calibri" w:cs="Calibri"/>
          <w:color w:val="000000" w:themeColor="text1"/>
          <w:sz w:val="24"/>
          <w:szCs w:val="24"/>
          <w:lang w:eastAsia="en-US"/>
        </w:rPr>
        <w:t>34</w:t>
      </w:r>
      <w:r w:rsidR="00E41B6E" w:rsidRPr="00215499">
        <w:rPr>
          <w:rFonts w:ascii="Calibri" w:hAnsi="Calibri" w:cs="Calibri"/>
          <w:color w:val="000000" w:themeColor="text1"/>
          <w:sz w:val="24"/>
          <w:szCs w:val="24"/>
          <w:lang w:eastAsia="en-US"/>
        </w:rPr>
        <w:t>0</w:t>
      </w:r>
      <w:r w:rsidR="003D1232" w:rsidRPr="00215499">
        <w:rPr>
          <w:rFonts w:ascii="Calibri" w:hAnsi="Calibri" w:cs="Calibri"/>
          <w:color w:val="000000" w:themeColor="text1"/>
          <w:sz w:val="24"/>
          <w:szCs w:val="24"/>
          <w:lang w:eastAsia="en-US"/>
        </w:rPr>
        <w:t>/</w:t>
      </w:r>
      <w:r w:rsidR="003D1232" w:rsidRPr="00D3717F">
        <w:rPr>
          <w:rFonts w:ascii="Calibri" w:hAnsi="Calibri" w:cs="Calibri"/>
          <w:sz w:val="24"/>
          <w:szCs w:val="24"/>
          <w:lang w:eastAsia="en-US"/>
        </w:rPr>
        <w:t>2015 Sb.</w:t>
      </w:r>
      <w:r w:rsidR="00E41B6E">
        <w:rPr>
          <w:rStyle w:val="Znakapoznpodarou"/>
          <w:rFonts w:ascii="Calibri" w:hAnsi="Calibri"/>
          <w:sz w:val="24"/>
          <w:szCs w:val="24"/>
          <w:lang w:eastAsia="en-US"/>
        </w:rPr>
        <w:footnoteReference w:id="14"/>
      </w:r>
      <w:r w:rsidR="003D1232" w:rsidRPr="00D3717F">
        <w:rPr>
          <w:rFonts w:ascii="Calibri" w:hAnsi="Calibri" w:cs="Calibri"/>
          <w:sz w:val="24"/>
          <w:szCs w:val="24"/>
          <w:lang w:eastAsia="en-US"/>
        </w:rPr>
        <w:t xml:space="preserve">, </w:t>
      </w:r>
      <w:r w:rsidR="00B7267C" w:rsidRPr="00D3717F">
        <w:rPr>
          <w:rFonts w:ascii="Calibri" w:hAnsi="Calibri" w:cs="Calibri"/>
          <w:sz w:val="24"/>
          <w:szCs w:val="24"/>
          <w:lang w:eastAsia="en-US"/>
        </w:rPr>
        <w:t xml:space="preserve">zákona </w:t>
      </w:r>
      <w:r w:rsidR="00645514" w:rsidRPr="00D3717F">
        <w:rPr>
          <w:rFonts w:ascii="Calibri" w:hAnsi="Calibri" w:cs="Calibri"/>
          <w:sz w:val="24"/>
          <w:szCs w:val="24"/>
          <w:lang w:eastAsia="en-US"/>
        </w:rPr>
        <w:t>č. </w:t>
      </w:r>
      <w:r w:rsidR="00B17199" w:rsidRPr="00D3717F">
        <w:rPr>
          <w:rFonts w:ascii="Calibri" w:hAnsi="Calibri" w:cs="Calibri"/>
          <w:sz w:val="24"/>
          <w:szCs w:val="24"/>
          <w:lang w:eastAsia="en-US"/>
        </w:rPr>
        <w:t>134/2016 Sb.</w:t>
      </w:r>
      <w:r w:rsidR="00E41B6E">
        <w:rPr>
          <w:rStyle w:val="Znakapoznpodarou"/>
          <w:rFonts w:ascii="Calibri" w:hAnsi="Calibri"/>
          <w:sz w:val="24"/>
          <w:szCs w:val="24"/>
          <w:lang w:eastAsia="en-US"/>
        </w:rPr>
        <w:footnoteReference w:id="15"/>
      </w:r>
      <w:r w:rsidR="003D1232" w:rsidRPr="00D3717F">
        <w:rPr>
          <w:rFonts w:ascii="Calibri" w:hAnsi="Calibri" w:cs="Calibri"/>
          <w:sz w:val="24"/>
          <w:szCs w:val="24"/>
          <w:lang w:eastAsia="en-US"/>
        </w:rPr>
        <w:t xml:space="preserve"> a </w:t>
      </w:r>
      <w:r w:rsidR="00602ADC" w:rsidRPr="00D3717F">
        <w:rPr>
          <w:rFonts w:ascii="Calibri" w:hAnsi="Calibri" w:cs="Calibri"/>
          <w:sz w:val="24"/>
          <w:szCs w:val="24"/>
          <w:lang w:eastAsia="en-US"/>
        </w:rPr>
        <w:t>vyhlášky</w:t>
      </w:r>
      <w:r w:rsidR="00645514" w:rsidRPr="00D3717F">
        <w:rPr>
          <w:rFonts w:ascii="Calibri" w:hAnsi="Calibri" w:cs="Calibri"/>
          <w:sz w:val="24"/>
          <w:szCs w:val="24"/>
          <w:lang w:eastAsia="en-US"/>
        </w:rPr>
        <w:t xml:space="preserve"> č. </w:t>
      </w:r>
      <w:r w:rsidR="00B17199" w:rsidRPr="00D3717F">
        <w:rPr>
          <w:rFonts w:ascii="Calibri" w:hAnsi="Calibri" w:cs="Calibri"/>
          <w:sz w:val="24"/>
          <w:szCs w:val="24"/>
          <w:lang w:eastAsia="en-US"/>
        </w:rPr>
        <w:t>345/1999 Sb.</w:t>
      </w:r>
      <w:r w:rsidR="00B17199" w:rsidRPr="00D3717F">
        <w:rPr>
          <w:rStyle w:val="Znakapoznpodarou"/>
          <w:rFonts w:ascii="Calibri" w:hAnsi="Calibri"/>
          <w:sz w:val="24"/>
          <w:szCs w:val="24"/>
          <w:lang w:eastAsia="en-US"/>
        </w:rPr>
        <w:footnoteReference w:id="16"/>
      </w:r>
      <w:r w:rsidRPr="00D3717F">
        <w:rPr>
          <w:rFonts w:ascii="Calibri" w:hAnsi="Calibri" w:cs="Calibri"/>
          <w:sz w:val="24"/>
          <w:szCs w:val="24"/>
          <w:lang w:eastAsia="en-US"/>
        </w:rPr>
        <w:t>.</w:t>
      </w:r>
      <w:r w:rsidR="008C7333" w:rsidRPr="00D3717F">
        <w:rPr>
          <w:rFonts w:ascii="Calibri" w:hAnsi="Calibri" w:cs="Calibri"/>
          <w:sz w:val="24"/>
          <w:szCs w:val="24"/>
          <w:lang w:eastAsia="en-US"/>
        </w:rPr>
        <w:t xml:space="preserve"> Kritériem byly dále</w:t>
      </w:r>
      <w:r w:rsidR="00003387" w:rsidRPr="00D3717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C7333" w:rsidRPr="00D3717F">
        <w:rPr>
          <w:rFonts w:ascii="Calibri" w:hAnsi="Calibri" w:cs="Calibri"/>
          <w:sz w:val="24"/>
          <w:szCs w:val="24"/>
          <w:lang w:eastAsia="en-US"/>
        </w:rPr>
        <w:t>potřeby</w:t>
      </w:r>
      <w:r w:rsidR="0010343A" w:rsidRPr="00D3717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C7333" w:rsidRPr="00D3717F">
        <w:rPr>
          <w:rFonts w:ascii="Calibri" w:hAnsi="Calibri" w:cs="Calibri"/>
          <w:sz w:val="24"/>
          <w:szCs w:val="24"/>
          <w:lang w:eastAsia="en-US"/>
        </w:rPr>
        <w:t>definované v Koncepci 2025, standardy Evropského výboru pro zabránění mučení a</w:t>
      </w:r>
      <w:r w:rsidR="00A64CD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C7333" w:rsidRPr="00D3717F">
        <w:rPr>
          <w:rFonts w:ascii="Calibri" w:hAnsi="Calibri" w:cs="Calibri"/>
          <w:sz w:val="24"/>
          <w:szCs w:val="24"/>
          <w:lang w:eastAsia="en-US"/>
        </w:rPr>
        <w:t>nelidské</w:t>
      </w:r>
      <w:r w:rsidR="00467F37">
        <w:rPr>
          <w:rFonts w:ascii="Calibri" w:hAnsi="Calibri" w:cs="Calibri"/>
          <w:sz w:val="24"/>
          <w:szCs w:val="24"/>
          <w:lang w:eastAsia="en-US"/>
        </w:rPr>
        <w:t>mu</w:t>
      </w:r>
      <w:r w:rsidR="008C7333" w:rsidRPr="00D3717F">
        <w:rPr>
          <w:rFonts w:ascii="Calibri" w:hAnsi="Calibri" w:cs="Calibri"/>
          <w:sz w:val="24"/>
          <w:szCs w:val="24"/>
          <w:lang w:eastAsia="en-US"/>
        </w:rPr>
        <w:t xml:space="preserve"> či ponižující</w:t>
      </w:r>
      <w:r w:rsidR="00467F37">
        <w:rPr>
          <w:rFonts w:ascii="Calibri" w:hAnsi="Calibri" w:cs="Calibri"/>
          <w:sz w:val="24"/>
          <w:szCs w:val="24"/>
          <w:lang w:eastAsia="en-US"/>
        </w:rPr>
        <w:t>mu</w:t>
      </w:r>
      <w:r w:rsidR="008C7333" w:rsidRPr="00D3717F">
        <w:rPr>
          <w:rFonts w:ascii="Calibri" w:hAnsi="Calibri" w:cs="Calibri"/>
          <w:sz w:val="24"/>
          <w:szCs w:val="24"/>
          <w:lang w:eastAsia="en-US"/>
        </w:rPr>
        <w:t xml:space="preserve"> zacházení nebo tres</w:t>
      </w:r>
      <w:r w:rsidR="008E1E9A">
        <w:rPr>
          <w:rFonts w:ascii="Calibri" w:hAnsi="Calibri" w:cs="Calibri"/>
          <w:sz w:val="24"/>
          <w:szCs w:val="24"/>
          <w:lang w:eastAsia="en-US"/>
        </w:rPr>
        <w:t xml:space="preserve">tání (CPT), nápravná opatření z </w:t>
      </w:r>
      <w:r w:rsidR="008C7333" w:rsidRPr="00D3717F">
        <w:rPr>
          <w:rFonts w:ascii="Calibri" w:hAnsi="Calibri" w:cs="Calibri"/>
          <w:sz w:val="24"/>
          <w:szCs w:val="24"/>
          <w:lang w:eastAsia="en-US"/>
        </w:rPr>
        <w:t xml:space="preserve">KA </w:t>
      </w:r>
      <w:r w:rsidR="00645514" w:rsidRPr="00D3717F">
        <w:rPr>
          <w:rFonts w:ascii="Calibri" w:hAnsi="Calibri" w:cs="Calibri"/>
          <w:sz w:val="24"/>
          <w:szCs w:val="24"/>
          <w:lang w:eastAsia="en-US"/>
        </w:rPr>
        <w:t>č.</w:t>
      </w:r>
      <w:r w:rsidR="008E1E9A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C7333" w:rsidRPr="00D3717F">
        <w:rPr>
          <w:rFonts w:ascii="Calibri" w:hAnsi="Calibri" w:cs="Calibri"/>
          <w:sz w:val="24"/>
          <w:szCs w:val="24"/>
          <w:lang w:eastAsia="en-US"/>
        </w:rPr>
        <w:t>10/17</w:t>
      </w:r>
      <w:r w:rsidR="008C7333">
        <w:rPr>
          <w:rFonts w:ascii="Calibri" w:hAnsi="Calibri" w:cs="Calibri"/>
          <w:sz w:val="24"/>
          <w:szCs w:val="24"/>
          <w:lang w:eastAsia="en-US"/>
        </w:rPr>
        <w:t xml:space="preserve"> a</w:t>
      </w:r>
      <w:r w:rsidR="00A64CD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C7333">
        <w:rPr>
          <w:rFonts w:ascii="Calibri" w:hAnsi="Calibri" w:cs="Calibri"/>
          <w:sz w:val="24"/>
          <w:szCs w:val="24"/>
          <w:lang w:eastAsia="en-US"/>
        </w:rPr>
        <w:t>nápravná opatření z výstupů kontrol MSp a GŘ.</w:t>
      </w:r>
    </w:p>
    <w:p w14:paraId="34BC332B" w14:textId="77777777" w:rsidR="00246D13" w:rsidRPr="00602ADC" w:rsidRDefault="00E8692E" w:rsidP="00497852">
      <w:pPr>
        <w:widowControl/>
        <w:spacing w:before="120"/>
        <w:ind w:left="680" w:hanging="680"/>
        <w:jc w:val="both"/>
        <w:rPr>
          <w:rFonts w:ascii="Calibri" w:hAnsi="Calibri" w:cs="Calibri"/>
          <w:i/>
          <w:sz w:val="24"/>
          <w:szCs w:val="24"/>
        </w:rPr>
      </w:pPr>
      <w:r w:rsidRPr="00602ADC">
        <w:rPr>
          <w:rFonts w:ascii="Calibri" w:hAnsi="Calibri" w:cs="Calibri"/>
          <w:b/>
          <w:i/>
          <w:sz w:val="24"/>
          <w:szCs w:val="24"/>
        </w:rPr>
        <w:t>Pozn.:</w:t>
      </w:r>
      <w:r w:rsidRPr="00602ADC">
        <w:rPr>
          <w:rFonts w:ascii="Calibri" w:hAnsi="Calibri" w:cs="Calibri"/>
          <w:i/>
          <w:sz w:val="24"/>
          <w:szCs w:val="24"/>
        </w:rPr>
        <w:t xml:space="preserve"> </w:t>
      </w:r>
      <w:r w:rsidR="00670105" w:rsidRPr="00602ADC">
        <w:rPr>
          <w:rFonts w:ascii="Calibri" w:hAnsi="Calibri" w:cs="Calibri"/>
          <w:i/>
          <w:sz w:val="24"/>
          <w:szCs w:val="24"/>
        </w:rPr>
        <w:tab/>
      </w:r>
      <w:r w:rsidR="00E3589C" w:rsidRPr="00602ADC">
        <w:rPr>
          <w:rFonts w:ascii="Calibri" w:hAnsi="Calibri" w:cs="Calibri"/>
          <w:i/>
          <w:sz w:val="24"/>
          <w:szCs w:val="24"/>
        </w:rPr>
        <w:t>Právní předpisy</w:t>
      </w:r>
      <w:r w:rsidRPr="00602ADC">
        <w:rPr>
          <w:rFonts w:ascii="Calibri" w:hAnsi="Calibri" w:cs="Calibri"/>
          <w:i/>
          <w:sz w:val="24"/>
          <w:szCs w:val="24"/>
        </w:rPr>
        <w:t xml:space="preserve"> uvedené</w:t>
      </w:r>
      <w:r w:rsidR="00E3589C" w:rsidRPr="00602ADC">
        <w:rPr>
          <w:rFonts w:ascii="Calibri" w:hAnsi="Calibri" w:cs="Calibri"/>
          <w:i/>
          <w:sz w:val="24"/>
          <w:szCs w:val="24"/>
        </w:rPr>
        <w:t xml:space="preserve"> v tomto kontrolním závěru </w:t>
      </w:r>
      <w:r w:rsidRPr="00602ADC">
        <w:rPr>
          <w:rFonts w:ascii="Calibri" w:hAnsi="Calibri" w:cs="Calibri"/>
          <w:i/>
          <w:sz w:val="24"/>
          <w:szCs w:val="24"/>
        </w:rPr>
        <w:t xml:space="preserve">jsou </w:t>
      </w:r>
      <w:r w:rsidR="00E3589C" w:rsidRPr="00602ADC">
        <w:rPr>
          <w:rFonts w:ascii="Calibri" w:hAnsi="Calibri" w:cs="Calibri"/>
          <w:i/>
          <w:sz w:val="24"/>
          <w:szCs w:val="24"/>
        </w:rPr>
        <w:t>aplikovány ve znění účinném pro kontrolované období.</w:t>
      </w:r>
    </w:p>
    <w:p w14:paraId="30D0F707" w14:textId="77777777" w:rsidR="00246D13" w:rsidRDefault="004E3409" w:rsidP="00497852">
      <w:pPr>
        <w:pStyle w:val="Nadpis1"/>
        <w:keepNext w:val="0"/>
        <w:keepLines w:val="0"/>
        <w:widowControl/>
        <w:spacing w:before="480"/>
        <w:jc w:val="center"/>
        <w:rPr>
          <w:rFonts w:asciiTheme="minorHAnsi" w:eastAsia="Times New Roman" w:hAnsiTheme="minorHAnsi" w:cstheme="minorHAnsi"/>
          <w:b/>
          <w:color w:val="auto"/>
        </w:rPr>
      </w:pPr>
      <w:r w:rsidRPr="00A35817">
        <w:rPr>
          <w:rFonts w:asciiTheme="minorHAnsi" w:hAnsiTheme="minorHAnsi" w:cstheme="minorHAnsi"/>
          <w:b/>
          <w:color w:val="auto"/>
        </w:rPr>
        <w:t xml:space="preserve">IV. </w:t>
      </w:r>
      <w:r w:rsidR="00246D13" w:rsidRPr="00A35817">
        <w:rPr>
          <w:rFonts w:asciiTheme="minorHAnsi" w:hAnsiTheme="minorHAnsi" w:cstheme="minorHAnsi"/>
          <w:b/>
          <w:color w:val="auto"/>
        </w:rPr>
        <w:t>Podrobn</w:t>
      </w:r>
      <w:r w:rsidR="00246D13" w:rsidRPr="00A35817">
        <w:rPr>
          <w:rFonts w:asciiTheme="minorHAnsi" w:eastAsia="Times New Roman" w:hAnsiTheme="minorHAnsi" w:cstheme="minorHAnsi"/>
          <w:b/>
          <w:color w:val="auto"/>
        </w:rPr>
        <w:t>é skute</w:t>
      </w:r>
      <w:r w:rsidR="00246D13" w:rsidRPr="00A35817">
        <w:rPr>
          <w:rFonts w:asciiTheme="minorHAnsi" w:hAnsiTheme="minorHAnsi" w:cstheme="minorHAnsi"/>
          <w:b/>
          <w:color w:val="auto"/>
        </w:rPr>
        <w:t>č</w:t>
      </w:r>
      <w:r w:rsidR="00246D13" w:rsidRPr="00A35817">
        <w:rPr>
          <w:rFonts w:asciiTheme="minorHAnsi" w:eastAsia="Times New Roman" w:hAnsiTheme="minorHAnsi" w:cstheme="minorHAnsi"/>
          <w:b/>
          <w:color w:val="auto"/>
        </w:rPr>
        <w:t>nosti zjišt</w:t>
      </w:r>
      <w:r w:rsidR="00246D13" w:rsidRPr="00A35817">
        <w:rPr>
          <w:rFonts w:asciiTheme="minorHAnsi" w:hAnsiTheme="minorHAnsi" w:cstheme="minorHAnsi"/>
          <w:b/>
          <w:color w:val="auto"/>
        </w:rPr>
        <w:t>ě</w:t>
      </w:r>
      <w:r w:rsidR="00246D13" w:rsidRPr="00A35817">
        <w:rPr>
          <w:rFonts w:asciiTheme="minorHAnsi" w:eastAsia="Times New Roman" w:hAnsiTheme="minorHAnsi" w:cstheme="minorHAnsi"/>
          <w:b/>
          <w:color w:val="auto"/>
        </w:rPr>
        <w:t>né kontrolou</w:t>
      </w:r>
    </w:p>
    <w:p w14:paraId="01BF341A" w14:textId="392156EF" w:rsidR="009F6349" w:rsidRPr="003D5722" w:rsidRDefault="00BE6784" w:rsidP="00497852">
      <w:pPr>
        <w:widowControl/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="Calibri"/>
          <w:b/>
          <w:color w:val="000000"/>
          <w:sz w:val="24"/>
          <w:szCs w:val="24"/>
        </w:rPr>
        <w:t xml:space="preserve">1. </w:t>
      </w:r>
      <w:r w:rsidR="009F6349">
        <w:rPr>
          <w:rFonts w:asciiTheme="minorHAnsi" w:hAnsiTheme="minorHAnsi" w:cs="Calibri"/>
          <w:b/>
          <w:color w:val="000000"/>
          <w:sz w:val="24"/>
          <w:szCs w:val="24"/>
        </w:rPr>
        <w:t>Hospodaření</w:t>
      </w:r>
      <w:r w:rsidR="009F6349" w:rsidRPr="003D5722">
        <w:rPr>
          <w:rFonts w:asciiTheme="minorHAnsi" w:hAnsiTheme="minorHAnsi" w:cs="Calibri"/>
          <w:b/>
          <w:color w:val="000000"/>
          <w:sz w:val="24"/>
          <w:szCs w:val="24"/>
        </w:rPr>
        <w:t xml:space="preserve"> s majetk</w:t>
      </w:r>
      <w:r w:rsidR="009F6349">
        <w:rPr>
          <w:rFonts w:asciiTheme="minorHAnsi" w:hAnsiTheme="minorHAnsi" w:cs="Calibri"/>
          <w:b/>
          <w:color w:val="000000"/>
          <w:sz w:val="24"/>
          <w:szCs w:val="24"/>
        </w:rPr>
        <w:t>em a peněžními prostředky státu</w:t>
      </w:r>
    </w:p>
    <w:p w14:paraId="1F3E8C6F" w14:textId="77777777" w:rsidR="009F6349" w:rsidRDefault="009F6349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9E40A3" w14:textId="5FCAD03E" w:rsidR="009F6349" w:rsidRDefault="00F349CF" w:rsidP="00497852">
      <w:pPr>
        <w:widowControl/>
        <w:jc w:val="both"/>
        <w:rPr>
          <w:rFonts w:eastAsia="Calibri" w:cstheme="minorHAnsi"/>
        </w:rPr>
      </w:pPr>
      <w:r w:rsidRPr="00D3717F">
        <w:rPr>
          <w:rFonts w:asciiTheme="minorHAnsi" w:eastAsia="Times New Roman" w:hAnsiTheme="minorHAnsi" w:cstheme="minorHAnsi"/>
          <w:color w:val="000000"/>
          <w:sz w:val="24"/>
          <w:szCs w:val="24"/>
        </w:rPr>
        <w:t>Následující tabulka uvádí p</w:t>
      </w:r>
      <w:r w:rsidR="009F6349" w:rsidRPr="00D371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řehled výdajů VS ČR v jednotlivých letech </w:t>
      </w:r>
      <w:r w:rsidR="00C87E50" w:rsidRPr="00D3717F">
        <w:rPr>
          <w:rFonts w:asciiTheme="minorHAnsi" w:eastAsia="Times New Roman" w:hAnsiTheme="minorHAnsi" w:cstheme="minorHAnsi"/>
          <w:color w:val="000000"/>
          <w:sz w:val="24"/>
          <w:szCs w:val="24"/>
        </w:rPr>
        <w:t>2016</w:t>
      </w:r>
      <w:r w:rsidR="00776CE4" w:rsidRPr="00D3717F">
        <w:rPr>
          <w:rFonts w:asciiTheme="minorHAnsi" w:hAnsiTheme="minorHAnsi" w:cstheme="minorHAnsi"/>
          <w:sz w:val="24"/>
          <w:szCs w:val="24"/>
        </w:rPr>
        <w:t>−</w:t>
      </w:r>
      <w:r w:rsidR="00C87E50" w:rsidRPr="00D3717F">
        <w:rPr>
          <w:rFonts w:asciiTheme="minorHAnsi" w:eastAsia="Times New Roman" w:hAnsiTheme="minorHAnsi" w:cstheme="minorHAnsi"/>
          <w:color w:val="000000"/>
          <w:sz w:val="24"/>
          <w:szCs w:val="24"/>
        </w:rPr>
        <w:t>201</w:t>
      </w:r>
      <w:r w:rsidRPr="00D3717F">
        <w:rPr>
          <w:rFonts w:asciiTheme="minorHAnsi" w:eastAsia="Times New Roman" w:hAnsiTheme="minorHAnsi" w:cstheme="minorHAnsi"/>
          <w:color w:val="000000"/>
          <w:sz w:val="24"/>
          <w:szCs w:val="24"/>
        </w:rPr>
        <w:t>8</w:t>
      </w:r>
      <w:r w:rsidR="00C87E50" w:rsidRPr="00D371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</w:t>
      </w:r>
      <w:r w:rsidR="00C87E50" w:rsidRPr="00D3717F">
        <w:rPr>
          <w:rFonts w:asciiTheme="minorHAnsi" w:hAnsiTheme="minorHAnsi" w:cstheme="minorHAnsi"/>
          <w:sz w:val="24"/>
          <w:szCs w:val="24"/>
        </w:rPr>
        <w:t xml:space="preserve">účetní </w:t>
      </w:r>
      <w:r w:rsidR="00C87E50" w:rsidRPr="00D3717F">
        <w:rPr>
          <w:rFonts w:asciiTheme="minorHAnsi" w:eastAsia="Times New Roman" w:hAnsiTheme="minorHAnsi" w:cstheme="minorHAnsi"/>
          <w:color w:val="000000"/>
          <w:sz w:val="24"/>
          <w:szCs w:val="24"/>
        </w:rPr>
        <w:t>hodnotu majetku, se kterým byla VS ČR příslušná hospodařit</w:t>
      </w:r>
      <w:r w:rsidR="009F6349" w:rsidRPr="00D3717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B22948A" w14:textId="4FCE9D2F" w:rsidR="009F6349" w:rsidRPr="00287AB3" w:rsidRDefault="009F6349" w:rsidP="00497852">
      <w:pPr>
        <w:pStyle w:val="Default"/>
        <w:tabs>
          <w:tab w:val="right" w:pos="9072"/>
        </w:tabs>
        <w:spacing w:before="120" w:after="40"/>
        <w:jc w:val="both"/>
        <w:rPr>
          <w:rFonts w:asciiTheme="minorHAnsi" w:hAnsiTheme="minorHAnsi" w:cstheme="minorHAnsi"/>
          <w:b/>
        </w:rPr>
      </w:pPr>
      <w:r w:rsidRPr="007827F9">
        <w:rPr>
          <w:rFonts w:eastAsia="Calibri" w:cstheme="minorHAnsi"/>
          <w:b/>
        </w:rPr>
        <w:t xml:space="preserve">Tabulka č. </w:t>
      </w:r>
      <w:r w:rsidR="00D96291">
        <w:rPr>
          <w:rFonts w:eastAsia="Calibri" w:cstheme="minorHAnsi"/>
          <w:b/>
        </w:rPr>
        <w:t>2</w:t>
      </w:r>
      <w:r w:rsidRPr="007827F9">
        <w:rPr>
          <w:rFonts w:eastAsia="Calibri" w:cstheme="minorHAnsi"/>
          <w:b/>
        </w:rPr>
        <w:t xml:space="preserve"> – </w:t>
      </w:r>
      <w:r w:rsidRPr="007827F9">
        <w:rPr>
          <w:rFonts w:asciiTheme="minorHAnsi" w:hAnsiTheme="minorHAnsi" w:cstheme="minorHAnsi"/>
          <w:b/>
        </w:rPr>
        <w:t>Výdaje</w:t>
      </w:r>
      <w:r w:rsidR="0090598E">
        <w:rPr>
          <w:rFonts w:asciiTheme="minorHAnsi" w:hAnsiTheme="minorHAnsi" w:cstheme="minorHAnsi"/>
          <w:b/>
        </w:rPr>
        <w:t xml:space="preserve"> a majetek</w:t>
      </w:r>
      <w:r w:rsidRPr="007827F9">
        <w:rPr>
          <w:rFonts w:asciiTheme="minorHAnsi" w:hAnsiTheme="minorHAnsi" w:cstheme="minorHAnsi"/>
          <w:b/>
        </w:rPr>
        <w:t xml:space="preserve"> VS ČR v letech 2016</w:t>
      </w:r>
      <w:r w:rsidRPr="007827F9">
        <w:rPr>
          <w:rFonts w:eastAsia="Calibri" w:cstheme="minorHAnsi"/>
          <w:b/>
        </w:rPr>
        <w:t>–</w:t>
      </w:r>
      <w:r w:rsidRPr="007827F9">
        <w:rPr>
          <w:rFonts w:asciiTheme="minorHAnsi" w:hAnsiTheme="minorHAnsi" w:cstheme="minorHAnsi"/>
          <w:b/>
        </w:rPr>
        <w:t>2018</w:t>
      </w:r>
      <w:r w:rsidRPr="00631CC6">
        <w:rPr>
          <w:rFonts w:asciiTheme="minorHAnsi" w:hAnsiTheme="minorHAnsi" w:cstheme="minorHAnsi"/>
        </w:rPr>
        <w:tab/>
      </w:r>
      <w:r w:rsidRPr="00287AB3">
        <w:rPr>
          <w:rFonts w:asciiTheme="minorHAnsi" w:hAnsiTheme="minorHAnsi" w:cstheme="minorHAnsi"/>
          <w:b/>
        </w:rPr>
        <w:t>(v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5"/>
        <w:gridCol w:w="1551"/>
        <w:gridCol w:w="1553"/>
        <w:gridCol w:w="1553"/>
      </w:tblGrid>
      <w:tr w:rsidR="009F6349" w:rsidRPr="0083270D" w14:paraId="6DCB5A6B" w14:textId="77777777" w:rsidTr="00EB24BC">
        <w:trPr>
          <w:trHeight w:val="30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8A95E7A" w14:textId="5A0D876B" w:rsidR="009F6349" w:rsidRPr="0083270D" w:rsidRDefault="009F6349" w:rsidP="00497852">
            <w:pPr>
              <w:pStyle w:val="Default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49A6157" w14:textId="77777777" w:rsidR="009F6349" w:rsidRPr="0083270D" w:rsidRDefault="009F6349" w:rsidP="00497852">
            <w:pPr>
              <w:pStyle w:val="Defaul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21D6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194F331" w14:textId="77777777" w:rsidR="009F6349" w:rsidRPr="0083270D" w:rsidRDefault="009F6349" w:rsidP="00497852">
            <w:pPr>
              <w:pStyle w:val="Defaul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21D6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A425533" w14:textId="77777777" w:rsidR="009F6349" w:rsidRPr="0083270D" w:rsidRDefault="009F6349" w:rsidP="00497852">
            <w:pPr>
              <w:pStyle w:val="Defaul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21D6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2018</w:t>
            </w:r>
          </w:p>
        </w:tc>
      </w:tr>
      <w:tr w:rsidR="00EB24BC" w:rsidRPr="0083270D" w14:paraId="5BA00EF0" w14:textId="77777777" w:rsidTr="00287AB3">
        <w:trPr>
          <w:trHeight w:val="2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BED2" w14:textId="71610449" w:rsidR="00EB24BC" w:rsidRPr="00EB24BC" w:rsidRDefault="00EB24BC" w:rsidP="00497852">
            <w:pPr>
              <w:widowControl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</w:rPr>
            </w:pPr>
            <w:r w:rsidRPr="00EB24BC">
              <w:rPr>
                <w:rFonts w:asciiTheme="minorHAnsi" w:eastAsia="Times New Roman" w:hAnsiTheme="minorHAnsi" w:cstheme="minorHAnsi"/>
                <w:color w:val="000000"/>
              </w:rPr>
              <w:t xml:space="preserve">Platy, pojistné, FKSP, důchody, ostatní sociální dávky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532F" w14:textId="6BD985C8" w:rsidR="00EB24BC" w:rsidRPr="00EB24BC" w:rsidRDefault="00EB24BC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B24BC">
              <w:rPr>
                <w:rFonts w:ascii="Calibri" w:hAnsi="Calibri" w:cs="Calibri"/>
                <w:color w:val="000000"/>
              </w:rPr>
              <w:t>6 829 142 880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0431" w14:textId="56BD3AE6" w:rsidR="00EB24BC" w:rsidRPr="00EB24BC" w:rsidRDefault="00EB24BC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</w:rPr>
            </w:pPr>
            <w:r w:rsidRPr="00EB24BC">
              <w:rPr>
                <w:rFonts w:ascii="Calibri" w:hAnsi="Calibri" w:cs="Calibri"/>
                <w:color w:val="000000"/>
              </w:rPr>
              <w:t>7 476 664 508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CF00" w14:textId="152FD172" w:rsidR="00EB24BC" w:rsidRPr="00EB24BC" w:rsidRDefault="00EB24BC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B24BC">
              <w:rPr>
                <w:rFonts w:ascii="Calibri" w:hAnsi="Calibri" w:cs="Calibri"/>
                <w:color w:val="000000"/>
              </w:rPr>
              <w:t>8 296 348 857</w:t>
            </w:r>
          </w:p>
        </w:tc>
      </w:tr>
      <w:tr w:rsidR="009F6349" w:rsidRPr="0083270D" w14:paraId="7B0AB064" w14:textId="77777777" w:rsidTr="00287AB3">
        <w:trPr>
          <w:trHeight w:val="2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FD92" w14:textId="77777777" w:rsidR="009F6349" w:rsidRPr="00EB24BC" w:rsidRDefault="009F6349" w:rsidP="00497852">
            <w:pPr>
              <w:widowControl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</w:rPr>
            </w:pPr>
            <w:r w:rsidRPr="00EB24BC">
              <w:rPr>
                <w:rFonts w:asciiTheme="minorHAnsi" w:eastAsia="Times New Roman" w:hAnsiTheme="minorHAnsi" w:cstheme="minorHAnsi"/>
                <w:color w:val="000000"/>
              </w:rPr>
              <w:t>Ostatní věcné výdaje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7DF7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B24BC">
              <w:rPr>
                <w:rFonts w:asciiTheme="minorHAnsi" w:hAnsiTheme="minorHAnsi" w:cstheme="minorHAnsi"/>
              </w:rPr>
              <w:t>1 775 340 877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41D9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</w:rPr>
            </w:pPr>
            <w:r w:rsidRPr="00EB24BC">
              <w:rPr>
                <w:rFonts w:asciiTheme="minorHAnsi" w:hAnsiTheme="minorHAnsi" w:cstheme="minorHAnsi"/>
              </w:rPr>
              <w:t>2 027 502 075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08DB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</w:rPr>
            </w:pPr>
            <w:r w:rsidRPr="00EB24BC">
              <w:rPr>
                <w:rFonts w:asciiTheme="minorHAnsi" w:hAnsiTheme="minorHAnsi" w:cstheme="minorHAnsi"/>
              </w:rPr>
              <w:t>2 070 694 698</w:t>
            </w:r>
          </w:p>
        </w:tc>
      </w:tr>
      <w:tr w:rsidR="009F6349" w:rsidRPr="0083270D" w14:paraId="159CC76F" w14:textId="77777777" w:rsidTr="00287AB3">
        <w:trPr>
          <w:trHeight w:val="2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EFAD" w14:textId="77777777" w:rsidR="009F6349" w:rsidRPr="00EB24BC" w:rsidRDefault="009F6349" w:rsidP="00497852">
            <w:pPr>
              <w:widowControl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/>
              </w:rPr>
            </w:pPr>
            <w:r w:rsidRPr="00EB24BC">
              <w:rPr>
                <w:rFonts w:asciiTheme="minorHAnsi" w:eastAsia="Times New Roman" w:hAnsiTheme="minorHAnsi" w:cstheme="minorHAnsi"/>
                <w:color w:val="000000"/>
              </w:rPr>
              <w:t>Kapitálové výdaje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A9B8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B24BC">
              <w:rPr>
                <w:rFonts w:asciiTheme="minorHAnsi" w:hAnsiTheme="minorHAnsi" w:cstheme="minorHAnsi"/>
              </w:rPr>
              <w:t>203 202 927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AEF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</w:rPr>
            </w:pPr>
            <w:r w:rsidRPr="00EB24BC">
              <w:rPr>
                <w:rFonts w:asciiTheme="minorHAnsi" w:hAnsiTheme="minorHAnsi" w:cstheme="minorHAnsi"/>
              </w:rPr>
              <w:t>294 512 587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ACA9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</w:rPr>
            </w:pPr>
            <w:r w:rsidRPr="00EB24BC">
              <w:rPr>
                <w:rFonts w:asciiTheme="minorHAnsi" w:hAnsiTheme="minorHAnsi" w:cstheme="minorHAnsi"/>
              </w:rPr>
              <w:t>432 285 478</w:t>
            </w:r>
          </w:p>
        </w:tc>
      </w:tr>
      <w:tr w:rsidR="009F6349" w:rsidRPr="0083270D" w14:paraId="34B49375" w14:textId="77777777" w:rsidTr="00287AB3">
        <w:trPr>
          <w:trHeight w:val="28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080" w14:textId="77777777" w:rsidR="009F6349" w:rsidRPr="00EB24BC" w:rsidRDefault="009F6349" w:rsidP="00497852">
            <w:pPr>
              <w:widowControl/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B24B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Výdaje celkem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2AA9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B24BC">
              <w:rPr>
                <w:rFonts w:asciiTheme="minorHAnsi" w:hAnsiTheme="minorHAnsi" w:cstheme="minorHAnsi"/>
              </w:rPr>
              <w:t>8 807 686 684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7F46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B24BC">
              <w:rPr>
                <w:rFonts w:asciiTheme="minorHAnsi" w:hAnsiTheme="minorHAnsi" w:cstheme="minorHAnsi"/>
              </w:rPr>
              <w:t>9 798 679 170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46DF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B24BC">
              <w:rPr>
                <w:rFonts w:asciiTheme="minorHAnsi" w:hAnsiTheme="minorHAnsi" w:cstheme="minorHAnsi"/>
              </w:rPr>
              <w:t>10 799 329 032</w:t>
            </w:r>
          </w:p>
        </w:tc>
      </w:tr>
      <w:tr w:rsidR="009F6349" w:rsidRPr="0083270D" w14:paraId="403CB21A" w14:textId="77777777" w:rsidTr="00287AB3">
        <w:trPr>
          <w:trHeight w:val="28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C88F" w14:textId="77777777" w:rsidR="009F6349" w:rsidRPr="00EB24BC" w:rsidRDefault="009F6349" w:rsidP="00497852">
            <w:pPr>
              <w:widowControl/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B24B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Průměrný denní výdaj na jednoho vězně 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D7FF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hAnsiTheme="minorHAnsi" w:cstheme="minorHAnsi"/>
              </w:rPr>
            </w:pPr>
            <w:r w:rsidRPr="00EB24BC">
              <w:rPr>
                <w:rFonts w:asciiTheme="minorHAnsi" w:hAnsiTheme="minorHAnsi" w:cstheme="minorHAnsi"/>
              </w:rPr>
              <w:t>1 096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431D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hAnsiTheme="minorHAnsi" w:cstheme="minorHAnsi"/>
              </w:rPr>
            </w:pPr>
            <w:r w:rsidRPr="00EB24BC">
              <w:rPr>
                <w:rFonts w:asciiTheme="minorHAnsi" w:hAnsiTheme="minorHAnsi" w:cstheme="minorHAnsi"/>
              </w:rPr>
              <w:t>1 187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A039" w14:textId="77777777" w:rsidR="009F6349" w:rsidRPr="00EB24BC" w:rsidRDefault="009F6349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hAnsiTheme="minorHAnsi" w:cstheme="minorHAnsi"/>
              </w:rPr>
            </w:pPr>
            <w:r w:rsidRPr="00EB24BC">
              <w:rPr>
                <w:rFonts w:asciiTheme="minorHAnsi" w:hAnsiTheme="minorHAnsi" w:cstheme="minorHAnsi"/>
              </w:rPr>
              <w:t>1 348</w:t>
            </w:r>
          </w:p>
        </w:tc>
      </w:tr>
      <w:tr w:rsidR="0090598E" w:rsidRPr="0083270D" w14:paraId="79FB797D" w14:textId="77777777" w:rsidTr="00287AB3">
        <w:trPr>
          <w:trHeight w:val="28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70BD" w14:textId="55B5F8FF" w:rsidR="0090598E" w:rsidRPr="00EB24BC" w:rsidRDefault="0090598E" w:rsidP="00497852">
            <w:pPr>
              <w:widowControl/>
              <w:autoSpaceDE/>
              <w:autoSpaceDN/>
              <w:adjustRightInd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B24B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Hodnota majetku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F741" w14:textId="17D3A8F7" w:rsidR="0090598E" w:rsidRPr="00EB24BC" w:rsidRDefault="0090598E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hAnsiTheme="minorHAnsi" w:cstheme="minorHAnsi"/>
              </w:rPr>
            </w:pPr>
            <w:r w:rsidRPr="00EB24BC">
              <w:rPr>
                <w:rFonts w:ascii="Calibri" w:hAnsi="Calibri" w:cs="Calibri"/>
                <w:color w:val="000000"/>
              </w:rPr>
              <w:t>7 257 687 588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1E01" w14:textId="21572CAA" w:rsidR="0090598E" w:rsidRPr="00EB24BC" w:rsidRDefault="0090598E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hAnsiTheme="minorHAnsi" w:cstheme="minorHAnsi"/>
              </w:rPr>
            </w:pPr>
            <w:r w:rsidRPr="00EB24BC">
              <w:rPr>
                <w:rFonts w:ascii="Calibri" w:hAnsi="Calibri" w:cs="Calibri"/>
                <w:color w:val="000000"/>
              </w:rPr>
              <w:t>7 320 276 036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D857" w14:textId="4F4BC312" w:rsidR="0090598E" w:rsidRPr="00EB24BC" w:rsidRDefault="0090598E" w:rsidP="00497852">
            <w:pPr>
              <w:widowControl/>
              <w:autoSpaceDE/>
              <w:autoSpaceDN/>
              <w:adjustRightInd/>
              <w:ind w:right="115"/>
              <w:jc w:val="right"/>
              <w:rPr>
                <w:rFonts w:asciiTheme="minorHAnsi" w:hAnsiTheme="minorHAnsi" w:cstheme="minorHAnsi"/>
              </w:rPr>
            </w:pPr>
            <w:r w:rsidRPr="00EB24BC">
              <w:rPr>
                <w:rFonts w:ascii="Calibri" w:hAnsi="Calibri" w:cs="Calibri"/>
                <w:color w:val="000000"/>
              </w:rPr>
              <w:t>7 510 786 877</w:t>
            </w:r>
          </w:p>
        </w:tc>
      </w:tr>
    </w:tbl>
    <w:p w14:paraId="738971F9" w14:textId="77777777" w:rsidR="009F6349" w:rsidRDefault="009F6349" w:rsidP="00497852">
      <w:pPr>
        <w:widowControl/>
        <w:spacing w:after="120"/>
        <w:jc w:val="both"/>
        <w:rPr>
          <w:rFonts w:asciiTheme="minorHAnsi" w:hAnsiTheme="minorHAnsi" w:cstheme="minorHAnsi"/>
        </w:rPr>
      </w:pPr>
      <w:r w:rsidRPr="005F4950">
        <w:rPr>
          <w:rFonts w:asciiTheme="minorHAnsi" w:hAnsiTheme="minorHAnsi" w:cstheme="minorHAnsi"/>
          <w:b/>
        </w:rPr>
        <w:t xml:space="preserve">Zdroj: </w:t>
      </w:r>
      <w:r>
        <w:rPr>
          <w:rFonts w:asciiTheme="minorHAnsi" w:hAnsiTheme="minorHAnsi" w:cstheme="minorHAnsi"/>
        </w:rPr>
        <w:t>VS ČR.</w:t>
      </w:r>
    </w:p>
    <w:p w14:paraId="75CD419A" w14:textId="6C167F3C" w:rsidR="00764921" w:rsidRPr="00D63D74" w:rsidRDefault="00FE74D6" w:rsidP="00497852">
      <w:pPr>
        <w:widowControl/>
        <w:spacing w:before="1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A07581">
        <w:rPr>
          <w:rFonts w:asciiTheme="minorHAnsi" w:hAnsiTheme="minorHAnsi" w:cstheme="minorHAnsi"/>
          <w:sz w:val="24"/>
          <w:szCs w:val="24"/>
        </w:rPr>
        <w:t>Prostředky na platy a související výdaje</w:t>
      </w:r>
      <w:r w:rsidR="0010343A">
        <w:rPr>
          <w:rFonts w:asciiTheme="minorHAnsi" w:hAnsiTheme="minorHAnsi" w:cstheme="minorHAnsi"/>
          <w:sz w:val="24"/>
          <w:szCs w:val="24"/>
        </w:rPr>
        <w:t xml:space="preserve"> </w:t>
      </w:r>
      <w:r w:rsidRPr="00A07581">
        <w:rPr>
          <w:rFonts w:asciiTheme="minorHAnsi" w:hAnsiTheme="minorHAnsi" w:cstheme="minorHAnsi"/>
          <w:sz w:val="24"/>
          <w:szCs w:val="24"/>
        </w:rPr>
        <w:t>tvoří n</w:t>
      </w:r>
      <w:r w:rsidR="008354CC" w:rsidRPr="00A07581">
        <w:rPr>
          <w:rFonts w:asciiTheme="minorHAnsi" w:hAnsiTheme="minorHAnsi" w:cstheme="minorHAnsi"/>
          <w:sz w:val="24"/>
          <w:szCs w:val="24"/>
        </w:rPr>
        <w:t>ejvětší výdajov</w:t>
      </w:r>
      <w:r w:rsidRPr="00A07581">
        <w:rPr>
          <w:rFonts w:asciiTheme="minorHAnsi" w:hAnsiTheme="minorHAnsi" w:cstheme="minorHAnsi"/>
          <w:sz w:val="24"/>
          <w:szCs w:val="24"/>
        </w:rPr>
        <w:t>é</w:t>
      </w:r>
      <w:r w:rsidR="008354CC" w:rsidRPr="00A07581">
        <w:rPr>
          <w:rFonts w:asciiTheme="minorHAnsi" w:hAnsiTheme="minorHAnsi" w:cstheme="minorHAnsi"/>
          <w:sz w:val="24"/>
          <w:szCs w:val="24"/>
        </w:rPr>
        <w:t xml:space="preserve"> položk</w:t>
      </w:r>
      <w:r w:rsidRPr="00A07581">
        <w:rPr>
          <w:rFonts w:asciiTheme="minorHAnsi" w:hAnsiTheme="minorHAnsi" w:cstheme="minorHAnsi"/>
          <w:sz w:val="24"/>
          <w:szCs w:val="24"/>
        </w:rPr>
        <w:t>y</w:t>
      </w:r>
      <w:r w:rsidR="00645514">
        <w:rPr>
          <w:rFonts w:asciiTheme="minorHAnsi" w:hAnsiTheme="minorHAnsi" w:cstheme="minorHAnsi"/>
          <w:sz w:val="24"/>
          <w:szCs w:val="24"/>
        </w:rPr>
        <w:t xml:space="preserve"> VS </w:t>
      </w:r>
      <w:r w:rsidR="008354CC" w:rsidRPr="00A07581">
        <w:rPr>
          <w:rFonts w:asciiTheme="minorHAnsi" w:hAnsiTheme="minorHAnsi" w:cstheme="minorHAnsi"/>
          <w:sz w:val="24"/>
          <w:szCs w:val="24"/>
        </w:rPr>
        <w:t xml:space="preserve">ČR </w:t>
      </w:r>
      <w:r w:rsidRPr="00A07581">
        <w:rPr>
          <w:rFonts w:asciiTheme="minorHAnsi" w:hAnsiTheme="minorHAnsi" w:cstheme="minorHAnsi"/>
          <w:sz w:val="24"/>
          <w:szCs w:val="24"/>
        </w:rPr>
        <w:t>a</w:t>
      </w:r>
      <w:r w:rsidR="0010343A">
        <w:rPr>
          <w:rFonts w:asciiTheme="minorHAnsi" w:hAnsiTheme="minorHAnsi" w:cstheme="minorHAnsi"/>
          <w:sz w:val="24"/>
          <w:szCs w:val="24"/>
        </w:rPr>
        <w:t xml:space="preserve"> v </w:t>
      </w:r>
      <w:r w:rsidR="008354CC" w:rsidRPr="00A07581">
        <w:rPr>
          <w:rFonts w:asciiTheme="minorHAnsi" w:hAnsiTheme="minorHAnsi" w:cstheme="minorHAnsi"/>
          <w:sz w:val="24"/>
          <w:szCs w:val="24"/>
        </w:rPr>
        <w:t>letech 2016−2018 došlo k</w:t>
      </w:r>
      <w:r w:rsidR="00B65949" w:rsidRPr="00A07581">
        <w:rPr>
          <w:rFonts w:asciiTheme="minorHAnsi" w:hAnsiTheme="minorHAnsi" w:cstheme="minorHAnsi"/>
          <w:sz w:val="24"/>
          <w:szCs w:val="24"/>
        </w:rPr>
        <w:t> jejich</w:t>
      </w:r>
      <w:r w:rsidR="00003387">
        <w:rPr>
          <w:rFonts w:asciiTheme="minorHAnsi" w:hAnsiTheme="minorHAnsi" w:cstheme="minorHAnsi"/>
          <w:sz w:val="24"/>
          <w:szCs w:val="24"/>
        </w:rPr>
        <w:t xml:space="preserve"> </w:t>
      </w:r>
      <w:r w:rsidR="00B65949" w:rsidRPr="00A07581">
        <w:rPr>
          <w:rFonts w:asciiTheme="minorHAnsi" w:hAnsiTheme="minorHAnsi" w:cstheme="minorHAnsi"/>
          <w:sz w:val="24"/>
          <w:szCs w:val="24"/>
        </w:rPr>
        <w:t>výraznému navýšení</w:t>
      </w:r>
      <w:r w:rsidR="00FE7799" w:rsidRPr="00A07581">
        <w:rPr>
          <w:rFonts w:asciiTheme="minorHAnsi" w:hAnsiTheme="minorHAnsi" w:cstheme="minorHAnsi"/>
          <w:sz w:val="24"/>
          <w:szCs w:val="24"/>
        </w:rPr>
        <w:t xml:space="preserve">. Důvodem byl </w:t>
      </w:r>
      <w:r w:rsidR="00AA2656">
        <w:rPr>
          <w:rFonts w:asciiTheme="minorHAnsi" w:hAnsiTheme="minorHAnsi" w:cstheme="minorHAnsi"/>
          <w:sz w:val="24"/>
          <w:szCs w:val="24"/>
        </w:rPr>
        <w:t>nárůst platových tarifů. V roce</w:t>
      </w:r>
      <w:r w:rsidR="00A64CD9">
        <w:rPr>
          <w:rFonts w:asciiTheme="minorHAnsi" w:hAnsiTheme="minorHAnsi" w:cstheme="minorHAnsi"/>
          <w:sz w:val="24"/>
          <w:szCs w:val="24"/>
        </w:rPr>
        <w:t xml:space="preserve"> </w:t>
      </w:r>
      <w:r w:rsidR="00645514">
        <w:rPr>
          <w:rFonts w:asciiTheme="minorHAnsi" w:hAnsiTheme="minorHAnsi" w:cstheme="minorHAnsi"/>
          <w:sz w:val="24"/>
          <w:szCs w:val="24"/>
        </w:rPr>
        <w:t>2018 vykázala VS </w:t>
      </w:r>
      <w:r w:rsidR="00FE7799" w:rsidRPr="00A07581">
        <w:rPr>
          <w:rFonts w:asciiTheme="minorHAnsi" w:hAnsiTheme="minorHAnsi" w:cstheme="minorHAnsi"/>
          <w:sz w:val="24"/>
          <w:szCs w:val="24"/>
        </w:rPr>
        <w:t>ČR průměrný hrubý měsíční plat 36 454 Kč. Dalším důvodem byl nár</w:t>
      </w:r>
      <w:r w:rsidR="008354CC" w:rsidRPr="00A07581">
        <w:rPr>
          <w:rFonts w:asciiTheme="minorHAnsi" w:hAnsiTheme="minorHAnsi" w:cstheme="minorHAnsi"/>
          <w:sz w:val="24"/>
          <w:szCs w:val="24"/>
        </w:rPr>
        <w:t>ůst počtu systemizovaných míst</w:t>
      </w:r>
      <w:r w:rsidR="00FE7799" w:rsidRPr="00A07581">
        <w:rPr>
          <w:rFonts w:asciiTheme="minorHAnsi" w:hAnsiTheme="minorHAnsi" w:cstheme="minorHAnsi"/>
          <w:sz w:val="24"/>
          <w:szCs w:val="24"/>
        </w:rPr>
        <w:t xml:space="preserve">, a to zejména v souvislosti se zprovozněním nových objektů pro ubytování vězňů. </w:t>
      </w:r>
      <w:r w:rsidR="008354CC" w:rsidRPr="00A07581">
        <w:rPr>
          <w:rFonts w:asciiTheme="minorHAnsi" w:hAnsiTheme="minorHAnsi" w:cstheme="minorHAnsi"/>
          <w:sz w:val="24"/>
          <w:szCs w:val="24"/>
        </w:rPr>
        <w:t>V</w:t>
      </w:r>
      <w:r w:rsidR="00971AF6" w:rsidRPr="00A07581">
        <w:rPr>
          <w:rFonts w:asciiTheme="minorHAnsi" w:hAnsiTheme="minorHAnsi" w:cstheme="minorHAnsi"/>
          <w:sz w:val="24"/>
          <w:szCs w:val="24"/>
        </w:rPr>
        <w:t> </w:t>
      </w:r>
      <w:r w:rsidR="00645514">
        <w:rPr>
          <w:rFonts w:asciiTheme="minorHAnsi" w:hAnsiTheme="minorHAnsi" w:cstheme="minorHAnsi"/>
          <w:sz w:val="24"/>
          <w:szCs w:val="24"/>
        </w:rPr>
        <w:t>letech 2017 a 2018 VS </w:t>
      </w:r>
      <w:r w:rsidR="008354CC" w:rsidRPr="00A07581">
        <w:rPr>
          <w:rFonts w:asciiTheme="minorHAnsi" w:hAnsiTheme="minorHAnsi" w:cstheme="minorHAnsi"/>
          <w:sz w:val="24"/>
          <w:szCs w:val="24"/>
        </w:rPr>
        <w:t>ČR navýšila počty</w:t>
      </w:r>
      <w:r w:rsidR="00A07581">
        <w:rPr>
          <w:rFonts w:asciiTheme="minorHAnsi" w:hAnsiTheme="minorHAnsi" w:cstheme="minorHAnsi"/>
          <w:sz w:val="24"/>
          <w:szCs w:val="24"/>
        </w:rPr>
        <w:t xml:space="preserve"> plánovaných míst příslušníků </w:t>
      </w:r>
      <w:r w:rsidR="008E1E9A">
        <w:rPr>
          <w:rFonts w:asciiTheme="minorHAnsi" w:hAnsiTheme="minorHAnsi" w:cstheme="minorHAnsi"/>
          <w:sz w:val="24"/>
          <w:szCs w:val="24"/>
        </w:rPr>
        <w:br/>
      </w:r>
      <w:r w:rsidR="00A07581">
        <w:rPr>
          <w:rFonts w:asciiTheme="minorHAnsi" w:hAnsiTheme="minorHAnsi" w:cstheme="minorHAnsi"/>
          <w:sz w:val="24"/>
          <w:szCs w:val="24"/>
        </w:rPr>
        <w:lastRenderedPageBreak/>
        <w:t>a</w:t>
      </w:r>
      <w:r w:rsidR="008E1E9A">
        <w:rPr>
          <w:rFonts w:asciiTheme="minorHAnsi" w:hAnsiTheme="minorHAnsi" w:cstheme="minorHAnsi"/>
          <w:sz w:val="24"/>
          <w:szCs w:val="24"/>
        </w:rPr>
        <w:t xml:space="preserve"> </w:t>
      </w:r>
      <w:r w:rsidR="008354CC" w:rsidRPr="00D63D74">
        <w:rPr>
          <w:rFonts w:asciiTheme="minorHAnsi" w:hAnsiTheme="minorHAnsi" w:cstheme="minorHAnsi"/>
          <w:sz w:val="24"/>
          <w:szCs w:val="24"/>
        </w:rPr>
        <w:t>občanských zaměstnanců celkem o 83</w:t>
      </w:r>
      <w:r w:rsidR="001364E5" w:rsidRPr="00D63D74">
        <w:rPr>
          <w:rFonts w:asciiTheme="minorHAnsi" w:hAnsiTheme="minorHAnsi" w:cstheme="minorHAnsi"/>
          <w:sz w:val="24"/>
          <w:szCs w:val="24"/>
        </w:rPr>
        <w:t>0</w:t>
      </w:r>
      <w:r w:rsidR="008354CC" w:rsidRPr="00D63D74">
        <w:rPr>
          <w:rFonts w:asciiTheme="minorHAnsi" w:hAnsiTheme="minorHAnsi" w:cstheme="minorHAnsi"/>
          <w:sz w:val="24"/>
          <w:szCs w:val="24"/>
        </w:rPr>
        <w:t xml:space="preserve"> míst</w:t>
      </w:r>
      <w:r w:rsidR="00FE7799" w:rsidRPr="00D63D74">
        <w:rPr>
          <w:rFonts w:asciiTheme="minorHAnsi" w:hAnsiTheme="minorHAnsi" w:cstheme="minorHAnsi"/>
          <w:sz w:val="24"/>
          <w:szCs w:val="24"/>
        </w:rPr>
        <w:t>.</w:t>
      </w:r>
      <w:r w:rsidR="008354CC"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="00394A02">
        <w:rPr>
          <w:rFonts w:asciiTheme="minorHAnsi" w:hAnsiTheme="minorHAnsi" w:cstheme="minorHAnsi"/>
          <w:sz w:val="24"/>
          <w:szCs w:val="24"/>
        </w:rPr>
        <w:t>Na</w:t>
      </w:r>
      <w:r w:rsidR="00645514" w:rsidRPr="00D63D74">
        <w:rPr>
          <w:rFonts w:asciiTheme="minorHAnsi" w:hAnsiTheme="minorHAnsi" w:cstheme="minorHAnsi"/>
          <w:sz w:val="24"/>
          <w:szCs w:val="24"/>
        </w:rPr>
        <w:t xml:space="preserve"> rok 2018 tak byl</w:t>
      </w:r>
      <w:r w:rsidR="00394A02">
        <w:rPr>
          <w:rFonts w:asciiTheme="minorHAnsi" w:hAnsiTheme="minorHAnsi" w:cstheme="minorHAnsi"/>
          <w:sz w:val="24"/>
          <w:szCs w:val="24"/>
        </w:rPr>
        <w:t xml:space="preserve"> pro</w:t>
      </w:r>
      <w:r w:rsidR="00645514" w:rsidRPr="00D63D74">
        <w:rPr>
          <w:rFonts w:asciiTheme="minorHAnsi" w:hAnsiTheme="minorHAnsi" w:cstheme="minorHAnsi"/>
          <w:sz w:val="24"/>
          <w:szCs w:val="24"/>
        </w:rPr>
        <w:t xml:space="preserve"> VS </w:t>
      </w:r>
      <w:r w:rsidR="001364E5" w:rsidRPr="00D63D74">
        <w:rPr>
          <w:rFonts w:asciiTheme="minorHAnsi" w:hAnsiTheme="minorHAnsi" w:cstheme="minorHAnsi"/>
          <w:sz w:val="24"/>
          <w:szCs w:val="24"/>
        </w:rPr>
        <w:t xml:space="preserve">ČR stanoven </w:t>
      </w:r>
      <w:r w:rsidR="008E1E9A">
        <w:rPr>
          <w:rFonts w:asciiTheme="minorHAnsi" w:hAnsiTheme="minorHAnsi" w:cstheme="minorHAnsi"/>
          <w:sz w:val="24"/>
          <w:szCs w:val="24"/>
        </w:rPr>
        <w:br/>
      </w:r>
      <w:r w:rsidR="001364E5" w:rsidRPr="00D63D74">
        <w:rPr>
          <w:rFonts w:asciiTheme="minorHAnsi" w:hAnsiTheme="minorHAnsi" w:cstheme="minorHAnsi"/>
          <w:sz w:val="24"/>
          <w:szCs w:val="24"/>
        </w:rPr>
        <w:t>celkový počet zaměstnan</w:t>
      </w:r>
      <w:r w:rsidR="00D053C4">
        <w:rPr>
          <w:rFonts w:asciiTheme="minorHAnsi" w:hAnsiTheme="minorHAnsi" w:cstheme="minorHAnsi"/>
          <w:sz w:val="24"/>
          <w:szCs w:val="24"/>
        </w:rPr>
        <w:t>eckých míst</w:t>
      </w:r>
      <w:r w:rsidR="001364E5" w:rsidRPr="00D63D74">
        <w:rPr>
          <w:rFonts w:asciiTheme="minorHAnsi" w:hAnsiTheme="minorHAnsi" w:cstheme="minorHAnsi"/>
          <w:sz w:val="24"/>
          <w:szCs w:val="24"/>
        </w:rPr>
        <w:t xml:space="preserve"> ve </w:t>
      </w:r>
      <w:r w:rsidR="00393FB7" w:rsidRPr="00D63D74">
        <w:rPr>
          <w:rFonts w:asciiTheme="minorHAnsi" w:hAnsiTheme="minorHAnsi" w:cstheme="minorHAnsi"/>
          <w:sz w:val="24"/>
          <w:szCs w:val="24"/>
        </w:rPr>
        <w:t>výši 12 </w:t>
      </w:r>
      <w:r w:rsidR="001364E5" w:rsidRPr="00D63D74">
        <w:rPr>
          <w:rFonts w:asciiTheme="minorHAnsi" w:hAnsiTheme="minorHAnsi" w:cstheme="minorHAnsi"/>
          <w:sz w:val="24"/>
          <w:szCs w:val="24"/>
        </w:rPr>
        <w:t>113, z</w:t>
      </w:r>
      <w:r w:rsidR="0025051A" w:rsidRPr="00D63D74">
        <w:rPr>
          <w:rFonts w:asciiTheme="minorHAnsi" w:hAnsiTheme="minorHAnsi" w:cstheme="minorHAnsi"/>
          <w:sz w:val="24"/>
          <w:szCs w:val="24"/>
        </w:rPr>
        <w:t xml:space="preserve"> toho 7 </w:t>
      </w:r>
      <w:r w:rsidR="001364E5" w:rsidRPr="00D63D74">
        <w:rPr>
          <w:rFonts w:asciiTheme="minorHAnsi" w:hAnsiTheme="minorHAnsi" w:cstheme="minorHAnsi"/>
          <w:sz w:val="24"/>
          <w:szCs w:val="24"/>
        </w:rPr>
        <w:t xml:space="preserve">624 </w:t>
      </w:r>
      <w:r w:rsidR="00CF157B">
        <w:rPr>
          <w:rFonts w:asciiTheme="minorHAnsi" w:hAnsiTheme="minorHAnsi" w:cstheme="minorHAnsi"/>
          <w:sz w:val="24"/>
          <w:szCs w:val="24"/>
        </w:rPr>
        <w:t>tvořila místa</w:t>
      </w:r>
      <w:r w:rsidR="001364E5" w:rsidRPr="00D63D74">
        <w:rPr>
          <w:rFonts w:asciiTheme="minorHAnsi" w:hAnsiTheme="minorHAnsi" w:cstheme="minorHAnsi"/>
          <w:sz w:val="24"/>
          <w:szCs w:val="24"/>
        </w:rPr>
        <w:t xml:space="preserve"> příslušníků a</w:t>
      </w:r>
      <w:r w:rsidR="008E1E9A">
        <w:rPr>
          <w:rFonts w:asciiTheme="minorHAnsi" w:hAnsiTheme="minorHAnsi" w:cstheme="minorHAnsi"/>
          <w:sz w:val="24"/>
          <w:szCs w:val="24"/>
        </w:rPr>
        <w:t> </w:t>
      </w:r>
      <w:r w:rsidR="001364E5" w:rsidRPr="00D63D74">
        <w:rPr>
          <w:rFonts w:asciiTheme="minorHAnsi" w:hAnsiTheme="minorHAnsi" w:cstheme="minorHAnsi"/>
          <w:sz w:val="24"/>
          <w:szCs w:val="24"/>
        </w:rPr>
        <w:t>4</w:t>
      </w:r>
      <w:r w:rsidR="008E1E9A">
        <w:rPr>
          <w:rFonts w:asciiTheme="minorHAnsi" w:hAnsiTheme="minorHAnsi" w:cstheme="minorHAnsi"/>
          <w:sz w:val="24"/>
          <w:szCs w:val="24"/>
        </w:rPr>
        <w:t> </w:t>
      </w:r>
      <w:r w:rsidR="00D96291" w:rsidRPr="00D63D74">
        <w:rPr>
          <w:rFonts w:asciiTheme="minorHAnsi" w:hAnsiTheme="minorHAnsi" w:cstheme="minorHAnsi"/>
          <w:sz w:val="24"/>
          <w:szCs w:val="24"/>
        </w:rPr>
        <w:t>4</w:t>
      </w:r>
      <w:r w:rsidR="001364E5" w:rsidRPr="00D63D74">
        <w:rPr>
          <w:rFonts w:asciiTheme="minorHAnsi" w:hAnsiTheme="minorHAnsi" w:cstheme="minorHAnsi"/>
          <w:sz w:val="24"/>
          <w:szCs w:val="24"/>
        </w:rPr>
        <w:t>89 míst</w:t>
      </w:r>
      <w:r w:rsidR="00CF157B">
        <w:rPr>
          <w:rFonts w:asciiTheme="minorHAnsi" w:hAnsiTheme="minorHAnsi" w:cstheme="minorHAnsi"/>
          <w:sz w:val="24"/>
          <w:szCs w:val="24"/>
        </w:rPr>
        <w:t>a</w:t>
      </w:r>
      <w:r w:rsidR="001364E5" w:rsidRPr="00D63D74">
        <w:rPr>
          <w:rFonts w:asciiTheme="minorHAnsi" w:hAnsiTheme="minorHAnsi" w:cstheme="minorHAnsi"/>
          <w:sz w:val="24"/>
          <w:szCs w:val="24"/>
        </w:rPr>
        <w:t xml:space="preserve"> občanských zaměstnanců.</w:t>
      </w:r>
    </w:p>
    <w:p w14:paraId="4993F2AD" w14:textId="71F3BE64" w:rsidR="00A818A3" w:rsidRPr="00645514" w:rsidRDefault="009F6349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D63D74">
        <w:rPr>
          <w:rFonts w:asciiTheme="minorHAnsi" w:hAnsiTheme="minorHAnsi" w:cstheme="minorHAnsi"/>
          <w:sz w:val="24"/>
          <w:szCs w:val="24"/>
        </w:rPr>
        <w:t xml:space="preserve">Částečně vzrostly i kapitálové výdaje a výdaje na opravy a údržbu. </w:t>
      </w:r>
      <w:r w:rsidR="00713EC3" w:rsidRPr="00D63D74">
        <w:rPr>
          <w:rFonts w:asciiTheme="minorHAnsi" w:hAnsiTheme="minorHAnsi" w:cstheme="minorHAnsi"/>
          <w:sz w:val="24"/>
          <w:szCs w:val="24"/>
        </w:rPr>
        <w:t>Při fyzické kontrole vybraných objektů by</w:t>
      </w:r>
      <w:r w:rsidRPr="00D63D74">
        <w:rPr>
          <w:rFonts w:asciiTheme="minorHAnsi" w:hAnsiTheme="minorHAnsi" w:cstheme="minorHAnsi"/>
          <w:sz w:val="24"/>
          <w:szCs w:val="24"/>
        </w:rPr>
        <w:t>lo patrné technické a morální zastarání (dlažby, dveře, okna, omítky vnitřní, vnější apod.), které nelze odstranit bez pravidelných rozsáhlejších rekonstrukcí základních stavebních prvků objektů (střecha, statika, okna, kanalizace, elektroinstalace)</w:t>
      </w:r>
      <w:r w:rsidR="007B41A9" w:rsidRPr="00D63D74">
        <w:rPr>
          <w:rFonts w:asciiTheme="minorHAnsi" w:hAnsiTheme="minorHAnsi" w:cstheme="minorHAnsi"/>
          <w:sz w:val="24"/>
          <w:szCs w:val="24"/>
        </w:rPr>
        <w:t>, které však VS ČR prováděla pouze</w:t>
      </w:r>
      <w:r w:rsidR="007B41A9" w:rsidRPr="00713EC3">
        <w:rPr>
          <w:rFonts w:asciiTheme="minorHAnsi" w:hAnsiTheme="minorHAnsi" w:cstheme="minorHAnsi"/>
          <w:sz w:val="24"/>
          <w:szCs w:val="24"/>
        </w:rPr>
        <w:t xml:space="preserve"> v závislosti na </w:t>
      </w:r>
      <w:r w:rsidRPr="00713EC3">
        <w:rPr>
          <w:rFonts w:asciiTheme="minorHAnsi" w:hAnsiTheme="minorHAnsi" w:cstheme="minorHAnsi"/>
          <w:sz w:val="24"/>
          <w:szCs w:val="24"/>
        </w:rPr>
        <w:t>výši přidělených finančních prostředků</w:t>
      </w:r>
      <w:r w:rsidR="005A0141" w:rsidRPr="00713EC3">
        <w:rPr>
          <w:rFonts w:asciiTheme="minorHAnsi" w:hAnsiTheme="minorHAnsi" w:cstheme="minorHAnsi"/>
          <w:sz w:val="24"/>
          <w:szCs w:val="24"/>
        </w:rPr>
        <w:t xml:space="preserve">. Objem peněžních prostředků určených na opravy a údržbu </w:t>
      </w:r>
      <w:r w:rsidR="0010343A" w:rsidRPr="00713EC3">
        <w:rPr>
          <w:rFonts w:asciiTheme="minorHAnsi" w:hAnsiTheme="minorHAnsi" w:cstheme="minorHAnsi"/>
          <w:sz w:val="24"/>
          <w:szCs w:val="24"/>
        </w:rPr>
        <w:t>byl postupně navyšován</w:t>
      </w:r>
      <w:r w:rsidR="005A0141" w:rsidRPr="00713EC3">
        <w:rPr>
          <w:rFonts w:asciiTheme="minorHAnsi" w:hAnsiTheme="minorHAnsi" w:cstheme="minorHAnsi"/>
          <w:sz w:val="24"/>
          <w:szCs w:val="24"/>
        </w:rPr>
        <w:t xml:space="preserve"> a v roce 2018 dosáhl výše 266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="005A0141" w:rsidRPr="00713EC3">
        <w:rPr>
          <w:rFonts w:asciiTheme="minorHAnsi" w:hAnsiTheme="minorHAnsi" w:cstheme="minorHAnsi"/>
          <w:sz w:val="24"/>
          <w:szCs w:val="24"/>
        </w:rPr>
        <w:t xml:space="preserve">809 288 </w:t>
      </w:r>
      <w:r w:rsidR="00B043DE" w:rsidRPr="00713EC3">
        <w:rPr>
          <w:rFonts w:asciiTheme="minorHAnsi" w:hAnsiTheme="minorHAnsi" w:cstheme="minorHAnsi"/>
          <w:sz w:val="24"/>
          <w:szCs w:val="24"/>
        </w:rPr>
        <w:t>Kč, tj. 3,9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="00B043DE" w:rsidRPr="00713EC3">
        <w:rPr>
          <w:rFonts w:asciiTheme="minorHAnsi" w:hAnsiTheme="minorHAnsi" w:cstheme="minorHAnsi"/>
          <w:sz w:val="24"/>
          <w:szCs w:val="24"/>
        </w:rPr>
        <w:t>% hodnoty staveb a souborů hmotných movitých věcí v majetku VS ČR</w:t>
      </w:r>
      <w:r w:rsidR="005A0141" w:rsidRPr="00713EC3">
        <w:rPr>
          <w:rFonts w:asciiTheme="minorHAnsi" w:hAnsiTheme="minorHAnsi" w:cstheme="minorHAnsi"/>
          <w:sz w:val="24"/>
          <w:szCs w:val="24"/>
        </w:rPr>
        <w:t>.</w:t>
      </w:r>
      <w:r w:rsidR="0025051A" w:rsidRPr="00713EC3">
        <w:rPr>
          <w:rFonts w:asciiTheme="minorHAnsi" w:hAnsiTheme="minorHAnsi" w:cstheme="minorHAnsi"/>
          <w:sz w:val="24"/>
          <w:szCs w:val="24"/>
        </w:rPr>
        <w:t xml:space="preserve"> </w:t>
      </w:r>
      <w:r w:rsidR="00B043DE" w:rsidRPr="00713EC3">
        <w:rPr>
          <w:rFonts w:asciiTheme="minorHAnsi" w:hAnsiTheme="minorHAnsi" w:cstheme="minorHAnsi"/>
          <w:sz w:val="24"/>
          <w:szCs w:val="24"/>
        </w:rPr>
        <w:t xml:space="preserve">Výše těchto prostředků </w:t>
      </w:r>
      <w:r w:rsidR="007B41A9" w:rsidRPr="00713EC3">
        <w:rPr>
          <w:rFonts w:asciiTheme="minorHAnsi" w:hAnsiTheme="minorHAnsi" w:cstheme="minorHAnsi"/>
          <w:sz w:val="24"/>
          <w:szCs w:val="24"/>
        </w:rPr>
        <w:t xml:space="preserve">však </w:t>
      </w:r>
      <w:r w:rsidR="002E54D7">
        <w:rPr>
          <w:rFonts w:asciiTheme="minorHAnsi" w:hAnsiTheme="minorHAnsi" w:cstheme="minorHAnsi"/>
          <w:sz w:val="24"/>
          <w:szCs w:val="24"/>
        </w:rPr>
        <w:t xml:space="preserve">nebyla vždy </w:t>
      </w:r>
      <w:r w:rsidR="005A0141" w:rsidRPr="00713EC3">
        <w:rPr>
          <w:rFonts w:asciiTheme="minorHAnsi" w:hAnsiTheme="minorHAnsi" w:cstheme="minorHAnsi"/>
          <w:sz w:val="24"/>
          <w:szCs w:val="24"/>
        </w:rPr>
        <w:t>dostatečn</w:t>
      </w:r>
      <w:r w:rsidR="00B043DE" w:rsidRPr="00713EC3">
        <w:rPr>
          <w:rFonts w:asciiTheme="minorHAnsi" w:hAnsiTheme="minorHAnsi" w:cstheme="minorHAnsi"/>
          <w:sz w:val="24"/>
          <w:szCs w:val="24"/>
        </w:rPr>
        <w:t>á</w:t>
      </w:r>
      <w:r w:rsidR="00CF157B">
        <w:rPr>
          <w:rFonts w:asciiTheme="minorHAnsi" w:hAnsiTheme="minorHAnsi" w:cstheme="minorHAnsi"/>
          <w:sz w:val="24"/>
          <w:szCs w:val="24"/>
        </w:rPr>
        <w:t>,</w:t>
      </w:r>
      <w:r w:rsidR="005A0141" w:rsidRPr="00713EC3">
        <w:rPr>
          <w:rFonts w:asciiTheme="minorHAnsi" w:hAnsiTheme="minorHAnsi" w:cstheme="minorHAnsi"/>
          <w:sz w:val="24"/>
          <w:szCs w:val="24"/>
        </w:rPr>
        <w:t xml:space="preserve"> </w:t>
      </w:r>
      <w:r w:rsidR="007B41A9" w:rsidRPr="00713EC3">
        <w:rPr>
          <w:rFonts w:asciiTheme="minorHAnsi" w:hAnsiTheme="minorHAnsi" w:cstheme="minorHAnsi"/>
          <w:sz w:val="24"/>
          <w:szCs w:val="24"/>
        </w:rPr>
        <w:t>p</w:t>
      </w:r>
      <w:r w:rsidR="00645514">
        <w:rPr>
          <w:rFonts w:asciiTheme="minorHAnsi" w:hAnsiTheme="minorHAnsi" w:cstheme="minorHAnsi"/>
          <w:sz w:val="24"/>
          <w:szCs w:val="24"/>
        </w:rPr>
        <w:t>odle odhadu VS </w:t>
      </w:r>
      <w:r w:rsidR="00A818A3" w:rsidRPr="00713EC3">
        <w:rPr>
          <w:rFonts w:asciiTheme="minorHAnsi" w:hAnsiTheme="minorHAnsi" w:cstheme="minorHAnsi"/>
          <w:sz w:val="24"/>
          <w:szCs w:val="24"/>
        </w:rPr>
        <w:t xml:space="preserve">ČR </w:t>
      </w:r>
      <w:r w:rsidR="002E54D7">
        <w:rPr>
          <w:rFonts w:asciiTheme="minorHAnsi" w:hAnsiTheme="minorHAnsi" w:cstheme="minorHAnsi"/>
          <w:sz w:val="24"/>
          <w:szCs w:val="24"/>
        </w:rPr>
        <w:t>je</w:t>
      </w:r>
      <w:r w:rsidR="00A818A3" w:rsidRPr="00713EC3">
        <w:rPr>
          <w:rFonts w:asciiTheme="minorHAnsi" w:hAnsiTheme="minorHAnsi" w:cstheme="minorHAnsi"/>
          <w:sz w:val="24"/>
          <w:szCs w:val="24"/>
        </w:rPr>
        <w:t xml:space="preserve"> třeba každoročně investovat do údržby a oprav věznic až jednu miliardu korun.</w:t>
      </w:r>
      <w:r w:rsidR="00713E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285731" w14:textId="4AAF0208" w:rsidR="00764921" w:rsidRPr="0090598E" w:rsidRDefault="00764921" w:rsidP="00497852">
      <w:pPr>
        <w:widowControl/>
        <w:spacing w:before="1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645514">
        <w:rPr>
          <w:rFonts w:asciiTheme="minorHAnsi" w:hAnsiTheme="minorHAnsi" w:cstheme="minorHAnsi"/>
          <w:sz w:val="24"/>
          <w:szCs w:val="24"/>
        </w:rPr>
        <w:t xml:space="preserve">Kontrolou NKÚ bylo ověřeno, že nárůst denních výdajů </w:t>
      </w:r>
      <w:r w:rsidR="003D1232" w:rsidRPr="00645514">
        <w:rPr>
          <w:rFonts w:asciiTheme="minorHAnsi" w:hAnsiTheme="minorHAnsi" w:cstheme="minorHAnsi"/>
          <w:sz w:val="24"/>
          <w:szCs w:val="24"/>
        </w:rPr>
        <w:t xml:space="preserve">na jednoho vězně </w:t>
      </w:r>
      <w:r w:rsidRPr="00645514">
        <w:rPr>
          <w:rFonts w:asciiTheme="minorHAnsi" w:hAnsiTheme="minorHAnsi" w:cstheme="minorHAnsi"/>
          <w:sz w:val="24"/>
          <w:szCs w:val="24"/>
        </w:rPr>
        <w:t>není způso</w:t>
      </w:r>
      <w:r>
        <w:rPr>
          <w:rFonts w:asciiTheme="minorHAnsi" w:hAnsiTheme="minorHAnsi" w:cstheme="minorHAnsi"/>
          <w:sz w:val="24"/>
          <w:szCs w:val="24"/>
        </w:rPr>
        <w:t>ben nehospodárným vynakládáním výdajů, ale zejména nárůstem prostředků na platy</w:t>
      </w:r>
      <w:r w:rsidR="0010343A">
        <w:rPr>
          <w:rFonts w:asciiTheme="minorHAnsi" w:hAnsiTheme="minorHAnsi" w:cstheme="minorHAnsi"/>
          <w:sz w:val="24"/>
          <w:szCs w:val="24"/>
        </w:rPr>
        <w:t xml:space="preserve"> zaměstnanců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CD7209D" w14:textId="0833CB0E" w:rsidR="00764921" w:rsidRPr="0090598E" w:rsidRDefault="009F6349" w:rsidP="00497852">
      <w:pPr>
        <w:widowControl/>
        <w:spacing w:before="120"/>
        <w:jc w:val="both"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VS ČR</w:t>
      </w:r>
      <w:r w:rsidRPr="0083270D">
        <w:rPr>
          <w:rFonts w:asciiTheme="minorHAnsi" w:hAnsiTheme="minorHAnsi" w:cstheme="minorHAnsi"/>
          <w:sz w:val="24"/>
          <w:szCs w:val="24"/>
        </w:rPr>
        <w:t xml:space="preserve"> sleduje </w:t>
      </w:r>
      <w:r>
        <w:rPr>
          <w:rFonts w:asciiTheme="minorHAnsi" w:hAnsiTheme="minorHAnsi" w:cstheme="minorHAnsi"/>
          <w:sz w:val="24"/>
          <w:szCs w:val="24"/>
        </w:rPr>
        <w:t xml:space="preserve">průměrnou </w:t>
      </w:r>
      <w:r w:rsidRPr="0083270D">
        <w:rPr>
          <w:rFonts w:asciiTheme="minorHAnsi" w:hAnsiTheme="minorHAnsi" w:cstheme="minorHAnsi"/>
          <w:sz w:val="24"/>
          <w:szCs w:val="24"/>
        </w:rPr>
        <w:t>výši denních výdajů na věz</w:t>
      </w:r>
      <w:r>
        <w:rPr>
          <w:rFonts w:asciiTheme="minorHAnsi" w:hAnsiTheme="minorHAnsi" w:cstheme="minorHAnsi"/>
          <w:sz w:val="24"/>
          <w:szCs w:val="24"/>
        </w:rPr>
        <w:t xml:space="preserve">něné osoby. </w:t>
      </w:r>
      <w:r w:rsidRPr="0083270D">
        <w:rPr>
          <w:rFonts w:asciiTheme="minorHAnsi" w:hAnsiTheme="minorHAnsi" w:cstheme="minorHAnsi"/>
          <w:sz w:val="24"/>
          <w:szCs w:val="24"/>
        </w:rPr>
        <w:t>Do výpočtu průměrného výdaje na jednu vězněnou osobu vstupují</w:t>
      </w:r>
      <w:r>
        <w:rPr>
          <w:rFonts w:asciiTheme="minorHAnsi" w:hAnsiTheme="minorHAnsi" w:cstheme="minorHAnsi"/>
          <w:sz w:val="24"/>
          <w:szCs w:val="24"/>
        </w:rPr>
        <w:t xml:space="preserve"> veškeré výdajové položky VS ČR včetně platů personálu, kapitálových výdajů </w:t>
      </w:r>
      <w:r w:rsidR="0010343A">
        <w:rPr>
          <w:rFonts w:asciiTheme="minorHAnsi" w:hAnsiTheme="minorHAnsi" w:cstheme="minorHAnsi"/>
          <w:sz w:val="24"/>
          <w:szCs w:val="24"/>
        </w:rPr>
        <w:t>aj</w:t>
      </w:r>
      <w:r>
        <w:rPr>
          <w:rFonts w:asciiTheme="minorHAnsi" w:hAnsiTheme="minorHAnsi" w:cstheme="minorHAnsi"/>
          <w:sz w:val="24"/>
          <w:szCs w:val="24"/>
        </w:rPr>
        <w:t>. Při průměrném počtu 21 947 vězňů v roce 2018 byl průměrný d</w:t>
      </w:r>
      <w:r w:rsidRPr="004143ED">
        <w:rPr>
          <w:rFonts w:asciiTheme="minorHAnsi" w:hAnsiTheme="minorHAnsi" w:cstheme="minorHAnsi"/>
          <w:sz w:val="24"/>
          <w:szCs w:val="24"/>
        </w:rPr>
        <w:t xml:space="preserve">enní výdaj na jednoho </w:t>
      </w:r>
      <w:r w:rsidRPr="00F006C5">
        <w:rPr>
          <w:rFonts w:asciiTheme="minorHAnsi" w:hAnsiTheme="minorHAnsi" w:cstheme="minorHAnsi"/>
          <w:sz w:val="24"/>
          <w:szCs w:val="24"/>
        </w:rPr>
        <w:t>vězně 1</w:t>
      </w:r>
      <w:r w:rsidR="00645514">
        <w:rPr>
          <w:rFonts w:asciiTheme="minorHAnsi" w:hAnsiTheme="minorHAnsi" w:cstheme="minorHAnsi"/>
          <w:sz w:val="24"/>
          <w:szCs w:val="24"/>
        </w:rPr>
        <w:t> </w:t>
      </w:r>
      <w:r w:rsidRPr="00F006C5">
        <w:rPr>
          <w:rFonts w:asciiTheme="minorHAnsi" w:hAnsiTheme="minorHAnsi" w:cstheme="minorHAnsi"/>
          <w:sz w:val="24"/>
          <w:szCs w:val="24"/>
        </w:rPr>
        <w:t xml:space="preserve">348 Kč. </w:t>
      </w:r>
    </w:p>
    <w:p w14:paraId="18BA44E7" w14:textId="59E5FF1F" w:rsidR="009F6349" w:rsidRDefault="009F6349" w:rsidP="00497852">
      <w:pPr>
        <w:widowControl/>
        <w:spacing w:before="120" w:after="240"/>
        <w:jc w:val="both"/>
        <w:rPr>
          <w:rFonts w:asciiTheme="minorHAnsi" w:hAnsiTheme="minorHAnsi" w:cstheme="minorHAnsi"/>
          <w:sz w:val="24"/>
          <w:szCs w:val="24"/>
        </w:rPr>
      </w:pPr>
      <w:r w:rsidRPr="00F006C5">
        <w:rPr>
          <w:rFonts w:asciiTheme="minorHAnsi" w:hAnsiTheme="minorHAnsi" w:cstheme="minorHAnsi"/>
          <w:sz w:val="24"/>
          <w:szCs w:val="24"/>
        </w:rPr>
        <w:t xml:space="preserve">Jednotlivé druhy výdajů a jejich </w:t>
      </w:r>
      <w:r w:rsidR="009E704A">
        <w:rPr>
          <w:rFonts w:asciiTheme="minorHAnsi" w:hAnsiTheme="minorHAnsi" w:cstheme="minorHAnsi"/>
          <w:sz w:val="24"/>
          <w:szCs w:val="24"/>
        </w:rPr>
        <w:t>podíly</w:t>
      </w:r>
      <w:r w:rsidRPr="00F006C5">
        <w:rPr>
          <w:rFonts w:asciiTheme="minorHAnsi" w:hAnsiTheme="minorHAnsi" w:cstheme="minorHAnsi"/>
          <w:sz w:val="24"/>
          <w:szCs w:val="24"/>
        </w:rPr>
        <w:t xml:space="preserve"> na celkových výdajích VS ČR </w:t>
      </w:r>
      <w:r w:rsidR="009E704A">
        <w:rPr>
          <w:rFonts w:asciiTheme="minorHAnsi" w:hAnsiTheme="minorHAnsi" w:cstheme="minorHAnsi"/>
          <w:sz w:val="24"/>
          <w:szCs w:val="24"/>
        </w:rPr>
        <w:t xml:space="preserve">uvádí </w:t>
      </w:r>
      <w:r w:rsidRPr="00F006C5">
        <w:rPr>
          <w:rFonts w:asciiTheme="minorHAnsi" w:hAnsiTheme="minorHAnsi" w:cstheme="minorHAnsi"/>
          <w:sz w:val="24"/>
          <w:szCs w:val="24"/>
        </w:rPr>
        <w:t>následující graf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CF21B20" w14:textId="59D55352" w:rsidR="009F6349" w:rsidRDefault="009F6349" w:rsidP="00497852">
      <w:pPr>
        <w:widowControl/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27F9">
        <w:rPr>
          <w:rFonts w:asciiTheme="minorHAnsi" w:hAnsiTheme="minorHAnsi" w:cstheme="minorHAnsi"/>
          <w:b/>
          <w:sz w:val="24"/>
          <w:szCs w:val="24"/>
        </w:rPr>
        <w:t xml:space="preserve">Graf č. 1 – Struktura </w:t>
      </w:r>
      <w:r>
        <w:rPr>
          <w:rFonts w:asciiTheme="minorHAnsi" w:hAnsiTheme="minorHAnsi" w:cstheme="minorHAnsi"/>
          <w:b/>
          <w:sz w:val="24"/>
          <w:szCs w:val="24"/>
        </w:rPr>
        <w:t>denních výdajů</w:t>
      </w:r>
      <w:r w:rsidR="00897050">
        <w:rPr>
          <w:rFonts w:asciiTheme="minorHAnsi" w:hAnsiTheme="minorHAnsi" w:cstheme="minorHAnsi"/>
          <w:b/>
          <w:sz w:val="24"/>
          <w:szCs w:val="24"/>
        </w:rPr>
        <w:t xml:space="preserve"> VS ČR</w:t>
      </w:r>
      <w:r>
        <w:rPr>
          <w:rFonts w:asciiTheme="minorHAnsi" w:hAnsiTheme="minorHAnsi" w:cstheme="minorHAnsi"/>
          <w:b/>
          <w:sz w:val="24"/>
          <w:szCs w:val="24"/>
        </w:rPr>
        <w:t xml:space="preserve"> v roce 2018</w:t>
      </w:r>
    </w:p>
    <w:p w14:paraId="6E071A24" w14:textId="732E3CB0" w:rsidR="000642F4" w:rsidRPr="007827F9" w:rsidRDefault="002C554B" w:rsidP="00497852">
      <w:pPr>
        <w:widowControl/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4FDB33C8" wp14:editId="6D0B5F75">
            <wp:extent cx="5760720" cy="3143250"/>
            <wp:effectExtent l="0" t="0" r="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F075FDC" w14:textId="67793F8C" w:rsidR="009F6349" w:rsidRDefault="009F6349" w:rsidP="00497852">
      <w:pPr>
        <w:widowControl/>
        <w:jc w:val="both"/>
        <w:rPr>
          <w:rFonts w:asciiTheme="minorHAnsi" w:hAnsiTheme="minorHAnsi" w:cstheme="minorHAnsi"/>
        </w:rPr>
      </w:pPr>
      <w:r w:rsidRPr="00F62DD5">
        <w:rPr>
          <w:rFonts w:asciiTheme="minorHAnsi" w:hAnsiTheme="minorHAnsi" w:cstheme="minorHAnsi"/>
          <w:b/>
        </w:rPr>
        <w:t>Zdroj: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VS ČR.</w:t>
      </w:r>
    </w:p>
    <w:p w14:paraId="108E100B" w14:textId="77777777" w:rsidR="00E41B6E" w:rsidRDefault="00E41B6E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DEEA60" w14:textId="2397C5DA" w:rsidR="009F6349" w:rsidRPr="001F530C" w:rsidRDefault="009F6349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530C">
        <w:rPr>
          <w:rFonts w:asciiTheme="minorHAnsi" w:hAnsiTheme="minorHAnsi" w:cstheme="minorHAnsi"/>
          <w:b/>
          <w:sz w:val="24"/>
          <w:szCs w:val="24"/>
        </w:rPr>
        <w:t>Plánování a řízení výdajů</w:t>
      </w:r>
    </w:p>
    <w:p w14:paraId="7AD24BE6" w14:textId="2A767652" w:rsidR="009F6349" w:rsidRPr="001E3D54" w:rsidRDefault="009F6349" w:rsidP="00497852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en-US"/>
        </w:rPr>
      </w:pP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>MSp realizovalo v letech 2014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−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>2015 projekt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zaměřený na v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>yhodnocení efektivnosti vynakládání rozpočtových zdrojů</w:t>
      </w:r>
      <w:r w:rsidRPr="00D93FC3">
        <w:rPr>
          <w:rFonts w:asciiTheme="minorHAnsi" w:eastAsia="Times New Roman" w:hAnsiTheme="minorHAnsi" w:cstheme="minorHAnsi"/>
          <w:lang w:eastAsia="en-US"/>
        </w:rPr>
        <w:t xml:space="preserve"> </w:t>
      </w:r>
      <w:r w:rsidRPr="00D93F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v resortu 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MSp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>. Výstupem projektu pro oblast vězeňství byla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Pr="00287AB3">
        <w:rPr>
          <w:rFonts w:asciiTheme="minorHAnsi" w:eastAsia="Times New Roman" w:hAnsiTheme="minorHAnsi" w:cstheme="minorHAnsi"/>
          <w:i/>
          <w:sz w:val="24"/>
          <w:szCs w:val="24"/>
          <w:lang w:eastAsia="en-US"/>
        </w:rPr>
        <w:t>Metodika zefektivnění a</w:t>
      </w:r>
      <w:r w:rsidR="00961741" w:rsidRPr="00287AB3">
        <w:rPr>
          <w:rFonts w:asciiTheme="minorHAnsi" w:eastAsia="Times New Roman" w:hAnsiTheme="minorHAnsi" w:cstheme="minorHAnsi"/>
          <w:i/>
          <w:sz w:val="24"/>
          <w:szCs w:val="24"/>
          <w:lang w:eastAsia="en-US"/>
        </w:rPr>
        <w:t xml:space="preserve"> </w:t>
      </w:r>
      <w:r w:rsidRPr="00287AB3">
        <w:rPr>
          <w:rFonts w:asciiTheme="minorHAnsi" w:eastAsia="Times New Roman" w:hAnsiTheme="minorHAnsi" w:cstheme="minorHAnsi"/>
          <w:i/>
          <w:sz w:val="24"/>
          <w:szCs w:val="24"/>
          <w:lang w:eastAsia="en-US"/>
        </w:rPr>
        <w:t>snížení provozních výdajů ve vězeňské části resortu Ministerstva spravedlnosti</w:t>
      </w:r>
      <w:r w:rsidRPr="00D93FC3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a interaktivní </w:t>
      </w:r>
      <w:r w:rsidR="00961741">
        <w:rPr>
          <w:rFonts w:asciiTheme="minorHAnsi" w:eastAsia="Times New Roman" w:hAnsiTheme="minorHAnsi" w:cstheme="minorHAnsi"/>
          <w:sz w:val="24"/>
          <w:szCs w:val="24"/>
          <w:lang w:eastAsia="en-US"/>
        </w:rPr>
        <w:t>„m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>odel optimalizace</w:t>
      </w:r>
      <w:r w:rsidR="00961741">
        <w:rPr>
          <w:rFonts w:asciiTheme="minorHAnsi" w:eastAsia="Times New Roman" w:hAnsiTheme="minorHAnsi" w:cstheme="minorHAnsi"/>
          <w:sz w:val="24"/>
          <w:szCs w:val="24"/>
          <w:lang w:eastAsia="en-US"/>
        </w:rPr>
        <w:t>“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>, jehož cílem bylo vytvoř</w:t>
      </w:r>
      <w:r w:rsidR="00961741">
        <w:rPr>
          <w:rFonts w:asciiTheme="minorHAnsi" w:eastAsia="Times New Roman" w:hAnsiTheme="minorHAnsi" w:cstheme="minorHAnsi"/>
          <w:sz w:val="24"/>
          <w:szCs w:val="24"/>
          <w:lang w:eastAsia="en-US"/>
        </w:rPr>
        <w:t>it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mechanism</w:t>
      </w:r>
      <w:r w:rsidR="00961741">
        <w:rPr>
          <w:rFonts w:asciiTheme="minorHAnsi" w:eastAsia="Times New Roman" w:hAnsiTheme="minorHAnsi" w:cstheme="minorHAnsi"/>
          <w:sz w:val="24"/>
          <w:szCs w:val="24"/>
          <w:lang w:eastAsia="en-US"/>
        </w:rPr>
        <w:t>y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Pr="003D5722">
        <w:rPr>
          <w:rFonts w:asciiTheme="minorHAnsi" w:eastAsia="Times New Roman" w:hAnsiTheme="minorHAnsi" w:cstheme="minorHAnsi"/>
          <w:sz w:val="24"/>
          <w:szCs w:val="24"/>
          <w:lang w:eastAsia="en-US"/>
        </w:rPr>
        <w:lastRenderedPageBreak/>
        <w:t>umožňující porovnání a hodnocení vybraných rozpočtových položek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Pr="003D572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  <w:t>z oblasti energetického hospodářství, vodohospodářství, oprav a údržby nemovitého majetku, bezpečnosti práce, nákupu potravin, vystrojování, zabezpečovacích a</w:t>
      </w:r>
      <w:r w:rsidR="00A64CD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Pr="003D572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  <w:t>komunikačních technologií a dopravy včetně souvisejících ekonomických činností.</w:t>
      </w:r>
      <w:r w:rsidRPr="006276EF">
        <w:rPr>
          <w:rFonts w:asciiTheme="minorHAnsi" w:eastAsia="Times New Roman" w:hAnsiTheme="minorHAnsi" w:cstheme="minorHAnsi"/>
          <w:color w:val="0070C0"/>
          <w:sz w:val="24"/>
          <w:szCs w:val="24"/>
          <w:lang w:eastAsia="en-US"/>
        </w:rPr>
        <w:t xml:space="preserve"> </w:t>
      </w:r>
      <w:r w:rsidRPr="0049507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Model pomocí korekčních faktorů zohledňuje hlavní specifika a nejvýznamnější odlišnosti jednotlivých organizačních 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jednotek</w:t>
      </w:r>
      <w:r w:rsidRPr="00495071">
        <w:rPr>
          <w:rFonts w:asciiTheme="minorHAnsi" w:eastAsia="Times New Roman" w:hAnsiTheme="minorHAnsi" w:cstheme="minorHAnsi"/>
          <w:sz w:val="24"/>
          <w:szCs w:val="24"/>
          <w:lang w:eastAsia="en-US"/>
        </w:rPr>
        <w:t>, jako například velikost věznic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e</w:t>
      </w:r>
      <w:r w:rsidRPr="0049507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, zaměstnanost vězňů </w:t>
      </w:r>
      <w:r w:rsidR="0096174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nebo </w:t>
      </w:r>
      <w:r w:rsidRPr="00495071">
        <w:rPr>
          <w:rFonts w:asciiTheme="minorHAnsi" w:eastAsia="Times New Roman" w:hAnsiTheme="minorHAnsi" w:cstheme="minorHAnsi"/>
          <w:sz w:val="24"/>
          <w:szCs w:val="24"/>
          <w:lang w:eastAsia="en-US"/>
        </w:rPr>
        <w:t>umístění specifických provozů (prádelny, nemocnice, provozovny SHČ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apod.</w:t>
      </w:r>
      <w:r w:rsidR="00A07581">
        <w:rPr>
          <w:rFonts w:asciiTheme="minorHAnsi" w:eastAsia="Times New Roman" w:hAnsiTheme="minorHAnsi" w:cstheme="minorHAnsi"/>
          <w:sz w:val="24"/>
          <w:szCs w:val="24"/>
          <w:lang w:eastAsia="en-US"/>
        </w:rPr>
        <w:t>).</w:t>
      </w:r>
    </w:p>
    <w:p w14:paraId="70B6AD63" w14:textId="1DA5ED53" w:rsidR="00493F2D" w:rsidRPr="00D63D74" w:rsidRDefault="009F6349" w:rsidP="00497852">
      <w:pPr>
        <w:widowControl/>
        <w:spacing w:before="1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6276EF">
        <w:rPr>
          <w:rFonts w:asciiTheme="minorHAnsi" w:hAnsiTheme="minorHAnsi" w:cstheme="minorHAnsi"/>
          <w:sz w:val="24"/>
          <w:szCs w:val="24"/>
        </w:rPr>
        <w:t xml:space="preserve">Na tento projekt navazoval v oblasti vězeňství </w:t>
      </w:r>
      <w:r w:rsidRPr="00675DE0">
        <w:rPr>
          <w:rFonts w:asciiTheme="minorHAnsi" w:hAnsiTheme="minorHAnsi" w:cstheme="minorHAnsi"/>
          <w:i/>
          <w:sz w:val="24"/>
          <w:szCs w:val="24"/>
        </w:rPr>
        <w:t>Projekt PWC „Efektivita Úřadu“</w:t>
      </w:r>
      <w:r w:rsidRPr="006276EF">
        <w:rPr>
          <w:rFonts w:asciiTheme="minorHAnsi" w:hAnsiTheme="minorHAnsi" w:cstheme="minorHAnsi"/>
          <w:sz w:val="24"/>
          <w:szCs w:val="24"/>
        </w:rPr>
        <w:t xml:space="preserve">, v rámci kterého </w:t>
      </w:r>
      <w:r>
        <w:rPr>
          <w:rFonts w:asciiTheme="minorHAnsi" w:hAnsiTheme="minorHAnsi" w:cstheme="minorHAnsi"/>
          <w:sz w:val="24"/>
          <w:szCs w:val="24"/>
        </w:rPr>
        <w:t>VS ČR</w:t>
      </w:r>
      <w:r w:rsidRPr="006276EF">
        <w:rPr>
          <w:rFonts w:asciiTheme="minorHAnsi" w:hAnsiTheme="minorHAnsi" w:cstheme="minorHAnsi"/>
          <w:sz w:val="24"/>
          <w:szCs w:val="24"/>
        </w:rPr>
        <w:t xml:space="preserve"> v letech 2015</w:t>
      </w:r>
      <w:r>
        <w:rPr>
          <w:rFonts w:asciiTheme="minorHAnsi" w:hAnsiTheme="minorHAnsi" w:cstheme="minorHAnsi"/>
          <w:sz w:val="24"/>
          <w:szCs w:val="24"/>
        </w:rPr>
        <w:t>−</w:t>
      </w:r>
      <w:r w:rsidRPr="006276EF">
        <w:rPr>
          <w:rFonts w:asciiTheme="minorHAnsi" w:hAnsiTheme="minorHAnsi" w:cstheme="minorHAnsi"/>
          <w:sz w:val="24"/>
          <w:szCs w:val="24"/>
        </w:rPr>
        <w:t xml:space="preserve">2018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276EF">
        <w:rPr>
          <w:rFonts w:asciiTheme="minorHAnsi" w:hAnsiTheme="minorHAnsi" w:cstheme="minorHAnsi"/>
          <w:sz w:val="24"/>
          <w:szCs w:val="24"/>
        </w:rPr>
        <w:t xml:space="preserve"> všech organizačních jednot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6276EF">
        <w:rPr>
          <w:rFonts w:asciiTheme="minorHAnsi" w:hAnsiTheme="minorHAnsi" w:cstheme="minorHAnsi"/>
          <w:sz w:val="24"/>
          <w:szCs w:val="24"/>
        </w:rPr>
        <w:t xml:space="preserve">k analyzovala vybrané výdajové </w:t>
      </w:r>
      <w:r w:rsidRPr="00D63D74">
        <w:rPr>
          <w:rFonts w:asciiTheme="minorHAnsi" w:hAnsiTheme="minorHAnsi" w:cstheme="minorHAnsi"/>
          <w:sz w:val="24"/>
          <w:szCs w:val="24"/>
        </w:rPr>
        <w:t xml:space="preserve">položky zařazené do </w:t>
      </w:r>
      <w:r w:rsidR="00590784">
        <w:rPr>
          <w:rFonts w:asciiTheme="minorHAnsi" w:hAnsiTheme="minorHAnsi" w:cstheme="minorHAnsi"/>
          <w:sz w:val="24"/>
          <w:szCs w:val="24"/>
        </w:rPr>
        <w:t>„m</w:t>
      </w:r>
      <w:r w:rsidRPr="00D63D74">
        <w:rPr>
          <w:rFonts w:asciiTheme="minorHAnsi" w:hAnsiTheme="minorHAnsi" w:cstheme="minorHAnsi"/>
          <w:sz w:val="24"/>
          <w:szCs w:val="24"/>
        </w:rPr>
        <w:t>odelu optimalizace</w:t>
      </w:r>
      <w:r w:rsidR="00590784">
        <w:rPr>
          <w:rFonts w:asciiTheme="minorHAnsi" w:hAnsiTheme="minorHAnsi" w:cstheme="minorHAnsi"/>
          <w:sz w:val="24"/>
          <w:szCs w:val="24"/>
        </w:rPr>
        <w:t>“</w:t>
      </w:r>
      <w:r w:rsidR="006164F8" w:rsidRPr="00D63D74">
        <w:rPr>
          <w:rFonts w:asciiTheme="minorHAnsi" w:hAnsiTheme="minorHAnsi" w:cstheme="minorHAnsi"/>
          <w:sz w:val="24"/>
          <w:szCs w:val="24"/>
        </w:rPr>
        <w:t xml:space="preserve"> a</w:t>
      </w:r>
      <w:r w:rsidRPr="00D63D74">
        <w:rPr>
          <w:rFonts w:asciiTheme="minorHAnsi" w:hAnsiTheme="minorHAnsi" w:cstheme="minorHAnsi"/>
          <w:sz w:val="24"/>
          <w:szCs w:val="24"/>
        </w:rPr>
        <w:t xml:space="preserve"> identifikovala faktory ovlivňující výši výdajů u jednotlivých věznic</w:t>
      </w:r>
      <w:r w:rsidR="00761510" w:rsidRPr="00D63D74">
        <w:rPr>
          <w:rFonts w:asciiTheme="minorHAnsi" w:hAnsiTheme="minorHAnsi" w:cstheme="minorHAnsi"/>
          <w:sz w:val="24"/>
          <w:szCs w:val="24"/>
        </w:rPr>
        <w:t>.</w:t>
      </w:r>
      <w:r w:rsidR="00764921" w:rsidRPr="00D63D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AE238A" w14:textId="018E5236" w:rsidR="008B5223" w:rsidRPr="00D63D74" w:rsidRDefault="006164F8" w:rsidP="00497852">
      <w:pPr>
        <w:widowControl/>
        <w:spacing w:before="120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D63D74">
        <w:rPr>
          <w:rFonts w:asciiTheme="minorHAnsi" w:hAnsiTheme="minorHAnsi" w:cstheme="minorHAnsi"/>
          <w:sz w:val="24"/>
          <w:szCs w:val="24"/>
        </w:rPr>
        <w:t>VS ČR prostřednictvím výstupů projektu věnuje zvýšenou pozornost procesu plánování a řízení výdajů svých organizačních jednotek</w:t>
      </w:r>
      <w:r w:rsidR="00DB2A09" w:rsidRPr="00D63D74">
        <w:rPr>
          <w:rFonts w:asciiTheme="minorHAnsi" w:hAnsiTheme="minorHAnsi" w:cstheme="minorHAnsi"/>
          <w:sz w:val="24"/>
          <w:szCs w:val="24"/>
        </w:rPr>
        <w:t xml:space="preserve">. Do </w:t>
      </w:r>
      <w:r w:rsidR="00590784">
        <w:rPr>
          <w:rFonts w:asciiTheme="minorHAnsi" w:hAnsiTheme="minorHAnsi" w:cstheme="minorHAnsi"/>
          <w:sz w:val="24"/>
          <w:szCs w:val="24"/>
        </w:rPr>
        <w:t>„m</w:t>
      </w:r>
      <w:r w:rsidR="00DB2A09" w:rsidRPr="00D63D74">
        <w:rPr>
          <w:rFonts w:asciiTheme="minorHAnsi" w:hAnsiTheme="minorHAnsi" w:cstheme="minorHAnsi"/>
          <w:sz w:val="24"/>
          <w:szCs w:val="24"/>
        </w:rPr>
        <w:t xml:space="preserve">odelu </w:t>
      </w:r>
      <w:r w:rsidR="009A3A03"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>optimalizace</w:t>
      </w:r>
      <w:r w:rsidR="00590784">
        <w:rPr>
          <w:rFonts w:asciiTheme="minorHAnsi" w:eastAsia="Times New Roman" w:hAnsiTheme="minorHAnsi" w:cstheme="minorHAnsi"/>
          <w:sz w:val="24"/>
          <w:szCs w:val="24"/>
          <w:lang w:eastAsia="en-US"/>
        </w:rPr>
        <w:t>“</w:t>
      </w:r>
      <w:r w:rsidR="009A3A03" w:rsidRPr="00D63D74">
        <w:rPr>
          <w:rFonts w:asciiTheme="minorHAnsi" w:hAnsiTheme="minorHAnsi" w:cstheme="minorHAnsi"/>
          <w:sz w:val="24"/>
          <w:szCs w:val="24"/>
        </w:rPr>
        <w:t xml:space="preserve"> je </w:t>
      </w:r>
      <w:r w:rsidR="00DB2A09" w:rsidRPr="00D63D74">
        <w:rPr>
          <w:rFonts w:asciiTheme="minorHAnsi" w:hAnsiTheme="minorHAnsi" w:cstheme="minorHAnsi"/>
          <w:sz w:val="24"/>
          <w:szCs w:val="24"/>
        </w:rPr>
        <w:t>zařazena většina položek</w:t>
      </w:r>
      <w:r w:rsidR="00B90897"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nakupovaného materiálu a služeb u jednotlivých věznic. </w:t>
      </w:r>
      <w:r w:rsidRPr="00D63D74">
        <w:rPr>
          <w:rFonts w:asciiTheme="minorHAnsi" w:hAnsiTheme="minorHAnsi" w:cstheme="minorHAnsi"/>
          <w:sz w:val="24"/>
          <w:szCs w:val="24"/>
        </w:rPr>
        <w:t>Jedním z opatření vedoucí</w:t>
      </w:r>
      <w:r w:rsidR="00017034" w:rsidRPr="00D63D74">
        <w:rPr>
          <w:rFonts w:asciiTheme="minorHAnsi" w:hAnsiTheme="minorHAnsi" w:cstheme="minorHAnsi"/>
          <w:sz w:val="24"/>
          <w:szCs w:val="24"/>
        </w:rPr>
        <w:t>ch</w:t>
      </w:r>
      <w:r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>k</w:t>
      </w:r>
      <w:r w:rsidR="009A3A03"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> </w:t>
      </w:r>
      <w:r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optimalizaci provozních výdajů je povinnost </w:t>
      </w:r>
      <w:r w:rsidRPr="00D63D74">
        <w:rPr>
          <w:rFonts w:asciiTheme="minorHAnsi" w:hAnsiTheme="minorHAnsi" w:cstheme="minorHAnsi"/>
          <w:sz w:val="24"/>
          <w:szCs w:val="24"/>
        </w:rPr>
        <w:t>jednotlivých věznic zdůvod</w:t>
      </w:r>
      <w:r w:rsidR="00017034" w:rsidRPr="00D63D74">
        <w:rPr>
          <w:rFonts w:asciiTheme="minorHAnsi" w:hAnsiTheme="minorHAnsi" w:cstheme="minorHAnsi"/>
          <w:sz w:val="24"/>
          <w:szCs w:val="24"/>
        </w:rPr>
        <w:t>ni</w:t>
      </w:r>
      <w:r w:rsidRPr="00D63D74">
        <w:rPr>
          <w:rFonts w:asciiTheme="minorHAnsi" w:hAnsiTheme="minorHAnsi" w:cstheme="minorHAnsi"/>
          <w:sz w:val="24"/>
          <w:szCs w:val="24"/>
        </w:rPr>
        <w:t>t rozdíly v</w:t>
      </w:r>
      <w:r w:rsidR="009A3A03" w:rsidRPr="00D63D74">
        <w:rPr>
          <w:rFonts w:asciiTheme="minorHAnsi" w:hAnsiTheme="minorHAnsi" w:cstheme="minorHAnsi"/>
          <w:sz w:val="24"/>
          <w:szCs w:val="24"/>
        </w:rPr>
        <w:t> </w:t>
      </w:r>
      <w:r w:rsidRPr="00D63D74">
        <w:rPr>
          <w:rFonts w:asciiTheme="minorHAnsi" w:hAnsiTheme="minorHAnsi" w:cstheme="minorHAnsi"/>
          <w:sz w:val="24"/>
          <w:szCs w:val="24"/>
        </w:rPr>
        <w:t>rozpočtových položkách a př</w:t>
      </w:r>
      <w:r w:rsidR="00017034" w:rsidRPr="00D63D74">
        <w:rPr>
          <w:rFonts w:asciiTheme="minorHAnsi" w:hAnsiTheme="minorHAnsi" w:cstheme="minorHAnsi"/>
          <w:sz w:val="24"/>
          <w:szCs w:val="24"/>
        </w:rPr>
        <w:t>i</w:t>
      </w:r>
      <w:r w:rsidRPr="00D63D74">
        <w:rPr>
          <w:rFonts w:asciiTheme="minorHAnsi" w:hAnsiTheme="minorHAnsi" w:cstheme="minorHAnsi"/>
          <w:sz w:val="24"/>
          <w:szCs w:val="24"/>
        </w:rPr>
        <w:t>jmout nápravná opatření.</w:t>
      </w:r>
      <w:r w:rsidR="008B5223"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="003D1232" w:rsidRPr="00D63D74">
        <w:rPr>
          <w:rFonts w:asciiTheme="minorHAnsi" w:hAnsiTheme="minorHAnsi" w:cstheme="minorHAnsi"/>
          <w:sz w:val="24"/>
          <w:szCs w:val="24"/>
        </w:rPr>
        <w:t xml:space="preserve">VS ČR </w:t>
      </w:r>
      <w:r w:rsidR="008B5223"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>projednává možnosti snížení konkrétních výdajů</w:t>
      </w:r>
      <w:r w:rsidR="003D1232" w:rsidRPr="00D63D74">
        <w:rPr>
          <w:rFonts w:asciiTheme="minorHAnsi" w:hAnsiTheme="minorHAnsi" w:cstheme="minorHAnsi"/>
          <w:sz w:val="24"/>
          <w:szCs w:val="24"/>
        </w:rPr>
        <w:t xml:space="preserve"> n</w:t>
      </w:r>
      <w:r w:rsidR="003D1232"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>a jednáních s MSp</w:t>
      </w:r>
      <w:r w:rsidR="008B5223"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. </w:t>
      </w:r>
    </w:p>
    <w:p w14:paraId="63340CF3" w14:textId="4851E8E9" w:rsidR="00854721" w:rsidRPr="00D63D74" w:rsidRDefault="001B6E4A" w:rsidP="00497852">
      <w:pPr>
        <w:widowControl/>
        <w:spacing w:before="1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>N</w:t>
      </w:r>
      <w:r w:rsidR="00D41A5B"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a kontrolovaném vzorku </w:t>
      </w:r>
      <w:r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bylo </w:t>
      </w:r>
      <w:r w:rsidR="00D41A5B" w:rsidRPr="00D63D74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ověřeno, že VS ČR </w:t>
      </w:r>
      <w:r w:rsidR="00854721" w:rsidRPr="00D63D74">
        <w:rPr>
          <w:rFonts w:asciiTheme="minorHAnsi" w:hAnsiTheme="minorHAnsi" w:cstheme="minorHAnsi"/>
          <w:sz w:val="24"/>
          <w:szCs w:val="24"/>
        </w:rPr>
        <w:t>realizuje z důvodu zajištěn</w:t>
      </w:r>
      <w:r w:rsidR="00776CE4" w:rsidRPr="00D63D74">
        <w:rPr>
          <w:rFonts w:asciiTheme="minorHAnsi" w:hAnsiTheme="minorHAnsi" w:cstheme="minorHAnsi"/>
          <w:sz w:val="24"/>
          <w:szCs w:val="24"/>
        </w:rPr>
        <w:t xml:space="preserve">í hospodárnosti </w:t>
      </w:r>
      <w:r w:rsidR="00854721" w:rsidRPr="00D63D74">
        <w:rPr>
          <w:rFonts w:asciiTheme="minorHAnsi" w:hAnsiTheme="minorHAnsi" w:cstheme="minorHAnsi"/>
          <w:sz w:val="24"/>
          <w:szCs w:val="24"/>
        </w:rPr>
        <w:t>vynakládaných prostředků centrální nákupy pro všechny organizační jednotky</w:t>
      </w:r>
      <w:r w:rsidRPr="00D63D74">
        <w:rPr>
          <w:rFonts w:asciiTheme="minorHAnsi" w:hAnsiTheme="minorHAnsi" w:cstheme="minorHAnsi"/>
          <w:sz w:val="24"/>
          <w:szCs w:val="24"/>
        </w:rPr>
        <w:t xml:space="preserve">, zejména </w:t>
      </w:r>
      <w:r w:rsidR="00590784">
        <w:rPr>
          <w:rFonts w:asciiTheme="minorHAnsi" w:hAnsiTheme="minorHAnsi" w:cstheme="minorHAnsi"/>
          <w:sz w:val="24"/>
          <w:szCs w:val="24"/>
        </w:rPr>
        <w:t>touto formou pořizuje</w:t>
      </w:r>
      <w:r w:rsidR="00854721" w:rsidRPr="00D63D74">
        <w:rPr>
          <w:rFonts w:asciiTheme="minorHAnsi" w:hAnsiTheme="minorHAnsi" w:cstheme="minorHAnsi"/>
          <w:sz w:val="24"/>
          <w:szCs w:val="24"/>
        </w:rPr>
        <w:t xml:space="preserve"> výstrojní a výzbrojní materiál, telekomunikační a zabezpečovací technik</w:t>
      </w:r>
      <w:r w:rsidR="00590784">
        <w:rPr>
          <w:rFonts w:asciiTheme="minorHAnsi" w:hAnsiTheme="minorHAnsi" w:cstheme="minorHAnsi"/>
          <w:sz w:val="24"/>
          <w:szCs w:val="24"/>
        </w:rPr>
        <w:t>u</w:t>
      </w:r>
      <w:r w:rsidR="00854721" w:rsidRPr="00D63D74">
        <w:rPr>
          <w:rFonts w:asciiTheme="minorHAnsi" w:hAnsiTheme="minorHAnsi" w:cstheme="minorHAnsi"/>
          <w:sz w:val="24"/>
          <w:szCs w:val="24"/>
        </w:rPr>
        <w:t>, prádelensk</w:t>
      </w:r>
      <w:r w:rsidR="00590784">
        <w:rPr>
          <w:rFonts w:asciiTheme="minorHAnsi" w:hAnsiTheme="minorHAnsi" w:cstheme="minorHAnsi"/>
          <w:sz w:val="24"/>
          <w:szCs w:val="24"/>
        </w:rPr>
        <w:t>ou</w:t>
      </w:r>
      <w:r w:rsidR="00854721" w:rsidRPr="00D63D74">
        <w:rPr>
          <w:rFonts w:asciiTheme="minorHAnsi" w:hAnsiTheme="minorHAnsi" w:cstheme="minorHAnsi"/>
          <w:sz w:val="24"/>
          <w:szCs w:val="24"/>
        </w:rPr>
        <w:t xml:space="preserve"> a kuchyňsk</w:t>
      </w:r>
      <w:r w:rsidR="00590784">
        <w:rPr>
          <w:rFonts w:asciiTheme="minorHAnsi" w:hAnsiTheme="minorHAnsi" w:cstheme="minorHAnsi"/>
          <w:sz w:val="24"/>
          <w:szCs w:val="24"/>
        </w:rPr>
        <w:t>ou</w:t>
      </w:r>
      <w:r w:rsidR="00854721" w:rsidRPr="00D63D74">
        <w:rPr>
          <w:rFonts w:asciiTheme="minorHAnsi" w:hAnsiTheme="minorHAnsi" w:cstheme="minorHAnsi"/>
          <w:sz w:val="24"/>
          <w:szCs w:val="24"/>
        </w:rPr>
        <w:t xml:space="preserve"> technik</w:t>
      </w:r>
      <w:r w:rsidR="00590784">
        <w:rPr>
          <w:rFonts w:asciiTheme="minorHAnsi" w:hAnsiTheme="minorHAnsi" w:cstheme="minorHAnsi"/>
          <w:sz w:val="24"/>
          <w:szCs w:val="24"/>
        </w:rPr>
        <w:t>u</w:t>
      </w:r>
      <w:r w:rsidRPr="00D63D74">
        <w:rPr>
          <w:rFonts w:asciiTheme="minorHAnsi" w:hAnsiTheme="minorHAnsi" w:cstheme="minorHAnsi"/>
          <w:sz w:val="24"/>
          <w:szCs w:val="24"/>
        </w:rPr>
        <w:t>, mo</w:t>
      </w:r>
      <w:r w:rsidR="00854721" w:rsidRPr="00D63D74">
        <w:rPr>
          <w:rFonts w:asciiTheme="minorHAnsi" w:hAnsiTheme="minorHAnsi" w:cstheme="minorHAnsi"/>
          <w:sz w:val="24"/>
          <w:szCs w:val="24"/>
        </w:rPr>
        <w:t>torov</w:t>
      </w:r>
      <w:r w:rsidR="00590784">
        <w:rPr>
          <w:rFonts w:asciiTheme="minorHAnsi" w:hAnsiTheme="minorHAnsi" w:cstheme="minorHAnsi"/>
          <w:sz w:val="24"/>
          <w:szCs w:val="24"/>
        </w:rPr>
        <w:t>á</w:t>
      </w:r>
      <w:r w:rsidR="00854721" w:rsidRPr="00D63D74">
        <w:rPr>
          <w:rFonts w:asciiTheme="minorHAnsi" w:hAnsiTheme="minorHAnsi" w:cstheme="minorHAnsi"/>
          <w:sz w:val="24"/>
          <w:szCs w:val="24"/>
        </w:rPr>
        <w:t xml:space="preserve"> vozid</w:t>
      </w:r>
      <w:r w:rsidR="00590784">
        <w:rPr>
          <w:rFonts w:asciiTheme="minorHAnsi" w:hAnsiTheme="minorHAnsi" w:cstheme="minorHAnsi"/>
          <w:sz w:val="24"/>
          <w:szCs w:val="24"/>
        </w:rPr>
        <w:t>la</w:t>
      </w:r>
      <w:r w:rsidRPr="00D63D74">
        <w:rPr>
          <w:rFonts w:asciiTheme="minorHAnsi" w:hAnsiTheme="minorHAnsi" w:cstheme="minorHAnsi"/>
          <w:sz w:val="24"/>
          <w:szCs w:val="24"/>
        </w:rPr>
        <w:t>,</w:t>
      </w:r>
      <w:r w:rsidR="00003387"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Pr="00D63D74">
        <w:rPr>
          <w:rFonts w:asciiTheme="minorHAnsi" w:hAnsiTheme="minorHAnsi" w:cstheme="minorHAnsi"/>
          <w:sz w:val="24"/>
          <w:szCs w:val="24"/>
        </w:rPr>
        <w:t>vybran</w:t>
      </w:r>
      <w:r w:rsidR="00590784">
        <w:rPr>
          <w:rFonts w:asciiTheme="minorHAnsi" w:hAnsiTheme="minorHAnsi" w:cstheme="minorHAnsi"/>
          <w:sz w:val="24"/>
          <w:szCs w:val="24"/>
        </w:rPr>
        <w:t>é</w:t>
      </w:r>
      <w:r w:rsidRPr="00D63D74">
        <w:rPr>
          <w:rFonts w:asciiTheme="minorHAnsi" w:hAnsiTheme="minorHAnsi" w:cstheme="minorHAnsi"/>
          <w:sz w:val="24"/>
          <w:szCs w:val="24"/>
        </w:rPr>
        <w:t xml:space="preserve"> komodit</w:t>
      </w:r>
      <w:r w:rsidR="00590784">
        <w:rPr>
          <w:rFonts w:asciiTheme="minorHAnsi" w:hAnsiTheme="minorHAnsi" w:cstheme="minorHAnsi"/>
          <w:sz w:val="24"/>
          <w:szCs w:val="24"/>
        </w:rPr>
        <w:t>y</w:t>
      </w:r>
      <w:r w:rsidRPr="00D63D74">
        <w:rPr>
          <w:rFonts w:asciiTheme="minorHAnsi" w:hAnsiTheme="minorHAnsi" w:cstheme="minorHAnsi"/>
          <w:sz w:val="24"/>
          <w:szCs w:val="24"/>
        </w:rPr>
        <w:t xml:space="preserve"> z oblasti zdravotnických potřeb a </w:t>
      </w:r>
      <w:r w:rsidR="00854721" w:rsidRPr="00D63D74">
        <w:rPr>
          <w:rFonts w:asciiTheme="minorHAnsi" w:hAnsiTheme="minorHAnsi" w:cstheme="minorHAnsi"/>
          <w:sz w:val="24"/>
          <w:szCs w:val="24"/>
        </w:rPr>
        <w:t>informační a komunikační technologi</w:t>
      </w:r>
      <w:r w:rsidR="00590784">
        <w:rPr>
          <w:rFonts w:asciiTheme="minorHAnsi" w:hAnsiTheme="minorHAnsi" w:cstheme="minorHAnsi"/>
          <w:sz w:val="24"/>
          <w:szCs w:val="24"/>
        </w:rPr>
        <w:t>e</w:t>
      </w:r>
      <w:r w:rsidR="00854721" w:rsidRPr="00D63D74">
        <w:rPr>
          <w:rFonts w:asciiTheme="minorHAnsi" w:hAnsiTheme="minorHAnsi" w:cstheme="minorHAnsi"/>
          <w:sz w:val="24"/>
          <w:szCs w:val="24"/>
        </w:rPr>
        <w:t xml:space="preserve">. </w:t>
      </w:r>
      <w:r w:rsidRPr="00D63D74">
        <w:rPr>
          <w:rFonts w:asciiTheme="minorHAnsi" w:hAnsiTheme="minorHAnsi" w:cstheme="minorHAnsi"/>
          <w:sz w:val="24"/>
          <w:szCs w:val="24"/>
        </w:rPr>
        <w:t xml:space="preserve">Dále bylo ověřeno, že VS ČR realizovala </w:t>
      </w:r>
      <w:r w:rsidR="001E3D54" w:rsidRPr="00D63D74">
        <w:rPr>
          <w:rFonts w:asciiTheme="minorHAnsi" w:hAnsiTheme="minorHAnsi" w:cstheme="minorHAnsi"/>
          <w:sz w:val="24"/>
          <w:szCs w:val="24"/>
        </w:rPr>
        <w:t>nákup</w:t>
      </w:r>
      <w:r w:rsidRPr="00D63D74">
        <w:rPr>
          <w:rFonts w:asciiTheme="minorHAnsi" w:hAnsiTheme="minorHAnsi" w:cstheme="minorHAnsi"/>
          <w:sz w:val="24"/>
          <w:szCs w:val="24"/>
        </w:rPr>
        <w:t xml:space="preserve"> osobních automobilů a energií</w:t>
      </w:r>
      <w:r w:rsidR="001E3D54" w:rsidRPr="00D63D74">
        <w:rPr>
          <w:rFonts w:asciiTheme="minorHAnsi" w:hAnsiTheme="minorHAnsi" w:cstheme="minorHAnsi"/>
          <w:sz w:val="24"/>
          <w:szCs w:val="24"/>
        </w:rPr>
        <w:t xml:space="preserve"> v souladu s výsledky zadávacích řízení z</w:t>
      </w:r>
      <w:r w:rsidRPr="00D63D74">
        <w:rPr>
          <w:rFonts w:asciiTheme="minorHAnsi" w:hAnsiTheme="minorHAnsi" w:cstheme="minorHAnsi"/>
          <w:sz w:val="24"/>
          <w:szCs w:val="24"/>
        </w:rPr>
        <w:t>ajišťovaných MSp</w:t>
      </w:r>
      <w:r w:rsidR="001E3D54" w:rsidRPr="00D63D74">
        <w:rPr>
          <w:rFonts w:asciiTheme="minorHAnsi" w:hAnsiTheme="minorHAnsi" w:cstheme="minorHAnsi"/>
          <w:sz w:val="24"/>
          <w:szCs w:val="24"/>
        </w:rPr>
        <w:t xml:space="preserve"> v rámci centrálních nákupů</w:t>
      </w:r>
      <w:r w:rsidRPr="00D63D7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0856F3" w14:textId="3E3310A2" w:rsidR="009C44BD" w:rsidRPr="00D63D74" w:rsidRDefault="009C44BD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D63D74">
        <w:rPr>
          <w:rFonts w:asciiTheme="minorHAnsi" w:hAnsiTheme="minorHAnsi" w:cstheme="minorHAnsi"/>
          <w:sz w:val="24"/>
          <w:szCs w:val="24"/>
        </w:rPr>
        <w:t xml:space="preserve">NKÚ na kontrolovaném vzorku </w:t>
      </w:r>
      <w:r w:rsidR="00EA6218" w:rsidRPr="00D63D74">
        <w:rPr>
          <w:rFonts w:asciiTheme="minorHAnsi" w:hAnsiTheme="minorHAnsi" w:cstheme="minorHAnsi"/>
          <w:sz w:val="24"/>
          <w:szCs w:val="24"/>
        </w:rPr>
        <w:t xml:space="preserve">ověřil </w:t>
      </w:r>
      <w:r w:rsidR="00542D6C" w:rsidRPr="00D63D74">
        <w:rPr>
          <w:rFonts w:asciiTheme="minorHAnsi" w:hAnsiTheme="minorHAnsi" w:cstheme="minorHAnsi"/>
          <w:sz w:val="24"/>
          <w:szCs w:val="24"/>
        </w:rPr>
        <w:t xml:space="preserve">hospodárnost </w:t>
      </w:r>
      <w:r w:rsidR="00480C6D" w:rsidRPr="00D63D74">
        <w:rPr>
          <w:rFonts w:asciiTheme="minorHAnsi" w:hAnsiTheme="minorHAnsi" w:cstheme="minorHAnsi"/>
          <w:sz w:val="24"/>
          <w:szCs w:val="24"/>
        </w:rPr>
        <w:t xml:space="preserve">a účelnost </w:t>
      </w:r>
      <w:r w:rsidR="00542D6C" w:rsidRPr="00D63D74">
        <w:rPr>
          <w:rFonts w:asciiTheme="minorHAnsi" w:hAnsiTheme="minorHAnsi" w:cstheme="minorHAnsi"/>
          <w:sz w:val="24"/>
          <w:szCs w:val="24"/>
        </w:rPr>
        <w:t xml:space="preserve">při </w:t>
      </w:r>
      <w:r w:rsidR="00EA6218" w:rsidRPr="00D63D74">
        <w:rPr>
          <w:rFonts w:asciiTheme="minorHAnsi" w:hAnsiTheme="minorHAnsi" w:cstheme="minorHAnsi"/>
          <w:sz w:val="24"/>
          <w:szCs w:val="24"/>
        </w:rPr>
        <w:t>nabývání</w:t>
      </w:r>
      <w:r w:rsidR="00590784">
        <w:rPr>
          <w:rFonts w:asciiTheme="minorHAnsi" w:hAnsiTheme="minorHAnsi" w:cstheme="minorHAnsi"/>
          <w:sz w:val="24"/>
          <w:szCs w:val="24"/>
        </w:rPr>
        <w:t xml:space="preserve"> a</w:t>
      </w:r>
      <w:r w:rsidR="00EA6218" w:rsidRPr="00D63D74">
        <w:rPr>
          <w:rFonts w:asciiTheme="minorHAnsi" w:hAnsiTheme="minorHAnsi" w:cstheme="minorHAnsi"/>
          <w:sz w:val="24"/>
          <w:szCs w:val="24"/>
        </w:rPr>
        <w:t xml:space="preserve"> pozbývání</w:t>
      </w:r>
      <w:r w:rsidR="00590784">
        <w:rPr>
          <w:rFonts w:asciiTheme="minorHAnsi" w:hAnsiTheme="minorHAnsi" w:cstheme="minorHAnsi"/>
          <w:sz w:val="24"/>
          <w:szCs w:val="24"/>
        </w:rPr>
        <w:t xml:space="preserve"> majetku</w:t>
      </w:r>
      <w:r w:rsidR="001D6609">
        <w:rPr>
          <w:rFonts w:asciiTheme="minorHAnsi" w:hAnsiTheme="minorHAnsi" w:cstheme="minorHAnsi"/>
          <w:sz w:val="24"/>
          <w:szCs w:val="24"/>
        </w:rPr>
        <w:t>,</w:t>
      </w:r>
      <w:r w:rsidR="00EA6218"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="001D6609">
        <w:rPr>
          <w:rFonts w:asciiTheme="minorHAnsi" w:hAnsiTheme="minorHAnsi" w:cstheme="minorHAnsi"/>
          <w:sz w:val="24"/>
          <w:szCs w:val="24"/>
        </w:rPr>
        <w:t xml:space="preserve">při </w:t>
      </w:r>
      <w:r w:rsidR="00EA6218" w:rsidRPr="00D63D74">
        <w:rPr>
          <w:rFonts w:asciiTheme="minorHAnsi" w:hAnsiTheme="minorHAnsi" w:cstheme="minorHAnsi"/>
          <w:sz w:val="24"/>
          <w:szCs w:val="24"/>
        </w:rPr>
        <w:t xml:space="preserve">jiném nakládání s majetkem, </w:t>
      </w:r>
      <w:r w:rsidR="00542D6C" w:rsidRPr="00D63D74">
        <w:rPr>
          <w:rFonts w:asciiTheme="minorHAnsi" w:hAnsiTheme="minorHAnsi" w:cstheme="minorHAnsi"/>
          <w:sz w:val="24"/>
          <w:szCs w:val="24"/>
        </w:rPr>
        <w:t xml:space="preserve">při </w:t>
      </w:r>
      <w:r w:rsidR="00EA6218" w:rsidRPr="00D63D74">
        <w:rPr>
          <w:rFonts w:asciiTheme="minorHAnsi" w:hAnsiTheme="minorHAnsi" w:cstheme="minorHAnsi"/>
          <w:sz w:val="24"/>
          <w:szCs w:val="24"/>
        </w:rPr>
        <w:t>použití peněžních prostředků na nákup potravin, léků, oděvů</w:t>
      </w:r>
      <w:r w:rsidR="00542D6C" w:rsidRPr="00D63D74">
        <w:rPr>
          <w:rFonts w:asciiTheme="minorHAnsi" w:hAnsiTheme="minorHAnsi" w:cstheme="minorHAnsi"/>
          <w:sz w:val="24"/>
          <w:szCs w:val="24"/>
        </w:rPr>
        <w:t>, kancelářských potřeb, pohonných hmot</w:t>
      </w:r>
      <w:r w:rsidR="00B90897"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="001D6609">
        <w:rPr>
          <w:rFonts w:asciiTheme="minorHAnsi" w:hAnsiTheme="minorHAnsi" w:cstheme="minorHAnsi"/>
          <w:sz w:val="24"/>
          <w:szCs w:val="24"/>
        </w:rPr>
        <w:t>či</w:t>
      </w:r>
      <w:r w:rsidR="00542D6C" w:rsidRPr="00D63D74">
        <w:rPr>
          <w:rFonts w:asciiTheme="minorHAnsi" w:hAnsiTheme="minorHAnsi" w:cstheme="minorHAnsi"/>
          <w:sz w:val="24"/>
          <w:szCs w:val="24"/>
        </w:rPr>
        <w:t xml:space="preserve"> služeb </w:t>
      </w:r>
      <w:r w:rsidR="001D6609">
        <w:rPr>
          <w:rFonts w:asciiTheme="minorHAnsi" w:hAnsiTheme="minorHAnsi" w:cstheme="minorHAnsi"/>
          <w:sz w:val="24"/>
          <w:szCs w:val="24"/>
        </w:rPr>
        <w:t xml:space="preserve">a </w:t>
      </w:r>
      <w:r w:rsidR="00036E4C">
        <w:rPr>
          <w:rFonts w:asciiTheme="minorHAnsi" w:hAnsiTheme="minorHAnsi" w:cstheme="minorHAnsi"/>
          <w:sz w:val="24"/>
          <w:szCs w:val="24"/>
        </w:rPr>
        <w:t xml:space="preserve">také </w:t>
      </w:r>
      <w:r w:rsidR="001D6609">
        <w:rPr>
          <w:rFonts w:asciiTheme="minorHAnsi" w:hAnsiTheme="minorHAnsi" w:cstheme="minorHAnsi"/>
          <w:sz w:val="24"/>
          <w:szCs w:val="24"/>
        </w:rPr>
        <w:t xml:space="preserve">u </w:t>
      </w:r>
      <w:r w:rsidR="00306C84" w:rsidRPr="00D63D74">
        <w:rPr>
          <w:rFonts w:asciiTheme="minorHAnsi" w:hAnsiTheme="minorHAnsi" w:cstheme="minorHAnsi"/>
          <w:sz w:val="24"/>
          <w:szCs w:val="24"/>
        </w:rPr>
        <w:t xml:space="preserve">centrálních nákupů </w:t>
      </w:r>
      <w:r w:rsidR="002378E7">
        <w:rPr>
          <w:rFonts w:asciiTheme="minorHAnsi" w:hAnsiTheme="minorHAnsi" w:cstheme="minorHAnsi"/>
          <w:sz w:val="24"/>
          <w:szCs w:val="24"/>
        </w:rPr>
        <w:br/>
      </w:r>
      <w:r w:rsidR="00306C84" w:rsidRPr="00D63D74">
        <w:rPr>
          <w:rFonts w:asciiTheme="minorHAnsi" w:hAnsiTheme="minorHAnsi" w:cstheme="minorHAnsi"/>
          <w:sz w:val="24"/>
          <w:szCs w:val="24"/>
        </w:rPr>
        <w:t>a</w:t>
      </w:r>
      <w:r w:rsidR="002378E7">
        <w:rPr>
          <w:rFonts w:asciiTheme="minorHAnsi" w:hAnsiTheme="minorHAnsi" w:cstheme="minorHAnsi"/>
          <w:sz w:val="24"/>
          <w:szCs w:val="24"/>
        </w:rPr>
        <w:t xml:space="preserve"> </w:t>
      </w:r>
      <w:r w:rsidR="00542D6C" w:rsidRPr="00D63D74">
        <w:rPr>
          <w:rFonts w:asciiTheme="minorHAnsi" w:hAnsiTheme="minorHAnsi" w:cstheme="minorHAnsi"/>
          <w:sz w:val="24"/>
          <w:szCs w:val="24"/>
        </w:rPr>
        <w:t>souvisejících veřejných zakázek.</w:t>
      </w:r>
      <w:r w:rsidR="00306C84"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="00232E14" w:rsidRPr="00D63D74">
        <w:rPr>
          <w:rFonts w:asciiTheme="minorHAnsi" w:hAnsiTheme="minorHAnsi" w:cstheme="minorHAnsi"/>
          <w:sz w:val="24"/>
          <w:szCs w:val="24"/>
        </w:rPr>
        <w:t>NKÚ k</w:t>
      </w:r>
      <w:r w:rsidR="00542D6C" w:rsidRPr="00D63D74">
        <w:rPr>
          <w:rFonts w:asciiTheme="minorHAnsi" w:hAnsiTheme="minorHAnsi" w:cstheme="minorHAnsi"/>
          <w:sz w:val="24"/>
          <w:szCs w:val="24"/>
        </w:rPr>
        <w:t>ontrolou</w:t>
      </w:r>
      <w:r w:rsidR="009F5392" w:rsidRPr="00D63D74">
        <w:rPr>
          <w:rFonts w:asciiTheme="minorHAnsi" w:hAnsiTheme="minorHAnsi" w:cstheme="minorHAnsi"/>
          <w:sz w:val="24"/>
          <w:szCs w:val="24"/>
        </w:rPr>
        <w:t xml:space="preserve"> </w:t>
      </w:r>
      <w:r w:rsidRPr="00D63D74">
        <w:rPr>
          <w:rFonts w:asciiTheme="minorHAnsi" w:hAnsiTheme="minorHAnsi" w:cstheme="minorHAnsi"/>
          <w:sz w:val="24"/>
          <w:szCs w:val="24"/>
        </w:rPr>
        <w:t>zjistil pouze jednotlivé případy porušení právních předpisů v následujících oblastech.</w:t>
      </w:r>
    </w:p>
    <w:p w14:paraId="063B5D27" w14:textId="77777777" w:rsidR="009F6349" w:rsidRPr="00D63D74" w:rsidRDefault="009F6349" w:rsidP="00497852">
      <w:pPr>
        <w:widowControl/>
        <w:spacing w:before="12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D63D74">
        <w:rPr>
          <w:rFonts w:asciiTheme="minorHAnsi" w:hAnsiTheme="minorHAnsi" w:cstheme="minorHAnsi"/>
          <w:b/>
          <w:sz w:val="24"/>
          <w:szCs w:val="24"/>
        </w:rPr>
        <w:t>S</w:t>
      </w:r>
      <w:r w:rsidRPr="00D63D74">
        <w:rPr>
          <w:rFonts w:ascii="Calibri" w:hAnsi="Calibri" w:cs="Calibri"/>
          <w:b/>
          <w:color w:val="000000"/>
          <w:sz w:val="24"/>
          <w:szCs w:val="24"/>
        </w:rPr>
        <w:t>mlouvy o nájmu bytů</w:t>
      </w:r>
    </w:p>
    <w:p w14:paraId="4B25627F" w14:textId="4A1E93EF" w:rsidR="009F6349" w:rsidRDefault="009A3A03" w:rsidP="00497852">
      <w:pPr>
        <w:widowControl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D63D74">
        <w:rPr>
          <w:rFonts w:ascii="Calibri" w:hAnsi="Calibri" w:cs="Calibri"/>
          <w:color w:val="000000" w:themeColor="text1"/>
          <w:sz w:val="24"/>
          <w:szCs w:val="24"/>
        </w:rPr>
        <w:t>U smluv, které VS </w:t>
      </w:r>
      <w:r w:rsidR="00246BDA" w:rsidRPr="00D63D74">
        <w:rPr>
          <w:rFonts w:ascii="Calibri" w:hAnsi="Calibri" w:cs="Calibri"/>
          <w:color w:val="000000" w:themeColor="text1"/>
          <w:sz w:val="24"/>
          <w:szCs w:val="24"/>
        </w:rPr>
        <w:t xml:space="preserve">ČR uzavřela v rámci činností podrobených kontrole, byly ve čtyřech případech zjištěny nedostatky. </w:t>
      </w:r>
      <w:r w:rsidR="009F6349" w:rsidRPr="00D63D74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VS ČR v </w:t>
      </w:r>
      <w:r w:rsidR="00246BDA" w:rsidRPr="00D63D74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těchto </w:t>
      </w:r>
      <w:r w:rsidR="009F6349" w:rsidRPr="00D63D74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smlouvách o nájmu služebního bytu uzavřených v letech 2010−2015 sjednala nájemní vztah na</w:t>
      </w:r>
      <w:r w:rsidR="009F6349" w:rsidRPr="009C44BD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dobu výkonu práce nájemce, resp. na dobu výkonu zaměstnání u</w:t>
      </w:r>
      <w:r w:rsidR="00A64CD9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="009F6349" w:rsidRPr="009C44BD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pronajímatele</w:t>
      </w:r>
      <w:r w:rsidR="00776CE4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,</w:t>
      </w:r>
      <w:r w:rsidR="009F6349" w:rsidRPr="009C44BD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tj. na </w:t>
      </w:r>
      <w:r w:rsidR="009F6349" w:rsidRPr="009656F4">
        <w:rPr>
          <w:rFonts w:ascii="Calibri" w:eastAsia="Times New Roman" w:hAnsi="Calibri" w:cs="Calibri"/>
          <w:sz w:val="24"/>
          <w:szCs w:val="24"/>
          <w:lang w:eastAsia="en-US"/>
        </w:rPr>
        <w:t>dobu neurčitou. VS ČR tak</w:t>
      </w:r>
      <w:r w:rsidR="009F634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9F6349"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porušila </w:t>
      </w:r>
      <w:r w:rsidR="009F6349" w:rsidRPr="00A35817">
        <w:rPr>
          <w:rFonts w:ascii="Calibri" w:eastAsia="Times New Roman" w:hAnsi="Calibri" w:cs="Calibri"/>
          <w:bCs/>
          <w:sz w:val="24"/>
          <w:szCs w:val="24"/>
          <w:lang w:eastAsia="en-US"/>
        </w:rPr>
        <w:t>us</w:t>
      </w:r>
      <w:r>
        <w:rPr>
          <w:rFonts w:ascii="Calibri" w:eastAsia="Times New Roman" w:hAnsi="Calibri" w:cs="Calibri"/>
          <w:bCs/>
          <w:sz w:val="24"/>
          <w:szCs w:val="24"/>
          <w:lang w:eastAsia="en-US"/>
        </w:rPr>
        <w:t>tanovení § 27 odst. 2 zákona č. </w:t>
      </w:r>
      <w:r w:rsidR="009F6349" w:rsidRPr="00A35817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219/2000 Sb., dle kterého lze sjednat nájemní vztah na dobu určitou v trvání nejdéle 8 let. </w:t>
      </w:r>
    </w:p>
    <w:p w14:paraId="66FE0D38" w14:textId="77777777" w:rsidR="009F6349" w:rsidRPr="00003387" w:rsidRDefault="009F6349" w:rsidP="00497852">
      <w:pPr>
        <w:widowControl/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387">
        <w:rPr>
          <w:rFonts w:asciiTheme="minorHAnsi" w:hAnsiTheme="minorHAnsi" w:cstheme="minorHAnsi"/>
          <w:b/>
          <w:sz w:val="24"/>
          <w:szCs w:val="24"/>
        </w:rPr>
        <w:t>Veřejné zakázky</w:t>
      </w:r>
    </w:p>
    <w:p w14:paraId="394A1529" w14:textId="09D55987" w:rsidR="009F6349" w:rsidRDefault="009F6349" w:rsidP="00497852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uzavřela </w:t>
      </w:r>
      <w:r w:rsidR="00EE58C6">
        <w:rPr>
          <w:rFonts w:ascii="Calibri" w:eastAsia="Times New Roman" w:hAnsi="Calibri" w:cs="Calibri"/>
          <w:sz w:val="24"/>
          <w:szCs w:val="24"/>
          <w:lang w:eastAsia="en-US"/>
        </w:rPr>
        <w:t xml:space="preserve">v roce 2018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nájemní smlouvu, jejímž předmětem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byl pronájem objektu výrobní haly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v areálu věznice</w:t>
      </w:r>
      <w:r w:rsidR="00EE58C6"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Nájemní smlouva obsahovala ujednání o</w:t>
      </w:r>
      <w:r w:rsidR="00A64CD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provedení stavebních úprav nájemcem 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v předpokládané výši 6 mil. Kč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na jeho náklady pro zřízení no</w:t>
      </w:r>
      <w:r>
        <w:rPr>
          <w:rFonts w:ascii="Calibri" w:eastAsia="Times New Roman" w:hAnsi="Calibri" w:cs="Calibri"/>
          <w:sz w:val="24"/>
          <w:szCs w:val="24"/>
          <w:lang w:eastAsia="en-US"/>
        </w:rPr>
        <w:t>vého výrobního prostoru</w:t>
      </w:r>
      <w:r w:rsidR="00EE58C6">
        <w:rPr>
          <w:rFonts w:ascii="Calibri" w:eastAsia="Times New Roman" w:hAnsi="Calibri" w:cs="Calibri"/>
          <w:sz w:val="24"/>
          <w:szCs w:val="24"/>
          <w:lang w:eastAsia="en-US"/>
        </w:rPr>
        <w:t xml:space="preserve"> v roce 2019</w:t>
      </w:r>
      <w:r>
        <w:rPr>
          <w:rFonts w:ascii="Calibri" w:eastAsia="Times New Roman" w:hAnsi="Calibri" w:cs="Calibri"/>
          <w:sz w:val="24"/>
          <w:szCs w:val="24"/>
          <w:lang w:eastAsia="en-US"/>
        </w:rPr>
        <w:t>, ve kterém se nájemce zavázal zaměstnat 30 odsouzených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. Doba trvání nájmu byla sjednána na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8</w:t>
      </w:r>
      <w:r w:rsidR="000415BA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let a cenu stanovily smluvní strany dohodou</w:t>
      </w:r>
      <w:r w:rsidR="00BE5BA4">
        <w:rPr>
          <w:rFonts w:ascii="Calibri" w:eastAsia="Times New Roman" w:hAnsi="Calibri" w:cs="Calibri"/>
          <w:sz w:val="24"/>
          <w:szCs w:val="24"/>
          <w:lang w:eastAsia="en-US"/>
        </w:rPr>
        <w:t xml:space="preserve">. Bylo ověřeno, že cena </w:t>
      </w:r>
      <w:r w:rsidR="00E73E12">
        <w:rPr>
          <w:rFonts w:ascii="Calibri" w:eastAsia="Times New Roman" w:hAnsi="Calibri" w:cs="Calibri"/>
          <w:sz w:val="24"/>
          <w:szCs w:val="24"/>
          <w:lang w:eastAsia="en-US"/>
        </w:rPr>
        <w:t xml:space="preserve">stanovená </w:t>
      </w:r>
      <w:r w:rsidR="00BE5BA4">
        <w:rPr>
          <w:rFonts w:ascii="Calibri" w:eastAsia="Times New Roman" w:hAnsi="Calibri" w:cs="Calibri"/>
          <w:sz w:val="24"/>
          <w:szCs w:val="24"/>
          <w:lang w:eastAsia="en-US"/>
        </w:rPr>
        <w:t xml:space="preserve">za pronájem byla srovnatelná </w:t>
      </w:r>
      <w:r w:rsidR="00E73E12">
        <w:rPr>
          <w:rFonts w:ascii="Calibri" w:eastAsia="Times New Roman" w:hAnsi="Calibri" w:cs="Calibri"/>
          <w:sz w:val="24"/>
          <w:szCs w:val="24"/>
          <w:lang w:eastAsia="en-US"/>
        </w:rPr>
        <w:t xml:space="preserve">s cenou za pronájem </w:t>
      </w:r>
      <w:r w:rsidR="00BE5BA4">
        <w:rPr>
          <w:rFonts w:ascii="Calibri" w:eastAsia="Times New Roman" w:hAnsi="Calibri" w:cs="Calibri"/>
          <w:sz w:val="24"/>
          <w:szCs w:val="24"/>
          <w:lang w:eastAsia="en-US"/>
        </w:rPr>
        <w:t>obdobný</w:t>
      </w:r>
      <w:r w:rsidR="00E73E12">
        <w:rPr>
          <w:rFonts w:ascii="Calibri" w:eastAsia="Times New Roman" w:hAnsi="Calibri" w:cs="Calibri"/>
          <w:sz w:val="24"/>
          <w:szCs w:val="24"/>
          <w:lang w:eastAsia="en-US"/>
        </w:rPr>
        <w:t>ch</w:t>
      </w:r>
      <w:r w:rsidR="00BE5BA4">
        <w:rPr>
          <w:rFonts w:ascii="Calibri" w:eastAsia="Times New Roman" w:hAnsi="Calibri" w:cs="Calibri"/>
          <w:sz w:val="24"/>
          <w:szCs w:val="24"/>
          <w:lang w:eastAsia="en-US"/>
        </w:rPr>
        <w:t xml:space="preserve"> prostor</w:t>
      </w:r>
      <w:r w:rsidR="00E73E12">
        <w:rPr>
          <w:rFonts w:ascii="Calibri" w:eastAsia="Times New Roman" w:hAnsi="Calibri" w:cs="Calibri"/>
          <w:sz w:val="24"/>
          <w:szCs w:val="24"/>
          <w:lang w:eastAsia="en-US"/>
        </w:rPr>
        <w:t>ů</w:t>
      </w:r>
      <w:r w:rsidR="00BE5BA4">
        <w:rPr>
          <w:rFonts w:ascii="Calibri" w:eastAsia="Times New Roman" w:hAnsi="Calibri" w:cs="Calibri"/>
          <w:sz w:val="24"/>
          <w:szCs w:val="24"/>
          <w:lang w:eastAsia="en-US"/>
        </w:rPr>
        <w:t xml:space="preserve"> v jiných věznicích, přesto NKÚ konstat</w:t>
      </w:r>
      <w:r w:rsidR="000415BA">
        <w:rPr>
          <w:rFonts w:ascii="Calibri" w:eastAsia="Times New Roman" w:hAnsi="Calibri" w:cs="Calibri"/>
          <w:sz w:val="24"/>
          <w:szCs w:val="24"/>
          <w:lang w:eastAsia="en-US"/>
        </w:rPr>
        <w:t>uje</w:t>
      </w:r>
      <w:r w:rsidR="00CE5980">
        <w:rPr>
          <w:rFonts w:ascii="Calibri" w:eastAsia="Times New Roman" w:hAnsi="Calibri" w:cs="Calibri"/>
          <w:sz w:val="24"/>
          <w:szCs w:val="24"/>
          <w:lang w:eastAsia="en-US"/>
        </w:rPr>
        <w:t>, že</w:t>
      </w:r>
      <w:r w:rsidR="00BE5BA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nevymezila a</w:t>
      </w:r>
      <w:r w:rsidR="00A64CD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neošetřila veškerá rizika spojená s</w:t>
      </w:r>
      <w:r w:rsidR="006D6056">
        <w:rPr>
          <w:rFonts w:ascii="Calibri" w:eastAsia="Times New Roman" w:hAnsi="Calibri" w:cs="Calibri"/>
          <w:sz w:val="24"/>
          <w:szCs w:val="24"/>
          <w:lang w:eastAsia="en-US"/>
        </w:rPr>
        <w:t> uzavřením nájemního vztahu</w:t>
      </w:r>
      <w:r w:rsidR="00B34000">
        <w:rPr>
          <w:rFonts w:ascii="Calibri" w:eastAsia="Times New Roman" w:hAnsi="Calibri" w:cs="Calibri"/>
          <w:sz w:val="24"/>
          <w:szCs w:val="24"/>
          <w:lang w:eastAsia="en-US"/>
        </w:rPr>
        <w:t>, který vykazuje znaky koncese</w:t>
      </w:r>
      <w:r w:rsidR="00F03D65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="006D6056">
        <w:rPr>
          <w:rFonts w:ascii="Calibri" w:eastAsia="Times New Roman" w:hAnsi="Calibri" w:cs="Calibri"/>
          <w:sz w:val="24"/>
          <w:szCs w:val="24"/>
          <w:lang w:eastAsia="en-US"/>
        </w:rPr>
        <w:t xml:space="preserve"> tj. že </w:t>
      </w:r>
      <w:r w:rsidR="00C1433E" w:rsidRPr="002968A3">
        <w:rPr>
          <w:rFonts w:ascii="Calibri" w:eastAsia="Times New Roman" w:hAnsi="Calibri" w:cs="Calibri"/>
          <w:sz w:val="24"/>
          <w:szCs w:val="24"/>
          <w:lang w:eastAsia="en-US"/>
        </w:rPr>
        <w:t xml:space="preserve">poskytnuté </w:t>
      </w:r>
      <w:r w:rsidR="006D6056" w:rsidRPr="002968A3">
        <w:rPr>
          <w:rFonts w:ascii="Calibri" w:eastAsia="Times New Roman" w:hAnsi="Calibri" w:cs="Calibri"/>
          <w:sz w:val="24"/>
          <w:szCs w:val="24"/>
          <w:lang w:eastAsia="en-US"/>
        </w:rPr>
        <w:t xml:space="preserve">plnění nehradí </w:t>
      </w:r>
      <w:r w:rsidR="006D6056" w:rsidRPr="002968A3">
        <w:rPr>
          <w:rFonts w:ascii="Calibri" w:eastAsia="Times New Roman" w:hAnsi="Calibri" w:cs="Calibri"/>
          <w:sz w:val="24"/>
          <w:szCs w:val="24"/>
          <w:lang w:eastAsia="en-US"/>
        </w:rPr>
        <w:lastRenderedPageBreak/>
        <w:t xml:space="preserve">zadavatel, nájemce </w:t>
      </w:r>
      <w:r w:rsidR="00C1433E" w:rsidRPr="002968A3">
        <w:rPr>
          <w:rFonts w:ascii="Calibri" w:eastAsia="Times New Roman" w:hAnsi="Calibri" w:cs="Calibri"/>
          <w:sz w:val="24"/>
          <w:szCs w:val="24"/>
          <w:lang w:eastAsia="en-US"/>
        </w:rPr>
        <w:t xml:space="preserve">získává výtěžek z provozování díla a </w:t>
      </w:r>
      <w:r w:rsidR="006D6056" w:rsidRPr="002968A3">
        <w:rPr>
          <w:rFonts w:ascii="Calibri" w:eastAsia="Times New Roman" w:hAnsi="Calibri" w:cs="Calibri"/>
          <w:sz w:val="24"/>
          <w:szCs w:val="24"/>
          <w:lang w:eastAsia="en-US"/>
        </w:rPr>
        <w:t xml:space="preserve">je na </w:t>
      </w:r>
      <w:r w:rsidR="00C1433E" w:rsidRPr="002968A3">
        <w:rPr>
          <w:rFonts w:ascii="Calibri" w:eastAsia="Times New Roman" w:hAnsi="Calibri" w:cs="Calibri"/>
          <w:sz w:val="24"/>
          <w:szCs w:val="24"/>
          <w:lang w:eastAsia="en-US"/>
        </w:rPr>
        <w:t>něj</w:t>
      </w:r>
      <w:r w:rsidR="00E73E1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6D6056" w:rsidRPr="002968A3">
        <w:rPr>
          <w:rFonts w:ascii="Calibri" w:eastAsia="Times New Roman" w:hAnsi="Calibri" w:cs="Calibri"/>
          <w:sz w:val="24"/>
          <w:szCs w:val="24"/>
          <w:lang w:eastAsia="en-US"/>
        </w:rPr>
        <w:t>přeneseno r</w:t>
      </w:r>
      <w:r w:rsidR="006D6056">
        <w:rPr>
          <w:rFonts w:ascii="Calibri" w:eastAsia="Times New Roman" w:hAnsi="Calibri" w:cs="Calibri"/>
          <w:sz w:val="24"/>
          <w:szCs w:val="24"/>
          <w:lang w:eastAsia="en-US"/>
        </w:rPr>
        <w:t xml:space="preserve">iziko neefektivity a nízké rentability spojené s provozováním stavebního díla.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Uzavřená nájemní smlouva řešila pouze některá z</w:t>
      </w:r>
      <w:r w:rsidR="002968A3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rizik</w:t>
      </w:r>
      <w:r w:rsidR="002968A3">
        <w:rPr>
          <w:rFonts w:ascii="Calibri" w:eastAsia="Times New Roman" w:hAnsi="Calibri" w:cs="Calibri"/>
          <w:sz w:val="24"/>
          <w:szCs w:val="24"/>
          <w:lang w:eastAsia="en-US"/>
        </w:rPr>
        <w:t xml:space="preserve"> spjatých se zaměstnáváním věz</w:t>
      </w:r>
      <w:r w:rsidR="00F2682E">
        <w:rPr>
          <w:rFonts w:ascii="Calibri" w:eastAsia="Times New Roman" w:hAnsi="Calibri" w:cs="Calibri"/>
          <w:sz w:val="24"/>
          <w:szCs w:val="24"/>
          <w:lang w:eastAsia="en-US"/>
        </w:rPr>
        <w:t>ňů a</w:t>
      </w:r>
      <w:r w:rsidR="000415BA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2968A3">
        <w:rPr>
          <w:rFonts w:ascii="Calibri" w:eastAsia="Times New Roman" w:hAnsi="Calibri" w:cs="Calibri"/>
          <w:sz w:val="24"/>
          <w:szCs w:val="24"/>
          <w:lang w:eastAsia="en-US"/>
        </w:rPr>
        <w:t xml:space="preserve">provozováním stavby,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jiný smluvní vztah, např. koncesní smlouva, uzavřen nebyl. </w:t>
      </w:r>
      <w:r>
        <w:rPr>
          <w:rFonts w:ascii="Calibri" w:eastAsia="Times New Roman" w:hAnsi="Calibri" w:cs="Calibri"/>
          <w:iCs/>
          <w:sz w:val="24"/>
          <w:szCs w:val="24"/>
          <w:lang w:eastAsia="en-US"/>
        </w:rPr>
        <w:t>VS ČR</w:t>
      </w:r>
      <w:r w:rsidRPr="00A35817">
        <w:rPr>
          <w:rFonts w:ascii="Calibri" w:eastAsia="Times New Roman" w:hAnsi="Calibri" w:cs="Calibri"/>
          <w:iCs/>
          <w:sz w:val="24"/>
          <w:szCs w:val="24"/>
          <w:lang w:eastAsia="en-US"/>
        </w:rPr>
        <w:t xml:space="preserve"> porušila ustanovení §</w:t>
      </w:r>
      <w:r w:rsidR="000415BA">
        <w:rPr>
          <w:rFonts w:ascii="Calibri" w:eastAsia="Times New Roman" w:hAnsi="Calibri" w:cs="Calibri"/>
          <w:iCs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iCs/>
          <w:sz w:val="24"/>
          <w:szCs w:val="24"/>
          <w:lang w:eastAsia="en-US"/>
        </w:rPr>
        <w:t>2 odst.</w:t>
      </w:r>
      <w:r w:rsidR="000415BA">
        <w:rPr>
          <w:rFonts w:ascii="Calibri" w:eastAsia="Times New Roman" w:hAnsi="Calibri" w:cs="Calibri"/>
          <w:iCs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iCs/>
          <w:sz w:val="24"/>
          <w:szCs w:val="24"/>
          <w:lang w:eastAsia="en-US"/>
        </w:rPr>
        <w:t>3 zákona č.</w:t>
      </w:r>
      <w:r w:rsidR="009A3A03">
        <w:rPr>
          <w:rFonts w:ascii="Calibri" w:eastAsia="Times New Roman" w:hAnsi="Calibri" w:cs="Calibri"/>
          <w:iCs/>
          <w:sz w:val="24"/>
          <w:szCs w:val="24"/>
          <w:lang w:eastAsia="en-US"/>
        </w:rPr>
        <w:t> </w:t>
      </w:r>
      <w:r w:rsidRPr="00A35817">
        <w:rPr>
          <w:rFonts w:ascii="Calibri" w:eastAsia="Times New Roman" w:hAnsi="Calibri" w:cs="Calibri"/>
          <w:iCs/>
          <w:sz w:val="24"/>
          <w:szCs w:val="24"/>
          <w:lang w:eastAsia="en-US"/>
        </w:rPr>
        <w:t xml:space="preserve">134/2016 Sb., </w:t>
      </w:r>
      <w:r w:rsidRPr="00A35817">
        <w:rPr>
          <w:rFonts w:ascii="Calibri" w:eastAsia="Times New Roman" w:hAnsi="Calibri" w:cs="Calibri"/>
          <w:bCs/>
          <w:sz w:val="24"/>
          <w:szCs w:val="24"/>
          <w:lang w:eastAsia="en-US"/>
        </w:rPr>
        <w:t>neboť veřejnou zakázku, která</w:t>
      </w:r>
      <w:r w:rsidR="00916F48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bCs/>
          <w:sz w:val="24"/>
          <w:szCs w:val="24"/>
          <w:lang w:eastAsia="en-US"/>
        </w:rPr>
        <w:t>vykazuj</w:t>
      </w:r>
      <w:r w:rsidR="00776CE4">
        <w:rPr>
          <w:rFonts w:ascii="Calibri" w:eastAsia="Times New Roman" w:hAnsi="Calibri" w:cs="Calibri"/>
          <w:bCs/>
          <w:sz w:val="24"/>
          <w:szCs w:val="24"/>
          <w:lang w:eastAsia="en-US"/>
        </w:rPr>
        <w:t>e</w:t>
      </w:r>
      <w:r w:rsidR="00916F48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</w:t>
      </w:r>
      <w:r w:rsidR="00776CE4">
        <w:rPr>
          <w:rFonts w:ascii="Calibri" w:eastAsia="Times New Roman" w:hAnsi="Calibri" w:cs="Calibri"/>
          <w:bCs/>
          <w:sz w:val="24"/>
          <w:szCs w:val="24"/>
          <w:lang w:eastAsia="en-US"/>
        </w:rPr>
        <w:t>podle ustanovení §</w:t>
      </w:r>
      <w:r w:rsidR="000415BA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bCs/>
          <w:sz w:val="24"/>
          <w:szCs w:val="24"/>
          <w:lang w:eastAsia="en-US"/>
        </w:rPr>
        <w:t>174</w:t>
      </w:r>
      <w:r w:rsidRPr="00A35817">
        <w:rPr>
          <w:rFonts w:ascii="Calibri" w:eastAsia="Times New Roman" w:hAnsi="Calibri" w:cs="Calibri"/>
          <w:bCs/>
          <w:i/>
          <w:sz w:val="24"/>
          <w:szCs w:val="24"/>
          <w:lang w:eastAsia="en-US"/>
        </w:rPr>
        <w:t xml:space="preserve"> </w:t>
      </w:r>
      <w:r w:rsidR="00916F48">
        <w:rPr>
          <w:rFonts w:ascii="Calibri" w:eastAsia="Times New Roman" w:hAnsi="Calibri" w:cs="Calibri"/>
          <w:iCs/>
          <w:sz w:val="24"/>
          <w:szCs w:val="24"/>
          <w:lang w:eastAsia="en-US"/>
        </w:rPr>
        <w:t>zákona č. </w:t>
      </w:r>
      <w:r w:rsidRPr="00A35817">
        <w:rPr>
          <w:rFonts w:ascii="Calibri" w:eastAsia="Times New Roman" w:hAnsi="Calibri" w:cs="Calibri"/>
          <w:iCs/>
          <w:sz w:val="24"/>
          <w:szCs w:val="24"/>
          <w:lang w:eastAsia="en-US"/>
        </w:rPr>
        <w:t>134/2016 Sb.</w:t>
      </w:r>
      <w:r w:rsidRPr="00A35817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znaky koncese, nezadala na základě koncesního</w:t>
      </w:r>
      <w:r w:rsidR="00916F48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řízení. </w:t>
      </w:r>
    </w:p>
    <w:p w14:paraId="19830B93" w14:textId="27511FB0" w:rsidR="009F6349" w:rsidRPr="00003387" w:rsidRDefault="009F6349" w:rsidP="00497852">
      <w:pPr>
        <w:widowControl/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387">
        <w:rPr>
          <w:rFonts w:asciiTheme="minorHAnsi" w:hAnsiTheme="minorHAnsi" w:cstheme="minorHAnsi"/>
          <w:b/>
          <w:sz w:val="24"/>
          <w:szCs w:val="24"/>
        </w:rPr>
        <w:t>Registr smluv</w:t>
      </w:r>
    </w:p>
    <w:p w14:paraId="1EFF89A6" w14:textId="7E2F99A1" w:rsidR="009F6349" w:rsidRPr="00BD2D3C" w:rsidRDefault="009F6349" w:rsidP="00287AB3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>VS ČR</w:t>
      </w:r>
      <w:r w:rsidRPr="00BD2D3C">
        <w:rPr>
          <w:rFonts w:asciiTheme="minorHAnsi" w:hAnsiTheme="minorHAnsi" w:cstheme="minorHAnsi"/>
          <w:bCs/>
        </w:rPr>
        <w:t xml:space="preserve"> porušila ustanovení §</w:t>
      </w:r>
      <w:r w:rsidR="009A3A03"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>5 odst.</w:t>
      </w:r>
      <w:r w:rsidR="009A3A03"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 xml:space="preserve">2 zákona </w:t>
      </w:r>
      <w:r>
        <w:rPr>
          <w:rFonts w:asciiTheme="minorHAnsi" w:hAnsiTheme="minorHAnsi" w:cstheme="minorHAnsi"/>
          <w:bCs/>
        </w:rPr>
        <w:t>č.</w:t>
      </w:r>
      <w:r w:rsidR="009A3A03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340/2015 Sb.</w:t>
      </w:r>
      <w:r w:rsidRPr="00BD2D3C">
        <w:rPr>
          <w:rFonts w:asciiTheme="minorHAnsi" w:hAnsiTheme="minorHAnsi" w:cstheme="minorHAnsi"/>
          <w:bCs/>
        </w:rPr>
        <w:t>, když jako povinná osoba dle ustanovení § 2 odst. 1 tohoto zákona nezaslal</w:t>
      </w:r>
      <w:r>
        <w:rPr>
          <w:rFonts w:asciiTheme="minorHAnsi" w:hAnsiTheme="minorHAnsi" w:cstheme="minorHAnsi"/>
          <w:bCs/>
        </w:rPr>
        <w:t>a</w:t>
      </w:r>
      <w:r w:rsidRPr="00BD2D3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tři </w:t>
      </w:r>
      <w:r w:rsidRPr="00BD2D3C">
        <w:rPr>
          <w:rFonts w:asciiTheme="minorHAnsi" w:hAnsiTheme="minorHAnsi" w:cstheme="minorHAnsi"/>
          <w:bCs/>
        </w:rPr>
        <w:t>smlouv</w:t>
      </w:r>
      <w:r>
        <w:rPr>
          <w:rFonts w:asciiTheme="minorHAnsi" w:hAnsiTheme="minorHAnsi" w:cstheme="minorHAnsi"/>
          <w:bCs/>
        </w:rPr>
        <w:t>y</w:t>
      </w:r>
      <w:r w:rsidRPr="00BD2D3C">
        <w:rPr>
          <w:rFonts w:asciiTheme="minorHAnsi" w:hAnsiTheme="minorHAnsi" w:cstheme="minorHAnsi"/>
          <w:bCs/>
        </w:rPr>
        <w:t xml:space="preserve"> správci registru smluv k</w:t>
      </w:r>
      <w:r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>uveřejnění</w:t>
      </w:r>
      <w:r>
        <w:rPr>
          <w:rFonts w:asciiTheme="minorHAnsi" w:hAnsiTheme="minorHAnsi" w:cstheme="minorHAnsi"/>
          <w:bCs/>
        </w:rPr>
        <w:t xml:space="preserve"> </w:t>
      </w:r>
      <w:r w:rsidRPr="00766EDA">
        <w:rPr>
          <w:lang w:eastAsia="en-US"/>
        </w:rPr>
        <w:t>nejpozději do 30 dnů od jejich uzavření</w:t>
      </w:r>
      <w:r w:rsidRPr="00BD2D3C">
        <w:rPr>
          <w:rFonts w:asciiTheme="minorHAnsi" w:hAnsiTheme="minorHAnsi" w:cstheme="minorHAnsi"/>
          <w:bCs/>
        </w:rPr>
        <w:t>. Vzhledem k tomu, že smlouv</w:t>
      </w:r>
      <w:r>
        <w:rPr>
          <w:rFonts w:asciiTheme="minorHAnsi" w:hAnsiTheme="minorHAnsi" w:cstheme="minorHAnsi"/>
          <w:bCs/>
        </w:rPr>
        <w:t>y</w:t>
      </w:r>
      <w:r w:rsidRPr="00BD2D3C">
        <w:rPr>
          <w:rFonts w:asciiTheme="minorHAnsi" w:hAnsiTheme="minorHAnsi" w:cstheme="minorHAnsi"/>
          <w:bCs/>
        </w:rPr>
        <w:t xml:space="preserve"> nebyl</w:t>
      </w:r>
      <w:r>
        <w:rPr>
          <w:rFonts w:asciiTheme="minorHAnsi" w:hAnsiTheme="minorHAnsi" w:cstheme="minorHAnsi"/>
          <w:bCs/>
        </w:rPr>
        <w:t>y</w:t>
      </w:r>
      <w:r w:rsidRPr="00BD2D3C">
        <w:rPr>
          <w:rFonts w:asciiTheme="minorHAnsi" w:hAnsiTheme="minorHAnsi" w:cstheme="minorHAnsi"/>
          <w:bCs/>
        </w:rPr>
        <w:t xml:space="preserve"> před provedením plat</w:t>
      </w:r>
      <w:r>
        <w:rPr>
          <w:rFonts w:asciiTheme="minorHAnsi" w:hAnsiTheme="minorHAnsi" w:cstheme="minorHAnsi"/>
          <w:bCs/>
        </w:rPr>
        <w:t>eb</w:t>
      </w:r>
      <w:r w:rsidRPr="00BD2D3C">
        <w:rPr>
          <w:rFonts w:asciiTheme="minorHAnsi" w:hAnsiTheme="minorHAnsi" w:cstheme="minorHAnsi"/>
          <w:bCs/>
        </w:rPr>
        <w:t xml:space="preserve"> za služby zveřejněn</w:t>
      </w:r>
      <w:r>
        <w:rPr>
          <w:rFonts w:asciiTheme="minorHAnsi" w:hAnsiTheme="minorHAnsi" w:cstheme="minorHAnsi"/>
          <w:bCs/>
        </w:rPr>
        <w:t>y</w:t>
      </w:r>
      <w:r w:rsidRPr="00BD2D3C">
        <w:rPr>
          <w:rFonts w:asciiTheme="minorHAnsi" w:hAnsiTheme="minorHAnsi" w:cstheme="minorHAnsi"/>
          <w:bCs/>
        </w:rPr>
        <w:t xml:space="preserve"> v registru smluv, nenabyl</w:t>
      </w:r>
      <w:r>
        <w:rPr>
          <w:rFonts w:asciiTheme="minorHAnsi" w:hAnsiTheme="minorHAnsi" w:cstheme="minorHAnsi"/>
          <w:bCs/>
        </w:rPr>
        <w:t xml:space="preserve">y </w:t>
      </w:r>
      <w:r w:rsidRPr="00BD2D3C">
        <w:rPr>
          <w:rFonts w:asciiTheme="minorHAnsi" w:hAnsiTheme="minorHAnsi" w:cstheme="minorHAnsi"/>
          <w:bCs/>
        </w:rPr>
        <w:t>dle ustanovení §</w:t>
      </w:r>
      <w:r w:rsidR="009A3A03"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>6 odst.</w:t>
      </w:r>
      <w:r w:rsidR="009A3A03"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 xml:space="preserve">1 tohoto zákona účinnosti. </w:t>
      </w:r>
      <w:r>
        <w:rPr>
          <w:rFonts w:asciiTheme="minorHAnsi" w:hAnsiTheme="minorHAnsi" w:cstheme="minorHAnsi"/>
          <w:bCs/>
        </w:rPr>
        <w:t>VS ČR</w:t>
      </w:r>
      <w:r w:rsidRPr="00BD2D3C">
        <w:rPr>
          <w:rFonts w:asciiTheme="minorHAnsi" w:hAnsiTheme="minorHAnsi" w:cstheme="minorHAnsi"/>
          <w:bCs/>
        </w:rPr>
        <w:t xml:space="preserve"> jako povinný subjekt dle zákona o registru smluv</w:t>
      </w:r>
      <w:r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>uhradil</w:t>
      </w:r>
      <w:r>
        <w:rPr>
          <w:rFonts w:asciiTheme="minorHAnsi" w:hAnsiTheme="minorHAnsi" w:cstheme="minorHAnsi"/>
          <w:bCs/>
        </w:rPr>
        <w:t>a</w:t>
      </w:r>
      <w:r w:rsidRPr="00BD2D3C">
        <w:rPr>
          <w:rFonts w:asciiTheme="minorHAnsi" w:hAnsiTheme="minorHAnsi" w:cstheme="minorHAnsi"/>
          <w:bCs/>
        </w:rPr>
        <w:t xml:space="preserve"> plnění z neúčinn</w:t>
      </w:r>
      <w:r>
        <w:rPr>
          <w:rFonts w:asciiTheme="minorHAnsi" w:hAnsiTheme="minorHAnsi" w:cstheme="minorHAnsi"/>
          <w:bCs/>
        </w:rPr>
        <w:t>ých smluv</w:t>
      </w:r>
      <w:r w:rsidRPr="00BD2D3C">
        <w:rPr>
          <w:rFonts w:asciiTheme="minorHAnsi" w:hAnsiTheme="minorHAnsi" w:cstheme="minorHAnsi"/>
          <w:bCs/>
        </w:rPr>
        <w:t xml:space="preserve"> a tímto výdajem porušil</w:t>
      </w:r>
      <w:r>
        <w:rPr>
          <w:rFonts w:asciiTheme="minorHAnsi" w:hAnsiTheme="minorHAnsi" w:cstheme="minorHAnsi"/>
          <w:bCs/>
        </w:rPr>
        <w:t>a</w:t>
      </w:r>
      <w:r w:rsidRPr="00BD2D3C">
        <w:rPr>
          <w:rFonts w:asciiTheme="minorHAnsi" w:hAnsiTheme="minorHAnsi" w:cstheme="minorHAnsi"/>
          <w:bCs/>
        </w:rPr>
        <w:t xml:space="preserve"> povinnost stanovenou právním předpisem. </w:t>
      </w:r>
      <w:r>
        <w:rPr>
          <w:rFonts w:asciiTheme="minorHAnsi" w:hAnsiTheme="minorHAnsi" w:cstheme="minorHAnsi"/>
          <w:bCs/>
        </w:rPr>
        <w:t>VS ČR</w:t>
      </w:r>
      <w:r w:rsidRPr="00BD2D3C">
        <w:rPr>
          <w:rFonts w:asciiTheme="minorHAnsi" w:hAnsiTheme="minorHAnsi" w:cstheme="minorHAnsi"/>
          <w:bCs/>
        </w:rPr>
        <w:t xml:space="preserve"> tak ve smyslu ustanovení § 3 písm. e) </w:t>
      </w:r>
      <w:r>
        <w:rPr>
          <w:rFonts w:asciiTheme="minorHAnsi" w:hAnsiTheme="minorHAnsi" w:cstheme="minorHAnsi"/>
          <w:bCs/>
        </w:rPr>
        <w:t>zákona č</w:t>
      </w:r>
      <w:r w:rsidR="000415BA">
        <w:rPr>
          <w:rFonts w:asciiTheme="minorHAnsi" w:hAnsiTheme="minorHAnsi" w:cstheme="minorHAnsi"/>
          <w:bCs/>
        </w:rPr>
        <w:t>.</w:t>
      </w:r>
      <w:r w:rsidR="009A3A03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218/2000 Sb.</w:t>
      </w:r>
      <w:r w:rsidRPr="00BD2D3C">
        <w:rPr>
          <w:rFonts w:asciiTheme="minorHAnsi" w:hAnsiTheme="minorHAnsi" w:cstheme="minorHAnsi"/>
          <w:bCs/>
        </w:rPr>
        <w:t xml:space="preserve"> neoprávněně použil</w:t>
      </w:r>
      <w:r>
        <w:rPr>
          <w:rFonts w:asciiTheme="minorHAnsi" w:hAnsiTheme="minorHAnsi" w:cstheme="minorHAnsi"/>
          <w:bCs/>
        </w:rPr>
        <w:t>a</w:t>
      </w:r>
      <w:r w:rsidRPr="00BD2D3C">
        <w:rPr>
          <w:rFonts w:asciiTheme="minorHAnsi" w:hAnsiTheme="minorHAnsi" w:cstheme="minorHAnsi"/>
          <w:bCs/>
        </w:rPr>
        <w:t xml:space="preserve"> peněžní prostředky státního rozpočtu v celkové výši 450 207 Kč. Dle ustanovení §</w:t>
      </w:r>
      <w:r w:rsidR="009A3A03"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>44 odst.</w:t>
      </w:r>
      <w:r w:rsidR="009A3A03"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>1 písm.</w:t>
      </w:r>
      <w:r w:rsidR="009A3A03">
        <w:rPr>
          <w:rFonts w:asciiTheme="minorHAnsi" w:hAnsiTheme="minorHAnsi" w:cstheme="minorHAnsi"/>
          <w:bCs/>
        </w:rPr>
        <w:t> </w:t>
      </w:r>
      <w:r w:rsidRPr="00BD2D3C">
        <w:rPr>
          <w:rFonts w:asciiTheme="minorHAnsi" w:hAnsiTheme="minorHAnsi" w:cstheme="minorHAnsi"/>
          <w:bCs/>
        </w:rPr>
        <w:t xml:space="preserve">a) </w:t>
      </w:r>
      <w:r>
        <w:rPr>
          <w:rFonts w:asciiTheme="minorHAnsi" w:hAnsiTheme="minorHAnsi" w:cstheme="minorHAnsi"/>
          <w:bCs/>
        </w:rPr>
        <w:t>tohoto zákona</w:t>
      </w:r>
      <w:r w:rsidRPr="00BD2D3C">
        <w:rPr>
          <w:rFonts w:asciiTheme="minorHAnsi" w:hAnsiTheme="minorHAnsi" w:cstheme="minorHAnsi"/>
          <w:bCs/>
        </w:rPr>
        <w:t xml:space="preserve"> je neoprávněné použití peněžních prostředků státního rozpočtu porušením rozpočtové kázně.</w:t>
      </w:r>
    </w:p>
    <w:p w14:paraId="425677B9" w14:textId="0B80E749" w:rsidR="009F6349" w:rsidRDefault="00BE6784" w:rsidP="00497852">
      <w:pPr>
        <w:widowControl/>
        <w:spacing w:before="360"/>
      </w:pPr>
      <w:r>
        <w:rPr>
          <w:rFonts w:asciiTheme="minorHAnsi" w:hAnsiTheme="minorHAnsi" w:cstheme="minorHAnsi"/>
          <w:b/>
          <w:sz w:val="24"/>
          <w:szCs w:val="24"/>
        </w:rPr>
        <w:t>2. Koncepce rozvoje českého vězeňství</w:t>
      </w:r>
    </w:p>
    <w:p w14:paraId="12D64C46" w14:textId="77777777" w:rsidR="000D7F50" w:rsidRDefault="000D7F50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8CB7A8" w14:textId="1DC467FE" w:rsidR="00367067" w:rsidRPr="00BD22CD" w:rsidRDefault="009B21B5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2.1 </w:t>
      </w:r>
      <w:r w:rsidR="00A35817" w:rsidRPr="00BD22CD">
        <w:rPr>
          <w:rFonts w:asciiTheme="minorHAnsi" w:hAnsiTheme="minorHAnsi" w:cstheme="minorHAnsi"/>
          <w:b/>
          <w:sz w:val="24"/>
          <w:szCs w:val="24"/>
        </w:rPr>
        <w:t>Koncepce 2015</w:t>
      </w:r>
    </w:p>
    <w:p w14:paraId="066E7D14" w14:textId="77777777" w:rsidR="007E53F9" w:rsidRPr="00A35817" w:rsidRDefault="004E7E59" w:rsidP="00287AB3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C4E2A">
        <w:rPr>
          <w:rFonts w:asciiTheme="minorHAnsi" w:hAnsiTheme="minorHAnsi" w:cstheme="minorHAnsi"/>
          <w:color w:val="000000" w:themeColor="text1"/>
          <w:sz w:val="24"/>
          <w:szCs w:val="24"/>
        </w:rPr>
        <w:t>V Koncepci 2015</w:t>
      </w:r>
      <w:r w:rsidR="007E53F9" w:rsidRPr="008C4E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bylo stanoveno 10 obecných strategických cílů, kterých mělo být v průběhu platnosti </w:t>
      </w:r>
      <w:r w:rsidR="007D3EFE" w:rsidRPr="008C4E2A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7E53F9" w:rsidRPr="008C4E2A">
        <w:rPr>
          <w:rFonts w:asciiTheme="minorHAnsi" w:hAnsiTheme="minorHAnsi" w:cstheme="minorHAnsi"/>
          <w:color w:val="000000" w:themeColor="text1"/>
          <w:sz w:val="24"/>
          <w:szCs w:val="24"/>
        </w:rPr>
        <w:t>oncepce 2015 dosaženo s</w:t>
      </w:r>
      <w:r w:rsidR="00AA0675" w:rsidRPr="008C4E2A">
        <w:rPr>
          <w:rFonts w:asciiTheme="minorHAnsi" w:hAnsiTheme="minorHAnsi" w:cstheme="minorHAnsi"/>
          <w:color w:val="000000" w:themeColor="text1"/>
          <w:sz w:val="24"/>
          <w:szCs w:val="24"/>
        </w:rPr>
        <w:t> tím, že</w:t>
      </w:r>
      <w:r w:rsidR="007E53F9" w:rsidRPr="008C4E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priority budou stanovovány až v průběhu její </w:t>
      </w:r>
      <w:r w:rsidR="008C4E2A" w:rsidRPr="008C4E2A">
        <w:rPr>
          <w:rFonts w:asciiTheme="minorHAnsi" w:hAnsiTheme="minorHAnsi" w:cstheme="minorHAnsi"/>
          <w:color w:val="000000" w:themeColor="text1"/>
          <w:sz w:val="24"/>
          <w:szCs w:val="24"/>
        </w:rPr>
        <w:t>realizace</w:t>
      </w:r>
      <w:r w:rsidR="007E53F9" w:rsidRPr="008C4E2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C121F6" w14:textId="4B3B8DE6" w:rsidR="007E53F9" w:rsidRPr="00A35817" w:rsidRDefault="007E53F9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>V letech 2008</w:t>
      </w:r>
      <w:r w:rsidR="0007306A">
        <w:rPr>
          <w:rFonts w:asciiTheme="minorHAnsi" w:hAnsiTheme="minorHAnsi" w:cstheme="minorHAnsi"/>
          <w:sz w:val="24"/>
          <w:szCs w:val="24"/>
        </w:rPr>
        <w:t>−</w:t>
      </w:r>
      <w:r w:rsidRPr="00A35817">
        <w:rPr>
          <w:rFonts w:asciiTheme="minorHAnsi" w:hAnsiTheme="minorHAnsi" w:cstheme="minorHAnsi"/>
          <w:sz w:val="24"/>
          <w:szCs w:val="24"/>
        </w:rPr>
        <w:t xml:space="preserve">2011 </w:t>
      </w:r>
      <w:r w:rsidRPr="00A35817">
        <w:rPr>
          <w:rFonts w:asciiTheme="minorHAnsi" w:hAnsiTheme="minorHAnsi" w:cstheme="minorHAnsi"/>
          <w:bCs/>
          <w:sz w:val="24"/>
          <w:szCs w:val="24"/>
        </w:rPr>
        <w:t xml:space="preserve">předkládala </w:t>
      </w:r>
      <w:r w:rsidR="0099697E">
        <w:rPr>
          <w:rFonts w:asciiTheme="minorHAnsi" w:hAnsiTheme="minorHAnsi" w:cstheme="minorHAnsi"/>
          <w:bCs/>
          <w:sz w:val="24"/>
          <w:szCs w:val="24"/>
        </w:rPr>
        <w:t>VS ČR</w:t>
      </w:r>
      <w:r w:rsidRPr="00A35817">
        <w:rPr>
          <w:rFonts w:asciiTheme="minorHAnsi" w:hAnsiTheme="minorHAnsi" w:cstheme="minorHAnsi"/>
          <w:bCs/>
          <w:sz w:val="24"/>
          <w:szCs w:val="24"/>
        </w:rPr>
        <w:t xml:space="preserve"> prostřednictvím MSp vyhodnocení plnění cílů Koncepce 2015 </w:t>
      </w:r>
      <w:r w:rsidRPr="00A35817">
        <w:rPr>
          <w:rFonts w:asciiTheme="minorHAnsi" w:hAnsiTheme="minorHAnsi" w:cstheme="minorHAnsi"/>
          <w:sz w:val="24"/>
          <w:szCs w:val="24"/>
        </w:rPr>
        <w:t xml:space="preserve">podvýboru pro vězeňství Poslanecké sněmovny Parlamentu ČR. Na základě žádosti generálního ředitele </w:t>
      </w:r>
      <w:r w:rsidR="0099697E">
        <w:rPr>
          <w:rFonts w:asciiTheme="minorHAnsi" w:hAnsiTheme="minorHAnsi" w:cstheme="minorHAnsi"/>
          <w:sz w:val="24"/>
          <w:szCs w:val="24"/>
        </w:rPr>
        <w:t>VS ČR</w:t>
      </w:r>
      <w:r w:rsidRPr="00A35817">
        <w:rPr>
          <w:rFonts w:asciiTheme="minorHAnsi" w:hAnsiTheme="minorHAnsi" w:cstheme="minorHAnsi"/>
          <w:sz w:val="24"/>
          <w:szCs w:val="24"/>
        </w:rPr>
        <w:t xml:space="preserve"> byl usnesením výboru pro obranu a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7D3EFE">
        <w:rPr>
          <w:rFonts w:asciiTheme="minorHAnsi" w:hAnsiTheme="minorHAnsi" w:cstheme="minorHAnsi"/>
          <w:sz w:val="24"/>
          <w:szCs w:val="24"/>
        </w:rPr>
        <w:t>bezpečnost č. 87 ze dne 23.</w:t>
      </w:r>
      <w:r w:rsidR="00560F7D">
        <w:rPr>
          <w:rFonts w:asciiTheme="minorHAnsi" w:hAnsiTheme="minorHAnsi" w:cstheme="minorHAnsi"/>
          <w:sz w:val="24"/>
          <w:szCs w:val="24"/>
        </w:rPr>
        <w:t xml:space="preserve"> </w:t>
      </w:r>
      <w:r w:rsidR="007D3EFE">
        <w:rPr>
          <w:rFonts w:asciiTheme="minorHAnsi" w:hAnsiTheme="minorHAnsi" w:cstheme="minorHAnsi"/>
          <w:sz w:val="24"/>
          <w:szCs w:val="24"/>
        </w:rPr>
        <w:t>11.</w:t>
      </w:r>
      <w:r w:rsidR="00560F7D">
        <w:rPr>
          <w:rFonts w:asciiTheme="minorHAnsi" w:hAnsiTheme="minorHAnsi" w:cstheme="minorHAnsi"/>
          <w:sz w:val="24"/>
          <w:szCs w:val="24"/>
        </w:rPr>
        <w:t xml:space="preserve"> </w:t>
      </w:r>
      <w:r w:rsidRPr="00A35817">
        <w:rPr>
          <w:rFonts w:asciiTheme="minorHAnsi" w:hAnsiTheme="minorHAnsi" w:cstheme="minorHAnsi"/>
          <w:sz w:val="24"/>
          <w:szCs w:val="24"/>
        </w:rPr>
        <w:t xml:space="preserve">2011 úkol </w:t>
      </w:r>
      <w:r w:rsidR="00AA0675" w:rsidRPr="00A35817">
        <w:rPr>
          <w:rFonts w:asciiTheme="minorHAnsi" w:hAnsiTheme="minorHAnsi" w:cstheme="minorHAnsi"/>
          <w:sz w:val="24"/>
          <w:szCs w:val="24"/>
        </w:rPr>
        <w:t>zrušen.</w:t>
      </w:r>
      <w:r w:rsidR="00F03D65">
        <w:rPr>
          <w:rFonts w:asciiTheme="minorHAnsi" w:hAnsiTheme="minorHAnsi" w:cstheme="minorHAnsi"/>
          <w:sz w:val="24"/>
          <w:szCs w:val="24"/>
        </w:rPr>
        <w:t xml:space="preserve"> VS ČR zdůvodnila </w:t>
      </w:r>
      <w:r w:rsidR="00560F7D">
        <w:rPr>
          <w:rFonts w:asciiTheme="minorHAnsi" w:hAnsiTheme="minorHAnsi" w:cstheme="minorHAnsi"/>
          <w:sz w:val="24"/>
          <w:szCs w:val="24"/>
        </w:rPr>
        <w:t xml:space="preserve">žádost </w:t>
      </w:r>
      <w:r w:rsidRPr="00A35817">
        <w:rPr>
          <w:rFonts w:asciiTheme="minorHAnsi" w:hAnsiTheme="minorHAnsi" w:cstheme="minorHAnsi"/>
          <w:sz w:val="24"/>
          <w:szCs w:val="24"/>
        </w:rPr>
        <w:t>ekonomick</w:t>
      </w:r>
      <w:r w:rsidR="00F03D65">
        <w:rPr>
          <w:rFonts w:asciiTheme="minorHAnsi" w:hAnsiTheme="minorHAnsi" w:cstheme="minorHAnsi"/>
          <w:sz w:val="24"/>
          <w:szCs w:val="24"/>
        </w:rPr>
        <w:t>ou situací</w:t>
      </w:r>
      <w:r w:rsidRPr="00A35817">
        <w:rPr>
          <w:rFonts w:asciiTheme="minorHAnsi" w:hAnsiTheme="minorHAnsi" w:cstheme="minorHAnsi"/>
          <w:sz w:val="24"/>
          <w:szCs w:val="24"/>
        </w:rPr>
        <w:t xml:space="preserve">, která neumožňovala rozvoj vězeňství v klíčových oblastech tak, jak Koncepce 2015 předpokládala. </w:t>
      </w:r>
    </w:p>
    <w:p w14:paraId="7784EFFA" w14:textId="46BF8B98" w:rsidR="007E53F9" w:rsidRPr="00A35817" w:rsidRDefault="007E53F9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 xml:space="preserve">MSp nepředložilo žádný dokument </w:t>
      </w:r>
      <w:r w:rsidR="00FA1D10">
        <w:rPr>
          <w:rFonts w:asciiTheme="minorHAnsi" w:hAnsiTheme="minorHAnsi" w:cstheme="minorHAnsi"/>
          <w:sz w:val="24"/>
          <w:szCs w:val="24"/>
        </w:rPr>
        <w:t>s celkovým</w:t>
      </w:r>
      <w:r w:rsidRPr="00A35817">
        <w:rPr>
          <w:rFonts w:asciiTheme="minorHAnsi" w:hAnsiTheme="minorHAnsi" w:cstheme="minorHAnsi"/>
          <w:sz w:val="24"/>
          <w:szCs w:val="24"/>
        </w:rPr>
        <w:t xml:space="preserve"> </w:t>
      </w:r>
      <w:r w:rsidR="00FA1D10">
        <w:rPr>
          <w:rFonts w:asciiTheme="minorHAnsi" w:hAnsiTheme="minorHAnsi" w:cstheme="minorHAnsi"/>
          <w:sz w:val="24"/>
          <w:szCs w:val="24"/>
        </w:rPr>
        <w:t>vyhodnocením</w:t>
      </w:r>
      <w:r w:rsidRPr="00A35817">
        <w:rPr>
          <w:rFonts w:asciiTheme="minorHAnsi" w:hAnsiTheme="minorHAnsi" w:cstheme="minorHAnsi"/>
          <w:sz w:val="24"/>
          <w:szCs w:val="24"/>
        </w:rPr>
        <w:t xml:space="preserve"> naplnění Koncepce 2015 a ani </w:t>
      </w:r>
      <w:r w:rsidRPr="00A35817">
        <w:rPr>
          <w:rFonts w:asciiTheme="minorHAnsi" w:hAnsiTheme="minorHAnsi" w:cstheme="minorHAnsi"/>
          <w:i/>
          <w:color w:val="000000"/>
          <w:sz w:val="24"/>
          <w:szCs w:val="24"/>
          <w:lang w:bidi="cs-CZ"/>
        </w:rPr>
        <w:t>Zpráva o stavu vězeňství v České republice za rok 2014</w:t>
      </w:r>
      <w:r w:rsidR="0007306A" w:rsidRPr="0007306A">
        <w:rPr>
          <w:rFonts w:asciiTheme="minorHAnsi" w:hAnsiTheme="minorHAnsi" w:cstheme="minorHAnsi"/>
          <w:color w:val="000000"/>
          <w:sz w:val="24"/>
          <w:szCs w:val="24"/>
          <w:lang w:bidi="cs-CZ"/>
        </w:rPr>
        <w:sym w:font="Symbol" w:char="F02D"/>
      </w:r>
      <w:r w:rsidRPr="00A35817">
        <w:rPr>
          <w:rFonts w:asciiTheme="minorHAnsi" w:hAnsiTheme="minorHAnsi" w:cstheme="minorHAnsi"/>
          <w:i/>
          <w:color w:val="000000"/>
          <w:sz w:val="24"/>
          <w:szCs w:val="24"/>
          <w:lang w:bidi="cs-CZ"/>
        </w:rPr>
        <w:t>2015</w:t>
      </w:r>
      <w:r w:rsidR="00AA0675" w:rsidRPr="00A35817">
        <w:rPr>
          <w:rFonts w:asciiTheme="minorHAnsi" w:hAnsiTheme="minorHAnsi" w:cstheme="minorHAnsi"/>
          <w:sz w:val="24"/>
          <w:szCs w:val="24"/>
        </w:rPr>
        <w:t>, která byla projednávána v podvýboru pro vězeňství Poslanecké sněmovny Parlamentu ČR</w:t>
      </w:r>
      <w:r w:rsidR="00A8597F">
        <w:rPr>
          <w:rFonts w:asciiTheme="minorHAnsi" w:hAnsiTheme="minorHAnsi" w:cstheme="minorHAnsi"/>
          <w:sz w:val="24"/>
          <w:szCs w:val="24"/>
        </w:rPr>
        <w:t>,</w:t>
      </w:r>
      <w:r w:rsidRPr="00A35817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neobsahovala žádné konečné hodnocení naplnění Koncepce 2015.</w:t>
      </w:r>
      <w:r w:rsidR="00AA0675" w:rsidRPr="00A35817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Pr="00A35817">
        <w:rPr>
          <w:rFonts w:asciiTheme="minorHAnsi" w:hAnsiTheme="minorHAnsi" w:cstheme="minorHAnsi"/>
          <w:sz w:val="24"/>
          <w:szCs w:val="24"/>
        </w:rPr>
        <w:t>Z údajů uvedených v</w:t>
      </w:r>
      <w:r w:rsidR="00AA0675" w:rsidRPr="00A35817">
        <w:rPr>
          <w:rFonts w:asciiTheme="minorHAnsi" w:hAnsiTheme="minorHAnsi" w:cstheme="minorHAnsi"/>
          <w:sz w:val="24"/>
          <w:szCs w:val="24"/>
        </w:rPr>
        <w:t> této z</w:t>
      </w:r>
      <w:r w:rsidRPr="00A35817">
        <w:rPr>
          <w:rFonts w:asciiTheme="minorHAnsi" w:hAnsiTheme="minorHAnsi" w:cstheme="minorHAnsi"/>
          <w:sz w:val="24"/>
          <w:szCs w:val="24"/>
        </w:rPr>
        <w:t xml:space="preserve">právě je však zřejmé, že do konce roku 2015 </w:t>
      </w:r>
      <w:r w:rsidR="003D1232">
        <w:rPr>
          <w:rFonts w:asciiTheme="minorHAnsi" w:hAnsiTheme="minorHAnsi" w:cstheme="minorHAnsi"/>
          <w:sz w:val="24"/>
          <w:szCs w:val="24"/>
        </w:rPr>
        <w:t xml:space="preserve">se </w:t>
      </w:r>
      <w:r w:rsidRPr="00A35817">
        <w:rPr>
          <w:rFonts w:asciiTheme="minorHAnsi" w:hAnsiTheme="minorHAnsi" w:cstheme="minorHAnsi"/>
          <w:sz w:val="24"/>
          <w:szCs w:val="24"/>
        </w:rPr>
        <w:t xml:space="preserve">nepodařilo naplnit většinu strategických cílů a prioritních záměrů. Zejména se </w:t>
      </w:r>
      <w:r w:rsidR="00560F7D" w:rsidRPr="00A35817">
        <w:rPr>
          <w:rFonts w:asciiTheme="minorHAnsi" w:hAnsiTheme="minorHAnsi" w:cstheme="minorHAnsi"/>
          <w:sz w:val="24"/>
          <w:szCs w:val="24"/>
        </w:rPr>
        <w:t xml:space="preserve">v průběhu deseti let </w:t>
      </w:r>
      <w:r w:rsidRPr="00A35817">
        <w:rPr>
          <w:rFonts w:asciiTheme="minorHAnsi" w:hAnsiTheme="minorHAnsi" w:cstheme="minorHAnsi"/>
          <w:sz w:val="24"/>
          <w:szCs w:val="24"/>
        </w:rPr>
        <w:t>nepodařilo zvýšit zaměstnanost vězněných osob na 60 %, zaměstnávat obviněné během výkonu vazby,</w:t>
      </w:r>
      <w:r w:rsidRPr="00A358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35817">
        <w:rPr>
          <w:rFonts w:asciiTheme="minorHAnsi" w:hAnsiTheme="minorHAnsi" w:cstheme="minorHAnsi"/>
          <w:sz w:val="24"/>
          <w:szCs w:val="24"/>
        </w:rPr>
        <w:t>dosáhnou</w:t>
      </w:r>
      <w:r w:rsidR="0001228F">
        <w:rPr>
          <w:rFonts w:asciiTheme="minorHAnsi" w:hAnsiTheme="minorHAnsi" w:cstheme="minorHAnsi"/>
          <w:sz w:val="24"/>
          <w:szCs w:val="24"/>
        </w:rPr>
        <w:t>t</w:t>
      </w:r>
      <w:r w:rsidRPr="00A35817">
        <w:rPr>
          <w:rFonts w:asciiTheme="minorHAnsi" w:hAnsiTheme="minorHAnsi" w:cstheme="minorHAnsi"/>
          <w:sz w:val="24"/>
          <w:szCs w:val="24"/>
        </w:rPr>
        <w:t xml:space="preserve"> plánované ubytovací plochy na jednoho vězně, </w:t>
      </w:r>
      <w:r w:rsidRPr="00A35817">
        <w:rPr>
          <w:rFonts w:asciiTheme="minorHAnsi" w:eastAsiaTheme="minorHAnsi" w:hAnsiTheme="minorHAnsi" w:cstheme="minorHAnsi"/>
          <w:sz w:val="24"/>
          <w:szCs w:val="24"/>
        </w:rPr>
        <w:t>z</w:t>
      </w:r>
      <w:r w:rsidRPr="00A35817">
        <w:rPr>
          <w:rFonts w:asciiTheme="minorHAnsi" w:hAnsiTheme="minorHAnsi" w:cstheme="minorHAnsi"/>
          <w:sz w:val="24"/>
          <w:szCs w:val="24"/>
        </w:rPr>
        <w:t>jednodušit strukturu vězeňských zařízení, nahradit zastaralé a opotřebované bezpečnostní systémy a připravit zahájení výstavby nejméně jedné nové věznice, případně i za účasti privátního sektoru.</w:t>
      </w:r>
      <w:r w:rsidR="006521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62FAFC" w14:textId="77777777" w:rsidR="00366126" w:rsidRDefault="00366126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0B3A84" w14:textId="4C526113" w:rsidR="00A35817" w:rsidRPr="00A35817" w:rsidRDefault="00106C5A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2.2 </w:t>
      </w:r>
      <w:r w:rsidR="00A35817" w:rsidRPr="00A35817">
        <w:rPr>
          <w:rFonts w:asciiTheme="minorHAnsi" w:hAnsiTheme="minorHAnsi" w:cstheme="minorHAnsi"/>
          <w:b/>
          <w:sz w:val="24"/>
          <w:szCs w:val="24"/>
        </w:rPr>
        <w:t>Koncepce 2025</w:t>
      </w:r>
    </w:p>
    <w:p w14:paraId="7DD0BD01" w14:textId="5D38D3A7" w:rsidR="00A35817" w:rsidRPr="00A35817" w:rsidRDefault="00367067" w:rsidP="00497852">
      <w:pPr>
        <w:widowControl/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 xml:space="preserve">Jednotlivé kapitoly </w:t>
      </w:r>
      <w:r w:rsidR="00B21BDD" w:rsidRPr="007D3EFE">
        <w:rPr>
          <w:rFonts w:asciiTheme="minorHAnsi" w:hAnsiTheme="minorHAnsi" w:cstheme="minorHAnsi"/>
          <w:color w:val="000000" w:themeColor="text1"/>
          <w:sz w:val="24"/>
          <w:szCs w:val="24"/>
        </w:rPr>
        <w:t>Koncepce 2025</w:t>
      </w:r>
      <w:r w:rsidR="00B21BDD" w:rsidRPr="007D3EFE">
        <w:rPr>
          <w:rFonts w:asciiTheme="minorHAnsi" w:hAnsiTheme="minorHAnsi" w:cstheme="minorHAnsi"/>
          <w:sz w:val="24"/>
          <w:szCs w:val="24"/>
        </w:rPr>
        <w:t xml:space="preserve"> </w:t>
      </w:r>
      <w:r w:rsidRPr="00A35817">
        <w:rPr>
          <w:rFonts w:asciiTheme="minorHAnsi" w:hAnsiTheme="minorHAnsi" w:cstheme="minorHAnsi"/>
          <w:sz w:val="24"/>
          <w:szCs w:val="24"/>
        </w:rPr>
        <w:t xml:space="preserve">obsahují popis problematiky, cíle a popis současného stavu s označením problematických oblastí, které </w:t>
      </w:r>
      <w:r w:rsidR="00B21BDD" w:rsidRPr="00A35817">
        <w:rPr>
          <w:rFonts w:asciiTheme="minorHAnsi" w:hAnsiTheme="minorHAnsi" w:cstheme="minorHAnsi"/>
          <w:sz w:val="24"/>
          <w:szCs w:val="24"/>
        </w:rPr>
        <w:t xml:space="preserve">jsou </w:t>
      </w:r>
      <w:r w:rsidRPr="00A35817">
        <w:rPr>
          <w:rFonts w:asciiTheme="minorHAnsi" w:hAnsiTheme="minorHAnsi" w:cstheme="minorHAnsi"/>
          <w:sz w:val="24"/>
          <w:szCs w:val="24"/>
        </w:rPr>
        <w:t xml:space="preserve">koncepcí </w:t>
      </w:r>
      <w:r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řešeny.</w:t>
      </w:r>
      <w:r w:rsidR="00B21BDD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 rámci těchto kapitol je stanoveno 17 základních strategických cílů, které jsou rozveden</w:t>
      </w:r>
      <w:r w:rsidR="003604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do 66 specifických cílů </w:t>
      </w:r>
      <w:r w:rsidR="00FD0DF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36044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FD0D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044C">
        <w:rPr>
          <w:rFonts w:asciiTheme="minorHAnsi" w:hAnsiTheme="minorHAnsi" w:cstheme="minorHAnsi"/>
          <w:color w:val="000000" w:themeColor="text1"/>
          <w:sz w:val="24"/>
          <w:szCs w:val="24"/>
        </w:rPr>
        <w:t>352</w:t>
      </w:r>
      <w:r w:rsidR="00FD0D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21BDD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nástrojů k jejich dosažení.</w:t>
      </w:r>
      <w:r w:rsidR="007D3E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A35817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řevážně se však jedná o neměřitelné cíle, jejichž míru </w:t>
      </w:r>
      <w:r w:rsidR="00A35817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naplnění nelze vyhodnotit. Ani v případě cílů</w:t>
      </w:r>
      <w:r w:rsidR="00560F7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A35817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je zvýšení zaměstnanosti, snížení míry recidivy vězňů apod.</w:t>
      </w:r>
      <w:r w:rsidR="00560F7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A35817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není stanovena cílová hodnota.</w:t>
      </w:r>
    </w:p>
    <w:p w14:paraId="4BEFD483" w14:textId="6119FF34" w:rsidR="003F4760" w:rsidRPr="003F4760" w:rsidRDefault="00A35817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color w:val="000000"/>
          <w:sz w:val="24"/>
          <w:szCs w:val="24"/>
        </w:rPr>
        <w:t xml:space="preserve">Jediným specifickým cílem se stanovenou cílovou hodnotou je </w:t>
      </w:r>
      <w:r w:rsidR="0013347B">
        <w:rPr>
          <w:rFonts w:asciiTheme="minorHAnsi" w:hAnsiTheme="minorHAnsi" w:cstheme="minorHAnsi"/>
          <w:color w:val="000000"/>
          <w:sz w:val="24"/>
          <w:szCs w:val="24"/>
        </w:rPr>
        <w:t xml:space="preserve">cíl </w:t>
      </w:r>
      <w:r w:rsidR="009C5B30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560F7D" w:rsidRPr="00287AB3">
        <w:rPr>
          <w:rFonts w:asciiTheme="minorHAnsi" w:hAnsiTheme="minorHAnsi" w:cstheme="minorHAnsi"/>
          <w:i/>
          <w:color w:val="000000"/>
          <w:sz w:val="24"/>
          <w:szCs w:val="24"/>
        </w:rPr>
        <w:t>d</w:t>
      </w:r>
      <w:r w:rsidRPr="00287AB3">
        <w:rPr>
          <w:rFonts w:asciiTheme="minorHAnsi" w:hAnsiTheme="minorHAnsi" w:cstheme="minorHAnsi"/>
          <w:i/>
          <w:color w:val="000000"/>
          <w:sz w:val="24"/>
          <w:szCs w:val="24"/>
        </w:rPr>
        <w:t>osažení ubytovacího standardu reprezentovaného ubytovací plochou 6 m² na jednu vězněnou osobu</w:t>
      </w:r>
      <w:r w:rsidRPr="00A35817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9C5B3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3F4760" w:rsidRPr="003F4760">
        <w:rPr>
          <w:rFonts w:asciiTheme="minorHAnsi" w:hAnsiTheme="minorHAnsi" w:cstheme="minorHAnsi"/>
          <w:sz w:val="24"/>
          <w:szCs w:val="24"/>
        </w:rPr>
        <w:t xml:space="preserve">MSp dosud nezahájilo úkony k provedení legislativních změn </w:t>
      </w:r>
      <w:r w:rsidR="009C5B30">
        <w:rPr>
          <w:rFonts w:asciiTheme="minorHAnsi" w:hAnsiTheme="minorHAnsi" w:cstheme="minorHAnsi"/>
          <w:sz w:val="24"/>
          <w:szCs w:val="24"/>
        </w:rPr>
        <w:t>nutných k naplnění tohoto cíle</w:t>
      </w:r>
      <w:r w:rsidR="00560F7D">
        <w:rPr>
          <w:rFonts w:asciiTheme="minorHAnsi" w:hAnsiTheme="minorHAnsi" w:cstheme="minorHAnsi"/>
          <w:sz w:val="24"/>
          <w:szCs w:val="24"/>
        </w:rPr>
        <w:t>, což zdůvodnilo tím,</w:t>
      </w:r>
      <w:r w:rsidR="009C5B30">
        <w:rPr>
          <w:rFonts w:asciiTheme="minorHAnsi" w:hAnsiTheme="minorHAnsi" w:cstheme="minorHAnsi"/>
          <w:sz w:val="24"/>
          <w:szCs w:val="24"/>
        </w:rPr>
        <w:t xml:space="preserve"> </w:t>
      </w:r>
      <w:r w:rsidR="003F4760" w:rsidRPr="003F4760">
        <w:rPr>
          <w:rFonts w:asciiTheme="minorHAnsi" w:hAnsiTheme="minorHAnsi" w:cstheme="minorHAnsi"/>
          <w:sz w:val="24"/>
          <w:szCs w:val="24"/>
        </w:rPr>
        <w:t xml:space="preserve">že </w:t>
      </w:r>
      <w:r w:rsidR="00560F7D">
        <w:rPr>
          <w:rFonts w:asciiTheme="minorHAnsi" w:hAnsiTheme="minorHAnsi" w:cstheme="minorHAnsi"/>
          <w:sz w:val="24"/>
          <w:szCs w:val="24"/>
        </w:rPr>
        <w:t>pro zajištění standardu 6 </w:t>
      </w:r>
      <w:r w:rsidR="00560F7D" w:rsidRPr="003F4760">
        <w:rPr>
          <w:rFonts w:asciiTheme="minorHAnsi" w:hAnsiTheme="minorHAnsi" w:cstheme="minorHAnsi"/>
          <w:sz w:val="24"/>
          <w:szCs w:val="24"/>
        </w:rPr>
        <w:t>m²</w:t>
      </w:r>
      <w:r w:rsidR="00560F7D">
        <w:rPr>
          <w:rFonts w:asciiTheme="minorHAnsi" w:hAnsiTheme="minorHAnsi" w:cstheme="minorHAnsi"/>
          <w:sz w:val="24"/>
          <w:szCs w:val="24"/>
        </w:rPr>
        <w:t xml:space="preserve"> </w:t>
      </w:r>
      <w:r w:rsidR="003F4760" w:rsidRPr="003F4760">
        <w:rPr>
          <w:rFonts w:asciiTheme="minorHAnsi" w:hAnsiTheme="minorHAnsi" w:cstheme="minorHAnsi"/>
          <w:sz w:val="24"/>
          <w:szCs w:val="24"/>
        </w:rPr>
        <w:t>není dostatek finančních prostředků</w:t>
      </w:r>
      <w:r w:rsidR="00F85E46">
        <w:rPr>
          <w:rFonts w:asciiTheme="minorHAnsi" w:hAnsiTheme="minorHAnsi" w:cstheme="minorHAnsi"/>
          <w:sz w:val="24"/>
          <w:szCs w:val="24"/>
        </w:rPr>
        <w:t>.</w:t>
      </w:r>
    </w:p>
    <w:p w14:paraId="028890AB" w14:textId="77777777" w:rsidR="000D7F50" w:rsidRDefault="000D7F50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7BA8B4" w14:textId="3D6050F2" w:rsidR="007B64F2" w:rsidRPr="00A35817" w:rsidRDefault="00106C5A" w:rsidP="00497852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2.3 </w:t>
      </w:r>
      <w:r w:rsidR="00A35817" w:rsidRPr="00A35817">
        <w:rPr>
          <w:rFonts w:asciiTheme="minorHAnsi" w:hAnsiTheme="minorHAnsi" w:cstheme="minorHAnsi"/>
          <w:b/>
          <w:sz w:val="24"/>
          <w:szCs w:val="24"/>
        </w:rPr>
        <w:t>Akční plány</w:t>
      </w:r>
    </w:p>
    <w:p w14:paraId="2703F1A3" w14:textId="62E1B33E" w:rsidR="003A3150" w:rsidRPr="003A3150" w:rsidRDefault="003A3150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3A3150">
        <w:rPr>
          <w:rFonts w:asciiTheme="minorHAnsi" w:hAnsiTheme="minorHAnsi" w:cstheme="minorHAnsi"/>
          <w:sz w:val="24"/>
          <w:szCs w:val="24"/>
        </w:rPr>
        <w:t>V Koncepci 2025 je uvedeno, že jednotlivé kapitoly budou následně rozpracovány do akčních plánů na období 1</w:t>
      </w:r>
      <w:r w:rsidR="000B34E6">
        <w:rPr>
          <w:rFonts w:asciiTheme="minorHAnsi" w:hAnsiTheme="minorHAnsi" w:cstheme="minorHAnsi"/>
          <w:sz w:val="24"/>
          <w:szCs w:val="24"/>
        </w:rPr>
        <w:t>−</w:t>
      </w:r>
      <w:r w:rsidRPr="003A3150">
        <w:rPr>
          <w:rFonts w:asciiTheme="minorHAnsi" w:hAnsiTheme="minorHAnsi" w:cstheme="minorHAnsi"/>
          <w:sz w:val="24"/>
          <w:szCs w:val="24"/>
        </w:rPr>
        <w:t>5 let, v nichž budou rozepsány jednotlivé cíle a nástroje k jejich dosažení</w:t>
      </w:r>
      <w:r w:rsidR="00394A02">
        <w:rPr>
          <w:rFonts w:asciiTheme="minorHAnsi" w:hAnsiTheme="minorHAnsi" w:cstheme="minorHAnsi"/>
          <w:sz w:val="24"/>
          <w:szCs w:val="24"/>
        </w:rPr>
        <w:t xml:space="preserve"> </w:t>
      </w:r>
      <w:r w:rsidR="006C4B49">
        <w:rPr>
          <w:rFonts w:asciiTheme="minorHAnsi" w:hAnsiTheme="minorHAnsi" w:cstheme="minorHAnsi"/>
          <w:sz w:val="24"/>
          <w:szCs w:val="24"/>
        </w:rPr>
        <w:t>s </w:t>
      </w:r>
      <w:r w:rsidR="00394A02">
        <w:rPr>
          <w:rFonts w:asciiTheme="minorHAnsi" w:hAnsiTheme="minorHAnsi" w:cstheme="minorHAnsi"/>
          <w:sz w:val="24"/>
          <w:szCs w:val="24"/>
        </w:rPr>
        <w:t>p</w:t>
      </w:r>
      <w:r w:rsidRPr="003A3150">
        <w:rPr>
          <w:rFonts w:asciiTheme="minorHAnsi" w:hAnsiTheme="minorHAnsi" w:cstheme="minorHAnsi"/>
          <w:sz w:val="24"/>
          <w:szCs w:val="24"/>
        </w:rPr>
        <w:t>řesn</w:t>
      </w:r>
      <w:r w:rsidR="006C4B49">
        <w:rPr>
          <w:rFonts w:asciiTheme="minorHAnsi" w:hAnsiTheme="minorHAnsi" w:cstheme="minorHAnsi"/>
          <w:sz w:val="24"/>
          <w:szCs w:val="24"/>
        </w:rPr>
        <w:t>ým</w:t>
      </w:r>
      <w:r w:rsidRPr="003A3150">
        <w:rPr>
          <w:rFonts w:asciiTheme="minorHAnsi" w:hAnsiTheme="minorHAnsi" w:cstheme="minorHAnsi"/>
          <w:sz w:val="24"/>
          <w:szCs w:val="24"/>
        </w:rPr>
        <w:t xml:space="preserve"> harmonogram</w:t>
      </w:r>
      <w:r w:rsidR="006C4B49">
        <w:rPr>
          <w:rFonts w:asciiTheme="minorHAnsi" w:hAnsiTheme="minorHAnsi" w:cstheme="minorHAnsi"/>
          <w:sz w:val="24"/>
          <w:szCs w:val="24"/>
        </w:rPr>
        <w:t>em</w:t>
      </w:r>
      <w:r w:rsidRPr="003A3150">
        <w:rPr>
          <w:rFonts w:asciiTheme="minorHAnsi" w:hAnsiTheme="minorHAnsi" w:cstheme="minorHAnsi"/>
          <w:sz w:val="24"/>
          <w:szCs w:val="24"/>
        </w:rPr>
        <w:t>, předpokládan</w:t>
      </w:r>
      <w:r w:rsidR="006C4B49">
        <w:rPr>
          <w:rFonts w:asciiTheme="minorHAnsi" w:hAnsiTheme="minorHAnsi" w:cstheme="minorHAnsi"/>
          <w:sz w:val="24"/>
          <w:szCs w:val="24"/>
        </w:rPr>
        <w:t>ým</w:t>
      </w:r>
      <w:r w:rsidRPr="003A3150">
        <w:rPr>
          <w:rFonts w:asciiTheme="minorHAnsi" w:hAnsiTheme="minorHAnsi" w:cstheme="minorHAnsi"/>
          <w:sz w:val="24"/>
          <w:szCs w:val="24"/>
        </w:rPr>
        <w:t xml:space="preserve"> finanční</w:t>
      </w:r>
      <w:r w:rsidR="006C4B49">
        <w:rPr>
          <w:rFonts w:asciiTheme="minorHAnsi" w:hAnsiTheme="minorHAnsi" w:cstheme="minorHAnsi"/>
          <w:sz w:val="24"/>
          <w:szCs w:val="24"/>
        </w:rPr>
        <w:t>m</w:t>
      </w:r>
      <w:r w:rsidRPr="003A3150">
        <w:rPr>
          <w:rFonts w:asciiTheme="minorHAnsi" w:hAnsiTheme="minorHAnsi" w:cstheme="minorHAnsi"/>
          <w:sz w:val="24"/>
          <w:szCs w:val="24"/>
        </w:rPr>
        <w:t xml:space="preserve"> rám</w:t>
      </w:r>
      <w:r w:rsidR="006C4B49">
        <w:rPr>
          <w:rFonts w:asciiTheme="minorHAnsi" w:hAnsiTheme="minorHAnsi" w:cstheme="minorHAnsi"/>
          <w:sz w:val="24"/>
          <w:szCs w:val="24"/>
        </w:rPr>
        <w:t>cem</w:t>
      </w:r>
      <w:r w:rsidRPr="003A3150">
        <w:rPr>
          <w:rFonts w:asciiTheme="minorHAnsi" w:hAnsiTheme="minorHAnsi" w:cstheme="minorHAnsi"/>
          <w:sz w:val="24"/>
          <w:szCs w:val="24"/>
        </w:rPr>
        <w:t>, odpovědnost</w:t>
      </w:r>
      <w:r w:rsidR="006C4B49">
        <w:rPr>
          <w:rFonts w:asciiTheme="minorHAnsi" w:hAnsiTheme="minorHAnsi" w:cstheme="minorHAnsi"/>
          <w:sz w:val="24"/>
          <w:szCs w:val="24"/>
        </w:rPr>
        <w:t>í</w:t>
      </w:r>
      <w:r w:rsidRPr="003A3150">
        <w:rPr>
          <w:rFonts w:asciiTheme="minorHAnsi" w:hAnsiTheme="minorHAnsi" w:cstheme="minorHAnsi"/>
          <w:sz w:val="24"/>
          <w:szCs w:val="24"/>
        </w:rPr>
        <w:t xml:space="preserve"> za realizaci </w:t>
      </w:r>
      <w:r w:rsidR="006C4B49">
        <w:rPr>
          <w:rFonts w:asciiTheme="minorHAnsi" w:hAnsiTheme="minorHAnsi" w:cstheme="minorHAnsi"/>
          <w:sz w:val="24"/>
          <w:szCs w:val="24"/>
        </w:rPr>
        <w:t xml:space="preserve">a s </w:t>
      </w:r>
      <w:r w:rsidRPr="003A3150">
        <w:rPr>
          <w:rFonts w:asciiTheme="minorHAnsi" w:hAnsiTheme="minorHAnsi" w:cstheme="minorHAnsi"/>
          <w:sz w:val="24"/>
          <w:szCs w:val="24"/>
        </w:rPr>
        <w:t>konkrétní</w:t>
      </w:r>
      <w:r w:rsidR="006C4B49">
        <w:rPr>
          <w:rFonts w:asciiTheme="minorHAnsi" w:hAnsiTheme="minorHAnsi" w:cstheme="minorHAnsi"/>
          <w:sz w:val="24"/>
          <w:szCs w:val="24"/>
        </w:rPr>
        <w:t>mi</w:t>
      </w:r>
      <w:r w:rsidRPr="003A3150">
        <w:rPr>
          <w:rFonts w:asciiTheme="minorHAnsi" w:hAnsiTheme="minorHAnsi" w:cstheme="minorHAnsi"/>
          <w:sz w:val="24"/>
          <w:szCs w:val="24"/>
        </w:rPr>
        <w:t xml:space="preserve"> návrhy případných legislativních úprav.</w:t>
      </w:r>
      <w:r w:rsidR="002A6241">
        <w:rPr>
          <w:rFonts w:asciiTheme="minorHAnsi" w:hAnsiTheme="minorHAnsi" w:cstheme="minorHAnsi"/>
          <w:sz w:val="24"/>
          <w:szCs w:val="24"/>
        </w:rPr>
        <w:t xml:space="preserve"> </w:t>
      </w:r>
      <w:r w:rsidR="00535969">
        <w:rPr>
          <w:rFonts w:asciiTheme="minorHAnsi" w:hAnsiTheme="minorHAnsi" w:cstheme="minorHAnsi"/>
          <w:sz w:val="24"/>
          <w:szCs w:val="24"/>
        </w:rPr>
        <w:t>K</w:t>
      </w:r>
      <w:r w:rsidR="00535969" w:rsidRPr="003A3150">
        <w:rPr>
          <w:rFonts w:asciiTheme="minorHAnsi" w:hAnsiTheme="minorHAnsi" w:cstheme="minorHAnsi"/>
          <w:sz w:val="24"/>
          <w:szCs w:val="24"/>
        </w:rPr>
        <w:t xml:space="preserve">e každému z 352 nástrojů uvedených v Koncepci </w:t>
      </w:r>
      <w:r w:rsidR="00535969">
        <w:rPr>
          <w:rFonts w:asciiTheme="minorHAnsi" w:hAnsiTheme="minorHAnsi" w:cstheme="minorHAnsi"/>
          <w:sz w:val="24"/>
          <w:szCs w:val="24"/>
        </w:rPr>
        <w:t xml:space="preserve">2025 tak </w:t>
      </w:r>
      <w:r w:rsidR="00535969" w:rsidRPr="003A3150">
        <w:rPr>
          <w:rFonts w:asciiTheme="minorHAnsi" w:hAnsiTheme="minorHAnsi" w:cstheme="minorHAnsi"/>
          <w:sz w:val="24"/>
          <w:szCs w:val="24"/>
        </w:rPr>
        <w:t xml:space="preserve">má být v průběhu </w:t>
      </w:r>
      <w:r w:rsidR="00535969">
        <w:rPr>
          <w:rFonts w:asciiTheme="minorHAnsi" w:hAnsiTheme="minorHAnsi" w:cstheme="minorHAnsi"/>
          <w:sz w:val="24"/>
          <w:szCs w:val="24"/>
        </w:rPr>
        <w:t xml:space="preserve">její </w:t>
      </w:r>
      <w:r w:rsidR="005D7BA8">
        <w:rPr>
          <w:rFonts w:asciiTheme="minorHAnsi" w:hAnsiTheme="minorHAnsi" w:cstheme="minorHAnsi"/>
          <w:sz w:val="24"/>
          <w:szCs w:val="24"/>
        </w:rPr>
        <w:t>realizace</w:t>
      </w:r>
      <w:r w:rsidR="00535969" w:rsidRPr="003A3150">
        <w:rPr>
          <w:rFonts w:asciiTheme="minorHAnsi" w:hAnsiTheme="minorHAnsi" w:cstheme="minorHAnsi"/>
          <w:sz w:val="24"/>
          <w:szCs w:val="24"/>
        </w:rPr>
        <w:t xml:space="preserve"> přiřazen jeden </w:t>
      </w:r>
      <w:r w:rsidR="005D7BA8">
        <w:rPr>
          <w:rFonts w:asciiTheme="minorHAnsi" w:hAnsiTheme="minorHAnsi" w:cstheme="minorHAnsi"/>
          <w:sz w:val="24"/>
          <w:szCs w:val="24"/>
        </w:rPr>
        <w:t>nebo</w:t>
      </w:r>
      <w:r w:rsidR="00535969" w:rsidRPr="003A3150">
        <w:rPr>
          <w:rFonts w:asciiTheme="minorHAnsi" w:hAnsiTheme="minorHAnsi" w:cstheme="minorHAnsi"/>
          <w:sz w:val="24"/>
          <w:szCs w:val="24"/>
        </w:rPr>
        <w:t xml:space="preserve"> více </w:t>
      </w:r>
      <w:r w:rsidR="00535969">
        <w:rPr>
          <w:rFonts w:asciiTheme="minorHAnsi" w:hAnsiTheme="minorHAnsi" w:cstheme="minorHAnsi"/>
          <w:sz w:val="24"/>
          <w:szCs w:val="24"/>
        </w:rPr>
        <w:t xml:space="preserve">dílčích </w:t>
      </w:r>
      <w:r w:rsidR="00535969" w:rsidRPr="003A3150">
        <w:rPr>
          <w:rFonts w:asciiTheme="minorHAnsi" w:hAnsiTheme="minorHAnsi" w:cstheme="minorHAnsi"/>
          <w:sz w:val="24"/>
          <w:szCs w:val="24"/>
        </w:rPr>
        <w:t>úkolů.</w:t>
      </w:r>
    </w:p>
    <w:p w14:paraId="75E5FA75" w14:textId="4FA14C81" w:rsidR="009757A2" w:rsidRDefault="009757A2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3A3150">
        <w:rPr>
          <w:rFonts w:asciiTheme="minorHAnsi" w:hAnsiTheme="minorHAnsi" w:cstheme="minorHAnsi"/>
          <w:sz w:val="24"/>
          <w:szCs w:val="24"/>
        </w:rPr>
        <w:t xml:space="preserve">Na základě dokumentů </w:t>
      </w:r>
      <w:r w:rsidRPr="001D1061">
        <w:rPr>
          <w:rFonts w:asciiTheme="minorHAnsi" w:hAnsiTheme="minorHAnsi" w:cstheme="minorHAnsi"/>
          <w:sz w:val="24"/>
          <w:szCs w:val="24"/>
        </w:rPr>
        <w:t xml:space="preserve">MSp </w:t>
      </w:r>
      <w:r w:rsidRPr="00287AB3">
        <w:rPr>
          <w:rFonts w:asciiTheme="minorHAnsi" w:hAnsiTheme="minorHAnsi" w:cstheme="minorHAnsi"/>
          <w:i/>
          <w:sz w:val="24"/>
          <w:szCs w:val="24"/>
        </w:rPr>
        <w:t>Priority akčního plánu na roky 2016−2017</w:t>
      </w:r>
      <w:r w:rsidRPr="003A3150">
        <w:rPr>
          <w:rFonts w:asciiTheme="minorHAnsi" w:hAnsiTheme="minorHAnsi" w:cstheme="minorHAnsi"/>
          <w:sz w:val="24"/>
          <w:szCs w:val="24"/>
        </w:rPr>
        <w:t xml:space="preserve"> a</w:t>
      </w:r>
      <w:r w:rsidR="00BC5479">
        <w:rPr>
          <w:rFonts w:asciiTheme="minorHAnsi" w:hAnsiTheme="minorHAnsi" w:cstheme="minorHAnsi"/>
          <w:sz w:val="24"/>
          <w:szCs w:val="24"/>
        </w:rPr>
        <w:t xml:space="preserve"> </w:t>
      </w:r>
      <w:r w:rsidRPr="00287AB3">
        <w:rPr>
          <w:rFonts w:asciiTheme="minorHAnsi" w:hAnsiTheme="minorHAnsi" w:cstheme="minorHAnsi"/>
          <w:i/>
          <w:sz w:val="24"/>
          <w:szCs w:val="24"/>
        </w:rPr>
        <w:t>Strategické úkoly ministra spravedlnosti a Sekce trestní politiky k Akčnímu plánu Koncepce vězeňství do roku 2025 pro rok 2018</w:t>
      </w:r>
      <w:r w:rsidRPr="001D1061">
        <w:rPr>
          <w:rFonts w:asciiTheme="minorHAnsi" w:hAnsiTheme="minorHAnsi" w:cstheme="minorHAnsi"/>
          <w:sz w:val="24"/>
          <w:szCs w:val="24"/>
        </w:rPr>
        <w:t xml:space="preserve"> byly do AP doplněny další úkoly.</w:t>
      </w:r>
    </w:p>
    <w:p w14:paraId="1B5459DC" w14:textId="77777777" w:rsidR="00761510" w:rsidRDefault="00761510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5D59B16F" w14:textId="39916ECC" w:rsidR="00253EBB" w:rsidRDefault="00253EBB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AP</w:t>
      </w:r>
      <w:r w:rsidRPr="003A315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bylo </w:t>
      </w:r>
      <w:r w:rsidR="00535969">
        <w:rPr>
          <w:rFonts w:asciiTheme="minorHAnsi" w:hAnsiTheme="minorHAnsi" w:cstheme="minorHAnsi"/>
          <w:sz w:val="24"/>
          <w:szCs w:val="24"/>
        </w:rPr>
        <w:t xml:space="preserve">u každého z dílčích úkolů </w:t>
      </w:r>
      <w:r w:rsidRPr="003A3150">
        <w:rPr>
          <w:rFonts w:asciiTheme="minorHAnsi" w:hAnsiTheme="minorHAnsi" w:cstheme="minorHAnsi"/>
          <w:sz w:val="24"/>
          <w:szCs w:val="24"/>
        </w:rPr>
        <w:t xml:space="preserve">uvedeno </w:t>
      </w:r>
      <w:r w:rsidR="00535969">
        <w:rPr>
          <w:rFonts w:asciiTheme="minorHAnsi" w:hAnsiTheme="minorHAnsi" w:cstheme="minorHAnsi"/>
          <w:sz w:val="24"/>
          <w:szCs w:val="24"/>
        </w:rPr>
        <w:t xml:space="preserve">jeho </w:t>
      </w:r>
      <w:r w:rsidRPr="003A3150">
        <w:rPr>
          <w:rFonts w:asciiTheme="minorHAnsi" w:hAnsiTheme="minorHAnsi" w:cstheme="minorHAnsi"/>
          <w:sz w:val="24"/>
          <w:szCs w:val="24"/>
        </w:rPr>
        <w:t>znění, te</w:t>
      </w:r>
      <w:r w:rsidR="00A07581">
        <w:rPr>
          <w:rFonts w:asciiTheme="minorHAnsi" w:hAnsiTheme="minorHAnsi" w:cstheme="minorHAnsi"/>
          <w:sz w:val="24"/>
          <w:szCs w:val="24"/>
        </w:rPr>
        <w:t>rmín realizace, hlavní gestor a </w:t>
      </w:r>
      <w:r w:rsidRPr="003A3150">
        <w:rPr>
          <w:rFonts w:asciiTheme="minorHAnsi" w:hAnsiTheme="minorHAnsi" w:cstheme="minorHAnsi"/>
          <w:sz w:val="24"/>
          <w:szCs w:val="24"/>
        </w:rPr>
        <w:t>indikátor</w:t>
      </w:r>
      <w:r w:rsidR="00F96F45">
        <w:rPr>
          <w:rFonts w:asciiTheme="minorHAnsi" w:hAnsiTheme="minorHAnsi" w:cstheme="minorHAnsi"/>
          <w:sz w:val="24"/>
          <w:szCs w:val="24"/>
        </w:rPr>
        <w:t xml:space="preserve">, </w:t>
      </w:r>
      <w:r w:rsidR="00F96F45" w:rsidRPr="00F96F45">
        <w:rPr>
          <w:rFonts w:asciiTheme="minorHAnsi" w:hAnsiTheme="minorHAnsi" w:cstheme="minorHAnsi"/>
          <w:sz w:val="24"/>
          <w:szCs w:val="24"/>
        </w:rPr>
        <w:t>kterým byla zpráva, návrh, analýza, ustanovení pracovní skupiny, formulář apod.</w:t>
      </w:r>
      <w:r w:rsidR="00003387">
        <w:rPr>
          <w:rFonts w:asciiTheme="minorHAnsi" w:hAnsiTheme="minorHAnsi" w:cstheme="minorHAnsi"/>
          <w:sz w:val="24"/>
          <w:szCs w:val="24"/>
        </w:rPr>
        <w:t xml:space="preserve"> </w:t>
      </w:r>
      <w:r w:rsidRPr="003A3150">
        <w:rPr>
          <w:rFonts w:asciiTheme="minorHAnsi" w:hAnsiTheme="minorHAnsi" w:cstheme="minorHAnsi"/>
          <w:sz w:val="24"/>
          <w:szCs w:val="24"/>
        </w:rPr>
        <w:t>Předpokládané náklady byly uvedeny pouze u minimálního počtu stanovených úkolů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494861" w14:textId="0F9CA19D" w:rsidR="00E9295C" w:rsidRPr="00195AF9" w:rsidRDefault="00A0739A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r w:rsidR="001D1061">
        <w:rPr>
          <w:rFonts w:asciiTheme="minorHAnsi" w:hAnsiTheme="minorHAnsi" w:cstheme="minorHAnsi"/>
          <w:sz w:val="24"/>
          <w:szCs w:val="24"/>
        </w:rPr>
        <w:t>AP</w:t>
      </w:r>
      <w:r w:rsidRPr="003A315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2016</w:t>
      </w:r>
      <w:r w:rsidR="0007306A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2019 bylo stanoveno celkem 606 úkolů</w:t>
      </w:r>
      <w:r w:rsidR="00374441" w:rsidRPr="00386A53">
        <w:rPr>
          <w:rFonts w:asciiTheme="minorHAnsi" w:hAnsiTheme="minorHAnsi" w:cstheme="minorHAnsi"/>
          <w:sz w:val="24"/>
          <w:szCs w:val="24"/>
        </w:rPr>
        <w:t xml:space="preserve"> </w:t>
      </w:r>
      <w:r w:rsidR="00386A53" w:rsidRPr="00386A53">
        <w:rPr>
          <w:rFonts w:asciiTheme="minorHAnsi" w:hAnsiTheme="minorHAnsi" w:cstheme="minorHAnsi"/>
          <w:sz w:val="24"/>
          <w:szCs w:val="24"/>
        </w:rPr>
        <w:t>(</w:t>
      </w:r>
      <w:r w:rsidR="00374441" w:rsidRPr="00386A53">
        <w:rPr>
          <w:rFonts w:asciiTheme="minorHAnsi" w:hAnsiTheme="minorHAnsi" w:cstheme="minorHAnsi"/>
          <w:sz w:val="24"/>
          <w:szCs w:val="24"/>
        </w:rPr>
        <w:t xml:space="preserve">376 </w:t>
      </w:r>
      <w:r w:rsidR="00F96F45">
        <w:rPr>
          <w:rFonts w:asciiTheme="minorHAnsi" w:hAnsiTheme="minorHAnsi" w:cstheme="minorHAnsi"/>
          <w:sz w:val="24"/>
          <w:szCs w:val="24"/>
        </w:rPr>
        <w:t>v AP</w:t>
      </w:r>
      <w:r w:rsidR="00374441" w:rsidRPr="00386A53">
        <w:rPr>
          <w:rFonts w:asciiTheme="minorHAnsi" w:hAnsiTheme="minorHAnsi" w:cstheme="minorHAnsi"/>
          <w:sz w:val="24"/>
          <w:szCs w:val="24"/>
        </w:rPr>
        <w:t xml:space="preserve"> 2016,</w:t>
      </w:r>
      <w:r w:rsidR="00AC0073">
        <w:rPr>
          <w:rFonts w:asciiTheme="minorHAnsi" w:hAnsiTheme="minorHAnsi" w:cstheme="minorHAnsi"/>
          <w:sz w:val="24"/>
          <w:szCs w:val="24"/>
        </w:rPr>
        <w:t xml:space="preserve"> </w:t>
      </w:r>
      <w:r w:rsidR="00374441" w:rsidRPr="00386A53">
        <w:rPr>
          <w:rFonts w:asciiTheme="minorHAnsi" w:hAnsiTheme="minorHAnsi" w:cstheme="minorHAnsi"/>
          <w:sz w:val="24"/>
          <w:szCs w:val="24"/>
        </w:rPr>
        <w:t xml:space="preserve">101 </w:t>
      </w:r>
      <w:r w:rsidR="00F96F45">
        <w:rPr>
          <w:rFonts w:asciiTheme="minorHAnsi" w:hAnsiTheme="minorHAnsi" w:cstheme="minorHAnsi"/>
          <w:sz w:val="24"/>
          <w:szCs w:val="24"/>
        </w:rPr>
        <w:t>v AP</w:t>
      </w:r>
      <w:r w:rsidR="00374441" w:rsidRPr="00386A53">
        <w:rPr>
          <w:rFonts w:asciiTheme="minorHAnsi" w:hAnsiTheme="minorHAnsi" w:cstheme="minorHAnsi"/>
          <w:sz w:val="24"/>
          <w:szCs w:val="24"/>
        </w:rPr>
        <w:t xml:space="preserve"> 2017, 78 </w:t>
      </w:r>
      <w:r w:rsidR="00F96F45">
        <w:rPr>
          <w:rFonts w:asciiTheme="minorHAnsi" w:hAnsiTheme="minorHAnsi" w:cstheme="minorHAnsi"/>
          <w:sz w:val="24"/>
          <w:szCs w:val="24"/>
        </w:rPr>
        <w:t>v AP</w:t>
      </w:r>
      <w:r w:rsidR="00374441" w:rsidRPr="00386A53">
        <w:rPr>
          <w:rFonts w:asciiTheme="minorHAnsi" w:hAnsiTheme="minorHAnsi" w:cstheme="minorHAnsi"/>
          <w:sz w:val="24"/>
          <w:szCs w:val="24"/>
        </w:rPr>
        <w:t xml:space="preserve"> 2018 a 51 </w:t>
      </w:r>
      <w:r w:rsidR="00F96F45">
        <w:rPr>
          <w:rFonts w:asciiTheme="minorHAnsi" w:hAnsiTheme="minorHAnsi" w:cstheme="minorHAnsi"/>
          <w:sz w:val="24"/>
          <w:szCs w:val="24"/>
        </w:rPr>
        <w:t>v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F96F45">
        <w:rPr>
          <w:rFonts w:asciiTheme="minorHAnsi" w:hAnsiTheme="minorHAnsi" w:cstheme="minorHAnsi"/>
          <w:sz w:val="24"/>
          <w:szCs w:val="24"/>
        </w:rPr>
        <w:t>AP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374441" w:rsidRPr="00386A53">
        <w:rPr>
          <w:rFonts w:asciiTheme="minorHAnsi" w:hAnsiTheme="minorHAnsi" w:cstheme="minorHAnsi"/>
          <w:sz w:val="24"/>
          <w:szCs w:val="24"/>
        </w:rPr>
        <w:t>2019</w:t>
      </w:r>
      <w:r w:rsidR="00386A53" w:rsidRPr="00386A53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  <w:r w:rsidR="00374441">
        <w:rPr>
          <w:rFonts w:asciiTheme="minorHAnsi" w:hAnsiTheme="minorHAnsi" w:cstheme="minorHAnsi"/>
          <w:sz w:val="24"/>
          <w:szCs w:val="24"/>
        </w:rPr>
        <w:t xml:space="preserve"> Počet nových úkolů </w:t>
      </w:r>
      <w:r w:rsidR="00386A53">
        <w:rPr>
          <w:rFonts w:asciiTheme="minorHAnsi" w:hAnsiTheme="minorHAnsi" w:cstheme="minorHAnsi"/>
          <w:sz w:val="24"/>
          <w:szCs w:val="24"/>
        </w:rPr>
        <w:t xml:space="preserve">sice </w:t>
      </w:r>
      <w:r w:rsidR="00374441">
        <w:rPr>
          <w:rFonts w:asciiTheme="minorHAnsi" w:hAnsiTheme="minorHAnsi" w:cstheme="minorHAnsi"/>
          <w:sz w:val="24"/>
          <w:szCs w:val="24"/>
        </w:rPr>
        <w:t>postupně kl</w:t>
      </w:r>
      <w:r w:rsidR="004B4CDA">
        <w:rPr>
          <w:rFonts w:asciiTheme="minorHAnsi" w:hAnsiTheme="minorHAnsi" w:cstheme="minorHAnsi"/>
          <w:sz w:val="24"/>
          <w:szCs w:val="24"/>
        </w:rPr>
        <w:t>esá, ale přetrvávají víceleté a </w:t>
      </w:r>
      <w:r w:rsidR="00374441">
        <w:rPr>
          <w:rFonts w:asciiTheme="minorHAnsi" w:hAnsiTheme="minorHAnsi" w:cstheme="minorHAnsi"/>
          <w:sz w:val="24"/>
          <w:szCs w:val="24"/>
        </w:rPr>
        <w:t xml:space="preserve">průběžné úkoly z předchozích </w:t>
      </w:r>
      <w:r w:rsidR="001D1061">
        <w:rPr>
          <w:rFonts w:asciiTheme="minorHAnsi" w:hAnsiTheme="minorHAnsi" w:cstheme="minorHAnsi"/>
          <w:sz w:val="24"/>
          <w:szCs w:val="24"/>
        </w:rPr>
        <w:t>AP</w:t>
      </w:r>
      <w:r w:rsidR="00374441">
        <w:rPr>
          <w:rFonts w:asciiTheme="minorHAnsi" w:hAnsiTheme="minorHAnsi" w:cstheme="minorHAnsi"/>
          <w:sz w:val="24"/>
          <w:szCs w:val="24"/>
        </w:rPr>
        <w:t>.</w:t>
      </w:r>
      <w:r w:rsidR="00AC0073">
        <w:rPr>
          <w:rFonts w:asciiTheme="minorHAnsi" w:hAnsiTheme="minorHAnsi" w:cstheme="minorHAnsi"/>
          <w:sz w:val="24"/>
          <w:szCs w:val="24"/>
        </w:rPr>
        <w:t xml:space="preserve"> </w:t>
      </w:r>
      <w:r w:rsidR="00B3269A" w:rsidRPr="00A35817">
        <w:rPr>
          <w:rFonts w:ascii="Calibri" w:hAnsi="Calibri" w:cs="Calibri"/>
          <w:color w:val="000000"/>
          <w:sz w:val="24"/>
          <w:szCs w:val="24"/>
        </w:rPr>
        <w:t xml:space="preserve">Například z úkolů stanovených </w:t>
      </w:r>
      <w:r w:rsidR="001D1061">
        <w:rPr>
          <w:rFonts w:ascii="Calibri" w:hAnsi="Calibri" w:cs="Calibri"/>
          <w:color w:val="000000"/>
          <w:sz w:val="24"/>
          <w:szCs w:val="24"/>
        </w:rPr>
        <w:t>v AP</w:t>
      </w:r>
      <w:r w:rsidR="00B3269A" w:rsidRPr="00A35817">
        <w:rPr>
          <w:rFonts w:ascii="Calibri" w:hAnsi="Calibri" w:cs="Calibri"/>
          <w:color w:val="000000"/>
          <w:sz w:val="24"/>
          <w:szCs w:val="24"/>
        </w:rPr>
        <w:t xml:space="preserve"> 2016 měla být </w:t>
      </w:r>
      <w:r w:rsidR="00B3269A">
        <w:rPr>
          <w:rFonts w:ascii="Calibri" w:hAnsi="Calibri" w:cs="Calibri"/>
          <w:color w:val="000000"/>
          <w:sz w:val="24"/>
          <w:szCs w:val="24"/>
        </w:rPr>
        <w:t>polovina</w:t>
      </w:r>
      <w:r w:rsidR="00B3269A" w:rsidRPr="00A35817">
        <w:rPr>
          <w:rFonts w:ascii="Calibri" w:hAnsi="Calibri" w:cs="Calibri"/>
          <w:color w:val="000000"/>
          <w:sz w:val="24"/>
          <w:szCs w:val="24"/>
        </w:rPr>
        <w:t xml:space="preserve"> úkolů prováděna i v následujících letech</w:t>
      </w:r>
      <w:r w:rsidR="000B34E6">
        <w:rPr>
          <w:rFonts w:ascii="Calibri" w:hAnsi="Calibri" w:cs="Calibri"/>
          <w:color w:val="000000"/>
          <w:sz w:val="24"/>
          <w:szCs w:val="24"/>
        </w:rPr>
        <w:t>,</w:t>
      </w:r>
      <w:r w:rsidR="007D4013" w:rsidRPr="007D4013">
        <w:rPr>
          <w:rFonts w:ascii="Calibri" w:eastAsia="Times New Roman" w:hAnsi="Calibri"/>
          <w:sz w:val="24"/>
          <w:szCs w:val="25"/>
        </w:rPr>
        <w:t xml:space="preserve"> </w:t>
      </w:r>
      <w:r w:rsidR="007D4013">
        <w:rPr>
          <w:rFonts w:ascii="Calibri" w:eastAsia="Times New Roman" w:hAnsi="Calibri"/>
          <w:sz w:val="24"/>
          <w:szCs w:val="25"/>
        </w:rPr>
        <w:t>a</w:t>
      </w:r>
      <w:r w:rsidR="00A8597F">
        <w:rPr>
          <w:rFonts w:ascii="Calibri" w:eastAsia="Times New Roman" w:hAnsi="Calibri"/>
          <w:sz w:val="24"/>
          <w:szCs w:val="25"/>
        </w:rPr>
        <w:t>le</w:t>
      </w:r>
      <w:r w:rsidR="007D4013">
        <w:rPr>
          <w:rFonts w:ascii="Calibri" w:eastAsia="Times New Roman" w:hAnsi="Calibri"/>
          <w:sz w:val="24"/>
          <w:szCs w:val="25"/>
        </w:rPr>
        <w:t xml:space="preserve"> tyto úkoly již nebyly součástí AP na následující roky</w:t>
      </w:r>
      <w:r w:rsidR="00B3269A" w:rsidRPr="00A3581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E9295C">
        <w:rPr>
          <w:rFonts w:asciiTheme="minorHAnsi" w:hAnsiTheme="minorHAnsi" w:cstheme="minorHAnsi"/>
          <w:sz w:val="24"/>
          <w:szCs w:val="24"/>
        </w:rPr>
        <w:t>Gestorem úkolů byl</w:t>
      </w:r>
      <w:r w:rsidR="006023B5">
        <w:rPr>
          <w:rFonts w:asciiTheme="minorHAnsi" w:hAnsiTheme="minorHAnsi" w:cstheme="minorHAnsi"/>
          <w:sz w:val="24"/>
          <w:szCs w:val="24"/>
        </w:rPr>
        <w:t>y kromě VS</w:t>
      </w:r>
      <w:r w:rsidR="009A3A03">
        <w:rPr>
          <w:rFonts w:asciiTheme="minorHAnsi" w:hAnsiTheme="minorHAnsi" w:cstheme="minorHAnsi"/>
          <w:sz w:val="24"/>
          <w:szCs w:val="24"/>
        </w:rPr>
        <w:t> </w:t>
      </w:r>
      <w:r w:rsidR="006023B5">
        <w:rPr>
          <w:rFonts w:asciiTheme="minorHAnsi" w:hAnsiTheme="minorHAnsi" w:cstheme="minorHAnsi"/>
          <w:sz w:val="24"/>
          <w:szCs w:val="24"/>
        </w:rPr>
        <w:t xml:space="preserve">ČR a MSp i </w:t>
      </w:r>
      <w:r w:rsidR="00E9295C" w:rsidRPr="00195AF9">
        <w:rPr>
          <w:rFonts w:asciiTheme="minorHAnsi" w:hAnsiTheme="minorHAnsi" w:cstheme="minorHAnsi"/>
          <w:sz w:val="24"/>
          <w:szCs w:val="24"/>
        </w:rPr>
        <w:t>Ministerstvo práce a</w:t>
      </w:r>
      <w:r w:rsidR="00BC5479">
        <w:rPr>
          <w:rFonts w:asciiTheme="minorHAnsi" w:hAnsiTheme="minorHAnsi" w:cstheme="minorHAnsi"/>
          <w:sz w:val="24"/>
          <w:szCs w:val="24"/>
        </w:rPr>
        <w:t xml:space="preserve"> </w:t>
      </w:r>
      <w:r w:rsidR="00E9295C" w:rsidRPr="00195AF9">
        <w:rPr>
          <w:rFonts w:asciiTheme="minorHAnsi" w:hAnsiTheme="minorHAnsi" w:cstheme="minorHAnsi"/>
          <w:sz w:val="24"/>
          <w:szCs w:val="24"/>
        </w:rPr>
        <w:t>sociálních věcí, Úřad práce</w:t>
      </w:r>
      <w:r w:rsidR="00BC5479">
        <w:rPr>
          <w:rFonts w:asciiTheme="minorHAnsi" w:hAnsiTheme="minorHAnsi" w:cstheme="minorHAnsi"/>
          <w:sz w:val="24"/>
          <w:szCs w:val="24"/>
        </w:rPr>
        <w:t xml:space="preserve"> ČR</w:t>
      </w:r>
      <w:r w:rsidR="00E9295C" w:rsidRPr="00195AF9">
        <w:rPr>
          <w:rFonts w:asciiTheme="minorHAnsi" w:hAnsiTheme="minorHAnsi" w:cstheme="minorHAnsi"/>
          <w:sz w:val="24"/>
          <w:szCs w:val="24"/>
        </w:rPr>
        <w:t>, Institut pro kriminologii a sociální prevenci a Probační a mediační služba.</w:t>
      </w:r>
      <w:r w:rsidR="006023B5" w:rsidRPr="006023B5">
        <w:rPr>
          <w:rFonts w:asciiTheme="minorHAnsi" w:hAnsiTheme="minorHAnsi" w:cstheme="minorHAnsi"/>
          <w:sz w:val="24"/>
          <w:szCs w:val="24"/>
        </w:rPr>
        <w:t xml:space="preserve"> </w:t>
      </w:r>
      <w:r w:rsidR="006023B5">
        <w:rPr>
          <w:rFonts w:asciiTheme="minorHAnsi" w:hAnsiTheme="minorHAnsi" w:cstheme="minorHAnsi"/>
          <w:sz w:val="24"/>
          <w:szCs w:val="24"/>
        </w:rPr>
        <w:t>VS ČR byla zodpovědná za realizaci 90 % úkolů a MSp za realizaci 7 % úkolů</w:t>
      </w:r>
      <w:r w:rsidR="005D7BA8" w:rsidRPr="005D7BA8">
        <w:rPr>
          <w:rFonts w:asciiTheme="minorHAnsi" w:hAnsiTheme="minorHAnsi" w:cstheme="minorHAnsi"/>
          <w:sz w:val="24"/>
          <w:szCs w:val="24"/>
        </w:rPr>
        <w:t xml:space="preserve"> </w:t>
      </w:r>
      <w:r w:rsidR="005D7BA8">
        <w:rPr>
          <w:rFonts w:asciiTheme="minorHAnsi" w:hAnsiTheme="minorHAnsi" w:cstheme="minorHAnsi"/>
          <w:sz w:val="24"/>
          <w:szCs w:val="24"/>
        </w:rPr>
        <w:t>stanovených v AP</w:t>
      </w:r>
      <w:r w:rsidR="006023B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6A9232" w14:textId="06F0BB09" w:rsidR="003A3150" w:rsidRPr="00287AB3" w:rsidRDefault="00535969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Přes velký počet stanovených úkolů nebyly p</w:t>
      </w:r>
      <w:r w:rsidR="003A3150" w:rsidRPr="003A3150">
        <w:rPr>
          <w:rFonts w:asciiTheme="minorHAnsi" w:hAnsiTheme="minorHAnsi" w:cstheme="minorHAnsi"/>
          <w:sz w:val="24"/>
          <w:szCs w:val="24"/>
        </w:rPr>
        <w:t>ro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3A3150" w:rsidRPr="003A3150">
        <w:rPr>
          <w:rFonts w:asciiTheme="minorHAnsi" w:hAnsiTheme="minorHAnsi" w:cstheme="minorHAnsi"/>
          <w:sz w:val="24"/>
          <w:szCs w:val="24"/>
        </w:rPr>
        <w:t xml:space="preserve">některé specifické cíle </w:t>
      </w:r>
      <w:r w:rsidR="00373F94">
        <w:rPr>
          <w:rFonts w:asciiTheme="minorHAnsi" w:hAnsiTheme="minorHAnsi" w:cstheme="minorHAnsi"/>
          <w:sz w:val="24"/>
          <w:szCs w:val="24"/>
        </w:rPr>
        <w:t xml:space="preserve">a nástroje </w:t>
      </w:r>
      <w:r w:rsidR="003A3150" w:rsidRPr="003A3150">
        <w:rPr>
          <w:rFonts w:asciiTheme="minorHAnsi" w:hAnsiTheme="minorHAnsi" w:cstheme="minorHAnsi"/>
          <w:sz w:val="24"/>
          <w:szCs w:val="24"/>
        </w:rPr>
        <w:t>ještě v </w:t>
      </w:r>
      <w:r w:rsidR="00573D0D">
        <w:rPr>
          <w:rFonts w:asciiTheme="minorHAnsi" w:hAnsiTheme="minorHAnsi" w:cstheme="minorHAnsi"/>
          <w:sz w:val="24"/>
          <w:szCs w:val="24"/>
        </w:rPr>
        <w:t>AP</w:t>
      </w:r>
      <w:r w:rsidR="003A3150" w:rsidRPr="003A3150">
        <w:rPr>
          <w:rFonts w:asciiTheme="minorHAnsi" w:hAnsiTheme="minorHAnsi" w:cstheme="minorHAnsi"/>
          <w:sz w:val="24"/>
          <w:szCs w:val="24"/>
        </w:rPr>
        <w:t xml:space="preserve"> 2016</w:t>
      </w:r>
      <w:r w:rsidR="0007306A">
        <w:rPr>
          <w:rFonts w:asciiTheme="minorHAnsi" w:hAnsiTheme="minorHAnsi" w:cstheme="minorHAnsi"/>
          <w:sz w:val="24"/>
          <w:szCs w:val="24"/>
        </w:rPr>
        <w:sym w:font="Symbol" w:char="F02D"/>
      </w:r>
      <w:r w:rsidR="003A3150" w:rsidRPr="003A3150">
        <w:rPr>
          <w:rFonts w:asciiTheme="minorHAnsi" w:hAnsiTheme="minorHAnsi" w:cstheme="minorHAnsi"/>
          <w:sz w:val="24"/>
          <w:szCs w:val="24"/>
        </w:rPr>
        <w:t xml:space="preserve">2019 </w:t>
      </w:r>
      <w:r w:rsidR="006C25F2">
        <w:rPr>
          <w:rFonts w:asciiTheme="minorHAnsi" w:hAnsiTheme="minorHAnsi" w:cstheme="minorHAnsi"/>
          <w:sz w:val="24"/>
          <w:szCs w:val="24"/>
        </w:rPr>
        <w:t xml:space="preserve">určeny </w:t>
      </w:r>
      <w:r w:rsidR="003A3150" w:rsidRPr="003A3150">
        <w:rPr>
          <w:rFonts w:asciiTheme="minorHAnsi" w:hAnsiTheme="minorHAnsi" w:cstheme="minorHAnsi"/>
          <w:sz w:val="24"/>
          <w:szCs w:val="24"/>
        </w:rPr>
        <w:t>žádné úkoly</w:t>
      </w:r>
      <w:r w:rsidR="00373F94">
        <w:rPr>
          <w:rFonts w:asciiTheme="minorHAnsi" w:hAnsiTheme="minorHAnsi" w:cstheme="minorHAnsi"/>
          <w:sz w:val="24"/>
          <w:szCs w:val="24"/>
        </w:rPr>
        <w:t xml:space="preserve">. </w:t>
      </w:r>
      <w:r w:rsidR="003A3150" w:rsidRPr="003A3150">
        <w:rPr>
          <w:rFonts w:asciiTheme="minorHAnsi" w:hAnsiTheme="minorHAnsi" w:cstheme="minorHAnsi"/>
          <w:sz w:val="24"/>
          <w:szCs w:val="24"/>
        </w:rPr>
        <w:t>Například specifický cíl „Využití nových nástrojů ke zvýšení efektivity vězeňství“ patří k cílům, kter</w:t>
      </w:r>
      <w:r w:rsidR="005D7BA8">
        <w:rPr>
          <w:rFonts w:asciiTheme="minorHAnsi" w:hAnsiTheme="minorHAnsi" w:cstheme="minorHAnsi"/>
          <w:sz w:val="24"/>
          <w:szCs w:val="24"/>
        </w:rPr>
        <w:t>é</w:t>
      </w:r>
      <w:r w:rsidR="003A3150" w:rsidRPr="003A3150">
        <w:rPr>
          <w:rFonts w:asciiTheme="minorHAnsi" w:hAnsiTheme="minorHAnsi" w:cstheme="minorHAnsi"/>
          <w:sz w:val="24"/>
          <w:szCs w:val="24"/>
        </w:rPr>
        <w:t xml:space="preserve"> nebyl</w:t>
      </w:r>
      <w:r w:rsidR="005D7BA8">
        <w:rPr>
          <w:rFonts w:asciiTheme="minorHAnsi" w:hAnsiTheme="minorHAnsi" w:cstheme="minorHAnsi"/>
          <w:sz w:val="24"/>
          <w:szCs w:val="24"/>
        </w:rPr>
        <w:t>y</w:t>
      </w:r>
      <w:r w:rsidR="003A3150" w:rsidRPr="003A3150">
        <w:rPr>
          <w:rFonts w:asciiTheme="minorHAnsi" w:hAnsiTheme="minorHAnsi" w:cstheme="minorHAnsi"/>
          <w:sz w:val="24"/>
          <w:szCs w:val="24"/>
        </w:rPr>
        <w:t xml:space="preserve"> v </w:t>
      </w:r>
      <w:r w:rsidR="00573D0D">
        <w:rPr>
          <w:rFonts w:asciiTheme="minorHAnsi" w:hAnsiTheme="minorHAnsi" w:cstheme="minorHAnsi"/>
          <w:sz w:val="24"/>
          <w:szCs w:val="24"/>
        </w:rPr>
        <w:t>AP</w:t>
      </w:r>
      <w:r w:rsidR="003A3150" w:rsidRPr="003A3150">
        <w:rPr>
          <w:rFonts w:asciiTheme="minorHAnsi" w:hAnsiTheme="minorHAnsi" w:cstheme="minorHAnsi"/>
          <w:sz w:val="24"/>
          <w:szCs w:val="24"/>
        </w:rPr>
        <w:t xml:space="preserve"> rozpracován</w:t>
      </w:r>
      <w:r w:rsidR="005D7BA8">
        <w:rPr>
          <w:rFonts w:asciiTheme="minorHAnsi" w:hAnsiTheme="minorHAnsi" w:cstheme="minorHAnsi"/>
          <w:sz w:val="24"/>
          <w:szCs w:val="24"/>
        </w:rPr>
        <w:t>y</w:t>
      </w:r>
      <w:r w:rsidR="00373F94">
        <w:rPr>
          <w:rFonts w:asciiTheme="minorHAnsi" w:hAnsiTheme="minorHAnsi" w:cstheme="minorHAnsi"/>
          <w:sz w:val="24"/>
          <w:szCs w:val="24"/>
        </w:rPr>
        <w:t>. C</w:t>
      </w:r>
      <w:r w:rsidR="00373F94" w:rsidRPr="003A3150">
        <w:rPr>
          <w:rFonts w:asciiTheme="minorHAnsi" w:hAnsiTheme="minorHAnsi" w:cstheme="minorHAnsi"/>
          <w:sz w:val="24"/>
          <w:szCs w:val="24"/>
        </w:rPr>
        <w:t>elkem nebyl</w:t>
      </w:r>
      <w:r>
        <w:rPr>
          <w:rFonts w:asciiTheme="minorHAnsi" w:hAnsiTheme="minorHAnsi" w:cstheme="minorHAnsi"/>
          <w:sz w:val="24"/>
          <w:szCs w:val="24"/>
        </w:rPr>
        <w:t xml:space="preserve">y stanoveny úkoly pro </w:t>
      </w:r>
      <w:r w:rsidR="00E8743E">
        <w:rPr>
          <w:rFonts w:asciiTheme="minorHAnsi" w:hAnsiTheme="minorHAnsi" w:cstheme="minorHAnsi"/>
          <w:sz w:val="24"/>
          <w:szCs w:val="24"/>
        </w:rPr>
        <w:t xml:space="preserve">plnění </w:t>
      </w:r>
      <w:r w:rsidR="00373F94" w:rsidRPr="003A3150">
        <w:rPr>
          <w:rFonts w:asciiTheme="minorHAnsi" w:hAnsiTheme="minorHAnsi" w:cstheme="minorHAnsi"/>
          <w:sz w:val="24"/>
          <w:szCs w:val="24"/>
        </w:rPr>
        <w:t>131 z 352 nástrojů uvedených v Koncepci 2025.</w:t>
      </w:r>
    </w:p>
    <w:p w14:paraId="5D7763CD" w14:textId="38FACA97" w:rsidR="00E9295C" w:rsidRPr="00A35817" w:rsidRDefault="005D7BA8" w:rsidP="00497852">
      <w:pPr>
        <w:widowControl/>
        <w:spacing w:before="1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Velký počet úkolů a z</w:t>
      </w:r>
      <w:r w:rsidR="000E5C4F">
        <w:rPr>
          <w:rFonts w:asciiTheme="minorHAnsi" w:hAnsiTheme="minorHAnsi" w:cstheme="minorHAnsi"/>
          <w:sz w:val="24"/>
          <w:szCs w:val="24"/>
        </w:rPr>
        <w:t xml:space="preserve">působ </w:t>
      </w:r>
      <w:r>
        <w:rPr>
          <w:rFonts w:asciiTheme="minorHAnsi" w:hAnsiTheme="minorHAnsi" w:cstheme="minorHAnsi"/>
          <w:sz w:val="24"/>
          <w:szCs w:val="24"/>
        </w:rPr>
        <w:t xml:space="preserve">jejich </w:t>
      </w:r>
      <w:r w:rsidR="000E5C4F">
        <w:rPr>
          <w:rFonts w:asciiTheme="minorHAnsi" w:hAnsiTheme="minorHAnsi" w:cstheme="minorHAnsi"/>
          <w:sz w:val="24"/>
          <w:szCs w:val="24"/>
        </w:rPr>
        <w:t>zpracování v AP kompliko</w:t>
      </w:r>
      <w:r w:rsidR="00373F94">
        <w:rPr>
          <w:rFonts w:asciiTheme="minorHAnsi" w:hAnsiTheme="minorHAnsi" w:cstheme="minorHAnsi"/>
          <w:sz w:val="24"/>
          <w:szCs w:val="24"/>
        </w:rPr>
        <w:t>val</w:t>
      </w:r>
      <w:r>
        <w:rPr>
          <w:rFonts w:asciiTheme="minorHAnsi" w:hAnsiTheme="minorHAnsi" w:cstheme="minorHAnsi"/>
          <w:sz w:val="24"/>
          <w:szCs w:val="24"/>
        </w:rPr>
        <w:t>y</w:t>
      </w:r>
      <w:r w:rsidR="00373F94">
        <w:rPr>
          <w:rFonts w:asciiTheme="minorHAnsi" w:hAnsiTheme="minorHAnsi" w:cstheme="minorHAnsi"/>
          <w:sz w:val="24"/>
          <w:szCs w:val="24"/>
        </w:rPr>
        <w:t xml:space="preserve"> nejen jejich plnění, ale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373F94">
        <w:rPr>
          <w:rFonts w:asciiTheme="minorHAnsi" w:hAnsiTheme="minorHAnsi" w:cstheme="minorHAnsi"/>
          <w:sz w:val="24"/>
          <w:szCs w:val="24"/>
        </w:rPr>
        <w:t>i </w:t>
      </w:r>
      <w:r w:rsidR="000E5C4F">
        <w:rPr>
          <w:rFonts w:asciiTheme="minorHAnsi" w:hAnsiTheme="minorHAnsi" w:cstheme="minorHAnsi"/>
          <w:sz w:val="24"/>
          <w:szCs w:val="24"/>
        </w:rPr>
        <w:t xml:space="preserve">vyhodnocení. </w:t>
      </w:r>
      <w:r w:rsidR="00E9295C" w:rsidRPr="00A35817">
        <w:rPr>
          <w:rFonts w:ascii="Calibri" w:hAnsi="Calibri" w:cs="Calibri"/>
          <w:color w:val="000000"/>
          <w:sz w:val="24"/>
          <w:szCs w:val="24"/>
        </w:rPr>
        <w:t>Z </w:t>
      </w:r>
      <w:r w:rsidR="00E9295C">
        <w:rPr>
          <w:rFonts w:ascii="Calibri" w:eastAsia="Times New Roman" w:hAnsi="Calibri"/>
          <w:sz w:val="24"/>
          <w:szCs w:val="25"/>
        </w:rPr>
        <w:t>i</w:t>
      </w:r>
      <w:r w:rsidR="00E9295C" w:rsidRPr="008021D1">
        <w:rPr>
          <w:rFonts w:ascii="Calibri" w:eastAsia="Times New Roman" w:hAnsi="Calibri"/>
          <w:sz w:val="24"/>
          <w:szCs w:val="25"/>
        </w:rPr>
        <w:t>nformac</w:t>
      </w:r>
      <w:r w:rsidR="00E9295C">
        <w:rPr>
          <w:rFonts w:ascii="Calibri" w:eastAsia="Times New Roman" w:hAnsi="Calibri"/>
          <w:sz w:val="24"/>
          <w:szCs w:val="25"/>
        </w:rPr>
        <w:t>í</w:t>
      </w:r>
      <w:r w:rsidR="00E9295C" w:rsidRPr="008021D1">
        <w:rPr>
          <w:rFonts w:ascii="Calibri" w:eastAsia="Times New Roman" w:hAnsi="Calibri"/>
          <w:sz w:val="24"/>
          <w:szCs w:val="25"/>
        </w:rPr>
        <w:t xml:space="preserve"> o plnění </w:t>
      </w:r>
      <w:r w:rsidR="00E9295C">
        <w:rPr>
          <w:rFonts w:ascii="Calibri" w:eastAsia="Times New Roman" w:hAnsi="Calibri"/>
          <w:sz w:val="24"/>
          <w:szCs w:val="25"/>
        </w:rPr>
        <w:t>AP</w:t>
      </w:r>
      <w:r w:rsidR="00E9295C" w:rsidRPr="00A35817">
        <w:rPr>
          <w:rFonts w:ascii="Calibri" w:hAnsi="Calibri" w:cs="Calibri"/>
          <w:color w:val="000000"/>
          <w:sz w:val="24"/>
          <w:szCs w:val="24"/>
        </w:rPr>
        <w:t xml:space="preserve"> není zřejmé plnění průběžných a dlouhodobých </w:t>
      </w:r>
      <w:r w:rsidR="00B124B2">
        <w:rPr>
          <w:rFonts w:ascii="Calibri" w:hAnsi="Calibri" w:cs="Calibri"/>
          <w:color w:val="000000"/>
          <w:sz w:val="24"/>
          <w:szCs w:val="24"/>
        </w:rPr>
        <w:t>úkolů.</w:t>
      </w:r>
      <w:r w:rsidR="00E9295C" w:rsidRPr="00A3581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9295C">
        <w:rPr>
          <w:rFonts w:ascii="Calibri" w:hAnsi="Calibri" w:cs="Calibri"/>
          <w:color w:val="000000"/>
          <w:sz w:val="24"/>
          <w:szCs w:val="24"/>
        </w:rPr>
        <w:t>Například ze</w:t>
      </w:r>
      <w:r w:rsidR="003C7A7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9295C">
        <w:rPr>
          <w:rFonts w:ascii="Calibri" w:hAnsi="Calibri" w:cs="Calibri"/>
          <w:color w:val="000000"/>
          <w:sz w:val="24"/>
          <w:szCs w:val="24"/>
        </w:rPr>
        <w:t>188 průběžných a dlouhodobých úkolů AP 2016 bylo 136 úkolů vyhodnoceno pouze za první rok plnění a</w:t>
      </w:r>
      <w:r w:rsidR="00E9295C" w:rsidRPr="00A3581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9295C">
        <w:rPr>
          <w:rFonts w:ascii="Calibri" w:hAnsi="Calibri" w:cs="Calibri"/>
          <w:color w:val="000000"/>
          <w:sz w:val="24"/>
          <w:szCs w:val="24"/>
        </w:rPr>
        <w:t xml:space="preserve">zbylých </w:t>
      </w:r>
      <w:r w:rsidR="00E9295C" w:rsidRPr="00A35817">
        <w:rPr>
          <w:rFonts w:ascii="Calibri" w:hAnsi="Calibri" w:cs="Calibri"/>
          <w:color w:val="000000"/>
          <w:sz w:val="24"/>
          <w:szCs w:val="24"/>
        </w:rPr>
        <w:t>52 úkolů nebylo hodnoceno vůbec.</w:t>
      </w:r>
    </w:p>
    <w:p w14:paraId="483C8EEE" w14:textId="424DAB4C" w:rsidR="000E5C4F" w:rsidRPr="000E5C4F" w:rsidRDefault="00E8743E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Splnění </w:t>
      </w:r>
      <w:r w:rsidR="008E5B96">
        <w:rPr>
          <w:rFonts w:asciiTheme="minorHAnsi" w:hAnsiTheme="minorHAnsi" w:cstheme="minorHAnsi"/>
          <w:sz w:val="24"/>
          <w:szCs w:val="24"/>
        </w:rPr>
        <w:t>přev</w:t>
      </w:r>
      <w:r w:rsidR="000E5C4F" w:rsidRPr="000E5C4F">
        <w:rPr>
          <w:rFonts w:asciiTheme="minorHAnsi" w:hAnsiTheme="minorHAnsi" w:cstheme="minorHAnsi"/>
          <w:sz w:val="24"/>
          <w:szCs w:val="24"/>
        </w:rPr>
        <w:t xml:space="preserve">ážné části úkolů </w:t>
      </w:r>
      <w:r w:rsidR="000E5C4F">
        <w:rPr>
          <w:rFonts w:asciiTheme="minorHAnsi" w:hAnsiTheme="minorHAnsi" w:cstheme="minorHAnsi"/>
          <w:sz w:val="24"/>
          <w:szCs w:val="24"/>
        </w:rPr>
        <w:t>AP</w:t>
      </w:r>
      <w:r w:rsidR="000E5C4F" w:rsidRPr="000E5C4F">
        <w:rPr>
          <w:rFonts w:asciiTheme="minorHAnsi" w:hAnsiTheme="minorHAnsi" w:cstheme="minorHAnsi"/>
          <w:sz w:val="24"/>
          <w:szCs w:val="24"/>
        </w:rPr>
        <w:t xml:space="preserve"> </w:t>
      </w:r>
      <w:r w:rsidR="008E5B96" w:rsidRPr="008E5B96">
        <w:rPr>
          <w:rFonts w:asciiTheme="minorHAnsi" w:hAnsiTheme="minorHAnsi" w:cstheme="minorHAnsi"/>
          <w:sz w:val="24"/>
          <w:szCs w:val="24"/>
        </w:rPr>
        <w:t>nevypovídá</w:t>
      </w:r>
      <w:r w:rsidR="008E5B96" w:rsidRPr="000E5C4F">
        <w:rPr>
          <w:rFonts w:asciiTheme="minorHAnsi" w:hAnsiTheme="minorHAnsi" w:cstheme="minorHAnsi"/>
          <w:sz w:val="24"/>
          <w:szCs w:val="24"/>
        </w:rPr>
        <w:t xml:space="preserve"> </w:t>
      </w:r>
      <w:r w:rsidR="000E5C4F" w:rsidRPr="000E5C4F">
        <w:rPr>
          <w:rFonts w:asciiTheme="minorHAnsi" w:hAnsiTheme="minorHAnsi" w:cstheme="minorHAnsi"/>
          <w:sz w:val="24"/>
          <w:szCs w:val="24"/>
        </w:rPr>
        <w:t>o míře plně</w:t>
      </w:r>
      <w:r w:rsidR="00B124B2">
        <w:rPr>
          <w:rFonts w:asciiTheme="minorHAnsi" w:hAnsiTheme="minorHAnsi" w:cstheme="minorHAnsi"/>
          <w:sz w:val="24"/>
          <w:szCs w:val="24"/>
        </w:rPr>
        <w:t>ní strategických a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0E5C4F" w:rsidRPr="000E5C4F">
        <w:rPr>
          <w:rFonts w:asciiTheme="minorHAnsi" w:hAnsiTheme="minorHAnsi" w:cstheme="minorHAnsi"/>
          <w:sz w:val="24"/>
          <w:szCs w:val="24"/>
        </w:rPr>
        <w:t>specifických cílů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0E5C4F" w:rsidRPr="000E5C4F">
        <w:rPr>
          <w:rFonts w:asciiTheme="minorHAnsi" w:hAnsiTheme="minorHAnsi" w:cstheme="minorHAnsi"/>
          <w:sz w:val="24"/>
          <w:szCs w:val="24"/>
        </w:rPr>
        <w:t>Koncepce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0E5C4F" w:rsidRPr="000E5C4F">
        <w:rPr>
          <w:rFonts w:asciiTheme="minorHAnsi" w:hAnsiTheme="minorHAnsi" w:cstheme="minorHAnsi"/>
          <w:sz w:val="24"/>
          <w:szCs w:val="24"/>
        </w:rPr>
        <w:t xml:space="preserve">2025. Například </w:t>
      </w:r>
      <w:r w:rsidR="000E5C4F">
        <w:rPr>
          <w:rFonts w:asciiTheme="minorHAnsi" w:hAnsiTheme="minorHAnsi" w:cstheme="minorHAnsi"/>
          <w:sz w:val="24"/>
          <w:szCs w:val="24"/>
        </w:rPr>
        <w:t>pro</w:t>
      </w:r>
      <w:r w:rsidR="000E5C4F" w:rsidRPr="000E5C4F">
        <w:rPr>
          <w:rFonts w:asciiTheme="minorHAnsi" w:hAnsiTheme="minorHAnsi" w:cstheme="minorHAnsi"/>
          <w:sz w:val="24"/>
          <w:szCs w:val="24"/>
        </w:rPr>
        <w:t xml:space="preserve"> specifick</w:t>
      </w:r>
      <w:r w:rsidR="000E5C4F">
        <w:rPr>
          <w:rFonts w:asciiTheme="minorHAnsi" w:hAnsiTheme="minorHAnsi" w:cstheme="minorHAnsi"/>
          <w:sz w:val="24"/>
          <w:szCs w:val="24"/>
        </w:rPr>
        <w:t>ý</w:t>
      </w:r>
      <w:r w:rsidR="000E5C4F" w:rsidRPr="000E5C4F">
        <w:rPr>
          <w:rFonts w:asciiTheme="minorHAnsi" w:hAnsiTheme="minorHAnsi" w:cstheme="minorHAnsi"/>
          <w:sz w:val="24"/>
          <w:szCs w:val="24"/>
        </w:rPr>
        <w:t xml:space="preserve"> cíl „</w:t>
      </w:r>
      <w:r w:rsidR="00BC5479" w:rsidRPr="00287AB3">
        <w:rPr>
          <w:rFonts w:asciiTheme="minorHAnsi" w:hAnsiTheme="minorHAnsi" w:cstheme="minorHAnsi"/>
          <w:i/>
          <w:sz w:val="24"/>
          <w:szCs w:val="24"/>
        </w:rPr>
        <w:t>d</w:t>
      </w:r>
      <w:r w:rsidR="000E5C4F" w:rsidRPr="00287AB3">
        <w:rPr>
          <w:rFonts w:asciiTheme="minorHAnsi" w:hAnsiTheme="minorHAnsi" w:cstheme="minorHAnsi"/>
          <w:i/>
          <w:sz w:val="24"/>
          <w:szCs w:val="24"/>
        </w:rPr>
        <w:t>osažení ubytovacího standardu reprezentovaného ubytovací plochou 6 m² na jednu vězněnou osobu</w:t>
      </w:r>
      <w:r w:rsidR="000E5C4F" w:rsidRPr="000E5C4F">
        <w:rPr>
          <w:rFonts w:asciiTheme="minorHAnsi" w:hAnsiTheme="minorHAnsi" w:cstheme="minorHAnsi"/>
          <w:sz w:val="24"/>
          <w:szCs w:val="24"/>
        </w:rPr>
        <w:t>“</w:t>
      </w:r>
      <w:r w:rsidR="000E5C4F">
        <w:rPr>
          <w:rFonts w:asciiTheme="minorHAnsi" w:hAnsiTheme="minorHAnsi" w:cstheme="minorHAnsi"/>
          <w:sz w:val="24"/>
          <w:szCs w:val="24"/>
        </w:rPr>
        <w:t xml:space="preserve"> byly v AP stanoveny pouze následující úkoly</w:t>
      </w:r>
      <w:r w:rsidR="004E37AB">
        <w:rPr>
          <w:rFonts w:asciiTheme="minorHAnsi" w:hAnsiTheme="minorHAnsi" w:cstheme="minorHAnsi"/>
          <w:sz w:val="24"/>
          <w:szCs w:val="24"/>
        </w:rPr>
        <w:t>:</w:t>
      </w:r>
    </w:p>
    <w:p w14:paraId="56442A09" w14:textId="754D9145" w:rsidR="000E5C4F" w:rsidRPr="000E5C4F" w:rsidRDefault="000E5C4F" w:rsidP="00497852">
      <w:pPr>
        <w:widowControl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5C4F">
        <w:rPr>
          <w:rFonts w:asciiTheme="minorHAnsi" w:hAnsiTheme="minorHAnsi" w:cstheme="minorHAnsi"/>
          <w:sz w:val="24"/>
          <w:szCs w:val="24"/>
        </w:rPr>
        <w:t>•</w:t>
      </w:r>
      <w:r w:rsidRPr="000E5C4F">
        <w:rPr>
          <w:rFonts w:asciiTheme="minorHAnsi" w:hAnsiTheme="minorHAnsi" w:cstheme="minorHAnsi"/>
          <w:sz w:val="24"/>
          <w:szCs w:val="24"/>
        </w:rPr>
        <w:tab/>
      </w:r>
      <w:r w:rsidR="004E37AB">
        <w:rPr>
          <w:rFonts w:asciiTheme="minorHAnsi" w:hAnsiTheme="minorHAnsi" w:cstheme="minorHAnsi"/>
          <w:sz w:val="24"/>
          <w:szCs w:val="24"/>
        </w:rPr>
        <w:t>v</w:t>
      </w:r>
      <w:r w:rsidRPr="000E5C4F">
        <w:rPr>
          <w:rFonts w:asciiTheme="minorHAnsi" w:hAnsiTheme="minorHAnsi" w:cstheme="minorHAnsi"/>
          <w:sz w:val="24"/>
          <w:szCs w:val="24"/>
        </w:rPr>
        <w:t>ytvořit pracovní skupinu a zahájit činnost s cílem vylepšování vězeňské architektury, vytvoření standardů vnitřních i vnějších prostor prostředí výkonu trestu</w:t>
      </w:r>
      <w:r w:rsidR="009A3A03">
        <w:rPr>
          <w:rFonts w:asciiTheme="minorHAnsi" w:hAnsiTheme="minorHAnsi" w:cstheme="minorHAnsi"/>
          <w:sz w:val="24"/>
          <w:szCs w:val="24"/>
        </w:rPr>
        <w:t>;</w:t>
      </w:r>
    </w:p>
    <w:p w14:paraId="100D727D" w14:textId="7469753E" w:rsidR="000E5C4F" w:rsidRPr="000E5C4F" w:rsidRDefault="000E5C4F" w:rsidP="00497852">
      <w:pPr>
        <w:widowControl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5C4F">
        <w:rPr>
          <w:rFonts w:asciiTheme="minorHAnsi" w:hAnsiTheme="minorHAnsi" w:cstheme="minorHAnsi"/>
          <w:sz w:val="24"/>
          <w:szCs w:val="24"/>
        </w:rPr>
        <w:t>•</w:t>
      </w:r>
      <w:r w:rsidRPr="000E5C4F">
        <w:rPr>
          <w:rFonts w:asciiTheme="minorHAnsi" w:hAnsiTheme="minorHAnsi" w:cstheme="minorHAnsi"/>
          <w:sz w:val="24"/>
          <w:szCs w:val="24"/>
        </w:rPr>
        <w:tab/>
      </w:r>
      <w:r w:rsidR="004E37AB">
        <w:rPr>
          <w:rFonts w:asciiTheme="minorHAnsi" w:hAnsiTheme="minorHAnsi" w:cstheme="minorHAnsi"/>
          <w:sz w:val="24"/>
          <w:szCs w:val="24"/>
        </w:rPr>
        <w:t>v</w:t>
      </w:r>
      <w:r w:rsidRPr="000E5C4F">
        <w:rPr>
          <w:rFonts w:asciiTheme="minorHAnsi" w:hAnsiTheme="minorHAnsi" w:cstheme="minorHAnsi"/>
          <w:sz w:val="24"/>
          <w:szCs w:val="24"/>
        </w:rPr>
        <w:t>ytvořit pracovní skupinu a zahájit činnost s cílem vytvoření návrhu změny stavebních předpisů a specifikace technických požadavků na vězeňská zařízení</w:t>
      </w:r>
      <w:r w:rsidR="009A3A03">
        <w:rPr>
          <w:rFonts w:asciiTheme="minorHAnsi" w:hAnsiTheme="minorHAnsi" w:cstheme="minorHAnsi"/>
          <w:sz w:val="24"/>
          <w:szCs w:val="24"/>
        </w:rPr>
        <w:t>;</w:t>
      </w:r>
    </w:p>
    <w:p w14:paraId="6EEDE95E" w14:textId="38B1678A" w:rsidR="000E5C4F" w:rsidRDefault="004E37AB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BC5479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>kterých</w:t>
      </w:r>
      <w:r w:rsidR="008E5B96">
        <w:rPr>
          <w:rFonts w:asciiTheme="minorHAnsi" w:hAnsiTheme="minorHAnsi" w:cstheme="minorHAnsi"/>
          <w:sz w:val="24"/>
          <w:szCs w:val="24"/>
        </w:rPr>
        <w:t xml:space="preserve">, přestože byly splněny, </w:t>
      </w:r>
      <w:r w:rsidR="00732AD3">
        <w:rPr>
          <w:rFonts w:asciiTheme="minorHAnsi" w:hAnsiTheme="minorHAnsi" w:cstheme="minorHAnsi"/>
          <w:sz w:val="24"/>
          <w:szCs w:val="24"/>
        </w:rPr>
        <w:t>nelze vyhodnotit míru</w:t>
      </w:r>
      <w:r w:rsidR="00732AD3" w:rsidRPr="000E5C4F">
        <w:rPr>
          <w:rFonts w:asciiTheme="minorHAnsi" w:hAnsiTheme="minorHAnsi" w:cstheme="minorHAnsi"/>
          <w:sz w:val="24"/>
          <w:szCs w:val="24"/>
        </w:rPr>
        <w:t xml:space="preserve"> plnění tohoto specifického cíle</w:t>
      </w:r>
      <w:r w:rsidR="00732AD3">
        <w:rPr>
          <w:rFonts w:asciiTheme="minorHAnsi" w:hAnsiTheme="minorHAnsi" w:cstheme="minorHAnsi"/>
          <w:sz w:val="24"/>
          <w:szCs w:val="24"/>
        </w:rPr>
        <w:t>.</w:t>
      </w:r>
    </w:p>
    <w:p w14:paraId="0C936E34" w14:textId="7C7E6389" w:rsidR="00516F11" w:rsidRDefault="00106C5A" w:rsidP="00497852">
      <w:pPr>
        <w:widowControl/>
        <w:autoSpaceDE/>
        <w:autoSpaceDN/>
        <w:adjustRightInd/>
        <w:spacing w:after="4"/>
        <w:ind w:left="-5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>
        <w:rPr>
          <w:rFonts w:ascii="Calibri" w:eastAsia="Times New Roman" w:hAnsi="Calibri" w:cs="Calibri"/>
          <w:b/>
          <w:sz w:val="24"/>
          <w:szCs w:val="24"/>
          <w:lang w:eastAsia="en-US"/>
        </w:rPr>
        <w:lastRenderedPageBreak/>
        <w:t xml:space="preserve">2.4 </w:t>
      </w:r>
      <w:r w:rsidR="00516F11" w:rsidRPr="00516F11">
        <w:rPr>
          <w:rFonts w:ascii="Calibri" w:eastAsia="Times New Roman" w:hAnsi="Calibri" w:cs="Calibri"/>
          <w:b/>
          <w:sz w:val="24"/>
          <w:szCs w:val="24"/>
          <w:lang w:eastAsia="en-US"/>
        </w:rPr>
        <w:t>Finan</w:t>
      </w:r>
      <w:r w:rsidR="00CF5AD9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ční prostředky na plnění cílů </w:t>
      </w:r>
      <w:r w:rsidR="00516F11" w:rsidRPr="00516F11">
        <w:rPr>
          <w:rFonts w:ascii="Calibri" w:eastAsia="Times New Roman" w:hAnsi="Calibri" w:cs="Calibri"/>
          <w:b/>
          <w:sz w:val="24"/>
          <w:szCs w:val="24"/>
          <w:lang w:eastAsia="en-US"/>
        </w:rPr>
        <w:t>Koncepc</w:t>
      </w:r>
      <w:r w:rsidR="00CF5AD9">
        <w:rPr>
          <w:rFonts w:ascii="Calibri" w:eastAsia="Times New Roman" w:hAnsi="Calibri" w:cs="Calibri"/>
          <w:b/>
          <w:sz w:val="24"/>
          <w:szCs w:val="24"/>
          <w:lang w:eastAsia="en-US"/>
        </w:rPr>
        <w:t>e</w:t>
      </w:r>
      <w:r w:rsidR="00516F11" w:rsidRPr="00516F11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2025</w:t>
      </w:r>
    </w:p>
    <w:p w14:paraId="0EF77C63" w14:textId="77777777" w:rsidR="00CF5AD9" w:rsidRDefault="00CF5AD9" w:rsidP="00497852">
      <w:pPr>
        <w:widowControl/>
        <w:autoSpaceDE/>
        <w:autoSpaceDN/>
        <w:adjustRightInd/>
        <w:spacing w:before="120" w:after="120"/>
        <w:ind w:left="-6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CF5AD9">
        <w:rPr>
          <w:rFonts w:ascii="Calibri" w:eastAsia="Times New Roman" w:hAnsi="Calibri" w:cs="Calibri"/>
          <w:sz w:val="24"/>
          <w:szCs w:val="24"/>
          <w:lang w:eastAsia="en-US"/>
        </w:rPr>
        <w:t xml:space="preserve">V Koncepci 2025 nejsou 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vyčísleny prostředky potřebné k zajištění plnění cílů a je zde uvedeno, že </w:t>
      </w:r>
      <w:r w:rsidRPr="00CF5AD9">
        <w:rPr>
          <w:rFonts w:ascii="Calibri" w:eastAsia="Times New Roman" w:hAnsi="Calibri" w:cs="Calibri"/>
          <w:sz w:val="24"/>
          <w:szCs w:val="24"/>
          <w:lang w:eastAsia="en-US"/>
        </w:rPr>
        <w:t xml:space="preserve">schválením koncepce se </w:t>
      </w:r>
      <w:r w:rsidR="00373F94">
        <w:rPr>
          <w:rFonts w:ascii="Calibri" w:eastAsia="Times New Roman" w:hAnsi="Calibri" w:cs="Calibri"/>
          <w:sz w:val="24"/>
          <w:szCs w:val="24"/>
          <w:lang w:eastAsia="en-US"/>
        </w:rPr>
        <w:t>v</w:t>
      </w:r>
      <w:r w:rsidRPr="00CF5AD9">
        <w:rPr>
          <w:rFonts w:ascii="Calibri" w:eastAsia="Times New Roman" w:hAnsi="Calibri" w:cs="Calibri"/>
          <w:sz w:val="24"/>
          <w:szCs w:val="24"/>
          <w:lang w:eastAsia="en-US"/>
        </w:rPr>
        <w:t xml:space="preserve">láda ČR nezavazuje k automatickému navyšování rozpočtových prostředků v rámci kapitoly státního rozpočtu 336 – </w:t>
      </w:r>
      <w:r w:rsidRPr="00287AB3">
        <w:rPr>
          <w:rFonts w:ascii="Calibri" w:eastAsia="Times New Roman" w:hAnsi="Calibri" w:cs="Calibri"/>
          <w:i/>
          <w:sz w:val="24"/>
          <w:szCs w:val="24"/>
          <w:lang w:eastAsia="en-US"/>
        </w:rPr>
        <w:t>Ministerstvo spravedlnosti</w:t>
      </w:r>
      <w:r w:rsidRPr="00CF5AD9">
        <w:rPr>
          <w:rFonts w:ascii="Calibri" w:eastAsia="Times New Roman" w:hAnsi="Calibri" w:cs="Calibri"/>
          <w:sz w:val="24"/>
          <w:szCs w:val="24"/>
          <w:lang w:eastAsia="en-US"/>
        </w:rPr>
        <w:t>.</w:t>
      </w:r>
    </w:p>
    <w:p w14:paraId="639033AF" w14:textId="08DDE650" w:rsidR="00E8743E" w:rsidRDefault="00E8743E" w:rsidP="00497852">
      <w:pPr>
        <w:widowControl/>
        <w:autoSpaceDE/>
        <w:autoSpaceDN/>
        <w:adjustRightInd/>
        <w:spacing w:before="120" w:after="100" w:afterAutospacing="1"/>
        <w:ind w:left="-6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>
        <w:rPr>
          <w:rFonts w:ascii="Calibri" w:eastAsia="Times New Roman" w:hAnsi="Calibri" w:cs="Calibri"/>
          <w:sz w:val="24"/>
          <w:szCs w:val="24"/>
          <w:lang w:eastAsia="en-US"/>
        </w:rPr>
        <w:t>Prostředky na plnění úkolů Koncepce</w:t>
      </w:r>
      <w:r w:rsidR="009A3A03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>
        <w:rPr>
          <w:rFonts w:ascii="Calibri" w:eastAsia="Times New Roman" w:hAnsi="Calibri" w:cs="Calibri"/>
          <w:sz w:val="24"/>
          <w:szCs w:val="24"/>
          <w:lang w:eastAsia="en-US"/>
        </w:rPr>
        <w:t>2025 nebyly nikdy v rozpočtu VS ČR samostatně vyčleněny. V</w:t>
      </w:r>
      <w:r w:rsidRPr="007E673D">
        <w:rPr>
          <w:rFonts w:ascii="Calibri" w:eastAsia="Times New Roman" w:hAnsi="Calibri" w:cs="Calibri"/>
          <w:sz w:val="24"/>
          <w:szCs w:val="24"/>
          <w:lang w:eastAsia="en-US"/>
        </w:rPr>
        <w:t xml:space="preserve">eškeré zdroje byly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Pr="007E673D">
        <w:rPr>
          <w:rFonts w:ascii="Calibri" w:eastAsia="Times New Roman" w:hAnsi="Calibri" w:cs="Calibri"/>
          <w:sz w:val="24"/>
          <w:szCs w:val="24"/>
          <w:lang w:eastAsia="en-US"/>
        </w:rPr>
        <w:t xml:space="preserve"> přidělovány ja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ko neúčelové a NKÚ nemůže ověřit, </w:t>
      </w:r>
      <w:r w:rsidRPr="007E673D">
        <w:rPr>
          <w:rFonts w:ascii="Calibri" w:eastAsia="Times New Roman" w:hAnsi="Calibri" w:cs="Calibri"/>
          <w:sz w:val="24"/>
          <w:szCs w:val="24"/>
          <w:lang w:eastAsia="en-US"/>
        </w:rPr>
        <w:t>jaká část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byla skutečně vynaložena </w:t>
      </w:r>
      <w:r w:rsidRPr="007E673D">
        <w:rPr>
          <w:rFonts w:ascii="Calibri" w:eastAsia="Times New Roman" w:hAnsi="Calibri" w:cs="Calibri"/>
          <w:sz w:val="24"/>
          <w:szCs w:val="24"/>
          <w:lang w:eastAsia="en-US"/>
        </w:rPr>
        <w:t xml:space="preserve">na </w:t>
      </w:r>
      <w:r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zajištění cílů </w:t>
      </w:r>
      <w:r w:rsidR="005D7BA8" w:rsidRPr="00D63D74">
        <w:rPr>
          <w:rFonts w:ascii="Calibri" w:eastAsia="Times New Roman" w:hAnsi="Calibri" w:cs="Calibri"/>
          <w:sz w:val="24"/>
          <w:szCs w:val="24"/>
          <w:lang w:eastAsia="en-US"/>
        </w:rPr>
        <w:t>K</w:t>
      </w:r>
      <w:r w:rsidRPr="00D63D74">
        <w:rPr>
          <w:rFonts w:ascii="Calibri" w:eastAsia="Times New Roman" w:hAnsi="Calibri" w:cs="Calibri"/>
          <w:sz w:val="24"/>
          <w:szCs w:val="24"/>
          <w:lang w:eastAsia="en-US"/>
        </w:rPr>
        <w:t>oncepce</w:t>
      </w:r>
      <w:r w:rsidR="00A241A5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5D7BA8" w:rsidRPr="00D63D74">
        <w:rPr>
          <w:rFonts w:ascii="Calibri" w:eastAsia="Times New Roman" w:hAnsi="Calibri" w:cs="Calibri"/>
          <w:sz w:val="24"/>
          <w:szCs w:val="24"/>
          <w:lang w:eastAsia="en-US"/>
        </w:rPr>
        <w:t>202</w:t>
      </w:r>
      <w:r w:rsidR="00A07A08" w:rsidRPr="00D63D74">
        <w:rPr>
          <w:rFonts w:ascii="Calibri" w:eastAsia="Times New Roman" w:hAnsi="Calibri" w:cs="Calibri"/>
          <w:sz w:val="24"/>
          <w:szCs w:val="24"/>
          <w:lang w:eastAsia="en-US"/>
        </w:rPr>
        <w:t>5</w:t>
      </w:r>
      <w:r w:rsidRPr="00D63D74">
        <w:rPr>
          <w:rFonts w:ascii="Calibri" w:eastAsia="Times New Roman" w:hAnsi="Calibri" w:cs="Calibri"/>
          <w:sz w:val="24"/>
          <w:szCs w:val="24"/>
          <w:lang w:eastAsia="en-US"/>
        </w:rPr>
        <w:t>.</w:t>
      </w:r>
    </w:p>
    <w:p w14:paraId="476B9DFB" w14:textId="53F4BA1E" w:rsidR="00D22A4C" w:rsidRDefault="00CF5AD9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>
        <w:rPr>
          <w:rFonts w:ascii="Calibri" w:eastAsia="Times New Roman" w:hAnsi="Calibri" w:cs="Calibri"/>
          <w:sz w:val="24"/>
          <w:szCs w:val="24"/>
          <w:lang w:eastAsia="en-US"/>
        </w:rPr>
        <w:t>V</w:t>
      </w:r>
      <w:r w:rsidRPr="00516F11">
        <w:rPr>
          <w:rFonts w:ascii="Calibri" w:eastAsia="Times New Roman" w:hAnsi="Calibri" w:cs="Calibri"/>
          <w:sz w:val="24"/>
          <w:szCs w:val="24"/>
          <w:lang w:eastAsia="en-US"/>
        </w:rPr>
        <w:t>yčíslit finanční náročnost Koncepce 2025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byl</w:t>
      </w:r>
      <w:r w:rsidR="000A284B">
        <w:rPr>
          <w:rFonts w:ascii="Calibri" w:eastAsia="Times New Roman" w:hAnsi="Calibri" w:cs="Calibri"/>
          <w:sz w:val="24"/>
          <w:szCs w:val="24"/>
          <w:lang w:eastAsia="en-US"/>
        </w:rPr>
        <w:t>o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F32282" w:rsidRPr="006023B5">
        <w:rPr>
          <w:rFonts w:ascii="Calibri" w:eastAsia="Times New Roman" w:hAnsi="Calibri" w:cs="Calibri"/>
          <w:sz w:val="24"/>
          <w:szCs w:val="24"/>
          <w:lang w:eastAsia="en-US"/>
        </w:rPr>
        <w:t>VS ČR</w:t>
      </w:r>
      <w:r w:rsidR="00F3228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uložen</w:t>
      </w:r>
      <w:r w:rsidR="000A284B">
        <w:rPr>
          <w:rFonts w:ascii="Calibri" w:eastAsia="Times New Roman" w:hAnsi="Calibri" w:cs="Calibri"/>
          <w:sz w:val="24"/>
          <w:szCs w:val="24"/>
          <w:lang w:eastAsia="en-US"/>
        </w:rPr>
        <w:t>o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až úkol</w:t>
      </w:r>
      <w:r w:rsidR="00D22A4C">
        <w:rPr>
          <w:rFonts w:ascii="Calibri" w:eastAsia="Times New Roman" w:hAnsi="Calibri" w:cs="Calibri"/>
          <w:sz w:val="24"/>
          <w:szCs w:val="24"/>
          <w:lang w:eastAsia="en-US"/>
        </w:rPr>
        <w:t>em stanoveným v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7126F1">
        <w:rPr>
          <w:rFonts w:ascii="Calibri" w:eastAsia="Times New Roman" w:hAnsi="Calibri" w:cs="Calibri"/>
          <w:sz w:val="24"/>
          <w:szCs w:val="24"/>
          <w:lang w:eastAsia="en-US"/>
        </w:rPr>
        <w:t>AP</w:t>
      </w:r>
      <w:r w:rsidRPr="00516F11">
        <w:rPr>
          <w:rFonts w:ascii="Calibri" w:eastAsia="Times New Roman" w:hAnsi="Calibri" w:cs="Calibri"/>
          <w:sz w:val="24"/>
          <w:szCs w:val="24"/>
          <w:lang w:eastAsia="en-US"/>
        </w:rPr>
        <w:t xml:space="preserve"> 2016</w:t>
      </w:r>
      <w:r w:rsidR="00121105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003387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121105">
        <w:rPr>
          <w:rFonts w:ascii="Calibri" w:eastAsia="Times New Roman" w:hAnsi="Calibri" w:cs="Calibri"/>
          <w:sz w:val="24"/>
          <w:szCs w:val="24"/>
          <w:lang w:eastAsia="en-US"/>
        </w:rPr>
        <w:t>Na</w:t>
      </w:r>
      <w:r w:rsidR="00827E84">
        <w:rPr>
          <w:rFonts w:ascii="Calibri" w:eastAsia="Times New Roman" w:hAnsi="Calibri" w:cs="Calibri"/>
          <w:sz w:val="24"/>
          <w:szCs w:val="24"/>
          <w:lang w:eastAsia="en-US"/>
        </w:rPr>
        <w:t xml:space="preserve"> plnění úkolů AP </w:t>
      </w:r>
      <w:r w:rsidR="00516F11" w:rsidRPr="00516F11">
        <w:rPr>
          <w:rFonts w:ascii="Calibri" w:eastAsia="Times New Roman" w:hAnsi="Calibri" w:cs="Calibri"/>
          <w:sz w:val="24"/>
          <w:szCs w:val="24"/>
          <w:lang w:eastAsia="en-US"/>
        </w:rPr>
        <w:t xml:space="preserve">do roku 2020 </w:t>
      </w:r>
      <w:r w:rsidR="00121105"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="00121105" w:rsidRPr="00516F11">
        <w:rPr>
          <w:rFonts w:ascii="Calibri" w:eastAsia="Times New Roman" w:hAnsi="Calibri" w:cs="Calibri"/>
          <w:sz w:val="24"/>
          <w:szCs w:val="24"/>
          <w:lang w:eastAsia="en-US"/>
        </w:rPr>
        <w:t xml:space="preserve"> vyčíslila předpokládané </w:t>
      </w:r>
      <w:r w:rsidR="00121105">
        <w:rPr>
          <w:rFonts w:ascii="Calibri" w:eastAsia="Times New Roman" w:hAnsi="Calibri" w:cs="Calibri"/>
          <w:sz w:val="24"/>
          <w:szCs w:val="24"/>
          <w:lang w:eastAsia="en-US"/>
        </w:rPr>
        <w:t>prostředky</w:t>
      </w:r>
      <w:r w:rsidR="00121105" w:rsidRPr="00516F11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6C25F2">
        <w:rPr>
          <w:rFonts w:ascii="Calibri" w:eastAsia="Times New Roman" w:hAnsi="Calibri" w:cs="Calibri"/>
          <w:sz w:val="24"/>
          <w:szCs w:val="24"/>
          <w:lang w:eastAsia="en-US"/>
        </w:rPr>
        <w:t xml:space="preserve">v </w:t>
      </w:r>
      <w:r w:rsidR="006C25F2" w:rsidRPr="00516F11">
        <w:rPr>
          <w:rFonts w:ascii="Calibri" w:eastAsia="Times New Roman" w:hAnsi="Calibri" w:cs="Calibri"/>
          <w:sz w:val="24"/>
          <w:szCs w:val="24"/>
          <w:lang w:eastAsia="en-US"/>
        </w:rPr>
        <w:t xml:space="preserve">celkové </w:t>
      </w:r>
      <w:r w:rsidR="00516F11" w:rsidRPr="00516F11">
        <w:rPr>
          <w:rFonts w:ascii="Calibri" w:eastAsia="Times New Roman" w:hAnsi="Calibri" w:cs="Calibri"/>
          <w:sz w:val="24"/>
          <w:szCs w:val="24"/>
          <w:lang w:eastAsia="en-US"/>
        </w:rPr>
        <w:t>výši 5 350 mil. Kč</w:t>
      </w:r>
      <w:r w:rsidR="00CD55B8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003387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</w:p>
    <w:p w14:paraId="264B7722" w14:textId="1B4BB794" w:rsidR="00516F11" w:rsidRPr="006023B5" w:rsidRDefault="0099697E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6023B5"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="00516F11" w:rsidRPr="006023B5">
        <w:rPr>
          <w:rFonts w:ascii="Calibri" w:eastAsia="Times New Roman" w:hAnsi="Calibri" w:cs="Calibri"/>
          <w:sz w:val="24"/>
          <w:szCs w:val="24"/>
          <w:lang w:eastAsia="en-US"/>
        </w:rPr>
        <w:t xml:space="preserve"> každoročně </w:t>
      </w:r>
      <w:r w:rsidR="00121105" w:rsidRPr="006023B5">
        <w:rPr>
          <w:rFonts w:ascii="Calibri" w:eastAsia="Times New Roman" w:hAnsi="Calibri" w:cs="Calibri"/>
          <w:sz w:val="24"/>
          <w:szCs w:val="24"/>
          <w:lang w:eastAsia="en-US"/>
        </w:rPr>
        <w:t xml:space="preserve">upřesňovala finanční potřeby na následující roky </w:t>
      </w:r>
      <w:r w:rsidR="00121105">
        <w:rPr>
          <w:rFonts w:ascii="Calibri" w:eastAsia="Times New Roman" w:hAnsi="Calibri" w:cs="Calibri"/>
          <w:sz w:val="24"/>
          <w:szCs w:val="24"/>
          <w:lang w:eastAsia="en-US"/>
        </w:rPr>
        <w:t xml:space="preserve">a </w:t>
      </w:r>
      <w:r w:rsidR="00D22A4C" w:rsidRPr="006023B5">
        <w:rPr>
          <w:rFonts w:ascii="Calibri" w:eastAsia="Times New Roman" w:hAnsi="Calibri" w:cs="Calibri"/>
          <w:sz w:val="24"/>
          <w:szCs w:val="24"/>
          <w:lang w:eastAsia="en-US"/>
        </w:rPr>
        <w:t>vyčísloval</w:t>
      </w:r>
      <w:r w:rsidR="000A284B" w:rsidRPr="006023B5">
        <w:rPr>
          <w:rFonts w:ascii="Calibri" w:eastAsia="Times New Roman" w:hAnsi="Calibri" w:cs="Calibri"/>
          <w:sz w:val="24"/>
          <w:szCs w:val="24"/>
          <w:lang w:eastAsia="en-US"/>
        </w:rPr>
        <w:t>a</w:t>
      </w:r>
      <w:r w:rsidR="00CD6F71" w:rsidRPr="006023B5">
        <w:rPr>
          <w:rFonts w:ascii="Calibri" w:eastAsia="Times New Roman" w:hAnsi="Calibri" w:cs="Calibri"/>
          <w:sz w:val="24"/>
          <w:szCs w:val="24"/>
          <w:lang w:eastAsia="en-US"/>
        </w:rPr>
        <w:t xml:space="preserve"> výdaje </w:t>
      </w:r>
      <w:r w:rsidR="00121105">
        <w:rPr>
          <w:rFonts w:ascii="Calibri" w:eastAsia="Times New Roman" w:hAnsi="Calibri" w:cs="Calibri"/>
          <w:sz w:val="24"/>
          <w:szCs w:val="24"/>
          <w:lang w:eastAsia="en-US"/>
        </w:rPr>
        <w:t xml:space="preserve">vynaložené </w:t>
      </w:r>
      <w:r w:rsidR="00CD6F71" w:rsidRPr="006023B5">
        <w:rPr>
          <w:rFonts w:ascii="Calibri" w:eastAsia="Times New Roman" w:hAnsi="Calibri" w:cs="Calibri"/>
          <w:sz w:val="24"/>
          <w:szCs w:val="24"/>
          <w:lang w:eastAsia="en-US"/>
        </w:rPr>
        <w:t xml:space="preserve">na plnění úkolů </w:t>
      </w:r>
      <w:r w:rsidR="009E3864" w:rsidRPr="006023B5">
        <w:rPr>
          <w:rFonts w:ascii="Calibri" w:eastAsia="Times New Roman" w:hAnsi="Calibri" w:cs="Calibri"/>
          <w:sz w:val="24"/>
          <w:szCs w:val="24"/>
          <w:lang w:eastAsia="en-US"/>
        </w:rPr>
        <w:t>AP</w:t>
      </w:r>
      <w:r w:rsidR="00CD6F71" w:rsidRPr="006023B5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516F11" w:rsidRPr="006023B5">
        <w:rPr>
          <w:rFonts w:ascii="Calibri" w:eastAsia="Times New Roman" w:hAnsi="Calibri" w:cs="Calibri"/>
          <w:sz w:val="24"/>
          <w:szCs w:val="24"/>
          <w:lang w:eastAsia="en-US"/>
        </w:rPr>
        <w:t xml:space="preserve"> V</w:t>
      </w:r>
      <w:r w:rsidR="007E673D" w:rsidRPr="006023B5">
        <w:rPr>
          <w:rFonts w:ascii="Calibri" w:eastAsia="Times New Roman" w:hAnsi="Calibri" w:cs="Calibri"/>
          <w:sz w:val="24"/>
          <w:szCs w:val="24"/>
          <w:lang w:eastAsia="en-US"/>
        </w:rPr>
        <w:t xml:space="preserve"> následující </w:t>
      </w:r>
      <w:r w:rsidR="00516F11" w:rsidRPr="006023B5">
        <w:rPr>
          <w:rFonts w:ascii="Calibri" w:eastAsia="Times New Roman" w:hAnsi="Calibri" w:cs="Calibri"/>
          <w:sz w:val="24"/>
          <w:szCs w:val="24"/>
          <w:lang w:eastAsia="en-US"/>
        </w:rPr>
        <w:t>tabulce je uveden</w:t>
      </w:r>
      <w:r w:rsidR="00516F11" w:rsidRPr="006023B5">
        <w:rPr>
          <w:rFonts w:ascii="Calibri" w:eastAsia="Times New Roman" w:hAnsi="Calibri" w:cs="Calibri"/>
          <w:bCs/>
          <w:i/>
          <w:sz w:val="24"/>
          <w:szCs w:val="24"/>
          <w:lang w:eastAsia="en-US"/>
        </w:rPr>
        <w:t xml:space="preserve"> </w:t>
      </w:r>
      <w:r w:rsidR="00516F11" w:rsidRPr="006023B5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přehled </w:t>
      </w:r>
      <w:r w:rsidR="007961F3">
        <w:rPr>
          <w:rFonts w:ascii="Calibri" w:eastAsia="Times New Roman" w:hAnsi="Calibri" w:cs="Calibri"/>
          <w:bCs/>
          <w:sz w:val="24"/>
          <w:szCs w:val="24"/>
          <w:lang w:eastAsia="en-US"/>
        </w:rPr>
        <w:t>těchto</w:t>
      </w:r>
      <w:r w:rsidR="00373F94" w:rsidRPr="006023B5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výdajů</w:t>
      </w:r>
      <w:r w:rsidR="007E673D" w:rsidRPr="006023B5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</w:t>
      </w:r>
      <w:r w:rsidR="00EF3A1A" w:rsidRPr="006023B5">
        <w:rPr>
          <w:rFonts w:ascii="Calibri" w:eastAsia="Times New Roman" w:hAnsi="Calibri" w:cs="Calibri"/>
          <w:bCs/>
          <w:sz w:val="24"/>
          <w:szCs w:val="24"/>
          <w:lang w:eastAsia="en-US"/>
        </w:rPr>
        <w:t>do roku</w:t>
      </w:r>
      <w:r w:rsidR="007E673D" w:rsidRPr="006023B5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2018</w:t>
      </w:r>
      <w:r w:rsidR="00373F94" w:rsidRPr="006023B5">
        <w:rPr>
          <w:rFonts w:ascii="Calibri" w:eastAsia="Times New Roman" w:hAnsi="Calibri" w:cs="Calibri"/>
          <w:bCs/>
          <w:sz w:val="24"/>
          <w:szCs w:val="24"/>
          <w:lang w:eastAsia="en-US"/>
        </w:rPr>
        <w:t>.</w:t>
      </w:r>
      <w:r w:rsidR="00516F11" w:rsidRPr="006023B5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</w:t>
      </w:r>
    </w:p>
    <w:p w14:paraId="382625EC" w14:textId="50D8E1F9" w:rsidR="00516F11" w:rsidRPr="006023B5" w:rsidRDefault="00516F11" w:rsidP="00497852">
      <w:pPr>
        <w:widowControl/>
        <w:tabs>
          <w:tab w:val="right" w:pos="9072"/>
        </w:tabs>
        <w:autoSpaceDE/>
        <w:autoSpaceDN/>
        <w:adjustRightInd/>
        <w:spacing w:before="120" w:after="40"/>
        <w:rPr>
          <w:rFonts w:ascii="Calibri" w:eastAsia="Times New Roman" w:hAnsi="Calibri" w:cs="Calibri"/>
          <w:b/>
          <w:bCs/>
          <w:sz w:val="22"/>
          <w:szCs w:val="24"/>
          <w:lang w:eastAsia="en-US"/>
        </w:rPr>
      </w:pPr>
      <w:r w:rsidRPr="002F46E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Tabulka č. </w:t>
      </w:r>
      <w:r w:rsidR="004E37AB" w:rsidRPr="002F46EA">
        <w:rPr>
          <w:rFonts w:ascii="Calibri" w:eastAsia="Calibri" w:hAnsi="Calibri" w:cs="Calibri"/>
          <w:b/>
          <w:sz w:val="24"/>
          <w:szCs w:val="24"/>
          <w:lang w:eastAsia="en-US"/>
        </w:rPr>
        <w:t>3</w:t>
      </w:r>
      <w:r w:rsidRPr="002F46E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6772E3">
        <w:rPr>
          <w:rFonts w:ascii="Calibri" w:eastAsia="Calibri" w:hAnsi="Calibri" w:cs="Calibri"/>
          <w:b/>
          <w:sz w:val="24"/>
          <w:szCs w:val="24"/>
          <w:lang w:eastAsia="en-US"/>
        </w:rPr>
        <w:t>–</w:t>
      </w:r>
      <w:r w:rsidRPr="002F46E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Výdaje související s</w:t>
      </w:r>
      <w:r w:rsidR="009E3864" w:rsidRPr="002F46EA">
        <w:rPr>
          <w:rFonts w:ascii="Calibri" w:eastAsia="Calibri" w:hAnsi="Calibri" w:cs="Calibri"/>
          <w:b/>
          <w:sz w:val="24"/>
          <w:szCs w:val="24"/>
          <w:lang w:eastAsia="en-US"/>
        </w:rPr>
        <w:t> </w:t>
      </w:r>
      <w:r w:rsidR="009E3864" w:rsidRPr="002F46EA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>plněním úkolů AP</w:t>
      </w:r>
      <w:r w:rsidR="00AC0073" w:rsidRPr="002F46EA">
        <w:rPr>
          <w:rFonts w:ascii="Calibri" w:eastAsia="Times New Roman" w:hAnsi="Calibri" w:cs="Calibri"/>
          <w:bCs/>
          <w:sz w:val="24"/>
          <w:szCs w:val="24"/>
          <w:lang w:eastAsia="en-US"/>
        </w:rPr>
        <w:tab/>
      </w:r>
      <w:r w:rsidR="00AC0073" w:rsidRPr="00287AB3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>(</w:t>
      </w:r>
      <w:r w:rsidRPr="00287AB3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>v mil. Kč)</w:t>
      </w:r>
    </w:p>
    <w:tbl>
      <w:tblPr>
        <w:tblStyle w:val="Mkatabulky3"/>
        <w:tblW w:w="5000" w:type="pct"/>
        <w:tblLook w:val="04A0" w:firstRow="1" w:lastRow="0" w:firstColumn="1" w:lastColumn="0" w:noHBand="0" w:noVBand="1"/>
      </w:tblPr>
      <w:tblGrid>
        <w:gridCol w:w="2964"/>
        <w:gridCol w:w="1525"/>
        <w:gridCol w:w="1525"/>
        <w:gridCol w:w="1524"/>
        <w:gridCol w:w="1524"/>
      </w:tblGrid>
      <w:tr w:rsidR="00EF3A1A" w:rsidRPr="006023B5" w14:paraId="40DFCC16" w14:textId="77777777" w:rsidTr="00042B1E">
        <w:trPr>
          <w:trHeight w:val="515"/>
        </w:trPr>
        <w:tc>
          <w:tcPr>
            <w:tcW w:w="1635" w:type="pct"/>
            <w:shd w:val="clear" w:color="auto" w:fill="E5F1FF"/>
            <w:vAlign w:val="center"/>
          </w:tcPr>
          <w:p w14:paraId="2A89AF05" w14:textId="77777777" w:rsidR="00EF3A1A" w:rsidRPr="006023B5" w:rsidRDefault="00EF3A1A" w:rsidP="00497852">
            <w:pPr>
              <w:widowControl/>
              <w:autoSpaceDE/>
              <w:autoSpaceDN/>
              <w:adjustRightInd/>
              <w:ind w:left="-43" w:right="-64" w:firstLine="81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Druh výdaje</w:t>
            </w:r>
          </w:p>
        </w:tc>
        <w:tc>
          <w:tcPr>
            <w:tcW w:w="841" w:type="pct"/>
            <w:shd w:val="clear" w:color="auto" w:fill="E5F1FF"/>
            <w:vAlign w:val="center"/>
          </w:tcPr>
          <w:p w14:paraId="7F0C15F3" w14:textId="77777777" w:rsidR="00EF3A1A" w:rsidRPr="006023B5" w:rsidRDefault="00EF3A1A" w:rsidP="00497852">
            <w:pPr>
              <w:widowControl/>
              <w:autoSpaceDE/>
              <w:autoSpaceDN/>
              <w:adjustRightInd/>
              <w:ind w:left="-88" w:right="-103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2016</w:t>
            </w:r>
          </w:p>
        </w:tc>
        <w:tc>
          <w:tcPr>
            <w:tcW w:w="841" w:type="pct"/>
            <w:shd w:val="clear" w:color="auto" w:fill="E5F1FF"/>
            <w:vAlign w:val="center"/>
          </w:tcPr>
          <w:p w14:paraId="0DB301E4" w14:textId="77777777" w:rsidR="00EF3A1A" w:rsidRPr="006023B5" w:rsidRDefault="00EF3A1A" w:rsidP="00497852">
            <w:pPr>
              <w:widowControl/>
              <w:autoSpaceDE/>
              <w:autoSpaceDN/>
              <w:adjustRightInd/>
              <w:ind w:left="-88" w:right="-103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2017</w:t>
            </w:r>
          </w:p>
        </w:tc>
        <w:tc>
          <w:tcPr>
            <w:tcW w:w="841" w:type="pct"/>
            <w:shd w:val="clear" w:color="auto" w:fill="E5F1FF"/>
            <w:vAlign w:val="center"/>
          </w:tcPr>
          <w:p w14:paraId="275C4FFC" w14:textId="77777777" w:rsidR="00EF3A1A" w:rsidRPr="006023B5" w:rsidRDefault="00EF3A1A" w:rsidP="00497852">
            <w:pPr>
              <w:widowControl/>
              <w:autoSpaceDE/>
              <w:autoSpaceDN/>
              <w:adjustRightInd/>
              <w:ind w:left="-88" w:right="-103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2018</w:t>
            </w:r>
          </w:p>
        </w:tc>
        <w:tc>
          <w:tcPr>
            <w:tcW w:w="841" w:type="pct"/>
            <w:shd w:val="clear" w:color="auto" w:fill="E5F1FF"/>
            <w:vAlign w:val="center"/>
          </w:tcPr>
          <w:p w14:paraId="1B754D51" w14:textId="77777777" w:rsidR="00EF3A1A" w:rsidRPr="006023B5" w:rsidRDefault="00EF3A1A" w:rsidP="00497852">
            <w:pPr>
              <w:widowControl/>
              <w:autoSpaceDE/>
              <w:autoSpaceDN/>
              <w:adjustRightInd/>
              <w:spacing w:line="200" w:lineRule="exact"/>
              <w:ind w:left="-91" w:right="-102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Celkem</w:t>
            </w:r>
          </w:p>
          <w:p w14:paraId="7E23DCF0" w14:textId="77777777" w:rsidR="00EF3A1A" w:rsidRPr="006023B5" w:rsidRDefault="00EF3A1A" w:rsidP="00497852">
            <w:pPr>
              <w:widowControl/>
              <w:autoSpaceDE/>
              <w:autoSpaceDN/>
              <w:adjustRightInd/>
              <w:spacing w:line="200" w:lineRule="exact"/>
              <w:ind w:left="-91" w:right="-102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2016</w:t>
            </w:r>
            <w:r w:rsidR="0007306A"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−</w:t>
            </w:r>
            <w:r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2018</w:t>
            </w:r>
          </w:p>
        </w:tc>
      </w:tr>
      <w:tr w:rsidR="00EF3A1A" w:rsidRPr="006023B5" w14:paraId="37300CFA" w14:textId="77777777" w:rsidTr="00287AB3">
        <w:trPr>
          <w:trHeight w:val="283"/>
        </w:trPr>
        <w:tc>
          <w:tcPr>
            <w:tcW w:w="1635" w:type="pct"/>
            <w:vAlign w:val="center"/>
          </w:tcPr>
          <w:p w14:paraId="64A54D38" w14:textId="77777777" w:rsidR="00EF3A1A" w:rsidRPr="006023B5" w:rsidRDefault="00EF3A1A" w:rsidP="00287AB3">
            <w:pPr>
              <w:widowControl/>
              <w:autoSpaceDE/>
              <w:autoSpaceDN/>
              <w:adjustRightInd/>
              <w:ind w:left="8" w:right="-64"/>
              <w:rPr>
                <w:rFonts w:ascii="Calibri" w:eastAsia="Times New Roman" w:hAnsi="Calibri" w:cs="Calibri"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Cs/>
                <w:lang w:eastAsia="en-US"/>
              </w:rPr>
              <w:t>Investice</w:t>
            </w:r>
          </w:p>
        </w:tc>
        <w:tc>
          <w:tcPr>
            <w:tcW w:w="841" w:type="pct"/>
            <w:vAlign w:val="center"/>
          </w:tcPr>
          <w:p w14:paraId="34904665" w14:textId="77777777" w:rsidR="00EF3A1A" w:rsidRPr="006023B5" w:rsidRDefault="00EF3A1A" w:rsidP="00BC5479">
            <w:pPr>
              <w:widowControl/>
              <w:autoSpaceDE/>
              <w:autoSpaceDN/>
              <w:adjustRightInd/>
              <w:ind w:right="486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21,3</w:t>
            </w:r>
          </w:p>
        </w:tc>
        <w:tc>
          <w:tcPr>
            <w:tcW w:w="841" w:type="pct"/>
            <w:vAlign w:val="center"/>
          </w:tcPr>
          <w:p w14:paraId="1DE95D7F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422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73,1</w:t>
            </w:r>
          </w:p>
        </w:tc>
        <w:tc>
          <w:tcPr>
            <w:tcW w:w="841" w:type="pct"/>
            <w:vAlign w:val="center"/>
          </w:tcPr>
          <w:p w14:paraId="1CB48B95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427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267,9</w:t>
            </w:r>
          </w:p>
        </w:tc>
        <w:tc>
          <w:tcPr>
            <w:tcW w:w="841" w:type="pct"/>
            <w:vAlign w:val="center"/>
          </w:tcPr>
          <w:p w14:paraId="555BA0AE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309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362,3</w:t>
            </w:r>
          </w:p>
        </w:tc>
      </w:tr>
      <w:tr w:rsidR="00EF3A1A" w:rsidRPr="006023B5" w14:paraId="42CB1E5C" w14:textId="77777777" w:rsidTr="00287AB3">
        <w:trPr>
          <w:trHeight w:val="283"/>
        </w:trPr>
        <w:tc>
          <w:tcPr>
            <w:tcW w:w="1635" w:type="pct"/>
            <w:vAlign w:val="center"/>
          </w:tcPr>
          <w:p w14:paraId="496E9D86" w14:textId="77777777" w:rsidR="00EF3A1A" w:rsidRPr="006023B5" w:rsidRDefault="00EF3A1A" w:rsidP="00287AB3">
            <w:pPr>
              <w:widowControl/>
              <w:autoSpaceDE/>
              <w:autoSpaceDN/>
              <w:adjustRightInd/>
              <w:ind w:left="8" w:right="-64"/>
              <w:rPr>
                <w:rFonts w:ascii="Calibri" w:eastAsia="Times New Roman" w:hAnsi="Calibri" w:cs="Calibri"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Cs/>
                <w:lang w:eastAsia="en-US"/>
              </w:rPr>
              <w:t>Mzdové náklady</w:t>
            </w:r>
          </w:p>
        </w:tc>
        <w:tc>
          <w:tcPr>
            <w:tcW w:w="841" w:type="pct"/>
            <w:vAlign w:val="center"/>
          </w:tcPr>
          <w:p w14:paraId="339DFB31" w14:textId="77777777" w:rsidR="00EF3A1A" w:rsidRPr="006023B5" w:rsidRDefault="00EF3A1A" w:rsidP="00BC5479">
            <w:pPr>
              <w:widowControl/>
              <w:autoSpaceDE/>
              <w:autoSpaceDN/>
              <w:adjustRightInd/>
              <w:ind w:right="486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0,0</w:t>
            </w:r>
          </w:p>
        </w:tc>
        <w:tc>
          <w:tcPr>
            <w:tcW w:w="841" w:type="pct"/>
            <w:vAlign w:val="center"/>
          </w:tcPr>
          <w:p w14:paraId="4EBA54A7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422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198,4</w:t>
            </w:r>
          </w:p>
        </w:tc>
        <w:tc>
          <w:tcPr>
            <w:tcW w:w="841" w:type="pct"/>
            <w:vAlign w:val="center"/>
          </w:tcPr>
          <w:p w14:paraId="5D4E59F1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427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400,2</w:t>
            </w:r>
          </w:p>
        </w:tc>
        <w:tc>
          <w:tcPr>
            <w:tcW w:w="841" w:type="pct"/>
            <w:vAlign w:val="center"/>
          </w:tcPr>
          <w:p w14:paraId="21DD5323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309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598,6</w:t>
            </w:r>
          </w:p>
        </w:tc>
      </w:tr>
      <w:tr w:rsidR="00EF3A1A" w:rsidRPr="006023B5" w14:paraId="052D18C4" w14:textId="77777777" w:rsidTr="00287AB3">
        <w:trPr>
          <w:trHeight w:val="283"/>
        </w:trPr>
        <w:tc>
          <w:tcPr>
            <w:tcW w:w="1635" w:type="pct"/>
            <w:vAlign w:val="center"/>
          </w:tcPr>
          <w:p w14:paraId="0558958E" w14:textId="77777777" w:rsidR="00EF3A1A" w:rsidRPr="006023B5" w:rsidRDefault="00EF3A1A" w:rsidP="00287AB3">
            <w:pPr>
              <w:widowControl/>
              <w:autoSpaceDE/>
              <w:autoSpaceDN/>
              <w:adjustRightInd/>
              <w:ind w:left="8" w:right="-64"/>
              <w:rPr>
                <w:rFonts w:ascii="Calibri" w:eastAsia="Times New Roman" w:hAnsi="Calibri" w:cs="Calibri"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Cs/>
                <w:lang w:eastAsia="en-US"/>
              </w:rPr>
              <w:t>Ostatní věcné výdaje</w:t>
            </w:r>
          </w:p>
        </w:tc>
        <w:tc>
          <w:tcPr>
            <w:tcW w:w="841" w:type="pct"/>
            <w:vAlign w:val="center"/>
          </w:tcPr>
          <w:p w14:paraId="326E0BCE" w14:textId="77777777" w:rsidR="00EF3A1A" w:rsidRPr="006023B5" w:rsidRDefault="00EF3A1A" w:rsidP="00BC5479">
            <w:pPr>
              <w:widowControl/>
              <w:autoSpaceDE/>
              <w:autoSpaceDN/>
              <w:adjustRightInd/>
              <w:ind w:right="486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12,8</w:t>
            </w:r>
          </w:p>
        </w:tc>
        <w:tc>
          <w:tcPr>
            <w:tcW w:w="841" w:type="pct"/>
            <w:vAlign w:val="center"/>
          </w:tcPr>
          <w:p w14:paraId="42C79F8C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422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60,8</w:t>
            </w:r>
          </w:p>
        </w:tc>
        <w:tc>
          <w:tcPr>
            <w:tcW w:w="841" w:type="pct"/>
            <w:vAlign w:val="center"/>
          </w:tcPr>
          <w:p w14:paraId="7F40A329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427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160,7</w:t>
            </w:r>
          </w:p>
        </w:tc>
        <w:tc>
          <w:tcPr>
            <w:tcW w:w="841" w:type="pct"/>
            <w:vAlign w:val="center"/>
          </w:tcPr>
          <w:p w14:paraId="6DC04BE9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309"/>
              <w:jc w:val="right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Cs/>
                <w:lang w:eastAsia="en-US"/>
              </w:rPr>
              <w:t>234,3</w:t>
            </w:r>
          </w:p>
        </w:tc>
      </w:tr>
      <w:tr w:rsidR="00EF3A1A" w:rsidRPr="006023B5" w14:paraId="212AF805" w14:textId="77777777" w:rsidTr="00287AB3">
        <w:trPr>
          <w:trHeight w:val="283"/>
        </w:trPr>
        <w:tc>
          <w:tcPr>
            <w:tcW w:w="1635" w:type="pct"/>
            <w:vAlign w:val="center"/>
          </w:tcPr>
          <w:p w14:paraId="2E1BD911" w14:textId="77777777" w:rsidR="00EF3A1A" w:rsidRPr="006023B5" w:rsidRDefault="00EF3A1A" w:rsidP="00287AB3">
            <w:pPr>
              <w:widowControl/>
              <w:autoSpaceDE/>
              <w:autoSpaceDN/>
              <w:adjustRightInd/>
              <w:ind w:left="8" w:right="-64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6023B5">
              <w:rPr>
                <w:rFonts w:ascii="Calibri" w:eastAsia="Times New Roman" w:hAnsi="Calibri" w:cs="Calibri"/>
                <w:b/>
                <w:bCs/>
                <w:lang w:eastAsia="en-US"/>
              </w:rPr>
              <w:t>Celkem</w:t>
            </w:r>
          </w:p>
        </w:tc>
        <w:tc>
          <w:tcPr>
            <w:tcW w:w="841" w:type="pct"/>
            <w:vAlign w:val="center"/>
          </w:tcPr>
          <w:p w14:paraId="7D632E0C" w14:textId="77777777" w:rsidR="00EF3A1A" w:rsidRPr="006023B5" w:rsidRDefault="00EF3A1A" w:rsidP="00BC5479">
            <w:pPr>
              <w:widowControl/>
              <w:autoSpaceDE/>
              <w:autoSpaceDN/>
              <w:adjustRightInd/>
              <w:ind w:right="486"/>
              <w:jc w:val="righ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34,1</w:t>
            </w:r>
          </w:p>
        </w:tc>
        <w:tc>
          <w:tcPr>
            <w:tcW w:w="841" w:type="pct"/>
            <w:vAlign w:val="center"/>
          </w:tcPr>
          <w:p w14:paraId="60EA907F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422"/>
              <w:jc w:val="righ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332,3</w:t>
            </w:r>
          </w:p>
        </w:tc>
        <w:tc>
          <w:tcPr>
            <w:tcW w:w="841" w:type="pct"/>
            <w:vAlign w:val="center"/>
          </w:tcPr>
          <w:p w14:paraId="21B64802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427"/>
              <w:jc w:val="righ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828,8</w:t>
            </w:r>
          </w:p>
        </w:tc>
        <w:tc>
          <w:tcPr>
            <w:tcW w:w="841" w:type="pct"/>
            <w:vAlign w:val="center"/>
          </w:tcPr>
          <w:p w14:paraId="68F52F78" w14:textId="77777777" w:rsidR="00EF3A1A" w:rsidRPr="006023B5" w:rsidRDefault="00EF3A1A" w:rsidP="00FC1E15">
            <w:pPr>
              <w:widowControl/>
              <w:autoSpaceDE/>
              <w:autoSpaceDN/>
              <w:adjustRightInd/>
              <w:ind w:right="309"/>
              <w:jc w:val="righ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6023B5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1 195,2</w:t>
            </w:r>
          </w:p>
        </w:tc>
      </w:tr>
    </w:tbl>
    <w:p w14:paraId="0879A11A" w14:textId="77777777" w:rsidR="00516F11" w:rsidRPr="006023B5" w:rsidRDefault="00516F11" w:rsidP="00497852">
      <w:pPr>
        <w:widowControl/>
        <w:autoSpaceDE/>
        <w:autoSpaceDN/>
        <w:adjustRightInd/>
        <w:spacing w:before="40"/>
        <w:jc w:val="both"/>
        <w:rPr>
          <w:rFonts w:ascii="Calibri" w:eastAsia="Times New Roman" w:hAnsi="Calibri" w:cs="Calibri"/>
          <w:bCs/>
          <w:lang w:eastAsia="en-US"/>
        </w:rPr>
      </w:pPr>
      <w:r w:rsidRPr="006023B5">
        <w:rPr>
          <w:rFonts w:ascii="Calibri" w:eastAsia="Times New Roman" w:hAnsi="Calibri" w:cs="Calibri"/>
          <w:b/>
          <w:bCs/>
          <w:lang w:eastAsia="en-US"/>
        </w:rPr>
        <w:t>Zdroj:</w:t>
      </w:r>
      <w:r w:rsidRPr="006023B5">
        <w:rPr>
          <w:rFonts w:ascii="Calibri" w:eastAsia="Times New Roman" w:hAnsi="Calibri" w:cs="Calibri"/>
          <w:bCs/>
          <w:lang w:eastAsia="en-US"/>
        </w:rPr>
        <w:t xml:space="preserve"> </w:t>
      </w:r>
      <w:r w:rsidR="0099697E" w:rsidRPr="006023B5">
        <w:rPr>
          <w:rFonts w:ascii="Calibri" w:eastAsia="Times New Roman" w:hAnsi="Calibri" w:cs="Calibri"/>
          <w:bCs/>
          <w:lang w:eastAsia="en-US"/>
        </w:rPr>
        <w:t>VS ČR</w:t>
      </w:r>
      <w:r w:rsidR="00373F94" w:rsidRPr="006023B5">
        <w:rPr>
          <w:rFonts w:ascii="Calibri" w:eastAsia="Times New Roman" w:hAnsi="Calibri" w:cs="Calibri"/>
          <w:bCs/>
          <w:lang w:eastAsia="en-US"/>
        </w:rPr>
        <w:t>.</w:t>
      </w:r>
    </w:p>
    <w:p w14:paraId="3D260849" w14:textId="05721CEB" w:rsidR="00DE240B" w:rsidRDefault="0099697E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730A79"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="007E673D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 uvedla, že </w:t>
      </w:r>
      <w:r w:rsidR="00516F11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sledovat konkrétní výdaje vynaložené na </w:t>
      </w:r>
      <w:r w:rsidR="009E3864" w:rsidRPr="00730A79">
        <w:rPr>
          <w:rFonts w:ascii="Calibri" w:eastAsia="Times New Roman" w:hAnsi="Calibri" w:cs="Calibri"/>
          <w:sz w:val="24"/>
          <w:szCs w:val="24"/>
          <w:lang w:eastAsia="en-US"/>
        </w:rPr>
        <w:t>plnění AP</w:t>
      </w:r>
      <w:r w:rsidR="006421DF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6C25F2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je velmi složité </w:t>
      </w:r>
      <w:r w:rsidR="007E673D" w:rsidRPr="00730A79">
        <w:rPr>
          <w:rFonts w:ascii="Calibri" w:eastAsia="Times New Roman" w:hAnsi="Calibri" w:cs="Calibri"/>
          <w:sz w:val="24"/>
          <w:szCs w:val="24"/>
          <w:lang w:eastAsia="en-US"/>
        </w:rPr>
        <w:t>a</w:t>
      </w:r>
      <w:r w:rsidR="00F85E46" w:rsidRPr="00730A79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516F11" w:rsidRPr="00730A79">
        <w:rPr>
          <w:rFonts w:ascii="Calibri" w:eastAsia="Times New Roman" w:hAnsi="Calibri" w:cs="Calibri"/>
          <w:sz w:val="24"/>
          <w:szCs w:val="24"/>
          <w:lang w:eastAsia="en-US"/>
        </w:rPr>
        <w:t>v</w:t>
      </w:r>
      <w:r w:rsidR="00F85E46" w:rsidRPr="00730A79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516F11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podstatě veškeré </w:t>
      </w:r>
      <w:r w:rsidR="008C4E2A">
        <w:rPr>
          <w:rFonts w:ascii="Calibri" w:eastAsia="Times New Roman" w:hAnsi="Calibri" w:cs="Calibri"/>
          <w:sz w:val="24"/>
          <w:szCs w:val="24"/>
          <w:lang w:eastAsia="en-US"/>
        </w:rPr>
        <w:t>činnosti</w:t>
      </w:r>
      <w:r w:rsidR="005252F4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730A79"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="00516F11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 jsou </w:t>
      </w:r>
      <w:r w:rsidR="008C4E2A">
        <w:rPr>
          <w:rFonts w:ascii="Calibri" w:eastAsia="Times New Roman" w:hAnsi="Calibri" w:cs="Calibri"/>
          <w:sz w:val="24"/>
          <w:szCs w:val="24"/>
          <w:lang w:eastAsia="en-US"/>
        </w:rPr>
        <w:t>prováděny</w:t>
      </w:r>
      <w:r w:rsidR="00AD1818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516F11" w:rsidRPr="00730A79">
        <w:rPr>
          <w:rFonts w:ascii="Calibri" w:eastAsia="Times New Roman" w:hAnsi="Calibri" w:cs="Calibri"/>
          <w:sz w:val="24"/>
          <w:szCs w:val="24"/>
          <w:lang w:eastAsia="en-US"/>
        </w:rPr>
        <w:t>v</w:t>
      </w:r>
      <w:r w:rsidR="005252F4" w:rsidRPr="00730A79">
        <w:rPr>
          <w:rFonts w:ascii="Calibri" w:eastAsia="Times New Roman" w:hAnsi="Calibri" w:cs="Calibri"/>
          <w:sz w:val="24"/>
          <w:szCs w:val="24"/>
          <w:lang w:eastAsia="en-US"/>
        </w:rPr>
        <w:t> souvislosti s</w:t>
      </w:r>
      <w:r w:rsidR="00516F11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 plnění</w:t>
      </w:r>
      <w:r w:rsidR="005252F4" w:rsidRPr="00730A79">
        <w:rPr>
          <w:rFonts w:ascii="Calibri" w:eastAsia="Times New Roman" w:hAnsi="Calibri" w:cs="Calibri"/>
          <w:sz w:val="24"/>
          <w:szCs w:val="24"/>
          <w:lang w:eastAsia="en-US"/>
        </w:rPr>
        <w:t>m</w:t>
      </w:r>
      <w:r w:rsidR="00516F11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5252F4" w:rsidRPr="00730A79">
        <w:rPr>
          <w:rFonts w:ascii="Calibri" w:eastAsia="Times New Roman" w:hAnsi="Calibri" w:cs="Calibri"/>
          <w:sz w:val="24"/>
          <w:szCs w:val="24"/>
          <w:lang w:eastAsia="en-US"/>
        </w:rPr>
        <w:t xml:space="preserve">Koncepce </w:t>
      </w:r>
      <w:r w:rsidR="00516F11" w:rsidRPr="00730A79">
        <w:rPr>
          <w:rFonts w:ascii="Calibri" w:eastAsia="Times New Roman" w:hAnsi="Calibri" w:cs="Calibri"/>
          <w:sz w:val="24"/>
          <w:szCs w:val="24"/>
          <w:lang w:eastAsia="en-US"/>
        </w:rPr>
        <w:t>2025.</w:t>
      </w:r>
    </w:p>
    <w:p w14:paraId="4402CFED" w14:textId="77777777" w:rsidR="000D7F50" w:rsidRDefault="000D7F50" w:rsidP="00497852">
      <w:pPr>
        <w:widowControl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AA548C1" w14:textId="51487763" w:rsidR="00106C5A" w:rsidRDefault="00106C5A" w:rsidP="00497852">
      <w:pPr>
        <w:widowControl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2.5 Opatření přijatá k plnění cílů </w:t>
      </w:r>
      <w:r w:rsidR="006C25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ncepce </w:t>
      </w:r>
      <w:r w:rsidR="006C25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2025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ve vybraných oblastech vězeňství</w:t>
      </w:r>
    </w:p>
    <w:p w14:paraId="1255ED9B" w14:textId="43D941FC" w:rsidR="00106C5A" w:rsidRDefault="00106C5A" w:rsidP="00497852">
      <w:pPr>
        <w:widowControl/>
        <w:spacing w:before="120"/>
        <w:jc w:val="both"/>
        <w:rPr>
          <w:rFonts w:ascii="Calibri" w:eastAsia="Times New Roman" w:hAnsi="Calibri"/>
          <w:sz w:val="24"/>
          <w:szCs w:val="25"/>
        </w:rPr>
      </w:pPr>
      <w:r w:rsidRPr="00072982">
        <w:rPr>
          <w:rFonts w:ascii="Calibri" w:eastAsia="Times New Roman" w:hAnsi="Calibri"/>
          <w:sz w:val="24"/>
          <w:szCs w:val="25"/>
        </w:rPr>
        <w:t xml:space="preserve">Úkolem </w:t>
      </w:r>
      <w:r>
        <w:rPr>
          <w:rFonts w:ascii="Calibri" w:eastAsia="Times New Roman" w:hAnsi="Calibri"/>
          <w:sz w:val="24"/>
          <w:szCs w:val="25"/>
        </w:rPr>
        <w:t>VS ČR</w:t>
      </w:r>
      <w:r w:rsidRPr="00072982">
        <w:rPr>
          <w:rFonts w:ascii="Calibri" w:eastAsia="Times New Roman" w:hAnsi="Calibri"/>
          <w:sz w:val="24"/>
          <w:szCs w:val="25"/>
        </w:rPr>
        <w:t xml:space="preserve"> je </w:t>
      </w:r>
      <w:r>
        <w:rPr>
          <w:rFonts w:ascii="Calibri" w:eastAsia="Times New Roman" w:hAnsi="Calibri"/>
          <w:sz w:val="24"/>
          <w:szCs w:val="25"/>
        </w:rPr>
        <w:t>p</w:t>
      </w:r>
      <w:r w:rsidR="00C94C31">
        <w:rPr>
          <w:rFonts w:ascii="Calibri" w:eastAsia="Times New Roman" w:hAnsi="Calibri"/>
          <w:sz w:val="24"/>
          <w:szCs w:val="25"/>
        </w:rPr>
        <w:t>odle zákona č.</w:t>
      </w:r>
      <w:r w:rsidR="00E62AD3">
        <w:rPr>
          <w:rFonts w:ascii="Calibri" w:eastAsia="Times New Roman" w:hAnsi="Calibri"/>
          <w:sz w:val="24"/>
          <w:szCs w:val="25"/>
        </w:rPr>
        <w:t xml:space="preserve"> </w:t>
      </w:r>
      <w:r w:rsidRPr="00072982">
        <w:rPr>
          <w:rFonts w:ascii="Calibri" w:eastAsia="Times New Roman" w:hAnsi="Calibri"/>
          <w:sz w:val="24"/>
          <w:szCs w:val="25"/>
        </w:rPr>
        <w:t>555/1992 Sb. nejen zajištění bezpečnosti a střežení vězňů, ale i vytváření podmínek pro pracovní a jinou účelnou činnost vězňů, posky</w:t>
      </w:r>
      <w:r>
        <w:rPr>
          <w:rFonts w:ascii="Calibri" w:eastAsia="Times New Roman" w:hAnsi="Calibri"/>
          <w:sz w:val="24"/>
          <w:szCs w:val="25"/>
        </w:rPr>
        <w:t xml:space="preserve">tování zdravotních služeb a soustavné působení </w:t>
      </w:r>
      <w:r w:rsidRPr="00072982">
        <w:rPr>
          <w:rFonts w:ascii="Calibri" w:eastAsia="Times New Roman" w:hAnsi="Calibri"/>
          <w:sz w:val="24"/>
          <w:szCs w:val="25"/>
        </w:rPr>
        <w:t xml:space="preserve">na </w:t>
      </w:r>
      <w:r>
        <w:rPr>
          <w:rFonts w:ascii="Calibri" w:eastAsia="Times New Roman" w:hAnsi="Calibri"/>
          <w:sz w:val="24"/>
          <w:szCs w:val="25"/>
        </w:rPr>
        <w:t>vězně</w:t>
      </w:r>
      <w:r w:rsidRPr="00072982">
        <w:rPr>
          <w:rFonts w:ascii="Calibri" w:eastAsia="Times New Roman" w:hAnsi="Calibri"/>
          <w:sz w:val="24"/>
          <w:szCs w:val="25"/>
        </w:rPr>
        <w:t xml:space="preserve"> prostřednictvím programů zacházení s cílem vytvořit předpoklady pro jejich řádný způsob života po propuštění.</w:t>
      </w:r>
      <w:r>
        <w:rPr>
          <w:rFonts w:ascii="Calibri" w:eastAsia="Times New Roman" w:hAnsi="Calibri"/>
          <w:sz w:val="24"/>
          <w:szCs w:val="25"/>
        </w:rPr>
        <w:t xml:space="preserve"> </w:t>
      </w:r>
    </w:p>
    <w:p w14:paraId="3E508B69" w14:textId="77777777" w:rsidR="00393FB7" w:rsidRDefault="00393FB7" w:rsidP="00497852">
      <w:pPr>
        <w:widowControl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4B988F5" w14:textId="27713D7C" w:rsidR="002F46EA" w:rsidRPr="00A35817" w:rsidRDefault="002F46EA" w:rsidP="00497852">
      <w:pPr>
        <w:widowControl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581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Ubytovací kapacita</w:t>
      </w:r>
    </w:p>
    <w:p w14:paraId="2B0791A8" w14:textId="7DBBAD9F" w:rsidR="002F46EA" w:rsidRPr="00A35817" w:rsidRDefault="00084784" w:rsidP="00BC5479">
      <w:pPr>
        <w:widowControl/>
        <w:autoSpaceDE/>
        <w:autoSpaceDN/>
        <w:adjustRightInd/>
        <w:spacing w:after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</w:pPr>
      <w:r w:rsidRPr="00084784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Míra využití ubytovací kapacity je podíl počtu vězněných osob </w:t>
      </w:r>
      <w:r w:rsidR="00BC5479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na</w:t>
      </w:r>
      <w:r w:rsidRPr="00084784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ubytovací kapacitě stanovené VS ČR</w:t>
      </w:r>
      <w:r w:rsidR="0000338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Pr="00084784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při minimální ploše 4 m</w:t>
      </w:r>
      <w:r w:rsidRPr="00FA75CA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084784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na jednu vězněnou osobu.</w:t>
      </w:r>
      <w:r w:rsidR="00807E3E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="002F46EA" w:rsidRPr="00A3581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Přehled využití </w:t>
      </w:r>
      <w:r w:rsidR="002F46EA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ubytovací kapacity</w:t>
      </w:r>
      <w:r w:rsidR="002F46EA" w:rsidRPr="00A3581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="002F46EA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pro</w:t>
      </w:r>
      <w:r w:rsidR="002F46EA" w:rsidRPr="00A3581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výkon vazby a </w:t>
      </w:r>
      <w:r w:rsidR="002F46EA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pro </w:t>
      </w:r>
      <w:r w:rsidR="002F46EA" w:rsidRPr="00A3581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výkon trestu odnětí svobody v letech 2015</w:t>
      </w:r>
      <w:r w:rsidR="002F46EA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2F46EA" w:rsidRPr="00A3581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2018 je uveden v následující tabulce.</w:t>
      </w:r>
    </w:p>
    <w:p w14:paraId="65C8B35E" w14:textId="77777777" w:rsidR="00327BCC" w:rsidRDefault="00327BCC" w:rsidP="00287AB3">
      <w:pPr>
        <w:widowControl/>
        <w:autoSpaceDE/>
        <w:autoSpaceDN/>
        <w:adjustRightInd/>
        <w:spacing w:after="120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</w:pPr>
    </w:p>
    <w:p w14:paraId="7375E4A8" w14:textId="77777777" w:rsidR="002378E7" w:rsidRDefault="002378E7">
      <w:pPr>
        <w:widowControl/>
        <w:autoSpaceDE/>
        <w:autoSpaceDN/>
        <w:adjustRightInd/>
        <w:spacing w:after="160" w:line="259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</w:pPr>
      <w:r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  <w:br w:type="page"/>
      </w:r>
    </w:p>
    <w:p w14:paraId="27D546BC" w14:textId="75F92E66" w:rsidR="002F46EA" w:rsidRPr="007827F9" w:rsidRDefault="002F46EA" w:rsidP="00287AB3">
      <w:pPr>
        <w:keepNext/>
        <w:widowControl/>
        <w:autoSpaceDE/>
        <w:autoSpaceDN/>
        <w:adjustRightInd/>
        <w:spacing w:after="40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827E8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  <w:lastRenderedPageBreak/>
        <w:t xml:space="preserve">Tabulka č. </w:t>
      </w:r>
      <w:r w:rsidR="00FA75CA" w:rsidRPr="00827E8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  <w:t>4</w:t>
      </w:r>
      <w:r w:rsidR="006772E3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  <w:t xml:space="preserve"> –</w:t>
      </w:r>
      <w:r w:rsidRPr="00827E8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  <w:t xml:space="preserve"> Vývoj a využití ubytovací kapacity</w:t>
      </w:r>
      <w:r w:rsidRPr="007827F9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  <w:t xml:space="preserve"> </w:t>
      </w:r>
      <w:r w:rsidR="00897050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US"/>
        </w:rPr>
        <w:t>věznic</w:t>
      </w:r>
    </w:p>
    <w:tbl>
      <w:tblPr>
        <w:tblStyle w:val="Mkatabulky2"/>
        <w:tblW w:w="0" w:type="auto"/>
        <w:tblInd w:w="9" w:type="dxa"/>
        <w:tblLook w:val="04A0" w:firstRow="1" w:lastRow="0" w:firstColumn="1" w:lastColumn="0" w:noHBand="0" w:noVBand="1"/>
      </w:tblPr>
      <w:tblGrid>
        <w:gridCol w:w="2821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2F46EA" w:rsidRPr="00A35817" w14:paraId="5C2FB189" w14:textId="77777777" w:rsidTr="008B3FE8">
        <w:trPr>
          <w:trHeight w:val="227"/>
        </w:trPr>
        <w:tc>
          <w:tcPr>
            <w:tcW w:w="2821" w:type="dxa"/>
            <w:vMerge w:val="restart"/>
            <w:shd w:val="clear" w:color="auto" w:fill="E5F1FF"/>
            <w:vAlign w:val="center"/>
          </w:tcPr>
          <w:p w14:paraId="3C075198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ind w:right="-91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Údaj k 31. 12.</w:t>
            </w:r>
          </w:p>
        </w:tc>
        <w:tc>
          <w:tcPr>
            <w:tcW w:w="1558" w:type="dxa"/>
            <w:gridSpan w:val="2"/>
            <w:shd w:val="clear" w:color="auto" w:fill="E5F1FF"/>
          </w:tcPr>
          <w:p w14:paraId="7FD21001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2015</w:t>
            </w:r>
          </w:p>
        </w:tc>
        <w:tc>
          <w:tcPr>
            <w:tcW w:w="1558" w:type="dxa"/>
            <w:gridSpan w:val="2"/>
            <w:shd w:val="clear" w:color="auto" w:fill="E5F1FF"/>
          </w:tcPr>
          <w:p w14:paraId="38BCE3C2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2016</w:t>
            </w:r>
          </w:p>
        </w:tc>
        <w:tc>
          <w:tcPr>
            <w:tcW w:w="1558" w:type="dxa"/>
            <w:gridSpan w:val="2"/>
            <w:shd w:val="clear" w:color="auto" w:fill="E5F1FF"/>
          </w:tcPr>
          <w:p w14:paraId="417A6ACF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2017*</w:t>
            </w:r>
          </w:p>
        </w:tc>
        <w:tc>
          <w:tcPr>
            <w:tcW w:w="1558" w:type="dxa"/>
            <w:gridSpan w:val="2"/>
            <w:shd w:val="clear" w:color="auto" w:fill="E5F1FF"/>
          </w:tcPr>
          <w:p w14:paraId="10605F2B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2018</w:t>
            </w:r>
          </w:p>
        </w:tc>
      </w:tr>
      <w:tr w:rsidR="002F46EA" w:rsidRPr="00A35817" w14:paraId="65291711" w14:textId="77777777" w:rsidTr="008B3FE8">
        <w:trPr>
          <w:trHeight w:val="227"/>
        </w:trPr>
        <w:tc>
          <w:tcPr>
            <w:tcW w:w="2821" w:type="dxa"/>
            <w:vMerge/>
            <w:shd w:val="clear" w:color="auto" w:fill="E5F1FF"/>
          </w:tcPr>
          <w:p w14:paraId="2CBAC876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</w:p>
        </w:tc>
        <w:tc>
          <w:tcPr>
            <w:tcW w:w="779" w:type="dxa"/>
            <w:shd w:val="clear" w:color="auto" w:fill="E5F1FF"/>
          </w:tcPr>
          <w:p w14:paraId="14A91BBB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VV</w:t>
            </w:r>
          </w:p>
        </w:tc>
        <w:tc>
          <w:tcPr>
            <w:tcW w:w="779" w:type="dxa"/>
            <w:shd w:val="clear" w:color="auto" w:fill="E5F1FF"/>
          </w:tcPr>
          <w:p w14:paraId="369985A3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VTOS</w:t>
            </w:r>
          </w:p>
        </w:tc>
        <w:tc>
          <w:tcPr>
            <w:tcW w:w="779" w:type="dxa"/>
            <w:shd w:val="clear" w:color="auto" w:fill="E5F1FF"/>
          </w:tcPr>
          <w:p w14:paraId="3AA89A9A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VV</w:t>
            </w:r>
          </w:p>
        </w:tc>
        <w:tc>
          <w:tcPr>
            <w:tcW w:w="779" w:type="dxa"/>
            <w:shd w:val="clear" w:color="auto" w:fill="E5F1FF"/>
          </w:tcPr>
          <w:p w14:paraId="713FDE5C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VTOS</w:t>
            </w:r>
          </w:p>
        </w:tc>
        <w:tc>
          <w:tcPr>
            <w:tcW w:w="779" w:type="dxa"/>
            <w:shd w:val="clear" w:color="auto" w:fill="E5F1FF"/>
          </w:tcPr>
          <w:p w14:paraId="3A425626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VV</w:t>
            </w:r>
          </w:p>
        </w:tc>
        <w:tc>
          <w:tcPr>
            <w:tcW w:w="779" w:type="dxa"/>
            <w:shd w:val="clear" w:color="auto" w:fill="E5F1FF"/>
          </w:tcPr>
          <w:p w14:paraId="1DEFCAD8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VTOS</w:t>
            </w:r>
          </w:p>
        </w:tc>
        <w:tc>
          <w:tcPr>
            <w:tcW w:w="779" w:type="dxa"/>
            <w:shd w:val="clear" w:color="auto" w:fill="E5F1FF"/>
          </w:tcPr>
          <w:p w14:paraId="13458E8C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VV</w:t>
            </w:r>
          </w:p>
        </w:tc>
        <w:tc>
          <w:tcPr>
            <w:tcW w:w="779" w:type="dxa"/>
            <w:shd w:val="clear" w:color="auto" w:fill="E5F1FF"/>
          </w:tcPr>
          <w:p w14:paraId="6E7A4EAC" w14:textId="77777777" w:rsidR="002F46EA" w:rsidRPr="00A35817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</w:pPr>
            <w:r w:rsidRPr="00A35817">
              <w:rPr>
                <w:rFonts w:ascii="Calibri" w:eastAsia="Times New Roman" w:hAnsi="Calibri" w:cs="Calibri"/>
                <w:b/>
                <w:color w:val="000000" w:themeColor="text1"/>
                <w:lang w:eastAsia="en-US"/>
              </w:rPr>
              <w:t>VTOS</w:t>
            </w:r>
          </w:p>
        </w:tc>
      </w:tr>
      <w:tr w:rsidR="002F46EA" w:rsidRPr="00A07581" w14:paraId="5355253A" w14:textId="77777777" w:rsidTr="00287AB3">
        <w:trPr>
          <w:trHeight w:val="227"/>
        </w:trPr>
        <w:tc>
          <w:tcPr>
            <w:tcW w:w="2821" w:type="dxa"/>
            <w:vAlign w:val="center"/>
          </w:tcPr>
          <w:p w14:paraId="7466C74E" w14:textId="2A92F1F2" w:rsidR="002F46EA" w:rsidRPr="00A07581" w:rsidRDefault="002F46EA" w:rsidP="00287AB3">
            <w:pPr>
              <w:widowControl/>
              <w:tabs>
                <w:tab w:val="left" w:pos="567"/>
              </w:tabs>
              <w:autoSpaceDE/>
              <w:autoSpaceDN/>
              <w:adjustRightInd/>
              <w:ind w:left="-22" w:right="-105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 xml:space="preserve">Ubytovací kapacita </w:t>
            </w:r>
            <w:r w:rsidR="00BC5479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(</w:t>
            </w:r>
            <w:r w:rsidR="00E62AD3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 xml:space="preserve">počet míst při standardu </w:t>
            </w:r>
            <w:r w:rsidR="00BC5479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4 m</w:t>
            </w:r>
            <w:r w:rsidR="00BC5479" w:rsidRPr="00287AB3">
              <w:rPr>
                <w:rFonts w:ascii="Calibri" w:eastAsia="Times New Roman" w:hAnsi="Calibri" w:cs="Calibri"/>
                <w:color w:val="000000" w:themeColor="text1"/>
                <w:vertAlign w:val="superscript"/>
                <w:lang w:eastAsia="en-US"/>
              </w:rPr>
              <w:t>2</w:t>
            </w:r>
            <w:r w:rsidR="00E62AD3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 xml:space="preserve"> na </w:t>
            </w:r>
            <w:r w:rsidR="00BC5479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osobu)</w:t>
            </w:r>
          </w:p>
        </w:tc>
        <w:tc>
          <w:tcPr>
            <w:tcW w:w="779" w:type="dxa"/>
            <w:vAlign w:val="center"/>
          </w:tcPr>
          <w:p w14:paraId="25F8FD43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2 473</w:t>
            </w:r>
          </w:p>
        </w:tc>
        <w:tc>
          <w:tcPr>
            <w:tcW w:w="779" w:type="dxa"/>
            <w:vAlign w:val="center"/>
          </w:tcPr>
          <w:p w14:paraId="5C18CBFB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18 209</w:t>
            </w:r>
          </w:p>
        </w:tc>
        <w:tc>
          <w:tcPr>
            <w:tcW w:w="779" w:type="dxa"/>
            <w:vAlign w:val="center"/>
          </w:tcPr>
          <w:p w14:paraId="3E563174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2 333</w:t>
            </w:r>
          </w:p>
        </w:tc>
        <w:tc>
          <w:tcPr>
            <w:tcW w:w="779" w:type="dxa"/>
            <w:vAlign w:val="center"/>
          </w:tcPr>
          <w:p w14:paraId="0BB3FDBE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18 421</w:t>
            </w:r>
          </w:p>
        </w:tc>
        <w:tc>
          <w:tcPr>
            <w:tcW w:w="779" w:type="dxa"/>
            <w:vAlign w:val="center"/>
          </w:tcPr>
          <w:p w14:paraId="131A2A42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2 281</w:t>
            </w:r>
          </w:p>
        </w:tc>
        <w:tc>
          <w:tcPr>
            <w:tcW w:w="779" w:type="dxa"/>
            <w:vAlign w:val="center"/>
          </w:tcPr>
          <w:p w14:paraId="6DD3DD59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18 850</w:t>
            </w:r>
          </w:p>
        </w:tc>
        <w:tc>
          <w:tcPr>
            <w:tcW w:w="779" w:type="dxa"/>
            <w:vAlign w:val="center"/>
          </w:tcPr>
          <w:p w14:paraId="73DF8216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2 239</w:t>
            </w:r>
          </w:p>
        </w:tc>
        <w:tc>
          <w:tcPr>
            <w:tcW w:w="779" w:type="dxa"/>
            <w:vAlign w:val="center"/>
          </w:tcPr>
          <w:p w14:paraId="608E6F6A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18 819</w:t>
            </w:r>
          </w:p>
        </w:tc>
      </w:tr>
      <w:tr w:rsidR="002F46EA" w:rsidRPr="00A07581" w14:paraId="3325FDDA" w14:textId="77777777" w:rsidTr="00F63491">
        <w:trPr>
          <w:trHeight w:val="227"/>
        </w:trPr>
        <w:tc>
          <w:tcPr>
            <w:tcW w:w="2821" w:type="dxa"/>
            <w:vAlign w:val="bottom"/>
          </w:tcPr>
          <w:p w14:paraId="0481F53F" w14:textId="018398DB" w:rsidR="002F46EA" w:rsidRPr="00A07581" w:rsidRDefault="00BC5479" w:rsidP="00BC5479">
            <w:pPr>
              <w:widowControl/>
              <w:tabs>
                <w:tab w:val="left" w:pos="567"/>
              </w:tabs>
              <w:autoSpaceDE/>
              <w:autoSpaceDN/>
              <w:adjustRightInd/>
              <w:ind w:left="-22"/>
              <w:jc w:val="both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Počet v</w:t>
            </w:r>
            <w:r w:rsidR="002F46EA"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ězněn</w:t>
            </w:r>
            <w:r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ých</w:t>
            </w:r>
            <w:r w:rsidR="002F46EA"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 xml:space="preserve"> osob</w:t>
            </w:r>
          </w:p>
        </w:tc>
        <w:tc>
          <w:tcPr>
            <w:tcW w:w="779" w:type="dxa"/>
            <w:vAlign w:val="center"/>
          </w:tcPr>
          <w:p w14:paraId="08AA16D4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1 944</w:t>
            </w:r>
          </w:p>
        </w:tc>
        <w:tc>
          <w:tcPr>
            <w:tcW w:w="779" w:type="dxa"/>
            <w:vAlign w:val="center"/>
          </w:tcPr>
          <w:p w14:paraId="003A8B8D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18 922</w:t>
            </w:r>
          </w:p>
        </w:tc>
        <w:tc>
          <w:tcPr>
            <w:tcW w:w="779" w:type="dxa"/>
            <w:vAlign w:val="center"/>
          </w:tcPr>
          <w:p w14:paraId="61084D1A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1 895</w:t>
            </w:r>
          </w:p>
        </w:tc>
        <w:tc>
          <w:tcPr>
            <w:tcW w:w="779" w:type="dxa"/>
            <w:vAlign w:val="center"/>
          </w:tcPr>
          <w:p w14:paraId="1682D716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20 586</w:t>
            </w:r>
          </w:p>
        </w:tc>
        <w:tc>
          <w:tcPr>
            <w:tcW w:w="779" w:type="dxa"/>
            <w:vAlign w:val="center"/>
          </w:tcPr>
          <w:p w14:paraId="3482136D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1 790</w:t>
            </w:r>
          </w:p>
        </w:tc>
        <w:tc>
          <w:tcPr>
            <w:tcW w:w="779" w:type="dxa"/>
            <w:vAlign w:val="center"/>
          </w:tcPr>
          <w:p w14:paraId="7D300B6B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20 369</w:t>
            </w:r>
          </w:p>
        </w:tc>
        <w:tc>
          <w:tcPr>
            <w:tcW w:w="779" w:type="dxa"/>
            <w:vAlign w:val="center"/>
          </w:tcPr>
          <w:p w14:paraId="37330B5F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1 800</w:t>
            </w:r>
          </w:p>
        </w:tc>
        <w:tc>
          <w:tcPr>
            <w:tcW w:w="779" w:type="dxa"/>
            <w:vAlign w:val="center"/>
          </w:tcPr>
          <w:p w14:paraId="3C480CF6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19 777</w:t>
            </w:r>
          </w:p>
        </w:tc>
      </w:tr>
      <w:tr w:rsidR="002F46EA" w:rsidRPr="00A07581" w14:paraId="21CA63D4" w14:textId="77777777" w:rsidTr="00F63491">
        <w:trPr>
          <w:trHeight w:val="227"/>
        </w:trPr>
        <w:tc>
          <w:tcPr>
            <w:tcW w:w="2821" w:type="dxa"/>
            <w:vAlign w:val="bottom"/>
          </w:tcPr>
          <w:p w14:paraId="53886EC8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ind w:left="-22"/>
              <w:jc w:val="both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Využití ubytovací kapacity (v %)</w:t>
            </w:r>
          </w:p>
        </w:tc>
        <w:tc>
          <w:tcPr>
            <w:tcW w:w="779" w:type="dxa"/>
            <w:vAlign w:val="center"/>
          </w:tcPr>
          <w:p w14:paraId="340EDFA6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78,6</w:t>
            </w:r>
          </w:p>
        </w:tc>
        <w:tc>
          <w:tcPr>
            <w:tcW w:w="779" w:type="dxa"/>
            <w:vAlign w:val="center"/>
          </w:tcPr>
          <w:p w14:paraId="39A6B9D9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103,9</w:t>
            </w:r>
          </w:p>
        </w:tc>
        <w:tc>
          <w:tcPr>
            <w:tcW w:w="779" w:type="dxa"/>
            <w:vAlign w:val="center"/>
          </w:tcPr>
          <w:p w14:paraId="4C348BCE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81,2</w:t>
            </w:r>
          </w:p>
        </w:tc>
        <w:tc>
          <w:tcPr>
            <w:tcW w:w="779" w:type="dxa"/>
            <w:vAlign w:val="center"/>
          </w:tcPr>
          <w:p w14:paraId="16E42CBD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111,8</w:t>
            </w:r>
          </w:p>
        </w:tc>
        <w:tc>
          <w:tcPr>
            <w:tcW w:w="779" w:type="dxa"/>
            <w:vAlign w:val="center"/>
          </w:tcPr>
          <w:p w14:paraId="4A950C67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78,5</w:t>
            </w:r>
          </w:p>
        </w:tc>
        <w:tc>
          <w:tcPr>
            <w:tcW w:w="779" w:type="dxa"/>
            <w:vAlign w:val="center"/>
          </w:tcPr>
          <w:p w14:paraId="530998AB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108,1</w:t>
            </w:r>
          </w:p>
        </w:tc>
        <w:tc>
          <w:tcPr>
            <w:tcW w:w="779" w:type="dxa"/>
            <w:vAlign w:val="center"/>
          </w:tcPr>
          <w:p w14:paraId="3232BC60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80,4</w:t>
            </w:r>
          </w:p>
        </w:tc>
        <w:tc>
          <w:tcPr>
            <w:tcW w:w="779" w:type="dxa"/>
            <w:vAlign w:val="center"/>
          </w:tcPr>
          <w:p w14:paraId="5F718A10" w14:textId="77777777" w:rsidR="002F46EA" w:rsidRPr="00A07581" w:rsidRDefault="002F46EA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105,1</w:t>
            </w:r>
          </w:p>
        </w:tc>
      </w:tr>
      <w:tr w:rsidR="00F63491" w:rsidRPr="00A35817" w14:paraId="7A93C2C2" w14:textId="77777777" w:rsidTr="00F63491">
        <w:trPr>
          <w:trHeight w:val="227"/>
        </w:trPr>
        <w:tc>
          <w:tcPr>
            <w:tcW w:w="2821" w:type="dxa"/>
            <w:vAlign w:val="bottom"/>
          </w:tcPr>
          <w:p w14:paraId="0A648A7E" w14:textId="3DFA679F" w:rsidR="00F63491" w:rsidRPr="00A07581" w:rsidRDefault="00F63491" w:rsidP="006C4B49">
            <w:pPr>
              <w:widowControl/>
              <w:tabs>
                <w:tab w:val="left" w:pos="567"/>
              </w:tabs>
              <w:autoSpaceDE/>
              <w:autoSpaceDN/>
              <w:adjustRightInd/>
              <w:ind w:left="-22"/>
              <w:jc w:val="both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Nenastoupení výkonu trestu**</w:t>
            </w:r>
          </w:p>
        </w:tc>
        <w:tc>
          <w:tcPr>
            <w:tcW w:w="779" w:type="dxa"/>
            <w:vAlign w:val="center"/>
          </w:tcPr>
          <w:p w14:paraId="2E6D06A7" w14:textId="308BAD27" w:rsidR="00F63491" w:rsidRPr="00A07581" w:rsidRDefault="00A241A5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–</w:t>
            </w:r>
          </w:p>
        </w:tc>
        <w:tc>
          <w:tcPr>
            <w:tcW w:w="779" w:type="dxa"/>
            <w:vAlign w:val="center"/>
          </w:tcPr>
          <w:p w14:paraId="7FF872FA" w14:textId="35F63354" w:rsidR="00F63491" w:rsidRPr="00A07581" w:rsidRDefault="00F63491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3 031</w:t>
            </w:r>
          </w:p>
        </w:tc>
        <w:tc>
          <w:tcPr>
            <w:tcW w:w="779" w:type="dxa"/>
            <w:vAlign w:val="center"/>
          </w:tcPr>
          <w:p w14:paraId="68064F56" w14:textId="797E6F5B" w:rsidR="00F63491" w:rsidRPr="00A07581" w:rsidRDefault="00A241A5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–</w:t>
            </w:r>
          </w:p>
        </w:tc>
        <w:tc>
          <w:tcPr>
            <w:tcW w:w="779" w:type="dxa"/>
            <w:vAlign w:val="center"/>
          </w:tcPr>
          <w:p w14:paraId="6DCCDA69" w14:textId="491574CB" w:rsidR="00F63491" w:rsidRPr="00A07581" w:rsidRDefault="00F63491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3 069</w:t>
            </w:r>
          </w:p>
        </w:tc>
        <w:tc>
          <w:tcPr>
            <w:tcW w:w="779" w:type="dxa"/>
            <w:vAlign w:val="center"/>
          </w:tcPr>
          <w:p w14:paraId="176AE39F" w14:textId="0282F8A0" w:rsidR="00F63491" w:rsidRPr="00A07581" w:rsidRDefault="00A241A5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–</w:t>
            </w:r>
          </w:p>
        </w:tc>
        <w:tc>
          <w:tcPr>
            <w:tcW w:w="779" w:type="dxa"/>
            <w:vAlign w:val="center"/>
          </w:tcPr>
          <w:p w14:paraId="4EFCB7F2" w14:textId="73DC9111" w:rsidR="00F63491" w:rsidRPr="00A07581" w:rsidRDefault="00F63491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2 890</w:t>
            </w:r>
          </w:p>
        </w:tc>
        <w:tc>
          <w:tcPr>
            <w:tcW w:w="779" w:type="dxa"/>
            <w:vAlign w:val="center"/>
          </w:tcPr>
          <w:p w14:paraId="09968571" w14:textId="7588C60C" w:rsidR="00F63491" w:rsidRPr="00A35817" w:rsidRDefault="00A241A5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–</w:t>
            </w:r>
          </w:p>
        </w:tc>
        <w:tc>
          <w:tcPr>
            <w:tcW w:w="779" w:type="dxa"/>
            <w:vAlign w:val="center"/>
          </w:tcPr>
          <w:p w14:paraId="64D92CAD" w14:textId="4D734C56" w:rsidR="00F63491" w:rsidRPr="00A35817" w:rsidRDefault="00F63491" w:rsidP="00497852">
            <w:pPr>
              <w:widowControl/>
              <w:tabs>
                <w:tab w:val="left" w:pos="567"/>
              </w:tabs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 w:themeColor="text1"/>
                <w:lang w:eastAsia="en-US"/>
              </w:rPr>
            </w:pPr>
            <w:r w:rsidRPr="00A07581">
              <w:rPr>
                <w:rFonts w:ascii="Calibri" w:eastAsia="Times New Roman" w:hAnsi="Calibri" w:cs="Calibri"/>
                <w:color w:val="000000" w:themeColor="text1"/>
                <w:lang w:eastAsia="en-US"/>
              </w:rPr>
              <w:t>2 949</w:t>
            </w:r>
          </w:p>
        </w:tc>
      </w:tr>
    </w:tbl>
    <w:p w14:paraId="6C647196" w14:textId="613B09F6" w:rsidR="002F46EA" w:rsidRPr="00A35817" w:rsidRDefault="002F46EA" w:rsidP="00497852">
      <w:pPr>
        <w:widowControl/>
        <w:autoSpaceDE/>
        <w:autoSpaceDN/>
        <w:adjustRightInd/>
        <w:spacing w:before="40"/>
        <w:jc w:val="both"/>
        <w:rPr>
          <w:rFonts w:ascii="Calibri" w:eastAsia="Times New Roman" w:hAnsi="Calibri" w:cs="Calibri"/>
          <w:color w:val="000000" w:themeColor="text1"/>
        </w:rPr>
      </w:pPr>
      <w:r w:rsidRPr="0097379B">
        <w:rPr>
          <w:rFonts w:ascii="Calibri" w:eastAsia="Times New Roman" w:hAnsi="Calibri" w:cs="Calibri"/>
          <w:b/>
          <w:color w:val="000000" w:themeColor="text1"/>
          <w:lang w:eastAsia="en-US"/>
        </w:rPr>
        <w:t>Zdroj</w:t>
      </w:r>
      <w:r w:rsidRPr="00287AB3">
        <w:rPr>
          <w:rFonts w:ascii="Calibri" w:eastAsia="Times New Roman" w:hAnsi="Calibri" w:cs="Calibri"/>
          <w:b/>
          <w:color w:val="000000" w:themeColor="text1"/>
          <w:lang w:eastAsia="en-US"/>
        </w:rPr>
        <w:t>:</w:t>
      </w:r>
      <w:r w:rsidRPr="00A35817">
        <w:rPr>
          <w:rFonts w:ascii="Calibri" w:eastAsia="Times New Roman" w:hAnsi="Calibri" w:cs="Calibri"/>
          <w:color w:val="000000" w:themeColor="text1"/>
          <w:lang w:eastAsia="en-US"/>
        </w:rPr>
        <w:t xml:space="preserve"> </w:t>
      </w:r>
      <w:r w:rsidR="00E62AD3">
        <w:rPr>
          <w:rFonts w:ascii="Calibri" w:eastAsia="Times New Roman" w:hAnsi="Calibri" w:cs="Calibri"/>
          <w:color w:val="000000" w:themeColor="text1"/>
          <w:lang w:eastAsia="en-US"/>
        </w:rPr>
        <w:t>s</w:t>
      </w:r>
      <w:r w:rsidRPr="00A35817">
        <w:rPr>
          <w:rFonts w:ascii="Calibri" w:eastAsia="Times New Roman" w:hAnsi="Calibri" w:cs="Calibri"/>
          <w:color w:val="000000" w:themeColor="text1"/>
          <w:lang w:eastAsia="en-US"/>
        </w:rPr>
        <w:t>tatistick</w:t>
      </w:r>
      <w:r w:rsidR="00E62AD3">
        <w:rPr>
          <w:rFonts w:ascii="Calibri" w:eastAsia="Times New Roman" w:hAnsi="Calibri" w:cs="Calibri"/>
          <w:color w:val="000000" w:themeColor="text1"/>
          <w:lang w:eastAsia="en-US"/>
        </w:rPr>
        <w:t>é</w:t>
      </w:r>
      <w:r w:rsidRPr="00A35817">
        <w:rPr>
          <w:rFonts w:ascii="Calibri" w:eastAsia="Times New Roman" w:hAnsi="Calibri" w:cs="Calibri"/>
          <w:color w:val="000000" w:themeColor="text1"/>
          <w:lang w:eastAsia="en-US"/>
        </w:rPr>
        <w:t xml:space="preserve"> ročenk</w:t>
      </w:r>
      <w:r w:rsidR="00E62AD3">
        <w:rPr>
          <w:rFonts w:ascii="Calibri" w:eastAsia="Times New Roman" w:hAnsi="Calibri" w:cs="Calibri"/>
          <w:color w:val="000000" w:themeColor="text1"/>
          <w:lang w:eastAsia="en-US"/>
        </w:rPr>
        <w:t>y</w:t>
      </w:r>
      <w:r w:rsidRPr="00A35817">
        <w:rPr>
          <w:rFonts w:ascii="Calibri" w:eastAsia="Times New Roman" w:hAnsi="Calibri" w:cs="Calibri"/>
          <w:color w:val="000000" w:themeColor="text1"/>
          <w:lang w:eastAsia="en-US"/>
        </w:rPr>
        <w:t xml:space="preserve"> </w:t>
      </w:r>
      <w:r>
        <w:rPr>
          <w:rFonts w:ascii="Calibri" w:eastAsia="Times New Roman" w:hAnsi="Calibri" w:cs="Calibri"/>
          <w:color w:val="000000" w:themeColor="text1"/>
          <w:lang w:eastAsia="en-US"/>
        </w:rPr>
        <w:t>VS ČR</w:t>
      </w:r>
      <w:r w:rsidRPr="00A35817">
        <w:rPr>
          <w:rFonts w:ascii="Calibri" w:eastAsia="Times New Roman" w:hAnsi="Calibri" w:cs="Calibri"/>
          <w:color w:val="000000" w:themeColor="text1"/>
          <w:lang w:eastAsia="en-US"/>
        </w:rPr>
        <w:t xml:space="preserve"> </w:t>
      </w:r>
      <w:r w:rsidR="00FC1E15">
        <w:rPr>
          <w:rFonts w:ascii="Calibri" w:eastAsia="Times New Roman" w:hAnsi="Calibri" w:cs="Calibri"/>
          <w:color w:val="000000" w:themeColor="text1"/>
          <w:lang w:eastAsia="en-US"/>
        </w:rPr>
        <w:t>za</w:t>
      </w:r>
      <w:r w:rsidRPr="00A35817">
        <w:rPr>
          <w:rFonts w:ascii="Calibri" w:eastAsia="Times New Roman" w:hAnsi="Calibri" w:cs="Calibri"/>
          <w:color w:val="000000" w:themeColor="text1"/>
          <w:lang w:eastAsia="en-US"/>
        </w:rPr>
        <w:t xml:space="preserve"> rok</w:t>
      </w:r>
      <w:r w:rsidR="00E62AD3">
        <w:rPr>
          <w:rFonts w:ascii="Calibri" w:eastAsia="Times New Roman" w:hAnsi="Calibri" w:cs="Calibri"/>
          <w:color w:val="000000" w:themeColor="text1"/>
          <w:lang w:eastAsia="en-US"/>
        </w:rPr>
        <w:t>y</w:t>
      </w:r>
      <w:r w:rsidRPr="00A35817">
        <w:rPr>
          <w:rFonts w:ascii="Calibri" w:eastAsia="Times New Roman" w:hAnsi="Calibri" w:cs="Calibri"/>
          <w:color w:val="000000" w:themeColor="text1"/>
          <w:lang w:eastAsia="en-US"/>
        </w:rPr>
        <w:t xml:space="preserve"> 2015, 2016, 2017 a 2018.</w:t>
      </w:r>
    </w:p>
    <w:p w14:paraId="646682D3" w14:textId="63A55152" w:rsidR="002F46EA" w:rsidRDefault="002F46EA" w:rsidP="00497852">
      <w:pPr>
        <w:widowControl/>
        <w:tabs>
          <w:tab w:val="left" w:pos="284"/>
        </w:tabs>
        <w:autoSpaceDE/>
        <w:autoSpaceDN/>
        <w:adjustRightInd/>
        <w:ind w:left="142" w:hanging="142"/>
        <w:jc w:val="both"/>
        <w:rPr>
          <w:rFonts w:ascii="Calibri" w:eastAsia="Times New Roman" w:hAnsi="Calibri" w:cs="Calibri"/>
          <w:color w:val="000000" w:themeColor="text1"/>
          <w:lang w:eastAsia="en-US"/>
        </w:rPr>
      </w:pPr>
      <w:r w:rsidRPr="00A35817">
        <w:rPr>
          <w:rFonts w:ascii="Calibri" w:eastAsia="Times New Roman" w:hAnsi="Calibri" w:cs="Calibri"/>
          <w:color w:val="000000" w:themeColor="text1"/>
          <w:lang w:eastAsia="en-US"/>
        </w:rPr>
        <w:t>*</w:t>
      </w:r>
      <w:r w:rsidR="00B90897">
        <w:rPr>
          <w:rFonts w:ascii="Calibri" w:eastAsia="Times New Roman" w:hAnsi="Calibri" w:cs="Calibri"/>
          <w:color w:val="000000" w:themeColor="text1"/>
          <w:lang w:eastAsia="en-US"/>
        </w:rPr>
        <w:t xml:space="preserve"> </w:t>
      </w:r>
      <w:r w:rsidR="00B1153E">
        <w:rPr>
          <w:rFonts w:ascii="Calibri" w:eastAsia="Times New Roman" w:hAnsi="Calibri" w:cs="Calibri"/>
          <w:color w:val="000000" w:themeColor="text1"/>
          <w:lang w:eastAsia="en-US"/>
        </w:rPr>
        <w:tab/>
      </w:r>
      <w:r>
        <w:rPr>
          <w:rFonts w:ascii="Calibri" w:eastAsia="Times New Roman" w:hAnsi="Calibri" w:cs="Calibri"/>
          <w:color w:val="000000" w:themeColor="text1"/>
          <w:lang w:eastAsia="en-US"/>
        </w:rPr>
        <w:t>U</w:t>
      </w:r>
      <w:r w:rsidRPr="00A35817">
        <w:rPr>
          <w:rFonts w:ascii="Calibri" w:eastAsia="Times New Roman" w:hAnsi="Calibri" w:cs="Calibri"/>
          <w:color w:val="000000" w:themeColor="text1"/>
          <w:lang w:eastAsia="en-US"/>
        </w:rPr>
        <w:t>bytovací kapacita pro rok 2017 je uvedena k 30. 9. 2017 z důvodu změny typů věznic od 1. 10. 2017.</w:t>
      </w:r>
      <w:r>
        <w:rPr>
          <w:rFonts w:ascii="Calibri" w:eastAsia="Times New Roman" w:hAnsi="Calibri" w:cs="Calibri"/>
          <w:color w:val="000000" w:themeColor="text1"/>
          <w:lang w:eastAsia="en-US"/>
        </w:rPr>
        <w:t xml:space="preserve"> </w:t>
      </w:r>
    </w:p>
    <w:p w14:paraId="46F75CF0" w14:textId="163E9B23" w:rsidR="00B1153E" w:rsidRDefault="00B1153E" w:rsidP="00497852">
      <w:pPr>
        <w:widowControl/>
        <w:tabs>
          <w:tab w:val="left" w:pos="284"/>
        </w:tabs>
        <w:autoSpaceDE/>
        <w:autoSpaceDN/>
        <w:adjustRightInd/>
        <w:ind w:left="142" w:hanging="142"/>
        <w:jc w:val="both"/>
        <w:rPr>
          <w:rFonts w:ascii="Calibri" w:eastAsia="Times New Roman" w:hAnsi="Calibri" w:cs="Calibri"/>
          <w:color w:val="000000" w:themeColor="text1"/>
          <w:lang w:eastAsia="en-US"/>
        </w:rPr>
      </w:pPr>
      <w:r>
        <w:rPr>
          <w:rFonts w:ascii="Calibri" w:eastAsia="Times New Roman" w:hAnsi="Calibri" w:cs="Calibri"/>
          <w:color w:val="000000" w:themeColor="text1"/>
          <w:lang w:eastAsia="en-US"/>
        </w:rPr>
        <w:t>**</w:t>
      </w:r>
      <w:r w:rsidRPr="00B1153E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US"/>
        </w:rPr>
        <w:tab/>
      </w:r>
      <w:r w:rsidRPr="00B1153E">
        <w:rPr>
          <w:rFonts w:ascii="Calibri" w:eastAsia="Times New Roman" w:hAnsi="Calibri" w:cs="Calibri"/>
          <w:color w:val="000000" w:themeColor="text1"/>
          <w:lang w:eastAsia="en-US"/>
        </w:rPr>
        <w:t xml:space="preserve">Osoby, které nenastoupily výkon trestu odnětí svobody, přestože k nástupu výkonu trestu </w:t>
      </w:r>
      <w:r w:rsidR="006C25F2" w:rsidRPr="00B1153E">
        <w:rPr>
          <w:rFonts w:ascii="Calibri" w:eastAsia="Times New Roman" w:hAnsi="Calibri" w:cs="Calibri"/>
          <w:color w:val="000000" w:themeColor="text1"/>
          <w:lang w:eastAsia="en-US"/>
        </w:rPr>
        <w:t xml:space="preserve">byly </w:t>
      </w:r>
      <w:r w:rsidRPr="00B1153E">
        <w:rPr>
          <w:rFonts w:ascii="Calibri" w:eastAsia="Times New Roman" w:hAnsi="Calibri" w:cs="Calibri"/>
          <w:color w:val="000000" w:themeColor="text1"/>
          <w:lang w:eastAsia="en-US"/>
        </w:rPr>
        <w:t>vyzvány.</w:t>
      </w:r>
    </w:p>
    <w:p w14:paraId="0C5550D2" w14:textId="77777777" w:rsidR="00F63491" w:rsidRDefault="00F63491" w:rsidP="00497852">
      <w:pPr>
        <w:widowControl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14:paraId="4BB5B1E4" w14:textId="3F778CA3" w:rsidR="002F46EA" w:rsidRDefault="002F46EA" w:rsidP="00497852">
      <w:pPr>
        <w:widowControl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V </w:t>
      </w:r>
      <w:r>
        <w:rPr>
          <w:rFonts w:ascii="Calibri" w:eastAsia="Times New Roman" w:hAnsi="Calibri" w:cs="Calibri"/>
          <w:sz w:val="24"/>
          <w:szCs w:val="24"/>
          <w:lang w:eastAsia="en-US"/>
        </w:rPr>
        <w:t>AP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2016 byl stanoven úkol </w:t>
      </w:r>
      <w:r w:rsidR="007961F3"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do konce roku 2018 </w:t>
      </w:r>
      <w:r w:rsidR="007961F3">
        <w:rPr>
          <w:rFonts w:ascii="Calibri" w:eastAsia="Times New Roman" w:hAnsi="Calibri" w:cs="Calibri"/>
          <w:sz w:val="24"/>
          <w:szCs w:val="24"/>
          <w:lang w:eastAsia="en-US"/>
        </w:rPr>
        <w:t>vybudovat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2</w:t>
      </w:r>
      <w:r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300 nových ubytovacích 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>míst</w:t>
      </w:r>
      <w:r w:rsidR="007961F3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003387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084784">
        <w:rPr>
          <w:rFonts w:ascii="Calibri" w:eastAsia="Times New Roman" w:hAnsi="Calibri" w:cs="Calibri"/>
          <w:sz w:val="24"/>
          <w:szCs w:val="24"/>
          <w:lang w:eastAsia="en-US"/>
        </w:rPr>
        <w:t xml:space="preserve">jich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do začátku roku 2019 </w:t>
      </w:r>
      <w:r w:rsidR="00084784"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vybudovala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pouze 462. I přes novou vý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stavbu tak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míra využití u</w:t>
      </w:r>
      <w:r w:rsidR="00C94C31">
        <w:rPr>
          <w:rFonts w:ascii="Calibri" w:eastAsia="Times New Roman" w:hAnsi="Calibri" w:cs="Calibri"/>
          <w:sz w:val="24"/>
          <w:szCs w:val="24"/>
          <w:lang w:eastAsia="en-US"/>
        </w:rPr>
        <w:t>bytovací kapacity přesahuje 100 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%</w:t>
      </w:r>
      <w:r>
        <w:rPr>
          <w:rFonts w:ascii="Calibri" w:eastAsia="Times New Roman" w:hAnsi="Calibri" w:cs="Calibri"/>
          <w:sz w:val="24"/>
          <w:szCs w:val="24"/>
          <w:lang w:eastAsia="en-US"/>
        </w:rPr>
        <w:t>. P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řeplněnost věznic </w:t>
      </w:r>
      <w:r w:rsidR="00003387">
        <w:rPr>
          <w:rFonts w:ascii="Calibri" w:eastAsia="Times New Roman" w:hAnsi="Calibri" w:cs="Calibri"/>
          <w:sz w:val="24"/>
          <w:szCs w:val="24"/>
          <w:lang w:eastAsia="en-US"/>
        </w:rPr>
        <w:t>může ještě negativně ovlivnit i 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skutečnost, že k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31.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12.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2018 nenastoupilo výkon trestu odnětí svobody 2 949 osob, přestože k nástupu výkonu trestu</w:t>
      </w:r>
      <w:r w:rsidRPr="007929E8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6C25F2"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byly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vyzvány. </w:t>
      </w:r>
    </w:p>
    <w:p w14:paraId="1C1368AE" w14:textId="29479AF1" w:rsidR="002F46EA" w:rsidRPr="008B7C96" w:rsidRDefault="002F46EA" w:rsidP="00497852">
      <w:pPr>
        <w:widowControl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VS ČR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disponuje 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 xml:space="preserve">budovami s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nevyhovující vězeňskou architekturou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, což 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>zne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možňuje vhodnou diferenciaci vězněných osob. Problémem je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ubytování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velkého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počtu odsouzených v jedné místnosti</w:t>
      </w:r>
      <w:r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nevyhovující velikost a členění jednotlivých věznic. </w:t>
      </w:r>
      <w:r w:rsidRPr="008B7C96">
        <w:rPr>
          <w:rFonts w:ascii="Calibri" w:eastAsia="Times New Roman" w:hAnsi="Calibri" w:cs="Calibri"/>
          <w:sz w:val="24"/>
          <w:szCs w:val="24"/>
          <w:lang w:eastAsia="en-US"/>
        </w:rPr>
        <w:t>Výstavba nových ubytovacích kapacit v letech 2017 až 2018 neměla zásadní vliv na zlepšení ubytovací kapacity a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>ni</w:t>
      </w:r>
      <w:r w:rsidRPr="008B7C96">
        <w:rPr>
          <w:rFonts w:ascii="Calibri" w:eastAsia="Times New Roman" w:hAnsi="Calibri" w:cs="Calibri"/>
          <w:sz w:val="24"/>
          <w:szCs w:val="24"/>
          <w:lang w:eastAsia="en-US"/>
        </w:rPr>
        <w:t xml:space="preserve"> na zlepšení podmínek pro práci s odsouzenými ve smyslu realiz</w:t>
      </w:r>
      <w:r w:rsidR="007961F3">
        <w:rPr>
          <w:rFonts w:ascii="Calibri" w:eastAsia="Times New Roman" w:hAnsi="Calibri" w:cs="Calibri"/>
          <w:sz w:val="24"/>
          <w:szCs w:val="24"/>
          <w:lang w:eastAsia="en-US"/>
        </w:rPr>
        <w:t>ace</w:t>
      </w:r>
      <w:r w:rsidRPr="008B7C96">
        <w:rPr>
          <w:rFonts w:ascii="Calibri" w:eastAsia="Times New Roman" w:hAnsi="Calibri" w:cs="Calibri"/>
          <w:sz w:val="24"/>
          <w:szCs w:val="24"/>
          <w:lang w:eastAsia="en-US"/>
        </w:rPr>
        <w:t xml:space="preserve"> individuálních programů zacházení v rámci VS ČR. V Koncepci 2025 je jako optimální velikost oddílu uvedena skupina </w:t>
      </w:r>
      <w:r w:rsidR="007961F3">
        <w:rPr>
          <w:rFonts w:ascii="Calibri" w:eastAsia="Times New Roman" w:hAnsi="Calibri" w:cs="Calibri"/>
          <w:sz w:val="24"/>
          <w:szCs w:val="24"/>
          <w:lang w:eastAsia="en-US"/>
        </w:rPr>
        <w:t>o</w:t>
      </w:r>
      <w:r w:rsidR="00FC1E15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7961F3">
        <w:rPr>
          <w:rFonts w:ascii="Calibri" w:eastAsia="Times New Roman" w:hAnsi="Calibri" w:cs="Calibri"/>
          <w:sz w:val="24"/>
          <w:szCs w:val="24"/>
          <w:lang w:eastAsia="en-US"/>
        </w:rPr>
        <w:t xml:space="preserve">počtu </w:t>
      </w:r>
      <w:r w:rsidRPr="008B7C96">
        <w:rPr>
          <w:rFonts w:ascii="Calibri" w:eastAsia="Times New Roman" w:hAnsi="Calibri" w:cs="Calibri"/>
          <w:sz w:val="24"/>
          <w:szCs w:val="24"/>
          <w:lang w:eastAsia="en-US"/>
        </w:rPr>
        <w:t>maximálně 30 osob, což nesplňují ani některé nově zprovozněné objekty.</w:t>
      </w:r>
    </w:p>
    <w:p w14:paraId="39DAAF0A" w14:textId="2279A4A6" w:rsidR="008B7C96" w:rsidRPr="00A35817" w:rsidRDefault="008B7C96" w:rsidP="00497852">
      <w:pPr>
        <w:widowControl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MSp dlouhodobě plánovalo </w:t>
      </w:r>
      <w:r w:rsidR="007961F3">
        <w:rPr>
          <w:rFonts w:ascii="Calibri" w:eastAsia="Times New Roman" w:hAnsi="Calibri" w:cs="Calibri"/>
          <w:sz w:val="24"/>
          <w:szCs w:val="24"/>
          <w:lang w:eastAsia="en-US"/>
        </w:rPr>
        <w:t>vybudování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nové věznice</w:t>
      </w:r>
      <w:r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ale v současné době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je výstavba odložena s tím, že se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zaměří na rekonstrukce stávajících objektů a výstavbu nových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objektů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v rámci 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stávajících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věznic.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</w:p>
    <w:p w14:paraId="575F6A09" w14:textId="343B13DC" w:rsidR="004F4D7A" w:rsidRDefault="002F46EA" w:rsidP="00497852">
      <w:pPr>
        <w:widowControl/>
        <w:tabs>
          <w:tab w:val="left" w:pos="567"/>
        </w:tabs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v</w:t>
      </w:r>
      <w:r>
        <w:rPr>
          <w:rFonts w:ascii="Calibri" w:eastAsia="Times New Roman" w:hAnsi="Calibri" w:cs="Calibri"/>
          <w:sz w:val="24"/>
          <w:szCs w:val="24"/>
          <w:lang w:eastAsia="en-US"/>
        </w:rPr>
        <w:t>e stanoveném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 termínu do 31.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12.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2017 nesplnila úkol z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 AP </w:t>
      </w:r>
      <w:r w:rsidR="007961F3">
        <w:rPr>
          <w:rFonts w:ascii="Calibri" w:eastAsia="Times New Roman" w:hAnsi="Calibri" w:cs="Calibri"/>
          <w:sz w:val="24"/>
          <w:szCs w:val="24"/>
          <w:lang w:eastAsia="en-US"/>
        </w:rPr>
        <w:t>2017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 navrhnout definici vnějších a</w:t>
      </w:r>
      <w:r w:rsidR="00A241A5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vnitřních standardů prostor </w:t>
      </w:r>
      <w:r w:rsidR="00E62AD3">
        <w:rPr>
          <w:rFonts w:ascii="Calibri" w:eastAsia="Times New Roman" w:hAnsi="Calibri" w:cs="Calibri"/>
          <w:sz w:val="24"/>
          <w:szCs w:val="24"/>
          <w:lang w:eastAsia="en-US"/>
        </w:rPr>
        <w:t xml:space="preserve">pro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>výkon trestu, vypracovat návrhy vhodných architektonických úprav vězeňských objektů se zajištěním potřebných návazností pro zacházení a vytvořit návrh změny stavebních předpisů a</w:t>
      </w:r>
      <w:r w:rsidR="00A241A5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35817">
        <w:rPr>
          <w:rFonts w:ascii="Calibri" w:eastAsia="Times New Roman" w:hAnsi="Calibri" w:cs="Calibri"/>
          <w:sz w:val="24"/>
          <w:szCs w:val="24"/>
          <w:lang w:eastAsia="en-US"/>
        </w:rPr>
        <w:t xml:space="preserve">specifikace technických požadavků na vězeňská </w:t>
      </w:r>
      <w:r w:rsidRPr="008732F3">
        <w:rPr>
          <w:rFonts w:ascii="Calibri" w:eastAsia="Times New Roman" w:hAnsi="Calibri" w:cs="Calibri"/>
          <w:sz w:val="24"/>
          <w:szCs w:val="24"/>
          <w:lang w:eastAsia="en-US"/>
        </w:rPr>
        <w:t xml:space="preserve">zařízení. </w:t>
      </w:r>
      <w:r w:rsidR="004F4D7A" w:rsidRPr="008732F3">
        <w:rPr>
          <w:rFonts w:ascii="Calibri" w:eastAsia="Times New Roman" w:hAnsi="Calibri" w:cs="Calibri"/>
          <w:sz w:val="24"/>
          <w:szCs w:val="24"/>
          <w:lang w:eastAsia="en-US"/>
        </w:rPr>
        <w:t>R</w:t>
      </w:r>
      <w:r w:rsidRPr="008732F3">
        <w:rPr>
          <w:rFonts w:ascii="Calibri" w:eastAsia="Times New Roman" w:hAnsi="Calibri" w:cs="Calibri"/>
          <w:sz w:val="24"/>
          <w:szCs w:val="24"/>
          <w:lang w:eastAsia="en-US"/>
        </w:rPr>
        <w:t>ealizace úkolu byla</w:t>
      </w:r>
      <w:r w:rsidR="004F4D7A" w:rsidRPr="008732F3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8732F3" w:rsidRPr="008732F3">
        <w:rPr>
          <w:rFonts w:ascii="Calibri" w:eastAsia="Times New Roman" w:hAnsi="Calibri" w:cs="Calibri"/>
          <w:sz w:val="24"/>
          <w:szCs w:val="24"/>
          <w:lang w:eastAsia="en-US"/>
        </w:rPr>
        <w:t>prodlužována a úkol byl zařazen i v</w:t>
      </w:r>
      <w:r w:rsidR="004F4D7A" w:rsidRPr="008732F3">
        <w:rPr>
          <w:rFonts w:ascii="Calibri" w:eastAsia="Times New Roman" w:hAnsi="Calibri" w:cs="Calibri"/>
          <w:sz w:val="24"/>
          <w:szCs w:val="24"/>
          <w:lang w:eastAsia="en-US"/>
        </w:rPr>
        <w:t xml:space="preserve"> AP 2018 </w:t>
      </w:r>
      <w:r w:rsidR="008732F3" w:rsidRPr="008732F3">
        <w:rPr>
          <w:rFonts w:ascii="Calibri" w:eastAsia="Times New Roman" w:hAnsi="Calibri" w:cs="Calibri"/>
          <w:sz w:val="24"/>
          <w:szCs w:val="24"/>
          <w:lang w:eastAsia="en-US"/>
        </w:rPr>
        <w:t xml:space="preserve">a AP 2019. </w:t>
      </w:r>
    </w:p>
    <w:p w14:paraId="6AD276D6" w14:textId="0CC0B153" w:rsidR="00FE7799" w:rsidRPr="00A07581" w:rsidRDefault="002F46EA" w:rsidP="00497852">
      <w:pPr>
        <w:widowControl/>
        <w:tabs>
          <w:tab w:val="left" w:pos="567"/>
        </w:tabs>
        <w:autoSpaceDE/>
        <w:autoSpaceDN/>
        <w:adjustRightInd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A35817">
        <w:rPr>
          <w:rFonts w:asciiTheme="minorHAnsi" w:hAnsiTheme="minorHAnsi" w:cstheme="minorHAnsi"/>
          <w:sz w:val="24"/>
          <w:szCs w:val="24"/>
        </w:rPr>
        <w:t xml:space="preserve">MSp řeší </w:t>
      </w:r>
      <w:r w:rsidR="00FA75CA">
        <w:rPr>
          <w:rFonts w:asciiTheme="minorHAnsi" w:hAnsiTheme="minorHAnsi" w:cstheme="minorHAnsi"/>
          <w:sz w:val="24"/>
          <w:szCs w:val="24"/>
        </w:rPr>
        <w:t>nedostatečnou kapacitu vě</w:t>
      </w:r>
      <w:r w:rsidRPr="00A35817">
        <w:rPr>
          <w:rFonts w:asciiTheme="minorHAnsi" w:hAnsiTheme="minorHAnsi" w:cstheme="minorHAnsi"/>
          <w:sz w:val="24"/>
          <w:szCs w:val="24"/>
        </w:rPr>
        <w:t xml:space="preserve">znic </w:t>
      </w:r>
      <w:r w:rsidR="003766D7">
        <w:rPr>
          <w:rFonts w:asciiTheme="minorHAnsi" w:hAnsiTheme="minorHAnsi" w:cstheme="minorHAnsi"/>
          <w:sz w:val="24"/>
          <w:szCs w:val="24"/>
        </w:rPr>
        <w:t xml:space="preserve">i </w:t>
      </w:r>
      <w:r w:rsidRPr="00A35817">
        <w:rPr>
          <w:rFonts w:asciiTheme="minorHAnsi" w:hAnsiTheme="minorHAnsi" w:cstheme="minorHAnsi"/>
          <w:sz w:val="24"/>
          <w:szCs w:val="24"/>
        </w:rPr>
        <w:t>aktivitami směřují</w:t>
      </w:r>
      <w:r w:rsidR="00FA75CA">
        <w:rPr>
          <w:rFonts w:asciiTheme="minorHAnsi" w:hAnsiTheme="minorHAnsi" w:cstheme="minorHAnsi"/>
          <w:sz w:val="24"/>
          <w:szCs w:val="24"/>
        </w:rPr>
        <w:t>cími ke zkrácení délky trestů a </w:t>
      </w:r>
      <w:r w:rsidR="003766D7">
        <w:rPr>
          <w:rFonts w:asciiTheme="minorHAnsi" w:hAnsiTheme="minorHAnsi" w:cstheme="minorHAnsi"/>
          <w:sz w:val="24"/>
          <w:szCs w:val="24"/>
        </w:rPr>
        <w:t>k </w:t>
      </w:r>
      <w:r w:rsidRPr="00A35817">
        <w:rPr>
          <w:rFonts w:asciiTheme="minorHAnsi" w:hAnsiTheme="minorHAnsi" w:cstheme="minorHAnsi"/>
          <w:sz w:val="24"/>
          <w:szCs w:val="24"/>
        </w:rPr>
        <w:t>většímu využití trestů nespojených s výkonem odnětí svobody. Mezi tyto aktivity patří zejména podpora ukládání alternativních trestů, podpora odklonů trestních řízení</w:t>
      </w:r>
      <w:r>
        <w:rPr>
          <w:rFonts w:asciiTheme="minorHAnsi" w:hAnsiTheme="minorHAnsi" w:cstheme="minorHAnsi"/>
          <w:sz w:val="24"/>
          <w:szCs w:val="24"/>
        </w:rPr>
        <w:t xml:space="preserve"> nebo</w:t>
      </w:r>
      <w:r w:rsidRPr="00A35817">
        <w:rPr>
          <w:rFonts w:asciiTheme="minorHAnsi" w:hAnsiTheme="minorHAnsi" w:cstheme="minorHAnsi"/>
          <w:sz w:val="24"/>
          <w:szCs w:val="24"/>
        </w:rPr>
        <w:t xml:space="preserve"> zavedení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35817">
        <w:rPr>
          <w:rFonts w:asciiTheme="minorHAnsi" w:hAnsiTheme="minorHAnsi" w:cstheme="minorHAnsi"/>
          <w:sz w:val="24"/>
          <w:szCs w:val="24"/>
        </w:rPr>
        <w:t>lektronického monitorovacího systému pro výkon trestu domácího vězení.</w:t>
      </w:r>
    </w:p>
    <w:p w14:paraId="66898E3D" w14:textId="77777777" w:rsidR="00FE7799" w:rsidRDefault="00FE7799" w:rsidP="00497852">
      <w:pPr>
        <w:widowControl/>
        <w:jc w:val="both"/>
        <w:rPr>
          <w:rFonts w:ascii="Calibri" w:eastAsia="Times New Roman" w:hAnsi="Calibri"/>
          <w:sz w:val="24"/>
          <w:szCs w:val="25"/>
        </w:rPr>
      </w:pPr>
    </w:p>
    <w:p w14:paraId="1ED89164" w14:textId="77777777" w:rsidR="00FA063F" w:rsidRPr="009E2297" w:rsidRDefault="00FA063F" w:rsidP="00497852">
      <w:pPr>
        <w:widowControl/>
        <w:autoSpaceDE/>
        <w:autoSpaceDN/>
        <w:adjustRightInd/>
        <w:spacing w:after="4"/>
        <w:ind w:left="-5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9E2297">
        <w:rPr>
          <w:rFonts w:ascii="Calibri" w:eastAsia="Times New Roman" w:hAnsi="Calibri" w:cs="Calibri"/>
          <w:b/>
          <w:sz w:val="24"/>
          <w:szCs w:val="24"/>
          <w:lang w:eastAsia="en-US"/>
        </w:rPr>
        <w:t>Zaměstnávání odsouzených</w:t>
      </w:r>
    </w:p>
    <w:p w14:paraId="754E7AEC" w14:textId="125258A1" w:rsidR="00F17D0E" w:rsidRPr="00F17D0E" w:rsidRDefault="00F17D0E" w:rsidP="00497852">
      <w:pPr>
        <w:pStyle w:val="Default"/>
        <w:jc w:val="both"/>
        <w:rPr>
          <w:rFonts w:eastAsia="Calibri" w:cstheme="minorHAnsi"/>
        </w:rPr>
      </w:pPr>
      <w:r w:rsidRPr="00F17D0E">
        <w:rPr>
          <w:rFonts w:eastAsia="Calibri" w:cstheme="minorHAnsi"/>
        </w:rPr>
        <w:t>Jednou z povinností odsouzené osoby je podle ustanovení § 28 zákona č. 169/1999 Sb.</w:t>
      </w:r>
      <w:r>
        <w:rPr>
          <w:rStyle w:val="Znakapoznpodarou"/>
          <w:rFonts w:eastAsia="Calibri"/>
        </w:rPr>
        <w:footnoteReference w:id="17"/>
      </w:r>
      <w:r w:rsidRPr="00F17D0E">
        <w:rPr>
          <w:rFonts w:eastAsia="Calibri" w:cstheme="minorHAnsi"/>
        </w:rPr>
        <w:t xml:space="preserve"> povinnost pracovat, pokud je odsouzené osobě přidělena práce a není uznána dočasně práce neschopnou nebo není po dobu výkonu trestu uznána zdravotně nezpůsobilou k výkonu práce. K zaměstnání odsouzené osoby u jiného subjektu, než je </w:t>
      </w:r>
      <w:r w:rsidR="00ED0709">
        <w:rPr>
          <w:rFonts w:eastAsia="Calibri" w:cstheme="minorHAnsi"/>
        </w:rPr>
        <w:t>věznice</w:t>
      </w:r>
      <w:r w:rsidR="00ED0709">
        <w:rPr>
          <w:rStyle w:val="Znakapoznpodarou"/>
          <w:rFonts w:eastAsia="Calibri"/>
        </w:rPr>
        <w:footnoteReference w:id="18"/>
      </w:r>
      <w:r w:rsidR="00ED0709">
        <w:rPr>
          <w:rFonts w:eastAsia="Calibri" w:cstheme="minorHAnsi"/>
        </w:rPr>
        <w:t xml:space="preserve">, </w:t>
      </w:r>
      <w:r w:rsidRPr="00F17D0E">
        <w:rPr>
          <w:rFonts w:eastAsia="Calibri" w:cstheme="minorHAnsi"/>
        </w:rPr>
        <w:t xml:space="preserve">je </w:t>
      </w:r>
      <w:r>
        <w:rPr>
          <w:rFonts w:eastAsia="Calibri" w:cstheme="minorHAnsi"/>
        </w:rPr>
        <w:t xml:space="preserve">podle ustanovení § 30 tohoto zákona </w:t>
      </w:r>
      <w:r w:rsidRPr="00F17D0E">
        <w:rPr>
          <w:rFonts w:eastAsia="Calibri" w:cstheme="minorHAnsi"/>
        </w:rPr>
        <w:t>nutný předchozí písemný souhlas</w:t>
      </w:r>
      <w:r w:rsidR="00FC1E15">
        <w:rPr>
          <w:rFonts w:eastAsia="Calibri" w:cstheme="minorHAnsi"/>
        </w:rPr>
        <w:t xml:space="preserve"> této odsouzené osoby</w:t>
      </w:r>
      <w:r w:rsidRPr="00F17D0E">
        <w:rPr>
          <w:rFonts w:eastAsia="Calibri" w:cstheme="minorHAnsi"/>
        </w:rPr>
        <w:t>.</w:t>
      </w:r>
    </w:p>
    <w:p w14:paraId="5ECEA884" w14:textId="26351D6D" w:rsidR="00205AF1" w:rsidRDefault="0099697E" w:rsidP="00497852">
      <w:pPr>
        <w:pStyle w:val="Default"/>
        <w:spacing w:before="120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VS ČR</w:t>
      </w:r>
      <w:r w:rsidR="00205AF1">
        <w:rPr>
          <w:rFonts w:eastAsia="Calibri" w:cstheme="minorHAnsi"/>
        </w:rPr>
        <w:t xml:space="preserve"> zaměstnává vězně ve vnitřním provozu, v provozovnách </w:t>
      </w:r>
      <w:r w:rsidR="002E4D9E">
        <w:rPr>
          <w:rFonts w:eastAsia="Calibri" w:cstheme="minorHAnsi"/>
        </w:rPr>
        <w:t>SHČ</w:t>
      </w:r>
      <w:r w:rsidR="00712EE1">
        <w:rPr>
          <w:rFonts w:eastAsia="Calibri" w:cstheme="minorHAnsi"/>
        </w:rPr>
        <w:t>, ve vlastní výrobě a </w:t>
      </w:r>
      <w:r w:rsidR="00205AF1" w:rsidRPr="000975F9">
        <w:rPr>
          <w:rFonts w:eastAsia="Calibri" w:cstheme="minorHAnsi"/>
        </w:rPr>
        <w:t>smluvně u</w:t>
      </w:r>
      <w:r w:rsidR="002378E7">
        <w:rPr>
          <w:rFonts w:eastAsia="Calibri" w:cstheme="minorHAnsi"/>
        </w:rPr>
        <w:t xml:space="preserve"> </w:t>
      </w:r>
      <w:r w:rsidR="00205AF1" w:rsidRPr="000975F9">
        <w:rPr>
          <w:rFonts w:eastAsia="Calibri" w:cstheme="minorHAnsi"/>
        </w:rPr>
        <w:t>jiných subjektů</w:t>
      </w:r>
      <w:r w:rsidR="00DF4B8E">
        <w:rPr>
          <w:rFonts w:eastAsia="Calibri" w:cstheme="minorHAnsi"/>
        </w:rPr>
        <w:t xml:space="preserve"> uvnitř nebo vně věznic.</w:t>
      </w:r>
    </w:p>
    <w:p w14:paraId="4091FCF4" w14:textId="77777777" w:rsidR="008B7C96" w:rsidRPr="00EE13B6" w:rsidRDefault="008B7C96" w:rsidP="00497852">
      <w:pPr>
        <w:widowControl/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13B6">
        <w:rPr>
          <w:rFonts w:asciiTheme="minorHAnsi" w:hAnsiTheme="minorHAnsi" w:cstheme="minorHAnsi"/>
          <w:color w:val="000000" w:themeColor="text1"/>
          <w:sz w:val="24"/>
          <w:szCs w:val="24"/>
        </w:rPr>
        <w:t>Při sledování a vykazování údajů o zaměstnanosti odsouzených se jednotlivé organizační jednotky VS ČR řídí jednotnou metodikou vykazování zaměstnanosti a postupují při sledování a vykazování údajů o zaměstnanosti odsouzených jednotně.</w:t>
      </w:r>
    </w:p>
    <w:p w14:paraId="2B730790" w14:textId="7C1ED9AC" w:rsidR="007B4342" w:rsidRDefault="007B4342" w:rsidP="00497852">
      <w:pPr>
        <w:widowControl/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27F9">
        <w:rPr>
          <w:rFonts w:asciiTheme="minorHAnsi" w:hAnsiTheme="minorHAnsi" w:cstheme="minorHAnsi"/>
          <w:b/>
          <w:sz w:val="24"/>
          <w:szCs w:val="24"/>
        </w:rPr>
        <w:t xml:space="preserve">Graf č.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7827F9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F169A">
        <w:rPr>
          <w:rFonts w:asciiTheme="minorHAnsi" w:hAnsiTheme="minorHAnsi" w:cstheme="minorHAnsi"/>
          <w:b/>
          <w:sz w:val="24"/>
          <w:szCs w:val="24"/>
        </w:rPr>
        <w:t xml:space="preserve">Vývoj zaměstnanosti </w:t>
      </w:r>
      <w:r w:rsidR="00897050">
        <w:rPr>
          <w:rFonts w:asciiTheme="minorHAnsi" w:hAnsiTheme="minorHAnsi" w:cstheme="minorHAnsi"/>
          <w:b/>
          <w:sz w:val="24"/>
          <w:szCs w:val="24"/>
        </w:rPr>
        <w:t xml:space="preserve">odsouzených </w:t>
      </w:r>
      <w:r>
        <w:rPr>
          <w:rFonts w:asciiTheme="minorHAnsi" w:hAnsiTheme="minorHAnsi" w:cstheme="minorHAnsi"/>
          <w:b/>
          <w:sz w:val="24"/>
          <w:szCs w:val="24"/>
        </w:rPr>
        <w:t>v letech 2016</w:t>
      </w:r>
      <w:r w:rsidR="00A241A5">
        <w:rPr>
          <w:rFonts w:asciiTheme="minorHAnsi" w:hAnsiTheme="minorHAnsi" w:cstheme="minorHAnsi"/>
          <w:b/>
          <w:sz w:val="24"/>
          <w:szCs w:val="24"/>
        </w:rPr>
        <w:t>–</w:t>
      </w:r>
      <w:r>
        <w:rPr>
          <w:rFonts w:asciiTheme="minorHAnsi" w:hAnsiTheme="minorHAnsi" w:cstheme="minorHAnsi"/>
          <w:b/>
          <w:sz w:val="24"/>
          <w:szCs w:val="24"/>
        </w:rPr>
        <w:t>2018</w:t>
      </w:r>
    </w:p>
    <w:p w14:paraId="7FE6ABDF" w14:textId="403BF6CC" w:rsidR="007B4342" w:rsidRDefault="00CB51B1" w:rsidP="00497852">
      <w:pPr>
        <w:widowControl/>
        <w:spacing w:before="1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777CB12" wp14:editId="1CA01F8D">
            <wp:extent cx="5760720" cy="2493645"/>
            <wp:effectExtent l="0" t="0" r="0" b="190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D8AC0F8" w14:textId="272992C5" w:rsidR="007B4342" w:rsidRDefault="007B4342" w:rsidP="00497852">
      <w:pPr>
        <w:pStyle w:val="Default"/>
        <w:spacing w:before="4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9E2297">
        <w:rPr>
          <w:rFonts w:asciiTheme="minorHAnsi" w:hAnsiTheme="minorHAnsi"/>
          <w:b/>
          <w:color w:val="000000" w:themeColor="text1"/>
          <w:sz w:val="20"/>
          <w:szCs w:val="20"/>
        </w:rPr>
        <w:t>Zdroj: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FC1E15">
        <w:rPr>
          <w:rFonts w:asciiTheme="minorHAnsi" w:hAnsiTheme="minorHAnsi"/>
          <w:color w:val="000000" w:themeColor="text1"/>
          <w:sz w:val="20"/>
          <w:szCs w:val="20"/>
        </w:rPr>
        <w:t>s</w:t>
      </w:r>
      <w:r>
        <w:rPr>
          <w:rFonts w:asciiTheme="minorHAnsi" w:hAnsiTheme="minorHAnsi"/>
          <w:color w:val="000000" w:themeColor="text1"/>
          <w:sz w:val="20"/>
          <w:szCs w:val="20"/>
        </w:rPr>
        <w:t>tatistick</w:t>
      </w:r>
      <w:r w:rsidR="00FC1E15">
        <w:rPr>
          <w:rFonts w:asciiTheme="minorHAnsi" w:hAnsiTheme="minorHAnsi"/>
          <w:color w:val="000000" w:themeColor="text1"/>
          <w:sz w:val="20"/>
          <w:szCs w:val="20"/>
        </w:rPr>
        <w:t>é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ročenk</w:t>
      </w:r>
      <w:r w:rsidR="00FC1E15">
        <w:rPr>
          <w:rFonts w:asciiTheme="minorHAnsi" w:hAnsiTheme="minorHAnsi"/>
          <w:color w:val="000000" w:themeColor="text1"/>
          <w:sz w:val="20"/>
          <w:szCs w:val="20"/>
        </w:rPr>
        <w:t>y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VS ČR </w:t>
      </w:r>
      <w:r w:rsidR="00FC1E15">
        <w:rPr>
          <w:rFonts w:asciiTheme="minorHAnsi" w:hAnsiTheme="minorHAnsi"/>
          <w:color w:val="000000" w:themeColor="text1"/>
          <w:sz w:val="20"/>
          <w:szCs w:val="20"/>
        </w:rPr>
        <w:t>za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rok</w:t>
      </w:r>
      <w:r w:rsidR="00FC1E15">
        <w:rPr>
          <w:rFonts w:asciiTheme="minorHAnsi" w:hAnsiTheme="minorHAnsi"/>
          <w:color w:val="000000" w:themeColor="text1"/>
          <w:sz w:val="20"/>
          <w:szCs w:val="20"/>
        </w:rPr>
        <w:t>y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2016, 2017 a 2018.</w:t>
      </w:r>
    </w:p>
    <w:p w14:paraId="5FB58851" w14:textId="77777777" w:rsidR="003766D7" w:rsidRDefault="003766D7" w:rsidP="00497852">
      <w:pPr>
        <w:widowControl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7FD3DB" w14:textId="7FDEE5D1" w:rsidR="00CD5010" w:rsidRDefault="003766D7" w:rsidP="00497852">
      <w:pPr>
        <w:widowControl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Přestože VS</w:t>
      </w:r>
      <w:r w:rsidR="00FE0BF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ČR</w:t>
      </w:r>
      <w:r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zvýšila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</w:t>
      </w:r>
      <w:r w:rsidR="00FA063F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>aměstnanost odsouzených</w:t>
      </w:r>
      <w:r w:rsidR="00B34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063F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>ze 47,5</w:t>
      </w:r>
      <w:r w:rsidR="00C94C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772E3">
        <w:rPr>
          <w:rFonts w:asciiTheme="minorHAnsi" w:hAnsiTheme="minorHAnsi" w:cstheme="minorHAnsi"/>
          <w:color w:val="000000" w:themeColor="text1"/>
          <w:sz w:val="24"/>
          <w:szCs w:val="24"/>
        </w:rPr>
        <w:t>% v roce 2016 na 59,9</w:t>
      </w:r>
      <w:r w:rsidR="00C94C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772E3">
        <w:rPr>
          <w:rFonts w:asciiTheme="minorHAnsi" w:hAnsiTheme="minorHAnsi" w:cstheme="minorHAnsi"/>
          <w:color w:val="000000" w:themeColor="text1"/>
          <w:sz w:val="24"/>
          <w:szCs w:val="24"/>
        </w:rPr>
        <w:t>% v</w:t>
      </w:r>
      <w:r w:rsidR="00C94C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772E3">
        <w:rPr>
          <w:rFonts w:asciiTheme="minorHAnsi" w:hAnsiTheme="minorHAnsi" w:cstheme="minorHAnsi"/>
          <w:color w:val="000000" w:themeColor="text1"/>
          <w:sz w:val="24"/>
          <w:szCs w:val="24"/>
        </w:rPr>
        <w:t>roce</w:t>
      </w:r>
      <w:r w:rsidR="00C94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063F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>2018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D50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nepodařilo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 jí </w:t>
      </w:r>
      <w:r w:rsidR="00CD5010">
        <w:rPr>
          <w:rFonts w:asciiTheme="minorHAnsi" w:hAnsiTheme="minorHAnsi" w:cstheme="minorHAnsi"/>
          <w:color w:val="000000" w:themeColor="text1"/>
          <w:sz w:val="24"/>
          <w:szCs w:val="24"/>
        </w:rPr>
        <w:t>vytvořit podmínky pro pracovní činnost cca</w:t>
      </w:r>
      <w:r w:rsidR="00C94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5010">
        <w:rPr>
          <w:rFonts w:asciiTheme="minorHAnsi" w:hAnsiTheme="minorHAnsi" w:cstheme="minorHAnsi"/>
          <w:color w:val="000000" w:themeColor="text1"/>
          <w:sz w:val="24"/>
          <w:szCs w:val="24"/>
        </w:rPr>
        <w:t>40</w:t>
      </w:r>
      <w:r w:rsidR="00C94C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D50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zaměstnatelných </w:t>
      </w:r>
      <w:r w:rsidR="009E3864">
        <w:rPr>
          <w:rFonts w:asciiTheme="minorHAnsi" w:hAnsiTheme="minorHAnsi" w:cstheme="minorHAnsi"/>
          <w:color w:val="000000" w:themeColor="text1"/>
          <w:sz w:val="24"/>
          <w:szCs w:val="24"/>
        </w:rPr>
        <w:t>odsouzených</w:t>
      </w:r>
      <w:r w:rsidR="00CD50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8EF6522" w14:textId="00F050C2" w:rsidR="00655F52" w:rsidRPr="00D63D74" w:rsidRDefault="003206E3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Možnost zaměstnat</w:t>
      </w:r>
      <w:r w:rsidR="00DF4B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E3864">
        <w:rPr>
          <w:rFonts w:asciiTheme="minorHAnsi" w:hAnsiTheme="minorHAnsi" w:cstheme="minorHAnsi"/>
          <w:color w:val="000000" w:themeColor="text1"/>
          <w:sz w:val="24"/>
          <w:szCs w:val="24"/>
        </w:rPr>
        <w:t>odsouzen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é</w:t>
      </w:r>
      <w:r w:rsidR="00DF4B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 ovlivněna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jejich </w:t>
      </w:r>
      <w:r w:rsidR="00DF4B8E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>nižším vzdělání</w:t>
      </w:r>
      <w:r w:rsidR="00DF4B8E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DF4B8E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>, nedostatečn</w:t>
      </w:r>
      <w:r w:rsidR="00071A1D">
        <w:rPr>
          <w:rFonts w:asciiTheme="minorHAnsi" w:hAnsiTheme="minorHAnsi" w:cstheme="minorHAnsi"/>
          <w:color w:val="000000" w:themeColor="text1"/>
          <w:sz w:val="24"/>
          <w:szCs w:val="24"/>
        </w:rPr>
        <w:t>ou</w:t>
      </w:r>
      <w:r w:rsidR="00DF4B8E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kvalifikac</w:t>
      </w:r>
      <w:r w:rsidR="00071A1D">
        <w:rPr>
          <w:rFonts w:asciiTheme="minorHAnsi" w:hAnsiTheme="minorHAnsi" w:cstheme="minorHAnsi"/>
          <w:color w:val="000000" w:themeColor="text1"/>
          <w:sz w:val="24"/>
          <w:szCs w:val="24"/>
        </w:rPr>
        <w:t>í</w:t>
      </w:r>
      <w:r w:rsidR="00DF4B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špatným </w:t>
      </w:r>
      <w:r w:rsidR="00DF4B8E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>zdravotním stav</w:t>
      </w:r>
      <w:r w:rsidR="00DF4B8E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="00DF4B8E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4B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DF4B8E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>absenc</w:t>
      </w:r>
      <w:r w:rsidR="00071A1D">
        <w:rPr>
          <w:rFonts w:asciiTheme="minorHAnsi" w:hAnsiTheme="minorHAnsi" w:cstheme="minorHAnsi"/>
          <w:color w:val="000000" w:themeColor="text1"/>
          <w:sz w:val="24"/>
          <w:szCs w:val="24"/>
        </w:rPr>
        <w:t>í</w:t>
      </w:r>
      <w:r w:rsidR="00DF4B8E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pracovních </w:t>
      </w:r>
      <w:r w:rsidR="00DF4B8E">
        <w:rPr>
          <w:rFonts w:asciiTheme="minorHAnsi" w:hAnsiTheme="minorHAnsi" w:cstheme="minorHAnsi"/>
          <w:color w:val="000000" w:themeColor="text1"/>
          <w:sz w:val="24"/>
          <w:szCs w:val="24"/>
        </w:rPr>
        <w:t>návyků</w:t>
      </w:r>
      <w:r w:rsidR="009E22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 </w:t>
      </w:r>
      <w:r w:rsidR="00DF4B8E" w:rsidRPr="00386A1E">
        <w:rPr>
          <w:rFonts w:asciiTheme="minorHAnsi" w:hAnsiTheme="minorHAnsi" w:cstheme="minorHAnsi"/>
          <w:color w:val="000000" w:themeColor="text1"/>
          <w:sz w:val="24"/>
          <w:szCs w:val="24"/>
        </w:rPr>
        <w:t>významné skupiny odsouzených</w:t>
      </w:r>
      <w:r w:rsidR="00071A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55F52" w:rsidRPr="00A124B9">
        <w:rPr>
          <w:rFonts w:asciiTheme="minorHAnsi" w:hAnsiTheme="minorHAnsi" w:cstheme="minorHAnsi"/>
          <w:sz w:val="24"/>
          <w:szCs w:val="24"/>
        </w:rPr>
        <w:t xml:space="preserve">Překážkou zaměstnávání vězňů mimo věznici je omezený </w:t>
      </w:r>
      <w:r w:rsidR="00CD6F71">
        <w:rPr>
          <w:rFonts w:asciiTheme="minorHAnsi" w:hAnsiTheme="minorHAnsi" w:cstheme="minorHAnsi"/>
          <w:sz w:val="24"/>
          <w:szCs w:val="24"/>
        </w:rPr>
        <w:t xml:space="preserve">počet odsouzených vhodných pro práci mimo věznici </w:t>
      </w:r>
      <w:r w:rsidR="00655F52" w:rsidRPr="00A124B9">
        <w:rPr>
          <w:rFonts w:asciiTheme="minorHAnsi" w:hAnsiTheme="minorHAnsi" w:cstheme="minorHAnsi"/>
          <w:sz w:val="24"/>
          <w:szCs w:val="24"/>
        </w:rPr>
        <w:t>z</w:t>
      </w:r>
      <w:r w:rsidR="00A124B9" w:rsidRPr="00A124B9">
        <w:rPr>
          <w:rFonts w:asciiTheme="minorHAnsi" w:hAnsiTheme="minorHAnsi" w:cstheme="minorHAnsi"/>
          <w:sz w:val="24"/>
          <w:szCs w:val="24"/>
        </w:rPr>
        <w:t> </w:t>
      </w:r>
      <w:r w:rsidR="00655F52" w:rsidRPr="00A124B9">
        <w:rPr>
          <w:rFonts w:asciiTheme="minorHAnsi" w:hAnsiTheme="minorHAnsi" w:cstheme="minorHAnsi"/>
          <w:sz w:val="24"/>
          <w:szCs w:val="24"/>
        </w:rPr>
        <w:t>důvodu</w:t>
      </w:r>
      <w:r w:rsidR="00A124B9" w:rsidRPr="00A124B9">
        <w:rPr>
          <w:rFonts w:asciiTheme="minorHAnsi" w:hAnsiTheme="minorHAnsi" w:cstheme="minorHAnsi"/>
          <w:sz w:val="24"/>
          <w:szCs w:val="24"/>
        </w:rPr>
        <w:t xml:space="preserve"> bezpečnosti a</w:t>
      </w:r>
      <w:r w:rsidR="00655F52" w:rsidRPr="00A124B9">
        <w:rPr>
          <w:rFonts w:asciiTheme="minorHAnsi" w:hAnsiTheme="minorHAnsi" w:cstheme="minorHAnsi"/>
          <w:sz w:val="24"/>
          <w:szCs w:val="24"/>
        </w:rPr>
        <w:t xml:space="preserve"> rizik</w:t>
      </w:r>
      <w:r w:rsidR="00313401">
        <w:rPr>
          <w:rFonts w:asciiTheme="minorHAnsi" w:hAnsiTheme="minorHAnsi" w:cstheme="minorHAnsi"/>
          <w:sz w:val="24"/>
          <w:szCs w:val="24"/>
        </w:rPr>
        <w:t>o</w:t>
      </w:r>
      <w:r w:rsidR="00655F52" w:rsidRPr="00A124B9">
        <w:rPr>
          <w:rFonts w:asciiTheme="minorHAnsi" w:hAnsiTheme="minorHAnsi" w:cstheme="minorHAnsi"/>
          <w:sz w:val="24"/>
          <w:szCs w:val="24"/>
        </w:rPr>
        <w:t xml:space="preserve"> jejich útěku i souvis</w:t>
      </w:r>
      <w:r w:rsidR="00A124B9" w:rsidRPr="00A124B9">
        <w:rPr>
          <w:rFonts w:asciiTheme="minorHAnsi" w:hAnsiTheme="minorHAnsi" w:cstheme="minorHAnsi"/>
          <w:sz w:val="24"/>
          <w:szCs w:val="24"/>
        </w:rPr>
        <w:t>ející</w:t>
      </w:r>
      <w:r w:rsidR="00655F52" w:rsidRPr="00A124B9">
        <w:rPr>
          <w:rFonts w:asciiTheme="minorHAnsi" w:hAnsiTheme="minorHAnsi" w:cstheme="minorHAnsi"/>
          <w:sz w:val="24"/>
          <w:szCs w:val="24"/>
        </w:rPr>
        <w:t xml:space="preserve"> nutnost zaji</w:t>
      </w:r>
      <w:r w:rsidR="009E219D">
        <w:rPr>
          <w:rFonts w:asciiTheme="minorHAnsi" w:hAnsiTheme="minorHAnsi" w:cstheme="minorHAnsi"/>
          <w:sz w:val="24"/>
          <w:szCs w:val="24"/>
        </w:rPr>
        <w:t xml:space="preserve">stit </w:t>
      </w:r>
      <w:r w:rsidR="00A124B9" w:rsidRPr="00A124B9">
        <w:rPr>
          <w:rFonts w:asciiTheme="minorHAnsi" w:hAnsiTheme="minorHAnsi" w:cstheme="minorHAnsi"/>
          <w:sz w:val="24"/>
          <w:szCs w:val="24"/>
        </w:rPr>
        <w:t>dozor</w:t>
      </w:r>
      <w:r w:rsidR="009E219D">
        <w:rPr>
          <w:rFonts w:asciiTheme="minorHAnsi" w:hAnsiTheme="minorHAnsi" w:cstheme="minorHAnsi"/>
          <w:sz w:val="24"/>
          <w:szCs w:val="24"/>
        </w:rPr>
        <w:t xml:space="preserve"> </w:t>
      </w:r>
      <w:r w:rsidR="00655F52" w:rsidRPr="00A124B9">
        <w:rPr>
          <w:rFonts w:asciiTheme="minorHAnsi" w:hAnsiTheme="minorHAnsi" w:cstheme="minorHAnsi"/>
          <w:sz w:val="24"/>
          <w:szCs w:val="24"/>
        </w:rPr>
        <w:t>a doprav</w:t>
      </w:r>
      <w:r w:rsidR="009E219D">
        <w:rPr>
          <w:rFonts w:asciiTheme="minorHAnsi" w:hAnsiTheme="minorHAnsi" w:cstheme="minorHAnsi"/>
          <w:sz w:val="24"/>
          <w:szCs w:val="24"/>
        </w:rPr>
        <w:t>u</w:t>
      </w:r>
      <w:r w:rsidR="00655F52" w:rsidRPr="00A124B9">
        <w:rPr>
          <w:rFonts w:asciiTheme="minorHAnsi" w:hAnsiTheme="minorHAnsi" w:cstheme="minorHAnsi"/>
          <w:sz w:val="24"/>
          <w:szCs w:val="24"/>
        </w:rPr>
        <w:t xml:space="preserve"> </w:t>
      </w:r>
      <w:r w:rsidR="00655F52" w:rsidRPr="00D63D74">
        <w:rPr>
          <w:rFonts w:asciiTheme="minorHAnsi" w:hAnsiTheme="minorHAnsi" w:cstheme="minorHAnsi"/>
          <w:sz w:val="24"/>
          <w:szCs w:val="24"/>
        </w:rPr>
        <w:t>odsouzených do zaměstnání.</w:t>
      </w:r>
    </w:p>
    <w:p w14:paraId="426EF5A0" w14:textId="6C65CE6D" w:rsidR="00FA063F" w:rsidRPr="00D63D74" w:rsidRDefault="00071A1D" w:rsidP="00497852">
      <w:pPr>
        <w:widowControl/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 důvodu </w:t>
      </w:r>
      <w:r w:rsidR="00CD5010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omezen</w:t>
      </w:r>
      <w:r w:rsidR="00A7179B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ých</w:t>
      </w:r>
      <w:r w:rsidR="00CD5010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možnost</w:t>
      </w:r>
      <w:r w:rsidR="00A7179B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í</w:t>
      </w:r>
      <w:r w:rsidR="00CD5010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zaměstnávat odsouzen</w:t>
      </w:r>
      <w:r w:rsidR="003108A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 na pracovištích mimo věznici </w:t>
      </w:r>
      <w:r w:rsidR="00FA063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vytváří </w:t>
      </w:r>
      <w:r w:rsidR="00B34428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VS ČR </w:t>
      </w:r>
      <w:r w:rsidR="00FA063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podmínky pro zvýšení zaměstnanosti ve věznicích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>, např.</w:t>
      </w:r>
      <w:r w:rsidR="003108A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13B6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zřiz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>uje</w:t>
      </w:r>
      <w:r w:rsidR="00BC3275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rozv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>íjí</w:t>
      </w:r>
      <w:r w:rsidR="00EE13B6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provozov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 w:rsidR="00EE13B6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SHČ, </w:t>
      </w:r>
      <w:r w:rsidR="003108A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rekonstru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>uje</w:t>
      </w:r>
      <w:r w:rsidR="003108A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stávají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>cí</w:t>
      </w:r>
      <w:r w:rsidR="003108A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  <w:r w:rsidR="00A241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063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nevyužit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>é</w:t>
      </w:r>
      <w:r w:rsidR="00FA063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stavební prostor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FA063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r w:rsidR="00BC3275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zajišťuje</w:t>
      </w:r>
      <w:r w:rsidR="00FA063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alternativní způ</w:t>
      </w:r>
      <w:r w:rsidR="003108A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soby financování výstavby hal z </w:t>
      </w:r>
      <w:r w:rsidR="00FA063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prostředků budoucích zaměstnavatelů odsouzených</w:t>
      </w:r>
      <w:r w:rsidR="00D40657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34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 </w:t>
      </w:r>
      <w:r w:rsidR="00D40657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s využitím institutu „právo stavby“</w:t>
      </w:r>
      <w:r w:rsidR="005C6034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 garancí pronájmu na dobu přesahující osm let.</w:t>
      </w:r>
      <w:r w:rsidR="003A218E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08A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Přesto </w:t>
      </w:r>
      <w:r w:rsidR="0099697E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VS</w:t>
      </w:r>
      <w:r w:rsidR="00C94C31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9697E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ČR</w:t>
      </w:r>
      <w:r w:rsidR="003108A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dosud nevyužila veškerý potenciál stávajících věznic, které </w:t>
      </w:r>
      <w:r w:rsidR="00FA063F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nadále disponují volnými výrobními prostory a vhodnými pozemky pro výstavbu výrobních hal uvnitř věznic</w:t>
      </w:r>
      <w:r w:rsidR="005C7FEC" w:rsidRPr="00D63D7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1DA49" w14:textId="4AA2B79E" w:rsidR="00FA063F" w:rsidRPr="00237DEC" w:rsidRDefault="003C365D" w:rsidP="00497852">
      <w:pPr>
        <w:widowControl/>
        <w:spacing w:before="1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D63D74">
        <w:rPr>
          <w:rFonts w:asciiTheme="minorHAnsi" w:hAnsiTheme="minorHAnsi" w:cstheme="minorHAnsi"/>
          <w:sz w:val="24"/>
          <w:szCs w:val="24"/>
        </w:rPr>
        <w:t>Ú</w:t>
      </w:r>
      <w:r w:rsidR="003108AF" w:rsidRPr="00D63D74">
        <w:rPr>
          <w:rFonts w:asciiTheme="minorHAnsi" w:hAnsiTheme="minorHAnsi" w:cstheme="minorHAnsi"/>
          <w:sz w:val="24"/>
          <w:szCs w:val="24"/>
        </w:rPr>
        <w:t xml:space="preserve">kolem </w:t>
      </w:r>
      <w:r w:rsidR="0099697E" w:rsidRPr="00D63D74">
        <w:rPr>
          <w:rFonts w:asciiTheme="minorHAnsi" w:hAnsiTheme="minorHAnsi" w:cstheme="minorHAnsi"/>
          <w:sz w:val="24"/>
          <w:szCs w:val="24"/>
        </w:rPr>
        <w:t>VS ČR</w:t>
      </w:r>
      <w:r w:rsidR="003108AF" w:rsidRPr="00D63D74">
        <w:rPr>
          <w:rFonts w:asciiTheme="minorHAnsi" w:hAnsiTheme="minorHAnsi" w:cstheme="minorHAnsi"/>
          <w:sz w:val="24"/>
          <w:szCs w:val="24"/>
        </w:rPr>
        <w:t xml:space="preserve"> je </w:t>
      </w:r>
      <w:r w:rsidR="00313401">
        <w:rPr>
          <w:rFonts w:asciiTheme="minorHAnsi" w:hAnsiTheme="minorHAnsi" w:cstheme="minorHAnsi"/>
          <w:sz w:val="24"/>
          <w:szCs w:val="24"/>
        </w:rPr>
        <w:t xml:space="preserve">mj. </w:t>
      </w:r>
      <w:r w:rsidR="007F65C9" w:rsidRPr="00D63D74">
        <w:rPr>
          <w:rFonts w:asciiTheme="minorHAnsi" w:hAnsiTheme="minorHAnsi" w:cstheme="minorHAnsi"/>
          <w:sz w:val="24"/>
          <w:szCs w:val="24"/>
        </w:rPr>
        <w:t>provoz</w:t>
      </w:r>
      <w:r w:rsidR="003108AF" w:rsidRPr="00D63D74">
        <w:rPr>
          <w:rFonts w:asciiTheme="minorHAnsi" w:hAnsiTheme="minorHAnsi" w:cstheme="minorHAnsi"/>
          <w:sz w:val="24"/>
          <w:szCs w:val="24"/>
        </w:rPr>
        <w:t>ov</w:t>
      </w:r>
      <w:r w:rsidR="00313401">
        <w:rPr>
          <w:rFonts w:asciiTheme="minorHAnsi" w:hAnsiTheme="minorHAnsi" w:cstheme="minorHAnsi"/>
          <w:sz w:val="24"/>
          <w:szCs w:val="24"/>
        </w:rPr>
        <w:t>at</w:t>
      </w:r>
      <w:r w:rsidR="007F65C9" w:rsidRPr="00D63D74">
        <w:rPr>
          <w:rFonts w:asciiTheme="minorHAnsi" w:hAnsiTheme="minorHAnsi" w:cstheme="minorHAnsi"/>
          <w:sz w:val="24"/>
          <w:szCs w:val="24"/>
        </w:rPr>
        <w:t xml:space="preserve"> hospodářsk</w:t>
      </w:r>
      <w:r w:rsidR="00313401">
        <w:rPr>
          <w:rFonts w:asciiTheme="minorHAnsi" w:hAnsiTheme="minorHAnsi" w:cstheme="minorHAnsi"/>
          <w:sz w:val="24"/>
          <w:szCs w:val="24"/>
        </w:rPr>
        <w:t>ou</w:t>
      </w:r>
      <w:r w:rsidR="007F65C9" w:rsidRPr="00D63D74">
        <w:rPr>
          <w:rFonts w:asciiTheme="minorHAnsi" w:hAnsiTheme="minorHAnsi" w:cstheme="minorHAnsi"/>
          <w:sz w:val="24"/>
          <w:szCs w:val="24"/>
        </w:rPr>
        <w:t xml:space="preserve"> činnost za účelem zaměstnávání </w:t>
      </w:r>
      <w:r w:rsidR="009E219D" w:rsidRPr="00D63D74">
        <w:rPr>
          <w:rFonts w:asciiTheme="minorHAnsi" w:hAnsiTheme="minorHAnsi" w:cstheme="minorHAnsi"/>
          <w:sz w:val="24"/>
          <w:szCs w:val="24"/>
        </w:rPr>
        <w:t>vězňů v</w:t>
      </w:r>
      <w:r w:rsidR="00712EE1" w:rsidRPr="00D63D74">
        <w:rPr>
          <w:rFonts w:asciiTheme="minorHAnsi" w:hAnsiTheme="minorHAnsi" w:cstheme="minorHAnsi"/>
          <w:sz w:val="24"/>
          <w:szCs w:val="24"/>
        </w:rPr>
        <w:t> </w:t>
      </w:r>
      <w:r w:rsidR="00BD799C" w:rsidRPr="00D63D74">
        <w:rPr>
          <w:rFonts w:asciiTheme="minorHAnsi" w:hAnsiTheme="minorHAnsi" w:cstheme="minorHAnsi"/>
          <w:sz w:val="24"/>
          <w:szCs w:val="24"/>
        </w:rPr>
        <w:t>provozovnác</w:t>
      </w:r>
      <w:r w:rsidR="00712EE1" w:rsidRPr="00D63D74">
        <w:rPr>
          <w:rFonts w:asciiTheme="minorHAnsi" w:hAnsiTheme="minorHAnsi" w:cstheme="minorHAnsi"/>
          <w:sz w:val="24"/>
          <w:szCs w:val="24"/>
        </w:rPr>
        <w:t xml:space="preserve">h </w:t>
      </w:r>
      <w:r w:rsidR="002E4D9E" w:rsidRPr="00D63D74">
        <w:rPr>
          <w:rFonts w:asciiTheme="minorHAnsi" w:hAnsiTheme="minorHAnsi" w:cstheme="minorHAnsi"/>
          <w:sz w:val="24"/>
          <w:szCs w:val="24"/>
        </w:rPr>
        <w:t>SHČ</w:t>
      </w:r>
      <w:r w:rsidR="00EE13B6" w:rsidRPr="00D63D74">
        <w:rPr>
          <w:rFonts w:asciiTheme="minorHAnsi" w:hAnsiTheme="minorHAnsi" w:cstheme="minorHAnsi"/>
          <w:sz w:val="24"/>
          <w:szCs w:val="24"/>
        </w:rPr>
        <w:t>.</w:t>
      </w:r>
      <w:r w:rsidR="0083426C" w:rsidRPr="00D63D74">
        <w:rPr>
          <w:rFonts w:asciiTheme="minorHAnsi" w:hAnsiTheme="minorHAnsi" w:cstheme="minorHAnsi"/>
          <w:sz w:val="24"/>
          <w:szCs w:val="24"/>
        </w:rPr>
        <w:t xml:space="preserve"> Do konce roku 2018 </w:t>
      </w:r>
      <w:r w:rsidR="0099697E" w:rsidRPr="00D63D74">
        <w:rPr>
          <w:rFonts w:asciiTheme="minorHAnsi" w:hAnsiTheme="minorHAnsi" w:cstheme="minorHAnsi"/>
          <w:sz w:val="24"/>
          <w:szCs w:val="24"/>
        </w:rPr>
        <w:t>VS</w:t>
      </w:r>
      <w:r w:rsidR="0099697E" w:rsidRPr="00EE13B6">
        <w:rPr>
          <w:rFonts w:asciiTheme="minorHAnsi" w:hAnsiTheme="minorHAnsi" w:cstheme="minorHAnsi"/>
          <w:sz w:val="24"/>
          <w:szCs w:val="24"/>
        </w:rPr>
        <w:t> ČR</w:t>
      </w:r>
      <w:r w:rsidR="0083426C" w:rsidRPr="00EE13B6">
        <w:rPr>
          <w:rFonts w:asciiTheme="minorHAnsi" w:hAnsiTheme="minorHAnsi" w:cstheme="minorHAnsi"/>
          <w:sz w:val="24"/>
          <w:szCs w:val="24"/>
        </w:rPr>
        <w:t xml:space="preserve"> zřídila celkem 27 </w:t>
      </w:r>
      <w:r w:rsidR="00712EE1" w:rsidRPr="00EE13B6">
        <w:rPr>
          <w:rFonts w:asciiTheme="minorHAnsi" w:hAnsiTheme="minorHAnsi" w:cstheme="minorHAnsi"/>
          <w:sz w:val="24"/>
          <w:szCs w:val="24"/>
        </w:rPr>
        <w:t xml:space="preserve">těchto </w:t>
      </w:r>
      <w:r w:rsidR="0083426C" w:rsidRPr="00EE13B6">
        <w:rPr>
          <w:rFonts w:asciiTheme="minorHAnsi" w:hAnsiTheme="minorHAnsi" w:cstheme="minorHAnsi"/>
          <w:sz w:val="24"/>
          <w:szCs w:val="24"/>
        </w:rPr>
        <w:t>provozoven.</w:t>
      </w:r>
      <w:r w:rsidR="00AC0073" w:rsidRPr="00EE13B6">
        <w:rPr>
          <w:rFonts w:asciiTheme="minorHAnsi" w:hAnsiTheme="minorHAnsi" w:cstheme="minorHAnsi"/>
          <w:sz w:val="24"/>
          <w:szCs w:val="24"/>
        </w:rPr>
        <w:t xml:space="preserve"> </w:t>
      </w:r>
      <w:r w:rsidR="00BD799C" w:rsidRPr="00EE13B6">
        <w:rPr>
          <w:rFonts w:asciiTheme="minorHAnsi" w:hAnsiTheme="minorHAnsi" w:cstheme="minorHAnsi"/>
          <w:sz w:val="24"/>
          <w:szCs w:val="24"/>
        </w:rPr>
        <w:t>Provozovny SHČ mají významný podíl na zaměstnávání odsouzených</w:t>
      </w:r>
      <w:r w:rsidR="009E219D" w:rsidRPr="00EE13B6">
        <w:rPr>
          <w:rFonts w:asciiTheme="minorHAnsi" w:hAnsiTheme="minorHAnsi" w:cstheme="minorHAnsi"/>
          <w:sz w:val="24"/>
          <w:szCs w:val="24"/>
        </w:rPr>
        <w:t xml:space="preserve">, v </w:t>
      </w:r>
      <w:r w:rsidR="00BD799C" w:rsidRPr="00EE13B6">
        <w:rPr>
          <w:rFonts w:asciiTheme="minorHAnsi" w:hAnsiTheme="minorHAnsi" w:cstheme="minorHAnsi"/>
          <w:sz w:val="24"/>
          <w:szCs w:val="24"/>
        </w:rPr>
        <w:t xml:space="preserve">roce 2018 </w:t>
      </w:r>
      <w:r w:rsidR="00B1153E" w:rsidRPr="00A07581">
        <w:rPr>
          <w:rFonts w:asciiTheme="minorHAnsi" w:hAnsiTheme="minorHAnsi" w:cstheme="minorHAnsi"/>
          <w:sz w:val="24"/>
          <w:szCs w:val="24"/>
        </w:rPr>
        <w:t>zaměstná</w:t>
      </w:r>
      <w:r w:rsidR="00313401">
        <w:rPr>
          <w:rFonts w:asciiTheme="minorHAnsi" w:hAnsiTheme="minorHAnsi" w:cstheme="minorHAnsi"/>
          <w:sz w:val="24"/>
          <w:szCs w:val="24"/>
        </w:rPr>
        <w:t>valy</w:t>
      </w:r>
      <w:r w:rsidR="00B1153E" w:rsidRPr="00A07581">
        <w:rPr>
          <w:rFonts w:asciiTheme="minorHAnsi" w:hAnsiTheme="minorHAnsi" w:cstheme="minorHAnsi"/>
          <w:sz w:val="24"/>
          <w:szCs w:val="24"/>
        </w:rPr>
        <w:t xml:space="preserve"> 4</w:t>
      </w:r>
      <w:r w:rsidR="00D142AD">
        <w:rPr>
          <w:rFonts w:asciiTheme="minorHAnsi" w:hAnsiTheme="minorHAnsi" w:cstheme="minorHAnsi"/>
          <w:sz w:val="24"/>
          <w:szCs w:val="24"/>
        </w:rPr>
        <w:t xml:space="preserve"> </w:t>
      </w:r>
      <w:r w:rsidR="00B1153E" w:rsidRPr="00A07581">
        <w:rPr>
          <w:rFonts w:asciiTheme="minorHAnsi" w:hAnsiTheme="minorHAnsi" w:cstheme="minorHAnsi"/>
          <w:sz w:val="24"/>
          <w:szCs w:val="24"/>
        </w:rPr>
        <w:t>191 vězňů, což</w:t>
      </w:r>
      <w:r w:rsidR="00BD799C" w:rsidRPr="00A07581">
        <w:rPr>
          <w:rFonts w:asciiTheme="minorHAnsi" w:hAnsiTheme="minorHAnsi" w:cstheme="minorHAnsi"/>
          <w:sz w:val="24"/>
          <w:szCs w:val="24"/>
        </w:rPr>
        <w:t xml:space="preserve"> </w:t>
      </w:r>
      <w:r w:rsidR="00B1153E" w:rsidRPr="00A07581">
        <w:rPr>
          <w:rFonts w:asciiTheme="minorHAnsi" w:hAnsiTheme="minorHAnsi" w:cstheme="minorHAnsi"/>
          <w:sz w:val="24"/>
          <w:szCs w:val="24"/>
        </w:rPr>
        <w:t xml:space="preserve">je </w:t>
      </w:r>
      <w:r w:rsidR="00BD799C" w:rsidRPr="00A07581">
        <w:rPr>
          <w:rFonts w:asciiTheme="minorHAnsi" w:hAnsiTheme="minorHAnsi" w:cstheme="minorHAnsi"/>
          <w:sz w:val="24"/>
          <w:szCs w:val="24"/>
        </w:rPr>
        <w:t>téměř</w:t>
      </w:r>
      <w:r w:rsidR="00BD799C" w:rsidRPr="00EE13B6">
        <w:rPr>
          <w:rFonts w:asciiTheme="minorHAnsi" w:hAnsiTheme="minorHAnsi" w:cstheme="minorHAnsi"/>
          <w:sz w:val="24"/>
          <w:szCs w:val="24"/>
        </w:rPr>
        <w:t xml:space="preserve"> polovina </w:t>
      </w:r>
      <w:r w:rsidR="0083426C" w:rsidRPr="00EE13B6">
        <w:rPr>
          <w:rFonts w:asciiTheme="minorHAnsi" w:hAnsiTheme="minorHAnsi" w:cstheme="minorHAnsi"/>
          <w:sz w:val="24"/>
          <w:szCs w:val="24"/>
        </w:rPr>
        <w:t xml:space="preserve">zaměstnaných </w:t>
      </w:r>
      <w:r w:rsidR="00BD799C" w:rsidRPr="00EE13B6">
        <w:rPr>
          <w:rFonts w:asciiTheme="minorHAnsi" w:hAnsiTheme="minorHAnsi" w:cstheme="minorHAnsi"/>
          <w:sz w:val="24"/>
          <w:szCs w:val="24"/>
        </w:rPr>
        <w:t>vězňů.</w:t>
      </w:r>
      <w:r w:rsidR="00B5717F" w:rsidRPr="00EE13B6">
        <w:rPr>
          <w:rFonts w:asciiTheme="minorHAnsi" w:hAnsiTheme="minorHAnsi" w:cstheme="minorHAnsi"/>
          <w:sz w:val="24"/>
          <w:szCs w:val="24"/>
        </w:rPr>
        <w:t xml:space="preserve"> Kr</w:t>
      </w:r>
      <w:r w:rsidR="00FD4982" w:rsidRPr="00EE13B6">
        <w:rPr>
          <w:rFonts w:asciiTheme="minorHAnsi" w:hAnsiTheme="minorHAnsi" w:cstheme="minorHAnsi"/>
          <w:sz w:val="24"/>
          <w:szCs w:val="24"/>
        </w:rPr>
        <w:t>omě zaměstnávání přispívá SHČ i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B5717F" w:rsidRPr="00EE13B6">
        <w:rPr>
          <w:rFonts w:asciiTheme="minorHAnsi" w:hAnsiTheme="minorHAnsi" w:cstheme="minorHAnsi"/>
          <w:sz w:val="24"/>
          <w:szCs w:val="24"/>
        </w:rPr>
        <w:t>k</w:t>
      </w:r>
      <w:r w:rsidR="00A241A5">
        <w:rPr>
          <w:rFonts w:asciiTheme="minorHAnsi" w:hAnsiTheme="minorHAnsi" w:cstheme="minorHAnsi"/>
          <w:sz w:val="24"/>
          <w:szCs w:val="24"/>
        </w:rPr>
        <w:t xml:space="preserve"> </w:t>
      </w:r>
      <w:r w:rsidR="00B5717F" w:rsidRPr="00EE13B6">
        <w:rPr>
          <w:rFonts w:asciiTheme="minorHAnsi" w:hAnsiTheme="minorHAnsi" w:cstheme="minorHAnsi"/>
          <w:sz w:val="24"/>
          <w:szCs w:val="24"/>
        </w:rPr>
        <w:t xml:space="preserve">ekonomické samostatnosti věznic. </w:t>
      </w:r>
      <w:r w:rsidR="00BD799C" w:rsidRPr="00EE13B6">
        <w:rPr>
          <w:rFonts w:asciiTheme="minorHAnsi" w:hAnsiTheme="minorHAnsi" w:cstheme="minorHAnsi"/>
          <w:sz w:val="24"/>
          <w:szCs w:val="24"/>
        </w:rPr>
        <w:t>Výsled</w:t>
      </w:r>
      <w:r w:rsidR="006C25F2">
        <w:rPr>
          <w:rFonts w:asciiTheme="minorHAnsi" w:hAnsiTheme="minorHAnsi" w:cstheme="minorHAnsi"/>
          <w:sz w:val="24"/>
          <w:szCs w:val="24"/>
        </w:rPr>
        <w:t>e</w:t>
      </w:r>
      <w:r w:rsidR="00BD799C" w:rsidRPr="00EE13B6">
        <w:rPr>
          <w:rFonts w:asciiTheme="minorHAnsi" w:hAnsiTheme="minorHAnsi" w:cstheme="minorHAnsi"/>
          <w:sz w:val="24"/>
          <w:szCs w:val="24"/>
        </w:rPr>
        <w:t xml:space="preserve">k hospodaření </w:t>
      </w:r>
      <w:r w:rsidR="00BF44F3" w:rsidRPr="00EE13B6">
        <w:rPr>
          <w:rFonts w:asciiTheme="minorHAnsi" w:hAnsiTheme="minorHAnsi" w:cstheme="minorHAnsi"/>
          <w:sz w:val="24"/>
          <w:szCs w:val="24"/>
        </w:rPr>
        <w:t>S</w:t>
      </w:r>
      <w:r w:rsidR="002E4D9E">
        <w:rPr>
          <w:rFonts w:asciiTheme="minorHAnsi" w:hAnsiTheme="minorHAnsi" w:cstheme="minorHAnsi"/>
          <w:sz w:val="24"/>
          <w:szCs w:val="24"/>
        </w:rPr>
        <w:t xml:space="preserve">HČ </w:t>
      </w:r>
      <w:r w:rsidR="00BD799C" w:rsidRPr="00EE13B6">
        <w:rPr>
          <w:rFonts w:asciiTheme="minorHAnsi" w:hAnsiTheme="minorHAnsi" w:cstheme="minorHAnsi"/>
          <w:sz w:val="24"/>
          <w:szCs w:val="24"/>
        </w:rPr>
        <w:t xml:space="preserve">po zdanění </w:t>
      </w:r>
      <w:r w:rsidR="006C25F2">
        <w:rPr>
          <w:rFonts w:asciiTheme="minorHAnsi" w:hAnsiTheme="minorHAnsi" w:cstheme="minorHAnsi"/>
          <w:sz w:val="24"/>
          <w:szCs w:val="24"/>
        </w:rPr>
        <w:t xml:space="preserve">dosáhl </w:t>
      </w:r>
      <w:r w:rsidR="00BD799C" w:rsidRPr="00EE13B6">
        <w:rPr>
          <w:rFonts w:asciiTheme="minorHAnsi" w:hAnsiTheme="minorHAnsi" w:cstheme="minorHAnsi"/>
          <w:sz w:val="24"/>
          <w:szCs w:val="24"/>
        </w:rPr>
        <w:t>v roce 2018 výš</w:t>
      </w:r>
      <w:r w:rsidR="006C25F2">
        <w:rPr>
          <w:rFonts w:asciiTheme="minorHAnsi" w:hAnsiTheme="minorHAnsi" w:cstheme="minorHAnsi"/>
          <w:sz w:val="24"/>
          <w:szCs w:val="24"/>
        </w:rPr>
        <w:t>e</w:t>
      </w:r>
      <w:r w:rsidR="00BD799C" w:rsidRPr="00EE13B6">
        <w:rPr>
          <w:rFonts w:asciiTheme="minorHAnsi" w:hAnsiTheme="minorHAnsi" w:cstheme="minorHAnsi"/>
          <w:sz w:val="24"/>
          <w:szCs w:val="24"/>
        </w:rPr>
        <w:t xml:space="preserve"> 65</w:t>
      </w:r>
      <w:r w:rsidR="00B5717F" w:rsidRPr="00EE13B6">
        <w:rPr>
          <w:rFonts w:asciiTheme="minorHAnsi" w:hAnsiTheme="minorHAnsi" w:cstheme="minorHAnsi"/>
          <w:sz w:val="24"/>
          <w:szCs w:val="24"/>
        </w:rPr>
        <w:t>,6 mil.</w:t>
      </w:r>
      <w:r w:rsidR="00BD799C" w:rsidRPr="00EE13B6">
        <w:rPr>
          <w:rFonts w:asciiTheme="minorHAnsi" w:hAnsiTheme="minorHAnsi" w:cstheme="minorHAnsi"/>
          <w:sz w:val="24"/>
          <w:szCs w:val="24"/>
        </w:rPr>
        <w:t xml:space="preserve"> Kč</w:t>
      </w:r>
      <w:r w:rsidR="0083426C" w:rsidRPr="00EE13B6">
        <w:rPr>
          <w:rFonts w:asciiTheme="minorHAnsi" w:hAnsiTheme="minorHAnsi" w:cstheme="minorHAnsi"/>
          <w:sz w:val="24"/>
          <w:szCs w:val="24"/>
        </w:rPr>
        <w:t>.</w:t>
      </w:r>
      <w:r w:rsidR="008514A7" w:rsidRPr="00EE13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7ECD93" w14:textId="77777777" w:rsidR="00FA063F" w:rsidRDefault="00FA063F" w:rsidP="00497852">
      <w:pPr>
        <w:widowControl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06F2949C" w14:textId="77777777" w:rsidR="008257C7" w:rsidRDefault="008257C7" w:rsidP="00497852">
      <w:pPr>
        <w:widowControl/>
        <w:autoSpaceDE/>
        <w:autoSpaceDN/>
        <w:adjustRightInd/>
        <w:spacing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AA16B53" w14:textId="44F924B0" w:rsidR="00E9475F" w:rsidRPr="00A35817" w:rsidRDefault="003D5722" w:rsidP="00497852">
      <w:pPr>
        <w:widowControl/>
        <w:autoSpaceDE/>
        <w:autoSpaceDN/>
        <w:adjustRightInd/>
        <w:spacing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P</w:t>
      </w:r>
      <w:r w:rsidR="005406C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rogram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5406C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zacházení</w:t>
      </w:r>
    </w:p>
    <w:p w14:paraId="2D9F30C9" w14:textId="72CF8BE9" w:rsidR="00234A8F" w:rsidRDefault="005406C8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5406C8">
        <w:rPr>
          <w:rFonts w:asciiTheme="minorHAnsi" w:hAnsiTheme="minorHAnsi" w:cstheme="minorHAnsi"/>
          <w:color w:val="000000" w:themeColor="text1"/>
          <w:sz w:val="24"/>
          <w:szCs w:val="24"/>
        </w:rPr>
        <w:t>ředpokladem úspěšného zacházení s vězněnými osobami je dostatečný počet kvalifikovaných odborných zaměstnanců</w:t>
      </w:r>
      <w:r w:rsidR="009E386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406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E3864">
        <w:rPr>
          <w:rFonts w:asciiTheme="minorHAnsi" w:hAnsiTheme="minorHAnsi" w:cstheme="minorHAnsi"/>
          <w:color w:val="000000" w:themeColor="text1"/>
          <w:sz w:val="24"/>
          <w:szCs w:val="24"/>
        </w:rPr>
        <w:t>zejména</w:t>
      </w:r>
      <w:r w:rsidRPr="005406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vychovatelů.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5073E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09370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počtu 908 systemizovaných míst vychovatelů </w:t>
      </w:r>
      <w:r w:rsidR="004507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bylo </w:t>
      </w:r>
      <w:r w:rsidR="0009370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v roce 2018 obsazeno 834</w:t>
      </w:r>
      <w:r w:rsidR="00712E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míst</w:t>
      </w:r>
      <w:r w:rsidR="00F47D9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712E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9697E">
        <w:rPr>
          <w:rFonts w:asciiTheme="minorHAnsi" w:hAnsiTheme="minorHAnsi" w:cstheme="minorHAnsi"/>
          <w:color w:val="000000" w:themeColor="text1"/>
          <w:sz w:val="24"/>
          <w:szCs w:val="24"/>
        </w:rPr>
        <w:t>VS ČR</w:t>
      </w:r>
      <w:r w:rsidR="004507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12EE1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F47D95">
        <w:rPr>
          <w:rFonts w:asciiTheme="minorHAnsi" w:hAnsiTheme="minorHAnsi" w:cstheme="minorHAnsi"/>
          <w:color w:val="000000" w:themeColor="text1"/>
          <w:sz w:val="24"/>
          <w:szCs w:val="24"/>
        </w:rPr>
        <w:t>edy</w:t>
      </w:r>
      <w:r w:rsidR="00712E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4497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obsad</w:t>
      </w:r>
      <w:r w:rsidR="0045073E">
        <w:rPr>
          <w:rFonts w:asciiTheme="minorHAnsi" w:hAnsiTheme="minorHAnsi" w:cstheme="minorHAnsi"/>
          <w:color w:val="000000" w:themeColor="text1"/>
          <w:sz w:val="24"/>
          <w:szCs w:val="24"/>
        </w:rPr>
        <w:t>ila</w:t>
      </w:r>
      <w:r w:rsidR="0034497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jen </w:t>
      </w:r>
      <w:r w:rsidR="000E31E1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92</w:t>
      </w:r>
      <w:r w:rsidR="00042B1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0E31E1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%</w:t>
      </w:r>
      <w:r w:rsidR="0034497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systemizovaných míst</w:t>
      </w:r>
      <w:r w:rsidR="005E0FEF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E0FEF" w:rsidRPr="00A35817">
        <w:rPr>
          <w:rFonts w:ascii="Calibri" w:eastAsia="Times New Roman" w:hAnsi="Calibri"/>
          <w:sz w:val="24"/>
          <w:szCs w:val="24"/>
        </w:rPr>
        <w:t xml:space="preserve"> Průměrný počet odsouzených svěřených do péče jednoho vychovatele </w:t>
      </w:r>
      <w:r w:rsidR="00313401">
        <w:rPr>
          <w:rFonts w:ascii="Calibri" w:eastAsia="Times New Roman" w:hAnsi="Calibri"/>
          <w:sz w:val="24"/>
          <w:szCs w:val="24"/>
        </w:rPr>
        <w:t xml:space="preserve">byl </w:t>
      </w:r>
      <w:r w:rsidR="003276DB">
        <w:rPr>
          <w:rFonts w:ascii="Calibri" w:eastAsia="Times New Roman" w:hAnsi="Calibri"/>
          <w:sz w:val="24"/>
          <w:szCs w:val="24"/>
        </w:rPr>
        <w:t xml:space="preserve">v roce 2016 ve výši </w:t>
      </w:r>
      <w:r w:rsidR="003276DB" w:rsidRPr="00A35817">
        <w:rPr>
          <w:rFonts w:ascii="Calibri" w:eastAsia="Times New Roman" w:hAnsi="Calibri"/>
          <w:sz w:val="24"/>
          <w:szCs w:val="24"/>
        </w:rPr>
        <w:t xml:space="preserve">26,1 </w:t>
      </w:r>
      <w:r w:rsidR="00712EE1">
        <w:rPr>
          <w:rFonts w:ascii="Calibri" w:eastAsia="Times New Roman" w:hAnsi="Calibri"/>
          <w:sz w:val="24"/>
          <w:szCs w:val="24"/>
        </w:rPr>
        <w:t xml:space="preserve">a </w:t>
      </w:r>
      <w:r w:rsidR="005E0FEF" w:rsidRPr="00A35817">
        <w:rPr>
          <w:rFonts w:ascii="Calibri" w:eastAsia="Times New Roman" w:hAnsi="Calibri"/>
          <w:sz w:val="24"/>
          <w:szCs w:val="24"/>
        </w:rPr>
        <w:t xml:space="preserve">v roce 2018 </w:t>
      </w:r>
      <w:r w:rsidR="003A218E">
        <w:rPr>
          <w:rFonts w:ascii="Calibri" w:eastAsia="Times New Roman" w:hAnsi="Calibri"/>
          <w:sz w:val="24"/>
          <w:szCs w:val="24"/>
        </w:rPr>
        <w:t>ve výši</w:t>
      </w:r>
      <w:r w:rsidR="003276DB">
        <w:rPr>
          <w:rFonts w:ascii="Calibri" w:eastAsia="Times New Roman" w:hAnsi="Calibri"/>
          <w:sz w:val="24"/>
          <w:szCs w:val="24"/>
        </w:rPr>
        <w:t xml:space="preserve"> 23,6</w:t>
      </w:r>
      <w:r w:rsidR="00344978" w:rsidRPr="00A35817">
        <w:rPr>
          <w:rFonts w:ascii="Calibri" w:eastAsia="Times New Roman" w:hAnsi="Calibri"/>
          <w:sz w:val="24"/>
          <w:szCs w:val="24"/>
        </w:rPr>
        <w:t>.</w:t>
      </w:r>
      <w:r w:rsidR="005E0FEF" w:rsidRPr="00A35817">
        <w:rPr>
          <w:rFonts w:ascii="Calibri" w:eastAsia="Times New Roman" w:hAnsi="Calibri"/>
          <w:sz w:val="24"/>
          <w:szCs w:val="24"/>
        </w:rPr>
        <w:t xml:space="preserve"> </w:t>
      </w:r>
      <w:r w:rsidR="003A218E">
        <w:rPr>
          <w:rFonts w:ascii="Calibri" w:eastAsia="Times New Roman" w:hAnsi="Calibri"/>
          <w:sz w:val="24"/>
          <w:szCs w:val="24"/>
        </w:rPr>
        <w:t xml:space="preserve">Přes zlepšení stavu </w:t>
      </w:r>
      <w:r w:rsidR="003A218E" w:rsidRPr="00A35817">
        <w:rPr>
          <w:rFonts w:ascii="Calibri" w:eastAsia="Times New Roman" w:hAnsi="Calibri"/>
          <w:sz w:val="24"/>
          <w:szCs w:val="24"/>
        </w:rPr>
        <w:t>se</w:t>
      </w:r>
      <w:r w:rsidR="003A218E">
        <w:rPr>
          <w:rFonts w:ascii="Calibri" w:eastAsia="Times New Roman" w:hAnsi="Calibri"/>
          <w:sz w:val="24"/>
          <w:szCs w:val="24"/>
        </w:rPr>
        <w:t xml:space="preserve"> </w:t>
      </w:r>
      <w:r w:rsidR="0099697E">
        <w:rPr>
          <w:rFonts w:ascii="Calibri" w:eastAsia="Times New Roman" w:hAnsi="Calibri"/>
          <w:sz w:val="24"/>
          <w:szCs w:val="24"/>
        </w:rPr>
        <w:t>VS ČR</w:t>
      </w:r>
      <w:r w:rsidR="00344978" w:rsidRPr="00A35817">
        <w:rPr>
          <w:rFonts w:ascii="Calibri" w:eastAsia="Times New Roman" w:hAnsi="Calibri"/>
          <w:sz w:val="24"/>
          <w:szCs w:val="24"/>
        </w:rPr>
        <w:t xml:space="preserve"> nepodařilo naplnit</w:t>
      </w:r>
      <w:r w:rsidR="005E0FEF" w:rsidRPr="00A35817">
        <w:rPr>
          <w:rFonts w:ascii="Calibri" w:eastAsia="Times New Roman" w:hAnsi="Calibri"/>
          <w:sz w:val="24"/>
          <w:szCs w:val="24"/>
        </w:rPr>
        <w:t xml:space="preserve"> ustanovení </w:t>
      </w:r>
      <w:r w:rsidR="002027AF">
        <w:rPr>
          <w:rFonts w:ascii="Calibri" w:eastAsia="Times New Roman" w:hAnsi="Calibri"/>
          <w:sz w:val="24"/>
          <w:szCs w:val="24"/>
        </w:rPr>
        <w:t>§</w:t>
      </w:r>
      <w:r w:rsidR="00C94C31">
        <w:rPr>
          <w:rFonts w:ascii="Calibri" w:eastAsia="Times New Roman" w:hAnsi="Calibri"/>
          <w:sz w:val="24"/>
          <w:szCs w:val="24"/>
        </w:rPr>
        <w:t> </w:t>
      </w:r>
      <w:r w:rsidR="002027AF">
        <w:rPr>
          <w:rFonts w:ascii="Calibri" w:eastAsia="Times New Roman" w:hAnsi="Calibri"/>
          <w:sz w:val="24"/>
          <w:szCs w:val="24"/>
        </w:rPr>
        <w:t>2 odst.</w:t>
      </w:r>
      <w:r w:rsidR="00C94C31">
        <w:rPr>
          <w:rFonts w:ascii="Calibri" w:eastAsia="Times New Roman" w:hAnsi="Calibri"/>
          <w:sz w:val="24"/>
          <w:szCs w:val="24"/>
        </w:rPr>
        <w:t> </w:t>
      </w:r>
      <w:r w:rsidR="002027AF">
        <w:rPr>
          <w:rFonts w:ascii="Calibri" w:eastAsia="Times New Roman" w:hAnsi="Calibri"/>
          <w:sz w:val="24"/>
          <w:szCs w:val="24"/>
        </w:rPr>
        <w:t xml:space="preserve">2 </w:t>
      </w:r>
      <w:r w:rsidR="0034497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vyhlášky č.</w:t>
      </w:r>
      <w:r w:rsidR="00C94C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34497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345/1999 Sb.</w:t>
      </w:r>
      <w:r w:rsidR="00042B1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4497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A9D">
        <w:rPr>
          <w:rFonts w:asciiTheme="minorHAnsi" w:hAnsiTheme="minorHAnsi" w:cstheme="minorHAnsi"/>
          <w:color w:val="000000" w:themeColor="text1"/>
          <w:sz w:val="24"/>
          <w:szCs w:val="24"/>
        </w:rPr>
        <w:t>po</w:t>
      </w:r>
      <w:r w:rsidR="0034497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dle kterého by jednomu vychovateli mělo být svěřeno </w:t>
      </w:r>
      <w:r w:rsidR="003A21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péče </w:t>
      </w:r>
      <w:r w:rsidR="00344978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>zpravidla nejvýše 20 odsouzených.</w:t>
      </w:r>
      <w:r w:rsidR="00701412" w:rsidRPr="00A358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F1F5C7F" w14:textId="4E778FB6" w:rsidR="002027AF" w:rsidRDefault="008B3FE8" w:rsidP="00497852">
      <w:pPr>
        <w:widowControl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8B3FE8">
        <w:rPr>
          <w:rFonts w:asciiTheme="minorHAnsi" w:hAnsiTheme="minorHAnsi" w:cstheme="minorHAnsi"/>
          <w:sz w:val="24"/>
          <w:szCs w:val="24"/>
        </w:rPr>
        <w:t>D</w:t>
      </w:r>
      <w:r w:rsidR="005C7FEC" w:rsidRPr="008B3FE8">
        <w:rPr>
          <w:rFonts w:asciiTheme="minorHAnsi" w:hAnsiTheme="minorHAnsi" w:cstheme="minorHAnsi"/>
          <w:sz w:val="24"/>
          <w:szCs w:val="24"/>
        </w:rPr>
        <w:t>louhodob</w:t>
      </w:r>
      <w:r w:rsidRPr="008B3FE8">
        <w:rPr>
          <w:rFonts w:asciiTheme="minorHAnsi" w:hAnsiTheme="minorHAnsi" w:cstheme="minorHAnsi"/>
          <w:sz w:val="24"/>
          <w:szCs w:val="24"/>
        </w:rPr>
        <w:t>ý</w:t>
      </w:r>
      <w:r w:rsidR="005C7FEC" w:rsidRPr="008B3FE8">
        <w:rPr>
          <w:rFonts w:asciiTheme="minorHAnsi" w:hAnsiTheme="minorHAnsi" w:cstheme="minorHAnsi"/>
          <w:sz w:val="24"/>
          <w:szCs w:val="24"/>
        </w:rPr>
        <w:t xml:space="preserve"> nedostat</w:t>
      </w:r>
      <w:r w:rsidRPr="008B3FE8">
        <w:rPr>
          <w:rFonts w:asciiTheme="minorHAnsi" w:hAnsiTheme="minorHAnsi" w:cstheme="minorHAnsi"/>
          <w:sz w:val="24"/>
          <w:szCs w:val="24"/>
        </w:rPr>
        <w:t>ek</w:t>
      </w:r>
      <w:r w:rsidR="005C7FEC" w:rsidRPr="008B3FE8">
        <w:rPr>
          <w:rFonts w:asciiTheme="minorHAnsi" w:hAnsiTheme="minorHAnsi" w:cstheme="minorHAnsi"/>
          <w:sz w:val="24"/>
          <w:szCs w:val="24"/>
        </w:rPr>
        <w:t xml:space="preserve"> odborných zaměstnanců</w:t>
      </w:r>
      <w:r w:rsidRPr="008B3FE8">
        <w:rPr>
          <w:rFonts w:asciiTheme="minorHAnsi" w:hAnsiTheme="minorHAnsi" w:cstheme="minorHAnsi"/>
          <w:sz w:val="24"/>
          <w:szCs w:val="24"/>
        </w:rPr>
        <w:t xml:space="preserve"> omezuje možnost individuálního</w:t>
      </w:r>
      <w:r w:rsidR="0058221B" w:rsidRPr="008B3FE8">
        <w:rPr>
          <w:rFonts w:asciiTheme="minorHAnsi" w:hAnsiTheme="minorHAnsi" w:cstheme="minorHAnsi"/>
          <w:sz w:val="24"/>
          <w:szCs w:val="24"/>
        </w:rPr>
        <w:t xml:space="preserve"> přístup</w:t>
      </w:r>
      <w:r w:rsidRPr="008B3FE8">
        <w:rPr>
          <w:rFonts w:asciiTheme="minorHAnsi" w:hAnsiTheme="minorHAnsi" w:cstheme="minorHAnsi"/>
          <w:sz w:val="24"/>
          <w:szCs w:val="24"/>
        </w:rPr>
        <w:t>u</w:t>
      </w:r>
      <w:r w:rsidR="0058221B" w:rsidRPr="008B3FE8">
        <w:rPr>
          <w:rFonts w:asciiTheme="minorHAnsi" w:hAnsiTheme="minorHAnsi" w:cstheme="minorHAnsi"/>
          <w:sz w:val="24"/>
          <w:szCs w:val="24"/>
        </w:rPr>
        <w:t xml:space="preserve"> k</w:t>
      </w:r>
      <w:r w:rsidRPr="008B3FE8">
        <w:rPr>
          <w:rFonts w:asciiTheme="minorHAnsi" w:hAnsiTheme="minorHAnsi" w:cstheme="minorHAnsi"/>
          <w:sz w:val="24"/>
          <w:szCs w:val="24"/>
        </w:rPr>
        <w:t> </w:t>
      </w:r>
      <w:r w:rsidR="0058221B" w:rsidRPr="008B3FE8">
        <w:rPr>
          <w:rFonts w:asciiTheme="minorHAnsi" w:hAnsiTheme="minorHAnsi" w:cstheme="minorHAnsi"/>
          <w:sz w:val="24"/>
          <w:szCs w:val="24"/>
        </w:rPr>
        <w:t>vězňům</w:t>
      </w:r>
      <w:r w:rsidRPr="008B3FE8">
        <w:rPr>
          <w:rFonts w:asciiTheme="minorHAnsi" w:hAnsiTheme="minorHAnsi" w:cstheme="minorHAnsi"/>
          <w:sz w:val="24"/>
          <w:szCs w:val="24"/>
        </w:rPr>
        <w:t xml:space="preserve"> a zvyšuje </w:t>
      </w:r>
      <w:r w:rsidR="005C7FEC" w:rsidRPr="008B3FE8">
        <w:rPr>
          <w:rFonts w:asciiTheme="minorHAnsi" w:hAnsiTheme="minorHAnsi" w:cstheme="minorHAnsi"/>
          <w:sz w:val="24"/>
          <w:szCs w:val="24"/>
        </w:rPr>
        <w:t xml:space="preserve">riziko nenaplnění ustanovení </w:t>
      </w:r>
      <w:r w:rsidR="002027AF" w:rsidRPr="008B3FE8">
        <w:rPr>
          <w:rFonts w:asciiTheme="minorHAnsi" w:hAnsiTheme="minorHAnsi" w:cstheme="minorHAnsi"/>
          <w:sz w:val="24"/>
          <w:szCs w:val="24"/>
        </w:rPr>
        <w:t>§</w:t>
      </w:r>
      <w:r w:rsidR="00D142AD">
        <w:rPr>
          <w:rFonts w:asciiTheme="minorHAnsi" w:hAnsiTheme="minorHAnsi" w:cstheme="minorHAnsi"/>
          <w:sz w:val="24"/>
          <w:szCs w:val="24"/>
        </w:rPr>
        <w:t xml:space="preserve"> </w:t>
      </w:r>
      <w:r w:rsidR="00C94C31">
        <w:rPr>
          <w:rFonts w:asciiTheme="minorHAnsi" w:hAnsiTheme="minorHAnsi" w:cstheme="minorHAnsi"/>
          <w:sz w:val="24"/>
          <w:szCs w:val="24"/>
        </w:rPr>
        <w:t>2 odst.</w:t>
      </w:r>
      <w:r w:rsidR="00F47D95">
        <w:rPr>
          <w:rFonts w:asciiTheme="minorHAnsi" w:hAnsiTheme="minorHAnsi" w:cstheme="minorHAnsi"/>
          <w:sz w:val="24"/>
          <w:szCs w:val="24"/>
        </w:rPr>
        <w:t xml:space="preserve"> </w:t>
      </w:r>
      <w:r w:rsidR="00C94C31">
        <w:rPr>
          <w:rFonts w:asciiTheme="minorHAnsi" w:hAnsiTheme="minorHAnsi" w:cstheme="minorHAnsi"/>
          <w:sz w:val="24"/>
          <w:szCs w:val="24"/>
        </w:rPr>
        <w:t>1 písm.</w:t>
      </w:r>
      <w:r w:rsidR="00F47D95">
        <w:rPr>
          <w:rFonts w:asciiTheme="minorHAnsi" w:hAnsiTheme="minorHAnsi" w:cstheme="minorHAnsi"/>
          <w:sz w:val="24"/>
          <w:szCs w:val="24"/>
        </w:rPr>
        <w:t xml:space="preserve"> </w:t>
      </w:r>
      <w:r w:rsidR="002027AF" w:rsidRPr="008B3FE8">
        <w:rPr>
          <w:rFonts w:asciiTheme="minorHAnsi" w:hAnsiTheme="minorHAnsi" w:cstheme="minorHAnsi"/>
          <w:sz w:val="24"/>
          <w:szCs w:val="24"/>
        </w:rPr>
        <w:t>d</w:t>
      </w:r>
      <w:r w:rsidR="00BF2923" w:rsidRPr="008B3FE8">
        <w:rPr>
          <w:rFonts w:asciiTheme="minorHAnsi" w:hAnsiTheme="minorHAnsi" w:cstheme="minorHAnsi"/>
          <w:sz w:val="24"/>
          <w:szCs w:val="24"/>
        </w:rPr>
        <w:t>)</w:t>
      </w:r>
      <w:r w:rsidR="002027AF" w:rsidRPr="008B3FE8">
        <w:rPr>
          <w:rFonts w:asciiTheme="minorHAnsi" w:hAnsiTheme="minorHAnsi" w:cstheme="minorHAnsi"/>
          <w:sz w:val="24"/>
          <w:szCs w:val="24"/>
        </w:rPr>
        <w:t xml:space="preserve"> </w:t>
      </w:r>
      <w:r w:rsidR="005C7FEC" w:rsidRPr="008B3FE8">
        <w:rPr>
          <w:rFonts w:asciiTheme="minorHAnsi" w:hAnsiTheme="minorHAnsi" w:cstheme="minorHAnsi"/>
          <w:sz w:val="24"/>
          <w:szCs w:val="24"/>
        </w:rPr>
        <w:t>zákona č.</w:t>
      </w:r>
      <w:r w:rsidR="00C94C31">
        <w:rPr>
          <w:rFonts w:asciiTheme="minorHAnsi" w:hAnsiTheme="minorHAnsi" w:cstheme="minorHAnsi"/>
          <w:sz w:val="24"/>
          <w:szCs w:val="24"/>
        </w:rPr>
        <w:t> </w:t>
      </w:r>
      <w:r w:rsidR="005C7FEC" w:rsidRPr="008B3FE8">
        <w:rPr>
          <w:rFonts w:asciiTheme="minorHAnsi" w:hAnsiTheme="minorHAnsi" w:cstheme="minorHAnsi"/>
          <w:sz w:val="24"/>
          <w:szCs w:val="24"/>
        </w:rPr>
        <w:t xml:space="preserve">555/1992 Sb., a to </w:t>
      </w:r>
      <w:r w:rsidR="003A218E" w:rsidRPr="008B3FE8">
        <w:rPr>
          <w:rFonts w:asciiTheme="minorHAnsi" w:hAnsiTheme="minorHAnsi" w:cstheme="minorHAnsi"/>
          <w:sz w:val="24"/>
          <w:szCs w:val="24"/>
        </w:rPr>
        <w:t xml:space="preserve">prostřednictvím programů zacházení soustavně </w:t>
      </w:r>
      <w:r w:rsidR="00345796" w:rsidRPr="008B3FE8">
        <w:rPr>
          <w:rFonts w:asciiTheme="minorHAnsi" w:hAnsiTheme="minorHAnsi" w:cstheme="minorHAnsi"/>
          <w:sz w:val="24"/>
          <w:szCs w:val="24"/>
        </w:rPr>
        <w:t xml:space="preserve">působit </w:t>
      </w:r>
      <w:r w:rsidR="005C7FEC" w:rsidRPr="008B3FE8">
        <w:rPr>
          <w:rFonts w:asciiTheme="minorHAnsi" w:hAnsiTheme="minorHAnsi" w:cstheme="minorHAnsi"/>
          <w:sz w:val="24"/>
          <w:szCs w:val="24"/>
        </w:rPr>
        <w:t>na osoby ve výkonu trestu odnětí svobody s cílem vytvořit předpoklady pro jejich řádný způsob života po propuštění.</w:t>
      </w:r>
      <w:r w:rsidR="005C7F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2C46F0" w14:textId="77777777" w:rsidR="00631CC6" w:rsidRDefault="00631CC6" w:rsidP="00497852">
      <w:pPr>
        <w:pStyle w:val="Prosttext"/>
        <w:jc w:val="both"/>
        <w:rPr>
          <w:rFonts w:cstheme="minorHAnsi"/>
          <w:sz w:val="24"/>
          <w:szCs w:val="24"/>
        </w:rPr>
      </w:pPr>
    </w:p>
    <w:p w14:paraId="1AAA0DA7" w14:textId="54EF4693" w:rsidR="003D5722" w:rsidRPr="006A15BB" w:rsidRDefault="002D4984" w:rsidP="00497852">
      <w:pPr>
        <w:widowControl/>
        <w:autoSpaceDE/>
        <w:autoSpaceDN/>
        <w:adjustRightInd/>
        <w:spacing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D498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Problematika návykových látek</w:t>
      </w:r>
    </w:p>
    <w:p w14:paraId="08DA7672" w14:textId="42A9B6B0" w:rsidR="002027AF" w:rsidRDefault="0099697E" w:rsidP="00497852">
      <w:pPr>
        <w:widowControl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VS ČR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realizuje opatření vedoucí k ochraně 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vězeňského prostředí od průniku nelegálních látek, </w:t>
      </w:r>
      <w:r w:rsidR="003457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 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>potlačování užívání omamných a psychotropních látek vězněnými osobami a</w:t>
      </w:r>
      <w:r w:rsidR="003457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prevenc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šíření toxikomanie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>avedla četnější plošné testování všech vězněných osob na přítomnost návykových látek</w:t>
      </w:r>
      <w:r w:rsidR="00A177E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navrhla metodiku sc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>reeningu typů zakázaných látek</w:t>
      </w:r>
      <w:r w:rsidR="00A177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v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>e většině věznic rozšířila a zkvalitnila činnost poraden drogové prevence</w:t>
      </w:r>
      <w:r w:rsidR="00A177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Zlepšila se i </w:t>
      </w:r>
      <w:r w:rsidR="002027AF">
        <w:rPr>
          <w:rFonts w:asciiTheme="minorHAnsi" w:hAnsiTheme="minorHAnsi" w:cstheme="minorHAnsi"/>
          <w:color w:val="000000" w:themeColor="text1"/>
          <w:sz w:val="24"/>
          <w:szCs w:val="24"/>
        </w:rPr>
        <w:t>spolupráce s 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mimovězeňskými poskytovateli protidrogových služeb. Přesto </w:t>
      </w:r>
      <w:r w:rsidR="008B3FE8">
        <w:rPr>
          <w:rFonts w:asciiTheme="minorHAnsi" w:hAnsiTheme="minorHAnsi" w:cstheme="minorHAnsi"/>
          <w:color w:val="000000" w:themeColor="text1"/>
          <w:sz w:val="24"/>
          <w:szCs w:val="24"/>
        </w:rPr>
        <w:t>VS</w:t>
      </w:r>
      <w:r w:rsidR="00AF445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B3F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ČR připouští, že se jí 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nepodařilo užívání návykových látek ve věznicích 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>významně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eliminovat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>. Ú</w:t>
      </w:r>
      <w:r w:rsidR="003D5722" w:rsidRPr="006A15BB">
        <w:rPr>
          <w:rFonts w:asciiTheme="minorHAnsi" w:hAnsiTheme="minorHAnsi" w:cstheme="minorHAnsi"/>
          <w:color w:val="000000" w:themeColor="text1"/>
          <w:sz w:val="24"/>
          <w:szCs w:val="24"/>
        </w:rPr>
        <w:t>spěšnost zavedených opatření je problematicky vyhodnotitelná</w:t>
      </w:r>
      <w:r w:rsidR="00F47D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D142AD">
        <w:rPr>
          <w:rFonts w:asciiTheme="minorHAnsi" w:hAnsiTheme="minorHAnsi" w:cstheme="minorHAnsi"/>
          <w:color w:val="000000" w:themeColor="text1"/>
          <w:sz w:val="24"/>
          <w:szCs w:val="24"/>
        </w:rPr>
        <w:t>důvodem je i to</w:t>
      </w:r>
      <w:r w:rsidR="003D5722">
        <w:rPr>
          <w:rFonts w:asciiTheme="minorHAnsi" w:hAnsiTheme="minorHAnsi" w:cstheme="minorHAnsi"/>
          <w:color w:val="000000" w:themeColor="text1"/>
          <w:sz w:val="24"/>
          <w:szCs w:val="24"/>
        </w:rPr>
        <w:t>, že v</w:t>
      </w:r>
      <w:r w:rsidR="003D5722" w:rsidRPr="004F392B">
        <w:rPr>
          <w:rFonts w:asciiTheme="minorHAnsi" w:hAnsiTheme="minorHAnsi" w:cstheme="minorHAnsi"/>
          <w:color w:val="000000" w:themeColor="text1"/>
          <w:sz w:val="24"/>
          <w:szCs w:val="24"/>
        </w:rPr>
        <w:t>ěznice nesledují údaje o počtu abstinujících odsouzených v průběhu výkonu trestu</w:t>
      </w:r>
      <w:r w:rsidR="002027A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FFEA9ED" w14:textId="77777777" w:rsidR="00DD24BF" w:rsidRDefault="00DD24BF" w:rsidP="00497852">
      <w:pPr>
        <w:widowControl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913477" w14:textId="5B3DDB0A" w:rsidR="005C6034" w:rsidRPr="004F392B" w:rsidRDefault="005C6034" w:rsidP="00497852">
      <w:pPr>
        <w:widowControl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F39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Zdravotnictví</w:t>
      </w:r>
    </w:p>
    <w:p w14:paraId="5496B1DD" w14:textId="52375A2D" w:rsidR="005C6034" w:rsidRPr="00A72751" w:rsidRDefault="005C6034" w:rsidP="00497852">
      <w:pPr>
        <w:widowControl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VS ČR</w:t>
      </w:r>
      <w:r w:rsidRPr="00A727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poskytuje</w:t>
      </w:r>
      <w:r w:rsidRPr="00A727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72751">
        <w:rPr>
          <w:rFonts w:asciiTheme="minorHAnsi" w:hAnsiTheme="minorHAnsi" w:cstheme="minorHAnsi"/>
          <w:sz w:val="24"/>
          <w:szCs w:val="24"/>
        </w:rPr>
        <w:t xml:space="preserve">ve </w:t>
      </w:r>
      <w:r>
        <w:rPr>
          <w:rFonts w:asciiTheme="minorHAnsi" w:hAnsiTheme="minorHAnsi" w:cstheme="minorHAnsi"/>
          <w:sz w:val="24"/>
          <w:szCs w:val="24"/>
        </w:rPr>
        <w:t>svých zdravotnických zařízeních</w:t>
      </w:r>
      <w:r w:rsidRPr="00A72751">
        <w:rPr>
          <w:rFonts w:asciiTheme="minorHAnsi" w:hAnsiTheme="minorHAnsi" w:cstheme="minorHAnsi"/>
          <w:sz w:val="24"/>
          <w:szCs w:val="24"/>
        </w:rPr>
        <w:t xml:space="preserve"> zdravotní péči, pracovnělékařské služby či ochranné léčení a ve dvou věznicích též lůžkovou péči</w:t>
      </w:r>
      <w:r w:rsidR="007B027D">
        <w:rPr>
          <w:rFonts w:asciiTheme="minorHAnsi" w:hAnsiTheme="minorHAnsi" w:cstheme="minorHAnsi"/>
          <w:sz w:val="24"/>
          <w:szCs w:val="24"/>
        </w:rPr>
        <w:t xml:space="preserve">. </w:t>
      </w:r>
      <w:r w:rsidR="007B027D" w:rsidRPr="007B027D">
        <w:rPr>
          <w:rFonts w:asciiTheme="minorHAnsi" w:hAnsiTheme="minorHAnsi" w:cstheme="minorHAnsi"/>
          <w:sz w:val="24"/>
          <w:szCs w:val="24"/>
        </w:rPr>
        <w:t>Specializované zdravotn</w:t>
      </w:r>
      <w:r w:rsidR="00481A9D">
        <w:rPr>
          <w:rFonts w:asciiTheme="minorHAnsi" w:hAnsiTheme="minorHAnsi" w:cstheme="minorHAnsi"/>
          <w:sz w:val="24"/>
          <w:szCs w:val="24"/>
        </w:rPr>
        <w:t>í</w:t>
      </w:r>
      <w:r w:rsidR="007B027D" w:rsidRPr="007B027D">
        <w:rPr>
          <w:rFonts w:asciiTheme="minorHAnsi" w:hAnsiTheme="minorHAnsi" w:cstheme="minorHAnsi"/>
          <w:sz w:val="24"/>
          <w:szCs w:val="24"/>
        </w:rPr>
        <w:t xml:space="preserve"> výkony </w:t>
      </w:r>
      <w:r w:rsidR="007B027D" w:rsidRPr="007B027D">
        <w:rPr>
          <w:rFonts w:asciiTheme="minorHAnsi" w:hAnsiTheme="minorHAnsi" w:cstheme="minorHAnsi"/>
          <w:color w:val="000000" w:themeColor="text1"/>
          <w:sz w:val="24"/>
          <w:szCs w:val="24"/>
        </w:rPr>
        <w:t>zabezpečuje u mimovězeňských poskytovatelů zdravotních služeb</w:t>
      </w:r>
      <w:r w:rsidR="007B02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432560F" w14:textId="308B40E6" w:rsidR="005C6034" w:rsidRDefault="005C6034" w:rsidP="00497852">
      <w:pPr>
        <w:pStyle w:val="Default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5073E">
        <w:rPr>
          <w:rFonts w:asciiTheme="minorHAnsi" w:hAnsiTheme="minorHAnsi" w:cstheme="minorHAnsi"/>
          <w:color w:val="000000" w:themeColor="text1"/>
        </w:rPr>
        <w:t xml:space="preserve">Součástí zdravotních služeb poskytovaných </w:t>
      </w:r>
      <w:r w:rsidR="00F47D95">
        <w:rPr>
          <w:rFonts w:asciiTheme="minorHAnsi" w:hAnsiTheme="minorHAnsi" w:cstheme="minorHAnsi"/>
          <w:color w:val="000000" w:themeColor="text1"/>
        </w:rPr>
        <w:t xml:space="preserve">Vězeňskou službou </w:t>
      </w:r>
      <w:r>
        <w:rPr>
          <w:rFonts w:asciiTheme="minorHAnsi" w:hAnsiTheme="minorHAnsi" w:cstheme="minorHAnsi"/>
          <w:color w:val="000000" w:themeColor="text1"/>
        </w:rPr>
        <w:t>ČR</w:t>
      </w:r>
      <w:r w:rsidRPr="0045073E">
        <w:rPr>
          <w:rFonts w:asciiTheme="minorHAnsi" w:hAnsiTheme="minorHAnsi" w:cstheme="minorHAnsi"/>
          <w:color w:val="000000" w:themeColor="text1"/>
        </w:rPr>
        <w:t xml:space="preserve"> jsou zejména zdravotní výkony, které nejsou hrazeny z prostředků veřejného zdravotního pojištění. </w:t>
      </w:r>
      <w:r w:rsidR="002B5024">
        <w:rPr>
          <w:rFonts w:asciiTheme="minorHAnsi" w:hAnsiTheme="minorHAnsi" w:cstheme="minorHAnsi"/>
        </w:rPr>
        <w:t>P</w:t>
      </w:r>
      <w:r w:rsidR="002B5024" w:rsidRPr="00E77FCA">
        <w:rPr>
          <w:rFonts w:asciiTheme="minorHAnsi" w:hAnsiTheme="minorHAnsi" w:cstheme="minorHAnsi"/>
        </w:rPr>
        <w:t>říjmy od zdravotních pojišťoven kr</w:t>
      </w:r>
      <w:r w:rsidR="002C759C">
        <w:rPr>
          <w:rFonts w:asciiTheme="minorHAnsi" w:hAnsiTheme="minorHAnsi" w:cstheme="minorHAnsi"/>
        </w:rPr>
        <w:t>yjí pouze necelých 20 </w:t>
      </w:r>
      <w:r w:rsidR="002B5024" w:rsidRPr="00E77FCA">
        <w:rPr>
          <w:rFonts w:asciiTheme="minorHAnsi" w:hAnsiTheme="minorHAnsi" w:cstheme="minorHAnsi"/>
        </w:rPr>
        <w:t xml:space="preserve">% celkových výdajů, které </w:t>
      </w:r>
      <w:r w:rsidR="002B5024">
        <w:rPr>
          <w:rFonts w:asciiTheme="minorHAnsi" w:hAnsiTheme="minorHAnsi" w:cstheme="minorHAnsi"/>
        </w:rPr>
        <w:t>VS ČR</w:t>
      </w:r>
      <w:r w:rsidR="002B5024" w:rsidRPr="00E77FCA">
        <w:rPr>
          <w:rFonts w:asciiTheme="minorHAnsi" w:hAnsiTheme="minorHAnsi" w:cstheme="minorHAnsi"/>
        </w:rPr>
        <w:t xml:space="preserve"> eviduje jako výdaje související se zdravotními službami.</w:t>
      </w:r>
      <w:r w:rsidR="002B5024">
        <w:rPr>
          <w:rFonts w:asciiTheme="minorHAnsi" w:hAnsiTheme="minorHAnsi" w:cstheme="minorHAnsi"/>
        </w:rPr>
        <w:t xml:space="preserve"> </w:t>
      </w:r>
      <w:r w:rsidRPr="0045073E">
        <w:rPr>
          <w:rFonts w:asciiTheme="minorHAnsi" w:hAnsiTheme="minorHAnsi" w:cstheme="minorHAnsi"/>
          <w:color w:val="000000" w:themeColor="text1"/>
        </w:rPr>
        <w:t>Jedná se především o</w:t>
      </w:r>
      <w:r w:rsidR="002B5024">
        <w:rPr>
          <w:rFonts w:asciiTheme="minorHAnsi" w:hAnsiTheme="minorHAnsi" w:cstheme="minorHAnsi"/>
          <w:color w:val="000000" w:themeColor="text1"/>
        </w:rPr>
        <w:t xml:space="preserve"> výdaje na</w:t>
      </w:r>
      <w:r w:rsidRPr="0045073E">
        <w:rPr>
          <w:rFonts w:asciiTheme="minorHAnsi" w:hAnsiTheme="minorHAnsi" w:cstheme="minorHAnsi"/>
          <w:color w:val="000000" w:themeColor="text1"/>
        </w:rPr>
        <w:t xml:space="preserve"> zdravotní prohlídky související se zařazením odsouzených do zaměstnání, na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5073E">
        <w:rPr>
          <w:rFonts w:asciiTheme="minorHAnsi" w:hAnsiTheme="minorHAnsi" w:cstheme="minorHAnsi"/>
          <w:color w:val="000000" w:themeColor="text1"/>
        </w:rPr>
        <w:t xml:space="preserve">zajištění eskort do zdravotnických zařízení a </w:t>
      </w:r>
      <w:r w:rsidR="002B5024">
        <w:rPr>
          <w:rFonts w:asciiTheme="minorHAnsi" w:hAnsiTheme="minorHAnsi" w:cstheme="minorHAnsi"/>
          <w:color w:val="000000" w:themeColor="text1"/>
        </w:rPr>
        <w:t xml:space="preserve">na </w:t>
      </w:r>
      <w:r w:rsidRPr="0045073E">
        <w:rPr>
          <w:rFonts w:asciiTheme="minorHAnsi" w:hAnsiTheme="minorHAnsi" w:cstheme="minorHAnsi"/>
          <w:color w:val="000000" w:themeColor="text1"/>
        </w:rPr>
        <w:t>zajišťování dalších potřebných bezpečnostních opatření.</w:t>
      </w:r>
    </w:p>
    <w:p w14:paraId="7B5EEE49" w14:textId="67745564" w:rsidR="005C6034" w:rsidRDefault="005C6034" w:rsidP="00497852">
      <w:pPr>
        <w:widowControl/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VS ČR</w:t>
      </w:r>
      <w:r w:rsidRPr="00D013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poskytla v roce 2017 ošetření vězněným osobám v 469 972 případech, což představuje průměrný počet 20,8 ošetření jedné vězněné osoby za rok.</w:t>
      </w:r>
      <w:r w:rsidR="007B02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337F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odle údajů</w:t>
      </w:r>
      <w:r w:rsidR="00F47D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Eurostatu </w:t>
      </w:r>
      <w:r w:rsidR="001337F2">
        <w:rPr>
          <w:rFonts w:asciiTheme="minorHAnsi" w:hAnsiTheme="minorHAnsi" w:cstheme="minorHAnsi"/>
          <w:color w:val="000000" w:themeColor="text1"/>
          <w:sz w:val="24"/>
          <w:szCs w:val="24"/>
        </w:rPr>
        <w:t>za</w:t>
      </w:r>
      <w:r w:rsidR="00A64C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3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 2017 </w:t>
      </w:r>
      <w:r w:rsidRPr="00D013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navštívil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obyvatel ČR </w:t>
      </w:r>
      <w:r w:rsidR="0013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lékaře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v </w:t>
      </w:r>
      <w:r w:rsidRPr="00D01392">
        <w:rPr>
          <w:rFonts w:asciiTheme="minorHAnsi" w:hAnsiTheme="minorHAnsi" w:cstheme="minorHAnsi"/>
          <w:color w:val="000000" w:themeColor="text1"/>
          <w:sz w:val="24"/>
          <w:szCs w:val="24"/>
        </w:rPr>
        <w:t>průměru osmkrát.</w:t>
      </w:r>
    </w:p>
    <w:p w14:paraId="502CAAB4" w14:textId="425FA391" w:rsidR="0087441B" w:rsidRPr="00A72751" w:rsidRDefault="005C6034" w:rsidP="00497852">
      <w:pPr>
        <w:widowControl/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 AP 2016 byl pro MSp stanoven úkol </w:t>
      </w:r>
      <w:r w:rsidR="002A0613">
        <w:rPr>
          <w:rFonts w:asciiTheme="minorHAnsi" w:hAnsiTheme="minorHAnsi" w:cstheme="minorHAnsi"/>
          <w:color w:val="000000" w:themeColor="text1"/>
          <w:sz w:val="24"/>
          <w:szCs w:val="24"/>
        </w:rPr>
        <w:t>zřídit ve spolupráci s ministrem zdravotnictví</w:t>
      </w:r>
      <w:r w:rsidR="008744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 </w:t>
      </w:r>
      <w:r w:rsidR="00AC3181">
        <w:rPr>
          <w:rFonts w:asciiTheme="minorHAnsi" w:hAnsiTheme="minorHAnsi" w:cstheme="minorHAnsi"/>
          <w:color w:val="000000" w:themeColor="text1"/>
          <w:sz w:val="24"/>
          <w:szCs w:val="24"/>
        </w:rPr>
        <w:t>ministrem pro lidská práva, rovné příležitosti a legislativu</w:t>
      </w:r>
      <w:r w:rsidR="002A06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pracovní skupinu</w:t>
      </w:r>
      <w:r w:rsidR="00AC3181">
        <w:rPr>
          <w:rFonts w:asciiTheme="minorHAnsi" w:hAnsiTheme="minorHAnsi" w:cstheme="minorHAnsi"/>
          <w:color w:val="000000" w:themeColor="text1"/>
          <w:sz w:val="24"/>
          <w:szCs w:val="24"/>
        </w:rPr>
        <w:t>, která</w:t>
      </w:r>
      <w:r w:rsidR="002A06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vy</w:t>
      </w:r>
      <w:r w:rsidRPr="00BC7952">
        <w:rPr>
          <w:rFonts w:asciiTheme="minorHAnsi" w:hAnsiTheme="minorHAnsi" w:cstheme="minorHAnsi"/>
          <w:color w:val="000000" w:themeColor="text1"/>
          <w:sz w:val="24"/>
          <w:szCs w:val="24"/>
        </w:rPr>
        <w:t>prac</w:t>
      </w:r>
      <w:r w:rsidR="00AC3181">
        <w:rPr>
          <w:rFonts w:asciiTheme="minorHAnsi" w:hAnsiTheme="minorHAnsi" w:cstheme="minorHAnsi"/>
          <w:color w:val="000000" w:themeColor="text1"/>
          <w:sz w:val="24"/>
          <w:szCs w:val="24"/>
        </w:rPr>
        <w:t>uje</w:t>
      </w:r>
      <w:r w:rsidRPr="00BC79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návrhy změn </w:t>
      </w:r>
      <w:r w:rsidR="00AC3181">
        <w:rPr>
          <w:rFonts w:asciiTheme="minorHAnsi" w:hAnsiTheme="minorHAnsi" w:cstheme="minorHAnsi"/>
          <w:color w:val="000000" w:themeColor="text1"/>
          <w:sz w:val="24"/>
          <w:szCs w:val="24"/>
        </w:rPr>
        <w:t>v poskytování zdravotní péče vězněným osobám</w:t>
      </w:r>
      <w:r w:rsidR="006C25F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AC31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A06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úkol</w:t>
      </w:r>
      <w:r w:rsidR="00AC31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zpracovat studii proveditelnosti. Na základě doporučení sestavené pracovní skupiny byl</w:t>
      </w:r>
      <w:r w:rsidRPr="00BC79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stávající systém vězeňského zdravotnictví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ponechán a úkol zpracovat studii proveditelnosti zrušen.</w:t>
      </w:r>
      <w:r w:rsidR="006F49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57C7">
        <w:rPr>
          <w:rFonts w:asciiTheme="minorHAnsi" w:hAnsiTheme="minorHAnsi" w:cstheme="minorHAnsi"/>
          <w:color w:val="000000" w:themeColor="text1"/>
          <w:sz w:val="24"/>
          <w:szCs w:val="24"/>
        </w:rPr>
        <w:t>Následným ú</w:t>
      </w:r>
      <w:r w:rsidR="001B2C77">
        <w:rPr>
          <w:rFonts w:asciiTheme="minorHAnsi" w:hAnsiTheme="minorHAnsi" w:cstheme="minorHAnsi"/>
          <w:color w:val="000000" w:themeColor="text1"/>
          <w:sz w:val="24"/>
          <w:szCs w:val="24"/>
        </w:rPr>
        <w:t>kol</w:t>
      </w:r>
      <w:r w:rsidR="008744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="00D11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zahrnutým do </w:t>
      </w:r>
      <w:r w:rsidR="001B2C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 </w:t>
      </w:r>
      <w:r w:rsidR="008744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2017 </w:t>
      </w:r>
      <w:r w:rsidR="00D11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bylo </w:t>
      </w:r>
      <w:r w:rsidR="008744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 VS ČR </w:t>
      </w:r>
      <w:r w:rsidR="00D11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stanoveno </w:t>
      </w:r>
      <w:r w:rsidR="0087441B">
        <w:rPr>
          <w:rFonts w:asciiTheme="minorHAnsi" w:hAnsiTheme="minorHAnsi" w:cstheme="minorHAnsi"/>
          <w:color w:val="000000" w:themeColor="text1"/>
          <w:sz w:val="24"/>
          <w:szCs w:val="24"/>
        </w:rPr>
        <w:t>vytvořit vhodné podmínky pro stabilizaci a</w:t>
      </w:r>
      <w:r w:rsidR="00D11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744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rozvoj vězeňského zdravotnictví. Přes </w:t>
      </w:r>
      <w:r w:rsidR="00D11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opatření </w:t>
      </w:r>
      <w:r w:rsidR="008744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přijatá v rámci plnění tohoto úkolu se </w:t>
      </w:r>
      <w:r w:rsidR="0087441B" w:rsidRPr="0087441B">
        <w:rPr>
          <w:rFonts w:asciiTheme="minorHAnsi" w:hAnsiTheme="minorHAnsi" w:cstheme="minorHAnsi"/>
          <w:color w:val="000000" w:themeColor="text1"/>
          <w:sz w:val="24"/>
          <w:szCs w:val="24"/>
        </w:rPr>
        <w:t>VS ČR dlouhodobě nedaří zajistit zdravotnický personál, především lékaře.</w:t>
      </w:r>
      <w:r w:rsidR="008744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4D36082" w14:textId="2D9219C9" w:rsidR="005C6034" w:rsidRDefault="005C6034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003BAA81" w14:textId="5CA63E12" w:rsidR="002027AF" w:rsidRPr="00602ADC" w:rsidRDefault="002027AF" w:rsidP="0049785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Ú</w:t>
      </w:r>
      <w:r w:rsidRPr="009E721A">
        <w:rPr>
          <w:rFonts w:asciiTheme="minorHAnsi" w:hAnsiTheme="minorHAnsi" w:cstheme="minorHAnsi"/>
          <w:sz w:val="24"/>
          <w:szCs w:val="24"/>
        </w:rPr>
        <w:t xml:space="preserve">činnost </w:t>
      </w:r>
      <w:r>
        <w:rPr>
          <w:rFonts w:asciiTheme="minorHAnsi" w:hAnsiTheme="minorHAnsi" w:cstheme="minorHAnsi"/>
          <w:sz w:val="24"/>
          <w:szCs w:val="24"/>
        </w:rPr>
        <w:t xml:space="preserve">realizovaných </w:t>
      </w:r>
      <w:r w:rsidRPr="009E721A">
        <w:rPr>
          <w:rFonts w:asciiTheme="minorHAnsi" w:hAnsiTheme="minorHAnsi" w:cstheme="minorHAnsi"/>
          <w:sz w:val="24"/>
          <w:szCs w:val="24"/>
        </w:rPr>
        <w:t>opatření</w:t>
      </w:r>
      <w:r w:rsidR="002B5024">
        <w:rPr>
          <w:rFonts w:asciiTheme="minorHAnsi" w:hAnsiTheme="minorHAnsi" w:cstheme="minorHAnsi"/>
          <w:sz w:val="24"/>
          <w:szCs w:val="24"/>
        </w:rPr>
        <w:t xml:space="preserve"> ve výše uvedených oblastech</w:t>
      </w:r>
      <w:r w:rsidRPr="009E721A">
        <w:rPr>
          <w:rFonts w:asciiTheme="minorHAnsi" w:hAnsiTheme="minorHAnsi" w:cstheme="minorHAnsi"/>
          <w:sz w:val="24"/>
          <w:szCs w:val="24"/>
        </w:rPr>
        <w:t>,</w:t>
      </w:r>
      <w:r w:rsidR="002B5024">
        <w:rPr>
          <w:rFonts w:asciiTheme="minorHAnsi" w:hAnsiTheme="minorHAnsi" w:cstheme="minorHAnsi"/>
          <w:sz w:val="24"/>
          <w:szCs w:val="24"/>
        </w:rPr>
        <w:t xml:space="preserve"> </w:t>
      </w:r>
      <w:r w:rsidRPr="009E721A">
        <w:rPr>
          <w:rFonts w:asciiTheme="minorHAnsi" w:hAnsiTheme="minorHAnsi" w:cstheme="minorHAnsi"/>
          <w:sz w:val="24"/>
          <w:szCs w:val="24"/>
        </w:rPr>
        <w:t>která by měla směřovat k</w:t>
      </w:r>
      <w:r>
        <w:rPr>
          <w:rFonts w:asciiTheme="minorHAnsi" w:hAnsiTheme="minorHAnsi" w:cstheme="minorHAnsi"/>
          <w:sz w:val="24"/>
          <w:szCs w:val="24"/>
        </w:rPr>
        <w:t> resocializaci a</w:t>
      </w:r>
      <w:r w:rsidRPr="009E721A">
        <w:rPr>
          <w:rFonts w:asciiTheme="minorHAnsi" w:hAnsiTheme="minorHAnsi" w:cstheme="minorHAnsi"/>
          <w:sz w:val="24"/>
          <w:szCs w:val="24"/>
        </w:rPr>
        <w:t xml:space="preserve"> snížení recidivy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E721A">
        <w:rPr>
          <w:rFonts w:asciiTheme="minorHAnsi" w:hAnsiTheme="minorHAnsi" w:cstheme="minorHAnsi"/>
          <w:sz w:val="24"/>
          <w:szCs w:val="24"/>
        </w:rPr>
        <w:t xml:space="preserve"> nelze vyhodnotit z důvod</w:t>
      </w:r>
      <w:r w:rsidR="00B96C47">
        <w:rPr>
          <w:rFonts w:asciiTheme="minorHAnsi" w:hAnsiTheme="minorHAnsi" w:cstheme="minorHAnsi"/>
          <w:sz w:val="24"/>
          <w:szCs w:val="24"/>
        </w:rPr>
        <w:t>u</w:t>
      </w:r>
      <w:r w:rsidRPr="009E721A">
        <w:rPr>
          <w:rFonts w:asciiTheme="minorHAnsi" w:hAnsiTheme="minorHAnsi" w:cstheme="minorHAnsi"/>
          <w:sz w:val="24"/>
          <w:szCs w:val="24"/>
        </w:rPr>
        <w:t xml:space="preserve"> nedostatk</w:t>
      </w:r>
      <w:r w:rsidR="00B96C47">
        <w:rPr>
          <w:rFonts w:asciiTheme="minorHAnsi" w:hAnsiTheme="minorHAnsi" w:cstheme="minorHAnsi"/>
          <w:sz w:val="24"/>
          <w:szCs w:val="24"/>
        </w:rPr>
        <w:t>u</w:t>
      </w:r>
      <w:r w:rsidRPr="009E721A">
        <w:rPr>
          <w:rFonts w:asciiTheme="minorHAnsi" w:hAnsiTheme="minorHAnsi" w:cstheme="minorHAnsi"/>
          <w:sz w:val="24"/>
          <w:szCs w:val="24"/>
        </w:rPr>
        <w:t xml:space="preserve"> informací o vězních po jejich propuštění.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E1292">
        <w:rPr>
          <w:rFonts w:asciiTheme="minorHAnsi" w:hAnsiTheme="minorHAnsi" w:cstheme="minorHAnsi"/>
          <w:sz w:val="24"/>
          <w:szCs w:val="24"/>
        </w:rPr>
        <w:t xml:space="preserve">Pro účely sledování a posouzení kriminální recidivy připravilo </w:t>
      </w:r>
      <w:r>
        <w:rPr>
          <w:rFonts w:asciiTheme="minorHAnsi" w:hAnsiTheme="minorHAnsi" w:cstheme="minorHAnsi"/>
          <w:sz w:val="24"/>
          <w:szCs w:val="24"/>
        </w:rPr>
        <w:t>MSp ve</w:t>
      </w:r>
      <w:r w:rsidR="00A64CD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spolupráci s VS ČR a</w:t>
      </w:r>
      <w:r w:rsidR="00A64CD9">
        <w:rPr>
          <w:rFonts w:asciiTheme="minorHAnsi" w:hAnsiTheme="minorHAnsi" w:cstheme="minorHAnsi"/>
          <w:sz w:val="24"/>
          <w:szCs w:val="24"/>
        </w:rPr>
        <w:t xml:space="preserve"> </w:t>
      </w:r>
      <w:r w:rsidRPr="00FE1292">
        <w:rPr>
          <w:rFonts w:asciiTheme="minorHAnsi" w:hAnsiTheme="minorHAnsi" w:cstheme="minorHAnsi"/>
          <w:sz w:val="24"/>
          <w:szCs w:val="24"/>
        </w:rPr>
        <w:t xml:space="preserve">Univerzitou Karlovou výzkumný projekt s názvem </w:t>
      </w:r>
      <w:r w:rsidRPr="00287AB3">
        <w:rPr>
          <w:rFonts w:asciiTheme="minorHAnsi" w:hAnsiTheme="minorHAnsi" w:cstheme="minorHAnsi"/>
          <w:i/>
          <w:sz w:val="24"/>
          <w:szCs w:val="24"/>
        </w:rPr>
        <w:t>Metodika měření efektivity zacházení s odsouzenými ve vztahu k recidivě</w:t>
      </w:r>
      <w:r w:rsidRPr="00FE1292">
        <w:rPr>
          <w:rFonts w:asciiTheme="minorHAnsi" w:hAnsiTheme="minorHAnsi" w:cstheme="minorHAnsi"/>
          <w:sz w:val="24"/>
          <w:szCs w:val="24"/>
        </w:rPr>
        <w:t>, který byl zaměřen na vytvoření propojeného systému umožňujícího rozšíření dostupnosti statistických dat o</w:t>
      </w:r>
      <w:r w:rsidR="00A64CD9">
        <w:rPr>
          <w:rFonts w:asciiTheme="minorHAnsi" w:hAnsiTheme="minorHAnsi" w:cstheme="minorHAnsi"/>
          <w:sz w:val="24"/>
          <w:szCs w:val="24"/>
        </w:rPr>
        <w:t xml:space="preserve"> </w:t>
      </w:r>
      <w:r w:rsidRPr="00FE1292">
        <w:rPr>
          <w:rFonts w:asciiTheme="minorHAnsi" w:hAnsiTheme="minorHAnsi" w:cstheme="minorHAnsi"/>
          <w:sz w:val="24"/>
          <w:szCs w:val="24"/>
        </w:rPr>
        <w:t xml:space="preserve">kriminalitě. </w:t>
      </w:r>
      <w:r>
        <w:rPr>
          <w:rFonts w:asciiTheme="minorHAnsi" w:hAnsiTheme="minorHAnsi" w:cstheme="minorHAnsi"/>
          <w:sz w:val="24"/>
          <w:szCs w:val="24"/>
        </w:rPr>
        <w:t>Návrh projektu byl přihlášen do vyhlášené soutěže</w:t>
      </w:r>
      <w:r w:rsidRPr="00602ADC">
        <w:rPr>
          <w:rFonts w:asciiTheme="minorHAnsi" w:hAnsiTheme="minorHAnsi" w:cstheme="minorHAnsi"/>
          <w:sz w:val="24"/>
          <w:szCs w:val="24"/>
        </w:rPr>
        <w:t xml:space="preserve"> ve vý</w:t>
      </w:r>
      <w:r w:rsidR="00A07581">
        <w:rPr>
          <w:rFonts w:asciiTheme="minorHAnsi" w:hAnsiTheme="minorHAnsi" w:cstheme="minorHAnsi"/>
          <w:sz w:val="24"/>
          <w:szCs w:val="24"/>
        </w:rPr>
        <w:t xml:space="preserve">zkumu, experimentálním vývoji </w:t>
      </w:r>
      <w:r w:rsidR="00183410">
        <w:rPr>
          <w:rFonts w:asciiTheme="minorHAnsi" w:hAnsiTheme="minorHAnsi" w:cstheme="minorHAnsi"/>
          <w:sz w:val="24"/>
          <w:szCs w:val="24"/>
        </w:rPr>
        <w:br/>
      </w:r>
      <w:r w:rsidR="00A07581">
        <w:rPr>
          <w:rFonts w:asciiTheme="minorHAnsi" w:hAnsiTheme="minorHAnsi" w:cstheme="minorHAnsi"/>
          <w:sz w:val="24"/>
          <w:szCs w:val="24"/>
        </w:rPr>
        <w:t>a</w:t>
      </w:r>
      <w:r w:rsidR="00183410">
        <w:rPr>
          <w:rFonts w:asciiTheme="minorHAnsi" w:hAnsiTheme="minorHAnsi" w:cstheme="minorHAnsi"/>
          <w:sz w:val="24"/>
          <w:szCs w:val="24"/>
        </w:rPr>
        <w:t xml:space="preserve"> </w:t>
      </w:r>
      <w:r w:rsidRPr="00602ADC">
        <w:rPr>
          <w:rFonts w:asciiTheme="minorHAnsi" w:hAnsiTheme="minorHAnsi" w:cstheme="minorHAnsi"/>
          <w:sz w:val="24"/>
          <w:szCs w:val="24"/>
        </w:rPr>
        <w:t>inovacích</w:t>
      </w:r>
      <w:r w:rsidRPr="00631C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Ministerstva vnitra</w:t>
      </w:r>
      <w:r w:rsidRPr="00602ADC">
        <w:rPr>
          <w:rFonts w:asciiTheme="minorHAnsi" w:hAnsiTheme="minorHAnsi" w:cstheme="minorHAnsi"/>
          <w:sz w:val="24"/>
          <w:szCs w:val="24"/>
          <w:vertAlign w:val="superscript"/>
        </w:rPr>
        <w:footnoteReference w:id="19"/>
      </w:r>
      <w:r w:rsidR="00042B1E">
        <w:rPr>
          <w:rFonts w:asciiTheme="minorHAnsi" w:hAnsiTheme="minorHAnsi" w:cstheme="minorHAnsi"/>
          <w:sz w:val="24"/>
          <w:szCs w:val="24"/>
        </w:rPr>
        <w:t>.</w:t>
      </w:r>
      <w:r w:rsidRPr="00287AB3">
        <w:rPr>
          <w:rFonts w:asciiTheme="minorHAnsi" w:hAnsiTheme="minorHAnsi" w:cstheme="minorHAnsi"/>
          <w:sz w:val="24"/>
          <w:szCs w:val="24"/>
        </w:rPr>
        <w:t xml:space="preserve"> </w:t>
      </w:r>
      <w:r w:rsidRPr="00602ADC">
        <w:rPr>
          <w:rFonts w:asciiTheme="minorHAnsi" w:hAnsiTheme="minorHAnsi" w:cstheme="minorHAnsi"/>
          <w:sz w:val="24"/>
          <w:szCs w:val="24"/>
        </w:rPr>
        <w:t xml:space="preserve">Projekt však nebyl vybrán k podpoře a </w:t>
      </w:r>
      <w:r w:rsidRPr="00DF374C">
        <w:rPr>
          <w:rFonts w:asciiTheme="minorHAnsi" w:hAnsiTheme="minorHAnsi" w:cstheme="minorHAnsi"/>
          <w:sz w:val="24"/>
          <w:szCs w:val="24"/>
        </w:rPr>
        <w:t>MSp analyzuje možnosti financování projektu z jiných zdrojů</w:t>
      </w:r>
      <w:r w:rsidRPr="00602ADC">
        <w:rPr>
          <w:rFonts w:asciiTheme="minorHAnsi" w:hAnsiTheme="minorHAnsi" w:cstheme="minorHAnsi"/>
          <w:sz w:val="24"/>
          <w:szCs w:val="24"/>
        </w:rPr>
        <w:t>.</w:t>
      </w:r>
    </w:p>
    <w:p w14:paraId="0A124BC5" w14:textId="77777777" w:rsidR="00C973D1" w:rsidRDefault="00C973D1" w:rsidP="00497852">
      <w:pPr>
        <w:widowControl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A0E6E66" w14:textId="77777777" w:rsidR="009F2225" w:rsidRDefault="009F2225" w:rsidP="00497852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14:paraId="284CC32F" w14:textId="55BC0B68" w:rsidR="009F2225" w:rsidRPr="00A35817" w:rsidRDefault="009F2225" w:rsidP="00497852">
      <w:pPr>
        <w:widowControl/>
        <w:spacing w:before="1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5817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Seznam zkratek</w:t>
      </w:r>
    </w:p>
    <w:p w14:paraId="23E8AEBA" w14:textId="77777777" w:rsidR="009F2225" w:rsidRPr="00A35817" w:rsidRDefault="009F2225" w:rsidP="00497852">
      <w:pPr>
        <w:widowControl/>
        <w:autoSpaceDE/>
        <w:autoSpaceDN/>
        <w:adjustRightInd/>
        <w:ind w:left="2552" w:hanging="2552"/>
        <w:rPr>
          <w:rFonts w:asciiTheme="minorHAnsi" w:hAnsiTheme="minorHAnsi" w:cstheme="minorHAnsi"/>
          <w:b/>
          <w:sz w:val="24"/>
          <w:szCs w:val="24"/>
        </w:rPr>
      </w:pPr>
    </w:p>
    <w:p w14:paraId="3083E871" w14:textId="3419FD63" w:rsidR="009F2225" w:rsidRDefault="009F2225" w:rsidP="00287AB3">
      <w:pPr>
        <w:widowControl/>
        <w:autoSpaceDE/>
        <w:autoSpaceDN/>
        <w:adjustRightInd/>
        <w:spacing w:after="100"/>
        <w:ind w:left="2552" w:hanging="2552"/>
        <w:rPr>
          <w:rFonts w:asciiTheme="minorHAnsi" w:hAnsiTheme="minorHAnsi" w:cs="Calibri"/>
          <w:color w:val="000000"/>
          <w:sz w:val="24"/>
          <w:szCs w:val="24"/>
        </w:rPr>
      </w:pPr>
      <w:r w:rsidRPr="00F21452">
        <w:rPr>
          <w:rFonts w:asciiTheme="minorHAnsi" w:hAnsiTheme="minorHAnsi" w:cs="Calibri"/>
          <w:color w:val="000000"/>
          <w:sz w:val="24"/>
          <w:szCs w:val="24"/>
        </w:rPr>
        <w:t>AP</w:t>
      </w:r>
      <w:r w:rsidRPr="00F21452">
        <w:rPr>
          <w:rFonts w:asciiTheme="minorHAnsi" w:hAnsiTheme="minorHAnsi" w:cs="Calibri"/>
          <w:color w:val="000000"/>
          <w:sz w:val="24"/>
          <w:szCs w:val="24"/>
        </w:rPr>
        <w:tab/>
      </w:r>
      <w:r w:rsidR="00467F37">
        <w:rPr>
          <w:rFonts w:asciiTheme="minorHAnsi" w:hAnsiTheme="minorHAnsi" w:cs="Calibri"/>
          <w:color w:val="000000"/>
          <w:sz w:val="24"/>
          <w:szCs w:val="24"/>
        </w:rPr>
        <w:t>a</w:t>
      </w:r>
      <w:r w:rsidRPr="00F21452">
        <w:rPr>
          <w:rFonts w:asciiTheme="minorHAnsi" w:hAnsiTheme="minorHAnsi" w:cs="Calibri"/>
          <w:color w:val="000000"/>
          <w:sz w:val="24"/>
          <w:szCs w:val="24"/>
        </w:rPr>
        <w:t>kční plány</w:t>
      </w:r>
    </w:p>
    <w:p w14:paraId="4F790CD8" w14:textId="30D86B80" w:rsidR="009F2225" w:rsidRPr="00287AB3" w:rsidRDefault="009F2225" w:rsidP="00287AB3">
      <w:pPr>
        <w:widowControl/>
        <w:autoSpaceDE/>
        <w:autoSpaceDN/>
        <w:adjustRightInd/>
        <w:spacing w:after="100"/>
        <w:ind w:left="2552" w:hanging="2552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CPT</w:t>
      </w:r>
      <w:r>
        <w:rPr>
          <w:rFonts w:asciiTheme="minorHAnsi" w:hAnsiTheme="minorHAnsi" w:cs="Calibri"/>
          <w:color w:val="000000"/>
          <w:sz w:val="24"/>
          <w:szCs w:val="24"/>
        </w:rPr>
        <w:tab/>
      </w:r>
      <w:r w:rsidRPr="00287AB3">
        <w:rPr>
          <w:rFonts w:asciiTheme="minorHAnsi" w:hAnsiTheme="minorHAnsi" w:cs="Calibri"/>
          <w:sz w:val="24"/>
          <w:szCs w:val="24"/>
        </w:rPr>
        <w:t>European Committee for the Prevention of Torture and Inhuman or Degrading Treatment or Punishment</w:t>
      </w:r>
      <w:r w:rsidR="00467F37" w:rsidRPr="00287AB3">
        <w:rPr>
          <w:rFonts w:asciiTheme="minorHAnsi" w:hAnsiTheme="minorHAnsi" w:cs="Calibri"/>
          <w:sz w:val="24"/>
          <w:szCs w:val="24"/>
        </w:rPr>
        <w:t xml:space="preserve"> </w:t>
      </w:r>
      <w:r w:rsidR="006254BB">
        <w:rPr>
          <w:rFonts w:asciiTheme="minorHAnsi" w:hAnsiTheme="minorHAnsi" w:cs="Calibri"/>
          <w:sz w:val="24"/>
          <w:szCs w:val="24"/>
        </w:rPr>
        <w:br/>
      </w:r>
      <w:r w:rsidR="00467F37" w:rsidRPr="00287AB3">
        <w:rPr>
          <w:rFonts w:asciiTheme="minorHAnsi" w:hAnsiTheme="minorHAnsi" w:cs="Calibri"/>
          <w:sz w:val="24"/>
          <w:szCs w:val="24"/>
        </w:rPr>
        <w:t>(Evropský výbor pro zabránění mučení a nelidskému či ponižujícímu zacházení nebo trestání)</w:t>
      </w:r>
    </w:p>
    <w:p w14:paraId="71EE937B" w14:textId="79AA9425" w:rsidR="009F2225" w:rsidRDefault="009F2225" w:rsidP="00287AB3">
      <w:pPr>
        <w:widowControl/>
        <w:spacing w:after="100"/>
        <w:ind w:left="2552" w:hanging="2552"/>
        <w:rPr>
          <w:rFonts w:ascii="Calibri" w:hAnsi="Calibri" w:cs="Calibri"/>
          <w:sz w:val="24"/>
          <w:szCs w:val="24"/>
        </w:rPr>
      </w:pPr>
      <w:r w:rsidRPr="00A35817">
        <w:rPr>
          <w:rFonts w:ascii="Calibri" w:hAnsi="Calibri" w:cs="Calibri"/>
          <w:sz w:val="24"/>
          <w:szCs w:val="24"/>
        </w:rPr>
        <w:t>ČR</w:t>
      </w:r>
      <w:r w:rsidRPr="00A35817">
        <w:rPr>
          <w:rFonts w:ascii="Calibri" w:hAnsi="Calibri" w:cs="Calibri"/>
          <w:sz w:val="24"/>
          <w:szCs w:val="24"/>
        </w:rPr>
        <w:tab/>
        <w:t>Česká republika</w:t>
      </w:r>
    </w:p>
    <w:p w14:paraId="2002429C" w14:textId="2556F6C1" w:rsidR="00572E67" w:rsidRPr="00A35817" w:rsidRDefault="00572E67" w:rsidP="00287AB3">
      <w:pPr>
        <w:widowControl/>
        <w:spacing w:after="100"/>
        <w:ind w:left="2552" w:hanging="25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ČSÚ</w:t>
      </w:r>
      <w:r>
        <w:rPr>
          <w:rFonts w:ascii="Calibri" w:hAnsi="Calibri" w:cs="Calibri"/>
          <w:sz w:val="24"/>
          <w:szCs w:val="24"/>
        </w:rPr>
        <w:tab/>
      </w:r>
      <w:r w:rsidR="00467F37">
        <w:rPr>
          <w:rFonts w:ascii="Calibri" w:hAnsi="Calibri" w:cs="Calibri"/>
          <w:sz w:val="24"/>
          <w:szCs w:val="24"/>
        </w:rPr>
        <w:t>Český statistický úřad</w:t>
      </w:r>
    </w:p>
    <w:p w14:paraId="689CCDCB" w14:textId="641A973A" w:rsidR="009F2225" w:rsidRPr="00A35817" w:rsidRDefault="009F2225" w:rsidP="00287AB3">
      <w:pPr>
        <w:widowControl/>
        <w:autoSpaceDE/>
        <w:autoSpaceDN/>
        <w:adjustRightInd/>
        <w:spacing w:after="100"/>
        <w:ind w:left="2552" w:hanging="2552"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color w:val="000000"/>
          <w:sz w:val="24"/>
          <w:szCs w:val="24"/>
        </w:rPr>
        <w:t>DPH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ab/>
      </w:r>
      <w:r w:rsidR="00467F37">
        <w:rPr>
          <w:rFonts w:asciiTheme="minorHAnsi" w:hAnsiTheme="minorHAnsi" w:cs="Calibri"/>
          <w:color w:val="000000"/>
          <w:sz w:val="24"/>
          <w:szCs w:val="24"/>
        </w:rPr>
        <w:t>d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>aň z přidané hodnoty</w:t>
      </w:r>
    </w:p>
    <w:p w14:paraId="408C46C9" w14:textId="00E59120" w:rsidR="009F2225" w:rsidRDefault="009F2225" w:rsidP="00287AB3">
      <w:pPr>
        <w:widowControl/>
        <w:spacing w:after="100"/>
        <w:ind w:left="2552" w:hanging="25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FKSP</w:t>
      </w:r>
      <w:r>
        <w:rPr>
          <w:rFonts w:ascii="Calibri" w:hAnsi="Calibri" w:cs="Calibri"/>
          <w:sz w:val="24"/>
          <w:szCs w:val="24"/>
        </w:rPr>
        <w:tab/>
      </w:r>
      <w:r w:rsidR="00467F37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>ond kulturních a sociálních potřeb</w:t>
      </w:r>
    </w:p>
    <w:p w14:paraId="60845506" w14:textId="554C2BD7" w:rsidR="009F2225" w:rsidRDefault="009F2225" w:rsidP="00287AB3">
      <w:pPr>
        <w:widowControl/>
        <w:spacing w:after="100"/>
        <w:ind w:left="2552" w:hanging="25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GŘ</w:t>
      </w:r>
      <w:r>
        <w:rPr>
          <w:rFonts w:ascii="Calibri" w:hAnsi="Calibri" w:cs="Calibri"/>
          <w:sz w:val="24"/>
          <w:szCs w:val="24"/>
        </w:rPr>
        <w:tab/>
        <w:t>Generální ředitelství</w:t>
      </w:r>
      <w:r w:rsidR="00925E4A">
        <w:rPr>
          <w:rFonts w:ascii="Calibri" w:hAnsi="Calibri" w:cs="Calibri"/>
          <w:sz w:val="24"/>
          <w:szCs w:val="24"/>
        </w:rPr>
        <w:t xml:space="preserve"> Vězeňské služby České republiky</w:t>
      </w:r>
    </w:p>
    <w:p w14:paraId="4FBEB65F" w14:textId="65B1D439" w:rsidR="009F2225" w:rsidRPr="00A35817" w:rsidRDefault="009F2225" w:rsidP="00287AB3">
      <w:pPr>
        <w:widowControl/>
        <w:spacing w:after="100"/>
        <w:ind w:left="2552" w:hanging="25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HDP</w:t>
      </w:r>
      <w:r>
        <w:rPr>
          <w:rFonts w:ascii="Calibri" w:hAnsi="Calibri" w:cs="Calibri"/>
          <w:sz w:val="24"/>
          <w:szCs w:val="24"/>
        </w:rPr>
        <w:tab/>
      </w:r>
      <w:r w:rsidR="00467F37"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>rubý domácí produkt</w:t>
      </w:r>
    </w:p>
    <w:p w14:paraId="626749A1" w14:textId="722786C6" w:rsidR="009F2225" w:rsidRDefault="009F2225" w:rsidP="00287AB3">
      <w:pPr>
        <w:widowControl/>
        <w:spacing w:after="100"/>
        <w:ind w:left="2552" w:hanging="2552"/>
        <w:rPr>
          <w:rFonts w:ascii="Calibri" w:hAnsi="Calibri" w:cs="Calibri"/>
          <w:sz w:val="24"/>
          <w:szCs w:val="24"/>
        </w:rPr>
      </w:pPr>
      <w:r w:rsidRPr="00A35817">
        <w:rPr>
          <w:rFonts w:ascii="Calibri" w:hAnsi="Calibri" w:cs="Calibri"/>
          <w:sz w:val="24"/>
          <w:szCs w:val="24"/>
        </w:rPr>
        <w:t>KA</w:t>
      </w:r>
      <w:r w:rsidRPr="00A35817">
        <w:rPr>
          <w:rFonts w:ascii="Calibri" w:hAnsi="Calibri" w:cs="Calibri"/>
          <w:sz w:val="24"/>
          <w:szCs w:val="24"/>
        </w:rPr>
        <w:tab/>
      </w:r>
      <w:r w:rsidR="00467F37">
        <w:rPr>
          <w:rFonts w:ascii="Calibri" w:hAnsi="Calibri" w:cs="Calibri"/>
          <w:sz w:val="24"/>
          <w:szCs w:val="24"/>
        </w:rPr>
        <w:t>k</w:t>
      </w:r>
      <w:r w:rsidRPr="00A35817">
        <w:rPr>
          <w:rFonts w:ascii="Calibri" w:hAnsi="Calibri" w:cs="Calibri"/>
          <w:sz w:val="24"/>
          <w:szCs w:val="24"/>
        </w:rPr>
        <w:t>ontrolní akce</w:t>
      </w:r>
      <w:r w:rsidR="00467F37">
        <w:rPr>
          <w:rFonts w:ascii="Calibri" w:hAnsi="Calibri" w:cs="Calibri"/>
          <w:sz w:val="24"/>
          <w:szCs w:val="24"/>
        </w:rPr>
        <w:t xml:space="preserve"> Nejvyššího kontrolního úřadu</w:t>
      </w:r>
    </w:p>
    <w:p w14:paraId="2F808DA4" w14:textId="77777777" w:rsidR="009F2225" w:rsidRDefault="009F2225" w:rsidP="00287AB3">
      <w:pPr>
        <w:widowControl/>
        <w:spacing w:after="100"/>
        <w:ind w:left="2552" w:hanging="25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Koncepce 2015</w:t>
      </w:r>
      <w:r>
        <w:rPr>
          <w:rFonts w:ascii="Calibri" w:hAnsi="Calibri" w:cs="Calibri"/>
          <w:sz w:val="24"/>
          <w:szCs w:val="24"/>
        </w:rPr>
        <w:tab/>
      </w:r>
      <w:r w:rsidRPr="00287AB3">
        <w:rPr>
          <w:rFonts w:asciiTheme="minorHAnsi" w:hAnsiTheme="minorHAnsi" w:cstheme="minorHAnsi"/>
          <w:i/>
          <w:sz w:val="24"/>
          <w:szCs w:val="24"/>
        </w:rPr>
        <w:t>Koncepce rozvoje českého vězeňství do roku 2015</w:t>
      </w:r>
    </w:p>
    <w:p w14:paraId="71C6927C" w14:textId="77777777" w:rsidR="009F2225" w:rsidRPr="00467F37" w:rsidRDefault="009F2225" w:rsidP="00287AB3">
      <w:pPr>
        <w:widowControl/>
        <w:spacing w:after="100"/>
        <w:ind w:left="2552" w:hanging="2552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Koncepce 2025</w:t>
      </w:r>
      <w:r>
        <w:rPr>
          <w:rFonts w:ascii="Calibri" w:hAnsi="Calibri" w:cs="Calibri"/>
          <w:sz w:val="24"/>
          <w:szCs w:val="24"/>
        </w:rPr>
        <w:tab/>
      </w:r>
      <w:r w:rsidRPr="00287AB3">
        <w:rPr>
          <w:rFonts w:asciiTheme="minorHAnsi" w:hAnsiTheme="minorHAnsi" w:cstheme="minorHAnsi"/>
          <w:i/>
          <w:sz w:val="24"/>
          <w:szCs w:val="24"/>
        </w:rPr>
        <w:t>Koncepce vězeňství do roku 2025</w:t>
      </w:r>
    </w:p>
    <w:p w14:paraId="69EE8AF1" w14:textId="77777777" w:rsidR="009F2225" w:rsidRPr="00A35817" w:rsidRDefault="009F2225" w:rsidP="00287AB3">
      <w:pPr>
        <w:widowControl/>
        <w:spacing w:after="100"/>
        <w:ind w:left="2552" w:hanging="2552"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color w:val="000000"/>
          <w:sz w:val="24"/>
          <w:szCs w:val="24"/>
        </w:rPr>
        <w:t>MSp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ab/>
        <w:t>Ministerstvo spravedlnosti</w:t>
      </w:r>
    </w:p>
    <w:p w14:paraId="7F552EF7" w14:textId="77777777" w:rsidR="009F2225" w:rsidRDefault="009F2225" w:rsidP="00287AB3">
      <w:pPr>
        <w:widowControl/>
        <w:spacing w:after="100"/>
        <w:ind w:left="2552" w:hanging="2552"/>
        <w:rPr>
          <w:rFonts w:asciiTheme="minorHAnsi" w:hAnsiTheme="minorHAnsi" w:cs="Calibri"/>
          <w:color w:val="000000"/>
          <w:sz w:val="24"/>
          <w:szCs w:val="24"/>
        </w:rPr>
      </w:pPr>
      <w:r w:rsidRPr="00A35817">
        <w:rPr>
          <w:rFonts w:asciiTheme="minorHAnsi" w:hAnsiTheme="minorHAnsi" w:cs="Calibri"/>
          <w:color w:val="000000"/>
          <w:sz w:val="24"/>
          <w:szCs w:val="24"/>
        </w:rPr>
        <w:t>NKÚ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ab/>
        <w:t>Nejvyšší kontrolní úřad</w:t>
      </w:r>
    </w:p>
    <w:p w14:paraId="01F7BDC2" w14:textId="77777777" w:rsidR="009F2225" w:rsidRDefault="009F2225" w:rsidP="00287AB3">
      <w:pPr>
        <w:widowControl/>
        <w:spacing w:after="100"/>
        <w:ind w:left="2552" w:hanging="2552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SHČ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Středisko hospodářské činnosti</w:t>
      </w:r>
    </w:p>
    <w:p w14:paraId="1837710E" w14:textId="7FCE5BF4" w:rsidR="009F2225" w:rsidRPr="00A35817" w:rsidRDefault="009F2225" w:rsidP="00287AB3">
      <w:pPr>
        <w:widowControl/>
        <w:spacing w:after="100"/>
        <w:ind w:left="2552" w:hanging="2552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SPACE</w:t>
      </w:r>
      <w:r>
        <w:rPr>
          <w:rFonts w:asciiTheme="minorHAnsi" w:hAnsiTheme="minorHAnsi" w:cs="Calibri"/>
          <w:color w:val="000000"/>
          <w:sz w:val="24"/>
          <w:szCs w:val="24"/>
        </w:rPr>
        <w:tab/>
      </w:r>
      <w:r w:rsidRPr="00287AB3">
        <w:rPr>
          <w:rFonts w:asciiTheme="minorHAnsi" w:hAnsiTheme="minorHAnsi" w:cs="Calibri"/>
          <w:i/>
          <w:sz w:val="24"/>
          <w:szCs w:val="24"/>
        </w:rPr>
        <w:t>Statistiques Pénales Annuelles du Conseil de l’Europe</w:t>
      </w:r>
      <w:r w:rsidRPr="00A64CD9">
        <w:rPr>
          <w:rFonts w:asciiTheme="minorHAnsi" w:hAnsiTheme="minorHAnsi" w:cs="Calibri"/>
          <w:sz w:val="24"/>
          <w:szCs w:val="24"/>
        </w:rPr>
        <w:t xml:space="preserve"> </w:t>
      </w:r>
      <w:r w:rsidR="006254BB">
        <w:rPr>
          <w:rFonts w:asciiTheme="minorHAnsi" w:hAnsiTheme="minorHAnsi" w:cs="Calibri"/>
          <w:sz w:val="24"/>
          <w:szCs w:val="24"/>
        </w:rPr>
        <w:br/>
        <w:t>(roční trestní statistika Rady Evropy)</w:t>
      </w:r>
    </w:p>
    <w:p w14:paraId="21F8D4B2" w14:textId="77777777" w:rsidR="009F2225" w:rsidRDefault="009F2225" w:rsidP="00287AB3">
      <w:pPr>
        <w:widowControl/>
        <w:spacing w:after="100"/>
        <w:ind w:left="2552" w:hanging="2552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VS ČR</w:t>
      </w:r>
      <w:r w:rsidRPr="00A35817">
        <w:rPr>
          <w:rFonts w:asciiTheme="minorHAnsi" w:hAnsiTheme="minorHAnsi" w:cs="Calibri"/>
          <w:color w:val="000000"/>
          <w:sz w:val="24"/>
          <w:szCs w:val="24"/>
        </w:rPr>
        <w:tab/>
      </w:r>
      <w:r>
        <w:rPr>
          <w:rFonts w:asciiTheme="minorHAnsi" w:hAnsiTheme="minorHAnsi" w:cs="Calibri"/>
          <w:color w:val="000000"/>
          <w:sz w:val="24"/>
          <w:szCs w:val="24"/>
        </w:rPr>
        <w:t>Vězeňská služba České republiky</w:t>
      </w:r>
    </w:p>
    <w:p w14:paraId="62047A64" w14:textId="716A5961" w:rsidR="009F2225" w:rsidRDefault="009F2225" w:rsidP="00287AB3">
      <w:pPr>
        <w:widowControl/>
        <w:spacing w:after="100"/>
        <w:ind w:left="2552" w:hanging="2552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VTOS</w:t>
      </w:r>
      <w:r>
        <w:rPr>
          <w:rFonts w:asciiTheme="minorHAnsi" w:hAnsiTheme="minorHAnsi" w:cs="Calibri"/>
          <w:color w:val="000000"/>
          <w:sz w:val="24"/>
          <w:szCs w:val="24"/>
        </w:rPr>
        <w:tab/>
      </w:r>
      <w:r w:rsidR="00467F3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v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ýkon</w:t>
      </w:r>
      <w:r w:rsidRPr="00A3581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 xml:space="preserve"> trestu odnětí svobody</w:t>
      </w:r>
    </w:p>
    <w:p w14:paraId="60D84457" w14:textId="17F3DD65" w:rsidR="009F2225" w:rsidRDefault="009F2225" w:rsidP="00287AB3">
      <w:pPr>
        <w:widowControl/>
        <w:tabs>
          <w:tab w:val="left" w:pos="3119"/>
        </w:tabs>
        <w:spacing w:after="100"/>
        <w:ind w:left="2552" w:hanging="2552"/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</w:pPr>
      <w:r>
        <w:rPr>
          <w:rFonts w:asciiTheme="minorHAnsi" w:hAnsiTheme="minorHAnsi" w:cs="Calibri"/>
          <w:color w:val="000000"/>
          <w:sz w:val="24"/>
          <w:szCs w:val="24"/>
        </w:rPr>
        <w:t>VV</w:t>
      </w:r>
      <w:r>
        <w:rPr>
          <w:rFonts w:asciiTheme="minorHAnsi" w:hAnsiTheme="minorHAnsi" w:cs="Calibri"/>
          <w:color w:val="000000"/>
          <w:sz w:val="24"/>
          <w:szCs w:val="24"/>
        </w:rPr>
        <w:tab/>
      </w:r>
      <w:r w:rsidR="00467F3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v</w:t>
      </w:r>
      <w:r w:rsidRPr="00A35817">
        <w:rPr>
          <w:rFonts w:ascii="Calibri" w:eastAsia="Times New Roman" w:hAnsi="Calibri" w:cs="Calibri"/>
          <w:color w:val="000000" w:themeColor="text1"/>
          <w:sz w:val="24"/>
          <w:szCs w:val="24"/>
          <w:lang w:eastAsia="en-US"/>
        </w:rPr>
        <w:t>ýkon vazby</w:t>
      </w:r>
    </w:p>
    <w:p w14:paraId="3146F0B1" w14:textId="77777777" w:rsidR="008053B8" w:rsidRDefault="008053B8" w:rsidP="00497852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14:paraId="0F08E5D1" w14:textId="77777777" w:rsidR="008053B8" w:rsidRPr="00287AB3" w:rsidRDefault="008053B8" w:rsidP="00497852">
      <w:pPr>
        <w:pStyle w:val="Zhlav"/>
        <w:widowControl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87AB3">
        <w:rPr>
          <w:rFonts w:asciiTheme="minorHAnsi" w:hAnsiTheme="minorHAnsi" w:cstheme="minorHAnsi"/>
          <w:b/>
          <w:sz w:val="24"/>
          <w:szCs w:val="24"/>
        </w:rPr>
        <w:lastRenderedPageBreak/>
        <w:t>Příloha č. 1</w:t>
      </w:r>
    </w:p>
    <w:p w14:paraId="6976993A" w14:textId="77777777" w:rsidR="008053B8" w:rsidRDefault="008053B8" w:rsidP="00497852">
      <w:pPr>
        <w:widowControl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675923B" w14:textId="11FE7260" w:rsidR="00896ADD" w:rsidRPr="00FB3DE7" w:rsidRDefault="00896ADD" w:rsidP="00497852">
      <w:pPr>
        <w:widowControl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B3D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Mezinárodní s</w:t>
      </w:r>
      <w:r w:rsidR="00E303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rovnání</w:t>
      </w:r>
    </w:p>
    <w:p w14:paraId="35FEF19C" w14:textId="2BC94B67" w:rsidR="00C46BED" w:rsidRPr="000C078D" w:rsidRDefault="007B027D" w:rsidP="00497852">
      <w:pPr>
        <w:widowControl/>
        <w:spacing w:before="120" w:after="120"/>
        <w:jc w:val="both"/>
        <w:rPr>
          <w:rFonts w:ascii="Calibri" w:eastAsia="Times New Roman" w:hAnsi="Calibri" w:cs="Calibri"/>
          <w:strike/>
          <w:sz w:val="24"/>
          <w:szCs w:val="24"/>
          <w:lang w:eastAsia="en-US"/>
        </w:rPr>
      </w:pPr>
      <w:r w:rsidRPr="007B027D">
        <w:rPr>
          <w:rFonts w:ascii="Calibri" w:eastAsia="Times New Roman" w:hAnsi="Calibri"/>
          <w:sz w:val="24"/>
          <w:szCs w:val="24"/>
        </w:rPr>
        <w:t>VS ČR</w:t>
      </w:r>
      <w:r w:rsidR="00B04BE0">
        <w:rPr>
          <w:rFonts w:ascii="Calibri" w:eastAsia="Times New Roman" w:hAnsi="Calibri"/>
          <w:sz w:val="24"/>
          <w:szCs w:val="24"/>
        </w:rPr>
        <w:t xml:space="preserve"> se</w:t>
      </w:r>
      <w:r w:rsidR="00FB3DE7">
        <w:rPr>
          <w:rFonts w:ascii="Calibri" w:eastAsia="Times New Roman" w:hAnsi="Calibri"/>
          <w:sz w:val="24"/>
          <w:szCs w:val="24"/>
        </w:rPr>
        <w:t xml:space="preserve"> na základě členství v </w:t>
      </w:r>
      <w:r w:rsidR="00C46BED" w:rsidRPr="007B027D">
        <w:rPr>
          <w:rFonts w:ascii="Calibri" w:eastAsia="Times New Roman" w:hAnsi="Calibri"/>
          <w:sz w:val="24"/>
          <w:szCs w:val="24"/>
        </w:rPr>
        <w:t>m</w:t>
      </w:r>
      <w:r w:rsidRPr="007B027D">
        <w:rPr>
          <w:rFonts w:ascii="Calibri" w:eastAsia="Times New Roman" w:hAnsi="Calibri"/>
          <w:sz w:val="24"/>
          <w:szCs w:val="24"/>
        </w:rPr>
        <w:t>ezinárodních organizací</w:t>
      </w:r>
      <w:r w:rsidR="00FB3DE7">
        <w:rPr>
          <w:rFonts w:ascii="Calibri" w:eastAsia="Times New Roman" w:hAnsi="Calibri"/>
          <w:sz w:val="24"/>
          <w:szCs w:val="24"/>
        </w:rPr>
        <w:t>ch</w:t>
      </w:r>
      <w:r w:rsidRPr="007B027D">
        <w:rPr>
          <w:rFonts w:ascii="Calibri" w:eastAsia="Times New Roman" w:hAnsi="Calibri"/>
          <w:sz w:val="24"/>
          <w:szCs w:val="24"/>
        </w:rPr>
        <w:t xml:space="preserve"> </w:t>
      </w:r>
      <w:r w:rsidR="00B04BE0">
        <w:rPr>
          <w:rFonts w:ascii="Calibri" w:eastAsia="Times New Roman" w:hAnsi="Calibri"/>
          <w:sz w:val="24"/>
          <w:szCs w:val="24"/>
        </w:rPr>
        <w:t>účastní</w:t>
      </w:r>
      <w:r w:rsidR="00FB3DE7">
        <w:rPr>
          <w:rFonts w:ascii="Calibri" w:eastAsia="Times New Roman" w:hAnsi="Calibri"/>
          <w:sz w:val="24"/>
          <w:szCs w:val="24"/>
        </w:rPr>
        <w:t xml:space="preserve"> </w:t>
      </w:r>
      <w:r w:rsidR="00B04BE0">
        <w:rPr>
          <w:rFonts w:ascii="Calibri" w:eastAsia="Times New Roman" w:hAnsi="Calibri"/>
          <w:sz w:val="24"/>
          <w:szCs w:val="24"/>
        </w:rPr>
        <w:t>výměny</w:t>
      </w:r>
      <w:r w:rsidR="00C46BED" w:rsidRPr="007B027D">
        <w:rPr>
          <w:rFonts w:ascii="Calibri" w:eastAsia="Times New Roman" w:hAnsi="Calibri"/>
          <w:sz w:val="24"/>
          <w:szCs w:val="24"/>
        </w:rPr>
        <w:t xml:space="preserve"> zkušenost</w:t>
      </w:r>
      <w:r w:rsidR="00B04BE0">
        <w:rPr>
          <w:rFonts w:ascii="Calibri" w:eastAsia="Times New Roman" w:hAnsi="Calibri"/>
          <w:sz w:val="24"/>
          <w:szCs w:val="24"/>
        </w:rPr>
        <w:t>í</w:t>
      </w:r>
      <w:r w:rsidR="0091018C">
        <w:rPr>
          <w:rFonts w:ascii="Calibri" w:eastAsia="Times New Roman" w:hAnsi="Calibri"/>
          <w:sz w:val="24"/>
          <w:szCs w:val="24"/>
        </w:rPr>
        <w:t xml:space="preserve">, </w:t>
      </w:r>
      <w:r w:rsidR="00C221F1">
        <w:rPr>
          <w:rFonts w:ascii="Calibri" w:eastAsia="Times New Roman" w:hAnsi="Calibri"/>
          <w:sz w:val="24"/>
          <w:szCs w:val="24"/>
        </w:rPr>
        <w:t>díky níž získává informace od</w:t>
      </w:r>
      <w:r w:rsidR="0091018C">
        <w:rPr>
          <w:rFonts w:ascii="Calibri" w:eastAsia="Times New Roman" w:hAnsi="Calibri"/>
          <w:sz w:val="24"/>
          <w:szCs w:val="24"/>
        </w:rPr>
        <w:t xml:space="preserve"> </w:t>
      </w:r>
      <w:r w:rsidR="00C46BED" w:rsidRPr="007B027D">
        <w:rPr>
          <w:rFonts w:ascii="Calibri" w:eastAsia="Times New Roman" w:hAnsi="Calibri"/>
          <w:sz w:val="24"/>
          <w:szCs w:val="24"/>
        </w:rPr>
        <w:t>ostatní</w:t>
      </w:r>
      <w:r w:rsidR="00C221F1">
        <w:rPr>
          <w:rFonts w:ascii="Calibri" w:eastAsia="Times New Roman" w:hAnsi="Calibri"/>
          <w:sz w:val="24"/>
          <w:szCs w:val="24"/>
        </w:rPr>
        <w:t>ch</w:t>
      </w:r>
      <w:r w:rsidR="00C46BED" w:rsidRPr="00C46BED">
        <w:rPr>
          <w:rFonts w:ascii="Calibri" w:eastAsia="Times New Roman" w:hAnsi="Calibri"/>
          <w:sz w:val="24"/>
          <w:szCs w:val="24"/>
        </w:rPr>
        <w:t xml:space="preserve"> zem</w:t>
      </w:r>
      <w:r w:rsidR="00C221F1">
        <w:rPr>
          <w:rFonts w:ascii="Calibri" w:eastAsia="Times New Roman" w:hAnsi="Calibri"/>
          <w:sz w:val="24"/>
          <w:szCs w:val="24"/>
        </w:rPr>
        <w:t>í</w:t>
      </w:r>
      <w:r w:rsidR="00C46BED" w:rsidRPr="00C46BED">
        <w:rPr>
          <w:rFonts w:ascii="Calibri" w:eastAsia="Times New Roman" w:hAnsi="Calibri"/>
          <w:sz w:val="24"/>
          <w:szCs w:val="24"/>
        </w:rPr>
        <w:t xml:space="preserve"> Evropské unie</w:t>
      </w:r>
      <w:r w:rsidR="00565BF3">
        <w:rPr>
          <w:rFonts w:ascii="Calibri" w:eastAsia="Times New Roman" w:hAnsi="Calibri"/>
          <w:sz w:val="24"/>
          <w:szCs w:val="24"/>
        </w:rPr>
        <w:t xml:space="preserve">. </w:t>
      </w:r>
      <w:r w:rsidR="00C46BED" w:rsidRPr="00C46BED">
        <w:rPr>
          <w:rFonts w:ascii="Calibri" w:eastAsia="Times New Roman" w:hAnsi="Calibri" w:cs="Calibri"/>
          <w:sz w:val="24"/>
          <w:szCs w:val="24"/>
        </w:rPr>
        <w:t>Přínosem členství je i</w:t>
      </w:r>
      <w:r w:rsidR="00B04BE0">
        <w:rPr>
          <w:rFonts w:ascii="Calibri" w:eastAsia="Times New Roman" w:hAnsi="Calibri" w:cs="Calibri"/>
          <w:sz w:val="24"/>
          <w:szCs w:val="24"/>
        </w:rPr>
        <w:t xml:space="preserve"> </w:t>
      </w:r>
      <w:r w:rsidR="00C46BED" w:rsidRPr="00C46BED">
        <w:rPr>
          <w:rFonts w:ascii="Calibri" w:eastAsia="Times New Roman" w:hAnsi="Calibri" w:cs="Calibri"/>
          <w:sz w:val="24"/>
          <w:szCs w:val="24"/>
        </w:rPr>
        <w:t>př</w:t>
      </w:r>
      <w:r w:rsidR="00565BF3">
        <w:rPr>
          <w:rFonts w:ascii="Calibri" w:eastAsia="Times New Roman" w:hAnsi="Calibri" w:cs="Calibri"/>
          <w:sz w:val="24"/>
          <w:szCs w:val="24"/>
        </w:rPr>
        <w:t>ístup k</w:t>
      </w:r>
      <w:r w:rsidR="00C221F1">
        <w:rPr>
          <w:rFonts w:ascii="Calibri" w:eastAsia="Times New Roman" w:hAnsi="Calibri" w:cs="Calibri"/>
          <w:sz w:val="24"/>
          <w:szCs w:val="24"/>
        </w:rPr>
        <w:t> </w:t>
      </w:r>
      <w:r w:rsidR="00565BF3">
        <w:rPr>
          <w:rFonts w:ascii="Calibri" w:eastAsia="Times New Roman" w:hAnsi="Calibri" w:cs="Calibri"/>
          <w:sz w:val="24"/>
          <w:szCs w:val="24"/>
        </w:rPr>
        <w:t>nejnovějším poznatkům a</w:t>
      </w:r>
      <w:r w:rsidR="00C221F1">
        <w:rPr>
          <w:rFonts w:ascii="Calibri" w:eastAsia="Times New Roman" w:hAnsi="Calibri" w:cs="Calibri"/>
          <w:sz w:val="24"/>
          <w:szCs w:val="24"/>
        </w:rPr>
        <w:t xml:space="preserve"> </w:t>
      </w:r>
      <w:r w:rsidR="00C46BED" w:rsidRPr="00C46BED">
        <w:rPr>
          <w:rFonts w:ascii="Calibri" w:eastAsia="Times New Roman" w:hAnsi="Calibri" w:cs="Calibri"/>
          <w:sz w:val="24"/>
          <w:szCs w:val="24"/>
        </w:rPr>
        <w:t>moderním metodám z oblasti vězeňství, především ve</w:t>
      </w:r>
      <w:r w:rsidR="00154BB2">
        <w:rPr>
          <w:rFonts w:ascii="Calibri" w:eastAsia="Times New Roman" w:hAnsi="Calibri" w:cs="Calibri"/>
          <w:sz w:val="24"/>
          <w:szCs w:val="24"/>
        </w:rPr>
        <w:t xml:space="preserve"> </w:t>
      </w:r>
      <w:r w:rsidR="00C46BED" w:rsidRPr="00C46BED">
        <w:rPr>
          <w:rFonts w:ascii="Calibri" w:eastAsia="Times New Roman" w:hAnsi="Calibri" w:cs="Calibri"/>
          <w:sz w:val="24"/>
          <w:szCs w:val="24"/>
        </w:rPr>
        <w:t>vztahu k</w:t>
      </w:r>
      <w:r w:rsidR="00C221F1">
        <w:rPr>
          <w:rFonts w:ascii="Calibri" w:eastAsia="Times New Roman" w:hAnsi="Calibri" w:cs="Calibri"/>
          <w:sz w:val="24"/>
          <w:szCs w:val="24"/>
        </w:rPr>
        <w:t> </w:t>
      </w:r>
      <w:r w:rsidR="00C46BED" w:rsidRPr="00C46BED">
        <w:rPr>
          <w:rFonts w:ascii="Calibri" w:eastAsia="Times New Roman" w:hAnsi="Calibri" w:cs="Calibri"/>
          <w:sz w:val="24"/>
          <w:szCs w:val="24"/>
        </w:rPr>
        <w:t>resocializaci vězněných osob, snižování recidivy a předcházení páchání trestné činnosti obecně.</w:t>
      </w:r>
    </w:p>
    <w:p w14:paraId="416A6F65" w14:textId="3D06A6D7" w:rsidR="008257C7" w:rsidRDefault="006C1ACB" w:rsidP="00497852">
      <w:pPr>
        <w:widowControl/>
        <w:autoSpaceDE/>
        <w:autoSpaceDN/>
        <w:adjustRightInd/>
        <w:spacing w:after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6C1ACB">
        <w:rPr>
          <w:rFonts w:ascii="Calibri" w:eastAsia="Times New Roman" w:hAnsi="Calibri" w:cs="Calibri"/>
          <w:sz w:val="24"/>
          <w:szCs w:val="24"/>
          <w:lang w:eastAsia="en-US"/>
        </w:rPr>
        <w:t xml:space="preserve">Za účelem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získání dat z</w:t>
      </w:r>
      <w:r w:rsidRPr="006C1ACB">
        <w:rPr>
          <w:rFonts w:ascii="Calibri" w:eastAsia="Times New Roman" w:hAnsi="Calibri" w:cs="Calibri"/>
          <w:sz w:val="24"/>
          <w:szCs w:val="24"/>
          <w:lang w:eastAsia="en-US"/>
        </w:rPr>
        <w:t xml:space="preserve"> jiných zemí </w:t>
      </w:r>
      <w:r w:rsidR="0098257E">
        <w:rPr>
          <w:rFonts w:ascii="Calibri" w:eastAsia="Times New Roman" w:hAnsi="Calibri" w:cs="Calibri"/>
          <w:sz w:val="24"/>
          <w:szCs w:val="24"/>
          <w:lang w:eastAsia="en-US"/>
        </w:rPr>
        <w:t>byl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>a</w:t>
      </w:r>
      <w:r w:rsidR="0098257E">
        <w:rPr>
          <w:rFonts w:ascii="Calibri" w:eastAsia="Times New Roman" w:hAnsi="Calibri" w:cs="Calibri"/>
          <w:sz w:val="24"/>
          <w:szCs w:val="24"/>
          <w:lang w:eastAsia="en-US"/>
        </w:rPr>
        <w:t xml:space="preserve"> prostřednictvím G</w:t>
      </w:r>
      <w:r w:rsidR="007827F9">
        <w:rPr>
          <w:rFonts w:ascii="Calibri" w:eastAsia="Times New Roman" w:hAnsi="Calibri" w:cs="Calibri"/>
          <w:sz w:val="24"/>
          <w:szCs w:val="24"/>
          <w:lang w:eastAsia="en-US"/>
        </w:rPr>
        <w:t>Ř</w:t>
      </w:r>
      <w:r w:rsidR="00154BB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7827F9" w:rsidRPr="006C1ACB">
        <w:rPr>
          <w:rFonts w:ascii="Calibri" w:eastAsia="Times New Roman" w:hAnsi="Calibri" w:cs="Calibri"/>
          <w:sz w:val="24"/>
          <w:szCs w:val="24"/>
          <w:lang w:eastAsia="en-US"/>
        </w:rPr>
        <w:t>vězeňsk</w:t>
      </w:r>
      <w:r w:rsidR="007827F9">
        <w:rPr>
          <w:rFonts w:ascii="Calibri" w:eastAsia="Times New Roman" w:hAnsi="Calibri" w:cs="Calibri"/>
          <w:sz w:val="24"/>
          <w:szCs w:val="24"/>
          <w:lang w:eastAsia="en-US"/>
        </w:rPr>
        <w:t>ým</w:t>
      </w:r>
      <w:r w:rsidR="007827F9" w:rsidRPr="006C1ACB">
        <w:rPr>
          <w:rFonts w:ascii="Calibri" w:eastAsia="Times New Roman" w:hAnsi="Calibri" w:cs="Calibri"/>
          <w:sz w:val="24"/>
          <w:szCs w:val="24"/>
          <w:lang w:eastAsia="en-US"/>
        </w:rPr>
        <w:t xml:space="preserve"> sl</w:t>
      </w:r>
      <w:r w:rsidR="007827F9">
        <w:rPr>
          <w:rFonts w:ascii="Calibri" w:eastAsia="Times New Roman" w:hAnsi="Calibri" w:cs="Calibri"/>
          <w:sz w:val="24"/>
          <w:szCs w:val="24"/>
          <w:lang w:eastAsia="en-US"/>
        </w:rPr>
        <w:t xml:space="preserve">užbám vybraných evropských států </w:t>
      </w:r>
      <w:r w:rsidR="00B04BE0">
        <w:rPr>
          <w:rFonts w:ascii="Calibri" w:eastAsia="Times New Roman" w:hAnsi="Calibri" w:cs="Calibri"/>
          <w:sz w:val="24"/>
          <w:szCs w:val="24"/>
          <w:lang w:eastAsia="en-US"/>
        </w:rPr>
        <w:t>za</w:t>
      </w:r>
      <w:r w:rsidR="0098257E">
        <w:rPr>
          <w:rFonts w:ascii="Calibri" w:eastAsia="Times New Roman" w:hAnsi="Calibri" w:cs="Calibri"/>
          <w:sz w:val="24"/>
          <w:szCs w:val="24"/>
          <w:lang w:eastAsia="en-US"/>
        </w:rPr>
        <w:t>slá</w:t>
      </w:r>
      <w:r w:rsidR="007827F9">
        <w:rPr>
          <w:rFonts w:ascii="Calibri" w:eastAsia="Times New Roman" w:hAnsi="Calibri" w:cs="Calibri"/>
          <w:sz w:val="24"/>
          <w:szCs w:val="24"/>
          <w:lang w:eastAsia="en-US"/>
        </w:rPr>
        <w:t>n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 xml:space="preserve">a žádost o poskytnutí </w:t>
      </w:r>
      <w:r w:rsidR="007827F9">
        <w:rPr>
          <w:rFonts w:ascii="Calibri" w:eastAsia="Times New Roman" w:hAnsi="Calibri" w:cs="Calibri"/>
          <w:sz w:val="24"/>
          <w:szCs w:val="24"/>
          <w:lang w:eastAsia="en-US"/>
        </w:rPr>
        <w:t>požadovaný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>ch</w:t>
      </w:r>
      <w:r w:rsidR="007827F9">
        <w:rPr>
          <w:rFonts w:ascii="Calibri" w:eastAsia="Times New Roman" w:hAnsi="Calibri" w:cs="Calibri"/>
          <w:sz w:val="24"/>
          <w:szCs w:val="24"/>
          <w:lang w:eastAsia="en-US"/>
        </w:rPr>
        <w:t xml:space="preserve"> informac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>í.</w:t>
      </w:r>
      <w:r w:rsidR="007827F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2B5024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Při výběru zemí vhodných </w:t>
      </w:r>
      <w:r w:rsidR="00B04BE0">
        <w:rPr>
          <w:rFonts w:ascii="Calibri" w:eastAsia="Times New Roman" w:hAnsi="Calibri" w:cs="Calibri"/>
          <w:sz w:val="24"/>
          <w:szCs w:val="24"/>
          <w:lang w:eastAsia="en-US"/>
        </w:rPr>
        <w:t>k</w:t>
      </w:r>
      <w:r w:rsidR="002B5024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provedení porovnání vybraných ukazatelů bylo přihlédnuto ke geografické blízkosti a obdobnému historickému vývoji.</w:t>
      </w:r>
      <w:r w:rsidR="007827F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</w:p>
    <w:p w14:paraId="42FB09E7" w14:textId="50394948" w:rsidR="0039552A" w:rsidRPr="00732A9F" w:rsidRDefault="00BE327C" w:rsidP="00497852">
      <w:pPr>
        <w:widowControl/>
        <w:autoSpaceDE/>
        <w:autoSpaceDN/>
        <w:adjustRightInd/>
        <w:spacing w:after="4"/>
        <w:jc w:val="both"/>
        <w:rPr>
          <w:rFonts w:ascii="Calibri" w:eastAsia="Times New Roman" w:hAnsi="Calibri" w:cs="Calibri"/>
          <w:strike/>
          <w:sz w:val="24"/>
          <w:szCs w:val="24"/>
          <w:lang w:eastAsia="en-US"/>
        </w:rPr>
      </w:pPr>
      <w:r>
        <w:rPr>
          <w:rFonts w:ascii="Calibri" w:eastAsia="Times New Roman" w:hAnsi="Calibri" w:cs="Calibri"/>
          <w:sz w:val="24"/>
          <w:szCs w:val="24"/>
          <w:lang w:eastAsia="en-US"/>
        </w:rPr>
        <w:t>P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orovnání českého vězeňství s evropskými vězeňskými </w:t>
      </w:r>
      <w:r w:rsidR="00B04BE0">
        <w:rPr>
          <w:rFonts w:ascii="Calibri" w:eastAsia="Times New Roman" w:hAnsi="Calibri" w:cs="Calibri"/>
          <w:sz w:val="24"/>
          <w:szCs w:val="24"/>
          <w:lang w:eastAsia="en-US"/>
        </w:rPr>
        <w:t>systémy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provedl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NKÚ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na základě p</w:t>
      </w:r>
      <w:r w:rsidRPr="006C1ACB">
        <w:rPr>
          <w:rFonts w:ascii="Calibri" w:eastAsia="Times New Roman" w:hAnsi="Calibri" w:cs="Calibri"/>
          <w:sz w:val="24"/>
          <w:szCs w:val="24"/>
          <w:lang w:eastAsia="en-US"/>
        </w:rPr>
        <w:t>oskytnut</w:t>
      </w:r>
      <w:r>
        <w:rPr>
          <w:rFonts w:ascii="Calibri" w:eastAsia="Times New Roman" w:hAnsi="Calibri" w:cs="Calibri"/>
          <w:sz w:val="24"/>
          <w:szCs w:val="24"/>
          <w:lang w:eastAsia="en-US"/>
        </w:rPr>
        <w:t>ých</w:t>
      </w:r>
      <w:r w:rsidRPr="006C1ACB">
        <w:rPr>
          <w:rFonts w:ascii="Calibri" w:eastAsia="Times New Roman" w:hAnsi="Calibri" w:cs="Calibri"/>
          <w:sz w:val="24"/>
          <w:szCs w:val="24"/>
          <w:lang w:eastAsia="en-US"/>
        </w:rPr>
        <w:t xml:space="preserve"> údaj</w:t>
      </w:r>
      <w:r>
        <w:rPr>
          <w:rFonts w:ascii="Calibri" w:eastAsia="Times New Roman" w:hAnsi="Calibri" w:cs="Calibri"/>
          <w:sz w:val="24"/>
          <w:szCs w:val="24"/>
          <w:lang w:eastAsia="en-US"/>
        </w:rPr>
        <w:t>ů a</w:t>
      </w:r>
      <w:r w:rsidRPr="006C1ACB">
        <w:rPr>
          <w:rFonts w:ascii="Calibri" w:eastAsia="Times New Roman" w:hAnsi="Calibri" w:cs="Calibri"/>
          <w:sz w:val="24"/>
          <w:szCs w:val="24"/>
          <w:lang w:eastAsia="en-US"/>
        </w:rPr>
        <w:t xml:space="preserve"> údaj</w:t>
      </w:r>
      <w:r>
        <w:rPr>
          <w:rFonts w:ascii="Calibri" w:eastAsia="Times New Roman" w:hAnsi="Calibri" w:cs="Calibri"/>
          <w:sz w:val="24"/>
          <w:szCs w:val="24"/>
          <w:lang w:eastAsia="en-US"/>
        </w:rPr>
        <w:t>ů</w:t>
      </w:r>
      <w:r w:rsidRPr="006C1ACB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získaných </w:t>
      </w:r>
      <w:r w:rsidRPr="006C1ACB">
        <w:rPr>
          <w:rFonts w:ascii="Calibri" w:eastAsia="Times New Roman" w:hAnsi="Calibri" w:cs="Calibri"/>
          <w:sz w:val="24"/>
          <w:szCs w:val="24"/>
          <w:lang w:eastAsia="en-US"/>
        </w:rPr>
        <w:t xml:space="preserve">ze statistických dat </w:t>
      </w:r>
      <w:r w:rsidRPr="008F040D">
        <w:rPr>
          <w:rFonts w:ascii="Calibri" w:hAnsi="Calibri" w:cs="Calibri"/>
          <w:color w:val="000000"/>
          <w:sz w:val="24"/>
          <w:szCs w:val="24"/>
        </w:rPr>
        <w:t xml:space="preserve">Rady </w:t>
      </w:r>
      <w:r w:rsidRPr="00A31C28">
        <w:rPr>
          <w:rFonts w:ascii="Calibri" w:eastAsia="Times New Roman" w:hAnsi="Calibri" w:cs="Calibri"/>
          <w:sz w:val="24"/>
          <w:szCs w:val="24"/>
          <w:lang w:eastAsia="en-US"/>
        </w:rPr>
        <w:t>Evropy</w:t>
      </w:r>
      <w:r w:rsidR="00A31C28" w:rsidRPr="00A31C28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1F530C" w:rsidRPr="00287AB3">
        <w:rPr>
          <w:rFonts w:ascii="Calibri" w:eastAsia="Times New Roman" w:hAnsi="Calibri" w:cs="Calibri"/>
          <w:i/>
          <w:sz w:val="24"/>
          <w:szCs w:val="24"/>
          <w:lang w:eastAsia="en-US"/>
        </w:rPr>
        <w:t>Statistiques Pénales Annuelles du Conseil de l’Europe</w:t>
      </w:r>
      <w:r w:rsidR="00A31C28" w:rsidRPr="00A31C28">
        <w:rPr>
          <w:rFonts w:ascii="Calibri" w:eastAsia="Times New Roman" w:hAnsi="Calibri" w:cs="Calibri"/>
          <w:sz w:val="24"/>
          <w:szCs w:val="24"/>
          <w:lang w:eastAsia="en-US"/>
        </w:rPr>
        <w:t xml:space="preserve"> (SPACE)</w:t>
      </w:r>
      <w:r w:rsidRPr="00A31C28"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</w:p>
    <w:p w14:paraId="33B7AF92" w14:textId="0CAB0CDB" w:rsidR="0039552A" w:rsidRPr="007827F9" w:rsidRDefault="0039552A" w:rsidP="00497852">
      <w:pPr>
        <w:widowControl/>
        <w:autoSpaceDE/>
        <w:autoSpaceDN/>
        <w:adjustRightInd/>
        <w:spacing w:before="120" w:after="40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7827F9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Tabulka č. </w:t>
      </w:r>
      <w:r w:rsidR="00F20EF7">
        <w:rPr>
          <w:rFonts w:ascii="Calibri" w:eastAsia="Times New Roman" w:hAnsi="Calibri" w:cs="Calibri"/>
          <w:b/>
          <w:sz w:val="24"/>
          <w:szCs w:val="24"/>
          <w:lang w:eastAsia="en-US"/>
        </w:rPr>
        <w:t>5</w:t>
      </w:r>
      <w:r w:rsidRPr="007827F9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</w:t>
      </w:r>
      <w:r w:rsidR="005B7536">
        <w:rPr>
          <w:rFonts w:ascii="Calibri" w:eastAsia="Times New Roman" w:hAnsi="Calibri" w:cs="Calibri"/>
          <w:b/>
          <w:sz w:val="24"/>
          <w:szCs w:val="24"/>
          <w:lang w:eastAsia="en-US"/>
        </w:rPr>
        <w:t>–</w:t>
      </w:r>
      <w:r w:rsidRPr="007827F9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Srovnání statistických ukazatelů vybraných </w:t>
      </w:r>
      <w:r w:rsidR="00190F77" w:rsidRPr="007827F9">
        <w:rPr>
          <w:rFonts w:ascii="Calibri" w:eastAsia="Times New Roman" w:hAnsi="Calibri" w:cs="Calibri"/>
          <w:b/>
          <w:sz w:val="24"/>
          <w:szCs w:val="24"/>
          <w:lang w:eastAsia="en-US"/>
        </w:rPr>
        <w:t>evropských zemí</w:t>
      </w:r>
      <w:r w:rsidRPr="007827F9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</w:t>
      </w:r>
      <w:r w:rsidR="007E57FF" w:rsidRPr="007827F9">
        <w:rPr>
          <w:rFonts w:ascii="Calibri" w:eastAsia="Times New Roman" w:hAnsi="Calibri" w:cs="Calibri"/>
          <w:b/>
          <w:sz w:val="24"/>
          <w:szCs w:val="24"/>
          <w:lang w:eastAsia="en-US"/>
        </w:rPr>
        <w:t>za rok 2017</w:t>
      </w:r>
    </w:p>
    <w:tbl>
      <w:tblPr>
        <w:tblStyle w:val="Mkatabulky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276"/>
        <w:gridCol w:w="1559"/>
        <w:gridCol w:w="1417"/>
      </w:tblGrid>
      <w:tr w:rsidR="006C1ACB" w:rsidRPr="0039552A" w14:paraId="237BA4EE" w14:textId="77777777" w:rsidTr="00B56F1C">
        <w:tc>
          <w:tcPr>
            <w:tcW w:w="1985" w:type="dxa"/>
            <w:shd w:val="clear" w:color="auto" w:fill="E5F1FF"/>
            <w:vAlign w:val="center"/>
          </w:tcPr>
          <w:p w14:paraId="28D746E9" w14:textId="77777777" w:rsidR="006C1ACB" w:rsidRPr="0039552A" w:rsidRDefault="006C1ACB" w:rsidP="00497852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b/>
                <w:lang w:eastAsia="en-US"/>
              </w:rPr>
              <w:t>Stát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65C82E6F" w14:textId="77777777" w:rsidR="006C1ACB" w:rsidRPr="0039552A" w:rsidRDefault="006C1ACB" w:rsidP="00497852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b/>
                <w:lang w:eastAsia="en-US"/>
              </w:rPr>
              <w:t>Počet vězněných osob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4BAA57B4" w14:textId="77777777" w:rsidR="006C1ACB" w:rsidRPr="0039552A" w:rsidRDefault="006C1ACB" w:rsidP="00497852">
            <w:pPr>
              <w:widowControl/>
              <w:autoSpaceDE/>
              <w:autoSpaceDN/>
              <w:adjustRightInd/>
              <w:spacing w:line="200" w:lineRule="exact"/>
              <w:ind w:left="-127" w:right="-89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b/>
                <w:lang w:eastAsia="en-US"/>
              </w:rPr>
              <w:t>Počet vězněných osob na 100 tis. obyvatel</w:t>
            </w:r>
          </w:p>
        </w:tc>
        <w:tc>
          <w:tcPr>
            <w:tcW w:w="1276" w:type="dxa"/>
            <w:shd w:val="clear" w:color="auto" w:fill="E5F1FF"/>
            <w:vAlign w:val="center"/>
          </w:tcPr>
          <w:p w14:paraId="60F36623" w14:textId="77777777" w:rsidR="006C1ACB" w:rsidRPr="0039552A" w:rsidRDefault="006C1ACB" w:rsidP="00497852">
            <w:pPr>
              <w:widowControl/>
              <w:autoSpaceDE/>
              <w:autoSpaceDN/>
              <w:adjustRightInd/>
              <w:spacing w:line="200" w:lineRule="exact"/>
              <w:ind w:left="-106" w:right="-104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b/>
                <w:lang w:eastAsia="en-US"/>
              </w:rPr>
              <w:t>Počet zaměstnanců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74A22D12" w14:textId="77777777" w:rsidR="006C1ACB" w:rsidRPr="0039552A" w:rsidRDefault="006C1ACB" w:rsidP="00497852">
            <w:pPr>
              <w:widowControl/>
              <w:autoSpaceDE/>
              <w:autoSpaceDN/>
              <w:adjustRightInd/>
              <w:spacing w:line="200" w:lineRule="exact"/>
              <w:ind w:left="-70" w:right="-76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b/>
                <w:lang w:eastAsia="en-US"/>
              </w:rPr>
              <w:t>Počet vězněných osob na zaměstnance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0CA7FC03" w14:textId="77777777" w:rsidR="006C1ACB" w:rsidRPr="0039552A" w:rsidRDefault="00321936" w:rsidP="00497852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Denní výdaje</w:t>
            </w:r>
            <w:r w:rsidR="006C1ACB" w:rsidRPr="0039552A">
              <w:rPr>
                <w:rFonts w:ascii="Calibri" w:eastAsia="Times New Roman" w:hAnsi="Calibri" w:cs="Calibri"/>
                <w:b/>
                <w:lang w:eastAsia="en-US"/>
              </w:rPr>
              <w:t xml:space="preserve"> na vězněnou osobu</w:t>
            </w:r>
          </w:p>
        </w:tc>
      </w:tr>
      <w:tr w:rsidR="006C1ACB" w:rsidRPr="0039552A" w14:paraId="138BA24C" w14:textId="77777777" w:rsidTr="001460CC">
        <w:trPr>
          <w:trHeight w:val="283"/>
        </w:trPr>
        <w:tc>
          <w:tcPr>
            <w:tcW w:w="1985" w:type="dxa"/>
            <w:vAlign w:val="center"/>
          </w:tcPr>
          <w:p w14:paraId="59730DE2" w14:textId="40BD2181" w:rsidR="006C1ACB" w:rsidRPr="0039552A" w:rsidRDefault="006C1ACB" w:rsidP="00287AB3">
            <w:pPr>
              <w:widowControl/>
              <w:autoSpaceDE/>
              <w:autoSpaceDN/>
              <w:adjustRightInd/>
              <w:spacing w:line="253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Česk</w:t>
            </w:r>
            <w:r w:rsidR="00B04BE0">
              <w:rPr>
                <w:rFonts w:ascii="Calibri" w:eastAsia="Times New Roman" w:hAnsi="Calibri" w:cs="Calibri"/>
                <w:lang w:eastAsia="en-US"/>
              </w:rPr>
              <w:t>á republika</w:t>
            </w:r>
          </w:p>
        </w:tc>
        <w:tc>
          <w:tcPr>
            <w:tcW w:w="1134" w:type="dxa"/>
            <w:vAlign w:val="center"/>
          </w:tcPr>
          <w:p w14:paraId="2DE8859F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22 159</w:t>
            </w:r>
          </w:p>
        </w:tc>
        <w:tc>
          <w:tcPr>
            <w:tcW w:w="1701" w:type="dxa"/>
            <w:vAlign w:val="center"/>
          </w:tcPr>
          <w:p w14:paraId="4C5AFB87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left="-127"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20</w:t>
            </w:r>
            <w:r>
              <w:rPr>
                <w:rFonts w:ascii="Calibri" w:eastAsia="Times New Roman" w:hAnsi="Calibri" w:cs="Calibri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14:paraId="597050EB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 xml:space="preserve">11 </w:t>
            </w:r>
            <w:r>
              <w:rPr>
                <w:rFonts w:ascii="Calibri" w:eastAsia="Times New Roman" w:hAnsi="Calibri" w:cs="Calibri"/>
                <w:lang w:eastAsia="en-US"/>
              </w:rPr>
              <w:t>069</w:t>
            </w:r>
          </w:p>
        </w:tc>
        <w:tc>
          <w:tcPr>
            <w:tcW w:w="1559" w:type="dxa"/>
            <w:vAlign w:val="center"/>
          </w:tcPr>
          <w:p w14:paraId="44DD3045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2</w:t>
            </w:r>
            <w:r w:rsidRPr="0039552A">
              <w:rPr>
                <w:rFonts w:ascii="Calibri" w:eastAsia="Times New Roman" w:hAnsi="Calibri" w:cs="Calibri"/>
                <w:lang w:eastAsia="en-US"/>
              </w:rPr>
              <w:t>,</w:t>
            </w:r>
            <w:r>
              <w:rPr>
                <w:rFonts w:ascii="Calibri" w:eastAsia="Times New Roman" w:hAnsi="Calibri" w:cs="Calibri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7491AC4B" w14:textId="6540D749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46,5</w:t>
            </w:r>
            <w:r w:rsidRPr="0039552A">
              <w:rPr>
                <w:rFonts w:ascii="Calibri" w:eastAsia="Times New Roman" w:hAnsi="Calibri" w:cs="Calibri"/>
                <w:lang w:eastAsia="en-US"/>
              </w:rPr>
              <w:t xml:space="preserve"> €</w:t>
            </w:r>
          </w:p>
        </w:tc>
      </w:tr>
      <w:tr w:rsidR="006C1ACB" w:rsidRPr="0039552A" w14:paraId="22B30AC3" w14:textId="77777777" w:rsidTr="001460CC">
        <w:trPr>
          <w:trHeight w:val="283"/>
        </w:trPr>
        <w:tc>
          <w:tcPr>
            <w:tcW w:w="1985" w:type="dxa"/>
            <w:vAlign w:val="center"/>
          </w:tcPr>
          <w:p w14:paraId="6EDE0A8F" w14:textId="72F2DD2C" w:rsidR="006C1ACB" w:rsidRPr="0039552A" w:rsidRDefault="00B56F1C" w:rsidP="00287AB3">
            <w:pPr>
              <w:widowControl/>
              <w:autoSpaceDE/>
              <w:autoSpaceDN/>
              <w:adjustRightInd/>
              <w:spacing w:line="253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Slovenská republika</w:t>
            </w:r>
          </w:p>
        </w:tc>
        <w:tc>
          <w:tcPr>
            <w:tcW w:w="1134" w:type="dxa"/>
            <w:vAlign w:val="center"/>
          </w:tcPr>
          <w:p w14:paraId="5747FEB1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 xml:space="preserve">10 </w:t>
            </w:r>
            <w:r>
              <w:rPr>
                <w:rFonts w:ascii="Calibri" w:eastAsia="Times New Roman" w:hAnsi="Calibri" w:cs="Calibri"/>
                <w:lang w:eastAsia="en-US"/>
              </w:rPr>
              <w:t>028</w:t>
            </w:r>
          </w:p>
        </w:tc>
        <w:tc>
          <w:tcPr>
            <w:tcW w:w="1701" w:type="dxa"/>
            <w:vAlign w:val="center"/>
          </w:tcPr>
          <w:p w14:paraId="0002B820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left="-127"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lang w:eastAsia="en-US"/>
              </w:rPr>
              <w:t>94</w:t>
            </w:r>
          </w:p>
        </w:tc>
        <w:tc>
          <w:tcPr>
            <w:tcW w:w="1276" w:type="dxa"/>
            <w:vAlign w:val="center"/>
          </w:tcPr>
          <w:p w14:paraId="035E65B7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515</w:t>
            </w:r>
          </w:p>
        </w:tc>
        <w:tc>
          <w:tcPr>
            <w:tcW w:w="1559" w:type="dxa"/>
            <w:vAlign w:val="center"/>
          </w:tcPr>
          <w:p w14:paraId="5770D8E6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1,</w:t>
            </w:r>
            <w:r>
              <w:rPr>
                <w:rFonts w:ascii="Calibri" w:eastAsia="Times New Roman" w:hAnsi="Calibri" w:cs="Calibri"/>
                <w:lang w:eastAsia="en-US"/>
              </w:rPr>
              <w:t>8</w:t>
            </w:r>
          </w:p>
        </w:tc>
        <w:tc>
          <w:tcPr>
            <w:tcW w:w="1417" w:type="dxa"/>
            <w:vAlign w:val="center"/>
          </w:tcPr>
          <w:p w14:paraId="1F3DD8CE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4</w:t>
            </w:r>
            <w:r>
              <w:rPr>
                <w:rFonts w:ascii="Calibri" w:eastAsia="Times New Roman" w:hAnsi="Calibri" w:cs="Calibri"/>
                <w:lang w:eastAsia="en-US"/>
              </w:rPr>
              <w:t>3,7</w:t>
            </w:r>
            <w:r w:rsidRPr="0039552A">
              <w:rPr>
                <w:rFonts w:ascii="Calibri" w:eastAsia="Times New Roman" w:hAnsi="Calibri" w:cs="Calibri"/>
                <w:lang w:eastAsia="en-US"/>
              </w:rPr>
              <w:t xml:space="preserve"> €</w:t>
            </w:r>
          </w:p>
        </w:tc>
      </w:tr>
      <w:tr w:rsidR="006C1ACB" w:rsidRPr="0039552A" w14:paraId="2D2CC395" w14:textId="77777777" w:rsidTr="001460CC">
        <w:trPr>
          <w:trHeight w:val="283"/>
        </w:trPr>
        <w:tc>
          <w:tcPr>
            <w:tcW w:w="1985" w:type="dxa"/>
            <w:vAlign w:val="center"/>
          </w:tcPr>
          <w:p w14:paraId="49B0AFF5" w14:textId="77777777" w:rsidR="006C1ACB" w:rsidRPr="0039552A" w:rsidRDefault="006C1ACB" w:rsidP="00287AB3">
            <w:pPr>
              <w:widowControl/>
              <w:autoSpaceDE/>
              <w:autoSpaceDN/>
              <w:adjustRightInd/>
              <w:spacing w:line="253" w:lineRule="auto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Polsko</w:t>
            </w:r>
          </w:p>
        </w:tc>
        <w:tc>
          <w:tcPr>
            <w:tcW w:w="1134" w:type="dxa"/>
            <w:vAlign w:val="center"/>
          </w:tcPr>
          <w:p w14:paraId="1A5B3108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73 822</w:t>
            </w:r>
          </w:p>
        </w:tc>
        <w:tc>
          <w:tcPr>
            <w:tcW w:w="1701" w:type="dxa"/>
            <w:vAlign w:val="center"/>
          </w:tcPr>
          <w:p w14:paraId="3774D061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left="-127"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194</w:t>
            </w:r>
          </w:p>
        </w:tc>
        <w:tc>
          <w:tcPr>
            <w:tcW w:w="1276" w:type="dxa"/>
            <w:vAlign w:val="center"/>
          </w:tcPr>
          <w:p w14:paraId="176AF63A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29 394</w:t>
            </w:r>
          </w:p>
        </w:tc>
        <w:tc>
          <w:tcPr>
            <w:tcW w:w="1559" w:type="dxa"/>
            <w:vAlign w:val="center"/>
          </w:tcPr>
          <w:p w14:paraId="7D74D281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2,5</w:t>
            </w:r>
          </w:p>
        </w:tc>
        <w:tc>
          <w:tcPr>
            <w:tcW w:w="1417" w:type="dxa"/>
            <w:vAlign w:val="center"/>
          </w:tcPr>
          <w:p w14:paraId="05BC8AFD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26,9 €</w:t>
            </w:r>
          </w:p>
        </w:tc>
      </w:tr>
      <w:tr w:rsidR="006C1ACB" w:rsidRPr="0039552A" w14:paraId="55994138" w14:textId="77777777" w:rsidTr="001460CC">
        <w:trPr>
          <w:trHeight w:val="283"/>
        </w:trPr>
        <w:tc>
          <w:tcPr>
            <w:tcW w:w="1985" w:type="dxa"/>
            <w:vAlign w:val="center"/>
          </w:tcPr>
          <w:p w14:paraId="29580365" w14:textId="77777777" w:rsidR="006C1ACB" w:rsidRPr="0039552A" w:rsidRDefault="006C1ACB" w:rsidP="00287AB3">
            <w:pPr>
              <w:widowControl/>
              <w:autoSpaceDE/>
              <w:autoSpaceDN/>
              <w:adjustRightInd/>
              <w:spacing w:line="253" w:lineRule="auto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Rakousko</w:t>
            </w:r>
          </w:p>
        </w:tc>
        <w:tc>
          <w:tcPr>
            <w:tcW w:w="1134" w:type="dxa"/>
            <w:vAlign w:val="center"/>
          </w:tcPr>
          <w:p w14:paraId="3087127C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8 960</w:t>
            </w:r>
          </w:p>
        </w:tc>
        <w:tc>
          <w:tcPr>
            <w:tcW w:w="1701" w:type="dxa"/>
            <w:vAlign w:val="center"/>
          </w:tcPr>
          <w:p w14:paraId="48DCDBE3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left="-127"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102</w:t>
            </w:r>
          </w:p>
        </w:tc>
        <w:tc>
          <w:tcPr>
            <w:tcW w:w="1276" w:type="dxa"/>
            <w:vAlign w:val="center"/>
          </w:tcPr>
          <w:p w14:paraId="5BEC802F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4 048</w:t>
            </w:r>
          </w:p>
        </w:tc>
        <w:tc>
          <w:tcPr>
            <w:tcW w:w="1559" w:type="dxa"/>
            <w:vAlign w:val="center"/>
          </w:tcPr>
          <w:p w14:paraId="1AFE7A6C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2,2</w:t>
            </w:r>
          </w:p>
        </w:tc>
        <w:tc>
          <w:tcPr>
            <w:tcW w:w="1417" w:type="dxa"/>
            <w:vAlign w:val="center"/>
          </w:tcPr>
          <w:p w14:paraId="2FAB3190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129,0 €</w:t>
            </w:r>
          </w:p>
        </w:tc>
      </w:tr>
      <w:tr w:rsidR="006C1ACB" w:rsidRPr="0039552A" w14:paraId="4BC6C651" w14:textId="77777777" w:rsidTr="001460CC">
        <w:trPr>
          <w:trHeight w:val="283"/>
        </w:trPr>
        <w:tc>
          <w:tcPr>
            <w:tcW w:w="1985" w:type="dxa"/>
            <w:vAlign w:val="center"/>
          </w:tcPr>
          <w:p w14:paraId="7367EE5D" w14:textId="77777777" w:rsidR="006C1ACB" w:rsidRPr="0039552A" w:rsidRDefault="006C1ACB" w:rsidP="00287AB3">
            <w:pPr>
              <w:widowControl/>
              <w:autoSpaceDE/>
              <w:autoSpaceDN/>
              <w:adjustRightInd/>
              <w:spacing w:line="253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Německo</w:t>
            </w:r>
          </w:p>
        </w:tc>
        <w:tc>
          <w:tcPr>
            <w:tcW w:w="1134" w:type="dxa"/>
            <w:vAlign w:val="center"/>
          </w:tcPr>
          <w:p w14:paraId="75304AA3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64 193</w:t>
            </w:r>
          </w:p>
        </w:tc>
        <w:tc>
          <w:tcPr>
            <w:tcW w:w="1701" w:type="dxa"/>
            <w:vAlign w:val="center"/>
          </w:tcPr>
          <w:p w14:paraId="58AC3BEF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left="-127"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62842F3E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38 337</w:t>
            </w:r>
          </w:p>
        </w:tc>
        <w:tc>
          <w:tcPr>
            <w:tcW w:w="1559" w:type="dxa"/>
            <w:vAlign w:val="center"/>
          </w:tcPr>
          <w:p w14:paraId="04153B30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1,7</w:t>
            </w:r>
          </w:p>
        </w:tc>
        <w:tc>
          <w:tcPr>
            <w:tcW w:w="1417" w:type="dxa"/>
            <w:vAlign w:val="center"/>
          </w:tcPr>
          <w:p w14:paraId="3D8C55DD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131,8 €</w:t>
            </w:r>
          </w:p>
        </w:tc>
      </w:tr>
      <w:tr w:rsidR="006C1ACB" w:rsidRPr="0039552A" w14:paraId="05E25156" w14:textId="77777777" w:rsidTr="001460CC">
        <w:trPr>
          <w:trHeight w:val="283"/>
        </w:trPr>
        <w:tc>
          <w:tcPr>
            <w:tcW w:w="1985" w:type="dxa"/>
            <w:vAlign w:val="center"/>
          </w:tcPr>
          <w:p w14:paraId="23B2F2C2" w14:textId="77777777" w:rsidR="006C1ACB" w:rsidRPr="0039552A" w:rsidRDefault="006C1ACB" w:rsidP="00287AB3">
            <w:pPr>
              <w:widowControl/>
              <w:autoSpaceDE/>
              <w:autoSpaceDN/>
              <w:adjustRightInd/>
              <w:spacing w:line="253" w:lineRule="auto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Rumunsko</w:t>
            </w:r>
          </w:p>
        </w:tc>
        <w:tc>
          <w:tcPr>
            <w:tcW w:w="1134" w:type="dxa"/>
            <w:vAlign w:val="center"/>
          </w:tcPr>
          <w:p w14:paraId="2317D472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2</w:t>
            </w:r>
            <w:r>
              <w:rPr>
                <w:rFonts w:ascii="Calibri" w:eastAsia="Times New Roman" w:hAnsi="Calibri" w:cs="Calibri"/>
                <w:lang w:eastAsia="en-US"/>
              </w:rPr>
              <w:t>3 050</w:t>
            </w:r>
          </w:p>
        </w:tc>
        <w:tc>
          <w:tcPr>
            <w:tcW w:w="1701" w:type="dxa"/>
            <w:vAlign w:val="center"/>
          </w:tcPr>
          <w:p w14:paraId="643DD654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left="-127"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lang w:eastAsia="en-US"/>
              </w:rPr>
              <w:t>18</w:t>
            </w:r>
          </w:p>
        </w:tc>
        <w:tc>
          <w:tcPr>
            <w:tcW w:w="1276" w:type="dxa"/>
            <w:vAlign w:val="center"/>
          </w:tcPr>
          <w:p w14:paraId="33544835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lang w:eastAsia="en-US"/>
              </w:rPr>
              <w:t>2 713</w:t>
            </w:r>
          </w:p>
        </w:tc>
        <w:tc>
          <w:tcPr>
            <w:tcW w:w="1559" w:type="dxa"/>
            <w:vAlign w:val="center"/>
          </w:tcPr>
          <w:p w14:paraId="4362DE1D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1,8</w:t>
            </w:r>
          </w:p>
        </w:tc>
        <w:tc>
          <w:tcPr>
            <w:tcW w:w="1417" w:type="dxa"/>
            <w:vAlign w:val="center"/>
          </w:tcPr>
          <w:p w14:paraId="42EFD59A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27,2</w:t>
            </w:r>
            <w:r w:rsidRPr="0039552A">
              <w:rPr>
                <w:rFonts w:ascii="Calibri" w:eastAsia="Times New Roman" w:hAnsi="Calibri" w:cs="Calibri"/>
                <w:lang w:eastAsia="en-US"/>
              </w:rPr>
              <w:t xml:space="preserve"> €</w:t>
            </w:r>
          </w:p>
        </w:tc>
      </w:tr>
      <w:tr w:rsidR="006C1ACB" w:rsidRPr="0039552A" w14:paraId="3965A248" w14:textId="77777777" w:rsidTr="001460CC">
        <w:trPr>
          <w:trHeight w:val="283"/>
        </w:trPr>
        <w:tc>
          <w:tcPr>
            <w:tcW w:w="1985" w:type="dxa"/>
            <w:vAlign w:val="center"/>
          </w:tcPr>
          <w:p w14:paraId="5657024B" w14:textId="77777777" w:rsidR="006C1ACB" w:rsidRPr="0039552A" w:rsidRDefault="006C1ACB" w:rsidP="00287AB3">
            <w:pPr>
              <w:widowControl/>
              <w:autoSpaceDE/>
              <w:autoSpaceDN/>
              <w:adjustRightInd/>
              <w:spacing w:line="253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Litva</w:t>
            </w:r>
          </w:p>
        </w:tc>
        <w:tc>
          <w:tcPr>
            <w:tcW w:w="1134" w:type="dxa"/>
            <w:vAlign w:val="center"/>
          </w:tcPr>
          <w:p w14:paraId="62FFDDF9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6 599</w:t>
            </w:r>
          </w:p>
        </w:tc>
        <w:tc>
          <w:tcPr>
            <w:tcW w:w="1701" w:type="dxa"/>
            <w:vAlign w:val="center"/>
          </w:tcPr>
          <w:p w14:paraId="0CF3746C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left="-127"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235</w:t>
            </w:r>
          </w:p>
        </w:tc>
        <w:tc>
          <w:tcPr>
            <w:tcW w:w="1276" w:type="dxa"/>
            <w:vAlign w:val="center"/>
          </w:tcPr>
          <w:p w14:paraId="72C61A57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3 392</w:t>
            </w:r>
          </w:p>
        </w:tc>
        <w:tc>
          <w:tcPr>
            <w:tcW w:w="1559" w:type="dxa"/>
            <w:vAlign w:val="center"/>
          </w:tcPr>
          <w:p w14:paraId="34ED63E8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1,9</w:t>
            </w:r>
          </w:p>
        </w:tc>
        <w:tc>
          <w:tcPr>
            <w:tcW w:w="1417" w:type="dxa"/>
            <w:vAlign w:val="center"/>
          </w:tcPr>
          <w:p w14:paraId="121E8F21" w14:textId="77777777" w:rsidR="006C1ACB" w:rsidRPr="0039552A" w:rsidRDefault="006C1ACB" w:rsidP="001460CC">
            <w:pPr>
              <w:widowControl/>
              <w:autoSpaceDE/>
              <w:autoSpaceDN/>
              <w:adjustRightInd/>
              <w:spacing w:after="4" w:line="253" w:lineRule="auto"/>
              <w:ind w:right="125"/>
              <w:jc w:val="right"/>
              <w:rPr>
                <w:rFonts w:ascii="Calibri" w:eastAsia="Times New Roman" w:hAnsi="Calibri" w:cs="Calibri"/>
                <w:lang w:eastAsia="en-US"/>
              </w:rPr>
            </w:pPr>
            <w:r w:rsidRPr="0039552A">
              <w:rPr>
                <w:rFonts w:ascii="Calibri" w:eastAsia="Times New Roman" w:hAnsi="Calibri" w:cs="Calibri"/>
                <w:lang w:eastAsia="en-US"/>
              </w:rPr>
              <w:t>23,3 €</w:t>
            </w:r>
          </w:p>
        </w:tc>
      </w:tr>
    </w:tbl>
    <w:p w14:paraId="0B0F6DF7" w14:textId="77777777" w:rsidR="0039552A" w:rsidRPr="0039552A" w:rsidRDefault="0039552A" w:rsidP="00497852">
      <w:pPr>
        <w:widowControl/>
        <w:autoSpaceDE/>
        <w:autoSpaceDN/>
        <w:adjustRightInd/>
        <w:spacing w:before="40"/>
        <w:jc w:val="both"/>
        <w:rPr>
          <w:rFonts w:ascii="Calibri" w:eastAsia="Times New Roman" w:hAnsi="Calibri" w:cs="Calibri"/>
          <w:lang w:eastAsia="en-US"/>
        </w:rPr>
      </w:pPr>
      <w:r w:rsidRPr="00CF0FA9">
        <w:rPr>
          <w:rFonts w:ascii="Calibri" w:eastAsia="Times New Roman" w:hAnsi="Calibri" w:cs="Calibri"/>
          <w:b/>
          <w:lang w:eastAsia="en-US"/>
        </w:rPr>
        <w:t>Zdroj:</w:t>
      </w:r>
      <w:r w:rsidRPr="0039552A">
        <w:rPr>
          <w:rFonts w:ascii="Calibri" w:eastAsia="Times New Roman" w:hAnsi="Calibri" w:cs="Calibri"/>
          <w:lang w:eastAsia="en-US"/>
        </w:rPr>
        <w:t xml:space="preserve"> </w:t>
      </w:r>
      <w:r w:rsidR="00A31C28">
        <w:rPr>
          <w:rFonts w:ascii="Calibri" w:eastAsia="Times New Roman" w:hAnsi="Calibri" w:cs="Calibri"/>
          <w:lang w:eastAsia="en-US"/>
        </w:rPr>
        <w:t>SPACE</w:t>
      </w:r>
      <w:r w:rsidRPr="0039552A">
        <w:rPr>
          <w:rFonts w:ascii="Calibri" w:eastAsia="Times New Roman" w:hAnsi="Calibri" w:cs="Calibri"/>
          <w:lang w:eastAsia="en-US"/>
        </w:rPr>
        <w:t xml:space="preserve"> 2018.</w:t>
      </w:r>
    </w:p>
    <w:p w14:paraId="334BDE31" w14:textId="5CF5F103" w:rsidR="001612E3" w:rsidRDefault="0039552A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>P</w:t>
      </w:r>
      <w:r w:rsidR="00C40739">
        <w:rPr>
          <w:rFonts w:ascii="Calibri" w:eastAsia="Times New Roman" w:hAnsi="Calibri" w:cs="Calibri"/>
          <w:sz w:val="24"/>
          <w:szCs w:val="24"/>
          <w:lang w:eastAsia="en-US"/>
        </w:rPr>
        <w:t xml:space="preserve">orovnáním vybraných ukazatelů 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bylo zjištěno, že </w:t>
      </w:r>
      <w:r w:rsidR="00DE3A8B">
        <w:rPr>
          <w:rFonts w:ascii="Calibri" w:eastAsia="Times New Roman" w:hAnsi="Calibri" w:cs="Calibri"/>
          <w:sz w:val="24"/>
          <w:szCs w:val="24"/>
          <w:lang w:eastAsia="en-US"/>
        </w:rPr>
        <w:t xml:space="preserve">ČR 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má </w:t>
      </w:r>
      <w:r w:rsidR="00637759">
        <w:rPr>
          <w:rFonts w:ascii="Calibri" w:eastAsia="Times New Roman" w:hAnsi="Calibri" w:cs="Calibri"/>
          <w:sz w:val="24"/>
          <w:szCs w:val="24"/>
          <w:lang w:eastAsia="en-US"/>
        </w:rPr>
        <w:t>z výše uvedených</w:t>
      </w:r>
      <w:r w:rsidR="00637759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států </w:t>
      </w:r>
      <w:r w:rsidR="00B04BE0">
        <w:rPr>
          <w:rFonts w:ascii="Calibri" w:eastAsia="Times New Roman" w:hAnsi="Calibri" w:cs="Calibri"/>
          <w:sz w:val="24"/>
          <w:szCs w:val="24"/>
          <w:lang w:eastAsia="en-US"/>
        </w:rPr>
        <w:t>druhý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nejvyšší </w:t>
      </w:r>
      <w:r w:rsidR="007E57FF">
        <w:rPr>
          <w:rFonts w:ascii="Calibri" w:eastAsia="Times New Roman" w:hAnsi="Calibri" w:cs="Calibri"/>
          <w:sz w:val="24"/>
          <w:szCs w:val="24"/>
          <w:lang w:eastAsia="en-US"/>
        </w:rPr>
        <w:t>poč</w:t>
      </w:r>
      <w:r w:rsidR="00B04BE0">
        <w:rPr>
          <w:rFonts w:ascii="Calibri" w:eastAsia="Times New Roman" w:hAnsi="Calibri" w:cs="Calibri"/>
          <w:sz w:val="24"/>
          <w:szCs w:val="24"/>
          <w:lang w:eastAsia="en-US"/>
        </w:rPr>
        <w:t>e</w:t>
      </w:r>
      <w:r w:rsidR="007E57FF">
        <w:rPr>
          <w:rFonts w:ascii="Calibri" w:eastAsia="Times New Roman" w:hAnsi="Calibri" w:cs="Calibri"/>
          <w:sz w:val="24"/>
          <w:szCs w:val="24"/>
          <w:lang w:eastAsia="en-US"/>
        </w:rPr>
        <w:t xml:space="preserve">t 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vězněných osob na 100 tisíc obyvatel. Počet vězněných osob </w:t>
      </w:r>
      <w:r w:rsidR="00637759" w:rsidRPr="0039552A">
        <w:rPr>
          <w:rFonts w:ascii="Calibri" w:eastAsia="Times New Roman" w:hAnsi="Calibri" w:cs="Calibri"/>
          <w:sz w:val="24"/>
          <w:szCs w:val="24"/>
          <w:lang w:eastAsia="en-US"/>
        </w:rPr>
        <w:t>v</w:t>
      </w:r>
      <w:r w:rsidR="00637759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637759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ČR 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>úzce souvisí s nastavením trestní politiky</w:t>
      </w:r>
      <w:r w:rsidR="00C40739">
        <w:rPr>
          <w:rFonts w:ascii="Calibri" w:eastAsia="Times New Roman" w:hAnsi="Calibri" w:cs="Calibri"/>
          <w:sz w:val="24"/>
          <w:szCs w:val="24"/>
          <w:lang w:eastAsia="en-US"/>
        </w:rPr>
        <w:t>, která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ovliv</w:t>
      </w:r>
      <w:r w:rsidR="00C40739">
        <w:rPr>
          <w:rFonts w:ascii="Calibri" w:eastAsia="Times New Roman" w:hAnsi="Calibri" w:cs="Calibri"/>
          <w:sz w:val="24"/>
          <w:szCs w:val="24"/>
          <w:lang w:eastAsia="en-US"/>
        </w:rPr>
        <w:t>ňuje délku ukládaných trestů a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využívání alternativních trestů</w:t>
      </w:r>
      <w:r w:rsidR="00B04BE0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jako jsou peněžité tresty, tresty domácího vězení apod.</w:t>
      </w:r>
      <w:r w:rsidR="00DE3A8B" w:rsidRPr="00287A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97BBEC" w14:textId="0509AEAE" w:rsidR="001612E3" w:rsidRPr="0039552A" w:rsidRDefault="001612E3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Z dat získaných 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od vězeňských institucí 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 xml:space="preserve">za rok 2018 NKÚ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zjistil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, že mezinárodní porovnávání úrovně vězeňství </w:t>
      </w:r>
      <w:r w:rsidR="00C87217">
        <w:rPr>
          <w:rFonts w:ascii="Calibri" w:eastAsia="Times New Roman" w:hAnsi="Calibri" w:cs="Calibri"/>
          <w:sz w:val="24"/>
          <w:szCs w:val="24"/>
          <w:lang w:eastAsia="en-US"/>
        </w:rPr>
        <w:t>není možné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bez detailní znalosti způsobu stanovení, resp. výpočtu konkrétních statistických ukazatelů.</w:t>
      </w:r>
      <w:r w:rsidR="00321936">
        <w:rPr>
          <w:rFonts w:ascii="Calibri" w:eastAsia="Times New Roman" w:hAnsi="Calibri" w:cs="Calibri"/>
          <w:sz w:val="24"/>
          <w:szCs w:val="24"/>
          <w:lang w:eastAsia="en-US"/>
        </w:rPr>
        <w:t xml:space="preserve"> Následující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případy uvádějí</w:t>
      </w:r>
      <w:r w:rsidR="00777FD5">
        <w:rPr>
          <w:rFonts w:ascii="Calibri" w:eastAsia="Times New Roman" w:hAnsi="Calibri" w:cs="Calibri"/>
          <w:sz w:val="24"/>
          <w:szCs w:val="24"/>
          <w:lang w:eastAsia="en-US"/>
        </w:rPr>
        <w:t xml:space="preserve"> některé skutečnosti ovlivňující možnost jejich srovnání</w:t>
      </w:r>
      <w:r w:rsidR="00266BCB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777FD5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</w:p>
    <w:p w14:paraId="50117A30" w14:textId="622BE1A5" w:rsidR="0013229D" w:rsidRDefault="0013229D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D16136">
        <w:rPr>
          <w:rFonts w:ascii="Calibri" w:eastAsia="Times New Roman" w:hAnsi="Calibri" w:cs="Calibri"/>
          <w:sz w:val="24"/>
          <w:szCs w:val="24"/>
          <w:lang w:eastAsia="en-US"/>
        </w:rPr>
        <w:t>Mezinárodní srovnání výše denních</w:t>
      </w:r>
      <w:r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 výdajů na jednu vězněnou osobu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je ovlivněno skladbou výdajů zahrnutých do výpočtu v jednotlivých zemích</w:t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 xml:space="preserve">například </w:t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Slovensko nezahrnuje </w:t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>do</w:t>
      </w:r>
      <w:r w:rsidR="00154BB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 xml:space="preserve">tohoto ukazatele </w:t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>kapitálové</w:t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 xml:space="preserve"> výdaje</w:t>
      </w:r>
      <w:r w:rsidR="00266BCB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266BCB">
        <w:rPr>
          <w:rFonts w:ascii="Calibri" w:eastAsia="Times New Roman" w:hAnsi="Calibri" w:cs="Calibri"/>
          <w:sz w:val="24"/>
          <w:szCs w:val="24"/>
          <w:lang w:eastAsia="en-US"/>
        </w:rPr>
        <w:t>D</w:t>
      </w:r>
      <w:r w:rsidR="00D16136">
        <w:rPr>
          <w:rFonts w:ascii="Calibri" w:eastAsia="Times New Roman" w:hAnsi="Calibri" w:cs="Calibri"/>
          <w:sz w:val="24"/>
          <w:szCs w:val="24"/>
          <w:lang w:eastAsia="en-US"/>
        </w:rPr>
        <w:t>ále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je</w:t>
      </w:r>
      <w:r w:rsidR="00266BCB">
        <w:rPr>
          <w:rFonts w:ascii="Calibri" w:eastAsia="Times New Roman" w:hAnsi="Calibri" w:cs="Calibri"/>
          <w:sz w:val="24"/>
          <w:szCs w:val="24"/>
          <w:lang w:eastAsia="en-US"/>
        </w:rPr>
        <w:t xml:space="preserve"> ovlivněno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rozdílem ve standardu kupní síly</w:t>
      </w:r>
      <w:r w:rsidR="00266BCB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="00810B94" w:rsidRPr="00810B9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D16136">
        <w:rPr>
          <w:rFonts w:ascii="Calibri" w:eastAsia="Times New Roman" w:hAnsi="Calibri" w:cs="Calibri"/>
          <w:sz w:val="24"/>
          <w:szCs w:val="24"/>
          <w:lang w:eastAsia="en-US"/>
        </w:rPr>
        <w:t xml:space="preserve">zejména rozdílem ve výši </w:t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>průměrn</w:t>
      </w:r>
      <w:r w:rsidR="00D16136">
        <w:rPr>
          <w:rFonts w:ascii="Calibri" w:eastAsia="Times New Roman" w:hAnsi="Calibri" w:cs="Calibri"/>
          <w:sz w:val="24"/>
          <w:szCs w:val="24"/>
          <w:lang w:eastAsia="en-US"/>
        </w:rPr>
        <w:t>é</w:t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>mzd</w:t>
      </w:r>
      <w:r w:rsidR="00D16136">
        <w:rPr>
          <w:rFonts w:ascii="Calibri" w:eastAsia="Times New Roman" w:hAnsi="Calibri" w:cs="Calibri"/>
          <w:sz w:val="24"/>
          <w:szCs w:val="24"/>
          <w:lang w:eastAsia="en-US"/>
        </w:rPr>
        <w:t>y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>Po zohlednění této skutečnosti prostřednictvím výše HDP na obyvatele</w:t>
      </w:r>
      <w:r w:rsidR="00810B94">
        <w:rPr>
          <w:rStyle w:val="Znakapoznpodarou"/>
          <w:rFonts w:ascii="Calibri" w:eastAsia="Times New Roman" w:hAnsi="Calibri"/>
          <w:sz w:val="24"/>
          <w:szCs w:val="24"/>
          <w:lang w:eastAsia="en-US"/>
        </w:rPr>
        <w:footnoteReference w:id="20"/>
      </w:r>
      <w:r w:rsidR="00810B94">
        <w:rPr>
          <w:rFonts w:ascii="Calibri" w:eastAsia="Times New Roman" w:hAnsi="Calibri" w:cs="Calibri"/>
          <w:sz w:val="24"/>
          <w:szCs w:val="24"/>
          <w:lang w:eastAsia="en-US"/>
        </w:rPr>
        <w:t xml:space="preserve"> lze konstatovat, že v</w:t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>ýše denních v</w:t>
      </w:r>
      <w:r w:rsidR="00481A9D">
        <w:rPr>
          <w:rFonts w:ascii="Calibri" w:eastAsia="Times New Roman" w:hAnsi="Calibri" w:cs="Calibri"/>
          <w:sz w:val="24"/>
          <w:szCs w:val="24"/>
          <w:lang w:eastAsia="en-US"/>
        </w:rPr>
        <w:t>ýdajů na jednu vězněnou osobu v </w:t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ČR je srovnatelná </w:t>
      </w:r>
      <w:r w:rsidR="0019169B">
        <w:rPr>
          <w:rFonts w:ascii="Calibri" w:eastAsia="Times New Roman" w:hAnsi="Calibri" w:cs="Calibri"/>
          <w:sz w:val="24"/>
          <w:szCs w:val="24"/>
          <w:lang w:eastAsia="en-US"/>
        </w:rPr>
        <w:t>například se</w:t>
      </w:r>
      <w:r w:rsidR="003A0407">
        <w:rPr>
          <w:rFonts w:ascii="Calibri" w:eastAsia="Times New Roman" w:hAnsi="Calibri" w:cs="Calibri"/>
          <w:sz w:val="24"/>
          <w:szCs w:val="24"/>
          <w:lang w:eastAsia="en-US"/>
        </w:rPr>
        <w:t xml:space="preserve"> Slovenskem</w:t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, ale nedosahuje výše výdajů, které na vězeňství vynakládají </w:t>
      </w:r>
      <w:r w:rsidR="00B84D97">
        <w:rPr>
          <w:rFonts w:ascii="Calibri" w:eastAsia="Times New Roman" w:hAnsi="Calibri" w:cs="Calibri"/>
          <w:sz w:val="24"/>
          <w:szCs w:val="24"/>
          <w:lang w:eastAsia="en-US"/>
        </w:rPr>
        <w:t>některé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 xml:space="preserve"> jiné</w:t>
      </w:r>
      <w:r w:rsidR="00B84D97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>evropské země</w:t>
      </w:r>
      <w:r w:rsidR="00CE3D89">
        <w:rPr>
          <w:rStyle w:val="Znakapoznpodarou"/>
          <w:rFonts w:ascii="Calibri" w:eastAsia="Times New Roman" w:hAnsi="Calibri"/>
          <w:sz w:val="24"/>
          <w:szCs w:val="24"/>
          <w:lang w:eastAsia="en-US"/>
        </w:rPr>
        <w:footnoteReference w:id="21"/>
      </w:r>
      <w:r w:rsidR="00810B94" w:rsidRPr="0039552A">
        <w:rPr>
          <w:rFonts w:ascii="Calibri" w:eastAsia="Times New Roman" w:hAnsi="Calibri" w:cs="Calibri"/>
          <w:sz w:val="24"/>
          <w:szCs w:val="24"/>
          <w:lang w:eastAsia="en-US"/>
        </w:rPr>
        <w:t>.</w:t>
      </w:r>
    </w:p>
    <w:p w14:paraId="1CD7E519" w14:textId="670DF97A" w:rsidR="001612E3" w:rsidRPr="0039552A" w:rsidRDefault="00266BCB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A07581">
        <w:rPr>
          <w:rFonts w:ascii="Calibri" w:eastAsia="Times New Roman" w:hAnsi="Calibri" w:cs="Calibri"/>
          <w:sz w:val="24"/>
          <w:szCs w:val="24"/>
          <w:lang w:eastAsia="en-US"/>
        </w:rPr>
        <w:lastRenderedPageBreak/>
        <w:t>N</w:t>
      </w:r>
      <w:r w:rsidR="001612E3" w:rsidRPr="00A07581">
        <w:rPr>
          <w:rFonts w:ascii="Calibri" w:eastAsia="Times New Roman" w:hAnsi="Calibri" w:cs="Calibri"/>
          <w:sz w:val="24"/>
          <w:szCs w:val="24"/>
          <w:lang w:eastAsia="en-US"/>
        </w:rPr>
        <w:t xml:space="preserve">a jednoho zaměstnance </w:t>
      </w:r>
      <w:r w:rsidRPr="00A07581">
        <w:rPr>
          <w:rFonts w:ascii="Calibri" w:eastAsia="Times New Roman" w:hAnsi="Calibri" w:cs="Calibri"/>
          <w:sz w:val="24"/>
          <w:szCs w:val="24"/>
          <w:lang w:eastAsia="en-US"/>
        </w:rPr>
        <w:t>VS</w:t>
      </w:r>
      <w:r w:rsidR="00390AA2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333161" w:rsidRPr="00A07581">
        <w:rPr>
          <w:rFonts w:ascii="Calibri" w:eastAsia="Times New Roman" w:hAnsi="Calibri" w:cs="Calibri"/>
          <w:sz w:val="24"/>
          <w:szCs w:val="24"/>
          <w:lang w:eastAsia="en-US"/>
        </w:rPr>
        <w:t>ČR</w:t>
      </w:r>
      <w:r w:rsidR="001612E3" w:rsidRPr="00A07581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A07581">
        <w:rPr>
          <w:rFonts w:ascii="Calibri" w:eastAsia="Times New Roman" w:hAnsi="Calibri" w:cs="Calibri"/>
          <w:sz w:val="24"/>
          <w:szCs w:val="24"/>
          <w:lang w:eastAsia="en-US"/>
        </w:rPr>
        <w:t>připadají v průměru cca dva vězni a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ČR v tomto ukazateli dosahuje </w:t>
      </w:r>
      <w:r w:rsidR="001612E3" w:rsidRPr="004F39A9">
        <w:rPr>
          <w:rFonts w:ascii="Calibri" w:eastAsia="Times New Roman" w:hAnsi="Calibri" w:cs="Calibri"/>
          <w:sz w:val="24"/>
          <w:szCs w:val="24"/>
          <w:lang w:eastAsia="en-US"/>
        </w:rPr>
        <w:t xml:space="preserve">evropského průměru. Tento ukazatel </w:t>
      </w:r>
      <w:r w:rsidR="00333161">
        <w:rPr>
          <w:rFonts w:ascii="Calibri" w:eastAsia="Times New Roman" w:hAnsi="Calibri" w:cs="Calibri"/>
          <w:sz w:val="24"/>
          <w:szCs w:val="24"/>
          <w:lang w:eastAsia="en-US"/>
        </w:rPr>
        <w:t>je</w:t>
      </w:r>
      <w:r w:rsidR="001612E3" w:rsidRPr="004F39A9">
        <w:rPr>
          <w:rFonts w:ascii="Calibri" w:eastAsia="Times New Roman" w:hAnsi="Calibri" w:cs="Calibri"/>
          <w:sz w:val="24"/>
          <w:szCs w:val="24"/>
          <w:lang w:eastAsia="en-US"/>
        </w:rPr>
        <w:t xml:space="preserve"> ovlivněn</w:t>
      </w:r>
      <w:r w:rsidR="00333161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1612E3" w:rsidRPr="004F39A9">
        <w:rPr>
          <w:rFonts w:ascii="Calibri" w:eastAsia="Times New Roman" w:hAnsi="Calibri" w:cs="Calibri"/>
          <w:sz w:val="24"/>
          <w:szCs w:val="24"/>
          <w:lang w:eastAsia="en-US"/>
        </w:rPr>
        <w:t xml:space="preserve">tím, </w:t>
      </w:r>
      <w:r w:rsidR="004F39A9" w:rsidRPr="004F39A9">
        <w:rPr>
          <w:rFonts w:ascii="Calibri" w:eastAsia="Times New Roman" w:hAnsi="Calibri" w:cs="Calibri"/>
          <w:sz w:val="24"/>
          <w:szCs w:val="24"/>
          <w:lang w:eastAsia="en-US"/>
        </w:rPr>
        <w:t xml:space="preserve">že ČR </w:t>
      </w:r>
      <w:r w:rsidR="001612E3" w:rsidRPr="004F39A9">
        <w:rPr>
          <w:rFonts w:ascii="Calibri" w:eastAsia="Times New Roman" w:hAnsi="Calibri" w:cs="Calibri"/>
          <w:sz w:val="24"/>
          <w:szCs w:val="24"/>
          <w:lang w:eastAsia="en-US"/>
        </w:rPr>
        <w:t xml:space="preserve">do počtu zaměstnanců </w:t>
      </w:r>
      <w:r w:rsidR="00A20C21">
        <w:rPr>
          <w:rFonts w:ascii="Calibri" w:eastAsia="Times New Roman" w:hAnsi="Calibri" w:cs="Calibri"/>
          <w:sz w:val="24"/>
          <w:szCs w:val="24"/>
          <w:lang w:eastAsia="en-US"/>
        </w:rPr>
        <w:t xml:space="preserve">zahrnuje </w:t>
      </w:r>
      <w:r w:rsidR="004B4CDA" w:rsidRPr="00FA75CA">
        <w:rPr>
          <w:rFonts w:ascii="Calibri" w:eastAsia="Times New Roman" w:hAnsi="Calibri" w:cs="Calibri"/>
          <w:sz w:val="24"/>
          <w:szCs w:val="24"/>
          <w:lang w:eastAsia="en-US"/>
        </w:rPr>
        <w:t>i</w:t>
      </w:r>
      <w:r w:rsidR="0098266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A20C21" w:rsidRPr="00FA75CA">
        <w:rPr>
          <w:rFonts w:ascii="Calibri" w:eastAsia="Times New Roman" w:hAnsi="Calibri" w:cs="Calibri"/>
          <w:sz w:val="24"/>
          <w:szCs w:val="24"/>
          <w:lang w:eastAsia="en-US"/>
        </w:rPr>
        <w:t>příslušník</w:t>
      </w:r>
      <w:r w:rsidR="00FA75CA" w:rsidRPr="00FA75CA">
        <w:rPr>
          <w:rFonts w:ascii="Calibri" w:eastAsia="Times New Roman" w:hAnsi="Calibri" w:cs="Calibri"/>
          <w:sz w:val="24"/>
          <w:szCs w:val="24"/>
          <w:lang w:eastAsia="en-US"/>
        </w:rPr>
        <w:t>y</w:t>
      </w:r>
      <w:r w:rsidR="00154BB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1612E3" w:rsidRPr="00FA75CA">
        <w:rPr>
          <w:rFonts w:ascii="Calibri" w:eastAsia="Times New Roman" w:hAnsi="Calibri" w:cs="Calibri"/>
          <w:sz w:val="24"/>
          <w:szCs w:val="24"/>
          <w:lang w:eastAsia="en-US"/>
        </w:rPr>
        <w:t>justiční stráž</w:t>
      </w:r>
      <w:r w:rsidR="00A20C21" w:rsidRPr="00FA75CA">
        <w:rPr>
          <w:rFonts w:ascii="Calibri" w:eastAsia="Times New Roman" w:hAnsi="Calibri" w:cs="Calibri"/>
          <w:sz w:val="24"/>
          <w:szCs w:val="24"/>
          <w:lang w:eastAsia="en-US"/>
        </w:rPr>
        <w:t>e, stejně jako Slovensko</w:t>
      </w:r>
      <w:r w:rsidR="00481A9D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="004F39A9" w:rsidRPr="00FA75CA">
        <w:rPr>
          <w:rFonts w:ascii="Calibri" w:eastAsia="Times New Roman" w:hAnsi="Calibri" w:cs="Calibri"/>
          <w:sz w:val="24"/>
          <w:szCs w:val="24"/>
          <w:lang w:eastAsia="en-US"/>
        </w:rPr>
        <w:t xml:space="preserve"> a </w:t>
      </w:r>
      <w:r w:rsidR="00333161" w:rsidRPr="00FA75CA">
        <w:rPr>
          <w:rFonts w:ascii="Calibri" w:eastAsia="Times New Roman" w:hAnsi="Calibri" w:cs="Calibri"/>
          <w:sz w:val="24"/>
          <w:szCs w:val="24"/>
          <w:lang w:eastAsia="en-US"/>
        </w:rPr>
        <w:t xml:space="preserve">dále například tím, že </w:t>
      </w:r>
      <w:r w:rsidR="004F39A9" w:rsidRPr="00FA75CA">
        <w:rPr>
          <w:rFonts w:ascii="Calibri" w:eastAsia="Times New Roman" w:hAnsi="Calibri" w:cs="Calibri"/>
          <w:sz w:val="24"/>
          <w:szCs w:val="24"/>
          <w:lang w:eastAsia="en-US"/>
        </w:rPr>
        <w:t>některé země do počtu zaměstnanců nezahrnují</w:t>
      </w:r>
      <w:r w:rsidR="001612E3" w:rsidRPr="004F39A9">
        <w:rPr>
          <w:rFonts w:ascii="Calibri" w:eastAsia="Times New Roman" w:hAnsi="Calibri" w:cs="Calibri"/>
          <w:sz w:val="24"/>
          <w:szCs w:val="24"/>
          <w:lang w:eastAsia="en-US"/>
        </w:rPr>
        <w:t xml:space="preserve"> zdravotnický personál.</w:t>
      </w:r>
    </w:p>
    <w:p w14:paraId="217CB23F" w14:textId="67915195" w:rsidR="004F39A9" w:rsidRPr="00ED3204" w:rsidRDefault="004F39A9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Údaje o velikosti ubytovací plochy na jednoho vězně statistiky 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 xml:space="preserve">SPACE 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neuvád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>ěj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í</w:t>
      </w:r>
      <w:r w:rsidR="009530B7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  <w:r w:rsidR="001F530C" w:rsidRPr="001F530C">
        <w:rPr>
          <w:rFonts w:ascii="Calibri" w:eastAsia="Times New Roman" w:hAnsi="Calibri" w:cs="Calibri"/>
          <w:sz w:val="24"/>
          <w:szCs w:val="24"/>
          <w:lang w:eastAsia="en-US"/>
        </w:rPr>
        <w:t>Evropský výbor p</w:t>
      </w:r>
      <w:r w:rsidR="00723D33">
        <w:rPr>
          <w:rFonts w:ascii="Calibri" w:eastAsia="Times New Roman" w:hAnsi="Calibri" w:cs="Calibri"/>
          <w:sz w:val="24"/>
          <w:szCs w:val="24"/>
          <w:lang w:eastAsia="en-US"/>
        </w:rPr>
        <w:t>ro zabránění mučení a nelidskému či ponižujícímu</w:t>
      </w:r>
      <w:r w:rsidR="001F530C" w:rsidRPr="001F530C">
        <w:rPr>
          <w:rFonts w:ascii="Calibri" w:eastAsia="Times New Roman" w:hAnsi="Calibri" w:cs="Calibri"/>
          <w:sz w:val="24"/>
          <w:szCs w:val="24"/>
          <w:lang w:eastAsia="en-US"/>
        </w:rPr>
        <w:t xml:space="preserve"> zacházení nebo trestání </w:t>
      </w:r>
      <w:r w:rsidR="00EB5B2F">
        <w:rPr>
          <w:rFonts w:ascii="Calibri" w:eastAsia="Times New Roman" w:hAnsi="Calibri" w:cs="Calibri"/>
          <w:sz w:val="24"/>
          <w:szCs w:val="24"/>
          <w:lang w:eastAsia="en-US"/>
        </w:rPr>
        <w:t>(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CPT</w:t>
      </w:r>
      <w:r w:rsidR="00EB5B2F">
        <w:rPr>
          <w:rFonts w:ascii="Calibri" w:eastAsia="Times New Roman" w:hAnsi="Calibri" w:cs="Calibri"/>
          <w:sz w:val="24"/>
          <w:szCs w:val="24"/>
          <w:lang w:eastAsia="en-US"/>
        </w:rPr>
        <w:t xml:space="preserve">) 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doporučuje </w:t>
      </w:r>
      <w:r w:rsidR="00946BB1">
        <w:rPr>
          <w:rFonts w:ascii="Calibri" w:eastAsia="Times New Roman" w:hAnsi="Calibri" w:cs="Calibri"/>
          <w:sz w:val="24"/>
          <w:szCs w:val="24"/>
          <w:lang w:eastAsia="en-US"/>
        </w:rPr>
        <w:t>pro</w:t>
      </w:r>
      <w:r w:rsidR="00333161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ubytování </w:t>
      </w:r>
      <w:r w:rsidR="00946BB1" w:rsidRPr="00946BB1">
        <w:rPr>
          <w:rFonts w:ascii="Calibri" w:eastAsia="Times New Roman" w:hAnsi="Calibri" w:cs="Calibri"/>
          <w:sz w:val="24"/>
          <w:szCs w:val="24"/>
          <w:lang w:eastAsia="en-US"/>
        </w:rPr>
        <w:t>jednoho odsouzeného v</w:t>
      </w:r>
      <w:r w:rsidR="00946BB1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946BB1" w:rsidRPr="00946BB1">
        <w:rPr>
          <w:rFonts w:ascii="Calibri" w:eastAsia="Times New Roman" w:hAnsi="Calibri" w:cs="Calibri"/>
          <w:sz w:val="24"/>
          <w:szCs w:val="24"/>
          <w:lang w:eastAsia="en-US"/>
        </w:rPr>
        <w:t>místnosti</w:t>
      </w:r>
      <w:r w:rsidR="00946BB1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minimální standard 6 m</w:t>
      </w:r>
      <w:r w:rsidRPr="00ED3204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>2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obytného prostoru</w:t>
      </w:r>
      <w:r w:rsidR="00154BB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0E0541">
        <w:rPr>
          <w:rFonts w:ascii="Calibri" w:eastAsia="Times New Roman" w:hAnsi="Calibri" w:cs="Calibri"/>
          <w:sz w:val="24"/>
          <w:szCs w:val="24"/>
          <w:lang w:eastAsia="en-US"/>
        </w:rPr>
        <w:t>bez</w:t>
      </w:r>
      <w:r w:rsidR="00154BB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706FA1" w:rsidRPr="00ED3204">
        <w:rPr>
          <w:rFonts w:ascii="Calibri" w:eastAsia="Times New Roman" w:hAnsi="Calibri" w:cs="Calibri"/>
          <w:sz w:val="24"/>
          <w:szCs w:val="24"/>
          <w:lang w:eastAsia="en-US"/>
        </w:rPr>
        <w:t>sociální</w:t>
      </w:r>
      <w:r w:rsidR="000E0541">
        <w:rPr>
          <w:rFonts w:ascii="Calibri" w:eastAsia="Times New Roman" w:hAnsi="Calibri" w:cs="Calibri"/>
          <w:sz w:val="24"/>
          <w:szCs w:val="24"/>
          <w:lang w:eastAsia="en-US"/>
        </w:rPr>
        <w:t>ho</w:t>
      </w:r>
      <w:r w:rsidR="00706FA1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zařízení</w:t>
      </w:r>
      <w:r w:rsidR="00946BB1">
        <w:rPr>
          <w:rFonts w:ascii="Calibri" w:eastAsia="Times New Roman" w:hAnsi="Calibri" w:cs="Calibri"/>
          <w:sz w:val="24"/>
          <w:szCs w:val="24"/>
          <w:lang w:eastAsia="en-US"/>
        </w:rPr>
        <w:t>. V</w:t>
      </w:r>
      <w:r w:rsidR="00333161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 případech hromadného systému ubytování </w:t>
      </w:r>
      <w:r w:rsidR="00946BB1">
        <w:rPr>
          <w:rFonts w:ascii="Calibri" w:eastAsia="Times New Roman" w:hAnsi="Calibri" w:cs="Calibri"/>
          <w:sz w:val="24"/>
          <w:szCs w:val="24"/>
          <w:lang w:eastAsia="en-US"/>
        </w:rPr>
        <w:t xml:space="preserve">doporučuje 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4 m</w:t>
      </w:r>
      <w:r w:rsidRPr="00ED3204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>2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obytného prostoru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0E0541">
        <w:rPr>
          <w:rFonts w:ascii="Calibri" w:eastAsia="Times New Roman" w:hAnsi="Calibri" w:cs="Calibri"/>
          <w:sz w:val="24"/>
          <w:szCs w:val="24"/>
          <w:lang w:eastAsia="en-US"/>
        </w:rPr>
        <w:t>a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706FA1" w:rsidRPr="00ED3204">
        <w:rPr>
          <w:rFonts w:ascii="Calibri" w:eastAsia="Times New Roman" w:hAnsi="Calibri" w:cs="Calibri"/>
          <w:sz w:val="24"/>
          <w:szCs w:val="24"/>
          <w:lang w:eastAsia="en-US"/>
        </w:rPr>
        <w:t>plně oddělitelné sociální zařízení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9530B7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>V l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egislativ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>ě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ČR 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je 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sta</w:t>
      </w:r>
      <w:r w:rsidR="00AF10FE">
        <w:rPr>
          <w:rFonts w:ascii="Calibri" w:eastAsia="Times New Roman" w:hAnsi="Calibri" w:cs="Calibri"/>
          <w:sz w:val="24"/>
          <w:szCs w:val="24"/>
          <w:lang w:eastAsia="en-US"/>
        </w:rPr>
        <w:t>no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ven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>a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ubytovací ploch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>a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na jednu vězněnou osobu </w:t>
      </w:r>
      <w:r w:rsidR="00A90AE8" w:rsidRPr="00A90AE8">
        <w:rPr>
          <w:rFonts w:ascii="Calibri" w:eastAsia="Times New Roman" w:hAnsi="Calibri" w:cs="Calibri"/>
          <w:sz w:val="24"/>
          <w:szCs w:val="24"/>
          <w:lang w:eastAsia="en-US"/>
        </w:rPr>
        <w:t>při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A90AE8" w:rsidRPr="00A90AE8">
        <w:rPr>
          <w:rFonts w:ascii="Calibri" w:eastAsia="Times New Roman" w:hAnsi="Calibri" w:cs="Calibri"/>
          <w:sz w:val="24"/>
          <w:szCs w:val="24"/>
          <w:lang w:eastAsia="en-US"/>
        </w:rPr>
        <w:t>ubytování více odsouzených v jedné místnosti</w:t>
      </w:r>
      <w:r w:rsidR="00A90AE8">
        <w:rPr>
          <w:rFonts w:asciiTheme="minorHAnsi" w:hAnsiTheme="minorHAnsi" w:cstheme="minorHAnsi"/>
        </w:rPr>
        <w:t xml:space="preserve"> 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>4</w:t>
      </w:r>
      <w:r w:rsidR="001F530C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>m</w:t>
      </w:r>
      <w:r w:rsidR="00D62BB9" w:rsidRPr="000C078D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>2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, 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ale </w:t>
      </w:r>
      <w:r w:rsidR="00287AB3">
        <w:rPr>
          <w:rFonts w:ascii="Calibri" w:eastAsia="Times New Roman" w:hAnsi="Calibri" w:cs="Calibri"/>
          <w:sz w:val="24"/>
          <w:szCs w:val="24"/>
          <w:lang w:eastAsia="en-US"/>
        </w:rPr>
        <w:t xml:space="preserve">vyhláška č. 345/1999 Sb. 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nevyjímá z této plochy sociální zařízení 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v případě, že je uvnitř cely</w:t>
      </w:r>
      <w:r w:rsidR="00597262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a </w:t>
      </w:r>
      <w:r w:rsidR="000E0541">
        <w:rPr>
          <w:rFonts w:ascii="Calibri" w:eastAsia="Times New Roman" w:hAnsi="Calibri" w:cs="Calibri"/>
          <w:sz w:val="24"/>
          <w:szCs w:val="24"/>
          <w:lang w:eastAsia="en-US"/>
        </w:rPr>
        <w:t xml:space="preserve">dále 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připouští v případě přeplněnosti věznic </w:t>
      </w:r>
      <w:r w:rsidR="00CC09F9">
        <w:rPr>
          <w:rFonts w:ascii="Calibri" w:eastAsia="Times New Roman" w:hAnsi="Calibri" w:cs="Calibri"/>
          <w:sz w:val="24"/>
          <w:szCs w:val="24"/>
          <w:lang w:eastAsia="en-US"/>
        </w:rPr>
        <w:t xml:space="preserve">zmenšit 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plochu </w:t>
      </w:r>
      <w:r w:rsidR="00CC09F9">
        <w:rPr>
          <w:rFonts w:ascii="Calibri" w:eastAsia="Times New Roman" w:hAnsi="Calibri" w:cs="Calibri"/>
          <w:sz w:val="24"/>
          <w:szCs w:val="24"/>
          <w:lang w:eastAsia="en-US"/>
        </w:rPr>
        <w:t xml:space="preserve">na </w:t>
      </w:r>
      <w:r w:rsidR="00212E22">
        <w:rPr>
          <w:rFonts w:ascii="Calibri" w:eastAsia="Times New Roman" w:hAnsi="Calibri" w:cs="Calibri"/>
          <w:sz w:val="24"/>
          <w:szCs w:val="24"/>
          <w:lang w:eastAsia="en-US"/>
        </w:rPr>
        <w:t xml:space="preserve">nejméně 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>3</w:t>
      </w:r>
      <w:r w:rsidR="00212E22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>m</w:t>
      </w:r>
      <w:r w:rsidR="00D62BB9" w:rsidRPr="000C078D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>2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>N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ově budované či rekonstruované místnosti minimální standard CPT splňují. </w:t>
      </w:r>
      <w:r w:rsidR="0099697E">
        <w:rPr>
          <w:rFonts w:ascii="Calibri" w:eastAsia="Times New Roman" w:hAnsi="Calibri" w:cs="Calibri"/>
          <w:sz w:val="24"/>
          <w:szCs w:val="24"/>
          <w:lang w:eastAsia="en-US"/>
        </w:rPr>
        <w:t>VS ČR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aktuálně analyzuje dopady uplatnění minimálního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standardu </w:t>
      </w:r>
      <w:r w:rsidR="00A1495B">
        <w:rPr>
          <w:rFonts w:ascii="Calibri" w:eastAsia="Times New Roman" w:hAnsi="Calibri" w:cs="Calibri"/>
          <w:sz w:val="24"/>
          <w:szCs w:val="24"/>
          <w:lang w:eastAsia="en-US"/>
        </w:rPr>
        <w:t xml:space="preserve">CPT 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>ve všech věznicích</w:t>
      </w: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005FD2" w:rsidRPr="00ED3204">
        <w:rPr>
          <w:rFonts w:ascii="Calibri" w:eastAsia="Times New Roman" w:hAnsi="Calibri" w:cs="Calibri"/>
          <w:sz w:val="24"/>
          <w:szCs w:val="24"/>
          <w:lang w:eastAsia="en-US"/>
        </w:rPr>
        <w:t>Podle předložených údajů je minimální ubytovací plocha na jednoho vězně např</w:t>
      </w:r>
      <w:r w:rsidR="00212E22">
        <w:rPr>
          <w:rFonts w:ascii="Calibri" w:eastAsia="Times New Roman" w:hAnsi="Calibri" w:cs="Calibri"/>
          <w:sz w:val="24"/>
          <w:szCs w:val="24"/>
          <w:lang w:eastAsia="en-US"/>
        </w:rPr>
        <w:t>íklad</w:t>
      </w:r>
      <w:r w:rsidR="00005FD2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v Rumunsku 4</w:t>
      </w:r>
      <w:r w:rsidR="00212E22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005FD2" w:rsidRPr="00ED3204">
        <w:rPr>
          <w:rFonts w:ascii="Calibri" w:eastAsia="Times New Roman" w:hAnsi="Calibri" w:cs="Calibri"/>
          <w:sz w:val="24"/>
          <w:szCs w:val="24"/>
          <w:lang w:eastAsia="en-US"/>
        </w:rPr>
        <w:t>m</w:t>
      </w:r>
      <w:r w:rsidR="00005FD2" w:rsidRPr="00ED3204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>2</w:t>
      </w:r>
      <w:r w:rsidR="00005FD2" w:rsidRPr="00ED3204">
        <w:rPr>
          <w:rFonts w:ascii="Calibri" w:eastAsia="Times New Roman" w:hAnsi="Calibri" w:cs="Calibri"/>
          <w:sz w:val="24"/>
          <w:szCs w:val="24"/>
          <w:lang w:eastAsia="en-US"/>
        </w:rPr>
        <w:t>, v Polsku 3</w:t>
      </w:r>
      <w:r w:rsidR="00481A9D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005FD2" w:rsidRPr="00ED3204">
        <w:rPr>
          <w:rFonts w:ascii="Calibri" w:eastAsia="Times New Roman" w:hAnsi="Calibri" w:cs="Calibri"/>
          <w:sz w:val="24"/>
          <w:szCs w:val="24"/>
          <w:lang w:eastAsia="en-US"/>
        </w:rPr>
        <w:t>m</w:t>
      </w:r>
      <w:r w:rsidR="00005FD2" w:rsidRPr="00ED3204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>2</w:t>
      </w:r>
      <w:r w:rsidR="00005FD2" w:rsidRPr="00ED3204">
        <w:rPr>
          <w:rFonts w:ascii="Calibri" w:eastAsia="Times New Roman" w:hAnsi="Calibri" w:cs="Calibri"/>
          <w:sz w:val="24"/>
          <w:szCs w:val="24"/>
          <w:lang w:eastAsia="en-US"/>
        </w:rPr>
        <w:t>, na</w:t>
      </w:r>
      <w:r w:rsidR="00154BB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C94C31">
        <w:rPr>
          <w:rFonts w:ascii="Calibri" w:eastAsia="Times New Roman" w:hAnsi="Calibri" w:cs="Calibri"/>
          <w:sz w:val="24"/>
          <w:szCs w:val="24"/>
          <w:lang w:eastAsia="en-US"/>
        </w:rPr>
        <w:t>Slovensku 3,5 </w:t>
      </w:r>
      <w:r w:rsidR="00005FD2" w:rsidRPr="00ED3204">
        <w:rPr>
          <w:rFonts w:ascii="Calibri" w:eastAsia="Times New Roman" w:hAnsi="Calibri" w:cs="Calibri"/>
          <w:sz w:val="24"/>
          <w:szCs w:val="24"/>
          <w:lang w:eastAsia="en-US"/>
        </w:rPr>
        <w:t>m</w:t>
      </w:r>
      <w:r w:rsidR="00005FD2" w:rsidRPr="00ED3204">
        <w:rPr>
          <w:rFonts w:ascii="Calibri" w:eastAsia="Times New Roman" w:hAnsi="Calibri" w:cs="Calibri"/>
          <w:sz w:val="24"/>
          <w:szCs w:val="24"/>
          <w:vertAlign w:val="superscript"/>
          <w:lang w:eastAsia="en-US"/>
        </w:rPr>
        <w:t>2</w:t>
      </w:r>
      <w:r w:rsidR="00005FD2" w:rsidRPr="00ED3204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005FD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A94E0D">
        <w:rPr>
          <w:rFonts w:ascii="Calibri" w:eastAsia="Times New Roman" w:hAnsi="Calibri" w:cs="Calibri"/>
          <w:sz w:val="24"/>
          <w:szCs w:val="24"/>
          <w:lang w:eastAsia="en-US"/>
        </w:rPr>
        <w:t>L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>egislativou sta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>novené plochy</w:t>
      </w:r>
      <w:r w:rsidR="00A94E0D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 xml:space="preserve">pro vězněné osoby </w:t>
      </w:r>
      <w:r w:rsidR="00A94E0D">
        <w:rPr>
          <w:rFonts w:ascii="Calibri" w:eastAsia="Times New Roman" w:hAnsi="Calibri" w:cs="Calibri"/>
          <w:sz w:val="24"/>
          <w:szCs w:val="24"/>
          <w:lang w:eastAsia="en-US"/>
        </w:rPr>
        <w:t xml:space="preserve">v těchto zemích </w:t>
      </w:r>
      <w:r w:rsidR="00C36EA0">
        <w:rPr>
          <w:rFonts w:ascii="Calibri" w:eastAsia="Times New Roman" w:hAnsi="Calibri" w:cs="Calibri"/>
          <w:sz w:val="24"/>
          <w:szCs w:val="24"/>
          <w:lang w:eastAsia="en-US"/>
        </w:rPr>
        <w:t>tak nedosahují</w:t>
      </w:r>
      <w:r w:rsidR="00C36EA0" w:rsidRPr="00C36EA0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C36EA0" w:rsidRPr="00ED3204">
        <w:rPr>
          <w:rFonts w:ascii="Calibri" w:eastAsia="Times New Roman" w:hAnsi="Calibri" w:cs="Calibri"/>
          <w:sz w:val="24"/>
          <w:szCs w:val="24"/>
          <w:lang w:eastAsia="en-US"/>
        </w:rPr>
        <w:t>standardu CPT</w:t>
      </w:r>
      <w:r w:rsidR="00D62BB9" w:rsidRPr="00ED3204">
        <w:rPr>
          <w:rFonts w:ascii="Calibri" w:eastAsia="Times New Roman" w:hAnsi="Calibri" w:cs="Calibri"/>
          <w:sz w:val="24"/>
          <w:szCs w:val="24"/>
          <w:lang w:eastAsia="en-US"/>
        </w:rPr>
        <w:t>.</w:t>
      </w:r>
    </w:p>
    <w:p w14:paraId="47CEDD46" w14:textId="40F659E9" w:rsidR="0039552A" w:rsidRPr="0039552A" w:rsidRDefault="0039552A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ED3204">
        <w:rPr>
          <w:rFonts w:ascii="Calibri" w:eastAsia="Times New Roman" w:hAnsi="Calibri" w:cs="Calibri"/>
          <w:sz w:val="24"/>
          <w:szCs w:val="24"/>
          <w:lang w:eastAsia="en-US"/>
        </w:rPr>
        <w:t>Recidiva není ve všech porovná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>vaných zemích definována stejně. V</w:t>
      </w:r>
      <w:r w:rsidR="00A94E0D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>ČR</w:t>
      </w:r>
      <w:r w:rsidR="00A94E0D">
        <w:rPr>
          <w:rFonts w:ascii="Calibri" w:eastAsia="Times New Roman" w:hAnsi="Calibri" w:cs="Calibri"/>
          <w:sz w:val="24"/>
          <w:szCs w:val="24"/>
          <w:lang w:eastAsia="en-US"/>
        </w:rPr>
        <w:t xml:space="preserve"> a obdobně na Slovensku</w:t>
      </w:r>
      <w:r w:rsidR="00ED3204" w:rsidRPr="00ED3204">
        <w:rPr>
          <w:rFonts w:ascii="Calibri" w:eastAsia="Times New Roman" w:hAnsi="Calibri" w:cs="Calibri"/>
          <w:sz w:val="24"/>
          <w:szCs w:val="24"/>
          <w:lang w:eastAsia="en-US"/>
        </w:rPr>
        <w:t xml:space="preserve"> je recidivista každý</w:t>
      </w:r>
      <w:r w:rsidR="00E3503A">
        <w:rPr>
          <w:rFonts w:ascii="Calibri" w:eastAsia="Times New Roman" w:hAnsi="Calibri" w:cs="Calibri"/>
          <w:sz w:val="24"/>
          <w:szCs w:val="24"/>
          <w:lang w:eastAsia="en-US"/>
        </w:rPr>
        <w:t xml:space="preserve"> odsouzený, </w:t>
      </w:r>
      <w:r w:rsidR="00E3503A" w:rsidRPr="00D63D74">
        <w:rPr>
          <w:rFonts w:ascii="Calibri" w:eastAsia="Times New Roman" w:hAnsi="Calibri" w:cs="Calibri"/>
          <w:sz w:val="24"/>
          <w:szCs w:val="24"/>
          <w:lang w:eastAsia="en-US"/>
        </w:rPr>
        <w:t>který</w:t>
      </w:r>
      <w:r w:rsidR="00ED3204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 je opětovně uvězněn bez ohledu na čas, který uplynul od posledního výkonu trestu</w:t>
      </w:r>
      <w:r w:rsidR="00E3503A" w:rsidRPr="00D63D74">
        <w:rPr>
          <w:rFonts w:ascii="Calibri" w:eastAsia="Times New Roman" w:hAnsi="Calibri" w:cs="Calibri"/>
          <w:sz w:val="24"/>
          <w:szCs w:val="24"/>
          <w:lang w:eastAsia="en-US"/>
        </w:rPr>
        <w:t>. N</w:t>
      </w:r>
      <w:r w:rsidRPr="00D63D74">
        <w:rPr>
          <w:rFonts w:ascii="Calibri" w:eastAsia="Times New Roman" w:hAnsi="Calibri" w:cs="Calibri"/>
          <w:sz w:val="24"/>
          <w:szCs w:val="24"/>
          <w:lang w:eastAsia="en-US"/>
        </w:rPr>
        <w:t>ěkteré země</w:t>
      </w:r>
      <w:r w:rsidR="00E3503A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 však</w:t>
      </w:r>
      <w:r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 po uplynutí stanoveného období </w:t>
      </w:r>
      <w:r w:rsidR="0088546E" w:rsidRPr="00D63D74">
        <w:rPr>
          <w:rFonts w:ascii="Calibri" w:eastAsia="Times New Roman" w:hAnsi="Calibri" w:cs="Calibri"/>
          <w:sz w:val="24"/>
          <w:szCs w:val="24"/>
          <w:lang w:eastAsia="en-US"/>
        </w:rPr>
        <w:t>mezi výkony trestu vězně</w:t>
      </w:r>
      <w:r w:rsidR="00ED3204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D63D74">
        <w:rPr>
          <w:rFonts w:ascii="Calibri" w:eastAsia="Times New Roman" w:hAnsi="Calibri" w:cs="Calibri"/>
          <w:sz w:val="24"/>
          <w:szCs w:val="24"/>
          <w:lang w:eastAsia="en-US"/>
        </w:rPr>
        <w:t>za recidivistu nepovažují.</w:t>
      </w:r>
      <w:r w:rsidR="00D50E50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E30301" w:rsidRPr="00D63D74">
        <w:rPr>
          <w:rFonts w:ascii="Calibri" w:eastAsia="Times New Roman" w:hAnsi="Calibri" w:cs="Calibri"/>
          <w:sz w:val="24"/>
          <w:szCs w:val="24"/>
          <w:lang w:eastAsia="en-US"/>
        </w:rPr>
        <w:t>Podíl recidivistů na</w:t>
      </w:r>
      <w:r w:rsidR="0017208C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 celkovém počtu odsouzených v ČR se </w:t>
      </w:r>
      <w:r w:rsidR="00E30301" w:rsidRPr="00D63D74">
        <w:rPr>
          <w:rFonts w:ascii="Calibri" w:eastAsia="Times New Roman" w:hAnsi="Calibri" w:cs="Calibri"/>
          <w:sz w:val="24"/>
          <w:szCs w:val="24"/>
          <w:lang w:eastAsia="en-US"/>
        </w:rPr>
        <w:t>v období 2016–</w:t>
      </w:r>
      <w:r w:rsidR="0017208C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2018 </w:t>
      </w:r>
      <w:r w:rsidR="00E30301" w:rsidRPr="00D63D74">
        <w:rPr>
          <w:rFonts w:ascii="Calibri" w:eastAsia="Times New Roman" w:hAnsi="Calibri" w:cs="Calibri"/>
          <w:sz w:val="24"/>
          <w:szCs w:val="24"/>
          <w:lang w:eastAsia="en-US"/>
        </w:rPr>
        <w:t>neměnil a byl</w:t>
      </w:r>
      <w:r w:rsidR="0017208C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 63</w:t>
      </w:r>
      <w:r w:rsidR="00AC0C88" w:rsidRPr="00D63D74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17208C" w:rsidRPr="00D63D74">
        <w:rPr>
          <w:rFonts w:ascii="Calibri" w:eastAsia="Times New Roman" w:hAnsi="Calibri" w:cs="Calibri"/>
          <w:sz w:val="24"/>
          <w:szCs w:val="24"/>
          <w:lang w:eastAsia="en-US"/>
        </w:rPr>
        <w:t>%, což je srovnatelné se Slovenskem, které</w:t>
      </w:r>
      <w:r w:rsidR="00A94E0D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CF0FA9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má podíl </w:t>
      </w:r>
      <w:r w:rsidR="00A94E0D" w:rsidRPr="00D63D74">
        <w:rPr>
          <w:rFonts w:ascii="Calibri" w:eastAsia="Times New Roman" w:hAnsi="Calibri" w:cs="Calibri"/>
          <w:sz w:val="24"/>
          <w:szCs w:val="24"/>
          <w:lang w:eastAsia="en-US"/>
        </w:rPr>
        <w:t xml:space="preserve">recidivistů </w:t>
      </w:r>
      <w:r w:rsidR="00CF0FA9" w:rsidRPr="00D63D74">
        <w:rPr>
          <w:rFonts w:ascii="Calibri" w:eastAsia="Times New Roman" w:hAnsi="Calibri" w:cs="Calibri"/>
          <w:sz w:val="24"/>
          <w:szCs w:val="24"/>
          <w:lang w:eastAsia="en-US"/>
        </w:rPr>
        <w:t>64 %</w:t>
      </w:r>
      <w:r w:rsidR="0017208C" w:rsidRPr="00D63D74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17208C" w:rsidRPr="0017208C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</w:p>
    <w:p w14:paraId="660B9DB8" w14:textId="1E28B223" w:rsidR="0039552A" w:rsidRDefault="00005FD2" w:rsidP="00497852">
      <w:pPr>
        <w:widowControl/>
        <w:autoSpaceDE/>
        <w:autoSpaceDN/>
        <w:adjustRightInd/>
        <w:spacing w:before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05FD2">
        <w:rPr>
          <w:rFonts w:ascii="Calibri" w:eastAsia="Times New Roman" w:hAnsi="Calibri" w:cs="Calibri"/>
          <w:sz w:val="24"/>
          <w:szCs w:val="24"/>
          <w:lang w:eastAsia="en-US"/>
        </w:rPr>
        <w:t xml:space="preserve">Výdaje na potraviny </w:t>
      </w:r>
      <w:r>
        <w:rPr>
          <w:rFonts w:ascii="Calibri" w:eastAsia="Times New Roman" w:hAnsi="Calibri" w:cs="Calibri"/>
          <w:sz w:val="24"/>
          <w:szCs w:val="24"/>
          <w:lang w:eastAsia="en-US"/>
        </w:rPr>
        <w:t>jsou v ČR</w:t>
      </w:r>
      <w:r w:rsidRPr="00005FD2">
        <w:rPr>
          <w:rFonts w:ascii="Calibri" w:eastAsia="Times New Roman" w:hAnsi="Calibri" w:cs="Calibri"/>
          <w:sz w:val="24"/>
          <w:szCs w:val="24"/>
          <w:lang w:eastAsia="en-US"/>
        </w:rPr>
        <w:t xml:space="preserve"> stanoveny denní stravní normou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, kterou </w:t>
      </w:r>
      <w:r w:rsidRPr="00005FD2">
        <w:rPr>
          <w:rFonts w:ascii="Calibri" w:eastAsia="Times New Roman" w:hAnsi="Calibri" w:cs="Calibri"/>
          <w:sz w:val="24"/>
          <w:szCs w:val="24"/>
          <w:lang w:eastAsia="en-US"/>
        </w:rPr>
        <w:t xml:space="preserve">stanovuje </w:t>
      </w:r>
      <w:r w:rsidR="00EB0FBC">
        <w:rPr>
          <w:rFonts w:ascii="Calibri" w:eastAsia="Times New Roman" w:hAnsi="Calibri" w:cs="Calibri"/>
          <w:sz w:val="24"/>
          <w:szCs w:val="24"/>
          <w:lang w:eastAsia="en-US"/>
        </w:rPr>
        <w:t>GŘ</w:t>
      </w:r>
      <w:r w:rsidR="0099697E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005FD2">
        <w:rPr>
          <w:rFonts w:ascii="Calibri" w:eastAsia="Times New Roman" w:hAnsi="Calibri" w:cs="Calibri"/>
          <w:sz w:val="24"/>
          <w:szCs w:val="24"/>
          <w:lang w:eastAsia="en-US"/>
        </w:rPr>
        <w:t>podle vývoje pořizovacích cen potravin.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39552A" w:rsidRPr="0039552A">
        <w:rPr>
          <w:rFonts w:ascii="Calibri" w:eastAsia="Times New Roman" w:hAnsi="Calibri" w:cs="Calibri"/>
          <w:sz w:val="24"/>
          <w:szCs w:val="24"/>
          <w:lang w:eastAsia="en-US"/>
        </w:rPr>
        <w:t>V</w:t>
      </w:r>
      <w:r>
        <w:rPr>
          <w:rFonts w:ascii="Calibri" w:eastAsia="Times New Roman" w:hAnsi="Calibri" w:cs="Calibri"/>
          <w:sz w:val="24"/>
          <w:szCs w:val="24"/>
          <w:lang w:eastAsia="en-US"/>
        </w:rPr>
        <w:t xml:space="preserve"> ČR </w:t>
      </w:r>
      <w:r w:rsidR="0039552A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se denní </w:t>
      </w:r>
      <w:r w:rsidR="00A1495B">
        <w:rPr>
          <w:rFonts w:ascii="Calibri" w:eastAsia="Times New Roman" w:hAnsi="Calibri" w:cs="Calibri"/>
          <w:sz w:val="24"/>
          <w:szCs w:val="24"/>
          <w:lang w:eastAsia="en-US"/>
        </w:rPr>
        <w:t>stravní limity pohybují od 2,20 </w:t>
      </w:r>
      <w:r w:rsidR="0039552A" w:rsidRPr="0039552A">
        <w:rPr>
          <w:rFonts w:ascii="Calibri" w:eastAsia="Times New Roman" w:hAnsi="Calibri" w:cs="Calibri"/>
          <w:sz w:val="24"/>
          <w:szCs w:val="24"/>
          <w:lang w:eastAsia="en-US"/>
        </w:rPr>
        <w:t>€ do 3,44</w:t>
      </w:r>
      <w:r w:rsidR="00D50E50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39552A" w:rsidRPr="0039552A">
        <w:rPr>
          <w:rFonts w:ascii="Calibri" w:eastAsia="Times New Roman" w:hAnsi="Calibri" w:cs="Calibri"/>
          <w:sz w:val="24"/>
          <w:szCs w:val="24"/>
          <w:lang w:eastAsia="en-US"/>
        </w:rPr>
        <w:t>€ dle druhu normy (např. základní, pracující, těžce pracující, mladiství, těhotné ženy). Na Slovensku se limity pohybují od 1,85 € do 3,03 € a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39552A" w:rsidRPr="0039552A">
        <w:rPr>
          <w:rFonts w:ascii="Calibri" w:eastAsia="Times New Roman" w:hAnsi="Calibri" w:cs="Calibri"/>
          <w:sz w:val="24"/>
          <w:szCs w:val="24"/>
          <w:lang w:eastAsia="en-US"/>
        </w:rPr>
        <w:t>v Rumunsku od 1,00 € do 1,83 €</w:t>
      </w:r>
      <w:r>
        <w:rPr>
          <w:rStyle w:val="Znakapoznpodarou"/>
          <w:rFonts w:ascii="Calibri" w:eastAsia="Times New Roman" w:hAnsi="Calibri"/>
          <w:sz w:val="24"/>
          <w:szCs w:val="24"/>
          <w:lang w:eastAsia="en-US"/>
        </w:rPr>
        <w:footnoteReference w:id="22"/>
      </w:r>
      <w:r w:rsidR="0039552A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  <w:r w:rsidR="00516C5A">
        <w:rPr>
          <w:rFonts w:ascii="Calibri" w:eastAsia="Times New Roman" w:hAnsi="Calibri" w:cs="Calibri"/>
          <w:sz w:val="24"/>
          <w:szCs w:val="24"/>
          <w:lang w:eastAsia="en-US"/>
        </w:rPr>
        <w:t>Kromě standardu kupní síly ovlivňuje výši denní stravní normy i skutečnost, že n</w:t>
      </w:r>
      <w:r w:rsidR="001360C4">
        <w:rPr>
          <w:rFonts w:ascii="Calibri" w:eastAsia="Times New Roman" w:hAnsi="Calibri" w:cs="Calibri"/>
          <w:sz w:val="24"/>
          <w:szCs w:val="24"/>
          <w:lang w:eastAsia="en-US"/>
        </w:rPr>
        <w:t xml:space="preserve">ěkteré </w:t>
      </w:r>
      <w:r w:rsidR="0039552A" w:rsidRPr="0039552A">
        <w:rPr>
          <w:rFonts w:ascii="Calibri" w:eastAsia="Times New Roman" w:hAnsi="Calibri" w:cs="Calibri"/>
          <w:sz w:val="24"/>
          <w:szCs w:val="24"/>
          <w:lang w:eastAsia="en-US"/>
        </w:rPr>
        <w:t xml:space="preserve">vězeňské instituce </w:t>
      </w:r>
      <w:r w:rsidR="00444126">
        <w:rPr>
          <w:rFonts w:ascii="Calibri" w:eastAsia="Times New Roman" w:hAnsi="Calibri" w:cs="Calibri"/>
          <w:sz w:val="24"/>
          <w:szCs w:val="24"/>
          <w:lang w:eastAsia="en-US"/>
        </w:rPr>
        <w:t xml:space="preserve">zajišťují </w:t>
      </w:r>
      <w:r w:rsidR="001360C4">
        <w:rPr>
          <w:rFonts w:ascii="Calibri" w:eastAsia="Times New Roman" w:hAnsi="Calibri" w:cs="Calibri"/>
          <w:sz w:val="24"/>
          <w:szCs w:val="24"/>
          <w:lang w:eastAsia="en-US"/>
        </w:rPr>
        <w:t xml:space="preserve">potraviny </w:t>
      </w:r>
      <w:r w:rsidR="00444126">
        <w:rPr>
          <w:rFonts w:ascii="Calibri" w:eastAsia="Times New Roman" w:hAnsi="Calibri" w:cs="Calibri"/>
          <w:sz w:val="24"/>
          <w:szCs w:val="24"/>
          <w:lang w:eastAsia="en-US"/>
        </w:rPr>
        <w:t xml:space="preserve">i </w:t>
      </w:r>
      <w:r w:rsidR="0039552A" w:rsidRPr="0039552A">
        <w:rPr>
          <w:rFonts w:ascii="Calibri" w:eastAsia="Times New Roman" w:hAnsi="Calibri" w:cs="Calibri"/>
          <w:sz w:val="24"/>
          <w:szCs w:val="24"/>
          <w:lang w:eastAsia="en-US"/>
        </w:rPr>
        <w:t>vlastní produkc</w:t>
      </w:r>
      <w:r w:rsidR="004F4D7A">
        <w:rPr>
          <w:rFonts w:ascii="Calibri" w:eastAsia="Times New Roman" w:hAnsi="Calibri" w:cs="Calibri"/>
          <w:sz w:val="24"/>
          <w:szCs w:val="24"/>
          <w:lang w:eastAsia="en-US"/>
        </w:rPr>
        <w:t>í</w:t>
      </w:r>
      <w:r w:rsidR="00516C5A">
        <w:rPr>
          <w:rFonts w:ascii="Calibri" w:eastAsia="Times New Roman" w:hAnsi="Calibri" w:cs="Calibri"/>
          <w:sz w:val="24"/>
          <w:szCs w:val="24"/>
          <w:lang w:eastAsia="en-US"/>
        </w:rPr>
        <w:t xml:space="preserve">. </w:t>
      </w:r>
    </w:p>
    <w:p w14:paraId="721226D3" w14:textId="17C386DB" w:rsidR="00FE7799" w:rsidRDefault="00DD7AA1" w:rsidP="00497852">
      <w:pPr>
        <w:widowControl/>
        <w:autoSpaceDE/>
        <w:autoSpaceDN/>
        <w:adjustRightInd/>
        <w:spacing w:before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en-US"/>
        </w:rPr>
        <w:t>Ú</w:t>
      </w:r>
      <w:r w:rsidR="00444126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daje o </w:t>
      </w:r>
      <w:r w:rsidR="00134B6C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průměrné </w:t>
      </w:r>
      <w:r w:rsidR="00444126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zaměstnanosti </w:t>
      </w:r>
      <w:r w:rsidR="0039552A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odsouzených </w:t>
      </w:r>
      <w:r w:rsidR="007E57FF" w:rsidRPr="0090227D">
        <w:rPr>
          <w:rFonts w:ascii="Calibri" w:eastAsia="Times New Roman" w:hAnsi="Calibri" w:cs="Calibri"/>
          <w:sz w:val="24"/>
          <w:szCs w:val="24"/>
          <w:lang w:eastAsia="en-US"/>
        </w:rPr>
        <w:t>je</w:t>
      </w:r>
      <w:r w:rsidR="00134B6C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 možné</w:t>
      </w:r>
      <w:r w:rsidR="0039552A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 srovnávat pouze se znalostí metodiky výpočtu 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 xml:space="preserve">používané v </w:t>
      </w:r>
      <w:r w:rsidR="0039552A" w:rsidRPr="0090227D">
        <w:rPr>
          <w:rFonts w:ascii="Calibri" w:eastAsia="Times New Roman" w:hAnsi="Calibri" w:cs="Calibri"/>
          <w:sz w:val="24"/>
          <w:szCs w:val="24"/>
          <w:lang w:eastAsia="en-US"/>
        </w:rPr>
        <w:t>jednotlivých zemí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>ch</w:t>
      </w:r>
      <w:r w:rsidR="0039552A" w:rsidRPr="0090227D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 Vzhledem k</w:t>
      </w:r>
      <w:r w:rsidR="00D50E50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>tomu</w:t>
      </w:r>
      <w:r w:rsidR="00D50E50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 že NKÚ nemá </w:t>
      </w:r>
      <w:r w:rsidR="0090227D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tyto metodiky 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>k</w:t>
      </w:r>
      <w:r w:rsidR="0090227D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>dispozici</w:t>
      </w:r>
      <w:r w:rsidR="0090227D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 byl pro porovnání použit podíl pracujících odsouzených </w:t>
      </w:r>
      <w:r w:rsidR="00585D80">
        <w:rPr>
          <w:rFonts w:ascii="Calibri" w:eastAsia="Times New Roman" w:hAnsi="Calibri" w:cs="Calibri"/>
          <w:sz w:val="24"/>
          <w:szCs w:val="24"/>
          <w:lang w:eastAsia="en-US"/>
        </w:rPr>
        <w:t xml:space="preserve">na 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>celkovém počtu odsouzených. V</w:t>
      </w:r>
      <w:r w:rsidR="0098266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>ČR</w:t>
      </w:r>
      <w:r w:rsidR="00982664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>byl tento podíl 44</w:t>
      </w:r>
      <w:r w:rsidR="008A7FA5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410181" w:rsidRPr="0090227D">
        <w:rPr>
          <w:rFonts w:ascii="Calibri" w:eastAsia="Times New Roman" w:hAnsi="Calibri" w:cs="Calibri"/>
          <w:sz w:val="24"/>
          <w:szCs w:val="24"/>
          <w:lang w:eastAsia="en-US"/>
        </w:rPr>
        <w:t>%</w:t>
      </w:r>
      <w:r w:rsidR="00C159F9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="00C159F9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 v Rumunsku 36</w:t>
      </w:r>
      <w:r w:rsidR="008A7FA5">
        <w:rPr>
          <w:rFonts w:ascii="Calibri" w:eastAsia="Times New Roman" w:hAnsi="Calibri" w:cs="Calibri"/>
          <w:sz w:val="24"/>
          <w:szCs w:val="24"/>
          <w:lang w:eastAsia="en-US"/>
        </w:rPr>
        <w:t> </w:t>
      </w:r>
      <w:r w:rsidR="00C159F9" w:rsidRPr="0090227D">
        <w:rPr>
          <w:rFonts w:ascii="Calibri" w:eastAsia="Times New Roman" w:hAnsi="Calibri" w:cs="Calibri"/>
          <w:sz w:val="24"/>
          <w:szCs w:val="24"/>
          <w:lang w:eastAsia="en-US"/>
        </w:rPr>
        <w:t>%</w:t>
      </w:r>
      <w:r w:rsidR="00C159F9">
        <w:rPr>
          <w:rFonts w:ascii="Calibri" w:eastAsia="Times New Roman" w:hAnsi="Calibri" w:cs="Calibri"/>
          <w:sz w:val="24"/>
          <w:szCs w:val="24"/>
          <w:lang w:eastAsia="en-US"/>
        </w:rPr>
        <w:t xml:space="preserve"> a </w:t>
      </w:r>
      <w:r w:rsidR="0090227D" w:rsidRPr="0090227D">
        <w:rPr>
          <w:rFonts w:ascii="Calibri" w:eastAsia="Times New Roman" w:hAnsi="Calibri" w:cs="Calibri"/>
          <w:sz w:val="24"/>
          <w:szCs w:val="24"/>
          <w:lang w:eastAsia="en-US"/>
        </w:rPr>
        <w:t>na</w:t>
      </w:r>
      <w:r w:rsidR="0039552A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 Slovensku 53 %</w:t>
      </w:r>
      <w:r w:rsidR="00C159F9">
        <w:rPr>
          <w:rFonts w:ascii="Calibri" w:eastAsia="Times New Roman" w:hAnsi="Calibri" w:cs="Calibri"/>
          <w:sz w:val="24"/>
          <w:szCs w:val="24"/>
          <w:lang w:eastAsia="en-US"/>
        </w:rPr>
        <w:t>. Nižší zaměstnanost</w:t>
      </w:r>
      <w:r w:rsidR="0039552A" w:rsidRPr="0090227D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164EAA">
        <w:rPr>
          <w:rFonts w:ascii="Calibri" w:eastAsia="Times New Roman" w:hAnsi="Calibri" w:cs="Calibri"/>
          <w:sz w:val="24"/>
          <w:szCs w:val="24"/>
          <w:lang w:eastAsia="en-US"/>
        </w:rPr>
        <w:t xml:space="preserve">odsouzených </w:t>
      </w:r>
      <w:r w:rsidR="00C159F9">
        <w:rPr>
          <w:rFonts w:ascii="Calibri" w:eastAsia="Times New Roman" w:hAnsi="Calibri" w:cs="Calibri"/>
          <w:sz w:val="24"/>
          <w:szCs w:val="24"/>
          <w:lang w:eastAsia="en-US"/>
        </w:rPr>
        <w:t>v ČR může být ovlivněn</w:t>
      </w:r>
      <w:r w:rsidR="00164EAA">
        <w:rPr>
          <w:rFonts w:ascii="Calibri" w:eastAsia="Times New Roman" w:hAnsi="Calibri" w:cs="Calibri"/>
          <w:sz w:val="24"/>
          <w:szCs w:val="24"/>
          <w:lang w:eastAsia="en-US"/>
        </w:rPr>
        <w:t>a</w:t>
      </w:r>
      <w:r w:rsidR="00C159F9">
        <w:rPr>
          <w:rFonts w:ascii="Calibri" w:eastAsia="Times New Roman" w:hAnsi="Calibri" w:cs="Calibri"/>
          <w:sz w:val="24"/>
          <w:szCs w:val="24"/>
          <w:lang w:eastAsia="en-US"/>
        </w:rPr>
        <w:t xml:space="preserve"> skutečností, že v ČR je k</w:t>
      </w:r>
      <w:r w:rsidR="00C159F9" w:rsidRPr="00C159F9">
        <w:rPr>
          <w:rFonts w:ascii="Calibri" w:eastAsia="Times New Roman" w:hAnsi="Calibri" w:cs="Calibri"/>
          <w:sz w:val="24"/>
          <w:szCs w:val="24"/>
          <w:lang w:eastAsia="en-US"/>
        </w:rPr>
        <w:t xml:space="preserve"> zaměstnání </w:t>
      </w:r>
      <w:r w:rsidR="001460CC">
        <w:rPr>
          <w:rFonts w:ascii="Calibri" w:eastAsia="Times New Roman" w:hAnsi="Calibri" w:cs="Calibri"/>
          <w:sz w:val="24"/>
          <w:szCs w:val="24"/>
          <w:lang w:eastAsia="en-US"/>
        </w:rPr>
        <w:br/>
      </w:r>
      <w:r w:rsidR="00C159F9" w:rsidRPr="00C159F9">
        <w:rPr>
          <w:rFonts w:ascii="Calibri" w:eastAsia="Times New Roman" w:hAnsi="Calibri" w:cs="Calibri"/>
          <w:sz w:val="24"/>
          <w:szCs w:val="24"/>
          <w:lang w:eastAsia="en-US"/>
        </w:rPr>
        <w:t>u</w:t>
      </w:r>
      <w:r w:rsidR="001460CC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C159F9" w:rsidRPr="00C159F9">
        <w:rPr>
          <w:rFonts w:ascii="Calibri" w:eastAsia="Times New Roman" w:hAnsi="Calibri" w:cs="Calibri"/>
          <w:sz w:val="24"/>
          <w:szCs w:val="24"/>
          <w:lang w:eastAsia="en-US"/>
        </w:rPr>
        <w:t xml:space="preserve">jiného subjektu, než je </w:t>
      </w:r>
      <w:r w:rsidR="00ED0709">
        <w:rPr>
          <w:rFonts w:ascii="Calibri" w:eastAsia="Times New Roman" w:hAnsi="Calibri" w:cs="Calibri"/>
          <w:sz w:val="24"/>
          <w:szCs w:val="24"/>
          <w:lang w:eastAsia="en-US"/>
        </w:rPr>
        <w:t>stát, kraj nebo obec</w:t>
      </w:r>
      <w:r w:rsidR="00C159F9" w:rsidRPr="00C159F9">
        <w:rPr>
          <w:rFonts w:ascii="Calibri" w:eastAsia="Times New Roman" w:hAnsi="Calibri" w:cs="Calibri"/>
          <w:sz w:val="24"/>
          <w:szCs w:val="24"/>
          <w:lang w:eastAsia="en-US"/>
        </w:rPr>
        <w:t>,</w:t>
      </w:r>
      <w:r w:rsidR="00ED070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C159F9" w:rsidRPr="00C159F9">
        <w:rPr>
          <w:rFonts w:ascii="Calibri" w:eastAsia="Times New Roman" w:hAnsi="Calibri" w:cs="Calibri"/>
          <w:sz w:val="24"/>
          <w:szCs w:val="24"/>
          <w:lang w:eastAsia="en-US"/>
        </w:rPr>
        <w:t>nutný</w:t>
      </w:r>
      <w:r w:rsidR="00ED0709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C159F9" w:rsidRPr="00C159F9">
        <w:rPr>
          <w:rFonts w:ascii="Calibri" w:eastAsia="Times New Roman" w:hAnsi="Calibri" w:cs="Calibri"/>
          <w:sz w:val="24"/>
          <w:szCs w:val="24"/>
          <w:lang w:eastAsia="en-US"/>
        </w:rPr>
        <w:t>předchozí písemný souhlas</w:t>
      </w:r>
      <w:r w:rsidR="009C3860" w:rsidRPr="009C3860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="009C3860" w:rsidRPr="00C159F9">
        <w:rPr>
          <w:rFonts w:ascii="Calibri" w:eastAsia="Times New Roman" w:hAnsi="Calibri" w:cs="Calibri"/>
          <w:sz w:val="24"/>
          <w:szCs w:val="24"/>
          <w:lang w:eastAsia="en-US"/>
        </w:rPr>
        <w:t>odsouzené osoby</w:t>
      </w:r>
      <w:r w:rsidR="009C3860">
        <w:rPr>
          <w:rFonts w:ascii="Calibri" w:eastAsia="Times New Roman" w:hAnsi="Calibri" w:cs="Calibri"/>
          <w:sz w:val="24"/>
          <w:szCs w:val="24"/>
          <w:lang w:eastAsia="en-US"/>
        </w:rPr>
        <w:t>.</w:t>
      </w:r>
    </w:p>
    <w:sectPr w:rsidR="00FE7799" w:rsidSect="001E7C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0C6E4" w14:textId="77777777" w:rsidR="00735E95" w:rsidRDefault="00735E95" w:rsidP="00246D13">
      <w:r>
        <w:separator/>
      </w:r>
    </w:p>
  </w:endnote>
  <w:endnote w:type="continuationSeparator" w:id="0">
    <w:p w14:paraId="6FDE21CC" w14:textId="77777777" w:rsidR="00735E95" w:rsidRDefault="00735E95" w:rsidP="0024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8DB8" w14:textId="77777777" w:rsidR="005B770C" w:rsidRDefault="005B77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2713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60E589D8" w14:textId="390FCF51" w:rsidR="00735E95" w:rsidRPr="00287AB3" w:rsidRDefault="00735E95">
        <w:pPr>
          <w:pStyle w:val="Zpat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287AB3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287AB3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287AB3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5B770C">
          <w:rPr>
            <w:rFonts w:asciiTheme="minorHAnsi" w:hAnsiTheme="minorHAnsi" w:cstheme="minorHAnsi"/>
            <w:noProof/>
            <w:sz w:val="24"/>
            <w:szCs w:val="24"/>
          </w:rPr>
          <w:t>19</w:t>
        </w:r>
        <w:r w:rsidRPr="00287AB3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0E61236" w14:textId="77777777" w:rsidR="00735E95" w:rsidRDefault="00735E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A2A65" w14:textId="77777777" w:rsidR="00735E95" w:rsidRDefault="00735E95">
    <w:pPr>
      <w:pStyle w:val="Zpat"/>
      <w:jc w:val="center"/>
    </w:pPr>
  </w:p>
  <w:p w14:paraId="7CD94EB6" w14:textId="77777777" w:rsidR="00735E95" w:rsidRDefault="00735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0296" w14:textId="77777777" w:rsidR="00735E95" w:rsidRDefault="00735E95" w:rsidP="00246D13">
      <w:r>
        <w:separator/>
      </w:r>
    </w:p>
  </w:footnote>
  <w:footnote w:type="continuationSeparator" w:id="0">
    <w:p w14:paraId="5A3BD450" w14:textId="77777777" w:rsidR="00735E95" w:rsidRDefault="00735E95" w:rsidP="00246D13">
      <w:r>
        <w:continuationSeparator/>
      </w:r>
    </w:p>
  </w:footnote>
  <w:footnote w:id="1">
    <w:p w14:paraId="0FAFCB86" w14:textId="1404A4C4" w:rsidR="00735E95" w:rsidRPr="00A64CD9" w:rsidRDefault="00735E95" w:rsidP="009B5662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A64CD9">
        <w:rPr>
          <w:rStyle w:val="Znakapoznpodarou"/>
          <w:rFonts w:asciiTheme="minorHAnsi" w:hAnsiTheme="minorHAnsi" w:cstheme="minorHAnsi"/>
        </w:rPr>
        <w:footnoteRef/>
      </w:r>
      <w:r w:rsidRPr="00A64CD9">
        <w:rPr>
          <w:rFonts w:asciiTheme="minorHAnsi" w:hAnsiTheme="minorHAnsi" w:cstheme="minorHAnsi"/>
        </w:rPr>
        <w:t xml:space="preserve"> </w:t>
      </w:r>
      <w:r w:rsidRPr="00A64CD9">
        <w:rPr>
          <w:rFonts w:asciiTheme="minorHAnsi" w:hAnsiTheme="minorHAnsi" w:cstheme="minorHAnsi"/>
        </w:rPr>
        <w:tab/>
        <w:t xml:space="preserve">Průměrná zaměstnanost odsouzených je poměr počtu odsouzených osob pracujících za peněžní odměnu k celkovému počtu zaměstnatelných odsouzených. Podle metodiky VS ČR nejsou </w:t>
      </w:r>
      <w:r>
        <w:rPr>
          <w:rFonts w:asciiTheme="minorHAnsi" w:hAnsiTheme="minorHAnsi" w:cstheme="minorHAnsi"/>
        </w:rPr>
        <w:t>mezi</w:t>
      </w:r>
      <w:r w:rsidRPr="00A64CD9">
        <w:rPr>
          <w:rFonts w:asciiTheme="minorHAnsi" w:hAnsiTheme="minorHAnsi" w:cstheme="minorHAnsi"/>
        </w:rPr>
        <w:t xml:space="preserve"> zaměstnateln</w:t>
      </w:r>
      <w:r>
        <w:rPr>
          <w:rFonts w:asciiTheme="minorHAnsi" w:hAnsiTheme="minorHAnsi" w:cstheme="minorHAnsi"/>
        </w:rPr>
        <w:t>é</w:t>
      </w:r>
      <w:r w:rsidRPr="00A64CD9">
        <w:rPr>
          <w:rFonts w:asciiTheme="minorHAnsi" w:hAnsiTheme="minorHAnsi" w:cstheme="minorHAnsi"/>
        </w:rPr>
        <w:t xml:space="preserve"> odsouzen</w:t>
      </w:r>
      <w:r>
        <w:rPr>
          <w:rFonts w:asciiTheme="minorHAnsi" w:hAnsiTheme="minorHAnsi" w:cstheme="minorHAnsi"/>
        </w:rPr>
        <w:t>é</w:t>
      </w:r>
      <w:r w:rsidRPr="00A64C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započítáváni</w:t>
      </w:r>
      <w:r w:rsidRPr="00A64CD9">
        <w:rPr>
          <w:rFonts w:asciiTheme="minorHAnsi" w:hAnsiTheme="minorHAnsi" w:cstheme="minorHAnsi"/>
        </w:rPr>
        <w:t xml:space="preserve"> </w:t>
      </w:r>
      <w:r w:rsidR="00B56F1C">
        <w:rPr>
          <w:rFonts w:asciiTheme="minorHAnsi" w:hAnsiTheme="minorHAnsi" w:cstheme="minorHAnsi"/>
        </w:rPr>
        <w:t>vězni</w:t>
      </w:r>
      <w:r w:rsidRPr="00A64CD9">
        <w:rPr>
          <w:rFonts w:asciiTheme="minorHAnsi" w:hAnsiTheme="minorHAnsi" w:cstheme="minorHAnsi"/>
        </w:rPr>
        <w:t xml:space="preserve"> zařazen</w:t>
      </w:r>
      <w:r>
        <w:rPr>
          <w:rFonts w:asciiTheme="minorHAnsi" w:hAnsiTheme="minorHAnsi" w:cstheme="minorHAnsi"/>
        </w:rPr>
        <w:t>í</w:t>
      </w:r>
      <w:r w:rsidRPr="00A64CD9">
        <w:rPr>
          <w:rFonts w:asciiTheme="minorHAnsi" w:hAnsiTheme="minorHAnsi" w:cstheme="minorHAnsi"/>
        </w:rPr>
        <w:t xml:space="preserve"> ve</w:t>
      </w:r>
      <w:r>
        <w:rPr>
          <w:rFonts w:asciiTheme="minorHAnsi" w:hAnsiTheme="minorHAnsi" w:cstheme="minorHAnsi"/>
        </w:rPr>
        <w:t xml:space="preserve"> </w:t>
      </w:r>
      <w:r w:rsidRPr="00A64CD9">
        <w:rPr>
          <w:rFonts w:asciiTheme="minorHAnsi" w:hAnsiTheme="minorHAnsi" w:cstheme="minorHAnsi"/>
        </w:rPr>
        <w:t>vzdělávacích a terapeutických programech, vykonávající drobné práce bez odměny, práce neschopn</w:t>
      </w:r>
      <w:r>
        <w:rPr>
          <w:rFonts w:asciiTheme="minorHAnsi" w:hAnsiTheme="minorHAnsi" w:cstheme="minorHAnsi"/>
        </w:rPr>
        <w:t>í</w:t>
      </w:r>
      <w:r w:rsidRPr="00A64CD9">
        <w:rPr>
          <w:rFonts w:asciiTheme="minorHAnsi" w:hAnsiTheme="minorHAnsi" w:cstheme="minorHAnsi"/>
        </w:rPr>
        <w:t xml:space="preserve"> nebo práci odmítající a osoby starší 65 let.</w:t>
      </w:r>
    </w:p>
    <w:p w14:paraId="661F8F3F" w14:textId="77777777" w:rsidR="00735E95" w:rsidRDefault="00735E95" w:rsidP="003375FC">
      <w:pPr>
        <w:pStyle w:val="Textpoznpodarou"/>
      </w:pPr>
    </w:p>
  </w:footnote>
  <w:footnote w:id="2">
    <w:p w14:paraId="250C5447" w14:textId="0ED3BC00" w:rsidR="00735E95" w:rsidRDefault="00735E95" w:rsidP="00A64C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87AB3">
        <w:rPr>
          <w:rFonts w:asciiTheme="minorHAnsi" w:hAnsiTheme="minorHAnsi" w:cstheme="minorHAnsi"/>
          <w:i/>
        </w:rPr>
        <w:t>Koncepce vězeňství do roku 2025</w:t>
      </w:r>
      <w:r>
        <w:rPr>
          <w:rFonts w:asciiTheme="minorHAnsi" w:hAnsiTheme="minorHAnsi" w:cstheme="minorHAnsi"/>
        </w:rPr>
        <w:t xml:space="preserve"> schválená </w:t>
      </w:r>
      <w:r w:rsidRPr="00FB35A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snesením vlády </w:t>
      </w:r>
      <w:r w:rsidRPr="00BD0CE6">
        <w:rPr>
          <w:rFonts w:asciiTheme="minorHAnsi" w:hAnsiTheme="minorHAnsi" w:cstheme="minorHAnsi"/>
        </w:rPr>
        <w:t>Č</w:t>
      </w:r>
      <w:r>
        <w:rPr>
          <w:rFonts w:asciiTheme="minorHAnsi" w:hAnsiTheme="minorHAnsi" w:cstheme="minorHAnsi"/>
        </w:rPr>
        <w:t>eské republiky</w:t>
      </w:r>
      <w:r w:rsidRPr="00BD0C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ze dne 3. 2. 2016 č. 79.</w:t>
      </w:r>
    </w:p>
  </w:footnote>
  <w:footnote w:id="3">
    <w:p w14:paraId="6509DF2A" w14:textId="70465C73" w:rsidR="00735E95" w:rsidRPr="005D623C" w:rsidRDefault="00735E95" w:rsidP="00A64C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D623C">
        <w:rPr>
          <w:rFonts w:cstheme="minorHAnsi"/>
        </w:rPr>
        <w:t>K</w:t>
      </w:r>
      <w:r>
        <w:rPr>
          <w:rFonts w:cstheme="minorHAnsi"/>
        </w:rPr>
        <w:t xml:space="preserve">ontrolní akce NKÚ </w:t>
      </w:r>
      <w:r w:rsidRPr="005D623C">
        <w:rPr>
          <w:rFonts w:cstheme="minorHAnsi"/>
        </w:rPr>
        <w:t xml:space="preserve">č. 10/17 </w:t>
      </w:r>
      <w:r>
        <w:rPr>
          <w:rFonts w:cstheme="minorHAnsi"/>
        </w:rPr>
        <w:t xml:space="preserve">– </w:t>
      </w:r>
      <w:r w:rsidRPr="00287AB3">
        <w:rPr>
          <w:rFonts w:cstheme="minorHAnsi"/>
          <w:i/>
        </w:rPr>
        <w:t>Pohledávky spravované Vězeňskou službou České republiky</w:t>
      </w:r>
      <w:r w:rsidRPr="001B5682">
        <w:rPr>
          <w:rFonts w:cstheme="minorHAnsi"/>
        </w:rPr>
        <w:t>.</w:t>
      </w:r>
    </w:p>
  </w:footnote>
  <w:footnote w:id="4">
    <w:p w14:paraId="46C33103" w14:textId="783B7C9E" w:rsidR="00735E95" w:rsidRPr="00D93FC3" w:rsidRDefault="00735E95" w:rsidP="00A64C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93FC3">
        <w:t xml:space="preserve">Projekt </w:t>
      </w:r>
      <w:r w:rsidRPr="00287AB3">
        <w:rPr>
          <w:i/>
        </w:rPr>
        <w:t>V</w:t>
      </w:r>
      <w:r w:rsidRPr="00287AB3">
        <w:rPr>
          <w:rFonts w:asciiTheme="minorHAnsi" w:eastAsia="Times New Roman" w:hAnsiTheme="minorHAnsi" w:cstheme="minorHAnsi"/>
          <w:i/>
          <w:lang w:eastAsia="en-US"/>
        </w:rPr>
        <w:t>yhodnocení efektivnosti vynakládání rozpočtových zdrojů Ministerstva spravedlnosti, justice, vězeňství a optimalizace mandatorních výdajů</w:t>
      </w:r>
      <w:r w:rsidRPr="00D93FC3">
        <w:t xml:space="preserve"> </w:t>
      </w:r>
      <w:r>
        <w:t>(</w:t>
      </w:r>
      <w:r w:rsidRPr="00D93FC3">
        <w:t>reg</w:t>
      </w:r>
      <w:r>
        <w:t>istrační číslo</w:t>
      </w:r>
      <w:r w:rsidRPr="00D93FC3">
        <w:t xml:space="preserve"> CZ.1.04/4.1.00/B6.00008</w:t>
      </w:r>
      <w:r>
        <w:t>).</w:t>
      </w:r>
    </w:p>
  </w:footnote>
  <w:footnote w:id="5">
    <w:p w14:paraId="240BB67E" w14:textId="735F70E2" w:rsidR="00735E95" w:rsidRPr="00287AB3" w:rsidRDefault="00735E95" w:rsidP="00A64CD9">
      <w:pPr>
        <w:pStyle w:val="Textpoznpodarou"/>
        <w:ind w:left="284" w:hanging="284"/>
        <w:rPr>
          <w:rStyle w:val="Znakapoznpodarou"/>
          <w:rFonts w:asciiTheme="minorHAnsi" w:hAnsiTheme="minorHAnsi" w:cstheme="minorHAnsi"/>
          <w:vertAlign w:val="baseline"/>
        </w:rPr>
      </w:pPr>
      <w:r w:rsidRPr="0088546E">
        <w:rPr>
          <w:rStyle w:val="Znakapoznpodarou"/>
          <w:rFonts w:asciiTheme="minorHAnsi" w:hAnsiTheme="minorHAnsi" w:cstheme="minorHAnsi"/>
        </w:rPr>
        <w:footnoteRef/>
      </w:r>
      <w:r w:rsidRPr="0088546E">
        <w:rPr>
          <w:rStyle w:val="Znakapoznpodarou"/>
          <w:rFonts w:asciiTheme="minorHAnsi" w:hAnsiTheme="minorHAnsi" w:cstheme="minorHAnsi"/>
        </w:rPr>
        <w:t xml:space="preserve"> </w:t>
      </w:r>
      <w:r w:rsidRPr="0088546E">
        <w:rPr>
          <w:rStyle w:val="Znakapoznpodarou"/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</w:t>
      </w:r>
      <w:r w:rsidRPr="0088546E">
        <w:rPr>
          <w:rFonts w:asciiTheme="minorHAnsi" w:hAnsiTheme="minorHAnsi" w:cstheme="minorHAnsi"/>
        </w:rPr>
        <w:t>ákon č. 2/1969 Sb., o zřízení ministerstev a jiných ústředních orgánů státní správy České republiky.</w:t>
      </w:r>
    </w:p>
  </w:footnote>
  <w:footnote w:id="6">
    <w:p w14:paraId="7064D437" w14:textId="77777777" w:rsidR="00735E95" w:rsidRDefault="00735E95" w:rsidP="00A64C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87AB3">
        <w:rPr>
          <w:rFonts w:asciiTheme="minorHAnsi" w:hAnsiTheme="minorHAnsi" w:cstheme="minorHAnsi"/>
          <w:i/>
        </w:rPr>
        <w:t>Koncepce rozvoje českého vězeňství do roku 2015</w:t>
      </w:r>
      <w:r w:rsidRPr="008B44F9">
        <w:rPr>
          <w:rFonts w:asciiTheme="minorHAnsi" w:hAnsiTheme="minorHAnsi" w:cstheme="minorHAnsi"/>
        </w:rPr>
        <w:t xml:space="preserve"> schválená MSp dne 15. 9. 2005</w:t>
      </w:r>
      <w:r>
        <w:rPr>
          <w:rFonts w:asciiTheme="minorHAnsi" w:hAnsiTheme="minorHAnsi" w:cstheme="minorHAnsi"/>
        </w:rPr>
        <w:t>.</w:t>
      </w:r>
    </w:p>
  </w:footnote>
  <w:footnote w:id="7">
    <w:p w14:paraId="1711EDCA" w14:textId="6BE00099" w:rsidR="00735E95" w:rsidRPr="009A323C" w:rsidRDefault="00735E95" w:rsidP="00A64C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Míra využití ubytovací kapacity je</w:t>
      </w:r>
      <w:r w:rsidRPr="009A323C">
        <w:rPr>
          <w:rFonts w:eastAsia="Times New Roman" w:cs="Calibri"/>
          <w:color w:val="000000" w:themeColor="text1"/>
          <w:lang w:eastAsia="en-US"/>
        </w:rPr>
        <w:t xml:space="preserve"> podíl počtu vězněných osob </w:t>
      </w:r>
      <w:r>
        <w:rPr>
          <w:rFonts w:eastAsia="Times New Roman" w:cs="Calibri"/>
          <w:color w:val="000000" w:themeColor="text1"/>
          <w:lang w:eastAsia="en-US"/>
        </w:rPr>
        <w:t xml:space="preserve">na </w:t>
      </w:r>
      <w:r w:rsidRPr="009A323C">
        <w:rPr>
          <w:rFonts w:eastAsia="Times New Roman" w:cs="Calibri"/>
          <w:color w:val="000000" w:themeColor="text1"/>
          <w:lang w:eastAsia="en-US"/>
        </w:rPr>
        <w:t>ubytovací kapacitě stanovené VS ČR</w:t>
      </w:r>
      <w:r>
        <w:rPr>
          <w:rFonts w:eastAsia="Times New Roman" w:cs="Calibri"/>
          <w:color w:val="000000" w:themeColor="text1"/>
          <w:lang w:eastAsia="en-US"/>
        </w:rPr>
        <w:t xml:space="preserve"> </w:t>
      </w:r>
      <w:r w:rsidRPr="009A323C">
        <w:rPr>
          <w:rFonts w:eastAsia="Times New Roman" w:cs="Calibri"/>
          <w:color w:val="000000" w:themeColor="text1"/>
          <w:lang w:eastAsia="en-US"/>
        </w:rPr>
        <w:t>při minimální ploše 4 m</w:t>
      </w:r>
      <w:r w:rsidRPr="009A323C">
        <w:rPr>
          <w:rFonts w:eastAsia="Times New Roman" w:cs="Calibri"/>
          <w:color w:val="000000" w:themeColor="text1"/>
          <w:vertAlign w:val="superscript"/>
          <w:lang w:eastAsia="en-US"/>
        </w:rPr>
        <w:t>2</w:t>
      </w:r>
      <w:r w:rsidRPr="00287AB3">
        <w:rPr>
          <w:rFonts w:eastAsia="Times New Roman" w:cs="Calibri"/>
          <w:color w:val="000000" w:themeColor="text1"/>
          <w:lang w:eastAsia="en-US"/>
        </w:rPr>
        <w:t xml:space="preserve"> </w:t>
      </w:r>
      <w:r w:rsidRPr="009A323C">
        <w:rPr>
          <w:rFonts w:eastAsia="Times New Roman" w:cs="Calibri"/>
          <w:color w:val="000000" w:themeColor="text1"/>
          <w:lang w:eastAsia="en-US"/>
        </w:rPr>
        <w:t>na jednu vězněnou osobu.</w:t>
      </w:r>
    </w:p>
  </w:footnote>
  <w:footnote w:id="8">
    <w:p w14:paraId="765E3F1F" w14:textId="706C8C94" w:rsidR="00735E95" w:rsidRDefault="00735E95" w:rsidP="00A64C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Podle ustanovení </w:t>
      </w:r>
      <w:r w:rsidRPr="008B5759">
        <w:rPr>
          <w:rStyle w:val="Znakapoznpodarou"/>
          <w:rFonts w:asciiTheme="minorHAnsi" w:hAnsiTheme="minorHAnsi" w:cstheme="minorHAnsi"/>
          <w:vertAlign w:val="baseline"/>
        </w:rPr>
        <w:t>§ 17 odst. 6 vyhlášky č. 345/1999 Sb</w:t>
      </w:r>
      <w:r w:rsidRPr="008B5759">
        <w:rPr>
          <w:rFonts w:asciiTheme="minorHAnsi" w:hAnsiTheme="minorHAnsi" w:cstheme="minorHAnsi"/>
        </w:rPr>
        <w:t>., kterou se vydává řád výkonu trestu odnětí svobody</w:t>
      </w:r>
      <w:r>
        <w:rPr>
          <w:rFonts w:asciiTheme="minorHAnsi" w:hAnsiTheme="minorHAnsi" w:cstheme="minorHAnsi"/>
        </w:rPr>
        <w:t>, musí v </w:t>
      </w:r>
      <w:r w:rsidRPr="001A282A">
        <w:rPr>
          <w:rFonts w:asciiTheme="minorHAnsi" w:hAnsiTheme="minorHAnsi" w:cstheme="minorHAnsi"/>
        </w:rPr>
        <w:t>ubytovací místnosti určené pro ubytování více odsouzených připadat na jednoho odsouze</w:t>
      </w:r>
      <w:r>
        <w:rPr>
          <w:rFonts w:asciiTheme="minorHAnsi" w:hAnsiTheme="minorHAnsi" w:cstheme="minorHAnsi"/>
        </w:rPr>
        <w:t>ného ubytovací plocha nejméně 4 </w:t>
      </w:r>
      <w:r w:rsidRPr="001A282A">
        <w:rPr>
          <w:rFonts w:asciiTheme="minorHAnsi" w:hAnsiTheme="minorHAnsi" w:cstheme="minorHAnsi"/>
        </w:rPr>
        <w:t>m</w:t>
      </w:r>
      <w:r w:rsidRPr="004B3665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 U</w:t>
      </w:r>
      <w:r w:rsidRPr="001A282A">
        <w:rPr>
          <w:rFonts w:asciiTheme="minorHAnsi" w:hAnsiTheme="minorHAnsi" w:cstheme="minorHAnsi"/>
        </w:rPr>
        <w:t>místit odsouzeného do ubytovací místnosti určené pro ubytování více odsouzených, v níž na něho připadne ubytovací plocha menší než 4 m</w:t>
      </w:r>
      <w:r w:rsidRPr="001A282A">
        <w:rPr>
          <w:rFonts w:asciiTheme="minorHAnsi" w:hAnsiTheme="minorHAnsi" w:cstheme="minorHAnsi"/>
          <w:vertAlign w:val="superscript"/>
        </w:rPr>
        <w:t>2</w:t>
      </w:r>
      <w:r w:rsidRPr="001A282A">
        <w:rPr>
          <w:rFonts w:asciiTheme="minorHAnsi" w:hAnsiTheme="minorHAnsi" w:cstheme="minorHAnsi"/>
        </w:rPr>
        <w:t>, lze pouze tehdy, jestliže celkový počet odsouzených vykonávajících trest ve věznicích téhož základního typu a stupně zabezpečení věznice s ostrahou v rámci republiky překročí kapacitu věznic stanovenou tak, aby na jednoho odsouzeného připadala ubytovací plocha alespoň 4 m</w:t>
      </w:r>
      <w:r w:rsidRPr="009B5E1B">
        <w:rPr>
          <w:rFonts w:asciiTheme="minorHAnsi" w:hAnsiTheme="minorHAnsi" w:cstheme="minorHAnsi"/>
          <w:vertAlign w:val="superscript"/>
        </w:rPr>
        <w:t>2</w:t>
      </w:r>
      <w:r w:rsidRPr="001A282A">
        <w:rPr>
          <w:rFonts w:asciiTheme="minorHAnsi" w:hAnsiTheme="minorHAnsi" w:cstheme="minorHAnsi"/>
        </w:rPr>
        <w:t>; ubytovací plocha připadající na jednoho odsouzeného však nesmí být menší než 3 m</w:t>
      </w:r>
      <w:r w:rsidRPr="001A282A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</w:t>
      </w:r>
    </w:p>
  </w:footnote>
  <w:footnote w:id="9">
    <w:p w14:paraId="440986D6" w14:textId="0B83DB0E" w:rsidR="00735E95" w:rsidRDefault="00735E95" w:rsidP="00A64C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Viz příloha č. 1.</w:t>
      </w:r>
    </w:p>
  </w:footnote>
  <w:footnote w:id="10">
    <w:p w14:paraId="73018A2A" w14:textId="77777777" w:rsidR="00735E95" w:rsidRDefault="00735E95" w:rsidP="00C8759E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</w:t>
      </w:r>
      <w:r w:rsidRPr="009B3E6D">
        <w:t>ákon č. 555/1992 Sb., o Vězeňské službě a justiční stráži České republiky</w:t>
      </w:r>
      <w:r>
        <w:t>.</w:t>
      </w:r>
    </w:p>
  </w:footnote>
  <w:footnote w:id="11">
    <w:p w14:paraId="609E74DF" w14:textId="5E2E312E" w:rsidR="00735E95" w:rsidRPr="00287AB3" w:rsidRDefault="00735E95" w:rsidP="00E41B6E">
      <w:pPr>
        <w:pStyle w:val="Textpoznpodarou"/>
        <w:tabs>
          <w:tab w:val="left" w:pos="284"/>
        </w:tabs>
        <w:ind w:left="284" w:hanging="284"/>
      </w:pPr>
      <w:r w:rsidRPr="00A64CD9">
        <w:rPr>
          <w:rStyle w:val="Znakapoznpodarou"/>
        </w:rPr>
        <w:footnoteRef/>
      </w:r>
      <w:r w:rsidRPr="00A64CD9">
        <w:t xml:space="preserve"> </w:t>
      </w:r>
      <w:r w:rsidRPr="00A64CD9">
        <w:tab/>
      </w:r>
      <w:r w:rsidRPr="00287AB3">
        <w:rPr>
          <w:rFonts w:cs="Calibri"/>
        </w:rPr>
        <w:t xml:space="preserve">Zákon č. 219/2000 Sb., </w:t>
      </w:r>
      <w:r w:rsidRPr="00287AB3">
        <w:rPr>
          <w:rFonts w:asciiTheme="minorHAnsi" w:hAnsiTheme="minorHAnsi" w:cstheme="minorHAnsi"/>
        </w:rPr>
        <w:t>o majetku České republiky a jejím vystupování v právních vztazích.</w:t>
      </w:r>
    </w:p>
  </w:footnote>
  <w:footnote w:id="12">
    <w:p w14:paraId="54711D55" w14:textId="17FAA69E" w:rsidR="00735E95" w:rsidRPr="00287AB3" w:rsidRDefault="00735E95" w:rsidP="00E41B6E">
      <w:pPr>
        <w:pStyle w:val="Textpoznpodarou"/>
        <w:tabs>
          <w:tab w:val="left" w:pos="284"/>
        </w:tabs>
        <w:ind w:left="284" w:hanging="284"/>
      </w:pPr>
      <w:r w:rsidRPr="00287AB3">
        <w:rPr>
          <w:rStyle w:val="Znakapoznpodarou"/>
        </w:rPr>
        <w:footnoteRef/>
      </w:r>
      <w:r w:rsidRPr="00287AB3">
        <w:t xml:space="preserve"> </w:t>
      </w:r>
      <w:r w:rsidRPr="00287AB3">
        <w:tab/>
      </w:r>
      <w:r w:rsidRPr="00287AB3">
        <w:rPr>
          <w:rFonts w:asciiTheme="minorHAnsi" w:hAnsiTheme="minorHAnsi"/>
        </w:rPr>
        <w:t>Zákon č. 218/2000 Sb., o rozpočtových pravidlech a o změně některých souvisejících zákonů (rozpočtová pravidla).</w:t>
      </w:r>
    </w:p>
  </w:footnote>
  <w:footnote w:id="13">
    <w:p w14:paraId="7D57BEAC" w14:textId="01FA7674" w:rsidR="00735E95" w:rsidRPr="00287AB3" w:rsidRDefault="00735E95" w:rsidP="00E41B6E">
      <w:pPr>
        <w:pStyle w:val="Textpoznpodarou"/>
        <w:tabs>
          <w:tab w:val="left" w:pos="284"/>
        </w:tabs>
        <w:ind w:left="284" w:hanging="284"/>
      </w:pPr>
      <w:r w:rsidRPr="00287AB3">
        <w:rPr>
          <w:rStyle w:val="Znakapoznpodarou"/>
        </w:rPr>
        <w:footnoteRef/>
      </w:r>
      <w:r w:rsidRPr="00287AB3">
        <w:t xml:space="preserve"> </w:t>
      </w:r>
      <w:r w:rsidRPr="00287AB3">
        <w:tab/>
        <w:t>Zákon č. 563/1991 Sb., o účetnictví.</w:t>
      </w:r>
    </w:p>
  </w:footnote>
  <w:footnote w:id="14">
    <w:p w14:paraId="5EBA8793" w14:textId="2B206046" w:rsidR="00735E95" w:rsidRPr="00287AB3" w:rsidRDefault="00735E95" w:rsidP="00E41B6E">
      <w:pPr>
        <w:pStyle w:val="Textpoznpodarou"/>
        <w:tabs>
          <w:tab w:val="left" w:pos="284"/>
        </w:tabs>
        <w:ind w:left="284" w:hanging="284"/>
      </w:pPr>
      <w:r w:rsidRPr="00287AB3">
        <w:rPr>
          <w:rStyle w:val="Znakapoznpodarou"/>
        </w:rPr>
        <w:footnoteRef/>
      </w:r>
      <w:r w:rsidRPr="00287AB3">
        <w:t xml:space="preserve"> </w:t>
      </w:r>
      <w:r w:rsidRPr="00287AB3">
        <w:tab/>
        <w:t>Z</w:t>
      </w:r>
      <w:r w:rsidRPr="00287AB3">
        <w:rPr>
          <w:rFonts w:cs="Arial"/>
        </w:rPr>
        <w:t>ákon č. 340/2015 Sb., o zvláštních podmínkách účinnosti některých smluv, uveřejňování těchto smluv a o registru smluv (zákon o registru smluv).</w:t>
      </w:r>
    </w:p>
  </w:footnote>
  <w:footnote w:id="15">
    <w:p w14:paraId="04A0650A" w14:textId="5C474DFB" w:rsidR="00735E95" w:rsidRPr="00287AB3" w:rsidRDefault="00735E95" w:rsidP="00E41B6E">
      <w:pPr>
        <w:pStyle w:val="Textpoznpodarou"/>
        <w:tabs>
          <w:tab w:val="left" w:pos="284"/>
        </w:tabs>
        <w:ind w:left="284" w:hanging="284"/>
      </w:pPr>
      <w:r w:rsidRPr="00287AB3">
        <w:rPr>
          <w:rStyle w:val="Znakapoznpodarou"/>
        </w:rPr>
        <w:footnoteRef/>
      </w:r>
      <w:r w:rsidRPr="00287AB3">
        <w:t xml:space="preserve"> </w:t>
      </w:r>
      <w:r w:rsidRPr="00287AB3">
        <w:tab/>
      </w:r>
      <w:r w:rsidRPr="00287AB3">
        <w:rPr>
          <w:rFonts w:cs="Calibri"/>
        </w:rPr>
        <w:t>Zákon č. 134/2016 Sb., o zadávání veřejných zakázek.</w:t>
      </w:r>
    </w:p>
  </w:footnote>
  <w:footnote w:id="16">
    <w:p w14:paraId="660BE289" w14:textId="30809ACB" w:rsidR="00735E95" w:rsidRPr="00A64CD9" w:rsidRDefault="00735E95" w:rsidP="00E41B6E">
      <w:pPr>
        <w:pStyle w:val="Textpoznpodarou"/>
        <w:tabs>
          <w:tab w:val="left" w:pos="284"/>
        </w:tabs>
        <w:ind w:left="284" w:hanging="284"/>
      </w:pPr>
      <w:r w:rsidRPr="00A64CD9">
        <w:rPr>
          <w:rStyle w:val="Znakapoznpodarou"/>
        </w:rPr>
        <w:footnoteRef/>
      </w:r>
      <w:r w:rsidRPr="00A64CD9">
        <w:t xml:space="preserve"> </w:t>
      </w:r>
      <w:r w:rsidRPr="00A64CD9">
        <w:tab/>
        <w:t>V</w:t>
      </w:r>
      <w:r w:rsidRPr="00A64CD9">
        <w:rPr>
          <w:rStyle w:val="Znakapoznpodarou"/>
          <w:rFonts w:asciiTheme="minorHAnsi" w:hAnsiTheme="minorHAnsi" w:cstheme="minorHAnsi"/>
          <w:vertAlign w:val="baseline"/>
        </w:rPr>
        <w:t>yhlášk</w:t>
      </w:r>
      <w:r w:rsidRPr="00A468BD">
        <w:rPr>
          <w:rStyle w:val="Znakapoznpodarou"/>
          <w:rFonts w:asciiTheme="minorHAnsi" w:hAnsiTheme="minorHAnsi" w:cstheme="minorHAnsi"/>
          <w:vertAlign w:val="baseline"/>
        </w:rPr>
        <w:t>a č. 345/1999 Sb</w:t>
      </w:r>
      <w:r w:rsidRPr="00A468BD">
        <w:rPr>
          <w:rFonts w:asciiTheme="minorHAnsi" w:hAnsiTheme="minorHAnsi" w:cstheme="minorHAnsi"/>
        </w:rPr>
        <w:t>., kterou se vydává řád výkonu trestu odnětí svobody.</w:t>
      </w:r>
    </w:p>
  </w:footnote>
  <w:footnote w:id="17">
    <w:p w14:paraId="1FD9FE0B" w14:textId="1E11827A" w:rsidR="00735E95" w:rsidRDefault="00735E95" w:rsidP="00ED0709">
      <w:pPr>
        <w:widowControl/>
        <w:tabs>
          <w:tab w:val="left" w:pos="284"/>
        </w:tabs>
        <w:ind w:left="284" w:hanging="284"/>
        <w:jc w:val="both"/>
      </w:pPr>
      <w:r w:rsidRPr="00F17D0E">
        <w:rPr>
          <w:rStyle w:val="Znakapoznpodarou"/>
          <w:rFonts w:asciiTheme="minorHAnsi" w:hAnsiTheme="minorHAnsi" w:cstheme="minorHAnsi"/>
        </w:rPr>
        <w:footnoteRef/>
      </w:r>
      <w:r w:rsidRPr="00F17D0E">
        <w:rPr>
          <w:rFonts w:asciiTheme="minorHAnsi" w:hAnsiTheme="minorHAnsi" w:cstheme="minorHAnsi"/>
        </w:rPr>
        <w:t xml:space="preserve"> </w:t>
      </w:r>
      <w:r w:rsidRPr="00F17D0E">
        <w:rPr>
          <w:rFonts w:asciiTheme="minorHAnsi" w:hAnsiTheme="minorHAnsi" w:cstheme="minorHAnsi"/>
        </w:rPr>
        <w:tab/>
        <w:t>Z</w:t>
      </w:r>
      <w:r>
        <w:rPr>
          <w:rFonts w:asciiTheme="minorHAnsi" w:hAnsiTheme="minorHAnsi" w:cstheme="minorHAnsi"/>
          <w:color w:val="000000"/>
        </w:rPr>
        <w:t>ákon č. </w:t>
      </w:r>
      <w:r w:rsidRPr="00F17D0E">
        <w:rPr>
          <w:rFonts w:asciiTheme="minorHAnsi" w:hAnsiTheme="minorHAnsi" w:cstheme="minorHAnsi"/>
          <w:color w:val="000000"/>
        </w:rPr>
        <w:t>169/1999 Sb., o výkonu trestu odnětí svobody a o změně některých souvisejících zákonů.</w:t>
      </w:r>
    </w:p>
  </w:footnote>
  <w:footnote w:id="18">
    <w:p w14:paraId="08F3A5C5" w14:textId="77777777" w:rsidR="00735E95" w:rsidRDefault="00735E95" w:rsidP="00ED0709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Tato povinnost </w:t>
      </w:r>
      <w:r w:rsidRPr="00ED0709">
        <w:t>neplatí, pokud je odsouzený zaměstnáván Českou republikou, krajem, obcí, dobrovolným svazkem obcí nebo subjektem, který jimi byl zřízen či založen a v němž mají většinovou majetkovou účast, většinový podíl na hlasovacích právech anebo vykonávají rozhodující vliv na jeho řízení či provozování.</w:t>
      </w:r>
    </w:p>
  </w:footnote>
  <w:footnote w:id="19">
    <w:p w14:paraId="062B2BC5" w14:textId="3FF0FFBA" w:rsidR="00735E95" w:rsidRDefault="00735E95" w:rsidP="002027AF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87AB3">
        <w:rPr>
          <w:rFonts w:asciiTheme="minorHAnsi" w:hAnsiTheme="minorHAnsi"/>
          <w:i/>
        </w:rPr>
        <w:t>Program bezpečnostního výzkumu České republiky v letech 2015–2022</w:t>
      </w:r>
      <w:r w:rsidRPr="00323378">
        <w:rPr>
          <w:rFonts w:asciiTheme="minorHAnsi" w:hAnsiTheme="minorHAnsi"/>
        </w:rPr>
        <w:t xml:space="preserve"> (BV III/1-VS).</w:t>
      </w:r>
    </w:p>
  </w:footnote>
  <w:footnote w:id="20">
    <w:p w14:paraId="3386F814" w14:textId="36BE970F" w:rsidR="00735E95" w:rsidRDefault="00735E95" w:rsidP="00293B0B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ab/>
        <w:t xml:space="preserve">Údaje ČSÚ – </w:t>
      </w:r>
      <w:r w:rsidRPr="00287AB3">
        <w:rPr>
          <w:i/>
        </w:rPr>
        <w:t>Česká republika v mezinárodním srovnání 2017</w:t>
      </w:r>
      <w:r>
        <w:t xml:space="preserve"> – HDP na obyvatele podle standardu kupní síly.</w:t>
      </w:r>
    </w:p>
  </w:footnote>
  <w:footnote w:id="21">
    <w:p w14:paraId="34F6D1CD" w14:textId="3FF60C8E" w:rsidR="00735E95" w:rsidRDefault="00735E95" w:rsidP="00293B0B">
      <w:pPr>
        <w:pStyle w:val="Textpoznpodarou"/>
        <w:tabs>
          <w:tab w:val="left" w:pos="284"/>
        </w:tabs>
      </w:pPr>
      <w:r w:rsidRPr="00215499">
        <w:rPr>
          <w:rStyle w:val="Znakapoznpodarou"/>
          <w:color w:val="000000" w:themeColor="text1"/>
        </w:rPr>
        <w:footnoteRef/>
      </w:r>
      <w:r w:rsidRPr="00215499">
        <w:rPr>
          <w:color w:val="000000" w:themeColor="text1"/>
        </w:rPr>
        <w:tab/>
        <w:t>Ze zemí vybraných pro porovnání se jedná o Rakousko a Německo.</w:t>
      </w:r>
    </w:p>
  </w:footnote>
  <w:footnote w:id="22">
    <w:p w14:paraId="413AD6B2" w14:textId="48B5E77A" w:rsidR="00735E95" w:rsidRPr="00896ADD" w:rsidRDefault="00735E95" w:rsidP="00896ADD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96ADD">
        <w:rPr>
          <w:rFonts w:eastAsia="Times New Roman" w:cs="Calibri"/>
          <w:lang w:eastAsia="en-US"/>
        </w:rPr>
        <w:t>Pro přepočty</w:t>
      </w:r>
      <w:r>
        <w:rPr>
          <w:rFonts w:eastAsia="Times New Roman" w:cs="Calibri"/>
          <w:lang w:eastAsia="en-US"/>
        </w:rPr>
        <w:t xml:space="preserve"> národních měn</w:t>
      </w:r>
      <w:r w:rsidRPr="00896ADD">
        <w:rPr>
          <w:rFonts w:eastAsia="Times New Roman" w:cs="Calibri"/>
          <w:lang w:eastAsia="en-US"/>
        </w:rPr>
        <w:t xml:space="preserve"> na evropskou měnu byl</w:t>
      </w:r>
      <w:r>
        <w:rPr>
          <w:rFonts w:eastAsia="Times New Roman" w:cs="Calibri"/>
          <w:lang w:eastAsia="en-US"/>
        </w:rPr>
        <w:t>y</w:t>
      </w:r>
      <w:r w:rsidRPr="00896ADD">
        <w:rPr>
          <w:rFonts w:eastAsia="Times New Roman" w:cs="Calibri"/>
          <w:lang w:eastAsia="en-US"/>
        </w:rPr>
        <w:t xml:space="preserve"> použit</w:t>
      </w:r>
      <w:r>
        <w:rPr>
          <w:rFonts w:eastAsia="Times New Roman" w:cs="Calibri"/>
          <w:lang w:eastAsia="en-US"/>
        </w:rPr>
        <w:t>y</w:t>
      </w:r>
      <w:r w:rsidRPr="00896ADD">
        <w:rPr>
          <w:rFonts w:eastAsia="Times New Roman" w:cs="Calibri"/>
          <w:lang w:eastAsia="en-US"/>
        </w:rPr>
        <w:t xml:space="preserve"> kurz</w:t>
      </w:r>
      <w:r>
        <w:rPr>
          <w:rFonts w:eastAsia="Times New Roman" w:cs="Calibri"/>
          <w:lang w:eastAsia="en-US"/>
        </w:rPr>
        <w:t>y</w:t>
      </w:r>
      <w:r w:rsidRPr="00896ADD">
        <w:rPr>
          <w:rFonts w:eastAsia="Times New Roman" w:cs="Calibri"/>
          <w:lang w:eastAsia="en-US"/>
        </w:rPr>
        <w:t xml:space="preserve"> České národní banky ze</w:t>
      </w:r>
      <w:r>
        <w:rPr>
          <w:rFonts w:eastAsia="Times New Roman" w:cs="Calibri"/>
          <w:lang w:eastAsia="en-US"/>
        </w:rPr>
        <w:t xml:space="preserve"> </w:t>
      </w:r>
      <w:r w:rsidRPr="00896ADD">
        <w:rPr>
          <w:rFonts w:eastAsia="Times New Roman" w:cs="Calibri"/>
          <w:lang w:eastAsia="en-US"/>
        </w:rPr>
        <w:t>dne 24. 9. 2019</w:t>
      </w:r>
      <w:r>
        <w:rPr>
          <w:rFonts w:eastAsia="Times New Roman" w:cs="Calibri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D288" w14:textId="77777777" w:rsidR="005B770C" w:rsidRDefault="005B77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10DC" w14:textId="77777777" w:rsidR="005B770C" w:rsidRDefault="005B77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B2C0" w14:textId="77777777" w:rsidR="005B770C" w:rsidRDefault="005B77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7AF"/>
    <w:multiLevelType w:val="hybridMultilevel"/>
    <w:tmpl w:val="C8AE54C0"/>
    <w:lvl w:ilvl="0" w:tplc="28523E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CBD"/>
    <w:multiLevelType w:val="hybridMultilevel"/>
    <w:tmpl w:val="E63A02B4"/>
    <w:lvl w:ilvl="0" w:tplc="040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022B6B07"/>
    <w:multiLevelType w:val="hybridMultilevel"/>
    <w:tmpl w:val="06ECFCFA"/>
    <w:lvl w:ilvl="0" w:tplc="E7AEBC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723C1"/>
    <w:multiLevelType w:val="hybridMultilevel"/>
    <w:tmpl w:val="B7769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F44"/>
    <w:multiLevelType w:val="hybridMultilevel"/>
    <w:tmpl w:val="8898A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3BDD"/>
    <w:multiLevelType w:val="hybridMultilevel"/>
    <w:tmpl w:val="393C08C6"/>
    <w:lvl w:ilvl="0" w:tplc="C6727DA8">
      <w:start w:val="1"/>
      <w:numFmt w:val="decimal"/>
      <w:lvlText w:val="%1."/>
      <w:lvlJc w:val="left"/>
      <w:pPr>
        <w:ind w:left="720" w:hanging="360"/>
      </w:pPr>
    </w:lvl>
    <w:lvl w:ilvl="1" w:tplc="27ECD538" w:tentative="1">
      <w:start w:val="1"/>
      <w:numFmt w:val="lowerLetter"/>
      <w:lvlText w:val="%2."/>
      <w:lvlJc w:val="left"/>
      <w:pPr>
        <w:ind w:left="1440" w:hanging="360"/>
      </w:pPr>
    </w:lvl>
    <w:lvl w:ilvl="2" w:tplc="661A6BAC" w:tentative="1">
      <w:start w:val="1"/>
      <w:numFmt w:val="lowerRoman"/>
      <w:lvlText w:val="%3."/>
      <w:lvlJc w:val="right"/>
      <w:pPr>
        <w:ind w:left="2160" w:hanging="180"/>
      </w:pPr>
    </w:lvl>
    <w:lvl w:ilvl="3" w:tplc="08A4BD2E" w:tentative="1">
      <w:start w:val="1"/>
      <w:numFmt w:val="decimal"/>
      <w:lvlText w:val="%4."/>
      <w:lvlJc w:val="left"/>
      <w:pPr>
        <w:ind w:left="2880" w:hanging="360"/>
      </w:pPr>
    </w:lvl>
    <w:lvl w:ilvl="4" w:tplc="138893F0" w:tentative="1">
      <w:start w:val="1"/>
      <w:numFmt w:val="lowerLetter"/>
      <w:lvlText w:val="%5."/>
      <w:lvlJc w:val="left"/>
      <w:pPr>
        <w:ind w:left="3600" w:hanging="360"/>
      </w:pPr>
    </w:lvl>
    <w:lvl w:ilvl="5" w:tplc="F9E45FCA" w:tentative="1">
      <w:start w:val="1"/>
      <w:numFmt w:val="lowerRoman"/>
      <w:lvlText w:val="%6."/>
      <w:lvlJc w:val="right"/>
      <w:pPr>
        <w:ind w:left="4320" w:hanging="180"/>
      </w:pPr>
    </w:lvl>
    <w:lvl w:ilvl="6" w:tplc="46CA1F12" w:tentative="1">
      <w:start w:val="1"/>
      <w:numFmt w:val="decimal"/>
      <w:lvlText w:val="%7."/>
      <w:lvlJc w:val="left"/>
      <w:pPr>
        <w:ind w:left="5040" w:hanging="360"/>
      </w:pPr>
    </w:lvl>
    <w:lvl w:ilvl="7" w:tplc="6A9A0340" w:tentative="1">
      <w:start w:val="1"/>
      <w:numFmt w:val="lowerLetter"/>
      <w:lvlText w:val="%8."/>
      <w:lvlJc w:val="left"/>
      <w:pPr>
        <w:ind w:left="5760" w:hanging="360"/>
      </w:pPr>
    </w:lvl>
    <w:lvl w:ilvl="8" w:tplc="23A0F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7944"/>
    <w:multiLevelType w:val="hybridMultilevel"/>
    <w:tmpl w:val="7E169B64"/>
    <w:lvl w:ilvl="0" w:tplc="0405000F">
      <w:start w:val="6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1492A"/>
    <w:multiLevelType w:val="hybridMultilevel"/>
    <w:tmpl w:val="77940066"/>
    <w:lvl w:ilvl="0" w:tplc="FA02A02E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A50159"/>
    <w:multiLevelType w:val="hybridMultilevel"/>
    <w:tmpl w:val="C5165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A5BF6"/>
    <w:multiLevelType w:val="hybridMultilevel"/>
    <w:tmpl w:val="A7D06BE0"/>
    <w:lvl w:ilvl="0" w:tplc="086C87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261FB"/>
    <w:multiLevelType w:val="hybridMultilevel"/>
    <w:tmpl w:val="61C2B48E"/>
    <w:lvl w:ilvl="0" w:tplc="C56406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664AE"/>
    <w:multiLevelType w:val="hybridMultilevel"/>
    <w:tmpl w:val="1F08CAE4"/>
    <w:lvl w:ilvl="0" w:tplc="35D82C9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1483"/>
    <w:multiLevelType w:val="hybridMultilevel"/>
    <w:tmpl w:val="CE5ADDCC"/>
    <w:lvl w:ilvl="0" w:tplc="35D4709C">
      <w:start w:val="1"/>
      <w:numFmt w:val="decimal"/>
      <w:lvlText w:val="Tabulka č. %1: X"/>
      <w:lvlJc w:val="left"/>
      <w:pPr>
        <w:ind w:left="720" w:hanging="360"/>
      </w:pPr>
      <w:rPr>
        <w:rFonts w:cs="Times New Roman" w:hint="default"/>
      </w:rPr>
    </w:lvl>
    <w:lvl w:ilvl="1" w:tplc="70CCC108">
      <w:start w:val="1"/>
      <w:numFmt w:val="decimal"/>
      <w:pStyle w:val="Nzevtabulky"/>
      <w:suff w:val="space"/>
      <w:lvlText w:val="Tabulka č. %2: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7C7C09"/>
    <w:multiLevelType w:val="hybridMultilevel"/>
    <w:tmpl w:val="7898E918"/>
    <w:lvl w:ilvl="0" w:tplc="4F18C6F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55633"/>
    <w:multiLevelType w:val="hybridMultilevel"/>
    <w:tmpl w:val="962ED454"/>
    <w:lvl w:ilvl="0" w:tplc="27F40A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78DD"/>
    <w:multiLevelType w:val="hybridMultilevel"/>
    <w:tmpl w:val="F46A3602"/>
    <w:lvl w:ilvl="0" w:tplc="F60A9996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283676"/>
    <w:multiLevelType w:val="hybridMultilevel"/>
    <w:tmpl w:val="BE5442B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3889"/>
    <w:multiLevelType w:val="hybridMultilevel"/>
    <w:tmpl w:val="192AE56A"/>
    <w:lvl w:ilvl="0" w:tplc="9A38E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338C"/>
    <w:multiLevelType w:val="hybridMultilevel"/>
    <w:tmpl w:val="A3EE7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0184C"/>
    <w:multiLevelType w:val="hybridMultilevel"/>
    <w:tmpl w:val="90B04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D415D"/>
    <w:multiLevelType w:val="multilevel"/>
    <w:tmpl w:val="9CC471FC"/>
    <w:lvl w:ilvl="0">
      <w:start w:val="1"/>
      <w:numFmt w:val="none"/>
      <w:lvlText w:val="I."/>
      <w:lvlJc w:val="center"/>
      <w:pPr>
        <w:ind w:left="170" w:hanging="1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930592"/>
    <w:multiLevelType w:val="hybridMultilevel"/>
    <w:tmpl w:val="C980C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30731"/>
    <w:multiLevelType w:val="hybridMultilevel"/>
    <w:tmpl w:val="2AE2AB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51C72"/>
    <w:multiLevelType w:val="hybridMultilevel"/>
    <w:tmpl w:val="6DF6EE30"/>
    <w:lvl w:ilvl="0" w:tplc="F60A999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46990"/>
    <w:multiLevelType w:val="hybridMultilevel"/>
    <w:tmpl w:val="EABE0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65D07"/>
    <w:multiLevelType w:val="hybridMultilevel"/>
    <w:tmpl w:val="4E48A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E4AFF"/>
    <w:multiLevelType w:val="hybridMultilevel"/>
    <w:tmpl w:val="B12C9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067D8"/>
    <w:multiLevelType w:val="hybridMultilevel"/>
    <w:tmpl w:val="7326DED0"/>
    <w:lvl w:ilvl="0" w:tplc="15C4857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62B32"/>
    <w:multiLevelType w:val="hybridMultilevel"/>
    <w:tmpl w:val="BB343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3056"/>
    <w:multiLevelType w:val="hybridMultilevel"/>
    <w:tmpl w:val="AC8E51D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226ED"/>
    <w:multiLevelType w:val="hybridMultilevel"/>
    <w:tmpl w:val="3CDC2A36"/>
    <w:lvl w:ilvl="0" w:tplc="E38871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1" w15:restartNumberingAfterBreak="0">
    <w:nsid w:val="659250E3"/>
    <w:multiLevelType w:val="hybridMultilevel"/>
    <w:tmpl w:val="1076BF04"/>
    <w:lvl w:ilvl="0" w:tplc="28523E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14D11"/>
    <w:multiLevelType w:val="hybridMultilevel"/>
    <w:tmpl w:val="8EC6EB02"/>
    <w:lvl w:ilvl="0" w:tplc="F60A999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E352D"/>
    <w:multiLevelType w:val="hybridMultilevel"/>
    <w:tmpl w:val="6A70C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84146"/>
    <w:multiLevelType w:val="hybridMultilevel"/>
    <w:tmpl w:val="CB16A202"/>
    <w:lvl w:ilvl="0" w:tplc="28523E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55CBF"/>
    <w:multiLevelType w:val="hybridMultilevel"/>
    <w:tmpl w:val="D0560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414E2"/>
    <w:multiLevelType w:val="hybridMultilevel"/>
    <w:tmpl w:val="578E5574"/>
    <w:lvl w:ilvl="0" w:tplc="3BAEC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E0060"/>
    <w:multiLevelType w:val="hybridMultilevel"/>
    <w:tmpl w:val="07DE3BA0"/>
    <w:lvl w:ilvl="0" w:tplc="9A38E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2"/>
  </w:num>
  <w:num w:numId="4">
    <w:abstractNumId w:val="3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7"/>
  </w:num>
  <w:num w:numId="8">
    <w:abstractNumId w:val="30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2"/>
  </w:num>
  <w:num w:numId="13">
    <w:abstractNumId w:val="15"/>
  </w:num>
  <w:num w:numId="14">
    <w:abstractNumId w:val="16"/>
  </w:num>
  <w:num w:numId="15">
    <w:abstractNumId w:val="13"/>
  </w:num>
  <w:num w:numId="16">
    <w:abstractNumId w:val="27"/>
  </w:num>
  <w:num w:numId="17">
    <w:abstractNumId w:val="32"/>
  </w:num>
  <w:num w:numId="18">
    <w:abstractNumId w:val="2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1"/>
  </w:num>
  <w:num w:numId="22">
    <w:abstractNumId w:val="34"/>
  </w:num>
  <w:num w:numId="23">
    <w:abstractNumId w:val="37"/>
  </w:num>
  <w:num w:numId="24">
    <w:abstractNumId w:val="35"/>
  </w:num>
  <w:num w:numId="25">
    <w:abstractNumId w:val="29"/>
  </w:num>
  <w:num w:numId="26">
    <w:abstractNumId w:val="28"/>
  </w:num>
  <w:num w:numId="27">
    <w:abstractNumId w:val="4"/>
  </w:num>
  <w:num w:numId="28">
    <w:abstractNumId w:val="9"/>
  </w:num>
  <w:num w:numId="29">
    <w:abstractNumId w:val="22"/>
  </w:num>
  <w:num w:numId="30">
    <w:abstractNumId w:val="19"/>
  </w:num>
  <w:num w:numId="31">
    <w:abstractNumId w:val="14"/>
  </w:num>
  <w:num w:numId="32">
    <w:abstractNumId w:val="25"/>
  </w:num>
  <w:num w:numId="33">
    <w:abstractNumId w:val="10"/>
  </w:num>
  <w:num w:numId="34">
    <w:abstractNumId w:val="3"/>
  </w:num>
  <w:num w:numId="35">
    <w:abstractNumId w:val="15"/>
  </w:num>
  <w:num w:numId="36">
    <w:abstractNumId w:val="33"/>
  </w:num>
  <w:num w:numId="37">
    <w:abstractNumId w:val="0"/>
  </w:num>
  <w:num w:numId="38">
    <w:abstractNumId w:val="18"/>
  </w:num>
  <w:num w:numId="39">
    <w:abstractNumId w:val="11"/>
  </w:num>
  <w:num w:numId="40">
    <w:abstractNumId w:val="20"/>
  </w:num>
  <w:num w:numId="41">
    <w:abstractNumId w:val="36"/>
  </w:num>
  <w:num w:numId="4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08"/>
    <w:rsid w:val="00000063"/>
    <w:rsid w:val="0000015B"/>
    <w:rsid w:val="00001845"/>
    <w:rsid w:val="000031EE"/>
    <w:rsid w:val="00003387"/>
    <w:rsid w:val="00004370"/>
    <w:rsid w:val="0000481E"/>
    <w:rsid w:val="00005FD2"/>
    <w:rsid w:val="00006C2E"/>
    <w:rsid w:val="00010147"/>
    <w:rsid w:val="00010631"/>
    <w:rsid w:val="0001091C"/>
    <w:rsid w:val="00010963"/>
    <w:rsid w:val="00011542"/>
    <w:rsid w:val="00011658"/>
    <w:rsid w:val="00011972"/>
    <w:rsid w:val="0001228F"/>
    <w:rsid w:val="00013DE6"/>
    <w:rsid w:val="00016204"/>
    <w:rsid w:val="00016520"/>
    <w:rsid w:val="00017034"/>
    <w:rsid w:val="00021027"/>
    <w:rsid w:val="00021F67"/>
    <w:rsid w:val="00022412"/>
    <w:rsid w:val="00026FAF"/>
    <w:rsid w:val="00027546"/>
    <w:rsid w:val="0002773E"/>
    <w:rsid w:val="00027FE8"/>
    <w:rsid w:val="0003040D"/>
    <w:rsid w:val="000304B8"/>
    <w:rsid w:val="000316FC"/>
    <w:rsid w:val="0003208D"/>
    <w:rsid w:val="0003212D"/>
    <w:rsid w:val="00032EEA"/>
    <w:rsid w:val="000352B3"/>
    <w:rsid w:val="00035454"/>
    <w:rsid w:val="00036E4C"/>
    <w:rsid w:val="00040943"/>
    <w:rsid w:val="00040B57"/>
    <w:rsid w:val="000415A9"/>
    <w:rsid w:val="000415BA"/>
    <w:rsid w:val="00042B1E"/>
    <w:rsid w:val="00042D15"/>
    <w:rsid w:val="00043835"/>
    <w:rsid w:val="00045D37"/>
    <w:rsid w:val="00046946"/>
    <w:rsid w:val="00047308"/>
    <w:rsid w:val="000513E2"/>
    <w:rsid w:val="00051CB0"/>
    <w:rsid w:val="0005260B"/>
    <w:rsid w:val="00052806"/>
    <w:rsid w:val="00052815"/>
    <w:rsid w:val="00052B78"/>
    <w:rsid w:val="00053B0E"/>
    <w:rsid w:val="00053F92"/>
    <w:rsid w:val="00055094"/>
    <w:rsid w:val="00055DD8"/>
    <w:rsid w:val="00056374"/>
    <w:rsid w:val="00056885"/>
    <w:rsid w:val="00056BFB"/>
    <w:rsid w:val="000605EE"/>
    <w:rsid w:val="00061AE2"/>
    <w:rsid w:val="000636AA"/>
    <w:rsid w:val="00064006"/>
    <w:rsid w:val="000642F4"/>
    <w:rsid w:val="00066001"/>
    <w:rsid w:val="000708FF"/>
    <w:rsid w:val="00071A1D"/>
    <w:rsid w:val="00071DDB"/>
    <w:rsid w:val="00072982"/>
    <w:rsid w:val="0007306A"/>
    <w:rsid w:val="00074A9A"/>
    <w:rsid w:val="00081C96"/>
    <w:rsid w:val="00083169"/>
    <w:rsid w:val="00083A42"/>
    <w:rsid w:val="00084784"/>
    <w:rsid w:val="000847F2"/>
    <w:rsid w:val="00084CA0"/>
    <w:rsid w:val="000857F2"/>
    <w:rsid w:val="00091F77"/>
    <w:rsid w:val="000936D0"/>
    <w:rsid w:val="00093708"/>
    <w:rsid w:val="00095CE5"/>
    <w:rsid w:val="00095D47"/>
    <w:rsid w:val="00097118"/>
    <w:rsid w:val="00097B56"/>
    <w:rsid w:val="000A00DE"/>
    <w:rsid w:val="000A043C"/>
    <w:rsid w:val="000A0906"/>
    <w:rsid w:val="000A12E6"/>
    <w:rsid w:val="000A17BA"/>
    <w:rsid w:val="000A1C78"/>
    <w:rsid w:val="000A1D1C"/>
    <w:rsid w:val="000A2392"/>
    <w:rsid w:val="000A2712"/>
    <w:rsid w:val="000A284B"/>
    <w:rsid w:val="000A2E8D"/>
    <w:rsid w:val="000A39F4"/>
    <w:rsid w:val="000A3C4E"/>
    <w:rsid w:val="000A621D"/>
    <w:rsid w:val="000A7449"/>
    <w:rsid w:val="000A799B"/>
    <w:rsid w:val="000A7C30"/>
    <w:rsid w:val="000A7E42"/>
    <w:rsid w:val="000B02B7"/>
    <w:rsid w:val="000B0D8F"/>
    <w:rsid w:val="000B34E6"/>
    <w:rsid w:val="000B3A80"/>
    <w:rsid w:val="000B6B63"/>
    <w:rsid w:val="000B6D2D"/>
    <w:rsid w:val="000B7EC0"/>
    <w:rsid w:val="000C078D"/>
    <w:rsid w:val="000C1227"/>
    <w:rsid w:val="000C1501"/>
    <w:rsid w:val="000C16EC"/>
    <w:rsid w:val="000C2386"/>
    <w:rsid w:val="000C2B4F"/>
    <w:rsid w:val="000C4056"/>
    <w:rsid w:val="000C524D"/>
    <w:rsid w:val="000C56F4"/>
    <w:rsid w:val="000C5CE6"/>
    <w:rsid w:val="000C5EF7"/>
    <w:rsid w:val="000C6660"/>
    <w:rsid w:val="000C6C18"/>
    <w:rsid w:val="000C73AA"/>
    <w:rsid w:val="000D0EB4"/>
    <w:rsid w:val="000D1320"/>
    <w:rsid w:val="000D2A50"/>
    <w:rsid w:val="000D372B"/>
    <w:rsid w:val="000D39EA"/>
    <w:rsid w:val="000D4E23"/>
    <w:rsid w:val="000D54BF"/>
    <w:rsid w:val="000D7F50"/>
    <w:rsid w:val="000E0541"/>
    <w:rsid w:val="000E1119"/>
    <w:rsid w:val="000E2D3E"/>
    <w:rsid w:val="000E31E1"/>
    <w:rsid w:val="000E35FD"/>
    <w:rsid w:val="000E373D"/>
    <w:rsid w:val="000E41DC"/>
    <w:rsid w:val="000E4539"/>
    <w:rsid w:val="000E58F9"/>
    <w:rsid w:val="000E5C4F"/>
    <w:rsid w:val="000E5D8E"/>
    <w:rsid w:val="000E675F"/>
    <w:rsid w:val="000E7EB4"/>
    <w:rsid w:val="000F0790"/>
    <w:rsid w:val="000F1952"/>
    <w:rsid w:val="000F2987"/>
    <w:rsid w:val="000F3B3A"/>
    <w:rsid w:val="000F4015"/>
    <w:rsid w:val="000F580C"/>
    <w:rsid w:val="000F59C1"/>
    <w:rsid w:val="000F74D9"/>
    <w:rsid w:val="000F77C4"/>
    <w:rsid w:val="001007EA"/>
    <w:rsid w:val="0010283F"/>
    <w:rsid w:val="0010343A"/>
    <w:rsid w:val="001036E8"/>
    <w:rsid w:val="001038ED"/>
    <w:rsid w:val="00103E2D"/>
    <w:rsid w:val="0010430C"/>
    <w:rsid w:val="00104B0F"/>
    <w:rsid w:val="001061C3"/>
    <w:rsid w:val="00106B01"/>
    <w:rsid w:val="00106C5A"/>
    <w:rsid w:val="00106F57"/>
    <w:rsid w:val="00107DC4"/>
    <w:rsid w:val="001136E6"/>
    <w:rsid w:val="001146FB"/>
    <w:rsid w:val="00114B9D"/>
    <w:rsid w:val="00114D01"/>
    <w:rsid w:val="00117B9D"/>
    <w:rsid w:val="0012012E"/>
    <w:rsid w:val="00120B13"/>
    <w:rsid w:val="00120B15"/>
    <w:rsid w:val="00121105"/>
    <w:rsid w:val="0012122E"/>
    <w:rsid w:val="00121594"/>
    <w:rsid w:val="001221DA"/>
    <w:rsid w:val="00123BFE"/>
    <w:rsid w:val="00123DD3"/>
    <w:rsid w:val="0012444B"/>
    <w:rsid w:val="001251D2"/>
    <w:rsid w:val="00125BCD"/>
    <w:rsid w:val="00126A44"/>
    <w:rsid w:val="0013131E"/>
    <w:rsid w:val="00132025"/>
    <w:rsid w:val="0013229D"/>
    <w:rsid w:val="0013346B"/>
    <w:rsid w:val="0013347B"/>
    <w:rsid w:val="001334B9"/>
    <w:rsid w:val="001337F2"/>
    <w:rsid w:val="00134B6C"/>
    <w:rsid w:val="00134F38"/>
    <w:rsid w:val="001358C2"/>
    <w:rsid w:val="001359F3"/>
    <w:rsid w:val="001360C4"/>
    <w:rsid w:val="001364E5"/>
    <w:rsid w:val="00140E2C"/>
    <w:rsid w:val="00140F8E"/>
    <w:rsid w:val="00142524"/>
    <w:rsid w:val="001427DD"/>
    <w:rsid w:val="00145648"/>
    <w:rsid w:val="001460CC"/>
    <w:rsid w:val="001468D2"/>
    <w:rsid w:val="001473AB"/>
    <w:rsid w:val="00147556"/>
    <w:rsid w:val="00147F78"/>
    <w:rsid w:val="00151049"/>
    <w:rsid w:val="00151278"/>
    <w:rsid w:val="00151BAE"/>
    <w:rsid w:val="00151D4B"/>
    <w:rsid w:val="00154BB2"/>
    <w:rsid w:val="00155077"/>
    <w:rsid w:val="00156C0E"/>
    <w:rsid w:val="00156EDB"/>
    <w:rsid w:val="001612E3"/>
    <w:rsid w:val="00163A56"/>
    <w:rsid w:val="00163DEE"/>
    <w:rsid w:val="00164EAA"/>
    <w:rsid w:val="001662E0"/>
    <w:rsid w:val="0016659C"/>
    <w:rsid w:val="00167DB1"/>
    <w:rsid w:val="00170CD9"/>
    <w:rsid w:val="00171D8C"/>
    <w:rsid w:val="0017208C"/>
    <w:rsid w:val="001728E0"/>
    <w:rsid w:val="00174514"/>
    <w:rsid w:val="00175521"/>
    <w:rsid w:val="00175815"/>
    <w:rsid w:val="00183410"/>
    <w:rsid w:val="00184D81"/>
    <w:rsid w:val="00185A77"/>
    <w:rsid w:val="00186E45"/>
    <w:rsid w:val="00190EFC"/>
    <w:rsid w:val="00190F77"/>
    <w:rsid w:val="00190F95"/>
    <w:rsid w:val="0019169B"/>
    <w:rsid w:val="00191ABD"/>
    <w:rsid w:val="001932A0"/>
    <w:rsid w:val="00195AE9"/>
    <w:rsid w:val="00195AF9"/>
    <w:rsid w:val="001961E6"/>
    <w:rsid w:val="001969B5"/>
    <w:rsid w:val="001A00DC"/>
    <w:rsid w:val="001A153A"/>
    <w:rsid w:val="001A282A"/>
    <w:rsid w:val="001A2D60"/>
    <w:rsid w:val="001A4F33"/>
    <w:rsid w:val="001A6EEB"/>
    <w:rsid w:val="001B0AE1"/>
    <w:rsid w:val="001B0F95"/>
    <w:rsid w:val="001B16B9"/>
    <w:rsid w:val="001B22BB"/>
    <w:rsid w:val="001B2AC9"/>
    <w:rsid w:val="001B2C77"/>
    <w:rsid w:val="001B31A7"/>
    <w:rsid w:val="001B3956"/>
    <w:rsid w:val="001B39DB"/>
    <w:rsid w:val="001B3ED0"/>
    <w:rsid w:val="001B4570"/>
    <w:rsid w:val="001B463B"/>
    <w:rsid w:val="001B5682"/>
    <w:rsid w:val="001B6407"/>
    <w:rsid w:val="001B6E4A"/>
    <w:rsid w:val="001B7F52"/>
    <w:rsid w:val="001B7FF6"/>
    <w:rsid w:val="001C1298"/>
    <w:rsid w:val="001C14FB"/>
    <w:rsid w:val="001C1DC9"/>
    <w:rsid w:val="001C219C"/>
    <w:rsid w:val="001C2403"/>
    <w:rsid w:val="001C3763"/>
    <w:rsid w:val="001C49C3"/>
    <w:rsid w:val="001C4B90"/>
    <w:rsid w:val="001C4D0C"/>
    <w:rsid w:val="001C593C"/>
    <w:rsid w:val="001D1061"/>
    <w:rsid w:val="001D12E2"/>
    <w:rsid w:val="001D195F"/>
    <w:rsid w:val="001D2781"/>
    <w:rsid w:val="001D29D4"/>
    <w:rsid w:val="001D492C"/>
    <w:rsid w:val="001D4FC4"/>
    <w:rsid w:val="001D58DD"/>
    <w:rsid w:val="001D5C27"/>
    <w:rsid w:val="001D621E"/>
    <w:rsid w:val="001D627D"/>
    <w:rsid w:val="001D6609"/>
    <w:rsid w:val="001D6EDD"/>
    <w:rsid w:val="001D705F"/>
    <w:rsid w:val="001E0036"/>
    <w:rsid w:val="001E04EE"/>
    <w:rsid w:val="001E11E6"/>
    <w:rsid w:val="001E26B7"/>
    <w:rsid w:val="001E3D54"/>
    <w:rsid w:val="001E547C"/>
    <w:rsid w:val="001E5492"/>
    <w:rsid w:val="001E55E7"/>
    <w:rsid w:val="001E75DF"/>
    <w:rsid w:val="001E7B6F"/>
    <w:rsid w:val="001E7C96"/>
    <w:rsid w:val="001E7D5E"/>
    <w:rsid w:val="001F007C"/>
    <w:rsid w:val="001F1EAE"/>
    <w:rsid w:val="001F2E77"/>
    <w:rsid w:val="001F4BA0"/>
    <w:rsid w:val="001F4DBE"/>
    <w:rsid w:val="001F530C"/>
    <w:rsid w:val="001F5611"/>
    <w:rsid w:val="001F65D6"/>
    <w:rsid w:val="001F6F8A"/>
    <w:rsid w:val="001F71C1"/>
    <w:rsid w:val="00200148"/>
    <w:rsid w:val="002010D0"/>
    <w:rsid w:val="002015FB"/>
    <w:rsid w:val="00201D57"/>
    <w:rsid w:val="002023B6"/>
    <w:rsid w:val="002027AF"/>
    <w:rsid w:val="00202CB2"/>
    <w:rsid w:val="00202CCD"/>
    <w:rsid w:val="00203459"/>
    <w:rsid w:val="00203572"/>
    <w:rsid w:val="0020453C"/>
    <w:rsid w:val="00205AF1"/>
    <w:rsid w:val="00205E1F"/>
    <w:rsid w:val="002062FF"/>
    <w:rsid w:val="00210463"/>
    <w:rsid w:val="002107C0"/>
    <w:rsid w:val="00210BBC"/>
    <w:rsid w:val="00211129"/>
    <w:rsid w:val="002111EB"/>
    <w:rsid w:val="00211743"/>
    <w:rsid w:val="00212B50"/>
    <w:rsid w:val="00212E22"/>
    <w:rsid w:val="00213139"/>
    <w:rsid w:val="00213A37"/>
    <w:rsid w:val="00214398"/>
    <w:rsid w:val="00214415"/>
    <w:rsid w:val="00214CBB"/>
    <w:rsid w:val="002150E3"/>
    <w:rsid w:val="00215499"/>
    <w:rsid w:val="002154F6"/>
    <w:rsid w:val="00215FBA"/>
    <w:rsid w:val="00216C02"/>
    <w:rsid w:val="002218C8"/>
    <w:rsid w:val="00222CA5"/>
    <w:rsid w:val="00223D3B"/>
    <w:rsid w:val="00225411"/>
    <w:rsid w:val="00226E7A"/>
    <w:rsid w:val="00227AEF"/>
    <w:rsid w:val="002300C5"/>
    <w:rsid w:val="0023052A"/>
    <w:rsid w:val="00231B02"/>
    <w:rsid w:val="00231E46"/>
    <w:rsid w:val="0023244D"/>
    <w:rsid w:val="00232E14"/>
    <w:rsid w:val="0023327E"/>
    <w:rsid w:val="00234A8F"/>
    <w:rsid w:val="00234E19"/>
    <w:rsid w:val="0023743D"/>
    <w:rsid w:val="002378E7"/>
    <w:rsid w:val="00237DB5"/>
    <w:rsid w:val="00237DEC"/>
    <w:rsid w:val="0024172A"/>
    <w:rsid w:val="0024265A"/>
    <w:rsid w:val="0024636B"/>
    <w:rsid w:val="00246BDA"/>
    <w:rsid w:val="00246D13"/>
    <w:rsid w:val="002500DE"/>
    <w:rsid w:val="00250324"/>
    <w:rsid w:val="0025051A"/>
    <w:rsid w:val="0025124F"/>
    <w:rsid w:val="002512B3"/>
    <w:rsid w:val="00252577"/>
    <w:rsid w:val="0025339B"/>
    <w:rsid w:val="0025367E"/>
    <w:rsid w:val="00253EBB"/>
    <w:rsid w:val="002543FC"/>
    <w:rsid w:val="00260107"/>
    <w:rsid w:val="00260B74"/>
    <w:rsid w:val="002629FF"/>
    <w:rsid w:val="002631EF"/>
    <w:rsid w:val="00264129"/>
    <w:rsid w:val="00264C8E"/>
    <w:rsid w:val="0026510A"/>
    <w:rsid w:val="00265575"/>
    <w:rsid w:val="0026625D"/>
    <w:rsid w:val="00266369"/>
    <w:rsid w:val="00266986"/>
    <w:rsid w:val="00266BCB"/>
    <w:rsid w:val="002674B3"/>
    <w:rsid w:val="00267691"/>
    <w:rsid w:val="00267B5E"/>
    <w:rsid w:val="0027012A"/>
    <w:rsid w:val="0027025C"/>
    <w:rsid w:val="00270A1E"/>
    <w:rsid w:val="00271596"/>
    <w:rsid w:val="0027396E"/>
    <w:rsid w:val="00273DE7"/>
    <w:rsid w:val="0027602B"/>
    <w:rsid w:val="002776E3"/>
    <w:rsid w:val="00280955"/>
    <w:rsid w:val="00281846"/>
    <w:rsid w:val="002821D4"/>
    <w:rsid w:val="00283B99"/>
    <w:rsid w:val="002848AD"/>
    <w:rsid w:val="0028607A"/>
    <w:rsid w:val="002862D9"/>
    <w:rsid w:val="00286CE5"/>
    <w:rsid w:val="00286E2E"/>
    <w:rsid w:val="00287AB3"/>
    <w:rsid w:val="002931A8"/>
    <w:rsid w:val="00293B0B"/>
    <w:rsid w:val="00293E78"/>
    <w:rsid w:val="0029420E"/>
    <w:rsid w:val="002958B6"/>
    <w:rsid w:val="00295D25"/>
    <w:rsid w:val="00295EB9"/>
    <w:rsid w:val="002968A3"/>
    <w:rsid w:val="002977BA"/>
    <w:rsid w:val="002A0276"/>
    <w:rsid w:val="002A0613"/>
    <w:rsid w:val="002A0D12"/>
    <w:rsid w:val="002A1AA3"/>
    <w:rsid w:val="002A331E"/>
    <w:rsid w:val="002A4370"/>
    <w:rsid w:val="002A4EE4"/>
    <w:rsid w:val="002A6241"/>
    <w:rsid w:val="002B1D6E"/>
    <w:rsid w:val="002B2166"/>
    <w:rsid w:val="002B2F42"/>
    <w:rsid w:val="002B5024"/>
    <w:rsid w:val="002B5600"/>
    <w:rsid w:val="002B611D"/>
    <w:rsid w:val="002B6A41"/>
    <w:rsid w:val="002B6A99"/>
    <w:rsid w:val="002B6FC9"/>
    <w:rsid w:val="002B7156"/>
    <w:rsid w:val="002C136F"/>
    <w:rsid w:val="002C2500"/>
    <w:rsid w:val="002C489F"/>
    <w:rsid w:val="002C52C5"/>
    <w:rsid w:val="002C5356"/>
    <w:rsid w:val="002C53A6"/>
    <w:rsid w:val="002C554B"/>
    <w:rsid w:val="002C625E"/>
    <w:rsid w:val="002C7516"/>
    <w:rsid w:val="002C759C"/>
    <w:rsid w:val="002C77A0"/>
    <w:rsid w:val="002D00AA"/>
    <w:rsid w:val="002D00FE"/>
    <w:rsid w:val="002D01B9"/>
    <w:rsid w:val="002D271C"/>
    <w:rsid w:val="002D28FF"/>
    <w:rsid w:val="002D3635"/>
    <w:rsid w:val="002D4427"/>
    <w:rsid w:val="002D4984"/>
    <w:rsid w:val="002D4C6D"/>
    <w:rsid w:val="002D4F23"/>
    <w:rsid w:val="002D6F01"/>
    <w:rsid w:val="002D7F9B"/>
    <w:rsid w:val="002E061E"/>
    <w:rsid w:val="002E11C4"/>
    <w:rsid w:val="002E3CDA"/>
    <w:rsid w:val="002E4D9E"/>
    <w:rsid w:val="002E51E2"/>
    <w:rsid w:val="002E54D7"/>
    <w:rsid w:val="002E726B"/>
    <w:rsid w:val="002E7D45"/>
    <w:rsid w:val="002F1C3B"/>
    <w:rsid w:val="002F377A"/>
    <w:rsid w:val="002F46EA"/>
    <w:rsid w:val="002F6077"/>
    <w:rsid w:val="002F683A"/>
    <w:rsid w:val="002F6D9C"/>
    <w:rsid w:val="002F6F98"/>
    <w:rsid w:val="002F79EA"/>
    <w:rsid w:val="003004CD"/>
    <w:rsid w:val="00300CDC"/>
    <w:rsid w:val="00301CFB"/>
    <w:rsid w:val="00302D4E"/>
    <w:rsid w:val="00303ADC"/>
    <w:rsid w:val="003048F8"/>
    <w:rsid w:val="0030493D"/>
    <w:rsid w:val="00306C84"/>
    <w:rsid w:val="003070D8"/>
    <w:rsid w:val="003071F4"/>
    <w:rsid w:val="003074E1"/>
    <w:rsid w:val="00310377"/>
    <w:rsid w:val="003108AF"/>
    <w:rsid w:val="003111BB"/>
    <w:rsid w:val="00311307"/>
    <w:rsid w:val="0031150B"/>
    <w:rsid w:val="00311D49"/>
    <w:rsid w:val="00312596"/>
    <w:rsid w:val="00313401"/>
    <w:rsid w:val="0031440F"/>
    <w:rsid w:val="00315B43"/>
    <w:rsid w:val="00317A3E"/>
    <w:rsid w:val="00317DD9"/>
    <w:rsid w:val="00320470"/>
    <w:rsid w:val="00320510"/>
    <w:rsid w:val="003206E3"/>
    <w:rsid w:val="00320F7E"/>
    <w:rsid w:val="00321055"/>
    <w:rsid w:val="00321936"/>
    <w:rsid w:val="00321E03"/>
    <w:rsid w:val="003220E2"/>
    <w:rsid w:val="003221E7"/>
    <w:rsid w:val="00322DC8"/>
    <w:rsid w:val="003230A3"/>
    <w:rsid w:val="003230D4"/>
    <w:rsid w:val="00323378"/>
    <w:rsid w:val="00323383"/>
    <w:rsid w:val="00323835"/>
    <w:rsid w:val="003248B9"/>
    <w:rsid w:val="00324F05"/>
    <w:rsid w:val="00325937"/>
    <w:rsid w:val="00325D3F"/>
    <w:rsid w:val="0032668F"/>
    <w:rsid w:val="00326747"/>
    <w:rsid w:val="003276DB"/>
    <w:rsid w:val="00327BCC"/>
    <w:rsid w:val="0033080E"/>
    <w:rsid w:val="00330A2E"/>
    <w:rsid w:val="00330D07"/>
    <w:rsid w:val="003314EC"/>
    <w:rsid w:val="00333161"/>
    <w:rsid w:val="00333E1B"/>
    <w:rsid w:val="0033539B"/>
    <w:rsid w:val="00336169"/>
    <w:rsid w:val="003375FC"/>
    <w:rsid w:val="00340393"/>
    <w:rsid w:val="00341727"/>
    <w:rsid w:val="00342E47"/>
    <w:rsid w:val="00343B1D"/>
    <w:rsid w:val="003448B6"/>
    <w:rsid w:val="00344978"/>
    <w:rsid w:val="00345452"/>
    <w:rsid w:val="00345796"/>
    <w:rsid w:val="00346DCF"/>
    <w:rsid w:val="00347EC3"/>
    <w:rsid w:val="00350DB2"/>
    <w:rsid w:val="0035208B"/>
    <w:rsid w:val="003530F8"/>
    <w:rsid w:val="0035560C"/>
    <w:rsid w:val="0035598A"/>
    <w:rsid w:val="0035609A"/>
    <w:rsid w:val="00357A80"/>
    <w:rsid w:val="00357B37"/>
    <w:rsid w:val="0036013C"/>
    <w:rsid w:val="0036026D"/>
    <w:rsid w:val="003603D4"/>
    <w:rsid w:val="0036044C"/>
    <w:rsid w:val="00360661"/>
    <w:rsid w:val="00361B1A"/>
    <w:rsid w:val="003620D7"/>
    <w:rsid w:val="003626C9"/>
    <w:rsid w:val="003628BA"/>
    <w:rsid w:val="00363332"/>
    <w:rsid w:val="00363647"/>
    <w:rsid w:val="00363F76"/>
    <w:rsid w:val="003644A9"/>
    <w:rsid w:val="0036481D"/>
    <w:rsid w:val="003654AB"/>
    <w:rsid w:val="003656D3"/>
    <w:rsid w:val="00366126"/>
    <w:rsid w:val="003665DC"/>
    <w:rsid w:val="00367037"/>
    <w:rsid w:val="00367067"/>
    <w:rsid w:val="0036767B"/>
    <w:rsid w:val="00367859"/>
    <w:rsid w:val="00371AF7"/>
    <w:rsid w:val="003721F0"/>
    <w:rsid w:val="00373D6B"/>
    <w:rsid w:val="00373F94"/>
    <w:rsid w:val="00374441"/>
    <w:rsid w:val="00374A95"/>
    <w:rsid w:val="00375F8B"/>
    <w:rsid w:val="003766D7"/>
    <w:rsid w:val="00377276"/>
    <w:rsid w:val="00377CB6"/>
    <w:rsid w:val="00377F82"/>
    <w:rsid w:val="003802B4"/>
    <w:rsid w:val="003818E8"/>
    <w:rsid w:val="00382105"/>
    <w:rsid w:val="00383A0E"/>
    <w:rsid w:val="00383E6A"/>
    <w:rsid w:val="003842AF"/>
    <w:rsid w:val="003846A9"/>
    <w:rsid w:val="00385817"/>
    <w:rsid w:val="00385D25"/>
    <w:rsid w:val="00386A53"/>
    <w:rsid w:val="00386D41"/>
    <w:rsid w:val="0038734C"/>
    <w:rsid w:val="00390AA2"/>
    <w:rsid w:val="00390D98"/>
    <w:rsid w:val="00390E49"/>
    <w:rsid w:val="00392143"/>
    <w:rsid w:val="00392FB1"/>
    <w:rsid w:val="003931C8"/>
    <w:rsid w:val="003936C3"/>
    <w:rsid w:val="00393FB7"/>
    <w:rsid w:val="003941DF"/>
    <w:rsid w:val="003949FF"/>
    <w:rsid w:val="00394A02"/>
    <w:rsid w:val="0039552A"/>
    <w:rsid w:val="0039629C"/>
    <w:rsid w:val="00396589"/>
    <w:rsid w:val="003967B6"/>
    <w:rsid w:val="0039684F"/>
    <w:rsid w:val="00397202"/>
    <w:rsid w:val="003A0407"/>
    <w:rsid w:val="003A0D37"/>
    <w:rsid w:val="003A1BD5"/>
    <w:rsid w:val="003A218E"/>
    <w:rsid w:val="003A3150"/>
    <w:rsid w:val="003A443C"/>
    <w:rsid w:val="003A4D92"/>
    <w:rsid w:val="003A5790"/>
    <w:rsid w:val="003A5E76"/>
    <w:rsid w:val="003A68AA"/>
    <w:rsid w:val="003B20C9"/>
    <w:rsid w:val="003B2EB0"/>
    <w:rsid w:val="003B44B1"/>
    <w:rsid w:val="003B633C"/>
    <w:rsid w:val="003B73A7"/>
    <w:rsid w:val="003B7863"/>
    <w:rsid w:val="003B7B69"/>
    <w:rsid w:val="003B7CCD"/>
    <w:rsid w:val="003C1270"/>
    <w:rsid w:val="003C12DD"/>
    <w:rsid w:val="003C3204"/>
    <w:rsid w:val="003C365D"/>
    <w:rsid w:val="003C3C52"/>
    <w:rsid w:val="003C5474"/>
    <w:rsid w:val="003C7A76"/>
    <w:rsid w:val="003D010A"/>
    <w:rsid w:val="003D0A22"/>
    <w:rsid w:val="003D1232"/>
    <w:rsid w:val="003D1A59"/>
    <w:rsid w:val="003D29A4"/>
    <w:rsid w:val="003D2AC2"/>
    <w:rsid w:val="003D3D88"/>
    <w:rsid w:val="003D5722"/>
    <w:rsid w:val="003D5DCD"/>
    <w:rsid w:val="003D7528"/>
    <w:rsid w:val="003E1A78"/>
    <w:rsid w:val="003E3E33"/>
    <w:rsid w:val="003E51C7"/>
    <w:rsid w:val="003E5379"/>
    <w:rsid w:val="003E7BA8"/>
    <w:rsid w:val="003E7CB2"/>
    <w:rsid w:val="003E7D8C"/>
    <w:rsid w:val="003F01A1"/>
    <w:rsid w:val="003F0E6F"/>
    <w:rsid w:val="003F17A9"/>
    <w:rsid w:val="003F192C"/>
    <w:rsid w:val="003F24C4"/>
    <w:rsid w:val="003F2591"/>
    <w:rsid w:val="003F3B51"/>
    <w:rsid w:val="003F4760"/>
    <w:rsid w:val="003F50DD"/>
    <w:rsid w:val="004043CF"/>
    <w:rsid w:val="00404465"/>
    <w:rsid w:val="00404A8D"/>
    <w:rsid w:val="00406BD0"/>
    <w:rsid w:val="00410181"/>
    <w:rsid w:val="00411963"/>
    <w:rsid w:val="004120B0"/>
    <w:rsid w:val="004121F4"/>
    <w:rsid w:val="004122A7"/>
    <w:rsid w:val="00413889"/>
    <w:rsid w:val="004143ED"/>
    <w:rsid w:val="0041446B"/>
    <w:rsid w:val="00415E39"/>
    <w:rsid w:val="004173C7"/>
    <w:rsid w:val="00420188"/>
    <w:rsid w:val="004224F4"/>
    <w:rsid w:val="004225A8"/>
    <w:rsid w:val="00422E95"/>
    <w:rsid w:val="00423138"/>
    <w:rsid w:val="00424266"/>
    <w:rsid w:val="00424B02"/>
    <w:rsid w:val="00426928"/>
    <w:rsid w:val="00426AF3"/>
    <w:rsid w:val="0042764D"/>
    <w:rsid w:val="00427775"/>
    <w:rsid w:val="00430685"/>
    <w:rsid w:val="004311E5"/>
    <w:rsid w:val="004327A9"/>
    <w:rsid w:val="004328FF"/>
    <w:rsid w:val="00433874"/>
    <w:rsid w:val="00434A8C"/>
    <w:rsid w:val="004364A9"/>
    <w:rsid w:val="00436672"/>
    <w:rsid w:val="00441C5A"/>
    <w:rsid w:val="004426DA"/>
    <w:rsid w:val="00444126"/>
    <w:rsid w:val="00444F91"/>
    <w:rsid w:val="0044502A"/>
    <w:rsid w:val="00446A32"/>
    <w:rsid w:val="004475DD"/>
    <w:rsid w:val="00447953"/>
    <w:rsid w:val="00447A23"/>
    <w:rsid w:val="004500A5"/>
    <w:rsid w:val="0045073E"/>
    <w:rsid w:val="00450AC6"/>
    <w:rsid w:val="00452F3C"/>
    <w:rsid w:val="004532ED"/>
    <w:rsid w:val="004538E7"/>
    <w:rsid w:val="00453D41"/>
    <w:rsid w:val="0045428D"/>
    <w:rsid w:val="004555D7"/>
    <w:rsid w:val="00455853"/>
    <w:rsid w:val="00455E83"/>
    <w:rsid w:val="00456559"/>
    <w:rsid w:val="004566B1"/>
    <w:rsid w:val="0046109D"/>
    <w:rsid w:val="00461EF0"/>
    <w:rsid w:val="00462128"/>
    <w:rsid w:val="004623F2"/>
    <w:rsid w:val="00464334"/>
    <w:rsid w:val="00464802"/>
    <w:rsid w:val="004660F5"/>
    <w:rsid w:val="00466945"/>
    <w:rsid w:val="00466C5D"/>
    <w:rsid w:val="004672B5"/>
    <w:rsid w:val="00467F37"/>
    <w:rsid w:val="0047063C"/>
    <w:rsid w:val="0047098A"/>
    <w:rsid w:val="00470D00"/>
    <w:rsid w:val="00471F32"/>
    <w:rsid w:val="00472006"/>
    <w:rsid w:val="00473C05"/>
    <w:rsid w:val="004746C6"/>
    <w:rsid w:val="00475877"/>
    <w:rsid w:val="00475F80"/>
    <w:rsid w:val="0047793E"/>
    <w:rsid w:val="00480980"/>
    <w:rsid w:val="00480C6D"/>
    <w:rsid w:val="00480DEB"/>
    <w:rsid w:val="00481A9D"/>
    <w:rsid w:val="00481C94"/>
    <w:rsid w:val="004828C8"/>
    <w:rsid w:val="004829C7"/>
    <w:rsid w:val="00483E2B"/>
    <w:rsid w:val="00485249"/>
    <w:rsid w:val="004853BD"/>
    <w:rsid w:val="004862C3"/>
    <w:rsid w:val="00486813"/>
    <w:rsid w:val="004904FE"/>
    <w:rsid w:val="004916DB"/>
    <w:rsid w:val="00491BA9"/>
    <w:rsid w:val="00493F2D"/>
    <w:rsid w:val="00494155"/>
    <w:rsid w:val="00495071"/>
    <w:rsid w:val="00495A3E"/>
    <w:rsid w:val="00495B73"/>
    <w:rsid w:val="00496140"/>
    <w:rsid w:val="00496F66"/>
    <w:rsid w:val="004976DD"/>
    <w:rsid w:val="00497852"/>
    <w:rsid w:val="00497A1A"/>
    <w:rsid w:val="004A03D6"/>
    <w:rsid w:val="004A0706"/>
    <w:rsid w:val="004A0890"/>
    <w:rsid w:val="004A14C6"/>
    <w:rsid w:val="004A4314"/>
    <w:rsid w:val="004A44FC"/>
    <w:rsid w:val="004A4781"/>
    <w:rsid w:val="004A607F"/>
    <w:rsid w:val="004A6888"/>
    <w:rsid w:val="004A77EB"/>
    <w:rsid w:val="004B220C"/>
    <w:rsid w:val="004B226F"/>
    <w:rsid w:val="004B333E"/>
    <w:rsid w:val="004B3665"/>
    <w:rsid w:val="004B3978"/>
    <w:rsid w:val="004B4B6D"/>
    <w:rsid w:val="004B4CDA"/>
    <w:rsid w:val="004B564B"/>
    <w:rsid w:val="004B62D9"/>
    <w:rsid w:val="004B72B3"/>
    <w:rsid w:val="004B7640"/>
    <w:rsid w:val="004B77D6"/>
    <w:rsid w:val="004C0D31"/>
    <w:rsid w:val="004C0F64"/>
    <w:rsid w:val="004C1564"/>
    <w:rsid w:val="004C16B0"/>
    <w:rsid w:val="004C1A52"/>
    <w:rsid w:val="004C205A"/>
    <w:rsid w:val="004C2246"/>
    <w:rsid w:val="004C2845"/>
    <w:rsid w:val="004C2C6F"/>
    <w:rsid w:val="004C3BEF"/>
    <w:rsid w:val="004C4757"/>
    <w:rsid w:val="004C5DE3"/>
    <w:rsid w:val="004D0555"/>
    <w:rsid w:val="004D1046"/>
    <w:rsid w:val="004D1921"/>
    <w:rsid w:val="004D36BF"/>
    <w:rsid w:val="004D4015"/>
    <w:rsid w:val="004D4FBA"/>
    <w:rsid w:val="004D5E10"/>
    <w:rsid w:val="004D68C2"/>
    <w:rsid w:val="004D76EF"/>
    <w:rsid w:val="004E1257"/>
    <w:rsid w:val="004E16F3"/>
    <w:rsid w:val="004E1940"/>
    <w:rsid w:val="004E1D93"/>
    <w:rsid w:val="004E1DE7"/>
    <w:rsid w:val="004E2144"/>
    <w:rsid w:val="004E2149"/>
    <w:rsid w:val="004E21DD"/>
    <w:rsid w:val="004E3396"/>
    <w:rsid w:val="004E3409"/>
    <w:rsid w:val="004E37AB"/>
    <w:rsid w:val="004E6D9F"/>
    <w:rsid w:val="004E7E59"/>
    <w:rsid w:val="004E7EAB"/>
    <w:rsid w:val="004F0E47"/>
    <w:rsid w:val="004F0FB0"/>
    <w:rsid w:val="004F148F"/>
    <w:rsid w:val="004F15B7"/>
    <w:rsid w:val="004F1B40"/>
    <w:rsid w:val="004F39A9"/>
    <w:rsid w:val="004F4D7A"/>
    <w:rsid w:val="004F4DF4"/>
    <w:rsid w:val="004F7718"/>
    <w:rsid w:val="004F789B"/>
    <w:rsid w:val="0050020B"/>
    <w:rsid w:val="005008CA"/>
    <w:rsid w:val="00500AD2"/>
    <w:rsid w:val="005017F2"/>
    <w:rsid w:val="005027FB"/>
    <w:rsid w:val="00502909"/>
    <w:rsid w:val="005038C7"/>
    <w:rsid w:val="00506275"/>
    <w:rsid w:val="00506FF1"/>
    <w:rsid w:val="0050785F"/>
    <w:rsid w:val="00507D29"/>
    <w:rsid w:val="00510864"/>
    <w:rsid w:val="00511575"/>
    <w:rsid w:val="00511BF2"/>
    <w:rsid w:val="0051238A"/>
    <w:rsid w:val="005133DA"/>
    <w:rsid w:val="00513C94"/>
    <w:rsid w:val="00513F92"/>
    <w:rsid w:val="0051481E"/>
    <w:rsid w:val="00516C5A"/>
    <w:rsid w:val="00516F11"/>
    <w:rsid w:val="00520175"/>
    <w:rsid w:val="005207B0"/>
    <w:rsid w:val="00521D67"/>
    <w:rsid w:val="00522624"/>
    <w:rsid w:val="005242C8"/>
    <w:rsid w:val="0052509B"/>
    <w:rsid w:val="005252F4"/>
    <w:rsid w:val="0052576D"/>
    <w:rsid w:val="0052689D"/>
    <w:rsid w:val="00527096"/>
    <w:rsid w:val="005274AE"/>
    <w:rsid w:val="005277FB"/>
    <w:rsid w:val="0053128D"/>
    <w:rsid w:val="00532D66"/>
    <w:rsid w:val="005347A0"/>
    <w:rsid w:val="00535289"/>
    <w:rsid w:val="00535953"/>
    <w:rsid w:val="00535969"/>
    <w:rsid w:val="0053679F"/>
    <w:rsid w:val="00536A9B"/>
    <w:rsid w:val="0053755F"/>
    <w:rsid w:val="0053768F"/>
    <w:rsid w:val="00540028"/>
    <w:rsid w:val="005400E6"/>
    <w:rsid w:val="005406C8"/>
    <w:rsid w:val="005413E1"/>
    <w:rsid w:val="00541DFF"/>
    <w:rsid w:val="005422A1"/>
    <w:rsid w:val="00542D6C"/>
    <w:rsid w:val="005442E6"/>
    <w:rsid w:val="00544331"/>
    <w:rsid w:val="005456C5"/>
    <w:rsid w:val="00547529"/>
    <w:rsid w:val="00547F9D"/>
    <w:rsid w:val="00550CF4"/>
    <w:rsid w:val="0055126D"/>
    <w:rsid w:val="00551757"/>
    <w:rsid w:val="00551852"/>
    <w:rsid w:val="00551BBB"/>
    <w:rsid w:val="0055282E"/>
    <w:rsid w:val="00553ED6"/>
    <w:rsid w:val="00554233"/>
    <w:rsid w:val="0055514D"/>
    <w:rsid w:val="00555938"/>
    <w:rsid w:val="00556F1C"/>
    <w:rsid w:val="00557C3F"/>
    <w:rsid w:val="00560985"/>
    <w:rsid w:val="00560D82"/>
    <w:rsid w:val="00560F7D"/>
    <w:rsid w:val="00561390"/>
    <w:rsid w:val="00562373"/>
    <w:rsid w:val="00563E4D"/>
    <w:rsid w:val="00564521"/>
    <w:rsid w:val="0056546D"/>
    <w:rsid w:val="00565BF3"/>
    <w:rsid w:val="0056661D"/>
    <w:rsid w:val="0056763E"/>
    <w:rsid w:val="00571126"/>
    <w:rsid w:val="0057188F"/>
    <w:rsid w:val="00571B7B"/>
    <w:rsid w:val="005728F5"/>
    <w:rsid w:val="00572962"/>
    <w:rsid w:val="00572E67"/>
    <w:rsid w:val="0057356C"/>
    <w:rsid w:val="00573D0D"/>
    <w:rsid w:val="005744BE"/>
    <w:rsid w:val="00574A99"/>
    <w:rsid w:val="00574DDB"/>
    <w:rsid w:val="005750DB"/>
    <w:rsid w:val="00576E03"/>
    <w:rsid w:val="00576E07"/>
    <w:rsid w:val="0057722B"/>
    <w:rsid w:val="0058162B"/>
    <w:rsid w:val="0058221B"/>
    <w:rsid w:val="00582CD7"/>
    <w:rsid w:val="00585BA3"/>
    <w:rsid w:val="00585D80"/>
    <w:rsid w:val="00586780"/>
    <w:rsid w:val="00586F1E"/>
    <w:rsid w:val="005902DB"/>
    <w:rsid w:val="00590784"/>
    <w:rsid w:val="005919E5"/>
    <w:rsid w:val="0059399C"/>
    <w:rsid w:val="00597262"/>
    <w:rsid w:val="00597C3E"/>
    <w:rsid w:val="005A0141"/>
    <w:rsid w:val="005A02EF"/>
    <w:rsid w:val="005A0A68"/>
    <w:rsid w:val="005A0D1C"/>
    <w:rsid w:val="005A58A9"/>
    <w:rsid w:val="005A6955"/>
    <w:rsid w:val="005A79D2"/>
    <w:rsid w:val="005A7F03"/>
    <w:rsid w:val="005B1CA7"/>
    <w:rsid w:val="005B222B"/>
    <w:rsid w:val="005B2935"/>
    <w:rsid w:val="005B3D5D"/>
    <w:rsid w:val="005B5E85"/>
    <w:rsid w:val="005B7536"/>
    <w:rsid w:val="005B770C"/>
    <w:rsid w:val="005C2ABF"/>
    <w:rsid w:val="005C2BFD"/>
    <w:rsid w:val="005C2EA1"/>
    <w:rsid w:val="005C483A"/>
    <w:rsid w:val="005C6034"/>
    <w:rsid w:val="005C6C37"/>
    <w:rsid w:val="005C7FEC"/>
    <w:rsid w:val="005D00F1"/>
    <w:rsid w:val="005D0297"/>
    <w:rsid w:val="005D066A"/>
    <w:rsid w:val="005D0DDE"/>
    <w:rsid w:val="005D0FD6"/>
    <w:rsid w:val="005D1610"/>
    <w:rsid w:val="005D31B6"/>
    <w:rsid w:val="005D3E89"/>
    <w:rsid w:val="005D5856"/>
    <w:rsid w:val="005D5927"/>
    <w:rsid w:val="005D623C"/>
    <w:rsid w:val="005D7BA8"/>
    <w:rsid w:val="005E0C6C"/>
    <w:rsid w:val="005E0FEF"/>
    <w:rsid w:val="005E133A"/>
    <w:rsid w:val="005E1D5A"/>
    <w:rsid w:val="005E2788"/>
    <w:rsid w:val="005E2829"/>
    <w:rsid w:val="005E4994"/>
    <w:rsid w:val="005E6FB9"/>
    <w:rsid w:val="005E7609"/>
    <w:rsid w:val="005F07DC"/>
    <w:rsid w:val="005F0F80"/>
    <w:rsid w:val="005F27F1"/>
    <w:rsid w:val="005F2BD2"/>
    <w:rsid w:val="005F2FA3"/>
    <w:rsid w:val="005F322B"/>
    <w:rsid w:val="005F3297"/>
    <w:rsid w:val="005F4496"/>
    <w:rsid w:val="005F4950"/>
    <w:rsid w:val="005F5F0A"/>
    <w:rsid w:val="005F7BDA"/>
    <w:rsid w:val="00600188"/>
    <w:rsid w:val="00600341"/>
    <w:rsid w:val="006016D2"/>
    <w:rsid w:val="006023B5"/>
    <w:rsid w:val="00602ADC"/>
    <w:rsid w:val="00603F92"/>
    <w:rsid w:val="0060416C"/>
    <w:rsid w:val="006041DF"/>
    <w:rsid w:val="00605569"/>
    <w:rsid w:val="0060671B"/>
    <w:rsid w:val="00607AFE"/>
    <w:rsid w:val="006104C8"/>
    <w:rsid w:val="006109F5"/>
    <w:rsid w:val="00610BE1"/>
    <w:rsid w:val="00613055"/>
    <w:rsid w:val="00613084"/>
    <w:rsid w:val="00613233"/>
    <w:rsid w:val="00613487"/>
    <w:rsid w:val="006134DE"/>
    <w:rsid w:val="00614E59"/>
    <w:rsid w:val="00615733"/>
    <w:rsid w:val="006161B6"/>
    <w:rsid w:val="006164F8"/>
    <w:rsid w:val="00616944"/>
    <w:rsid w:val="00616BB6"/>
    <w:rsid w:val="006209D0"/>
    <w:rsid w:val="00621311"/>
    <w:rsid w:val="006215D9"/>
    <w:rsid w:val="006216D8"/>
    <w:rsid w:val="00622CBE"/>
    <w:rsid w:val="006233BF"/>
    <w:rsid w:val="00624860"/>
    <w:rsid w:val="00624C86"/>
    <w:rsid w:val="006254BB"/>
    <w:rsid w:val="00626A41"/>
    <w:rsid w:val="006276EF"/>
    <w:rsid w:val="006302A2"/>
    <w:rsid w:val="006308D2"/>
    <w:rsid w:val="006311AC"/>
    <w:rsid w:val="00631CC6"/>
    <w:rsid w:val="006347F4"/>
    <w:rsid w:val="0063499D"/>
    <w:rsid w:val="006349D0"/>
    <w:rsid w:val="00635E67"/>
    <w:rsid w:val="00635E7D"/>
    <w:rsid w:val="00636458"/>
    <w:rsid w:val="006370A0"/>
    <w:rsid w:val="0063761A"/>
    <w:rsid w:val="00637759"/>
    <w:rsid w:val="006412D6"/>
    <w:rsid w:val="00641450"/>
    <w:rsid w:val="00642078"/>
    <w:rsid w:val="006421DF"/>
    <w:rsid w:val="00644428"/>
    <w:rsid w:val="00644B1F"/>
    <w:rsid w:val="006454C2"/>
    <w:rsid w:val="00645514"/>
    <w:rsid w:val="00645E32"/>
    <w:rsid w:val="00646419"/>
    <w:rsid w:val="0064760E"/>
    <w:rsid w:val="00647DF3"/>
    <w:rsid w:val="00651219"/>
    <w:rsid w:val="006515CD"/>
    <w:rsid w:val="0065216F"/>
    <w:rsid w:val="006530BB"/>
    <w:rsid w:val="006534A8"/>
    <w:rsid w:val="006548DE"/>
    <w:rsid w:val="00655689"/>
    <w:rsid w:val="00655F52"/>
    <w:rsid w:val="006564E0"/>
    <w:rsid w:val="00656637"/>
    <w:rsid w:val="006569A6"/>
    <w:rsid w:val="00656DEE"/>
    <w:rsid w:val="006578CD"/>
    <w:rsid w:val="00657EBD"/>
    <w:rsid w:val="006606CF"/>
    <w:rsid w:val="006612DB"/>
    <w:rsid w:val="00662765"/>
    <w:rsid w:val="006628EB"/>
    <w:rsid w:val="00662CEB"/>
    <w:rsid w:val="00663712"/>
    <w:rsid w:val="00666659"/>
    <w:rsid w:val="00667A4E"/>
    <w:rsid w:val="00670105"/>
    <w:rsid w:val="006723C3"/>
    <w:rsid w:val="00673605"/>
    <w:rsid w:val="00673BCB"/>
    <w:rsid w:val="00674932"/>
    <w:rsid w:val="00675DE0"/>
    <w:rsid w:val="006772E3"/>
    <w:rsid w:val="0068024D"/>
    <w:rsid w:val="00680683"/>
    <w:rsid w:val="006806CA"/>
    <w:rsid w:val="006807DB"/>
    <w:rsid w:val="00680DEC"/>
    <w:rsid w:val="00680F6B"/>
    <w:rsid w:val="00681BF1"/>
    <w:rsid w:val="006820B4"/>
    <w:rsid w:val="00684067"/>
    <w:rsid w:val="00685AE0"/>
    <w:rsid w:val="006865EC"/>
    <w:rsid w:val="00686E6D"/>
    <w:rsid w:val="0068736A"/>
    <w:rsid w:val="0068764F"/>
    <w:rsid w:val="00690C4C"/>
    <w:rsid w:val="0069105E"/>
    <w:rsid w:val="00691223"/>
    <w:rsid w:val="006938F2"/>
    <w:rsid w:val="00696B78"/>
    <w:rsid w:val="00697897"/>
    <w:rsid w:val="006A0B9B"/>
    <w:rsid w:val="006A1AFB"/>
    <w:rsid w:val="006A2E81"/>
    <w:rsid w:val="006A3B4D"/>
    <w:rsid w:val="006A63E4"/>
    <w:rsid w:val="006A66B2"/>
    <w:rsid w:val="006B1436"/>
    <w:rsid w:val="006B204A"/>
    <w:rsid w:val="006B2CF7"/>
    <w:rsid w:val="006B36CB"/>
    <w:rsid w:val="006B4AD2"/>
    <w:rsid w:val="006B5300"/>
    <w:rsid w:val="006B5823"/>
    <w:rsid w:val="006B6F0E"/>
    <w:rsid w:val="006B7F1F"/>
    <w:rsid w:val="006C0D41"/>
    <w:rsid w:val="006C1ACB"/>
    <w:rsid w:val="006C25F2"/>
    <w:rsid w:val="006C2E33"/>
    <w:rsid w:val="006C2E39"/>
    <w:rsid w:val="006C37AE"/>
    <w:rsid w:val="006C4B49"/>
    <w:rsid w:val="006C54A9"/>
    <w:rsid w:val="006C57C8"/>
    <w:rsid w:val="006C58E4"/>
    <w:rsid w:val="006C5A33"/>
    <w:rsid w:val="006C6246"/>
    <w:rsid w:val="006C76E8"/>
    <w:rsid w:val="006C7EE4"/>
    <w:rsid w:val="006D026D"/>
    <w:rsid w:val="006D0AF9"/>
    <w:rsid w:val="006D1093"/>
    <w:rsid w:val="006D281A"/>
    <w:rsid w:val="006D2EE3"/>
    <w:rsid w:val="006D33D9"/>
    <w:rsid w:val="006D3BA8"/>
    <w:rsid w:val="006D5A2E"/>
    <w:rsid w:val="006D5B1B"/>
    <w:rsid w:val="006D6056"/>
    <w:rsid w:val="006D684D"/>
    <w:rsid w:val="006D6BFB"/>
    <w:rsid w:val="006E06CA"/>
    <w:rsid w:val="006E29C0"/>
    <w:rsid w:val="006E3270"/>
    <w:rsid w:val="006E34B0"/>
    <w:rsid w:val="006E5852"/>
    <w:rsid w:val="006E6B20"/>
    <w:rsid w:val="006E7B1B"/>
    <w:rsid w:val="006F0724"/>
    <w:rsid w:val="006F1DC1"/>
    <w:rsid w:val="006F29BF"/>
    <w:rsid w:val="006F3086"/>
    <w:rsid w:val="006F363F"/>
    <w:rsid w:val="006F38F1"/>
    <w:rsid w:val="006F3A2C"/>
    <w:rsid w:val="006F3B69"/>
    <w:rsid w:val="006F4948"/>
    <w:rsid w:val="006F4994"/>
    <w:rsid w:val="006F51E0"/>
    <w:rsid w:val="006F5E64"/>
    <w:rsid w:val="006F6B8B"/>
    <w:rsid w:val="007006CD"/>
    <w:rsid w:val="00701412"/>
    <w:rsid w:val="00703169"/>
    <w:rsid w:val="0070369D"/>
    <w:rsid w:val="00703C57"/>
    <w:rsid w:val="00703C93"/>
    <w:rsid w:val="00704814"/>
    <w:rsid w:val="00704C5F"/>
    <w:rsid w:val="00704FBA"/>
    <w:rsid w:val="0070532E"/>
    <w:rsid w:val="00706FA1"/>
    <w:rsid w:val="00707C54"/>
    <w:rsid w:val="00707E99"/>
    <w:rsid w:val="00711F80"/>
    <w:rsid w:val="007126F1"/>
    <w:rsid w:val="00712BFA"/>
    <w:rsid w:val="00712EE1"/>
    <w:rsid w:val="00712FE3"/>
    <w:rsid w:val="00713EC3"/>
    <w:rsid w:val="00715160"/>
    <w:rsid w:val="00715A19"/>
    <w:rsid w:val="007161C2"/>
    <w:rsid w:val="00716246"/>
    <w:rsid w:val="007164EE"/>
    <w:rsid w:val="00717813"/>
    <w:rsid w:val="007201DB"/>
    <w:rsid w:val="00720C6A"/>
    <w:rsid w:val="00721C31"/>
    <w:rsid w:val="00723559"/>
    <w:rsid w:val="00723565"/>
    <w:rsid w:val="00723D33"/>
    <w:rsid w:val="00724094"/>
    <w:rsid w:val="007243B5"/>
    <w:rsid w:val="00724EA6"/>
    <w:rsid w:val="00727ADC"/>
    <w:rsid w:val="00730A79"/>
    <w:rsid w:val="00731428"/>
    <w:rsid w:val="00732A9F"/>
    <w:rsid w:val="00732AD3"/>
    <w:rsid w:val="00733AFE"/>
    <w:rsid w:val="00734F26"/>
    <w:rsid w:val="00735E95"/>
    <w:rsid w:val="0073624F"/>
    <w:rsid w:val="0073625B"/>
    <w:rsid w:val="00737CCF"/>
    <w:rsid w:val="00742449"/>
    <w:rsid w:val="00742D5F"/>
    <w:rsid w:val="0074334B"/>
    <w:rsid w:val="00743930"/>
    <w:rsid w:val="00743A6E"/>
    <w:rsid w:val="00743D23"/>
    <w:rsid w:val="00744735"/>
    <w:rsid w:val="007447FD"/>
    <w:rsid w:val="007449D4"/>
    <w:rsid w:val="00744D07"/>
    <w:rsid w:val="00745A4B"/>
    <w:rsid w:val="0074710F"/>
    <w:rsid w:val="00747155"/>
    <w:rsid w:val="00747C61"/>
    <w:rsid w:val="0075030C"/>
    <w:rsid w:val="00750706"/>
    <w:rsid w:val="00752F41"/>
    <w:rsid w:val="0075335A"/>
    <w:rsid w:val="00753953"/>
    <w:rsid w:val="00754564"/>
    <w:rsid w:val="00754BEC"/>
    <w:rsid w:val="0075511C"/>
    <w:rsid w:val="0075533F"/>
    <w:rsid w:val="00756984"/>
    <w:rsid w:val="00756ECC"/>
    <w:rsid w:val="00757D64"/>
    <w:rsid w:val="00761510"/>
    <w:rsid w:val="00762571"/>
    <w:rsid w:val="00762ACC"/>
    <w:rsid w:val="00762B50"/>
    <w:rsid w:val="00763C7A"/>
    <w:rsid w:val="0076447B"/>
    <w:rsid w:val="00764921"/>
    <w:rsid w:val="00764C3B"/>
    <w:rsid w:val="00765249"/>
    <w:rsid w:val="00766EDA"/>
    <w:rsid w:val="00767659"/>
    <w:rsid w:val="00767D3B"/>
    <w:rsid w:val="00767DFB"/>
    <w:rsid w:val="0077493E"/>
    <w:rsid w:val="007751FE"/>
    <w:rsid w:val="007766EE"/>
    <w:rsid w:val="00776CE4"/>
    <w:rsid w:val="00776D27"/>
    <w:rsid w:val="00776D3F"/>
    <w:rsid w:val="00777FD5"/>
    <w:rsid w:val="007800CC"/>
    <w:rsid w:val="007801E9"/>
    <w:rsid w:val="00780F08"/>
    <w:rsid w:val="0078217A"/>
    <w:rsid w:val="007827F9"/>
    <w:rsid w:val="007828F3"/>
    <w:rsid w:val="00782A3A"/>
    <w:rsid w:val="0078350B"/>
    <w:rsid w:val="00783E0D"/>
    <w:rsid w:val="007842A7"/>
    <w:rsid w:val="00784771"/>
    <w:rsid w:val="00784C36"/>
    <w:rsid w:val="00785A2B"/>
    <w:rsid w:val="0078653C"/>
    <w:rsid w:val="00786EEF"/>
    <w:rsid w:val="00787B52"/>
    <w:rsid w:val="00790189"/>
    <w:rsid w:val="007901D5"/>
    <w:rsid w:val="007910F7"/>
    <w:rsid w:val="007912CC"/>
    <w:rsid w:val="00791669"/>
    <w:rsid w:val="00791EA4"/>
    <w:rsid w:val="00791ECB"/>
    <w:rsid w:val="007929E8"/>
    <w:rsid w:val="007934B2"/>
    <w:rsid w:val="0079548E"/>
    <w:rsid w:val="007961F3"/>
    <w:rsid w:val="0079748B"/>
    <w:rsid w:val="007978FC"/>
    <w:rsid w:val="00797B12"/>
    <w:rsid w:val="00797C7B"/>
    <w:rsid w:val="007A016B"/>
    <w:rsid w:val="007A0249"/>
    <w:rsid w:val="007A0477"/>
    <w:rsid w:val="007A1765"/>
    <w:rsid w:val="007A1EB3"/>
    <w:rsid w:val="007A218A"/>
    <w:rsid w:val="007A255B"/>
    <w:rsid w:val="007A3A2B"/>
    <w:rsid w:val="007A3E9C"/>
    <w:rsid w:val="007A510D"/>
    <w:rsid w:val="007A57C5"/>
    <w:rsid w:val="007A5CD3"/>
    <w:rsid w:val="007A6034"/>
    <w:rsid w:val="007A6701"/>
    <w:rsid w:val="007A6B55"/>
    <w:rsid w:val="007A6C89"/>
    <w:rsid w:val="007B010D"/>
    <w:rsid w:val="007B027D"/>
    <w:rsid w:val="007B0776"/>
    <w:rsid w:val="007B0B20"/>
    <w:rsid w:val="007B41A9"/>
    <w:rsid w:val="007B4342"/>
    <w:rsid w:val="007B4F60"/>
    <w:rsid w:val="007B4FCC"/>
    <w:rsid w:val="007B56DC"/>
    <w:rsid w:val="007B5958"/>
    <w:rsid w:val="007B639F"/>
    <w:rsid w:val="007B64F2"/>
    <w:rsid w:val="007C044A"/>
    <w:rsid w:val="007C09CD"/>
    <w:rsid w:val="007C2969"/>
    <w:rsid w:val="007C2A46"/>
    <w:rsid w:val="007C2B48"/>
    <w:rsid w:val="007C349F"/>
    <w:rsid w:val="007C4848"/>
    <w:rsid w:val="007C509E"/>
    <w:rsid w:val="007C7C7A"/>
    <w:rsid w:val="007D3526"/>
    <w:rsid w:val="007D3EFE"/>
    <w:rsid w:val="007D4013"/>
    <w:rsid w:val="007D47A4"/>
    <w:rsid w:val="007D55EE"/>
    <w:rsid w:val="007D659E"/>
    <w:rsid w:val="007D6BB8"/>
    <w:rsid w:val="007D7EE6"/>
    <w:rsid w:val="007D7F5A"/>
    <w:rsid w:val="007E0521"/>
    <w:rsid w:val="007E0A54"/>
    <w:rsid w:val="007E10D5"/>
    <w:rsid w:val="007E178C"/>
    <w:rsid w:val="007E2694"/>
    <w:rsid w:val="007E51BD"/>
    <w:rsid w:val="007E538D"/>
    <w:rsid w:val="007E53F9"/>
    <w:rsid w:val="007E57FF"/>
    <w:rsid w:val="007E5AC5"/>
    <w:rsid w:val="007E673D"/>
    <w:rsid w:val="007E6C55"/>
    <w:rsid w:val="007E6CDE"/>
    <w:rsid w:val="007E7383"/>
    <w:rsid w:val="007F1740"/>
    <w:rsid w:val="007F2116"/>
    <w:rsid w:val="007F3E74"/>
    <w:rsid w:val="007F5DCF"/>
    <w:rsid w:val="007F5E35"/>
    <w:rsid w:val="007F65C9"/>
    <w:rsid w:val="007F7518"/>
    <w:rsid w:val="007F788E"/>
    <w:rsid w:val="007F7AAC"/>
    <w:rsid w:val="008000EC"/>
    <w:rsid w:val="008010E2"/>
    <w:rsid w:val="00801149"/>
    <w:rsid w:val="008021D1"/>
    <w:rsid w:val="0080267B"/>
    <w:rsid w:val="00802FC6"/>
    <w:rsid w:val="00803606"/>
    <w:rsid w:val="00803AF3"/>
    <w:rsid w:val="00803E19"/>
    <w:rsid w:val="00803F63"/>
    <w:rsid w:val="008041AC"/>
    <w:rsid w:val="0080457C"/>
    <w:rsid w:val="00804E5B"/>
    <w:rsid w:val="00805380"/>
    <w:rsid w:val="008053B8"/>
    <w:rsid w:val="0080559C"/>
    <w:rsid w:val="008060BD"/>
    <w:rsid w:val="0080672F"/>
    <w:rsid w:val="00806B2D"/>
    <w:rsid w:val="00806E6B"/>
    <w:rsid w:val="00806F5B"/>
    <w:rsid w:val="00807257"/>
    <w:rsid w:val="0080746E"/>
    <w:rsid w:val="00807E3E"/>
    <w:rsid w:val="00810053"/>
    <w:rsid w:val="00810B94"/>
    <w:rsid w:val="00811154"/>
    <w:rsid w:val="00812DF0"/>
    <w:rsid w:val="0081399A"/>
    <w:rsid w:val="008146BC"/>
    <w:rsid w:val="00814F94"/>
    <w:rsid w:val="0081518E"/>
    <w:rsid w:val="00815F24"/>
    <w:rsid w:val="00816A50"/>
    <w:rsid w:val="00817644"/>
    <w:rsid w:val="00817772"/>
    <w:rsid w:val="00820806"/>
    <w:rsid w:val="00820847"/>
    <w:rsid w:val="00823931"/>
    <w:rsid w:val="00823CC6"/>
    <w:rsid w:val="00824B84"/>
    <w:rsid w:val="008250F8"/>
    <w:rsid w:val="008257C7"/>
    <w:rsid w:val="008262DC"/>
    <w:rsid w:val="00827DA8"/>
    <w:rsid w:val="00827E84"/>
    <w:rsid w:val="008308AB"/>
    <w:rsid w:val="00830D11"/>
    <w:rsid w:val="00831C71"/>
    <w:rsid w:val="0083270D"/>
    <w:rsid w:val="00833006"/>
    <w:rsid w:val="008330D6"/>
    <w:rsid w:val="0083426C"/>
    <w:rsid w:val="008343BC"/>
    <w:rsid w:val="008354CC"/>
    <w:rsid w:val="00841289"/>
    <w:rsid w:val="00841E59"/>
    <w:rsid w:val="0084278E"/>
    <w:rsid w:val="00842A81"/>
    <w:rsid w:val="00842B9B"/>
    <w:rsid w:val="00842D39"/>
    <w:rsid w:val="0084399E"/>
    <w:rsid w:val="00845D8E"/>
    <w:rsid w:val="008475CB"/>
    <w:rsid w:val="00850406"/>
    <w:rsid w:val="008506B0"/>
    <w:rsid w:val="00850C6E"/>
    <w:rsid w:val="00850C78"/>
    <w:rsid w:val="008514A7"/>
    <w:rsid w:val="008517C7"/>
    <w:rsid w:val="00851B8D"/>
    <w:rsid w:val="008534FA"/>
    <w:rsid w:val="008541A4"/>
    <w:rsid w:val="00854721"/>
    <w:rsid w:val="00854E51"/>
    <w:rsid w:val="008552E9"/>
    <w:rsid w:val="008554C5"/>
    <w:rsid w:val="00855ECB"/>
    <w:rsid w:val="008567E4"/>
    <w:rsid w:val="00856864"/>
    <w:rsid w:val="008577BD"/>
    <w:rsid w:val="00857974"/>
    <w:rsid w:val="008642DD"/>
    <w:rsid w:val="00865DFD"/>
    <w:rsid w:val="008662CE"/>
    <w:rsid w:val="00866C28"/>
    <w:rsid w:val="00870239"/>
    <w:rsid w:val="008732F3"/>
    <w:rsid w:val="00873333"/>
    <w:rsid w:val="0087441B"/>
    <w:rsid w:val="0087457C"/>
    <w:rsid w:val="00876921"/>
    <w:rsid w:val="00877A3E"/>
    <w:rsid w:val="0088067D"/>
    <w:rsid w:val="0088131D"/>
    <w:rsid w:val="00881D09"/>
    <w:rsid w:val="00882B60"/>
    <w:rsid w:val="008833DA"/>
    <w:rsid w:val="00883A95"/>
    <w:rsid w:val="00884D02"/>
    <w:rsid w:val="0088546E"/>
    <w:rsid w:val="00886E96"/>
    <w:rsid w:val="0089017E"/>
    <w:rsid w:val="00890194"/>
    <w:rsid w:val="008910EF"/>
    <w:rsid w:val="0089149A"/>
    <w:rsid w:val="00891CB5"/>
    <w:rsid w:val="008933DD"/>
    <w:rsid w:val="00896ADD"/>
    <w:rsid w:val="00896E12"/>
    <w:rsid w:val="00897050"/>
    <w:rsid w:val="008973E6"/>
    <w:rsid w:val="008A0922"/>
    <w:rsid w:val="008A1B5E"/>
    <w:rsid w:val="008A1DD5"/>
    <w:rsid w:val="008A2736"/>
    <w:rsid w:val="008A27D6"/>
    <w:rsid w:val="008A27DC"/>
    <w:rsid w:val="008A2D2F"/>
    <w:rsid w:val="008A3501"/>
    <w:rsid w:val="008A51E2"/>
    <w:rsid w:val="008A5958"/>
    <w:rsid w:val="008A6C60"/>
    <w:rsid w:val="008A6FA6"/>
    <w:rsid w:val="008A7A32"/>
    <w:rsid w:val="008A7BC1"/>
    <w:rsid w:val="008A7FA5"/>
    <w:rsid w:val="008B0143"/>
    <w:rsid w:val="008B0328"/>
    <w:rsid w:val="008B077C"/>
    <w:rsid w:val="008B09EE"/>
    <w:rsid w:val="008B0C01"/>
    <w:rsid w:val="008B0E3F"/>
    <w:rsid w:val="008B2980"/>
    <w:rsid w:val="008B375D"/>
    <w:rsid w:val="008B3C50"/>
    <w:rsid w:val="008B3FB8"/>
    <w:rsid w:val="008B3FE8"/>
    <w:rsid w:val="008B40A4"/>
    <w:rsid w:val="008B44F9"/>
    <w:rsid w:val="008B495B"/>
    <w:rsid w:val="008B50B0"/>
    <w:rsid w:val="008B5223"/>
    <w:rsid w:val="008B5759"/>
    <w:rsid w:val="008B7C96"/>
    <w:rsid w:val="008C2766"/>
    <w:rsid w:val="008C3197"/>
    <w:rsid w:val="008C3E28"/>
    <w:rsid w:val="008C4B79"/>
    <w:rsid w:val="008C4E2A"/>
    <w:rsid w:val="008C571D"/>
    <w:rsid w:val="008C7333"/>
    <w:rsid w:val="008D06ED"/>
    <w:rsid w:val="008D0C04"/>
    <w:rsid w:val="008D0D63"/>
    <w:rsid w:val="008D25A4"/>
    <w:rsid w:val="008D25C7"/>
    <w:rsid w:val="008D2604"/>
    <w:rsid w:val="008D392E"/>
    <w:rsid w:val="008D4325"/>
    <w:rsid w:val="008D5A32"/>
    <w:rsid w:val="008D5DC7"/>
    <w:rsid w:val="008D5FC1"/>
    <w:rsid w:val="008D6BD9"/>
    <w:rsid w:val="008D72EC"/>
    <w:rsid w:val="008D7C13"/>
    <w:rsid w:val="008E0364"/>
    <w:rsid w:val="008E16D4"/>
    <w:rsid w:val="008E1B1E"/>
    <w:rsid w:val="008E1E5F"/>
    <w:rsid w:val="008E1E9A"/>
    <w:rsid w:val="008E3ED3"/>
    <w:rsid w:val="008E41DF"/>
    <w:rsid w:val="008E5589"/>
    <w:rsid w:val="008E5B96"/>
    <w:rsid w:val="008E5C26"/>
    <w:rsid w:val="008E5F2B"/>
    <w:rsid w:val="008E698B"/>
    <w:rsid w:val="008E6BB8"/>
    <w:rsid w:val="008E6F69"/>
    <w:rsid w:val="008E72D2"/>
    <w:rsid w:val="008E7B10"/>
    <w:rsid w:val="008E7BC2"/>
    <w:rsid w:val="008F040D"/>
    <w:rsid w:val="008F068F"/>
    <w:rsid w:val="008F1025"/>
    <w:rsid w:val="008F1FBE"/>
    <w:rsid w:val="008F25A5"/>
    <w:rsid w:val="008F343C"/>
    <w:rsid w:val="008F3C96"/>
    <w:rsid w:val="008F464E"/>
    <w:rsid w:val="008F4FFF"/>
    <w:rsid w:val="008F509E"/>
    <w:rsid w:val="008F52B7"/>
    <w:rsid w:val="008F68AB"/>
    <w:rsid w:val="00900774"/>
    <w:rsid w:val="00900DF1"/>
    <w:rsid w:val="0090227D"/>
    <w:rsid w:val="00902698"/>
    <w:rsid w:val="00902A0E"/>
    <w:rsid w:val="00903020"/>
    <w:rsid w:val="00904257"/>
    <w:rsid w:val="009048FF"/>
    <w:rsid w:val="009049B7"/>
    <w:rsid w:val="00904B06"/>
    <w:rsid w:val="0090598E"/>
    <w:rsid w:val="00905C9B"/>
    <w:rsid w:val="00906A7E"/>
    <w:rsid w:val="00907C04"/>
    <w:rsid w:val="0091018C"/>
    <w:rsid w:val="00912B74"/>
    <w:rsid w:val="00916317"/>
    <w:rsid w:val="00916F48"/>
    <w:rsid w:val="00920D21"/>
    <w:rsid w:val="00921D59"/>
    <w:rsid w:val="00922C09"/>
    <w:rsid w:val="0092526D"/>
    <w:rsid w:val="00925E4A"/>
    <w:rsid w:val="009261A5"/>
    <w:rsid w:val="00927B2D"/>
    <w:rsid w:val="00932149"/>
    <w:rsid w:val="0093220A"/>
    <w:rsid w:val="00932686"/>
    <w:rsid w:val="00933E65"/>
    <w:rsid w:val="0093411C"/>
    <w:rsid w:val="0093578A"/>
    <w:rsid w:val="009377DB"/>
    <w:rsid w:val="00940AFB"/>
    <w:rsid w:val="00940CB2"/>
    <w:rsid w:val="009431C7"/>
    <w:rsid w:val="009440CE"/>
    <w:rsid w:val="009447C2"/>
    <w:rsid w:val="00944B8D"/>
    <w:rsid w:val="0094517D"/>
    <w:rsid w:val="0094582E"/>
    <w:rsid w:val="00946BB1"/>
    <w:rsid w:val="009472E9"/>
    <w:rsid w:val="0094735F"/>
    <w:rsid w:val="00950FAC"/>
    <w:rsid w:val="00951F75"/>
    <w:rsid w:val="009529B9"/>
    <w:rsid w:val="00953028"/>
    <w:rsid w:val="009530B7"/>
    <w:rsid w:val="0095365C"/>
    <w:rsid w:val="009537FD"/>
    <w:rsid w:val="00957FCD"/>
    <w:rsid w:val="00961741"/>
    <w:rsid w:val="00962183"/>
    <w:rsid w:val="009622D5"/>
    <w:rsid w:val="0096297E"/>
    <w:rsid w:val="00962CBE"/>
    <w:rsid w:val="009633EF"/>
    <w:rsid w:val="009656F4"/>
    <w:rsid w:val="009675AA"/>
    <w:rsid w:val="009703E6"/>
    <w:rsid w:val="009707DB"/>
    <w:rsid w:val="00970BF2"/>
    <w:rsid w:val="00970FFB"/>
    <w:rsid w:val="00971AF6"/>
    <w:rsid w:val="0097379B"/>
    <w:rsid w:val="00974FC2"/>
    <w:rsid w:val="009757A2"/>
    <w:rsid w:val="00980481"/>
    <w:rsid w:val="009816BC"/>
    <w:rsid w:val="00981AE0"/>
    <w:rsid w:val="0098227B"/>
    <w:rsid w:val="0098257E"/>
    <w:rsid w:val="00982664"/>
    <w:rsid w:val="0098373D"/>
    <w:rsid w:val="00985849"/>
    <w:rsid w:val="00986FCD"/>
    <w:rsid w:val="00990632"/>
    <w:rsid w:val="009907DB"/>
    <w:rsid w:val="00990830"/>
    <w:rsid w:val="00990CDD"/>
    <w:rsid w:val="00991310"/>
    <w:rsid w:val="00991677"/>
    <w:rsid w:val="00991A18"/>
    <w:rsid w:val="0099478F"/>
    <w:rsid w:val="00994F9D"/>
    <w:rsid w:val="00995416"/>
    <w:rsid w:val="009955A6"/>
    <w:rsid w:val="0099697E"/>
    <w:rsid w:val="009A0AC0"/>
    <w:rsid w:val="009A172B"/>
    <w:rsid w:val="009A2936"/>
    <w:rsid w:val="009A2F9E"/>
    <w:rsid w:val="009A323C"/>
    <w:rsid w:val="009A3A03"/>
    <w:rsid w:val="009A4840"/>
    <w:rsid w:val="009A4BFB"/>
    <w:rsid w:val="009A4D3B"/>
    <w:rsid w:val="009A5AE9"/>
    <w:rsid w:val="009A75B7"/>
    <w:rsid w:val="009A7BAD"/>
    <w:rsid w:val="009B0D39"/>
    <w:rsid w:val="009B21B5"/>
    <w:rsid w:val="009B24EA"/>
    <w:rsid w:val="009B3E6D"/>
    <w:rsid w:val="009B5662"/>
    <w:rsid w:val="009B56D8"/>
    <w:rsid w:val="009B5E1B"/>
    <w:rsid w:val="009B630B"/>
    <w:rsid w:val="009B7775"/>
    <w:rsid w:val="009B7846"/>
    <w:rsid w:val="009C05DA"/>
    <w:rsid w:val="009C092B"/>
    <w:rsid w:val="009C1E4E"/>
    <w:rsid w:val="009C281A"/>
    <w:rsid w:val="009C2BDA"/>
    <w:rsid w:val="009C321B"/>
    <w:rsid w:val="009C344C"/>
    <w:rsid w:val="009C3860"/>
    <w:rsid w:val="009C3F78"/>
    <w:rsid w:val="009C44BD"/>
    <w:rsid w:val="009C4C0A"/>
    <w:rsid w:val="009C5B30"/>
    <w:rsid w:val="009C6096"/>
    <w:rsid w:val="009C685E"/>
    <w:rsid w:val="009C6AD8"/>
    <w:rsid w:val="009C7312"/>
    <w:rsid w:val="009C774D"/>
    <w:rsid w:val="009D03ED"/>
    <w:rsid w:val="009D0AAA"/>
    <w:rsid w:val="009D0D04"/>
    <w:rsid w:val="009D1F1C"/>
    <w:rsid w:val="009D57CF"/>
    <w:rsid w:val="009D5969"/>
    <w:rsid w:val="009D5DB0"/>
    <w:rsid w:val="009D6121"/>
    <w:rsid w:val="009D687C"/>
    <w:rsid w:val="009D705B"/>
    <w:rsid w:val="009E00D4"/>
    <w:rsid w:val="009E053E"/>
    <w:rsid w:val="009E1513"/>
    <w:rsid w:val="009E1AA6"/>
    <w:rsid w:val="009E2171"/>
    <w:rsid w:val="009E219D"/>
    <w:rsid w:val="009E2297"/>
    <w:rsid w:val="009E3026"/>
    <w:rsid w:val="009E3864"/>
    <w:rsid w:val="009E3989"/>
    <w:rsid w:val="009E4604"/>
    <w:rsid w:val="009E509A"/>
    <w:rsid w:val="009E57BB"/>
    <w:rsid w:val="009E595E"/>
    <w:rsid w:val="009E704A"/>
    <w:rsid w:val="009E715D"/>
    <w:rsid w:val="009E721A"/>
    <w:rsid w:val="009E7932"/>
    <w:rsid w:val="009F04C4"/>
    <w:rsid w:val="009F090A"/>
    <w:rsid w:val="009F1096"/>
    <w:rsid w:val="009F2225"/>
    <w:rsid w:val="009F258C"/>
    <w:rsid w:val="009F2764"/>
    <w:rsid w:val="009F2B99"/>
    <w:rsid w:val="009F3DF4"/>
    <w:rsid w:val="009F458B"/>
    <w:rsid w:val="009F5392"/>
    <w:rsid w:val="009F545C"/>
    <w:rsid w:val="009F5968"/>
    <w:rsid w:val="009F6349"/>
    <w:rsid w:val="009F63E6"/>
    <w:rsid w:val="00A00E1D"/>
    <w:rsid w:val="00A015A2"/>
    <w:rsid w:val="00A01C84"/>
    <w:rsid w:val="00A02040"/>
    <w:rsid w:val="00A05ECC"/>
    <w:rsid w:val="00A05F96"/>
    <w:rsid w:val="00A0739A"/>
    <w:rsid w:val="00A07581"/>
    <w:rsid w:val="00A07A08"/>
    <w:rsid w:val="00A1035A"/>
    <w:rsid w:val="00A11C75"/>
    <w:rsid w:val="00A120C5"/>
    <w:rsid w:val="00A124B9"/>
    <w:rsid w:val="00A12DD7"/>
    <w:rsid w:val="00A142F5"/>
    <w:rsid w:val="00A1495B"/>
    <w:rsid w:val="00A14DDF"/>
    <w:rsid w:val="00A15404"/>
    <w:rsid w:val="00A162EF"/>
    <w:rsid w:val="00A16D9D"/>
    <w:rsid w:val="00A177E9"/>
    <w:rsid w:val="00A20C21"/>
    <w:rsid w:val="00A219E1"/>
    <w:rsid w:val="00A23627"/>
    <w:rsid w:val="00A2368A"/>
    <w:rsid w:val="00A239FE"/>
    <w:rsid w:val="00A241A5"/>
    <w:rsid w:val="00A2557F"/>
    <w:rsid w:val="00A25652"/>
    <w:rsid w:val="00A25AC6"/>
    <w:rsid w:val="00A263E8"/>
    <w:rsid w:val="00A26944"/>
    <w:rsid w:val="00A272DB"/>
    <w:rsid w:val="00A27942"/>
    <w:rsid w:val="00A3022C"/>
    <w:rsid w:val="00A30377"/>
    <w:rsid w:val="00A30711"/>
    <w:rsid w:val="00A30B4B"/>
    <w:rsid w:val="00A31BFA"/>
    <w:rsid w:val="00A31C28"/>
    <w:rsid w:val="00A31DBA"/>
    <w:rsid w:val="00A327C1"/>
    <w:rsid w:val="00A33D9E"/>
    <w:rsid w:val="00A348D7"/>
    <w:rsid w:val="00A35817"/>
    <w:rsid w:val="00A36943"/>
    <w:rsid w:val="00A36DCA"/>
    <w:rsid w:val="00A36F23"/>
    <w:rsid w:val="00A3706A"/>
    <w:rsid w:val="00A37F88"/>
    <w:rsid w:val="00A419C5"/>
    <w:rsid w:val="00A43247"/>
    <w:rsid w:val="00A43EE7"/>
    <w:rsid w:val="00A43F53"/>
    <w:rsid w:val="00A43F98"/>
    <w:rsid w:val="00A4403F"/>
    <w:rsid w:val="00A449DD"/>
    <w:rsid w:val="00A44D9A"/>
    <w:rsid w:val="00A44EF9"/>
    <w:rsid w:val="00A45578"/>
    <w:rsid w:val="00A45661"/>
    <w:rsid w:val="00A468BD"/>
    <w:rsid w:val="00A47815"/>
    <w:rsid w:val="00A47921"/>
    <w:rsid w:val="00A5041A"/>
    <w:rsid w:val="00A51BFC"/>
    <w:rsid w:val="00A5305F"/>
    <w:rsid w:val="00A53933"/>
    <w:rsid w:val="00A53E93"/>
    <w:rsid w:val="00A53EC8"/>
    <w:rsid w:val="00A5429F"/>
    <w:rsid w:val="00A55743"/>
    <w:rsid w:val="00A56B19"/>
    <w:rsid w:val="00A57CE8"/>
    <w:rsid w:val="00A60CF6"/>
    <w:rsid w:val="00A61B6D"/>
    <w:rsid w:val="00A63A2D"/>
    <w:rsid w:val="00A63AD3"/>
    <w:rsid w:val="00A64BF8"/>
    <w:rsid w:val="00A64CD9"/>
    <w:rsid w:val="00A65A68"/>
    <w:rsid w:val="00A669EE"/>
    <w:rsid w:val="00A71306"/>
    <w:rsid w:val="00A7179B"/>
    <w:rsid w:val="00A726A8"/>
    <w:rsid w:val="00A72751"/>
    <w:rsid w:val="00A73096"/>
    <w:rsid w:val="00A73513"/>
    <w:rsid w:val="00A73E9F"/>
    <w:rsid w:val="00A7427E"/>
    <w:rsid w:val="00A75483"/>
    <w:rsid w:val="00A75A93"/>
    <w:rsid w:val="00A76752"/>
    <w:rsid w:val="00A77EC5"/>
    <w:rsid w:val="00A8122F"/>
    <w:rsid w:val="00A818A3"/>
    <w:rsid w:val="00A81D99"/>
    <w:rsid w:val="00A82592"/>
    <w:rsid w:val="00A82992"/>
    <w:rsid w:val="00A837C6"/>
    <w:rsid w:val="00A841BB"/>
    <w:rsid w:val="00A8444A"/>
    <w:rsid w:val="00A847C6"/>
    <w:rsid w:val="00A84C5F"/>
    <w:rsid w:val="00A85582"/>
    <w:rsid w:val="00A8597F"/>
    <w:rsid w:val="00A85EC9"/>
    <w:rsid w:val="00A86CC8"/>
    <w:rsid w:val="00A90AE8"/>
    <w:rsid w:val="00A927A9"/>
    <w:rsid w:val="00A927E8"/>
    <w:rsid w:val="00A9358F"/>
    <w:rsid w:val="00A9411C"/>
    <w:rsid w:val="00A94E0D"/>
    <w:rsid w:val="00A950A9"/>
    <w:rsid w:val="00A95FC9"/>
    <w:rsid w:val="00A9608A"/>
    <w:rsid w:val="00A96E53"/>
    <w:rsid w:val="00A973FD"/>
    <w:rsid w:val="00A97B7B"/>
    <w:rsid w:val="00AA0675"/>
    <w:rsid w:val="00AA0B6B"/>
    <w:rsid w:val="00AA1E34"/>
    <w:rsid w:val="00AA2656"/>
    <w:rsid w:val="00AA2894"/>
    <w:rsid w:val="00AA4228"/>
    <w:rsid w:val="00AA55ED"/>
    <w:rsid w:val="00AA5885"/>
    <w:rsid w:val="00AA68B7"/>
    <w:rsid w:val="00AB032C"/>
    <w:rsid w:val="00AB0756"/>
    <w:rsid w:val="00AB1A93"/>
    <w:rsid w:val="00AB1BF2"/>
    <w:rsid w:val="00AB1F01"/>
    <w:rsid w:val="00AB27DE"/>
    <w:rsid w:val="00AB27EE"/>
    <w:rsid w:val="00AB2B59"/>
    <w:rsid w:val="00AB3AAC"/>
    <w:rsid w:val="00AB4FFE"/>
    <w:rsid w:val="00AB54F3"/>
    <w:rsid w:val="00AB69F6"/>
    <w:rsid w:val="00AB7AD3"/>
    <w:rsid w:val="00AC0073"/>
    <w:rsid w:val="00AC0210"/>
    <w:rsid w:val="00AC0C32"/>
    <w:rsid w:val="00AC0C88"/>
    <w:rsid w:val="00AC1840"/>
    <w:rsid w:val="00AC1CD8"/>
    <w:rsid w:val="00AC240A"/>
    <w:rsid w:val="00AC3181"/>
    <w:rsid w:val="00AC4C40"/>
    <w:rsid w:val="00AC4D66"/>
    <w:rsid w:val="00AD04A2"/>
    <w:rsid w:val="00AD07CB"/>
    <w:rsid w:val="00AD0CCC"/>
    <w:rsid w:val="00AD0FBE"/>
    <w:rsid w:val="00AD1258"/>
    <w:rsid w:val="00AD1818"/>
    <w:rsid w:val="00AD1869"/>
    <w:rsid w:val="00AD2AC8"/>
    <w:rsid w:val="00AD306C"/>
    <w:rsid w:val="00AD38EB"/>
    <w:rsid w:val="00AD44EF"/>
    <w:rsid w:val="00AD4BB0"/>
    <w:rsid w:val="00AD5911"/>
    <w:rsid w:val="00AD65C0"/>
    <w:rsid w:val="00AD6981"/>
    <w:rsid w:val="00AD6B3C"/>
    <w:rsid w:val="00AD72C4"/>
    <w:rsid w:val="00AD7D19"/>
    <w:rsid w:val="00AE101B"/>
    <w:rsid w:val="00AE1431"/>
    <w:rsid w:val="00AE1DFE"/>
    <w:rsid w:val="00AE4088"/>
    <w:rsid w:val="00AE42A5"/>
    <w:rsid w:val="00AE4316"/>
    <w:rsid w:val="00AE7810"/>
    <w:rsid w:val="00AE7E85"/>
    <w:rsid w:val="00AF0091"/>
    <w:rsid w:val="00AF0710"/>
    <w:rsid w:val="00AF10FE"/>
    <w:rsid w:val="00AF232F"/>
    <w:rsid w:val="00AF2FA7"/>
    <w:rsid w:val="00AF3742"/>
    <w:rsid w:val="00AF391C"/>
    <w:rsid w:val="00AF4455"/>
    <w:rsid w:val="00AF4B1B"/>
    <w:rsid w:val="00AF542A"/>
    <w:rsid w:val="00AF5DCE"/>
    <w:rsid w:val="00AF6457"/>
    <w:rsid w:val="00AF72FE"/>
    <w:rsid w:val="00AF7799"/>
    <w:rsid w:val="00B00DF2"/>
    <w:rsid w:val="00B01436"/>
    <w:rsid w:val="00B0143D"/>
    <w:rsid w:val="00B01458"/>
    <w:rsid w:val="00B033AC"/>
    <w:rsid w:val="00B043DE"/>
    <w:rsid w:val="00B04BE0"/>
    <w:rsid w:val="00B057FC"/>
    <w:rsid w:val="00B06B96"/>
    <w:rsid w:val="00B1153E"/>
    <w:rsid w:val="00B116E9"/>
    <w:rsid w:val="00B11959"/>
    <w:rsid w:val="00B11A5D"/>
    <w:rsid w:val="00B11AC3"/>
    <w:rsid w:val="00B124B2"/>
    <w:rsid w:val="00B12CE0"/>
    <w:rsid w:val="00B13521"/>
    <w:rsid w:val="00B13FD5"/>
    <w:rsid w:val="00B15F64"/>
    <w:rsid w:val="00B16049"/>
    <w:rsid w:val="00B16AB6"/>
    <w:rsid w:val="00B17199"/>
    <w:rsid w:val="00B2007F"/>
    <w:rsid w:val="00B20725"/>
    <w:rsid w:val="00B20CDC"/>
    <w:rsid w:val="00B2164F"/>
    <w:rsid w:val="00B21BDD"/>
    <w:rsid w:val="00B2272D"/>
    <w:rsid w:val="00B22A4D"/>
    <w:rsid w:val="00B22B47"/>
    <w:rsid w:val="00B22E6F"/>
    <w:rsid w:val="00B23113"/>
    <w:rsid w:val="00B25671"/>
    <w:rsid w:val="00B25A01"/>
    <w:rsid w:val="00B30622"/>
    <w:rsid w:val="00B30E17"/>
    <w:rsid w:val="00B3269A"/>
    <w:rsid w:val="00B32C33"/>
    <w:rsid w:val="00B34000"/>
    <w:rsid w:val="00B34428"/>
    <w:rsid w:val="00B352BF"/>
    <w:rsid w:val="00B35A46"/>
    <w:rsid w:val="00B36822"/>
    <w:rsid w:val="00B3786D"/>
    <w:rsid w:val="00B379D7"/>
    <w:rsid w:val="00B40078"/>
    <w:rsid w:val="00B4082C"/>
    <w:rsid w:val="00B40A04"/>
    <w:rsid w:val="00B413B7"/>
    <w:rsid w:val="00B41BA4"/>
    <w:rsid w:val="00B41FDB"/>
    <w:rsid w:val="00B42496"/>
    <w:rsid w:val="00B4275D"/>
    <w:rsid w:val="00B4382C"/>
    <w:rsid w:val="00B44C07"/>
    <w:rsid w:val="00B452B7"/>
    <w:rsid w:val="00B45AC8"/>
    <w:rsid w:val="00B51F0A"/>
    <w:rsid w:val="00B534E3"/>
    <w:rsid w:val="00B541EA"/>
    <w:rsid w:val="00B544C0"/>
    <w:rsid w:val="00B54936"/>
    <w:rsid w:val="00B549BA"/>
    <w:rsid w:val="00B554D0"/>
    <w:rsid w:val="00B56F1C"/>
    <w:rsid w:val="00B56FB9"/>
    <w:rsid w:val="00B5717F"/>
    <w:rsid w:val="00B57396"/>
    <w:rsid w:val="00B6014A"/>
    <w:rsid w:val="00B62040"/>
    <w:rsid w:val="00B636BB"/>
    <w:rsid w:val="00B641EA"/>
    <w:rsid w:val="00B6471D"/>
    <w:rsid w:val="00B65701"/>
    <w:rsid w:val="00B65949"/>
    <w:rsid w:val="00B65D6B"/>
    <w:rsid w:val="00B66070"/>
    <w:rsid w:val="00B71686"/>
    <w:rsid w:val="00B725FA"/>
    <w:rsid w:val="00B7267C"/>
    <w:rsid w:val="00B730FE"/>
    <w:rsid w:val="00B7509D"/>
    <w:rsid w:val="00B76533"/>
    <w:rsid w:val="00B7663E"/>
    <w:rsid w:val="00B76DBA"/>
    <w:rsid w:val="00B77355"/>
    <w:rsid w:val="00B77BBC"/>
    <w:rsid w:val="00B804A0"/>
    <w:rsid w:val="00B805AB"/>
    <w:rsid w:val="00B81906"/>
    <w:rsid w:val="00B826F4"/>
    <w:rsid w:val="00B83A0E"/>
    <w:rsid w:val="00B8404E"/>
    <w:rsid w:val="00B84169"/>
    <w:rsid w:val="00B84331"/>
    <w:rsid w:val="00B84D97"/>
    <w:rsid w:val="00B85EDE"/>
    <w:rsid w:val="00B86441"/>
    <w:rsid w:val="00B865BA"/>
    <w:rsid w:val="00B8663E"/>
    <w:rsid w:val="00B86B21"/>
    <w:rsid w:val="00B90897"/>
    <w:rsid w:val="00B91440"/>
    <w:rsid w:val="00B91466"/>
    <w:rsid w:val="00B91AB2"/>
    <w:rsid w:val="00B91B6E"/>
    <w:rsid w:val="00B922D7"/>
    <w:rsid w:val="00B926AF"/>
    <w:rsid w:val="00B92B1C"/>
    <w:rsid w:val="00B96580"/>
    <w:rsid w:val="00B96C47"/>
    <w:rsid w:val="00B974A7"/>
    <w:rsid w:val="00B97840"/>
    <w:rsid w:val="00BA009E"/>
    <w:rsid w:val="00BA0344"/>
    <w:rsid w:val="00BA063B"/>
    <w:rsid w:val="00BA1551"/>
    <w:rsid w:val="00BA1E3E"/>
    <w:rsid w:val="00BA2EDF"/>
    <w:rsid w:val="00BA3AD2"/>
    <w:rsid w:val="00BA5BC8"/>
    <w:rsid w:val="00BA5F57"/>
    <w:rsid w:val="00BB0A59"/>
    <w:rsid w:val="00BB1425"/>
    <w:rsid w:val="00BB1725"/>
    <w:rsid w:val="00BB194D"/>
    <w:rsid w:val="00BB19B9"/>
    <w:rsid w:val="00BB342C"/>
    <w:rsid w:val="00BB3EF8"/>
    <w:rsid w:val="00BB495F"/>
    <w:rsid w:val="00BB55E6"/>
    <w:rsid w:val="00BB55EE"/>
    <w:rsid w:val="00BB72AD"/>
    <w:rsid w:val="00BB7A2F"/>
    <w:rsid w:val="00BB7CBC"/>
    <w:rsid w:val="00BC2C14"/>
    <w:rsid w:val="00BC30A1"/>
    <w:rsid w:val="00BC3118"/>
    <w:rsid w:val="00BC3275"/>
    <w:rsid w:val="00BC4973"/>
    <w:rsid w:val="00BC5479"/>
    <w:rsid w:val="00BC54FF"/>
    <w:rsid w:val="00BC684D"/>
    <w:rsid w:val="00BC6D61"/>
    <w:rsid w:val="00BC7697"/>
    <w:rsid w:val="00BC7952"/>
    <w:rsid w:val="00BD0640"/>
    <w:rsid w:val="00BD22CD"/>
    <w:rsid w:val="00BD2D3C"/>
    <w:rsid w:val="00BD628D"/>
    <w:rsid w:val="00BD6E5E"/>
    <w:rsid w:val="00BD799C"/>
    <w:rsid w:val="00BE2208"/>
    <w:rsid w:val="00BE327C"/>
    <w:rsid w:val="00BE5271"/>
    <w:rsid w:val="00BE587B"/>
    <w:rsid w:val="00BE5BA4"/>
    <w:rsid w:val="00BE5E7B"/>
    <w:rsid w:val="00BE6784"/>
    <w:rsid w:val="00BE6AF6"/>
    <w:rsid w:val="00BF03F7"/>
    <w:rsid w:val="00BF0D3C"/>
    <w:rsid w:val="00BF11EC"/>
    <w:rsid w:val="00BF1918"/>
    <w:rsid w:val="00BF2808"/>
    <w:rsid w:val="00BF2923"/>
    <w:rsid w:val="00BF4308"/>
    <w:rsid w:val="00BF44F3"/>
    <w:rsid w:val="00BF5C85"/>
    <w:rsid w:val="00BF6C56"/>
    <w:rsid w:val="00BF779E"/>
    <w:rsid w:val="00C00319"/>
    <w:rsid w:val="00C007B9"/>
    <w:rsid w:val="00C01256"/>
    <w:rsid w:val="00C0160B"/>
    <w:rsid w:val="00C01F7C"/>
    <w:rsid w:val="00C03662"/>
    <w:rsid w:val="00C0741A"/>
    <w:rsid w:val="00C10085"/>
    <w:rsid w:val="00C10441"/>
    <w:rsid w:val="00C11AD2"/>
    <w:rsid w:val="00C13057"/>
    <w:rsid w:val="00C13C97"/>
    <w:rsid w:val="00C1433E"/>
    <w:rsid w:val="00C14AC7"/>
    <w:rsid w:val="00C159F9"/>
    <w:rsid w:val="00C15F1B"/>
    <w:rsid w:val="00C170A9"/>
    <w:rsid w:val="00C17A88"/>
    <w:rsid w:val="00C221F1"/>
    <w:rsid w:val="00C2634E"/>
    <w:rsid w:val="00C265BA"/>
    <w:rsid w:val="00C26759"/>
    <w:rsid w:val="00C26C88"/>
    <w:rsid w:val="00C30230"/>
    <w:rsid w:val="00C317A7"/>
    <w:rsid w:val="00C324AC"/>
    <w:rsid w:val="00C36436"/>
    <w:rsid w:val="00C3674E"/>
    <w:rsid w:val="00C36E53"/>
    <w:rsid w:val="00C36EA0"/>
    <w:rsid w:val="00C37E17"/>
    <w:rsid w:val="00C40739"/>
    <w:rsid w:val="00C41060"/>
    <w:rsid w:val="00C41D72"/>
    <w:rsid w:val="00C42141"/>
    <w:rsid w:val="00C4483A"/>
    <w:rsid w:val="00C45B2A"/>
    <w:rsid w:val="00C45CFF"/>
    <w:rsid w:val="00C46283"/>
    <w:rsid w:val="00C466C4"/>
    <w:rsid w:val="00C4685A"/>
    <w:rsid w:val="00C46BED"/>
    <w:rsid w:val="00C47100"/>
    <w:rsid w:val="00C50335"/>
    <w:rsid w:val="00C51463"/>
    <w:rsid w:val="00C51D6F"/>
    <w:rsid w:val="00C525E0"/>
    <w:rsid w:val="00C52D73"/>
    <w:rsid w:val="00C54435"/>
    <w:rsid w:val="00C54F0A"/>
    <w:rsid w:val="00C5523D"/>
    <w:rsid w:val="00C552B8"/>
    <w:rsid w:val="00C55D7E"/>
    <w:rsid w:val="00C56061"/>
    <w:rsid w:val="00C56965"/>
    <w:rsid w:val="00C5782D"/>
    <w:rsid w:val="00C6030C"/>
    <w:rsid w:val="00C60F34"/>
    <w:rsid w:val="00C61351"/>
    <w:rsid w:val="00C625F8"/>
    <w:rsid w:val="00C6346C"/>
    <w:rsid w:val="00C63AE8"/>
    <w:rsid w:val="00C64A92"/>
    <w:rsid w:val="00C64F71"/>
    <w:rsid w:val="00C65E44"/>
    <w:rsid w:val="00C66310"/>
    <w:rsid w:val="00C6676E"/>
    <w:rsid w:val="00C66F44"/>
    <w:rsid w:val="00C6760D"/>
    <w:rsid w:val="00C705E8"/>
    <w:rsid w:val="00C708AB"/>
    <w:rsid w:val="00C7234C"/>
    <w:rsid w:val="00C72547"/>
    <w:rsid w:val="00C73D69"/>
    <w:rsid w:val="00C74DD0"/>
    <w:rsid w:val="00C750AD"/>
    <w:rsid w:val="00C752CF"/>
    <w:rsid w:val="00C76F72"/>
    <w:rsid w:val="00C80FDE"/>
    <w:rsid w:val="00C812A6"/>
    <w:rsid w:val="00C81F4C"/>
    <w:rsid w:val="00C83165"/>
    <w:rsid w:val="00C8356D"/>
    <w:rsid w:val="00C83934"/>
    <w:rsid w:val="00C84421"/>
    <w:rsid w:val="00C866EC"/>
    <w:rsid w:val="00C87217"/>
    <w:rsid w:val="00C8759E"/>
    <w:rsid w:val="00C87DA7"/>
    <w:rsid w:val="00C87E50"/>
    <w:rsid w:val="00C90E35"/>
    <w:rsid w:val="00C919A5"/>
    <w:rsid w:val="00C92D6F"/>
    <w:rsid w:val="00C93E2C"/>
    <w:rsid w:val="00C941D1"/>
    <w:rsid w:val="00C94C31"/>
    <w:rsid w:val="00C96C25"/>
    <w:rsid w:val="00C97398"/>
    <w:rsid w:val="00C973D1"/>
    <w:rsid w:val="00C976C6"/>
    <w:rsid w:val="00C97758"/>
    <w:rsid w:val="00CA1727"/>
    <w:rsid w:val="00CA1C92"/>
    <w:rsid w:val="00CA2857"/>
    <w:rsid w:val="00CA3D4E"/>
    <w:rsid w:val="00CA400F"/>
    <w:rsid w:val="00CA431D"/>
    <w:rsid w:val="00CA49C7"/>
    <w:rsid w:val="00CA6606"/>
    <w:rsid w:val="00CA674C"/>
    <w:rsid w:val="00CA6AF1"/>
    <w:rsid w:val="00CA6B68"/>
    <w:rsid w:val="00CA6F0F"/>
    <w:rsid w:val="00CA76CD"/>
    <w:rsid w:val="00CA776B"/>
    <w:rsid w:val="00CA7E2C"/>
    <w:rsid w:val="00CB076B"/>
    <w:rsid w:val="00CB0884"/>
    <w:rsid w:val="00CB16BA"/>
    <w:rsid w:val="00CB1B00"/>
    <w:rsid w:val="00CB23C6"/>
    <w:rsid w:val="00CB344E"/>
    <w:rsid w:val="00CB3555"/>
    <w:rsid w:val="00CB3E5F"/>
    <w:rsid w:val="00CB4E58"/>
    <w:rsid w:val="00CB51B1"/>
    <w:rsid w:val="00CB74B5"/>
    <w:rsid w:val="00CC005F"/>
    <w:rsid w:val="00CC0613"/>
    <w:rsid w:val="00CC09F9"/>
    <w:rsid w:val="00CC0AB1"/>
    <w:rsid w:val="00CC18C7"/>
    <w:rsid w:val="00CC20DD"/>
    <w:rsid w:val="00CC2584"/>
    <w:rsid w:val="00CC2797"/>
    <w:rsid w:val="00CC340D"/>
    <w:rsid w:val="00CC3B32"/>
    <w:rsid w:val="00CC52A3"/>
    <w:rsid w:val="00CC7D26"/>
    <w:rsid w:val="00CD1F06"/>
    <w:rsid w:val="00CD237F"/>
    <w:rsid w:val="00CD3991"/>
    <w:rsid w:val="00CD45A4"/>
    <w:rsid w:val="00CD5010"/>
    <w:rsid w:val="00CD55B8"/>
    <w:rsid w:val="00CD5989"/>
    <w:rsid w:val="00CD5C2F"/>
    <w:rsid w:val="00CD61B2"/>
    <w:rsid w:val="00CD69B6"/>
    <w:rsid w:val="00CD6F71"/>
    <w:rsid w:val="00CD71C6"/>
    <w:rsid w:val="00CD74F2"/>
    <w:rsid w:val="00CE1234"/>
    <w:rsid w:val="00CE1404"/>
    <w:rsid w:val="00CE1968"/>
    <w:rsid w:val="00CE22D3"/>
    <w:rsid w:val="00CE25B9"/>
    <w:rsid w:val="00CE33D7"/>
    <w:rsid w:val="00CE341D"/>
    <w:rsid w:val="00CE34D6"/>
    <w:rsid w:val="00CE3D89"/>
    <w:rsid w:val="00CE4528"/>
    <w:rsid w:val="00CE5980"/>
    <w:rsid w:val="00CE659F"/>
    <w:rsid w:val="00CE7ACB"/>
    <w:rsid w:val="00CF00AA"/>
    <w:rsid w:val="00CF0103"/>
    <w:rsid w:val="00CF09E1"/>
    <w:rsid w:val="00CF0FA9"/>
    <w:rsid w:val="00CF157B"/>
    <w:rsid w:val="00CF169A"/>
    <w:rsid w:val="00CF1A20"/>
    <w:rsid w:val="00CF1B67"/>
    <w:rsid w:val="00CF1E12"/>
    <w:rsid w:val="00CF2FF8"/>
    <w:rsid w:val="00CF5A81"/>
    <w:rsid w:val="00CF5AD9"/>
    <w:rsid w:val="00CF5BBE"/>
    <w:rsid w:val="00CF7FAD"/>
    <w:rsid w:val="00D00371"/>
    <w:rsid w:val="00D01392"/>
    <w:rsid w:val="00D01ABB"/>
    <w:rsid w:val="00D02BB6"/>
    <w:rsid w:val="00D03EC2"/>
    <w:rsid w:val="00D053C4"/>
    <w:rsid w:val="00D05E3A"/>
    <w:rsid w:val="00D063BE"/>
    <w:rsid w:val="00D074A2"/>
    <w:rsid w:val="00D077E0"/>
    <w:rsid w:val="00D1019F"/>
    <w:rsid w:val="00D11459"/>
    <w:rsid w:val="00D13196"/>
    <w:rsid w:val="00D1419D"/>
    <w:rsid w:val="00D142AD"/>
    <w:rsid w:val="00D16136"/>
    <w:rsid w:val="00D2107D"/>
    <w:rsid w:val="00D21501"/>
    <w:rsid w:val="00D21F93"/>
    <w:rsid w:val="00D22A4C"/>
    <w:rsid w:val="00D22B9E"/>
    <w:rsid w:val="00D244F5"/>
    <w:rsid w:val="00D24511"/>
    <w:rsid w:val="00D2547D"/>
    <w:rsid w:val="00D26771"/>
    <w:rsid w:val="00D26EC1"/>
    <w:rsid w:val="00D27E20"/>
    <w:rsid w:val="00D30C79"/>
    <w:rsid w:val="00D31BE0"/>
    <w:rsid w:val="00D31EAC"/>
    <w:rsid w:val="00D324B5"/>
    <w:rsid w:val="00D32529"/>
    <w:rsid w:val="00D342C3"/>
    <w:rsid w:val="00D34BAB"/>
    <w:rsid w:val="00D3717F"/>
    <w:rsid w:val="00D3735C"/>
    <w:rsid w:val="00D37AFB"/>
    <w:rsid w:val="00D403EE"/>
    <w:rsid w:val="00D40657"/>
    <w:rsid w:val="00D408F8"/>
    <w:rsid w:val="00D410E6"/>
    <w:rsid w:val="00D41A5B"/>
    <w:rsid w:val="00D43349"/>
    <w:rsid w:val="00D43354"/>
    <w:rsid w:val="00D44861"/>
    <w:rsid w:val="00D449DE"/>
    <w:rsid w:val="00D449F6"/>
    <w:rsid w:val="00D4528C"/>
    <w:rsid w:val="00D46DEA"/>
    <w:rsid w:val="00D47DAB"/>
    <w:rsid w:val="00D47EB4"/>
    <w:rsid w:val="00D47F4A"/>
    <w:rsid w:val="00D50312"/>
    <w:rsid w:val="00D50C98"/>
    <w:rsid w:val="00D50E50"/>
    <w:rsid w:val="00D51C53"/>
    <w:rsid w:val="00D51DEE"/>
    <w:rsid w:val="00D51EAD"/>
    <w:rsid w:val="00D52B93"/>
    <w:rsid w:val="00D54323"/>
    <w:rsid w:val="00D54640"/>
    <w:rsid w:val="00D558FD"/>
    <w:rsid w:val="00D562CE"/>
    <w:rsid w:val="00D568DF"/>
    <w:rsid w:val="00D56DBB"/>
    <w:rsid w:val="00D60950"/>
    <w:rsid w:val="00D61B46"/>
    <w:rsid w:val="00D62BB9"/>
    <w:rsid w:val="00D63D74"/>
    <w:rsid w:val="00D63EF5"/>
    <w:rsid w:val="00D658B7"/>
    <w:rsid w:val="00D668B9"/>
    <w:rsid w:val="00D66AB1"/>
    <w:rsid w:val="00D67985"/>
    <w:rsid w:val="00D710E9"/>
    <w:rsid w:val="00D719CB"/>
    <w:rsid w:val="00D72757"/>
    <w:rsid w:val="00D73004"/>
    <w:rsid w:val="00D73402"/>
    <w:rsid w:val="00D73CCC"/>
    <w:rsid w:val="00D746E2"/>
    <w:rsid w:val="00D746FD"/>
    <w:rsid w:val="00D7542B"/>
    <w:rsid w:val="00D75E78"/>
    <w:rsid w:val="00D76D65"/>
    <w:rsid w:val="00D775C8"/>
    <w:rsid w:val="00D8068D"/>
    <w:rsid w:val="00D815FE"/>
    <w:rsid w:val="00D81745"/>
    <w:rsid w:val="00D83D0F"/>
    <w:rsid w:val="00D84855"/>
    <w:rsid w:val="00D85651"/>
    <w:rsid w:val="00D85A23"/>
    <w:rsid w:val="00D87898"/>
    <w:rsid w:val="00D87B62"/>
    <w:rsid w:val="00D906B2"/>
    <w:rsid w:val="00D915BC"/>
    <w:rsid w:val="00D91AEB"/>
    <w:rsid w:val="00D93C73"/>
    <w:rsid w:val="00D93F5C"/>
    <w:rsid w:val="00D93FC3"/>
    <w:rsid w:val="00D96291"/>
    <w:rsid w:val="00D96A14"/>
    <w:rsid w:val="00D97D84"/>
    <w:rsid w:val="00DA02BC"/>
    <w:rsid w:val="00DA18BE"/>
    <w:rsid w:val="00DA2A08"/>
    <w:rsid w:val="00DA2FAD"/>
    <w:rsid w:val="00DA4AC0"/>
    <w:rsid w:val="00DA508C"/>
    <w:rsid w:val="00DA57AC"/>
    <w:rsid w:val="00DA681F"/>
    <w:rsid w:val="00DA6BC5"/>
    <w:rsid w:val="00DB01FB"/>
    <w:rsid w:val="00DB29B1"/>
    <w:rsid w:val="00DB2A09"/>
    <w:rsid w:val="00DB37E7"/>
    <w:rsid w:val="00DB4284"/>
    <w:rsid w:val="00DB54A8"/>
    <w:rsid w:val="00DB6271"/>
    <w:rsid w:val="00DB69B4"/>
    <w:rsid w:val="00DB7B3A"/>
    <w:rsid w:val="00DC157B"/>
    <w:rsid w:val="00DC174D"/>
    <w:rsid w:val="00DC1C58"/>
    <w:rsid w:val="00DC1E79"/>
    <w:rsid w:val="00DC3CFD"/>
    <w:rsid w:val="00DC44EE"/>
    <w:rsid w:val="00DC479F"/>
    <w:rsid w:val="00DC54C6"/>
    <w:rsid w:val="00DC5CD1"/>
    <w:rsid w:val="00DC5D30"/>
    <w:rsid w:val="00DC5F51"/>
    <w:rsid w:val="00DC603A"/>
    <w:rsid w:val="00DC69F1"/>
    <w:rsid w:val="00DC6D1B"/>
    <w:rsid w:val="00DC6E94"/>
    <w:rsid w:val="00DD0C20"/>
    <w:rsid w:val="00DD1616"/>
    <w:rsid w:val="00DD24BF"/>
    <w:rsid w:val="00DD2782"/>
    <w:rsid w:val="00DD3240"/>
    <w:rsid w:val="00DD515A"/>
    <w:rsid w:val="00DD61CF"/>
    <w:rsid w:val="00DD7AA1"/>
    <w:rsid w:val="00DE0E2C"/>
    <w:rsid w:val="00DE1F88"/>
    <w:rsid w:val="00DE240B"/>
    <w:rsid w:val="00DE2C2C"/>
    <w:rsid w:val="00DE3A8B"/>
    <w:rsid w:val="00DE3CFB"/>
    <w:rsid w:val="00DE51C8"/>
    <w:rsid w:val="00DE5831"/>
    <w:rsid w:val="00DE5D44"/>
    <w:rsid w:val="00DE6C52"/>
    <w:rsid w:val="00DE7F2A"/>
    <w:rsid w:val="00DF039A"/>
    <w:rsid w:val="00DF0758"/>
    <w:rsid w:val="00DF0F7C"/>
    <w:rsid w:val="00DF11EC"/>
    <w:rsid w:val="00DF13D5"/>
    <w:rsid w:val="00DF2663"/>
    <w:rsid w:val="00DF374C"/>
    <w:rsid w:val="00DF452D"/>
    <w:rsid w:val="00DF4B8E"/>
    <w:rsid w:val="00DF510C"/>
    <w:rsid w:val="00DF542A"/>
    <w:rsid w:val="00DF5FCC"/>
    <w:rsid w:val="00DF6CC8"/>
    <w:rsid w:val="00E003EE"/>
    <w:rsid w:val="00E02B72"/>
    <w:rsid w:val="00E11386"/>
    <w:rsid w:val="00E11C4F"/>
    <w:rsid w:val="00E11EBA"/>
    <w:rsid w:val="00E12788"/>
    <w:rsid w:val="00E13FFF"/>
    <w:rsid w:val="00E14A68"/>
    <w:rsid w:val="00E15206"/>
    <w:rsid w:val="00E15CC8"/>
    <w:rsid w:val="00E162CA"/>
    <w:rsid w:val="00E1630E"/>
    <w:rsid w:val="00E16495"/>
    <w:rsid w:val="00E16C53"/>
    <w:rsid w:val="00E214D3"/>
    <w:rsid w:val="00E21736"/>
    <w:rsid w:val="00E21AEE"/>
    <w:rsid w:val="00E21F09"/>
    <w:rsid w:val="00E22ACD"/>
    <w:rsid w:val="00E22EFE"/>
    <w:rsid w:val="00E22F92"/>
    <w:rsid w:val="00E2496E"/>
    <w:rsid w:val="00E24BA9"/>
    <w:rsid w:val="00E278B8"/>
    <w:rsid w:val="00E27DD4"/>
    <w:rsid w:val="00E27DFD"/>
    <w:rsid w:val="00E30301"/>
    <w:rsid w:val="00E3347D"/>
    <w:rsid w:val="00E33B9B"/>
    <w:rsid w:val="00E3503A"/>
    <w:rsid w:val="00E3503E"/>
    <w:rsid w:val="00E3589C"/>
    <w:rsid w:val="00E35E1A"/>
    <w:rsid w:val="00E35F27"/>
    <w:rsid w:val="00E370E3"/>
    <w:rsid w:val="00E37F61"/>
    <w:rsid w:val="00E41A02"/>
    <w:rsid w:val="00E41B6E"/>
    <w:rsid w:val="00E4231A"/>
    <w:rsid w:val="00E4377B"/>
    <w:rsid w:val="00E45EAB"/>
    <w:rsid w:val="00E46288"/>
    <w:rsid w:val="00E51BF0"/>
    <w:rsid w:val="00E54528"/>
    <w:rsid w:val="00E54975"/>
    <w:rsid w:val="00E55384"/>
    <w:rsid w:val="00E55EC4"/>
    <w:rsid w:val="00E56208"/>
    <w:rsid w:val="00E579B3"/>
    <w:rsid w:val="00E616C4"/>
    <w:rsid w:val="00E621D2"/>
    <w:rsid w:val="00E623B7"/>
    <w:rsid w:val="00E62AD3"/>
    <w:rsid w:val="00E643E7"/>
    <w:rsid w:val="00E64694"/>
    <w:rsid w:val="00E67FBC"/>
    <w:rsid w:val="00E7196F"/>
    <w:rsid w:val="00E71FE2"/>
    <w:rsid w:val="00E72266"/>
    <w:rsid w:val="00E72A07"/>
    <w:rsid w:val="00E72B6B"/>
    <w:rsid w:val="00E72DDA"/>
    <w:rsid w:val="00E72DE0"/>
    <w:rsid w:val="00E73E12"/>
    <w:rsid w:val="00E742E9"/>
    <w:rsid w:val="00E750E0"/>
    <w:rsid w:val="00E77FCA"/>
    <w:rsid w:val="00E80480"/>
    <w:rsid w:val="00E82A9E"/>
    <w:rsid w:val="00E8445D"/>
    <w:rsid w:val="00E84D9B"/>
    <w:rsid w:val="00E855E5"/>
    <w:rsid w:val="00E858A1"/>
    <w:rsid w:val="00E8593E"/>
    <w:rsid w:val="00E8692E"/>
    <w:rsid w:val="00E86B50"/>
    <w:rsid w:val="00E87415"/>
    <w:rsid w:val="00E8743E"/>
    <w:rsid w:val="00E8799C"/>
    <w:rsid w:val="00E87EF8"/>
    <w:rsid w:val="00E909C5"/>
    <w:rsid w:val="00E9295C"/>
    <w:rsid w:val="00E9475F"/>
    <w:rsid w:val="00E962E9"/>
    <w:rsid w:val="00E971BE"/>
    <w:rsid w:val="00E9721A"/>
    <w:rsid w:val="00EA33BD"/>
    <w:rsid w:val="00EA3A30"/>
    <w:rsid w:val="00EA4BFB"/>
    <w:rsid w:val="00EA4DE1"/>
    <w:rsid w:val="00EA56D6"/>
    <w:rsid w:val="00EA5E7A"/>
    <w:rsid w:val="00EA6218"/>
    <w:rsid w:val="00EA6A4B"/>
    <w:rsid w:val="00EB02F4"/>
    <w:rsid w:val="00EB07D0"/>
    <w:rsid w:val="00EB0FBC"/>
    <w:rsid w:val="00EB1206"/>
    <w:rsid w:val="00EB21E3"/>
    <w:rsid w:val="00EB2226"/>
    <w:rsid w:val="00EB24BC"/>
    <w:rsid w:val="00EB32B9"/>
    <w:rsid w:val="00EB3F61"/>
    <w:rsid w:val="00EB44EB"/>
    <w:rsid w:val="00EB47E5"/>
    <w:rsid w:val="00EB4A9C"/>
    <w:rsid w:val="00EB5B2F"/>
    <w:rsid w:val="00EB65A4"/>
    <w:rsid w:val="00EB7653"/>
    <w:rsid w:val="00EC1D51"/>
    <w:rsid w:val="00EC24F9"/>
    <w:rsid w:val="00EC26E9"/>
    <w:rsid w:val="00EC2C15"/>
    <w:rsid w:val="00EC2F37"/>
    <w:rsid w:val="00EC2F9D"/>
    <w:rsid w:val="00EC48A4"/>
    <w:rsid w:val="00EC5F36"/>
    <w:rsid w:val="00EC65C3"/>
    <w:rsid w:val="00EC6CB6"/>
    <w:rsid w:val="00EC702D"/>
    <w:rsid w:val="00EC7E1D"/>
    <w:rsid w:val="00ED0709"/>
    <w:rsid w:val="00ED12C3"/>
    <w:rsid w:val="00ED193C"/>
    <w:rsid w:val="00ED1E85"/>
    <w:rsid w:val="00ED292F"/>
    <w:rsid w:val="00ED3204"/>
    <w:rsid w:val="00ED5881"/>
    <w:rsid w:val="00ED62FE"/>
    <w:rsid w:val="00ED6A68"/>
    <w:rsid w:val="00ED70DF"/>
    <w:rsid w:val="00ED710D"/>
    <w:rsid w:val="00ED7BD2"/>
    <w:rsid w:val="00ED7EB8"/>
    <w:rsid w:val="00EE0C90"/>
    <w:rsid w:val="00EE13B6"/>
    <w:rsid w:val="00EE23AE"/>
    <w:rsid w:val="00EE265B"/>
    <w:rsid w:val="00EE574B"/>
    <w:rsid w:val="00EE58C6"/>
    <w:rsid w:val="00EE68EF"/>
    <w:rsid w:val="00EE6E7A"/>
    <w:rsid w:val="00EF25DC"/>
    <w:rsid w:val="00EF2742"/>
    <w:rsid w:val="00EF3932"/>
    <w:rsid w:val="00EF3A1A"/>
    <w:rsid w:val="00EF3F62"/>
    <w:rsid w:val="00EF4051"/>
    <w:rsid w:val="00EF542D"/>
    <w:rsid w:val="00EF65E9"/>
    <w:rsid w:val="00EF6672"/>
    <w:rsid w:val="00EF6C07"/>
    <w:rsid w:val="00EF7D7E"/>
    <w:rsid w:val="00F004C3"/>
    <w:rsid w:val="00F006C5"/>
    <w:rsid w:val="00F00DD7"/>
    <w:rsid w:val="00F011DD"/>
    <w:rsid w:val="00F03D65"/>
    <w:rsid w:val="00F03FBB"/>
    <w:rsid w:val="00F04512"/>
    <w:rsid w:val="00F06109"/>
    <w:rsid w:val="00F07FF2"/>
    <w:rsid w:val="00F13097"/>
    <w:rsid w:val="00F1386D"/>
    <w:rsid w:val="00F13A33"/>
    <w:rsid w:val="00F14777"/>
    <w:rsid w:val="00F14EA5"/>
    <w:rsid w:val="00F158FC"/>
    <w:rsid w:val="00F15DF7"/>
    <w:rsid w:val="00F175AB"/>
    <w:rsid w:val="00F17D0E"/>
    <w:rsid w:val="00F20EF7"/>
    <w:rsid w:val="00F21452"/>
    <w:rsid w:val="00F22F39"/>
    <w:rsid w:val="00F239C7"/>
    <w:rsid w:val="00F23F0C"/>
    <w:rsid w:val="00F25593"/>
    <w:rsid w:val="00F25C86"/>
    <w:rsid w:val="00F2682E"/>
    <w:rsid w:val="00F26879"/>
    <w:rsid w:val="00F27F83"/>
    <w:rsid w:val="00F31228"/>
    <w:rsid w:val="00F3170D"/>
    <w:rsid w:val="00F3187A"/>
    <w:rsid w:val="00F32282"/>
    <w:rsid w:val="00F32609"/>
    <w:rsid w:val="00F32DB4"/>
    <w:rsid w:val="00F32E40"/>
    <w:rsid w:val="00F349CF"/>
    <w:rsid w:val="00F3537B"/>
    <w:rsid w:val="00F35F17"/>
    <w:rsid w:val="00F36219"/>
    <w:rsid w:val="00F409F0"/>
    <w:rsid w:val="00F40B8A"/>
    <w:rsid w:val="00F41D7A"/>
    <w:rsid w:val="00F42073"/>
    <w:rsid w:val="00F42A53"/>
    <w:rsid w:val="00F42F5B"/>
    <w:rsid w:val="00F45826"/>
    <w:rsid w:val="00F4594D"/>
    <w:rsid w:val="00F47135"/>
    <w:rsid w:val="00F47D95"/>
    <w:rsid w:val="00F512FF"/>
    <w:rsid w:val="00F51595"/>
    <w:rsid w:val="00F52243"/>
    <w:rsid w:val="00F52363"/>
    <w:rsid w:val="00F529ED"/>
    <w:rsid w:val="00F52EE0"/>
    <w:rsid w:val="00F52FA2"/>
    <w:rsid w:val="00F538BB"/>
    <w:rsid w:val="00F53B36"/>
    <w:rsid w:val="00F5443D"/>
    <w:rsid w:val="00F55516"/>
    <w:rsid w:val="00F566A4"/>
    <w:rsid w:val="00F56EE5"/>
    <w:rsid w:val="00F5767B"/>
    <w:rsid w:val="00F576B8"/>
    <w:rsid w:val="00F6007A"/>
    <w:rsid w:val="00F605AB"/>
    <w:rsid w:val="00F60A7D"/>
    <w:rsid w:val="00F61757"/>
    <w:rsid w:val="00F62421"/>
    <w:rsid w:val="00F62DD5"/>
    <w:rsid w:val="00F62EDC"/>
    <w:rsid w:val="00F63491"/>
    <w:rsid w:val="00F64C66"/>
    <w:rsid w:val="00F67554"/>
    <w:rsid w:val="00F70186"/>
    <w:rsid w:val="00F77AED"/>
    <w:rsid w:val="00F801FF"/>
    <w:rsid w:val="00F803EE"/>
    <w:rsid w:val="00F81272"/>
    <w:rsid w:val="00F814D1"/>
    <w:rsid w:val="00F817DD"/>
    <w:rsid w:val="00F81B4D"/>
    <w:rsid w:val="00F8315E"/>
    <w:rsid w:val="00F8417B"/>
    <w:rsid w:val="00F843B0"/>
    <w:rsid w:val="00F8446A"/>
    <w:rsid w:val="00F84F35"/>
    <w:rsid w:val="00F85CAC"/>
    <w:rsid w:val="00F85E46"/>
    <w:rsid w:val="00F8603A"/>
    <w:rsid w:val="00F8770B"/>
    <w:rsid w:val="00F90228"/>
    <w:rsid w:val="00F90AE0"/>
    <w:rsid w:val="00F90BA3"/>
    <w:rsid w:val="00F91CBD"/>
    <w:rsid w:val="00F93C1E"/>
    <w:rsid w:val="00F93DE0"/>
    <w:rsid w:val="00F9484E"/>
    <w:rsid w:val="00F94E21"/>
    <w:rsid w:val="00F96878"/>
    <w:rsid w:val="00F96A10"/>
    <w:rsid w:val="00F96F45"/>
    <w:rsid w:val="00F9737E"/>
    <w:rsid w:val="00F97470"/>
    <w:rsid w:val="00FA063F"/>
    <w:rsid w:val="00FA1D10"/>
    <w:rsid w:val="00FA236A"/>
    <w:rsid w:val="00FA2978"/>
    <w:rsid w:val="00FA513B"/>
    <w:rsid w:val="00FA5360"/>
    <w:rsid w:val="00FA7146"/>
    <w:rsid w:val="00FA75CA"/>
    <w:rsid w:val="00FB0377"/>
    <w:rsid w:val="00FB060D"/>
    <w:rsid w:val="00FB065C"/>
    <w:rsid w:val="00FB0C80"/>
    <w:rsid w:val="00FB11AD"/>
    <w:rsid w:val="00FB1CA4"/>
    <w:rsid w:val="00FB2985"/>
    <w:rsid w:val="00FB35A0"/>
    <w:rsid w:val="00FB3DE7"/>
    <w:rsid w:val="00FB5130"/>
    <w:rsid w:val="00FB6C82"/>
    <w:rsid w:val="00FB6CCE"/>
    <w:rsid w:val="00FC1978"/>
    <w:rsid w:val="00FC1A54"/>
    <w:rsid w:val="00FC1E15"/>
    <w:rsid w:val="00FC2719"/>
    <w:rsid w:val="00FC28F0"/>
    <w:rsid w:val="00FC2D4E"/>
    <w:rsid w:val="00FC40E8"/>
    <w:rsid w:val="00FC41C7"/>
    <w:rsid w:val="00FC4522"/>
    <w:rsid w:val="00FC5016"/>
    <w:rsid w:val="00FC54DC"/>
    <w:rsid w:val="00FC5FAE"/>
    <w:rsid w:val="00FD0DE4"/>
    <w:rsid w:val="00FD0DFE"/>
    <w:rsid w:val="00FD109C"/>
    <w:rsid w:val="00FD1255"/>
    <w:rsid w:val="00FD26A8"/>
    <w:rsid w:val="00FD2CDA"/>
    <w:rsid w:val="00FD3031"/>
    <w:rsid w:val="00FD3BC3"/>
    <w:rsid w:val="00FD4982"/>
    <w:rsid w:val="00FD4C47"/>
    <w:rsid w:val="00FD4D34"/>
    <w:rsid w:val="00FD5999"/>
    <w:rsid w:val="00FD677D"/>
    <w:rsid w:val="00FD7842"/>
    <w:rsid w:val="00FD7EF0"/>
    <w:rsid w:val="00FE044A"/>
    <w:rsid w:val="00FE0AFA"/>
    <w:rsid w:val="00FE0BFA"/>
    <w:rsid w:val="00FE122D"/>
    <w:rsid w:val="00FE1292"/>
    <w:rsid w:val="00FE1F44"/>
    <w:rsid w:val="00FE351F"/>
    <w:rsid w:val="00FE4331"/>
    <w:rsid w:val="00FE4A8C"/>
    <w:rsid w:val="00FE4C36"/>
    <w:rsid w:val="00FE5625"/>
    <w:rsid w:val="00FE74D6"/>
    <w:rsid w:val="00FE7799"/>
    <w:rsid w:val="00FF026A"/>
    <w:rsid w:val="00FF07EE"/>
    <w:rsid w:val="00FF0CA6"/>
    <w:rsid w:val="00FF1DC5"/>
    <w:rsid w:val="00FF4C18"/>
    <w:rsid w:val="00FF4D46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C130297"/>
  <w15:chartTrackingRefBased/>
  <w15:docId w15:val="{38A36877-2314-4CA3-B85A-9CC27239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D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3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50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46D13"/>
    <w:pPr>
      <w:keepNext/>
      <w:widowControl/>
      <w:autoSpaceDE/>
      <w:autoSpaceDN/>
      <w:adjustRightInd/>
      <w:jc w:val="center"/>
      <w:outlineLvl w:val="7"/>
    </w:pPr>
    <w:rPr>
      <w:rFonts w:ascii="Calibri" w:hAnsi="Calibri" w:cs="Times New Roman"/>
      <w:b/>
      <w:bCs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rsid w:val="00246D13"/>
    <w:rPr>
      <w:rFonts w:ascii="Calibri" w:eastAsiaTheme="minorEastAsia" w:hAnsi="Calibri" w:cs="Times New Roman"/>
      <w:b/>
      <w:bCs/>
      <w:noProof/>
      <w:sz w:val="24"/>
      <w:szCs w:val="20"/>
      <w:lang w:eastAsia="cs-CZ"/>
    </w:rPr>
  </w:style>
  <w:style w:type="paragraph" w:styleId="Zkladntext">
    <w:name w:val="Body Text"/>
    <w:aliases w:val="?????1,Body ...,Body Text Char,Body Text Char Char,Body Text Char Char Char,Body Text Char1 Char Char,Body Text Char2 Char,Corps de texte INTSUM,Nornální,Základní text - D,b,Číslovaný seznam (i),Текст1"/>
    <w:basedOn w:val="Normln"/>
    <w:link w:val="ZkladntextChar"/>
    <w:uiPriority w:val="99"/>
    <w:rsid w:val="00246D13"/>
    <w:pPr>
      <w:widowControl/>
      <w:autoSpaceDE/>
      <w:autoSpaceDN/>
      <w:adjustRightInd/>
      <w:jc w:val="both"/>
    </w:pPr>
    <w:rPr>
      <w:rFonts w:ascii="Calibri" w:hAnsi="Calibri" w:cs="Times New Roman"/>
      <w:b/>
      <w:bCs/>
      <w:sz w:val="28"/>
      <w:szCs w:val="28"/>
    </w:rPr>
  </w:style>
  <w:style w:type="character" w:customStyle="1" w:styleId="ZkladntextChar">
    <w:name w:val="Základní text Char"/>
    <w:aliases w:val="?????1 Char,Body ... Char,Body Text Char Char1,Body Text Char Char Char1,Body Text Char Char Char Char,Body Text Char1 Char Char Char,Body Text Char2 Char Char,Corps de texte INTSUM Char,Nornální Char,Základní text - D Char,b Char"/>
    <w:basedOn w:val="Standardnpsmoodstavce"/>
    <w:link w:val="Zkladntext"/>
    <w:uiPriority w:val="99"/>
    <w:rsid w:val="00246D13"/>
    <w:rPr>
      <w:rFonts w:ascii="Calibri" w:eastAsiaTheme="minorEastAsia" w:hAnsi="Calibri" w:cs="Times New Roman"/>
      <w:b/>
      <w:bCs/>
      <w:sz w:val="28"/>
      <w:szCs w:val="28"/>
      <w:lang w:eastAsia="cs-CZ"/>
    </w:rPr>
  </w:style>
  <w:style w:type="paragraph" w:customStyle="1" w:styleId="Zkladn">
    <w:name w:val="Základní"/>
    <w:basedOn w:val="Normln"/>
    <w:rsid w:val="00246D13"/>
    <w:pPr>
      <w:widowControl/>
      <w:autoSpaceDE/>
      <w:autoSpaceDN/>
      <w:adjustRightInd/>
      <w:spacing w:before="120"/>
      <w:jc w:val="both"/>
    </w:pPr>
    <w:rPr>
      <w:rFonts w:cs="Times New Roman"/>
      <w:sz w:val="24"/>
      <w:szCs w:val="24"/>
      <w:lang w:eastAsia="en-US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246D13"/>
    <w:pPr>
      <w:widowControl/>
      <w:autoSpaceDE/>
      <w:autoSpaceDN/>
      <w:adjustRightInd/>
      <w:jc w:val="both"/>
    </w:pPr>
    <w:rPr>
      <w:rFonts w:ascii="Calibri" w:hAnsi="Calibri" w:cs="Times New Roman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246D13"/>
    <w:rPr>
      <w:rFonts w:ascii="Calibri" w:eastAsiaTheme="minorEastAsia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46D13"/>
    <w:rPr>
      <w:rFonts w:cs="Times New Roman"/>
      <w:vertAlign w:val="superscript"/>
    </w:rPr>
  </w:style>
  <w:style w:type="character" w:customStyle="1" w:styleId="Titulektabulky">
    <w:name w:val="Titulek tabulky_"/>
    <w:link w:val="Titulektabulky0"/>
    <w:locked/>
    <w:rsid w:val="00246D13"/>
    <w:rPr>
      <w:rFonts w:ascii="Calibri" w:hAnsi="Calibri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246D13"/>
    <w:pPr>
      <w:shd w:val="clear" w:color="auto" w:fill="FFFFFF"/>
      <w:autoSpaceDE/>
      <w:autoSpaceDN/>
      <w:adjustRightInd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Odstavecseseznamem">
    <w:name w:val="List Paragraph"/>
    <w:aliases w:val="odrážky,Nadpis pro KZ,List Paragraph1,List Paragraph2,List Paragraph_0,Nad,Nad1,Nad2,Odstavec_muj,Odstavec_muj1,Odstavec_muj10,Odstavec_muj2,Odstavec_muj3,Odstavec_muj4,Odstavec_muj5,Odstavec_muj6,Odstavec_muj7,Odstavec_muj8"/>
    <w:basedOn w:val="Normln"/>
    <w:link w:val="OdstavecseseznamemChar"/>
    <w:uiPriority w:val="34"/>
    <w:qFormat/>
    <w:rsid w:val="00246D13"/>
    <w:pPr>
      <w:ind w:left="720"/>
      <w:contextualSpacing/>
    </w:pPr>
  </w:style>
  <w:style w:type="character" w:customStyle="1" w:styleId="OdstavecseseznamemChar">
    <w:name w:val="Odstavec se seznamem Char"/>
    <w:aliases w:val="odrážky Char,Nadpis pro KZ Char,List Paragraph1 Char,List Paragraph2 Char,List Paragraph_0 Char,Nad Char,Nad1 Char,Nad2 Char,Odstavec_muj Char,Odstavec_muj1 Char,Odstavec_muj10 Char,Odstavec_muj2 Char,Odstavec_muj3 Char"/>
    <w:link w:val="Odstavecseseznamem"/>
    <w:uiPriority w:val="34"/>
    <w:locked/>
    <w:rsid w:val="00246D13"/>
    <w:rPr>
      <w:rFonts w:ascii="Arial" w:eastAsiaTheme="minorEastAsia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E1D5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53F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zevtabulky">
    <w:name w:val="Název tabulky"/>
    <w:basedOn w:val="Normln"/>
    <w:uiPriority w:val="99"/>
    <w:qFormat/>
    <w:rsid w:val="0023743D"/>
    <w:pPr>
      <w:widowControl/>
      <w:numPr>
        <w:ilvl w:val="1"/>
        <w:numId w:val="3"/>
      </w:numPr>
      <w:autoSpaceDE/>
      <w:autoSpaceDN/>
      <w:adjustRightInd/>
      <w:jc w:val="both"/>
    </w:pPr>
    <w:rPr>
      <w:rFonts w:asciiTheme="minorHAnsi" w:eastAsia="Times New Roman" w:hAnsiTheme="minorHAnsi" w:cs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CC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43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3B0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5F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F64"/>
    <w:rPr>
      <w:rFonts w:ascii="Arial" w:eastAsiaTheme="minorEastAsia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5F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F64"/>
    <w:rPr>
      <w:rFonts w:ascii="Arial" w:eastAsiaTheme="minorEastAsia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F09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90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90A"/>
    <w:rPr>
      <w:rFonts w:ascii="Arial" w:eastAsiaTheme="minorEastAsia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90A"/>
    <w:rPr>
      <w:rFonts w:ascii="Arial" w:eastAsiaTheme="minorEastAsia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F090A"/>
    <w:pPr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CA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3620D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0D7"/>
    <w:rPr>
      <w:rFonts w:ascii="Calibri" w:hAnsi="Calibri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50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E50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E509A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90077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notranslate">
    <w:name w:val="notranslate"/>
    <w:basedOn w:val="Standardnpsmoodstavce"/>
    <w:rsid w:val="00B22E6F"/>
  </w:style>
  <w:style w:type="character" w:styleId="Sledovanodkaz">
    <w:name w:val="FollowedHyperlink"/>
    <w:basedOn w:val="Standardnpsmoodstavce"/>
    <w:uiPriority w:val="99"/>
    <w:semiHidden/>
    <w:unhideWhenUsed/>
    <w:rsid w:val="00502909"/>
    <w:rPr>
      <w:color w:val="954F72" w:themeColor="followedHyperlink"/>
      <w:u w:val="single"/>
    </w:rPr>
  </w:style>
  <w:style w:type="paragraph" w:customStyle="1" w:styleId="Default">
    <w:name w:val="Default"/>
    <w:rsid w:val="006C0D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A31DBA"/>
    <w:pPr>
      <w:widowControl/>
      <w:suppressAutoHyphens/>
      <w:autoSpaceDE/>
      <w:autoSpaceDN/>
      <w:adjustRightInd/>
      <w:ind w:left="720"/>
    </w:pPr>
    <w:rPr>
      <w:rFonts w:eastAsia="SimSun" w:cs="Mangal"/>
      <w:kern w:val="1"/>
      <w:sz w:val="24"/>
      <w:szCs w:val="24"/>
      <w:lang w:eastAsia="hi-IN" w:bidi="hi-IN"/>
    </w:rPr>
  </w:style>
  <w:style w:type="table" w:customStyle="1" w:styleId="Mkatabulky2">
    <w:name w:val="Mřížka tabulky2"/>
    <w:basedOn w:val="Normlntabulka"/>
    <w:next w:val="Mkatabulky"/>
    <w:uiPriority w:val="59"/>
    <w:rsid w:val="0060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516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95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3F24C4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F24C4"/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3375FC"/>
    <w:rPr>
      <w:color w:val="000000"/>
      <w:sz w:val="28"/>
      <w:szCs w:val="28"/>
    </w:rPr>
  </w:style>
  <w:style w:type="character" w:customStyle="1" w:styleId="A4">
    <w:name w:val="A4"/>
    <w:uiPriority w:val="99"/>
    <w:rsid w:val="003375FC"/>
    <w:rPr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1\SYKORAP\KZ%20ke%20korektur&#225;m\2020\2020,%20I\KZ%2019-07_grafy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sclient\D\GRAFIKY%20DO%20KZ\KZ_19-07\19-07%20graf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SYKORAP\KZ%20ke%20korektur&#225;m\2020\2020,%20I\KZ%2019-07_graf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cs-CZ" sz="1200" b="1" i="0" baseline="0">
                <a:effectLst/>
              </a:rPr>
              <a:t>Vývoj počtu vězněných osob a ubytovací kapacity věznic </a:t>
            </a:r>
            <a:endParaRPr lang="cs-CZ" sz="1200">
              <a:effectLst/>
            </a:endParaRPr>
          </a:p>
        </c:rich>
      </c:tx>
      <c:layout>
        <c:manualLayout>
          <c:xMode val="edge"/>
          <c:yMode val="edge"/>
          <c:x val="0.21409673853038155"/>
          <c:y val="5.6808846761453397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2479270833333334"/>
          <c:y val="0.18487199699699697"/>
          <c:w val="0.63594704861111129"/>
          <c:h val="0.64916328828828829"/>
        </c:manualLayout>
      </c:layout>
      <c:lineChart>
        <c:grouping val="standard"/>
        <c:varyColors val="0"/>
        <c:ser>
          <c:idx val="3"/>
          <c:order val="0"/>
          <c:tx>
            <c:strRef>
              <c:f>'Graf - klíčová data'!$A$3</c:f>
              <c:strCache>
                <c:ptCount val="1"/>
                <c:pt idx="0">
                  <c:v> Kapacita věznic (3 m²/osobu)</c:v>
                </c:pt>
              </c:strCache>
            </c:strRef>
          </c:tx>
          <c:spPr>
            <a:ln w="28575">
              <a:solidFill>
                <a:srgbClr val="C3C5C6"/>
              </a:solidFill>
            </a:ln>
          </c:spPr>
          <c:marker>
            <c:symbol val="none"/>
          </c:marker>
          <c:cat>
            <c:numRef>
              <c:f>'Graf - klíčová data'!$B$2:$I$2</c:f>
              <c:numCache>
                <c:formatCode>m/d/yyyy</c:formatCode>
                <c:ptCount val="8"/>
                <c:pt idx="0">
                  <c:v>42460</c:v>
                </c:pt>
                <c:pt idx="1">
                  <c:v>42643</c:v>
                </c:pt>
                <c:pt idx="2">
                  <c:v>42825</c:v>
                </c:pt>
                <c:pt idx="3">
                  <c:v>43008</c:v>
                </c:pt>
                <c:pt idx="4">
                  <c:v>43190</c:v>
                </c:pt>
                <c:pt idx="5">
                  <c:v>43373</c:v>
                </c:pt>
                <c:pt idx="6">
                  <c:v>43555</c:v>
                </c:pt>
                <c:pt idx="7">
                  <c:v>43738</c:v>
                </c:pt>
              </c:numCache>
            </c:numRef>
          </c:cat>
          <c:val>
            <c:numRef>
              <c:f>'Graf - klíčová data'!$B$3:$I$3</c:f>
              <c:numCache>
                <c:formatCode>#,##0</c:formatCode>
                <c:ptCount val="8"/>
                <c:pt idx="0">
                  <c:v>24286</c:v>
                </c:pt>
                <c:pt idx="1">
                  <c:v>24286</c:v>
                </c:pt>
                <c:pt idx="2">
                  <c:v>23961</c:v>
                </c:pt>
                <c:pt idx="3">
                  <c:v>24334</c:v>
                </c:pt>
                <c:pt idx="4">
                  <c:v>24286</c:v>
                </c:pt>
                <c:pt idx="5">
                  <c:v>24286</c:v>
                </c:pt>
                <c:pt idx="6">
                  <c:v>24286</c:v>
                </c:pt>
                <c:pt idx="7">
                  <c:v>24286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70-4151-9DBA-490E8C51741D}"/>
            </c:ext>
          </c:extLst>
        </c:ser>
        <c:ser>
          <c:idx val="6"/>
          <c:order val="1"/>
          <c:tx>
            <c:strRef>
              <c:f>'Graf - klíčová data'!$A$4</c:f>
              <c:strCache>
                <c:ptCount val="1"/>
                <c:pt idx="0">
                  <c:v> Počet vězňů (skutečnost)</c:v>
                </c:pt>
              </c:strCache>
            </c:strRef>
          </c:tx>
          <c:spPr>
            <a:ln w="28575">
              <a:solidFill>
                <a:srgbClr val="BD2A33"/>
              </a:solidFill>
            </a:ln>
          </c:spPr>
          <c:marker>
            <c:symbol val="none"/>
          </c:marker>
          <c:cat>
            <c:numRef>
              <c:f>'Graf - klíčová data'!$B$2:$I$2</c:f>
              <c:numCache>
                <c:formatCode>m/d/yyyy</c:formatCode>
                <c:ptCount val="8"/>
                <c:pt idx="0">
                  <c:v>42460</c:v>
                </c:pt>
                <c:pt idx="1">
                  <c:v>42643</c:v>
                </c:pt>
                <c:pt idx="2">
                  <c:v>42825</c:v>
                </c:pt>
                <c:pt idx="3">
                  <c:v>43008</c:v>
                </c:pt>
                <c:pt idx="4">
                  <c:v>43190</c:v>
                </c:pt>
                <c:pt idx="5">
                  <c:v>43373</c:v>
                </c:pt>
                <c:pt idx="6">
                  <c:v>43555</c:v>
                </c:pt>
                <c:pt idx="7">
                  <c:v>43738</c:v>
                </c:pt>
              </c:numCache>
            </c:numRef>
          </c:cat>
          <c:val>
            <c:numRef>
              <c:f>'Graf - klíčová data'!$B$4:$I$4</c:f>
              <c:numCache>
                <c:formatCode>#,##0</c:formatCode>
                <c:ptCount val="8"/>
                <c:pt idx="0">
                  <c:v>21737</c:v>
                </c:pt>
                <c:pt idx="1">
                  <c:v>22445</c:v>
                </c:pt>
                <c:pt idx="2">
                  <c:v>22825</c:v>
                </c:pt>
                <c:pt idx="3">
                  <c:v>22508</c:v>
                </c:pt>
                <c:pt idx="4">
                  <c:v>22196</c:v>
                </c:pt>
                <c:pt idx="5">
                  <c:v>21889</c:v>
                </c:pt>
                <c:pt idx="6">
                  <c:v>21695</c:v>
                </c:pt>
                <c:pt idx="7">
                  <c:v>21232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70-4151-9DBA-490E8C51741D}"/>
            </c:ext>
          </c:extLst>
        </c:ser>
        <c:ser>
          <c:idx val="0"/>
          <c:order val="2"/>
          <c:tx>
            <c:strRef>
              <c:f>'Graf - klíčová data'!$A$5</c:f>
              <c:strCache>
                <c:ptCount val="1"/>
                <c:pt idx="0">
                  <c:v> Kapacita věznic (4 m²/osobu)</c:v>
                </c:pt>
              </c:strCache>
            </c:strRef>
          </c:tx>
          <c:spPr>
            <a:ln w="28575">
              <a:solidFill>
                <a:srgbClr val="004595"/>
              </a:solidFill>
            </a:ln>
          </c:spPr>
          <c:marker>
            <c:symbol val="none"/>
          </c:marker>
          <c:cat>
            <c:numRef>
              <c:f>'Graf - klíčová data'!$B$2:$I$2</c:f>
              <c:numCache>
                <c:formatCode>m/d/yyyy</c:formatCode>
                <c:ptCount val="8"/>
                <c:pt idx="0">
                  <c:v>42460</c:v>
                </c:pt>
                <c:pt idx="1">
                  <c:v>42643</c:v>
                </c:pt>
                <c:pt idx="2">
                  <c:v>42825</c:v>
                </c:pt>
                <c:pt idx="3">
                  <c:v>43008</c:v>
                </c:pt>
                <c:pt idx="4">
                  <c:v>43190</c:v>
                </c:pt>
                <c:pt idx="5">
                  <c:v>43373</c:v>
                </c:pt>
                <c:pt idx="6">
                  <c:v>43555</c:v>
                </c:pt>
                <c:pt idx="7">
                  <c:v>43738</c:v>
                </c:pt>
              </c:numCache>
            </c:numRef>
          </c:cat>
          <c:val>
            <c:numRef>
              <c:f>'Graf - klíčová data'!$B$5:$I$5</c:f>
              <c:numCache>
                <c:formatCode>#,##0</c:formatCode>
                <c:ptCount val="8"/>
                <c:pt idx="0">
                  <c:v>20794</c:v>
                </c:pt>
                <c:pt idx="1">
                  <c:v>20853</c:v>
                </c:pt>
                <c:pt idx="2">
                  <c:v>20821</c:v>
                </c:pt>
                <c:pt idx="3">
                  <c:v>21045</c:v>
                </c:pt>
                <c:pt idx="4">
                  <c:v>21013</c:v>
                </c:pt>
                <c:pt idx="5">
                  <c:v>21013</c:v>
                </c:pt>
                <c:pt idx="6">
                  <c:v>21013</c:v>
                </c:pt>
                <c:pt idx="7">
                  <c:v>21013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970-4151-9DBA-490E8C5174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2505856"/>
        <c:axId val="102528128"/>
      </c:lineChart>
      <c:dateAx>
        <c:axId val="102505856"/>
        <c:scaling>
          <c:orientation val="minMax"/>
          <c:max val="43709"/>
        </c:scaling>
        <c:delete val="0"/>
        <c:axPos val="b"/>
        <c:numFmt formatCode="mm\/yyyy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>
                <a:solidFill>
                  <a:schemeClr val="tx1"/>
                </a:solidFill>
              </a:defRPr>
            </a:pPr>
            <a:endParaRPr lang="cs-CZ"/>
          </a:p>
        </c:txPr>
        <c:crossAx val="102528128"/>
        <c:crossesAt val="20000"/>
        <c:auto val="1"/>
        <c:lblOffset val="100"/>
        <c:baseTimeUnit val="months"/>
        <c:majorUnit val="6"/>
        <c:majorTimeUnit val="months"/>
      </c:dateAx>
      <c:valAx>
        <c:axId val="102528128"/>
        <c:scaling>
          <c:orientation val="minMax"/>
          <c:min val="200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800"/>
                </a:pPr>
                <a:r>
                  <a:rPr lang="cs-CZ" sz="800"/>
                  <a:t>Počet vězněných osob</a:t>
                </a:r>
              </a:p>
            </c:rich>
          </c:tx>
          <c:layout>
            <c:manualLayout>
              <c:xMode val="edge"/>
              <c:yMode val="edge"/>
              <c:x val="1.6806597222222223E-2"/>
              <c:y val="0.334033033033033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2505856"/>
        <c:crossesAt val="42460"/>
        <c:crossBetween val="between"/>
        <c:majorUnit val="1000"/>
      </c:valAx>
    </c:plotArea>
    <c:legend>
      <c:legendPos val="r"/>
      <c:layout>
        <c:manualLayout>
          <c:xMode val="edge"/>
          <c:yMode val="edge"/>
          <c:x val="0.79630606571815998"/>
          <c:y val="0.1807732732732733"/>
          <c:w val="0.18765754416788918"/>
          <c:h val="0.74847034534534529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819300433980406"/>
          <c:y val="0.1717122816132346"/>
          <c:w val="0.41047867778903879"/>
          <c:h val="0.81893008809044743"/>
        </c:manualLayout>
      </c:layout>
      <c:doughnutChart>
        <c:varyColors val="1"/>
        <c:ser>
          <c:idx val="0"/>
          <c:order val="0"/>
          <c:spPr>
            <a:solidFill>
              <a:srgbClr val="004595"/>
            </a:solidFill>
          </c:spPr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41-4491-BB30-04C8316936BD}"/>
              </c:ext>
            </c:extLst>
          </c:dPt>
          <c:dPt>
            <c:idx val="1"/>
            <c:bubble3D val="0"/>
            <c:spPr>
              <a:solidFill>
                <a:srgbClr val="004595">
                  <a:alpha val="85098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41-4491-BB30-04C8316936BD}"/>
              </c:ext>
            </c:extLst>
          </c:dPt>
          <c:dPt>
            <c:idx val="2"/>
            <c:bubble3D val="0"/>
            <c:spPr>
              <a:solidFill>
                <a:srgbClr val="004595">
                  <a:alpha val="69804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041-4491-BB30-04C8316936BD}"/>
              </c:ext>
            </c:extLst>
          </c:dPt>
          <c:dPt>
            <c:idx val="3"/>
            <c:bubble3D val="0"/>
            <c:spPr>
              <a:solidFill>
                <a:srgbClr val="004595">
                  <a:alpha val="54902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041-4491-BB30-04C8316936BD}"/>
              </c:ext>
            </c:extLst>
          </c:dPt>
          <c:dPt>
            <c:idx val="4"/>
            <c:bubble3D val="0"/>
            <c:spPr>
              <a:solidFill>
                <a:srgbClr val="004595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041-4491-BB30-04C8316936BD}"/>
              </c:ext>
            </c:extLst>
          </c:dPt>
          <c:dPt>
            <c:idx val="5"/>
            <c:bubble3D val="0"/>
            <c:spPr>
              <a:solidFill>
                <a:srgbClr val="004595">
                  <a:alpha val="25098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041-4491-BB30-04C8316936BD}"/>
              </c:ext>
            </c:extLst>
          </c:dPt>
          <c:dPt>
            <c:idx val="6"/>
            <c:bubble3D val="0"/>
            <c:spPr>
              <a:solidFill>
                <a:srgbClr val="004595">
                  <a:alpha val="14902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041-4491-BB30-04C8316936BD}"/>
              </c:ext>
            </c:extLst>
          </c:dPt>
          <c:dPt>
            <c:idx val="7"/>
            <c:bubble3D val="0"/>
            <c:spPr>
              <a:solidFill>
                <a:srgbClr val="004595">
                  <a:alpha val="10196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041-4491-BB30-04C8316936BD}"/>
              </c:ext>
            </c:extLst>
          </c:dPt>
          <c:dLbls>
            <c:dLbl>
              <c:idx val="0"/>
              <c:layout>
                <c:manualLayout>
                  <c:x val="0.13259644627754863"/>
                  <c:y val="-0.3159846635024280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041-4491-BB30-04C8316936BD}"/>
                </c:ext>
              </c:extLst>
            </c:dLbl>
            <c:dLbl>
              <c:idx val="1"/>
              <c:layout>
                <c:manualLayout>
                  <c:x val="-0.19939174269882931"/>
                  <c:y val="0.1556920063484303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49718785151856"/>
                      <c:h val="0.1145311381531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041-4491-BB30-04C8316936BD}"/>
                </c:ext>
              </c:extLst>
            </c:dLbl>
            <c:dLbl>
              <c:idx val="2"/>
              <c:layout>
                <c:manualLayout>
                  <c:x val="-0.27508106625560697"/>
                  <c:y val="0.1117666770674644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72890888638922"/>
                      <c:h val="0.1145311381531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041-4491-BB30-04C8316936BD}"/>
                </c:ext>
              </c:extLst>
            </c:dLbl>
            <c:dLbl>
              <c:idx val="3"/>
              <c:layout>
                <c:manualLayout>
                  <c:x val="-0.30314144759682815"/>
                  <c:y val="7.11441978843553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041-4491-BB30-04C8316936BD}"/>
                </c:ext>
              </c:extLst>
            </c:dLbl>
            <c:dLbl>
              <c:idx val="4"/>
              <c:layout>
                <c:manualLayout>
                  <c:x val="-0.31302285131025287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39390215111997"/>
                      <c:h val="0.113549283262669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041-4491-BB30-04C8316936BD}"/>
                </c:ext>
              </c:extLst>
            </c:dLbl>
            <c:dLbl>
              <c:idx val="5"/>
              <c:layout>
                <c:manualLayout>
                  <c:x val="-0.32293688983321528"/>
                  <c:y val="-9.4982199952278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149002208057329"/>
                      <c:h val="0.1145311381531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D041-4491-BB30-04C8316936BD}"/>
                </c:ext>
              </c:extLst>
            </c:dLbl>
            <c:dLbl>
              <c:idx val="6"/>
              <c:layout>
                <c:manualLayout>
                  <c:x val="-0.27644686775264204"/>
                  <c:y val="-0.2044451541459415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47031621047368"/>
                      <c:h val="0.1145311381531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D041-4491-BB30-04C8316936BD}"/>
                </c:ext>
              </c:extLst>
            </c:dLbl>
            <c:dLbl>
              <c:idx val="7"/>
              <c:layout>
                <c:manualLayout>
                  <c:x val="-0.16360211917954703"/>
                  <c:y val="-0.2912136262687443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71953505811775"/>
                      <c:h val="0.1145311381531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D041-4491-BB30-04C8316936BD}"/>
                </c:ext>
              </c:extLst>
            </c:dLbl>
            <c:numFmt formatCode="0\ 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List1!$A$1:$A$8</c:f>
              <c:strCache>
                <c:ptCount val="8"/>
                <c:pt idx="0">
                  <c:v>Platy, pojistné, FKSP, důchody, sociální dávky</c:v>
                </c:pt>
                <c:pt idx="1">
                  <c:v>Voda, palivo a energie</c:v>
                </c:pt>
                <c:pt idx="2">
                  <c:v>Potraviny</c:v>
                </c:pt>
                <c:pt idx="3">
                  <c:v>Kapitálové výdaje</c:v>
                </c:pt>
                <c:pt idx="4">
                  <c:v>Opravy a údržba</c:v>
                </c:pt>
                <c:pt idx="5">
                  <c:v>Nákup služeb</c:v>
                </c:pt>
                <c:pt idx="6">
                  <c:v>Prádlo, oděv, obuv, léky</c:v>
                </c:pt>
                <c:pt idx="7">
                  <c:v>Ostatní nákupy a výdaje</c:v>
                </c:pt>
              </c:strCache>
            </c:strRef>
          </c:cat>
          <c:val>
            <c:numRef>
              <c:f>List1!$B$1:$B$8</c:f>
              <c:numCache>
                <c:formatCode>General</c:formatCode>
                <c:ptCount val="8"/>
                <c:pt idx="0">
                  <c:v>77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041-4491-BB30-04C8316936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320"/>
        <c:holeSize val="7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702951388888882E-2"/>
          <c:y val="5.0396825396825398E-2"/>
          <c:w val="0.88824843750000004"/>
          <c:h val="0.712368253968253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č. 2'!$A$2</c:f>
              <c:strCache>
                <c:ptCount val="1"/>
                <c:pt idx="0">
                  <c:v>Celkový počet odsouzených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B-43B5-A7A6-F69C00DF519D}"/>
              </c:ext>
            </c:extLst>
          </c:dPt>
          <c:dPt>
            <c:idx val="1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B-43B5-A7A6-F69C00DF519D}"/>
              </c:ext>
            </c:extLst>
          </c:dPt>
          <c:dPt>
            <c:idx val="2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B-43B5-A7A6-F69C00DF51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'Graf č. 2'!$B$1:$D$1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'Graf č. 2'!$B$2:$D$2</c:f>
              <c:numCache>
                <c:formatCode>#,##0</c:formatCode>
                <c:ptCount val="3"/>
                <c:pt idx="0">
                  <c:v>20082</c:v>
                </c:pt>
                <c:pt idx="1">
                  <c:v>20789</c:v>
                </c:pt>
                <c:pt idx="2">
                  <c:v>20215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B-43B5-A7A6-F69C00DF519D}"/>
            </c:ext>
          </c:extLst>
        </c:ser>
        <c:ser>
          <c:idx val="1"/>
          <c:order val="1"/>
          <c:tx>
            <c:strRef>
              <c:f>'Graf č. 2'!$A$3</c:f>
              <c:strCache>
                <c:ptCount val="1"/>
                <c:pt idx="0">
                  <c:v>Zaměstnatelní odsouzení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613756613756613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D7B-43B5-A7A6-F69C00DF519D}"/>
                </c:ext>
              </c:extLst>
            </c:dLbl>
            <c:dLbl>
              <c:idx val="1"/>
              <c:layout>
                <c:manualLayout>
                  <c:x val="6.613756613756613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D7B-43B5-A7A6-F69C00DF519D}"/>
                </c:ext>
              </c:extLst>
            </c:dLbl>
            <c:dLbl>
              <c:idx val="2"/>
              <c:layout>
                <c:manualLayout>
                  <c:x val="6.613756613756613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D7B-43B5-A7A6-F69C00DF51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'Graf č. 2'!$B$1:$D$1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'Graf č. 2'!$B$3:$D$3</c:f>
              <c:numCache>
                <c:formatCode>#,##0</c:formatCode>
                <c:ptCount val="3"/>
                <c:pt idx="0">
                  <c:v>14278</c:v>
                </c:pt>
                <c:pt idx="1">
                  <c:v>15026</c:v>
                </c:pt>
                <c:pt idx="2">
                  <c:v>14790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D7B-43B5-A7A6-F69C00DF51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axId val="41243599"/>
        <c:axId val="41257743"/>
      </c:barChart>
      <c:barChart>
        <c:barDir val="col"/>
        <c:grouping val="clustered"/>
        <c:varyColors val="0"/>
        <c:ser>
          <c:idx val="2"/>
          <c:order val="2"/>
          <c:tx>
            <c:strRef>
              <c:f>'Graf č. 2'!$A$4</c:f>
              <c:strCache>
                <c:ptCount val="1"/>
                <c:pt idx="0">
                  <c:v>Zaměstnaní odsouzení</c:v>
                </c:pt>
              </c:strCache>
            </c:strRef>
          </c:tx>
          <c:spPr>
            <a:solidFill>
              <a:srgbClr val="C3C5C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'Graf č. 2'!$B$1:$D$1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'Graf č. 2'!$B$4:$D$4</c:f>
              <c:numCache>
                <c:formatCode>#,##0</c:formatCode>
                <c:ptCount val="3"/>
                <c:pt idx="0">
                  <c:v>6788</c:v>
                </c:pt>
                <c:pt idx="1">
                  <c:v>8449</c:v>
                </c:pt>
                <c:pt idx="2">
                  <c:v>8858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7B-43B5-A7A6-F69C00DF51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2"/>
        <c:overlap val="32"/>
        <c:axId val="230130767"/>
        <c:axId val="230146159"/>
      </c:barChart>
      <c:catAx>
        <c:axId val="41243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1257743"/>
        <c:crosses val="autoZero"/>
        <c:auto val="1"/>
        <c:lblAlgn val="ctr"/>
        <c:lblOffset val="100"/>
        <c:noMultiLvlLbl val="0"/>
      </c:catAx>
      <c:valAx>
        <c:axId val="41257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1243599"/>
        <c:crosses val="autoZero"/>
        <c:crossBetween val="between"/>
      </c:valAx>
      <c:valAx>
        <c:axId val="230146159"/>
        <c:scaling>
          <c:orientation val="minMax"/>
        </c:scaling>
        <c:delete val="1"/>
        <c:axPos val="r"/>
        <c:numFmt formatCode="#,##0" sourceLinked="1"/>
        <c:majorTickMark val="none"/>
        <c:minorTickMark val="none"/>
        <c:tickLblPos val="nextTo"/>
        <c:crossAx val="230130767"/>
        <c:crosses val="max"/>
        <c:crossBetween val="between"/>
      </c:valAx>
      <c:catAx>
        <c:axId val="23013076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3014615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0.46076</cdr:x>
      <cdr:y>0.41212</cdr:y>
    </cdr:from>
    <cdr:to>
      <cdr:x>0.69114</cdr:x>
      <cdr:y>0.74848</cdr:y>
    </cdr:to>
    <cdr:sp macro="" textlink="">
      <cdr:nvSpPr>
        <cdr:cNvPr id="2" name="TextovéPole 4"/>
        <cdr:cNvSpPr txBox="1"/>
      </cdr:nvSpPr>
      <cdr:spPr>
        <a:xfrm xmlns:a="http://schemas.openxmlformats.org/drawingml/2006/main">
          <a:off x="2654300" y="1295401"/>
          <a:ext cx="1327150" cy="105724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ctr">
          <a:noAutofit/>
        </a:bodyPr>
        <a:lstStyle xmlns:a="http://schemas.openxmlformats.org/drawingml/2006/main"/>
        <a:p xmlns:a="http://schemas.openxmlformats.org/drawingml/2006/main">
          <a:pPr algn="ctr">
            <a:spcAft>
              <a:spcPts val="0"/>
            </a:spcAft>
          </a:pPr>
          <a:r>
            <a:rPr lang="cs-CZ" sz="1200" b="1">
              <a:solidFill>
                <a:srgbClr val="000000"/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1 348 Kč </a:t>
          </a:r>
        </a:p>
        <a:p xmlns:a="http://schemas.openxmlformats.org/drawingml/2006/main">
          <a:pPr algn="ctr">
            <a:spcAft>
              <a:spcPts val="0"/>
            </a:spcAft>
          </a:pPr>
          <a:r>
            <a:rPr lang="cs-CZ" sz="1050">
              <a:solidFill>
                <a:srgbClr val="000000"/>
              </a:solidFill>
              <a:effectLst/>
              <a:ea typeface="Times New Roman" panose="02020603050405020304" pitchFamily="18" charset="0"/>
              <a:cs typeface="Times New Roman" panose="02020603050405020304" pitchFamily="18" charset="0"/>
            </a:rPr>
            <a:t>Průměrný denní výdaj na jednoho vězně</a:t>
          </a:r>
          <a:endParaRPr lang="cs-CZ" sz="14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A648-8C8A-4891-AA98-181D9C656D42}">
  <ds:schemaRefs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46E450-E226-466E-8C99-E6ABF6CA2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10C0E-5B3B-49CE-83B8-482F1D724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54AE2-5D10-4628-B4FF-4B7013E2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F19BED51.dotm</Template>
  <TotalTime>6</TotalTime>
  <Pages>19</Pages>
  <Words>6585</Words>
  <Characters>38856</Characters>
  <Application>Microsoft Office Word</Application>
  <DocSecurity>0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19/07 - Majetek a peněžní prostředky státu, se kterými je příslušná hospodařit Vězeňská služba České republiky</vt:lpstr>
    </vt:vector>
  </TitlesOfParts>
  <Company>NKU</Company>
  <LinksUpToDate>false</LinksUpToDate>
  <CharactersWithSpaces>45351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19/07 - Majetek a peněžní prostředky státu, se kterými je příslušná hospodařit Vězeňská služba České republiky</dc:title>
  <dc:subject/>
  <dc:creator>Nejvyšší kontrolní úřad</dc:creator>
  <cp:keywords>kontrolní závěr; vězeňství; vězeňská služba; VS ČR</cp:keywords>
  <dc:description/>
  <cp:lastModifiedBy>KOKRDA Daniel</cp:lastModifiedBy>
  <cp:revision>3</cp:revision>
  <cp:lastPrinted>2020-02-28T12:28:00Z</cp:lastPrinted>
  <dcterms:created xsi:type="dcterms:W3CDTF">2020-03-10T12:41:00Z</dcterms:created>
  <dcterms:modified xsi:type="dcterms:W3CDTF">2020-03-10T12:46:00Z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