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A0B7E9" w14:textId="3A38222D" w:rsidR="00E6372A" w:rsidRPr="007F1D90" w:rsidRDefault="00E6372A" w:rsidP="007F1D90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  <w:bookmarkStart w:id="0" w:name="_GoBack"/>
      <w:bookmarkEnd w:id="0"/>
    </w:p>
    <w:p w14:paraId="26BC4661" w14:textId="77777777" w:rsidR="00E6372A" w:rsidRPr="007F1D90" w:rsidRDefault="00E6372A" w:rsidP="007F1D90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</w:p>
    <w:p w14:paraId="1FE4BDE6" w14:textId="77777777" w:rsidR="008E6616" w:rsidRPr="007F1D90" w:rsidRDefault="008E6616" w:rsidP="007F1D90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  <w:r w:rsidRPr="007F1D90">
        <w:rPr>
          <w:rFonts w:asciiTheme="minorHAnsi" w:hAnsiTheme="minorHAnsi" w:cstheme="minorHAnsi"/>
          <w:noProof/>
          <w:szCs w:val="22"/>
        </w:rPr>
        <w:drawing>
          <wp:anchor distT="0" distB="0" distL="114300" distR="114300" simplePos="0" relativeHeight="251659264" behindDoc="0" locked="0" layoutInCell="1" allowOverlap="1" wp14:anchorId="289214FC" wp14:editId="073BD1F4">
            <wp:simplePos x="0" y="0"/>
            <wp:positionH relativeFrom="margin">
              <wp:posOffset>2555240</wp:posOffset>
            </wp:positionH>
            <wp:positionV relativeFrom="paragraph">
              <wp:posOffset>142875</wp:posOffset>
            </wp:positionV>
            <wp:extent cx="764433" cy="540000"/>
            <wp:effectExtent l="0" t="0" r="0" b="0"/>
            <wp:wrapTopAndBottom/>
            <wp:docPr id="6" name="obrázek 4" descr="NKU_logo-transp-rgb300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504072" name="Picture 4" descr="NKU_logo-transp-rgb300dpi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433" cy="54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55DF0C" w14:textId="77777777" w:rsidR="008E6616" w:rsidRPr="007F1D90" w:rsidRDefault="008E6616" w:rsidP="007F1D90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</w:p>
    <w:p w14:paraId="6A5A9591" w14:textId="77777777" w:rsidR="00B949D5" w:rsidRPr="007F1D90" w:rsidRDefault="00B949D5" w:rsidP="007F1D90">
      <w:pPr>
        <w:pStyle w:val="Nzev"/>
        <w:spacing w:line="280" w:lineRule="atLeast"/>
        <w:outlineLvl w:val="0"/>
        <w:rPr>
          <w:rFonts w:asciiTheme="minorHAnsi" w:hAnsiTheme="minorHAnsi" w:cstheme="minorHAnsi"/>
          <w:szCs w:val="22"/>
        </w:rPr>
      </w:pPr>
    </w:p>
    <w:p w14:paraId="3028BD15" w14:textId="77777777" w:rsidR="008E6616" w:rsidRPr="007F1D90" w:rsidRDefault="008E6616" w:rsidP="007F1D90">
      <w:pPr>
        <w:pStyle w:val="Nzev"/>
        <w:spacing w:line="280" w:lineRule="atLeast"/>
        <w:outlineLvl w:val="0"/>
        <w:rPr>
          <w:rFonts w:asciiTheme="minorHAnsi" w:hAnsiTheme="minorHAnsi" w:cstheme="minorHAnsi"/>
          <w:sz w:val="28"/>
          <w:szCs w:val="28"/>
        </w:rPr>
      </w:pPr>
      <w:r w:rsidRPr="007F1D90">
        <w:rPr>
          <w:rFonts w:asciiTheme="minorHAnsi" w:hAnsiTheme="minorHAnsi" w:cstheme="minorHAnsi"/>
          <w:sz w:val="28"/>
          <w:szCs w:val="28"/>
        </w:rPr>
        <w:t>Kontrolní závěr z kontrolní akce</w:t>
      </w:r>
    </w:p>
    <w:p w14:paraId="25EAAD91" w14:textId="77777777" w:rsidR="008E6616" w:rsidRPr="00482426" w:rsidRDefault="008E6616" w:rsidP="007F1D90">
      <w:pPr>
        <w:pStyle w:val="Nzev"/>
        <w:spacing w:line="280" w:lineRule="atLeast"/>
        <w:outlineLvl w:val="0"/>
        <w:rPr>
          <w:rFonts w:asciiTheme="minorHAnsi" w:hAnsiTheme="minorHAnsi" w:cstheme="minorHAnsi"/>
          <w:sz w:val="24"/>
          <w:szCs w:val="24"/>
        </w:rPr>
      </w:pPr>
    </w:p>
    <w:p w14:paraId="37114C79" w14:textId="77777777" w:rsidR="008E6616" w:rsidRPr="007F1D90" w:rsidRDefault="008E6616" w:rsidP="007F1D90">
      <w:pPr>
        <w:spacing w:after="0" w:line="280" w:lineRule="atLeast"/>
        <w:jc w:val="center"/>
        <w:rPr>
          <w:rFonts w:cstheme="minorHAnsi"/>
          <w:b/>
          <w:bCs/>
          <w:sz w:val="28"/>
          <w:szCs w:val="28"/>
        </w:rPr>
      </w:pPr>
      <w:r w:rsidRPr="007F1D90">
        <w:rPr>
          <w:rFonts w:cstheme="minorHAnsi"/>
          <w:b/>
          <w:bCs/>
          <w:sz w:val="28"/>
          <w:szCs w:val="28"/>
        </w:rPr>
        <w:t>1</w:t>
      </w:r>
      <w:r w:rsidR="000874A8" w:rsidRPr="007F1D90">
        <w:rPr>
          <w:rFonts w:cstheme="minorHAnsi"/>
          <w:b/>
          <w:bCs/>
          <w:sz w:val="28"/>
          <w:szCs w:val="28"/>
        </w:rPr>
        <w:t>9</w:t>
      </w:r>
      <w:r w:rsidRPr="007F1D90">
        <w:rPr>
          <w:rFonts w:cstheme="minorHAnsi"/>
          <w:b/>
          <w:bCs/>
          <w:sz w:val="28"/>
          <w:szCs w:val="28"/>
        </w:rPr>
        <w:t>/0</w:t>
      </w:r>
      <w:r w:rsidR="000874A8" w:rsidRPr="007F1D90">
        <w:rPr>
          <w:rFonts w:cstheme="minorHAnsi"/>
          <w:b/>
          <w:bCs/>
          <w:sz w:val="28"/>
          <w:szCs w:val="28"/>
        </w:rPr>
        <w:t>1</w:t>
      </w:r>
    </w:p>
    <w:p w14:paraId="2DAF8BA9" w14:textId="77777777" w:rsidR="008E6616" w:rsidRPr="00482426" w:rsidRDefault="008E6616" w:rsidP="007F1D90">
      <w:pPr>
        <w:pStyle w:val="Nzev"/>
        <w:spacing w:line="280" w:lineRule="atLeast"/>
        <w:outlineLvl w:val="0"/>
        <w:rPr>
          <w:rFonts w:asciiTheme="minorHAnsi" w:hAnsiTheme="minorHAnsi" w:cstheme="minorHAnsi"/>
          <w:sz w:val="24"/>
          <w:szCs w:val="24"/>
        </w:rPr>
      </w:pPr>
    </w:p>
    <w:p w14:paraId="428D93BB" w14:textId="465F0AD6" w:rsidR="008E6616" w:rsidRPr="007F1D90" w:rsidRDefault="001972CD" w:rsidP="007F1D90">
      <w:pPr>
        <w:spacing w:after="0" w:line="280" w:lineRule="atLeast"/>
        <w:jc w:val="center"/>
        <w:rPr>
          <w:rFonts w:cstheme="minorHAnsi"/>
          <w:b/>
          <w:noProof/>
          <w:sz w:val="28"/>
          <w:szCs w:val="28"/>
        </w:rPr>
      </w:pPr>
      <w:r w:rsidRPr="007F1D90">
        <w:rPr>
          <w:rFonts w:cstheme="minorHAnsi"/>
          <w:b/>
          <w:noProof/>
          <w:sz w:val="28"/>
          <w:szCs w:val="28"/>
        </w:rPr>
        <w:t xml:space="preserve">Peněžní prostředky vynaložené na technickou pomoc z operačního programu </w:t>
      </w:r>
      <w:r w:rsidRPr="00B31BA9">
        <w:rPr>
          <w:rFonts w:cstheme="minorHAnsi"/>
          <w:b/>
          <w:i/>
          <w:noProof/>
          <w:sz w:val="28"/>
          <w:szCs w:val="28"/>
        </w:rPr>
        <w:t>Podnikání</w:t>
      </w:r>
      <w:r w:rsidR="00802041">
        <w:rPr>
          <w:rFonts w:cstheme="minorHAnsi"/>
          <w:b/>
          <w:i/>
          <w:noProof/>
          <w:sz w:val="28"/>
          <w:szCs w:val="28"/>
        </w:rPr>
        <w:t xml:space="preserve"> </w:t>
      </w:r>
      <w:r w:rsidRPr="00B31BA9">
        <w:rPr>
          <w:rFonts w:cstheme="minorHAnsi"/>
          <w:b/>
          <w:i/>
          <w:noProof/>
          <w:sz w:val="28"/>
          <w:szCs w:val="28"/>
        </w:rPr>
        <w:t>a</w:t>
      </w:r>
      <w:r w:rsidR="00802041">
        <w:rPr>
          <w:rFonts w:cstheme="minorHAnsi"/>
          <w:b/>
          <w:i/>
          <w:noProof/>
          <w:sz w:val="28"/>
          <w:szCs w:val="28"/>
        </w:rPr>
        <w:t xml:space="preserve"> </w:t>
      </w:r>
      <w:r w:rsidRPr="00B31BA9">
        <w:rPr>
          <w:rFonts w:cstheme="minorHAnsi"/>
          <w:b/>
          <w:i/>
          <w:noProof/>
          <w:sz w:val="28"/>
          <w:szCs w:val="28"/>
        </w:rPr>
        <w:t>inovace pro konkurenceschopnost</w:t>
      </w:r>
    </w:p>
    <w:p w14:paraId="4C6955C2" w14:textId="77777777" w:rsidR="008D6D1E" w:rsidRPr="00482426" w:rsidRDefault="008D6D1E" w:rsidP="00482426">
      <w:pPr>
        <w:spacing w:after="0" w:line="280" w:lineRule="atLeast"/>
        <w:rPr>
          <w:rFonts w:cstheme="minorHAnsi"/>
          <w:sz w:val="24"/>
          <w:szCs w:val="24"/>
        </w:rPr>
      </w:pPr>
    </w:p>
    <w:p w14:paraId="000BD1BE" w14:textId="77777777" w:rsidR="009A0492" w:rsidRPr="007F1D90" w:rsidRDefault="009A0492" w:rsidP="007F1D90">
      <w:pPr>
        <w:tabs>
          <w:tab w:val="left" w:pos="7988"/>
        </w:tabs>
        <w:spacing w:after="0" w:line="280" w:lineRule="atLeast"/>
        <w:jc w:val="both"/>
        <w:rPr>
          <w:rFonts w:cstheme="minorHAnsi"/>
          <w:sz w:val="24"/>
          <w:szCs w:val="24"/>
          <w:highlight w:val="yellow"/>
        </w:rPr>
      </w:pPr>
    </w:p>
    <w:p w14:paraId="607A0677" w14:textId="77777777" w:rsidR="008E6616" w:rsidRPr="007F1D90" w:rsidRDefault="008E6616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7F1D90">
        <w:rPr>
          <w:rFonts w:cstheme="minorHAnsi"/>
          <w:sz w:val="24"/>
          <w:szCs w:val="24"/>
        </w:rPr>
        <w:t>Kontrolní akce byla zařazena do plánu kontrolní činnosti Nejvyššího kontrolního úřadu (dále také „NKÚ“) na rok 201</w:t>
      </w:r>
      <w:r w:rsidR="00FA73C6">
        <w:rPr>
          <w:rFonts w:cstheme="minorHAnsi"/>
          <w:sz w:val="24"/>
          <w:szCs w:val="24"/>
        </w:rPr>
        <w:t>9</w:t>
      </w:r>
      <w:r w:rsidRPr="007F1D90">
        <w:rPr>
          <w:rFonts w:cstheme="minorHAnsi"/>
          <w:sz w:val="24"/>
          <w:szCs w:val="24"/>
        </w:rPr>
        <w:t xml:space="preserve"> pod číslem 1</w:t>
      </w:r>
      <w:r w:rsidR="001972CD" w:rsidRPr="007F1D90">
        <w:rPr>
          <w:rFonts w:cstheme="minorHAnsi"/>
          <w:sz w:val="24"/>
          <w:szCs w:val="24"/>
        </w:rPr>
        <w:t>9</w:t>
      </w:r>
      <w:r w:rsidRPr="007F1D90">
        <w:rPr>
          <w:rFonts w:cstheme="minorHAnsi"/>
          <w:sz w:val="24"/>
          <w:szCs w:val="24"/>
        </w:rPr>
        <w:t>/0</w:t>
      </w:r>
      <w:r w:rsidR="001972CD" w:rsidRPr="007F1D90">
        <w:rPr>
          <w:rFonts w:cstheme="minorHAnsi"/>
          <w:sz w:val="24"/>
          <w:szCs w:val="24"/>
        </w:rPr>
        <w:t>1</w:t>
      </w:r>
      <w:r w:rsidRPr="007F1D90">
        <w:rPr>
          <w:rFonts w:cstheme="minorHAnsi"/>
          <w:sz w:val="24"/>
          <w:szCs w:val="24"/>
        </w:rPr>
        <w:t>. Kontrolní akci řídil a kontrolní závěr vypracoval člen NKÚ Ing.</w:t>
      </w:r>
      <w:r w:rsidR="00612F02" w:rsidRPr="007F1D90">
        <w:rPr>
          <w:rFonts w:cstheme="minorHAnsi"/>
          <w:sz w:val="24"/>
          <w:szCs w:val="24"/>
        </w:rPr>
        <w:t xml:space="preserve"> </w:t>
      </w:r>
      <w:r w:rsidR="001972CD" w:rsidRPr="007F1D90">
        <w:rPr>
          <w:rFonts w:cstheme="minorHAnsi"/>
          <w:sz w:val="24"/>
          <w:szCs w:val="24"/>
        </w:rPr>
        <w:t xml:space="preserve">Jan </w:t>
      </w:r>
      <w:proofErr w:type="spellStart"/>
      <w:r w:rsidR="001972CD" w:rsidRPr="007F1D90">
        <w:rPr>
          <w:rFonts w:cstheme="minorHAnsi"/>
          <w:sz w:val="24"/>
          <w:szCs w:val="24"/>
        </w:rPr>
        <w:t>Kinšt</w:t>
      </w:r>
      <w:proofErr w:type="spellEnd"/>
      <w:r w:rsidRPr="007F1D90">
        <w:rPr>
          <w:rFonts w:cstheme="minorHAnsi"/>
          <w:sz w:val="24"/>
          <w:szCs w:val="24"/>
        </w:rPr>
        <w:t>.</w:t>
      </w:r>
    </w:p>
    <w:p w14:paraId="4456F606" w14:textId="77777777" w:rsidR="008E6616" w:rsidRPr="007F1D90" w:rsidRDefault="008E6616" w:rsidP="007F1D90">
      <w:pPr>
        <w:spacing w:after="0" w:line="280" w:lineRule="atLeast"/>
        <w:jc w:val="both"/>
        <w:rPr>
          <w:rFonts w:cstheme="minorHAnsi"/>
          <w:sz w:val="24"/>
          <w:szCs w:val="24"/>
          <w:highlight w:val="yellow"/>
        </w:rPr>
      </w:pPr>
    </w:p>
    <w:p w14:paraId="57290FC8" w14:textId="77777777" w:rsidR="00130B2E" w:rsidRPr="007F1D90" w:rsidRDefault="008E6616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7F1D90">
        <w:rPr>
          <w:rFonts w:cstheme="minorHAnsi"/>
          <w:sz w:val="24"/>
          <w:szCs w:val="24"/>
        </w:rPr>
        <w:t xml:space="preserve">Cílem kontroly bylo </w:t>
      </w:r>
      <w:bookmarkStart w:id="1" w:name="_Toc506383339"/>
      <w:bookmarkStart w:id="2" w:name="_Toc256000068"/>
      <w:bookmarkStart w:id="3" w:name="_Toc256000035"/>
      <w:bookmarkStart w:id="4" w:name="_Toc256000002"/>
      <w:r w:rsidRPr="007F1D90">
        <w:rPr>
          <w:rFonts w:cstheme="minorHAnsi"/>
          <w:sz w:val="24"/>
          <w:szCs w:val="24"/>
        </w:rPr>
        <w:t>prověřit</w:t>
      </w:r>
      <w:r w:rsidR="0073031A" w:rsidRPr="007F1D90">
        <w:rPr>
          <w:rFonts w:cstheme="minorHAnsi"/>
          <w:sz w:val="24"/>
          <w:szCs w:val="24"/>
        </w:rPr>
        <w:t>, zda peněžní prostřed</w:t>
      </w:r>
      <w:r w:rsidR="00612F02" w:rsidRPr="007F1D90">
        <w:rPr>
          <w:rFonts w:cstheme="minorHAnsi"/>
          <w:sz w:val="24"/>
          <w:szCs w:val="24"/>
        </w:rPr>
        <w:t>ky určené na technickou pomoc z </w:t>
      </w:r>
      <w:r w:rsidR="0073031A" w:rsidRPr="007F1D90">
        <w:rPr>
          <w:rFonts w:cstheme="minorHAnsi"/>
          <w:sz w:val="24"/>
          <w:szCs w:val="24"/>
        </w:rPr>
        <w:t xml:space="preserve">operačního programu </w:t>
      </w:r>
      <w:r w:rsidR="0073031A" w:rsidRPr="00482426">
        <w:rPr>
          <w:rFonts w:cstheme="minorHAnsi"/>
          <w:i/>
          <w:sz w:val="24"/>
          <w:szCs w:val="24"/>
        </w:rPr>
        <w:t>Podnikání a inovace pro konkurenceschopnost</w:t>
      </w:r>
      <w:r w:rsidR="0073031A" w:rsidRPr="007F1D90">
        <w:rPr>
          <w:rFonts w:cstheme="minorHAnsi"/>
          <w:sz w:val="24"/>
          <w:szCs w:val="24"/>
        </w:rPr>
        <w:t xml:space="preserve"> jsou vynakládány účelně a hospodárně.</w:t>
      </w:r>
      <w:bookmarkEnd w:id="1"/>
      <w:bookmarkEnd w:id="2"/>
      <w:bookmarkEnd w:id="3"/>
      <w:bookmarkEnd w:id="4"/>
    </w:p>
    <w:p w14:paraId="5D4F500F" w14:textId="77777777" w:rsidR="00130B2E" w:rsidRPr="007F1D90" w:rsidRDefault="00130B2E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46BF3893" w14:textId="77777777" w:rsidR="008E6616" w:rsidRPr="007F1D90" w:rsidRDefault="008E6616" w:rsidP="007F1D90">
      <w:pPr>
        <w:shd w:val="clear" w:color="auto" w:fill="FFFFFF" w:themeFill="background1"/>
        <w:spacing w:after="0" w:line="280" w:lineRule="atLeast"/>
        <w:jc w:val="both"/>
        <w:rPr>
          <w:rFonts w:cstheme="minorHAnsi"/>
          <w:sz w:val="24"/>
          <w:szCs w:val="24"/>
        </w:rPr>
      </w:pPr>
      <w:r w:rsidRPr="007F1D90">
        <w:rPr>
          <w:rFonts w:cstheme="minorHAnsi"/>
          <w:sz w:val="24"/>
          <w:szCs w:val="24"/>
        </w:rPr>
        <w:t>Kontrolované osoby:</w:t>
      </w:r>
    </w:p>
    <w:p w14:paraId="30EA332C" w14:textId="77777777" w:rsidR="00130B2E" w:rsidRPr="007F1D90" w:rsidRDefault="00130B2E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7F1D90">
        <w:rPr>
          <w:rFonts w:cstheme="minorHAnsi"/>
          <w:sz w:val="24"/>
          <w:szCs w:val="24"/>
        </w:rPr>
        <w:t xml:space="preserve">Ministerstvo průmyslu a obchodu, Na Františku </w:t>
      </w:r>
      <w:r w:rsidR="00F2445E">
        <w:rPr>
          <w:rFonts w:cstheme="minorHAnsi"/>
          <w:sz w:val="24"/>
          <w:szCs w:val="24"/>
        </w:rPr>
        <w:t>1039/</w:t>
      </w:r>
      <w:r w:rsidRPr="007F1D90">
        <w:rPr>
          <w:rFonts w:cstheme="minorHAnsi"/>
          <w:sz w:val="24"/>
          <w:szCs w:val="24"/>
        </w:rPr>
        <w:t>32, Praha 1, 110 05, IČ: 47609109.</w:t>
      </w:r>
    </w:p>
    <w:p w14:paraId="23B9FBAC" w14:textId="77777777" w:rsidR="00130B2E" w:rsidRPr="007F1D90" w:rsidRDefault="00130B2E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7F1D90">
        <w:rPr>
          <w:rFonts w:cstheme="minorHAnsi"/>
          <w:sz w:val="24"/>
          <w:szCs w:val="24"/>
        </w:rPr>
        <w:t>Agentura pro podnikání a inovace, Žitná 566/18, Praha 2, 120 00, IČ: 05108861.</w:t>
      </w:r>
    </w:p>
    <w:p w14:paraId="30F8C369" w14:textId="77777777" w:rsidR="00130B2E" w:rsidRPr="007F1D90" w:rsidRDefault="00130B2E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526D6963" w14:textId="77777777" w:rsidR="00130B2E" w:rsidRPr="007F1D90" w:rsidRDefault="00130B2E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7F1D90">
        <w:rPr>
          <w:rFonts w:cstheme="minorHAnsi"/>
          <w:sz w:val="24"/>
          <w:szCs w:val="24"/>
        </w:rPr>
        <w:t>Kontrolováno bylo období od roku 2014 do roku 2018, v případě věcných souvislostí i období předcházející a následující.</w:t>
      </w:r>
    </w:p>
    <w:p w14:paraId="4A70D76D" w14:textId="77777777" w:rsidR="008E6616" w:rsidRPr="007F1D90" w:rsidRDefault="008E6616" w:rsidP="007F1D90">
      <w:pPr>
        <w:spacing w:after="0" w:line="280" w:lineRule="atLeast"/>
        <w:jc w:val="both"/>
        <w:rPr>
          <w:rFonts w:cstheme="minorHAnsi"/>
          <w:sz w:val="24"/>
          <w:szCs w:val="24"/>
          <w:highlight w:val="yellow"/>
        </w:rPr>
      </w:pPr>
    </w:p>
    <w:p w14:paraId="66054FFB" w14:textId="77777777" w:rsidR="00624215" w:rsidRPr="007F1D90" w:rsidRDefault="00130B2E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7F1D90">
        <w:rPr>
          <w:rFonts w:cstheme="minorHAnsi"/>
          <w:sz w:val="24"/>
          <w:szCs w:val="24"/>
        </w:rPr>
        <w:t>Kontrola byla prováděna u kontrolovaných osob v době od ledna do června 2019.</w:t>
      </w:r>
    </w:p>
    <w:p w14:paraId="74DA32C9" w14:textId="77777777" w:rsidR="00130B2E" w:rsidRPr="007F1D90" w:rsidRDefault="00130B2E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71DB4AB8" w14:textId="77777777" w:rsidR="00130B2E" w:rsidRPr="007F1D90" w:rsidRDefault="00130B2E" w:rsidP="007F1D90">
      <w:pPr>
        <w:spacing w:after="0" w:line="280" w:lineRule="atLeast"/>
        <w:jc w:val="both"/>
        <w:rPr>
          <w:rFonts w:cstheme="minorHAnsi"/>
          <w:sz w:val="24"/>
          <w:szCs w:val="24"/>
          <w:highlight w:val="yellow"/>
        </w:rPr>
      </w:pPr>
    </w:p>
    <w:p w14:paraId="04CE5EDF" w14:textId="0ACA0D56" w:rsidR="008E6616" w:rsidRPr="005D342D" w:rsidRDefault="008E6616" w:rsidP="00482426">
      <w:pPr>
        <w:spacing w:after="120" w:line="280" w:lineRule="atLeast"/>
        <w:jc w:val="both"/>
        <w:rPr>
          <w:rFonts w:cstheme="minorHAnsi"/>
          <w:sz w:val="24"/>
          <w:szCs w:val="24"/>
        </w:rPr>
      </w:pPr>
      <w:r w:rsidRPr="005D342D">
        <w:rPr>
          <w:rFonts w:cstheme="minorHAnsi"/>
          <w:b/>
          <w:bCs/>
          <w:i/>
          <w:iCs/>
          <w:sz w:val="24"/>
          <w:szCs w:val="24"/>
        </w:rPr>
        <w:t xml:space="preserve">K o l e g i u m   N K Ú  </w:t>
      </w:r>
      <w:r w:rsidRPr="005D342D">
        <w:rPr>
          <w:rFonts w:cstheme="minorHAnsi"/>
          <w:sz w:val="24"/>
          <w:szCs w:val="24"/>
        </w:rPr>
        <w:t xml:space="preserve"> na svém</w:t>
      </w:r>
      <w:r w:rsidR="00920CA5" w:rsidRPr="005D342D">
        <w:rPr>
          <w:rFonts w:cstheme="minorHAnsi"/>
          <w:sz w:val="24"/>
          <w:szCs w:val="24"/>
        </w:rPr>
        <w:t xml:space="preserve"> </w:t>
      </w:r>
      <w:r w:rsidR="005D342D" w:rsidRPr="005D342D">
        <w:rPr>
          <w:rFonts w:cstheme="minorHAnsi"/>
          <w:sz w:val="24"/>
          <w:szCs w:val="24"/>
        </w:rPr>
        <w:t>XIV</w:t>
      </w:r>
      <w:r w:rsidRPr="005D342D">
        <w:rPr>
          <w:rFonts w:cstheme="minorHAnsi"/>
          <w:sz w:val="24"/>
          <w:szCs w:val="24"/>
        </w:rPr>
        <w:t xml:space="preserve">. jednání, </w:t>
      </w:r>
      <w:r w:rsidR="0026522A">
        <w:rPr>
          <w:rFonts w:cstheme="minorHAnsi"/>
          <w:sz w:val="24"/>
          <w:szCs w:val="24"/>
        </w:rPr>
        <w:t xml:space="preserve">které se </w:t>
      </w:r>
      <w:r w:rsidRPr="005D342D">
        <w:rPr>
          <w:rFonts w:cstheme="minorHAnsi"/>
          <w:sz w:val="24"/>
          <w:szCs w:val="24"/>
        </w:rPr>
        <w:t>kona</w:t>
      </w:r>
      <w:r w:rsidR="0026522A">
        <w:rPr>
          <w:rFonts w:cstheme="minorHAnsi"/>
          <w:sz w:val="24"/>
          <w:szCs w:val="24"/>
        </w:rPr>
        <w:t>lo</w:t>
      </w:r>
      <w:r w:rsidRPr="005D342D">
        <w:rPr>
          <w:rFonts w:cstheme="minorHAnsi"/>
          <w:sz w:val="24"/>
          <w:szCs w:val="24"/>
        </w:rPr>
        <w:t xml:space="preserve"> dne</w:t>
      </w:r>
      <w:r w:rsidR="00DD6075" w:rsidRPr="005D342D">
        <w:rPr>
          <w:rFonts w:cstheme="minorHAnsi"/>
          <w:sz w:val="24"/>
          <w:szCs w:val="24"/>
        </w:rPr>
        <w:t xml:space="preserve"> </w:t>
      </w:r>
      <w:r w:rsidR="005D342D" w:rsidRPr="005D342D">
        <w:rPr>
          <w:rFonts w:cstheme="minorHAnsi"/>
          <w:sz w:val="24"/>
          <w:szCs w:val="24"/>
        </w:rPr>
        <w:t>30</w:t>
      </w:r>
      <w:r w:rsidR="00A40431" w:rsidRPr="005D342D">
        <w:rPr>
          <w:rFonts w:cstheme="minorHAnsi"/>
          <w:sz w:val="24"/>
          <w:szCs w:val="24"/>
        </w:rPr>
        <w:t xml:space="preserve">. </w:t>
      </w:r>
      <w:r w:rsidR="008000F4" w:rsidRPr="005D342D">
        <w:rPr>
          <w:rFonts w:cstheme="minorHAnsi"/>
          <w:sz w:val="24"/>
          <w:szCs w:val="24"/>
        </w:rPr>
        <w:t>z</w:t>
      </w:r>
      <w:r w:rsidR="00612F02" w:rsidRPr="005D342D">
        <w:rPr>
          <w:rFonts w:cstheme="minorHAnsi"/>
          <w:sz w:val="24"/>
          <w:szCs w:val="24"/>
        </w:rPr>
        <w:t xml:space="preserve">áří </w:t>
      </w:r>
      <w:r w:rsidR="00A40431" w:rsidRPr="005D342D">
        <w:rPr>
          <w:rFonts w:cstheme="minorHAnsi"/>
          <w:sz w:val="24"/>
          <w:szCs w:val="24"/>
        </w:rPr>
        <w:t>2019</w:t>
      </w:r>
      <w:r w:rsidRPr="005D342D">
        <w:rPr>
          <w:rFonts w:cstheme="minorHAnsi"/>
          <w:sz w:val="24"/>
          <w:szCs w:val="24"/>
        </w:rPr>
        <w:t>,</w:t>
      </w:r>
    </w:p>
    <w:p w14:paraId="7C1A4562" w14:textId="77777777" w:rsidR="008E6616" w:rsidRPr="005D342D" w:rsidRDefault="008E6616" w:rsidP="00482426">
      <w:pPr>
        <w:pStyle w:val="NormlnKZ"/>
        <w:spacing w:line="280" w:lineRule="atLeast"/>
        <w:ind w:firstLine="0"/>
        <w:rPr>
          <w:rFonts w:asciiTheme="minorHAnsi" w:hAnsiTheme="minorHAnsi" w:cstheme="minorHAnsi"/>
          <w:sz w:val="24"/>
        </w:rPr>
      </w:pPr>
      <w:proofErr w:type="gramStart"/>
      <w:r w:rsidRPr="005D342D">
        <w:rPr>
          <w:rFonts w:asciiTheme="minorHAnsi" w:hAnsiTheme="minorHAnsi" w:cstheme="minorHAnsi"/>
          <w:b/>
          <w:bCs/>
          <w:i/>
          <w:iCs/>
          <w:sz w:val="24"/>
        </w:rPr>
        <w:t xml:space="preserve">s c h v á l i l o  </w:t>
      </w:r>
      <w:r w:rsidR="002F122F" w:rsidRPr="005D342D">
        <w:rPr>
          <w:rFonts w:asciiTheme="minorHAnsi" w:hAnsiTheme="minorHAnsi" w:cstheme="minorHAnsi"/>
          <w:sz w:val="24"/>
        </w:rPr>
        <w:t xml:space="preserve"> usnesením č.</w:t>
      </w:r>
      <w:proofErr w:type="gramEnd"/>
      <w:r w:rsidR="00DD6075" w:rsidRPr="005D342D">
        <w:rPr>
          <w:rFonts w:asciiTheme="minorHAnsi" w:hAnsiTheme="minorHAnsi" w:cstheme="minorHAnsi"/>
          <w:sz w:val="24"/>
        </w:rPr>
        <w:t xml:space="preserve"> </w:t>
      </w:r>
      <w:r w:rsidR="007C4142">
        <w:rPr>
          <w:rFonts w:asciiTheme="minorHAnsi" w:hAnsiTheme="minorHAnsi" w:cstheme="minorHAnsi"/>
          <w:sz w:val="24"/>
        </w:rPr>
        <w:t>12</w:t>
      </w:r>
      <w:r w:rsidR="00DD6075" w:rsidRPr="005D342D">
        <w:rPr>
          <w:rFonts w:asciiTheme="minorHAnsi" w:hAnsiTheme="minorHAnsi" w:cstheme="minorHAnsi"/>
          <w:sz w:val="24"/>
        </w:rPr>
        <w:t>/</w:t>
      </w:r>
      <w:r w:rsidR="00EF57AD">
        <w:rPr>
          <w:rFonts w:asciiTheme="minorHAnsi" w:hAnsiTheme="minorHAnsi" w:cstheme="minorHAnsi"/>
          <w:sz w:val="24"/>
        </w:rPr>
        <w:t>XIV</w:t>
      </w:r>
      <w:r w:rsidR="00DD6075" w:rsidRPr="005D342D">
        <w:rPr>
          <w:rFonts w:asciiTheme="minorHAnsi" w:hAnsiTheme="minorHAnsi" w:cstheme="minorHAnsi"/>
          <w:sz w:val="24"/>
        </w:rPr>
        <w:t>/201</w:t>
      </w:r>
      <w:r w:rsidR="00DD262D" w:rsidRPr="005D342D">
        <w:rPr>
          <w:rFonts w:asciiTheme="minorHAnsi" w:hAnsiTheme="minorHAnsi" w:cstheme="minorHAnsi"/>
          <w:sz w:val="24"/>
        </w:rPr>
        <w:t>9</w:t>
      </w:r>
    </w:p>
    <w:p w14:paraId="16E4BF88" w14:textId="77777777" w:rsidR="00FF0146" w:rsidRPr="007F1D90" w:rsidRDefault="008E6616" w:rsidP="00482426">
      <w:pPr>
        <w:pStyle w:val="NormlnKZ"/>
        <w:spacing w:line="280" w:lineRule="atLeast"/>
        <w:ind w:firstLine="0"/>
        <w:rPr>
          <w:rFonts w:asciiTheme="minorHAnsi" w:hAnsiTheme="minorHAnsi" w:cstheme="minorHAnsi"/>
          <w:sz w:val="24"/>
        </w:rPr>
      </w:pPr>
      <w:r w:rsidRPr="007F1D90">
        <w:rPr>
          <w:rFonts w:asciiTheme="minorHAnsi" w:hAnsiTheme="minorHAnsi" w:cstheme="minorHAnsi"/>
          <w:b/>
          <w:bCs/>
          <w:i/>
          <w:iCs/>
          <w:sz w:val="24"/>
        </w:rPr>
        <w:t>k o n t r o l n í   z á v ě r</w:t>
      </w:r>
      <w:r w:rsidRPr="007F1D90">
        <w:rPr>
          <w:rFonts w:asciiTheme="minorHAnsi" w:hAnsiTheme="minorHAnsi" w:cstheme="minorHAnsi"/>
          <w:sz w:val="24"/>
        </w:rPr>
        <w:t xml:space="preserve">   v tomto znění:</w:t>
      </w:r>
    </w:p>
    <w:p w14:paraId="609492DB" w14:textId="77777777" w:rsidR="00D7630D" w:rsidRDefault="00D7630D" w:rsidP="007F1D90">
      <w:pPr>
        <w:pStyle w:val="NormlnKZ"/>
        <w:spacing w:after="0" w:line="280" w:lineRule="atLeast"/>
        <w:ind w:firstLine="0"/>
        <w:rPr>
          <w:rFonts w:asciiTheme="minorHAnsi" w:hAnsiTheme="minorHAnsi" w:cstheme="minorHAnsi"/>
          <w:sz w:val="24"/>
          <w:highlight w:val="yellow"/>
        </w:rPr>
      </w:pPr>
    </w:p>
    <w:p w14:paraId="3ED2BC37" w14:textId="77777777" w:rsidR="00482426" w:rsidRPr="007F1D90" w:rsidRDefault="00482426" w:rsidP="007F1D90">
      <w:pPr>
        <w:pStyle w:val="NormlnKZ"/>
        <w:spacing w:after="0" w:line="280" w:lineRule="atLeast"/>
        <w:ind w:firstLine="0"/>
        <w:rPr>
          <w:rFonts w:asciiTheme="minorHAnsi" w:hAnsiTheme="minorHAnsi" w:cstheme="minorHAnsi"/>
          <w:sz w:val="24"/>
          <w:highlight w:val="yellow"/>
        </w:rPr>
      </w:pPr>
    </w:p>
    <w:p w14:paraId="358B6FF5" w14:textId="77777777" w:rsidR="003C20A4" w:rsidRPr="007F1D90" w:rsidRDefault="003C20A4" w:rsidP="007F1D90">
      <w:pPr>
        <w:pStyle w:val="NormlnKZ"/>
        <w:spacing w:after="0" w:line="280" w:lineRule="atLeast"/>
        <w:ind w:firstLine="0"/>
        <w:rPr>
          <w:rFonts w:asciiTheme="minorHAnsi" w:hAnsiTheme="minorHAnsi" w:cstheme="minorHAnsi"/>
          <w:sz w:val="24"/>
          <w:highlight w:val="yellow"/>
        </w:rPr>
        <w:sectPr w:rsidR="003C20A4" w:rsidRPr="007F1D90" w:rsidSect="004C5790">
          <w:footerReference w:type="default" r:id="rId12"/>
          <w:type w:val="continuous"/>
          <w:pgSz w:w="11906" w:h="16838"/>
          <w:pgMar w:top="1560" w:right="1417" w:bottom="1276" w:left="1417" w:header="708" w:footer="708" w:gutter="0"/>
          <w:cols w:space="708"/>
          <w:titlePg/>
          <w:docGrid w:linePitch="360"/>
        </w:sectPr>
      </w:pPr>
    </w:p>
    <w:p w14:paraId="4152EC03" w14:textId="77777777" w:rsidR="00B97B4C" w:rsidRPr="00B15325" w:rsidRDefault="00B15325" w:rsidP="007F1D90">
      <w:pPr>
        <w:pStyle w:val="Nadpis1"/>
        <w:numPr>
          <w:ilvl w:val="0"/>
          <w:numId w:val="0"/>
        </w:numPr>
        <w:spacing w:before="0" w:after="0" w:line="280" w:lineRule="atLeast"/>
        <w:rPr>
          <w:color w:val="2F5496" w:themeColor="accent5" w:themeShade="BF"/>
          <w:sz w:val="32"/>
          <w:szCs w:val="32"/>
        </w:rPr>
      </w:pPr>
      <w:r w:rsidRPr="00B15325">
        <w:rPr>
          <w:color w:val="2F5496" w:themeColor="accent5" w:themeShade="BF"/>
          <w:sz w:val="32"/>
          <w:szCs w:val="32"/>
        </w:rPr>
        <w:lastRenderedPageBreak/>
        <w:t>KLÍČOVÁ FAKTA</w:t>
      </w:r>
    </w:p>
    <w:p w14:paraId="2534F90C" w14:textId="77777777" w:rsidR="00ED6358" w:rsidRDefault="00ED6358" w:rsidP="008C65A4">
      <w:pPr>
        <w:spacing w:after="0" w:line="280" w:lineRule="atLeast"/>
        <w:rPr>
          <w:lang w:eastAsia="cs-CZ"/>
        </w:rPr>
      </w:pPr>
    </w:p>
    <w:p w14:paraId="7C42FF8C" w14:textId="77777777" w:rsidR="00757C5A" w:rsidRPr="00B15325" w:rsidRDefault="00757C5A" w:rsidP="00B15325">
      <w:pPr>
        <w:spacing w:after="0" w:line="280" w:lineRule="atLeast"/>
        <w:rPr>
          <w:color w:val="FFFFFF" w:themeColor="background1"/>
          <w:lang w:eastAsia="cs-CZ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5"/>
        <w:gridCol w:w="2397"/>
        <w:gridCol w:w="2399"/>
        <w:gridCol w:w="1911"/>
      </w:tblGrid>
      <w:tr w:rsidR="00D40DF4" w:rsidRPr="00B15325" w14:paraId="76F90E50" w14:textId="77777777" w:rsidTr="00D97247">
        <w:tc>
          <w:tcPr>
            <w:tcW w:w="2365" w:type="dxa"/>
            <w:vAlign w:val="center"/>
          </w:tcPr>
          <w:p w14:paraId="315294EC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827ED56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4954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3,8 mld. Kč</w:t>
            </w:r>
          </w:p>
          <w:p w14:paraId="3EC8E0A6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b/>
                <w:color w:val="FFFFFF" w:themeColor="background1"/>
                <w:lang w:eastAsia="cs-CZ"/>
              </w:rPr>
            </w:pPr>
          </w:p>
        </w:tc>
        <w:tc>
          <w:tcPr>
            <w:tcW w:w="2397" w:type="dxa"/>
            <w:vAlign w:val="center"/>
          </w:tcPr>
          <w:p w14:paraId="3B5F0311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70576F2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4954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1,1 mld. Kč</w:t>
            </w:r>
          </w:p>
          <w:p w14:paraId="37B0FE9A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b/>
                <w:color w:val="FFFFFF" w:themeColor="background1"/>
                <w:lang w:eastAsia="cs-CZ"/>
              </w:rPr>
            </w:pPr>
          </w:p>
        </w:tc>
        <w:tc>
          <w:tcPr>
            <w:tcW w:w="2399" w:type="dxa"/>
            <w:vAlign w:val="center"/>
          </w:tcPr>
          <w:p w14:paraId="1C2427E0" w14:textId="77777777" w:rsidR="00D97247" w:rsidRPr="0049547D" w:rsidRDefault="00D97247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321A6C41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4954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372</w:t>
            </w:r>
            <w:r w:rsidR="00122BEF" w:rsidRPr="0049547D">
              <w:rPr>
                <w:rStyle w:val="Znakapoznpodarou"/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footnoteReference w:id="1"/>
            </w:r>
          </w:p>
          <w:p w14:paraId="3AB7D613" w14:textId="77777777" w:rsidR="00D97247" w:rsidRPr="0049547D" w:rsidRDefault="00D97247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b/>
                <w:color w:val="FFFFFF" w:themeColor="background1"/>
                <w:lang w:eastAsia="cs-CZ"/>
              </w:rPr>
            </w:pPr>
          </w:p>
        </w:tc>
        <w:tc>
          <w:tcPr>
            <w:tcW w:w="1911" w:type="dxa"/>
            <w:vAlign w:val="center"/>
          </w:tcPr>
          <w:p w14:paraId="399C7649" w14:textId="77777777" w:rsidR="00D97247" w:rsidRPr="0049547D" w:rsidRDefault="00D97247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</w:p>
          <w:p w14:paraId="4272B120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 w:rsidRPr="0049547D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59,5 mil. Kč</w:t>
            </w:r>
          </w:p>
          <w:p w14:paraId="4501F3F6" w14:textId="77777777" w:rsidR="00D97247" w:rsidRPr="0049547D" w:rsidRDefault="00D97247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b/>
                <w:color w:val="FFFFFF" w:themeColor="background1"/>
                <w:lang w:eastAsia="cs-CZ"/>
              </w:rPr>
            </w:pPr>
          </w:p>
        </w:tc>
      </w:tr>
      <w:tr w:rsidR="00D40DF4" w:rsidRPr="00B15325" w14:paraId="1472A1D6" w14:textId="77777777" w:rsidTr="00D97247">
        <w:tc>
          <w:tcPr>
            <w:tcW w:w="2365" w:type="dxa"/>
            <w:vAlign w:val="center"/>
          </w:tcPr>
          <w:p w14:paraId="4BA70D1F" w14:textId="1F2828E0" w:rsidR="0049547D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theme="minorHAnsi"/>
                <w:b/>
                <w:color w:val="FFFFFF" w:themeColor="background1"/>
              </w:rPr>
            </w:pPr>
            <w:r w:rsidRPr="0049547D">
              <w:rPr>
                <w:rFonts w:cstheme="minorHAnsi"/>
                <w:b/>
                <w:color w:val="FFFFFF" w:themeColor="background1"/>
              </w:rPr>
              <w:t xml:space="preserve">Objem prostředků </w:t>
            </w:r>
            <w:r w:rsidR="005851FE" w:rsidRPr="0049547D">
              <w:rPr>
                <w:rFonts w:cstheme="minorHAnsi"/>
                <w:b/>
                <w:color w:val="FFFFFF" w:themeColor="background1"/>
              </w:rPr>
              <w:t xml:space="preserve">alokovaných </w:t>
            </w:r>
            <w:r w:rsidRPr="0049547D">
              <w:rPr>
                <w:rFonts w:cstheme="minorHAnsi"/>
                <w:b/>
                <w:color w:val="FFFFFF" w:themeColor="background1"/>
              </w:rPr>
              <w:t xml:space="preserve">na </w:t>
            </w:r>
            <w:r w:rsidRPr="00B31BA9">
              <w:rPr>
                <w:rFonts w:cstheme="minorHAnsi"/>
                <w:b/>
                <w:i/>
                <w:color w:val="FFFFFF" w:themeColor="background1"/>
              </w:rPr>
              <w:t>Technickou pomoc</w:t>
            </w:r>
            <w:r w:rsidRPr="0049547D">
              <w:rPr>
                <w:rFonts w:cstheme="minorHAnsi"/>
                <w:b/>
                <w:color w:val="FFFFFF" w:themeColor="background1"/>
              </w:rPr>
              <w:t xml:space="preserve"> OPPIK</w:t>
            </w:r>
          </w:p>
          <w:p w14:paraId="62AF340E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b/>
                <w:color w:val="FFFFFF" w:themeColor="background1"/>
                <w:lang w:eastAsia="cs-CZ"/>
              </w:rPr>
            </w:pPr>
          </w:p>
        </w:tc>
        <w:tc>
          <w:tcPr>
            <w:tcW w:w="2397" w:type="dxa"/>
            <w:vAlign w:val="center"/>
          </w:tcPr>
          <w:p w14:paraId="766CD619" w14:textId="7F8FE414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="Calibri"/>
                <w:b/>
                <w:color w:val="FFFFFF" w:themeColor="background1"/>
              </w:rPr>
            </w:pPr>
            <w:r w:rsidRPr="0049547D">
              <w:rPr>
                <w:rFonts w:cs="Calibri"/>
                <w:b/>
                <w:color w:val="FFFFFF" w:themeColor="background1"/>
              </w:rPr>
              <w:t xml:space="preserve">Objem </w:t>
            </w:r>
            <w:r w:rsidR="005851FE" w:rsidRPr="0049547D">
              <w:rPr>
                <w:rFonts w:cs="Calibri"/>
                <w:b/>
                <w:color w:val="FFFFFF" w:themeColor="background1"/>
              </w:rPr>
              <w:t xml:space="preserve">prostředků </w:t>
            </w:r>
            <w:r w:rsidRPr="0049547D">
              <w:rPr>
                <w:rFonts w:cs="Calibri"/>
                <w:b/>
                <w:color w:val="FFFFFF" w:themeColor="background1"/>
              </w:rPr>
              <w:t xml:space="preserve">proplacených příjemcům </w:t>
            </w:r>
            <w:r w:rsidR="0049547D" w:rsidRPr="0049547D">
              <w:rPr>
                <w:rFonts w:cs="Calibri"/>
                <w:b/>
                <w:color w:val="FFFFFF" w:themeColor="background1"/>
              </w:rPr>
              <w:t>podpory</w:t>
            </w:r>
          </w:p>
          <w:p w14:paraId="485E7531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="Calibri"/>
                <w:b/>
                <w:color w:val="FFFFFF" w:themeColor="background1"/>
              </w:rPr>
            </w:pPr>
            <w:r w:rsidRPr="0049547D">
              <w:rPr>
                <w:rFonts w:cs="Calibri"/>
                <w:b/>
                <w:color w:val="FFFFFF" w:themeColor="background1"/>
              </w:rPr>
              <w:t>k 31. 5. 2019</w:t>
            </w:r>
          </w:p>
          <w:p w14:paraId="6AC2B93B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b/>
                <w:color w:val="FFFFFF" w:themeColor="background1"/>
                <w:lang w:eastAsia="cs-CZ"/>
              </w:rPr>
            </w:pPr>
          </w:p>
        </w:tc>
        <w:tc>
          <w:tcPr>
            <w:tcW w:w="2399" w:type="dxa"/>
            <w:vAlign w:val="center"/>
          </w:tcPr>
          <w:p w14:paraId="4B4903DE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b/>
                <w:color w:val="FFFFFF" w:themeColor="background1"/>
                <w:lang w:eastAsia="cs-CZ"/>
              </w:rPr>
            </w:pPr>
            <w:r w:rsidRPr="0049547D">
              <w:rPr>
                <w:b/>
                <w:color w:val="FFFFFF" w:themeColor="background1"/>
                <w:lang w:eastAsia="cs-CZ"/>
              </w:rPr>
              <w:t>Počet zaměstnanců podílejících se na implementaci OPPIK</w:t>
            </w:r>
          </w:p>
          <w:p w14:paraId="4B264A04" w14:textId="77777777" w:rsidR="00D40DF4" w:rsidRPr="0049547D" w:rsidRDefault="00D40DF4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b/>
                <w:color w:val="FFFFFF" w:themeColor="background1"/>
                <w:lang w:eastAsia="cs-CZ"/>
              </w:rPr>
            </w:pPr>
            <w:r w:rsidRPr="0049547D">
              <w:rPr>
                <w:b/>
                <w:color w:val="FFFFFF" w:themeColor="background1"/>
                <w:lang w:eastAsia="cs-CZ"/>
              </w:rPr>
              <w:t>(2. největší z </w:t>
            </w:r>
            <w:proofErr w:type="gramStart"/>
            <w:r w:rsidRPr="0049547D">
              <w:rPr>
                <w:b/>
                <w:color w:val="FFFFFF" w:themeColor="background1"/>
                <w:lang w:eastAsia="cs-CZ"/>
              </w:rPr>
              <w:t>OP</w:t>
            </w:r>
            <w:proofErr w:type="gramEnd"/>
            <w:r w:rsidRPr="0049547D">
              <w:rPr>
                <w:b/>
                <w:color w:val="FFFFFF" w:themeColor="background1"/>
                <w:lang w:eastAsia="cs-CZ"/>
              </w:rPr>
              <w:t xml:space="preserve"> v ČR)</w:t>
            </w:r>
          </w:p>
          <w:p w14:paraId="16F26AA6" w14:textId="77777777" w:rsidR="00D97247" w:rsidRPr="0049547D" w:rsidRDefault="00D97247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b/>
                <w:color w:val="FFFFFF" w:themeColor="background1"/>
                <w:lang w:eastAsia="cs-CZ"/>
              </w:rPr>
            </w:pPr>
          </w:p>
        </w:tc>
        <w:tc>
          <w:tcPr>
            <w:tcW w:w="1911" w:type="dxa"/>
            <w:vAlign w:val="center"/>
          </w:tcPr>
          <w:p w14:paraId="6CF22B0F" w14:textId="004E4534" w:rsidR="00D97247" w:rsidRDefault="005851FE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="Calibri"/>
                <w:b/>
                <w:color w:val="FFFFFF" w:themeColor="background1"/>
              </w:rPr>
            </w:pPr>
            <w:r>
              <w:rPr>
                <w:rFonts w:cs="Calibri"/>
                <w:b/>
                <w:color w:val="FFFFFF" w:themeColor="background1"/>
              </w:rPr>
              <w:t>O</w:t>
            </w:r>
            <w:r w:rsidR="00D40DF4" w:rsidRPr="0049547D">
              <w:rPr>
                <w:rFonts w:cs="Calibri"/>
                <w:b/>
                <w:color w:val="FFFFFF" w:themeColor="background1"/>
              </w:rPr>
              <w:t>bjem prostředků</w:t>
            </w:r>
            <w:r>
              <w:rPr>
                <w:rFonts w:cs="Calibri"/>
                <w:b/>
                <w:color w:val="FFFFFF" w:themeColor="background1"/>
              </w:rPr>
              <w:t xml:space="preserve"> kontrolovaných</w:t>
            </w:r>
            <w:r w:rsidR="00D40DF4" w:rsidRPr="0049547D">
              <w:rPr>
                <w:rFonts w:cs="Calibri"/>
                <w:b/>
                <w:color w:val="FFFFFF" w:themeColor="background1"/>
              </w:rPr>
              <w:t xml:space="preserve"> </w:t>
            </w:r>
            <w:r>
              <w:rPr>
                <w:rFonts w:cs="Calibri"/>
                <w:b/>
                <w:color w:val="FFFFFF" w:themeColor="background1"/>
              </w:rPr>
              <w:t>u </w:t>
            </w:r>
            <w:r w:rsidR="00D40DF4" w:rsidRPr="0049547D">
              <w:rPr>
                <w:rFonts w:cs="Calibri"/>
                <w:b/>
                <w:color w:val="FFFFFF" w:themeColor="background1"/>
              </w:rPr>
              <w:t>vzorku projektů</w:t>
            </w:r>
          </w:p>
          <w:p w14:paraId="216AC69A" w14:textId="77777777" w:rsidR="005851FE" w:rsidRPr="0049547D" w:rsidRDefault="005851FE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="Calibri"/>
                <w:b/>
                <w:color w:val="FFFFFF" w:themeColor="background1"/>
              </w:rPr>
            </w:pPr>
          </w:p>
          <w:p w14:paraId="1851C802" w14:textId="77777777" w:rsidR="00D97247" w:rsidRPr="0049547D" w:rsidRDefault="00D97247" w:rsidP="00D40DF4">
            <w:pPr>
              <w:shd w:val="clear" w:color="auto" w:fill="2F5496" w:themeFill="accent5" w:themeFillShade="BF"/>
              <w:spacing w:line="280" w:lineRule="atLeast"/>
              <w:jc w:val="center"/>
              <w:rPr>
                <w:rFonts w:cs="Calibri"/>
                <w:b/>
                <w:color w:val="FFFFFF" w:themeColor="background1"/>
              </w:rPr>
            </w:pPr>
          </w:p>
        </w:tc>
      </w:tr>
    </w:tbl>
    <w:p w14:paraId="0CB74F8F" w14:textId="77777777" w:rsidR="002B6BD5" w:rsidRPr="002B6BD5" w:rsidRDefault="002B6BD5" w:rsidP="008C65A4">
      <w:pPr>
        <w:spacing w:after="0" w:line="280" w:lineRule="atLeast"/>
        <w:rPr>
          <w:b/>
          <w:sz w:val="24"/>
          <w:szCs w:val="24"/>
          <w:lang w:eastAsia="cs-CZ"/>
        </w:rPr>
      </w:pPr>
      <w:r w:rsidRPr="002B6BD5">
        <w:rPr>
          <w:b/>
          <w:sz w:val="24"/>
          <w:szCs w:val="24"/>
          <w:lang w:eastAsia="cs-CZ"/>
        </w:rPr>
        <w:t>___________________________________________________________________________</w:t>
      </w:r>
    </w:p>
    <w:p w14:paraId="6F73D8FE" w14:textId="77777777" w:rsidR="002B6BD5" w:rsidRDefault="002B6BD5" w:rsidP="002B6BD5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9072" w:type="dxa"/>
        <w:shd w:val="clear" w:color="auto" w:fill="E5F1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DC0EB5" w14:paraId="7C6E85F7" w14:textId="77777777" w:rsidTr="00D97247">
        <w:trPr>
          <w:trHeight w:val="393"/>
        </w:trPr>
        <w:tc>
          <w:tcPr>
            <w:tcW w:w="3402" w:type="dxa"/>
            <w:shd w:val="clear" w:color="auto" w:fill="C00000"/>
            <w:vAlign w:val="center"/>
          </w:tcPr>
          <w:p w14:paraId="4A588361" w14:textId="77777777" w:rsidR="00DC0EB5" w:rsidRPr="00D97247" w:rsidRDefault="000038BB" w:rsidP="00DC0EB5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Nevhodně nastavené ukazatele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40B50ADD" w14:textId="77777777" w:rsidR="00DC0EB5" w:rsidRPr="002B6BD5" w:rsidRDefault="00F71158" w:rsidP="00F71158">
            <w:pPr>
              <w:autoSpaceDE w:val="0"/>
              <w:autoSpaceDN w:val="0"/>
              <w:adjustRightInd w:val="0"/>
              <w:spacing w:before="120" w:after="120"/>
              <w:ind w:right="72"/>
              <w:jc w:val="both"/>
              <w:rPr>
                <w:rFonts w:cs="Calibri"/>
                <w:b/>
                <w:color w:val="2E74B5" w:themeColor="accent1" w:themeShade="BF"/>
              </w:rPr>
            </w:pPr>
            <w:r>
              <w:rPr>
                <w:rFonts w:cs="Calibri"/>
                <w:b/>
                <w:color w:val="2E74B5" w:themeColor="accent1" w:themeShade="BF"/>
              </w:rPr>
              <w:t>U</w:t>
            </w:r>
            <w:r w:rsidRPr="002B6BD5">
              <w:rPr>
                <w:rFonts w:cs="Calibri"/>
                <w:b/>
                <w:color w:val="2E74B5" w:themeColor="accent1" w:themeShade="BF"/>
              </w:rPr>
              <w:t>kazatele</w:t>
            </w:r>
            <w:r>
              <w:rPr>
                <w:rFonts w:cs="Calibri"/>
                <w:b/>
                <w:color w:val="2E74B5" w:themeColor="accent1" w:themeShade="BF"/>
              </w:rPr>
              <w:t xml:space="preserve"> p</w:t>
            </w:r>
            <w:r w:rsidR="00F906C8">
              <w:rPr>
                <w:rFonts w:cs="Calibri"/>
                <w:b/>
                <w:color w:val="2E74B5" w:themeColor="accent1" w:themeShade="BF"/>
              </w:rPr>
              <w:t xml:space="preserve">ro </w:t>
            </w:r>
            <w:r w:rsidR="00DC0EB5">
              <w:rPr>
                <w:rFonts w:cs="Calibri"/>
                <w:b/>
                <w:color w:val="2E74B5" w:themeColor="accent1" w:themeShade="BF"/>
              </w:rPr>
              <w:t xml:space="preserve">vyhodnocení přínosů </w:t>
            </w:r>
            <w:r w:rsidR="00F906C8">
              <w:rPr>
                <w:rFonts w:cs="Calibri"/>
                <w:b/>
                <w:color w:val="2E74B5" w:themeColor="accent1" w:themeShade="BF"/>
              </w:rPr>
              <w:t xml:space="preserve">podpory </w:t>
            </w:r>
            <w:r w:rsidR="00DC0EB5" w:rsidRPr="002B6BD5">
              <w:rPr>
                <w:rFonts w:cs="Calibri"/>
                <w:b/>
                <w:color w:val="2E74B5" w:themeColor="accent1" w:themeShade="BF"/>
              </w:rPr>
              <w:t xml:space="preserve">a </w:t>
            </w:r>
            <w:r w:rsidR="00DC0EB5">
              <w:rPr>
                <w:rFonts w:cs="Calibri"/>
                <w:b/>
                <w:color w:val="2E74B5" w:themeColor="accent1" w:themeShade="BF"/>
              </w:rPr>
              <w:t xml:space="preserve">naplnění specifických </w:t>
            </w:r>
            <w:r w:rsidR="00DC0EB5" w:rsidRPr="002B6BD5">
              <w:rPr>
                <w:rFonts w:cs="Calibri"/>
                <w:b/>
                <w:color w:val="2E74B5" w:themeColor="accent1" w:themeShade="BF"/>
              </w:rPr>
              <w:t xml:space="preserve">cílů technické </w:t>
            </w:r>
            <w:r w:rsidR="00DC0EB5">
              <w:rPr>
                <w:rFonts w:cs="Calibri"/>
                <w:b/>
                <w:color w:val="2E74B5" w:themeColor="accent1" w:themeShade="BF"/>
              </w:rPr>
              <w:t>pomoci OPPIK</w:t>
            </w:r>
            <w:r w:rsidR="00555A6E">
              <w:rPr>
                <w:rFonts w:cs="Calibri"/>
                <w:b/>
                <w:color w:val="2E74B5" w:themeColor="accent1" w:themeShade="BF"/>
              </w:rPr>
              <w:t xml:space="preserve"> nebyly </w:t>
            </w:r>
            <w:r>
              <w:rPr>
                <w:rFonts w:cs="Calibri"/>
                <w:b/>
                <w:color w:val="2E74B5" w:themeColor="accent1" w:themeShade="BF"/>
              </w:rPr>
              <w:t>vhodně nastaveny</w:t>
            </w:r>
            <w:r w:rsidR="00555A6E">
              <w:rPr>
                <w:rFonts w:cs="Calibri"/>
                <w:b/>
                <w:color w:val="2E74B5" w:themeColor="accent1" w:themeShade="BF"/>
              </w:rPr>
              <w:t xml:space="preserve"> </w:t>
            </w:r>
          </w:p>
        </w:tc>
      </w:tr>
    </w:tbl>
    <w:p w14:paraId="37165216" w14:textId="77777777" w:rsidR="00B15325" w:rsidRDefault="00B15325" w:rsidP="00CA1E0C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9072" w:type="dxa"/>
        <w:shd w:val="clear" w:color="auto" w:fill="E5F1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CA1E0C" w14:paraId="01E71E75" w14:textId="77777777" w:rsidTr="00D97247">
        <w:trPr>
          <w:trHeight w:val="393"/>
        </w:trPr>
        <w:tc>
          <w:tcPr>
            <w:tcW w:w="3402" w:type="dxa"/>
            <w:shd w:val="clear" w:color="auto" w:fill="C00000"/>
            <w:vAlign w:val="center"/>
            <w:hideMark/>
          </w:tcPr>
          <w:p w14:paraId="6E57EB7C" w14:textId="77777777" w:rsidR="00CA1E0C" w:rsidRDefault="00757C5A" w:rsidP="00832BE8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Poslední místo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14:paraId="3DF1D78D" w14:textId="77777777" w:rsidR="00CA1E0C" w:rsidRPr="00B570B6" w:rsidRDefault="00CA1E0C" w:rsidP="00B15325">
            <w:pPr>
              <w:autoSpaceDE w:val="0"/>
              <w:autoSpaceDN w:val="0"/>
              <w:adjustRightInd w:val="0"/>
              <w:spacing w:before="120" w:after="120"/>
              <w:ind w:right="72"/>
              <w:jc w:val="both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  <w:r w:rsidRPr="00C52E2B">
              <w:rPr>
                <w:rFonts w:cs="Calibri"/>
                <w:b/>
                <w:color w:val="2E74B5" w:themeColor="accent1" w:themeShade="BF"/>
              </w:rPr>
              <w:t>Nejn</w:t>
            </w:r>
            <w:r w:rsidR="00F906C8">
              <w:rPr>
                <w:rFonts w:cs="Calibri"/>
                <w:b/>
                <w:color w:val="2E74B5" w:themeColor="accent1" w:themeShade="BF"/>
              </w:rPr>
              <w:t>ižší míra proplacených</w:t>
            </w:r>
            <w:r w:rsidRPr="00C52E2B">
              <w:rPr>
                <w:rFonts w:cs="Calibri"/>
                <w:b/>
                <w:color w:val="2E74B5" w:themeColor="accent1" w:themeShade="BF"/>
              </w:rPr>
              <w:t xml:space="preserve"> prostředků příjemcům podpory </w:t>
            </w:r>
            <w:r w:rsidR="00072160">
              <w:rPr>
                <w:rFonts w:cs="Calibri"/>
                <w:b/>
                <w:color w:val="2E74B5" w:themeColor="accent1" w:themeShade="BF"/>
              </w:rPr>
              <w:t xml:space="preserve">v OPPIK </w:t>
            </w:r>
            <w:r w:rsidR="00B15325">
              <w:rPr>
                <w:rFonts w:cs="Calibri"/>
                <w:b/>
                <w:color w:val="2E74B5" w:themeColor="accent1" w:themeShade="BF"/>
              </w:rPr>
              <w:t xml:space="preserve">ze všech </w:t>
            </w:r>
            <w:r w:rsidRPr="00C52E2B">
              <w:rPr>
                <w:rFonts w:cs="Calibri"/>
                <w:b/>
                <w:color w:val="2E74B5" w:themeColor="accent1" w:themeShade="BF"/>
              </w:rPr>
              <w:t>operační</w:t>
            </w:r>
            <w:r w:rsidR="00B15325">
              <w:rPr>
                <w:rFonts w:cs="Calibri"/>
                <w:b/>
                <w:color w:val="2E74B5" w:themeColor="accent1" w:themeShade="BF"/>
              </w:rPr>
              <w:t>ch</w:t>
            </w:r>
            <w:r w:rsidRPr="00C52E2B">
              <w:rPr>
                <w:rFonts w:cs="Calibri"/>
                <w:b/>
                <w:color w:val="2E74B5" w:themeColor="accent1" w:themeShade="BF"/>
              </w:rPr>
              <w:t xml:space="preserve"> program</w:t>
            </w:r>
            <w:r w:rsidR="00DE1515">
              <w:rPr>
                <w:rFonts w:cs="Calibri"/>
                <w:b/>
                <w:color w:val="2E74B5" w:themeColor="accent1" w:themeShade="BF"/>
              </w:rPr>
              <w:t>ů v ČR</w:t>
            </w:r>
          </w:p>
        </w:tc>
      </w:tr>
    </w:tbl>
    <w:p w14:paraId="1A882701" w14:textId="77777777" w:rsidR="00CA1E0C" w:rsidRDefault="00CA1E0C" w:rsidP="003C3D91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9072" w:type="dxa"/>
        <w:shd w:val="clear" w:color="auto" w:fill="E5F1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3C3D91" w14:paraId="5BAE7375" w14:textId="77777777" w:rsidTr="00D97247">
        <w:trPr>
          <w:trHeight w:val="393"/>
        </w:trPr>
        <w:tc>
          <w:tcPr>
            <w:tcW w:w="3402" w:type="dxa"/>
            <w:shd w:val="clear" w:color="auto" w:fill="C00000"/>
            <w:vAlign w:val="center"/>
            <w:hideMark/>
          </w:tcPr>
          <w:p w14:paraId="744D0331" w14:textId="72C53387" w:rsidR="003C3D91" w:rsidRPr="00C804F3" w:rsidRDefault="00757C5A" w:rsidP="003826F0">
            <w:pPr>
              <w:spacing w:after="0" w:line="280" w:lineRule="atLeast"/>
              <w:jc w:val="center"/>
              <w:rPr>
                <w:b/>
                <w:sz w:val="28"/>
                <w:szCs w:val="28"/>
                <w:lang w:eastAsia="cs-CZ"/>
              </w:rPr>
            </w:pPr>
            <w:r>
              <w:rPr>
                <w:b/>
                <w:sz w:val="28"/>
                <w:szCs w:val="28"/>
                <w:lang w:eastAsia="cs-CZ"/>
              </w:rPr>
              <w:t>14% chybovost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14:paraId="498057A0" w14:textId="07A58AF7" w:rsidR="003C3D91" w:rsidRPr="00D97247" w:rsidRDefault="005851FE" w:rsidP="005851FE">
            <w:pPr>
              <w:autoSpaceDE w:val="0"/>
              <w:autoSpaceDN w:val="0"/>
              <w:adjustRightInd w:val="0"/>
              <w:spacing w:before="120" w:after="120"/>
              <w:ind w:right="72"/>
              <w:jc w:val="both"/>
              <w:rPr>
                <w:rFonts w:cs="Calibri"/>
                <w:b/>
                <w:color w:val="2E74B5" w:themeColor="accent1" w:themeShade="BF"/>
              </w:rPr>
            </w:pPr>
            <w:r>
              <w:rPr>
                <w:rFonts w:cs="Calibri"/>
                <w:b/>
                <w:color w:val="2E74B5" w:themeColor="accent1" w:themeShade="BF"/>
              </w:rPr>
              <w:t>C</w:t>
            </w:r>
            <w:r w:rsidR="003C3D91" w:rsidRPr="00C52E2B">
              <w:rPr>
                <w:rFonts w:cs="Calibri"/>
                <w:b/>
                <w:color w:val="2E74B5" w:themeColor="accent1" w:themeShade="BF"/>
              </w:rPr>
              <w:t xml:space="preserve">ertifikace výdajů </w:t>
            </w:r>
            <w:r>
              <w:rPr>
                <w:rFonts w:cs="Calibri"/>
                <w:b/>
                <w:color w:val="2E74B5" w:themeColor="accent1" w:themeShade="BF"/>
              </w:rPr>
              <w:t>OPPIK</w:t>
            </w:r>
            <w:r w:rsidRPr="00C52E2B">
              <w:rPr>
                <w:rFonts w:cs="Calibri"/>
                <w:b/>
                <w:color w:val="2E74B5" w:themeColor="accent1" w:themeShade="BF"/>
              </w:rPr>
              <w:t xml:space="preserve"> </w:t>
            </w:r>
            <w:r>
              <w:rPr>
                <w:rFonts w:cs="Calibri"/>
                <w:b/>
                <w:color w:val="2E74B5" w:themeColor="accent1" w:themeShade="BF"/>
              </w:rPr>
              <w:t>p</w:t>
            </w:r>
            <w:r w:rsidRPr="00C52E2B">
              <w:rPr>
                <w:rFonts w:cs="Calibri"/>
                <w:b/>
                <w:color w:val="2E74B5" w:themeColor="accent1" w:themeShade="BF"/>
              </w:rPr>
              <w:t>ozastaven</w:t>
            </w:r>
            <w:r>
              <w:rPr>
                <w:rFonts w:cs="Calibri"/>
                <w:b/>
                <w:color w:val="2E74B5" w:themeColor="accent1" w:themeShade="BF"/>
              </w:rPr>
              <w:t>a</w:t>
            </w:r>
            <w:r w:rsidRPr="00C52E2B">
              <w:rPr>
                <w:rFonts w:cs="Calibri"/>
                <w:b/>
                <w:color w:val="2E74B5" w:themeColor="accent1" w:themeShade="BF"/>
              </w:rPr>
              <w:t xml:space="preserve"> </w:t>
            </w:r>
            <w:r w:rsidR="003C3D91" w:rsidRPr="00C52E2B">
              <w:rPr>
                <w:rFonts w:cs="Calibri"/>
                <w:b/>
                <w:color w:val="2E74B5" w:themeColor="accent1" w:themeShade="BF"/>
              </w:rPr>
              <w:t>Evropskou</w:t>
            </w:r>
            <w:r w:rsidR="00287973">
              <w:rPr>
                <w:rFonts w:cs="Calibri"/>
                <w:b/>
                <w:color w:val="2E74B5" w:themeColor="accent1" w:themeShade="BF"/>
              </w:rPr>
              <w:t xml:space="preserve"> </w:t>
            </w:r>
            <w:r w:rsidR="00F906C8">
              <w:rPr>
                <w:rFonts w:cs="Calibri"/>
                <w:b/>
                <w:color w:val="2E74B5" w:themeColor="accent1" w:themeShade="BF"/>
              </w:rPr>
              <w:t>komisí od dubna 2018 po</w:t>
            </w:r>
            <w:r w:rsidR="00DE1515">
              <w:rPr>
                <w:rFonts w:cs="Calibri"/>
                <w:b/>
                <w:color w:val="2E74B5" w:themeColor="accent1" w:themeShade="BF"/>
              </w:rPr>
              <w:t xml:space="preserve"> </w:t>
            </w:r>
            <w:r w:rsidR="00F906C8">
              <w:rPr>
                <w:rFonts w:cs="Calibri"/>
                <w:b/>
                <w:color w:val="2E74B5" w:themeColor="accent1" w:themeShade="BF"/>
              </w:rPr>
              <w:t xml:space="preserve">zjištění </w:t>
            </w:r>
            <w:r w:rsidR="00DE1515">
              <w:rPr>
                <w:rFonts w:cs="Calibri"/>
                <w:b/>
                <w:color w:val="2E74B5" w:themeColor="accent1" w:themeShade="BF"/>
              </w:rPr>
              <w:t>14% chybovosti</w:t>
            </w:r>
          </w:p>
        </w:tc>
      </w:tr>
    </w:tbl>
    <w:p w14:paraId="4E9043A4" w14:textId="77777777" w:rsidR="002B6BD5" w:rsidRPr="003C3D91" w:rsidRDefault="002B6BD5" w:rsidP="00CA1E0C">
      <w:pPr>
        <w:spacing w:after="0" w:line="280" w:lineRule="atLeast"/>
        <w:rPr>
          <w:b/>
          <w:sz w:val="24"/>
          <w:szCs w:val="24"/>
          <w:lang w:eastAsia="cs-CZ"/>
        </w:rPr>
      </w:pPr>
    </w:p>
    <w:tbl>
      <w:tblPr>
        <w:tblW w:w="9072" w:type="dxa"/>
        <w:shd w:val="clear" w:color="auto" w:fill="E5F1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8C65A4" w14:paraId="3874C17E" w14:textId="77777777" w:rsidTr="002103AD">
        <w:trPr>
          <w:trHeight w:val="393"/>
        </w:trPr>
        <w:tc>
          <w:tcPr>
            <w:tcW w:w="3402" w:type="dxa"/>
            <w:shd w:val="clear" w:color="auto" w:fill="C00000"/>
            <w:vAlign w:val="center"/>
            <w:hideMark/>
          </w:tcPr>
          <w:p w14:paraId="0F7FD940" w14:textId="77777777" w:rsidR="008C65A4" w:rsidRPr="00291BA7" w:rsidRDefault="00DE1515">
            <w:pPr>
              <w:autoSpaceDE w:val="0"/>
              <w:autoSpaceDN w:val="0"/>
              <w:adjustRightInd w:val="0"/>
              <w:spacing w:after="0" w:line="280" w:lineRule="atLeast"/>
              <w:jc w:val="center"/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>1,3</w:t>
            </w:r>
            <w:r w:rsidR="008C65A4" w:rsidRPr="00C3279A">
              <w:rPr>
                <w:rFonts w:cstheme="minorHAnsi"/>
                <w:b/>
                <w:bCs/>
                <w:color w:val="FFFFFF" w:themeColor="background1"/>
                <w:sz w:val="28"/>
                <w:szCs w:val="28"/>
              </w:rPr>
              <w:t xml:space="preserve"> mil. Kč</w:t>
            </w: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14:paraId="36BE2A97" w14:textId="77777777" w:rsidR="008C65A4" w:rsidRPr="0044729D" w:rsidRDefault="00D91581" w:rsidP="00D91581">
            <w:pPr>
              <w:autoSpaceDE w:val="0"/>
              <w:autoSpaceDN w:val="0"/>
              <w:adjustRightInd w:val="0"/>
              <w:spacing w:before="120" w:after="120"/>
              <w:ind w:right="72"/>
              <w:jc w:val="both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cs="Calibri"/>
                <w:b/>
                <w:color w:val="2E74B5" w:themeColor="accent1" w:themeShade="BF"/>
              </w:rPr>
              <w:t>Skutečnosti nasvědčující</w:t>
            </w:r>
            <w:r w:rsidR="002B6BD5" w:rsidRPr="0044729D">
              <w:rPr>
                <w:rFonts w:cs="Calibri"/>
                <w:b/>
                <w:color w:val="2E74B5" w:themeColor="accent1" w:themeShade="BF"/>
              </w:rPr>
              <w:t xml:space="preserve"> po</w:t>
            </w:r>
            <w:r w:rsidR="008C65A4" w:rsidRPr="0044729D">
              <w:rPr>
                <w:rFonts w:cs="Calibri"/>
                <w:b/>
                <w:color w:val="2E74B5" w:themeColor="accent1" w:themeShade="BF"/>
              </w:rPr>
              <w:t>rušení rozpočtové kázně</w:t>
            </w:r>
            <w:r w:rsidR="002B6BD5" w:rsidRPr="0044729D">
              <w:rPr>
                <w:rFonts w:cs="Calibri"/>
                <w:b/>
                <w:color w:val="2E74B5" w:themeColor="accent1" w:themeShade="BF"/>
              </w:rPr>
              <w:t xml:space="preserve"> u dvou </w:t>
            </w:r>
            <w:r w:rsidR="00DE1515" w:rsidRPr="0044729D">
              <w:rPr>
                <w:rFonts w:cs="Calibri"/>
                <w:b/>
                <w:color w:val="2E74B5" w:themeColor="accent1" w:themeShade="BF"/>
              </w:rPr>
              <w:t>projektů technické pomoci OPPIK</w:t>
            </w:r>
          </w:p>
        </w:tc>
      </w:tr>
    </w:tbl>
    <w:p w14:paraId="722FC20E" w14:textId="77777777" w:rsidR="006A4C88" w:rsidRDefault="006A4C88" w:rsidP="002B6BD5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9072" w:type="dxa"/>
        <w:shd w:val="clear" w:color="auto" w:fill="E5F1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D97247" w14:paraId="7706B180" w14:textId="77777777" w:rsidTr="002103AD">
        <w:trPr>
          <w:trHeight w:val="393"/>
        </w:trPr>
        <w:tc>
          <w:tcPr>
            <w:tcW w:w="3402" w:type="dxa"/>
            <w:shd w:val="clear" w:color="auto" w:fill="538135" w:themeFill="accent6" w:themeFillShade="BF"/>
            <w:vAlign w:val="center"/>
            <w:hideMark/>
          </w:tcPr>
          <w:p w14:paraId="2D3497A3" w14:textId="77777777" w:rsidR="00D97247" w:rsidRPr="00A668F8" w:rsidRDefault="00D97247" w:rsidP="00D97247">
            <w:pPr>
              <w:pStyle w:val="Odstavecseseznamem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80" w:lineRule="atLeast"/>
              <w:ind w:left="351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14:paraId="55AA0821" w14:textId="77777777" w:rsidR="006A4C88" w:rsidRPr="00C465A0" w:rsidRDefault="00D97247" w:rsidP="00D91581">
            <w:pPr>
              <w:autoSpaceDE w:val="0"/>
              <w:autoSpaceDN w:val="0"/>
              <w:adjustRightInd w:val="0"/>
              <w:spacing w:before="120" w:after="120"/>
              <w:ind w:right="72"/>
              <w:jc w:val="both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cs="Calibri"/>
                <w:b/>
                <w:color w:val="2E74B5" w:themeColor="accent1" w:themeShade="BF"/>
              </w:rPr>
              <w:t xml:space="preserve">Účelnost a hospodárnost </w:t>
            </w:r>
            <w:r w:rsidR="00D91581">
              <w:rPr>
                <w:rFonts w:cs="Calibri"/>
                <w:b/>
                <w:color w:val="2E74B5" w:themeColor="accent1" w:themeShade="BF"/>
              </w:rPr>
              <w:t xml:space="preserve">dalších </w:t>
            </w:r>
            <w:r>
              <w:rPr>
                <w:rFonts w:cs="Calibri"/>
                <w:b/>
                <w:color w:val="2E74B5" w:themeColor="accent1" w:themeShade="BF"/>
              </w:rPr>
              <w:t>prověřovaných výdajů ve vybraném kontrolovaném vzorku</w:t>
            </w:r>
          </w:p>
        </w:tc>
      </w:tr>
    </w:tbl>
    <w:p w14:paraId="56D481B2" w14:textId="77777777" w:rsidR="00D97247" w:rsidRDefault="00D97247" w:rsidP="002B6BD5">
      <w:pPr>
        <w:spacing w:after="0" w:line="280" w:lineRule="atLeast"/>
        <w:rPr>
          <w:sz w:val="24"/>
          <w:szCs w:val="24"/>
          <w:lang w:eastAsia="cs-CZ"/>
        </w:rPr>
      </w:pPr>
    </w:p>
    <w:tbl>
      <w:tblPr>
        <w:tblW w:w="9072" w:type="dxa"/>
        <w:shd w:val="clear" w:color="auto" w:fill="E5F1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5670"/>
      </w:tblGrid>
      <w:tr w:rsidR="002B6BD5" w14:paraId="6473C03A" w14:textId="77777777" w:rsidTr="002103AD">
        <w:trPr>
          <w:trHeight w:val="393"/>
        </w:trPr>
        <w:tc>
          <w:tcPr>
            <w:tcW w:w="3402" w:type="dxa"/>
            <w:shd w:val="clear" w:color="auto" w:fill="538135" w:themeFill="accent6" w:themeFillShade="BF"/>
            <w:vAlign w:val="center"/>
            <w:hideMark/>
          </w:tcPr>
          <w:p w14:paraId="31806FCB" w14:textId="77777777" w:rsidR="002B6BD5" w:rsidRPr="00A668F8" w:rsidRDefault="002B6BD5" w:rsidP="00A668F8">
            <w:pPr>
              <w:pStyle w:val="Odstavecseseznamem"/>
              <w:numPr>
                <w:ilvl w:val="0"/>
                <w:numId w:val="48"/>
              </w:numPr>
              <w:autoSpaceDE w:val="0"/>
              <w:autoSpaceDN w:val="0"/>
              <w:adjustRightInd w:val="0"/>
              <w:spacing w:after="0" w:line="280" w:lineRule="atLeast"/>
              <w:ind w:left="351"/>
              <w:jc w:val="center"/>
              <w:rPr>
                <w:rFonts w:cstheme="minorHAnsi"/>
                <w:b/>
                <w:bCs/>
                <w:color w:val="FFFFFF" w:themeColor="background1"/>
                <w:sz w:val="44"/>
                <w:szCs w:val="44"/>
              </w:rPr>
            </w:pPr>
          </w:p>
        </w:tc>
        <w:tc>
          <w:tcPr>
            <w:tcW w:w="5670" w:type="dxa"/>
            <w:shd w:val="clear" w:color="auto" w:fill="FFFFFF" w:themeFill="background1"/>
            <w:vAlign w:val="center"/>
            <w:hideMark/>
          </w:tcPr>
          <w:p w14:paraId="274D8854" w14:textId="77777777" w:rsidR="002B6BD5" w:rsidRPr="00C465A0" w:rsidRDefault="002B6BD5" w:rsidP="005E7465">
            <w:pPr>
              <w:autoSpaceDE w:val="0"/>
              <w:autoSpaceDN w:val="0"/>
              <w:adjustRightInd w:val="0"/>
              <w:spacing w:before="120" w:after="120"/>
              <w:ind w:right="72"/>
              <w:jc w:val="both"/>
              <w:rPr>
                <w:rFonts w:cstheme="minorHAnsi"/>
                <w:b/>
                <w:color w:val="2E74B5" w:themeColor="accent1" w:themeShade="BF"/>
                <w:sz w:val="21"/>
                <w:szCs w:val="21"/>
              </w:rPr>
            </w:pPr>
            <w:r>
              <w:rPr>
                <w:rFonts w:cs="Calibri"/>
                <w:b/>
                <w:color w:val="2E74B5" w:themeColor="accent1" w:themeShade="BF"/>
              </w:rPr>
              <w:t xml:space="preserve">Dodržování pravidel při zadávání veřejných zakázek ve vybraném </w:t>
            </w:r>
            <w:r w:rsidR="00DE1515">
              <w:rPr>
                <w:rFonts w:cs="Calibri"/>
                <w:b/>
                <w:color w:val="2E74B5" w:themeColor="accent1" w:themeShade="BF"/>
              </w:rPr>
              <w:t xml:space="preserve">kontrolovaném </w:t>
            </w:r>
            <w:r>
              <w:rPr>
                <w:rFonts w:cs="Calibri"/>
                <w:b/>
                <w:color w:val="2E74B5" w:themeColor="accent1" w:themeShade="BF"/>
              </w:rPr>
              <w:t>vzorku</w:t>
            </w:r>
          </w:p>
        </w:tc>
      </w:tr>
    </w:tbl>
    <w:p w14:paraId="47A25660" w14:textId="77777777" w:rsidR="002B6BD5" w:rsidRPr="00291BA7" w:rsidRDefault="002B6BD5" w:rsidP="007F1D90">
      <w:pPr>
        <w:spacing w:after="0" w:line="280" w:lineRule="atLeast"/>
        <w:rPr>
          <w:rFonts w:cstheme="minorHAnsi"/>
          <w:sz w:val="24"/>
          <w:szCs w:val="24"/>
        </w:rPr>
      </w:pPr>
    </w:p>
    <w:p w14:paraId="39D86A88" w14:textId="77777777" w:rsidR="00612F02" w:rsidRPr="00291BA7" w:rsidRDefault="00612F02" w:rsidP="007F1D90">
      <w:pPr>
        <w:spacing w:after="0" w:line="280" w:lineRule="atLeast"/>
        <w:rPr>
          <w:rFonts w:eastAsia="Times New Roman" w:cstheme="minorHAnsi"/>
          <w:b/>
          <w:color w:val="000000"/>
          <w:sz w:val="24"/>
          <w:szCs w:val="24"/>
          <w:lang w:eastAsia="cs-CZ"/>
        </w:rPr>
      </w:pPr>
      <w:r w:rsidRPr="007F1D90">
        <w:rPr>
          <w:rFonts w:cstheme="minorHAnsi"/>
          <w:sz w:val="28"/>
          <w:szCs w:val="28"/>
        </w:rPr>
        <w:br w:type="page"/>
      </w:r>
    </w:p>
    <w:p w14:paraId="3E7BAC16" w14:textId="77777777" w:rsidR="001E1138" w:rsidRPr="007F1D90" w:rsidRDefault="001E1138" w:rsidP="007F1D90">
      <w:pPr>
        <w:pStyle w:val="Nadpis1"/>
        <w:numPr>
          <w:ilvl w:val="0"/>
          <w:numId w:val="0"/>
        </w:numPr>
        <w:spacing w:before="0" w:after="0" w:line="280" w:lineRule="atLeast"/>
        <w:ind w:left="357" w:hanging="357"/>
        <w:rPr>
          <w:sz w:val="28"/>
          <w:szCs w:val="28"/>
        </w:rPr>
      </w:pPr>
      <w:r w:rsidRPr="007F1D90">
        <w:rPr>
          <w:sz w:val="28"/>
          <w:szCs w:val="28"/>
        </w:rPr>
        <w:lastRenderedPageBreak/>
        <w:t>I. Shrnutí a vyhodnocení</w:t>
      </w:r>
    </w:p>
    <w:p w14:paraId="2985A92D" w14:textId="77777777" w:rsidR="00751CEC" w:rsidRPr="007F1D90" w:rsidRDefault="00751CEC" w:rsidP="007F1D90">
      <w:pPr>
        <w:spacing w:after="0" w:line="280" w:lineRule="atLeast"/>
        <w:jc w:val="both"/>
        <w:rPr>
          <w:rFonts w:cstheme="minorHAnsi"/>
          <w:bCs/>
          <w:sz w:val="24"/>
          <w:szCs w:val="24"/>
          <w:highlight w:val="yellow"/>
        </w:rPr>
      </w:pPr>
    </w:p>
    <w:p w14:paraId="07B7ED61" w14:textId="69B8B233" w:rsidR="0001060B" w:rsidRPr="00441CBB" w:rsidRDefault="0001060B" w:rsidP="00441CBB">
      <w:pPr>
        <w:pStyle w:val="Odstavecseseznamem"/>
        <w:numPr>
          <w:ilvl w:val="1"/>
          <w:numId w:val="28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 w:rsidRPr="00441CBB">
        <w:rPr>
          <w:sz w:val="24"/>
          <w:szCs w:val="24"/>
        </w:rPr>
        <w:t xml:space="preserve">NKÚ provedl kontrolu prostředků vynakládaných z operačního programu </w:t>
      </w:r>
      <w:r w:rsidRPr="00816C16">
        <w:rPr>
          <w:i/>
          <w:sz w:val="24"/>
          <w:szCs w:val="24"/>
        </w:rPr>
        <w:t>Podnikání a inovace pro konkurenceschopnost</w:t>
      </w:r>
      <w:r w:rsidRPr="00441CBB">
        <w:rPr>
          <w:sz w:val="24"/>
          <w:szCs w:val="24"/>
        </w:rPr>
        <w:t xml:space="preserve"> (dále také „OPPIK“) na </w:t>
      </w:r>
      <w:r w:rsidR="005851FE">
        <w:rPr>
          <w:sz w:val="24"/>
          <w:szCs w:val="24"/>
        </w:rPr>
        <w:t>t</w:t>
      </w:r>
      <w:r w:rsidRPr="00441CBB">
        <w:rPr>
          <w:sz w:val="24"/>
          <w:szCs w:val="24"/>
        </w:rPr>
        <w:t>echnickou pomoc</w:t>
      </w:r>
      <w:r w:rsidR="00441CBB" w:rsidRPr="00441CBB">
        <w:rPr>
          <w:sz w:val="24"/>
          <w:szCs w:val="24"/>
        </w:rPr>
        <w:t xml:space="preserve"> </w:t>
      </w:r>
      <w:r w:rsidR="00D81945">
        <w:rPr>
          <w:sz w:val="24"/>
          <w:szCs w:val="24"/>
        </w:rPr>
        <w:t>z prioritní osy </w:t>
      </w:r>
      <w:r w:rsidR="00441CBB" w:rsidRPr="00441CBB">
        <w:rPr>
          <w:sz w:val="24"/>
          <w:szCs w:val="24"/>
        </w:rPr>
        <w:t>5</w:t>
      </w:r>
      <w:r w:rsidRPr="00441CBB">
        <w:rPr>
          <w:sz w:val="24"/>
          <w:szCs w:val="24"/>
        </w:rPr>
        <w:t xml:space="preserve"> (dále také „PO </w:t>
      </w:r>
      <w:r w:rsidR="00441CBB" w:rsidRPr="00441CBB">
        <w:rPr>
          <w:sz w:val="24"/>
          <w:szCs w:val="24"/>
        </w:rPr>
        <w:t>5“)</w:t>
      </w:r>
      <w:r w:rsidRPr="00441CBB">
        <w:rPr>
          <w:sz w:val="24"/>
          <w:szCs w:val="24"/>
        </w:rPr>
        <w:t xml:space="preserve">. Touto podporou má </w:t>
      </w:r>
      <w:r w:rsidR="00441CBB" w:rsidRPr="00441CBB">
        <w:rPr>
          <w:sz w:val="24"/>
          <w:szCs w:val="24"/>
        </w:rPr>
        <w:t>být zajištěno efektivní řízení a administrace</w:t>
      </w:r>
      <w:r w:rsidR="00482426">
        <w:rPr>
          <w:sz w:val="24"/>
          <w:szCs w:val="24"/>
        </w:rPr>
        <w:t xml:space="preserve"> OPPIK a </w:t>
      </w:r>
      <w:r w:rsidR="00441CBB" w:rsidRPr="00441CBB">
        <w:rPr>
          <w:sz w:val="24"/>
          <w:szCs w:val="24"/>
        </w:rPr>
        <w:t>zajištěna informovanost, publicit</w:t>
      </w:r>
      <w:r w:rsidR="00441CBB">
        <w:rPr>
          <w:sz w:val="24"/>
          <w:szCs w:val="24"/>
        </w:rPr>
        <w:t>a</w:t>
      </w:r>
      <w:r w:rsidR="00441CBB" w:rsidRPr="00441CBB">
        <w:rPr>
          <w:sz w:val="24"/>
          <w:szCs w:val="24"/>
        </w:rPr>
        <w:t xml:space="preserve"> a absorpční kapacit</w:t>
      </w:r>
      <w:r w:rsidR="00441CBB">
        <w:rPr>
          <w:sz w:val="24"/>
          <w:szCs w:val="24"/>
        </w:rPr>
        <w:t>a OPPIK.</w:t>
      </w:r>
    </w:p>
    <w:p w14:paraId="361A6766" w14:textId="77777777" w:rsidR="0001060B" w:rsidRDefault="0001060B" w:rsidP="0001060B">
      <w:pPr>
        <w:pStyle w:val="Odstavecseseznamem"/>
        <w:spacing w:line="276" w:lineRule="auto"/>
        <w:ind w:left="0"/>
        <w:jc w:val="both"/>
      </w:pPr>
    </w:p>
    <w:p w14:paraId="2DFD80A2" w14:textId="6D99352D" w:rsidR="0001060B" w:rsidRPr="007114A7" w:rsidRDefault="0001060B" w:rsidP="0001060B">
      <w:pPr>
        <w:pStyle w:val="Odstavecseseznamem"/>
        <w:numPr>
          <w:ilvl w:val="1"/>
          <w:numId w:val="28"/>
        </w:numPr>
        <w:tabs>
          <w:tab w:val="left" w:pos="567"/>
        </w:tabs>
        <w:spacing w:line="240" w:lineRule="auto"/>
        <w:ind w:left="0" w:firstLine="0"/>
        <w:jc w:val="both"/>
        <w:rPr>
          <w:sz w:val="24"/>
          <w:szCs w:val="24"/>
        </w:rPr>
      </w:pPr>
      <w:r w:rsidRPr="007114A7">
        <w:rPr>
          <w:sz w:val="24"/>
          <w:szCs w:val="24"/>
        </w:rPr>
        <w:t xml:space="preserve">Cílem kontroly bylo prověřit, zda kontrolované osoby poskytují a čerpají peněžní prostředky na </w:t>
      </w:r>
      <w:r w:rsidR="005851FE">
        <w:rPr>
          <w:sz w:val="24"/>
          <w:szCs w:val="24"/>
        </w:rPr>
        <w:t>t</w:t>
      </w:r>
      <w:r w:rsidR="00441CBB">
        <w:rPr>
          <w:sz w:val="24"/>
          <w:szCs w:val="24"/>
        </w:rPr>
        <w:t>echnickou pomoc OPPIK</w:t>
      </w:r>
      <w:r w:rsidRPr="007114A7">
        <w:rPr>
          <w:sz w:val="24"/>
          <w:szCs w:val="24"/>
        </w:rPr>
        <w:t xml:space="preserve"> účelně a </w:t>
      </w:r>
      <w:r w:rsidR="00E01BB7">
        <w:rPr>
          <w:sz w:val="24"/>
          <w:szCs w:val="24"/>
        </w:rPr>
        <w:t>hospodárně</w:t>
      </w:r>
      <w:r w:rsidR="00441CBB">
        <w:rPr>
          <w:sz w:val="24"/>
          <w:szCs w:val="24"/>
        </w:rPr>
        <w:t>.</w:t>
      </w:r>
      <w:r w:rsidR="00E01BB7">
        <w:rPr>
          <w:sz w:val="24"/>
          <w:szCs w:val="24"/>
        </w:rPr>
        <w:t xml:space="preserve"> Kontrola byla provedena u </w:t>
      </w:r>
      <w:r w:rsidR="00441CBB">
        <w:rPr>
          <w:sz w:val="24"/>
          <w:szCs w:val="24"/>
        </w:rPr>
        <w:t xml:space="preserve">Ministerstva průmyslu a obchodu (dále také „MPO“), </w:t>
      </w:r>
      <w:r w:rsidRPr="007114A7">
        <w:rPr>
          <w:sz w:val="24"/>
          <w:szCs w:val="24"/>
        </w:rPr>
        <w:t xml:space="preserve">kde se zaměřila na jeho činnost jakožto řídicího orgánu (dále také „ŘO“) </w:t>
      </w:r>
      <w:r w:rsidR="00441CBB">
        <w:rPr>
          <w:sz w:val="24"/>
          <w:szCs w:val="24"/>
        </w:rPr>
        <w:t>OPPIK a na jeho činnost jako příjemce podpory</w:t>
      </w:r>
      <w:r w:rsidR="008454AE">
        <w:rPr>
          <w:sz w:val="24"/>
          <w:szCs w:val="24"/>
        </w:rPr>
        <w:t>,</w:t>
      </w:r>
      <w:r w:rsidR="00441CBB">
        <w:rPr>
          <w:sz w:val="24"/>
          <w:szCs w:val="24"/>
        </w:rPr>
        <w:t xml:space="preserve"> </w:t>
      </w:r>
      <w:r w:rsidR="008454AE">
        <w:rPr>
          <w:sz w:val="24"/>
          <w:szCs w:val="24"/>
        </w:rPr>
        <w:t xml:space="preserve">a </w:t>
      </w:r>
      <w:r w:rsidR="00DE5564">
        <w:rPr>
          <w:sz w:val="24"/>
          <w:szCs w:val="24"/>
        </w:rPr>
        <w:t>dále u </w:t>
      </w:r>
      <w:r w:rsidR="00441CBB">
        <w:rPr>
          <w:sz w:val="24"/>
          <w:szCs w:val="24"/>
        </w:rPr>
        <w:t>Agentury pro podnikání a inovace (dále také „API“) jako příjemce podpory v rámci technické pomoci OPPIK.</w:t>
      </w:r>
    </w:p>
    <w:p w14:paraId="713C92C0" w14:textId="77777777" w:rsidR="003639AD" w:rsidRPr="007114A7" w:rsidRDefault="003639AD" w:rsidP="003639AD">
      <w:pPr>
        <w:pStyle w:val="Odstavecseseznamem"/>
        <w:spacing w:line="240" w:lineRule="auto"/>
        <w:ind w:left="0"/>
        <w:rPr>
          <w:sz w:val="24"/>
          <w:szCs w:val="24"/>
        </w:rPr>
      </w:pPr>
    </w:p>
    <w:p w14:paraId="3BD6D007" w14:textId="6AB29564" w:rsidR="001550CD" w:rsidRPr="0044729D" w:rsidRDefault="00F955A2" w:rsidP="00287973">
      <w:pPr>
        <w:pStyle w:val="Odstavecseseznamem"/>
        <w:numPr>
          <w:ilvl w:val="1"/>
          <w:numId w:val="28"/>
        </w:numPr>
        <w:tabs>
          <w:tab w:val="left" w:pos="567"/>
        </w:tabs>
        <w:spacing w:after="0" w:line="240" w:lineRule="auto"/>
        <w:ind w:left="0" w:firstLine="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NKÚ zjistil </w:t>
      </w:r>
      <w:r w:rsidR="00DC5549" w:rsidRPr="001550CD">
        <w:rPr>
          <w:b/>
          <w:sz w:val="24"/>
          <w:szCs w:val="24"/>
        </w:rPr>
        <w:t xml:space="preserve">nedostatky </w:t>
      </w:r>
      <w:r w:rsidR="00A63E2C" w:rsidRPr="001550CD">
        <w:rPr>
          <w:b/>
          <w:sz w:val="24"/>
          <w:szCs w:val="24"/>
        </w:rPr>
        <w:t xml:space="preserve">již v nastavení </w:t>
      </w:r>
      <w:r w:rsidR="00DC5549" w:rsidRPr="001550CD">
        <w:rPr>
          <w:b/>
          <w:sz w:val="24"/>
          <w:szCs w:val="24"/>
        </w:rPr>
        <w:t>systému</w:t>
      </w:r>
      <w:r w:rsidR="00A63E2C" w:rsidRPr="001550CD">
        <w:rPr>
          <w:b/>
          <w:sz w:val="24"/>
          <w:szCs w:val="24"/>
        </w:rPr>
        <w:t xml:space="preserve"> </w:t>
      </w:r>
      <w:r w:rsidR="00DC5549" w:rsidRPr="001550CD">
        <w:rPr>
          <w:b/>
          <w:sz w:val="24"/>
          <w:szCs w:val="24"/>
        </w:rPr>
        <w:t xml:space="preserve">hodnocení podpory z technické pomoci. Ukazatele </w:t>
      </w:r>
      <w:r w:rsidR="00A63E2C" w:rsidRPr="001550CD">
        <w:rPr>
          <w:b/>
          <w:sz w:val="24"/>
          <w:szCs w:val="24"/>
        </w:rPr>
        <w:t>výsledku</w:t>
      </w:r>
      <w:r w:rsidR="00DC5549" w:rsidRPr="001550C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MPO nestanovilo </w:t>
      </w:r>
      <w:r w:rsidR="00A63E2C" w:rsidRPr="001550CD">
        <w:rPr>
          <w:b/>
          <w:sz w:val="24"/>
          <w:szCs w:val="24"/>
        </w:rPr>
        <w:t>tak, aby pomocí nich bylo možné</w:t>
      </w:r>
      <w:r w:rsidR="00B42219">
        <w:rPr>
          <w:b/>
          <w:sz w:val="24"/>
          <w:szCs w:val="24"/>
        </w:rPr>
        <w:t xml:space="preserve"> </w:t>
      </w:r>
      <w:r w:rsidR="00B42219" w:rsidRPr="001550CD">
        <w:rPr>
          <w:b/>
          <w:sz w:val="24"/>
          <w:szCs w:val="24"/>
        </w:rPr>
        <w:t xml:space="preserve">vyhodnotit </w:t>
      </w:r>
      <w:r w:rsidR="00B42219">
        <w:rPr>
          <w:b/>
          <w:sz w:val="24"/>
          <w:szCs w:val="24"/>
        </w:rPr>
        <w:t xml:space="preserve">celkové </w:t>
      </w:r>
      <w:r w:rsidR="00DC5549" w:rsidRPr="001550CD">
        <w:rPr>
          <w:b/>
          <w:sz w:val="24"/>
          <w:szCs w:val="24"/>
        </w:rPr>
        <w:t xml:space="preserve">přínosy podpory </w:t>
      </w:r>
      <w:r w:rsidR="00A63E2C" w:rsidRPr="001550CD">
        <w:rPr>
          <w:b/>
          <w:sz w:val="24"/>
          <w:szCs w:val="24"/>
        </w:rPr>
        <w:t>a naplnění specifických cílů technické pomoci</w:t>
      </w:r>
      <w:r w:rsidR="00DC5549" w:rsidRPr="001550CD">
        <w:rPr>
          <w:b/>
          <w:sz w:val="24"/>
          <w:szCs w:val="24"/>
        </w:rPr>
        <w:t xml:space="preserve">. </w:t>
      </w:r>
      <w:r w:rsidR="00976EA9">
        <w:rPr>
          <w:b/>
          <w:sz w:val="24"/>
          <w:szCs w:val="24"/>
        </w:rPr>
        <w:t>Jeden z </w:t>
      </w:r>
      <w:r w:rsidR="00A63E2C" w:rsidRPr="001550CD">
        <w:rPr>
          <w:b/>
          <w:sz w:val="24"/>
          <w:szCs w:val="24"/>
        </w:rPr>
        <w:t>ukazatelů sledujících personální stabilizaci</w:t>
      </w:r>
      <w:r w:rsidR="00B42219">
        <w:rPr>
          <w:b/>
          <w:sz w:val="24"/>
          <w:szCs w:val="24"/>
        </w:rPr>
        <w:t xml:space="preserve"> v implementační struktuře, jako jeden z předpokladů efektivního řízení a kontroly OPPIK,</w:t>
      </w:r>
      <w:r w:rsidR="00A63E2C" w:rsidRPr="001550CD">
        <w:rPr>
          <w:b/>
          <w:sz w:val="24"/>
          <w:szCs w:val="24"/>
        </w:rPr>
        <w:t xml:space="preserve"> navíc </w:t>
      </w:r>
      <w:r>
        <w:rPr>
          <w:b/>
          <w:sz w:val="24"/>
          <w:szCs w:val="24"/>
        </w:rPr>
        <w:t xml:space="preserve">MPO </w:t>
      </w:r>
      <w:r w:rsidR="00A63E2C" w:rsidRPr="001550CD">
        <w:rPr>
          <w:b/>
          <w:sz w:val="24"/>
          <w:szCs w:val="24"/>
        </w:rPr>
        <w:t xml:space="preserve">průběžně </w:t>
      </w:r>
      <w:r>
        <w:rPr>
          <w:b/>
          <w:sz w:val="24"/>
          <w:szCs w:val="24"/>
        </w:rPr>
        <w:t>ne</w:t>
      </w:r>
      <w:r w:rsidR="00A63E2C" w:rsidRPr="001550CD">
        <w:rPr>
          <w:b/>
          <w:sz w:val="24"/>
          <w:szCs w:val="24"/>
        </w:rPr>
        <w:t>pln</w:t>
      </w:r>
      <w:r>
        <w:rPr>
          <w:b/>
          <w:sz w:val="24"/>
          <w:szCs w:val="24"/>
        </w:rPr>
        <w:t>ilo</w:t>
      </w:r>
      <w:r w:rsidR="00A63E2C" w:rsidRPr="001550CD">
        <w:rPr>
          <w:b/>
          <w:sz w:val="24"/>
          <w:szCs w:val="24"/>
        </w:rPr>
        <w:t>. OPPIK vykazoval</w:t>
      </w:r>
      <w:r w:rsidR="009B03F1">
        <w:rPr>
          <w:rStyle w:val="Znakapoznpodarou"/>
          <w:b/>
          <w:sz w:val="24"/>
          <w:szCs w:val="24"/>
        </w:rPr>
        <w:footnoteReference w:id="2"/>
      </w:r>
      <w:r w:rsidR="00A63E2C" w:rsidRPr="001550CD">
        <w:rPr>
          <w:b/>
          <w:sz w:val="24"/>
          <w:szCs w:val="24"/>
        </w:rPr>
        <w:t xml:space="preserve"> nejnižší průběžn</w:t>
      </w:r>
      <w:r w:rsidR="00B42219">
        <w:rPr>
          <w:b/>
          <w:sz w:val="24"/>
          <w:szCs w:val="24"/>
        </w:rPr>
        <w:t>ou míru</w:t>
      </w:r>
      <w:r w:rsidR="00A63E2C" w:rsidRPr="001550CD">
        <w:rPr>
          <w:b/>
          <w:sz w:val="24"/>
          <w:szCs w:val="24"/>
        </w:rPr>
        <w:t xml:space="preserve"> čerpání prostředků ze všech </w:t>
      </w:r>
      <w:r w:rsidR="001550CD" w:rsidRPr="001550CD">
        <w:rPr>
          <w:b/>
          <w:sz w:val="24"/>
          <w:szCs w:val="24"/>
        </w:rPr>
        <w:t>operačních programů</w:t>
      </w:r>
      <w:r w:rsidR="00A63E2C" w:rsidRPr="001550CD">
        <w:rPr>
          <w:b/>
          <w:sz w:val="24"/>
          <w:szCs w:val="24"/>
        </w:rPr>
        <w:t xml:space="preserve"> v ČR a </w:t>
      </w:r>
      <w:r w:rsidR="00B42219">
        <w:rPr>
          <w:b/>
          <w:sz w:val="24"/>
          <w:szCs w:val="24"/>
        </w:rPr>
        <w:t xml:space="preserve">ze strany </w:t>
      </w:r>
      <w:r w:rsidR="005851FE">
        <w:rPr>
          <w:b/>
          <w:sz w:val="24"/>
          <w:szCs w:val="24"/>
        </w:rPr>
        <w:t>a</w:t>
      </w:r>
      <w:r w:rsidR="00976EA9">
        <w:rPr>
          <w:b/>
          <w:sz w:val="24"/>
          <w:szCs w:val="24"/>
        </w:rPr>
        <w:t>uditního orgánu</w:t>
      </w:r>
      <w:r w:rsidR="00B42219">
        <w:rPr>
          <w:b/>
          <w:sz w:val="24"/>
          <w:szCs w:val="24"/>
        </w:rPr>
        <w:t xml:space="preserve"> u</w:t>
      </w:r>
      <w:r w:rsidR="003E00F1">
        <w:rPr>
          <w:b/>
          <w:sz w:val="24"/>
          <w:szCs w:val="24"/>
        </w:rPr>
        <w:t> </w:t>
      </w:r>
      <w:r w:rsidR="00B42219">
        <w:rPr>
          <w:b/>
          <w:sz w:val="24"/>
          <w:szCs w:val="24"/>
        </w:rPr>
        <w:t>něj byla odhalena</w:t>
      </w:r>
      <w:r w:rsidR="00A63E2C" w:rsidRPr="001550CD">
        <w:rPr>
          <w:b/>
          <w:sz w:val="24"/>
          <w:szCs w:val="24"/>
        </w:rPr>
        <w:t xml:space="preserve"> </w:t>
      </w:r>
      <w:r w:rsidR="001550CD" w:rsidRPr="001550CD">
        <w:rPr>
          <w:b/>
          <w:sz w:val="24"/>
          <w:szCs w:val="24"/>
        </w:rPr>
        <w:t>vysok</w:t>
      </w:r>
      <w:r w:rsidR="00B42219">
        <w:rPr>
          <w:b/>
          <w:sz w:val="24"/>
          <w:szCs w:val="24"/>
        </w:rPr>
        <w:t>á</w:t>
      </w:r>
      <w:r w:rsidR="00A63E2C" w:rsidRPr="001550CD">
        <w:rPr>
          <w:b/>
          <w:sz w:val="24"/>
          <w:szCs w:val="24"/>
        </w:rPr>
        <w:t xml:space="preserve"> mír</w:t>
      </w:r>
      <w:r w:rsidR="00B42219">
        <w:rPr>
          <w:b/>
          <w:sz w:val="24"/>
          <w:szCs w:val="24"/>
        </w:rPr>
        <w:t>a</w:t>
      </w:r>
      <w:r w:rsidR="00A63E2C" w:rsidRPr="001550CD">
        <w:rPr>
          <w:b/>
          <w:sz w:val="24"/>
          <w:szCs w:val="24"/>
        </w:rPr>
        <w:t xml:space="preserve"> chybovosti projektů, což indikuje rezervy v říd</w:t>
      </w:r>
      <w:r w:rsidR="005851FE">
        <w:rPr>
          <w:b/>
          <w:sz w:val="24"/>
          <w:szCs w:val="24"/>
        </w:rPr>
        <w:t>i</w:t>
      </w:r>
      <w:r w:rsidR="00A63E2C" w:rsidRPr="001550CD">
        <w:rPr>
          <w:b/>
          <w:sz w:val="24"/>
          <w:szCs w:val="24"/>
        </w:rPr>
        <w:t xml:space="preserve">cí a kontrolní činnosti ŘO, financovaného </w:t>
      </w:r>
      <w:r w:rsidR="00B42219">
        <w:rPr>
          <w:b/>
          <w:sz w:val="24"/>
          <w:szCs w:val="24"/>
        </w:rPr>
        <w:t xml:space="preserve">právě </w:t>
      </w:r>
      <w:r w:rsidR="00A63E2C" w:rsidRPr="001550CD">
        <w:rPr>
          <w:b/>
          <w:sz w:val="24"/>
          <w:szCs w:val="24"/>
        </w:rPr>
        <w:t xml:space="preserve">z prostředků technické pomoci. </w:t>
      </w:r>
      <w:r w:rsidR="001550CD" w:rsidRPr="001550CD">
        <w:rPr>
          <w:b/>
          <w:sz w:val="24"/>
          <w:szCs w:val="24"/>
        </w:rPr>
        <w:t xml:space="preserve">NKÚ dále zjistil, že MPO výrazně nadhodnotilo potřebu peněžních prostředků na některé projekty technické pomoci a při jejich výběru nepostupovalo dostatečně průkazně. Kontrola zadávání veřejných zakázek na vybraném vzorku nezjistila nedostatky a až na výjimky byly výdaje na jednotlivé projekty vynaloženy účelně, hospodárně a v souladu s příslušnými </w:t>
      </w:r>
      <w:r w:rsidR="00D91581">
        <w:rPr>
          <w:b/>
          <w:sz w:val="24"/>
          <w:szCs w:val="24"/>
        </w:rPr>
        <w:t xml:space="preserve">právními </w:t>
      </w:r>
      <w:r w:rsidR="001550CD" w:rsidRPr="001550CD">
        <w:rPr>
          <w:b/>
          <w:sz w:val="24"/>
          <w:szCs w:val="24"/>
        </w:rPr>
        <w:t>předpisy a</w:t>
      </w:r>
      <w:r w:rsidR="003E00F1">
        <w:rPr>
          <w:b/>
          <w:sz w:val="24"/>
          <w:szCs w:val="24"/>
        </w:rPr>
        <w:t> </w:t>
      </w:r>
      <w:r w:rsidR="001550CD" w:rsidRPr="001550CD">
        <w:rPr>
          <w:b/>
          <w:sz w:val="24"/>
          <w:szCs w:val="24"/>
        </w:rPr>
        <w:t>pravidl</w:t>
      </w:r>
      <w:r w:rsidR="003A4F17">
        <w:rPr>
          <w:b/>
          <w:sz w:val="24"/>
          <w:szCs w:val="24"/>
        </w:rPr>
        <w:t xml:space="preserve">y. </w:t>
      </w:r>
      <w:r w:rsidR="003A4F17" w:rsidRPr="0044729D">
        <w:rPr>
          <w:b/>
          <w:sz w:val="24"/>
          <w:szCs w:val="24"/>
        </w:rPr>
        <w:t xml:space="preserve">Takovou výjimkou </w:t>
      </w:r>
      <w:r w:rsidR="00791BEA">
        <w:rPr>
          <w:b/>
          <w:sz w:val="24"/>
          <w:szCs w:val="24"/>
        </w:rPr>
        <w:t xml:space="preserve">z dodržení těchto kritérií </w:t>
      </w:r>
      <w:r w:rsidR="001550CD" w:rsidRPr="0044729D">
        <w:rPr>
          <w:b/>
          <w:sz w:val="24"/>
          <w:szCs w:val="24"/>
        </w:rPr>
        <w:t xml:space="preserve">byly </w:t>
      </w:r>
      <w:r w:rsidR="003A4F17" w:rsidRPr="0044729D">
        <w:rPr>
          <w:b/>
          <w:sz w:val="24"/>
          <w:szCs w:val="24"/>
        </w:rPr>
        <w:t xml:space="preserve">nezpůsobilé </w:t>
      </w:r>
      <w:r w:rsidR="001550CD" w:rsidRPr="0044729D">
        <w:rPr>
          <w:b/>
          <w:sz w:val="24"/>
          <w:szCs w:val="24"/>
        </w:rPr>
        <w:t xml:space="preserve">výdaje </w:t>
      </w:r>
      <w:r w:rsidR="003A4F17" w:rsidRPr="0044729D">
        <w:rPr>
          <w:b/>
          <w:sz w:val="24"/>
          <w:szCs w:val="24"/>
        </w:rPr>
        <w:t xml:space="preserve">MPO </w:t>
      </w:r>
      <w:r w:rsidR="000038BB">
        <w:rPr>
          <w:b/>
          <w:sz w:val="24"/>
          <w:szCs w:val="24"/>
        </w:rPr>
        <w:t xml:space="preserve">v celkové výši cca 1,3 mil. Kč zahrnující především náklady na </w:t>
      </w:r>
      <w:r w:rsidR="001550CD" w:rsidRPr="0044729D">
        <w:rPr>
          <w:b/>
          <w:sz w:val="24"/>
          <w:szCs w:val="24"/>
        </w:rPr>
        <w:t xml:space="preserve">tři tzv. výroční semináře za </w:t>
      </w:r>
      <w:r w:rsidR="000038BB">
        <w:rPr>
          <w:b/>
          <w:sz w:val="24"/>
          <w:szCs w:val="24"/>
        </w:rPr>
        <w:t xml:space="preserve">cca </w:t>
      </w:r>
      <w:r w:rsidR="001550CD" w:rsidRPr="0044729D">
        <w:rPr>
          <w:b/>
          <w:sz w:val="24"/>
          <w:szCs w:val="24"/>
        </w:rPr>
        <w:t>1,2 mil. Kč, které neměly charakter vzdělávání, jak by vyplývalo z povahy projektu, ale převážně společensk</w:t>
      </w:r>
      <w:r w:rsidR="005851FE">
        <w:rPr>
          <w:b/>
          <w:sz w:val="24"/>
          <w:szCs w:val="24"/>
        </w:rPr>
        <w:t>ých</w:t>
      </w:r>
      <w:r w:rsidR="001550CD" w:rsidRPr="0044729D">
        <w:rPr>
          <w:b/>
          <w:sz w:val="24"/>
          <w:szCs w:val="24"/>
        </w:rPr>
        <w:t xml:space="preserve"> akc</w:t>
      </w:r>
      <w:r w:rsidR="005851FE">
        <w:rPr>
          <w:b/>
          <w:sz w:val="24"/>
          <w:szCs w:val="24"/>
        </w:rPr>
        <w:t>í</w:t>
      </w:r>
      <w:r w:rsidR="001550CD" w:rsidRPr="0044729D">
        <w:rPr>
          <w:b/>
          <w:sz w:val="24"/>
          <w:szCs w:val="24"/>
        </w:rPr>
        <w:t xml:space="preserve"> pro zaměstnance implementační struktury.</w:t>
      </w:r>
    </w:p>
    <w:p w14:paraId="3AF7752F" w14:textId="77777777" w:rsidR="001550CD" w:rsidRPr="001550CD" w:rsidRDefault="001550CD" w:rsidP="00DC5549">
      <w:pPr>
        <w:pStyle w:val="Odstavecseseznamem"/>
        <w:tabs>
          <w:tab w:val="left" w:pos="567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42576158" w14:textId="77777777" w:rsidR="003639AD" w:rsidRPr="00B37224" w:rsidRDefault="003639AD" w:rsidP="00EB6B7F">
      <w:pPr>
        <w:pStyle w:val="Odstavecseseznamem"/>
        <w:numPr>
          <w:ilvl w:val="1"/>
          <w:numId w:val="28"/>
        </w:numPr>
        <w:spacing w:after="0" w:line="240" w:lineRule="auto"/>
        <w:ind w:left="567" w:hanging="567"/>
        <w:jc w:val="both"/>
        <w:rPr>
          <w:b/>
          <w:sz w:val="24"/>
          <w:szCs w:val="24"/>
        </w:rPr>
      </w:pPr>
      <w:r w:rsidRPr="00B37224">
        <w:rPr>
          <w:b/>
          <w:sz w:val="24"/>
          <w:szCs w:val="24"/>
        </w:rPr>
        <w:t>Toto celkové zhodnocení se opírá o následu</w:t>
      </w:r>
      <w:r w:rsidR="00021DAE" w:rsidRPr="00B37224">
        <w:rPr>
          <w:b/>
          <w:sz w:val="24"/>
          <w:szCs w:val="24"/>
        </w:rPr>
        <w:t>jící hlavní zjištění z kontroly:</w:t>
      </w:r>
    </w:p>
    <w:p w14:paraId="2D3E3B92" w14:textId="77777777" w:rsidR="00021DAE" w:rsidRPr="00021DAE" w:rsidRDefault="00021DAE" w:rsidP="00021DAE">
      <w:pPr>
        <w:spacing w:after="0" w:line="240" w:lineRule="auto"/>
        <w:jc w:val="both"/>
        <w:rPr>
          <w:sz w:val="24"/>
          <w:szCs w:val="24"/>
        </w:rPr>
      </w:pPr>
    </w:p>
    <w:p w14:paraId="47801845" w14:textId="6DC104A2" w:rsidR="00021DAE" w:rsidRPr="003A6DEE" w:rsidRDefault="003639AD" w:rsidP="00021DAE">
      <w:pPr>
        <w:pStyle w:val="Odstavecseseznamem"/>
        <w:numPr>
          <w:ilvl w:val="0"/>
          <w:numId w:val="29"/>
        </w:numPr>
        <w:spacing w:after="0" w:line="240" w:lineRule="auto"/>
        <w:ind w:left="714" w:hanging="357"/>
        <w:jc w:val="both"/>
        <w:rPr>
          <w:rFonts w:cstheme="minorHAnsi"/>
          <w:sz w:val="24"/>
          <w:szCs w:val="24"/>
        </w:rPr>
      </w:pPr>
      <w:r w:rsidRPr="003A6DEE">
        <w:rPr>
          <w:rFonts w:cstheme="minorHAnsi"/>
          <w:sz w:val="24"/>
          <w:szCs w:val="24"/>
        </w:rPr>
        <w:t>Soustava ukazatelů výsledku a</w:t>
      </w:r>
      <w:r w:rsidR="002355E1">
        <w:rPr>
          <w:rFonts w:cstheme="minorHAnsi"/>
          <w:sz w:val="24"/>
          <w:szCs w:val="24"/>
        </w:rPr>
        <w:t xml:space="preserve"> </w:t>
      </w:r>
      <w:r w:rsidR="005B5CAB">
        <w:rPr>
          <w:rFonts w:cstheme="minorHAnsi"/>
          <w:sz w:val="24"/>
          <w:szCs w:val="24"/>
        </w:rPr>
        <w:t>výstupu pro PO </w:t>
      </w:r>
      <w:r w:rsidRPr="003A6DEE">
        <w:rPr>
          <w:rFonts w:cstheme="minorHAnsi"/>
          <w:sz w:val="24"/>
          <w:szCs w:val="24"/>
        </w:rPr>
        <w:t>5 OPPIK, stanovená MPO v </w:t>
      </w:r>
      <w:r w:rsidR="005851FE">
        <w:rPr>
          <w:rFonts w:cstheme="minorHAnsi"/>
          <w:sz w:val="24"/>
          <w:szCs w:val="24"/>
        </w:rPr>
        <w:t>p</w:t>
      </w:r>
      <w:r w:rsidRPr="003A6DEE">
        <w:rPr>
          <w:rFonts w:cstheme="minorHAnsi"/>
          <w:sz w:val="24"/>
          <w:szCs w:val="24"/>
        </w:rPr>
        <w:t xml:space="preserve">rogramovém dokumentu OPPIK, je pro sledování naplnění všech očekávaných </w:t>
      </w:r>
      <w:r w:rsidRPr="00C50D5A">
        <w:rPr>
          <w:rFonts w:cstheme="minorHAnsi"/>
          <w:sz w:val="24"/>
          <w:szCs w:val="24"/>
        </w:rPr>
        <w:t>výsledků nevhodná</w:t>
      </w:r>
      <w:r w:rsidR="003A6DEE" w:rsidRPr="00C50D5A">
        <w:rPr>
          <w:rFonts w:cstheme="minorHAnsi"/>
          <w:sz w:val="24"/>
          <w:szCs w:val="24"/>
        </w:rPr>
        <w:t>. MPO ne</w:t>
      </w:r>
      <w:r w:rsidR="00EB6B7F" w:rsidRPr="00C50D5A">
        <w:rPr>
          <w:sz w:val="24"/>
          <w:szCs w:val="24"/>
        </w:rPr>
        <w:t>stanov</w:t>
      </w:r>
      <w:r w:rsidR="003A6DEE" w:rsidRPr="00C50D5A">
        <w:rPr>
          <w:sz w:val="24"/>
          <w:szCs w:val="24"/>
        </w:rPr>
        <w:t xml:space="preserve">ilo </w:t>
      </w:r>
      <w:r w:rsidR="00EB6B7F" w:rsidRPr="00C50D5A">
        <w:rPr>
          <w:sz w:val="24"/>
          <w:szCs w:val="24"/>
        </w:rPr>
        <w:t>ukazatele</w:t>
      </w:r>
      <w:r w:rsidR="00FE2A50" w:rsidRPr="00C50D5A">
        <w:rPr>
          <w:sz w:val="24"/>
          <w:szCs w:val="24"/>
        </w:rPr>
        <w:t xml:space="preserve"> </w:t>
      </w:r>
      <w:r w:rsidR="00FE2A50" w:rsidRPr="00C50D5A">
        <w:rPr>
          <w:rFonts w:cstheme="minorHAnsi"/>
          <w:sz w:val="24"/>
          <w:szCs w:val="24"/>
        </w:rPr>
        <w:t>p</w:t>
      </w:r>
      <w:r w:rsidR="00FE2A50" w:rsidRPr="00C50D5A">
        <w:rPr>
          <w:sz w:val="24"/>
          <w:szCs w:val="24"/>
        </w:rPr>
        <w:t xml:space="preserve">ro </w:t>
      </w:r>
      <w:r w:rsidR="003A6DEE" w:rsidRPr="00C50D5A">
        <w:rPr>
          <w:sz w:val="24"/>
          <w:szCs w:val="24"/>
        </w:rPr>
        <w:t xml:space="preserve">všechny stanovené očekávané výsledky. </w:t>
      </w:r>
      <w:r w:rsidR="00D71E3E" w:rsidRPr="00C50D5A">
        <w:rPr>
          <w:sz w:val="24"/>
          <w:szCs w:val="24"/>
        </w:rPr>
        <w:t>Stanovené u</w:t>
      </w:r>
      <w:r w:rsidR="00021DAE" w:rsidRPr="00C50D5A">
        <w:rPr>
          <w:rFonts w:cstheme="minorHAnsi"/>
          <w:sz w:val="24"/>
          <w:szCs w:val="24"/>
        </w:rPr>
        <w:t>kazatele výsledku nemají dos</w:t>
      </w:r>
      <w:r w:rsidR="00EC177B" w:rsidRPr="00C50D5A">
        <w:rPr>
          <w:rFonts w:cstheme="minorHAnsi"/>
          <w:sz w:val="24"/>
          <w:szCs w:val="24"/>
        </w:rPr>
        <w:t>tatečnou vypovídací schopnost o </w:t>
      </w:r>
      <w:r w:rsidR="00021DAE" w:rsidRPr="00C50D5A">
        <w:rPr>
          <w:rFonts w:cstheme="minorHAnsi"/>
          <w:sz w:val="24"/>
          <w:szCs w:val="24"/>
        </w:rPr>
        <w:t>naplnění specifick</w:t>
      </w:r>
      <w:r w:rsidR="00D71E3E" w:rsidRPr="00C50D5A">
        <w:rPr>
          <w:rFonts w:cstheme="minorHAnsi"/>
          <w:sz w:val="24"/>
          <w:szCs w:val="24"/>
        </w:rPr>
        <w:t xml:space="preserve">ých </w:t>
      </w:r>
      <w:r w:rsidR="00021DAE" w:rsidRPr="00C50D5A">
        <w:rPr>
          <w:rFonts w:cstheme="minorHAnsi"/>
          <w:sz w:val="24"/>
          <w:szCs w:val="24"/>
        </w:rPr>
        <w:t>cíl</w:t>
      </w:r>
      <w:r w:rsidR="00D71E3E" w:rsidRPr="00C50D5A">
        <w:rPr>
          <w:rFonts w:cstheme="minorHAnsi"/>
          <w:sz w:val="24"/>
          <w:szCs w:val="24"/>
        </w:rPr>
        <w:t>ů</w:t>
      </w:r>
      <w:r w:rsidR="003A6DEE" w:rsidRPr="00C50D5A">
        <w:rPr>
          <w:rFonts w:cstheme="minorHAnsi"/>
          <w:sz w:val="24"/>
          <w:szCs w:val="24"/>
        </w:rPr>
        <w:t>. D</w:t>
      </w:r>
      <w:r w:rsidR="00021DAE" w:rsidRPr="00C50D5A">
        <w:rPr>
          <w:rFonts w:cstheme="minorHAnsi"/>
          <w:sz w:val="24"/>
          <w:szCs w:val="24"/>
        </w:rPr>
        <w:t xml:space="preserve">osažení cílových hodnot </w:t>
      </w:r>
      <w:r w:rsidR="00EB6B7F" w:rsidRPr="00C50D5A">
        <w:rPr>
          <w:rFonts w:cstheme="minorHAnsi"/>
          <w:sz w:val="24"/>
          <w:szCs w:val="24"/>
        </w:rPr>
        <w:t>ukazatelů výstupu je pro MPO nepovinné</w:t>
      </w:r>
      <w:r w:rsidRPr="00C50D5A">
        <w:rPr>
          <w:rFonts w:cstheme="minorHAnsi"/>
          <w:sz w:val="24"/>
          <w:szCs w:val="24"/>
        </w:rPr>
        <w:t xml:space="preserve"> </w:t>
      </w:r>
      <w:r w:rsidRPr="00C50D5A">
        <w:rPr>
          <w:sz w:val="24"/>
          <w:szCs w:val="24"/>
        </w:rPr>
        <w:t>(viz odst. 4.</w:t>
      </w:r>
      <w:r w:rsidR="00A9255C" w:rsidRPr="00C50D5A">
        <w:rPr>
          <w:sz w:val="24"/>
          <w:szCs w:val="24"/>
        </w:rPr>
        <w:t>3</w:t>
      </w:r>
      <w:r w:rsidRPr="00C50D5A">
        <w:rPr>
          <w:sz w:val="24"/>
          <w:szCs w:val="24"/>
        </w:rPr>
        <w:t xml:space="preserve"> až 4.</w:t>
      </w:r>
      <w:r w:rsidR="00C50D5A" w:rsidRPr="00C50D5A">
        <w:rPr>
          <w:sz w:val="24"/>
          <w:szCs w:val="24"/>
        </w:rPr>
        <w:t>8</w:t>
      </w:r>
      <w:r w:rsidRPr="00C50D5A">
        <w:rPr>
          <w:sz w:val="24"/>
          <w:szCs w:val="24"/>
        </w:rPr>
        <w:t>).</w:t>
      </w:r>
    </w:p>
    <w:p w14:paraId="182FECCE" w14:textId="77777777" w:rsidR="00021DAE" w:rsidRPr="00021DAE" w:rsidRDefault="00021DAE" w:rsidP="00021DA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19C573B" w14:textId="79298220" w:rsidR="00021DAE" w:rsidRPr="00021DAE" w:rsidRDefault="00F955A2" w:rsidP="00F955A2">
      <w:pPr>
        <w:pStyle w:val="Odstavecseseznamem"/>
        <w:numPr>
          <w:ilvl w:val="0"/>
          <w:numId w:val="29"/>
        </w:numPr>
        <w:spacing w:after="0" w:line="280" w:lineRule="atLeast"/>
        <w:jc w:val="both"/>
        <w:rPr>
          <w:sz w:val="24"/>
          <w:szCs w:val="24"/>
        </w:rPr>
      </w:pPr>
      <w:r w:rsidRPr="00F955A2">
        <w:rPr>
          <w:sz w:val="24"/>
          <w:szCs w:val="24"/>
        </w:rPr>
        <w:t xml:space="preserve">MPO nemělo žádný relevantní podklad, na jehož základě stanovilo </w:t>
      </w:r>
      <w:r w:rsidR="00021DAE" w:rsidRPr="00021DAE">
        <w:rPr>
          <w:sz w:val="24"/>
          <w:szCs w:val="24"/>
        </w:rPr>
        <w:t>cílov</w:t>
      </w:r>
      <w:r>
        <w:rPr>
          <w:sz w:val="24"/>
          <w:szCs w:val="24"/>
        </w:rPr>
        <w:t>é</w:t>
      </w:r>
      <w:r w:rsidR="00F2445E">
        <w:rPr>
          <w:sz w:val="24"/>
          <w:szCs w:val="24"/>
        </w:rPr>
        <w:t xml:space="preserve"> hodnot</w:t>
      </w:r>
      <w:r>
        <w:rPr>
          <w:sz w:val="24"/>
          <w:szCs w:val="24"/>
        </w:rPr>
        <w:t>y</w:t>
      </w:r>
      <w:r w:rsidR="00F2445E">
        <w:rPr>
          <w:sz w:val="24"/>
          <w:szCs w:val="24"/>
        </w:rPr>
        <w:t xml:space="preserve"> ukazatelů výsledku a </w:t>
      </w:r>
      <w:r w:rsidR="00021DAE" w:rsidRPr="00021DAE">
        <w:rPr>
          <w:sz w:val="24"/>
          <w:szCs w:val="24"/>
        </w:rPr>
        <w:t>výstupu pro naplnění obou specifických cílů PO 5 OPPIK. Cílová hodnota ukazatele výsledku „</w:t>
      </w:r>
      <w:r w:rsidR="00021DAE" w:rsidRPr="00986916">
        <w:rPr>
          <w:sz w:val="24"/>
          <w:szCs w:val="24"/>
        </w:rPr>
        <w:t>Míra stabilizace zaměstnanců implementační struktury</w:t>
      </w:r>
      <w:r w:rsidR="00021DAE" w:rsidRPr="00021DAE">
        <w:rPr>
          <w:sz w:val="24"/>
          <w:szCs w:val="24"/>
        </w:rPr>
        <w:t xml:space="preserve">“ není průběžně dosahována, </w:t>
      </w:r>
      <w:r w:rsidR="005851FE">
        <w:rPr>
          <w:sz w:val="24"/>
          <w:szCs w:val="24"/>
        </w:rPr>
        <w:t>přitom</w:t>
      </w:r>
      <w:r w:rsidR="00021DAE" w:rsidRPr="00021DAE">
        <w:rPr>
          <w:sz w:val="24"/>
          <w:szCs w:val="24"/>
        </w:rPr>
        <w:t xml:space="preserve"> </w:t>
      </w:r>
      <w:r w:rsidR="00021DAE">
        <w:rPr>
          <w:sz w:val="24"/>
          <w:szCs w:val="24"/>
        </w:rPr>
        <w:t xml:space="preserve">pro </w:t>
      </w:r>
      <w:r w:rsidR="00021DAE" w:rsidRPr="00021DAE">
        <w:rPr>
          <w:sz w:val="24"/>
          <w:szCs w:val="24"/>
        </w:rPr>
        <w:t xml:space="preserve">zajištění úspěšné implementace OPPIK je </w:t>
      </w:r>
      <w:r w:rsidR="00F2445E">
        <w:rPr>
          <w:sz w:val="24"/>
          <w:szCs w:val="24"/>
        </w:rPr>
        <w:t xml:space="preserve">vhodné </w:t>
      </w:r>
      <w:r w:rsidR="00832BE8">
        <w:rPr>
          <w:sz w:val="24"/>
          <w:szCs w:val="24"/>
        </w:rPr>
        <w:t>blížit se plánované cílové hodnotě</w:t>
      </w:r>
      <w:r w:rsidR="00021DAE" w:rsidRPr="00021DAE">
        <w:rPr>
          <w:sz w:val="24"/>
          <w:szCs w:val="24"/>
        </w:rPr>
        <w:t xml:space="preserve"> tohoto ukazatele v průběhu celého </w:t>
      </w:r>
      <w:r w:rsidR="00021DAE" w:rsidRPr="00021DAE">
        <w:rPr>
          <w:sz w:val="24"/>
          <w:szCs w:val="24"/>
        </w:rPr>
        <w:lastRenderedPageBreak/>
        <w:t>programového období</w:t>
      </w:r>
      <w:r w:rsidR="00310C59">
        <w:rPr>
          <w:sz w:val="24"/>
          <w:szCs w:val="24"/>
        </w:rPr>
        <w:t>. V případě ukazatele výsledku „</w:t>
      </w:r>
      <w:r w:rsidR="00310C59" w:rsidRPr="00802041">
        <w:rPr>
          <w:sz w:val="24"/>
          <w:szCs w:val="24"/>
        </w:rPr>
        <w:t>Míra úspěšnosti projektových žádostí</w:t>
      </w:r>
      <w:r w:rsidR="00310C59">
        <w:rPr>
          <w:sz w:val="24"/>
          <w:szCs w:val="24"/>
        </w:rPr>
        <w:t xml:space="preserve">“ byl naplánován jen zcela marginální posun oproti výchozí hodnotě na počátku programového období </w:t>
      </w:r>
      <w:r w:rsidR="00053E02" w:rsidRPr="00C50D5A">
        <w:rPr>
          <w:sz w:val="24"/>
          <w:szCs w:val="24"/>
        </w:rPr>
        <w:t>(viz odst. 4.</w:t>
      </w:r>
      <w:r w:rsidR="00F84C76">
        <w:rPr>
          <w:sz w:val="24"/>
          <w:szCs w:val="24"/>
        </w:rPr>
        <w:t>9</w:t>
      </w:r>
      <w:r w:rsidR="00A9255C" w:rsidRPr="00C50D5A">
        <w:rPr>
          <w:sz w:val="24"/>
          <w:szCs w:val="24"/>
        </w:rPr>
        <w:t xml:space="preserve"> a</w:t>
      </w:r>
      <w:r w:rsidR="00C50D5A" w:rsidRPr="00C50D5A">
        <w:rPr>
          <w:sz w:val="24"/>
          <w:szCs w:val="24"/>
        </w:rPr>
        <w:t>ž</w:t>
      </w:r>
      <w:r w:rsidR="00A9255C" w:rsidRPr="00C50D5A">
        <w:rPr>
          <w:sz w:val="24"/>
          <w:szCs w:val="24"/>
        </w:rPr>
        <w:t> </w:t>
      </w:r>
      <w:r w:rsidR="00053E02" w:rsidRPr="00C50D5A">
        <w:rPr>
          <w:sz w:val="24"/>
          <w:szCs w:val="24"/>
        </w:rPr>
        <w:t>4.</w:t>
      </w:r>
      <w:r w:rsidR="00A9255C" w:rsidRPr="00C50D5A">
        <w:rPr>
          <w:sz w:val="24"/>
          <w:szCs w:val="24"/>
        </w:rPr>
        <w:t>1</w:t>
      </w:r>
      <w:r w:rsidR="00C50D5A" w:rsidRPr="00C50D5A">
        <w:rPr>
          <w:sz w:val="24"/>
          <w:szCs w:val="24"/>
        </w:rPr>
        <w:t>3</w:t>
      </w:r>
      <w:r w:rsidR="00053E02" w:rsidRPr="00C50D5A">
        <w:rPr>
          <w:sz w:val="24"/>
          <w:szCs w:val="24"/>
        </w:rPr>
        <w:t>)</w:t>
      </w:r>
      <w:r w:rsidR="00021DAE" w:rsidRPr="00C50D5A">
        <w:rPr>
          <w:sz w:val="24"/>
          <w:szCs w:val="24"/>
        </w:rPr>
        <w:t>.</w:t>
      </w:r>
    </w:p>
    <w:p w14:paraId="65CB3558" w14:textId="77777777" w:rsidR="00021DAE" w:rsidRPr="00021DAE" w:rsidRDefault="00021DAE" w:rsidP="00021DAE">
      <w:pPr>
        <w:spacing w:after="0" w:line="280" w:lineRule="atLeast"/>
        <w:jc w:val="both"/>
        <w:rPr>
          <w:sz w:val="24"/>
          <w:szCs w:val="24"/>
        </w:rPr>
      </w:pPr>
    </w:p>
    <w:p w14:paraId="3FCA52AD" w14:textId="43723886" w:rsidR="003639AD" w:rsidRPr="009D3338" w:rsidRDefault="003639AD" w:rsidP="009D3338">
      <w:pPr>
        <w:pStyle w:val="Odstavecseseznamem"/>
        <w:numPr>
          <w:ilvl w:val="0"/>
          <w:numId w:val="29"/>
        </w:numPr>
        <w:spacing w:after="0" w:line="280" w:lineRule="atLeast"/>
        <w:jc w:val="both"/>
        <w:rPr>
          <w:sz w:val="24"/>
          <w:szCs w:val="24"/>
        </w:rPr>
      </w:pPr>
      <w:r w:rsidRPr="009D3338">
        <w:rPr>
          <w:sz w:val="24"/>
          <w:szCs w:val="24"/>
        </w:rPr>
        <w:t>Nejnižší míra čerpání peněžních prostředků mezi operačními programy ČR a pozastavená certifikace výdajů OPPIK ze strany Evropské komise indikuj</w:t>
      </w:r>
      <w:r w:rsidR="008F5D58">
        <w:rPr>
          <w:sz w:val="24"/>
          <w:szCs w:val="24"/>
        </w:rPr>
        <w:t>í</w:t>
      </w:r>
      <w:r w:rsidRPr="009D3338">
        <w:rPr>
          <w:sz w:val="24"/>
          <w:szCs w:val="24"/>
        </w:rPr>
        <w:t xml:space="preserve"> rezervy v efektivitě </w:t>
      </w:r>
      <w:r w:rsidR="005E7465" w:rsidRPr="009D3338">
        <w:rPr>
          <w:sz w:val="24"/>
          <w:szCs w:val="24"/>
        </w:rPr>
        <w:t>říd</w:t>
      </w:r>
      <w:r w:rsidR="008F5D58">
        <w:rPr>
          <w:sz w:val="24"/>
          <w:szCs w:val="24"/>
        </w:rPr>
        <w:t>i</w:t>
      </w:r>
      <w:r w:rsidR="005E7465" w:rsidRPr="009D3338">
        <w:rPr>
          <w:sz w:val="24"/>
          <w:szCs w:val="24"/>
        </w:rPr>
        <w:t xml:space="preserve">cí a kontrolní </w:t>
      </w:r>
      <w:r w:rsidRPr="009D3338">
        <w:rPr>
          <w:sz w:val="24"/>
          <w:szCs w:val="24"/>
        </w:rPr>
        <w:t>činnosti zaměstnanců podílejících se na implementaci OPPIK</w:t>
      </w:r>
      <w:r w:rsidR="00C52E2B" w:rsidRPr="009D3338">
        <w:rPr>
          <w:sz w:val="24"/>
          <w:szCs w:val="24"/>
        </w:rPr>
        <w:t xml:space="preserve">. </w:t>
      </w:r>
      <w:r w:rsidR="009D3338" w:rsidRPr="009D3338">
        <w:rPr>
          <w:sz w:val="24"/>
          <w:szCs w:val="24"/>
        </w:rPr>
        <w:t>T</w:t>
      </w:r>
      <w:r w:rsidR="006C3FBA">
        <w:rPr>
          <w:sz w:val="24"/>
          <w:szCs w:val="24"/>
        </w:rPr>
        <w:t>yto</w:t>
      </w:r>
      <w:r w:rsidR="009D3338" w:rsidRPr="009D3338">
        <w:rPr>
          <w:sz w:val="24"/>
          <w:szCs w:val="24"/>
        </w:rPr>
        <w:t xml:space="preserve"> činnost</w:t>
      </w:r>
      <w:r w:rsidR="006C3FBA">
        <w:rPr>
          <w:sz w:val="24"/>
          <w:szCs w:val="24"/>
        </w:rPr>
        <w:t>i</w:t>
      </w:r>
      <w:r w:rsidR="009D3338" w:rsidRPr="009D3338">
        <w:rPr>
          <w:sz w:val="24"/>
          <w:szCs w:val="24"/>
        </w:rPr>
        <w:t xml:space="preserve"> </w:t>
      </w:r>
      <w:r w:rsidR="006C3FBA">
        <w:rPr>
          <w:sz w:val="24"/>
          <w:szCs w:val="24"/>
        </w:rPr>
        <w:t>jsou hrazeny</w:t>
      </w:r>
      <w:r w:rsidR="009D3338" w:rsidRPr="009D3338">
        <w:rPr>
          <w:sz w:val="24"/>
          <w:szCs w:val="24"/>
        </w:rPr>
        <w:t xml:space="preserve"> </w:t>
      </w:r>
      <w:r w:rsidR="00D04B99" w:rsidRPr="00C50D5A">
        <w:rPr>
          <w:sz w:val="24"/>
          <w:szCs w:val="24"/>
        </w:rPr>
        <w:t xml:space="preserve">právě </w:t>
      </w:r>
      <w:r w:rsidR="00D04B99">
        <w:rPr>
          <w:sz w:val="24"/>
          <w:szCs w:val="24"/>
        </w:rPr>
        <w:t>z</w:t>
      </w:r>
      <w:r w:rsidR="009D3338" w:rsidRPr="00C50D5A">
        <w:rPr>
          <w:sz w:val="24"/>
          <w:szCs w:val="24"/>
        </w:rPr>
        <w:t xml:space="preserve"> technické pomoci, kdy zcela převažující část výdajů této pomoci </w:t>
      </w:r>
      <w:r w:rsidR="006C3FBA">
        <w:rPr>
          <w:sz w:val="24"/>
          <w:szCs w:val="24"/>
        </w:rPr>
        <w:t>je určena</w:t>
      </w:r>
      <w:r w:rsidR="006A4C88">
        <w:rPr>
          <w:sz w:val="24"/>
          <w:szCs w:val="24"/>
        </w:rPr>
        <w:t xml:space="preserve"> </w:t>
      </w:r>
      <w:r w:rsidR="009D3338" w:rsidRPr="00C50D5A">
        <w:rPr>
          <w:sz w:val="24"/>
          <w:szCs w:val="24"/>
        </w:rPr>
        <w:t xml:space="preserve">na osobní náklady zaměstnanců implementační struktury </w:t>
      </w:r>
      <w:r w:rsidRPr="00C50D5A">
        <w:rPr>
          <w:sz w:val="24"/>
          <w:szCs w:val="24"/>
        </w:rPr>
        <w:t>(viz odst. 4.</w:t>
      </w:r>
      <w:r w:rsidR="00A9255C" w:rsidRPr="00C50D5A">
        <w:rPr>
          <w:sz w:val="24"/>
          <w:szCs w:val="24"/>
        </w:rPr>
        <w:t>1</w:t>
      </w:r>
      <w:r w:rsidR="00F84C76">
        <w:rPr>
          <w:sz w:val="24"/>
          <w:szCs w:val="24"/>
        </w:rPr>
        <w:t>4</w:t>
      </w:r>
      <w:r w:rsidRPr="00C50D5A">
        <w:rPr>
          <w:sz w:val="24"/>
          <w:szCs w:val="24"/>
        </w:rPr>
        <w:t xml:space="preserve"> až 4.</w:t>
      </w:r>
      <w:r w:rsidR="00E41767">
        <w:rPr>
          <w:sz w:val="24"/>
          <w:szCs w:val="24"/>
        </w:rPr>
        <w:t>19</w:t>
      </w:r>
      <w:r w:rsidRPr="00C50D5A">
        <w:rPr>
          <w:sz w:val="24"/>
          <w:szCs w:val="24"/>
        </w:rPr>
        <w:t>).</w:t>
      </w:r>
    </w:p>
    <w:p w14:paraId="4FD296C1" w14:textId="77777777" w:rsidR="005E7465" w:rsidRDefault="005E7465" w:rsidP="005E7465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CEE5722" w14:textId="09B7C228" w:rsidR="003639AD" w:rsidRPr="00C50D5A" w:rsidRDefault="003639AD" w:rsidP="009D333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C0838">
        <w:rPr>
          <w:rFonts w:cstheme="minorHAnsi"/>
          <w:sz w:val="24"/>
          <w:szCs w:val="24"/>
        </w:rPr>
        <w:t xml:space="preserve">Výši alokace pro PO 5 OPPIK stanovilo MPO na základě </w:t>
      </w:r>
      <w:r w:rsidR="00F92EEB" w:rsidRPr="008C0838">
        <w:rPr>
          <w:rFonts w:cstheme="minorHAnsi"/>
          <w:sz w:val="24"/>
          <w:szCs w:val="24"/>
        </w:rPr>
        <w:t xml:space="preserve">odhadu, zkušeností z minulého programového období </w:t>
      </w:r>
      <w:r w:rsidR="00A07F74" w:rsidRPr="008C0838">
        <w:rPr>
          <w:rFonts w:cstheme="minorHAnsi"/>
          <w:sz w:val="24"/>
          <w:szCs w:val="24"/>
        </w:rPr>
        <w:t xml:space="preserve">a </w:t>
      </w:r>
      <w:r w:rsidR="009D3338">
        <w:rPr>
          <w:rFonts w:cstheme="minorHAnsi"/>
          <w:sz w:val="24"/>
          <w:szCs w:val="24"/>
        </w:rPr>
        <w:t xml:space="preserve">obecného </w:t>
      </w:r>
      <w:r w:rsidRPr="008C0838">
        <w:rPr>
          <w:rFonts w:cstheme="minorHAnsi"/>
          <w:sz w:val="24"/>
          <w:szCs w:val="24"/>
        </w:rPr>
        <w:t>doporučení zpracovatele</w:t>
      </w:r>
      <w:r w:rsidR="009D3338">
        <w:rPr>
          <w:rFonts w:cstheme="minorHAnsi"/>
          <w:sz w:val="24"/>
          <w:szCs w:val="24"/>
        </w:rPr>
        <w:t xml:space="preserve"> tzv. Analýzy absorpční kapacity</w:t>
      </w:r>
      <w:r w:rsidR="009D3338">
        <w:rPr>
          <w:rStyle w:val="Znakapoznpodarou"/>
          <w:rFonts w:cstheme="minorHAnsi"/>
          <w:sz w:val="24"/>
          <w:szCs w:val="24"/>
        </w:rPr>
        <w:footnoteReference w:id="3"/>
      </w:r>
      <w:r w:rsidR="00F2445E">
        <w:rPr>
          <w:rFonts w:cstheme="minorHAnsi"/>
          <w:sz w:val="24"/>
          <w:szCs w:val="24"/>
        </w:rPr>
        <w:t xml:space="preserve">, a to </w:t>
      </w:r>
      <w:r w:rsidRPr="008C0838">
        <w:rPr>
          <w:rFonts w:cstheme="minorHAnsi"/>
          <w:sz w:val="24"/>
          <w:szCs w:val="24"/>
        </w:rPr>
        <w:t xml:space="preserve">bez doložení potřebnosti </w:t>
      </w:r>
      <w:r w:rsidR="008F5D58">
        <w:rPr>
          <w:rFonts w:cstheme="minorHAnsi"/>
          <w:sz w:val="24"/>
          <w:szCs w:val="24"/>
        </w:rPr>
        <w:t>této</w:t>
      </w:r>
      <w:r w:rsidRPr="008C0838">
        <w:rPr>
          <w:rFonts w:cstheme="minorHAnsi"/>
          <w:sz w:val="24"/>
          <w:szCs w:val="24"/>
        </w:rPr>
        <w:t xml:space="preserve"> </w:t>
      </w:r>
      <w:r w:rsidR="00F92EEB" w:rsidRPr="008C0838">
        <w:rPr>
          <w:rFonts w:cstheme="minorHAnsi"/>
          <w:sz w:val="24"/>
          <w:szCs w:val="24"/>
        </w:rPr>
        <w:t>výše k </w:t>
      </w:r>
      <w:r w:rsidR="009D3338">
        <w:rPr>
          <w:rFonts w:cstheme="minorHAnsi"/>
          <w:sz w:val="24"/>
          <w:szCs w:val="24"/>
        </w:rPr>
        <w:t xml:space="preserve">naplnění cílů PO 5 OPPIK. </w:t>
      </w:r>
      <w:r w:rsidR="00F92EEB" w:rsidRPr="008C0838">
        <w:rPr>
          <w:rFonts w:cstheme="minorHAnsi"/>
          <w:sz w:val="24"/>
          <w:szCs w:val="24"/>
        </w:rPr>
        <w:t>U projektů technické pomoci (mimo projekt</w:t>
      </w:r>
      <w:r w:rsidR="006C3FBA">
        <w:rPr>
          <w:rFonts w:cstheme="minorHAnsi"/>
          <w:sz w:val="24"/>
          <w:szCs w:val="24"/>
        </w:rPr>
        <w:t>y</w:t>
      </w:r>
      <w:r w:rsidR="00F92EEB" w:rsidRPr="008C0838">
        <w:rPr>
          <w:rFonts w:cstheme="minorHAnsi"/>
          <w:sz w:val="24"/>
          <w:szCs w:val="24"/>
        </w:rPr>
        <w:t xml:space="preserve"> na </w:t>
      </w:r>
      <w:r w:rsidR="0058558E">
        <w:rPr>
          <w:rFonts w:cstheme="minorHAnsi"/>
          <w:sz w:val="24"/>
          <w:szCs w:val="24"/>
        </w:rPr>
        <w:t>o</w:t>
      </w:r>
      <w:r w:rsidR="00F92EEB" w:rsidRPr="008C0838">
        <w:rPr>
          <w:rFonts w:cstheme="minorHAnsi"/>
          <w:sz w:val="24"/>
          <w:szCs w:val="24"/>
        </w:rPr>
        <w:t xml:space="preserve">sobní náklady) limity </w:t>
      </w:r>
      <w:r w:rsidR="006A4C88">
        <w:rPr>
          <w:rFonts w:cstheme="minorHAnsi"/>
          <w:sz w:val="24"/>
          <w:szCs w:val="24"/>
        </w:rPr>
        <w:t xml:space="preserve">výdajů </w:t>
      </w:r>
      <w:r w:rsidR="00F92EEB" w:rsidRPr="008C0838">
        <w:rPr>
          <w:rFonts w:cstheme="minorHAnsi"/>
          <w:sz w:val="24"/>
          <w:szCs w:val="24"/>
        </w:rPr>
        <w:t xml:space="preserve">MPO </w:t>
      </w:r>
      <w:r w:rsidR="00F92EEB" w:rsidRPr="00C50D5A">
        <w:rPr>
          <w:rFonts w:cstheme="minorHAnsi"/>
          <w:sz w:val="24"/>
          <w:szCs w:val="24"/>
        </w:rPr>
        <w:t xml:space="preserve">značně nadhodnotilo, neboť výše čerpání </w:t>
      </w:r>
      <w:r w:rsidR="00656587" w:rsidRPr="00C50D5A">
        <w:rPr>
          <w:rFonts w:cstheme="minorHAnsi"/>
          <w:sz w:val="24"/>
          <w:szCs w:val="24"/>
        </w:rPr>
        <w:t xml:space="preserve">činila </w:t>
      </w:r>
      <w:r w:rsidR="009D3338" w:rsidRPr="00C50D5A">
        <w:rPr>
          <w:rFonts w:cstheme="minorHAnsi"/>
          <w:sz w:val="24"/>
          <w:szCs w:val="24"/>
        </w:rPr>
        <w:t xml:space="preserve">k datu 31. května 2019 </w:t>
      </w:r>
      <w:r w:rsidR="00656587" w:rsidRPr="00C50D5A">
        <w:rPr>
          <w:rFonts w:cstheme="minorHAnsi"/>
          <w:sz w:val="24"/>
          <w:szCs w:val="24"/>
        </w:rPr>
        <w:t>pouze 29,</w:t>
      </w:r>
      <w:r w:rsidR="009D3338" w:rsidRPr="00C50D5A">
        <w:rPr>
          <w:rFonts w:cstheme="minorHAnsi"/>
          <w:sz w:val="24"/>
          <w:szCs w:val="24"/>
        </w:rPr>
        <w:t>6</w:t>
      </w:r>
      <w:r w:rsidR="00656587" w:rsidRPr="00C50D5A">
        <w:rPr>
          <w:rFonts w:cstheme="minorHAnsi"/>
          <w:sz w:val="24"/>
          <w:szCs w:val="24"/>
        </w:rPr>
        <w:t> </w:t>
      </w:r>
      <w:r w:rsidR="008C0838" w:rsidRPr="00C50D5A">
        <w:rPr>
          <w:rFonts w:cstheme="minorHAnsi"/>
          <w:sz w:val="24"/>
          <w:szCs w:val="24"/>
        </w:rPr>
        <w:t xml:space="preserve">% stanovených limitů </w:t>
      </w:r>
      <w:r w:rsidRPr="00C50D5A">
        <w:rPr>
          <w:sz w:val="24"/>
          <w:szCs w:val="24"/>
        </w:rPr>
        <w:t>(viz odst. 4.</w:t>
      </w:r>
      <w:r w:rsidR="00C50D5A" w:rsidRPr="00C50D5A">
        <w:rPr>
          <w:sz w:val="24"/>
          <w:szCs w:val="24"/>
        </w:rPr>
        <w:t>2</w:t>
      </w:r>
      <w:r w:rsidR="00F84C76">
        <w:rPr>
          <w:sz w:val="24"/>
          <w:szCs w:val="24"/>
        </w:rPr>
        <w:t>2</w:t>
      </w:r>
      <w:r w:rsidR="00D04B99">
        <w:rPr>
          <w:sz w:val="24"/>
          <w:szCs w:val="24"/>
        </w:rPr>
        <w:t> </w:t>
      </w:r>
      <w:r w:rsidRPr="00C50D5A">
        <w:rPr>
          <w:sz w:val="24"/>
          <w:szCs w:val="24"/>
        </w:rPr>
        <w:t>až</w:t>
      </w:r>
      <w:r w:rsidR="00D04B99">
        <w:rPr>
          <w:sz w:val="24"/>
          <w:szCs w:val="24"/>
        </w:rPr>
        <w:t> </w:t>
      </w:r>
      <w:r w:rsidRPr="00C50D5A">
        <w:rPr>
          <w:sz w:val="24"/>
          <w:szCs w:val="24"/>
        </w:rPr>
        <w:t>4.</w:t>
      </w:r>
      <w:r w:rsidR="00C50D5A" w:rsidRPr="00C50D5A">
        <w:rPr>
          <w:sz w:val="24"/>
          <w:szCs w:val="24"/>
        </w:rPr>
        <w:t>2</w:t>
      </w:r>
      <w:r w:rsidR="00E41767">
        <w:rPr>
          <w:sz w:val="24"/>
          <w:szCs w:val="24"/>
        </w:rPr>
        <w:t>7</w:t>
      </w:r>
      <w:r w:rsidRPr="00C50D5A">
        <w:rPr>
          <w:sz w:val="24"/>
          <w:szCs w:val="24"/>
        </w:rPr>
        <w:t>).</w:t>
      </w:r>
    </w:p>
    <w:p w14:paraId="3E919835" w14:textId="77777777" w:rsidR="00021DAE" w:rsidRPr="00021DAE" w:rsidRDefault="00021DAE" w:rsidP="00021DA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288EF75" w14:textId="42298A5D" w:rsidR="008C0838" w:rsidRPr="00C50D5A" w:rsidRDefault="008C0838" w:rsidP="009D333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8C0838">
        <w:rPr>
          <w:rFonts w:cstheme="minorHAnsi"/>
          <w:sz w:val="24"/>
          <w:szCs w:val="24"/>
        </w:rPr>
        <w:t xml:space="preserve">Způsob hodnocení </w:t>
      </w:r>
      <w:r w:rsidR="009D3338">
        <w:rPr>
          <w:rFonts w:cstheme="minorHAnsi"/>
          <w:sz w:val="24"/>
          <w:szCs w:val="24"/>
        </w:rPr>
        <w:t xml:space="preserve">při výběru </w:t>
      </w:r>
      <w:r w:rsidRPr="008C0838">
        <w:rPr>
          <w:rFonts w:cstheme="minorHAnsi"/>
          <w:sz w:val="24"/>
          <w:szCs w:val="24"/>
        </w:rPr>
        <w:t>projektů technické pomoci ne</w:t>
      </w:r>
      <w:r w:rsidR="00072160">
        <w:rPr>
          <w:rFonts w:cstheme="minorHAnsi"/>
          <w:sz w:val="24"/>
          <w:szCs w:val="24"/>
        </w:rPr>
        <w:t>lze považovat za</w:t>
      </w:r>
      <w:r w:rsidRPr="008C0838">
        <w:rPr>
          <w:rFonts w:cstheme="minorHAnsi"/>
          <w:sz w:val="24"/>
          <w:szCs w:val="24"/>
        </w:rPr>
        <w:t xml:space="preserve"> transparentní. </w:t>
      </w:r>
      <w:r w:rsidR="00F92EEB" w:rsidRPr="008C0838">
        <w:rPr>
          <w:rFonts w:cstheme="minorHAnsi"/>
          <w:sz w:val="24"/>
          <w:szCs w:val="24"/>
        </w:rPr>
        <w:t>MPO nastavilo hodnot</w:t>
      </w:r>
      <w:r w:rsidR="008F5D58">
        <w:rPr>
          <w:rFonts w:cstheme="minorHAnsi"/>
          <w:sz w:val="24"/>
          <w:szCs w:val="24"/>
        </w:rPr>
        <w:t>i</w:t>
      </w:r>
      <w:r w:rsidR="00F92EEB" w:rsidRPr="008C0838">
        <w:rPr>
          <w:rFonts w:cstheme="minorHAnsi"/>
          <w:sz w:val="24"/>
          <w:szCs w:val="24"/>
        </w:rPr>
        <w:t>cí kritéria</w:t>
      </w:r>
      <w:r w:rsidR="001A374A">
        <w:rPr>
          <w:rFonts w:cstheme="minorHAnsi"/>
          <w:sz w:val="24"/>
          <w:szCs w:val="24"/>
        </w:rPr>
        <w:t xml:space="preserve"> formálnosti a</w:t>
      </w:r>
      <w:r w:rsidR="008F5D58">
        <w:rPr>
          <w:rFonts w:cstheme="minorHAnsi"/>
          <w:sz w:val="24"/>
          <w:szCs w:val="24"/>
        </w:rPr>
        <w:t xml:space="preserve"> </w:t>
      </w:r>
      <w:r w:rsidR="001A374A">
        <w:rPr>
          <w:rFonts w:cstheme="minorHAnsi"/>
          <w:sz w:val="24"/>
          <w:szCs w:val="24"/>
        </w:rPr>
        <w:t>přijatelnosti</w:t>
      </w:r>
      <w:r w:rsidR="006C3FBA">
        <w:rPr>
          <w:rFonts w:cstheme="minorHAnsi"/>
          <w:sz w:val="24"/>
          <w:szCs w:val="24"/>
        </w:rPr>
        <w:t xml:space="preserve"> a</w:t>
      </w:r>
      <w:r w:rsidR="006A4C88">
        <w:rPr>
          <w:rFonts w:cstheme="minorHAnsi"/>
          <w:sz w:val="24"/>
          <w:szCs w:val="24"/>
        </w:rPr>
        <w:t> </w:t>
      </w:r>
      <w:r w:rsidR="006C3FBA">
        <w:rPr>
          <w:rFonts w:cstheme="minorHAnsi"/>
          <w:sz w:val="24"/>
          <w:szCs w:val="24"/>
        </w:rPr>
        <w:t>h</w:t>
      </w:r>
      <w:r w:rsidRPr="008C0838">
        <w:rPr>
          <w:rFonts w:cstheme="minorHAnsi"/>
          <w:sz w:val="24"/>
          <w:szCs w:val="24"/>
        </w:rPr>
        <w:t>odnotitelé k výsledkům hodnocení dle kritérií přijatelnosti přiřadili pouze</w:t>
      </w:r>
      <w:r>
        <w:rPr>
          <w:rFonts w:cstheme="minorHAnsi"/>
          <w:sz w:val="24"/>
          <w:szCs w:val="24"/>
        </w:rPr>
        <w:t xml:space="preserve"> předdefinovaná znění výsledku hodnocení. MPO </w:t>
      </w:r>
      <w:r w:rsidR="0056102F">
        <w:rPr>
          <w:rFonts w:cstheme="minorHAnsi"/>
          <w:sz w:val="24"/>
          <w:szCs w:val="24"/>
        </w:rPr>
        <w:t xml:space="preserve">nemělo k </w:t>
      </w:r>
      <w:r>
        <w:rPr>
          <w:rFonts w:cstheme="minorHAnsi"/>
          <w:sz w:val="24"/>
          <w:szCs w:val="24"/>
        </w:rPr>
        <w:t>tě</w:t>
      </w:r>
      <w:r w:rsidR="0056102F">
        <w:rPr>
          <w:rFonts w:cstheme="minorHAnsi"/>
          <w:sz w:val="24"/>
          <w:szCs w:val="24"/>
        </w:rPr>
        <w:t>mto</w:t>
      </w:r>
      <w:r>
        <w:rPr>
          <w:rFonts w:cstheme="minorHAnsi"/>
          <w:sz w:val="24"/>
          <w:szCs w:val="24"/>
        </w:rPr>
        <w:t xml:space="preserve"> kritérií</w:t>
      </w:r>
      <w:r w:rsidR="0056102F">
        <w:rPr>
          <w:rFonts w:cstheme="minorHAnsi"/>
          <w:sz w:val="24"/>
          <w:szCs w:val="24"/>
        </w:rPr>
        <w:t>m</w:t>
      </w:r>
      <w:r>
        <w:rPr>
          <w:rFonts w:cstheme="minorHAnsi"/>
          <w:sz w:val="24"/>
          <w:szCs w:val="24"/>
        </w:rPr>
        <w:t xml:space="preserve"> žádná </w:t>
      </w:r>
      <w:r w:rsidR="000D4324">
        <w:rPr>
          <w:rFonts w:cstheme="minorHAnsi"/>
          <w:sz w:val="24"/>
          <w:szCs w:val="24"/>
        </w:rPr>
        <w:t xml:space="preserve">jasná </w:t>
      </w:r>
      <w:r>
        <w:rPr>
          <w:rFonts w:cstheme="minorHAnsi"/>
          <w:sz w:val="24"/>
          <w:szCs w:val="24"/>
        </w:rPr>
        <w:t xml:space="preserve">odůvodnění, </w:t>
      </w:r>
      <w:r w:rsidR="00F2445E">
        <w:rPr>
          <w:rFonts w:cstheme="minorHAnsi"/>
          <w:sz w:val="24"/>
          <w:szCs w:val="24"/>
        </w:rPr>
        <w:t>na jejichž základě</w:t>
      </w:r>
      <w:r>
        <w:rPr>
          <w:rFonts w:cstheme="minorHAnsi"/>
          <w:sz w:val="24"/>
          <w:szCs w:val="24"/>
        </w:rPr>
        <w:t xml:space="preserve"> byla tato kritér</w:t>
      </w:r>
      <w:r w:rsidR="001A374A">
        <w:rPr>
          <w:rFonts w:cstheme="minorHAnsi"/>
          <w:sz w:val="24"/>
          <w:szCs w:val="24"/>
        </w:rPr>
        <w:t xml:space="preserve">ia hodnocena </w:t>
      </w:r>
      <w:r w:rsidR="001A374A" w:rsidRPr="00C50D5A">
        <w:rPr>
          <w:rFonts w:cstheme="minorHAnsi"/>
          <w:sz w:val="24"/>
          <w:szCs w:val="24"/>
        </w:rPr>
        <w:t>kladně</w:t>
      </w:r>
      <w:r w:rsidRPr="00C50D5A">
        <w:rPr>
          <w:rFonts w:cstheme="minorHAnsi"/>
          <w:sz w:val="24"/>
          <w:szCs w:val="24"/>
        </w:rPr>
        <w:t xml:space="preserve"> </w:t>
      </w:r>
      <w:r w:rsidR="00C50D5A" w:rsidRPr="00C50D5A">
        <w:rPr>
          <w:sz w:val="24"/>
          <w:szCs w:val="24"/>
        </w:rPr>
        <w:t xml:space="preserve">(viz odst. </w:t>
      </w:r>
      <w:r w:rsidR="00F84C76">
        <w:rPr>
          <w:sz w:val="24"/>
          <w:szCs w:val="24"/>
        </w:rPr>
        <w:t xml:space="preserve">4.34 až </w:t>
      </w:r>
      <w:r w:rsidR="003639AD" w:rsidRPr="00C50D5A">
        <w:rPr>
          <w:sz w:val="24"/>
          <w:szCs w:val="24"/>
        </w:rPr>
        <w:t>4.</w:t>
      </w:r>
      <w:r w:rsidR="00C50D5A" w:rsidRPr="00C50D5A">
        <w:rPr>
          <w:sz w:val="24"/>
          <w:szCs w:val="24"/>
        </w:rPr>
        <w:t>3</w:t>
      </w:r>
      <w:r w:rsidR="00E41767">
        <w:rPr>
          <w:sz w:val="24"/>
          <w:szCs w:val="24"/>
        </w:rPr>
        <w:t>6</w:t>
      </w:r>
      <w:r w:rsidR="003639AD" w:rsidRPr="00C50D5A">
        <w:rPr>
          <w:sz w:val="24"/>
          <w:szCs w:val="24"/>
        </w:rPr>
        <w:t>).</w:t>
      </w:r>
    </w:p>
    <w:p w14:paraId="0A576347" w14:textId="77777777" w:rsidR="00021DAE" w:rsidRPr="00021DAE" w:rsidRDefault="00021DAE" w:rsidP="00021DAE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5588535D" w14:textId="7F4C80C7" w:rsidR="003639AD" w:rsidRPr="00355519" w:rsidRDefault="003639AD" w:rsidP="009D3338">
      <w:pPr>
        <w:pStyle w:val="Odstavecseseznamem"/>
        <w:numPr>
          <w:ilvl w:val="0"/>
          <w:numId w:val="2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44729D">
        <w:rPr>
          <w:rFonts w:cstheme="minorHAnsi"/>
          <w:sz w:val="24"/>
          <w:szCs w:val="24"/>
        </w:rPr>
        <w:t xml:space="preserve">NKÚ vyhodnotil </w:t>
      </w:r>
      <w:r w:rsidR="00FA73C6" w:rsidRPr="0044729D">
        <w:rPr>
          <w:rFonts w:cstheme="minorHAnsi"/>
          <w:sz w:val="24"/>
          <w:szCs w:val="24"/>
        </w:rPr>
        <w:t>dva</w:t>
      </w:r>
      <w:r w:rsidRPr="0044729D">
        <w:rPr>
          <w:rFonts w:cstheme="minorHAnsi"/>
          <w:sz w:val="24"/>
          <w:szCs w:val="24"/>
        </w:rPr>
        <w:t xml:space="preserve"> nedostatky </w:t>
      </w:r>
      <w:r w:rsidR="00355519" w:rsidRPr="0044729D">
        <w:rPr>
          <w:rFonts w:cstheme="minorHAnsi"/>
          <w:sz w:val="24"/>
          <w:szCs w:val="24"/>
        </w:rPr>
        <w:t>v oblasti využití výst</w:t>
      </w:r>
      <w:r w:rsidR="00FA73C6" w:rsidRPr="0044729D">
        <w:rPr>
          <w:rFonts w:cstheme="minorHAnsi"/>
          <w:sz w:val="24"/>
          <w:szCs w:val="24"/>
        </w:rPr>
        <w:t>upů projektů technické pomoci a </w:t>
      </w:r>
      <w:r w:rsidR="00355519" w:rsidRPr="0044729D">
        <w:rPr>
          <w:rFonts w:cstheme="minorHAnsi"/>
          <w:sz w:val="24"/>
          <w:szCs w:val="24"/>
        </w:rPr>
        <w:t xml:space="preserve">výdajů na </w:t>
      </w:r>
      <w:r w:rsidR="008C65A4" w:rsidRPr="0044729D">
        <w:rPr>
          <w:rFonts w:cstheme="minorHAnsi"/>
          <w:sz w:val="24"/>
          <w:szCs w:val="24"/>
        </w:rPr>
        <w:t>mzdy</w:t>
      </w:r>
      <w:r w:rsidR="00355519" w:rsidRPr="0044729D">
        <w:rPr>
          <w:rFonts w:cstheme="minorHAnsi"/>
          <w:sz w:val="24"/>
          <w:szCs w:val="24"/>
        </w:rPr>
        <w:t xml:space="preserve"> </w:t>
      </w:r>
      <w:r w:rsidRPr="0044729D">
        <w:rPr>
          <w:rFonts w:cstheme="minorHAnsi"/>
          <w:sz w:val="24"/>
          <w:szCs w:val="24"/>
        </w:rPr>
        <w:t>zjištěné u MPO jako proplacení nezpůsobilých výdajů</w:t>
      </w:r>
      <w:r w:rsidR="00D91581">
        <w:rPr>
          <w:rFonts w:cstheme="minorHAnsi"/>
          <w:sz w:val="24"/>
          <w:szCs w:val="24"/>
        </w:rPr>
        <w:t xml:space="preserve">. Tyto zjištěné skutečnosti </w:t>
      </w:r>
      <w:r w:rsidRPr="0044729D">
        <w:rPr>
          <w:rFonts w:cstheme="minorHAnsi"/>
          <w:sz w:val="24"/>
          <w:szCs w:val="24"/>
        </w:rPr>
        <w:t>nasvědčují</w:t>
      </w:r>
      <w:r w:rsidR="00F84C76">
        <w:rPr>
          <w:rFonts w:cstheme="minorHAnsi"/>
          <w:sz w:val="24"/>
          <w:szCs w:val="24"/>
        </w:rPr>
        <w:t xml:space="preserve"> </w:t>
      </w:r>
      <w:r w:rsidRPr="0044729D">
        <w:rPr>
          <w:rFonts w:cstheme="minorHAnsi"/>
          <w:sz w:val="24"/>
          <w:szCs w:val="24"/>
        </w:rPr>
        <w:t>porušení rozpočtové kázně, a to v úhrnn</w:t>
      </w:r>
      <w:r w:rsidR="008C65A4" w:rsidRPr="0044729D">
        <w:rPr>
          <w:rFonts w:cstheme="minorHAnsi"/>
          <w:sz w:val="24"/>
          <w:szCs w:val="24"/>
        </w:rPr>
        <w:t>é hodnotě až do výše 1</w:t>
      </w:r>
      <w:r w:rsidR="003A4F17" w:rsidRPr="0044729D">
        <w:rPr>
          <w:rFonts w:cstheme="minorHAnsi"/>
          <w:sz w:val="24"/>
          <w:szCs w:val="24"/>
        </w:rPr>
        <w:t> </w:t>
      </w:r>
      <w:r w:rsidR="008C65A4" w:rsidRPr="0044729D">
        <w:rPr>
          <w:rFonts w:cstheme="minorHAnsi"/>
          <w:sz w:val="24"/>
          <w:szCs w:val="24"/>
        </w:rPr>
        <w:t>26</w:t>
      </w:r>
      <w:r w:rsidR="004B5CFC" w:rsidRPr="0044729D">
        <w:rPr>
          <w:rFonts w:cstheme="minorHAnsi"/>
          <w:sz w:val="24"/>
          <w:szCs w:val="24"/>
        </w:rPr>
        <w:t>2</w:t>
      </w:r>
      <w:r w:rsidR="003A4F17" w:rsidRPr="0044729D">
        <w:rPr>
          <w:rFonts w:cstheme="minorHAnsi"/>
          <w:sz w:val="24"/>
          <w:szCs w:val="24"/>
        </w:rPr>
        <w:t>,</w:t>
      </w:r>
      <w:r w:rsidR="004B5CFC" w:rsidRPr="0044729D">
        <w:rPr>
          <w:rFonts w:cstheme="minorHAnsi"/>
          <w:sz w:val="24"/>
          <w:szCs w:val="24"/>
        </w:rPr>
        <w:t>718</w:t>
      </w:r>
      <w:r w:rsidR="008C65A4" w:rsidRPr="0044729D">
        <w:rPr>
          <w:rFonts w:cstheme="minorHAnsi"/>
          <w:sz w:val="24"/>
          <w:szCs w:val="24"/>
        </w:rPr>
        <w:t> </w:t>
      </w:r>
      <w:r w:rsidR="004B5CFC" w:rsidRPr="0044729D">
        <w:rPr>
          <w:rFonts w:cstheme="minorHAnsi"/>
          <w:sz w:val="24"/>
          <w:szCs w:val="24"/>
        </w:rPr>
        <w:t>tis</w:t>
      </w:r>
      <w:r w:rsidR="008C65A4" w:rsidRPr="0044729D">
        <w:rPr>
          <w:rFonts w:cstheme="minorHAnsi"/>
          <w:sz w:val="24"/>
          <w:szCs w:val="24"/>
        </w:rPr>
        <w:t>. </w:t>
      </w:r>
      <w:r w:rsidRPr="0044729D">
        <w:rPr>
          <w:rFonts w:cstheme="minorHAnsi"/>
          <w:sz w:val="24"/>
          <w:szCs w:val="24"/>
        </w:rPr>
        <w:t>Kč.</w:t>
      </w:r>
      <w:r w:rsidR="009D3338" w:rsidRPr="0044729D">
        <w:rPr>
          <w:rFonts w:cstheme="minorHAnsi"/>
          <w:sz w:val="24"/>
          <w:szCs w:val="24"/>
        </w:rPr>
        <w:t xml:space="preserve"> Převážnou většinu této částky tvoří výdaje na konání tří tzv. výročních seminářů, které svým obsahem </w:t>
      </w:r>
      <w:r w:rsidR="0058558E" w:rsidRPr="0044729D">
        <w:rPr>
          <w:rFonts w:cstheme="minorHAnsi"/>
          <w:sz w:val="24"/>
          <w:szCs w:val="24"/>
        </w:rPr>
        <w:t xml:space="preserve">ale </w:t>
      </w:r>
      <w:r w:rsidR="009D3338" w:rsidRPr="0044729D">
        <w:rPr>
          <w:rFonts w:cstheme="minorHAnsi"/>
          <w:sz w:val="24"/>
          <w:szCs w:val="24"/>
        </w:rPr>
        <w:t>neodpovídaly akci v rámci projektu vzdělávání zaměstnanců implementační struktury. Při</w:t>
      </w:r>
      <w:r w:rsidR="009D3338" w:rsidRPr="00C50D5A">
        <w:rPr>
          <w:rFonts w:cstheme="minorHAnsi"/>
          <w:sz w:val="24"/>
          <w:szCs w:val="24"/>
        </w:rPr>
        <w:t xml:space="preserve"> kontrole zadávání veřejných zakázek, dodržování podmínek v době udržitelnosti </w:t>
      </w:r>
      <w:r w:rsidR="008F5D58">
        <w:rPr>
          <w:rFonts w:cstheme="minorHAnsi"/>
          <w:sz w:val="24"/>
          <w:szCs w:val="24"/>
        </w:rPr>
        <w:t>ani při prověřování</w:t>
      </w:r>
      <w:r w:rsidR="009D3338" w:rsidRPr="00C50D5A">
        <w:rPr>
          <w:rFonts w:cstheme="minorHAnsi"/>
          <w:sz w:val="24"/>
          <w:szCs w:val="24"/>
        </w:rPr>
        <w:t xml:space="preserve"> účelnosti a</w:t>
      </w:r>
      <w:r w:rsidR="008F5D58">
        <w:rPr>
          <w:rFonts w:cstheme="minorHAnsi"/>
          <w:sz w:val="24"/>
          <w:szCs w:val="24"/>
        </w:rPr>
        <w:t> </w:t>
      </w:r>
      <w:r w:rsidR="009D3338" w:rsidRPr="00C50D5A">
        <w:rPr>
          <w:rFonts w:cstheme="minorHAnsi"/>
          <w:sz w:val="24"/>
          <w:szCs w:val="24"/>
        </w:rPr>
        <w:t>hospodárnosti ostatních ke kontrole vybraných výdajů na projekty technické pomoci nebyly zjištěny významné nedostatky</w:t>
      </w:r>
      <w:r w:rsidRPr="00C50D5A">
        <w:rPr>
          <w:rFonts w:cstheme="minorHAnsi"/>
          <w:sz w:val="24"/>
          <w:szCs w:val="24"/>
        </w:rPr>
        <w:t xml:space="preserve"> (viz odst. </w:t>
      </w:r>
      <w:r w:rsidR="00C50D5A" w:rsidRPr="00C50D5A">
        <w:rPr>
          <w:rFonts w:cstheme="minorHAnsi"/>
          <w:sz w:val="24"/>
          <w:szCs w:val="24"/>
        </w:rPr>
        <w:t>4.</w:t>
      </w:r>
      <w:r w:rsidR="00F84C76">
        <w:rPr>
          <w:rFonts w:cstheme="minorHAnsi"/>
          <w:sz w:val="24"/>
          <w:szCs w:val="24"/>
        </w:rPr>
        <w:t>28 až 4.33</w:t>
      </w:r>
      <w:r w:rsidR="00C50D5A" w:rsidRPr="00C50D5A">
        <w:rPr>
          <w:rFonts w:cstheme="minorHAnsi"/>
          <w:sz w:val="24"/>
          <w:szCs w:val="24"/>
        </w:rPr>
        <w:t xml:space="preserve"> a </w:t>
      </w:r>
      <w:r w:rsidR="006F2725">
        <w:rPr>
          <w:rFonts w:cstheme="minorHAnsi"/>
          <w:sz w:val="24"/>
          <w:szCs w:val="24"/>
        </w:rPr>
        <w:t xml:space="preserve">4.37 až </w:t>
      </w:r>
      <w:r w:rsidRPr="00C50D5A">
        <w:rPr>
          <w:rFonts w:cstheme="minorHAnsi"/>
          <w:sz w:val="24"/>
          <w:szCs w:val="24"/>
        </w:rPr>
        <w:t>4.</w:t>
      </w:r>
      <w:r w:rsidR="00387B82">
        <w:rPr>
          <w:rFonts w:cstheme="minorHAnsi"/>
          <w:sz w:val="24"/>
          <w:szCs w:val="24"/>
        </w:rPr>
        <w:t>40</w:t>
      </w:r>
      <w:r w:rsidRPr="00C50D5A">
        <w:rPr>
          <w:rFonts w:cstheme="minorHAnsi"/>
          <w:sz w:val="24"/>
          <w:szCs w:val="24"/>
        </w:rPr>
        <w:t>).</w:t>
      </w:r>
    </w:p>
    <w:p w14:paraId="69F2F5F1" w14:textId="77777777" w:rsidR="00BB2FCB" w:rsidRDefault="00BB2FCB" w:rsidP="00AE527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28D2129E" w14:textId="77777777" w:rsidR="009D3338" w:rsidRPr="007F1D90" w:rsidRDefault="009D3338" w:rsidP="00AE527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1E20F8BD" w14:textId="77777777" w:rsidR="003826F0" w:rsidRDefault="003826F0">
      <w:pPr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  <w:r>
        <w:rPr>
          <w:sz w:val="28"/>
          <w:szCs w:val="28"/>
        </w:rPr>
        <w:br w:type="page"/>
      </w:r>
    </w:p>
    <w:p w14:paraId="71F32D1E" w14:textId="77777777" w:rsidR="007D3809" w:rsidRPr="007F1D90" w:rsidRDefault="007D3809" w:rsidP="007F1D90">
      <w:pPr>
        <w:pStyle w:val="Nadpis1"/>
        <w:numPr>
          <w:ilvl w:val="0"/>
          <w:numId w:val="0"/>
        </w:numPr>
        <w:spacing w:before="0" w:after="0" w:line="280" w:lineRule="atLeast"/>
        <w:rPr>
          <w:sz w:val="28"/>
          <w:szCs w:val="28"/>
        </w:rPr>
      </w:pPr>
      <w:r w:rsidRPr="007F1D90">
        <w:rPr>
          <w:sz w:val="28"/>
          <w:szCs w:val="28"/>
        </w:rPr>
        <w:lastRenderedPageBreak/>
        <w:t>II. Informace o kontrolované oblasti</w:t>
      </w:r>
    </w:p>
    <w:p w14:paraId="1916DC86" w14:textId="77777777" w:rsidR="0073031A" w:rsidRPr="008454AE" w:rsidRDefault="0073031A" w:rsidP="007F1D90">
      <w:pPr>
        <w:spacing w:after="0" w:line="280" w:lineRule="atLeast"/>
        <w:rPr>
          <w:rFonts w:cstheme="minorHAnsi"/>
          <w:sz w:val="24"/>
          <w:szCs w:val="24"/>
          <w:lang w:eastAsia="cs-CZ"/>
        </w:rPr>
      </w:pPr>
    </w:p>
    <w:p w14:paraId="1D16C7A4" w14:textId="77777777" w:rsidR="0073031A" w:rsidRPr="00181C13" w:rsidRDefault="0073031A" w:rsidP="007F1D90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 w:rsidRPr="00181C13">
        <w:rPr>
          <w:rFonts w:cstheme="minorHAnsi"/>
          <w:b/>
          <w:sz w:val="24"/>
          <w:szCs w:val="24"/>
        </w:rPr>
        <w:t xml:space="preserve">Operační program </w:t>
      </w:r>
      <w:r w:rsidRPr="00181C13">
        <w:rPr>
          <w:rFonts w:cstheme="minorHAnsi"/>
          <w:b/>
          <w:i/>
          <w:sz w:val="24"/>
          <w:szCs w:val="24"/>
        </w:rPr>
        <w:t>Podnikání a inovace pro konkurenceschopnost</w:t>
      </w:r>
    </w:p>
    <w:p w14:paraId="0DF59295" w14:textId="77777777" w:rsidR="008D6D1E" w:rsidRPr="008454AE" w:rsidRDefault="008D6D1E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210513DB" w14:textId="6227DE4B" w:rsidR="008D6D1E" w:rsidRPr="007F1D90" w:rsidRDefault="008D6D1E" w:rsidP="007F1D90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80" w:lineRule="atLeast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7F1D90">
        <w:rPr>
          <w:rFonts w:cstheme="minorHAnsi"/>
          <w:color w:val="000000" w:themeColor="text1"/>
          <w:sz w:val="24"/>
          <w:szCs w:val="24"/>
        </w:rPr>
        <w:t xml:space="preserve">ČR čerpá podle </w:t>
      </w:r>
      <w:r w:rsidRPr="007F1D90">
        <w:rPr>
          <w:rFonts w:cstheme="minorHAnsi"/>
          <w:i/>
          <w:color w:val="000000" w:themeColor="text1"/>
          <w:sz w:val="24"/>
          <w:szCs w:val="24"/>
        </w:rPr>
        <w:t>Dohody o partnerství</w:t>
      </w:r>
      <w:r w:rsidR="008F5D58">
        <w:rPr>
          <w:rFonts w:cstheme="minorHAnsi"/>
          <w:i/>
          <w:color w:val="000000" w:themeColor="text1"/>
          <w:sz w:val="24"/>
          <w:szCs w:val="24"/>
        </w:rPr>
        <w:t xml:space="preserve"> pro programové období 2014–2020</w:t>
      </w:r>
      <w:r w:rsidRPr="007F1D90">
        <w:rPr>
          <w:rStyle w:val="Znakapoznpodarou"/>
          <w:rFonts w:cstheme="minorHAnsi"/>
          <w:color w:val="000000" w:themeColor="text1"/>
        </w:rPr>
        <w:footnoteReference w:id="4"/>
      </w:r>
      <w:r w:rsidRPr="007F1D90">
        <w:rPr>
          <w:rFonts w:cstheme="minorHAnsi"/>
          <w:color w:val="000000" w:themeColor="text1"/>
          <w:sz w:val="24"/>
          <w:szCs w:val="24"/>
        </w:rPr>
        <w:t xml:space="preserve"> </w:t>
      </w:r>
      <w:r w:rsidR="008F5D58" w:rsidRPr="00470601">
        <w:rPr>
          <w:rFonts w:cstheme="minorHAnsi"/>
          <w:color w:val="000000" w:themeColor="text1"/>
          <w:sz w:val="24"/>
          <w:szCs w:val="24"/>
        </w:rPr>
        <w:t xml:space="preserve">(dále jen </w:t>
      </w:r>
      <w:r w:rsidR="008F5D58" w:rsidRPr="004A770B">
        <w:rPr>
          <w:rFonts w:cstheme="minorHAnsi"/>
          <w:color w:val="000000" w:themeColor="text1"/>
          <w:sz w:val="24"/>
          <w:szCs w:val="24"/>
        </w:rPr>
        <w:t>„</w:t>
      </w:r>
      <w:r w:rsidR="008F5D58" w:rsidRPr="004A770B">
        <w:rPr>
          <w:rFonts w:cstheme="minorHAnsi"/>
          <w:i/>
          <w:color w:val="000000" w:themeColor="text1"/>
          <w:sz w:val="24"/>
          <w:szCs w:val="24"/>
        </w:rPr>
        <w:t>Dohoda o partnerství</w:t>
      </w:r>
      <w:r w:rsidR="008F5D58" w:rsidRPr="00470601">
        <w:rPr>
          <w:rFonts w:cstheme="minorHAnsi"/>
          <w:color w:val="000000" w:themeColor="text1"/>
          <w:sz w:val="24"/>
          <w:szCs w:val="24"/>
        </w:rPr>
        <w:t>“)</w:t>
      </w:r>
      <w:r w:rsidR="008F5D58">
        <w:rPr>
          <w:rFonts w:cstheme="minorHAnsi"/>
          <w:color w:val="000000" w:themeColor="text1"/>
          <w:sz w:val="24"/>
          <w:szCs w:val="24"/>
        </w:rPr>
        <w:t xml:space="preserve"> </w:t>
      </w:r>
      <w:r w:rsidRPr="007F1D90">
        <w:rPr>
          <w:rFonts w:cstheme="minorHAnsi"/>
          <w:color w:val="000000" w:themeColor="text1"/>
          <w:sz w:val="24"/>
          <w:szCs w:val="24"/>
        </w:rPr>
        <w:t>finanční prostředky z evropských strukturálních a</w:t>
      </w:r>
      <w:r w:rsidR="008F5D58">
        <w:rPr>
          <w:rFonts w:cstheme="minorHAnsi"/>
          <w:color w:val="000000" w:themeColor="text1"/>
          <w:sz w:val="24"/>
          <w:szCs w:val="24"/>
        </w:rPr>
        <w:t xml:space="preserve"> </w:t>
      </w:r>
      <w:r w:rsidRPr="007F1D90">
        <w:rPr>
          <w:rFonts w:cstheme="minorHAnsi"/>
          <w:color w:val="000000" w:themeColor="text1"/>
          <w:sz w:val="24"/>
          <w:szCs w:val="24"/>
        </w:rPr>
        <w:t>investičních fondů (dále také „ESI fondy“) v programovém období 2014 až 2020 prostřednictvím tematických operačních programů. Jedním z nich je OPPIK</w:t>
      </w:r>
      <w:r w:rsidR="00963C3E">
        <w:rPr>
          <w:rFonts w:cstheme="minorHAnsi"/>
          <w:color w:val="000000" w:themeColor="text1"/>
          <w:sz w:val="24"/>
          <w:szCs w:val="24"/>
        </w:rPr>
        <w:t xml:space="preserve">, který </w:t>
      </w:r>
      <w:r w:rsidR="00963C3E" w:rsidRPr="007F1D90">
        <w:rPr>
          <w:rFonts w:cstheme="minorHAnsi"/>
          <w:color w:val="000000" w:themeColor="text1"/>
          <w:sz w:val="24"/>
          <w:szCs w:val="24"/>
        </w:rPr>
        <w:t>schválila vláda ČR usnesením ze dne 14.</w:t>
      </w:r>
      <w:r w:rsidR="008F5D58">
        <w:rPr>
          <w:rFonts w:cstheme="minorHAnsi"/>
          <w:color w:val="000000" w:themeColor="text1"/>
          <w:sz w:val="24"/>
          <w:szCs w:val="24"/>
        </w:rPr>
        <w:t> </w:t>
      </w:r>
      <w:r w:rsidR="00963C3E" w:rsidRPr="007F1D90">
        <w:rPr>
          <w:rFonts w:cstheme="minorHAnsi"/>
          <w:color w:val="000000" w:themeColor="text1"/>
          <w:sz w:val="24"/>
          <w:szCs w:val="24"/>
        </w:rPr>
        <w:t>července 2014</w:t>
      </w:r>
      <w:r w:rsidR="00963C3E">
        <w:rPr>
          <w:rFonts w:cstheme="minorHAnsi"/>
          <w:color w:val="000000" w:themeColor="text1"/>
          <w:sz w:val="24"/>
          <w:szCs w:val="24"/>
        </w:rPr>
        <w:t xml:space="preserve"> </w:t>
      </w:r>
      <w:r w:rsidR="00963C3E" w:rsidRPr="007F1D90">
        <w:rPr>
          <w:rFonts w:cstheme="minorHAnsi"/>
          <w:color w:val="000000" w:themeColor="text1"/>
          <w:sz w:val="24"/>
          <w:szCs w:val="24"/>
        </w:rPr>
        <w:t>č. 581. Programový dokument OPPIK byl schválen Evropskou komisí dne 29. dubna 2015.</w:t>
      </w:r>
    </w:p>
    <w:p w14:paraId="5AD77519" w14:textId="77777777" w:rsidR="00492F10" w:rsidRPr="007F1D90" w:rsidRDefault="00492F10" w:rsidP="007F1D90">
      <w:pPr>
        <w:autoSpaceDE w:val="0"/>
        <w:autoSpaceDN w:val="0"/>
        <w:adjustRightInd w:val="0"/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p w14:paraId="16B4374C" w14:textId="2E87D4FD" w:rsidR="000C7EBD" w:rsidRDefault="00864C74" w:rsidP="00757C5A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80" w:lineRule="atLeast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0C7EBD">
        <w:rPr>
          <w:rFonts w:cstheme="minorHAnsi"/>
          <w:color w:val="000000" w:themeColor="text1"/>
          <w:sz w:val="24"/>
          <w:szCs w:val="24"/>
        </w:rPr>
        <w:t xml:space="preserve">Cílem OPPIK je dosažení konkurenceschopné a udržitelné ekonomiky založené na znalostech a inovacích. </w:t>
      </w:r>
      <w:r w:rsidR="00523AAC">
        <w:rPr>
          <w:rFonts w:cstheme="minorHAnsi"/>
          <w:color w:val="000000" w:themeColor="text1"/>
          <w:sz w:val="24"/>
          <w:szCs w:val="24"/>
        </w:rPr>
        <w:t>Program j</w:t>
      </w:r>
      <w:r w:rsidR="007F1D90" w:rsidRPr="000C7EBD">
        <w:rPr>
          <w:rFonts w:cstheme="minorHAnsi"/>
          <w:color w:val="000000" w:themeColor="text1"/>
          <w:sz w:val="24"/>
          <w:szCs w:val="24"/>
        </w:rPr>
        <w:t xml:space="preserve">e zaměřen na zvýšení inovační výkonnosti podniků, </w:t>
      </w:r>
      <w:r w:rsidR="00523AAC">
        <w:rPr>
          <w:rFonts w:cstheme="minorHAnsi"/>
          <w:color w:val="000000" w:themeColor="text1"/>
          <w:sz w:val="24"/>
          <w:szCs w:val="24"/>
        </w:rPr>
        <w:br/>
      </w:r>
      <w:r w:rsidR="007F1D90" w:rsidRPr="000C7EBD">
        <w:rPr>
          <w:rFonts w:cstheme="minorHAnsi"/>
          <w:color w:val="000000" w:themeColor="text1"/>
          <w:sz w:val="24"/>
          <w:szCs w:val="24"/>
        </w:rPr>
        <w:t>využití výsledků průmyslového výzkumu a experimentálního vývoje a rozvoj podnikání a konkurenceschopnosti malých a středních podniků. OPPIK podporuje aktivity vedoucí ke snižování energetické náročnosti podnikatelského sektoru, činnosti směřující ke zvyšování podílu energie z obnovitelných zdrojů, rozvoj distribučních sítí a uplatnění nových technologií v energetice. Mezi další podporované oblasti patří rozšíření vysokorychlostních přístupových sítí k internetu a rozvoj informační</w:t>
      </w:r>
      <w:r w:rsidR="00B37D82" w:rsidRPr="000C7EBD">
        <w:rPr>
          <w:rFonts w:cstheme="minorHAnsi"/>
          <w:color w:val="000000" w:themeColor="text1"/>
          <w:sz w:val="24"/>
          <w:szCs w:val="24"/>
        </w:rPr>
        <w:t>ch a komunikačních technologií.</w:t>
      </w:r>
    </w:p>
    <w:p w14:paraId="1ABA11B7" w14:textId="77777777" w:rsidR="000C7EBD" w:rsidRDefault="000C7EBD" w:rsidP="000C7EBD">
      <w:pPr>
        <w:pStyle w:val="Odstavecseseznamem"/>
        <w:tabs>
          <w:tab w:val="left" w:pos="0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</w:p>
    <w:p w14:paraId="6F46484F" w14:textId="77777777" w:rsidR="00864C74" w:rsidRPr="000C7EBD" w:rsidRDefault="00864C74" w:rsidP="00757C5A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80" w:lineRule="atLeast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0C7EBD">
        <w:rPr>
          <w:rFonts w:cstheme="minorHAnsi"/>
          <w:color w:val="000000" w:themeColor="text1"/>
          <w:sz w:val="24"/>
          <w:szCs w:val="24"/>
        </w:rPr>
        <w:t>Operační program se skládá z</w:t>
      </w:r>
      <w:r w:rsidR="005231E1" w:rsidRPr="000C7EBD">
        <w:rPr>
          <w:rFonts w:cstheme="minorHAnsi"/>
          <w:color w:val="000000" w:themeColor="text1"/>
          <w:sz w:val="24"/>
          <w:szCs w:val="24"/>
        </w:rPr>
        <w:t xml:space="preserve"> pěti </w:t>
      </w:r>
      <w:r w:rsidRPr="000C7EBD">
        <w:rPr>
          <w:rFonts w:cstheme="minorHAnsi"/>
          <w:color w:val="000000" w:themeColor="text1"/>
          <w:sz w:val="24"/>
          <w:szCs w:val="24"/>
        </w:rPr>
        <w:t>prioritních os</w:t>
      </w:r>
      <w:r w:rsidR="00963C3E" w:rsidRPr="000C7EBD">
        <w:rPr>
          <w:rFonts w:cstheme="minorHAnsi"/>
          <w:color w:val="000000" w:themeColor="text1"/>
          <w:sz w:val="24"/>
          <w:szCs w:val="24"/>
        </w:rPr>
        <w:t>, kterými jsou</w:t>
      </w:r>
      <w:r w:rsidRPr="000C7EBD">
        <w:rPr>
          <w:rFonts w:cstheme="minorHAnsi"/>
          <w:color w:val="000000" w:themeColor="text1"/>
          <w:sz w:val="24"/>
          <w:szCs w:val="24"/>
        </w:rPr>
        <w:t>:</w:t>
      </w:r>
    </w:p>
    <w:p w14:paraId="7650ECB1" w14:textId="410BEA57" w:rsidR="00864C74" w:rsidRPr="007F1D90" w:rsidRDefault="00BE2DEF" w:rsidP="00816C16">
      <w:pPr>
        <w:pStyle w:val="Odstavecseseznamem"/>
        <w:numPr>
          <w:ilvl w:val="0"/>
          <w:numId w:val="27"/>
        </w:numPr>
        <w:spacing w:after="0" w:line="280" w:lineRule="atLeast"/>
        <w:ind w:left="851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7F1D90">
        <w:rPr>
          <w:rFonts w:cstheme="minorHAnsi"/>
          <w:color w:val="000000" w:themeColor="text1"/>
          <w:sz w:val="24"/>
          <w:szCs w:val="24"/>
        </w:rPr>
        <w:t>PO 1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7F1D90">
        <w:rPr>
          <w:rFonts w:cstheme="minorHAnsi"/>
          <w:color w:val="000000" w:themeColor="text1"/>
          <w:sz w:val="24"/>
          <w:szCs w:val="24"/>
        </w:rPr>
        <w:t>→</w:t>
      </w:r>
      <w:r w:rsidR="006A4C88">
        <w:rPr>
          <w:rFonts w:cstheme="minorHAnsi"/>
          <w:color w:val="000000" w:themeColor="text1"/>
          <w:sz w:val="24"/>
          <w:szCs w:val="24"/>
        </w:rPr>
        <w:t xml:space="preserve"> </w:t>
      </w:r>
      <w:r w:rsidR="008F5D58" w:rsidRPr="004A770B">
        <w:rPr>
          <w:rFonts w:cstheme="minorHAnsi"/>
          <w:i/>
          <w:color w:val="000000" w:themeColor="text1"/>
          <w:sz w:val="24"/>
          <w:szCs w:val="24"/>
        </w:rPr>
        <w:t>R</w:t>
      </w:r>
      <w:r w:rsidR="00864C74" w:rsidRPr="004A770B">
        <w:rPr>
          <w:rFonts w:cstheme="minorHAnsi"/>
          <w:i/>
          <w:color w:val="000000" w:themeColor="text1"/>
          <w:sz w:val="24"/>
          <w:szCs w:val="24"/>
        </w:rPr>
        <w:t>ozvoj výzkumu a vývoje pro inovace</w:t>
      </w:r>
      <w:r w:rsidR="00864C74" w:rsidRPr="007F1D90">
        <w:rPr>
          <w:rFonts w:cstheme="minorHAnsi"/>
          <w:color w:val="000000" w:themeColor="text1"/>
          <w:sz w:val="24"/>
          <w:szCs w:val="24"/>
        </w:rPr>
        <w:t>,</w:t>
      </w:r>
    </w:p>
    <w:p w14:paraId="19953505" w14:textId="0129E3A6" w:rsidR="00864C74" w:rsidRPr="007F1D90" w:rsidRDefault="00BE2DEF" w:rsidP="00816C16">
      <w:pPr>
        <w:pStyle w:val="Odstavecseseznamem"/>
        <w:numPr>
          <w:ilvl w:val="0"/>
          <w:numId w:val="27"/>
        </w:numPr>
        <w:spacing w:after="0" w:line="280" w:lineRule="atLeast"/>
        <w:ind w:left="851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7F1D90">
        <w:rPr>
          <w:rFonts w:cstheme="minorHAnsi"/>
          <w:color w:val="000000" w:themeColor="text1"/>
          <w:sz w:val="24"/>
          <w:szCs w:val="24"/>
        </w:rPr>
        <w:t>PO 2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Pr="007F1D90">
        <w:rPr>
          <w:rFonts w:cstheme="minorHAnsi"/>
          <w:color w:val="000000" w:themeColor="text1"/>
          <w:sz w:val="24"/>
          <w:szCs w:val="24"/>
        </w:rPr>
        <w:t xml:space="preserve">→ </w:t>
      </w:r>
      <w:r w:rsidR="008F5D58" w:rsidRPr="004A770B">
        <w:rPr>
          <w:rFonts w:cstheme="minorHAnsi"/>
          <w:i/>
          <w:color w:val="000000" w:themeColor="text1"/>
          <w:sz w:val="24"/>
          <w:szCs w:val="24"/>
        </w:rPr>
        <w:t>R</w:t>
      </w:r>
      <w:r w:rsidR="00864C74" w:rsidRPr="004A770B">
        <w:rPr>
          <w:rFonts w:cstheme="minorHAnsi"/>
          <w:i/>
          <w:color w:val="000000" w:themeColor="text1"/>
          <w:sz w:val="24"/>
          <w:szCs w:val="24"/>
        </w:rPr>
        <w:t>ozvoj podnikání a konkurenceschopnosti malých a středních podniků</w:t>
      </w:r>
      <w:r w:rsidR="00864C74" w:rsidRPr="007F1D90">
        <w:rPr>
          <w:rFonts w:cstheme="minorHAnsi"/>
          <w:color w:val="000000" w:themeColor="text1"/>
          <w:sz w:val="24"/>
          <w:szCs w:val="24"/>
        </w:rPr>
        <w:t>,</w:t>
      </w:r>
    </w:p>
    <w:p w14:paraId="0C1FB7E4" w14:textId="3F0F1B31" w:rsidR="00864C74" w:rsidRPr="007F1D90" w:rsidRDefault="000C7EBD" w:rsidP="00816C16">
      <w:pPr>
        <w:pStyle w:val="Odstavecseseznamem"/>
        <w:numPr>
          <w:ilvl w:val="0"/>
          <w:numId w:val="27"/>
        </w:numPr>
        <w:spacing w:after="0" w:line="280" w:lineRule="atLeast"/>
        <w:ind w:left="851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 </w:t>
      </w:r>
      <w:r w:rsidR="00BE2DEF">
        <w:rPr>
          <w:rFonts w:cstheme="minorHAnsi"/>
          <w:color w:val="000000" w:themeColor="text1"/>
          <w:sz w:val="24"/>
          <w:szCs w:val="24"/>
        </w:rPr>
        <w:t>3 </w:t>
      </w:r>
      <w:r w:rsidR="00BE2DEF" w:rsidRPr="007F1D90">
        <w:rPr>
          <w:rFonts w:cstheme="minorHAnsi"/>
          <w:color w:val="000000" w:themeColor="text1"/>
          <w:sz w:val="24"/>
          <w:szCs w:val="24"/>
        </w:rPr>
        <w:t>→</w:t>
      </w:r>
      <w:r w:rsidR="00BE2DEF">
        <w:rPr>
          <w:rFonts w:cstheme="minorHAnsi"/>
          <w:color w:val="000000" w:themeColor="text1"/>
          <w:sz w:val="24"/>
          <w:szCs w:val="24"/>
        </w:rPr>
        <w:t> </w:t>
      </w:r>
      <w:r w:rsidR="008F5D58" w:rsidRPr="004A770B">
        <w:rPr>
          <w:rFonts w:cstheme="minorHAnsi"/>
          <w:i/>
          <w:color w:val="000000" w:themeColor="text1"/>
          <w:sz w:val="24"/>
          <w:szCs w:val="24"/>
        </w:rPr>
        <w:t>Ú</w:t>
      </w:r>
      <w:r w:rsidR="00864C74" w:rsidRPr="004A770B">
        <w:rPr>
          <w:rFonts w:cstheme="minorHAnsi"/>
          <w:i/>
          <w:color w:val="000000" w:themeColor="text1"/>
          <w:sz w:val="24"/>
          <w:szCs w:val="24"/>
        </w:rPr>
        <w:t>činné nakládání energií, rozvoj energetické infrastruktury a obnovitelných zdrojů energie, podpora zavádění nových technologií v oblasti nakládání energií a druhotných surovin</w:t>
      </w:r>
      <w:r w:rsidR="00864C74" w:rsidRPr="007F1D90">
        <w:rPr>
          <w:rFonts w:cstheme="minorHAnsi"/>
          <w:color w:val="000000" w:themeColor="text1"/>
          <w:sz w:val="24"/>
          <w:szCs w:val="24"/>
        </w:rPr>
        <w:t>,</w:t>
      </w:r>
    </w:p>
    <w:p w14:paraId="37DE6CB6" w14:textId="4192F002" w:rsidR="00864C74" w:rsidRPr="007F1D90" w:rsidRDefault="00BE2DEF" w:rsidP="00816C16">
      <w:pPr>
        <w:pStyle w:val="Odstavecseseznamem"/>
        <w:numPr>
          <w:ilvl w:val="0"/>
          <w:numId w:val="27"/>
        </w:numPr>
        <w:spacing w:after="0" w:line="280" w:lineRule="atLeast"/>
        <w:ind w:left="851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PO</w:t>
      </w:r>
      <w:r w:rsidR="000C7EBD">
        <w:rPr>
          <w:rFonts w:cstheme="minorHAnsi"/>
          <w:color w:val="000000" w:themeColor="text1"/>
          <w:sz w:val="24"/>
          <w:szCs w:val="24"/>
        </w:rPr>
        <w:t> </w:t>
      </w:r>
      <w:r>
        <w:rPr>
          <w:rFonts w:cstheme="minorHAnsi"/>
          <w:color w:val="000000" w:themeColor="text1"/>
          <w:sz w:val="24"/>
          <w:szCs w:val="24"/>
        </w:rPr>
        <w:t>4 </w:t>
      </w:r>
      <w:r w:rsidRPr="007F1D90">
        <w:rPr>
          <w:rFonts w:cstheme="minorHAnsi"/>
          <w:color w:val="000000" w:themeColor="text1"/>
          <w:sz w:val="24"/>
          <w:szCs w:val="24"/>
        </w:rPr>
        <w:t>→</w:t>
      </w:r>
      <w:r>
        <w:rPr>
          <w:rFonts w:cstheme="minorHAnsi"/>
          <w:color w:val="000000" w:themeColor="text1"/>
          <w:sz w:val="24"/>
          <w:szCs w:val="24"/>
        </w:rPr>
        <w:t> </w:t>
      </w:r>
      <w:r w:rsidR="008F5D58" w:rsidRPr="004A770B">
        <w:rPr>
          <w:rFonts w:cstheme="minorHAnsi"/>
          <w:i/>
          <w:color w:val="000000" w:themeColor="text1"/>
          <w:sz w:val="24"/>
          <w:szCs w:val="24"/>
        </w:rPr>
        <w:t>R</w:t>
      </w:r>
      <w:r w:rsidR="00864C74" w:rsidRPr="004A770B">
        <w:rPr>
          <w:rFonts w:cstheme="minorHAnsi"/>
          <w:i/>
          <w:color w:val="000000" w:themeColor="text1"/>
          <w:sz w:val="24"/>
          <w:szCs w:val="24"/>
        </w:rPr>
        <w:t>ozvoj vysokorychlostních přístupových sítí k internetu a informačních a komunikačních technologií</w:t>
      </w:r>
      <w:r w:rsidR="00864C74" w:rsidRPr="007F1D90">
        <w:rPr>
          <w:rFonts w:cstheme="minorHAnsi"/>
          <w:color w:val="000000" w:themeColor="text1"/>
          <w:sz w:val="24"/>
          <w:szCs w:val="24"/>
        </w:rPr>
        <w:t>,</w:t>
      </w:r>
    </w:p>
    <w:p w14:paraId="6AFD5583" w14:textId="3D0E4D6D" w:rsidR="00864C74" w:rsidRPr="00BE2DEF" w:rsidRDefault="00BE2DEF" w:rsidP="00816C16">
      <w:pPr>
        <w:pStyle w:val="Odstavecseseznamem"/>
        <w:numPr>
          <w:ilvl w:val="0"/>
          <w:numId w:val="27"/>
        </w:numPr>
        <w:spacing w:after="0" w:line="280" w:lineRule="atLeast"/>
        <w:ind w:left="851"/>
        <w:contextualSpacing w:val="0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BE2DEF">
        <w:rPr>
          <w:rFonts w:cstheme="minorHAnsi"/>
          <w:b/>
          <w:color w:val="000000" w:themeColor="text1"/>
          <w:sz w:val="24"/>
          <w:szCs w:val="24"/>
        </w:rPr>
        <w:t>PO 5</w:t>
      </w:r>
      <w:r w:rsidR="00C465A0">
        <w:rPr>
          <w:rFonts w:cstheme="minorHAnsi"/>
          <w:b/>
          <w:color w:val="000000" w:themeColor="text1"/>
          <w:sz w:val="24"/>
          <w:szCs w:val="24"/>
        </w:rPr>
        <w:t> </w:t>
      </w:r>
      <w:r w:rsidRPr="00BE2DEF">
        <w:rPr>
          <w:rFonts w:cstheme="minorHAnsi"/>
          <w:b/>
          <w:color w:val="000000" w:themeColor="text1"/>
          <w:sz w:val="24"/>
          <w:szCs w:val="24"/>
        </w:rPr>
        <w:t>→</w:t>
      </w:r>
      <w:r w:rsidR="00C465A0">
        <w:rPr>
          <w:rFonts w:cstheme="minorHAnsi"/>
          <w:b/>
          <w:color w:val="000000" w:themeColor="text1"/>
          <w:sz w:val="24"/>
          <w:szCs w:val="24"/>
        </w:rPr>
        <w:t> </w:t>
      </w:r>
      <w:r w:rsidR="008F5D58" w:rsidRPr="004A770B">
        <w:rPr>
          <w:rFonts w:cstheme="minorHAnsi"/>
          <w:b/>
          <w:i/>
          <w:color w:val="000000" w:themeColor="text1"/>
          <w:sz w:val="24"/>
          <w:szCs w:val="24"/>
        </w:rPr>
        <w:t>T</w:t>
      </w:r>
      <w:r w:rsidRPr="004A770B">
        <w:rPr>
          <w:rFonts w:cstheme="minorHAnsi"/>
          <w:b/>
          <w:i/>
          <w:color w:val="000000" w:themeColor="text1"/>
          <w:sz w:val="24"/>
          <w:szCs w:val="24"/>
        </w:rPr>
        <w:t>echnická pomoc</w:t>
      </w:r>
      <w:r w:rsidR="00864C74" w:rsidRPr="00BE2DEF">
        <w:rPr>
          <w:rFonts w:cstheme="minorHAnsi"/>
          <w:b/>
          <w:color w:val="000000" w:themeColor="text1"/>
          <w:sz w:val="24"/>
          <w:szCs w:val="24"/>
        </w:rPr>
        <w:t>.</w:t>
      </w:r>
    </w:p>
    <w:p w14:paraId="13C662CD" w14:textId="77777777" w:rsidR="00A251F9" w:rsidRPr="007F1D90" w:rsidRDefault="00A251F9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3CC90EA4" w14:textId="58C03F7A" w:rsidR="00A251F9" w:rsidRPr="007F1D90" w:rsidRDefault="00A251F9" w:rsidP="007F1D90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80" w:lineRule="atLeast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7F1D90">
        <w:rPr>
          <w:rFonts w:cstheme="minorHAnsi"/>
          <w:color w:val="000000" w:themeColor="text1"/>
          <w:sz w:val="24"/>
          <w:szCs w:val="24"/>
        </w:rPr>
        <w:t>OPPIK je financován z </w:t>
      </w:r>
      <w:r w:rsidRPr="004A770B">
        <w:rPr>
          <w:rFonts w:cstheme="minorHAnsi"/>
          <w:i/>
          <w:color w:val="000000" w:themeColor="text1"/>
          <w:sz w:val="24"/>
          <w:szCs w:val="24"/>
        </w:rPr>
        <w:t>Evropského fondu pro regionální rozvoj</w:t>
      </w:r>
      <w:r w:rsidR="00101379" w:rsidRPr="004A770B">
        <w:rPr>
          <w:rFonts w:cstheme="minorHAnsi"/>
          <w:i/>
          <w:color w:val="000000" w:themeColor="text1"/>
          <w:sz w:val="24"/>
          <w:szCs w:val="24"/>
        </w:rPr>
        <w:t xml:space="preserve"> </w:t>
      </w:r>
      <w:r w:rsidR="00101379">
        <w:rPr>
          <w:rFonts w:cstheme="minorHAnsi"/>
          <w:color w:val="000000" w:themeColor="text1"/>
          <w:sz w:val="24"/>
          <w:szCs w:val="24"/>
        </w:rPr>
        <w:t>(dále také „ERDF“)</w:t>
      </w:r>
      <w:r w:rsidR="00963C3E">
        <w:rPr>
          <w:rFonts w:cstheme="minorHAnsi"/>
          <w:color w:val="000000" w:themeColor="text1"/>
          <w:sz w:val="24"/>
          <w:szCs w:val="24"/>
        </w:rPr>
        <w:t>, kde je pro něj</w:t>
      </w:r>
      <w:r w:rsidRPr="007F1D90">
        <w:rPr>
          <w:rFonts w:cstheme="minorHAnsi"/>
          <w:color w:val="000000" w:themeColor="text1"/>
          <w:sz w:val="24"/>
          <w:szCs w:val="24"/>
        </w:rPr>
        <w:t xml:space="preserve"> vyčleněno celkem 4,3 mld. </w:t>
      </w:r>
      <w:r w:rsidR="008F5D58">
        <w:rPr>
          <w:rFonts w:cstheme="minorHAnsi"/>
          <w:color w:val="000000" w:themeColor="text1"/>
          <w:sz w:val="24"/>
          <w:szCs w:val="24"/>
        </w:rPr>
        <w:t>€</w:t>
      </w:r>
      <w:r w:rsidR="00763DD1">
        <w:rPr>
          <w:rFonts w:cstheme="minorHAnsi"/>
          <w:color w:val="000000" w:themeColor="text1"/>
          <w:sz w:val="24"/>
          <w:szCs w:val="24"/>
        </w:rPr>
        <w:t xml:space="preserve">, </w:t>
      </w:r>
      <w:r w:rsidRPr="007F1D90">
        <w:rPr>
          <w:rFonts w:cstheme="minorHAnsi"/>
          <w:color w:val="000000" w:themeColor="text1"/>
          <w:sz w:val="24"/>
          <w:szCs w:val="24"/>
        </w:rPr>
        <w:t>tj. v přepočtu cca 111,</w:t>
      </w:r>
      <w:r w:rsidR="00A43BB8">
        <w:rPr>
          <w:rFonts w:cstheme="minorHAnsi"/>
          <w:color w:val="000000" w:themeColor="text1"/>
          <w:sz w:val="24"/>
          <w:szCs w:val="24"/>
        </w:rPr>
        <w:t>7</w:t>
      </w:r>
      <w:r w:rsidRPr="007F1D90">
        <w:rPr>
          <w:rFonts w:cstheme="minorHAnsi"/>
          <w:color w:val="000000" w:themeColor="text1"/>
          <w:sz w:val="24"/>
          <w:szCs w:val="24"/>
        </w:rPr>
        <w:t xml:space="preserve"> mld. Kč</w:t>
      </w:r>
      <w:r w:rsidR="00C34564">
        <w:rPr>
          <w:rStyle w:val="Znakapoznpodarou"/>
          <w:rFonts w:cstheme="minorHAnsi"/>
          <w:color w:val="000000" w:themeColor="text1"/>
          <w:sz w:val="24"/>
          <w:szCs w:val="24"/>
        </w:rPr>
        <w:footnoteReference w:id="5"/>
      </w:r>
      <w:r w:rsidR="00E6372A" w:rsidRPr="007F1D90">
        <w:rPr>
          <w:rFonts w:cstheme="minorHAnsi"/>
          <w:color w:val="000000" w:themeColor="text1"/>
          <w:sz w:val="24"/>
          <w:szCs w:val="24"/>
        </w:rPr>
        <w:t>.</w:t>
      </w:r>
      <w:r w:rsidRPr="007F1D90">
        <w:rPr>
          <w:rFonts w:cstheme="minorHAnsi"/>
          <w:color w:val="000000" w:themeColor="text1"/>
          <w:sz w:val="24"/>
          <w:szCs w:val="24"/>
        </w:rPr>
        <w:t xml:space="preserve"> OPPIK tak v rámci </w:t>
      </w:r>
      <w:r w:rsidRPr="007F1D90">
        <w:rPr>
          <w:rFonts w:cstheme="minorHAnsi"/>
          <w:i/>
          <w:color w:val="000000" w:themeColor="text1"/>
          <w:sz w:val="24"/>
          <w:szCs w:val="24"/>
        </w:rPr>
        <w:t>D</w:t>
      </w:r>
      <w:r w:rsidR="00E6372A" w:rsidRPr="007F1D90">
        <w:rPr>
          <w:rFonts w:cstheme="minorHAnsi"/>
          <w:i/>
          <w:color w:val="000000" w:themeColor="text1"/>
          <w:sz w:val="24"/>
          <w:szCs w:val="24"/>
        </w:rPr>
        <w:t>ohody o</w:t>
      </w:r>
      <w:r w:rsidR="008F5D58">
        <w:rPr>
          <w:rFonts w:cstheme="minorHAnsi"/>
          <w:i/>
          <w:color w:val="000000" w:themeColor="text1"/>
          <w:sz w:val="24"/>
          <w:szCs w:val="24"/>
        </w:rPr>
        <w:t xml:space="preserve"> p</w:t>
      </w:r>
      <w:r w:rsidR="00E6372A" w:rsidRPr="007F1D90">
        <w:rPr>
          <w:rFonts w:cstheme="minorHAnsi"/>
          <w:i/>
          <w:color w:val="000000" w:themeColor="text1"/>
          <w:sz w:val="24"/>
          <w:szCs w:val="24"/>
        </w:rPr>
        <w:t>artnerství</w:t>
      </w:r>
      <w:r w:rsidR="00E6372A" w:rsidRPr="007F1D90">
        <w:rPr>
          <w:rFonts w:cstheme="minorHAnsi"/>
          <w:color w:val="000000" w:themeColor="text1"/>
          <w:sz w:val="24"/>
          <w:szCs w:val="24"/>
        </w:rPr>
        <w:t xml:space="preserve"> </w:t>
      </w:r>
      <w:r w:rsidRPr="007F1D90">
        <w:rPr>
          <w:rFonts w:cstheme="minorHAnsi"/>
          <w:color w:val="000000" w:themeColor="text1"/>
          <w:sz w:val="24"/>
          <w:szCs w:val="24"/>
        </w:rPr>
        <w:t>představuje z hlediska finančního objemu třetí největší tematický operační program</w:t>
      </w:r>
      <w:r w:rsidR="00B37D82">
        <w:rPr>
          <w:rFonts w:cstheme="minorHAnsi"/>
          <w:color w:val="000000" w:themeColor="text1"/>
          <w:sz w:val="24"/>
          <w:szCs w:val="24"/>
        </w:rPr>
        <w:t xml:space="preserve"> v ČR</w:t>
      </w:r>
      <w:r w:rsidRPr="007F1D90">
        <w:rPr>
          <w:rFonts w:cstheme="minorHAnsi"/>
          <w:color w:val="000000" w:themeColor="text1"/>
          <w:sz w:val="24"/>
          <w:szCs w:val="24"/>
        </w:rPr>
        <w:t>.</w:t>
      </w:r>
      <w:r w:rsidR="00F24851">
        <w:rPr>
          <w:rFonts w:cstheme="minorHAnsi"/>
          <w:color w:val="000000" w:themeColor="text1"/>
          <w:sz w:val="24"/>
          <w:szCs w:val="24"/>
        </w:rPr>
        <w:t xml:space="preserve"> Rozdělení alokac</w:t>
      </w:r>
      <w:r w:rsidR="0069034A">
        <w:rPr>
          <w:rFonts w:cstheme="minorHAnsi"/>
          <w:color w:val="000000" w:themeColor="text1"/>
          <w:sz w:val="24"/>
          <w:szCs w:val="24"/>
        </w:rPr>
        <w:t>e podle prioritních os ukazuje t</w:t>
      </w:r>
      <w:r w:rsidR="006A4C88">
        <w:rPr>
          <w:rFonts w:cstheme="minorHAnsi"/>
          <w:color w:val="000000" w:themeColor="text1"/>
          <w:sz w:val="24"/>
          <w:szCs w:val="24"/>
        </w:rPr>
        <w:t>abulka č. 1.</w:t>
      </w:r>
    </w:p>
    <w:p w14:paraId="08437DF3" w14:textId="77777777" w:rsidR="001F29FA" w:rsidRDefault="001F29FA" w:rsidP="007F1D90">
      <w:pPr>
        <w:spacing w:after="0" w:line="280" w:lineRule="atLeast"/>
        <w:rPr>
          <w:rFonts w:cstheme="minorHAnsi"/>
          <w:b/>
        </w:rPr>
      </w:pPr>
    </w:p>
    <w:p w14:paraId="20439AFC" w14:textId="77777777" w:rsidR="003826F0" w:rsidRDefault="003826F0">
      <w:pPr>
        <w:rPr>
          <w:rFonts w:cstheme="minorHAnsi"/>
          <w:b/>
        </w:rPr>
      </w:pPr>
      <w:r>
        <w:rPr>
          <w:rFonts w:cstheme="minorHAnsi"/>
          <w:b/>
        </w:rPr>
        <w:br w:type="page"/>
      </w:r>
    </w:p>
    <w:p w14:paraId="5C9D88DE" w14:textId="5E672075" w:rsidR="00A251F9" w:rsidRPr="003D1A13" w:rsidRDefault="00A251F9" w:rsidP="007F1D90">
      <w:pPr>
        <w:spacing w:after="0" w:line="280" w:lineRule="atLeast"/>
        <w:rPr>
          <w:rFonts w:cstheme="minorHAnsi"/>
          <w:b/>
          <w:sz w:val="24"/>
          <w:szCs w:val="24"/>
        </w:rPr>
      </w:pPr>
      <w:r w:rsidRPr="003D1A13">
        <w:rPr>
          <w:rFonts w:cstheme="minorHAnsi"/>
          <w:b/>
          <w:sz w:val="24"/>
          <w:szCs w:val="24"/>
        </w:rPr>
        <w:lastRenderedPageBreak/>
        <w:t xml:space="preserve">Tabulka č. </w:t>
      </w:r>
      <w:r w:rsidRPr="003D1A13">
        <w:rPr>
          <w:rFonts w:cstheme="minorHAnsi"/>
          <w:b/>
          <w:i/>
          <w:sz w:val="24"/>
          <w:szCs w:val="24"/>
        </w:rPr>
        <w:fldChar w:fldCharType="begin"/>
      </w:r>
      <w:r w:rsidRPr="003D1A13">
        <w:rPr>
          <w:rFonts w:cstheme="minorHAnsi"/>
          <w:b/>
          <w:sz w:val="24"/>
          <w:szCs w:val="24"/>
        </w:rPr>
        <w:instrText xml:space="preserve"> SEQ Tabulka_č. \* ARABIC </w:instrText>
      </w:r>
      <w:r w:rsidRPr="003D1A13">
        <w:rPr>
          <w:rFonts w:cstheme="minorHAnsi"/>
          <w:b/>
          <w:i/>
          <w:sz w:val="24"/>
          <w:szCs w:val="24"/>
        </w:rPr>
        <w:fldChar w:fldCharType="separate"/>
      </w:r>
      <w:r w:rsidR="00EE33E1">
        <w:rPr>
          <w:rFonts w:cstheme="minorHAnsi"/>
          <w:b/>
          <w:noProof/>
          <w:sz w:val="24"/>
          <w:szCs w:val="24"/>
        </w:rPr>
        <w:t>1</w:t>
      </w:r>
      <w:r w:rsidRPr="003D1A13">
        <w:rPr>
          <w:rFonts w:cstheme="minorHAnsi"/>
          <w:b/>
          <w:i/>
          <w:sz w:val="24"/>
          <w:szCs w:val="24"/>
        </w:rPr>
        <w:fldChar w:fldCharType="end"/>
      </w:r>
      <w:r w:rsidRPr="003D1A13">
        <w:rPr>
          <w:rFonts w:cstheme="minorHAnsi"/>
          <w:b/>
          <w:sz w:val="24"/>
          <w:szCs w:val="24"/>
        </w:rPr>
        <w:t xml:space="preserve">: Přehled </w:t>
      </w:r>
      <w:r w:rsidR="00F21381" w:rsidRPr="003D1A13">
        <w:rPr>
          <w:rFonts w:cstheme="minorHAnsi"/>
          <w:b/>
          <w:sz w:val="24"/>
          <w:szCs w:val="24"/>
        </w:rPr>
        <w:t xml:space="preserve">hlavní </w:t>
      </w:r>
      <w:r w:rsidRPr="003D1A13">
        <w:rPr>
          <w:rFonts w:cstheme="minorHAnsi"/>
          <w:b/>
          <w:sz w:val="24"/>
          <w:szCs w:val="24"/>
        </w:rPr>
        <w:t>alokac</w:t>
      </w:r>
      <w:r w:rsidR="00482426" w:rsidRPr="003D1A13">
        <w:rPr>
          <w:rFonts w:cstheme="minorHAnsi"/>
          <w:b/>
          <w:sz w:val="24"/>
          <w:szCs w:val="24"/>
        </w:rPr>
        <w:t>e OPPIK z EU dle prioritních os</w:t>
      </w:r>
    </w:p>
    <w:tbl>
      <w:tblPr>
        <w:tblW w:w="90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05"/>
        <w:gridCol w:w="3005"/>
        <w:gridCol w:w="3005"/>
      </w:tblGrid>
      <w:tr w:rsidR="00D524C8" w:rsidRPr="007F1D90" w14:paraId="4A182B7A" w14:textId="77777777" w:rsidTr="003D1A13">
        <w:trPr>
          <w:trHeight w:val="414"/>
        </w:trPr>
        <w:tc>
          <w:tcPr>
            <w:tcW w:w="3005" w:type="dxa"/>
            <w:shd w:val="clear" w:color="auto" w:fill="E5F1FF"/>
            <w:vAlign w:val="center"/>
            <w:hideMark/>
          </w:tcPr>
          <w:p w14:paraId="229885E4" w14:textId="77777777" w:rsidR="00A251F9" w:rsidRPr="007F1D90" w:rsidRDefault="00A251F9" w:rsidP="003D1A13">
            <w:pPr>
              <w:spacing w:after="0" w:line="280" w:lineRule="atLeast"/>
              <w:ind w:left="214"/>
              <w:rPr>
                <w:rFonts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F1D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Prioritní osa</w:t>
            </w:r>
          </w:p>
        </w:tc>
        <w:tc>
          <w:tcPr>
            <w:tcW w:w="3005" w:type="dxa"/>
            <w:shd w:val="clear" w:color="auto" w:fill="E5F1FF"/>
            <w:vAlign w:val="center"/>
            <w:hideMark/>
          </w:tcPr>
          <w:p w14:paraId="50553C1E" w14:textId="77777777" w:rsidR="00101379" w:rsidRDefault="00101379" w:rsidP="007F1D90">
            <w:pPr>
              <w:spacing w:after="0" w:line="280" w:lineRule="atLeas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Část EU</w:t>
            </w:r>
          </w:p>
          <w:p w14:paraId="70F01EE4" w14:textId="2B9514DE" w:rsidR="00A251F9" w:rsidRPr="007F1D90" w:rsidRDefault="008B7E95" w:rsidP="00BA08CD">
            <w:pPr>
              <w:spacing w:after="0" w:line="280" w:lineRule="atLeas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(v </w:t>
            </w:r>
            <w:r w:rsidR="00BA08CD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€</w:t>
            </w:r>
            <w:r w:rsidR="00A251F9" w:rsidRPr="007F1D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3005" w:type="dxa"/>
            <w:shd w:val="clear" w:color="auto" w:fill="E5F1FF"/>
            <w:vAlign w:val="center"/>
            <w:hideMark/>
          </w:tcPr>
          <w:p w14:paraId="46DE026B" w14:textId="77777777" w:rsidR="00101379" w:rsidRDefault="00101379" w:rsidP="007F1D90">
            <w:pPr>
              <w:spacing w:after="0" w:line="280" w:lineRule="atLeas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Podíl na alokaci OPPIK</w:t>
            </w:r>
          </w:p>
          <w:p w14:paraId="4E0FAACC" w14:textId="77777777" w:rsidR="00A251F9" w:rsidRPr="007F1D90" w:rsidRDefault="00A251F9" w:rsidP="007F1D90">
            <w:pPr>
              <w:spacing w:after="0" w:line="280" w:lineRule="atLeast"/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(v %)</w:t>
            </w:r>
          </w:p>
        </w:tc>
      </w:tr>
      <w:tr w:rsidR="00D524C8" w:rsidRPr="007F1D90" w14:paraId="7DB2D3E7" w14:textId="77777777" w:rsidTr="003D1A13">
        <w:trPr>
          <w:trHeight w:val="300"/>
        </w:trPr>
        <w:tc>
          <w:tcPr>
            <w:tcW w:w="3005" w:type="dxa"/>
            <w:shd w:val="clear" w:color="auto" w:fill="auto"/>
            <w:vAlign w:val="center"/>
            <w:hideMark/>
          </w:tcPr>
          <w:p w14:paraId="1C48B938" w14:textId="77777777" w:rsidR="00A251F9" w:rsidRPr="007F1D90" w:rsidRDefault="00A251F9" w:rsidP="003D1A13">
            <w:pPr>
              <w:spacing w:after="0" w:line="280" w:lineRule="atLeast"/>
              <w:ind w:left="113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Prioritní osa 1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2CF66147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1 352 544 411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02FEA2A9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31,2</w:t>
            </w:r>
          </w:p>
        </w:tc>
      </w:tr>
      <w:tr w:rsidR="00D524C8" w:rsidRPr="007F1D90" w14:paraId="6EF70F5A" w14:textId="77777777" w:rsidTr="003D1A13">
        <w:trPr>
          <w:trHeight w:val="300"/>
        </w:trPr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5078530F" w14:textId="77777777" w:rsidR="00A251F9" w:rsidRPr="007F1D90" w:rsidRDefault="00A251F9" w:rsidP="003D1A13">
            <w:pPr>
              <w:spacing w:after="0" w:line="280" w:lineRule="atLeast"/>
              <w:ind w:left="113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Prioritní osa 2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331746E2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892 130 143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1F071D2D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20,6</w:t>
            </w:r>
          </w:p>
        </w:tc>
      </w:tr>
      <w:tr w:rsidR="00D524C8" w:rsidRPr="007F1D90" w14:paraId="3AE87D11" w14:textId="77777777" w:rsidTr="003D1A13">
        <w:trPr>
          <w:trHeight w:val="300"/>
        </w:trPr>
        <w:tc>
          <w:tcPr>
            <w:tcW w:w="3005" w:type="dxa"/>
            <w:shd w:val="clear" w:color="auto" w:fill="auto"/>
            <w:vAlign w:val="center"/>
            <w:hideMark/>
          </w:tcPr>
          <w:p w14:paraId="1714DEE4" w14:textId="77777777" w:rsidR="00A251F9" w:rsidRPr="007F1D90" w:rsidRDefault="00A251F9" w:rsidP="003D1A13">
            <w:pPr>
              <w:spacing w:after="0" w:line="280" w:lineRule="atLeast"/>
              <w:ind w:left="113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Prioritní osa 3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16B79996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1 217 129 658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1C8BD148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28,1</w:t>
            </w:r>
          </w:p>
        </w:tc>
      </w:tr>
      <w:tr w:rsidR="00D524C8" w:rsidRPr="007F1D90" w14:paraId="6EC97FBA" w14:textId="77777777" w:rsidTr="003D1A13">
        <w:trPr>
          <w:trHeight w:val="300"/>
        </w:trPr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0412BAB7" w14:textId="77777777" w:rsidR="00A251F9" w:rsidRPr="007F1D90" w:rsidRDefault="00A251F9" w:rsidP="003D1A13">
            <w:pPr>
              <w:spacing w:after="0" w:line="280" w:lineRule="atLeast"/>
              <w:ind w:left="113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Prioritní osa 4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5D91A12C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743 657 589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36E0F2A5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Cs/>
                <w:color w:val="000000"/>
                <w:sz w:val="20"/>
                <w:szCs w:val="20"/>
              </w:rPr>
              <w:t>17,2</w:t>
            </w:r>
          </w:p>
        </w:tc>
      </w:tr>
      <w:tr w:rsidR="00D524C8" w:rsidRPr="007F1D90" w14:paraId="2DC55693" w14:textId="77777777" w:rsidTr="003D1A13">
        <w:trPr>
          <w:trHeight w:val="300"/>
        </w:trPr>
        <w:tc>
          <w:tcPr>
            <w:tcW w:w="3005" w:type="dxa"/>
            <w:shd w:val="clear" w:color="auto" w:fill="auto"/>
            <w:vAlign w:val="center"/>
            <w:hideMark/>
          </w:tcPr>
          <w:p w14:paraId="4335EFF7" w14:textId="77777777" w:rsidR="00A251F9" w:rsidRPr="007F1D90" w:rsidRDefault="00A251F9" w:rsidP="003D1A13">
            <w:pPr>
              <w:spacing w:after="0" w:line="280" w:lineRule="atLeast"/>
              <w:ind w:left="113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Prioritní osa 5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0743B811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125 600 816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4BF915C7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2,9</w:t>
            </w:r>
          </w:p>
        </w:tc>
      </w:tr>
      <w:tr w:rsidR="00D524C8" w:rsidRPr="007F1D90" w14:paraId="08DAF61A" w14:textId="77777777" w:rsidTr="003D1A13">
        <w:trPr>
          <w:trHeight w:val="383"/>
        </w:trPr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069712BB" w14:textId="77777777" w:rsidR="00A251F9" w:rsidRPr="007F1D90" w:rsidRDefault="00A251F9" w:rsidP="003D1A13">
            <w:pPr>
              <w:spacing w:after="0" w:line="280" w:lineRule="atLeast"/>
              <w:ind w:left="113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Celková alokace OPPIK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6CB654CA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4 331 062 617</w:t>
            </w:r>
          </w:p>
        </w:tc>
        <w:tc>
          <w:tcPr>
            <w:tcW w:w="3005" w:type="dxa"/>
            <w:shd w:val="clear" w:color="auto" w:fill="auto"/>
            <w:noWrap/>
            <w:vAlign w:val="center"/>
            <w:hideMark/>
          </w:tcPr>
          <w:p w14:paraId="29DFC6D1" w14:textId="77777777" w:rsidR="00A251F9" w:rsidRPr="007F1D90" w:rsidRDefault="00A251F9" w:rsidP="003D1A13">
            <w:pPr>
              <w:spacing w:after="0" w:line="280" w:lineRule="atLeast"/>
              <w:ind w:right="57"/>
              <w:jc w:val="right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7F1D90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</w:tbl>
    <w:p w14:paraId="5320036F" w14:textId="114E4A37" w:rsidR="00A251F9" w:rsidRDefault="00A251F9" w:rsidP="00D524C8">
      <w:pPr>
        <w:spacing w:after="0" w:line="280" w:lineRule="atLeast"/>
        <w:ind w:left="567" w:hanging="567"/>
        <w:jc w:val="both"/>
        <w:rPr>
          <w:rFonts w:cstheme="minorHAnsi"/>
          <w:sz w:val="20"/>
          <w:szCs w:val="20"/>
        </w:rPr>
      </w:pPr>
      <w:r w:rsidRPr="007F1D90">
        <w:rPr>
          <w:rFonts w:cstheme="minorHAnsi"/>
          <w:b/>
          <w:sz w:val="20"/>
          <w:szCs w:val="20"/>
        </w:rPr>
        <w:t>Zdroj:</w:t>
      </w:r>
      <w:r w:rsidRPr="007F1D90">
        <w:rPr>
          <w:rFonts w:cstheme="minorHAnsi"/>
          <w:sz w:val="20"/>
          <w:szCs w:val="20"/>
        </w:rPr>
        <w:tab/>
      </w:r>
      <w:r w:rsidR="00D524C8">
        <w:rPr>
          <w:rFonts w:cstheme="minorHAnsi"/>
          <w:sz w:val="20"/>
          <w:szCs w:val="20"/>
        </w:rPr>
        <w:t>p</w:t>
      </w:r>
      <w:r w:rsidRPr="007F1D90">
        <w:rPr>
          <w:rFonts w:cstheme="minorHAnsi"/>
          <w:sz w:val="20"/>
          <w:szCs w:val="20"/>
        </w:rPr>
        <w:t>rogramový dokument OPPIK.</w:t>
      </w:r>
    </w:p>
    <w:p w14:paraId="0E3097D0" w14:textId="77777777" w:rsidR="006A4C88" w:rsidRPr="006A4C88" w:rsidRDefault="006A4C88" w:rsidP="006A4C88">
      <w:pPr>
        <w:pStyle w:val="Odstavecseseznamem"/>
        <w:tabs>
          <w:tab w:val="left" w:pos="0"/>
        </w:tabs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793CBBE9" w14:textId="0381D0FD" w:rsidR="004A0DCD" w:rsidRPr="0045093F" w:rsidRDefault="007F1D90" w:rsidP="0045093F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80" w:lineRule="atLeast"/>
        <w:ind w:left="0" w:firstLine="0"/>
        <w:contextualSpacing w:val="0"/>
        <w:jc w:val="both"/>
        <w:rPr>
          <w:rFonts w:cstheme="minorHAnsi"/>
          <w:sz w:val="24"/>
          <w:szCs w:val="24"/>
        </w:rPr>
      </w:pPr>
      <w:r w:rsidRPr="0045093F">
        <w:rPr>
          <w:rFonts w:cstheme="minorHAnsi"/>
          <w:color w:val="000000" w:themeColor="text1"/>
          <w:sz w:val="24"/>
          <w:szCs w:val="24"/>
        </w:rPr>
        <w:t>M</w:t>
      </w:r>
      <w:r w:rsidR="00441CBB" w:rsidRPr="0045093F">
        <w:rPr>
          <w:rFonts w:cstheme="minorHAnsi"/>
          <w:color w:val="000000" w:themeColor="text1"/>
          <w:sz w:val="24"/>
          <w:szCs w:val="24"/>
        </w:rPr>
        <w:t xml:space="preserve">PO </w:t>
      </w:r>
      <w:r w:rsidR="004A0DCD" w:rsidRPr="0045093F">
        <w:rPr>
          <w:rFonts w:cstheme="minorHAnsi"/>
          <w:color w:val="000000" w:themeColor="text1"/>
          <w:sz w:val="24"/>
          <w:szCs w:val="24"/>
        </w:rPr>
        <w:t xml:space="preserve">je ŘO OPPIK a </w:t>
      </w:r>
      <w:r w:rsidR="00441CBB" w:rsidRPr="0045093F">
        <w:rPr>
          <w:rFonts w:cstheme="minorHAnsi"/>
          <w:color w:val="000000" w:themeColor="text1"/>
          <w:sz w:val="24"/>
          <w:szCs w:val="24"/>
        </w:rPr>
        <w:t>v případě technické pomoci je i </w:t>
      </w:r>
      <w:r w:rsidR="004A0DCD" w:rsidRPr="0045093F">
        <w:rPr>
          <w:rFonts w:cstheme="minorHAnsi"/>
          <w:color w:val="000000" w:themeColor="text1"/>
          <w:sz w:val="24"/>
          <w:szCs w:val="24"/>
        </w:rPr>
        <w:t>příjemcem podpory</w:t>
      </w:r>
      <w:r w:rsidRPr="0045093F">
        <w:rPr>
          <w:rFonts w:cstheme="minorHAnsi"/>
          <w:color w:val="000000" w:themeColor="text1"/>
          <w:sz w:val="24"/>
          <w:szCs w:val="24"/>
        </w:rPr>
        <w:t xml:space="preserve">. </w:t>
      </w:r>
      <w:r w:rsidR="00441CBB" w:rsidRPr="0045093F">
        <w:rPr>
          <w:rFonts w:cstheme="minorHAnsi"/>
          <w:color w:val="000000" w:themeColor="text1"/>
          <w:sz w:val="24"/>
          <w:szCs w:val="24"/>
        </w:rPr>
        <w:t>API</w:t>
      </w:r>
      <w:r w:rsidR="004A0DCD" w:rsidRPr="0045093F">
        <w:rPr>
          <w:rFonts w:cstheme="minorHAnsi"/>
          <w:color w:val="000000" w:themeColor="text1"/>
          <w:sz w:val="24"/>
          <w:szCs w:val="24"/>
        </w:rPr>
        <w:t xml:space="preserve"> je zprostředkujícím subjektem OPPIK a v případě technické pomoci je příjemcem podpory. MPO jako říd</w:t>
      </w:r>
      <w:r w:rsidR="00D524C8">
        <w:rPr>
          <w:rFonts w:cstheme="minorHAnsi"/>
          <w:color w:val="000000" w:themeColor="text1"/>
          <w:sz w:val="24"/>
          <w:szCs w:val="24"/>
        </w:rPr>
        <w:t>i</w:t>
      </w:r>
      <w:r w:rsidR="004A0DCD" w:rsidRPr="0045093F">
        <w:rPr>
          <w:rFonts w:cstheme="minorHAnsi"/>
          <w:color w:val="000000" w:themeColor="text1"/>
          <w:sz w:val="24"/>
          <w:szCs w:val="24"/>
        </w:rPr>
        <w:t>cí orgán OPPIK vyk</w:t>
      </w:r>
      <w:r w:rsidRPr="0045093F">
        <w:rPr>
          <w:rFonts w:cstheme="minorHAnsi"/>
          <w:color w:val="000000" w:themeColor="text1"/>
          <w:sz w:val="24"/>
          <w:szCs w:val="24"/>
        </w:rPr>
        <w:t>onává roli poskytovatele dotace</w:t>
      </w:r>
      <w:r w:rsidR="00F2445E">
        <w:rPr>
          <w:rFonts w:cstheme="minorHAnsi"/>
          <w:color w:val="000000" w:themeColor="text1"/>
          <w:sz w:val="24"/>
          <w:szCs w:val="24"/>
        </w:rPr>
        <w:t xml:space="preserve"> a dále </w:t>
      </w:r>
      <w:r w:rsidR="004A0DCD" w:rsidRPr="0045093F">
        <w:rPr>
          <w:rFonts w:cstheme="minorHAnsi"/>
          <w:color w:val="000000" w:themeColor="text1"/>
          <w:sz w:val="24"/>
          <w:szCs w:val="24"/>
        </w:rPr>
        <w:t>roli správce programu a správce rozpočtu.</w:t>
      </w:r>
    </w:p>
    <w:p w14:paraId="2A01C013" w14:textId="77777777" w:rsidR="0045093F" w:rsidRPr="0045093F" w:rsidRDefault="0045093F" w:rsidP="0045093F">
      <w:pPr>
        <w:pStyle w:val="Odstavecseseznamem"/>
        <w:tabs>
          <w:tab w:val="left" w:pos="0"/>
        </w:tabs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20325812" w14:textId="263B2572" w:rsidR="0045093F" w:rsidRDefault="0045093F" w:rsidP="0045093F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80" w:lineRule="atLeast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1C4C04">
        <w:rPr>
          <w:rFonts w:cstheme="minorHAnsi"/>
          <w:color w:val="000000" w:themeColor="text1"/>
          <w:sz w:val="24"/>
          <w:szCs w:val="24"/>
        </w:rPr>
        <w:t xml:space="preserve">Audit </w:t>
      </w:r>
      <w:r>
        <w:rPr>
          <w:rFonts w:cstheme="minorHAnsi"/>
          <w:color w:val="000000" w:themeColor="text1"/>
          <w:sz w:val="24"/>
          <w:szCs w:val="24"/>
        </w:rPr>
        <w:t>Ministerstva financí ČR</w:t>
      </w:r>
      <w:r w:rsidRPr="001C4C04">
        <w:rPr>
          <w:rFonts w:cstheme="minorHAnsi"/>
          <w:color w:val="000000" w:themeColor="text1"/>
          <w:sz w:val="24"/>
          <w:szCs w:val="24"/>
        </w:rPr>
        <w:t xml:space="preserve"> č. OPPIK/2017/S/001 odhalil </w:t>
      </w:r>
      <w:r>
        <w:rPr>
          <w:rFonts w:cstheme="minorHAnsi"/>
          <w:color w:val="000000" w:themeColor="text1"/>
          <w:sz w:val="24"/>
          <w:szCs w:val="24"/>
        </w:rPr>
        <w:t xml:space="preserve">významnou </w:t>
      </w:r>
      <w:r w:rsidRPr="001C4C04">
        <w:rPr>
          <w:rFonts w:cstheme="minorHAnsi"/>
          <w:color w:val="000000" w:themeColor="text1"/>
          <w:sz w:val="24"/>
          <w:szCs w:val="24"/>
        </w:rPr>
        <w:t>14% chybovost v rámci OPPIK a identifikoval problémy v nastavení pravidel pro podpořené projekty. Hlavní zjištění se týkala prioritní</w:t>
      </w:r>
      <w:r w:rsidR="00963C3E">
        <w:rPr>
          <w:rFonts w:cstheme="minorHAnsi"/>
          <w:color w:val="000000" w:themeColor="text1"/>
          <w:sz w:val="24"/>
          <w:szCs w:val="24"/>
        </w:rPr>
        <w:t>ch</w:t>
      </w:r>
      <w:r w:rsidR="00695A2C">
        <w:rPr>
          <w:rFonts w:cstheme="minorHAnsi"/>
          <w:color w:val="000000" w:themeColor="text1"/>
          <w:sz w:val="24"/>
          <w:szCs w:val="24"/>
        </w:rPr>
        <w:t xml:space="preserve"> os 3 a 4. Ke dni 9. </w:t>
      </w:r>
      <w:r w:rsidRPr="001C4C04">
        <w:rPr>
          <w:rFonts w:cstheme="minorHAnsi"/>
          <w:color w:val="000000" w:themeColor="text1"/>
          <w:sz w:val="24"/>
          <w:szCs w:val="24"/>
        </w:rPr>
        <w:t xml:space="preserve">dubna 2018 </w:t>
      </w:r>
      <w:r w:rsidR="003A4F17">
        <w:rPr>
          <w:rFonts w:cstheme="minorHAnsi"/>
          <w:color w:val="000000" w:themeColor="text1"/>
          <w:sz w:val="24"/>
          <w:szCs w:val="24"/>
        </w:rPr>
        <w:t xml:space="preserve">proto </w:t>
      </w:r>
      <w:r w:rsidRPr="001C4C04">
        <w:rPr>
          <w:rFonts w:cstheme="minorHAnsi"/>
          <w:color w:val="000000" w:themeColor="text1"/>
          <w:sz w:val="24"/>
          <w:szCs w:val="24"/>
        </w:rPr>
        <w:t xml:space="preserve">Evropská komise pozastavila certifikaci výdajů OPPIK prostřednictvím tzv. </w:t>
      </w:r>
      <w:proofErr w:type="spellStart"/>
      <w:r w:rsidRPr="001C4C04">
        <w:rPr>
          <w:rFonts w:cstheme="minorHAnsi"/>
          <w:color w:val="000000" w:themeColor="text1"/>
          <w:sz w:val="24"/>
          <w:szCs w:val="24"/>
        </w:rPr>
        <w:t>Warning</w:t>
      </w:r>
      <w:proofErr w:type="spellEnd"/>
      <w:r w:rsidRPr="001C4C04">
        <w:rPr>
          <w:rFonts w:cstheme="minorHAnsi"/>
          <w:color w:val="000000" w:themeColor="text1"/>
          <w:sz w:val="24"/>
          <w:szCs w:val="24"/>
        </w:rPr>
        <w:t xml:space="preserve"> </w:t>
      </w:r>
      <w:proofErr w:type="spellStart"/>
      <w:r w:rsidRPr="003D1A13">
        <w:rPr>
          <w:rFonts w:cstheme="minorHAnsi"/>
          <w:color w:val="000000" w:themeColor="text1"/>
          <w:sz w:val="24"/>
          <w:szCs w:val="24"/>
        </w:rPr>
        <w:t>Letter</w:t>
      </w:r>
      <w:proofErr w:type="spellEnd"/>
      <w:r>
        <w:rPr>
          <w:rStyle w:val="Znakapoznpodarou"/>
          <w:rFonts w:cstheme="minorHAnsi"/>
          <w:color w:val="000000" w:themeColor="text1"/>
          <w:sz w:val="24"/>
          <w:szCs w:val="24"/>
        </w:rPr>
        <w:footnoteReference w:id="6"/>
      </w:r>
      <w:r w:rsidRPr="001C4C04">
        <w:rPr>
          <w:rFonts w:cstheme="minorHAnsi"/>
          <w:color w:val="000000" w:themeColor="text1"/>
          <w:sz w:val="24"/>
          <w:szCs w:val="24"/>
        </w:rPr>
        <w:t xml:space="preserve">. MPO </w:t>
      </w:r>
      <w:r>
        <w:rPr>
          <w:rFonts w:cstheme="minorHAnsi"/>
          <w:color w:val="000000" w:themeColor="text1"/>
          <w:sz w:val="24"/>
          <w:szCs w:val="24"/>
        </w:rPr>
        <w:t xml:space="preserve">připravilo </w:t>
      </w:r>
      <w:r w:rsidRPr="001C4C04">
        <w:rPr>
          <w:rFonts w:cstheme="minorHAnsi"/>
          <w:color w:val="000000" w:themeColor="text1"/>
          <w:sz w:val="24"/>
          <w:szCs w:val="24"/>
        </w:rPr>
        <w:t xml:space="preserve">nezbytná nápravná opatření k 1. srpnu 2018. </w:t>
      </w:r>
      <w:r>
        <w:rPr>
          <w:rFonts w:cstheme="minorHAnsi"/>
          <w:color w:val="000000" w:themeColor="text1"/>
          <w:sz w:val="24"/>
          <w:szCs w:val="24"/>
        </w:rPr>
        <w:t>Účinnost těchto o</w:t>
      </w:r>
      <w:r w:rsidRPr="001C4C04">
        <w:rPr>
          <w:rFonts w:cstheme="minorHAnsi"/>
          <w:color w:val="000000" w:themeColor="text1"/>
          <w:sz w:val="24"/>
          <w:szCs w:val="24"/>
        </w:rPr>
        <w:t>patření j</w:t>
      </w:r>
      <w:r>
        <w:rPr>
          <w:rFonts w:cstheme="minorHAnsi"/>
          <w:color w:val="000000" w:themeColor="text1"/>
          <w:sz w:val="24"/>
          <w:szCs w:val="24"/>
        </w:rPr>
        <w:t>e</w:t>
      </w:r>
      <w:r w:rsidRPr="001C4C04">
        <w:rPr>
          <w:rFonts w:cstheme="minorHAnsi"/>
          <w:color w:val="000000" w:themeColor="text1"/>
          <w:sz w:val="24"/>
          <w:szCs w:val="24"/>
        </w:rPr>
        <w:t xml:space="preserve"> </w:t>
      </w:r>
      <w:r>
        <w:rPr>
          <w:rFonts w:cstheme="minorHAnsi"/>
          <w:color w:val="000000" w:themeColor="text1"/>
          <w:sz w:val="24"/>
          <w:szCs w:val="24"/>
        </w:rPr>
        <w:t xml:space="preserve">v současné době </w:t>
      </w:r>
      <w:r w:rsidRPr="001C4C04">
        <w:rPr>
          <w:rFonts w:cstheme="minorHAnsi"/>
          <w:color w:val="000000" w:themeColor="text1"/>
          <w:sz w:val="24"/>
          <w:szCs w:val="24"/>
        </w:rPr>
        <w:t>verifikována auditem E</w:t>
      </w:r>
      <w:r>
        <w:rPr>
          <w:rFonts w:cstheme="minorHAnsi"/>
          <w:color w:val="000000" w:themeColor="text1"/>
          <w:sz w:val="24"/>
          <w:szCs w:val="24"/>
        </w:rPr>
        <w:t>vropské komise</w:t>
      </w:r>
      <w:r w:rsidRPr="001C4C04">
        <w:rPr>
          <w:rFonts w:cstheme="minorHAnsi"/>
          <w:color w:val="000000" w:themeColor="text1"/>
          <w:sz w:val="24"/>
          <w:szCs w:val="24"/>
        </w:rPr>
        <w:t>, který byl zahájen dne 24. června 2019</w:t>
      </w:r>
      <w:r w:rsidR="00D524C8">
        <w:rPr>
          <w:rFonts w:cstheme="minorHAnsi"/>
          <w:color w:val="000000" w:themeColor="text1"/>
          <w:sz w:val="24"/>
          <w:szCs w:val="24"/>
        </w:rPr>
        <w:t>,</w:t>
      </w:r>
      <w:r w:rsidRPr="001C4C04">
        <w:rPr>
          <w:rFonts w:cstheme="minorHAnsi"/>
          <w:color w:val="000000" w:themeColor="text1"/>
          <w:sz w:val="24"/>
          <w:szCs w:val="24"/>
        </w:rPr>
        <w:t xml:space="preserve"> a jeho výsledky </w:t>
      </w:r>
      <w:r>
        <w:rPr>
          <w:rFonts w:cstheme="minorHAnsi"/>
          <w:color w:val="000000" w:themeColor="text1"/>
          <w:sz w:val="24"/>
          <w:szCs w:val="24"/>
        </w:rPr>
        <w:t xml:space="preserve">mají být </w:t>
      </w:r>
      <w:r w:rsidRPr="001C4C04">
        <w:rPr>
          <w:rFonts w:cstheme="minorHAnsi"/>
          <w:color w:val="000000" w:themeColor="text1"/>
          <w:sz w:val="24"/>
          <w:szCs w:val="24"/>
        </w:rPr>
        <w:t>známy v září 2019.</w:t>
      </w:r>
    </w:p>
    <w:p w14:paraId="466962BC" w14:textId="77777777" w:rsidR="0045093F" w:rsidRPr="0045093F" w:rsidRDefault="0045093F" w:rsidP="0045093F">
      <w:pPr>
        <w:pStyle w:val="Odstavecseseznamem"/>
        <w:tabs>
          <w:tab w:val="left" w:pos="0"/>
        </w:tabs>
        <w:spacing w:after="0" w:line="280" w:lineRule="atLeast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53FDA8FA" w14:textId="77777777" w:rsidR="00BB52AE" w:rsidRPr="00181C13" w:rsidRDefault="00BB52AE" w:rsidP="00BB52AE">
      <w:pPr>
        <w:spacing w:after="0" w:line="240" w:lineRule="auto"/>
        <w:rPr>
          <w:b/>
          <w:sz w:val="24"/>
          <w:szCs w:val="24"/>
        </w:rPr>
      </w:pPr>
      <w:r w:rsidRPr="00181C13">
        <w:rPr>
          <w:b/>
          <w:sz w:val="24"/>
          <w:szCs w:val="24"/>
        </w:rPr>
        <w:t xml:space="preserve">Prioritní osa 5 OPPIK </w:t>
      </w:r>
      <w:r w:rsidRPr="00181C13">
        <w:rPr>
          <w:b/>
          <w:i/>
          <w:sz w:val="24"/>
          <w:szCs w:val="24"/>
        </w:rPr>
        <w:t>Technická pomoc</w:t>
      </w:r>
    </w:p>
    <w:p w14:paraId="45486120" w14:textId="77777777" w:rsidR="00BB52AE" w:rsidRPr="007F1D90" w:rsidRDefault="00BB52AE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04C2EE75" w14:textId="6C1C805E" w:rsidR="007F1D90" w:rsidRPr="007F1D90" w:rsidRDefault="00CE1BEC" w:rsidP="007F1D90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80" w:lineRule="atLeast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7F1D90">
        <w:rPr>
          <w:rFonts w:cstheme="minorHAnsi"/>
          <w:color w:val="000000" w:themeColor="text1"/>
          <w:sz w:val="24"/>
          <w:szCs w:val="24"/>
        </w:rPr>
        <w:t xml:space="preserve">Podpora technické pomoci je poskytována v rámci PO 5 OPPIK. </w:t>
      </w:r>
      <w:r w:rsidR="007F1D90" w:rsidRPr="007F1D90">
        <w:rPr>
          <w:rFonts w:cstheme="minorHAnsi"/>
          <w:color w:val="000000" w:themeColor="text1"/>
          <w:sz w:val="24"/>
          <w:szCs w:val="24"/>
        </w:rPr>
        <w:t xml:space="preserve">K naplnění </w:t>
      </w:r>
      <w:r w:rsidR="004E4F89">
        <w:rPr>
          <w:rFonts w:cstheme="minorHAnsi"/>
          <w:color w:val="000000" w:themeColor="text1"/>
          <w:sz w:val="24"/>
          <w:szCs w:val="24"/>
        </w:rPr>
        <w:t xml:space="preserve">této </w:t>
      </w:r>
      <w:r w:rsidR="007F1D90" w:rsidRPr="007F1D90">
        <w:rPr>
          <w:rFonts w:cstheme="minorHAnsi"/>
          <w:color w:val="000000" w:themeColor="text1"/>
          <w:sz w:val="24"/>
          <w:szCs w:val="24"/>
        </w:rPr>
        <w:t>prioritní osy byly v </w:t>
      </w:r>
      <w:r w:rsidR="00D524C8">
        <w:rPr>
          <w:rFonts w:cstheme="minorHAnsi"/>
          <w:color w:val="000000" w:themeColor="text1"/>
          <w:sz w:val="24"/>
          <w:szCs w:val="24"/>
        </w:rPr>
        <w:t>p</w:t>
      </w:r>
      <w:r w:rsidR="007F1D90" w:rsidRPr="007F1D90">
        <w:rPr>
          <w:rFonts w:cstheme="minorHAnsi"/>
          <w:color w:val="000000" w:themeColor="text1"/>
          <w:sz w:val="24"/>
          <w:szCs w:val="24"/>
        </w:rPr>
        <w:t>rogramovém dokumentu OPPIK stanoveny dva specifické cíle:</w:t>
      </w:r>
    </w:p>
    <w:p w14:paraId="4542AC36" w14:textId="77777777" w:rsidR="00CE1BEC" w:rsidRPr="007F1D90" w:rsidRDefault="000D7F8D" w:rsidP="007F1D90">
      <w:pPr>
        <w:numPr>
          <w:ilvl w:val="0"/>
          <w:numId w:val="22"/>
        </w:num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SC 5.1: </w:t>
      </w:r>
      <w:r w:rsidR="00CE1BEC" w:rsidRPr="003D1A13">
        <w:rPr>
          <w:rFonts w:cstheme="minorHAnsi"/>
          <w:i/>
          <w:color w:val="000000"/>
          <w:sz w:val="24"/>
          <w:szCs w:val="24"/>
        </w:rPr>
        <w:t>Zajištění efektivního řízení a administrace operačníh</w:t>
      </w:r>
      <w:r w:rsidR="003A4F17" w:rsidRPr="003D1A13">
        <w:rPr>
          <w:rFonts w:cstheme="minorHAnsi"/>
          <w:i/>
          <w:color w:val="000000"/>
          <w:sz w:val="24"/>
          <w:szCs w:val="24"/>
        </w:rPr>
        <w:t>o programu</w:t>
      </w:r>
      <w:r w:rsidR="00D524C8" w:rsidRPr="003D1A13">
        <w:rPr>
          <w:rFonts w:cstheme="minorHAnsi"/>
          <w:color w:val="000000"/>
          <w:sz w:val="24"/>
          <w:szCs w:val="24"/>
        </w:rPr>
        <w:t>,</w:t>
      </w:r>
    </w:p>
    <w:p w14:paraId="29D565D1" w14:textId="77777777" w:rsidR="00963C3E" w:rsidRDefault="000D7F8D" w:rsidP="00963C3E">
      <w:pPr>
        <w:numPr>
          <w:ilvl w:val="0"/>
          <w:numId w:val="22"/>
        </w:num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SC 5.2: </w:t>
      </w:r>
      <w:r w:rsidR="00CE1BEC" w:rsidRPr="003D1A13">
        <w:rPr>
          <w:rFonts w:cstheme="minorHAnsi"/>
          <w:i/>
          <w:color w:val="000000"/>
          <w:sz w:val="24"/>
          <w:szCs w:val="24"/>
        </w:rPr>
        <w:t>Zajištění informovanosti, publicity a absorpč</w:t>
      </w:r>
      <w:r w:rsidR="003A4F17" w:rsidRPr="003D1A13">
        <w:rPr>
          <w:rFonts w:cstheme="minorHAnsi"/>
          <w:i/>
          <w:color w:val="000000"/>
          <w:sz w:val="24"/>
          <w:szCs w:val="24"/>
        </w:rPr>
        <w:t>ní kapacity operačního programu</w:t>
      </w:r>
      <w:r w:rsidR="00D524C8">
        <w:rPr>
          <w:rFonts w:cstheme="minorHAnsi"/>
          <w:color w:val="000000"/>
          <w:sz w:val="24"/>
          <w:szCs w:val="24"/>
        </w:rPr>
        <w:t>.</w:t>
      </w:r>
    </w:p>
    <w:p w14:paraId="7AAFC05D" w14:textId="77777777" w:rsidR="005E14DB" w:rsidRPr="00963C3E" w:rsidRDefault="005E14DB" w:rsidP="005E14DB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14:paraId="4373ADE4" w14:textId="62DCD17B" w:rsidR="007F1D90" w:rsidRPr="007F1D90" w:rsidRDefault="007F1D90" w:rsidP="0061760A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80" w:lineRule="atLeast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7F1D90">
        <w:rPr>
          <w:rFonts w:cstheme="minorHAnsi"/>
          <w:color w:val="000000" w:themeColor="text1"/>
          <w:sz w:val="24"/>
          <w:szCs w:val="24"/>
        </w:rPr>
        <w:t xml:space="preserve">Podpora je zaměřena na přípravu </w:t>
      </w:r>
      <w:r w:rsidR="0045093F">
        <w:rPr>
          <w:rFonts w:cstheme="minorHAnsi"/>
          <w:color w:val="000000" w:themeColor="text1"/>
          <w:sz w:val="24"/>
          <w:szCs w:val="24"/>
        </w:rPr>
        <w:t xml:space="preserve">operačního </w:t>
      </w:r>
      <w:r w:rsidRPr="007F1D90">
        <w:rPr>
          <w:rFonts w:cstheme="minorHAnsi"/>
          <w:color w:val="000000" w:themeColor="text1"/>
          <w:sz w:val="24"/>
          <w:szCs w:val="24"/>
        </w:rPr>
        <w:t>programu, jeho řízení, implementaci, propagaci, kontrolu</w:t>
      </w:r>
      <w:r w:rsidR="002A7FFE">
        <w:rPr>
          <w:rFonts w:cstheme="minorHAnsi"/>
          <w:color w:val="000000" w:themeColor="text1"/>
          <w:sz w:val="24"/>
          <w:szCs w:val="24"/>
        </w:rPr>
        <w:t>,</w:t>
      </w:r>
      <w:r w:rsidR="002A7FFE" w:rsidRPr="007F1D90">
        <w:rPr>
          <w:rFonts w:cstheme="minorHAnsi"/>
          <w:color w:val="000000" w:themeColor="text1"/>
          <w:sz w:val="24"/>
          <w:szCs w:val="24"/>
        </w:rPr>
        <w:t xml:space="preserve"> monitoring, hodnocení</w:t>
      </w:r>
      <w:r w:rsidR="00963C3E">
        <w:rPr>
          <w:rFonts w:cstheme="minorHAnsi"/>
          <w:color w:val="000000" w:themeColor="text1"/>
          <w:sz w:val="24"/>
          <w:szCs w:val="24"/>
        </w:rPr>
        <w:t xml:space="preserve"> a</w:t>
      </w:r>
      <w:r w:rsidR="002A7FFE" w:rsidRPr="007F1D90">
        <w:rPr>
          <w:rFonts w:cstheme="minorHAnsi"/>
          <w:color w:val="000000" w:themeColor="text1"/>
          <w:sz w:val="24"/>
          <w:szCs w:val="24"/>
        </w:rPr>
        <w:t xml:space="preserve"> </w:t>
      </w:r>
      <w:r w:rsidR="00A43BB8">
        <w:rPr>
          <w:rFonts w:cstheme="minorHAnsi"/>
          <w:color w:val="000000" w:themeColor="text1"/>
          <w:sz w:val="24"/>
          <w:szCs w:val="24"/>
        </w:rPr>
        <w:t xml:space="preserve">také např. </w:t>
      </w:r>
      <w:r w:rsidR="00773CDE" w:rsidRPr="007F1D90">
        <w:rPr>
          <w:rFonts w:cstheme="minorHAnsi"/>
          <w:color w:val="000000" w:themeColor="text1"/>
          <w:sz w:val="24"/>
          <w:szCs w:val="24"/>
        </w:rPr>
        <w:t>na vzdělávání implementační struktury</w:t>
      </w:r>
      <w:r w:rsidR="00963C3E">
        <w:rPr>
          <w:rFonts w:cstheme="minorHAnsi"/>
          <w:color w:val="000000" w:themeColor="text1"/>
          <w:sz w:val="24"/>
          <w:szCs w:val="24"/>
        </w:rPr>
        <w:t>.</w:t>
      </w:r>
      <w:r w:rsidR="00773CDE">
        <w:rPr>
          <w:rFonts w:cstheme="minorHAnsi"/>
          <w:color w:val="000000" w:themeColor="text1"/>
          <w:sz w:val="24"/>
          <w:szCs w:val="24"/>
        </w:rPr>
        <w:t xml:space="preserve"> </w:t>
      </w:r>
      <w:r w:rsidR="00963C3E">
        <w:rPr>
          <w:rFonts w:cstheme="minorHAnsi"/>
          <w:color w:val="000000" w:themeColor="text1"/>
          <w:sz w:val="24"/>
          <w:szCs w:val="24"/>
        </w:rPr>
        <w:t xml:space="preserve">Jednoznačně největší podíl na výdajích mají osobní náklady na zaměstnance implementační struktury, které </w:t>
      </w:r>
      <w:r w:rsidR="00963C3E" w:rsidRPr="0061760A">
        <w:rPr>
          <w:rFonts w:cstheme="minorHAnsi"/>
          <w:color w:val="000000" w:themeColor="text1"/>
          <w:sz w:val="24"/>
          <w:szCs w:val="24"/>
        </w:rPr>
        <w:t xml:space="preserve">představují </w:t>
      </w:r>
      <w:r w:rsidR="000C7EBD" w:rsidRPr="0061760A">
        <w:rPr>
          <w:rFonts w:cstheme="minorHAnsi"/>
          <w:color w:val="000000" w:themeColor="text1"/>
          <w:sz w:val="24"/>
          <w:szCs w:val="24"/>
        </w:rPr>
        <w:t>76</w:t>
      </w:r>
      <w:r w:rsidR="00963C3E" w:rsidRPr="0061760A">
        <w:rPr>
          <w:rFonts w:cstheme="minorHAnsi"/>
          <w:color w:val="000000" w:themeColor="text1"/>
          <w:sz w:val="24"/>
          <w:szCs w:val="24"/>
        </w:rPr>
        <w:t xml:space="preserve"> %</w:t>
      </w:r>
      <w:r w:rsidR="00963C3E">
        <w:rPr>
          <w:rFonts w:cstheme="minorHAnsi"/>
          <w:color w:val="000000" w:themeColor="text1"/>
          <w:sz w:val="24"/>
          <w:szCs w:val="24"/>
        </w:rPr>
        <w:t xml:space="preserve"> z</w:t>
      </w:r>
      <w:r w:rsidR="0061760A">
        <w:rPr>
          <w:rFonts w:cstheme="minorHAnsi"/>
          <w:color w:val="000000" w:themeColor="text1"/>
          <w:sz w:val="24"/>
          <w:szCs w:val="24"/>
        </w:rPr>
        <w:t xml:space="preserve"> peněžních </w:t>
      </w:r>
      <w:r w:rsidR="0061760A" w:rsidRPr="0061760A">
        <w:rPr>
          <w:rFonts w:cstheme="minorHAnsi"/>
          <w:color w:val="000000" w:themeColor="text1"/>
          <w:sz w:val="24"/>
          <w:szCs w:val="24"/>
        </w:rPr>
        <w:t>prostředk</w:t>
      </w:r>
      <w:r w:rsidR="0061760A">
        <w:rPr>
          <w:rFonts w:cstheme="minorHAnsi"/>
          <w:color w:val="000000" w:themeColor="text1"/>
          <w:sz w:val="24"/>
          <w:szCs w:val="24"/>
        </w:rPr>
        <w:t>ů</w:t>
      </w:r>
      <w:r w:rsidR="0061760A" w:rsidRPr="0061760A">
        <w:rPr>
          <w:rFonts w:cstheme="minorHAnsi"/>
          <w:color w:val="000000" w:themeColor="text1"/>
          <w:sz w:val="24"/>
          <w:szCs w:val="24"/>
        </w:rPr>
        <w:t xml:space="preserve"> poskytnut</w:t>
      </w:r>
      <w:r w:rsidR="0061760A">
        <w:rPr>
          <w:rFonts w:cstheme="minorHAnsi"/>
          <w:color w:val="000000" w:themeColor="text1"/>
          <w:sz w:val="24"/>
          <w:szCs w:val="24"/>
        </w:rPr>
        <w:t xml:space="preserve">ých </w:t>
      </w:r>
      <w:r w:rsidR="0061760A" w:rsidRPr="0061760A">
        <w:rPr>
          <w:rFonts w:cstheme="minorHAnsi"/>
          <w:color w:val="000000" w:themeColor="text1"/>
          <w:sz w:val="24"/>
          <w:szCs w:val="24"/>
        </w:rPr>
        <w:t xml:space="preserve">na základě právních aktů </w:t>
      </w:r>
      <w:r w:rsidR="0061760A">
        <w:rPr>
          <w:rFonts w:cstheme="minorHAnsi"/>
          <w:color w:val="000000" w:themeColor="text1"/>
          <w:sz w:val="24"/>
          <w:szCs w:val="24"/>
        </w:rPr>
        <w:t xml:space="preserve">v rámci </w:t>
      </w:r>
      <w:r w:rsidR="00963C3E">
        <w:rPr>
          <w:rFonts w:cstheme="minorHAnsi"/>
          <w:color w:val="000000" w:themeColor="text1"/>
          <w:sz w:val="24"/>
          <w:szCs w:val="24"/>
        </w:rPr>
        <w:t>PO 5</w:t>
      </w:r>
      <w:r w:rsidR="005E14DB">
        <w:rPr>
          <w:rFonts w:cstheme="minorHAnsi"/>
          <w:color w:val="000000" w:themeColor="text1"/>
          <w:sz w:val="24"/>
          <w:szCs w:val="24"/>
        </w:rPr>
        <w:t xml:space="preserve"> OPPIK</w:t>
      </w:r>
      <w:r w:rsidR="00963C3E">
        <w:rPr>
          <w:rFonts w:cstheme="minorHAnsi"/>
          <w:color w:val="000000" w:themeColor="text1"/>
          <w:sz w:val="24"/>
          <w:szCs w:val="24"/>
        </w:rPr>
        <w:t>.</w:t>
      </w:r>
      <w:r w:rsidRPr="007F1D90">
        <w:rPr>
          <w:rFonts w:cstheme="minorHAnsi"/>
          <w:color w:val="000000" w:themeColor="text1"/>
          <w:sz w:val="24"/>
          <w:szCs w:val="24"/>
        </w:rPr>
        <w:t xml:space="preserve"> Z prostředků technické pomoci jsou rovněž hrazeny výdaje spojené se zasedáním výběrových komisí, výborů, výdaje za posudky, analýzy a</w:t>
      </w:r>
      <w:r w:rsidR="00074B30">
        <w:rPr>
          <w:rFonts w:cstheme="minorHAnsi"/>
          <w:color w:val="000000" w:themeColor="text1"/>
          <w:sz w:val="24"/>
          <w:szCs w:val="24"/>
        </w:rPr>
        <w:t xml:space="preserve"> </w:t>
      </w:r>
      <w:r w:rsidRPr="007F1D90">
        <w:rPr>
          <w:rFonts w:cstheme="minorHAnsi"/>
          <w:color w:val="000000" w:themeColor="text1"/>
          <w:sz w:val="24"/>
          <w:szCs w:val="24"/>
        </w:rPr>
        <w:t>výdaje související s dokončením programového období 2007 až 2013 a</w:t>
      </w:r>
      <w:r w:rsidR="00074B30">
        <w:rPr>
          <w:rFonts w:cstheme="minorHAnsi"/>
          <w:color w:val="000000" w:themeColor="text1"/>
          <w:sz w:val="24"/>
          <w:szCs w:val="24"/>
        </w:rPr>
        <w:t xml:space="preserve"> </w:t>
      </w:r>
      <w:r w:rsidRPr="007F1D90">
        <w:rPr>
          <w:rFonts w:cstheme="minorHAnsi"/>
          <w:color w:val="000000" w:themeColor="text1"/>
          <w:sz w:val="24"/>
          <w:szCs w:val="24"/>
        </w:rPr>
        <w:t>s přípravou programového období po roce 2020.</w:t>
      </w:r>
      <w:r w:rsidR="00311115">
        <w:rPr>
          <w:rFonts w:cstheme="minorHAnsi"/>
          <w:color w:val="000000" w:themeColor="text1"/>
          <w:sz w:val="24"/>
          <w:szCs w:val="24"/>
        </w:rPr>
        <w:t xml:space="preserve"> Přehled všech realizovaných projektů technické pomoci je uveden v příloze č. 6.</w:t>
      </w:r>
    </w:p>
    <w:p w14:paraId="47E2D247" w14:textId="77777777" w:rsidR="00952BF7" w:rsidRPr="007F1D90" w:rsidRDefault="00952BF7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63A9CE73" w14:textId="5D007FA9" w:rsidR="009C5400" w:rsidRPr="00C80118" w:rsidRDefault="003103F3" w:rsidP="00C80118">
      <w:pPr>
        <w:pStyle w:val="Odstavecseseznamem"/>
        <w:numPr>
          <w:ilvl w:val="0"/>
          <w:numId w:val="26"/>
        </w:numPr>
        <w:tabs>
          <w:tab w:val="left" w:pos="0"/>
        </w:tabs>
        <w:spacing w:after="0" w:line="280" w:lineRule="atLeast"/>
        <w:ind w:left="0" w:firstLine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  <w:r w:rsidRPr="00C80118">
        <w:rPr>
          <w:rFonts w:cstheme="minorHAnsi"/>
          <w:color w:val="000000" w:themeColor="text1"/>
          <w:sz w:val="24"/>
          <w:szCs w:val="24"/>
        </w:rPr>
        <w:t xml:space="preserve">Alokace peněžních prostředků pro PO 5 OPPIK </w:t>
      </w:r>
      <w:r w:rsidR="008B7E95">
        <w:rPr>
          <w:rFonts w:cstheme="minorHAnsi"/>
          <w:color w:val="000000" w:themeColor="text1"/>
          <w:sz w:val="24"/>
          <w:szCs w:val="24"/>
        </w:rPr>
        <w:t>z ERDF činí celkem 125 600 816 </w:t>
      </w:r>
      <w:r w:rsidR="00D524C8">
        <w:rPr>
          <w:rFonts w:cstheme="minorHAnsi"/>
          <w:color w:val="000000" w:themeColor="text1"/>
          <w:sz w:val="24"/>
          <w:szCs w:val="24"/>
        </w:rPr>
        <w:t>€</w:t>
      </w:r>
      <w:r w:rsidR="008B7E95">
        <w:rPr>
          <w:rFonts w:cstheme="minorHAnsi"/>
          <w:color w:val="000000" w:themeColor="text1"/>
          <w:sz w:val="24"/>
          <w:szCs w:val="24"/>
        </w:rPr>
        <w:t>,</w:t>
      </w:r>
      <w:r w:rsidRPr="00C80118">
        <w:rPr>
          <w:rFonts w:cstheme="minorHAnsi"/>
          <w:color w:val="000000" w:themeColor="text1"/>
          <w:sz w:val="24"/>
          <w:szCs w:val="24"/>
        </w:rPr>
        <w:t xml:space="preserve"> tj.</w:t>
      </w:r>
      <w:r w:rsidR="003826F0">
        <w:rPr>
          <w:rFonts w:cstheme="minorHAnsi"/>
          <w:color w:val="000000" w:themeColor="text1"/>
          <w:sz w:val="24"/>
          <w:szCs w:val="24"/>
        </w:rPr>
        <w:t> </w:t>
      </w:r>
      <w:r w:rsidR="00A43BB8">
        <w:rPr>
          <w:rFonts w:cstheme="minorHAnsi"/>
          <w:color w:val="000000" w:themeColor="text1"/>
          <w:sz w:val="24"/>
          <w:szCs w:val="24"/>
        </w:rPr>
        <w:t>cca</w:t>
      </w:r>
      <w:r w:rsidR="00D524C8">
        <w:rPr>
          <w:rFonts w:cstheme="minorHAnsi"/>
          <w:color w:val="000000" w:themeColor="text1"/>
          <w:sz w:val="24"/>
          <w:szCs w:val="24"/>
        </w:rPr>
        <w:t> </w:t>
      </w:r>
      <w:r w:rsidRPr="00C80118">
        <w:rPr>
          <w:rFonts w:cstheme="minorHAnsi"/>
          <w:color w:val="000000" w:themeColor="text1"/>
          <w:sz w:val="24"/>
          <w:szCs w:val="24"/>
        </w:rPr>
        <w:t>3</w:t>
      </w:r>
      <w:r w:rsidR="00A43BB8">
        <w:rPr>
          <w:rFonts w:cstheme="minorHAnsi"/>
          <w:color w:val="000000" w:themeColor="text1"/>
          <w:sz w:val="24"/>
          <w:szCs w:val="24"/>
        </w:rPr>
        <w:t>,2</w:t>
      </w:r>
      <w:r w:rsidRPr="00C80118">
        <w:rPr>
          <w:rFonts w:cstheme="minorHAnsi"/>
          <w:color w:val="000000" w:themeColor="text1"/>
          <w:sz w:val="24"/>
          <w:szCs w:val="24"/>
        </w:rPr>
        <w:t> </w:t>
      </w:r>
      <w:r w:rsidR="00A43BB8">
        <w:rPr>
          <w:rFonts w:cstheme="minorHAnsi"/>
          <w:color w:val="000000" w:themeColor="text1"/>
          <w:sz w:val="24"/>
          <w:szCs w:val="24"/>
        </w:rPr>
        <w:t>mld.</w:t>
      </w:r>
      <w:r w:rsidRPr="00C80118">
        <w:rPr>
          <w:rFonts w:cstheme="minorHAnsi"/>
          <w:color w:val="000000" w:themeColor="text1"/>
          <w:sz w:val="24"/>
          <w:szCs w:val="24"/>
        </w:rPr>
        <w:t> Kč</w:t>
      </w:r>
      <w:r w:rsidR="005E14DB" w:rsidRPr="00C34564">
        <w:rPr>
          <w:vertAlign w:val="superscript"/>
        </w:rPr>
        <w:footnoteReference w:id="7"/>
      </w:r>
      <w:r w:rsidR="00D524C8">
        <w:rPr>
          <w:rFonts w:cstheme="minorHAnsi"/>
          <w:color w:val="000000" w:themeColor="text1"/>
          <w:sz w:val="24"/>
          <w:szCs w:val="24"/>
        </w:rPr>
        <w:t>,</w:t>
      </w:r>
      <w:r w:rsidRPr="00C80118">
        <w:rPr>
          <w:rFonts w:cstheme="minorHAnsi"/>
          <w:color w:val="000000" w:themeColor="text1"/>
          <w:sz w:val="24"/>
          <w:szCs w:val="24"/>
        </w:rPr>
        <w:t xml:space="preserve"> a část peněžních prostředků ze státního rozpočtu činí 22</w:t>
      </w:r>
      <w:r w:rsidR="00702809">
        <w:rPr>
          <w:rFonts w:cstheme="minorHAnsi"/>
          <w:color w:val="000000" w:themeColor="text1"/>
          <w:sz w:val="24"/>
          <w:szCs w:val="24"/>
        </w:rPr>
        <w:t> </w:t>
      </w:r>
      <w:r w:rsidRPr="00C80118">
        <w:rPr>
          <w:rFonts w:cstheme="minorHAnsi"/>
          <w:color w:val="000000" w:themeColor="text1"/>
          <w:sz w:val="24"/>
          <w:szCs w:val="24"/>
        </w:rPr>
        <w:t>164 850 </w:t>
      </w:r>
      <w:r w:rsidR="00D524C8">
        <w:rPr>
          <w:rFonts w:cstheme="minorHAnsi"/>
          <w:color w:val="000000" w:themeColor="text1"/>
          <w:sz w:val="24"/>
          <w:szCs w:val="24"/>
        </w:rPr>
        <w:t>€</w:t>
      </w:r>
      <w:r w:rsidRPr="00C80118">
        <w:rPr>
          <w:rFonts w:cstheme="minorHAnsi"/>
          <w:color w:val="000000" w:themeColor="text1"/>
          <w:sz w:val="24"/>
          <w:szCs w:val="24"/>
        </w:rPr>
        <w:t>, tj.</w:t>
      </w:r>
      <w:r w:rsidR="003826F0">
        <w:rPr>
          <w:rFonts w:cstheme="minorHAnsi"/>
          <w:color w:val="000000" w:themeColor="text1"/>
          <w:sz w:val="24"/>
          <w:szCs w:val="24"/>
        </w:rPr>
        <w:t> </w:t>
      </w:r>
      <w:r w:rsidR="00A43BB8">
        <w:rPr>
          <w:rFonts w:cstheme="minorHAnsi"/>
          <w:color w:val="000000" w:themeColor="text1"/>
          <w:sz w:val="24"/>
          <w:szCs w:val="24"/>
        </w:rPr>
        <w:t xml:space="preserve">cca </w:t>
      </w:r>
      <w:r w:rsidR="005C5FA1">
        <w:rPr>
          <w:rFonts w:cstheme="minorHAnsi"/>
          <w:color w:val="000000" w:themeColor="text1"/>
          <w:sz w:val="24"/>
          <w:szCs w:val="24"/>
        </w:rPr>
        <w:lastRenderedPageBreak/>
        <w:t>0,6</w:t>
      </w:r>
      <w:r w:rsidR="00D524C8">
        <w:rPr>
          <w:rFonts w:cstheme="minorHAnsi"/>
          <w:color w:val="000000" w:themeColor="text1"/>
          <w:sz w:val="24"/>
          <w:szCs w:val="24"/>
        </w:rPr>
        <w:t> </w:t>
      </w:r>
      <w:r w:rsidR="00A43BB8">
        <w:rPr>
          <w:rFonts w:cstheme="minorHAnsi"/>
          <w:color w:val="000000" w:themeColor="text1"/>
          <w:sz w:val="24"/>
          <w:szCs w:val="24"/>
        </w:rPr>
        <w:t>ml</w:t>
      </w:r>
      <w:r w:rsidR="005C5FA1">
        <w:rPr>
          <w:rFonts w:cstheme="minorHAnsi"/>
          <w:color w:val="000000" w:themeColor="text1"/>
          <w:sz w:val="24"/>
          <w:szCs w:val="24"/>
        </w:rPr>
        <w:t>d</w:t>
      </w:r>
      <w:r w:rsidR="00A43BB8">
        <w:rPr>
          <w:rFonts w:cstheme="minorHAnsi"/>
          <w:color w:val="000000" w:themeColor="text1"/>
          <w:sz w:val="24"/>
          <w:szCs w:val="24"/>
        </w:rPr>
        <w:t>.</w:t>
      </w:r>
      <w:r w:rsidR="008B7E95">
        <w:rPr>
          <w:rFonts w:cstheme="minorHAnsi"/>
          <w:color w:val="000000" w:themeColor="text1"/>
          <w:sz w:val="24"/>
          <w:szCs w:val="24"/>
        </w:rPr>
        <w:t> </w:t>
      </w:r>
      <w:r w:rsidRPr="00C80118">
        <w:rPr>
          <w:rFonts w:cstheme="minorHAnsi"/>
          <w:color w:val="000000" w:themeColor="text1"/>
          <w:sz w:val="24"/>
          <w:szCs w:val="24"/>
        </w:rPr>
        <w:t>Kč</w:t>
      </w:r>
      <w:r w:rsidR="005E14DB">
        <w:rPr>
          <w:rFonts w:cstheme="minorHAnsi"/>
          <w:color w:val="000000" w:themeColor="text1"/>
          <w:sz w:val="24"/>
          <w:szCs w:val="24"/>
        </w:rPr>
        <w:t>.</w:t>
      </w:r>
      <w:r w:rsidR="00921E7C" w:rsidRPr="00C80118">
        <w:rPr>
          <w:rFonts w:cstheme="minorHAnsi"/>
          <w:color w:val="000000" w:themeColor="text1"/>
          <w:sz w:val="24"/>
          <w:szCs w:val="24"/>
        </w:rPr>
        <w:t xml:space="preserve"> </w:t>
      </w:r>
      <w:r w:rsidR="0045093F" w:rsidRPr="00C80118">
        <w:rPr>
          <w:rFonts w:cstheme="minorHAnsi"/>
          <w:color w:val="000000" w:themeColor="text1"/>
          <w:sz w:val="24"/>
          <w:szCs w:val="24"/>
        </w:rPr>
        <w:t xml:space="preserve">Celkem </w:t>
      </w:r>
      <w:r w:rsidR="00C34564" w:rsidRPr="00C80118">
        <w:rPr>
          <w:rFonts w:cstheme="minorHAnsi"/>
          <w:color w:val="000000" w:themeColor="text1"/>
          <w:sz w:val="24"/>
          <w:szCs w:val="24"/>
        </w:rPr>
        <w:t xml:space="preserve">tedy </w:t>
      </w:r>
      <w:r w:rsidR="0045093F" w:rsidRPr="00C80118">
        <w:rPr>
          <w:rFonts w:cstheme="minorHAnsi"/>
          <w:color w:val="000000" w:themeColor="text1"/>
          <w:sz w:val="24"/>
          <w:szCs w:val="24"/>
        </w:rPr>
        <w:t>alokace PO</w:t>
      </w:r>
      <w:r w:rsidR="00C34564" w:rsidRPr="00C80118">
        <w:rPr>
          <w:rFonts w:cstheme="minorHAnsi"/>
          <w:color w:val="000000" w:themeColor="text1"/>
          <w:sz w:val="24"/>
          <w:szCs w:val="24"/>
        </w:rPr>
        <w:t xml:space="preserve"> </w:t>
      </w:r>
      <w:r w:rsidR="0045093F" w:rsidRPr="00C80118">
        <w:rPr>
          <w:rFonts w:cstheme="minorHAnsi"/>
          <w:color w:val="000000" w:themeColor="text1"/>
          <w:sz w:val="24"/>
          <w:szCs w:val="24"/>
        </w:rPr>
        <w:t xml:space="preserve">5 OPPIK činí </w:t>
      </w:r>
      <w:r w:rsidR="00F23DEE" w:rsidRPr="00C80118">
        <w:rPr>
          <w:rFonts w:cstheme="minorHAnsi"/>
          <w:color w:val="000000" w:themeColor="text1"/>
          <w:sz w:val="24"/>
          <w:szCs w:val="24"/>
        </w:rPr>
        <w:t>147 </w:t>
      </w:r>
      <w:r w:rsidR="00C34564" w:rsidRPr="00C80118">
        <w:rPr>
          <w:rFonts w:cstheme="minorHAnsi"/>
          <w:color w:val="000000" w:themeColor="text1"/>
          <w:sz w:val="24"/>
          <w:szCs w:val="24"/>
        </w:rPr>
        <w:t>765</w:t>
      </w:r>
      <w:r w:rsidR="008B7E95">
        <w:rPr>
          <w:rFonts w:cstheme="minorHAnsi"/>
          <w:color w:val="000000" w:themeColor="text1"/>
          <w:sz w:val="24"/>
          <w:szCs w:val="24"/>
        </w:rPr>
        <w:t> 666 </w:t>
      </w:r>
      <w:r w:rsidR="00D524C8">
        <w:rPr>
          <w:rFonts w:cstheme="minorHAnsi"/>
          <w:color w:val="000000" w:themeColor="text1"/>
          <w:sz w:val="24"/>
          <w:szCs w:val="24"/>
        </w:rPr>
        <w:t>€</w:t>
      </w:r>
      <w:r w:rsidR="00C34564" w:rsidRPr="00C80118">
        <w:rPr>
          <w:rFonts w:cstheme="minorHAnsi"/>
          <w:color w:val="000000" w:themeColor="text1"/>
          <w:sz w:val="24"/>
          <w:szCs w:val="24"/>
        </w:rPr>
        <w:t xml:space="preserve">, tj. </w:t>
      </w:r>
      <w:r w:rsidR="00A43BB8">
        <w:rPr>
          <w:rFonts w:cstheme="minorHAnsi"/>
          <w:color w:val="000000" w:themeColor="text1"/>
          <w:sz w:val="24"/>
          <w:szCs w:val="24"/>
        </w:rPr>
        <w:t xml:space="preserve">cca </w:t>
      </w:r>
      <w:r w:rsidR="00C34564" w:rsidRPr="00C80118">
        <w:rPr>
          <w:rFonts w:cstheme="minorHAnsi"/>
          <w:color w:val="000000" w:themeColor="text1"/>
          <w:sz w:val="24"/>
          <w:szCs w:val="24"/>
        </w:rPr>
        <w:t>3</w:t>
      </w:r>
      <w:r w:rsidR="00A43BB8">
        <w:rPr>
          <w:rFonts w:cstheme="minorHAnsi"/>
          <w:color w:val="000000" w:themeColor="text1"/>
          <w:sz w:val="24"/>
          <w:szCs w:val="24"/>
        </w:rPr>
        <w:t>,8</w:t>
      </w:r>
      <w:r w:rsidR="005C5FA1">
        <w:rPr>
          <w:rFonts w:cstheme="minorHAnsi"/>
          <w:color w:val="000000" w:themeColor="text1"/>
          <w:sz w:val="24"/>
          <w:szCs w:val="24"/>
        </w:rPr>
        <w:t> </w:t>
      </w:r>
      <w:r w:rsidR="00A43BB8">
        <w:rPr>
          <w:rFonts w:cstheme="minorHAnsi"/>
          <w:color w:val="000000" w:themeColor="text1"/>
          <w:sz w:val="24"/>
          <w:szCs w:val="24"/>
        </w:rPr>
        <w:t>mld.</w:t>
      </w:r>
      <w:r w:rsidR="008B7E95">
        <w:rPr>
          <w:rFonts w:cstheme="minorHAnsi"/>
          <w:color w:val="000000" w:themeColor="text1"/>
          <w:sz w:val="24"/>
          <w:szCs w:val="24"/>
        </w:rPr>
        <w:t> </w:t>
      </w:r>
      <w:r w:rsidR="0045093F" w:rsidRPr="00C80118">
        <w:rPr>
          <w:rFonts w:cstheme="minorHAnsi"/>
          <w:color w:val="000000" w:themeColor="text1"/>
          <w:sz w:val="24"/>
          <w:szCs w:val="24"/>
        </w:rPr>
        <w:t>Kč</w:t>
      </w:r>
      <w:r w:rsidR="00C34564">
        <w:rPr>
          <w:rStyle w:val="Znakapoznpodarou"/>
          <w:rFonts w:cstheme="minorHAnsi"/>
          <w:color w:val="000000" w:themeColor="text1"/>
          <w:sz w:val="24"/>
          <w:szCs w:val="24"/>
        </w:rPr>
        <w:footnoteReference w:id="8"/>
      </w:r>
      <w:r w:rsidR="0045093F" w:rsidRPr="00C80118">
        <w:rPr>
          <w:rFonts w:cstheme="minorHAnsi"/>
          <w:color w:val="000000" w:themeColor="text1"/>
          <w:sz w:val="24"/>
          <w:szCs w:val="24"/>
        </w:rPr>
        <w:t xml:space="preserve">. </w:t>
      </w:r>
      <w:r w:rsidR="009C5400" w:rsidRPr="00C80118">
        <w:rPr>
          <w:rFonts w:cstheme="minorHAnsi"/>
          <w:color w:val="000000" w:themeColor="text1"/>
          <w:sz w:val="24"/>
          <w:szCs w:val="24"/>
        </w:rPr>
        <w:t>Celková výše proplacených peněžních prostředků na proje</w:t>
      </w:r>
      <w:r w:rsidR="00952E95">
        <w:rPr>
          <w:rFonts w:cstheme="minorHAnsi"/>
          <w:color w:val="000000" w:themeColor="text1"/>
          <w:sz w:val="24"/>
          <w:szCs w:val="24"/>
        </w:rPr>
        <w:t>kty technické pomoci v rámci PO </w:t>
      </w:r>
      <w:r w:rsidR="009C5400" w:rsidRPr="00C80118">
        <w:rPr>
          <w:rFonts w:cstheme="minorHAnsi"/>
          <w:color w:val="000000" w:themeColor="text1"/>
          <w:sz w:val="24"/>
          <w:szCs w:val="24"/>
        </w:rPr>
        <w:t>5</w:t>
      </w:r>
      <w:r w:rsidR="00952E95">
        <w:rPr>
          <w:rFonts w:cstheme="minorHAnsi"/>
          <w:color w:val="000000" w:themeColor="text1"/>
          <w:sz w:val="24"/>
          <w:szCs w:val="24"/>
        </w:rPr>
        <w:t> </w:t>
      </w:r>
      <w:r w:rsidR="009C5400" w:rsidRPr="00C80118">
        <w:rPr>
          <w:rFonts w:cstheme="minorHAnsi"/>
          <w:color w:val="000000" w:themeColor="text1"/>
          <w:sz w:val="24"/>
          <w:szCs w:val="24"/>
        </w:rPr>
        <w:t xml:space="preserve">OPPIK </w:t>
      </w:r>
      <w:r w:rsidR="000C7EBD">
        <w:rPr>
          <w:rFonts w:cstheme="minorHAnsi"/>
          <w:color w:val="000000" w:themeColor="text1"/>
          <w:sz w:val="24"/>
          <w:szCs w:val="24"/>
        </w:rPr>
        <w:t xml:space="preserve">ke dni 31. května 2019 </w:t>
      </w:r>
      <w:r w:rsidR="000C7EBD" w:rsidRPr="00C80118">
        <w:rPr>
          <w:rFonts w:cstheme="minorHAnsi"/>
          <w:color w:val="000000" w:themeColor="text1"/>
          <w:sz w:val="24"/>
          <w:szCs w:val="24"/>
        </w:rPr>
        <w:t>činila</w:t>
      </w:r>
      <w:r w:rsidR="000C7EBD">
        <w:rPr>
          <w:rFonts w:cstheme="minorHAnsi"/>
          <w:color w:val="000000" w:themeColor="text1"/>
          <w:sz w:val="24"/>
          <w:szCs w:val="24"/>
        </w:rPr>
        <w:t xml:space="preserve"> </w:t>
      </w:r>
      <w:r w:rsidR="00A43BB8">
        <w:rPr>
          <w:rFonts w:cstheme="minorHAnsi"/>
          <w:color w:val="000000" w:themeColor="text1"/>
          <w:sz w:val="24"/>
          <w:szCs w:val="24"/>
        </w:rPr>
        <w:t>cca 1,1</w:t>
      </w:r>
      <w:r w:rsidR="000C7EBD">
        <w:rPr>
          <w:rFonts w:cstheme="minorHAnsi"/>
          <w:color w:val="000000" w:themeColor="text1"/>
          <w:sz w:val="24"/>
          <w:szCs w:val="24"/>
        </w:rPr>
        <w:t xml:space="preserve"> </w:t>
      </w:r>
      <w:r w:rsidR="00A43BB8">
        <w:rPr>
          <w:rFonts w:cstheme="minorHAnsi"/>
          <w:color w:val="000000" w:themeColor="text1"/>
          <w:sz w:val="24"/>
          <w:szCs w:val="24"/>
        </w:rPr>
        <w:t>mld.</w:t>
      </w:r>
      <w:r w:rsidR="00C804F3">
        <w:rPr>
          <w:rFonts w:cstheme="minorHAnsi"/>
          <w:color w:val="000000" w:themeColor="text1"/>
          <w:sz w:val="24"/>
          <w:szCs w:val="24"/>
        </w:rPr>
        <w:t> </w:t>
      </w:r>
      <w:r w:rsidR="000C7EBD">
        <w:rPr>
          <w:rFonts w:cstheme="minorHAnsi"/>
          <w:color w:val="000000" w:themeColor="text1"/>
          <w:sz w:val="24"/>
          <w:szCs w:val="24"/>
        </w:rPr>
        <w:t>Kč.</w:t>
      </w:r>
    </w:p>
    <w:p w14:paraId="0461F7C2" w14:textId="77777777" w:rsidR="009C5400" w:rsidRDefault="009C5400" w:rsidP="009C5400">
      <w:pPr>
        <w:pStyle w:val="Odstavecseseznamem"/>
        <w:tabs>
          <w:tab w:val="left" w:pos="0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</w:p>
    <w:p w14:paraId="3D6A891F" w14:textId="77777777" w:rsidR="004E4F89" w:rsidRPr="00BB52AE" w:rsidRDefault="004E4F89" w:rsidP="004E4F89">
      <w:pPr>
        <w:pStyle w:val="Odstavecseseznamem"/>
        <w:tabs>
          <w:tab w:val="left" w:pos="0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 w:themeColor="text1"/>
          <w:sz w:val="24"/>
          <w:szCs w:val="24"/>
        </w:rPr>
      </w:pPr>
    </w:p>
    <w:p w14:paraId="3B1B3437" w14:textId="77777777" w:rsidR="007D3809" w:rsidRPr="007F1D90" w:rsidRDefault="007D3809" w:rsidP="007F1D90">
      <w:pPr>
        <w:pStyle w:val="Nadpis1"/>
        <w:numPr>
          <w:ilvl w:val="0"/>
          <w:numId w:val="0"/>
        </w:numPr>
        <w:spacing w:before="0" w:after="0" w:line="280" w:lineRule="atLeast"/>
        <w:ind w:left="357" w:hanging="357"/>
        <w:rPr>
          <w:sz w:val="28"/>
          <w:szCs w:val="28"/>
        </w:rPr>
      </w:pPr>
      <w:r w:rsidRPr="007F1D90">
        <w:rPr>
          <w:sz w:val="28"/>
          <w:szCs w:val="28"/>
        </w:rPr>
        <w:t>III. Rozsah kontroly</w:t>
      </w:r>
    </w:p>
    <w:p w14:paraId="1DAF0689" w14:textId="77777777" w:rsidR="007D3809" w:rsidRPr="007F1D90" w:rsidRDefault="007D3809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5E9A8677" w14:textId="40A0CC5E" w:rsidR="00514E54" w:rsidRPr="007F1D90" w:rsidRDefault="001F1EB9" w:rsidP="007F1D90">
      <w:pPr>
        <w:pStyle w:val="Odstavecseseznamem"/>
        <w:numPr>
          <w:ilvl w:val="1"/>
          <w:numId w:val="25"/>
        </w:numPr>
        <w:tabs>
          <w:tab w:val="left" w:pos="0"/>
        </w:tabs>
        <w:spacing w:after="0" w:line="280" w:lineRule="atLeast"/>
        <w:ind w:left="0" w:firstLine="0"/>
        <w:jc w:val="both"/>
        <w:rPr>
          <w:rFonts w:eastAsia="TimesNewRomanPSMT" w:cstheme="minorHAnsi"/>
          <w:sz w:val="24"/>
          <w:szCs w:val="24"/>
        </w:rPr>
      </w:pPr>
      <w:r w:rsidRPr="007F1D90">
        <w:rPr>
          <w:rFonts w:eastAsia="TimesNewRomanPSMT" w:cstheme="minorHAnsi"/>
          <w:sz w:val="24"/>
          <w:szCs w:val="24"/>
        </w:rPr>
        <w:t xml:space="preserve">Předmětem kontroly NKÚ byly </w:t>
      </w:r>
      <w:r w:rsidR="0085118F">
        <w:rPr>
          <w:rFonts w:eastAsia="TimesNewRomanPSMT" w:cstheme="minorHAnsi"/>
          <w:sz w:val="24"/>
          <w:szCs w:val="24"/>
        </w:rPr>
        <w:t xml:space="preserve">peněžní </w:t>
      </w:r>
      <w:r w:rsidRPr="007F1D90">
        <w:rPr>
          <w:rFonts w:eastAsia="TimesNewRomanPSMT" w:cstheme="minorHAnsi"/>
          <w:sz w:val="24"/>
          <w:szCs w:val="24"/>
        </w:rPr>
        <w:t xml:space="preserve">prostředky vynakládané na </w:t>
      </w:r>
      <w:r w:rsidR="00DC295D" w:rsidRPr="007F1D90">
        <w:rPr>
          <w:rFonts w:eastAsia="TimesNewRomanPSMT" w:cstheme="minorHAnsi"/>
          <w:sz w:val="24"/>
          <w:szCs w:val="24"/>
        </w:rPr>
        <w:t>technickou pomoc z </w:t>
      </w:r>
      <w:r w:rsidRPr="007F1D90">
        <w:rPr>
          <w:rFonts w:eastAsia="TimesNewRomanPSMT" w:cstheme="minorHAnsi"/>
          <w:sz w:val="24"/>
          <w:szCs w:val="24"/>
        </w:rPr>
        <w:t xml:space="preserve">operačního programu </w:t>
      </w:r>
      <w:r w:rsidRPr="00695A2C">
        <w:rPr>
          <w:rFonts w:eastAsia="TimesNewRomanPSMT" w:cstheme="minorHAnsi"/>
          <w:i/>
          <w:sz w:val="24"/>
          <w:szCs w:val="24"/>
        </w:rPr>
        <w:t>Podnikání</w:t>
      </w:r>
      <w:r w:rsidR="00695A2C">
        <w:rPr>
          <w:rFonts w:eastAsia="TimesNewRomanPSMT" w:cstheme="minorHAnsi"/>
          <w:i/>
          <w:sz w:val="24"/>
          <w:szCs w:val="24"/>
        </w:rPr>
        <w:t xml:space="preserve"> </w:t>
      </w:r>
      <w:r w:rsidRPr="00695A2C">
        <w:rPr>
          <w:rFonts w:eastAsia="TimesNewRomanPSMT" w:cstheme="minorHAnsi"/>
          <w:i/>
          <w:sz w:val="24"/>
          <w:szCs w:val="24"/>
        </w:rPr>
        <w:t>a</w:t>
      </w:r>
      <w:r w:rsidR="00695A2C">
        <w:rPr>
          <w:rFonts w:eastAsia="TimesNewRomanPSMT" w:cstheme="minorHAnsi"/>
          <w:i/>
          <w:sz w:val="24"/>
          <w:szCs w:val="24"/>
        </w:rPr>
        <w:t xml:space="preserve"> </w:t>
      </w:r>
      <w:r w:rsidRPr="00695A2C">
        <w:rPr>
          <w:rFonts w:eastAsia="TimesNewRomanPSMT" w:cstheme="minorHAnsi"/>
          <w:i/>
          <w:sz w:val="24"/>
          <w:szCs w:val="24"/>
        </w:rPr>
        <w:t>inovace pro konkurenceschopnost</w:t>
      </w:r>
      <w:r w:rsidRPr="007F1D90">
        <w:rPr>
          <w:rFonts w:eastAsia="TimesNewRomanPSMT" w:cstheme="minorHAnsi"/>
          <w:sz w:val="24"/>
          <w:szCs w:val="24"/>
        </w:rPr>
        <w:t xml:space="preserve"> v programovém období 2014</w:t>
      </w:r>
      <w:r w:rsidR="0080090C">
        <w:rPr>
          <w:rFonts w:eastAsia="TimesNewRomanPSMT" w:cstheme="minorHAnsi"/>
          <w:sz w:val="24"/>
          <w:szCs w:val="24"/>
        </w:rPr>
        <w:t>–</w:t>
      </w:r>
      <w:r w:rsidRPr="007F1D90">
        <w:rPr>
          <w:rFonts w:eastAsia="TimesNewRomanPSMT" w:cstheme="minorHAnsi"/>
          <w:sz w:val="24"/>
          <w:szCs w:val="24"/>
        </w:rPr>
        <w:t>2020 poskytnuté z ESI fondů. Kontrolovaným obdobím byly roky 2014 až 201</w:t>
      </w:r>
      <w:r w:rsidR="006E20F6" w:rsidRPr="007F1D90">
        <w:rPr>
          <w:rFonts w:eastAsia="TimesNewRomanPSMT" w:cstheme="minorHAnsi"/>
          <w:sz w:val="24"/>
          <w:szCs w:val="24"/>
        </w:rPr>
        <w:t>8</w:t>
      </w:r>
      <w:r w:rsidRPr="007F1D90">
        <w:rPr>
          <w:rFonts w:eastAsia="TimesNewRomanPSMT" w:cstheme="minorHAnsi"/>
          <w:sz w:val="24"/>
          <w:szCs w:val="24"/>
        </w:rPr>
        <w:t>, v případě věcných souvislostí i obdo</w:t>
      </w:r>
      <w:r w:rsidR="00904D24" w:rsidRPr="007F1D90">
        <w:rPr>
          <w:rFonts w:eastAsia="TimesNewRomanPSMT" w:cstheme="minorHAnsi"/>
          <w:sz w:val="24"/>
          <w:szCs w:val="24"/>
        </w:rPr>
        <w:t>bí předcházející a následující.</w:t>
      </w:r>
    </w:p>
    <w:p w14:paraId="6925751F" w14:textId="77777777" w:rsidR="00514E54" w:rsidRPr="007F1D90" w:rsidRDefault="00514E54" w:rsidP="00883474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14:paraId="5D0B03B2" w14:textId="73CD131A" w:rsidR="00904D24" w:rsidRPr="00E669B2" w:rsidRDefault="001F1EB9" w:rsidP="007F1D90">
      <w:pPr>
        <w:pStyle w:val="Odstavecseseznamem"/>
        <w:numPr>
          <w:ilvl w:val="1"/>
          <w:numId w:val="25"/>
        </w:numPr>
        <w:tabs>
          <w:tab w:val="left" w:pos="0"/>
        </w:tabs>
        <w:spacing w:after="0" w:line="280" w:lineRule="atLeast"/>
        <w:ind w:left="0" w:firstLine="0"/>
        <w:jc w:val="both"/>
        <w:rPr>
          <w:rFonts w:cstheme="minorHAnsi"/>
          <w:sz w:val="24"/>
          <w:szCs w:val="24"/>
        </w:rPr>
      </w:pPr>
      <w:r w:rsidRPr="007F1D90">
        <w:rPr>
          <w:rFonts w:eastAsia="TimesNewRomanPSMT" w:cstheme="minorHAnsi"/>
          <w:sz w:val="24"/>
          <w:szCs w:val="24"/>
        </w:rPr>
        <w:t>Právní předpisy vztahující se i na prostředky z ESI fondů</w:t>
      </w:r>
      <w:r w:rsidRPr="007F1D90">
        <w:rPr>
          <w:rStyle w:val="Znakapoznpodarou"/>
          <w:rFonts w:eastAsia="TimesNewRomanPSMT" w:cstheme="minorHAnsi"/>
        </w:rPr>
        <w:footnoteReference w:id="9"/>
      </w:r>
      <w:r w:rsidRPr="007F1D90">
        <w:rPr>
          <w:rFonts w:eastAsia="TimesNewRomanPSMT" w:cstheme="minorHAnsi"/>
          <w:sz w:val="24"/>
          <w:szCs w:val="24"/>
        </w:rPr>
        <w:t xml:space="preserve"> stanoví, že </w:t>
      </w:r>
      <w:r w:rsidR="002A7FFE">
        <w:rPr>
          <w:rFonts w:eastAsia="TimesNewRomanPSMT" w:cstheme="minorHAnsi"/>
          <w:sz w:val="24"/>
          <w:szCs w:val="24"/>
        </w:rPr>
        <w:t xml:space="preserve">peněžní prostředky </w:t>
      </w:r>
      <w:r w:rsidRPr="007F1D90">
        <w:rPr>
          <w:rFonts w:eastAsia="TimesNewRomanPSMT" w:cstheme="minorHAnsi"/>
          <w:sz w:val="24"/>
          <w:szCs w:val="24"/>
        </w:rPr>
        <w:t>musí být využity s ohledem na zásadu řádného finančního řízení, která konkrétně zahrnuje principy hospodár</w:t>
      </w:r>
      <w:r w:rsidR="002A7FFE">
        <w:rPr>
          <w:rFonts w:eastAsia="TimesNewRomanPSMT" w:cstheme="minorHAnsi"/>
          <w:sz w:val="24"/>
          <w:szCs w:val="24"/>
        </w:rPr>
        <w:t xml:space="preserve">nosti, efektivnosti a účelnosti, přičemž </w:t>
      </w:r>
      <w:r w:rsidRPr="007F1D90">
        <w:rPr>
          <w:rFonts w:eastAsia="TimesNewRomanPSMT" w:cstheme="minorHAnsi"/>
          <w:sz w:val="24"/>
          <w:szCs w:val="24"/>
        </w:rPr>
        <w:t xml:space="preserve">tyto principy dále specifikuje. </w:t>
      </w:r>
      <w:r w:rsidRPr="007F1D90">
        <w:rPr>
          <w:rFonts w:cstheme="minorHAnsi"/>
          <w:b/>
          <w:sz w:val="24"/>
          <w:szCs w:val="24"/>
        </w:rPr>
        <w:t>Cílem</w:t>
      </w:r>
      <w:r w:rsidR="008469F5">
        <w:rPr>
          <w:rFonts w:cstheme="minorHAnsi"/>
          <w:b/>
          <w:sz w:val="24"/>
          <w:szCs w:val="24"/>
        </w:rPr>
        <w:t xml:space="preserve"> </w:t>
      </w:r>
      <w:r w:rsidRPr="007F1D90">
        <w:rPr>
          <w:rFonts w:cstheme="minorHAnsi"/>
          <w:b/>
          <w:sz w:val="24"/>
          <w:szCs w:val="24"/>
        </w:rPr>
        <w:t xml:space="preserve">kontroly bylo prověřit, zda </w:t>
      </w:r>
      <w:r w:rsidR="006E20F6" w:rsidRPr="007F1D90">
        <w:rPr>
          <w:rFonts w:cstheme="minorHAnsi"/>
          <w:b/>
          <w:sz w:val="24"/>
          <w:szCs w:val="24"/>
        </w:rPr>
        <w:t xml:space="preserve">peněžní prostředky určené na technickou pomoc z operačního programu </w:t>
      </w:r>
      <w:r w:rsidR="006E20F6" w:rsidRPr="00482426">
        <w:rPr>
          <w:rFonts w:cstheme="minorHAnsi"/>
          <w:b/>
          <w:i/>
          <w:sz w:val="24"/>
          <w:szCs w:val="24"/>
        </w:rPr>
        <w:t>Podnikání a inovace pro konkurenceschopnost</w:t>
      </w:r>
      <w:r w:rsidR="006E20F6" w:rsidRPr="007F1D90">
        <w:rPr>
          <w:rFonts w:cstheme="minorHAnsi"/>
          <w:b/>
          <w:sz w:val="24"/>
          <w:szCs w:val="24"/>
        </w:rPr>
        <w:t xml:space="preserve"> jsou </w:t>
      </w:r>
      <w:r w:rsidRPr="007F1D90">
        <w:rPr>
          <w:rFonts w:cstheme="minorHAnsi"/>
          <w:b/>
          <w:sz w:val="24"/>
          <w:szCs w:val="24"/>
        </w:rPr>
        <w:t>kontrolovan</w:t>
      </w:r>
      <w:r w:rsidR="006E20F6" w:rsidRPr="007F1D90">
        <w:rPr>
          <w:rFonts w:cstheme="minorHAnsi"/>
          <w:b/>
          <w:sz w:val="24"/>
          <w:szCs w:val="24"/>
        </w:rPr>
        <w:t xml:space="preserve">ými </w:t>
      </w:r>
      <w:r w:rsidRPr="007F1D90">
        <w:rPr>
          <w:rFonts w:cstheme="minorHAnsi"/>
          <w:b/>
          <w:sz w:val="24"/>
          <w:szCs w:val="24"/>
        </w:rPr>
        <w:t>osob</w:t>
      </w:r>
      <w:r w:rsidR="006E20F6" w:rsidRPr="007F1D90">
        <w:rPr>
          <w:rFonts w:cstheme="minorHAnsi"/>
          <w:b/>
          <w:sz w:val="24"/>
          <w:szCs w:val="24"/>
        </w:rPr>
        <w:t xml:space="preserve">ami </w:t>
      </w:r>
      <w:r w:rsidR="00507102" w:rsidRPr="007F1D90">
        <w:rPr>
          <w:rFonts w:cstheme="minorHAnsi"/>
          <w:b/>
          <w:sz w:val="24"/>
          <w:szCs w:val="24"/>
        </w:rPr>
        <w:t xml:space="preserve">při realizaci projektů technické pomoci </w:t>
      </w:r>
      <w:r w:rsidR="00904D24" w:rsidRPr="007F1D90">
        <w:rPr>
          <w:rFonts w:cstheme="minorHAnsi"/>
          <w:b/>
          <w:sz w:val="24"/>
          <w:szCs w:val="24"/>
        </w:rPr>
        <w:t>vynakládány účelně a hospodárně.</w:t>
      </w:r>
    </w:p>
    <w:p w14:paraId="0A99B0EA" w14:textId="77777777" w:rsidR="00E669B2" w:rsidRPr="007F1D90" w:rsidRDefault="00E669B2" w:rsidP="00E669B2">
      <w:pPr>
        <w:pStyle w:val="Odstavecseseznamem"/>
        <w:tabs>
          <w:tab w:val="left" w:pos="0"/>
        </w:tabs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14:paraId="4524AE0A" w14:textId="77777777" w:rsidR="00D252B4" w:rsidRDefault="001F1EB9" w:rsidP="000C7EBD">
      <w:pPr>
        <w:pStyle w:val="Odstavecseseznamem"/>
        <w:numPr>
          <w:ilvl w:val="1"/>
          <w:numId w:val="25"/>
        </w:numPr>
        <w:spacing w:after="0" w:line="280" w:lineRule="atLeast"/>
        <w:ind w:left="0" w:firstLine="0"/>
        <w:jc w:val="both"/>
        <w:rPr>
          <w:rFonts w:cstheme="minorHAnsi"/>
          <w:color w:val="000000"/>
          <w:sz w:val="24"/>
          <w:szCs w:val="24"/>
        </w:rPr>
      </w:pPr>
      <w:r w:rsidRPr="007F1D90">
        <w:rPr>
          <w:rFonts w:cstheme="minorHAnsi"/>
          <w:sz w:val="24"/>
          <w:szCs w:val="24"/>
        </w:rPr>
        <w:t xml:space="preserve">NKÚ provedl kontrolu u </w:t>
      </w:r>
      <w:r w:rsidR="004A0DCD" w:rsidRPr="007F1D90">
        <w:rPr>
          <w:rFonts w:cstheme="minorHAnsi"/>
          <w:sz w:val="24"/>
          <w:szCs w:val="24"/>
        </w:rPr>
        <w:t>MPO a API</w:t>
      </w:r>
      <w:r w:rsidR="00F955A2">
        <w:rPr>
          <w:rStyle w:val="Znakapoznpodarou"/>
          <w:rFonts w:cstheme="minorHAnsi"/>
          <w:sz w:val="24"/>
          <w:szCs w:val="24"/>
        </w:rPr>
        <w:footnoteReference w:id="10"/>
      </w:r>
      <w:r w:rsidR="00514E54" w:rsidRPr="007F1D90">
        <w:rPr>
          <w:rFonts w:cstheme="minorHAnsi"/>
          <w:sz w:val="24"/>
          <w:szCs w:val="24"/>
        </w:rPr>
        <w:t xml:space="preserve">. </w:t>
      </w:r>
      <w:r w:rsidR="00D252B4">
        <w:rPr>
          <w:rFonts w:cstheme="minorHAnsi"/>
          <w:sz w:val="24"/>
          <w:szCs w:val="24"/>
        </w:rPr>
        <w:t>K naplnění cíle kontroly b</w:t>
      </w:r>
      <w:r w:rsidRPr="007F1D90">
        <w:rPr>
          <w:rFonts w:cstheme="minorHAnsi"/>
          <w:sz w:val="24"/>
          <w:szCs w:val="24"/>
        </w:rPr>
        <w:t>ylo posouzeno</w:t>
      </w:r>
      <w:r w:rsidR="00665414" w:rsidRPr="007F1D90">
        <w:rPr>
          <w:rFonts w:cstheme="minorHAnsi"/>
          <w:sz w:val="24"/>
          <w:szCs w:val="24"/>
        </w:rPr>
        <w:t>,</w:t>
      </w:r>
      <w:r w:rsidRPr="007F1D90">
        <w:rPr>
          <w:rFonts w:cstheme="minorHAnsi"/>
          <w:sz w:val="24"/>
          <w:szCs w:val="24"/>
        </w:rPr>
        <w:t xml:space="preserve"> </w:t>
      </w:r>
      <w:r w:rsidR="00665414" w:rsidRPr="007F1D90">
        <w:rPr>
          <w:rFonts w:cstheme="minorHAnsi"/>
          <w:color w:val="000000"/>
          <w:sz w:val="24"/>
          <w:szCs w:val="24"/>
        </w:rPr>
        <w:t>zda</w:t>
      </w:r>
      <w:r w:rsidR="0032458B">
        <w:rPr>
          <w:rFonts w:cstheme="minorHAnsi"/>
          <w:color w:val="000000"/>
          <w:sz w:val="24"/>
          <w:szCs w:val="24"/>
        </w:rPr>
        <w:t>:</w:t>
      </w:r>
    </w:p>
    <w:p w14:paraId="2B3595D8" w14:textId="77777777" w:rsidR="00D252B4" w:rsidRDefault="00D252B4" w:rsidP="00B90B61">
      <w:pPr>
        <w:pStyle w:val="Odstavecseseznamem"/>
        <w:numPr>
          <w:ilvl w:val="0"/>
          <w:numId w:val="44"/>
        </w:numPr>
        <w:spacing w:after="0" w:line="280" w:lineRule="atLeast"/>
        <w:ind w:left="709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byly nastaveny </w:t>
      </w:r>
      <w:r w:rsidR="00620C8E">
        <w:rPr>
          <w:rFonts w:cstheme="minorHAnsi"/>
          <w:color w:val="000000"/>
          <w:sz w:val="24"/>
          <w:szCs w:val="24"/>
        </w:rPr>
        <w:t>relevantní cíle PO 5 k hodnocení účel</w:t>
      </w:r>
      <w:r w:rsidR="009B03F1">
        <w:rPr>
          <w:rFonts w:cstheme="minorHAnsi"/>
          <w:color w:val="000000"/>
          <w:sz w:val="24"/>
          <w:szCs w:val="24"/>
        </w:rPr>
        <w:t xml:space="preserve">nosti vynaložených </w:t>
      </w:r>
      <w:proofErr w:type="gramStart"/>
      <w:r w:rsidR="009B03F1">
        <w:rPr>
          <w:rFonts w:cstheme="minorHAnsi"/>
          <w:color w:val="000000"/>
          <w:sz w:val="24"/>
          <w:szCs w:val="24"/>
        </w:rPr>
        <w:t>prostředků a</w:t>
      </w:r>
      <w:r w:rsidR="006A4C88">
        <w:rPr>
          <w:rFonts w:cstheme="minorHAnsi"/>
          <w:color w:val="000000"/>
          <w:sz w:val="24"/>
          <w:szCs w:val="24"/>
        </w:rPr>
        <w:t> </w:t>
      </w:r>
      <w:r w:rsidR="00F24851">
        <w:rPr>
          <w:rFonts w:cstheme="minorHAnsi"/>
          <w:color w:val="000000"/>
          <w:sz w:val="24"/>
          <w:szCs w:val="24"/>
        </w:rPr>
        <w:t>zda</w:t>
      </w:r>
      <w:proofErr w:type="gramEnd"/>
      <w:r w:rsidR="00620C8E">
        <w:rPr>
          <w:rFonts w:cstheme="minorHAnsi"/>
          <w:color w:val="000000"/>
          <w:sz w:val="24"/>
          <w:szCs w:val="24"/>
        </w:rPr>
        <w:t xml:space="preserve"> průběžné výsledky jejich plnění</w:t>
      </w:r>
      <w:r w:rsidR="00F24851">
        <w:rPr>
          <w:rFonts w:cstheme="minorHAnsi"/>
          <w:color w:val="000000"/>
          <w:sz w:val="24"/>
          <w:szCs w:val="24"/>
        </w:rPr>
        <w:t xml:space="preserve"> odpovídají předpokladům</w:t>
      </w:r>
      <w:r>
        <w:rPr>
          <w:rFonts w:cstheme="minorHAnsi"/>
          <w:color w:val="000000"/>
          <w:sz w:val="24"/>
          <w:szCs w:val="24"/>
        </w:rPr>
        <w:t>,</w:t>
      </w:r>
    </w:p>
    <w:p w14:paraId="41C23BA3" w14:textId="77777777" w:rsidR="00D252B4" w:rsidRDefault="00620C8E" w:rsidP="00B90B61">
      <w:pPr>
        <w:pStyle w:val="Odstavecseseznamem"/>
        <w:numPr>
          <w:ilvl w:val="0"/>
          <w:numId w:val="44"/>
        </w:numPr>
        <w:spacing w:after="0" w:line="280" w:lineRule="atLeast"/>
        <w:ind w:left="709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byla průkazně zdůvodněna výše alokace </w:t>
      </w:r>
      <w:proofErr w:type="gramStart"/>
      <w:r>
        <w:rPr>
          <w:rFonts w:cstheme="minorHAnsi"/>
          <w:color w:val="000000"/>
          <w:sz w:val="24"/>
          <w:szCs w:val="24"/>
        </w:rPr>
        <w:t>PO 5 a zda</w:t>
      </w:r>
      <w:proofErr w:type="gramEnd"/>
      <w:r>
        <w:rPr>
          <w:rFonts w:cstheme="minorHAnsi"/>
          <w:color w:val="000000"/>
          <w:sz w:val="24"/>
          <w:szCs w:val="24"/>
        </w:rPr>
        <w:t xml:space="preserve"> čerpání prostředků </w:t>
      </w:r>
      <w:r w:rsidR="006A765B">
        <w:rPr>
          <w:rFonts w:cstheme="minorHAnsi"/>
          <w:color w:val="000000"/>
          <w:sz w:val="24"/>
          <w:szCs w:val="24"/>
        </w:rPr>
        <w:t xml:space="preserve">na jednotlivé projekty </w:t>
      </w:r>
      <w:r>
        <w:rPr>
          <w:rFonts w:cstheme="minorHAnsi"/>
          <w:color w:val="000000"/>
          <w:sz w:val="24"/>
          <w:szCs w:val="24"/>
        </w:rPr>
        <w:t>probíhá podle předpokladů,</w:t>
      </w:r>
    </w:p>
    <w:p w14:paraId="5376B095" w14:textId="77777777" w:rsidR="007818AA" w:rsidRDefault="007818AA" w:rsidP="00B90B61">
      <w:pPr>
        <w:pStyle w:val="Odstavecseseznamem"/>
        <w:numPr>
          <w:ilvl w:val="0"/>
          <w:numId w:val="44"/>
        </w:numPr>
        <w:spacing w:after="0" w:line="280" w:lineRule="atLeast"/>
        <w:ind w:left="709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čerpání výdajů na osobní náklady probíhalo podle stanovených pravidel</w:t>
      </w:r>
      <w:r w:rsidR="00E00792">
        <w:rPr>
          <w:rFonts w:cstheme="minorHAnsi"/>
          <w:color w:val="000000"/>
          <w:sz w:val="24"/>
          <w:szCs w:val="24"/>
        </w:rPr>
        <w:t>,</w:t>
      </w:r>
    </w:p>
    <w:p w14:paraId="0B613234" w14:textId="77777777" w:rsidR="00D252B4" w:rsidRPr="000C7EBD" w:rsidRDefault="00A43BB8" w:rsidP="00B90B61">
      <w:pPr>
        <w:pStyle w:val="Odstavecseseznamem"/>
        <w:numPr>
          <w:ilvl w:val="0"/>
          <w:numId w:val="44"/>
        </w:numPr>
        <w:spacing w:after="0" w:line="280" w:lineRule="atLeast"/>
        <w:ind w:left="709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b</w:t>
      </w:r>
      <w:r w:rsidR="007818AA">
        <w:rPr>
          <w:rFonts w:cstheme="minorHAnsi"/>
          <w:color w:val="000000"/>
          <w:sz w:val="24"/>
          <w:szCs w:val="24"/>
        </w:rPr>
        <w:t xml:space="preserve">yly </w:t>
      </w:r>
      <w:r w:rsidR="00620C8E">
        <w:rPr>
          <w:rFonts w:cstheme="minorHAnsi"/>
          <w:color w:val="000000"/>
          <w:sz w:val="24"/>
          <w:szCs w:val="24"/>
        </w:rPr>
        <w:t>projekty technické pomoci OPPIK vybírány transpare</w:t>
      </w:r>
      <w:r>
        <w:rPr>
          <w:rFonts w:cstheme="minorHAnsi"/>
          <w:color w:val="000000"/>
          <w:sz w:val="24"/>
          <w:szCs w:val="24"/>
        </w:rPr>
        <w:t>ntně a výdaje na ně byly vynakládány</w:t>
      </w:r>
      <w:r w:rsidR="00247E4A">
        <w:rPr>
          <w:rFonts w:cstheme="minorHAnsi"/>
          <w:color w:val="000000"/>
          <w:sz w:val="24"/>
          <w:szCs w:val="24"/>
        </w:rPr>
        <w:t xml:space="preserve"> účelně</w:t>
      </w:r>
      <w:r w:rsidR="00620C8E">
        <w:rPr>
          <w:rFonts w:cstheme="minorHAnsi"/>
          <w:color w:val="000000"/>
          <w:sz w:val="24"/>
          <w:szCs w:val="24"/>
        </w:rPr>
        <w:t xml:space="preserve">, hospodárně a v souladu </w:t>
      </w:r>
      <w:r w:rsidR="000C291C">
        <w:rPr>
          <w:rFonts w:cstheme="minorHAnsi"/>
          <w:color w:val="000000"/>
          <w:sz w:val="24"/>
          <w:szCs w:val="24"/>
        </w:rPr>
        <w:t xml:space="preserve">s </w:t>
      </w:r>
      <w:r w:rsidR="000C7EBD">
        <w:rPr>
          <w:rFonts w:cstheme="minorHAnsi"/>
          <w:color w:val="000000"/>
          <w:sz w:val="24"/>
          <w:szCs w:val="24"/>
        </w:rPr>
        <w:t>příslušnými předpisy a pravidly.</w:t>
      </w:r>
    </w:p>
    <w:p w14:paraId="2ACFA1D9" w14:textId="77777777" w:rsidR="00065EA4" w:rsidRDefault="00065EA4" w:rsidP="0032458B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14:paraId="7A80DB12" w14:textId="77777777" w:rsidR="0032458B" w:rsidRPr="0032458B" w:rsidRDefault="0032458B" w:rsidP="0032458B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 w:rsidRPr="0032458B">
        <w:rPr>
          <w:rFonts w:cstheme="minorHAnsi"/>
          <w:color w:val="000000"/>
          <w:sz w:val="24"/>
          <w:szCs w:val="24"/>
        </w:rPr>
        <w:t xml:space="preserve">Při kontrole nebylo hodnoceno, jaký vliv měly projekty technické pomoci </w:t>
      </w:r>
      <w:r w:rsidR="00101379">
        <w:rPr>
          <w:rFonts w:cstheme="minorHAnsi"/>
          <w:color w:val="000000"/>
          <w:sz w:val="24"/>
          <w:szCs w:val="24"/>
        </w:rPr>
        <w:t xml:space="preserve">realizované v rámci PO 5 OPPIK </w:t>
      </w:r>
      <w:r w:rsidRPr="0032458B">
        <w:rPr>
          <w:rFonts w:cstheme="minorHAnsi"/>
          <w:color w:val="000000"/>
          <w:sz w:val="24"/>
          <w:szCs w:val="24"/>
        </w:rPr>
        <w:t xml:space="preserve">na úspěšnost </w:t>
      </w:r>
      <w:r w:rsidR="00E00792">
        <w:rPr>
          <w:rFonts w:cstheme="minorHAnsi"/>
          <w:color w:val="000000"/>
          <w:sz w:val="24"/>
          <w:szCs w:val="24"/>
        </w:rPr>
        <w:t xml:space="preserve">jednotlivých </w:t>
      </w:r>
      <w:r w:rsidRPr="0032458B">
        <w:rPr>
          <w:rFonts w:cstheme="minorHAnsi"/>
          <w:color w:val="000000"/>
          <w:sz w:val="24"/>
          <w:szCs w:val="24"/>
        </w:rPr>
        <w:t xml:space="preserve">projektů </w:t>
      </w:r>
      <w:r w:rsidR="00E00792">
        <w:rPr>
          <w:rFonts w:cstheme="minorHAnsi"/>
          <w:color w:val="000000"/>
          <w:sz w:val="24"/>
          <w:szCs w:val="24"/>
        </w:rPr>
        <w:t xml:space="preserve">vybraných k podpoře </w:t>
      </w:r>
      <w:r w:rsidRPr="0032458B">
        <w:rPr>
          <w:rFonts w:cstheme="minorHAnsi"/>
          <w:color w:val="000000"/>
          <w:sz w:val="24"/>
          <w:szCs w:val="24"/>
        </w:rPr>
        <w:t>v rámci realizace prioritních os 1 až 4 OPPIK.</w:t>
      </w:r>
    </w:p>
    <w:p w14:paraId="3C612831" w14:textId="77777777" w:rsidR="00904D24" w:rsidRDefault="00904D24" w:rsidP="007F1D90">
      <w:pPr>
        <w:pStyle w:val="Odstavecseseznamem"/>
        <w:spacing w:after="0" w:line="280" w:lineRule="atLeast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764FB3F1" w14:textId="06104C45" w:rsidR="00EB6972" w:rsidRPr="0064763A" w:rsidRDefault="00773CDE" w:rsidP="00027A6D">
      <w:pPr>
        <w:pStyle w:val="Odstavecseseznamem"/>
        <w:numPr>
          <w:ilvl w:val="1"/>
          <w:numId w:val="25"/>
        </w:numPr>
        <w:spacing w:after="0" w:line="280" w:lineRule="atLeast"/>
        <w:ind w:left="0" w:firstLine="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MPO a API realizovaly</w:t>
      </w:r>
      <w:r w:rsidR="002F5C56" w:rsidRPr="0064763A">
        <w:rPr>
          <w:rFonts w:cstheme="minorHAnsi"/>
          <w:sz w:val="24"/>
          <w:szCs w:val="24"/>
        </w:rPr>
        <w:t xml:space="preserve"> </w:t>
      </w:r>
      <w:r w:rsidR="0058558E">
        <w:rPr>
          <w:rFonts w:cstheme="minorHAnsi"/>
          <w:sz w:val="24"/>
          <w:szCs w:val="24"/>
        </w:rPr>
        <w:t xml:space="preserve">v rámci PO 5 OPPIK </w:t>
      </w:r>
      <w:r w:rsidR="002F5C56" w:rsidRPr="0064763A">
        <w:rPr>
          <w:rFonts w:cstheme="minorHAnsi"/>
          <w:sz w:val="24"/>
          <w:szCs w:val="24"/>
        </w:rPr>
        <w:t>v letech 2016 až 2018</w:t>
      </w:r>
      <w:r w:rsidR="000F0AA3">
        <w:rPr>
          <w:rStyle w:val="Znakapoznpodarou"/>
          <w:rFonts w:cstheme="minorHAnsi"/>
          <w:sz w:val="24"/>
          <w:szCs w:val="24"/>
        </w:rPr>
        <w:footnoteReference w:id="11"/>
      </w:r>
      <w:r w:rsidR="002F5C56" w:rsidRPr="0064763A">
        <w:rPr>
          <w:rFonts w:cstheme="minorHAnsi"/>
          <w:sz w:val="24"/>
          <w:szCs w:val="24"/>
        </w:rPr>
        <w:t xml:space="preserve"> </w:t>
      </w:r>
      <w:r w:rsidR="007D1E6B" w:rsidRPr="0064763A">
        <w:rPr>
          <w:rFonts w:cstheme="minorHAnsi"/>
          <w:sz w:val="24"/>
          <w:szCs w:val="24"/>
        </w:rPr>
        <w:t xml:space="preserve">celkem </w:t>
      </w:r>
      <w:r w:rsidR="002F5C56" w:rsidRPr="0064763A">
        <w:rPr>
          <w:rFonts w:cstheme="minorHAnsi"/>
          <w:sz w:val="24"/>
          <w:szCs w:val="24"/>
        </w:rPr>
        <w:t>18 projektů</w:t>
      </w:r>
      <w:r w:rsidR="007D1E6B">
        <w:rPr>
          <w:rFonts w:cstheme="minorHAnsi"/>
          <w:sz w:val="24"/>
          <w:szCs w:val="24"/>
        </w:rPr>
        <w:t xml:space="preserve"> technické pomoci</w:t>
      </w:r>
      <w:r w:rsidR="0058558E">
        <w:rPr>
          <w:rFonts w:cstheme="minorHAnsi"/>
          <w:sz w:val="24"/>
          <w:szCs w:val="24"/>
        </w:rPr>
        <w:t xml:space="preserve"> a </w:t>
      </w:r>
      <w:r w:rsidR="002F5C56" w:rsidRPr="0064763A">
        <w:rPr>
          <w:rFonts w:cstheme="minorHAnsi"/>
          <w:sz w:val="24"/>
          <w:szCs w:val="24"/>
        </w:rPr>
        <w:t>v letech 2019 až 2021 MPO a API realizuj</w:t>
      </w:r>
      <w:r w:rsidR="0064763A" w:rsidRPr="0064763A">
        <w:rPr>
          <w:rFonts w:cstheme="minorHAnsi"/>
          <w:sz w:val="24"/>
          <w:szCs w:val="24"/>
        </w:rPr>
        <w:t>í</w:t>
      </w:r>
      <w:r w:rsidR="002F5C56" w:rsidRPr="0064763A">
        <w:rPr>
          <w:rFonts w:cstheme="minorHAnsi"/>
          <w:sz w:val="24"/>
          <w:szCs w:val="24"/>
        </w:rPr>
        <w:t xml:space="preserve"> celkem 20 projektů. Z celkových 38 podpořených projektů technické pomoci byl k</w:t>
      </w:r>
      <w:r w:rsidR="001F1EB9" w:rsidRPr="0064763A">
        <w:rPr>
          <w:rFonts w:cstheme="minorHAnsi"/>
          <w:sz w:val="24"/>
          <w:szCs w:val="24"/>
        </w:rPr>
        <w:t xml:space="preserve">e kontrole </w:t>
      </w:r>
      <w:r w:rsidR="00904D24" w:rsidRPr="0064763A">
        <w:rPr>
          <w:rFonts w:cstheme="minorHAnsi"/>
          <w:sz w:val="24"/>
          <w:szCs w:val="24"/>
        </w:rPr>
        <w:t>v</w:t>
      </w:r>
      <w:r w:rsidR="001F1EB9" w:rsidRPr="0064763A">
        <w:rPr>
          <w:rFonts w:cstheme="minorHAnsi"/>
          <w:sz w:val="24"/>
          <w:szCs w:val="24"/>
        </w:rPr>
        <w:t xml:space="preserve">ybrán vzorek </w:t>
      </w:r>
      <w:r w:rsidR="00A973E6" w:rsidRPr="0064763A">
        <w:rPr>
          <w:rFonts w:cstheme="minorHAnsi"/>
          <w:sz w:val="24"/>
          <w:szCs w:val="24"/>
        </w:rPr>
        <w:t>1</w:t>
      </w:r>
      <w:r w:rsidR="001F29FA" w:rsidRPr="0064763A">
        <w:rPr>
          <w:rFonts w:cstheme="minorHAnsi"/>
          <w:sz w:val="24"/>
          <w:szCs w:val="24"/>
        </w:rPr>
        <w:t>2</w:t>
      </w:r>
      <w:r w:rsidR="001F1EB9" w:rsidRPr="0064763A">
        <w:rPr>
          <w:rFonts w:cstheme="minorHAnsi"/>
          <w:sz w:val="24"/>
          <w:szCs w:val="24"/>
        </w:rPr>
        <w:t xml:space="preserve"> projektů </w:t>
      </w:r>
      <w:r w:rsidR="00A973E6" w:rsidRPr="0064763A">
        <w:rPr>
          <w:rFonts w:cstheme="minorHAnsi"/>
          <w:sz w:val="24"/>
          <w:szCs w:val="24"/>
        </w:rPr>
        <w:t xml:space="preserve">technické </w:t>
      </w:r>
      <w:r w:rsidR="00A973E6" w:rsidRPr="0061760A">
        <w:rPr>
          <w:rFonts w:cstheme="minorHAnsi"/>
          <w:sz w:val="24"/>
          <w:szCs w:val="24"/>
        </w:rPr>
        <w:t xml:space="preserve">pomoci </w:t>
      </w:r>
      <w:r w:rsidR="001F29FA" w:rsidRPr="0061760A">
        <w:rPr>
          <w:rFonts w:cstheme="minorHAnsi"/>
          <w:sz w:val="24"/>
          <w:szCs w:val="24"/>
        </w:rPr>
        <w:t>OPPIK</w:t>
      </w:r>
      <w:r w:rsidR="002F5C56" w:rsidRPr="0061760A">
        <w:rPr>
          <w:rFonts w:cstheme="minorHAnsi"/>
          <w:sz w:val="24"/>
          <w:szCs w:val="24"/>
        </w:rPr>
        <w:t>, které MPO a API realizoval</w:t>
      </w:r>
      <w:r w:rsidRPr="0061760A">
        <w:rPr>
          <w:rFonts w:cstheme="minorHAnsi"/>
          <w:sz w:val="24"/>
          <w:szCs w:val="24"/>
        </w:rPr>
        <w:t>y</w:t>
      </w:r>
      <w:r w:rsidR="002F5C56" w:rsidRPr="0061760A">
        <w:rPr>
          <w:rFonts w:cstheme="minorHAnsi"/>
          <w:sz w:val="24"/>
          <w:szCs w:val="24"/>
        </w:rPr>
        <w:t xml:space="preserve"> v letech 2016 až 2018.</w:t>
      </w:r>
      <w:r w:rsidR="001F29FA" w:rsidRPr="0061760A">
        <w:rPr>
          <w:rFonts w:cstheme="minorHAnsi"/>
          <w:sz w:val="24"/>
          <w:szCs w:val="24"/>
        </w:rPr>
        <w:t xml:space="preserve"> </w:t>
      </w:r>
      <w:r w:rsidR="00D53CE5" w:rsidRPr="0061760A">
        <w:rPr>
          <w:rFonts w:cstheme="minorHAnsi"/>
          <w:sz w:val="24"/>
          <w:szCs w:val="24"/>
        </w:rPr>
        <w:t xml:space="preserve">Podíl vzorku </w:t>
      </w:r>
      <w:r w:rsidR="007D1E6B">
        <w:rPr>
          <w:rFonts w:cstheme="minorHAnsi"/>
          <w:sz w:val="24"/>
          <w:szCs w:val="24"/>
        </w:rPr>
        <w:t>12 </w:t>
      </w:r>
      <w:r w:rsidR="00D53CE5" w:rsidRPr="0061760A">
        <w:rPr>
          <w:rFonts w:cstheme="minorHAnsi"/>
          <w:sz w:val="24"/>
          <w:szCs w:val="24"/>
        </w:rPr>
        <w:t xml:space="preserve">projektů </w:t>
      </w:r>
      <w:r w:rsidR="0080090C">
        <w:rPr>
          <w:rFonts w:cstheme="minorHAnsi"/>
          <w:sz w:val="24"/>
          <w:szCs w:val="24"/>
        </w:rPr>
        <w:t>na</w:t>
      </w:r>
      <w:r w:rsidR="000C7EBD" w:rsidRPr="0061760A">
        <w:rPr>
          <w:rFonts w:cstheme="minorHAnsi"/>
          <w:sz w:val="24"/>
          <w:szCs w:val="24"/>
        </w:rPr>
        <w:t xml:space="preserve"> </w:t>
      </w:r>
      <w:r w:rsidR="0061760A" w:rsidRPr="0061760A">
        <w:rPr>
          <w:rFonts w:cstheme="minorHAnsi"/>
          <w:sz w:val="24"/>
          <w:szCs w:val="24"/>
        </w:rPr>
        <w:t xml:space="preserve">do té doby </w:t>
      </w:r>
      <w:r w:rsidR="00C80118" w:rsidRPr="0061760A">
        <w:rPr>
          <w:rFonts w:cstheme="minorHAnsi"/>
          <w:sz w:val="24"/>
          <w:szCs w:val="24"/>
        </w:rPr>
        <w:t>poskytnutých peněžních prostřed</w:t>
      </w:r>
      <w:r w:rsidR="0080090C">
        <w:rPr>
          <w:rFonts w:cstheme="minorHAnsi"/>
          <w:sz w:val="24"/>
          <w:szCs w:val="24"/>
        </w:rPr>
        <w:t>cích</w:t>
      </w:r>
      <w:r w:rsidR="00C80118" w:rsidRPr="0061760A">
        <w:rPr>
          <w:rFonts w:cstheme="minorHAnsi"/>
          <w:sz w:val="24"/>
          <w:szCs w:val="24"/>
        </w:rPr>
        <w:t xml:space="preserve"> činil 48</w:t>
      </w:r>
      <w:r w:rsidR="00D53CE5" w:rsidRPr="0061760A">
        <w:rPr>
          <w:rFonts w:cstheme="minorHAnsi"/>
          <w:sz w:val="24"/>
          <w:szCs w:val="24"/>
        </w:rPr>
        <w:t>,</w:t>
      </w:r>
      <w:r w:rsidR="00C80118" w:rsidRPr="0061760A">
        <w:rPr>
          <w:rFonts w:cstheme="minorHAnsi"/>
          <w:sz w:val="24"/>
          <w:szCs w:val="24"/>
        </w:rPr>
        <w:t>6</w:t>
      </w:r>
      <w:r w:rsidR="005E14DB">
        <w:rPr>
          <w:rFonts w:cstheme="minorHAnsi"/>
          <w:sz w:val="24"/>
          <w:szCs w:val="24"/>
        </w:rPr>
        <w:t> </w:t>
      </w:r>
      <w:r w:rsidR="00D53CE5" w:rsidRPr="0061760A">
        <w:rPr>
          <w:rFonts w:cstheme="minorHAnsi"/>
          <w:sz w:val="24"/>
          <w:szCs w:val="24"/>
        </w:rPr>
        <w:t xml:space="preserve">%. </w:t>
      </w:r>
      <w:r w:rsidR="0032458B" w:rsidRPr="0061760A">
        <w:rPr>
          <w:rFonts w:cstheme="minorHAnsi"/>
          <w:sz w:val="24"/>
          <w:szCs w:val="24"/>
        </w:rPr>
        <w:t xml:space="preserve">Ve vzorku byly zahrnuty </w:t>
      </w:r>
      <w:r w:rsidR="002F5C56" w:rsidRPr="0061760A">
        <w:rPr>
          <w:rFonts w:cstheme="minorHAnsi"/>
          <w:sz w:val="24"/>
          <w:szCs w:val="24"/>
        </w:rPr>
        <w:t>dva</w:t>
      </w:r>
      <w:r w:rsidR="002F5C56" w:rsidRPr="0064763A">
        <w:rPr>
          <w:rFonts w:cstheme="minorHAnsi"/>
          <w:sz w:val="24"/>
          <w:szCs w:val="24"/>
        </w:rPr>
        <w:t xml:space="preserve"> </w:t>
      </w:r>
      <w:r w:rsidR="0032458B" w:rsidRPr="0064763A">
        <w:rPr>
          <w:rFonts w:cstheme="minorHAnsi"/>
          <w:sz w:val="24"/>
          <w:szCs w:val="24"/>
        </w:rPr>
        <w:t xml:space="preserve">projekty zahrnující </w:t>
      </w:r>
      <w:r w:rsidR="002F5C56" w:rsidRPr="0064763A">
        <w:rPr>
          <w:rFonts w:cstheme="minorHAnsi"/>
          <w:sz w:val="24"/>
          <w:szCs w:val="24"/>
        </w:rPr>
        <w:t xml:space="preserve">výdaje na </w:t>
      </w:r>
      <w:r w:rsidR="0058558E">
        <w:rPr>
          <w:rFonts w:cstheme="minorHAnsi"/>
          <w:sz w:val="24"/>
          <w:szCs w:val="24"/>
        </w:rPr>
        <w:t>o</w:t>
      </w:r>
      <w:r w:rsidR="0032458B" w:rsidRPr="0064763A">
        <w:rPr>
          <w:rFonts w:cstheme="minorHAnsi"/>
          <w:sz w:val="24"/>
          <w:szCs w:val="24"/>
        </w:rPr>
        <w:t>sobn</w:t>
      </w:r>
      <w:r w:rsidR="002F5C56" w:rsidRPr="0064763A">
        <w:rPr>
          <w:rFonts w:cstheme="minorHAnsi"/>
          <w:sz w:val="24"/>
          <w:szCs w:val="24"/>
        </w:rPr>
        <w:t>í</w:t>
      </w:r>
      <w:r w:rsidR="0032458B" w:rsidRPr="0064763A">
        <w:rPr>
          <w:rFonts w:cstheme="minorHAnsi"/>
          <w:sz w:val="24"/>
          <w:szCs w:val="24"/>
        </w:rPr>
        <w:t xml:space="preserve"> náklad</w:t>
      </w:r>
      <w:r w:rsidR="002F5C56" w:rsidRPr="0064763A">
        <w:rPr>
          <w:rFonts w:cstheme="minorHAnsi"/>
          <w:sz w:val="24"/>
          <w:szCs w:val="24"/>
        </w:rPr>
        <w:t>y</w:t>
      </w:r>
      <w:r w:rsidR="0032458B" w:rsidRPr="0064763A">
        <w:rPr>
          <w:rFonts w:cstheme="minorHAnsi"/>
          <w:sz w:val="24"/>
          <w:szCs w:val="24"/>
        </w:rPr>
        <w:t xml:space="preserve"> u MPO a API, </w:t>
      </w:r>
      <w:r w:rsidR="00976EA9">
        <w:rPr>
          <w:rFonts w:cstheme="minorHAnsi"/>
          <w:sz w:val="24"/>
          <w:szCs w:val="24"/>
        </w:rPr>
        <w:t xml:space="preserve">jejichž peněžní objem </w:t>
      </w:r>
      <w:r w:rsidR="0032458B" w:rsidRPr="0064763A">
        <w:rPr>
          <w:rFonts w:cstheme="minorHAnsi"/>
          <w:sz w:val="24"/>
          <w:szCs w:val="24"/>
        </w:rPr>
        <w:t>tvoř</w:t>
      </w:r>
      <w:r w:rsidR="00C80118" w:rsidRPr="0064763A">
        <w:rPr>
          <w:rFonts w:cstheme="minorHAnsi"/>
          <w:sz w:val="24"/>
          <w:szCs w:val="24"/>
        </w:rPr>
        <w:t>il</w:t>
      </w:r>
      <w:r w:rsidR="0032458B" w:rsidRPr="0064763A">
        <w:rPr>
          <w:rFonts w:cstheme="minorHAnsi"/>
          <w:sz w:val="24"/>
          <w:szCs w:val="24"/>
        </w:rPr>
        <w:t xml:space="preserve"> </w:t>
      </w:r>
      <w:r w:rsidR="00C80118" w:rsidRPr="00976EA9">
        <w:rPr>
          <w:rFonts w:cstheme="minorHAnsi"/>
          <w:sz w:val="24"/>
          <w:szCs w:val="24"/>
        </w:rPr>
        <w:t>37,7</w:t>
      </w:r>
      <w:r w:rsidR="000C7EBD" w:rsidRPr="00976EA9">
        <w:rPr>
          <w:rFonts w:cstheme="minorHAnsi"/>
          <w:sz w:val="24"/>
          <w:szCs w:val="24"/>
        </w:rPr>
        <w:t> </w:t>
      </w:r>
      <w:r w:rsidR="00C80118" w:rsidRPr="00976EA9">
        <w:rPr>
          <w:rFonts w:cstheme="minorHAnsi"/>
          <w:sz w:val="24"/>
          <w:szCs w:val="24"/>
        </w:rPr>
        <w:t>%</w:t>
      </w:r>
      <w:r w:rsidR="00976EA9">
        <w:rPr>
          <w:rFonts w:cstheme="minorHAnsi"/>
          <w:sz w:val="24"/>
          <w:szCs w:val="24"/>
        </w:rPr>
        <w:t xml:space="preserve"> </w:t>
      </w:r>
      <w:r w:rsidR="00C80118" w:rsidRPr="0064763A">
        <w:rPr>
          <w:rFonts w:cstheme="minorHAnsi"/>
          <w:sz w:val="24"/>
          <w:szCs w:val="24"/>
        </w:rPr>
        <w:t xml:space="preserve">celkových peněžních prostředků </w:t>
      </w:r>
      <w:r w:rsidR="0080090C" w:rsidRPr="0064763A">
        <w:rPr>
          <w:rFonts w:cstheme="minorHAnsi"/>
          <w:sz w:val="24"/>
          <w:szCs w:val="24"/>
        </w:rPr>
        <w:t xml:space="preserve">poskytnutých </w:t>
      </w:r>
      <w:r w:rsidR="00D53CE5" w:rsidRPr="0064763A">
        <w:rPr>
          <w:rFonts w:cstheme="minorHAnsi"/>
          <w:sz w:val="24"/>
          <w:szCs w:val="24"/>
        </w:rPr>
        <w:t>v rámci PO 5 OPPIK</w:t>
      </w:r>
      <w:r w:rsidR="0032458B" w:rsidRPr="0064763A">
        <w:rPr>
          <w:rFonts w:cstheme="minorHAnsi"/>
          <w:sz w:val="24"/>
          <w:szCs w:val="24"/>
        </w:rPr>
        <w:t>. Z</w:t>
      </w:r>
      <w:r w:rsidR="00D53CE5" w:rsidRPr="0064763A">
        <w:rPr>
          <w:rFonts w:cstheme="minorHAnsi"/>
          <w:sz w:val="24"/>
          <w:szCs w:val="24"/>
        </w:rPr>
        <w:t xml:space="preserve"> ostatních </w:t>
      </w:r>
      <w:r w:rsidR="00A973E6" w:rsidRPr="0064763A">
        <w:rPr>
          <w:rFonts w:cstheme="minorHAnsi"/>
          <w:sz w:val="24"/>
          <w:szCs w:val="24"/>
        </w:rPr>
        <w:t xml:space="preserve">projektů </w:t>
      </w:r>
      <w:r w:rsidR="00561409" w:rsidRPr="0064763A">
        <w:rPr>
          <w:rFonts w:cstheme="minorHAnsi"/>
          <w:sz w:val="24"/>
          <w:szCs w:val="24"/>
        </w:rPr>
        <w:t>technické pomoci</w:t>
      </w:r>
      <w:r w:rsidR="00D53CE5" w:rsidRPr="0064763A">
        <w:rPr>
          <w:rFonts w:cstheme="minorHAnsi"/>
          <w:sz w:val="24"/>
          <w:szCs w:val="24"/>
        </w:rPr>
        <w:t xml:space="preserve"> PO 5 OPPIK</w:t>
      </w:r>
      <w:r w:rsidR="00A973E6" w:rsidRPr="0064763A">
        <w:rPr>
          <w:rFonts w:cstheme="minorHAnsi"/>
          <w:sz w:val="24"/>
          <w:szCs w:val="24"/>
        </w:rPr>
        <w:t xml:space="preserve"> byl</w:t>
      </w:r>
      <w:r w:rsidR="00D53CE5" w:rsidRPr="0064763A">
        <w:rPr>
          <w:rFonts w:cstheme="minorHAnsi"/>
          <w:sz w:val="24"/>
          <w:szCs w:val="24"/>
        </w:rPr>
        <w:t>o</w:t>
      </w:r>
      <w:r w:rsidR="00A973E6" w:rsidRPr="0064763A">
        <w:rPr>
          <w:rFonts w:cstheme="minorHAnsi"/>
          <w:sz w:val="24"/>
          <w:szCs w:val="24"/>
        </w:rPr>
        <w:t xml:space="preserve"> </w:t>
      </w:r>
      <w:r w:rsidR="00620C8E">
        <w:rPr>
          <w:rFonts w:cstheme="minorHAnsi"/>
          <w:sz w:val="24"/>
          <w:szCs w:val="24"/>
        </w:rPr>
        <w:t xml:space="preserve">kontrolováno </w:t>
      </w:r>
      <w:r w:rsidR="00D53CE5" w:rsidRPr="0064763A">
        <w:rPr>
          <w:rFonts w:cstheme="minorHAnsi"/>
          <w:sz w:val="24"/>
          <w:szCs w:val="24"/>
        </w:rPr>
        <w:t xml:space="preserve">celkem deset </w:t>
      </w:r>
      <w:r w:rsidR="00A973E6" w:rsidRPr="0064763A">
        <w:rPr>
          <w:rFonts w:cstheme="minorHAnsi"/>
          <w:sz w:val="24"/>
          <w:szCs w:val="24"/>
        </w:rPr>
        <w:t>projekt</w:t>
      </w:r>
      <w:r w:rsidR="00D53CE5" w:rsidRPr="0064763A">
        <w:rPr>
          <w:rFonts w:cstheme="minorHAnsi"/>
          <w:sz w:val="24"/>
          <w:szCs w:val="24"/>
        </w:rPr>
        <w:t xml:space="preserve">ů, </w:t>
      </w:r>
      <w:r w:rsidR="00976EA9">
        <w:rPr>
          <w:rFonts w:cstheme="minorHAnsi"/>
          <w:sz w:val="24"/>
          <w:szCs w:val="24"/>
        </w:rPr>
        <w:t xml:space="preserve">jejichž </w:t>
      </w:r>
      <w:r w:rsidR="00976EA9">
        <w:rPr>
          <w:rFonts w:cstheme="minorHAnsi"/>
          <w:sz w:val="24"/>
          <w:szCs w:val="24"/>
        </w:rPr>
        <w:lastRenderedPageBreak/>
        <w:t xml:space="preserve">peněžní objem </w:t>
      </w:r>
      <w:r w:rsidR="00D53CE5" w:rsidRPr="0064763A">
        <w:rPr>
          <w:rFonts w:cstheme="minorHAnsi"/>
          <w:sz w:val="24"/>
          <w:szCs w:val="24"/>
        </w:rPr>
        <w:t xml:space="preserve">tvořil </w:t>
      </w:r>
      <w:r w:rsidR="00C80118" w:rsidRPr="0064763A">
        <w:rPr>
          <w:rFonts w:cstheme="minorHAnsi"/>
          <w:sz w:val="24"/>
          <w:szCs w:val="24"/>
        </w:rPr>
        <w:t>10,9</w:t>
      </w:r>
      <w:r w:rsidR="000C7EBD">
        <w:rPr>
          <w:rFonts w:cstheme="minorHAnsi"/>
          <w:sz w:val="24"/>
          <w:szCs w:val="24"/>
        </w:rPr>
        <w:t> </w:t>
      </w:r>
      <w:r w:rsidR="00D53CE5" w:rsidRPr="0064763A">
        <w:rPr>
          <w:rFonts w:cstheme="minorHAnsi"/>
          <w:sz w:val="24"/>
          <w:szCs w:val="24"/>
        </w:rPr>
        <w:t xml:space="preserve">% </w:t>
      </w:r>
      <w:r w:rsidR="00C80118" w:rsidRPr="0064763A">
        <w:rPr>
          <w:rFonts w:cstheme="minorHAnsi"/>
          <w:sz w:val="24"/>
          <w:szCs w:val="24"/>
        </w:rPr>
        <w:t>celkových peněžních prostředků</w:t>
      </w:r>
      <w:r w:rsidR="00976EA9">
        <w:rPr>
          <w:rFonts w:cstheme="minorHAnsi"/>
          <w:sz w:val="24"/>
          <w:szCs w:val="24"/>
        </w:rPr>
        <w:t xml:space="preserve"> </w:t>
      </w:r>
      <w:r w:rsidR="0080090C" w:rsidRPr="0064763A">
        <w:rPr>
          <w:rFonts w:cstheme="minorHAnsi"/>
          <w:sz w:val="24"/>
          <w:szCs w:val="24"/>
        </w:rPr>
        <w:t xml:space="preserve">poskytnutých </w:t>
      </w:r>
      <w:r w:rsidR="00952E95" w:rsidRPr="0064763A">
        <w:rPr>
          <w:rFonts w:cstheme="minorHAnsi"/>
          <w:sz w:val="24"/>
          <w:szCs w:val="24"/>
        </w:rPr>
        <w:t>v rámci PO 5 OPPIK</w:t>
      </w:r>
      <w:r w:rsidR="00952E95">
        <w:rPr>
          <w:rFonts w:cstheme="minorHAnsi"/>
          <w:sz w:val="24"/>
          <w:szCs w:val="24"/>
        </w:rPr>
        <w:t xml:space="preserve"> </w:t>
      </w:r>
      <w:r w:rsidR="00976EA9">
        <w:rPr>
          <w:rFonts w:cstheme="minorHAnsi"/>
          <w:sz w:val="24"/>
          <w:szCs w:val="24"/>
        </w:rPr>
        <w:t>a </w:t>
      </w:r>
      <w:r w:rsidR="00620C8E">
        <w:rPr>
          <w:rFonts w:cstheme="minorHAnsi"/>
          <w:sz w:val="24"/>
          <w:szCs w:val="24"/>
        </w:rPr>
        <w:t>které</w:t>
      </w:r>
      <w:r w:rsidR="0064763A" w:rsidRPr="0064763A">
        <w:rPr>
          <w:rFonts w:cstheme="minorHAnsi"/>
          <w:sz w:val="24"/>
          <w:szCs w:val="24"/>
        </w:rPr>
        <w:t xml:space="preserve"> </w:t>
      </w:r>
      <w:r w:rsidR="00A973E6" w:rsidRPr="0064763A">
        <w:rPr>
          <w:rFonts w:cstheme="minorHAnsi"/>
          <w:sz w:val="24"/>
          <w:szCs w:val="24"/>
        </w:rPr>
        <w:t>pokr</w:t>
      </w:r>
      <w:r w:rsidR="005D282C" w:rsidRPr="0064763A">
        <w:rPr>
          <w:rFonts w:cstheme="minorHAnsi"/>
          <w:sz w:val="24"/>
          <w:szCs w:val="24"/>
        </w:rPr>
        <w:t>ýva</w:t>
      </w:r>
      <w:r w:rsidR="00D53CE5" w:rsidRPr="0064763A">
        <w:rPr>
          <w:rFonts w:cstheme="minorHAnsi"/>
          <w:sz w:val="24"/>
          <w:szCs w:val="24"/>
        </w:rPr>
        <w:t>ly</w:t>
      </w:r>
      <w:r w:rsidR="005D282C" w:rsidRPr="0064763A">
        <w:rPr>
          <w:rFonts w:cstheme="minorHAnsi"/>
          <w:sz w:val="24"/>
          <w:szCs w:val="24"/>
        </w:rPr>
        <w:t xml:space="preserve"> </w:t>
      </w:r>
      <w:r w:rsidR="00D53CE5" w:rsidRPr="0064763A">
        <w:rPr>
          <w:rFonts w:cstheme="minorHAnsi"/>
          <w:sz w:val="24"/>
          <w:szCs w:val="24"/>
        </w:rPr>
        <w:t xml:space="preserve">dostatečně </w:t>
      </w:r>
      <w:r w:rsidR="00A973E6" w:rsidRPr="0064763A">
        <w:rPr>
          <w:rFonts w:cstheme="minorHAnsi"/>
          <w:sz w:val="24"/>
          <w:szCs w:val="24"/>
        </w:rPr>
        <w:t xml:space="preserve">široký vzorek zahrnující různé typy </w:t>
      </w:r>
      <w:r w:rsidR="00561409" w:rsidRPr="0064763A">
        <w:rPr>
          <w:rFonts w:cstheme="minorHAnsi"/>
          <w:sz w:val="24"/>
          <w:szCs w:val="24"/>
        </w:rPr>
        <w:t>technické pomoci</w:t>
      </w:r>
      <w:r w:rsidR="00620C8E">
        <w:rPr>
          <w:rFonts w:cstheme="minorHAnsi"/>
          <w:sz w:val="24"/>
          <w:szCs w:val="24"/>
        </w:rPr>
        <w:t>.</w:t>
      </w:r>
      <w:r w:rsidR="0064763A" w:rsidRPr="0064763A">
        <w:rPr>
          <w:rFonts w:cstheme="minorHAnsi"/>
          <w:sz w:val="24"/>
          <w:szCs w:val="24"/>
        </w:rPr>
        <w:t xml:space="preserve"> </w:t>
      </w:r>
      <w:r w:rsidR="00620C8E">
        <w:rPr>
          <w:rFonts w:cstheme="minorHAnsi"/>
          <w:sz w:val="24"/>
          <w:szCs w:val="24"/>
        </w:rPr>
        <w:t xml:space="preserve">Ke </w:t>
      </w:r>
      <w:r w:rsidR="0064763A" w:rsidRPr="0064763A">
        <w:rPr>
          <w:rFonts w:cstheme="minorHAnsi"/>
          <w:sz w:val="24"/>
          <w:szCs w:val="24"/>
        </w:rPr>
        <w:t xml:space="preserve">kontrole byla </w:t>
      </w:r>
      <w:r w:rsidR="00620C8E">
        <w:rPr>
          <w:rFonts w:cstheme="minorHAnsi"/>
          <w:sz w:val="24"/>
          <w:szCs w:val="24"/>
        </w:rPr>
        <w:t>vybrána</w:t>
      </w:r>
      <w:r w:rsidR="00832BE8">
        <w:rPr>
          <w:rFonts w:cstheme="minorHAnsi"/>
          <w:sz w:val="24"/>
          <w:szCs w:val="24"/>
        </w:rPr>
        <w:t xml:space="preserve"> jejich nejvýznamnější</w:t>
      </w:r>
      <w:r w:rsidR="0064763A" w:rsidRPr="0064763A">
        <w:rPr>
          <w:rFonts w:cstheme="minorHAnsi"/>
          <w:sz w:val="24"/>
          <w:szCs w:val="24"/>
        </w:rPr>
        <w:t xml:space="preserve"> plnění</w:t>
      </w:r>
      <w:r w:rsidR="002246C2">
        <w:rPr>
          <w:rFonts w:cstheme="minorHAnsi"/>
          <w:sz w:val="24"/>
          <w:szCs w:val="24"/>
        </w:rPr>
        <w:t xml:space="preserve"> a</w:t>
      </w:r>
      <w:r w:rsidR="00903B52">
        <w:rPr>
          <w:rFonts w:cstheme="minorHAnsi"/>
          <w:sz w:val="24"/>
          <w:szCs w:val="24"/>
        </w:rPr>
        <w:t xml:space="preserve"> </w:t>
      </w:r>
      <w:r w:rsidR="00A973E6" w:rsidRPr="0064763A">
        <w:rPr>
          <w:rFonts w:cstheme="minorHAnsi"/>
          <w:sz w:val="24"/>
          <w:szCs w:val="24"/>
        </w:rPr>
        <w:t xml:space="preserve">finančně nejvýznamnější </w:t>
      </w:r>
      <w:r w:rsidR="005C0FB2" w:rsidRPr="0064763A">
        <w:rPr>
          <w:rFonts w:cstheme="minorHAnsi"/>
          <w:sz w:val="24"/>
          <w:szCs w:val="24"/>
        </w:rPr>
        <w:t xml:space="preserve">veřejné zakázky </w:t>
      </w:r>
      <w:r w:rsidR="00976EA9">
        <w:rPr>
          <w:rFonts w:cstheme="minorHAnsi"/>
          <w:sz w:val="24"/>
          <w:szCs w:val="24"/>
        </w:rPr>
        <w:t>realizované MPO a </w:t>
      </w:r>
      <w:r w:rsidR="00A973E6" w:rsidRPr="0064763A">
        <w:rPr>
          <w:rFonts w:cstheme="minorHAnsi"/>
          <w:sz w:val="24"/>
          <w:szCs w:val="24"/>
        </w:rPr>
        <w:t>API.</w:t>
      </w:r>
    </w:p>
    <w:p w14:paraId="6AB72414" w14:textId="77777777" w:rsidR="002F5C56" w:rsidRPr="00027A6D" w:rsidRDefault="002F5C56" w:rsidP="00027A6D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14:paraId="0EEFF31A" w14:textId="40F59920" w:rsidR="00CF7FE3" w:rsidRDefault="00257FDE" w:rsidP="00CF7FE3">
      <w:pPr>
        <w:pStyle w:val="Odstavecseseznamem"/>
        <w:numPr>
          <w:ilvl w:val="1"/>
          <w:numId w:val="25"/>
        </w:numPr>
        <w:spacing w:after="0" w:line="280" w:lineRule="atLeast"/>
        <w:ind w:left="0" w:firstLine="0"/>
        <w:jc w:val="both"/>
        <w:rPr>
          <w:rFonts w:cstheme="minorHAnsi"/>
          <w:sz w:val="24"/>
          <w:szCs w:val="24"/>
        </w:rPr>
      </w:pPr>
      <w:r w:rsidRPr="00CF7FE3">
        <w:rPr>
          <w:rFonts w:cstheme="minorHAnsi"/>
          <w:sz w:val="24"/>
          <w:szCs w:val="24"/>
        </w:rPr>
        <w:t xml:space="preserve">Kontrolovaný objem peněžních prostředků </w:t>
      </w:r>
      <w:r w:rsidR="001F29FA" w:rsidRPr="00CF7FE3">
        <w:rPr>
          <w:rFonts w:cstheme="minorHAnsi"/>
          <w:sz w:val="24"/>
          <w:szCs w:val="24"/>
        </w:rPr>
        <w:t xml:space="preserve">sedmi </w:t>
      </w:r>
      <w:r w:rsidRPr="00CF7FE3">
        <w:rPr>
          <w:rFonts w:cstheme="minorHAnsi"/>
          <w:sz w:val="24"/>
          <w:szCs w:val="24"/>
        </w:rPr>
        <w:t xml:space="preserve">projektů vybraných ke kontrole </w:t>
      </w:r>
      <w:r w:rsidR="0080090C">
        <w:rPr>
          <w:rFonts w:cstheme="minorHAnsi"/>
          <w:sz w:val="24"/>
          <w:szCs w:val="24"/>
        </w:rPr>
        <w:br/>
        <w:t>u</w:t>
      </w:r>
      <w:r w:rsidRPr="00CF7FE3">
        <w:rPr>
          <w:rFonts w:cstheme="minorHAnsi"/>
          <w:sz w:val="24"/>
          <w:szCs w:val="24"/>
        </w:rPr>
        <w:t xml:space="preserve"> MPO činil</w:t>
      </w:r>
      <w:r w:rsidR="002246C2">
        <w:rPr>
          <w:rFonts w:cstheme="minorHAnsi"/>
          <w:sz w:val="24"/>
          <w:szCs w:val="24"/>
        </w:rPr>
        <w:t xml:space="preserve"> cca</w:t>
      </w:r>
      <w:r w:rsidRPr="00CF7FE3">
        <w:rPr>
          <w:rFonts w:cstheme="minorHAnsi"/>
          <w:sz w:val="24"/>
          <w:szCs w:val="24"/>
        </w:rPr>
        <w:t xml:space="preserve"> 553</w:t>
      </w:r>
      <w:r w:rsidR="002246C2">
        <w:rPr>
          <w:rFonts w:cstheme="minorHAnsi"/>
          <w:sz w:val="24"/>
          <w:szCs w:val="24"/>
        </w:rPr>
        <w:t>,1</w:t>
      </w:r>
      <w:r w:rsidR="0080090C">
        <w:rPr>
          <w:rFonts w:cstheme="minorHAnsi"/>
          <w:sz w:val="24"/>
          <w:szCs w:val="24"/>
        </w:rPr>
        <w:t xml:space="preserve"> </w:t>
      </w:r>
      <w:r w:rsidR="002246C2">
        <w:rPr>
          <w:rFonts w:cstheme="minorHAnsi"/>
          <w:sz w:val="24"/>
          <w:szCs w:val="24"/>
        </w:rPr>
        <w:t>mil</w:t>
      </w:r>
      <w:r w:rsidRPr="00CF7FE3">
        <w:rPr>
          <w:rFonts w:cstheme="minorHAnsi"/>
          <w:sz w:val="24"/>
          <w:szCs w:val="24"/>
        </w:rPr>
        <w:t>.</w:t>
      </w:r>
      <w:r w:rsidR="0080090C">
        <w:rPr>
          <w:rFonts w:cstheme="minorHAnsi"/>
          <w:sz w:val="24"/>
          <w:szCs w:val="24"/>
        </w:rPr>
        <w:t xml:space="preserve"> </w:t>
      </w:r>
      <w:r w:rsidRPr="00CF7FE3">
        <w:rPr>
          <w:rFonts w:cstheme="minorHAnsi"/>
          <w:sz w:val="24"/>
          <w:szCs w:val="24"/>
        </w:rPr>
        <w:t>Kč</w:t>
      </w:r>
      <w:r w:rsidR="002A7FFE">
        <w:rPr>
          <w:rFonts w:cstheme="minorHAnsi"/>
          <w:sz w:val="24"/>
          <w:szCs w:val="24"/>
        </w:rPr>
        <w:t xml:space="preserve"> a</w:t>
      </w:r>
      <w:r w:rsidR="0080090C">
        <w:rPr>
          <w:rFonts w:cstheme="minorHAnsi"/>
          <w:sz w:val="24"/>
          <w:szCs w:val="24"/>
        </w:rPr>
        <w:t xml:space="preserve"> </w:t>
      </w:r>
      <w:r w:rsidR="00053E02">
        <w:rPr>
          <w:rFonts w:cstheme="minorHAnsi"/>
          <w:sz w:val="24"/>
          <w:szCs w:val="24"/>
        </w:rPr>
        <w:t>k</w:t>
      </w:r>
      <w:r w:rsidRPr="00CF7FE3">
        <w:rPr>
          <w:rFonts w:cstheme="minorHAnsi"/>
          <w:sz w:val="24"/>
          <w:szCs w:val="24"/>
        </w:rPr>
        <w:t xml:space="preserve">ontrolovaný objem peněžních prostředků pěti projektů technické pomoci vybraných ke kontrole </w:t>
      </w:r>
      <w:r w:rsidR="0080090C">
        <w:rPr>
          <w:rFonts w:cstheme="minorHAnsi"/>
          <w:sz w:val="24"/>
          <w:szCs w:val="24"/>
        </w:rPr>
        <w:t>u</w:t>
      </w:r>
      <w:r w:rsidRPr="00CF7FE3">
        <w:rPr>
          <w:rFonts w:cstheme="minorHAnsi"/>
          <w:sz w:val="24"/>
          <w:szCs w:val="24"/>
        </w:rPr>
        <w:t xml:space="preserve"> API činil </w:t>
      </w:r>
      <w:r w:rsidR="002246C2">
        <w:rPr>
          <w:rFonts w:cstheme="minorHAnsi"/>
          <w:sz w:val="24"/>
          <w:szCs w:val="24"/>
        </w:rPr>
        <w:t xml:space="preserve">cca </w:t>
      </w:r>
      <w:r w:rsidR="00082DEE" w:rsidRPr="00CF7FE3">
        <w:rPr>
          <w:rFonts w:cstheme="minorHAnsi"/>
          <w:sz w:val="24"/>
          <w:szCs w:val="24"/>
        </w:rPr>
        <w:t>289</w:t>
      </w:r>
      <w:r w:rsidR="002246C2">
        <w:rPr>
          <w:rFonts w:cstheme="minorHAnsi"/>
          <w:sz w:val="24"/>
          <w:szCs w:val="24"/>
        </w:rPr>
        <w:t>,4 mil. Kč</w:t>
      </w:r>
      <w:r w:rsidR="00082DEE" w:rsidRPr="00CF7FE3">
        <w:rPr>
          <w:rFonts w:cstheme="minorHAnsi"/>
          <w:sz w:val="24"/>
          <w:szCs w:val="24"/>
        </w:rPr>
        <w:t>.</w:t>
      </w:r>
      <w:r w:rsidR="00E00792">
        <w:rPr>
          <w:rFonts w:cstheme="minorHAnsi"/>
          <w:sz w:val="24"/>
          <w:szCs w:val="24"/>
        </w:rPr>
        <w:t xml:space="preserve"> Vzorek přímo kontrolovaných plnění v rámci </w:t>
      </w:r>
      <w:r w:rsidR="00F85649">
        <w:rPr>
          <w:rFonts w:cstheme="minorHAnsi"/>
          <w:sz w:val="24"/>
          <w:szCs w:val="24"/>
        </w:rPr>
        <w:t>vybraných projektů představova</w:t>
      </w:r>
      <w:r w:rsidR="00E00792">
        <w:rPr>
          <w:rFonts w:cstheme="minorHAnsi"/>
          <w:sz w:val="24"/>
          <w:szCs w:val="24"/>
        </w:rPr>
        <w:t>l cca 59,5 mil. Kč.</w:t>
      </w:r>
    </w:p>
    <w:p w14:paraId="264DEC23" w14:textId="77777777" w:rsidR="002F4334" w:rsidRDefault="002F4334" w:rsidP="00387B82">
      <w:pPr>
        <w:pStyle w:val="Odstavecseseznamem"/>
        <w:spacing w:after="0" w:line="280" w:lineRule="atLeast"/>
        <w:ind w:left="0"/>
        <w:jc w:val="both"/>
        <w:rPr>
          <w:rFonts w:cstheme="minorHAnsi"/>
          <w:sz w:val="24"/>
          <w:szCs w:val="24"/>
        </w:rPr>
      </w:pPr>
    </w:p>
    <w:p w14:paraId="1668BD54" w14:textId="77777777" w:rsidR="002F4334" w:rsidRPr="00CF7FE3" w:rsidRDefault="002F4334" w:rsidP="003965AD">
      <w:pPr>
        <w:pStyle w:val="Odstavecseseznamem"/>
        <w:numPr>
          <w:ilvl w:val="1"/>
          <w:numId w:val="25"/>
        </w:numPr>
        <w:spacing w:after="0" w:line="280" w:lineRule="atLeast"/>
        <w:ind w:left="0" w:firstLine="0"/>
        <w:jc w:val="both"/>
        <w:rPr>
          <w:rFonts w:cstheme="minorHAnsi"/>
          <w:sz w:val="24"/>
          <w:szCs w:val="24"/>
        </w:rPr>
      </w:pPr>
      <w:r w:rsidRPr="002F4334">
        <w:rPr>
          <w:rFonts w:cstheme="minorHAnsi"/>
          <w:sz w:val="24"/>
          <w:szCs w:val="24"/>
        </w:rPr>
        <w:t>Právní předpisy uvedené v tomto kontrolním závěru jsou aplikovány ve znění účinném pro kontrolované období.</w:t>
      </w:r>
    </w:p>
    <w:p w14:paraId="4B340559" w14:textId="77777777" w:rsidR="00882B66" w:rsidRDefault="00882B66">
      <w:pPr>
        <w:rPr>
          <w:rFonts w:eastAsia="Times New Roman" w:cstheme="minorHAnsi"/>
          <w:b/>
          <w:color w:val="000000"/>
          <w:sz w:val="28"/>
          <w:szCs w:val="28"/>
          <w:lang w:eastAsia="cs-CZ"/>
        </w:rPr>
      </w:pPr>
    </w:p>
    <w:p w14:paraId="25BE0C43" w14:textId="77777777" w:rsidR="007D3809" w:rsidRPr="007F1D90" w:rsidRDefault="00755A0E" w:rsidP="007F1D90">
      <w:pPr>
        <w:pStyle w:val="Nadpis1"/>
        <w:numPr>
          <w:ilvl w:val="0"/>
          <w:numId w:val="0"/>
        </w:numPr>
        <w:spacing w:before="0" w:after="0" w:line="280" w:lineRule="atLeast"/>
        <w:ind w:left="357" w:hanging="357"/>
        <w:rPr>
          <w:sz w:val="28"/>
          <w:szCs w:val="28"/>
          <w:highlight w:val="yellow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CF23F48" wp14:editId="14726521">
                <wp:simplePos x="0" y="0"/>
                <wp:positionH relativeFrom="margin">
                  <wp:align>left</wp:align>
                </wp:positionH>
                <wp:positionV relativeFrom="paragraph">
                  <wp:posOffset>454831</wp:posOffset>
                </wp:positionV>
                <wp:extent cx="5760000" cy="1404620"/>
                <wp:effectExtent l="0" t="0" r="12700" b="10160"/>
                <wp:wrapSquare wrapText="bothSides"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27FF8B" w14:textId="77777777" w:rsidR="009767D5" w:rsidRDefault="009767D5" w:rsidP="00757199">
                            <w:pPr>
                              <w:spacing w:before="20" w:after="0"/>
                            </w:pPr>
                            <w:r>
                              <w:rPr>
                                <w:b/>
                                <w:color w:val="004595"/>
                                <w:sz w:val="24"/>
                                <w:szCs w:val="24"/>
                              </w:rPr>
                              <w:t>A. Nastavení specifických cílů PO 5 OPPIK a jejich plnění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CF23F48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0;margin-top:35.8pt;width:453.55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" fillcolor="#f2f2f2 [3052]" strokecolor="black [3213]">
                <v:textbox style="mso-fit-shape-to-text:t">
                  <w:txbxContent>
                    <w:p w14:paraId="5527FF8B" w14:textId="77777777" w:rsidR="009767D5" w:rsidRDefault="009767D5" w:rsidP="00757199">
                      <w:pPr>
                        <w:spacing w:before="20" w:after="0"/>
                      </w:pPr>
                      <w:r>
                        <w:rPr>
                          <w:b/>
                          <w:color w:val="004595"/>
                          <w:sz w:val="24"/>
                          <w:szCs w:val="24"/>
                        </w:rPr>
                        <w:t>A. Nastavení specifických cílů PO 5 OPPIK a jejich plnění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D3809" w:rsidRPr="007F1D90">
        <w:rPr>
          <w:sz w:val="28"/>
          <w:szCs w:val="28"/>
        </w:rPr>
        <w:t>IV. Podrobné skutečnosti zjištěné kontrolou</w:t>
      </w:r>
    </w:p>
    <w:p w14:paraId="06E93385" w14:textId="77777777" w:rsidR="00757199" w:rsidRDefault="00757199" w:rsidP="00940295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14:paraId="3B6A2C3D" w14:textId="77777777" w:rsidR="00757199" w:rsidRDefault="00757199" w:rsidP="00757199">
      <w:pPr>
        <w:spacing w:after="0" w:line="280" w:lineRule="atLeast"/>
        <w:jc w:val="both"/>
        <w:rPr>
          <w:rFonts w:cstheme="minorHAnsi"/>
          <w:color w:val="000000"/>
          <w:sz w:val="24"/>
          <w:szCs w:val="24"/>
          <w:highlight w:val="yellow"/>
        </w:rPr>
      </w:pPr>
    </w:p>
    <w:p w14:paraId="732FFF77" w14:textId="49B21D34" w:rsidR="00757199" w:rsidRPr="00B350C4" w:rsidRDefault="00757199" w:rsidP="00903B52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B350C4">
        <w:rPr>
          <w:sz w:val="24"/>
          <w:szCs w:val="24"/>
        </w:rPr>
        <w:t>Při</w:t>
      </w:r>
      <w:r>
        <w:rPr>
          <w:sz w:val="24"/>
          <w:szCs w:val="24"/>
        </w:rPr>
        <w:t xml:space="preserve"> </w:t>
      </w:r>
      <w:r w:rsidR="006D22A3">
        <w:rPr>
          <w:sz w:val="24"/>
          <w:szCs w:val="24"/>
        </w:rPr>
        <w:t xml:space="preserve">realizaci operačního programu </w:t>
      </w:r>
      <w:r w:rsidRPr="00B350C4">
        <w:rPr>
          <w:sz w:val="24"/>
          <w:szCs w:val="24"/>
        </w:rPr>
        <w:t>je nezbytné sledovat, zda je</w:t>
      </w:r>
      <w:r w:rsidR="006D22A3">
        <w:rPr>
          <w:sz w:val="24"/>
          <w:szCs w:val="24"/>
        </w:rPr>
        <w:t>ho</w:t>
      </w:r>
      <w:r w:rsidRPr="00B350C4">
        <w:rPr>
          <w:sz w:val="24"/>
          <w:szCs w:val="24"/>
        </w:rPr>
        <w:t xml:space="preserve"> implementace </w:t>
      </w:r>
      <w:r>
        <w:rPr>
          <w:sz w:val="24"/>
          <w:szCs w:val="24"/>
        </w:rPr>
        <w:t xml:space="preserve">postupuje </w:t>
      </w:r>
      <w:r w:rsidRPr="00B350C4">
        <w:rPr>
          <w:sz w:val="24"/>
          <w:szCs w:val="24"/>
        </w:rPr>
        <w:t>vyt</w:t>
      </w:r>
      <w:r>
        <w:rPr>
          <w:sz w:val="24"/>
          <w:szCs w:val="24"/>
        </w:rPr>
        <w:t>y</w:t>
      </w:r>
      <w:r w:rsidRPr="00B350C4">
        <w:rPr>
          <w:sz w:val="24"/>
          <w:szCs w:val="24"/>
        </w:rPr>
        <w:t>čeným směrem, a po je</w:t>
      </w:r>
      <w:r w:rsidR="006D22A3">
        <w:rPr>
          <w:sz w:val="24"/>
          <w:szCs w:val="24"/>
        </w:rPr>
        <w:t>ho</w:t>
      </w:r>
      <w:r w:rsidRPr="00B350C4">
        <w:rPr>
          <w:sz w:val="24"/>
          <w:szCs w:val="24"/>
        </w:rPr>
        <w:t xml:space="preserve"> </w:t>
      </w:r>
      <w:r w:rsidR="006D22A3">
        <w:rPr>
          <w:sz w:val="24"/>
          <w:szCs w:val="24"/>
        </w:rPr>
        <w:t>u</w:t>
      </w:r>
      <w:r w:rsidRPr="00B350C4">
        <w:rPr>
          <w:sz w:val="24"/>
          <w:szCs w:val="24"/>
        </w:rPr>
        <w:t xml:space="preserve">končení provést objektivní vyhodnocení. Předpokladem je proto nastavení </w:t>
      </w:r>
      <w:r w:rsidR="006D22A3">
        <w:rPr>
          <w:sz w:val="24"/>
          <w:szCs w:val="24"/>
        </w:rPr>
        <w:t>specifických cílů</w:t>
      </w:r>
      <w:r w:rsidRPr="00B350C4">
        <w:rPr>
          <w:sz w:val="24"/>
          <w:szCs w:val="24"/>
        </w:rPr>
        <w:t xml:space="preserve">, definování </w:t>
      </w:r>
      <w:r w:rsidR="00A43BB8">
        <w:rPr>
          <w:sz w:val="24"/>
          <w:szCs w:val="24"/>
        </w:rPr>
        <w:t xml:space="preserve">vhodné </w:t>
      </w:r>
      <w:r w:rsidRPr="00B350C4">
        <w:rPr>
          <w:sz w:val="24"/>
          <w:szCs w:val="24"/>
        </w:rPr>
        <w:t xml:space="preserve">soustavy </w:t>
      </w:r>
      <w:r>
        <w:rPr>
          <w:sz w:val="24"/>
          <w:szCs w:val="24"/>
        </w:rPr>
        <w:t>ukazatelů</w:t>
      </w:r>
      <w:r w:rsidR="006D22A3">
        <w:rPr>
          <w:sz w:val="24"/>
          <w:szCs w:val="24"/>
        </w:rPr>
        <w:t xml:space="preserve"> výsledku a výstupu </w:t>
      </w:r>
      <w:r>
        <w:rPr>
          <w:sz w:val="24"/>
          <w:szCs w:val="24"/>
        </w:rPr>
        <w:t>a</w:t>
      </w:r>
      <w:r w:rsidR="001B09C0">
        <w:rPr>
          <w:sz w:val="24"/>
          <w:szCs w:val="24"/>
        </w:rPr>
        <w:t xml:space="preserve"> </w:t>
      </w:r>
      <w:r w:rsidR="002A7FFE">
        <w:rPr>
          <w:sz w:val="24"/>
          <w:szCs w:val="24"/>
        </w:rPr>
        <w:t xml:space="preserve">dále </w:t>
      </w:r>
      <w:r w:rsidRPr="00B350C4">
        <w:rPr>
          <w:sz w:val="24"/>
          <w:szCs w:val="24"/>
        </w:rPr>
        <w:t xml:space="preserve">nastavení jejich </w:t>
      </w:r>
      <w:r w:rsidR="002A7FFE">
        <w:rPr>
          <w:sz w:val="24"/>
          <w:szCs w:val="24"/>
        </w:rPr>
        <w:t xml:space="preserve">výchozích a </w:t>
      </w:r>
      <w:r w:rsidRPr="00B350C4">
        <w:rPr>
          <w:sz w:val="24"/>
          <w:szCs w:val="24"/>
        </w:rPr>
        <w:t xml:space="preserve">cílových hodnot, které umožní </w:t>
      </w:r>
      <w:r w:rsidR="006D22A3">
        <w:rPr>
          <w:sz w:val="24"/>
          <w:szCs w:val="24"/>
        </w:rPr>
        <w:t>vyhodnocení</w:t>
      </w:r>
      <w:r w:rsidRPr="00B350C4">
        <w:rPr>
          <w:sz w:val="24"/>
          <w:szCs w:val="24"/>
        </w:rPr>
        <w:t xml:space="preserve"> naplnění </w:t>
      </w:r>
      <w:r w:rsidR="005231E1">
        <w:rPr>
          <w:sz w:val="24"/>
          <w:szCs w:val="24"/>
        </w:rPr>
        <w:t>specifických</w:t>
      </w:r>
      <w:r w:rsidRPr="00B350C4">
        <w:rPr>
          <w:sz w:val="24"/>
          <w:szCs w:val="24"/>
        </w:rPr>
        <w:t xml:space="preserve"> cíl</w:t>
      </w:r>
      <w:r>
        <w:rPr>
          <w:sz w:val="24"/>
          <w:szCs w:val="24"/>
        </w:rPr>
        <w:t>ů</w:t>
      </w:r>
      <w:r w:rsidR="006D22A3">
        <w:rPr>
          <w:sz w:val="24"/>
          <w:szCs w:val="24"/>
        </w:rPr>
        <w:t xml:space="preserve"> PO 5 OPPIK</w:t>
      </w:r>
      <w:r>
        <w:rPr>
          <w:sz w:val="24"/>
          <w:szCs w:val="24"/>
        </w:rPr>
        <w:t>.</w:t>
      </w:r>
      <w:r w:rsidR="0078152B">
        <w:rPr>
          <w:sz w:val="24"/>
          <w:szCs w:val="24"/>
        </w:rPr>
        <w:t xml:space="preserve"> </w:t>
      </w:r>
      <w:r w:rsidR="0078152B" w:rsidRPr="00BD3DC9">
        <w:rPr>
          <w:sz w:val="24"/>
          <w:szCs w:val="24"/>
        </w:rPr>
        <w:t xml:space="preserve">Tyto povinnosti stanovuje článek 27 Obecného nařízení, kdy v rámci </w:t>
      </w:r>
      <w:r w:rsidR="0078152B">
        <w:rPr>
          <w:sz w:val="24"/>
          <w:szCs w:val="24"/>
        </w:rPr>
        <w:t>o</w:t>
      </w:r>
      <w:r w:rsidR="0078152B" w:rsidRPr="00BD3DC9">
        <w:rPr>
          <w:sz w:val="24"/>
          <w:szCs w:val="24"/>
        </w:rPr>
        <w:t xml:space="preserve">peračního programu mají být stanoveny </w:t>
      </w:r>
      <w:r w:rsidR="0078152B">
        <w:rPr>
          <w:sz w:val="24"/>
          <w:szCs w:val="24"/>
        </w:rPr>
        <w:t>ukazatele a </w:t>
      </w:r>
      <w:r w:rsidR="0078152B" w:rsidRPr="0078152B">
        <w:rPr>
          <w:sz w:val="24"/>
          <w:szCs w:val="24"/>
        </w:rPr>
        <w:t xml:space="preserve">odpovídající cílové hodnoty vyjádřené kvantitativně nebo kvalitativně za účelem hodnocení pokroku </w:t>
      </w:r>
      <w:r w:rsidR="0080090C">
        <w:rPr>
          <w:sz w:val="24"/>
          <w:szCs w:val="24"/>
        </w:rPr>
        <w:t>realizace</w:t>
      </w:r>
      <w:r w:rsidR="0080090C" w:rsidRPr="0078152B">
        <w:rPr>
          <w:sz w:val="24"/>
          <w:szCs w:val="24"/>
        </w:rPr>
        <w:t xml:space="preserve"> </w:t>
      </w:r>
      <w:r w:rsidR="0078152B" w:rsidRPr="0078152B">
        <w:rPr>
          <w:sz w:val="24"/>
          <w:szCs w:val="24"/>
        </w:rPr>
        <w:t>programu směřující k dosažení cílů jako základ pro monitorování, hodnocení a přezkum výkonnosti.</w:t>
      </w:r>
    </w:p>
    <w:p w14:paraId="13687A3C" w14:textId="77777777" w:rsidR="008C65A4" w:rsidRPr="00757199" w:rsidRDefault="008C65A4" w:rsidP="00757199">
      <w:pPr>
        <w:spacing w:after="0" w:line="280" w:lineRule="atLeast"/>
        <w:jc w:val="both"/>
        <w:rPr>
          <w:sz w:val="24"/>
          <w:szCs w:val="24"/>
        </w:rPr>
      </w:pPr>
    </w:p>
    <w:p w14:paraId="2A2608F8" w14:textId="77777777" w:rsidR="00757199" w:rsidRDefault="00757199" w:rsidP="00903B52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B350C4">
        <w:rPr>
          <w:sz w:val="24"/>
          <w:szCs w:val="24"/>
        </w:rPr>
        <w:t>NKÚ proto posuzoval:</w:t>
      </w:r>
    </w:p>
    <w:p w14:paraId="1032DC47" w14:textId="77777777" w:rsidR="00757199" w:rsidRPr="00757199" w:rsidRDefault="00757199" w:rsidP="00757199">
      <w:pPr>
        <w:pStyle w:val="Odstavecseseznamem"/>
        <w:numPr>
          <w:ilvl w:val="0"/>
          <w:numId w:val="36"/>
        </w:numPr>
        <w:spacing w:after="0" w:line="280" w:lineRule="atLeast"/>
        <w:jc w:val="both"/>
        <w:rPr>
          <w:sz w:val="24"/>
          <w:szCs w:val="24"/>
        </w:rPr>
      </w:pPr>
      <w:r w:rsidRPr="00757199">
        <w:rPr>
          <w:sz w:val="24"/>
          <w:szCs w:val="24"/>
        </w:rPr>
        <w:t xml:space="preserve">zda jsou </w:t>
      </w:r>
      <w:r>
        <w:rPr>
          <w:sz w:val="24"/>
          <w:szCs w:val="24"/>
        </w:rPr>
        <w:t xml:space="preserve">specifické cíle PO 5 OPPIK a </w:t>
      </w:r>
      <w:r w:rsidR="002A7FFE">
        <w:rPr>
          <w:sz w:val="24"/>
          <w:szCs w:val="24"/>
        </w:rPr>
        <w:t xml:space="preserve">k nim </w:t>
      </w:r>
      <w:r>
        <w:rPr>
          <w:sz w:val="24"/>
          <w:szCs w:val="24"/>
        </w:rPr>
        <w:t xml:space="preserve">přiřazené </w:t>
      </w:r>
      <w:r w:rsidR="002A7FFE">
        <w:rPr>
          <w:sz w:val="24"/>
          <w:szCs w:val="24"/>
        </w:rPr>
        <w:t xml:space="preserve">očekávané </w:t>
      </w:r>
      <w:r>
        <w:rPr>
          <w:sz w:val="24"/>
          <w:szCs w:val="24"/>
        </w:rPr>
        <w:t xml:space="preserve">výsledky </w:t>
      </w:r>
      <w:r w:rsidRPr="00757199">
        <w:rPr>
          <w:sz w:val="24"/>
          <w:szCs w:val="24"/>
        </w:rPr>
        <w:t>nastaveny konkrétn</w:t>
      </w:r>
      <w:r>
        <w:rPr>
          <w:sz w:val="24"/>
          <w:szCs w:val="24"/>
        </w:rPr>
        <w:t>ě a </w:t>
      </w:r>
      <w:r w:rsidRPr="00757199">
        <w:rPr>
          <w:sz w:val="24"/>
          <w:szCs w:val="24"/>
        </w:rPr>
        <w:t>měřiteln</w:t>
      </w:r>
      <w:r>
        <w:rPr>
          <w:sz w:val="24"/>
          <w:szCs w:val="24"/>
        </w:rPr>
        <w:t>ě,</w:t>
      </w:r>
    </w:p>
    <w:p w14:paraId="0A393C87" w14:textId="77777777" w:rsidR="00757199" w:rsidRPr="00757199" w:rsidRDefault="00757199" w:rsidP="00757199">
      <w:pPr>
        <w:pStyle w:val="Odstavecseseznamem"/>
        <w:numPr>
          <w:ilvl w:val="0"/>
          <w:numId w:val="36"/>
        </w:numPr>
        <w:spacing w:after="0" w:line="280" w:lineRule="atLeast"/>
        <w:jc w:val="both"/>
        <w:rPr>
          <w:sz w:val="24"/>
          <w:szCs w:val="24"/>
        </w:rPr>
      </w:pPr>
      <w:r w:rsidRPr="00757199">
        <w:rPr>
          <w:sz w:val="24"/>
          <w:szCs w:val="24"/>
        </w:rPr>
        <w:t xml:space="preserve">zda </w:t>
      </w:r>
      <w:r>
        <w:rPr>
          <w:sz w:val="24"/>
          <w:szCs w:val="24"/>
        </w:rPr>
        <w:t>soustava ukazatelů výsledku a výstupu umožní hodnocení naplnění specifických cílů</w:t>
      </w:r>
      <w:r w:rsidR="00695A2C">
        <w:rPr>
          <w:sz w:val="24"/>
          <w:szCs w:val="24"/>
        </w:rPr>
        <w:t xml:space="preserve"> PO 5 OPPIK</w:t>
      </w:r>
      <w:r w:rsidRPr="00757199">
        <w:rPr>
          <w:sz w:val="24"/>
          <w:szCs w:val="24"/>
        </w:rPr>
        <w:t>,</w:t>
      </w:r>
    </w:p>
    <w:p w14:paraId="50D3CB60" w14:textId="77777777" w:rsidR="00940295" w:rsidRDefault="00940295" w:rsidP="00757199">
      <w:pPr>
        <w:pStyle w:val="Odstavecseseznamem"/>
        <w:numPr>
          <w:ilvl w:val="0"/>
          <w:numId w:val="36"/>
        </w:numPr>
        <w:spacing w:after="0"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zda byly cílové hodnoty ukazatelů výsledku a výstupu stanoveny průkazně,</w:t>
      </w:r>
    </w:p>
    <w:p w14:paraId="682E14E3" w14:textId="77777777" w:rsidR="00757199" w:rsidRDefault="00757199" w:rsidP="00757199">
      <w:pPr>
        <w:pStyle w:val="Odstavecseseznamem"/>
        <w:numPr>
          <w:ilvl w:val="0"/>
          <w:numId w:val="36"/>
        </w:numPr>
        <w:spacing w:after="0" w:line="280" w:lineRule="atLeast"/>
        <w:jc w:val="both"/>
        <w:rPr>
          <w:sz w:val="24"/>
          <w:szCs w:val="24"/>
        </w:rPr>
      </w:pPr>
      <w:r w:rsidRPr="00757199">
        <w:rPr>
          <w:sz w:val="24"/>
          <w:szCs w:val="24"/>
        </w:rPr>
        <w:t xml:space="preserve">zda je </w:t>
      </w:r>
      <w:r w:rsidR="002A7FFE">
        <w:rPr>
          <w:sz w:val="24"/>
          <w:szCs w:val="24"/>
        </w:rPr>
        <w:t xml:space="preserve">reálný </w:t>
      </w:r>
      <w:r w:rsidRPr="00757199">
        <w:rPr>
          <w:sz w:val="24"/>
          <w:szCs w:val="24"/>
        </w:rPr>
        <w:t>předpoklad naplnění cílových hodnot stanovených ukazatelů,</w:t>
      </w:r>
    </w:p>
    <w:p w14:paraId="4AE441B3" w14:textId="77777777" w:rsidR="00940295" w:rsidRPr="00757199" w:rsidRDefault="00940295" w:rsidP="00940295">
      <w:pPr>
        <w:pStyle w:val="Odstavecseseznamem"/>
        <w:numPr>
          <w:ilvl w:val="0"/>
          <w:numId w:val="36"/>
        </w:numPr>
        <w:spacing w:after="0" w:line="280" w:lineRule="atLeast"/>
        <w:jc w:val="both"/>
        <w:rPr>
          <w:sz w:val="24"/>
          <w:szCs w:val="24"/>
        </w:rPr>
      </w:pPr>
      <w:r w:rsidRPr="00757199">
        <w:rPr>
          <w:sz w:val="24"/>
          <w:szCs w:val="24"/>
        </w:rPr>
        <w:t>zda j</w:t>
      </w:r>
      <w:r>
        <w:rPr>
          <w:sz w:val="24"/>
          <w:szCs w:val="24"/>
        </w:rPr>
        <w:t>sou sledovány přínosy podpořených projektů technické pomoci,</w:t>
      </w:r>
    </w:p>
    <w:p w14:paraId="31B945D2" w14:textId="08BDA047" w:rsidR="002246C2" w:rsidRDefault="002246C2" w:rsidP="002246C2">
      <w:pPr>
        <w:pStyle w:val="Odstavecseseznamem"/>
        <w:numPr>
          <w:ilvl w:val="0"/>
          <w:numId w:val="36"/>
        </w:numPr>
        <w:spacing w:after="0" w:line="280" w:lineRule="atLeast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zda </w:t>
      </w:r>
      <w:r w:rsidR="00B17AD6">
        <w:rPr>
          <w:sz w:val="24"/>
          <w:szCs w:val="24"/>
        </w:rPr>
        <w:t xml:space="preserve">průběh a </w:t>
      </w:r>
      <w:r>
        <w:rPr>
          <w:sz w:val="24"/>
          <w:szCs w:val="24"/>
        </w:rPr>
        <w:t>čerpání celého OPPIK probíh</w:t>
      </w:r>
      <w:r w:rsidR="0080090C">
        <w:rPr>
          <w:sz w:val="24"/>
          <w:szCs w:val="24"/>
        </w:rPr>
        <w:t>ají</w:t>
      </w:r>
      <w:r>
        <w:rPr>
          <w:sz w:val="24"/>
          <w:szCs w:val="24"/>
        </w:rPr>
        <w:t xml:space="preserve"> podle předpokladů</w:t>
      </w:r>
      <w:r w:rsidR="0080090C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B17AD6">
        <w:rPr>
          <w:sz w:val="24"/>
          <w:szCs w:val="24"/>
        </w:rPr>
        <w:t>a j</w:t>
      </w:r>
      <w:r w:rsidR="0080090C">
        <w:rPr>
          <w:sz w:val="24"/>
          <w:szCs w:val="24"/>
        </w:rPr>
        <w:t>sou</w:t>
      </w:r>
      <w:r w:rsidR="00B17AD6">
        <w:rPr>
          <w:sz w:val="24"/>
          <w:szCs w:val="24"/>
        </w:rPr>
        <w:t xml:space="preserve"> tak</w:t>
      </w:r>
      <w:r>
        <w:rPr>
          <w:sz w:val="24"/>
          <w:szCs w:val="24"/>
        </w:rPr>
        <w:t xml:space="preserve"> indikátor</w:t>
      </w:r>
      <w:r w:rsidR="00B17AD6">
        <w:rPr>
          <w:sz w:val="24"/>
          <w:szCs w:val="24"/>
        </w:rPr>
        <w:t>em</w:t>
      </w:r>
      <w:r>
        <w:rPr>
          <w:sz w:val="24"/>
          <w:szCs w:val="24"/>
        </w:rPr>
        <w:t xml:space="preserve"> efektivnosti práce ŘO financovaného z PO 5</w:t>
      </w:r>
      <w:r w:rsidR="00903B52">
        <w:rPr>
          <w:sz w:val="24"/>
          <w:szCs w:val="24"/>
        </w:rPr>
        <w:t>,</w:t>
      </w:r>
    </w:p>
    <w:p w14:paraId="2BB8624E" w14:textId="77777777" w:rsidR="002246C2" w:rsidRPr="00903B52" w:rsidRDefault="002246C2" w:rsidP="002246C2">
      <w:pPr>
        <w:pStyle w:val="Odstavecseseznamem"/>
        <w:numPr>
          <w:ilvl w:val="0"/>
          <w:numId w:val="36"/>
        </w:numPr>
        <w:spacing w:after="0" w:line="280" w:lineRule="atLeast"/>
        <w:contextualSpacing w:val="0"/>
        <w:jc w:val="both"/>
      </w:pPr>
      <w:r>
        <w:rPr>
          <w:sz w:val="24"/>
          <w:szCs w:val="24"/>
        </w:rPr>
        <w:t xml:space="preserve">zda nedochází k nevhodnému překryvu aktivit PO 5 OPPIK s OP </w:t>
      </w:r>
      <w:r w:rsidRPr="00903B52">
        <w:rPr>
          <w:i/>
          <w:sz w:val="24"/>
          <w:szCs w:val="24"/>
        </w:rPr>
        <w:t>Technická pomoc</w:t>
      </w:r>
      <w:r w:rsidR="00903B52">
        <w:rPr>
          <w:sz w:val="24"/>
          <w:szCs w:val="24"/>
        </w:rPr>
        <w:t>.</w:t>
      </w:r>
    </w:p>
    <w:p w14:paraId="5BA01C15" w14:textId="77777777" w:rsidR="00757199" w:rsidRDefault="00757199" w:rsidP="00757199">
      <w:pPr>
        <w:spacing w:after="0" w:line="280" w:lineRule="atLeast"/>
        <w:jc w:val="both"/>
        <w:rPr>
          <w:rFonts w:cstheme="minorHAnsi"/>
          <w:color w:val="000000"/>
          <w:sz w:val="24"/>
          <w:szCs w:val="24"/>
          <w:highlight w:val="yellow"/>
        </w:rPr>
      </w:pPr>
    </w:p>
    <w:p w14:paraId="286231FD" w14:textId="77777777" w:rsidR="00A5329B" w:rsidRPr="00903B52" w:rsidRDefault="00A5329B" w:rsidP="00A5329B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903B52">
        <w:rPr>
          <w:rFonts w:cstheme="minorHAnsi"/>
          <w:b/>
          <w:color w:val="FF0000"/>
          <w:sz w:val="24"/>
          <w:szCs w:val="24"/>
        </w:rPr>
        <w:t>→</w:t>
      </w:r>
      <w:r w:rsidRPr="00903B52">
        <w:rPr>
          <w:b/>
          <w:i/>
          <w:color w:val="FF0000"/>
          <w:sz w:val="24"/>
          <w:szCs w:val="24"/>
        </w:rPr>
        <w:t xml:space="preserve"> </w:t>
      </w:r>
      <w:r w:rsidR="00B17AD6">
        <w:rPr>
          <w:b/>
          <w:i/>
          <w:color w:val="FF0000"/>
          <w:sz w:val="24"/>
          <w:szCs w:val="24"/>
        </w:rPr>
        <w:t>MPO nastavilo s</w:t>
      </w:r>
      <w:r w:rsidRPr="00903B52">
        <w:rPr>
          <w:b/>
          <w:i/>
          <w:color w:val="FF0000"/>
          <w:sz w:val="24"/>
          <w:szCs w:val="24"/>
        </w:rPr>
        <w:t>oustav</w:t>
      </w:r>
      <w:r w:rsidR="00BD3B44" w:rsidRPr="00903B52">
        <w:rPr>
          <w:b/>
          <w:i/>
          <w:color w:val="FF0000"/>
          <w:sz w:val="24"/>
          <w:szCs w:val="24"/>
        </w:rPr>
        <w:t>u</w:t>
      </w:r>
      <w:r w:rsidRPr="00903B52">
        <w:rPr>
          <w:b/>
          <w:i/>
          <w:color w:val="FF0000"/>
          <w:sz w:val="24"/>
          <w:szCs w:val="24"/>
        </w:rPr>
        <w:t xml:space="preserve"> ukazatelů pro hodnocení naplnění </w:t>
      </w:r>
      <w:r w:rsidR="00262D7C" w:rsidRPr="00903B52">
        <w:rPr>
          <w:b/>
          <w:i/>
          <w:color w:val="FF0000"/>
          <w:sz w:val="24"/>
          <w:szCs w:val="24"/>
        </w:rPr>
        <w:t xml:space="preserve">specifických </w:t>
      </w:r>
      <w:r w:rsidRPr="00903B52">
        <w:rPr>
          <w:b/>
          <w:i/>
          <w:color w:val="FF0000"/>
          <w:sz w:val="24"/>
          <w:szCs w:val="24"/>
        </w:rPr>
        <w:t>cílů technické pomoci OPPIK nevhodně</w:t>
      </w:r>
      <w:r w:rsidR="009B03F1">
        <w:rPr>
          <w:b/>
          <w:i/>
          <w:color w:val="FF0000"/>
          <w:sz w:val="24"/>
          <w:szCs w:val="24"/>
        </w:rPr>
        <w:t>.</w:t>
      </w:r>
    </w:p>
    <w:p w14:paraId="5A248103" w14:textId="77777777" w:rsidR="00095E1E" w:rsidRPr="007F1D90" w:rsidRDefault="00095E1E" w:rsidP="007F1D90">
      <w:pPr>
        <w:spacing w:after="0" w:line="280" w:lineRule="atLeast"/>
        <w:jc w:val="both"/>
        <w:rPr>
          <w:rFonts w:cstheme="minorHAnsi"/>
          <w:color w:val="000000"/>
          <w:sz w:val="24"/>
          <w:szCs w:val="24"/>
          <w:highlight w:val="yellow"/>
        </w:rPr>
      </w:pPr>
    </w:p>
    <w:p w14:paraId="45764295" w14:textId="317E6261" w:rsidR="00903B52" w:rsidRDefault="007A3DE8" w:rsidP="00903B52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014E24">
        <w:rPr>
          <w:sz w:val="24"/>
          <w:szCs w:val="24"/>
        </w:rPr>
        <w:t xml:space="preserve">MPO </w:t>
      </w:r>
      <w:r w:rsidR="00383931">
        <w:rPr>
          <w:sz w:val="24"/>
          <w:szCs w:val="24"/>
        </w:rPr>
        <w:t xml:space="preserve">stanovilo </w:t>
      </w:r>
      <w:r w:rsidR="006C48DE" w:rsidRPr="00014E24">
        <w:rPr>
          <w:sz w:val="24"/>
          <w:szCs w:val="24"/>
        </w:rPr>
        <w:t xml:space="preserve">v </w:t>
      </w:r>
      <w:r w:rsidR="00695A2C">
        <w:rPr>
          <w:sz w:val="24"/>
          <w:szCs w:val="24"/>
        </w:rPr>
        <w:t>rámci PO </w:t>
      </w:r>
      <w:r w:rsidR="000F160F" w:rsidRPr="00014E24">
        <w:rPr>
          <w:sz w:val="24"/>
          <w:szCs w:val="24"/>
        </w:rPr>
        <w:t>5 OPPIK</w:t>
      </w:r>
      <w:r w:rsidR="006C48DE" w:rsidRPr="00014E24">
        <w:rPr>
          <w:sz w:val="24"/>
          <w:szCs w:val="24"/>
        </w:rPr>
        <w:t xml:space="preserve"> </w:t>
      </w:r>
      <w:r w:rsidR="000F160F" w:rsidRPr="00014E24">
        <w:rPr>
          <w:sz w:val="24"/>
          <w:szCs w:val="24"/>
        </w:rPr>
        <w:t xml:space="preserve">dva </w:t>
      </w:r>
      <w:r w:rsidR="006C48DE" w:rsidRPr="00014E24">
        <w:rPr>
          <w:sz w:val="24"/>
          <w:szCs w:val="24"/>
        </w:rPr>
        <w:t>specifick</w:t>
      </w:r>
      <w:r w:rsidR="000F160F" w:rsidRPr="00014E24">
        <w:rPr>
          <w:sz w:val="24"/>
          <w:szCs w:val="24"/>
        </w:rPr>
        <w:t xml:space="preserve">é </w:t>
      </w:r>
      <w:r w:rsidR="006C48DE" w:rsidRPr="00014E24">
        <w:rPr>
          <w:sz w:val="24"/>
          <w:szCs w:val="24"/>
        </w:rPr>
        <w:t>cíl</w:t>
      </w:r>
      <w:r w:rsidR="000F160F" w:rsidRPr="00014E24">
        <w:rPr>
          <w:sz w:val="24"/>
          <w:szCs w:val="24"/>
        </w:rPr>
        <w:t>e</w:t>
      </w:r>
      <w:r w:rsidR="00122D15">
        <w:rPr>
          <w:sz w:val="24"/>
          <w:szCs w:val="24"/>
        </w:rPr>
        <w:t>, formulova</w:t>
      </w:r>
      <w:r w:rsidR="00883474">
        <w:rPr>
          <w:sz w:val="24"/>
          <w:szCs w:val="24"/>
        </w:rPr>
        <w:t>lo je</w:t>
      </w:r>
      <w:r w:rsidR="00122D15">
        <w:rPr>
          <w:sz w:val="24"/>
          <w:szCs w:val="24"/>
        </w:rPr>
        <w:t xml:space="preserve"> však v</w:t>
      </w:r>
      <w:r w:rsidR="00A43BB8">
        <w:rPr>
          <w:sz w:val="24"/>
          <w:szCs w:val="24"/>
        </w:rPr>
        <w:t>e velmi</w:t>
      </w:r>
      <w:r w:rsidR="00883474">
        <w:rPr>
          <w:sz w:val="24"/>
          <w:szCs w:val="24"/>
        </w:rPr>
        <w:t xml:space="preserve"> </w:t>
      </w:r>
      <w:r w:rsidR="00122D15">
        <w:rPr>
          <w:sz w:val="24"/>
          <w:szCs w:val="24"/>
        </w:rPr>
        <w:t>obecné rovině</w:t>
      </w:r>
      <w:r w:rsidR="006C48DE" w:rsidRPr="00014E24">
        <w:rPr>
          <w:sz w:val="24"/>
          <w:szCs w:val="24"/>
        </w:rPr>
        <w:t xml:space="preserve"> </w:t>
      </w:r>
      <w:r w:rsidR="00B17AD6">
        <w:rPr>
          <w:sz w:val="24"/>
          <w:szCs w:val="24"/>
        </w:rPr>
        <w:t>(</w:t>
      </w:r>
      <w:r w:rsidR="00883474">
        <w:rPr>
          <w:sz w:val="24"/>
          <w:szCs w:val="24"/>
        </w:rPr>
        <w:t>viz</w:t>
      </w:r>
      <w:r w:rsidR="00B17AD6">
        <w:rPr>
          <w:sz w:val="24"/>
          <w:szCs w:val="24"/>
        </w:rPr>
        <w:t xml:space="preserve"> odst. 2.</w:t>
      </w:r>
      <w:r w:rsidR="00903B52">
        <w:rPr>
          <w:sz w:val="24"/>
          <w:szCs w:val="24"/>
        </w:rPr>
        <w:t>7</w:t>
      </w:r>
      <w:r w:rsidR="00B17AD6">
        <w:rPr>
          <w:sz w:val="24"/>
          <w:szCs w:val="24"/>
        </w:rPr>
        <w:t>)</w:t>
      </w:r>
      <w:r w:rsidR="00383931">
        <w:rPr>
          <w:sz w:val="24"/>
          <w:szCs w:val="24"/>
        </w:rPr>
        <w:t>.</w:t>
      </w:r>
      <w:r w:rsidR="00EC177B" w:rsidRPr="00014E24">
        <w:rPr>
          <w:sz w:val="24"/>
          <w:szCs w:val="24"/>
        </w:rPr>
        <w:t xml:space="preserve"> K těmto </w:t>
      </w:r>
      <w:r w:rsidR="00383931">
        <w:rPr>
          <w:sz w:val="24"/>
          <w:szCs w:val="24"/>
        </w:rPr>
        <w:t xml:space="preserve">specifickým </w:t>
      </w:r>
      <w:r w:rsidR="00EC177B" w:rsidRPr="00014E24">
        <w:rPr>
          <w:sz w:val="24"/>
          <w:szCs w:val="24"/>
        </w:rPr>
        <w:t xml:space="preserve">cílům </w:t>
      </w:r>
      <w:r w:rsidR="00C44558">
        <w:rPr>
          <w:sz w:val="24"/>
          <w:szCs w:val="24"/>
        </w:rPr>
        <w:t xml:space="preserve">poté </w:t>
      </w:r>
      <w:r w:rsidR="00EC177B" w:rsidRPr="00014E24">
        <w:rPr>
          <w:sz w:val="24"/>
          <w:szCs w:val="24"/>
        </w:rPr>
        <w:t>přiřadilo</w:t>
      </w:r>
      <w:r w:rsidR="00903B52">
        <w:rPr>
          <w:sz w:val="24"/>
          <w:szCs w:val="24"/>
        </w:rPr>
        <w:t xml:space="preserve"> celkem 12 </w:t>
      </w:r>
      <w:r w:rsidR="000F160F" w:rsidRPr="00014E24">
        <w:rPr>
          <w:sz w:val="24"/>
          <w:szCs w:val="24"/>
        </w:rPr>
        <w:t xml:space="preserve">očekávaných </w:t>
      </w:r>
      <w:r w:rsidR="00014E24" w:rsidRPr="00014E24">
        <w:rPr>
          <w:sz w:val="24"/>
          <w:szCs w:val="24"/>
        </w:rPr>
        <w:t xml:space="preserve">konkrétních </w:t>
      </w:r>
      <w:r w:rsidR="000F160F" w:rsidRPr="00014E24">
        <w:rPr>
          <w:sz w:val="24"/>
          <w:szCs w:val="24"/>
        </w:rPr>
        <w:t>výsledků</w:t>
      </w:r>
      <w:r w:rsidR="007D093D" w:rsidRPr="00014E24">
        <w:rPr>
          <w:sz w:val="24"/>
          <w:szCs w:val="24"/>
        </w:rPr>
        <w:t>, kterých chce dosáhnout</w:t>
      </w:r>
      <w:r w:rsidR="00014E24" w:rsidRPr="00014E24">
        <w:rPr>
          <w:sz w:val="24"/>
          <w:szCs w:val="24"/>
        </w:rPr>
        <w:t>.</w:t>
      </w:r>
      <w:r w:rsidR="00BC3A96" w:rsidRPr="00014E24">
        <w:rPr>
          <w:sz w:val="24"/>
          <w:szCs w:val="24"/>
        </w:rPr>
        <w:t xml:space="preserve"> Stanovené specifické cíle </w:t>
      </w:r>
      <w:r w:rsidR="00903B52">
        <w:rPr>
          <w:sz w:val="24"/>
          <w:szCs w:val="24"/>
        </w:rPr>
        <w:t>a</w:t>
      </w:r>
      <w:r w:rsidR="00883474">
        <w:rPr>
          <w:sz w:val="24"/>
          <w:szCs w:val="24"/>
        </w:rPr>
        <w:t xml:space="preserve"> </w:t>
      </w:r>
      <w:r w:rsidR="00D71E3E">
        <w:rPr>
          <w:sz w:val="24"/>
          <w:szCs w:val="24"/>
        </w:rPr>
        <w:t xml:space="preserve">výsledky </w:t>
      </w:r>
      <w:r w:rsidR="00BC3A96" w:rsidRPr="00014E24">
        <w:rPr>
          <w:sz w:val="24"/>
          <w:szCs w:val="24"/>
        </w:rPr>
        <w:t xml:space="preserve">je </w:t>
      </w:r>
      <w:r w:rsidR="00BC3A96" w:rsidRPr="00014E24">
        <w:rPr>
          <w:sz w:val="24"/>
          <w:szCs w:val="24"/>
        </w:rPr>
        <w:lastRenderedPageBreak/>
        <w:t>nezbytné kvantifikovat a tím zaručit měřitelnost je</w:t>
      </w:r>
      <w:r w:rsidR="007D093D" w:rsidRPr="00014E24">
        <w:rPr>
          <w:sz w:val="24"/>
          <w:szCs w:val="24"/>
        </w:rPr>
        <w:t xml:space="preserve">jich </w:t>
      </w:r>
      <w:r w:rsidR="00F9482E" w:rsidRPr="00014E24">
        <w:rPr>
          <w:sz w:val="24"/>
          <w:szCs w:val="24"/>
        </w:rPr>
        <w:t>dosahování pomocí ukazatelů</w:t>
      </w:r>
      <w:r w:rsidR="00BC3A96" w:rsidRPr="00014E24">
        <w:rPr>
          <w:sz w:val="24"/>
          <w:szCs w:val="24"/>
        </w:rPr>
        <w:t xml:space="preserve"> výsledku</w:t>
      </w:r>
      <w:r w:rsidR="00F9482E" w:rsidRPr="00014E24">
        <w:rPr>
          <w:sz w:val="24"/>
          <w:szCs w:val="24"/>
        </w:rPr>
        <w:t>.</w:t>
      </w:r>
      <w:r w:rsidR="00C44558">
        <w:rPr>
          <w:sz w:val="24"/>
          <w:szCs w:val="24"/>
        </w:rPr>
        <w:t xml:space="preserve"> NKÚ proto zajímalo, jak je nastavena soustava ukazatelů k hodnocení účelnosti výdajů prioritní osy, tedy zda jsou konkrétní, měřitelné a především</w:t>
      </w:r>
      <w:r w:rsidR="00883474">
        <w:rPr>
          <w:sz w:val="24"/>
          <w:szCs w:val="24"/>
        </w:rPr>
        <w:t xml:space="preserve"> zda</w:t>
      </w:r>
      <w:r w:rsidR="00C44558">
        <w:rPr>
          <w:sz w:val="24"/>
          <w:szCs w:val="24"/>
        </w:rPr>
        <w:t xml:space="preserve"> dokládají plnění specifických cílů v jejich šíři.</w:t>
      </w:r>
    </w:p>
    <w:p w14:paraId="64E51695" w14:textId="77777777" w:rsidR="00903B52" w:rsidRDefault="00903B52" w:rsidP="00903B52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43A044C5" w14:textId="02D1311D" w:rsidR="00095E1E" w:rsidRPr="006B0643" w:rsidRDefault="0059060D" w:rsidP="008B01BF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6B0643">
        <w:rPr>
          <w:sz w:val="24"/>
          <w:szCs w:val="24"/>
        </w:rPr>
        <w:t xml:space="preserve">Pro hodnocení naplnění specifických cílů PO 5 OPPIK a očekávaných výsledků </w:t>
      </w:r>
      <w:r w:rsidR="00122D15" w:rsidRPr="006B0643">
        <w:rPr>
          <w:sz w:val="24"/>
          <w:szCs w:val="24"/>
        </w:rPr>
        <w:t>MPO určilo</w:t>
      </w:r>
      <w:r w:rsidRPr="006B0643">
        <w:rPr>
          <w:sz w:val="24"/>
          <w:szCs w:val="24"/>
        </w:rPr>
        <w:t xml:space="preserve"> soustavu </w:t>
      </w:r>
      <w:r w:rsidR="00BC3A96" w:rsidRPr="006B0643">
        <w:rPr>
          <w:sz w:val="24"/>
          <w:szCs w:val="24"/>
        </w:rPr>
        <w:t xml:space="preserve">dvou </w:t>
      </w:r>
      <w:r w:rsidRPr="006B0643">
        <w:rPr>
          <w:sz w:val="24"/>
          <w:szCs w:val="24"/>
        </w:rPr>
        <w:t>ukazatelů výsledku</w:t>
      </w:r>
      <w:r w:rsidR="00AB6031" w:rsidRPr="006B0643">
        <w:rPr>
          <w:sz w:val="24"/>
          <w:szCs w:val="24"/>
        </w:rPr>
        <w:t>, a to „</w:t>
      </w:r>
      <w:r w:rsidR="00AB6031" w:rsidRPr="003D1A13">
        <w:rPr>
          <w:sz w:val="24"/>
          <w:szCs w:val="24"/>
        </w:rPr>
        <w:t>Míra stabilizace zaměstnanců implementační struktury</w:t>
      </w:r>
      <w:r w:rsidR="00AB6031" w:rsidRPr="006B0643">
        <w:rPr>
          <w:sz w:val="24"/>
          <w:szCs w:val="24"/>
        </w:rPr>
        <w:t xml:space="preserve">“ </w:t>
      </w:r>
      <w:r w:rsidR="00C44558" w:rsidRPr="006B0643">
        <w:rPr>
          <w:sz w:val="24"/>
          <w:szCs w:val="24"/>
        </w:rPr>
        <w:t>(</w:t>
      </w:r>
      <w:r w:rsidR="00AB6031" w:rsidRPr="006B0643">
        <w:rPr>
          <w:sz w:val="24"/>
          <w:szCs w:val="24"/>
        </w:rPr>
        <w:t>pro naplnění SC 5.</w:t>
      </w:r>
      <w:r w:rsidR="00C44558" w:rsidRPr="006B0643">
        <w:rPr>
          <w:sz w:val="24"/>
          <w:szCs w:val="24"/>
        </w:rPr>
        <w:t>1)</w:t>
      </w:r>
      <w:r w:rsidRPr="006B0643">
        <w:rPr>
          <w:sz w:val="24"/>
          <w:szCs w:val="24"/>
        </w:rPr>
        <w:t xml:space="preserve"> </w:t>
      </w:r>
      <w:r w:rsidR="0096257B" w:rsidRPr="006B0643">
        <w:rPr>
          <w:sz w:val="24"/>
          <w:szCs w:val="24"/>
        </w:rPr>
        <w:t>a</w:t>
      </w:r>
      <w:r w:rsidR="00AB6031" w:rsidRPr="006B0643">
        <w:rPr>
          <w:sz w:val="24"/>
          <w:szCs w:val="24"/>
        </w:rPr>
        <w:t xml:space="preserve"> „</w:t>
      </w:r>
      <w:r w:rsidR="00AB6031" w:rsidRPr="003D1A13">
        <w:rPr>
          <w:sz w:val="24"/>
          <w:szCs w:val="24"/>
        </w:rPr>
        <w:t>Míra úspěšnosti projektových žádostí</w:t>
      </w:r>
      <w:r w:rsidR="00AB6031" w:rsidRPr="006B0643">
        <w:rPr>
          <w:sz w:val="24"/>
          <w:szCs w:val="24"/>
        </w:rPr>
        <w:t>“</w:t>
      </w:r>
      <w:r w:rsidR="00903B52" w:rsidRPr="006B0643">
        <w:rPr>
          <w:sz w:val="24"/>
          <w:szCs w:val="24"/>
        </w:rPr>
        <w:t xml:space="preserve"> (pro naplnění SC </w:t>
      </w:r>
      <w:r w:rsidR="00C44558" w:rsidRPr="006B0643">
        <w:rPr>
          <w:sz w:val="24"/>
          <w:szCs w:val="24"/>
        </w:rPr>
        <w:t>5.2)</w:t>
      </w:r>
      <w:r w:rsidR="00AB6031" w:rsidRPr="006B0643">
        <w:rPr>
          <w:sz w:val="24"/>
          <w:szCs w:val="24"/>
        </w:rPr>
        <w:t xml:space="preserve">. Kromě </w:t>
      </w:r>
      <w:r w:rsidR="00C44558" w:rsidRPr="006B0643">
        <w:rPr>
          <w:sz w:val="24"/>
          <w:szCs w:val="24"/>
        </w:rPr>
        <w:t xml:space="preserve">nich </w:t>
      </w:r>
      <w:r w:rsidR="00AB6031" w:rsidRPr="006B0643">
        <w:rPr>
          <w:sz w:val="24"/>
          <w:szCs w:val="24"/>
        </w:rPr>
        <w:t xml:space="preserve">stanovilo také </w:t>
      </w:r>
      <w:r w:rsidR="00BC3A96" w:rsidRPr="006B0643">
        <w:rPr>
          <w:sz w:val="24"/>
          <w:szCs w:val="24"/>
        </w:rPr>
        <w:t>čtyř</w:t>
      </w:r>
      <w:r w:rsidR="00AB6031" w:rsidRPr="006B0643">
        <w:rPr>
          <w:sz w:val="24"/>
          <w:szCs w:val="24"/>
        </w:rPr>
        <w:t>i</w:t>
      </w:r>
      <w:r w:rsidR="00BC3A96" w:rsidRPr="006B0643">
        <w:rPr>
          <w:sz w:val="24"/>
          <w:szCs w:val="24"/>
        </w:rPr>
        <w:t xml:space="preserve"> ukazatel</w:t>
      </w:r>
      <w:r w:rsidR="00AB6031" w:rsidRPr="006B0643">
        <w:rPr>
          <w:sz w:val="24"/>
          <w:szCs w:val="24"/>
        </w:rPr>
        <w:t>e</w:t>
      </w:r>
      <w:r w:rsidR="00BC3A96" w:rsidRPr="006B0643">
        <w:rPr>
          <w:sz w:val="24"/>
          <w:szCs w:val="24"/>
        </w:rPr>
        <w:t xml:space="preserve"> </w:t>
      </w:r>
      <w:r w:rsidRPr="006B0643">
        <w:rPr>
          <w:sz w:val="24"/>
          <w:szCs w:val="24"/>
        </w:rPr>
        <w:t>výstup</w:t>
      </w:r>
      <w:r w:rsidR="00BC3A96" w:rsidRPr="006B0643">
        <w:rPr>
          <w:sz w:val="24"/>
          <w:szCs w:val="24"/>
        </w:rPr>
        <w:t xml:space="preserve">u sledující </w:t>
      </w:r>
      <w:r w:rsidR="00903B52" w:rsidRPr="006B0643">
        <w:rPr>
          <w:sz w:val="24"/>
          <w:szCs w:val="24"/>
        </w:rPr>
        <w:t>počty napsaných a</w:t>
      </w:r>
      <w:r w:rsidR="002231FA">
        <w:rPr>
          <w:sz w:val="24"/>
          <w:szCs w:val="24"/>
        </w:rPr>
        <w:t> </w:t>
      </w:r>
      <w:r w:rsidR="00BC3A96" w:rsidRPr="006B0643">
        <w:rPr>
          <w:sz w:val="24"/>
          <w:szCs w:val="24"/>
        </w:rPr>
        <w:t>zveřejněných analytických a</w:t>
      </w:r>
      <w:r w:rsidR="00883474">
        <w:rPr>
          <w:sz w:val="24"/>
          <w:szCs w:val="24"/>
        </w:rPr>
        <w:t xml:space="preserve"> </w:t>
      </w:r>
      <w:r w:rsidR="00BC3A96" w:rsidRPr="006B0643">
        <w:rPr>
          <w:sz w:val="24"/>
          <w:szCs w:val="24"/>
        </w:rPr>
        <w:t>strategických dokumentů, počty uskutečněných kontrol na místě, počty uskutečněných školení, seminářů, workshopů a konferencí a počty pracovních míst financovaných z operačního programu.</w:t>
      </w:r>
      <w:r w:rsidR="006C48DE" w:rsidRPr="006B0643">
        <w:rPr>
          <w:sz w:val="24"/>
          <w:szCs w:val="24"/>
        </w:rPr>
        <w:t xml:space="preserve"> Kompletní přehled </w:t>
      </w:r>
      <w:r w:rsidR="00C44558" w:rsidRPr="006B0643">
        <w:rPr>
          <w:sz w:val="24"/>
          <w:szCs w:val="24"/>
        </w:rPr>
        <w:t>specifických cílů</w:t>
      </w:r>
      <w:r w:rsidR="006B0643">
        <w:rPr>
          <w:sz w:val="24"/>
          <w:szCs w:val="24"/>
        </w:rPr>
        <w:t xml:space="preserve"> </w:t>
      </w:r>
      <w:r w:rsidR="002231FA">
        <w:rPr>
          <w:sz w:val="24"/>
          <w:szCs w:val="24"/>
        </w:rPr>
        <w:br/>
      </w:r>
      <w:r w:rsidR="006B0643">
        <w:rPr>
          <w:sz w:val="24"/>
          <w:szCs w:val="24"/>
        </w:rPr>
        <w:t>a</w:t>
      </w:r>
      <w:r w:rsidR="002231FA">
        <w:rPr>
          <w:sz w:val="24"/>
          <w:szCs w:val="24"/>
        </w:rPr>
        <w:t xml:space="preserve"> </w:t>
      </w:r>
      <w:r w:rsidR="00C44558" w:rsidRPr="006B0643">
        <w:rPr>
          <w:sz w:val="24"/>
          <w:szCs w:val="24"/>
        </w:rPr>
        <w:t>očekávaných konkrétních výsledků</w:t>
      </w:r>
      <w:r w:rsidR="006B0643" w:rsidRPr="006B0643">
        <w:rPr>
          <w:sz w:val="24"/>
          <w:szCs w:val="24"/>
        </w:rPr>
        <w:t xml:space="preserve"> je uveden v příloze </w:t>
      </w:r>
      <w:r w:rsidR="006B0643">
        <w:rPr>
          <w:sz w:val="24"/>
          <w:szCs w:val="24"/>
        </w:rPr>
        <w:t>č. </w:t>
      </w:r>
      <w:r w:rsidR="006B0643" w:rsidRPr="006B0643">
        <w:rPr>
          <w:sz w:val="24"/>
          <w:szCs w:val="24"/>
        </w:rPr>
        <w:t xml:space="preserve">1 a přehled </w:t>
      </w:r>
      <w:r w:rsidR="006C48DE" w:rsidRPr="006B0643">
        <w:rPr>
          <w:sz w:val="24"/>
          <w:szCs w:val="24"/>
        </w:rPr>
        <w:t xml:space="preserve">ukazatelů </w:t>
      </w:r>
      <w:r w:rsidR="00D52097">
        <w:rPr>
          <w:sz w:val="24"/>
          <w:szCs w:val="24"/>
        </w:rPr>
        <w:t>výsledku a</w:t>
      </w:r>
      <w:r w:rsidR="002231FA">
        <w:rPr>
          <w:sz w:val="24"/>
          <w:szCs w:val="24"/>
        </w:rPr>
        <w:t> </w:t>
      </w:r>
      <w:r w:rsidR="00D52097">
        <w:rPr>
          <w:sz w:val="24"/>
          <w:szCs w:val="24"/>
        </w:rPr>
        <w:t xml:space="preserve">výstupu </w:t>
      </w:r>
      <w:r w:rsidR="006C48DE" w:rsidRPr="006B0643">
        <w:rPr>
          <w:sz w:val="24"/>
          <w:szCs w:val="24"/>
        </w:rPr>
        <w:t xml:space="preserve">PO </w:t>
      </w:r>
      <w:r w:rsidR="00BC3A96" w:rsidRPr="006B0643">
        <w:rPr>
          <w:sz w:val="24"/>
          <w:szCs w:val="24"/>
        </w:rPr>
        <w:t xml:space="preserve">5 OPPIK </w:t>
      </w:r>
      <w:r w:rsidR="006B0643" w:rsidRPr="006B0643">
        <w:rPr>
          <w:sz w:val="24"/>
          <w:szCs w:val="24"/>
        </w:rPr>
        <w:t xml:space="preserve">včetně jejich </w:t>
      </w:r>
      <w:r w:rsidR="00C26873">
        <w:rPr>
          <w:sz w:val="24"/>
          <w:szCs w:val="24"/>
        </w:rPr>
        <w:t xml:space="preserve">průběžného </w:t>
      </w:r>
      <w:r w:rsidR="006B0643" w:rsidRPr="006B0643">
        <w:rPr>
          <w:sz w:val="24"/>
          <w:szCs w:val="24"/>
        </w:rPr>
        <w:t xml:space="preserve">plnění </w:t>
      </w:r>
      <w:r w:rsidR="006B0643">
        <w:rPr>
          <w:sz w:val="24"/>
          <w:szCs w:val="24"/>
        </w:rPr>
        <w:t>je uveden v příloze č. </w:t>
      </w:r>
      <w:r w:rsidR="006B0643" w:rsidRPr="006B0643">
        <w:rPr>
          <w:sz w:val="24"/>
          <w:szCs w:val="24"/>
        </w:rPr>
        <w:t>2</w:t>
      </w:r>
      <w:r w:rsidR="00BC3A96" w:rsidRPr="006B0643">
        <w:rPr>
          <w:sz w:val="24"/>
          <w:szCs w:val="24"/>
        </w:rPr>
        <w:t>.</w:t>
      </w:r>
    </w:p>
    <w:p w14:paraId="767B0FF5" w14:textId="77777777" w:rsidR="00BD3B44" w:rsidRDefault="00BD3B44" w:rsidP="00E14424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6A201466" w14:textId="77777777" w:rsidR="00E14424" w:rsidRDefault="008D78A1" w:rsidP="00883474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Ukazatele výsledku</w:t>
      </w:r>
      <w:r w:rsidR="00E14424">
        <w:rPr>
          <w:sz w:val="24"/>
          <w:szCs w:val="24"/>
        </w:rPr>
        <w:t xml:space="preserve"> mají </w:t>
      </w:r>
      <w:r w:rsidR="00E14424" w:rsidRPr="00E14424">
        <w:rPr>
          <w:sz w:val="24"/>
          <w:szCs w:val="24"/>
        </w:rPr>
        <w:t>prokaz</w:t>
      </w:r>
      <w:r w:rsidR="00E14424">
        <w:rPr>
          <w:sz w:val="24"/>
          <w:szCs w:val="24"/>
        </w:rPr>
        <w:t xml:space="preserve">ovat </w:t>
      </w:r>
      <w:r w:rsidR="00E14424" w:rsidRPr="00E14424">
        <w:rPr>
          <w:sz w:val="24"/>
          <w:szCs w:val="24"/>
        </w:rPr>
        <w:t>účinky dan</w:t>
      </w:r>
      <w:r w:rsidR="00E14424">
        <w:rPr>
          <w:sz w:val="24"/>
          <w:szCs w:val="24"/>
        </w:rPr>
        <w:t>ých</w:t>
      </w:r>
      <w:r w:rsidR="00E14424" w:rsidRPr="00E14424">
        <w:rPr>
          <w:sz w:val="24"/>
          <w:szCs w:val="24"/>
        </w:rPr>
        <w:t xml:space="preserve"> projekt</w:t>
      </w:r>
      <w:r w:rsidR="00E14424">
        <w:rPr>
          <w:sz w:val="24"/>
          <w:szCs w:val="24"/>
        </w:rPr>
        <w:t>ů</w:t>
      </w:r>
      <w:r w:rsidR="008B7C7B">
        <w:rPr>
          <w:sz w:val="24"/>
          <w:szCs w:val="24"/>
        </w:rPr>
        <w:t>,</w:t>
      </w:r>
      <w:r w:rsidR="00E14424" w:rsidRPr="00E14424">
        <w:rPr>
          <w:sz w:val="24"/>
          <w:szCs w:val="24"/>
        </w:rPr>
        <w:t xml:space="preserve"> resp. </w:t>
      </w:r>
      <w:r w:rsidR="00E14424">
        <w:rPr>
          <w:sz w:val="24"/>
          <w:szCs w:val="24"/>
        </w:rPr>
        <w:t>přínosy operačního programu</w:t>
      </w:r>
      <w:r w:rsidR="008B7C7B">
        <w:rPr>
          <w:sz w:val="24"/>
          <w:szCs w:val="24"/>
        </w:rPr>
        <w:t>,</w:t>
      </w:r>
      <w:r w:rsidR="00E14424">
        <w:rPr>
          <w:sz w:val="24"/>
          <w:szCs w:val="24"/>
        </w:rPr>
        <w:t xml:space="preserve"> a </w:t>
      </w:r>
      <w:r w:rsidR="00E14424" w:rsidRPr="00E14424">
        <w:rPr>
          <w:sz w:val="24"/>
          <w:szCs w:val="24"/>
        </w:rPr>
        <w:t>jsou důležitým podkladem pro řízení programu po celou dobu jeho implementace.</w:t>
      </w:r>
      <w:r w:rsidR="003C4A83">
        <w:rPr>
          <w:sz w:val="24"/>
          <w:szCs w:val="24"/>
        </w:rPr>
        <w:t xml:space="preserve"> </w:t>
      </w:r>
      <w:r w:rsidR="00FA31FC">
        <w:rPr>
          <w:sz w:val="24"/>
          <w:szCs w:val="24"/>
        </w:rPr>
        <w:t xml:space="preserve">Takovou vypovídací hodnotu ale ani jeden z nastavených ukazatelů </w:t>
      </w:r>
      <w:r w:rsidR="00FA31FC" w:rsidRPr="000C673B">
        <w:rPr>
          <w:sz w:val="24"/>
          <w:szCs w:val="24"/>
        </w:rPr>
        <w:t>výsledku</w:t>
      </w:r>
      <w:r w:rsidR="00FA31FC">
        <w:rPr>
          <w:sz w:val="24"/>
          <w:szCs w:val="24"/>
        </w:rPr>
        <w:t xml:space="preserve"> PO 5 nemá</w:t>
      </w:r>
      <w:r w:rsidR="000038BB">
        <w:rPr>
          <w:sz w:val="24"/>
          <w:szCs w:val="24"/>
        </w:rPr>
        <w:t>.</w:t>
      </w:r>
    </w:p>
    <w:p w14:paraId="6BBB8A8F" w14:textId="77777777" w:rsidR="006A4C88" w:rsidRDefault="006A4C88" w:rsidP="006A4C88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14BF734F" w14:textId="5BF4A117" w:rsidR="00BD3B44" w:rsidRPr="006D71CE" w:rsidRDefault="008D78A1" w:rsidP="000C673B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BC3A96" w:rsidRPr="006D71CE">
        <w:rPr>
          <w:sz w:val="24"/>
          <w:szCs w:val="24"/>
        </w:rPr>
        <w:t>kazatel</w:t>
      </w:r>
      <w:r>
        <w:rPr>
          <w:sz w:val="24"/>
          <w:szCs w:val="24"/>
        </w:rPr>
        <w:t xml:space="preserve"> výsledku</w:t>
      </w:r>
      <w:r w:rsidR="00BC3A96" w:rsidRPr="006D71CE">
        <w:rPr>
          <w:sz w:val="24"/>
          <w:szCs w:val="24"/>
        </w:rPr>
        <w:t xml:space="preserve"> „</w:t>
      </w:r>
      <w:r w:rsidR="00BC3A96" w:rsidRPr="00D94551">
        <w:rPr>
          <w:sz w:val="24"/>
          <w:szCs w:val="24"/>
        </w:rPr>
        <w:t>Míra stabilizace zaměstnanců implementační struktury</w:t>
      </w:r>
      <w:r w:rsidR="00BC3A96" w:rsidRPr="006D71CE">
        <w:rPr>
          <w:sz w:val="24"/>
          <w:szCs w:val="24"/>
        </w:rPr>
        <w:t xml:space="preserve">“ </w:t>
      </w:r>
      <w:r w:rsidR="004B52A7">
        <w:rPr>
          <w:sz w:val="24"/>
          <w:szCs w:val="24"/>
        </w:rPr>
        <w:t>(s výchozí hodnotou 53</w:t>
      </w:r>
      <w:r w:rsidR="00065EA4">
        <w:rPr>
          <w:sz w:val="24"/>
          <w:szCs w:val="24"/>
        </w:rPr>
        <w:t> </w:t>
      </w:r>
      <w:r w:rsidR="004B52A7">
        <w:rPr>
          <w:sz w:val="24"/>
          <w:szCs w:val="24"/>
        </w:rPr>
        <w:t xml:space="preserve">% a cílem </w:t>
      </w:r>
      <w:r w:rsidR="00065EA4">
        <w:rPr>
          <w:sz w:val="24"/>
          <w:szCs w:val="24"/>
        </w:rPr>
        <w:t>na konci programového období 65 </w:t>
      </w:r>
      <w:r w:rsidR="004B52A7">
        <w:rPr>
          <w:sz w:val="24"/>
          <w:szCs w:val="24"/>
        </w:rPr>
        <w:t xml:space="preserve">%) </w:t>
      </w:r>
      <w:r w:rsidR="009E1132" w:rsidRPr="006D71CE">
        <w:rPr>
          <w:sz w:val="24"/>
          <w:szCs w:val="24"/>
        </w:rPr>
        <w:t xml:space="preserve">stanovilo MPO </w:t>
      </w:r>
      <w:r w:rsidR="00E14424" w:rsidRPr="006D71CE">
        <w:rPr>
          <w:sz w:val="24"/>
          <w:szCs w:val="24"/>
        </w:rPr>
        <w:t>pouze jako podíl počtu zaměstnanců podílejí</w:t>
      </w:r>
      <w:r w:rsidR="009E1132" w:rsidRPr="006D71CE">
        <w:rPr>
          <w:sz w:val="24"/>
          <w:szCs w:val="24"/>
        </w:rPr>
        <w:t>cích se na implementaci OPPIK s </w:t>
      </w:r>
      <w:r w:rsidR="00E14424" w:rsidRPr="006D71CE">
        <w:rPr>
          <w:sz w:val="24"/>
          <w:szCs w:val="24"/>
        </w:rPr>
        <w:t>délkou trvání zaměstnanecké</w:t>
      </w:r>
      <w:r w:rsidR="000C291C">
        <w:rPr>
          <w:sz w:val="24"/>
          <w:szCs w:val="24"/>
        </w:rPr>
        <w:t xml:space="preserve">ho poměru delší než tři roky </w:t>
      </w:r>
      <w:r w:rsidR="008B7C7B">
        <w:rPr>
          <w:sz w:val="24"/>
          <w:szCs w:val="24"/>
        </w:rPr>
        <w:t>na</w:t>
      </w:r>
      <w:r w:rsidR="00E14424" w:rsidRPr="006D71CE">
        <w:rPr>
          <w:sz w:val="24"/>
          <w:szCs w:val="24"/>
        </w:rPr>
        <w:t xml:space="preserve"> počtu všech zaměstnanců podílejících se na implementaci OPPIK</w:t>
      </w:r>
      <w:r w:rsidR="006D22A3" w:rsidRPr="006D71CE">
        <w:rPr>
          <w:sz w:val="24"/>
          <w:szCs w:val="24"/>
        </w:rPr>
        <w:t xml:space="preserve">. Tento ukazatel </w:t>
      </w:r>
      <w:r w:rsidR="004F5DDD" w:rsidRPr="006D71CE">
        <w:rPr>
          <w:sz w:val="24"/>
          <w:szCs w:val="24"/>
        </w:rPr>
        <w:t>m</w:t>
      </w:r>
      <w:r w:rsidR="00393C64" w:rsidRPr="006D71CE">
        <w:rPr>
          <w:sz w:val="24"/>
          <w:szCs w:val="24"/>
        </w:rPr>
        <w:t xml:space="preserve">á </w:t>
      </w:r>
      <w:r w:rsidR="00843975">
        <w:rPr>
          <w:sz w:val="24"/>
          <w:szCs w:val="24"/>
        </w:rPr>
        <w:t xml:space="preserve">tak </w:t>
      </w:r>
      <w:r w:rsidR="004B52A7">
        <w:rPr>
          <w:sz w:val="24"/>
          <w:szCs w:val="24"/>
        </w:rPr>
        <w:t xml:space="preserve">jen omezenou </w:t>
      </w:r>
      <w:r w:rsidR="00E14424" w:rsidRPr="006D71CE">
        <w:rPr>
          <w:sz w:val="24"/>
          <w:szCs w:val="24"/>
        </w:rPr>
        <w:t xml:space="preserve">vypovídací schopnost </w:t>
      </w:r>
      <w:r w:rsidR="00262D7C" w:rsidRPr="006D71CE">
        <w:rPr>
          <w:sz w:val="24"/>
          <w:szCs w:val="24"/>
        </w:rPr>
        <w:t>o </w:t>
      </w:r>
      <w:r w:rsidR="004F5DDD" w:rsidRPr="006D71CE">
        <w:rPr>
          <w:sz w:val="24"/>
          <w:szCs w:val="24"/>
        </w:rPr>
        <w:t xml:space="preserve">zajištění </w:t>
      </w:r>
      <w:r w:rsidR="00E14424" w:rsidRPr="006D71CE">
        <w:rPr>
          <w:sz w:val="24"/>
          <w:szCs w:val="24"/>
        </w:rPr>
        <w:t>efektivit</w:t>
      </w:r>
      <w:r w:rsidR="004F5DDD" w:rsidRPr="006D71CE">
        <w:rPr>
          <w:sz w:val="24"/>
          <w:szCs w:val="24"/>
        </w:rPr>
        <w:t>y</w:t>
      </w:r>
      <w:r w:rsidR="00E14424" w:rsidRPr="006D71CE">
        <w:rPr>
          <w:sz w:val="24"/>
          <w:szCs w:val="24"/>
        </w:rPr>
        <w:t xml:space="preserve"> implementační struktury OPPIK</w:t>
      </w:r>
      <w:r w:rsidR="004B52A7">
        <w:rPr>
          <w:sz w:val="24"/>
          <w:szCs w:val="24"/>
        </w:rPr>
        <w:t xml:space="preserve">, resp. vyjadřuje </w:t>
      </w:r>
      <w:r w:rsidR="00843975">
        <w:rPr>
          <w:sz w:val="24"/>
          <w:szCs w:val="24"/>
        </w:rPr>
        <w:t xml:space="preserve">nanejvýš </w:t>
      </w:r>
      <w:r w:rsidR="004B52A7">
        <w:rPr>
          <w:sz w:val="24"/>
          <w:szCs w:val="24"/>
        </w:rPr>
        <w:t xml:space="preserve">jeden z předpokladů efektivní implementace </w:t>
      </w:r>
      <w:r w:rsidR="0029605F">
        <w:rPr>
          <w:sz w:val="24"/>
          <w:szCs w:val="24"/>
        </w:rPr>
        <w:t>operačního programu</w:t>
      </w:r>
      <w:r w:rsidR="004B52A7" w:rsidRPr="000C673B">
        <w:rPr>
          <w:vertAlign w:val="superscript"/>
        </w:rPr>
        <w:footnoteReference w:id="12"/>
      </w:r>
      <w:r w:rsidR="00E14424" w:rsidRPr="006D71CE">
        <w:rPr>
          <w:sz w:val="24"/>
          <w:szCs w:val="24"/>
        </w:rPr>
        <w:t xml:space="preserve"> a nelze jej </w:t>
      </w:r>
      <w:r w:rsidR="006D71CE" w:rsidRPr="006D71CE">
        <w:rPr>
          <w:sz w:val="24"/>
          <w:szCs w:val="24"/>
        </w:rPr>
        <w:t xml:space="preserve">plně </w:t>
      </w:r>
      <w:r w:rsidR="00E14424" w:rsidRPr="006D71CE">
        <w:rPr>
          <w:sz w:val="24"/>
          <w:szCs w:val="24"/>
        </w:rPr>
        <w:t>využít k hodnocení naplnění specifického cíle 5.1 PO 5 OPPIK</w:t>
      </w:r>
      <w:r w:rsidR="004B52A7">
        <w:rPr>
          <w:sz w:val="24"/>
          <w:szCs w:val="24"/>
        </w:rPr>
        <w:t>, k němuž byl přiřazen</w:t>
      </w:r>
      <w:r w:rsidR="00E14424" w:rsidRPr="006D71CE">
        <w:rPr>
          <w:sz w:val="24"/>
          <w:szCs w:val="24"/>
        </w:rPr>
        <w:t>.</w:t>
      </w:r>
    </w:p>
    <w:p w14:paraId="0FB74BC9" w14:textId="77777777" w:rsidR="00BD3B44" w:rsidRPr="00BD3B44" w:rsidRDefault="00BD3B44" w:rsidP="00BD3B44">
      <w:pPr>
        <w:pStyle w:val="Odstavecseseznamem"/>
        <w:tabs>
          <w:tab w:val="left" w:pos="567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</w:p>
    <w:p w14:paraId="05E30656" w14:textId="2CF2B00B" w:rsidR="00BD3B44" w:rsidRDefault="004B52A7" w:rsidP="000C673B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Obdobné je to i v případě u</w:t>
      </w:r>
      <w:r w:rsidR="008D78A1">
        <w:rPr>
          <w:sz w:val="24"/>
          <w:szCs w:val="24"/>
        </w:rPr>
        <w:t>kazatel</w:t>
      </w:r>
      <w:r>
        <w:rPr>
          <w:sz w:val="24"/>
          <w:szCs w:val="24"/>
        </w:rPr>
        <w:t>e</w:t>
      </w:r>
      <w:r w:rsidR="008D78A1">
        <w:rPr>
          <w:sz w:val="24"/>
          <w:szCs w:val="24"/>
        </w:rPr>
        <w:t xml:space="preserve"> výsledku</w:t>
      </w:r>
      <w:r w:rsidR="00262D7C">
        <w:rPr>
          <w:sz w:val="24"/>
          <w:szCs w:val="24"/>
        </w:rPr>
        <w:t xml:space="preserve"> </w:t>
      </w:r>
      <w:r w:rsidR="00262D7C" w:rsidRPr="00262D7C">
        <w:rPr>
          <w:sz w:val="24"/>
          <w:szCs w:val="24"/>
        </w:rPr>
        <w:t>„</w:t>
      </w:r>
      <w:r w:rsidR="00262D7C" w:rsidRPr="00D94551">
        <w:rPr>
          <w:sz w:val="24"/>
          <w:szCs w:val="24"/>
        </w:rPr>
        <w:t>Míra úspěšnosti projektových žádostí</w:t>
      </w:r>
      <w:r w:rsidR="00262D7C">
        <w:rPr>
          <w:sz w:val="24"/>
          <w:szCs w:val="24"/>
        </w:rPr>
        <w:t xml:space="preserve">“ </w:t>
      </w:r>
      <w:r>
        <w:rPr>
          <w:sz w:val="24"/>
          <w:szCs w:val="24"/>
        </w:rPr>
        <w:t>(s</w:t>
      </w:r>
      <w:r w:rsidR="008B7C7B">
        <w:rPr>
          <w:sz w:val="24"/>
          <w:szCs w:val="24"/>
        </w:rPr>
        <w:t> </w:t>
      </w:r>
      <w:r>
        <w:rPr>
          <w:sz w:val="24"/>
          <w:szCs w:val="24"/>
        </w:rPr>
        <w:t>počáteční hodnotou 94,37</w:t>
      </w:r>
      <w:r w:rsidR="00065EA4">
        <w:rPr>
          <w:sz w:val="24"/>
          <w:szCs w:val="24"/>
        </w:rPr>
        <w:t> </w:t>
      </w:r>
      <w:r>
        <w:rPr>
          <w:sz w:val="24"/>
          <w:szCs w:val="24"/>
        </w:rPr>
        <w:t xml:space="preserve">% a cílem na </w:t>
      </w:r>
      <w:r w:rsidR="00065EA4">
        <w:rPr>
          <w:sz w:val="24"/>
          <w:szCs w:val="24"/>
        </w:rPr>
        <w:t>konci programového období 95,00 </w:t>
      </w:r>
      <w:r>
        <w:rPr>
          <w:sz w:val="24"/>
          <w:szCs w:val="24"/>
        </w:rPr>
        <w:t xml:space="preserve">%). I ten </w:t>
      </w:r>
      <w:r w:rsidR="00262D7C">
        <w:rPr>
          <w:sz w:val="24"/>
          <w:szCs w:val="24"/>
        </w:rPr>
        <w:t xml:space="preserve">má pouze dílčí </w:t>
      </w:r>
      <w:r w:rsidR="000C291C">
        <w:rPr>
          <w:sz w:val="24"/>
          <w:szCs w:val="24"/>
        </w:rPr>
        <w:t xml:space="preserve">a omezenou </w:t>
      </w:r>
      <w:r w:rsidR="00262D7C">
        <w:rPr>
          <w:sz w:val="24"/>
          <w:szCs w:val="24"/>
        </w:rPr>
        <w:t xml:space="preserve">vypovídací schopnost o naplnění specifického cíle 5.2 PO 5 OPPIK, </w:t>
      </w:r>
      <w:r w:rsidR="000C291C">
        <w:rPr>
          <w:sz w:val="24"/>
          <w:szCs w:val="24"/>
        </w:rPr>
        <w:t xml:space="preserve">týkajícího se publicity, informovanosti a absorpční kapacity operačního programu, </w:t>
      </w:r>
      <w:r w:rsidR="00262D7C">
        <w:rPr>
          <w:sz w:val="24"/>
          <w:szCs w:val="24"/>
        </w:rPr>
        <w:t xml:space="preserve">neboť vyjadřuje </w:t>
      </w:r>
      <w:r w:rsidR="000C291C">
        <w:rPr>
          <w:sz w:val="24"/>
          <w:szCs w:val="24"/>
        </w:rPr>
        <w:t xml:space="preserve">pouze </w:t>
      </w:r>
      <w:r w:rsidR="00262D7C">
        <w:rPr>
          <w:sz w:val="24"/>
          <w:szCs w:val="24"/>
        </w:rPr>
        <w:t>úspěšnost projektových žádostí, které prošl</w:t>
      </w:r>
      <w:r>
        <w:rPr>
          <w:sz w:val="24"/>
          <w:szCs w:val="24"/>
        </w:rPr>
        <w:t>y</w:t>
      </w:r>
      <w:r w:rsidR="00262D7C">
        <w:rPr>
          <w:sz w:val="24"/>
          <w:szCs w:val="24"/>
        </w:rPr>
        <w:t xml:space="preserve"> formálním hodnocením</w:t>
      </w:r>
      <w:r w:rsidR="009B4354">
        <w:rPr>
          <w:sz w:val="24"/>
          <w:szCs w:val="24"/>
        </w:rPr>
        <w:t xml:space="preserve"> (tedy ještě ani ne věcným hodnocením, na </w:t>
      </w:r>
      <w:r w:rsidR="00CA11B8">
        <w:rPr>
          <w:sz w:val="24"/>
          <w:szCs w:val="24"/>
        </w:rPr>
        <w:t xml:space="preserve">jehož </w:t>
      </w:r>
      <w:r w:rsidR="009B4354">
        <w:rPr>
          <w:sz w:val="24"/>
          <w:szCs w:val="24"/>
        </w:rPr>
        <w:t xml:space="preserve">základě jsou </w:t>
      </w:r>
      <w:r w:rsidR="00CA11B8">
        <w:rPr>
          <w:sz w:val="24"/>
          <w:szCs w:val="24"/>
        </w:rPr>
        <w:t xml:space="preserve">teprve </w:t>
      </w:r>
      <w:r w:rsidR="009B4354">
        <w:rPr>
          <w:sz w:val="24"/>
          <w:szCs w:val="24"/>
        </w:rPr>
        <w:t>vybrány projekty k podpoře)</w:t>
      </w:r>
      <w:r w:rsidR="00262D7C">
        <w:rPr>
          <w:sz w:val="24"/>
          <w:szCs w:val="24"/>
        </w:rPr>
        <w:t>.</w:t>
      </w:r>
    </w:p>
    <w:p w14:paraId="7176BA13" w14:textId="77777777" w:rsidR="00E669B2" w:rsidRDefault="00E669B2" w:rsidP="00E669B2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72CD6AE1" w14:textId="77777777" w:rsidR="008B01BF" w:rsidRPr="000C673B" w:rsidRDefault="009B4354" w:rsidP="000C673B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8B01BF">
        <w:rPr>
          <w:sz w:val="24"/>
          <w:szCs w:val="24"/>
        </w:rPr>
        <w:t>Tento informační deficit samozřejmě nemohou nahradit u</w:t>
      </w:r>
      <w:r w:rsidR="00262D7C" w:rsidRPr="008B01BF">
        <w:rPr>
          <w:sz w:val="24"/>
          <w:szCs w:val="24"/>
        </w:rPr>
        <w:t xml:space="preserve">kazatele </w:t>
      </w:r>
      <w:r w:rsidR="00262D7C" w:rsidRPr="000C673B">
        <w:rPr>
          <w:sz w:val="24"/>
          <w:szCs w:val="24"/>
        </w:rPr>
        <w:t>výstupu</w:t>
      </w:r>
      <w:r w:rsidRPr="008B01BF">
        <w:rPr>
          <w:sz w:val="24"/>
          <w:szCs w:val="24"/>
        </w:rPr>
        <w:t>, jež byly dle své logiky</w:t>
      </w:r>
      <w:r w:rsidR="00262D7C" w:rsidRPr="008B01BF">
        <w:rPr>
          <w:sz w:val="24"/>
          <w:szCs w:val="24"/>
        </w:rPr>
        <w:t xml:space="preserve"> </w:t>
      </w:r>
      <w:r w:rsidR="008E38BA" w:rsidRPr="008B01BF">
        <w:rPr>
          <w:sz w:val="24"/>
          <w:szCs w:val="24"/>
        </w:rPr>
        <w:t>nastaveny pouze jako počty</w:t>
      </w:r>
      <w:r w:rsidRPr="008B01BF">
        <w:rPr>
          <w:sz w:val="24"/>
          <w:szCs w:val="24"/>
        </w:rPr>
        <w:t xml:space="preserve"> </w:t>
      </w:r>
      <w:r w:rsidR="00843975" w:rsidRPr="008B01BF">
        <w:rPr>
          <w:sz w:val="24"/>
          <w:szCs w:val="24"/>
        </w:rPr>
        <w:t xml:space="preserve">zpracovaných </w:t>
      </w:r>
      <w:r w:rsidRPr="008B01BF">
        <w:rPr>
          <w:sz w:val="24"/>
          <w:szCs w:val="24"/>
        </w:rPr>
        <w:t>dokument</w:t>
      </w:r>
      <w:r w:rsidR="00843975" w:rsidRPr="008B01BF">
        <w:rPr>
          <w:sz w:val="24"/>
          <w:szCs w:val="24"/>
        </w:rPr>
        <w:t>ů</w:t>
      </w:r>
      <w:r w:rsidRPr="008B01BF">
        <w:rPr>
          <w:sz w:val="24"/>
          <w:szCs w:val="24"/>
        </w:rPr>
        <w:t xml:space="preserve">, </w:t>
      </w:r>
      <w:r w:rsidR="00843975" w:rsidRPr="008B01BF">
        <w:rPr>
          <w:sz w:val="24"/>
          <w:szCs w:val="24"/>
        </w:rPr>
        <w:t xml:space="preserve">realizovaných </w:t>
      </w:r>
      <w:r w:rsidRPr="008B01BF">
        <w:rPr>
          <w:sz w:val="24"/>
          <w:szCs w:val="24"/>
        </w:rPr>
        <w:t>aktivit apod.</w:t>
      </w:r>
      <w:r w:rsidR="008E38BA" w:rsidRPr="008B01BF">
        <w:rPr>
          <w:sz w:val="24"/>
          <w:szCs w:val="24"/>
        </w:rPr>
        <w:t xml:space="preserve"> </w:t>
      </w:r>
      <w:r w:rsidRPr="008B01BF">
        <w:rPr>
          <w:sz w:val="24"/>
          <w:szCs w:val="24"/>
        </w:rPr>
        <w:t>D</w:t>
      </w:r>
      <w:r w:rsidR="00262D7C" w:rsidRPr="008B01BF">
        <w:rPr>
          <w:sz w:val="24"/>
          <w:szCs w:val="24"/>
        </w:rPr>
        <w:t xml:space="preserve">osažení jejich cílových hodnot </w:t>
      </w:r>
      <w:r w:rsidRPr="008B01BF">
        <w:rPr>
          <w:sz w:val="24"/>
          <w:szCs w:val="24"/>
        </w:rPr>
        <w:t xml:space="preserve">navíc </w:t>
      </w:r>
      <w:r w:rsidR="00262D7C" w:rsidRPr="008B01BF">
        <w:rPr>
          <w:sz w:val="24"/>
          <w:szCs w:val="24"/>
        </w:rPr>
        <w:t>stanovilo MPO jako nepovinné.</w:t>
      </w:r>
    </w:p>
    <w:p w14:paraId="4D8A1CDE" w14:textId="77777777" w:rsidR="008B01BF" w:rsidRPr="008B01BF" w:rsidRDefault="008B01BF" w:rsidP="008B01BF">
      <w:pPr>
        <w:pStyle w:val="Odstavecseseznamem"/>
        <w:spacing w:after="0" w:line="280" w:lineRule="atLeast"/>
        <w:ind w:left="0"/>
        <w:jc w:val="both"/>
        <w:rPr>
          <w:b/>
          <w:sz w:val="24"/>
          <w:szCs w:val="24"/>
        </w:rPr>
      </w:pPr>
    </w:p>
    <w:p w14:paraId="4682567A" w14:textId="77777777" w:rsidR="0046363D" w:rsidRPr="006A4C88" w:rsidRDefault="0046363D" w:rsidP="008B01BF">
      <w:pPr>
        <w:pStyle w:val="Odstavecseseznamem"/>
        <w:spacing w:after="0" w:line="280" w:lineRule="atLeast"/>
        <w:ind w:left="0"/>
        <w:jc w:val="both"/>
        <w:rPr>
          <w:b/>
          <w:i/>
          <w:color w:val="FF0000"/>
          <w:sz w:val="24"/>
          <w:szCs w:val="24"/>
        </w:rPr>
      </w:pPr>
      <w:r w:rsidRPr="006A4C88">
        <w:rPr>
          <w:rFonts w:cstheme="minorHAnsi"/>
          <w:b/>
          <w:i/>
          <w:color w:val="FF0000"/>
          <w:sz w:val="24"/>
          <w:szCs w:val="24"/>
        </w:rPr>
        <w:t>→ Cílové hodnoty některých ukazatelů nebyly stanoveny průkazně, řadu ukazatelů se nedaří průběžně plnit</w:t>
      </w:r>
      <w:r w:rsidR="009B03F1" w:rsidRPr="006A4C88">
        <w:rPr>
          <w:rFonts w:cstheme="minorHAnsi"/>
          <w:b/>
          <w:i/>
          <w:color w:val="FF0000"/>
          <w:sz w:val="24"/>
          <w:szCs w:val="24"/>
        </w:rPr>
        <w:t>.</w:t>
      </w:r>
    </w:p>
    <w:p w14:paraId="113C5A65" w14:textId="77777777" w:rsidR="0046363D" w:rsidRPr="00757199" w:rsidRDefault="0046363D" w:rsidP="008C65A4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53648086" w14:textId="1B0E8E3B" w:rsidR="003C4A83" w:rsidRDefault="0046363D" w:rsidP="000C673B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NKÚ dále zjišťoval, zda MPO stanovilo </w:t>
      </w:r>
      <w:r w:rsidR="00262D7C" w:rsidRPr="00056B78">
        <w:rPr>
          <w:sz w:val="24"/>
          <w:szCs w:val="24"/>
        </w:rPr>
        <w:t>cílov</w:t>
      </w:r>
      <w:r w:rsidR="003C4A83" w:rsidRPr="00056B78">
        <w:rPr>
          <w:sz w:val="24"/>
          <w:szCs w:val="24"/>
        </w:rPr>
        <w:t>é</w:t>
      </w:r>
      <w:r w:rsidR="00262D7C" w:rsidRPr="00056B78">
        <w:rPr>
          <w:sz w:val="24"/>
          <w:szCs w:val="24"/>
        </w:rPr>
        <w:t xml:space="preserve"> hodnot</w:t>
      </w:r>
      <w:r w:rsidR="003C4A83" w:rsidRPr="00056B78">
        <w:rPr>
          <w:sz w:val="24"/>
          <w:szCs w:val="24"/>
        </w:rPr>
        <w:t>y ukazatelů výsledku a výstupu</w:t>
      </w:r>
      <w:r>
        <w:rPr>
          <w:sz w:val="24"/>
          <w:szCs w:val="24"/>
        </w:rPr>
        <w:t xml:space="preserve"> průkazně, tedy na základě validních analýz</w:t>
      </w:r>
      <w:r w:rsidR="008B7C7B">
        <w:rPr>
          <w:sz w:val="24"/>
          <w:szCs w:val="24"/>
        </w:rPr>
        <w:t>,</w:t>
      </w:r>
      <w:r>
        <w:rPr>
          <w:sz w:val="24"/>
          <w:szCs w:val="24"/>
        </w:rPr>
        <w:t xml:space="preserve"> a</w:t>
      </w:r>
      <w:r w:rsidR="00CF6090">
        <w:rPr>
          <w:sz w:val="24"/>
          <w:szCs w:val="24"/>
        </w:rPr>
        <w:t xml:space="preserve"> s</w:t>
      </w:r>
      <w:r>
        <w:rPr>
          <w:sz w:val="24"/>
          <w:szCs w:val="24"/>
        </w:rPr>
        <w:t xml:space="preserve"> jasnou vazbou n</w:t>
      </w:r>
      <w:r w:rsidR="0029605F">
        <w:rPr>
          <w:sz w:val="24"/>
          <w:szCs w:val="24"/>
        </w:rPr>
        <w:t xml:space="preserve">a naplnění specifických cílů </w:t>
      </w:r>
      <w:r w:rsidR="0029605F">
        <w:rPr>
          <w:sz w:val="24"/>
          <w:szCs w:val="24"/>
        </w:rPr>
        <w:lastRenderedPageBreak/>
        <w:t>PO </w:t>
      </w:r>
      <w:r>
        <w:rPr>
          <w:sz w:val="24"/>
          <w:szCs w:val="24"/>
        </w:rPr>
        <w:t>5. Přitom také posuzoval, jak se daří průběžně naplňovat stanovené ukazatele</w:t>
      </w:r>
      <w:r w:rsidR="002231FA">
        <w:rPr>
          <w:sz w:val="24"/>
          <w:szCs w:val="24"/>
        </w:rPr>
        <w:t>,</w:t>
      </w:r>
      <w:r>
        <w:rPr>
          <w:sz w:val="24"/>
          <w:szCs w:val="24"/>
        </w:rPr>
        <w:t xml:space="preserve"> a zda je tedy předpoklad jejich splněn</w:t>
      </w:r>
      <w:r w:rsidR="000C673B">
        <w:rPr>
          <w:sz w:val="24"/>
          <w:szCs w:val="24"/>
        </w:rPr>
        <w:t>í na konci programového období.</w:t>
      </w:r>
    </w:p>
    <w:p w14:paraId="51A3787C" w14:textId="77777777" w:rsidR="00EC177B" w:rsidRPr="00EC177B" w:rsidRDefault="00EC177B" w:rsidP="00EC177B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075204CB" w14:textId="2B51C17D" w:rsidR="00056B78" w:rsidRDefault="00CF6090" w:rsidP="000C673B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Pokud jde o ukazatel výsledku </w:t>
      </w:r>
      <w:r w:rsidR="00056B78" w:rsidRPr="00056B78">
        <w:rPr>
          <w:sz w:val="24"/>
          <w:szCs w:val="24"/>
        </w:rPr>
        <w:t>„</w:t>
      </w:r>
      <w:r w:rsidR="00056B78" w:rsidRPr="00D94551">
        <w:rPr>
          <w:sz w:val="24"/>
          <w:szCs w:val="24"/>
        </w:rPr>
        <w:t>Míra stabilizace zaměstnanců implementační struktury</w:t>
      </w:r>
      <w:r w:rsidR="00056B78" w:rsidRPr="00056B78">
        <w:rPr>
          <w:sz w:val="24"/>
          <w:szCs w:val="24"/>
        </w:rPr>
        <w:t xml:space="preserve">“, </w:t>
      </w:r>
      <w:r>
        <w:rPr>
          <w:sz w:val="24"/>
          <w:szCs w:val="24"/>
        </w:rPr>
        <w:t>MPO nedoložilo, jak došlo ke stanovení cílové hodnoty 65</w:t>
      </w:r>
      <w:r w:rsidR="000C673B">
        <w:rPr>
          <w:sz w:val="24"/>
          <w:szCs w:val="24"/>
        </w:rPr>
        <w:t> </w:t>
      </w:r>
      <w:r>
        <w:rPr>
          <w:sz w:val="24"/>
          <w:szCs w:val="24"/>
        </w:rPr>
        <w:t xml:space="preserve">%. Za významně závažnější však NKÚ považuje skutečnost, že </w:t>
      </w:r>
      <w:r w:rsidR="00447D63">
        <w:rPr>
          <w:sz w:val="24"/>
          <w:szCs w:val="24"/>
        </w:rPr>
        <w:t xml:space="preserve">dosažená </w:t>
      </w:r>
      <w:r w:rsidR="00056B78" w:rsidRPr="00056B78">
        <w:rPr>
          <w:sz w:val="24"/>
          <w:szCs w:val="24"/>
        </w:rPr>
        <w:t xml:space="preserve">hodnota tohoto ukazatele </w:t>
      </w:r>
      <w:r w:rsidR="00843975">
        <w:rPr>
          <w:sz w:val="24"/>
          <w:szCs w:val="24"/>
        </w:rPr>
        <w:t xml:space="preserve">byla </w:t>
      </w:r>
      <w:r w:rsidR="00056B78" w:rsidRPr="00056B78">
        <w:rPr>
          <w:sz w:val="24"/>
          <w:szCs w:val="24"/>
        </w:rPr>
        <w:t>na konc</w:t>
      </w:r>
      <w:r w:rsidR="008B7C7B">
        <w:rPr>
          <w:sz w:val="24"/>
          <w:szCs w:val="24"/>
        </w:rPr>
        <w:t>ích</w:t>
      </w:r>
      <w:r w:rsidR="00056B78" w:rsidRPr="00056B78">
        <w:rPr>
          <w:sz w:val="24"/>
          <w:szCs w:val="24"/>
        </w:rPr>
        <w:t xml:space="preserve"> rok</w:t>
      </w:r>
      <w:r>
        <w:rPr>
          <w:sz w:val="24"/>
          <w:szCs w:val="24"/>
        </w:rPr>
        <w:t>ů</w:t>
      </w:r>
      <w:r w:rsidR="00056B78" w:rsidRPr="00056B78">
        <w:rPr>
          <w:sz w:val="24"/>
          <w:szCs w:val="24"/>
        </w:rPr>
        <w:t xml:space="preserve"> 2016 a 2017 </w:t>
      </w:r>
      <w:r>
        <w:rPr>
          <w:sz w:val="24"/>
          <w:szCs w:val="24"/>
        </w:rPr>
        <w:t xml:space="preserve">nejen velmi vzdálena tomuto cíli, ale byla dokonce i </w:t>
      </w:r>
      <w:r w:rsidR="00056B78" w:rsidRPr="00056B78">
        <w:rPr>
          <w:sz w:val="24"/>
          <w:szCs w:val="24"/>
        </w:rPr>
        <w:t>pod výchozí hodnotou stanovenou před začátkem programového období</w:t>
      </w:r>
      <w:r>
        <w:rPr>
          <w:sz w:val="24"/>
          <w:szCs w:val="24"/>
        </w:rPr>
        <w:t xml:space="preserve"> v roce 2014</w:t>
      </w:r>
      <w:r w:rsidR="00AF6971">
        <w:rPr>
          <w:sz w:val="24"/>
          <w:szCs w:val="24"/>
        </w:rPr>
        <w:t xml:space="preserve"> (53 %)</w:t>
      </w:r>
      <w:r w:rsidR="00056B78" w:rsidRPr="00056B78">
        <w:rPr>
          <w:sz w:val="24"/>
          <w:szCs w:val="24"/>
        </w:rPr>
        <w:t xml:space="preserve">. </w:t>
      </w:r>
      <w:r w:rsidR="00EC177B" w:rsidRPr="00EC177B">
        <w:rPr>
          <w:sz w:val="24"/>
          <w:szCs w:val="24"/>
        </w:rPr>
        <w:t>Na konci roku 2018</w:t>
      </w:r>
      <w:r w:rsidR="00EC177B">
        <w:rPr>
          <w:sz w:val="24"/>
          <w:szCs w:val="24"/>
        </w:rPr>
        <w:t xml:space="preserve"> </w:t>
      </w:r>
      <w:r w:rsidR="00EC177B" w:rsidRPr="00EC177B">
        <w:rPr>
          <w:sz w:val="24"/>
          <w:szCs w:val="24"/>
        </w:rPr>
        <w:t>již hodnota tohoto ukazatele vzrostla nad výchozí hodnotu,</w:t>
      </w:r>
      <w:r w:rsidR="00AF6971">
        <w:rPr>
          <w:sz w:val="24"/>
          <w:szCs w:val="24"/>
        </w:rPr>
        <w:t xml:space="preserve"> když dosáhla úrovně 56,53</w:t>
      </w:r>
      <w:r w:rsidR="008B7C7B">
        <w:rPr>
          <w:sz w:val="24"/>
          <w:szCs w:val="24"/>
        </w:rPr>
        <w:t> </w:t>
      </w:r>
      <w:r w:rsidR="00AF6971">
        <w:rPr>
          <w:sz w:val="24"/>
          <w:szCs w:val="24"/>
        </w:rPr>
        <w:t>%,</w:t>
      </w:r>
      <w:r w:rsidR="00EC177B" w:rsidRPr="00EC177B">
        <w:rPr>
          <w:sz w:val="24"/>
          <w:szCs w:val="24"/>
        </w:rPr>
        <w:t xml:space="preserve"> </w:t>
      </w:r>
      <w:r w:rsidR="00EC177B">
        <w:rPr>
          <w:sz w:val="24"/>
          <w:szCs w:val="24"/>
        </w:rPr>
        <w:t>ale</w:t>
      </w:r>
      <w:r w:rsidR="00EC177B" w:rsidRPr="00EC177B">
        <w:rPr>
          <w:sz w:val="24"/>
          <w:szCs w:val="24"/>
        </w:rPr>
        <w:t xml:space="preserve"> zůstává nadále výrazně pod stanoven</w:t>
      </w:r>
      <w:r w:rsidR="00EC177B">
        <w:rPr>
          <w:sz w:val="24"/>
          <w:szCs w:val="24"/>
        </w:rPr>
        <w:t xml:space="preserve">ou </w:t>
      </w:r>
      <w:r w:rsidR="00EC177B" w:rsidRPr="00EC177B">
        <w:rPr>
          <w:sz w:val="24"/>
          <w:szCs w:val="24"/>
        </w:rPr>
        <w:t>cíl</w:t>
      </w:r>
      <w:r w:rsidR="00EC177B">
        <w:rPr>
          <w:sz w:val="24"/>
          <w:szCs w:val="24"/>
        </w:rPr>
        <w:t xml:space="preserve">ovou hodnotou. </w:t>
      </w:r>
      <w:r>
        <w:rPr>
          <w:sz w:val="24"/>
          <w:szCs w:val="24"/>
        </w:rPr>
        <w:t>NKÚ dále upozorňuje, že p</w:t>
      </w:r>
      <w:r w:rsidR="00056B78" w:rsidRPr="00056B78">
        <w:rPr>
          <w:sz w:val="24"/>
          <w:szCs w:val="24"/>
        </w:rPr>
        <w:t xml:space="preserve">ro zajištění úspěšné </w:t>
      </w:r>
      <w:r w:rsidR="00AC7A1F">
        <w:rPr>
          <w:sz w:val="24"/>
          <w:szCs w:val="24"/>
        </w:rPr>
        <w:t>implementace OPPIK</w:t>
      </w:r>
      <w:r w:rsidR="006930F7">
        <w:rPr>
          <w:sz w:val="24"/>
          <w:szCs w:val="24"/>
        </w:rPr>
        <w:t xml:space="preserve"> 2014</w:t>
      </w:r>
      <w:r w:rsidR="008B7C7B">
        <w:rPr>
          <w:sz w:val="24"/>
          <w:szCs w:val="24"/>
        </w:rPr>
        <w:t>–</w:t>
      </w:r>
      <w:r w:rsidR="006930F7">
        <w:rPr>
          <w:sz w:val="24"/>
          <w:szCs w:val="24"/>
        </w:rPr>
        <w:t>2020</w:t>
      </w:r>
      <w:r>
        <w:rPr>
          <w:sz w:val="24"/>
          <w:szCs w:val="24"/>
        </w:rPr>
        <w:t>, na kterou má mít zmíněný ukazatel vazbu,</w:t>
      </w:r>
      <w:r w:rsidR="00AC7A1F">
        <w:rPr>
          <w:sz w:val="24"/>
          <w:szCs w:val="24"/>
        </w:rPr>
        <w:t xml:space="preserve"> je </w:t>
      </w:r>
      <w:r>
        <w:rPr>
          <w:sz w:val="24"/>
          <w:szCs w:val="24"/>
        </w:rPr>
        <w:t xml:space="preserve">logicky </w:t>
      </w:r>
      <w:r w:rsidR="00AC7A1F">
        <w:rPr>
          <w:sz w:val="24"/>
          <w:szCs w:val="24"/>
        </w:rPr>
        <w:t xml:space="preserve">důležité </w:t>
      </w:r>
      <w:r w:rsidR="00843975">
        <w:rPr>
          <w:sz w:val="24"/>
          <w:szCs w:val="24"/>
        </w:rPr>
        <w:t xml:space="preserve">se alespoň </w:t>
      </w:r>
      <w:r w:rsidR="00AC7A1F">
        <w:rPr>
          <w:sz w:val="24"/>
          <w:szCs w:val="24"/>
        </w:rPr>
        <w:t>blížit</w:t>
      </w:r>
      <w:r w:rsidR="00843975">
        <w:rPr>
          <w:sz w:val="24"/>
          <w:szCs w:val="24"/>
        </w:rPr>
        <w:t xml:space="preserve"> kýžené</w:t>
      </w:r>
      <w:r w:rsidR="00056B78" w:rsidRPr="00056B78">
        <w:rPr>
          <w:sz w:val="24"/>
          <w:szCs w:val="24"/>
        </w:rPr>
        <w:t xml:space="preserve"> hodnot</w:t>
      </w:r>
      <w:r w:rsidR="00AC7A1F">
        <w:rPr>
          <w:sz w:val="24"/>
          <w:szCs w:val="24"/>
        </w:rPr>
        <w:t>ě</w:t>
      </w:r>
      <w:r w:rsidR="00056B78" w:rsidRPr="00056B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tohoto </w:t>
      </w:r>
      <w:r w:rsidR="00056B78" w:rsidRPr="00056B78">
        <w:rPr>
          <w:sz w:val="24"/>
          <w:szCs w:val="24"/>
        </w:rPr>
        <w:t>ukazatele v průběhu celé</w:t>
      </w:r>
      <w:r w:rsidR="00AF6971">
        <w:rPr>
          <w:sz w:val="24"/>
          <w:szCs w:val="24"/>
        </w:rPr>
        <w:t>ho programového období</w:t>
      </w:r>
      <w:r w:rsidR="008B7C7B">
        <w:rPr>
          <w:sz w:val="24"/>
          <w:szCs w:val="24"/>
        </w:rPr>
        <w:t>,</w:t>
      </w:r>
      <w:r w:rsidR="00AF6971">
        <w:rPr>
          <w:sz w:val="24"/>
          <w:szCs w:val="24"/>
        </w:rPr>
        <w:t xml:space="preserve"> a nikoliv</w:t>
      </w:r>
      <w:r w:rsidR="00FF000C">
        <w:rPr>
          <w:sz w:val="24"/>
          <w:szCs w:val="24"/>
        </w:rPr>
        <w:t xml:space="preserve"> </w:t>
      </w:r>
      <w:r w:rsidR="00056B78" w:rsidRPr="00056B78">
        <w:rPr>
          <w:sz w:val="24"/>
          <w:szCs w:val="24"/>
        </w:rPr>
        <w:t xml:space="preserve">až na jeho </w:t>
      </w:r>
      <w:r w:rsidR="006930F7">
        <w:rPr>
          <w:sz w:val="24"/>
          <w:szCs w:val="24"/>
        </w:rPr>
        <w:t xml:space="preserve">samém </w:t>
      </w:r>
      <w:r w:rsidR="00056B78" w:rsidRPr="00056B78">
        <w:rPr>
          <w:sz w:val="24"/>
          <w:szCs w:val="24"/>
        </w:rPr>
        <w:t>konci</w:t>
      </w:r>
      <w:r>
        <w:rPr>
          <w:sz w:val="24"/>
          <w:szCs w:val="24"/>
        </w:rPr>
        <w:t>, což se ale MPO nedaří</w:t>
      </w:r>
      <w:r w:rsidR="00056B78" w:rsidRPr="00056B78">
        <w:rPr>
          <w:sz w:val="24"/>
          <w:szCs w:val="24"/>
        </w:rPr>
        <w:t>.</w:t>
      </w:r>
    </w:p>
    <w:p w14:paraId="708E87C1" w14:textId="77777777" w:rsidR="00E67638" w:rsidRDefault="00E67638" w:rsidP="00E67638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26FAF72B" w14:textId="081E8734" w:rsidR="00E67638" w:rsidRPr="004B5CFC" w:rsidRDefault="00CF6090" w:rsidP="00487036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Podle sdělení MPO byla v</w:t>
      </w:r>
      <w:r w:rsidR="00E67638" w:rsidRPr="00E67638">
        <w:rPr>
          <w:sz w:val="24"/>
          <w:szCs w:val="24"/>
        </w:rPr>
        <w:t xml:space="preserve">ýchozí hodnota </w:t>
      </w:r>
      <w:r w:rsidR="00F373D3">
        <w:rPr>
          <w:sz w:val="24"/>
          <w:szCs w:val="24"/>
        </w:rPr>
        <w:t>(94,37 </w:t>
      </w:r>
      <w:r w:rsidR="00E67638">
        <w:rPr>
          <w:sz w:val="24"/>
          <w:szCs w:val="24"/>
        </w:rPr>
        <w:t xml:space="preserve">%) </w:t>
      </w:r>
      <w:r>
        <w:rPr>
          <w:sz w:val="24"/>
          <w:szCs w:val="24"/>
        </w:rPr>
        <w:t xml:space="preserve">druhého </w:t>
      </w:r>
      <w:r w:rsidR="00E67638" w:rsidRPr="00E67638">
        <w:rPr>
          <w:sz w:val="24"/>
          <w:szCs w:val="24"/>
        </w:rPr>
        <w:t>ukazatele výsledku</w:t>
      </w:r>
      <w:r w:rsidR="008B7C7B">
        <w:rPr>
          <w:sz w:val="24"/>
          <w:szCs w:val="24"/>
        </w:rPr>
        <w:t>,</w:t>
      </w:r>
      <w:r>
        <w:rPr>
          <w:sz w:val="24"/>
          <w:szCs w:val="24"/>
        </w:rPr>
        <w:t xml:space="preserve"> tj.</w:t>
      </w:r>
      <w:r w:rsidR="00E67638" w:rsidRPr="00E67638">
        <w:rPr>
          <w:sz w:val="24"/>
          <w:szCs w:val="24"/>
        </w:rPr>
        <w:t xml:space="preserve"> „</w:t>
      </w:r>
      <w:r w:rsidR="00E67638" w:rsidRPr="00D94551">
        <w:rPr>
          <w:sz w:val="24"/>
          <w:szCs w:val="24"/>
        </w:rPr>
        <w:t>Míra úspěšnosti projektových žádostí</w:t>
      </w:r>
      <w:r w:rsidR="00E67638">
        <w:rPr>
          <w:sz w:val="24"/>
          <w:szCs w:val="24"/>
        </w:rPr>
        <w:t>“</w:t>
      </w:r>
      <w:r w:rsidR="008B7C7B">
        <w:rPr>
          <w:sz w:val="24"/>
          <w:szCs w:val="24"/>
        </w:rPr>
        <w:t>,</w:t>
      </w:r>
      <w:r w:rsidR="00E67638">
        <w:rPr>
          <w:sz w:val="24"/>
          <w:szCs w:val="24"/>
        </w:rPr>
        <w:t xml:space="preserve"> stanovena na základě </w:t>
      </w:r>
      <w:r w:rsidR="00891F3A">
        <w:rPr>
          <w:sz w:val="24"/>
          <w:szCs w:val="24"/>
        </w:rPr>
        <w:t xml:space="preserve">údajů z minulého programového období a </w:t>
      </w:r>
      <w:r w:rsidR="00E67638" w:rsidRPr="00E67638">
        <w:rPr>
          <w:sz w:val="24"/>
          <w:szCs w:val="24"/>
        </w:rPr>
        <w:t xml:space="preserve">cílová hodnota </w:t>
      </w:r>
      <w:r w:rsidR="00891F3A">
        <w:rPr>
          <w:sz w:val="24"/>
          <w:szCs w:val="24"/>
        </w:rPr>
        <w:t>(</w:t>
      </w:r>
      <w:r w:rsidR="00F373D3">
        <w:rPr>
          <w:sz w:val="24"/>
          <w:szCs w:val="24"/>
        </w:rPr>
        <w:t>95 </w:t>
      </w:r>
      <w:r w:rsidR="00E67638" w:rsidRPr="00E67638">
        <w:rPr>
          <w:sz w:val="24"/>
          <w:szCs w:val="24"/>
        </w:rPr>
        <w:t>%</w:t>
      </w:r>
      <w:r w:rsidR="00891F3A">
        <w:rPr>
          <w:sz w:val="24"/>
          <w:szCs w:val="24"/>
        </w:rPr>
        <w:t>) byla stanovena na základě odhadu.</w:t>
      </w:r>
      <w:r w:rsidR="000C673B">
        <w:rPr>
          <w:sz w:val="24"/>
          <w:szCs w:val="24"/>
        </w:rPr>
        <w:t xml:space="preserve"> Rozdíl mezi cílovou a</w:t>
      </w:r>
      <w:r w:rsidR="002231FA">
        <w:rPr>
          <w:sz w:val="24"/>
          <w:szCs w:val="24"/>
        </w:rPr>
        <w:t xml:space="preserve"> </w:t>
      </w:r>
      <w:r w:rsidR="00E67638" w:rsidRPr="00E67638">
        <w:rPr>
          <w:sz w:val="24"/>
          <w:szCs w:val="24"/>
        </w:rPr>
        <w:t xml:space="preserve">výchozí hodnotou </w:t>
      </w:r>
      <w:r w:rsidR="00891F3A">
        <w:rPr>
          <w:sz w:val="24"/>
          <w:szCs w:val="24"/>
        </w:rPr>
        <w:t xml:space="preserve">je </w:t>
      </w:r>
      <w:r>
        <w:rPr>
          <w:sz w:val="24"/>
          <w:szCs w:val="24"/>
        </w:rPr>
        <w:t xml:space="preserve">ale </w:t>
      </w:r>
      <w:r w:rsidR="00891F3A">
        <w:rPr>
          <w:sz w:val="24"/>
          <w:szCs w:val="24"/>
        </w:rPr>
        <w:t>nevýznamný</w:t>
      </w:r>
      <w:r>
        <w:rPr>
          <w:sz w:val="24"/>
          <w:szCs w:val="24"/>
        </w:rPr>
        <w:t xml:space="preserve"> (+0,63 %, tedy např. o šest úspěšných formálně posouzených žádostí z tisíce)</w:t>
      </w:r>
      <w:r w:rsidR="00891F3A">
        <w:rPr>
          <w:sz w:val="24"/>
          <w:szCs w:val="24"/>
        </w:rPr>
        <w:t xml:space="preserve">, spočívá </w:t>
      </w:r>
      <w:r w:rsidR="008B7C7B">
        <w:rPr>
          <w:sz w:val="24"/>
          <w:szCs w:val="24"/>
        </w:rPr>
        <w:t>více méně</w:t>
      </w:r>
      <w:r w:rsidR="00891F3A">
        <w:rPr>
          <w:sz w:val="24"/>
          <w:szCs w:val="24"/>
        </w:rPr>
        <w:t xml:space="preserve"> v </w:t>
      </w:r>
      <w:r w:rsidR="00891F3A" w:rsidRPr="00FF000C">
        <w:rPr>
          <w:sz w:val="24"/>
          <w:szCs w:val="24"/>
        </w:rPr>
        <w:t xml:space="preserve">udržení </w:t>
      </w:r>
      <w:r w:rsidR="00891F3A" w:rsidRPr="004B5CFC">
        <w:rPr>
          <w:sz w:val="24"/>
          <w:szCs w:val="24"/>
        </w:rPr>
        <w:t>stávající</w:t>
      </w:r>
      <w:r w:rsidR="008D78A1" w:rsidRPr="004B5CFC">
        <w:rPr>
          <w:sz w:val="24"/>
          <w:szCs w:val="24"/>
        </w:rPr>
        <w:t xml:space="preserve">, </w:t>
      </w:r>
      <w:r w:rsidR="008B7C7B">
        <w:rPr>
          <w:sz w:val="24"/>
          <w:szCs w:val="24"/>
        </w:rPr>
        <w:t>byť</w:t>
      </w:r>
      <w:r w:rsidR="008D78A1" w:rsidRPr="004B5CFC">
        <w:rPr>
          <w:sz w:val="24"/>
          <w:szCs w:val="24"/>
        </w:rPr>
        <w:t xml:space="preserve"> vysoké</w:t>
      </w:r>
      <w:r w:rsidR="00FF000C" w:rsidRPr="004B5CFC">
        <w:rPr>
          <w:sz w:val="24"/>
          <w:szCs w:val="24"/>
        </w:rPr>
        <w:t xml:space="preserve"> </w:t>
      </w:r>
      <w:r w:rsidR="00891F3A" w:rsidRPr="004B5CFC">
        <w:rPr>
          <w:sz w:val="24"/>
          <w:szCs w:val="24"/>
        </w:rPr>
        <w:t>míry úspěšnosti projektových žádostí, které prošl</w:t>
      </w:r>
      <w:r w:rsidR="006D22A3" w:rsidRPr="004B5CFC">
        <w:rPr>
          <w:sz w:val="24"/>
          <w:szCs w:val="24"/>
        </w:rPr>
        <w:t>y</w:t>
      </w:r>
      <w:r w:rsidR="00891F3A" w:rsidRPr="004B5CFC">
        <w:rPr>
          <w:sz w:val="24"/>
          <w:szCs w:val="24"/>
        </w:rPr>
        <w:t xml:space="preserve"> formálním hodnocením. </w:t>
      </w:r>
      <w:r w:rsidR="00A64D57">
        <w:rPr>
          <w:sz w:val="24"/>
          <w:szCs w:val="24"/>
        </w:rPr>
        <w:t xml:space="preserve">Jak je uvedeno již v odst. </w:t>
      </w:r>
      <w:r w:rsidR="00487036">
        <w:rPr>
          <w:sz w:val="24"/>
          <w:szCs w:val="24"/>
        </w:rPr>
        <w:t>4.7</w:t>
      </w:r>
      <w:r w:rsidR="00A64D57">
        <w:rPr>
          <w:sz w:val="24"/>
          <w:szCs w:val="24"/>
        </w:rPr>
        <w:t xml:space="preserve">, </w:t>
      </w:r>
      <w:r w:rsidR="00487036">
        <w:rPr>
          <w:sz w:val="24"/>
          <w:szCs w:val="24"/>
        </w:rPr>
        <w:t>t</w:t>
      </w:r>
      <w:r w:rsidR="00891F3A" w:rsidRPr="004B5CFC">
        <w:rPr>
          <w:sz w:val="24"/>
          <w:szCs w:val="24"/>
        </w:rPr>
        <w:t xml:space="preserve">ento ukazatel </w:t>
      </w:r>
      <w:r w:rsidR="00E67638" w:rsidRPr="004B5CFC">
        <w:rPr>
          <w:sz w:val="24"/>
          <w:szCs w:val="24"/>
        </w:rPr>
        <w:t xml:space="preserve">prokazuje </w:t>
      </w:r>
      <w:r w:rsidR="00FF000C" w:rsidRPr="004B5CFC">
        <w:rPr>
          <w:sz w:val="24"/>
          <w:szCs w:val="24"/>
        </w:rPr>
        <w:t xml:space="preserve">pouze </w:t>
      </w:r>
      <w:r w:rsidR="00A64D57">
        <w:rPr>
          <w:sz w:val="24"/>
          <w:szCs w:val="24"/>
        </w:rPr>
        <w:t xml:space="preserve">velmi omezeným způsobem vazbu na plnění SC 5.2 </w:t>
      </w:r>
      <w:r w:rsidR="00843975">
        <w:rPr>
          <w:sz w:val="24"/>
          <w:szCs w:val="24"/>
        </w:rPr>
        <w:t>OP</w:t>
      </w:r>
      <w:r w:rsidR="00A64D57">
        <w:rPr>
          <w:sz w:val="24"/>
          <w:szCs w:val="24"/>
        </w:rPr>
        <w:t>PIK a navíc má ambici jen marginálního posunu formální kvality projektových žádostí</w:t>
      </w:r>
      <w:r w:rsidR="00843975">
        <w:rPr>
          <w:sz w:val="24"/>
          <w:szCs w:val="24"/>
        </w:rPr>
        <w:t xml:space="preserve"> oproti předchozímu programové</w:t>
      </w:r>
      <w:r w:rsidR="00A64D57">
        <w:rPr>
          <w:sz w:val="24"/>
          <w:szCs w:val="24"/>
        </w:rPr>
        <w:t>mu období</w:t>
      </w:r>
      <w:r w:rsidR="00891F3A" w:rsidRPr="004B5CFC">
        <w:rPr>
          <w:sz w:val="24"/>
          <w:szCs w:val="24"/>
        </w:rPr>
        <w:t>.</w:t>
      </w:r>
    </w:p>
    <w:p w14:paraId="04E8F06F" w14:textId="77777777" w:rsidR="00056B78" w:rsidRPr="004B5CFC" w:rsidRDefault="00056B78" w:rsidP="00056B78">
      <w:pPr>
        <w:tabs>
          <w:tab w:val="left" w:pos="567"/>
        </w:tabs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14:paraId="775C948F" w14:textId="12FF431A" w:rsidR="00056B78" w:rsidRPr="004B5CFC" w:rsidRDefault="0038104B" w:rsidP="006B0643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4B5CFC">
        <w:rPr>
          <w:sz w:val="24"/>
          <w:szCs w:val="24"/>
        </w:rPr>
        <w:t>U ukazatelů výstupu „</w:t>
      </w:r>
      <w:r w:rsidRPr="00D94551">
        <w:rPr>
          <w:sz w:val="24"/>
          <w:szCs w:val="24"/>
        </w:rPr>
        <w:t>Počet napsaných a zveřejněných analytických a strategických dokumentů (vč. evaluačních)</w:t>
      </w:r>
      <w:r w:rsidRPr="004B5CFC">
        <w:rPr>
          <w:sz w:val="24"/>
          <w:szCs w:val="24"/>
        </w:rPr>
        <w:t>“ a „P</w:t>
      </w:r>
      <w:r w:rsidRPr="00D94551">
        <w:rPr>
          <w:sz w:val="24"/>
          <w:szCs w:val="24"/>
        </w:rPr>
        <w:t>očet uskutečněných kontrol na místě</w:t>
      </w:r>
      <w:r w:rsidRPr="004B5CFC">
        <w:rPr>
          <w:sz w:val="24"/>
          <w:szCs w:val="24"/>
        </w:rPr>
        <w:t>“ vykazovalo MPO nízkou míru jejich naplnění</w:t>
      </w:r>
      <w:r w:rsidR="00487036">
        <w:rPr>
          <w:sz w:val="24"/>
          <w:szCs w:val="24"/>
        </w:rPr>
        <w:t xml:space="preserve"> </w:t>
      </w:r>
      <w:r w:rsidR="006B0643" w:rsidRPr="006B0643">
        <w:rPr>
          <w:sz w:val="24"/>
          <w:szCs w:val="24"/>
        </w:rPr>
        <w:t xml:space="preserve">(cílová hodnota </w:t>
      </w:r>
      <w:r w:rsidR="006B0643">
        <w:rPr>
          <w:sz w:val="24"/>
          <w:szCs w:val="24"/>
        </w:rPr>
        <w:t>ukazatele „</w:t>
      </w:r>
      <w:r w:rsidR="006B0643" w:rsidRPr="00D94551">
        <w:rPr>
          <w:sz w:val="24"/>
          <w:szCs w:val="24"/>
        </w:rPr>
        <w:t>Počet napsaných a zveřejněných analytických a strategických dokumentů (vč. evaluačních)</w:t>
      </w:r>
      <w:r w:rsidR="006B0643">
        <w:rPr>
          <w:sz w:val="24"/>
          <w:szCs w:val="24"/>
        </w:rPr>
        <w:t>“</w:t>
      </w:r>
      <w:r w:rsidR="006B0643" w:rsidRPr="006B0643">
        <w:rPr>
          <w:sz w:val="24"/>
          <w:szCs w:val="24"/>
        </w:rPr>
        <w:t xml:space="preserve"> </w:t>
      </w:r>
      <w:r w:rsidR="006B0643">
        <w:rPr>
          <w:sz w:val="24"/>
          <w:szCs w:val="24"/>
        </w:rPr>
        <w:t>byla</w:t>
      </w:r>
      <w:r w:rsidR="006B0643" w:rsidRPr="006B0643">
        <w:rPr>
          <w:sz w:val="24"/>
          <w:szCs w:val="24"/>
        </w:rPr>
        <w:t xml:space="preserve"> stanovena </w:t>
      </w:r>
      <w:r w:rsidR="006B0643">
        <w:rPr>
          <w:sz w:val="24"/>
          <w:szCs w:val="24"/>
        </w:rPr>
        <w:t>na h</w:t>
      </w:r>
      <w:r w:rsidR="006B0643" w:rsidRPr="006B0643">
        <w:rPr>
          <w:sz w:val="24"/>
          <w:szCs w:val="24"/>
        </w:rPr>
        <w:t xml:space="preserve">odnotu </w:t>
      </w:r>
      <w:r w:rsidR="006B0643">
        <w:rPr>
          <w:sz w:val="24"/>
          <w:szCs w:val="24"/>
        </w:rPr>
        <w:t>„</w:t>
      </w:r>
      <w:r w:rsidR="006B0643" w:rsidRPr="006B0643">
        <w:rPr>
          <w:sz w:val="24"/>
          <w:szCs w:val="24"/>
        </w:rPr>
        <w:t>30</w:t>
      </w:r>
      <w:r w:rsidR="006B0643">
        <w:rPr>
          <w:sz w:val="24"/>
          <w:szCs w:val="24"/>
        </w:rPr>
        <w:t>“</w:t>
      </w:r>
      <w:r w:rsidR="006B0643" w:rsidRPr="006B0643">
        <w:rPr>
          <w:sz w:val="24"/>
          <w:szCs w:val="24"/>
        </w:rPr>
        <w:t xml:space="preserve">, dosažená </w:t>
      </w:r>
      <w:r w:rsidR="006B0643">
        <w:rPr>
          <w:sz w:val="24"/>
          <w:szCs w:val="24"/>
        </w:rPr>
        <w:t xml:space="preserve">hodnota </w:t>
      </w:r>
      <w:r w:rsidR="006B0643" w:rsidRPr="006B0643">
        <w:rPr>
          <w:sz w:val="24"/>
          <w:szCs w:val="24"/>
        </w:rPr>
        <w:t xml:space="preserve">byla v roce 2018 </w:t>
      </w:r>
      <w:r w:rsidR="006B0643">
        <w:rPr>
          <w:sz w:val="24"/>
          <w:szCs w:val="24"/>
        </w:rPr>
        <w:t>pouze „</w:t>
      </w:r>
      <w:r w:rsidR="006B0643" w:rsidRPr="006B0643">
        <w:rPr>
          <w:sz w:val="24"/>
          <w:szCs w:val="24"/>
        </w:rPr>
        <w:t>5</w:t>
      </w:r>
      <w:r w:rsidR="006B0643">
        <w:rPr>
          <w:sz w:val="24"/>
          <w:szCs w:val="24"/>
        </w:rPr>
        <w:t>“</w:t>
      </w:r>
      <w:r w:rsidR="006B0643" w:rsidRPr="006B0643">
        <w:rPr>
          <w:sz w:val="24"/>
          <w:szCs w:val="24"/>
        </w:rPr>
        <w:t xml:space="preserve">; cílová hodnota </w:t>
      </w:r>
      <w:r w:rsidR="006B0643">
        <w:rPr>
          <w:sz w:val="24"/>
          <w:szCs w:val="24"/>
        </w:rPr>
        <w:t>ukazatele „P</w:t>
      </w:r>
      <w:r w:rsidR="006B0643" w:rsidRPr="00D94551">
        <w:rPr>
          <w:sz w:val="24"/>
          <w:szCs w:val="24"/>
        </w:rPr>
        <w:t>očet uskutečněných kontrol na místě</w:t>
      </w:r>
      <w:r w:rsidR="006B0643">
        <w:rPr>
          <w:sz w:val="24"/>
          <w:szCs w:val="24"/>
        </w:rPr>
        <w:t>“</w:t>
      </w:r>
      <w:r w:rsidR="006B0643" w:rsidRPr="006B0643">
        <w:rPr>
          <w:sz w:val="24"/>
          <w:szCs w:val="24"/>
        </w:rPr>
        <w:t xml:space="preserve"> </w:t>
      </w:r>
      <w:r w:rsidR="006B0643">
        <w:rPr>
          <w:sz w:val="24"/>
          <w:szCs w:val="24"/>
        </w:rPr>
        <w:t xml:space="preserve">byla </w:t>
      </w:r>
      <w:r w:rsidR="006B0643" w:rsidRPr="006B0643">
        <w:rPr>
          <w:sz w:val="24"/>
          <w:szCs w:val="24"/>
        </w:rPr>
        <w:t xml:space="preserve">stanovena </w:t>
      </w:r>
      <w:r w:rsidR="006B0643">
        <w:rPr>
          <w:sz w:val="24"/>
          <w:szCs w:val="24"/>
        </w:rPr>
        <w:t xml:space="preserve">na </w:t>
      </w:r>
      <w:r w:rsidR="006B0643" w:rsidRPr="006B0643">
        <w:rPr>
          <w:sz w:val="24"/>
          <w:szCs w:val="24"/>
        </w:rPr>
        <w:t xml:space="preserve">hodnotu </w:t>
      </w:r>
      <w:r w:rsidR="006B0643">
        <w:rPr>
          <w:sz w:val="24"/>
          <w:szCs w:val="24"/>
        </w:rPr>
        <w:t>„</w:t>
      </w:r>
      <w:r w:rsidR="006B0643" w:rsidRPr="006B0643">
        <w:rPr>
          <w:sz w:val="24"/>
          <w:szCs w:val="24"/>
        </w:rPr>
        <w:t>2400</w:t>
      </w:r>
      <w:r w:rsidR="006B0643">
        <w:rPr>
          <w:sz w:val="24"/>
          <w:szCs w:val="24"/>
        </w:rPr>
        <w:t>“</w:t>
      </w:r>
      <w:r w:rsidR="006B0643" w:rsidRPr="006B0643">
        <w:rPr>
          <w:sz w:val="24"/>
          <w:szCs w:val="24"/>
        </w:rPr>
        <w:t xml:space="preserve">, dosažená </w:t>
      </w:r>
      <w:r w:rsidR="006B0643">
        <w:rPr>
          <w:sz w:val="24"/>
          <w:szCs w:val="24"/>
        </w:rPr>
        <w:t>hodnota byla</w:t>
      </w:r>
      <w:r w:rsidR="006B0643" w:rsidRPr="006B0643">
        <w:rPr>
          <w:sz w:val="24"/>
          <w:szCs w:val="24"/>
        </w:rPr>
        <w:t xml:space="preserve"> v roce 2018 </w:t>
      </w:r>
      <w:r w:rsidR="006B0643">
        <w:rPr>
          <w:sz w:val="24"/>
          <w:szCs w:val="24"/>
        </w:rPr>
        <w:t>pouze „</w:t>
      </w:r>
      <w:r w:rsidR="006B0643" w:rsidRPr="006B0643">
        <w:rPr>
          <w:sz w:val="24"/>
          <w:szCs w:val="24"/>
        </w:rPr>
        <w:t>366</w:t>
      </w:r>
      <w:r w:rsidR="006B0643">
        <w:rPr>
          <w:sz w:val="24"/>
          <w:szCs w:val="24"/>
        </w:rPr>
        <w:t>“</w:t>
      </w:r>
      <w:r w:rsidR="00A64D57" w:rsidRPr="006B0643">
        <w:rPr>
          <w:sz w:val="24"/>
          <w:szCs w:val="24"/>
        </w:rPr>
        <w:t>)</w:t>
      </w:r>
      <w:r w:rsidRPr="006B0643">
        <w:rPr>
          <w:sz w:val="24"/>
          <w:szCs w:val="24"/>
        </w:rPr>
        <w:t>.</w:t>
      </w:r>
      <w:r w:rsidRPr="004B5CFC">
        <w:rPr>
          <w:sz w:val="24"/>
          <w:szCs w:val="24"/>
        </w:rPr>
        <w:t xml:space="preserve"> </w:t>
      </w:r>
      <w:r w:rsidR="00FF000C" w:rsidRPr="004B5CFC">
        <w:rPr>
          <w:sz w:val="24"/>
          <w:szCs w:val="24"/>
        </w:rPr>
        <w:t xml:space="preserve">Implementace PO 5 OPPIK </w:t>
      </w:r>
      <w:r w:rsidR="00056B78" w:rsidRPr="004B5CFC">
        <w:rPr>
          <w:sz w:val="24"/>
          <w:szCs w:val="24"/>
        </w:rPr>
        <w:t xml:space="preserve">je ve druhé polovině </w:t>
      </w:r>
      <w:r w:rsidR="00FF000C" w:rsidRPr="004B5CFC">
        <w:rPr>
          <w:sz w:val="24"/>
          <w:szCs w:val="24"/>
        </w:rPr>
        <w:t xml:space="preserve">programového období </w:t>
      </w:r>
      <w:r w:rsidRPr="004B5CFC">
        <w:rPr>
          <w:sz w:val="24"/>
          <w:szCs w:val="24"/>
        </w:rPr>
        <w:t>a</w:t>
      </w:r>
      <w:r w:rsidR="002231FA">
        <w:rPr>
          <w:sz w:val="24"/>
          <w:szCs w:val="24"/>
        </w:rPr>
        <w:t xml:space="preserve"> </w:t>
      </w:r>
      <w:r w:rsidR="00056B78" w:rsidRPr="004B5CFC">
        <w:rPr>
          <w:sz w:val="24"/>
          <w:szCs w:val="24"/>
        </w:rPr>
        <w:t>projekt</w:t>
      </w:r>
      <w:r w:rsidRPr="004B5CFC">
        <w:rPr>
          <w:sz w:val="24"/>
          <w:szCs w:val="24"/>
        </w:rPr>
        <w:t xml:space="preserve">y </w:t>
      </w:r>
      <w:r w:rsidR="00056B78" w:rsidRPr="004B5CFC">
        <w:rPr>
          <w:sz w:val="24"/>
          <w:szCs w:val="24"/>
        </w:rPr>
        <w:t xml:space="preserve">technické pomoci </w:t>
      </w:r>
      <w:r w:rsidRPr="004B5CFC">
        <w:rPr>
          <w:sz w:val="24"/>
          <w:szCs w:val="24"/>
        </w:rPr>
        <w:t xml:space="preserve">realizované </w:t>
      </w:r>
      <w:r w:rsidR="00056B78" w:rsidRPr="004B5CFC">
        <w:rPr>
          <w:sz w:val="24"/>
          <w:szCs w:val="24"/>
        </w:rPr>
        <w:t xml:space="preserve">v období 2016 až 2018 </w:t>
      </w:r>
      <w:r w:rsidRPr="004B5CFC">
        <w:rPr>
          <w:sz w:val="24"/>
          <w:szCs w:val="24"/>
        </w:rPr>
        <w:t xml:space="preserve">jsou ukončeny. </w:t>
      </w:r>
      <w:r w:rsidR="00056B78" w:rsidRPr="004B5CFC">
        <w:rPr>
          <w:sz w:val="24"/>
          <w:szCs w:val="24"/>
        </w:rPr>
        <w:t>NKÚ tak upozorňuje na riziko nenaplnění cílových hodnot</w:t>
      </w:r>
      <w:r w:rsidR="0086511E">
        <w:rPr>
          <w:sz w:val="24"/>
          <w:szCs w:val="24"/>
        </w:rPr>
        <w:t xml:space="preserve"> ukazatelů.</w:t>
      </w:r>
    </w:p>
    <w:p w14:paraId="35BC21AB" w14:textId="77777777" w:rsidR="00E67638" w:rsidRDefault="00E67638" w:rsidP="00E67638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0D64705F" w14:textId="1EF2FB2B" w:rsidR="00E67638" w:rsidRDefault="00E67638" w:rsidP="00487036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E67638">
        <w:rPr>
          <w:sz w:val="24"/>
          <w:szCs w:val="24"/>
        </w:rPr>
        <w:t xml:space="preserve">MPO přínosy </w:t>
      </w:r>
      <w:r w:rsidR="00891F3A">
        <w:rPr>
          <w:sz w:val="24"/>
          <w:szCs w:val="24"/>
        </w:rPr>
        <w:t>PO</w:t>
      </w:r>
      <w:r w:rsidRPr="00E67638">
        <w:rPr>
          <w:sz w:val="24"/>
          <w:szCs w:val="24"/>
        </w:rPr>
        <w:t xml:space="preserve"> 5 OPPIK sleduje průběžně prostřednictvím naplnění jednotlivých ukazatelů výsledku a výstupu uváděných</w:t>
      </w:r>
      <w:r w:rsidR="002B0325" w:rsidRPr="00E67638">
        <w:rPr>
          <w:sz w:val="24"/>
          <w:szCs w:val="24"/>
        </w:rPr>
        <w:t xml:space="preserve"> </w:t>
      </w:r>
      <w:r w:rsidRPr="00E67638">
        <w:rPr>
          <w:sz w:val="24"/>
          <w:szCs w:val="24"/>
        </w:rPr>
        <w:t xml:space="preserve">ve </w:t>
      </w:r>
      <w:r w:rsidR="000D4375">
        <w:rPr>
          <w:sz w:val="24"/>
          <w:szCs w:val="24"/>
        </w:rPr>
        <w:t>v</w:t>
      </w:r>
      <w:r w:rsidRPr="00E67638">
        <w:rPr>
          <w:sz w:val="24"/>
          <w:szCs w:val="24"/>
        </w:rPr>
        <w:t xml:space="preserve">ýročních zprávách OPPIK a </w:t>
      </w:r>
      <w:r w:rsidR="002B0325">
        <w:rPr>
          <w:sz w:val="24"/>
          <w:szCs w:val="24"/>
        </w:rPr>
        <w:t xml:space="preserve">pouze </w:t>
      </w:r>
      <w:r w:rsidR="002B0325" w:rsidRPr="00E67638">
        <w:rPr>
          <w:sz w:val="24"/>
          <w:szCs w:val="24"/>
        </w:rPr>
        <w:t>vybrané ukazatele</w:t>
      </w:r>
      <w:r w:rsidR="002B0325">
        <w:rPr>
          <w:sz w:val="24"/>
          <w:szCs w:val="24"/>
        </w:rPr>
        <w:t xml:space="preserve"> </w:t>
      </w:r>
      <w:r w:rsidR="00F77A00">
        <w:rPr>
          <w:sz w:val="24"/>
          <w:szCs w:val="24"/>
        </w:rPr>
        <w:t>uvádí</w:t>
      </w:r>
      <w:r w:rsidR="000D4375">
        <w:rPr>
          <w:sz w:val="24"/>
          <w:szCs w:val="24"/>
        </w:rPr>
        <w:t xml:space="preserve"> </w:t>
      </w:r>
      <w:r w:rsidR="00891F3A">
        <w:rPr>
          <w:sz w:val="24"/>
          <w:szCs w:val="24"/>
        </w:rPr>
        <w:t xml:space="preserve">v rámci </w:t>
      </w:r>
      <w:r w:rsidR="000D4375">
        <w:rPr>
          <w:sz w:val="24"/>
          <w:szCs w:val="24"/>
        </w:rPr>
        <w:t>s</w:t>
      </w:r>
      <w:r w:rsidRPr="00E67638">
        <w:rPr>
          <w:sz w:val="24"/>
          <w:szCs w:val="24"/>
        </w:rPr>
        <w:t xml:space="preserve">trategických realizačních plánů a jejich vyhodnocení. </w:t>
      </w:r>
      <w:r w:rsidR="006930F7">
        <w:rPr>
          <w:sz w:val="24"/>
          <w:szCs w:val="24"/>
        </w:rPr>
        <w:t>J</w:t>
      </w:r>
      <w:r w:rsidR="00891F3A">
        <w:rPr>
          <w:sz w:val="24"/>
          <w:szCs w:val="24"/>
        </w:rPr>
        <w:t xml:space="preserve">sou </w:t>
      </w:r>
      <w:r w:rsidR="006930F7">
        <w:rPr>
          <w:sz w:val="24"/>
          <w:szCs w:val="24"/>
        </w:rPr>
        <w:t xml:space="preserve">zde </w:t>
      </w:r>
      <w:r w:rsidR="005231E1">
        <w:rPr>
          <w:sz w:val="24"/>
          <w:szCs w:val="24"/>
        </w:rPr>
        <w:t xml:space="preserve">však </w:t>
      </w:r>
      <w:r w:rsidR="00F77A00">
        <w:rPr>
          <w:sz w:val="24"/>
          <w:szCs w:val="24"/>
        </w:rPr>
        <w:t>obsaženy</w:t>
      </w:r>
      <w:r w:rsidR="00891F3A">
        <w:rPr>
          <w:sz w:val="24"/>
          <w:szCs w:val="24"/>
        </w:rPr>
        <w:t xml:space="preserve"> jen </w:t>
      </w:r>
      <w:r w:rsidRPr="00E67638">
        <w:rPr>
          <w:sz w:val="24"/>
          <w:szCs w:val="24"/>
        </w:rPr>
        <w:t xml:space="preserve">kumulativní údaje o celkovém naplnění </w:t>
      </w:r>
      <w:r w:rsidR="005231E1">
        <w:rPr>
          <w:sz w:val="24"/>
          <w:szCs w:val="24"/>
        </w:rPr>
        <w:t>příslušného</w:t>
      </w:r>
      <w:r w:rsidRPr="00E67638">
        <w:rPr>
          <w:sz w:val="24"/>
          <w:szCs w:val="24"/>
        </w:rPr>
        <w:t xml:space="preserve"> ukazatele výsledku a výstupu v </w:t>
      </w:r>
      <w:r w:rsidR="005231E1">
        <w:rPr>
          <w:sz w:val="24"/>
          <w:szCs w:val="24"/>
        </w:rPr>
        <w:t>daném</w:t>
      </w:r>
      <w:r w:rsidRPr="00E67638">
        <w:rPr>
          <w:sz w:val="24"/>
          <w:szCs w:val="24"/>
        </w:rPr>
        <w:t xml:space="preserve"> roce. Žádné další údaje </w:t>
      </w:r>
      <w:r w:rsidR="00891F3A">
        <w:rPr>
          <w:sz w:val="24"/>
          <w:szCs w:val="24"/>
        </w:rPr>
        <w:t>týkající</w:t>
      </w:r>
      <w:r w:rsidR="00AF6971">
        <w:rPr>
          <w:sz w:val="24"/>
          <w:szCs w:val="24"/>
        </w:rPr>
        <w:t xml:space="preserve"> se</w:t>
      </w:r>
      <w:r w:rsidR="00891F3A">
        <w:rPr>
          <w:sz w:val="24"/>
          <w:szCs w:val="24"/>
        </w:rPr>
        <w:t xml:space="preserve"> hodnocení </w:t>
      </w:r>
      <w:r w:rsidRPr="00E67638">
        <w:rPr>
          <w:sz w:val="24"/>
          <w:szCs w:val="24"/>
        </w:rPr>
        <w:t xml:space="preserve">přínosů </w:t>
      </w:r>
      <w:r w:rsidR="00891F3A">
        <w:rPr>
          <w:sz w:val="24"/>
          <w:szCs w:val="24"/>
        </w:rPr>
        <w:t>projektů technické pomoci k naplnění specifických cílů PO 5 tyto zprávy neuvádějí</w:t>
      </w:r>
      <w:r w:rsidR="00E012C0">
        <w:rPr>
          <w:sz w:val="24"/>
          <w:szCs w:val="24"/>
        </w:rPr>
        <w:t xml:space="preserve">, ačkoliv </w:t>
      </w:r>
      <w:r w:rsidR="003C3249">
        <w:rPr>
          <w:sz w:val="24"/>
          <w:szCs w:val="24"/>
        </w:rPr>
        <w:t>popis</w:t>
      </w:r>
      <w:r w:rsidR="00E012C0">
        <w:rPr>
          <w:sz w:val="24"/>
          <w:szCs w:val="24"/>
        </w:rPr>
        <w:t xml:space="preserve"> plnění ukazatelů m</w:t>
      </w:r>
      <w:r w:rsidR="003C3249">
        <w:rPr>
          <w:sz w:val="24"/>
          <w:szCs w:val="24"/>
        </w:rPr>
        <w:t>á</w:t>
      </w:r>
      <w:r w:rsidR="00E012C0">
        <w:rPr>
          <w:sz w:val="24"/>
          <w:szCs w:val="24"/>
        </w:rPr>
        <w:t xml:space="preserve"> </w:t>
      </w:r>
      <w:r w:rsidR="00D26855">
        <w:rPr>
          <w:sz w:val="24"/>
          <w:szCs w:val="24"/>
        </w:rPr>
        <w:t xml:space="preserve">být ve </w:t>
      </w:r>
      <w:r w:rsidR="000D4375">
        <w:rPr>
          <w:sz w:val="24"/>
          <w:szCs w:val="24"/>
        </w:rPr>
        <w:t>v</w:t>
      </w:r>
      <w:r w:rsidR="00E012C0">
        <w:rPr>
          <w:sz w:val="24"/>
          <w:szCs w:val="24"/>
        </w:rPr>
        <w:t>ýroční</w:t>
      </w:r>
      <w:r w:rsidR="00D26855">
        <w:rPr>
          <w:sz w:val="24"/>
          <w:szCs w:val="24"/>
        </w:rPr>
        <w:t>ch</w:t>
      </w:r>
      <w:r w:rsidR="00E012C0">
        <w:rPr>
          <w:sz w:val="24"/>
          <w:szCs w:val="24"/>
        </w:rPr>
        <w:t xml:space="preserve"> zpráv</w:t>
      </w:r>
      <w:r w:rsidR="00D26855">
        <w:rPr>
          <w:sz w:val="24"/>
          <w:szCs w:val="24"/>
        </w:rPr>
        <w:t>ách</w:t>
      </w:r>
      <w:r w:rsidR="000D4375">
        <w:rPr>
          <w:sz w:val="24"/>
          <w:szCs w:val="24"/>
        </w:rPr>
        <w:t xml:space="preserve"> OPPIK</w:t>
      </w:r>
      <w:r w:rsidR="00D26855">
        <w:rPr>
          <w:sz w:val="24"/>
          <w:szCs w:val="24"/>
        </w:rPr>
        <w:t xml:space="preserve"> dle </w:t>
      </w:r>
      <w:r w:rsidR="000D4375">
        <w:rPr>
          <w:sz w:val="24"/>
          <w:szCs w:val="24"/>
        </w:rPr>
        <w:t>metodického pokynu o</w:t>
      </w:r>
      <w:r w:rsidR="00D26855">
        <w:rPr>
          <w:sz w:val="24"/>
          <w:szCs w:val="24"/>
        </w:rPr>
        <w:t xml:space="preserve"> </w:t>
      </w:r>
      <w:r w:rsidR="000D4375">
        <w:rPr>
          <w:sz w:val="24"/>
          <w:szCs w:val="24"/>
        </w:rPr>
        <w:t>m</w:t>
      </w:r>
      <w:r w:rsidR="00D26855">
        <w:rPr>
          <w:sz w:val="24"/>
          <w:szCs w:val="24"/>
        </w:rPr>
        <w:t>onitorování ESI</w:t>
      </w:r>
      <w:r w:rsidR="00662565" w:rsidRPr="00662565">
        <w:rPr>
          <w:sz w:val="24"/>
          <w:szCs w:val="24"/>
        </w:rPr>
        <w:t xml:space="preserve"> </w:t>
      </w:r>
      <w:r w:rsidR="00662565">
        <w:rPr>
          <w:sz w:val="24"/>
          <w:szCs w:val="24"/>
        </w:rPr>
        <w:t>fondů</w:t>
      </w:r>
      <w:r w:rsidR="00D26855">
        <w:rPr>
          <w:rStyle w:val="Znakapoznpodarou"/>
          <w:sz w:val="24"/>
          <w:szCs w:val="24"/>
        </w:rPr>
        <w:footnoteReference w:id="13"/>
      </w:r>
      <w:r w:rsidR="00D26855">
        <w:rPr>
          <w:sz w:val="24"/>
          <w:szCs w:val="24"/>
        </w:rPr>
        <w:t xml:space="preserve"> uveden</w:t>
      </w:r>
      <w:r w:rsidR="006859E0">
        <w:rPr>
          <w:sz w:val="24"/>
          <w:szCs w:val="24"/>
        </w:rPr>
        <w:t>.</w:t>
      </w:r>
      <w:r w:rsidR="00891F3A">
        <w:rPr>
          <w:sz w:val="24"/>
          <w:szCs w:val="24"/>
        </w:rPr>
        <w:t xml:space="preserve"> MPO </w:t>
      </w:r>
      <w:r w:rsidR="00891F3A" w:rsidRPr="00891F3A">
        <w:rPr>
          <w:sz w:val="24"/>
          <w:szCs w:val="24"/>
        </w:rPr>
        <w:t>v druhé polovině roku 2019 plánuje prov</w:t>
      </w:r>
      <w:r w:rsidR="000D4375">
        <w:rPr>
          <w:sz w:val="24"/>
          <w:szCs w:val="24"/>
        </w:rPr>
        <w:t>ést</w:t>
      </w:r>
      <w:r w:rsidR="00891F3A" w:rsidRPr="00891F3A">
        <w:rPr>
          <w:sz w:val="24"/>
          <w:szCs w:val="24"/>
        </w:rPr>
        <w:t xml:space="preserve"> evaluac</w:t>
      </w:r>
      <w:r w:rsidR="000D4375">
        <w:rPr>
          <w:sz w:val="24"/>
          <w:szCs w:val="24"/>
        </w:rPr>
        <w:t>i</w:t>
      </w:r>
      <w:r w:rsidR="00891F3A" w:rsidRPr="00891F3A">
        <w:rPr>
          <w:sz w:val="24"/>
          <w:szCs w:val="24"/>
        </w:rPr>
        <w:t xml:space="preserve">, která </w:t>
      </w:r>
      <w:r w:rsidR="00891F3A">
        <w:rPr>
          <w:sz w:val="24"/>
          <w:szCs w:val="24"/>
        </w:rPr>
        <w:t xml:space="preserve">má být </w:t>
      </w:r>
      <w:r w:rsidR="00891F3A" w:rsidRPr="00891F3A">
        <w:rPr>
          <w:sz w:val="24"/>
          <w:szCs w:val="24"/>
        </w:rPr>
        <w:t>zaměřena na oblast vyhodnocení přínosů podpory v rámci PO 5 OPPIK.</w:t>
      </w:r>
    </w:p>
    <w:p w14:paraId="6137986B" w14:textId="77777777" w:rsidR="00056B78" w:rsidRDefault="00056B78" w:rsidP="003C4A83">
      <w:pPr>
        <w:pStyle w:val="Odstavecseseznamem"/>
        <w:tabs>
          <w:tab w:val="left" w:pos="567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</w:p>
    <w:p w14:paraId="2CDF2BA5" w14:textId="4C3D6582" w:rsidR="00BD3B44" w:rsidRPr="00487036" w:rsidRDefault="00BD3B44" w:rsidP="00BD3B44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487036">
        <w:rPr>
          <w:rFonts w:cstheme="minorHAnsi"/>
          <w:b/>
          <w:color w:val="FF0000"/>
          <w:sz w:val="24"/>
          <w:szCs w:val="24"/>
        </w:rPr>
        <w:lastRenderedPageBreak/>
        <w:t>→</w:t>
      </w:r>
      <w:r w:rsidRPr="00487036">
        <w:rPr>
          <w:b/>
          <w:i/>
          <w:color w:val="FF0000"/>
          <w:sz w:val="24"/>
          <w:szCs w:val="24"/>
        </w:rPr>
        <w:t xml:space="preserve"> </w:t>
      </w:r>
      <w:r w:rsidR="00EF6659" w:rsidRPr="00487036">
        <w:rPr>
          <w:b/>
          <w:i/>
          <w:color w:val="FF0000"/>
          <w:sz w:val="24"/>
          <w:szCs w:val="24"/>
        </w:rPr>
        <w:t>N</w:t>
      </w:r>
      <w:r w:rsidR="0049547D">
        <w:rPr>
          <w:b/>
          <w:i/>
          <w:color w:val="FF0000"/>
          <w:sz w:val="24"/>
          <w:szCs w:val="24"/>
        </w:rPr>
        <w:t>ízká míra čerpání prostředků OP</w:t>
      </w:r>
      <w:r w:rsidR="00EF6659" w:rsidRPr="00487036">
        <w:rPr>
          <w:b/>
          <w:i/>
          <w:color w:val="FF0000"/>
          <w:sz w:val="24"/>
          <w:szCs w:val="24"/>
        </w:rPr>
        <w:t xml:space="preserve">PIK, </w:t>
      </w:r>
      <w:r w:rsidR="00F77A00">
        <w:rPr>
          <w:b/>
          <w:i/>
          <w:color w:val="FF0000"/>
          <w:sz w:val="24"/>
          <w:szCs w:val="24"/>
        </w:rPr>
        <w:t>a</w:t>
      </w:r>
      <w:r w:rsidR="0078152B">
        <w:rPr>
          <w:b/>
          <w:i/>
          <w:color w:val="FF0000"/>
          <w:sz w:val="24"/>
          <w:szCs w:val="24"/>
        </w:rPr>
        <w:t xml:space="preserve">uditním orgánem </w:t>
      </w:r>
      <w:r w:rsidR="00EF6659" w:rsidRPr="00487036">
        <w:rPr>
          <w:b/>
          <w:i/>
          <w:color w:val="FF0000"/>
          <w:sz w:val="24"/>
          <w:szCs w:val="24"/>
        </w:rPr>
        <w:t xml:space="preserve">odhalená vysoká míra chybovosti a nutnost provedení nápravných </w:t>
      </w:r>
      <w:r w:rsidR="00843975">
        <w:rPr>
          <w:b/>
          <w:i/>
          <w:color w:val="FF0000"/>
          <w:sz w:val="24"/>
          <w:szCs w:val="24"/>
        </w:rPr>
        <w:t xml:space="preserve">opatření </w:t>
      </w:r>
      <w:r w:rsidR="00EF6659" w:rsidRPr="00487036">
        <w:rPr>
          <w:b/>
          <w:i/>
          <w:color w:val="FF0000"/>
          <w:sz w:val="24"/>
          <w:szCs w:val="24"/>
        </w:rPr>
        <w:t>indikují rezervy v efektivnosti práce MPO jako ŘO</w:t>
      </w:r>
      <w:r w:rsidR="009B03F1">
        <w:rPr>
          <w:b/>
          <w:i/>
          <w:color w:val="FF0000"/>
          <w:sz w:val="24"/>
          <w:szCs w:val="24"/>
        </w:rPr>
        <w:t>.</w:t>
      </w:r>
    </w:p>
    <w:p w14:paraId="089A2C91" w14:textId="77777777" w:rsidR="00487036" w:rsidRDefault="00487036" w:rsidP="00487036">
      <w:pPr>
        <w:pStyle w:val="Odstavecseseznamem"/>
        <w:spacing w:after="0" w:line="280" w:lineRule="atLeast"/>
        <w:ind w:left="0"/>
        <w:jc w:val="both"/>
        <w:rPr>
          <w:rFonts w:cstheme="minorHAnsi"/>
          <w:color w:val="000000"/>
          <w:sz w:val="24"/>
          <w:szCs w:val="24"/>
        </w:rPr>
      </w:pPr>
    </w:p>
    <w:p w14:paraId="1DAC5F11" w14:textId="09A71F01" w:rsidR="00EB65A4" w:rsidRDefault="00EB65A4" w:rsidP="00487036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555A20">
        <w:rPr>
          <w:sz w:val="24"/>
          <w:szCs w:val="24"/>
        </w:rPr>
        <w:t xml:space="preserve">NKÚ </w:t>
      </w:r>
      <w:r w:rsidR="00843975">
        <w:rPr>
          <w:sz w:val="24"/>
          <w:szCs w:val="24"/>
        </w:rPr>
        <w:t xml:space="preserve">nejprve </w:t>
      </w:r>
      <w:r w:rsidRPr="00555A20">
        <w:rPr>
          <w:sz w:val="24"/>
          <w:szCs w:val="24"/>
        </w:rPr>
        <w:t xml:space="preserve">porovnal pozici OPPIK mezi ostatními operačními programy ČR z hlediska výše přidělené alokace, počtu zaměstnanců podílejících se na implementaci </w:t>
      </w:r>
      <w:r w:rsidR="00F77A00">
        <w:rPr>
          <w:sz w:val="24"/>
          <w:szCs w:val="24"/>
        </w:rPr>
        <w:t>programu</w:t>
      </w:r>
      <w:r w:rsidRPr="00555A20">
        <w:rPr>
          <w:sz w:val="24"/>
          <w:szCs w:val="24"/>
        </w:rPr>
        <w:t>, výše peněžních prostředků v právních aktech o poskytnutí/převodu podpory a míry proplacených peněžníc</w:t>
      </w:r>
      <w:r w:rsidR="00555A20">
        <w:rPr>
          <w:sz w:val="24"/>
          <w:szCs w:val="24"/>
        </w:rPr>
        <w:t>h prostředků příjemcům podpory.</w:t>
      </w:r>
    </w:p>
    <w:p w14:paraId="78C7BEFA" w14:textId="77777777" w:rsidR="002B0325" w:rsidRDefault="002B0325" w:rsidP="002B0325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21F678AE" w14:textId="7E2E43C2" w:rsidR="00555A20" w:rsidRDefault="00555A20" w:rsidP="00487036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EB65A4">
        <w:rPr>
          <w:sz w:val="24"/>
          <w:szCs w:val="24"/>
        </w:rPr>
        <w:t xml:space="preserve">Z hlediska celkové výše alokace z EU je OPPIK třetím největším operačním programem </w:t>
      </w:r>
      <w:r w:rsidR="00154920">
        <w:rPr>
          <w:sz w:val="24"/>
          <w:szCs w:val="24"/>
        </w:rPr>
        <w:t xml:space="preserve">v </w:t>
      </w:r>
      <w:r w:rsidRPr="00EB65A4">
        <w:rPr>
          <w:sz w:val="24"/>
          <w:szCs w:val="24"/>
        </w:rPr>
        <w:t>ČR</w:t>
      </w:r>
      <w:r>
        <w:rPr>
          <w:sz w:val="24"/>
          <w:szCs w:val="24"/>
        </w:rPr>
        <w:t xml:space="preserve"> a </w:t>
      </w:r>
      <w:r w:rsidRPr="00EB65A4">
        <w:rPr>
          <w:sz w:val="24"/>
          <w:szCs w:val="24"/>
        </w:rPr>
        <w:t>z hlediska administrativní kapacity je OPPIK operačním programem s</w:t>
      </w:r>
      <w:r w:rsidR="002B0325">
        <w:rPr>
          <w:sz w:val="24"/>
          <w:szCs w:val="24"/>
        </w:rPr>
        <w:t xml:space="preserve"> druhým </w:t>
      </w:r>
      <w:r w:rsidRPr="00EB65A4">
        <w:rPr>
          <w:sz w:val="24"/>
          <w:szCs w:val="24"/>
        </w:rPr>
        <w:t xml:space="preserve">nejvyšším počtem zaměstnanců podílejících </w:t>
      </w:r>
      <w:r>
        <w:rPr>
          <w:sz w:val="24"/>
          <w:szCs w:val="24"/>
        </w:rPr>
        <w:t>se na implementaci programu</w:t>
      </w:r>
      <w:r w:rsidR="008D78A1">
        <w:rPr>
          <w:sz w:val="24"/>
          <w:szCs w:val="24"/>
        </w:rPr>
        <w:t>. P</w:t>
      </w:r>
      <w:r>
        <w:rPr>
          <w:sz w:val="24"/>
          <w:szCs w:val="24"/>
        </w:rPr>
        <w:t xml:space="preserve">řehled hlavních alokací </w:t>
      </w:r>
      <w:r w:rsidR="001444F0">
        <w:rPr>
          <w:sz w:val="24"/>
          <w:szCs w:val="24"/>
        </w:rPr>
        <w:t>o</w:t>
      </w:r>
      <w:r>
        <w:rPr>
          <w:sz w:val="24"/>
          <w:szCs w:val="24"/>
        </w:rPr>
        <w:t>peračních pro</w:t>
      </w:r>
      <w:r w:rsidR="001444F0">
        <w:rPr>
          <w:sz w:val="24"/>
          <w:szCs w:val="24"/>
        </w:rPr>
        <w:t>gramů ČR je uveden v příloze č.</w:t>
      </w:r>
      <w:r w:rsidR="00F77A00">
        <w:rPr>
          <w:sz w:val="24"/>
          <w:szCs w:val="24"/>
        </w:rPr>
        <w:t xml:space="preserve"> </w:t>
      </w:r>
      <w:r w:rsidR="00695A2C">
        <w:rPr>
          <w:sz w:val="24"/>
          <w:szCs w:val="24"/>
        </w:rPr>
        <w:t>4</w:t>
      </w:r>
      <w:r>
        <w:rPr>
          <w:sz w:val="24"/>
          <w:szCs w:val="24"/>
        </w:rPr>
        <w:t xml:space="preserve"> a p</w:t>
      </w:r>
      <w:r w:rsidRPr="00415F38">
        <w:rPr>
          <w:sz w:val="24"/>
          <w:szCs w:val="24"/>
        </w:rPr>
        <w:t>řehled administrativní</w:t>
      </w:r>
      <w:r w:rsidR="00F77A00">
        <w:rPr>
          <w:sz w:val="24"/>
          <w:szCs w:val="24"/>
        </w:rPr>
        <w:t>ch</w:t>
      </w:r>
      <w:r w:rsidRPr="00415F38">
        <w:rPr>
          <w:sz w:val="24"/>
          <w:szCs w:val="24"/>
        </w:rPr>
        <w:t xml:space="preserve"> kapacit pro </w:t>
      </w:r>
      <w:r w:rsidR="001444F0">
        <w:rPr>
          <w:sz w:val="24"/>
          <w:szCs w:val="24"/>
        </w:rPr>
        <w:t>o</w:t>
      </w:r>
      <w:r w:rsidRPr="00415F38">
        <w:rPr>
          <w:sz w:val="24"/>
          <w:szCs w:val="24"/>
        </w:rPr>
        <w:t>perační programy ČR v roce 2018</w:t>
      </w:r>
      <w:r>
        <w:rPr>
          <w:sz w:val="24"/>
          <w:szCs w:val="24"/>
        </w:rPr>
        <w:t xml:space="preserve"> je uveden v příloze č. </w:t>
      </w:r>
      <w:r w:rsidR="00695A2C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0780686E" w14:textId="77777777" w:rsidR="00D81945" w:rsidRDefault="00D81945" w:rsidP="00D81945">
      <w:pPr>
        <w:spacing w:after="0" w:line="280" w:lineRule="atLeast"/>
        <w:jc w:val="both"/>
        <w:rPr>
          <w:sz w:val="24"/>
          <w:szCs w:val="24"/>
        </w:rPr>
      </w:pPr>
    </w:p>
    <w:p w14:paraId="643306CC" w14:textId="58911F70" w:rsidR="00487036" w:rsidRDefault="002B0325" w:rsidP="00487036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="00D81945" w:rsidRPr="00555A20">
        <w:rPr>
          <w:sz w:val="24"/>
          <w:szCs w:val="24"/>
        </w:rPr>
        <w:t xml:space="preserve">fektivnost administrace operačního programu je možno </w:t>
      </w:r>
      <w:r>
        <w:rPr>
          <w:sz w:val="24"/>
          <w:szCs w:val="24"/>
        </w:rPr>
        <w:t>vyhodnocovat p</w:t>
      </w:r>
      <w:r w:rsidR="00D81945" w:rsidRPr="00555A20">
        <w:rPr>
          <w:sz w:val="24"/>
          <w:szCs w:val="24"/>
        </w:rPr>
        <w:t>odle více kritér</w:t>
      </w:r>
      <w:r w:rsidR="00D81945">
        <w:rPr>
          <w:sz w:val="24"/>
          <w:szCs w:val="24"/>
        </w:rPr>
        <w:t>ií</w:t>
      </w:r>
      <w:r w:rsidR="00D81945" w:rsidRPr="00555A20">
        <w:rPr>
          <w:sz w:val="24"/>
          <w:szCs w:val="24"/>
        </w:rPr>
        <w:t xml:space="preserve">. Z </w:t>
      </w:r>
      <w:r>
        <w:rPr>
          <w:sz w:val="24"/>
          <w:szCs w:val="24"/>
        </w:rPr>
        <w:t>důvodu</w:t>
      </w:r>
      <w:r w:rsidR="00D81945" w:rsidRPr="00555A20">
        <w:rPr>
          <w:sz w:val="24"/>
          <w:szCs w:val="24"/>
        </w:rPr>
        <w:t xml:space="preserve"> rozdílných výší hlavních alokací jednotlivých operačních programů, rozdíln</w:t>
      </w:r>
      <w:r w:rsidR="00D81945">
        <w:rPr>
          <w:sz w:val="24"/>
          <w:szCs w:val="24"/>
        </w:rPr>
        <w:t xml:space="preserve">ého počtu </w:t>
      </w:r>
      <w:r w:rsidR="00D81945" w:rsidRPr="00555A20">
        <w:rPr>
          <w:sz w:val="24"/>
          <w:szCs w:val="24"/>
        </w:rPr>
        <w:t xml:space="preserve">vyhlášených výzev a jejich objemu a rozdílného počtu administrovaných projektů </w:t>
      </w:r>
      <w:r w:rsidR="00843975">
        <w:rPr>
          <w:sz w:val="24"/>
          <w:szCs w:val="24"/>
        </w:rPr>
        <w:t xml:space="preserve">považuje </w:t>
      </w:r>
      <w:r w:rsidR="00F77A00">
        <w:rPr>
          <w:sz w:val="24"/>
          <w:szCs w:val="24"/>
        </w:rPr>
        <w:t xml:space="preserve">NKÚ </w:t>
      </w:r>
      <w:r w:rsidR="00843975">
        <w:rPr>
          <w:sz w:val="24"/>
          <w:szCs w:val="24"/>
        </w:rPr>
        <w:t>za vhodn</w:t>
      </w:r>
      <w:r w:rsidR="00F77A00">
        <w:rPr>
          <w:sz w:val="24"/>
          <w:szCs w:val="24"/>
        </w:rPr>
        <w:t>é</w:t>
      </w:r>
      <w:r w:rsidR="00D81945" w:rsidRPr="00555A20">
        <w:rPr>
          <w:sz w:val="24"/>
          <w:szCs w:val="24"/>
        </w:rPr>
        <w:t xml:space="preserve"> kritéri</w:t>
      </w:r>
      <w:r w:rsidR="00843975">
        <w:rPr>
          <w:sz w:val="24"/>
          <w:szCs w:val="24"/>
        </w:rPr>
        <w:t>u</w:t>
      </w:r>
      <w:r w:rsidR="00D81945" w:rsidRPr="00555A20">
        <w:rPr>
          <w:sz w:val="24"/>
          <w:szCs w:val="24"/>
        </w:rPr>
        <w:t xml:space="preserve">m pro </w:t>
      </w:r>
      <w:r>
        <w:rPr>
          <w:sz w:val="24"/>
          <w:szCs w:val="24"/>
        </w:rPr>
        <w:t>vy</w:t>
      </w:r>
      <w:r w:rsidR="00D81945" w:rsidRPr="00555A20">
        <w:rPr>
          <w:sz w:val="24"/>
          <w:szCs w:val="24"/>
        </w:rPr>
        <w:t xml:space="preserve">hodnocení efektivity práce zaměstnanců implementační struktury </w:t>
      </w:r>
      <w:r w:rsidR="008D78A1">
        <w:rPr>
          <w:sz w:val="24"/>
          <w:szCs w:val="24"/>
        </w:rPr>
        <w:t>u</w:t>
      </w:r>
      <w:r w:rsidR="00F77A00">
        <w:rPr>
          <w:sz w:val="24"/>
          <w:szCs w:val="24"/>
        </w:rPr>
        <w:t xml:space="preserve"> </w:t>
      </w:r>
      <w:r w:rsidR="008D78A1">
        <w:rPr>
          <w:sz w:val="24"/>
          <w:szCs w:val="24"/>
        </w:rPr>
        <w:t xml:space="preserve">jednotlivých </w:t>
      </w:r>
      <w:r w:rsidR="00D81945">
        <w:rPr>
          <w:sz w:val="24"/>
          <w:szCs w:val="24"/>
        </w:rPr>
        <w:t>operační</w:t>
      </w:r>
      <w:r w:rsidR="008D78A1">
        <w:rPr>
          <w:sz w:val="24"/>
          <w:szCs w:val="24"/>
        </w:rPr>
        <w:t>ch</w:t>
      </w:r>
      <w:r w:rsidR="00D81945">
        <w:rPr>
          <w:sz w:val="24"/>
          <w:szCs w:val="24"/>
        </w:rPr>
        <w:t xml:space="preserve"> program</w:t>
      </w:r>
      <w:r w:rsidR="008D78A1">
        <w:rPr>
          <w:sz w:val="24"/>
          <w:szCs w:val="24"/>
        </w:rPr>
        <w:t>ů</w:t>
      </w:r>
      <w:r w:rsidR="00D81945">
        <w:rPr>
          <w:sz w:val="24"/>
          <w:szCs w:val="24"/>
        </w:rPr>
        <w:t xml:space="preserve"> ČR</w:t>
      </w:r>
      <w:r w:rsidR="00843975">
        <w:rPr>
          <w:sz w:val="24"/>
          <w:szCs w:val="24"/>
        </w:rPr>
        <w:t xml:space="preserve"> m</w:t>
      </w:r>
      <w:r w:rsidR="00782B43">
        <w:rPr>
          <w:sz w:val="24"/>
          <w:szCs w:val="24"/>
        </w:rPr>
        <w:t>íru</w:t>
      </w:r>
      <w:r w:rsidR="00843975" w:rsidRPr="00555A20">
        <w:rPr>
          <w:sz w:val="24"/>
          <w:szCs w:val="24"/>
        </w:rPr>
        <w:t xml:space="preserve"> čerpání peněžních prostředků v rámci operačního programu</w:t>
      </w:r>
      <w:r w:rsidR="00782B43">
        <w:rPr>
          <w:sz w:val="24"/>
          <w:szCs w:val="24"/>
        </w:rPr>
        <w:t xml:space="preserve"> při dodržení zásady řádného finančního řízení ze strany ŘO</w:t>
      </w:r>
      <w:r w:rsidR="00D81945">
        <w:rPr>
          <w:sz w:val="24"/>
          <w:szCs w:val="24"/>
        </w:rPr>
        <w:t>.</w:t>
      </w:r>
    </w:p>
    <w:p w14:paraId="14989ADA" w14:textId="77777777" w:rsidR="00487036" w:rsidRDefault="00487036" w:rsidP="00487036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3D794F66" w14:textId="5A9F5EA7" w:rsidR="002103AD" w:rsidRDefault="00EF6659" w:rsidP="002103AD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2103AD">
        <w:rPr>
          <w:sz w:val="24"/>
          <w:szCs w:val="24"/>
        </w:rPr>
        <w:t xml:space="preserve">Dle dokumentu </w:t>
      </w:r>
      <w:r w:rsidRPr="002103AD">
        <w:rPr>
          <w:i/>
          <w:sz w:val="24"/>
          <w:szCs w:val="24"/>
        </w:rPr>
        <w:t xml:space="preserve">Čtvrtletní zpráva o implementaci ESI fondů v České republice v programovém období 2014–2020 </w:t>
      </w:r>
      <w:r w:rsidR="00FA3F08">
        <w:rPr>
          <w:i/>
          <w:sz w:val="24"/>
          <w:szCs w:val="24"/>
        </w:rPr>
        <w:t>–</w:t>
      </w:r>
      <w:r w:rsidRPr="002103AD">
        <w:rPr>
          <w:i/>
          <w:sz w:val="24"/>
          <w:szCs w:val="24"/>
        </w:rPr>
        <w:t xml:space="preserve"> I. čtvrtletí 2019</w:t>
      </w:r>
      <w:r w:rsidRPr="002103AD">
        <w:rPr>
          <w:sz w:val="24"/>
          <w:szCs w:val="24"/>
        </w:rPr>
        <w:t xml:space="preserve"> bylo ke dni 31. března 2019 v rámci realizace OPPIK uzavřeno celkem 6 291 právních aktů o poskytnutí/přev</w:t>
      </w:r>
      <w:r w:rsidR="00487036" w:rsidRPr="002103AD">
        <w:rPr>
          <w:sz w:val="24"/>
          <w:szCs w:val="24"/>
        </w:rPr>
        <w:t>odu podpory v celkové výši 56,8 </w:t>
      </w:r>
      <w:r w:rsidRPr="002103AD">
        <w:rPr>
          <w:sz w:val="24"/>
          <w:szCs w:val="24"/>
        </w:rPr>
        <w:t>mld</w:t>
      </w:r>
      <w:r w:rsidR="00487036" w:rsidRPr="002103AD">
        <w:rPr>
          <w:sz w:val="24"/>
          <w:szCs w:val="24"/>
        </w:rPr>
        <w:t>. </w:t>
      </w:r>
      <w:r w:rsidRPr="002103AD">
        <w:rPr>
          <w:sz w:val="24"/>
          <w:szCs w:val="24"/>
        </w:rPr>
        <w:t>Kč (přís</w:t>
      </w:r>
      <w:r w:rsidR="00782B43" w:rsidRPr="002103AD">
        <w:rPr>
          <w:sz w:val="24"/>
          <w:szCs w:val="24"/>
        </w:rPr>
        <w:t xml:space="preserve">pěvek EU), což </w:t>
      </w:r>
      <w:r w:rsidR="00FA3F08">
        <w:rPr>
          <w:sz w:val="24"/>
          <w:szCs w:val="24"/>
        </w:rPr>
        <w:t>je</w:t>
      </w:r>
      <w:r w:rsidR="00D548E2" w:rsidRPr="002103AD">
        <w:rPr>
          <w:sz w:val="24"/>
          <w:szCs w:val="24"/>
        </w:rPr>
        <w:t xml:space="preserve"> </w:t>
      </w:r>
      <w:r w:rsidR="00782B43" w:rsidRPr="002103AD">
        <w:rPr>
          <w:sz w:val="24"/>
          <w:szCs w:val="24"/>
        </w:rPr>
        <w:t>54,3</w:t>
      </w:r>
      <w:r w:rsidR="00B512FF" w:rsidRPr="002103AD">
        <w:rPr>
          <w:sz w:val="24"/>
          <w:szCs w:val="24"/>
        </w:rPr>
        <w:t> </w:t>
      </w:r>
      <w:r w:rsidRPr="002103AD">
        <w:rPr>
          <w:sz w:val="24"/>
          <w:szCs w:val="24"/>
        </w:rPr>
        <w:t>% hlavní alokac</w:t>
      </w:r>
      <w:r w:rsidR="00FA3F08">
        <w:rPr>
          <w:sz w:val="24"/>
          <w:szCs w:val="24"/>
        </w:rPr>
        <w:t>e</w:t>
      </w:r>
      <w:r w:rsidRPr="002103AD">
        <w:rPr>
          <w:sz w:val="24"/>
          <w:szCs w:val="24"/>
        </w:rPr>
        <w:t xml:space="preserve"> OPPIK. Na konci prvního čtvrtletí 2019 bylo příjemcům podpory proplaceno v žádostech o platbu celkem 22,8</w:t>
      </w:r>
      <w:r w:rsidR="00FA3F08">
        <w:rPr>
          <w:sz w:val="24"/>
          <w:szCs w:val="24"/>
        </w:rPr>
        <w:t xml:space="preserve"> </w:t>
      </w:r>
      <w:r w:rsidRPr="002103AD">
        <w:rPr>
          <w:sz w:val="24"/>
          <w:szCs w:val="24"/>
        </w:rPr>
        <w:t>mld.</w:t>
      </w:r>
      <w:r w:rsidR="00FA3F08">
        <w:rPr>
          <w:sz w:val="24"/>
          <w:szCs w:val="24"/>
        </w:rPr>
        <w:t xml:space="preserve"> </w:t>
      </w:r>
      <w:r w:rsidR="00782B43" w:rsidRPr="002103AD">
        <w:rPr>
          <w:sz w:val="24"/>
          <w:szCs w:val="24"/>
        </w:rPr>
        <w:t>Kč, což představuje 21,8</w:t>
      </w:r>
      <w:r w:rsidR="00B512FF" w:rsidRPr="002103AD">
        <w:rPr>
          <w:sz w:val="24"/>
          <w:szCs w:val="24"/>
        </w:rPr>
        <w:t> </w:t>
      </w:r>
      <w:r w:rsidRPr="002103AD">
        <w:rPr>
          <w:sz w:val="24"/>
          <w:szCs w:val="24"/>
        </w:rPr>
        <w:t>% hlavní alokac</w:t>
      </w:r>
      <w:r w:rsidR="00FA3F08">
        <w:rPr>
          <w:sz w:val="24"/>
          <w:szCs w:val="24"/>
        </w:rPr>
        <w:t>e</w:t>
      </w:r>
      <w:r w:rsidRPr="002103AD">
        <w:rPr>
          <w:sz w:val="24"/>
          <w:szCs w:val="24"/>
        </w:rPr>
        <w:t xml:space="preserve"> OPPIK.</w:t>
      </w:r>
      <w:r w:rsidR="002103AD">
        <w:rPr>
          <w:sz w:val="24"/>
          <w:szCs w:val="24"/>
        </w:rPr>
        <w:t xml:space="preserve"> </w:t>
      </w:r>
      <w:r w:rsidRPr="002103AD">
        <w:rPr>
          <w:sz w:val="24"/>
          <w:szCs w:val="24"/>
        </w:rPr>
        <w:t>Jak z</w:t>
      </w:r>
      <w:r w:rsidR="00D81945" w:rsidRPr="002103AD">
        <w:rPr>
          <w:sz w:val="24"/>
          <w:szCs w:val="24"/>
        </w:rPr>
        <w:t> hlediska stavu peněžních prostředků v právních aktech o poskytnutí/převodu podpory</w:t>
      </w:r>
      <w:r w:rsidRPr="002103AD">
        <w:rPr>
          <w:sz w:val="24"/>
          <w:szCs w:val="24"/>
        </w:rPr>
        <w:t>,</w:t>
      </w:r>
      <w:r w:rsidR="00D81945" w:rsidRPr="002103AD">
        <w:rPr>
          <w:sz w:val="24"/>
          <w:szCs w:val="24"/>
        </w:rPr>
        <w:t xml:space="preserve"> </w:t>
      </w:r>
      <w:r w:rsidRPr="002103AD">
        <w:rPr>
          <w:sz w:val="24"/>
          <w:szCs w:val="24"/>
        </w:rPr>
        <w:t>tak podle</w:t>
      </w:r>
      <w:r w:rsidR="0043751F">
        <w:rPr>
          <w:sz w:val="24"/>
          <w:szCs w:val="24"/>
        </w:rPr>
        <w:t xml:space="preserve"> </w:t>
      </w:r>
      <w:r w:rsidR="00D81945" w:rsidRPr="002103AD">
        <w:rPr>
          <w:sz w:val="24"/>
          <w:szCs w:val="24"/>
        </w:rPr>
        <w:t xml:space="preserve">výše proplacených prostředků příjemcům podpory je OPPIK na posledním místě mezi operačními programy </w:t>
      </w:r>
      <w:r w:rsidRPr="002103AD">
        <w:rPr>
          <w:sz w:val="24"/>
          <w:szCs w:val="24"/>
        </w:rPr>
        <w:t>v</w:t>
      </w:r>
      <w:r w:rsidR="002103AD">
        <w:rPr>
          <w:sz w:val="24"/>
          <w:szCs w:val="24"/>
        </w:rPr>
        <w:t xml:space="preserve"> </w:t>
      </w:r>
      <w:r w:rsidR="00D81945" w:rsidRPr="002103AD">
        <w:rPr>
          <w:sz w:val="24"/>
          <w:szCs w:val="24"/>
        </w:rPr>
        <w:t>ČR</w:t>
      </w:r>
      <w:r w:rsidR="006930F7" w:rsidRPr="002103AD">
        <w:rPr>
          <w:sz w:val="24"/>
          <w:szCs w:val="24"/>
        </w:rPr>
        <w:t>, jak je názorně vidět v </w:t>
      </w:r>
      <w:r w:rsidR="0069034A" w:rsidRPr="002103AD">
        <w:rPr>
          <w:sz w:val="24"/>
          <w:szCs w:val="24"/>
        </w:rPr>
        <w:t>g</w:t>
      </w:r>
      <w:r w:rsidR="0049547D">
        <w:rPr>
          <w:sz w:val="24"/>
          <w:szCs w:val="24"/>
        </w:rPr>
        <w:t>rafech č. </w:t>
      </w:r>
      <w:r w:rsidR="006930F7" w:rsidRPr="002103AD">
        <w:rPr>
          <w:sz w:val="24"/>
          <w:szCs w:val="24"/>
        </w:rPr>
        <w:t>1 a 2</w:t>
      </w:r>
      <w:r w:rsidR="0049547D">
        <w:rPr>
          <w:sz w:val="24"/>
          <w:szCs w:val="24"/>
        </w:rPr>
        <w:t xml:space="preserve"> a v příloze č. </w:t>
      </w:r>
      <w:r w:rsidR="0069034A" w:rsidRPr="002103AD">
        <w:rPr>
          <w:sz w:val="24"/>
          <w:szCs w:val="24"/>
        </w:rPr>
        <w:t>3</w:t>
      </w:r>
      <w:r w:rsidR="002103AD">
        <w:rPr>
          <w:sz w:val="24"/>
          <w:szCs w:val="24"/>
        </w:rPr>
        <w:t>.</w:t>
      </w:r>
    </w:p>
    <w:p w14:paraId="71E7CA5A" w14:textId="77777777" w:rsidR="00E669B2" w:rsidRDefault="00E669B2" w:rsidP="002103AD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644AD7C7" w14:textId="258A0A14" w:rsidR="001D1FC5" w:rsidRPr="001D1FC5" w:rsidRDefault="00C83A89" w:rsidP="007B3A70">
      <w:pPr>
        <w:pStyle w:val="Odstavecseseznamem"/>
        <w:keepNext/>
        <w:spacing w:after="0" w:line="280" w:lineRule="atLeast"/>
        <w:ind w:left="964" w:hanging="964"/>
        <w:contextualSpacing w:val="0"/>
        <w:jc w:val="both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lastRenderedPageBreak/>
        <w:t>Graf č. </w:t>
      </w:r>
      <w:r w:rsidR="001D1FC5" w:rsidRPr="001D1FC5">
        <w:rPr>
          <w:rFonts w:cstheme="minorHAnsi"/>
          <w:b/>
          <w:color w:val="000000"/>
          <w:sz w:val="24"/>
          <w:szCs w:val="24"/>
        </w:rPr>
        <w:t>1</w:t>
      </w:r>
      <w:r w:rsidR="00245053">
        <w:rPr>
          <w:rFonts w:cstheme="minorHAnsi"/>
          <w:b/>
          <w:color w:val="000000"/>
          <w:sz w:val="24"/>
          <w:szCs w:val="24"/>
        </w:rPr>
        <w:t>:</w:t>
      </w:r>
      <w:r w:rsidR="001D1FC5" w:rsidRPr="001D1FC5">
        <w:rPr>
          <w:rFonts w:cstheme="minorHAnsi"/>
          <w:b/>
          <w:color w:val="000000"/>
          <w:sz w:val="24"/>
          <w:szCs w:val="24"/>
        </w:rPr>
        <w:t xml:space="preserve"> </w:t>
      </w:r>
      <w:r w:rsidR="00BC04E5">
        <w:rPr>
          <w:rFonts w:cstheme="minorHAnsi"/>
          <w:b/>
          <w:color w:val="000000"/>
          <w:sz w:val="24"/>
          <w:szCs w:val="24"/>
        </w:rPr>
        <w:tab/>
      </w:r>
      <w:r w:rsidR="004632E7">
        <w:rPr>
          <w:rFonts w:cstheme="minorHAnsi"/>
          <w:b/>
          <w:color w:val="000000"/>
          <w:sz w:val="24"/>
          <w:szCs w:val="24"/>
        </w:rPr>
        <w:t>Poměr</w:t>
      </w:r>
      <w:r w:rsidR="001D1FC5" w:rsidRPr="001D1FC5">
        <w:rPr>
          <w:rFonts w:cstheme="minorHAnsi"/>
          <w:b/>
          <w:color w:val="000000"/>
          <w:sz w:val="24"/>
          <w:szCs w:val="24"/>
        </w:rPr>
        <w:t xml:space="preserve"> peněžních prostředků v </w:t>
      </w:r>
      <w:r w:rsidR="001D1FC5" w:rsidRPr="001D1FC5">
        <w:rPr>
          <w:b/>
          <w:sz w:val="24"/>
          <w:szCs w:val="24"/>
        </w:rPr>
        <w:t xml:space="preserve">právních aktech o poskytnutí/převodu podpory </w:t>
      </w:r>
      <w:r w:rsidR="005316CF">
        <w:rPr>
          <w:b/>
          <w:sz w:val="24"/>
          <w:szCs w:val="24"/>
        </w:rPr>
        <w:t xml:space="preserve">vůči hlavní alokaci </w:t>
      </w:r>
      <w:r w:rsidR="00FA3F08">
        <w:rPr>
          <w:b/>
          <w:sz w:val="24"/>
          <w:szCs w:val="24"/>
        </w:rPr>
        <w:t xml:space="preserve">u </w:t>
      </w:r>
      <w:r w:rsidR="002B0325">
        <w:rPr>
          <w:b/>
          <w:sz w:val="24"/>
          <w:szCs w:val="24"/>
        </w:rPr>
        <w:t>jednotlivých operačních programů ČR</w:t>
      </w:r>
      <w:r w:rsidR="005316CF">
        <w:rPr>
          <w:b/>
          <w:sz w:val="24"/>
          <w:szCs w:val="24"/>
        </w:rPr>
        <w:t xml:space="preserve"> </w:t>
      </w:r>
      <w:r w:rsidR="00245053">
        <w:rPr>
          <w:b/>
          <w:sz w:val="24"/>
          <w:szCs w:val="24"/>
        </w:rPr>
        <w:t>k 31. březnu 2019</w:t>
      </w:r>
      <w:r w:rsidR="00FA3F08">
        <w:rPr>
          <w:b/>
          <w:sz w:val="24"/>
          <w:szCs w:val="24"/>
        </w:rPr>
        <w:t xml:space="preserve"> </w:t>
      </w:r>
      <w:r w:rsidR="00FA3F08" w:rsidRPr="001D1FC5">
        <w:rPr>
          <w:b/>
          <w:sz w:val="24"/>
          <w:szCs w:val="24"/>
        </w:rPr>
        <w:t>(v %)</w:t>
      </w:r>
    </w:p>
    <w:p w14:paraId="2644DB84" w14:textId="77777777" w:rsidR="001D1FC5" w:rsidRDefault="001D1FC5" w:rsidP="00286760">
      <w:pPr>
        <w:pStyle w:val="Odstavecseseznamem"/>
        <w:tabs>
          <w:tab w:val="left" w:pos="567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039E70C5" wp14:editId="7058D782">
            <wp:extent cx="5219700" cy="2621280"/>
            <wp:effectExtent l="0" t="0" r="0" b="7620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3AA611D9" w14:textId="00D8DDEF" w:rsidR="00497DEE" w:rsidRPr="00312893" w:rsidRDefault="00497DEE" w:rsidP="001B09C0">
      <w:pPr>
        <w:spacing w:after="0" w:line="280" w:lineRule="atLeast"/>
        <w:ind w:left="567" w:hanging="567"/>
        <w:rPr>
          <w:rFonts w:cstheme="minorHAnsi"/>
          <w:sz w:val="20"/>
          <w:szCs w:val="20"/>
        </w:rPr>
      </w:pPr>
      <w:r w:rsidRPr="00312893">
        <w:rPr>
          <w:rFonts w:cstheme="minorHAnsi"/>
          <w:b/>
          <w:sz w:val="20"/>
          <w:szCs w:val="20"/>
        </w:rPr>
        <w:t>Zdroj:</w:t>
      </w:r>
      <w:r w:rsidRPr="00312893">
        <w:rPr>
          <w:rFonts w:cstheme="minorHAnsi"/>
          <w:sz w:val="20"/>
          <w:szCs w:val="20"/>
        </w:rPr>
        <w:tab/>
      </w:r>
      <w:r w:rsidRPr="007B3A70">
        <w:rPr>
          <w:rFonts w:cstheme="minorHAnsi"/>
          <w:i/>
          <w:sz w:val="20"/>
          <w:szCs w:val="20"/>
        </w:rPr>
        <w:t xml:space="preserve">Čtvrtletní zpráva o implementaci ESI fondů v České republice v programovém období 2014–2020 </w:t>
      </w:r>
      <w:r w:rsidR="00FA3F08">
        <w:rPr>
          <w:rFonts w:cstheme="minorHAnsi"/>
          <w:i/>
          <w:sz w:val="20"/>
          <w:szCs w:val="20"/>
        </w:rPr>
        <w:t>–</w:t>
      </w:r>
      <w:r w:rsidRPr="007B3A70">
        <w:rPr>
          <w:rFonts w:cstheme="minorHAnsi"/>
          <w:i/>
          <w:sz w:val="20"/>
          <w:szCs w:val="20"/>
        </w:rPr>
        <w:t xml:space="preserve"> I. </w:t>
      </w:r>
      <w:r w:rsidR="006D22A3" w:rsidRPr="007B3A70">
        <w:rPr>
          <w:rFonts w:cstheme="minorHAnsi"/>
          <w:i/>
          <w:sz w:val="20"/>
          <w:szCs w:val="20"/>
        </w:rPr>
        <w:t>čtvrtletí 2019</w:t>
      </w:r>
      <w:r w:rsidR="006D22A3">
        <w:rPr>
          <w:rFonts w:cstheme="minorHAnsi"/>
          <w:sz w:val="20"/>
          <w:szCs w:val="20"/>
        </w:rPr>
        <w:t>.</w:t>
      </w:r>
    </w:p>
    <w:p w14:paraId="100782D5" w14:textId="77777777" w:rsidR="00656587" w:rsidRPr="00656587" w:rsidRDefault="00656587" w:rsidP="001D1FC5">
      <w:pPr>
        <w:pStyle w:val="Odstavecseseznamem"/>
        <w:tabs>
          <w:tab w:val="left" w:pos="567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</w:p>
    <w:p w14:paraId="3ABE63D3" w14:textId="54FA36D4" w:rsidR="001D1FC5" w:rsidRPr="001D1FC5" w:rsidRDefault="005E14DB" w:rsidP="007B3A70">
      <w:pPr>
        <w:ind w:left="964" w:hanging="964"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Graf č. </w:t>
      </w:r>
      <w:r w:rsidR="001D1FC5" w:rsidRPr="001D1FC5">
        <w:rPr>
          <w:rFonts w:cstheme="minorHAnsi"/>
          <w:b/>
          <w:color w:val="000000"/>
          <w:sz w:val="24"/>
          <w:szCs w:val="24"/>
        </w:rPr>
        <w:t>2</w:t>
      </w:r>
      <w:r w:rsidR="00245053">
        <w:rPr>
          <w:rFonts w:cstheme="minorHAnsi"/>
          <w:b/>
          <w:color w:val="000000"/>
          <w:sz w:val="24"/>
          <w:szCs w:val="24"/>
        </w:rPr>
        <w:t>:</w:t>
      </w:r>
      <w:r w:rsidR="001D1FC5" w:rsidRPr="001D1FC5">
        <w:rPr>
          <w:rFonts w:cstheme="minorHAnsi"/>
          <w:b/>
          <w:color w:val="000000"/>
          <w:sz w:val="24"/>
          <w:szCs w:val="24"/>
        </w:rPr>
        <w:t xml:space="preserve"> </w:t>
      </w:r>
      <w:r w:rsidR="00BC04E5">
        <w:rPr>
          <w:rFonts w:cstheme="minorHAnsi"/>
          <w:b/>
          <w:color w:val="000000"/>
          <w:sz w:val="24"/>
          <w:szCs w:val="24"/>
        </w:rPr>
        <w:tab/>
      </w:r>
      <w:r w:rsidR="00C83A89">
        <w:rPr>
          <w:rFonts w:cstheme="minorHAnsi"/>
          <w:b/>
          <w:color w:val="000000"/>
          <w:sz w:val="24"/>
          <w:szCs w:val="24"/>
        </w:rPr>
        <w:t xml:space="preserve">Poměr </w:t>
      </w:r>
      <w:r w:rsidR="001D1FC5" w:rsidRPr="001D1FC5">
        <w:rPr>
          <w:rFonts w:cstheme="minorHAnsi"/>
          <w:b/>
          <w:color w:val="000000"/>
          <w:sz w:val="24"/>
          <w:szCs w:val="24"/>
        </w:rPr>
        <w:t>peněžních prostředků v proplacených žádostech o platbu</w:t>
      </w:r>
      <w:r w:rsidR="005316CF">
        <w:rPr>
          <w:rFonts w:cstheme="minorHAnsi"/>
          <w:b/>
          <w:color w:val="000000"/>
          <w:sz w:val="24"/>
          <w:szCs w:val="24"/>
        </w:rPr>
        <w:t xml:space="preserve"> vůči hlavní alokaci </w:t>
      </w:r>
      <w:r w:rsidR="00BC04E5">
        <w:rPr>
          <w:rFonts w:cstheme="minorHAnsi"/>
          <w:b/>
          <w:color w:val="000000"/>
          <w:sz w:val="24"/>
          <w:szCs w:val="24"/>
        </w:rPr>
        <w:t xml:space="preserve">u </w:t>
      </w:r>
      <w:r w:rsidR="002B0325">
        <w:rPr>
          <w:b/>
          <w:sz w:val="24"/>
          <w:szCs w:val="24"/>
        </w:rPr>
        <w:t>jednotlivých operačních programů ČR</w:t>
      </w:r>
      <w:r w:rsidR="001D1FC5" w:rsidRPr="001D1FC5">
        <w:rPr>
          <w:rFonts w:cstheme="minorHAnsi"/>
          <w:b/>
          <w:color w:val="000000"/>
          <w:sz w:val="24"/>
          <w:szCs w:val="24"/>
        </w:rPr>
        <w:t xml:space="preserve"> </w:t>
      </w:r>
      <w:r w:rsidR="00245053">
        <w:rPr>
          <w:b/>
          <w:sz w:val="24"/>
          <w:szCs w:val="24"/>
        </w:rPr>
        <w:t>k 31. březnu 2019</w:t>
      </w:r>
      <w:r w:rsidR="00BC04E5">
        <w:rPr>
          <w:b/>
          <w:sz w:val="24"/>
          <w:szCs w:val="24"/>
        </w:rPr>
        <w:t xml:space="preserve"> </w:t>
      </w:r>
      <w:r w:rsidR="00BC04E5" w:rsidRPr="001D1FC5">
        <w:rPr>
          <w:rFonts w:cstheme="minorHAnsi"/>
          <w:b/>
          <w:color w:val="000000"/>
          <w:sz w:val="24"/>
          <w:szCs w:val="24"/>
        </w:rPr>
        <w:t>(v %)</w:t>
      </w:r>
    </w:p>
    <w:p w14:paraId="35085E09" w14:textId="77777777" w:rsidR="001D1FC5" w:rsidRDefault="001D1FC5" w:rsidP="001D1FC5">
      <w:pPr>
        <w:tabs>
          <w:tab w:val="left" w:pos="567"/>
        </w:tabs>
        <w:spacing w:after="0" w:line="280" w:lineRule="atLeast"/>
        <w:jc w:val="both"/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1B507AEF" wp14:editId="7988DB18">
            <wp:extent cx="5233917" cy="3166280"/>
            <wp:effectExtent l="0" t="0" r="5080" b="0"/>
            <wp:docPr id="2" name="Graf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14:paraId="1D0C4495" w14:textId="6C3FBCEC" w:rsidR="00497DEE" w:rsidRPr="00312893" w:rsidRDefault="00497DEE" w:rsidP="001B09C0">
      <w:pPr>
        <w:spacing w:after="0" w:line="280" w:lineRule="atLeast"/>
        <w:ind w:left="567" w:hanging="567"/>
        <w:rPr>
          <w:rFonts w:cstheme="minorHAnsi"/>
          <w:sz w:val="20"/>
          <w:szCs w:val="20"/>
        </w:rPr>
      </w:pPr>
      <w:r w:rsidRPr="00312893">
        <w:rPr>
          <w:rFonts w:cstheme="minorHAnsi"/>
          <w:b/>
          <w:sz w:val="20"/>
          <w:szCs w:val="20"/>
        </w:rPr>
        <w:t>Zdroj:</w:t>
      </w:r>
      <w:r w:rsidRPr="00312893">
        <w:rPr>
          <w:rFonts w:cstheme="minorHAnsi"/>
          <w:sz w:val="20"/>
          <w:szCs w:val="20"/>
        </w:rPr>
        <w:tab/>
      </w:r>
      <w:r w:rsidRPr="007B3A70">
        <w:rPr>
          <w:rFonts w:cstheme="minorHAnsi"/>
          <w:i/>
          <w:sz w:val="20"/>
          <w:szCs w:val="20"/>
        </w:rPr>
        <w:t xml:space="preserve">Čtvrtletní zpráva o implementaci ESI fondů v České republice v programovém období 2014–2020 </w:t>
      </w:r>
      <w:r w:rsidR="00BC04E5" w:rsidRPr="007B3A70">
        <w:rPr>
          <w:rFonts w:cstheme="minorHAnsi"/>
          <w:i/>
          <w:sz w:val="20"/>
          <w:szCs w:val="20"/>
        </w:rPr>
        <w:t>–</w:t>
      </w:r>
      <w:r w:rsidRPr="007B3A70">
        <w:rPr>
          <w:rFonts w:cstheme="minorHAnsi"/>
          <w:i/>
          <w:sz w:val="20"/>
          <w:szCs w:val="20"/>
        </w:rPr>
        <w:t xml:space="preserve"> I. čtvrtle</w:t>
      </w:r>
      <w:r w:rsidR="006D22A3" w:rsidRPr="007B3A70">
        <w:rPr>
          <w:rFonts w:cstheme="minorHAnsi"/>
          <w:i/>
          <w:sz w:val="20"/>
          <w:szCs w:val="20"/>
        </w:rPr>
        <w:t>tí 2019</w:t>
      </w:r>
      <w:r w:rsidR="006D22A3">
        <w:rPr>
          <w:rFonts w:cstheme="minorHAnsi"/>
          <w:sz w:val="20"/>
          <w:szCs w:val="20"/>
        </w:rPr>
        <w:t>.</w:t>
      </w:r>
    </w:p>
    <w:p w14:paraId="7AAFBC47" w14:textId="77777777" w:rsidR="002103AD" w:rsidRDefault="002103AD" w:rsidP="002103AD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42D6D9D1" w14:textId="563EE651" w:rsidR="00134E77" w:rsidRPr="00FF2B8F" w:rsidRDefault="00134E77" w:rsidP="006B0643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134E77">
        <w:rPr>
          <w:sz w:val="24"/>
          <w:szCs w:val="24"/>
        </w:rPr>
        <w:t>Evropská komise v dubnu 2018 pozastavila certifikaci výdajů OPPIK na základě vysoké mír</w:t>
      </w:r>
      <w:r w:rsidR="00BF7F83">
        <w:rPr>
          <w:sz w:val="24"/>
          <w:szCs w:val="24"/>
        </w:rPr>
        <w:t>y</w:t>
      </w:r>
      <w:r w:rsidRPr="00134E77">
        <w:rPr>
          <w:sz w:val="24"/>
          <w:szCs w:val="24"/>
        </w:rPr>
        <w:t xml:space="preserve"> chybovosti odhalené </w:t>
      </w:r>
      <w:r w:rsidR="002013F2">
        <w:rPr>
          <w:sz w:val="24"/>
          <w:szCs w:val="24"/>
        </w:rPr>
        <w:t xml:space="preserve">na vzorku projektů </w:t>
      </w:r>
      <w:r w:rsidRPr="00134E77">
        <w:rPr>
          <w:sz w:val="24"/>
          <w:szCs w:val="24"/>
        </w:rPr>
        <w:t>Auditním orgánem M</w:t>
      </w:r>
      <w:r w:rsidR="002013F2">
        <w:rPr>
          <w:sz w:val="24"/>
          <w:szCs w:val="24"/>
        </w:rPr>
        <w:t>inisterstva financí</w:t>
      </w:r>
      <w:r w:rsidR="00EF6659">
        <w:rPr>
          <w:sz w:val="24"/>
          <w:szCs w:val="24"/>
        </w:rPr>
        <w:t xml:space="preserve">. Tato </w:t>
      </w:r>
      <w:r w:rsidR="00782B43">
        <w:rPr>
          <w:sz w:val="24"/>
          <w:szCs w:val="24"/>
        </w:rPr>
        <w:t xml:space="preserve">identifikovaná </w:t>
      </w:r>
      <w:r w:rsidR="00EF6659">
        <w:rPr>
          <w:sz w:val="24"/>
          <w:szCs w:val="24"/>
        </w:rPr>
        <w:t>míra chybovosti činila přes 14 %</w:t>
      </w:r>
      <w:r w:rsidR="003D2B90">
        <w:rPr>
          <w:sz w:val="24"/>
          <w:szCs w:val="24"/>
        </w:rPr>
        <w:t>, přičemž tzv. hladina významnosti</w:t>
      </w:r>
      <w:r w:rsidR="00782B43">
        <w:rPr>
          <w:sz w:val="24"/>
          <w:szCs w:val="24"/>
        </w:rPr>
        <w:t xml:space="preserve"> je</w:t>
      </w:r>
      <w:r w:rsidR="003D2B90">
        <w:rPr>
          <w:sz w:val="24"/>
          <w:szCs w:val="24"/>
        </w:rPr>
        <w:t xml:space="preserve"> Evropskou </w:t>
      </w:r>
      <w:r w:rsidR="003D2B90">
        <w:rPr>
          <w:sz w:val="24"/>
          <w:szCs w:val="24"/>
        </w:rPr>
        <w:lastRenderedPageBreak/>
        <w:t>komisí</w:t>
      </w:r>
      <w:r w:rsidR="00BC04E5">
        <w:rPr>
          <w:sz w:val="24"/>
          <w:szCs w:val="24"/>
        </w:rPr>
        <w:t xml:space="preserve"> </w:t>
      </w:r>
      <w:r w:rsidR="006B0643">
        <w:rPr>
          <w:sz w:val="24"/>
          <w:szCs w:val="24"/>
        </w:rPr>
        <w:t>stanovena na 2 </w:t>
      </w:r>
      <w:r w:rsidR="003D2B90">
        <w:rPr>
          <w:sz w:val="24"/>
          <w:szCs w:val="24"/>
        </w:rPr>
        <w:t>%</w:t>
      </w:r>
      <w:r w:rsidR="00BC04E5" w:rsidRPr="006B0643">
        <w:rPr>
          <w:vertAlign w:val="superscript"/>
        </w:rPr>
        <w:footnoteReference w:id="14"/>
      </w:r>
      <w:r w:rsidR="006571D1">
        <w:rPr>
          <w:sz w:val="24"/>
          <w:szCs w:val="24"/>
        </w:rPr>
        <w:t xml:space="preserve">; </w:t>
      </w:r>
      <w:r w:rsidR="006930F7">
        <w:rPr>
          <w:sz w:val="24"/>
          <w:szCs w:val="24"/>
        </w:rPr>
        <w:t>zjištěná</w:t>
      </w:r>
      <w:r w:rsidR="006571D1">
        <w:rPr>
          <w:sz w:val="24"/>
          <w:szCs w:val="24"/>
        </w:rPr>
        <w:t xml:space="preserve"> míra chybovosti u OP</w:t>
      </w:r>
      <w:r w:rsidR="003D2B90">
        <w:rPr>
          <w:sz w:val="24"/>
          <w:szCs w:val="24"/>
        </w:rPr>
        <w:t xml:space="preserve">PIK ji tak sedminásobně převyšovala. Audit také </w:t>
      </w:r>
      <w:r w:rsidRPr="00134E77">
        <w:rPr>
          <w:sz w:val="24"/>
          <w:szCs w:val="24"/>
        </w:rPr>
        <w:t>identifikoval</w:t>
      </w:r>
      <w:r>
        <w:rPr>
          <w:sz w:val="24"/>
          <w:szCs w:val="24"/>
        </w:rPr>
        <w:t xml:space="preserve"> problémy v </w:t>
      </w:r>
      <w:r w:rsidRPr="00134E77">
        <w:rPr>
          <w:sz w:val="24"/>
          <w:szCs w:val="24"/>
        </w:rPr>
        <w:t>nastavení pravidel pro podpořené projekty</w:t>
      </w:r>
      <w:r w:rsidRPr="006B0643">
        <w:rPr>
          <w:sz w:val="24"/>
          <w:szCs w:val="24"/>
          <w:vertAlign w:val="superscript"/>
        </w:rPr>
        <w:footnoteReference w:id="15"/>
      </w:r>
      <w:r w:rsidR="00AC22BE">
        <w:rPr>
          <w:sz w:val="24"/>
          <w:szCs w:val="24"/>
        </w:rPr>
        <w:t>.</w:t>
      </w:r>
    </w:p>
    <w:p w14:paraId="476F01AA" w14:textId="77777777" w:rsidR="00134E77" w:rsidRPr="00134E77" w:rsidRDefault="00134E77" w:rsidP="00134E77">
      <w:pPr>
        <w:pStyle w:val="Odstavecseseznamem"/>
        <w:tabs>
          <w:tab w:val="left" w:pos="567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</w:p>
    <w:p w14:paraId="089FAF54" w14:textId="4DDAB713" w:rsidR="001D1FC5" w:rsidRPr="00FF2B8F" w:rsidRDefault="00134E77" w:rsidP="006B0643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134E77">
        <w:rPr>
          <w:sz w:val="24"/>
          <w:szCs w:val="24"/>
        </w:rPr>
        <w:t xml:space="preserve">Výše uvedené výsledky </w:t>
      </w:r>
      <w:r w:rsidR="00B1427C">
        <w:rPr>
          <w:sz w:val="24"/>
          <w:szCs w:val="24"/>
        </w:rPr>
        <w:t>implementac</w:t>
      </w:r>
      <w:r w:rsidR="001444F0">
        <w:rPr>
          <w:sz w:val="24"/>
          <w:szCs w:val="24"/>
        </w:rPr>
        <w:t>e</w:t>
      </w:r>
      <w:r w:rsidR="00B1427C">
        <w:rPr>
          <w:sz w:val="24"/>
          <w:szCs w:val="24"/>
        </w:rPr>
        <w:t xml:space="preserve"> OPPIK </w:t>
      </w:r>
      <w:r w:rsidR="001444F0">
        <w:rPr>
          <w:sz w:val="24"/>
          <w:szCs w:val="24"/>
        </w:rPr>
        <w:t>dokládají rezervy v</w:t>
      </w:r>
      <w:r w:rsidR="00782B43">
        <w:rPr>
          <w:sz w:val="24"/>
          <w:szCs w:val="24"/>
        </w:rPr>
        <w:t xml:space="preserve"> řádném finančním řízení, tedy ve fungování </w:t>
      </w:r>
      <w:r w:rsidR="001444F0">
        <w:rPr>
          <w:sz w:val="24"/>
          <w:szCs w:val="24"/>
        </w:rPr>
        <w:t>říd</w:t>
      </w:r>
      <w:r w:rsidR="00BC04E5">
        <w:rPr>
          <w:sz w:val="24"/>
          <w:szCs w:val="24"/>
        </w:rPr>
        <w:t>i</w:t>
      </w:r>
      <w:r w:rsidR="001444F0">
        <w:rPr>
          <w:sz w:val="24"/>
          <w:szCs w:val="24"/>
        </w:rPr>
        <w:t>cí</w:t>
      </w:r>
      <w:r w:rsidR="00782B43">
        <w:rPr>
          <w:sz w:val="24"/>
          <w:szCs w:val="24"/>
        </w:rPr>
        <w:t>ho</w:t>
      </w:r>
      <w:r w:rsidR="001444F0">
        <w:rPr>
          <w:sz w:val="24"/>
          <w:szCs w:val="24"/>
        </w:rPr>
        <w:t xml:space="preserve"> a</w:t>
      </w:r>
      <w:r w:rsidR="00BC04E5">
        <w:rPr>
          <w:sz w:val="24"/>
          <w:szCs w:val="24"/>
        </w:rPr>
        <w:t xml:space="preserve"> </w:t>
      </w:r>
      <w:r w:rsidRPr="00134E77">
        <w:rPr>
          <w:sz w:val="24"/>
          <w:szCs w:val="24"/>
        </w:rPr>
        <w:t>kontrolní</w:t>
      </w:r>
      <w:r w:rsidR="00782B43">
        <w:rPr>
          <w:sz w:val="24"/>
          <w:szCs w:val="24"/>
        </w:rPr>
        <w:t>ho</w:t>
      </w:r>
      <w:r w:rsidRPr="00134E77">
        <w:rPr>
          <w:sz w:val="24"/>
          <w:szCs w:val="24"/>
        </w:rPr>
        <w:t xml:space="preserve"> systému MPO jako říd</w:t>
      </w:r>
      <w:r w:rsidR="00BC04E5">
        <w:rPr>
          <w:sz w:val="24"/>
          <w:szCs w:val="24"/>
        </w:rPr>
        <w:t>i</w:t>
      </w:r>
      <w:r w:rsidRPr="00134E77">
        <w:rPr>
          <w:sz w:val="24"/>
          <w:szCs w:val="24"/>
        </w:rPr>
        <w:t>cího orgánu v kontrolovaném období</w:t>
      </w:r>
      <w:r w:rsidR="00BC04E5">
        <w:rPr>
          <w:sz w:val="24"/>
          <w:szCs w:val="24"/>
        </w:rPr>
        <w:t>,</w:t>
      </w:r>
      <w:r w:rsidRPr="00134E77">
        <w:rPr>
          <w:sz w:val="24"/>
          <w:szCs w:val="24"/>
        </w:rPr>
        <w:t xml:space="preserve"> </w:t>
      </w:r>
      <w:r w:rsidR="001444F0">
        <w:rPr>
          <w:sz w:val="24"/>
          <w:szCs w:val="24"/>
        </w:rPr>
        <w:t>a</w:t>
      </w:r>
      <w:r w:rsidR="00BC04E5">
        <w:rPr>
          <w:sz w:val="24"/>
          <w:szCs w:val="24"/>
        </w:rPr>
        <w:t xml:space="preserve"> </w:t>
      </w:r>
      <w:r w:rsidR="00B1427C">
        <w:rPr>
          <w:sz w:val="24"/>
          <w:szCs w:val="24"/>
        </w:rPr>
        <w:t>tedy i</w:t>
      </w:r>
      <w:r w:rsidR="00BC04E5">
        <w:rPr>
          <w:sz w:val="24"/>
          <w:szCs w:val="24"/>
        </w:rPr>
        <w:t xml:space="preserve"> </w:t>
      </w:r>
      <w:r w:rsidR="00B1427C">
        <w:rPr>
          <w:sz w:val="24"/>
          <w:szCs w:val="24"/>
        </w:rPr>
        <w:t>v </w:t>
      </w:r>
      <w:r w:rsidRPr="00134E77">
        <w:rPr>
          <w:sz w:val="24"/>
          <w:szCs w:val="24"/>
        </w:rPr>
        <w:t>efektivnosti jeho činnosti</w:t>
      </w:r>
      <w:r w:rsidR="00B1427C">
        <w:rPr>
          <w:sz w:val="24"/>
          <w:szCs w:val="24"/>
        </w:rPr>
        <w:t>, která je</w:t>
      </w:r>
      <w:r w:rsidR="00782B43">
        <w:rPr>
          <w:sz w:val="24"/>
          <w:szCs w:val="24"/>
        </w:rPr>
        <w:t xml:space="preserve"> </w:t>
      </w:r>
      <w:r w:rsidR="00782B43" w:rsidRPr="00BC04E5">
        <w:rPr>
          <w:sz w:val="24"/>
          <w:szCs w:val="24"/>
        </w:rPr>
        <w:t>financována</w:t>
      </w:r>
      <w:r w:rsidR="00B1427C" w:rsidRPr="00BC04E5">
        <w:rPr>
          <w:sz w:val="24"/>
          <w:szCs w:val="24"/>
        </w:rPr>
        <w:t xml:space="preserve"> </w:t>
      </w:r>
      <w:r w:rsidRPr="00BC04E5">
        <w:rPr>
          <w:sz w:val="24"/>
          <w:szCs w:val="24"/>
        </w:rPr>
        <w:t>z</w:t>
      </w:r>
      <w:r w:rsidR="00BC04E5" w:rsidRPr="007B3A70">
        <w:rPr>
          <w:sz w:val="24"/>
          <w:szCs w:val="24"/>
        </w:rPr>
        <w:t> </w:t>
      </w:r>
      <w:r w:rsidRPr="00BC04E5">
        <w:rPr>
          <w:sz w:val="24"/>
          <w:szCs w:val="24"/>
        </w:rPr>
        <w:t>prostředků</w:t>
      </w:r>
      <w:r w:rsidRPr="00134E77">
        <w:rPr>
          <w:sz w:val="24"/>
          <w:szCs w:val="24"/>
        </w:rPr>
        <w:t xml:space="preserve"> PO 5 OPPIK.</w:t>
      </w:r>
    </w:p>
    <w:p w14:paraId="7115D173" w14:textId="77777777" w:rsidR="003D2B90" w:rsidRDefault="003D2B90" w:rsidP="00134E77">
      <w:pPr>
        <w:pStyle w:val="Odstavecseseznamem"/>
        <w:tabs>
          <w:tab w:val="left" w:pos="567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</w:p>
    <w:p w14:paraId="6D1121DC" w14:textId="0B6280ED" w:rsidR="003D2B90" w:rsidRPr="006B0643" w:rsidRDefault="003D2B90" w:rsidP="003D2B90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6B0643">
        <w:rPr>
          <w:rFonts w:cstheme="minorHAnsi"/>
          <w:b/>
          <w:color w:val="FF0000"/>
          <w:sz w:val="24"/>
          <w:szCs w:val="24"/>
        </w:rPr>
        <w:t>→</w:t>
      </w:r>
      <w:r w:rsidRPr="006B0643">
        <w:rPr>
          <w:b/>
          <w:i/>
          <w:color w:val="FF0000"/>
          <w:sz w:val="24"/>
          <w:szCs w:val="24"/>
        </w:rPr>
        <w:t xml:space="preserve"> Při realizaci PO 5 OPPIK nedošlo k překryvu s </w:t>
      </w:r>
      <w:r w:rsidR="00BC04E5">
        <w:rPr>
          <w:b/>
          <w:i/>
          <w:color w:val="FF0000"/>
          <w:sz w:val="24"/>
          <w:szCs w:val="24"/>
        </w:rPr>
        <w:t>o</w:t>
      </w:r>
      <w:r w:rsidRPr="006B0643">
        <w:rPr>
          <w:b/>
          <w:i/>
          <w:color w:val="FF0000"/>
          <w:sz w:val="24"/>
          <w:szCs w:val="24"/>
        </w:rPr>
        <w:t>peračním programem Technická pomoc.</w:t>
      </w:r>
    </w:p>
    <w:p w14:paraId="454CE324" w14:textId="77777777" w:rsidR="006B0643" w:rsidRDefault="006B0643" w:rsidP="006B0643">
      <w:pPr>
        <w:pStyle w:val="Odstavecseseznamem"/>
        <w:tabs>
          <w:tab w:val="left" w:pos="567"/>
        </w:tabs>
        <w:spacing w:after="0" w:line="280" w:lineRule="atLeast"/>
        <w:ind w:left="0"/>
        <w:contextualSpacing w:val="0"/>
        <w:jc w:val="both"/>
        <w:rPr>
          <w:rFonts w:cstheme="minorHAnsi"/>
          <w:color w:val="000000"/>
          <w:sz w:val="24"/>
          <w:szCs w:val="24"/>
        </w:rPr>
      </w:pPr>
    </w:p>
    <w:p w14:paraId="31B2BD69" w14:textId="30CE77A3" w:rsidR="00755A0E" w:rsidRPr="00FE176E" w:rsidRDefault="00FF2B8F" w:rsidP="00FE176E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3D2B90">
        <w:rPr>
          <w:sz w:val="24"/>
          <w:szCs w:val="24"/>
        </w:rPr>
        <w:t xml:space="preserve">Podle </w:t>
      </w:r>
      <w:r w:rsidR="00BC04E5">
        <w:rPr>
          <w:sz w:val="24"/>
          <w:szCs w:val="24"/>
        </w:rPr>
        <w:t>p</w:t>
      </w:r>
      <w:r w:rsidRPr="003D2B90">
        <w:rPr>
          <w:sz w:val="24"/>
          <w:szCs w:val="24"/>
        </w:rPr>
        <w:t>rogramového dokumentu OPPIK má být obecné vzdělávání zaměstnanců implementujících ESI fondy hrazeno i z </w:t>
      </w:r>
      <w:r w:rsidR="00BC04E5">
        <w:rPr>
          <w:sz w:val="24"/>
          <w:szCs w:val="24"/>
        </w:rPr>
        <w:t>o</w:t>
      </w:r>
      <w:r w:rsidRPr="003D2B90">
        <w:rPr>
          <w:sz w:val="24"/>
          <w:szCs w:val="24"/>
        </w:rPr>
        <w:t xml:space="preserve">peračního programu </w:t>
      </w:r>
      <w:r w:rsidRPr="003965AD">
        <w:rPr>
          <w:i/>
          <w:sz w:val="24"/>
          <w:szCs w:val="24"/>
        </w:rPr>
        <w:t>Technická pomoc</w:t>
      </w:r>
      <w:r w:rsidR="008D78A1" w:rsidRPr="00FE176E">
        <w:rPr>
          <w:sz w:val="24"/>
          <w:szCs w:val="24"/>
        </w:rPr>
        <w:t xml:space="preserve">. </w:t>
      </w:r>
      <w:r w:rsidR="008D78A1" w:rsidRPr="009961DC">
        <w:rPr>
          <w:sz w:val="24"/>
          <w:szCs w:val="24"/>
        </w:rPr>
        <w:t>Má</w:t>
      </w:r>
      <w:r w:rsidRPr="009961DC">
        <w:rPr>
          <w:sz w:val="24"/>
          <w:szCs w:val="24"/>
        </w:rPr>
        <w:t xml:space="preserve"> </w:t>
      </w:r>
      <w:r w:rsidR="008D78A1" w:rsidRPr="0004274E">
        <w:rPr>
          <w:sz w:val="24"/>
          <w:szCs w:val="24"/>
        </w:rPr>
        <w:t>se</w:t>
      </w:r>
      <w:r w:rsidRPr="003D2B90">
        <w:rPr>
          <w:sz w:val="24"/>
          <w:szCs w:val="24"/>
        </w:rPr>
        <w:t xml:space="preserve"> jednat zejména o vzdělávání potřebná napříč operačními programy, jako jsou legislativní školení, např. </w:t>
      </w:r>
      <w:r w:rsidR="00AF6971">
        <w:rPr>
          <w:sz w:val="24"/>
          <w:szCs w:val="24"/>
        </w:rPr>
        <w:t>pro oblast zadávání veřejných zakázek</w:t>
      </w:r>
      <w:r w:rsidRPr="003D2B90">
        <w:rPr>
          <w:sz w:val="24"/>
          <w:szCs w:val="24"/>
        </w:rPr>
        <w:t xml:space="preserve">. </w:t>
      </w:r>
      <w:r w:rsidR="00E67638" w:rsidRPr="003D2B90">
        <w:rPr>
          <w:sz w:val="24"/>
          <w:szCs w:val="24"/>
        </w:rPr>
        <w:t xml:space="preserve">V rámci PO 5 </w:t>
      </w:r>
      <w:r w:rsidRPr="003D2B90">
        <w:rPr>
          <w:sz w:val="24"/>
          <w:szCs w:val="24"/>
        </w:rPr>
        <w:t xml:space="preserve">OPPIK </w:t>
      </w:r>
      <w:r w:rsidR="00E67638" w:rsidRPr="003D2B90">
        <w:rPr>
          <w:sz w:val="24"/>
          <w:szCs w:val="24"/>
        </w:rPr>
        <w:t xml:space="preserve">mají pak být hrazena </w:t>
      </w:r>
      <w:r w:rsidRPr="003D2B90">
        <w:rPr>
          <w:sz w:val="24"/>
          <w:szCs w:val="24"/>
        </w:rPr>
        <w:t>školení zaměřená specificky na potřeby žadatelů v</w:t>
      </w:r>
      <w:r w:rsidR="00E67638" w:rsidRPr="003D2B90">
        <w:rPr>
          <w:sz w:val="24"/>
          <w:szCs w:val="24"/>
        </w:rPr>
        <w:t> operačním programu.</w:t>
      </w:r>
      <w:r w:rsidR="003D2B90" w:rsidRPr="003D2B90">
        <w:rPr>
          <w:sz w:val="24"/>
          <w:szCs w:val="24"/>
        </w:rPr>
        <w:t xml:space="preserve"> Oba programy tak mají být vzájemně komplementární a nemají se svými aktivitami překrývat.</w:t>
      </w:r>
    </w:p>
    <w:p w14:paraId="31193D1D" w14:textId="77777777" w:rsidR="001D1FC5" w:rsidRPr="001D1FC5" w:rsidRDefault="001D1FC5" w:rsidP="001D1FC5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304A3E74" w14:textId="7287B9FC" w:rsidR="0000161F" w:rsidRPr="00FF2B8F" w:rsidRDefault="00065574" w:rsidP="00FE176E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D02A7C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24A115F" wp14:editId="3E89217C">
                <wp:simplePos x="0" y="0"/>
                <wp:positionH relativeFrom="margin">
                  <wp:align>left</wp:align>
                </wp:positionH>
                <wp:positionV relativeFrom="paragraph">
                  <wp:posOffset>790733</wp:posOffset>
                </wp:positionV>
                <wp:extent cx="5741670" cy="1404620"/>
                <wp:effectExtent l="0" t="0" r="11430" b="19050"/>
                <wp:wrapSquare wrapText="bothSides"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32FDA6" w14:textId="77777777" w:rsidR="009767D5" w:rsidRPr="00FF2B8F" w:rsidRDefault="009767D5" w:rsidP="00A54F26">
                            <w:pPr>
                              <w:spacing w:before="20" w:after="0"/>
                              <w:ind w:left="284" w:hanging="284"/>
                              <w:rPr>
                                <w:color w:val="004595"/>
                              </w:rPr>
                            </w:pPr>
                            <w:r>
                              <w:rPr>
                                <w:b/>
                                <w:color w:val="004595"/>
                                <w:sz w:val="24"/>
                                <w:szCs w:val="24"/>
                              </w:rPr>
                              <w:t>B. Nastavení výše alokace pro PO 5 OPPIK a míra čerpání technické pomoci OPPIK na jednotlivé projekty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4A115F" id="_x0000_s1027" type="#_x0000_t202" style="position:absolute;left:0;text-align:left;margin-left:0;margin-top:62.25pt;width:452.1pt;height:110.6pt;z-index:251665408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" fillcolor="#f2f2f2 [3052]" strokecolor="black [3213]">
                <v:textbox style="mso-fit-shape-to-text:t">
                  <w:txbxContent>
                    <w:p w14:paraId="1B32FDA6" w14:textId="77777777" w:rsidR="009767D5" w:rsidRPr="00FF2B8F" w:rsidRDefault="009767D5" w:rsidP="00A54F26">
                      <w:pPr>
                        <w:spacing w:before="20" w:after="0"/>
                        <w:ind w:left="284" w:hanging="284"/>
                        <w:rPr>
                          <w:color w:val="004595"/>
                        </w:rPr>
                      </w:pPr>
                      <w:r>
                        <w:rPr>
                          <w:b/>
                          <w:color w:val="004595"/>
                          <w:sz w:val="24"/>
                          <w:szCs w:val="24"/>
                        </w:rPr>
                        <w:t>B. Nastavení výše alokace pro PO 5 OPPIK a míra čerpání technické pomoci OPPIK na jednotlivé projekty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3D2B90">
        <w:rPr>
          <w:sz w:val="24"/>
          <w:szCs w:val="24"/>
        </w:rPr>
        <w:t>NKÚ proto podrobil kontrole jednotlivá plnění projektu technické pomoci na vzdělávání implementační struktury z hlediska rizika takového překryvu s </w:t>
      </w:r>
      <w:r w:rsidR="00555FF2">
        <w:rPr>
          <w:sz w:val="24"/>
          <w:szCs w:val="24"/>
        </w:rPr>
        <w:t>o</w:t>
      </w:r>
      <w:r w:rsidR="003D2B90">
        <w:rPr>
          <w:sz w:val="24"/>
          <w:szCs w:val="24"/>
        </w:rPr>
        <w:t xml:space="preserve">peračním programem </w:t>
      </w:r>
      <w:r w:rsidR="003D2B90" w:rsidRPr="00FE176E">
        <w:rPr>
          <w:i/>
          <w:sz w:val="24"/>
          <w:szCs w:val="24"/>
        </w:rPr>
        <w:t>Technická pomoc</w:t>
      </w:r>
      <w:r w:rsidR="003D2B90" w:rsidRPr="00FF2B8F">
        <w:rPr>
          <w:sz w:val="24"/>
          <w:szCs w:val="24"/>
        </w:rPr>
        <w:t>.</w:t>
      </w:r>
      <w:r w:rsidR="00A5329B" w:rsidRPr="00FF2B8F">
        <w:rPr>
          <w:sz w:val="24"/>
          <w:szCs w:val="24"/>
        </w:rPr>
        <w:t xml:space="preserve"> </w:t>
      </w:r>
      <w:r w:rsidR="0000161F" w:rsidRPr="00FF2B8F">
        <w:rPr>
          <w:sz w:val="24"/>
          <w:szCs w:val="24"/>
        </w:rPr>
        <w:t>V této oblasti kontroly nebyly zjištěny nedostatky.</w:t>
      </w:r>
    </w:p>
    <w:p w14:paraId="2B4AB578" w14:textId="77777777" w:rsidR="00065574" w:rsidRDefault="00065574" w:rsidP="00A5329B">
      <w:pPr>
        <w:tabs>
          <w:tab w:val="left" w:pos="567"/>
        </w:tabs>
        <w:spacing w:after="0" w:line="280" w:lineRule="atLeast"/>
        <w:jc w:val="both"/>
        <w:rPr>
          <w:sz w:val="24"/>
          <w:szCs w:val="24"/>
        </w:rPr>
      </w:pPr>
    </w:p>
    <w:p w14:paraId="6C208173" w14:textId="77777777" w:rsidR="00E67638" w:rsidRDefault="00E67638" w:rsidP="00A5329B">
      <w:pPr>
        <w:tabs>
          <w:tab w:val="left" w:pos="567"/>
        </w:tabs>
        <w:spacing w:after="0" w:line="280" w:lineRule="atLeast"/>
        <w:jc w:val="both"/>
        <w:rPr>
          <w:sz w:val="24"/>
          <w:szCs w:val="24"/>
        </w:rPr>
      </w:pPr>
    </w:p>
    <w:p w14:paraId="36131635" w14:textId="1D309D2A" w:rsidR="00575C64" w:rsidRDefault="0099641A" w:rsidP="00FE176E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Podle </w:t>
      </w:r>
      <w:r w:rsidR="002C0B67">
        <w:rPr>
          <w:sz w:val="24"/>
          <w:szCs w:val="24"/>
        </w:rPr>
        <w:t xml:space="preserve">článku 119 </w:t>
      </w:r>
      <w:r w:rsidR="00C465A0">
        <w:rPr>
          <w:sz w:val="24"/>
          <w:szCs w:val="24"/>
        </w:rPr>
        <w:t>O</w:t>
      </w:r>
      <w:r>
        <w:rPr>
          <w:sz w:val="24"/>
          <w:szCs w:val="24"/>
        </w:rPr>
        <w:t>becného nařízení je v</w:t>
      </w:r>
      <w:r w:rsidRPr="0099641A">
        <w:rPr>
          <w:sz w:val="24"/>
          <w:szCs w:val="24"/>
        </w:rPr>
        <w:t>ýše přídělů z</w:t>
      </w:r>
      <w:r w:rsidR="00B5695A">
        <w:rPr>
          <w:sz w:val="24"/>
          <w:szCs w:val="24"/>
        </w:rPr>
        <w:t xml:space="preserve"> ESI </w:t>
      </w:r>
      <w:r w:rsidRPr="0099641A">
        <w:rPr>
          <w:sz w:val="24"/>
          <w:szCs w:val="24"/>
        </w:rPr>
        <w:t>fondů na technickou pomoc</w:t>
      </w:r>
      <w:r w:rsidR="006930F7">
        <w:rPr>
          <w:sz w:val="24"/>
          <w:szCs w:val="24"/>
        </w:rPr>
        <w:t xml:space="preserve"> obecně </w:t>
      </w:r>
      <w:r w:rsidRPr="0099641A">
        <w:rPr>
          <w:sz w:val="24"/>
          <w:szCs w:val="24"/>
        </w:rPr>
        <w:t xml:space="preserve">omezena </w:t>
      </w:r>
      <w:r w:rsidR="006930F7">
        <w:rPr>
          <w:sz w:val="24"/>
          <w:szCs w:val="24"/>
        </w:rPr>
        <w:t xml:space="preserve">limitem </w:t>
      </w:r>
      <w:r w:rsidRPr="0099641A">
        <w:rPr>
          <w:sz w:val="24"/>
          <w:szCs w:val="24"/>
        </w:rPr>
        <w:t>4</w:t>
      </w:r>
      <w:r w:rsidR="00FE176E">
        <w:rPr>
          <w:sz w:val="24"/>
          <w:szCs w:val="24"/>
        </w:rPr>
        <w:t> </w:t>
      </w:r>
      <w:r w:rsidRPr="0099641A">
        <w:rPr>
          <w:sz w:val="24"/>
          <w:szCs w:val="24"/>
        </w:rPr>
        <w:t>% z celkové výše prostředků fondů přidělených na operační p</w:t>
      </w:r>
      <w:r w:rsidR="00B5695A">
        <w:rPr>
          <w:sz w:val="24"/>
          <w:szCs w:val="24"/>
        </w:rPr>
        <w:t>rogramy v daném členském státě.</w:t>
      </w:r>
      <w:r w:rsidR="00A536D2">
        <w:rPr>
          <w:sz w:val="24"/>
          <w:szCs w:val="24"/>
        </w:rPr>
        <w:t xml:space="preserve"> Každý operační program je však specifický</w:t>
      </w:r>
      <w:r w:rsidR="00555FF2">
        <w:rPr>
          <w:sz w:val="24"/>
          <w:szCs w:val="24"/>
        </w:rPr>
        <w:t>,</w:t>
      </w:r>
      <w:r w:rsidR="00A536D2">
        <w:rPr>
          <w:sz w:val="24"/>
          <w:szCs w:val="24"/>
        </w:rPr>
        <w:t xml:space="preserve"> a tedy i</w:t>
      </w:r>
      <w:r w:rsidR="00555FF2">
        <w:rPr>
          <w:sz w:val="24"/>
          <w:szCs w:val="24"/>
        </w:rPr>
        <w:t> </w:t>
      </w:r>
      <w:r w:rsidR="00A536D2">
        <w:rPr>
          <w:sz w:val="24"/>
          <w:szCs w:val="24"/>
        </w:rPr>
        <w:t>rozpočet pro čerpání prostředků na technickou pomoc by měl být podložen validní a</w:t>
      </w:r>
      <w:r w:rsidR="00555FF2">
        <w:rPr>
          <w:sz w:val="24"/>
          <w:szCs w:val="24"/>
        </w:rPr>
        <w:t> </w:t>
      </w:r>
      <w:r w:rsidR="00A536D2">
        <w:rPr>
          <w:sz w:val="24"/>
          <w:szCs w:val="24"/>
        </w:rPr>
        <w:t xml:space="preserve">transparentní analýzou provedenou ŘO. </w:t>
      </w:r>
      <w:r w:rsidR="0078152B">
        <w:rPr>
          <w:sz w:val="24"/>
          <w:szCs w:val="24"/>
        </w:rPr>
        <w:t xml:space="preserve">Dobrou praxí je, aby </w:t>
      </w:r>
      <w:r w:rsidR="00555FF2">
        <w:rPr>
          <w:sz w:val="24"/>
          <w:szCs w:val="24"/>
        </w:rPr>
        <w:t xml:space="preserve">taková analýza </w:t>
      </w:r>
      <w:r w:rsidR="0078152B">
        <w:rPr>
          <w:sz w:val="24"/>
          <w:szCs w:val="24"/>
        </w:rPr>
        <w:t xml:space="preserve">vycházela </w:t>
      </w:r>
      <w:r w:rsidR="00A536D2">
        <w:rPr>
          <w:sz w:val="24"/>
          <w:szCs w:val="24"/>
        </w:rPr>
        <w:t>ze zkušeností př</w:t>
      </w:r>
      <w:r w:rsidR="00976EA9">
        <w:rPr>
          <w:sz w:val="24"/>
          <w:szCs w:val="24"/>
        </w:rPr>
        <w:t>edchozího období, slabých a</w:t>
      </w:r>
      <w:r w:rsidR="00DE624D">
        <w:rPr>
          <w:sz w:val="24"/>
          <w:szCs w:val="24"/>
        </w:rPr>
        <w:t xml:space="preserve"> </w:t>
      </w:r>
      <w:r w:rsidR="00A536D2">
        <w:rPr>
          <w:sz w:val="24"/>
          <w:szCs w:val="24"/>
        </w:rPr>
        <w:t>silných stránek v říd</w:t>
      </w:r>
      <w:r w:rsidR="00555FF2">
        <w:rPr>
          <w:sz w:val="24"/>
          <w:szCs w:val="24"/>
        </w:rPr>
        <w:t>i</w:t>
      </w:r>
      <w:r w:rsidR="00A536D2">
        <w:rPr>
          <w:sz w:val="24"/>
          <w:szCs w:val="24"/>
        </w:rPr>
        <w:t xml:space="preserve">cím </w:t>
      </w:r>
      <w:r w:rsidR="00FE176E">
        <w:rPr>
          <w:sz w:val="24"/>
          <w:szCs w:val="24"/>
        </w:rPr>
        <w:t>a</w:t>
      </w:r>
      <w:r w:rsidR="00DE624D">
        <w:rPr>
          <w:sz w:val="24"/>
          <w:szCs w:val="24"/>
        </w:rPr>
        <w:t xml:space="preserve"> </w:t>
      </w:r>
      <w:r w:rsidR="00A536D2">
        <w:rPr>
          <w:sz w:val="24"/>
          <w:szCs w:val="24"/>
        </w:rPr>
        <w:t>kontrolním systému, identifikova</w:t>
      </w:r>
      <w:r w:rsidR="0078152B">
        <w:rPr>
          <w:sz w:val="24"/>
          <w:szCs w:val="24"/>
        </w:rPr>
        <w:t>la</w:t>
      </w:r>
      <w:r w:rsidR="00A536D2">
        <w:rPr>
          <w:sz w:val="24"/>
          <w:szCs w:val="24"/>
        </w:rPr>
        <w:t xml:space="preserve"> překážky efektivnějšího čerpání prostředků OP a urč</w:t>
      </w:r>
      <w:r w:rsidR="00FE176E">
        <w:rPr>
          <w:sz w:val="24"/>
          <w:szCs w:val="24"/>
        </w:rPr>
        <w:t>i</w:t>
      </w:r>
      <w:r w:rsidR="0078152B">
        <w:rPr>
          <w:sz w:val="24"/>
          <w:szCs w:val="24"/>
        </w:rPr>
        <w:t>la</w:t>
      </w:r>
      <w:r w:rsidR="00A536D2">
        <w:rPr>
          <w:sz w:val="24"/>
          <w:szCs w:val="24"/>
        </w:rPr>
        <w:t xml:space="preserve"> postup</w:t>
      </w:r>
      <w:r w:rsidR="00FE176E">
        <w:rPr>
          <w:sz w:val="24"/>
          <w:szCs w:val="24"/>
        </w:rPr>
        <w:t>y</w:t>
      </w:r>
      <w:r w:rsidR="00A536D2">
        <w:rPr>
          <w:sz w:val="24"/>
          <w:szCs w:val="24"/>
        </w:rPr>
        <w:t xml:space="preserve"> a aktivit</w:t>
      </w:r>
      <w:r w:rsidR="00FE176E">
        <w:rPr>
          <w:sz w:val="24"/>
          <w:szCs w:val="24"/>
        </w:rPr>
        <w:t>y</w:t>
      </w:r>
      <w:r w:rsidR="00A536D2">
        <w:rPr>
          <w:sz w:val="24"/>
          <w:szCs w:val="24"/>
        </w:rPr>
        <w:t xml:space="preserve"> pro jejich překonání.</w:t>
      </w:r>
      <w:r w:rsidR="00FE176E">
        <w:rPr>
          <w:sz w:val="24"/>
          <w:szCs w:val="24"/>
        </w:rPr>
        <w:t xml:space="preserve"> Výsledkem by měla být reálná a</w:t>
      </w:r>
      <w:r w:rsidR="00DE624D">
        <w:rPr>
          <w:sz w:val="24"/>
          <w:szCs w:val="24"/>
        </w:rPr>
        <w:t xml:space="preserve"> </w:t>
      </w:r>
      <w:r w:rsidR="00A536D2">
        <w:rPr>
          <w:sz w:val="24"/>
          <w:szCs w:val="24"/>
        </w:rPr>
        <w:t>průkazně podložená výše rozpočtu technické pomoci jako celk</w:t>
      </w:r>
      <w:r w:rsidR="006930F7">
        <w:rPr>
          <w:sz w:val="24"/>
          <w:szCs w:val="24"/>
        </w:rPr>
        <w:t>u</w:t>
      </w:r>
      <w:r w:rsidR="00A536D2">
        <w:rPr>
          <w:sz w:val="24"/>
          <w:szCs w:val="24"/>
        </w:rPr>
        <w:t xml:space="preserve"> i ve struktuře jednotlivých projektů.</w:t>
      </w:r>
    </w:p>
    <w:p w14:paraId="1547CBCB" w14:textId="77777777" w:rsidR="00FE176E" w:rsidRDefault="00FE176E" w:rsidP="00FE176E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7E61EABB" w14:textId="77777777" w:rsidR="00B5695A" w:rsidRDefault="00575C64" w:rsidP="00FE176E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FF2B8F">
        <w:rPr>
          <w:sz w:val="24"/>
          <w:szCs w:val="24"/>
        </w:rPr>
        <w:t xml:space="preserve">NKÚ </w:t>
      </w:r>
      <w:r w:rsidR="00A536D2">
        <w:rPr>
          <w:sz w:val="24"/>
          <w:szCs w:val="24"/>
        </w:rPr>
        <w:t xml:space="preserve">proto </w:t>
      </w:r>
      <w:r w:rsidRPr="00FF2B8F">
        <w:rPr>
          <w:sz w:val="24"/>
          <w:szCs w:val="24"/>
        </w:rPr>
        <w:t xml:space="preserve">podrobil </w:t>
      </w:r>
      <w:r w:rsidR="0099641A">
        <w:rPr>
          <w:sz w:val="24"/>
          <w:szCs w:val="24"/>
        </w:rPr>
        <w:t>kontrole</w:t>
      </w:r>
      <w:r w:rsidR="00B5695A">
        <w:rPr>
          <w:sz w:val="24"/>
          <w:szCs w:val="24"/>
        </w:rPr>
        <w:t>:</w:t>
      </w:r>
    </w:p>
    <w:p w14:paraId="0D770CC9" w14:textId="77777777" w:rsidR="00B5695A" w:rsidRDefault="00B5695A" w:rsidP="00B5695A">
      <w:pPr>
        <w:pStyle w:val="Odstavecseseznamem"/>
        <w:numPr>
          <w:ilvl w:val="0"/>
          <w:numId w:val="40"/>
        </w:numPr>
        <w:spacing w:after="0"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průkaznost </w:t>
      </w:r>
      <w:r w:rsidR="00575C64" w:rsidRPr="00FF2B8F">
        <w:rPr>
          <w:sz w:val="24"/>
          <w:szCs w:val="24"/>
        </w:rPr>
        <w:t>nastavení výše alokace pro PO 5 OPPIK</w:t>
      </w:r>
      <w:r>
        <w:rPr>
          <w:sz w:val="24"/>
          <w:szCs w:val="24"/>
        </w:rPr>
        <w:t>,</w:t>
      </w:r>
    </w:p>
    <w:p w14:paraId="2B323072" w14:textId="77777777" w:rsidR="00AC22BE" w:rsidRPr="00FF2B8F" w:rsidRDefault="00AC22BE" w:rsidP="00AC22BE">
      <w:pPr>
        <w:pStyle w:val="Odstavecseseznamem"/>
        <w:numPr>
          <w:ilvl w:val="0"/>
          <w:numId w:val="40"/>
        </w:numPr>
        <w:spacing w:after="0" w:line="280" w:lineRule="atLeast"/>
        <w:jc w:val="both"/>
        <w:rPr>
          <w:sz w:val="24"/>
          <w:szCs w:val="24"/>
        </w:rPr>
      </w:pPr>
      <w:r w:rsidRPr="00FF2B8F">
        <w:rPr>
          <w:sz w:val="24"/>
          <w:szCs w:val="24"/>
        </w:rPr>
        <w:t xml:space="preserve">stanovení </w:t>
      </w:r>
      <w:r w:rsidR="00383931">
        <w:rPr>
          <w:sz w:val="24"/>
          <w:szCs w:val="24"/>
        </w:rPr>
        <w:t xml:space="preserve">limitů </w:t>
      </w:r>
      <w:r w:rsidRPr="00FF2B8F">
        <w:rPr>
          <w:sz w:val="24"/>
          <w:szCs w:val="24"/>
        </w:rPr>
        <w:t>výda</w:t>
      </w:r>
      <w:r>
        <w:rPr>
          <w:sz w:val="24"/>
          <w:szCs w:val="24"/>
        </w:rPr>
        <w:t xml:space="preserve">jů na </w:t>
      </w:r>
      <w:r w:rsidR="006571D1">
        <w:rPr>
          <w:sz w:val="24"/>
          <w:szCs w:val="24"/>
        </w:rPr>
        <w:t xml:space="preserve">jednotlivé </w:t>
      </w:r>
      <w:r>
        <w:rPr>
          <w:sz w:val="24"/>
          <w:szCs w:val="24"/>
        </w:rPr>
        <w:t>projekty technické pomoci,</w:t>
      </w:r>
    </w:p>
    <w:p w14:paraId="3F794C72" w14:textId="77777777" w:rsidR="00B5695A" w:rsidRDefault="00B5695A" w:rsidP="00B5695A">
      <w:pPr>
        <w:pStyle w:val="Odstavecseseznamem"/>
        <w:numPr>
          <w:ilvl w:val="0"/>
          <w:numId w:val="40"/>
        </w:numPr>
        <w:spacing w:after="0"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soulad </w:t>
      </w:r>
      <w:r w:rsidR="00AC22BE">
        <w:rPr>
          <w:sz w:val="24"/>
          <w:szCs w:val="24"/>
        </w:rPr>
        <w:t xml:space="preserve">nastavené </w:t>
      </w:r>
      <w:r>
        <w:rPr>
          <w:sz w:val="24"/>
          <w:szCs w:val="24"/>
        </w:rPr>
        <w:t xml:space="preserve">výše výdajů na projekty technické pomoci s plánovanou </w:t>
      </w:r>
      <w:r w:rsidR="001444F0">
        <w:rPr>
          <w:sz w:val="24"/>
          <w:szCs w:val="24"/>
        </w:rPr>
        <w:t xml:space="preserve">a skutečnou </w:t>
      </w:r>
      <w:r>
        <w:rPr>
          <w:sz w:val="24"/>
          <w:szCs w:val="24"/>
        </w:rPr>
        <w:t>mírou čerpání tech</w:t>
      </w:r>
      <w:r w:rsidR="00C465A0">
        <w:rPr>
          <w:sz w:val="24"/>
          <w:szCs w:val="24"/>
        </w:rPr>
        <w:t>nické pomoci v rámci PO 5 OPPIK.</w:t>
      </w:r>
    </w:p>
    <w:p w14:paraId="2B7692BF" w14:textId="77777777" w:rsidR="00E67638" w:rsidRDefault="00E67638" w:rsidP="00A5329B">
      <w:pPr>
        <w:tabs>
          <w:tab w:val="left" w:pos="567"/>
        </w:tabs>
        <w:spacing w:after="0" w:line="280" w:lineRule="atLeast"/>
        <w:jc w:val="both"/>
        <w:rPr>
          <w:sz w:val="24"/>
          <w:szCs w:val="24"/>
        </w:rPr>
      </w:pPr>
    </w:p>
    <w:p w14:paraId="7EE88159" w14:textId="10F3821C" w:rsidR="00E669B2" w:rsidRDefault="00A5329B" w:rsidP="000B17F9">
      <w:pPr>
        <w:keepNext/>
        <w:spacing w:after="0" w:line="240" w:lineRule="auto"/>
        <w:jc w:val="both"/>
        <w:rPr>
          <w:b/>
          <w:i/>
          <w:color w:val="FF0000"/>
          <w:sz w:val="24"/>
          <w:szCs w:val="24"/>
        </w:rPr>
      </w:pPr>
      <w:r w:rsidRPr="00FE176E">
        <w:rPr>
          <w:rFonts w:cstheme="minorHAnsi"/>
          <w:b/>
          <w:color w:val="FF0000"/>
          <w:sz w:val="24"/>
          <w:szCs w:val="24"/>
        </w:rPr>
        <w:lastRenderedPageBreak/>
        <w:t>→</w:t>
      </w:r>
      <w:r w:rsidRPr="00FE176E">
        <w:rPr>
          <w:b/>
          <w:i/>
          <w:color w:val="FF0000"/>
          <w:sz w:val="24"/>
          <w:szCs w:val="24"/>
        </w:rPr>
        <w:t xml:space="preserve"> </w:t>
      </w:r>
      <w:r w:rsidR="00B5695A" w:rsidRPr="00FE176E">
        <w:rPr>
          <w:b/>
          <w:i/>
          <w:color w:val="FF0000"/>
          <w:sz w:val="24"/>
          <w:szCs w:val="24"/>
        </w:rPr>
        <w:t xml:space="preserve">Výše alokace PO 5 OPPIK byla stanovena </w:t>
      </w:r>
      <w:r w:rsidR="001D71BF" w:rsidRPr="00FE176E">
        <w:rPr>
          <w:b/>
          <w:i/>
          <w:color w:val="FF0000"/>
          <w:sz w:val="24"/>
          <w:szCs w:val="24"/>
        </w:rPr>
        <w:t xml:space="preserve">v rámci úhrnného limitu stanoveného EK, ale nikoliv </w:t>
      </w:r>
      <w:r w:rsidR="00B5695A" w:rsidRPr="00FE176E">
        <w:rPr>
          <w:b/>
          <w:i/>
          <w:color w:val="FF0000"/>
          <w:sz w:val="24"/>
          <w:szCs w:val="24"/>
        </w:rPr>
        <w:t>průkazně</w:t>
      </w:r>
      <w:r w:rsidR="001D71BF" w:rsidRPr="00FE176E">
        <w:rPr>
          <w:b/>
          <w:i/>
          <w:color w:val="FF0000"/>
          <w:sz w:val="24"/>
          <w:szCs w:val="24"/>
        </w:rPr>
        <w:t>;</w:t>
      </w:r>
      <w:r w:rsidR="00B5695A" w:rsidRPr="00FE176E">
        <w:rPr>
          <w:b/>
          <w:i/>
          <w:color w:val="FF0000"/>
          <w:sz w:val="24"/>
          <w:szCs w:val="24"/>
        </w:rPr>
        <w:t xml:space="preserve"> l</w:t>
      </w:r>
      <w:r w:rsidRPr="00FE176E">
        <w:rPr>
          <w:b/>
          <w:i/>
          <w:color w:val="FF0000"/>
          <w:sz w:val="24"/>
          <w:szCs w:val="24"/>
        </w:rPr>
        <w:t xml:space="preserve">imity </w:t>
      </w:r>
      <w:r w:rsidR="00555FF2">
        <w:rPr>
          <w:b/>
          <w:i/>
          <w:color w:val="FF0000"/>
          <w:sz w:val="24"/>
          <w:szCs w:val="24"/>
        </w:rPr>
        <w:t>pro</w:t>
      </w:r>
      <w:r w:rsidRPr="00FE176E">
        <w:rPr>
          <w:b/>
          <w:i/>
          <w:color w:val="FF0000"/>
          <w:sz w:val="24"/>
          <w:szCs w:val="24"/>
        </w:rPr>
        <w:t xml:space="preserve"> výdaje projektů technické pomoci byly </w:t>
      </w:r>
      <w:r w:rsidR="00452446">
        <w:rPr>
          <w:b/>
          <w:i/>
          <w:color w:val="FF0000"/>
          <w:sz w:val="24"/>
          <w:szCs w:val="24"/>
        </w:rPr>
        <w:t xml:space="preserve">často </w:t>
      </w:r>
      <w:r w:rsidRPr="00FE176E">
        <w:rPr>
          <w:b/>
          <w:i/>
          <w:color w:val="FF0000"/>
          <w:sz w:val="24"/>
          <w:szCs w:val="24"/>
        </w:rPr>
        <w:t>nadhodnoceny.</w:t>
      </w:r>
    </w:p>
    <w:p w14:paraId="38B73CFA" w14:textId="77777777" w:rsidR="00E669B2" w:rsidRPr="00E669B2" w:rsidRDefault="00E669B2" w:rsidP="000B17F9">
      <w:pPr>
        <w:keepNext/>
        <w:spacing w:after="0" w:line="240" w:lineRule="auto"/>
        <w:jc w:val="both"/>
        <w:rPr>
          <w:sz w:val="24"/>
          <w:szCs w:val="24"/>
        </w:rPr>
      </w:pPr>
    </w:p>
    <w:p w14:paraId="68AB1038" w14:textId="674D7691" w:rsidR="00662565" w:rsidRPr="00662565" w:rsidRDefault="00082DEE" w:rsidP="00387B82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2C0B67">
        <w:rPr>
          <w:sz w:val="24"/>
          <w:szCs w:val="24"/>
        </w:rPr>
        <w:t>Alokace pro PO 5 OPPIK ve výši 125</w:t>
      </w:r>
      <w:r w:rsidR="009961DC">
        <w:rPr>
          <w:sz w:val="24"/>
          <w:szCs w:val="24"/>
        </w:rPr>
        <w:t>,6 mil.</w:t>
      </w:r>
      <w:r w:rsidRPr="002C0B67">
        <w:rPr>
          <w:sz w:val="24"/>
          <w:szCs w:val="24"/>
        </w:rPr>
        <w:t xml:space="preserve"> </w:t>
      </w:r>
      <w:r w:rsidR="00555FF2">
        <w:rPr>
          <w:sz w:val="24"/>
          <w:szCs w:val="24"/>
        </w:rPr>
        <w:t>€</w:t>
      </w:r>
      <w:r w:rsidR="002C0B67">
        <w:rPr>
          <w:sz w:val="24"/>
          <w:szCs w:val="24"/>
        </w:rPr>
        <w:t xml:space="preserve"> činí 2,9 % </w:t>
      </w:r>
      <w:r w:rsidR="009961DC">
        <w:rPr>
          <w:sz w:val="24"/>
          <w:szCs w:val="24"/>
        </w:rPr>
        <w:t xml:space="preserve">celkové alokace OPPIK </w:t>
      </w:r>
      <w:r w:rsidR="002C0B67">
        <w:rPr>
          <w:sz w:val="24"/>
          <w:szCs w:val="24"/>
        </w:rPr>
        <w:t>a tento podíl je v </w:t>
      </w:r>
      <w:r w:rsidRPr="002C0B67">
        <w:rPr>
          <w:sz w:val="24"/>
          <w:szCs w:val="24"/>
        </w:rPr>
        <w:t>souladu s</w:t>
      </w:r>
      <w:r w:rsidR="00AE4E5E" w:rsidRPr="002C0B67">
        <w:rPr>
          <w:sz w:val="24"/>
          <w:szCs w:val="24"/>
        </w:rPr>
        <w:t xml:space="preserve"> článkem 119 Obecného nařízení.</w:t>
      </w:r>
    </w:p>
    <w:p w14:paraId="059A268A" w14:textId="77777777" w:rsidR="00662565" w:rsidRDefault="00662565" w:rsidP="00387B82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05C528B8" w14:textId="7E0ADDB0" w:rsidR="00095E1E" w:rsidRPr="002103AD" w:rsidRDefault="002C0B67" w:rsidP="003A4F17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2103AD">
        <w:rPr>
          <w:sz w:val="24"/>
          <w:szCs w:val="24"/>
        </w:rPr>
        <w:t xml:space="preserve">MPO stanovilo výši alokace pro PO 5 OPPIK na základě </w:t>
      </w:r>
      <w:r w:rsidR="00A9255C" w:rsidRPr="002103AD">
        <w:rPr>
          <w:sz w:val="24"/>
          <w:szCs w:val="24"/>
        </w:rPr>
        <w:t xml:space="preserve">odhadu a </w:t>
      </w:r>
      <w:r w:rsidRPr="002103AD">
        <w:rPr>
          <w:sz w:val="24"/>
          <w:szCs w:val="24"/>
        </w:rPr>
        <w:t xml:space="preserve">doporučení zpracovatele dokumentu </w:t>
      </w:r>
      <w:r w:rsidRPr="002103AD">
        <w:rPr>
          <w:i/>
          <w:sz w:val="24"/>
          <w:szCs w:val="24"/>
        </w:rPr>
        <w:t>Analýza absorpční kapacity a návrh cílových hodnot indikátorů Operačního programu podnikání a inova</w:t>
      </w:r>
      <w:r w:rsidR="00FA2E01">
        <w:rPr>
          <w:i/>
          <w:sz w:val="24"/>
          <w:szCs w:val="24"/>
        </w:rPr>
        <w:t>ce pro konkurenceschopnost 2014–</w:t>
      </w:r>
      <w:r w:rsidRPr="002103AD">
        <w:rPr>
          <w:i/>
          <w:sz w:val="24"/>
          <w:szCs w:val="24"/>
        </w:rPr>
        <w:t>2020</w:t>
      </w:r>
      <w:r w:rsidRPr="002103AD">
        <w:rPr>
          <w:sz w:val="24"/>
          <w:szCs w:val="24"/>
        </w:rPr>
        <w:t xml:space="preserve"> z února 2014 ve výši 2,9 % z celkové alokace programu</w:t>
      </w:r>
      <w:r w:rsidR="001D71BF" w:rsidRPr="002103AD">
        <w:rPr>
          <w:sz w:val="24"/>
          <w:szCs w:val="24"/>
        </w:rPr>
        <w:t>.</w:t>
      </w:r>
      <w:r w:rsidRPr="002103AD">
        <w:rPr>
          <w:sz w:val="24"/>
          <w:szCs w:val="24"/>
        </w:rPr>
        <w:t xml:space="preserve"> </w:t>
      </w:r>
      <w:r w:rsidR="001D71BF" w:rsidRPr="002103AD">
        <w:rPr>
          <w:sz w:val="24"/>
          <w:szCs w:val="24"/>
        </w:rPr>
        <w:t>Dle sdělení MPO</w:t>
      </w:r>
      <w:r w:rsidRPr="002103AD">
        <w:rPr>
          <w:sz w:val="24"/>
          <w:szCs w:val="24"/>
        </w:rPr>
        <w:t xml:space="preserve"> její rozdělení na specific</w:t>
      </w:r>
      <w:r w:rsidR="001444F0" w:rsidRPr="002103AD">
        <w:rPr>
          <w:sz w:val="24"/>
          <w:szCs w:val="24"/>
        </w:rPr>
        <w:t xml:space="preserve">ké cíle vychází </w:t>
      </w:r>
      <w:r w:rsidR="00452446" w:rsidRPr="002103AD">
        <w:rPr>
          <w:sz w:val="24"/>
          <w:szCs w:val="24"/>
        </w:rPr>
        <w:t xml:space="preserve">jen </w:t>
      </w:r>
      <w:r w:rsidR="001444F0" w:rsidRPr="002103AD">
        <w:rPr>
          <w:sz w:val="24"/>
          <w:szCs w:val="24"/>
        </w:rPr>
        <w:t>ze zkušeností s </w:t>
      </w:r>
      <w:r w:rsidRPr="002103AD">
        <w:rPr>
          <w:sz w:val="24"/>
          <w:szCs w:val="24"/>
        </w:rPr>
        <w:t xml:space="preserve">realizací technické pomoci v minulém programovém období ve vazbě na alokaci a aktivity </w:t>
      </w:r>
      <w:r w:rsidR="00555FF2">
        <w:rPr>
          <w:sz w:val="24"/>
          <w:szCs w:val="24"/>
        </w:rPr>
        <w:t>o</w:t>
      </w:r>
      <w:r w:rsidRPr="002103AD">
        <w:rPr>
          <w:sz w:val="24"/>
          <w:szCs w:val="24"/>
        </w:rPr>
        <w:t xml:space="preserve">peračního programu </w:t>
      </w:r>
      <w:r w:rsidRPr="002103AD">
        <w:rPr>
          <w:i/>
          <w:sz w:val="24"/>
          <w:szCs w:val="24"/>
        </w:rPr>
        <w:t>Technická pomoc</w:t>
      </w:r>
      <w:r w:rsidR="002103AD" w:rsidRPr="002103AD">
        <w:rPr>
          <w:sz w:val="24"/>
          <w:szCs w:val="24"/>
        </w:rPr>
        <w:t xml:space="preserve">. </w:t>
      </w:r>
      <w:r w:rsidR="006571D1" w:rsidRPr="002103AD">
        <w:rPr>
          <w:sz w:val="24"/>
          <w:szCs w:val="24"/>
        </w:rPr>
        <w:t>MPO nepředložilo</w:t>
      </w:r>
      <w:r w:rsidR="001D71BF" w:rsidRPr="002103AD">
        <w:rPr>
          <w:sz w:val="24"/>
          <w:szCs w:val="24"/>
        </w:rPr>
        <w:t xml:space="preserve"> </w:t>
      </w:r>
      <w:r w:rsidR="00555FF2" w:rsidRPr="002103AD">
        <w:rPr>
          <w:sz w:val="24"/>
          <w:szCs w:val="24"/>
        </w:rPr>
        <w:t xml:space="preserve">žádný </w:t>
      </w:r>
      <w:r w:rsidR="00452446" w:rsidRPr="002103AD">
        <w:rPr>
          <w:sz w:val="24"/>
          <w:szCs w:val="24"/>
        </w:rPr>
        <w:t xml:space="preserve">další </w:t>
      </w:r>
      <w:r w:rsidR="001D71BF" w:rsidRPr="002103AD">
        <w:rPr>
          <w:sz w:val="24"/>
          <w:szCs w:val="24"/>
        </w:rPr>
        <w:t>relevantní dokument (</w:t>
      </w:r>
      <w:r w:rsidR="00555FF2">
        <w:rPr>
          <w:sz w:val="24"/>
          <w:szCs w:val="24"/>
        </w:rPr>
        <w:t>viz</w:t>
      </w:r>
      <w:r w:rsidR="001D71BF" w:rsidRPr="002103AD">
        <w:rPr>
          <w:sz w:val="24"/>
          <w:szCs w:val="24"/>
        </w:rPr>
        <w:t xml:space="preserve"> odst. 4.2</w:t>
      </w:r>
      <w:r w:rsidR="002103AD">
        <w:rPr>
          <w:sz w:val="24"/>
          <w:szCs w:val="24"/>
        </w:rPr>
        <w:t>2</w:t>
      </w:r>
      <w:r w:rsidR="001D71BF" w:rsidRPr="002103AD">
        <w:rPr>
          <w:sz w:val="24"/>
          <w:szCs w:val="24"/>
        </w:rPr>
        <w:t>) k doložení potřebnosti výše zmíněné rozpočtované částky</w:t>
      </w:r>
      <w:r w:rsidR="00082DEE" w:rsidRPr="002103AD">
        <w:rPr>
          <w:sz w:val="24"/>
          <w:szCs w:val="24"/>
        </w:rPr>
        <w:t xml:space="preserve"> </w:t>
      </w:r>
      <w:r w:rsidR="00F6340E" w:rsidRPr="002103AD">
        <w:rPr>
          <w:sz w:val="24"/>
          <w:szCs w:val="24"/>
        </w:rPr>
        <w:t xml:space="preserve">pro </w:t>
      </w:r>
      <w:r w:rsidR="00082DEE" w:rsidRPr="002103AD">
        <w:rPr>
          <w:sz w:val="24"/>
          <w:szCs w:val="24"/>
        </w:rPr>
        <w:t xml:space="preserve">naplnění </w:t>
      </w:r>
      <w:r w:rsidR="00F6340E" w:rsidRPr="002103AD">
        <w:rPr>
          <w:sz w:val="24"/>
          <w:szCs w:val="24"/>
        </w:rPr>
        <w:t xml:space="preserve">obou specifických </w:t>
      </w:r>
      <w:r w:rsidR="00C83A89" w:rsidRPr="002103AD">
        <w:rPr>
          <w:sz w:val="24"/>
          <w:szCs w:val="24"/>
        </w:rPr>
        <w:t>cílů PO 5 </w:t>
      </w:r>
      <w:r w:rsidR="00082DEE" w:rsidRPr="002103AD">
        <w:rPr>
          <w:sz w:val="24"/>
          <w:szCs w:val="24"/>
        </w:rPr>
        <w:t>OPPIK</w:t>
      </w:r>
      <w:r w:rsidR="00F6340E" w:rsidRPr="002103AD">
        <w:rPr>
          <w:sz w:val="24"/>
          <w:szCs w:val="24"/>
        </w:rPr>
        <w:t>.</w:t>
      </w:r>
    </w:p>
    <w:p w14:paraId="77B7D13D" w14:textId="77777777" w:rsidR="009B6653" w:rsidRDefault="009B6653" w:rsidP="009B6653">
      <w:pPr>
        <w:spacing w:after="0" w:line="280" w:lineRule="atLeast"/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</w:p>
    <w:p w14:paraId="61E30C6A" w14:textId="2B844753" w:rsidR="009B6653" w:rsidRPr="009B6653" w:rsidRDefault="009B6653" w:rsidP="00BB56B5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9B6653">
        <w:rPr>
          <w:sz w:val="24"/>
          <w:szCs w:val="24"/>
        </w:rPr>
        <w:t xml:space="preserve">Limity výdajů u projektů technické pomoci OPPIK realizované v letech 2016 až 2018 stanovilo MPO </w:t>
      </w:r>
      <w:r w:rsidR="009961DC">
        <w:rPr>
          <w:sz w:val="24"/>
          <w:szCs w:val="24"/>
        </w:rPr>
        <w:t xml:space="preserve">opět jen </w:t>
      </w:r>
      <w:r w:rsidRPr="009B6653">
        <w:rPr>
          <w:sz w:val="24"/>
          <w:szCs w:val="24"/>
        </w:rPr>
        <w:t>na základě odhadu podle zkušeností z předchozího programového období.</w:t>
      </w:r>
      <w:r>
        <w:rPr>
          <w:sz w:val="24"/>
          <w:szCs w:val="24"/>
        </w:rPr>
        <w:t xml:space="preserve"> </w:t>
      </w:r>
      <w:r w:rsidRPr="009B6653">
        <w:rPr>
          <w:sz w:val="24"/>
          <w:szCs w:val="24"/>
        </w:rPr>
        <w:t>U</w:t>
      </w:r>
      <w:r>
        <w:rPr>
          <w:sz w:val="24"/>
          <w:szCs w:val="24"/>
        </w:rPr>
        <w:t> </w:t>
      </w:r>
      <w:r w:rsidRPr="009B6653">
        <w:rPr>
          <w:sz w:val="24"/>
          <w:szCs w:val="24"/>
        </w:rPr>
        <w:t xml:space="preserve">projektů technické pomoci pro roky 2019 až 2021 </w:t>
      </w:r>
      <w:r>
        <w:rPr>
          <w:sz w:val="24"/>
          <w:szCs w:val="24"/>
        </w:rPr>
        <w:t xml:space="preserve">již </w:t>
      </w:r>
      <w:r w:rsidR="00555FF2">
        <w:rPr>
          <w:sz w:val="24"/>
          <w:szCs w:val="24"/>
        </w:rPr>
        <w:t xml:space="preserve">MPO určilo </w:t>
      </w:r>
      <w:r>
        <w:rPr>
          <w:sz w:val="24"/>
          <w:szCs w:val="24"/>
        </w:rPr>
        <w:t xml:space="preserve">limit výdajů </w:t>
      </w:r>
      <w:r w:rsidRPr="009B6653">
        <w:rPr>
          <w:sz w:val="24"/>
          <w:szCs w:val="24"/>
        </w:rPr>
        <w:t>na základě informací a plánov</w:t>
      </w:r>
      <w:r w:rsidR="004B5CFC">
        <w:rPr>
          <w:sz w:val="24"/>
          <w:szCs w:val="24"/>
        </w:rPr>
        <w:t>an</w:t>
      </w:r>
      <w:r w:rsidRPr="009B6653">
        <w:rPr>
          <w:sz w:val="24"/>
          <w:szCs w:val="24"/>
        </w:rPr>
        <w:t>ých opatření dostupných v době přípravy projektů</w:t>
      </w:r>
      <w:r>
        <w:rPr>
          <w:sz w:val="24"/>
          <w:szCs w:val="24"/>
        </w:rPr>
        <w:t xml:space="preserve"> pro léta 2019 až 2021 a</w:t>
      </w:r>
      <w:r w:rsidR="00555FF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 přihlédnutím </w:t>
      </w:r>
      <w:r w:rsidR="00555FF2">
        <w:rPr>
          <w:sz w:val="24"/>
          <w:szCs w:val="24"/>
        </w:rPr>
        <w:t>ke</w:t>
      </w:r>
      <w:r w:rsidRPr="009B6653">
        <w:rPr>
          <w:sz w:val="24"/>
          <w:szCs w:val="24"/>
        </w:rPr>
        <w:t xml:space="preserve"> skutečné</w:t>
      </w:r>
      <w:r w:rsidR="00555FF2">
        <w:rPr>
          <w:sz w:val="24"/>
          <w:szCs w:val="24"/>
        </w:rPr>
        <w:t>mu</w:t>
      </w:r>
      <w:r w:rsidRPr="009B6653">
        <w:rPr>
          <w:sz w:val="24"/>
          <w:szCs w:val="24"/>
        </w:rPr>
        <w:t xml:space="preserve"> čerpání projektů </w:t>
      </w:r>
      <w:r>
        <w:rPr>
          <w:sz w:val="24"/>
          <w:szCs w:val="24"/>
        </w:rPr>
        <w:t xml:space="preserve">technické pomoci realizovaných </w:t>
      </w:r>
      <w:r w:rsidRPr="009B6653">
        <w:rPr>
          <w:sz w:val="24"/>
          <w:szCs w:val="24"/>
        </w:rPr>
        <w:t>v letech 2016 až 2018.</w:t>
      </w:r>
    </w:p>
    <w:p w14:paraId="5E603711" w14:textId="77777777" w:rsidR="009B6653" w:rsidRPr="009B6653" w:rsidRDefault="009B6653" w:rsidP="009B6653">
      <w:pPr>
        <w:pStyle w:val="Odstavecseseznamem"/>
        <w:spacing w:after="0" w:line="280" w:lineRule="atLeast"/>
        <w:ind w:left="0"/>
        <w:jc w:val="both"/>
        <w:rPr>
          <w:rFonts w:ascii="Calibri" w:hAnsi="Calibri" w:cs="Calibri"/>
          <w:color w:val="000000"/>
          <w:sz w:val="24"/>
          <w:szCs w:val="24"/>
          <w:highlight w:val="yellow"/>
        </w:rPr>
      </w:pPr>
    </w:p>
    <w:p w14:paraId="2C2D6AFB" w14:textId="6AD0DB0F" w:rsidR="00082DEE" w:rsidRPr="00B512FF" w:rsidRDefault="009B6653" w:rsidP="00B512FF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F6340E">
        <w:rPr>
          <w:sz w:val="24"/>
          <w:szCs w:val="24"/>
        </w:rPr>
        <w:t xml:space="preserve">Podle finančních plánů </w:t>
      </w:r>
      <w:r w:rsidR="00555FF2">
        <w:rPr>
          <w:sz w:val="24"/>
          <w:szCs w:val="24"/>
        </w:rPr>
        <w:t>t</w:t>
      </w:r>
      <w:r w:rsidRPr="00F6340E">
        <w:rPr>
          <w:sz w:val="24"/>
          <w:szCs w:val="24"/>
        </w:rPr>
        <w:t>echnické pomoci v rámci OPPIK na rok</w:t>
      </w:r>
      <w:r w:rsidR="001444F0">
        <w:rPr>
          <w:sz w:val="24"/>
          <w:szCs w:val="24"/>
        </w:rPr>
        <w:t>y</w:t>
      </w:r>
      <w:r w:rsidRPr="00F6340E">
        <w:rPr>
          <w:sz w:val="24"/>
          <w:szCs w:val="24"/>
        </w:rPr>
        <w:t xml:space="preserve"> 2016 až 2018 plánovalo MPO čerpání peněžních prostředků na projekty technické pomoci OPPIK ve výši </w:t>
      </w:r>
      <w:r w:rsidR="009961DC">
        <w:rPr>
          <w:sz w:val="24"/>
          <w:szCs w:val="24"/>
        </w:rPr>
        <w:t xml:space="preserve">cca </w:t>
      </w:r>
      <w:r w:rsidRPr="00F6340E">
        <w:rPr>
          <w:sz w:val="24"/>
          <w:szCs w:val="24"/>
        </w:rPr>
        <w:t>1</w:t>
      </w:r>
      <w:r w:rsidR="009961DC">
        <w:rPr>
          <w:sz w:val="24"/>
          <w:szCs w:val="24"/>
        </w:rPr>
        <w:t>,2</w:t>
      </w:r>
      <w:r w:rsidR="00555FF2">
        <w:rPr>
          <w:sz w:val="24"/>
          <w:szCs w:val="24"/>
        </w:rPr>
        <w:t> </w:t>
      </w:r>
      <w:r w:rsidR="009961DC">
        <w:rPr>
          <w:sz w:val="24"/>
          <w:szCs w:val="24"/>
        </w:rPr>
        <w:t>mld.</w:t>
      </w:r>
      <w:r w:rsidR="00555FF2">
        <w:rPr>
          <w:sz w:val="24"/>
          <w:szCs w:val="24"/>
        </w:rPr>
        <w:t> </w:t>
      </w:r>
      <w:r w:rsidRPr="00F6340E">
        <w:rPr>
          <w:sz w:val="24"/>
          <w:szCs w:val="24"/>
        </w:rPr>
        <w:t xml:space="preserve">Kč. Celková výše skutečně proplacených výdajů v rámci PO 5 OPPIK za </w:t>
      </w:r>
      <w:r w:rsidR="001444F0">
        <w:rPr>
          <w:sz w:val="24"/>
          <w:szCs w:val="24"/>
        </w:rPr>
        <w:t>toto období</w:t>
      </w:r>
      <w:r w:rsidRPr="00F6340E">
        <w:rPr>
          <w:sz w:val="24"/>
          <w:szCs w:val="24"/>
        </w:rPr>
        <w:t xml:space="preserve"> </w:t>
      </w:r>
      <w:r w:rsidR="009961DC">
        <w:rPr>
          <w:sz w:val="24"/>
          <w:szCs w:val="24"/>
        </w:rPr>
        <w:t xml:space="preserve">však </w:t>
      </w:r>
      <w:r w:rsidRPr="00F6340E">
        <w:rPr>
          <w:sz w:val="24"/>
          <w:szCs w:val="24"/>
        </w:rPr>
        <w:t xml:space="preserve">neodpovídala </w:t>
      </w:r>
      <w:r w:rsidR="00601D56">
        <w:rPr>
          <w:sz w:val="24"/>
          <w:szCs w:val="24"/>
        </w:rPr>
        <w:t xml:space="preserve">uvedené </w:t>
      </w:r>
      <w:r w:rsidRPr="00F6340E">
        <w:rPr>
          <w:sz w:val="24"/>
          <w:szCs w:val="24"/>
        </w:rPr>
        <w:t>plánované míře čerpání</w:t>
      </w:r>
      <w:r w:rsidR="005E14DB">
        <w:rPr>
          <w:sz w:val="24"/>
          <w:szCs w:val="24"/>
        </w:rPr>
        <w:t>.</w:t>
      </w:r>
      <w:r w:rsidRPr="00F6340E">
        <w:rPr>
          <w:sz w:val="24"/>
          <w:szCs w:val="24"/>
        </w:rPr>
        <w:t xml:space="preserve"> </w:t>
      </w:r>
      <w:r w:rsidR="00555FF2">
        <w:rPr>
          <w:sz w:val="24"/>
          <w:szCs w:val="24"/>
        </w:rPr>
        <w:t>L</w:t>
      </w:r>
      <w:r w:rsidR="00F6340E" w:rsidRPr="00B512FF">
        <w:rPr>
          <w:sz w:val="24"/>
          <w:szCs w:val="24"/>
        </w:rPr>
        <w:t>imit</w:t>
      </w:r>
      <w:r w:rsidR="00555FF2">
        <w:rPr>
          <w:sz w:val="24"/>
          <w:szCs w:val="24"/>
        </w:rPr>
        <w:t>y</w:t>
      </w:r>
      <w:r w:rsidR="00F6340E" w:rsidRPr="00B512FF">
        <w:rPr>
          <w:sz w:val="24"/>
          <w:szCs w:val="24"/>
        </w:rPr>
        <w:t xml:space="preserve"> výdajů na projekty technické pomo</w:t>
      </w:r>
      <w:r w:rsidR="0058558E">
        <w:rPr>
          <w:sz w:val="24"/>
          <w:szCs w:val="24"/>
        </w:rPr>
        <w:t>ci (mimo projekty na o</w:t>
      </w:r>
      <w:r w:rsidR="00F6340E" w:rsidRPr="00B512FF">
        <w:rPr>
          <w:sz w:val="24"/>
          <w:szCs w:val="24"/>
        </w:rPr>
        <w:t xml:space="preserve">sobní náklady) realizované v letech 2016 až 2018 byly </w:t>
      </w:r>
      <w:r w:rsidR="009961DC" w:rsidRPr="00B512FF">
        <w:rPr>
          <w:sz w:val="24"/>
          <w:szCs w:val="24"/>
        </w:rPr>
        <w:t xml:space="preserve">evidentně </w:t>
      </w:r>
      <w:r w:rsidR="00F6340E" w:rsidRPr="00B512FF">
        <w:rPr>
          <w:sz w:val="24"/>
          <w:szCs w:val="24"/>
        </w:rPr>
        <w:t xml:space="preserve">značně nadhodnoceny. </w:t>
      </w:r>
      <w:r w:rsidRPr="00F6340E">
        <w:rPr>
          <w:sz w:val="24"/>
          <w:szCs w:val="24"/>
        </w:rPr>
        <w:t>S</w:t>
      </w:r>
      <w:r w:rsidRPr="00B512FF">
        <w:rPr>
          <w:sz w:val="24"/>
          <w:szCs w:val="24"/>
        </w:rPr>
        <w:t>kutečné</w:t>
      </w:r>
      <w:r w:rsidR="00F6340E" w:rsidRPr="00B512FF">
        <w:rPr>
          <w:sz w:val="24"/>
          <w:szCs w:val="24"/>
        </w:rPr>
        <w:t xml:space="preserve"> čerpání peněžních prostředků u</w:t>
      </w:r>
      <w:r w:rsidR="00555FF2">
        <w:rPr>
          <w:sz w:val="24"/>
          <w:szCs w:val="24"/>
        </w:rPr>
        <w:t xml:space="preserve"> </w:t>
      </w:r>
      <w:r w:rsidR="009961DC" w:rsidRPr="00B512FF">
        <w:rPr>
          <w:sz w:val="24"/>
          <w:szCs w:val="24"/>
        </w:rPr>
        <w:t xml:space="preserve">těchto </w:t>
      </w:r>
      <w:r w:rsidR="00310C59" w:rsidRPr="00B512FF">
        <w:rPr>
          <w:sz w:val="24"/>
          <w:szCs w:val="24"/>
        </w:rPr>
        <w:t xml:space="preserve">již dokončených </w:t>
      </w:r>
      <w:r w:rsidRPr="00B512FF">
        <w:rPr>
          <w:sz w:val="24"/>
          <w:szCs w:val="24"/>
        </w:rPr>
        <w:t>projektů</w:t>
      </w:r>
      <w:r w:rsidR="00A9255C" w:rsidRPr="00B512FF">
        <w:rPr>
          <w:sz w:val="24"/>
          <w:szCs w:val="24"/>
        </w:rPr>
        <w:t xml:space="preserve"> </w:t>
      </w:r>
      <w:r w:rsidRPr="00B512FF">
        <w:rPr>
          <w:sz w:val="24"/>
          <w:szCs w:val="24"/>
        </w:rPr>
        <w:t xml:space="preserve">v letech 2016 až 2018 </w:t>
      </w:r>
      <w:r w:rsidR="00310C59" w:rsidRPr="00B512FF">
        <w:rPr>
          <w:sz w:val="24"/>
          <w:szCs w:val="24"/>
        </w:rPr>
        <w:t xml:space="preserve">bylo </w:t>
      </w:r>
      <w:r w:rsidRPr="00B512FF">
        <w:rPr>
          <w:sz w:val="24"/>
          <w:szCs w:val="24"/>
        </w:rPr>
        <w:t xml:space="preserve">cca o </w:t>
      </w:r>
      <w:r w:rsidR="00A9255C" w:rsidRPr="00B512FF">
        <w:rPr>
          <w:sz w:val="24"/>
          <w:szCs w:val="24"/>
        </w:rPr>
        <w:t>dvě třetiny</w:t>
      </w:r>
      <w:r w:rsidRPr="00B512FF">
        <w:rPr>
          <w:sz w:val="24"/>
          <w:szCs w:val="24"/>
        </w:rPr>
        <w:t xml:space="preserve"> nižší, než MPO předpokládalo</w:t>
      </w:r>
      <w:r w:rsidR="00F6340E" w:rsidRPr="00B512FF">
        <w:rPr>
          <w:sz w:val="24"/>
          <w:szCs w:val="24"/>
        </w:rPr>
        <w:t>.</w:t>
      </w:r>
      <w:r w:rsidRPr="00B512FF">
        <w:rPr>
          <w:sz w:val="24"/>
          <w:szCs w:val="24"/>
        </w:rPr>
        <w:t xml:space="preserve"> </w:t>
      </w:r>
      <w:r w:rsidR="00D91581" w:rsidRPr="00B41238">
        <w:rPr>
          <w:rFonts w:cstheme="minorHAnsi"/>
          <w:sz w:val="24"/>
          <w:szCs w:val="24"/>
        </w:rPr>
        <w:t>NKÚ nezpochybňuje záměr MPO případně přesunout nevyužité peněžní prostředky PO 5 ve prospěch jiných prioritních os OPPIK (s vyšší absorpční kapacitou) za předpokladu jejich vynaložení na účelné a efektivní projekty</w:t>
      </w:r>
      <w:r w:rsidR="00D91581">
        <w:rPr>
          <w:rFonts w:cstheme="minorHAnsi"/>
          <w:sz w:val="24"/>
          <w:szCs w:val="24"/>
        </w:rPr>
        <w:t xml:space="preserve">. </w:t>
      </w:r>
      <w:r w:rsidR="009961DC" w:rsidRPr="00B512FF">
        <w:rPr>
          <w:sz w:val="24"/>
          <w:szCs w:val="24"/>
        </w:rPr>
        <w:t xml:space="preserve">Nicméně tak výrazný rozdíl mezi rozpočtem </w:t>
      </w:r>
      <w:r w:rsidR="00B75325">
        <w:rPr>
          <w:sz w:val="24"/>
          <w:szCs w:val="24"/>
        </w:rPr>
        <w:br/>
      </w:r>
      <w:r w:rsidR="009961DC" w:rsidRPr="00B512FF">
        <w:rPr>
          <w:sz w:val="24"/>
          <w:szCs w:val="24"/>
        </w:rPr>
        <w:t>a čerpáním</w:t>
      </w:r>
      <w:r w:rsidR="007F5CA2" w:rsidRPr="00B512FF">
        <w:rPr>
          <w:sz w:val="24"/>
          <w:szCs w:val="24"/>
        </w:rPr>
        <w:t xml:space="preserve"> </w:t>
      </w:r>
      <w:r w:rsidR="009961DC" w:rsidRPr="00B512FF">
        <w:rPr>
          <w:sz w:val="24"/>
          <w:szCs w:val="24"/>
        </w:rPr>
        <w:t xml:space="preserve">považuje za logický </w:t>
      </w:r>
      <w:r w:rsidRPr="00B512FF">
        <w:rPr>
          <w:sz w:val="24"/>
          <w:szCs w:val="24"/>
        </w:rPr>
        <w:t>důsled</w:t>
      </w:r>
      <w:r w:rsidR="009961DC" w:rsidRPr="00B512FF">
        <w:rPr>
          <w:sz w:val="24"/>
          <w:szCs w:val="24"/>
        </w:rPr>
        <w:t>ek</w:t>
      </w:r>
      <w:r w:rsidRPr="00B512FF">
        <w:rPr>
          <w:sz w:val="24"/>
          <w:szCs w:val="24"/>
        </w:rPr>
        <w:t xml:space="preserve"> absence </w:t>
      </w:r>
      <w:r w:rsidR="00F6340E" w:rsidRPr="00B512FF">
        <w:rPr>
          <w:sz w:val="24"/>
          <w:szCs w:val="24"/>
        </w:rPr>
        <w:t xml:space="preserve">analýzy potřeb </w:t>
      </w:r>
      <w:r w:rsidR="00601D56" w:rsidRPr="00B512FF">
        <w:rPr>
          <w:sz w:val="24"/>
          <w:szCs w:val="24"/>
        </w:rPr>
        <w:t>pro</w:t>
      </w:r>
      <w:r w:rsidR="001E61D0">
        <w:rPr>
          <w:sz w:val="24"/>
          <w:szCs w:val="24"/>
        </w:rPr>
        <w:t xml:space="preserve"> </w:t>
      </w:r>
      <w:r w:rsidR="00F6340E" w:rsidRPr="00B512FF">
        <w:rPr>
          <w:sz w:val="24"/>
          <w:szCs w:val="24"/>
        </w:rPr>
        <w:t>PO</w:t>
      </w:r>
      <w:r w:rsidR="001E61D0">
        <w:rPr>
          <w:sz w:val="24"/>
          <w:szCs w:val="24"/>
        </w:rPr>
        <w:t> </w:t>
      </w:r>
      <w:r w:rsidR="00F6340E" w:rsidRPr="00B512FF">
        <w:rPr>
          <w:sz w:val="24"/>
          <w:szCs w:val="24"/>
        </w:rPr>
        <w:t xml:space="preserve">5 OPPIK v době přípravy </w:t>
      </w:r>
      <w:r w:rsidR="00601D56" w:rsidRPr="00B512FF">
        <w:rPr>
          <w:sz w:val="24"/>
          <w:szCs w:val="24"/>
        </w:rPr>
        <w:t>operačního programu</w:t>
      </w:r>
      <w:r w:rsidR="00F6340E" w:rsidRPr="00B512FF">
        <w:rPr>
          <w:sz w:val="24"/>
          <w:szCs w:val="24"/>
        </w:rPr>
        <w:t>.</w:t>
      </w:r>
      <w:r w:rsidR="00D509ED">
        <w:rPr>
          <w:sz w:val="24"/>
          <w:szCs w:val="24"/>
        </w:rPr>
        <w:t xml:space="preserve"> </w:t>
      </w:r>
      <w:r w:rsidR="002013F2">
        <w:rPr>
          <w:sz w:val="24"/>
          <w:szCs w:val="24"/>
        </w:rPr>
        <w:t>Velmi n</w:t>
      </w:r>
      <w:r w:rsidR="00D509ED">
        <w:rPr>
          <w:sz w:val="24"/>
          <w:szCs w:val="24"/>
        </w:rPr>
        <w:t xml:space="preserve">ízké </w:t>
      </w:r>
      <w:r w:rsidR="002013F2">
        <w:rPr>
          <w:sz w:val="24"/>
          <w:szCs w:val="24"/>
        </w:rPr>
        <w:t xml:space="preserve">průběžné </w:t>
      </w:r>
      <w:r w:rsidR="00D509ED">
        <w:rPr>
          <w:sz w:val="24"/>
          <w:szCs w:val="24"/>
        </w:rPr>
        <w:t>čerpání prostředků u dvou finančně významných projektů PO 5 dokládá příklad č. 1</w:t>
      </w:r>
      <w:r w:rsidR="00577CB2">
        <w:rPr>
          <w:sz w:val="24"/>
          <w:szCs w:val="24"/>
        </w:rPr>
        <w:t>.</w:t>
      </w:r>
    </w:p>
    <w:p w14:paraId="656DF6EC" w14:textId="77777777" w:rsidR="00311115" w:rsidRDefault="00311115" w:rsidP="00E669B2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46A6B079" w14:textId="77777777" w:rsidR="00311115" w:rsidRPr="0044729D" w:rsidRDefault="00311115" w:rsidP="0031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/>
          <w:color w:val="4472C4" w:themeColor="accent5"/>
          <w:sz w:val="24"/>
          <w:szCs w:val="24"/>
        </w:rPr>
      </w:pPr>
      <w:r w:rsidRPr="0044729D">
        <w:rPr>
          <w:rFonts w:ascii="Calibri" w:hAnsi="Calibri"/>
          <w:b/>
          <w:color w:val="004595"/>
          <w:sz w:val="24"/>
          <w:szCs w:val="24"/>
        </w:rPr>
        <w:t>Příklad č. </w:t>
      </w:r>
      <w:r>
        <w:rPr>
          <w:rFonts w:ascii="Calibri" w:hAnsi="Calibri"/>
          <w:b/>
          <w:color w:val="004595"/>
          <w:sz w:val="24"/>
          <w:szCs w:val="24"/>
        </w:rPr>
        <w:t>1</w:t>
      </w:r>
    </w:p>
    <w:p w14:paraId="03CCEBA6" w14:textId="66573BC3" w:rsidR="00E669B2" w:rsidRPr="00387B82" w:rsidRDefault="00311115" w:rsidP="003111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/>
          <w:i/>
          <w:sz w:val="24"/>
          <w:szCs w:val="24"/>
        </w:rPr>
      </w:pPr>
      <w:r w:rsidRPr="0044729D">
        <w:rPr>
          <w:rFonts w:ascii="Calibri" w:hAnsi="Calibri"/>
          <w:i/>
          <w:sz w:val="24"/>
          <w:szCs w:val="24"/>
        </w:rPr>
        <w:t xml:space="preserve">V rámci projektu technické pomoci </w:t>
      </w:r>
      <w:r w:rsidRPr="00311115">
        <w:rPr>
          <w:rFonts w:ascii="Calibri" w:hAnsi="Calibri"/>
          <w:i/>
          <w:sz w:val="24"/>
          <w:szCs w:val="24"/>
        </w:rPr>
        <w:t>MPO_PUBLICITA_2016-2018</w:t>
      </w:r>
      <w:r>
        <w:rPr>
          <w:rFonts w:ascii="Calibri" w:hAnsi="Calibri"/>
          <w:i/>
          <w:sz w:val="24"/>
          <w:szCs w:val="24"/>
        </w:rPr>
        <w:t xml:space="preserve"> stanovilo MPO limit výdajů ve výši </w:t>
      </w:r>
      <w:r w:rsidRPr="00311115">
        <w:rPr>
          <w:rFonts w:ascii="Calibri" w:hAnsi="Calibri"/>
          <w:i/>
          <w:sz w:val="24"/>
          <w:szCs w:val="24"/>
        </w:rPr>
        <w:t>81 000 000,00</w:t>
      </w:r>
      <w:r>
        <w:rPr>
          <w:rFonts w:ascii="Calibri" w:hAnsi="Calibri"/>
          <w:i/>
          <w:sz w:val="24"/>
          <w:szCs w:val="24"/>
        </w:rPr>
        <w:t xml:space="preserve"> Kč</w:t>
      </w:r>
      <w:r w:rsidR="00555FF2">
        <w:rPr>
          <w:rFonts w:ascii="Calibri" w:hAnsi="Calibri"/>
          <w:i/>
          <w:sz w:val="24"/>
          <w:szCs w:val="24"/>
        </w:rPr>
        <w:t>, avšak</w:t>
      </w:r>
      <w:r>
        <w:rPr>
          <w:rFonts w:ascii="Calibri" w:hAnsi="Calibri"/>
          <w:i/>
          <w:sz w:val="24"/>
          <w:szCs w:val="24"/>
        </w:rPr>
        <w:t xml:space="preserve"> na tento projekt skutečně </w:t>
      </w:r>
      <w:r w:rsidR="002013F2">
        <w:rPr>
          <w:rFonts w:ascii="Calibri" w:hAnsi="Calibri"/>
          <w:i/>
          <w:sz w:val="24"/>
          <w:szCs w:val="24"/>
        </w:rPr>
        <w:t>vy</w:t>
      </w:r>
      <w:r>
        <w:rPr>
          <w:rFonts w:ascii="Calibri" w:hAnsi="Calibri"/>
          <w:i/>
          <w:sz w:val="24"/>
          <w:szCs w:val="24"/>
        </w:rPr>
        <w:t xml:space="preserve">čerpalo peněžní prostředky v celkové výši </w:t>
      </w:r>
      <w:r w:rsidRPr="00311115">
        <w:rPr>
          <w:rFonts w:ascii="Calibri" w:hAnsi="Calibri"/>
          <w:i/>
          <w:sz w:val="24"/>
          <w:szCs w:val="24"/>
        </w:rPr>
        <w:t>7</w:t>
      </w:r>
      <w:r>
        <w:rPr>
          <w:rFonts w:ascii="Calibri" w:hAnsi="Calibri"/>
          <w:i/>
          <w:sz w:val="24"/>
          <w:szCs w:val="24"/>
        </w:rPr>
        <w:t> </w:t>
      </w:r>
      <w:r w:rsidRPr="00311115">
        <w:rPr>
          <w:rFonts w:ascii="Calibri" w:hAnsi="Calibri"/>
          <w:i/>
          <w:sz w:val="24"/>
          <w:szCs w:val="24"/>
        </w:rPr>
        <w:t>051 998,03</w:t>
      </w:r>
      <w:r>
        <w:rPr>
          <w:rFonts w:ascii="Calibri" w:hAnsi="Calibri"/>
          <w:i/>
          <w:sz w:val="24"/>
          <w:szCs w:val="24"/>
        </w:rPr>
        <w:t xml:space="preserve"> Kč, tj. 8,7 % stanoveného limitu výdajů</w:t>
      </w:r>
      <w:r w:rsidR="006E53E4">
        <w:rPr>
          <w:rFonts w:ascii="Calibri" w:hAnsi="Calibri"/>
          <w:i/>
          <w:sz w:val="24"/>
          <w:szCs w:val="24"/>
        </w:rPr>
        <w:t>. V</w:t>
      </w:r>
      <w:r>
        <w:rPr>
          <w:rFonts w:ascii="Calibri" w:hAnsi="Calibri"/>
          <w:i/>
          <w:sz w:val="24"/>
          <w:szCs w:val="24"/>
        </w:rPr>
        <w:t xml:space="preserve"> rámci </w:t>
      </w:r>
      <w:r w:rsidRPr="0044729D">
        <w:rPr>
          <w:rFonts w:ascii="Calibri" w:hAnsi="Calibri"/>
          <w:i/>
          <w:sz w:val="24"/>
          <w:szCs w:val="24"/>
        </w:rPr>
        <w:t xml:space="preserve">projektu technické pomoci </w:t>
      </w:r>
      <w:r w:rsidR="00C717D8">
        <w:rPr>
          <w:rFonts w:ascii="Calibri" w:hAnsi="Calibri"/>
          <w:i/>
          <w:sz w:val="24"/>
          <w:szCs w:val="24"/>
        </w:rPr>
        <w:t xml:space="preserve">MPO_EXTERNÍ </w:t>
      </w:r>
      <w:proofErr w:type="gramStart"/>
      <w:r w:rsidR="00C717D8">
        <w:rPr>
          <w:rFonts w:ascii="Calibri" w:hAnsi="Calibri"/>
          <w:i/>
          <w:sz w:val="24"/>
          <w:szCs w:val="24"/>
        </w:rPr>
        <w:t>SLUŽBY_2016</w:t>
      </w:r>
      <w:proofErr w:type="gramEnd"/>
      <w:r w:rsidR="00C717D8">
        <w:rPr>
          <w:rFonts w:ascii="Calibri" w:hAnsi="Calibri"/>
          <w:i/>
          <w:sz w:val="24"/>
          <w:szCs w:val="24"/>
        </w:rPr>
        <w:t>–</w:t>
      </w:r>
      <w:proofErr w:type="gramStart"/>
      <w:r w:rsidRPr="00311115">
        <w:rPr>
          <w:rFonts w:ascii="Calibri" w:hAnsi="Calibri"/>
          <w:i/>
          <w:sz w:val="24"/>
          <w:szCs w:val="24"/>
        </w:rPr>
        <w:t>2018</w:t>
      </w:r>
      <w:proofErr w:type="gramEnd"/>
      <w:r>
        <w:rPr>
          <w:rFonts w:ascii="Calibri" w:hAnsi="Calibri"/>
          <w:i/>
          <w:sz w:val="24"/>
          <w:szCs w:val="24"/>
        </w:rPr>
        <w:t xml:space="preserve"> stanovilo MPO limit výdajů ve výši 90</w:t>
      </w:r>
      <w:r w:rsidRPr="00311115">
        <w:rPr>
          <w:rFonts w:ascii="Calibri" w:hAnsi="Calibri"/>
          <w:i/>
          <w:sz w:val="24"/>
          <w:szCs w:val="24"/>
        </w:rPr>
        <w:t xml:space="preserve"> 000 000,00</w:t>
      </w:r>
      <w:r>
        <w:rPr>
          <w:rFonts w:ascii="Calibri" w:hAnsi="Calibri"/>
          <w:i/>
          <w:sz w:val="24"/>
          <w:szCs w:val="24"/>
        </w:rPr>
        <w:t xml:space="preserve"> Kč</w:t>
      </w:r>
      <w:r w:rsidR="00DC5FFB">
        <w:rPr>
          <w:rFonts w:ascii="Calibri" w:hAnsi="Calibri"/>
          <w:i/>
          <w:sz w:val="24"/>
          <w:szCs w:val="24"/>
        </w:rPr>
        <w:t>, ve skutečnosti však</w:t>
      </w:r>
      <w:r>
        <w:rPr>
          <w:rFonts w:ascii="Calibri" w:hAnsi="Calibri"/>
          <w:i/>
          <w:sz w:val="24"/>
          <w:szCs w:val="24"/>
        </w:rPr>
        <w:t xml:space="preserve"> na tento projekt </w:t>
      </w:r>
      <w:r w:rsidR="002013F2">
        <w:rPr>
          <w:rFonts w:ascii="Calibri" w:hAnsi="Calibri"/>
          <w:i/>
          <w:sz w:val="24"/>
          <w:szCs w:val="24"/>
        </w:rPr>
        <w:t>vy</w:t>
      </w:r>
      <w:r>
        <w:rPr>
          <w:rFonts w:ascii="Calibri" w:hAnsi="Calibri"/>
          <w:i/>
          <w:sz w:val="24"/>
          <w:szCs w:val="24"/>
        </w:rPr>
        <w:t xml:space="preserve">čerpalo peněžní prostředky v celkové výši </w:t>
      </w:r>
      <w:r w:rsidRPr="00311115">
        <w:rPr>
          <w:rFonts w:ascii="Calibri" w:hAnsi="Calibri"/>
          <w:i/>
          <w:sz w:val="24"/>
          <w:szCs w:val="24"/>
        </w:rPr>
        <w:t>8 217 810,94</w:t>
      </w:r>
      <w:r>
        <w:rPr>
          <w:rFonts w:ascii="Calibri" w:hAnsi="Calibri"/>
          <w:i/>
          <w:sz w:val="24"/>
          <w:szCs w:val="24"/>
        </w:rPr>
        <w:t xml:space="preserve"> Kč, </w:t>
      </w:r>
      <w:r w:rsidR="006E53E4">
        <w:rPr>
          <w:rFonts w:ascii="Calibri" w:hAnsi="Calibri"/>
          <w:i/>
          <w:sz w:val="24"/>
          <w:szCs w:val="24"/>
        </w:rPr>
        <w:t>tj. 9,1 </w:t>
      </w:r>
      <w:r>
        <w:rPr>
          <w:rFonts w:ascii="Calibri" w:hAnsi="Calibri"/>
          <w:i/>
          <w:sz w:val="24"/>
          <w:szCs w:val="24"/>
        </w:rPr>
        <w:t>% stanoveného limitu výdajů</w:t>
      </w:r>
      <w:r w:rsidR="006E53E4">
        <w:rPr>
          <w:rFonts w:ascii="Calibri" w:hAnsi="Calibri"/>
          <w:i/>
          <w:sz w:val="24"/>
          <w:szCs w:val="24"/>
        </w:rPr>
        <w:t>.</w:t>
      </w:r>
    </w:p>
    <w:p w14:paraId="3F7CB196" w14:textId="77777777" w:rsidR="00E561E5" w:rsidRDefault="00E561E5" w:rsidP="007D1E6B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2DB5A035" w14:textId="77777777" w:rsidR="00E561E5" w:rsidRDefault="00E561E5" w:rsidP="007D1E6B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2BCFED7E" w14:textId="77777777" w:rsidR="00E561E5" w:rsidRDefault="00E561E5" w:rsidP="007D1E6B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28767844" w14:textId="28FA167F" w:rsidR="00577CB2" w:rsidRDefault="00577CB2" w:rsidP="007D1E6B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  <w:r w:rsidRPr="00D02A7C">
        <w:rPr>
          <w:b/>
          <w:noProof/>
          <w:sz w:val="32"/>
          <w:szCs w:val="32"/>
          <w:lang w:eastAsia="cs-CZ"/>
        </w:rPr>
        <w:lastRenderedPageBreak/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DD65FD3" wp14:editId="45E099A5">
                <wp:simplePos x="0" y="0"/>
                <wp:positionH relativeFrom="margin">
                  <wp:align>left</wp:align>
                </wp:positionH>
                <wp:positionV relativeFrom="paragraph">
                  <wp:posOffset>160231</wp:posOffset>
                </wp:positionV>
                <wp:extent cx="5741670" cy="1404620"/>
                <wp:effectExtent l="0" t="0" r="11430" b="10160"/>
                <wp:wrapSquare wrapText="bothSides"/>
                <wp:docPr id="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167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0438D7" w14:textId="77777777" w:rsidR="009767D5" w:rsidRPr="00FF2B8F" w:rsidRDefault="009767D5" w:rsidP="000B17F9">
                            <w:pPr>
                              <w:keepNext/>
                              <w:spacing w:before="20" w:after="0"/>
                              <w:rPr>
                                <w:color w:val="004595"/>
                              </w:rPr>
                            </w:pPr>
                            <w:r>
                              <w:rPr>
                                <w:b/>
                                <w:color w:val="004595"/>
                                <w:sz w:val="24"/>
                                <w:szCs w:val="24"/>
                              </w:rPr>
                              <w:t>C. Čerpání výdajů na osobní náklady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D65FD3" id="_x0000_s1028" type="#_x0000_t202" style="position:absolute;left:0;text-align:left;margin-left:0;margin-top:12.6pt;width:452.1pt;height:110.6pt;z-index:25167155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" fillcolor="#f2f2f2 [3052]" strokecolor="black [3213]">
                <v:textbox style="mso-fit-shape-to-text:t">
                  <w:txbxContent>
                    <w:p w14:paraId="510438D7" w14:textId="77777777" w:rsidR="009767D5" w:rsidRPr="00FF2B8F" w:rsidRDefault="009767D5" w:rsidP="000B17F9">
                      <w:pPr>
                        <w:keepNext/>
                        <w:spacing w:before="20" w:after="0"/>
                        <w:rPr>
                          <w:color w:val="004595"/>
                        </w:rPr>
                      </w:pPr>
                      <w:r>
                        <w:rPr>
                          <w:b/>
                          <w:color w:val="004595"/>
                          <w:sz w:val="24"/>
                          <w:szCs w:val="24"/>
                        </w:rPr>
                        <w:t>C. Čerpání výdajů na osobní náklady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63F0962D" w14:textId="592A0FC0" w:rsidR="00940295" w:rsidRDefault="00940295" w:rsidP="0053330F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O</w:t>
      </w:r>
      <w:r w:rsidRPr="00940295">
        <w:rPr>
          <w:sz w:val="24"/>
          <w:szCs w:val="24"/>
        </w:rPr>
        <w:t xml:space="preserve">dměňování zaměstnanců </w:t>
      </w:r>
      <w:r>
        <w:rPr>
          <w:sz w:val="24"/>
          <w:szCs w:val="24"/>
        </w:rPr>
        <w:t xml:space="preserve">implementační struktury OPPIK </w:t>
      </w:r>
      <w:r w:rsidRPr="00940295">
        <w:rPr>
          <w:sz w:val="24"/>
          <w:szCs w:val="24"/>
        </w:rPr>
        <w:t xml:space="preserve">(včetně </w:t>
      </w:r>
      <w:r w:rsidR="00DC5FFB">
        <w:rPr>
          <w:sz w:val="24"/>
          <w:szCs w:val="24"/>
        </w:rPr>
        <w:t xml:space="preserve">placení </w:t>
      </w:r>
      <w:r w:rsidRPr="00940295">
        <w:rPr>
          <w:sz w:val="24"/>
          <w:szCs w:val="24"/>
        </w:rPr>
        <w:t>zákonných odvodů</w:t>
      </w:r>
      <w:r w:rsidR="0018495D">
        <w:rPr>
          <w:sz w:val="24"/>
          <w:szCs w:val="24"/>
        </w:rPr>
        <w:t>)</w:t>
      </w:r>
      <w:r w:rsidRPr="00940295">
        <w:rPr>
          <w:sz w:val="24"/>
          <w:szCs w:val="24"/>
        </w:rPr>
        <w:t xml:space="preserve"> podílejících se na přípravě, implementaci, hodnocení a monitorování </w:t>
      </w:r>
      <w:r>
        <w:rPr>
          <w:sz w:val="24"/>
          <w:szCs w:val="24"/>
        </w:rPr>
        <w:t xml:space="preserve">operačního </w:t>
      </w:r>
      <w:r w:rsidR="00CB10DB">
        <w:rPr>
          <w:sz w:val="24"/>
          <w:szCs w:val="24"/>
        </w:rPr>
        <w:t>programu a </w:t>
      </w:r>
      <w:r w:rsidRPr="00940295">
        <w:rPr>
          <w:sz w:val="24"/>
          <w:szCs w:val="24"/>
        </w:rPr>
        <w:t>kontrolách</w:t>
      </w:r>
      <w:r>
        <w:rPr>
          <w:sz w:val="24"/>
          <w:szCs w:val="24"/>
        </w:rPr>
        <w:t xml:space="preserve"> má přispět k</w:t>
      </w:r>
      <w:r w:rsidR="00053E02">
        <w:rPr>
          <w:sz w:val="24"/>
          <w:szCs w:val="24"/>
        </w:rPr>
        <w:t>e</w:t>
      </w:r>
      <w:r>
        <w:rPr>
          <w:sz w:val="24"/>
          <w:szCs w:val="24"/>
        </w:rPr>
        <w:t xml:space="preserve"> s</w:t>
      </w:r>
      <w:r w:rsidRPr="00940295">
        <w:rPr>
          <w:sz w:val="24"/>
          <w:szCs w:val="24"/>
        </w:rPr>
        <w:t>tabilizac</w:t>
      </w:r>
      <w:r>
        <w:rPr>
          <w:sz w:val="24"/>
          <w:szCs w:val="24"/>
        </w:rPr>
        <w:t>i</w:t>
      </w:r>
      <w:r w:rsidRPr="00940295">
        <w:rPr>
          <w:sz w:val="24"/>
          <w:szCs w:val="24"/>
        </w:rPr>
        <w:t xml:space="preserve"> zaměstnanců, </w:t>
      </w:r>
      <w:r>
        <w:rPr>
          <w:sz w:val="24"/>
          <w:szCs w:val="24"/>
        </w:rPr>
        <w:t xml:space="preserve">ke </w:t>
      </w:r>
      <w:r w:rsidRPr="00940295">
        <w:rPr>
          <w:sz w:val="24"/>
          <w:szCs w:val="24"/>
        </w:rPr>
        <w:t>snížení fluktuace</w:t>
      </w:r>
      <w:r>
        <w:rPr>
          <w:sz w:val="24"/>
          <w:szCs w:val="24"/>
        </w:rPr>
        <w:t xml:space="preserve"> a k z</w:t>
      </w:r>
      <w:r w:rsidRPr="00940295">
        <w:rPr>
          <w:sz w:val="24"/>
          <w:szCs w:val="24"/>
        </w:rPr>
        <w:t>ajištění dostatečné administrativní kapacity říd</w:t>
      </w:r>
      <w:r w:rsidR="00DC5FFB">
        <w:rPr>
          <w:sz w:val="24"/>
          <w:szCs w:val="24"/>
        </w:rPr>
        <w:t>i</w:t>
      </w:r>
      <w:r w:rsidRPr="00940295">
        <w:rPr>
          <w:sz w:val="24"/>
          <w:szCs w:val="24"/>
        </w:rPr>
        <w:t>cího orgánu a zprostředkujícího subjektu</w:t>
      </w:r>
      <w:r>
        <w:rPr>
          <w:sz w:val="24"/>
          <w:szCs w:val="24"/>
        </w:rPr>
        <w:t>.</w:t>
      </w:r>
      <w:r w:rsidR="006416FB">
        <w:rPr>
          <w:sz w:val="24"/>
          <w:szCs w:val="24"/>
        </w:rPr>
        <w:t xml:space="preserve"> Důležitým dokumentem, kterým se řídí odměňování zaměstnanců implementačních struktur </w:t>
      </w:r>
      <w:r w:rsidR="001E61D0">
        <w:rPr>
          <w:sz w:val="24"/>
          <w:szCs w:val="24"/>
        </w:rPr>
        <w:t>včetně např. stanovení výše limitů odměn a</w:t>
      </w:r>
      <w:r w:rsidR="00DC5FFB">
        <w:rPr>
          <w:sz w:val="24"/>
          <w:szCs w:val="24"/>
        </w:rPr>
        <w:t xml:space="preserve"> </w:t>
      </w:r>
      <w:r w:rsidR="001E61D0" w:rsidRPr="00134E77">
        <w:rPr>
          <w:sz w:val="24"/>
          <w:szCs w:val="24"/>
        </w:rPr>
        <w:t>motivačních příplatků</w:t>
      </w:r>
      <w:r w:rsidR="001E61D0">
        <w:rPr>
          <w:sz w:val="24"/>
          <w:szCs w:val="24"/>
        </w:rPr>
        <w:t xml:space="preserve"> </w:t>
      </w:r>
      <w:r w:rsidR="0053330F">
        <w:rPr>
          <w:sz w:val="24"/>
          <w:szCs w:val="24"/>
        </w:rPr>
        <w:t xml:space="preserve">a který </w:t>
      </w:r>
      <w:r w:rsidR="004A28F6">
        <w:rPr>
          <w:sz w:val="24"/>
          <w:szCs w:val="24"/>
        </w:rPr>
        <w:t>stanovuj</w:t>
      </w:r>
      <w:r w:rsidR="0053330F">
        <w:rPr>
          <w:sz w:val="24"/>
          <w:szCs w:val="24"/>
        </w:rPr>
        <w:t>e</w:t>
      </w:r>
      <w:r w:rsidR="004A28F6">
        <w:rPr>
          <w:sz w:val="24"/>
          <w:szCs w:val="24"/>
        </w:rPr>
        <w:t xml:space="preserve"> postupy pro řízení lidských zdrojů, </w:t>
      </w:r>
      <w:proofErr w:type="gramStart"/>
      <w:r w:rsidR="006416FB" w:rsidRPr="00134E77">
        <w:rPr>
          <w:sz w:val="24"/>
          <w:szCs w:val="24"/>
        </w:rPr>
        <w:t>je</w:t>
      </w:r>
      <w:proofErr w:type="gramEnd"/>
      <w:r w:rsidR="006416FB" w:rsidRPr="00134E77">
        <w:rPr>
          <w:sz w:val="24"/>
          <w:szCs w:val="24"/>
        </w:rPr>
        <w:t xml:space="preserve"> </w:t>
      </w:r>
      <w:r w:rsidR="004A28F6">
        <w:rPr>
          <w:sz w:val="24"/>
          <w:szCs w:val="24"/>
        </w:rPr>
        <w:t>MP</w:t>
      </w:r>
      <w:r w:rsidR="006416FB" w:rsidRPr="00134E77">
        <w:rPr>
          <w:sz w:val="24"/>
          <w:szCs w:val="24"/>
        </w:rPr>
        <w:t xml:space="preserve"> </w:t>
      </w:r>
      <w:r w:rsidR="006416FB" w:rsidRPr="00414FD2">
        <w:rPr>
          <w:sz w:val="24"/>
          <w:szCs w:val="24"/>
        </w:rPr>
        <w:t xml:space="preserve">Lidské </w:t>
      </w:r>
      <w:proofErr w:type="gramStart"/>
      <w:r w:rsidR="006416FB" w:rsidRPr="00414FD2">
        <w:rPr>
          <w:sz w:val="24"/>
          <w:szCs w:val="24"/>
        </w:rPr>
        <w:t>zdroje</w:t>
      </w:r>
      <w:proofErr w:type="gramEnd"/>
      <w:r w:rsidR="006416FB" w:rsidRPr="0053330F">
        <w:rPr>
          <w:sz w:val="24"/>
          <w:szCs w:val="24"/>
          <w:vertAlign w:val="superscript"/>
        </w:rPr>
        <w:footnoteReference w:id="16"/>
      </w:r>
      <w:r w:rsidR="004A28F6">
        <w:rPr>
          <w:sz w:val="24"/>
          <w:szCs w:val="24"/>
        </w:rPr>
        <w:t>.</w:t>
      </w:r>
    </w:p>
    <w:p w14:paraId="1FBE3582" w14:textId="77777777" w:rsidR="00940295" w:rsidRDefault="00940295" w:rsidP="00A5329B">
      <w:pPr>
        <w:tabs>
          <w:tab w:val="left" w:pos="567"/>
        </w:tabs>
        <w:spacing w:after="0" w:line="280" w:lineRule="atLeast"/>
        <w:jc w:val="both"/>
        <w:rPr>
          <w:sz w:val="24"/>
          <w:szCs w:val="24"/>
        </w:rPr>
      </w:pPr>
    </w:p>
    <w:p w14:paraId="5F178B0D" w14:textId="77777777" w:rsidR="00940295" w:rsidRDefault="00940295" w:rsidP="0053330F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NKÚ podrobil kontrole </w:t>
      </w:r>
      <w:r w:rsidR="00393C64">
        <w:rPr>
          <w:sz w:val="24"/>
          <w:szCs w:val="24"/>
        </w:rPr>
        <w:t xml:space="preserve">vzorek </w:t>
      </w:r>
      <w:r>
        <w:rPr>
          <w:sz w:val="24"/>
          <w:szCs w:val="24"/>
        </w:rPr>
        <w:t>výdaj</w:t>
      </w:r>
      <w:r w:rsidR="00393C64">
        <w:rPr>
          <w:sz w:val="24"/>
          <w:szCs w:val="24"/>
        </w:rPr>
        <w:t>ů</w:t>
      </w:r>
      <w:r>
        <w:rPr>
          <w:sz w:val="24"/>
          <w:szCs w:val="24"/>
        </w:rPr>
        <w:t xml:space="preserve"> na osobní náklady zaměstnanců implementační struktury OPPIK</w:t>
      </w:r>
      <w:r w:rsidR="008D78A1">
        <w:rPr>
          <w:sz w:val="24"/>
          <w:szCs w:val="24"/>
        </w:rPr>
        <w:t xml:space="preserve"> a posuzoval</w:t>
      </w:r>
      <w:r w:rsidR="005E697E">
        <w:rPr>
          <w:sz w:val="24"/>
          <w:szCs w:val="24"/>
        </w:rPr>
        <w:t>, zda</w:t>
      </w:r>
      <w:r>
        <w:rPr>
          <w:sz w:val="24"/>
          <w:szCs w:val="24"/>
        </w:rPr>
        <w:t>:</w:t>
      </w:r>
    </w:p>
    <w:p w14:paraId="253E4EDC" w14:textId="1CA2D067" w:rsidR="00940295" w:rsidRDefault="00940295" w:rsidP="00CB10DB">
      <w:pPr>
        <w:pStyle w:val="Odstavecseseznamem"/>
        <w:numPr>
          <w:ilvl w:val="0"/>
          <w:numId w:val="38"/>
        </w:numPr>
        <w:spacing w:after="0" w:line="280" w:lineRule="atLeast"/>
        <w:jc w:val="both"/>
        <w:rPr>
          <w:sz w:val="24"/>
          <w:szCs w:val="24"/>
        </w:rPr>
      </w:pPr>
      <w:r w:rsidRPr="00CB10DB">
        <w:rPr>
          <w:sz w:val="24"/>
          <w:szCs w:val="24"/>
        </w:rPr>
        <w:t xml:space="preserve">jsou dodržovány </w:t>
      </w:r>
      <w:r w:rsidR="004460F5" w:rsidRPr="00CB10DB">
        <w:rPr>
          <w:sz w:val="24"/>
          <w:szCs w:val="24"/>
        </w:rPr>
        <w:t xml:space="preserve">stanovené </w:t>
      </w:r>
      <w:r w:rsidRPr="00CB10DB">
        <w:rPr>
          <w:sz w:val="24"/>
          <w:szCs w:val="24"/>
        </w:rPr>
        <w:t xml:space="preserve">limity </w:t>
      </w:r>
      <w:r w:rsidR="00DC5FFB">
        <w:rPr>
          <w:sz w:val="24"/>
          <w:szCs w:val="24"/>
        </w:rPr>
        <w:t xml:space="preserve">pro </w:t>
      </w:r>
      <w:r w:rsidRPr="00CB10DB">
        <w:rPr>
          <w:sz w:val="24"/>
          <w:szCs w:val="24"/>
        </w:rPr>
        <w:t>výši odměn</w:t>
      </w:r>
      <w:r w:rsidR="00CB10DB" w:rsidRPr="00CB10DB">
        <w:rPr>
          <w:sz w:val="24"/>
          <w:szCs w:val="24"/>
        </w:rPr>
        <w:t xml:space="preserve"> a </w:t>
      </w:r>
      <w:r w:rsidR="00DC5FFB">
        <w:rPr>
          <w:sz w:val="24"/>
          <w:szCs w:val="24"/>
        </w:rPr>
        <w:t>pro</w:t>
      </w:r>
      <w:r w:rsidRPr="00CB10DB">
        <w:rPr>
          <w:sz w:val="24"/>
          <w:szCs w:val="24"/>
        </w:rPr>
        <w:t xml:space="preserve"> výši motivačního příplatku,</w:t>
      </w:r>
    </w:p>
    <w:p w14:paraId="62641F4B" w14:textId="77777777" w:rsidR="00CB10DB" w:rsidRPr="00CB10DB" w:rsidRDefault="00CB10DB" w:rsidP="00CB10DB">
      <w:pPr>
        <w:pStyle w:val="Odstavecseseznamem"/>
        <w:numPr>
          <w:ilvl w:val="0"/>
          <w:numId w:val="38"/>
        </w:numPr>
        <w:spacing w:after="0"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jsou výkazy k osobním nákladům vedeny dostatečně průkazně,</w:t>
      </w:r>
    </w:p>
    <w:p w14:paraId="36116420" w14:textId="2D21BB70" w:rsidR="00940295" w:rsidRDefault="00940295" w:rsidP="00940295">
      <w:pPr>
        <w:pStyle w:val="Odstavecseseznamem"/>
        <w:numPr>
          <w:ilvl w:val="0"/>
          <w:numId w:val="38"/>
        </w:numPr>
        <w:spacing w:after="0"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říd</w:t>
      </w:r>
      <w:r w:rsidR="00DC5FFB">
        <w:rPr>
          <w:sz w:val="24"/>
          <w:szCs w:val="24"/>
        </w:rPr>
        <w:t>i</w:t>
      </w:r>
      <w:r>
        <w:rPr>
          <w:sz w:val="24"/>
          <w:szCs w:val="24"/>
        </w:rPr>
        <w:t xml:space="preserve">cí orgán a zprostředkující subjekt </w:t>
      </w:r>
      <w:r w:rsidR="004460F5">
        <w:rPr>
          <w:sz w:val="24"/>
          <w:szCs w:val="24"/>
        </w:rPr>
        <w:t>dodržoval</w:t>
      </w:r>
      <w:r w:rsidR="001444F0">
        <w:rPr>
          <w:sz w:val="24"/>
          <w:szCs w:val="24"/>
        </w:rPr>
        <w:t>y</w:t>
      </w:r>
      <w:r w:rsidR="004460F5">
        <w:rPr>
          <w:sz w:val="24"/>
          <w:szCs w:val="24"/>
        </w:rPr>
        <w:t xml:space="preserve"> stanovené postupy při řízení lidských zdrojů.</w:t>
      </w:r>
    </w:p>
    <w:p w14:paraId="543AFE55" w14:textId="77777777" w:rsidR="00940295" w:rsidRDefault="00940295" w:rsidP="00A5329B">
      <w:pPr>
        <w:tabs>
          <w:tab w:val="left" w:pos="567"/>
        </w:tabs>
        <w:spacing w:after="0" w:line="280" w:lineRule="atLeast"/>
        <w:jc w:val="both"/>
        <w:rPr>
          <w:sz w:val="24"/>
          <w:szCs w:val="24"/>
        </w:rPr>
      </w:pPr>
    </w:p>
    <w:p w14:paraId="763BF37E" w14:textId="77777777" w:rsidR="00A5329B" w:rsidRPr="0053330F" w:rsidRDefault="00A5329B" w:rsidP="00A5329B">
      <w:pPr>
        <w:spacing w:after="0" w:line="240" w:lineRule="auto"/>
        <w:jc w:val="both"/>
        <w:rPr>
          <w:b/>
          <w:i/>
          <w:color w:val="FF0000"/>
          <w:sz w:val="24"/>
          <w:szCs w:val="24"/>
        </w:rPr>
      </w:pPr>
      <w:r w:rsidRPr="0053330F">
        <w:rPr>
          <w:rFonts w:cstheme="minorHAnsi"/>
          <w:b/>
          <w:color w:val="FF0000"/>
          <w:sz w:val="24"/>
          <w:szCs w:val="24"/>
        </w:rPr>
        <w:t>→</w:t>
      </w:r>
      <w:r w:rsidR="00597A29" w:rsidRPr="0053330F">
        <w:rPr>
          <w:b/>
          <w:i/>
          <w:color w:val="FF0000"/>
          <w:sz w:val="24"/>
          <w:szCs w:val="24"/>
        </w:rPr>
        <w:t xml:space="preserve"> Na vzorku osobních nákladů 25 zaměstnanců bylo zjištěno jedno pochybení</w:t>
      </w:r>
      <w:r w:rsidR="00D91581">
        <w:rPr>
          <w:b/>
          <w:i/>
          <w:color w:val="FF0000"/>
          <w:sz w:val="24"/>
          <w:szCs w:val="24"/>
        </w:rPr>
        <w:t xml:space="preserve"> nasvědčující </w:t>
      </w:r>
      <w:r w:rsidR="00597A29" w:rsidRPr="0053330F">
        <w:rPr>
          <w:b/>
          <w:i/>
          <w:color w:val="FF0000"/>
          <w:sz w:val="24"/>
          <w:szCs w:val="24"/>
        </w:rPr>
        <w:t>porušení rozpočtové kázně v řádu desítek tisíc Kč</w:t>
      </w:r>
      <w:r w:rsidR="0053330F" w:rsidRPr="0053330F">
        <w:rPr>
          <w:b/>
          <w:i/>
          <w:color w:val="FF0000"/>
          <w:sz w:val="24"/>
          <w:szCs w:val="24"/>
        </w:rPr>
        <w:t>.</w:t>
      </w:r>
    </w:p>
    <w:p w14:paraId="74F92933" w14:textId="77777777" w:rsidR="00D81945" w:rsidRPr="00D81945" w:rsidRDefault="00D81945" w:rsidP="00A5329B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15AE7042" w14:textId="3CDE7FBA" w:rsidR="001B0731" w:rsidRPr="00F3271F" w:rsidRDefault="001B0731" w:rsidP="0053330F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F3271F">
        <w:rPr>
          <w:sz w:val="24"/>
          <w:szCs w:val="24"/>
        </w:rPr>
        <w:t xml:space="preserve">Z projektů technické pomoci </w:t>
      </w:r>
      <w:r w:rsidR="0058558E">
        <w:rPr>
          <w:sz w:val="24"/>
          <w:szCs w:val="24"/>
        </w:rPr>
        <w:t>na o</w:t>
      </w:r>
      <w:r w:rsidRPr="00F3271F">
        <w:rPr>
          <w:sz w:val="24"/>
          <w:szCs w:val="24"/>
        </w:rPr>
        <w:t xml:space="preserve">sobní náklady byl kontrole </w:t>
      </w:r>
      <w:r w:rsidR="0018495D">
        <w:rPr>
          <w:sz w:val="24"/>
          <w:szCs w:val="24"/>
        </w:rPr>
        <w:t xml:space="preserve">způsobilosti </w:t>
      </w:r>
      <w:r w:rsidRPr="00F3271F">
        <w:rPr>
          <w:sz w:val="24"/>
          <w:szCs w:val="24"/>
        </w:rPr>
        <w:t>výdajů podroben vzorek 15 zaměstnanců MPO (z celkových 216 zaměstnanců podílejících se na implementaci OPPIK) a 10 zaměstnanců API (z celkových 178 zaměstnanců podílejících se na implementaci OPPIK) vykazovaných k 31. prosinci 2018. Do vzorku MPO byli pro zajištění reprezentativnosti vybráni zaměstnanci, u kterých pracovní poměr trval po celou dobu</w:t>
      </w:r>
      <w:r w:rsidR="004367DF">
        <w:rPr>
          <w:sz w:val="24"/>
          <w:szCs w:val="24"/>
        </w:rPr>
        <w:t xml:space="preserve"> realizace projektu</w:t>
      </w:r>
      <w:r w:rsidRPr="00F3271F">
        <w:rPr>
          <w:sz w:val="24"/>
          <w:szCs w:val="24"/>
        </w:rPr>
        <w:t xml:space="preserve">, </w:t>
      </w:r>
      <w:r w:rsidR="00597A29">
        <w:rPr>
          <w:sz w:val="24"/>
          <w:szCs w:val="24"/>
        </w:rPr>
        <w:t xml:space="preserve">dále </w:t>
      </w:r>
      <w:r w:rsidR="00DC5FFB">
        <w:rPr>
          <w:sz w:val="24"/>
          <w:szCs w:val="24"/>
        </w:rPr>
        <w:t xml:space="preserve">zaměstnanci, </w:t>
      </w:r>
      <w:r w:rsidRPr="00F3271F">
        <w:rPr>
          <w:sz w:val="24"/>
          <w:szCs w:val="24"/>
        </w:rPr>
        <w:t>kteří pracovali na částečný úvaz</w:t>
      </w:r>
      <w:r w:rsidR="004367DF">
        <w:rPr>
          <w:sz w:val="24"/>
          <w:szCs w:val="24"/>
        </w:rPr>
        <w:t>ek hrazený z technické pomoci a</w:t>
      </w:r>
      <w:r w:rsidR="00DC5FFB">
        <w:rPr>
          <w:sz w:val="24"/>
          <w:szCs w:val="24"/>
        </w:rPr>
        <w:t xml:space="preserve"> </w:t>
      </w:r>
      <w:r w:rsidRPr="00F3271F">
        <w:rPr>
          <w:sz w:val="24"/>
          <w:szCs w:val="24"/>
        </w:rPr>
        <w:t>nebyli zaměstn</w:t>
      </w:r>
      <w:r w:rsidR="00DC5FFB">
        <w:rPr>
          <w:sz w:val="24"/>
          <w:szCs w:val="24"/>
        </w:rPr>
        <w:t>áni</w:t>
      </w:r>
      <w:r w:rsidRPr="00F3271F">
        <w:rPr>
          <w:sz w:val="24"/>
          <w:szCs w:val="24"/>
        </w:rPr>
        <w:t xml:space="preserve"> sekc</w:t>
      </w:r>
      <w:r w:rsidR="00DC5FFB">
        <w:rPr>
          <w:sz w:val="24"/>
          <w:szCs w:val="24"/>
        </w:rPr>
        <w:t>í</w:t>
      </w:r>
      <w:r w:rsidRPr="00F3271F">
        <w:rPr>
          <w:sz w:val="24"/>
          <w:szCs w:val="24"/>
        </w:rPr>
        <w:t xml:space="preserve"> pro implementaci </w:t>
      </w:r>
      <w:r w:rsidR="00D622C1">
        <w:rPr>
          <w:sz w:val="24"/>
          <w:szCs w:val="24"/>
        </w:rPr>
        <w:t>OPPIK,</w:t>
      </w:r>
      <w:r w:rsidRPr="00F3271F">
        <w:rPr>
          <w:sz w:val="24"/>
          <w:szCs w:val="24"/>
        </w:rPr>
        <w:t xml:space="preserve"> </w:t>
      </w:r>
      <w:r w:rsidR="00597A29">
        <w:rPr>
          <w:sz w:val="24"/>
          <w:szCs w:val="24"/>
        </w:rPr>
        <w:t xml:space="preserve">a </w:t>
      </w:r>
      <w:r w:rsidR="00DC5FFB" w:rsidRPr="00F3271F">
        <w:rPr>
          <w:sz w:val="24"/>
          <w:szCs w:val="24"/>
        </w:rPr>
        <w:t>zaměstnanci</w:t>
      </w:r>
      <w:r w:rsidR="00DC5FFB">
        <w:rPr>
          <w:sz w:val="24"/>
          <w:szCs w:val="24"/>
        </w:rPr>
        <w:t>,</w:t>
      </w:r>
      <w:r w:rsidR="00DC5FFB" w:rsidRPr="00F3271F">
        <w:rPr>
          <w:sz w:val="24"/>
          <w:szCs w:val="24"/>
        </w:rPr>
        <w:t xml:space="preserve"> </w:t>
      </w:r>
      <w:r w:rsidRPr="00F3271F">
        <w:rPr>
          <w:sz w:val="24"/>
          <w:szCs w:val="24"/>
        </w:rPr>
        <w:t>u kterých byl zjištěn souběh trvalého zaměstnaneckého poměru (na technickou pomoc) a uzavřené dohody o</w:t>
      </w:r>
      <w:r w:rsidR="00DC5FFB">
        <w:rPr>
          <w:sz w:val="24"/>
          <w:szCs w:val="24"/>
        </w:rPr>
        <w:t> </w:t>
      </w:r>
      <w:r w:rsidRPr="00F3271F">
        <w:rPr>
          <w:sz w:val="24"/>
          <w:szCs w:val="24"/>
        </w:rPr>
        <w:t xml:space="preserve">provedení práce nebo dohody o pracovní činnosti a pracovali na pozici referent </w:t>
      </w:r>
      <w:r w:rsidR="00D622C1">
        <w:rPr>
          <w:sz w:val="24"/>
          <w:szCs w:val="24"/>
        </w:rPr>
        <w:t>nebo</w:t>
      </w:r>
      <w:r w:rsidRPr="00F3271F">
        <w:rPr>
          <w:sz w:val="24"/>
          <w:szCs w:val="24"/>
        </w:rPr>
        <w:t xml:space="preserve"> vedoucí pracovní</w:t>
      </w:r>
      <w:r w:rsidR="00D622C1">
        <w:rPr>
          <w:sz w:val="24"/>
          <w:szCs w:val="24"/>
        </w:rPr>
        <w:t>k</w:t>
      </w:r>
      <w:r w:rsidRPr="00F3271F">
        <w:rPr>
          <w:sz w:val="24"/>
          <w:szCs w:val="24"/>
        </w:rPr>
        <w:t>.</w:t>
      </w:r>
      <w:r w:rsidR="00597A29">
        <w:rPr>
          <w:sz w:val="24"/>
          <w:szCs w:val="24"/>
        </w:rPr>
        <w:t xml:space="preserve"> NKÚ tak mohl prověřit různorodou skupinu odměňovaných osob a</w:t>
      </w:r>
      <w:r w:rsidR="00DC5FFB">
        <w:rPr>
          <w:sz w:val="24"/>
          <w:szCs w:val="24"/>
        </w:rPr>
        <w:t> </w:t>
      </w:r>
      <w:r w:rsidR="00597A29">
        <w:rPr>
          <w:sz w:val="24"/>
          <w:szCs w:val="24"/>
        </w:rPr>
        <w:t>posoudit způsobilost jim vyplácených platových náležitostí.</w:t>
      </w:r>
    </w:p>
    <w:p w14:paraId="601548A6" w14:textId="77777777" w:rsidR="00082DEE" w:rsidRPr="001B0731" w:rsidRDefault="00082DEE" w:rsidP="001B0731">
      <w:pPr>
        <w:spacing w:after="0" w:line="280" w:lineRule="atLeast"/>
        <w:jc w:val="both"/>
        <w:rPr>
          <w:rFonts w:cstheme="minorHAnsi"/>
          <w:sz w:val="24"/>
          <w:szCs w:val="24"/>
          <w:highlight w:val="yellow"/>
        </w:rPr>
      </w:pPr>
    </w:p>
    <w:p w14:paraId="2B90FCBF" w14:textId="2EE06686" w:rsidR="00123FD7" w:rsidRPr="00134E77" w:rsidRDefault="00597A29" w:rsidP="0053330F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Kontrolou bylo zjištěno, že </w:t>
      </w:r>
      <w:r w:rsidR="004367DF">
        <w:rPr>
          <w:sz w:val="24"/>
          <w:szCs w:val="24"/>
        </w:rPr>
        <w:t xml:space="preserve">MPO </w:t>
      </w:r>
      <w:r w:rsidR="001B0731" w:rsidRPr="00134E77">
        <w:rPr>
          <w:sz w:val="24"/>
          <w:szCs w:val="24"/>
        </w:rPr>
        <w:t xml:space="preserve">proplatilo </w:t>
      </w:r>
      <w:r w:rsidR="00107271">
        <w:rPr>
          <w:sz w:val="24"/>
          <w:szCs w:val="24"/>
        </w:rPr>
        <w:t xml:space="preserve">v jednom zjištěném případě </w:t>
      </w:r>
      <w:r w:rsidR="001B0731" w:rsidRPr="00134E77">
        <w:rPr>
          <w:sz w:val="24"/>
          <w:szCs w:val="24"/>
        </w:rPr>
        <w:t xml:space="preserve">výdaje </w:t>
      </w:r>
      <w:r w:rsidR="000F3838" w:rsidRPr="00134E77">
        <w:rPr>
          <w:sz w:val="24"/>
          <w:szCs w:val="24"/>
        </w:rPr>
        <w:t xml:space="preserve">na odměny </w:t>
      </w:r>
      <w:r w:rsidR="001B0731" w:rsidRPr="00134E77">
        <w:rPr>
          <w:sz w:val="24"/>
          <w:szCs w:val="24"/>
        </w:rPr>
        <w:t>v rozporu s podmínkami upravujícími jejich způsobilost</w:t>
      </w:r>
      <w:r>
        <w:rPr>
          <w:sz w:val="24"/>
          <w:szCs w:val="24"/>
        </w:rPr>
        <w:t xml:space="preserve">, konkrétně </w:t>
      </w:r>
      <w:r w:rsidR="00830888">
        <w:rPr>
          <w:sz w:val="24"/>
          <w:szCs w:val="24"/>
        </w:rPr>
        <w:t>došlo k </w:t>
      </w:r>
      <w:r>
        <w:rPr>
          <w:sz w:val="24"/>
          <w:szCs w:val="24"/>
        </w:rPr>
        <w:t>překročení limitu úhrnu vyplacených odměn u jednoho zaměstnance</w:t>
      </w:r>
      <w:r w:rsidR="000D1F10">
        <w:rPr>
          <w:sz w:val="24"/>
          <w:szCs w:val="24"/>
        </w:rPr>
        <w:t>. Takov</w:t>
      </w:r>
      <w:r w:rsidR="007D1E6B">
        <w:rPr>
          <w:sz w:val="24"/>
          <w:szCs w:val="24"/>
        </w:rPr>
        <w:t>é</w:t>
      </w:r>
      <w:r w:rsidR="000D1F10">
        <w:rPr>
          <w:sz w:val="24"/>
          <w:szCs w:val="24"/>
        </w:rPr>
        <w:t xml:space="preserve"> překročení limitu je nezpůsobilý</w:t>
      </w:r>
      <w:r w:rsidR="007D1E6B">
        <w:rPr>
          <w:sz w:val="24"/>
          <w:szCs w:val="24"/>
        </w:rPr>
        <w:t>m</w:t>
      </w:r>
      <w:r>
        <w:rPr>
          <w:sz w:val="24"/>
          <w:szCs w:val="24"/>
        </w:rPr>
        <w:t xml:space="preserve"> </w:t>
      </w:r>
      <w:r w:rsidR="000D1F10">
        <w:rPr>
          <w:sz w:val="24"/>
          <w:szCs w:val="24"/>
        </w:rPr>
        <w:t>výdajem</w:t>
      </w:r>
      <w:r w:rsidR="00D91581">
        <w:rPr>
          <w:sz w:val="24"/>
          <w:szCs w:val="24"/>
        </w:rPr>
        <w:t xml:space="preserve">. Tato skutečnost nasvědčuje </w:t>
      </w:r>
      <w:r w:rsidR="001B0731" w:rsidRPr="00134E77">
        <w:rPr>
          <w:sz w:val="24"/>
          <w:szCs w:val="24"/>
        </w:rPr>
        <w:t xml:space="preserve">porušení rozpočtové kázně </w:t>
      </w:r>
      <w:r w:rsidR="00882B66">
        <w:rPr>
          <w:sz w:val="24"/>
          <w:szCs w:val="24"/>
        </w:rPr>
        <w:t xml:space="preserve">ve smyslu </w:t>
      </w:r>
      <w:r w:rsidR="00F71057">
        <w:rPr>
          <w:sz w:val="24"/>
          <w:szCs w:val="24"/>
        </w:rPr>
        <w:t xml:space="preserve">ustanovení </w:t>
      </w:r>
      <w:r w:rsidR="00882B66">
        <w:rPr>
          <w:sz w:val="24"/>
          <w:szCs w:val="24"/>
        </w:rPr>
        <w:t>§</w:t>
      </w:r>
      <w:r w:rsidR="00090326">
        <w:rPr>
          <w:sz w:val="24"/>
          <w:szCs w:val="24"/>
        </w:rPr>
        <w:t xml:space="preserve"> </w:t>
      </w:r>
      <w:r w:rsidR="00882B66" w:rsidRPr="002C09F3">
        <w:rPr>
          <w:sz w:val="24"/>
          <w:szCs w:val="24"/>
        </w:rPr>
        <w:t>44 odst. 1 písm. a) zákona č. 218/2000 Sb.</w:t>
      </w:r>
      <w:r w:rsidR="00882B66">
        <w:rPr>
          <w:rStyle w:val="Znakapoznpodarou"/>
          <w:sz w:val="24"/>
          <w:szCs w:val="24"/>
        </w:rPr>
        <w:footnoteReference w:id="17"/>
      </w:r>
      <w:r w:rsidR="00882B66">
        <w:rPr>
          <w:sz w:val="24"/>
          <w:szCs w:val="24"/>
        </w:rPr>
        <w:t xml:space="preserve"> </w:t>
      </w:r>
      <w:r w:rsidR="000F3838" w:rsidRPr="00134E77">
        <w:rPr>
          <w:sz w:val="24"/>
          <w:szCs w:val="24"/>
        </w:rPr>
        <w:t xml:space="preserve">ve </w:t>
      </w:r>
      <w:r w:rsidR="001B0731" w:rsidRPr="00134E77">
        <w:rPr>
          <w:sz w:val="24"/>
          <w:szCs w:val="24"/>
        </w:rPr>
        <w:t>výš</w:t>
      </w:r>
      <w:r w:rsidR="000F3838" w:rsidRPr="00134E77">
        <w:rPr>
          <w:sz w:val="24"/>
          <w:szCs w:val="24"/>
        </w:rPr>
        <w:t>i</w:t>
      </w:r>
      <w:r w:rsidR="001B0731" w:rsidRPr="00134E77">
        <w:rPr>
          <w:sz w:val="24"/>
          <w:szCs w:val="24"/>
        </w:rPr>
        <w:t xml:space="preserve"> </w:t>
      </w:r>
      <w:r w:rsidR="000F3838" w:rsidRPr="00134E77">
        <w:rPr>
          <w:sz w:val="24"/>
          <w:szCs w:val="24"/>
        </w:rPr>
        <w:t>32</w:t>
      </w:r>
      <w:r w:rsidR="0053330F">
        <w:rPr>
          <w:sz w:val="24"/>
          <w:szCs w:val="24"/>
        </w:rPr>
        <w:t> </w:t>
      </w:r>
      <w:r w:rsidR="000F3838" w:rsidRPr="00134E77">
        <w:rPr>
          <w:sz w:val="24"/>
          <w:szCs w:val="24"/>
        </w:rPr>
        <w:t>449</w:t>
      </w:r>
      <w:r w:rsidR="004367DF">
        <w:rPr>
          <w:sz w:val="24"/>
          <w:szCs w:val="24"/>
        </w:rPr>
        <w:t> </w:t>
      </w:r>
      <w:r w:rsidR="001B0731" w:rsidRPr="00134E77">
        <w:rPr>
          <w:sz w:val="24"/>
          <w:szCs w:val="24"/>
        </w:rPr>
        <w:t xml:space="preserve">Kč. </w:t>
      </w:r>
      <w:r w:rsidR="00123FD7">
        <w:rPr>
          <w:sz w:val="24"/>
          <w:szCs w:val="24"/>
        </w:rPr>
        <w:t>U ostatních případů zahrnutých do kontrolního vzorku u</w:t>
      </w:r>
      <w:r w:rsidR="00E561E5">
        <w:rPr>
          <w:sz w:val="24"/>
          <w:szCs w:val="24"/>
        </w:rPr>
        <w:t xml:space="preserve"> </w:t>
      </w:r>
      <w:r w:rsidR="00123FD7">
        <w:rPr>
          <w:sz w:val="24"/>
          <w:szCs w:val="24"/>
        </w:rPr>
        <w:t xml:space="preserve">MPO a v případě celého vybraného vzorku u API nebyly v této oblasti kontroly </w:t>
      </w:r>
      <w:r w:rsidR="0053330F">
        <w:rPr>
          <w:sz w:val="24"/>
          <w:szCs w:val="24"/>
        </w:rPr>
        <w:t>zjištěny nedostatky.</w:t>
      </w:r>
    </w:p>
    <w:p w14:paraId="743CE933" w14:textId="77777777" w:rsidR="0053330F" w:rsidRDefault="0053330F" w:rsidP="0053330F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5FCB441C" w14:textId="2436953F" w:rsidR="00713F49" w:rsidRPr="00B969EE" w:rsidRDefault="00830888" w:rsidP="00B969EE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NKÚ p</w:t>
      </w:r>
      <w:r w:rsidR="00123FD7">
        <w:rPr>
          <w:sz w:val="24"/>
          <w:szCs w:val="24"/>
        </w:rPr>
        <w:t>ři prověřování průkaznosti vedení výkazů k osobním nákladům zjistil, že MPO v rozporu s ustanovením MP Lidské zdroje</w:t>
      </w:r>
      <w:r w:rsidR="00123FD7" w:rsidRPr="00B969EE">
        <w:rPr>
          <w:vertAlign w:val="superscript"/>
        </w:rPr>
        <w:footnoteReference w:id="18"/>
      </w:r>
      <w:r w:rsidR="00123FD7">
        <w:rPr>
          <w:sz w:val="24"/>
          <w:szCs w:val="24"/>
        </w:rPr>
        <w:t xml:space="preserve"> </w:t>
      </w:r>
      <w:r w:rsidR="0056102F">
        <w:rPr>
          <w:sz w:val="24"/>
          <w:szCs w:val="24"/>
        </w:rPr>
        <w:t>n</w:t>
      </w:r>
      <w:r w:rsidR="00D91581">
        <w:rPr>
          <w:sz w:val="24"/>
          <w:szCs w:val="24"/>
        </w:rPr>
        <w:t>edoložilo</w:t>
      </w:r>
      <w:r w:rsidR="00123FD7">
        <w:rPr>
          <w:sz w:val="24"/>
          <w:szCs w:val="24"/>
        </w:rPr>
        <w:t xml:space="preserve"> </w:t>
      </w:r>
      <w:r w:rsidR="00B969EE">
        <w:rPr>
          <w:sz w:val="24"/>
          <w:szCs w:val="24"/>
        </w:rPr>
        <w:t xml:space="preserve">samostatné </w:t>
      </w:r>
      <w:r w:rsidR="00123FD7">
        <w:rPr>
          <w:sz w:val="24"/>
          <w:szCs w:val="24"/>
        </w:rPr>
        <w:t xml:space="preserve">stanovení výše motivačního příplatku jako součásti osobního </w:t>
      </w:r>
      <w:r w:rsidR="00B969EE">
        <w:rPr>
          <w:sz w:val="24"/>
          <w:szCs w:val="24"/>
        </w:rPr>
        <w:t>příplatku</w:t>
      </w:r>
      <w:r>
        <w:rPr>
          <w:sz w:val="24"/>
          <w:szCs w:val="24"/>
        </w:rPr>
        <w:t>,</w:t>
      </w:r>
      <w:r w:rsidR="000D1F10">
        <w:rPr>
          <w:sz w:val="24"/>
          <w:szCs w:val="24"/>
        </w:rPr>
        <w:t xml:space="preserve"> a tedy </w:t>
      </w:r>
      <w:r w:rsidR="0056102F">
        <w:rPr>
          <w:sz w:val="24"/>
          <w:szCs w:val="24"/>
        </w:rPr>
        <w:t>ne</w:t>
      </w:r>
      <w:r w:rsidR="000D1F10">
        <w:rPr>
          <w:sz w:val="24"/>
          <w:szCs w:val="24"/>
        </w:rPr>
        <w:t>poskyt</w:t>
      </w:r>
      <w:r w:rsidR="0056102F">
        <w:rPr>
          <w:sz w:val="24"/>
          <w:szCs w:val="24"/>
        </w:rPr>
        <w:t>lo</w:t>
      </w:r>
      <w:r w:rsidR="000D1F10">
        <w:rPr>
          <w:sz w:val="24"/>
          <w:szCs w:val="24"/>
        </w:rPr>
        <w:t xml:space="preserve"> požadovanou</w:t>
      </w:r>
      <w:r w:rsidR="00123FD7">
        <w:rPr>
          <w:sz w:val="24"/>
          <w:szCs w:val="24"/>
        </w:rPr>
        <w:t xml:space="preserve"> auditní stopu, mimo jiné i pro účely ověření ze strany NKÚ. Oproti tomu API </w:t>
      </w:r>
      <w:r w:rsidR="00452446">
        <w:rPr>
          <w:sz w:val="24"/>
          <w:szCs w:val="24"/>
        </w:rPr>
        <w:t xml:space="preserve">v souladu </w:t>
      </w:r>
      <w:r w:rsidR="00090326">
        <w:rPr>
          <w:sz w:val="24"/>
          <w:szCs w:val="24"/>
        </w:rPr>
        <w:br/>
      </w:r>
      <w:r w:rsidR="00452446">
        <w:rPr>
          <w:sz w:val="24"/>
          <w:szCs w:val="24"/>
        </w:rPr>
        <w:t>s</w:t>
      </w:r>
      <w:r w:rsidR="00090326">
        <w:rPr>
          <w:sz w:val="24"/>
          <w:szCs w:val="24"/>
        </w:rPr>
        <w:t xml:space="preserve"> </w:t>
      </w:r>
      <w:r w:rsidR="00452446">
        <w:rPr>
          <w:sz w:val="24"/>
          <w:szCs w:val="24"/>
        </w:rPr>
        <w:t>MP</w:t>
      </w:r>
      <w:r w:rsidR="00090326">
        <w:rPr>
          <w:sz w:val="24"/>
          <w:szCs w:val="24"/>
        </w:rPr>
        <w:t xml:space="preserve"> </w:t>
      </w:r>
      <w:proofErr w:type="gramStart"/>
      <w:r w:rsidR="00452446">
        <w:rPr>
          <w:sz w:val="24"/>
          <w:szCs w:val="24"/>
        </w:rPr>
        <w:t>Lidské</w:t>
      </w:r>
      <w:proofErr w:type="gramEnd"/>
      <w:r w:rsidR="00452446">
        <w:rPr>
          <w:sz w:val="24"/>
          <w:szCs w:val="24"/>
        </w:rPr>
        <w:t xml:space="preserve"> zdroje </w:t>
      </w:r>
      <w:r w:rsidR="00B969EE">
        <w:rPr>
          <w:sz w:val="24"/>
          <w:szCs w:val="24"/>
        </w:rPr>
        <w:t>ne</w:t>
      </w:r>
      <w:r w:rsidR="00452446">
        <w:rPr>
          <w:sz w:val="24"/>
          <w:szCs w:val="24"/>
        </w:rPr>
        <w:t>zahrnuje</w:t>
      </w:r>
      <w:r w:rsidR="00B969EE">
        <w:rPr>
          <w:sz w:val="24"/>
          <w:szCs w:val="24"/>
        </w:rPr>
        <w:t xml:space="preserve"> </w:t>
      </w:r>
      <w:r w:rsidR="00713F49">
        <w:rPr>
          <w:sz w:val="24"/>
          <w:szCs w:val="24"/>
        </w:rPr>
        <w:t xml:space="preserve">motivační příplatek do osobního </w:t>
      </w:r>
      <w:r w:rsidR="00B969EE">
        <w:rPr>
          <w:sz w:val="24"/>
          <w:szCs w:val="24"/>
        </w:rPr>
        <w:t>příplatku</w:t>
      </w:r>
      <w:r w:rsidR="00713F49">
        <w:rPr>
          <w:sz w:val="24"/>
          <w:szCs w:val="24"/>
        </w:rPr>
        <w:t xml:space="preserve">, </w:t>
      </w:r>
      <w:r w:rsidR="00B969EE" w:rsidRPr="00B969EE">
        <w:rPr>
          <w:sz w:val="24"/>
          <w:szCs w:val="24"/>
        </w:rPr>
        <w:t xml:space="preserve">ale uplatňuje </w:t>
      </w:r>
      <w:r w:rsidR="00452446">
        <w:rPr>
          <w:sz w:val="24"/>
          <w:szCs w:val="24"/>
        </w:rPr>
        <w:t xml:space="preserve">samostatnou tzv. </w:t>
      </w:r>
      <w:r w:rsidR="00B969EE" w:rsidRPr="00B969EE">
        <w:rPr>
          <w:sz w:val="24"/>
          <w:szCs w:val="24"/>
        </w:rPr>
        <w:t>motivační odměnu, kterou vykazuje samostatně</w:t>
      </w:r>
      <w:r w:rsidR="00713F49" w:rsidRPr="00B969EE">
        <w:rPr>
          <w:sz w:val="24"/>
          <w:szCs w:val="24"/>
        </w:rPr>
        <w:t>, je</w:t>
      </w:r>
      <w:r>
        <w:rPr>
          <w:sz w:val="24"/>
          <w:szCs w:val="24"/>
        </w:rPr>
        <w:t>jí</w:t>
      </w:r>
      <w:r w:rsidR="00713F49" w:rsidRPr="00B969EE">
        <w:rPr>
          <w:sz w:val="24"/>
          <w:szCs w:val="24"/>
        </w:rPr>
        <w:t xml:space="preserve"> postup je tak zcela transparen</w:t>
      </w:r>
      <w:r w:rsidR="00B969EE" w:rsidRPr="00B969EE">
        <w:rPr>
          <w:sz w:val="24"/>
          <w:szCs w:val="24"/>
        </w:rPr>
        <w:t>tní a ověřitelný.</w:t>
      </w:r>
    </w:p>
    <w:p w14:paraId="1400C64F" w14:textId="77777777" w:rsidR="00B969EE" w:rsidRDefault="00B969EE" w:rsidP="00B969EE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7CC479E5" w14:textId="77777777" w:rsidR="000F3838" w:rsidRDefault="004460F5" w:rsidP="00B969EE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V oblasti postupu MPO a API při řízení lidských zdrojů nebyl zjištěn</w:t>
      </w:r>
      <w:r w:rsidR="00452446">
        <w:rPr>
          <w:sz w:val="24"/>
          <w:szCs w:val="24"/>
        </w:rPr>
        <w:t xml:space="preserve"> nesoulad</w:t>
      </w:r>
      <w:r w:rsidR="00B969EE">
        <w:rPr>
          <w:sz w:val="24"/>
          <w:szCs w:val="24"/>
        </w:rPr>
        <w:t xml:space="preserve"> s </w:t>
      </w:r>
      <w:r w:rsidR="00713F49">
        <w:rPr>
          <w:sz w:val="24"/>
          <w:szCs w:val="24"/>
        </w:rPr>
        <w:t>požadavky</w:t>
      </w:r>
      <w:r w:rsidR="00B969EE">
        <w:rPr>
          <w:sz w:val="24"/>
          <w:szCs w:val="24"/>
        </w:rPr>
        <w:t xml:space="preserve"> MP Lidské zdroje.</w:t>
      </w:r>
    </w:p>
    <w:p w14:paraId="1885450C" w14:textId="77777777" w:rsidR="00577CB2" w:rsidRDefault="00577CB2" w:rsidP="00577CB2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  <w:r w:rsidRPr="00D02A7C">
        <w:rPr>
          <w:b/>
          <w:noProof/>
          <w:sz w:val="32"/>
          <w:szCs w:val="32"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33EA40B5" wp14:editId="3CC13E64">
                <wp:simplePos x="0" y="0"/>
                <wp:positionH relativeFrom="margin">
                  <wp:align>left</wp:align>
                </wp:positionH>
                <wp:positionV relativeFrom="paragraph">
                  <wp:posOffset>264988</wp:posOffset>
                </wp:positionV>
                <wp:extent cx="5742000" cy="1404620"/>
                <wp:effectExtent l="0" t="0" r="11430" b="19050"/>
                <wp:wrapSquare wrapText="bothSides"/>
                <wp:docPr id="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2000" cy="14046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9859BD" w14:textId="77777777" w:rsidR="009767D5" w:rsidRDefault="009767D5" w:rsidP="00A54F26">
                            <w:pPr>
                              <w:spacing w:before="20" w:after="0"/>
                              <w:ind w:left="284" w:hanging="284"/>
                              <w:rPr>
                                <w:b/>
                                <w:color w:val="004595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4595"/>
                                <w:sz w:val="24"/>
                                <w:szCs w:val="24"/>
                              </w:rPr>
                              <w:t>D. Transparentnost výběru projektů technické pomoci, účelnost, hospodárnost a soulad s pravidly u projektových výdajů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EA40B5" id="_x0000_s1029" type="#_x0000_t202" style="position:absolute;left:0;text-align:left;margin-left:0;margin-top:20.85pt;width:452.15pt;height:110.6pt;z-index:25166950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" fillcolor="#f2f2f2 [3052]" strokecolor="black [3213]">
                <v:textbox style="mso-fit-shape-to-text:t">
                  <w:txbxContent>
                    <w:p w14:paraId="2F9859BD" w14:textId="77777777" w:rsidR="009767D5" w:rsidRDefault="009767D5" w:rsidP="00A54F26">
                      <w:pPr>
                        <w:spacing w:before="20" w:after="0"/>
                        <w:ind w:left="284" w:hanging="284"/>
                        <w:rPr>
                          <w:b/>
                          <w:color w:val="004595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4595"/>
                          <w:sz w:val="24"/>
                          <w:szCs w:val="24"/>
                        </w:rPr>
                        <w:t>D. Transparentnost výběru projektů technické pomoci, účelnost, hospodárnost a soulad s pravidly u projektových výdajů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BB6A4C4" w14:textId="77777777" w:rsidR="004367DF" w:rsidRPr="004367DF" w:rsidRDefault="004367DF" w:rsidP="002103AD">
      <w:pPr>
        <w:pStyle w:val="Odstavecseseznamem"/>
        <w:spacing w:after="0" w:line="280" w:lineRule="atLeast"/>
        <w:ind w:left="0"/>
        <w:jc w:val="both"/>
        <w:rPr>
          <w:rFonts w:cstheme="minorHAnsi"/>
          <w:b/>
          <w:sz w:val="24"/>
          <w:szCs w:val="24"/>
        </w:rPr>
      </w:pPr>
    </w:p>
    <w:p w14:paraId="38DBD104" w14:textId="6661A4FB" w:rsidR="00247E4A" w:rsidRPr="00B969EE" w:rsidRDefault="00F257DC" w:rsidP="00B969EE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B969EE">
        <w:rPr>
          <w:sz w:val="24"/>
          <w:szCs w:val="24"/>
        </w:rPr>
        <w:t>NKÚ p</w:t>
      </w:r>
      <w:r w:rsidR="004460F5" w:rsidRPr="00B969EE">
        <w:rPr>
          <w:sz w:val="24"/>
          <w:szCs w:val="24"/>
        </w:rPr>
        <w:t xml:space="preserve">ři kontrole </w:t>
      </w:r>
      <w:r w:rsidR="000D1F10" w:rsidRPr="00B969EE">
        <w:rPr>
          <w:sz w:val="24"/>
          <w:szCs w:val="24"/>
        </w:rPr>
        <w:t>této oblasti</w:t>
      </w:r>
      <w:r w:rsidR="00247E4A" w:rsidRPr="00B969EE">
        <w:rPr>
          <w:sz w:val="24"/>
          <w:szCs w:val="24"/>
        </w:rPr>
        <w:t xml:space="preserve"> </w:t>
      </w:r>
      <w:r w:rsidR="00830888">
        <w:rPr>
          <w:sz w:val="24"/>
          <w:szCs w:val="24"/>
        </w:rPr>
        <w:t>prověřoval</w:t>
      </w:r>
      <w:r w:rsidR="00816C16" w:rsidRPr="00B969EE">
        <w:rPr>
          <w:sz w:val="24"/>
          <w:szCs w:val="24"/>
        </w:rPr>
        <w:t>,</w:t>
      </w:r>
      <w:r w:rsidR="00247E4A" w:rsidRPr="00B969EE">
        <w:rPr>
          <w:sz w:val="24"/>
          <w:szCs w:val="24"/>
        </w:rPr>
        <w:t xml:space="preserve"> zda</w:t>
      </w:r>
      <w:r w:rsidR="00B969EE" w:rsidRPr="00B969EE">
        <w:rPr>
          <w:sz w:val="24"/>
          <w:szCs w:val="24"/>
        </w:rPr>
        <w:t>:</w:t>
      </w:r>
    </w:p>
    <w:p w14:paraId="63EE49D0" w14:textId="77777777" w:rsidR="00247E4A" w:rsidRDefault="00247E4A" w:rsidP="00247E4A">
      <w:pPr>
        <w:pStyle w:val="Odstavecseseznamem"/>
        <w:numPr>
          <w:ilvl w:val="0"/>
          <w:numId w:val="33"/>
        </w:num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MPO </w:t>
      </w:r>
      <w:r w:rsidRPr="007818AA">
        <w:rPr>
          <w:rFonts w:cstheme="minorHAnsi"/>
          <w:color w:val="000000"/>
          <w:sz w:val="24"/>
          <w:szCs w:val="24"/>
        </w:rPr>
        <w:t xml:space="preserve">při </w:t>
      </w:r>
      <w:r w:rsidR="008A1E0D">
        <w:rPr>
          <w:rFonts w:cstheme="minorHAnsi"/>
          <w:color w:val="000000"/>
          <w:sz w:val="24"/>
          <w:szCs w:val="24"/>
        </w:rPr>
        <w:t xml:space="preserve">posuzování a </w:t>
      </w:r>
      <w:r w:rsidRPr="007818AA">
        <w:rPr>
          <w:rFonts w:cstheme="minorHAnsi"/>
          <w:color w:val="000000"/>
          <w:sz w:val="24"/>
          <w:szCs w:val="24"/>
        </w:rPr>
        <w:t>výběru projektů technické pomoci OPPIK postupovalo transparentně,</w:t>
      </w:r>
    </w:p>
    <w:p w14:paraId="479295B7" w14:textId="5467F630" w:rsidR="008A1E0D" w:rsidRDefault="008A1E0D" w:rsidP="00247E4A">
      <w:pPr>
        <w:pStyle w:val="Odstavecseseznamem"/>
        <w:numPr>
          <w:ilvl w:val="0"/>
          <w:numId w:val="33"/>
        </w:num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MPO a API</w:t>
      </w:r>
      <w:r w:rsidRPr="0096257B">
        <w:rPr>
          <w:rFonts w:cstheme="minorHAnsi"/>
          <w:color w:val="000000"/>
          <w:sz w:val="24"/>
          <w:szCs w:val="24"/>
        </w:rPr>
        <w:t xml:space="preserve"> při</w:t>
      </w:r>
      <w:r w:rsidR="000D1F10">
        <w:rPr>
          <w:rFonts w:cstheme="minorHAnsi"/>
          <w:color w:val="000000"/>
          <w:sz w:val="24"/>
          <w:szCs w:val="24"/>
        </w:rPr>
        <w:t xml:space="preserve"> </w:t>
      </w:r>
      <w:r w:rsidR="00D91581">
        <w:rPr>
          <w:rFonts w:cstheme="minorHAnsi"/>
          <w:color w:val="000000"/>
          <w:sz w:val="24"/>
          <w:szCs w:val="24"/>
        </w:rPr>
        <w:t xml:space="preserve">zadávání </w:t>
      </w:r>
      <w:r w:rsidR="000D1F10">
        <w:rPr>
          <w:rFonts w:cstheme="minorHAnsi"/>
          <w:color w:val="000000"/>
          <w:sz w:val="24"/>
          <w:szCs w:val="24"/>
        </w:rPr>
        <w:t>veřejných zakázek</w:t>
      </w:r>
      <w:r w:rsidRPr="0096257B">
        <w:rPr>
          <w:rFonts w:cstheme="minorHAnsi"/>
          <w:color w:val="000000"/>
          <w:sz w:val="24"/>
          <w:szCs w:val="24"/>
        </w:rPr>
        <w:t xml:space="preserve"> postupov</w:t>
      </w:r>
      <w:r w:rsidR="000D1F10">
        <w:rPr>
          <w:rFonts w:cstheme="minorHAnsi"/>
          <w:color w:val="000000"/>
          <w:sz w:val="24"/>
          <w:szCs w:val="24"/>
        </w:rPr>
        <w:t>al</w:t>
      </w:r>
      <w:r w:rsidR="00830888">
        <w:rPr>
          <w:rFonts w:cstheme="minorHAnsi"/>
          <w:color w:val="000000"/>
          <w:sz w:val="24"/>
          <w:szCs w:val="24"/>
        </w:rPr>
        <w:t>y</w:t>
      </w:r>
      <w:r w:rsidRPr="00123FD7">
        <w:rPr>
          <w:rFonts w:cstheme="minorHAnsi"/>
          <w:color w:val="000000"/>
          <w:sz w:val="24"/>
          <w:szCs w:val="24"/>
        </w:rPr>
        <w:t xml:space="preserve"> v souladu s </w:t>
      </w:r>
      <w:r w:rsidR="00D91581">
        <w:rPr>
          <w:rFonts w:cstheme="minorHAnsi"/>
          <w:color w:val="000000"/>
          <w:sz w:val="24"/>
          <w:szCs w:val="24"/>
        </w:rPr>
        <w:t xml:space="preserve">právními </w:t>
      </w:r>
      <w:proofErr w:type="gramStart"/>
      <w:r w:rsidR="00D91581">
        <w:rPr>
          <w:rFonts w:cstheme="minorHAnsi"/>
          <w:color w:val="000000"/>
          <w:sz w:val="24"/>
          <w:szCs w:val="24"/>
        </w:rPr>
        <w:t>předpisy</w:t>
      </w:r>
      <w:r w:rsidR="000D1F10">
        <w:rPr>
          <w:rFonts w:cstheme="minorHAnsi"/>
          <w:color w:val="000000"/>
          <w:sz w:val="24"/>
          <w:szCs w:val="24"/>
        </w:rPr>
        <w:t xml:space="preserve"> a zda</w:t>
      </w:r>
      <w:proofErr w:type="gramEnd"/>
      <w:r w:rsidR="000D1F10">
        <w:rPr>
          <w:rFonts w:cstheme="minorHAnsi"/>
          <w:color w:val="000000"/>
          <w:sz w:val="24"/>
          <w:szCs w:val="24"/>
        </w:rPr>
        <w:t xml:space="preserve"> jsou jimi vynaložené výdaje hospodárné,</w:t>
      </w:r>
    </w:p>
    <w:p w14:paraId="5D866F8F" w14:textId="77777777" w:rsidR="00E530BF" w:rsidRDefault="000D1F10" w:rsidP="00E530BF">
      <w:pPr>
        <w:pStyle w:val="Odstavecseseznamem"/>
        <w:numPr>
          <w:ilvl w:val="0"/>
          <w:numId w:val="33"/>
        </w:numPr>
        <w:spacing w:after="0" w:line="28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jednotlivá</w:t>
      </w:r>
      <w:r w:rsidR="00E530BF">
        <w:rPr>
          <w:sz w:val="24"/>
          <w:szCs w:val="24"/>
        </w:rPr>
        <w:t xml:space="preserve"> </w:t>
      </w:r>
      <w:r w:rsidR="00E530BF" w:rsidRPr="00D13730">
        <w:rPr>
          <w:sz w:val="24"/>
          <w:szCs w:val="24"/>
        </w:rPr>
        <w:t xml:space="preserve">plnění </w:t>
      </w:r>
      <w:r>
        <w:rPr>
          <w:sz w:val="24"/>
          <w:szCs w:val="24"/>
        </w:rPr>
        <w:t>vybraná</w:t>
      </w:r>
      <w:r w:rsidR="00E530BF" w:rsidRPr="00D13730">
        <w:rPr>
          <w:sz w:val="24"/>
          <w:szCs w:val="24"/>
        </w:rPr>
        <w:t xml:space="preserve"> ke kontrole </w:t>
      </w:r>
      <w:r>
        <w:rPr>
          <w:sz w:val="24"/>
          <w:szCs w:val="24"/>
        </w:rPr>
        <w:t xml:space="preserve">u MPO a API </w:t>
      </w:r>
      <w:r w:rsidR="00E530BF" w:rsidRPr="00D13730">
        <w:rPr>
          <w:sz w:val="24"/>
          <w:szCs w:val="24"/>
        </w:rPr>
        <w:t>naplňovala účel a cíl projekt</w:t>
      </w:r>
      <w:r w:rsidR="007D797A">
        <w:rPr>
          <w:sz w:val="24"/>
          <w:szCs w:val="24"/>
        </w:rPr>
        <w:t>ů</w:t>
      </w:r>
      <w:r w:rsidR="00E530BF" w:rsidRPr="00D13730">
        <w:rPr>
          <w:sz w:val="24"/>
          <w:szCs w:val="24"/>
        </w:rPr>
        <w:t xml:space="preserve"> technické pomoci</w:t>
      </w:r>
      <w:r w:rsidR="00E530BF">
        <w:rPr>
          <w:sz w:val="24"/>
          <w:szCs w:val="24"/>
        </w:rPr>
        <w:t>,</w:t>
      </w:r>
    </w:p>
    <w:p w14:paraId="0972B83D" w14:textId="77777777" w:rsidR="00E530BF" w:rsidRPr="007818AA" w:rsidRDefault="000D1F10" w:rsidP="00E530BF">
      <w:pPr>
        <w:pStyle w:val="Odstavecseseznamem"/>
        <w:numPr>
          <w:ilvl w:val="0"/>
          <w:numId w:val="33"/>
        </w:num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  <w:r>
        <w:rPr>
          <w:sz w:val="24"/>
          <w:szCs w:val="24"/>
        </w:rPr>
        <w:t xml:space="preserve">MPO a API jako </w:t>
      </w:r>
      <w:r w:rsidR="00E530BF" w:rsidRPr="00FF2B8F">
        <w:rPr>
          <w:sz w:val="24"/>
          <w:szCs w:val="24"/>
        </w:rPr>
        <w:t>příjemci podpory řádně dodržují pravidla v době udržitelnosti projektů technické pomoci</w:t>
      </w:r>
      <w:r w:rsidR="00E530BF">
        <w:rPr>
          <w:sz w:val="24"/>
          <w:szCs w:val="24"/>
        </w:rPr>
        <w:t>.</w:t>
      </w:r>
    </w:p>
    <w:p w14:paraId="1112B63C" w14:textId="77777777" w:rsidR="00247E4A" w:rsidRPr="00964680" w:rsidRDefault="00247E4A" w:rsidP="00964680">
      <w:pPr>
        <w:spacing w:after="0" w:line="280" w:lineRule="atLeast"/>
        <w:jc w:val="both"/>
        <w:rPr>
          <w:rFonts w:cstheme="minorHAnsi"/>
          <w:color w:val="000000"/>
          <w:sz w:val="24"/>
          <w:szCs w:val="24"/>
        </w:rPr>
      </w:pPr>
    </w:p>
    <w:p w14:paraId="15E5C682" w14:textId="77777777" w:rsidR="008A1E0D" w:rsidRPr="00964680" w:rsidRDefault="008A1E0D" w:rsidP="008A1E0D">
      <w:pPr>
        <w:spacing w:after="0" w:line="240" w:lineRule="auto"/>
        <w:jc w:val="both"/>
        <w:rPr>
          <w:rFonts w:cstheme="minorHAnsi"/>
          <w:b/>
          <w:color w:val="FF0000"/>
          <w:sz w:val="24"/>
          <w:szCs w:val="24"/>
        </w:rPr>
      </w:pPr>
      <w:r w:rsidRPr="00964680">
        <w:rPr>
          <w:rFonts w:cstheme="minorHAnsi"/>
          <w:b/>
          <w:color w:val="FF0000"/>
          <w:sz w:val="24"/>
          <w:szCs w:val="24"/>
        </w:rPr>
        <w:t>→</w:t>
      </w:r>
      <w:r w:rsidRPr="00964680">
        <w:rPr>
          <w:b/>
          <w:i/>
          <w:color w:val="FF0000"/>
          <w:sz w:val="24"/>
          <w:szCs w:val="24"/>
        </w:rPr>
        <w:t xml:space="preserve"> </w:t>
      </w:r>
      <w:r w:rsidR="007D797A">
        <w:rPr>
          <w:b/>
          <w:i/>
          <w:color w:val="FF0000"/>
          <w:sz w:val="24"/>
          <w:szCs w:val="24"/>
        </w:rPr>
        <w:t>MPO posuzovalo a vybíralo p</w:t>
      </w:r>
      <w:r w:rsidRPr="00964680">
        <w:rPr>
          <w:b/>
          <w:i/>
          <w:color w:val="FF0000"/>
          <w:sz w:val="24"/>
          <w:szCs w:val="24"/>
        </w:rPr>
        <w:t>rojekty technické pomoci netransparentním způsobem.</w:t>
      </w:r>
    </w:p>
    <w:p w14:paraId="2AFD313C" w14:textId="77777777" w:rsidR="008A1E0D" w:rsidRPr="009D6B8E" w:rsidRDefault="008A1E0D" w:rsidP="008A1E0D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4E5693A0" w14:textId="77777777" w:rsidR="008A1E0D" w:rsidRDefault="008A1E0D" w:rsidP="00964680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D13730">
        <w:rPr>
          <w:sz w:val="24"/>
          <w:szCs w:val="24"/>
        </w:rPr>
        <w:t xml:space="preserve">Metodický pokyn MMR pro řízení výzev, hodnocení a výběr projektů stanovuje, že hodnotitelé </w:t>
      </w:r>
      <w:r>
        <w:rPr>
          <w:sz w:val="24"/>
          <w:szCs w:val="24"/>
        </w:rPr>
        <w:t xml:space="preserve">mají uvést </w:t>
      </w:r>
      <w:r w:rsidRPr="00D13730">
        <w:rPr>
          <w:sz w:val="24"/>
          <w:szCs w:val="24"/>
        </w:rPr>
        <w:t>ke každému kritériu jasné a srozumitelné odůvodnění výsledku hodnocení.</w:t>
      </w:r>
    </w:p>
    <w:p w14:paraId="6A6A503E" w14:textId="77777777" w:rsidR="008A1E0D" w:rsidRDefault="008A1E0D" w:rsidP="008A1E0D">
      <w:pPr>
        <w:tabs>
          <w:tab w:val="left" w:pos="567"/>
        </w:tabs>
        <w:spacing w:after="0" w:line="240" w:lineRule="auto"/>
        <w:jc w:val="both"/>
        <w:rPr>
          <w:sz w:val="24"/>
          <w:szCs w:val="24"/>
        </w:rPr>
      </w:pPr>
    </w:p>
    <w:p w14:paraId="0B9542AD" w14:textId="16779F94" w:rsidR="008A1E0D" w:rsidRDefault="008A1E0D" w:rsidP="00964680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575C64">
        <w:rPr>
          <w:sz w:val="24"/>
          <w:szCs w:val="24"/>
        </w:rPr>
        <w:t xml:space="preserve">MPO </w:t>
      </w:r>
      <w:r w:rsidR="00830888">
        <w:rPr>
          <w:sz w:val="24"/>
          <w:szCs w:val="24"/>
        </w:rPr>
        <w:t>v souvislosti s</w:t>
      </w:r>
      <w:r w:rsidRPr="00575C64">
        <w:rPr>
          <w:sz w:val="24"/>
          <w:szCs w:val="24"/>
        </w:rPr>
        <w:t xml:space="preserve"> hodnocení</w:t>
      </w:r>
      <w:r w:rsidR="00830888">
        <w:rPr>
          <w:sz w:val="24"/>
          <w:szCs w:val="24"/>
        </w:rPr>
        <w:t>m</w:t>
      </w:r>
      <w:r w:rsidRPr="00575C64">
        <w:rPr>
          <w:sz w:val="24"/>
          <w:szCs w:val="24"/>
        </w:rPr>
        <w:t xml:space="preserve"> a výběr</w:t>
      </w:r>
      <w:r w:rsidR="00830888">
        <w:rPr>
          <w:sz w:val="24"/>
          <w:szCs w:val="24"/>
        </w:rPr>
        <w:t>em</w:t>
      </w:r>
      <w:r w:rsidRPr="00575C64">
        <w:rPr>
          <w:sz w:val="24"/>
          <w:szCs w:val="24"/>
        </w:rPr>
        <w:t xml:space="preserve"> projektů technické pomoci realizovaných v</w:t>
      </w:r>
      <w:r>
        <w:rPr>
          <w:sz w:val="24"/>
          <w:szCs w:val="24"/>
        </w:rPr>
        <w:t> letech 2016 a</w:t>
      </w:r>
      <w:r w:rsidR="0046275B">
        <w:rPr>
          <w:sz w:val="24"/>
          <w:szCs w:val="24"/>
        </w:rPr>
        <w:t>ž</w:t>
      </w:r>
      <w:r w:rsidR="00830888">
        <w:rPr>
          <w:sz w:val="24"/>
          <w:szCs w:val="24"/>
        </w:rPr>
        <w:t xml:space="preserve"> </w:t>
      </w:r>
      <w:r>
        <w:rPr>
          <w:sz w:val="24"/>
          <w:szCs w:val="24"/>
        </w:rPr>
        <w:t>2018 uvedlo v</w:t>
      </w:r>
      <w:r w:rsidR="00830888">
        <w:rPr>
          <w:sz w:val="24"/>
          <w:szCs w:val="24"/>
        </w:rPr>
        <w:t xml:space="preserve"> informačním systému </w:t>
      </w:r>
      <w:r>
        <w:rPr>
          <w:sz w:val="24"/>
          <w:szCs w:val="24"/>
        </w:rPr>
        <w:t>MS</w:t>
      </w:r>
      <w:r w:rsidRPr="00575C64">
        <w:rPr>
          <w:sz w:val="24"/>
          <w:szCs w:val="24"/>
        </w:rPr>
        <w:t xml:space="preserve">2014+ </w:t>
      </w:r>
      <w:r>
        <w:rPr>
          <w:sz w:val="24"/>
          <w:szCs w:val="24"/>
        </w:rPr>
        <w:t>u všech hodnot</w:t>
      </w:r>
      <w:r w:rsidR="00830888">
        <w:rPr>
          <w:sz w:val="24"/>
          <w:szCs w:val="24"/>
        </w:rPr>
        <w:t>i</w:t>
      </w:r>
      <w:r>
        <w:rPr>
          <w:sz w:val="24"/>
          <w:szCs w:val="24"/>
        </w:rPr>
        <w:t xml:space="preserve">cích kritérií </w:t>
      </w:r>
      <w:r w:rsidRPr="00575C64">
        <w:rPr>
          <w:sz w:val="24"/>
          <w:szCs w:val="24"/>
        </w:rPr>
        <w:t>pouze předdefinovaná znění hodnocení</w:t>
      </w:r>
      <w:r w:rsidR="0027453D">
        <w:rPr>
          <w:sz w:val="24"/>
          <w:szCs w:val="24"/>
        </w:rPr>
        <w:t xml:space="preserve">, která však </w:t>
      </w:r>
      <w:r>
        <w:rPr>
          <w:sz w:val="24"/>
          <w:szCs w:val="24"/>
        </w:rPr>
        <w:t>lze použít pouze u</w:t>
      </w:r>
      <w:r w:rsidR="00830888">
        <w:rPr>
          <w:sz w:val="24"/>
          <w:szCs w:val="24"/>
        </w:rPr>
        <w:t xml:space="preserve"> </w:t>
      </w:r>
      <w:r w:rsidRPr="00575C64">
        <w:rPr>
          <w:sz w:val="24"/>
          <w:szCs w:val="24"/>
        </w:rPr>
        <w:t>hodnocení kritérií formálnosti</w:t>
      </w:r>
      <w:r>
        <w:rPr>
          <w:sz w:val="24"/>
          <w:szCs w:val="24"/>
        </w:rPr>
        <w:t>. P</w:t>
      </w:r>
      <w:r w:rsidRPr="00575C64">
        <w:rPr>
          <w:sz w:val="24"/>
          <w:szCs w:val="24"/>
        </w:rPr>
        <w:t xml:space="preserve">ro </w:t>
      </w:r>
      <w:r>
        <w:rPr>
          <w:sz w:val="24"/>
          <w:szCs w:val="24"/>
        </w:rPr>
        <w:t>účely</w:t>
      </w:r>
      <w:r w:rsidRPr="00575C64">
        <w:rPr>
          <w:sz w:val="24"/>
          <w:szCs w:val="24"/>
        </w:rPr>
        <w:t xml:space="preserve"> transparentnosti postupu </w:t>
      </w:r>
      <w:r>
        <w:rPr>
          <w:sz w:val="24"/>
          <w:szCs w:val="24"/>
        </w:rPr>
        <w:t>hodnocení a</w:t>
      </w:r>
      <w:r w:rsidR="00830888">
        <w:rPr>
          <w:sz w:val="24"/>
          <w:szCs w:val="24"/>
        </w:rPr>
        <w:t xml:space="preserve"> </w:t>
      </w:r>
      <w:r w:rsidRPr="00575C64">
        <w:rPr>
          <w:sz w:val="24"/>
          <w:szCs w:val="24"/>
        </w:rPr>
        <w:t xml:space="preserve">výběru projektů technické pomoci </w:t>
      </w:r>
      <w:r>
        <w:rPr>
          <w:sz w:val="24"/>
          <w:szCs w:val="24"/>
        </w:rPr>
        <w:t>dle kritérií přijatelnosti je však zásadní uvádět jasn</w:t>
      </w:r>
      <w:r w:rsidR="00830888">
        <w:rPr>
          <w:sz w:val="24"/>
          <w:szCs w:val="24"/>
        </w:rPr>
        <w:t>á</w:t>
      </w:r>
      <w:r>
        <w:rPr>
          <w:sz w:val="24"/>
          <w:szCs w:val="24"/>
        </w:rPr>
        <w:t xml:space="preserve">, </w:t>
      </w:r>
      <w:r w:rsidRPr="00575C64">
        <w:rPr>
          <w:sz w:val="24"/>
          <w:szCs w:val="24"/>
        </w:rPr>
        <w:t>srozumiteln</w:t>
      </w:r>
      <w:r w:rsidR="00830888">
        <w:rPr>
          <w:sz w:val="24"/>
          <w:szCs w:val="24"/>
        </w:rPr>
        <w:t>á</w:t>
      </w:r>
      <w:r>
        <w:rPr>
          <w:sz w:val="24"/>
          <w:szCs w:val="24"/>
        </w:rPr>
        <w:t xml:space="preserve"> a ověřiteln</w:t>
      </w:r>
      <w:r w:rsidR="00830888">
        <w:rPr>
          <w:sz w:val="24"/>
          <w:szCs w:val="24"/>
        </w:rPr>
        <w:t>á</w:t>
      </w:r>
      <w:r w:rsidRPr="00575C64">
        <w:rPr>
          <w:sz w:val="24"/>
          <w:szCs w:val="24"/>
        </w:rPr>
        <w:t xml:space="preserve"> odůvodnění výsledku hodnocení</w:t>
      </w:r>
      <w:r>
        <w:rPr>
          <w:sz w:val="24"/>
          <w:szCs w:val="24"/>
        </w:rPr>
        <w:t xml:space="preserve">, což ale pravidlem u MPO nebylo, jak je vidět na </w:t>
      </w:r>
      <w:r w:rsidR="005E697E">
        <w:rPr>
          <w:sz w:val="24"/>
          <w:szCs w:val="24"/>
        </w:rPr>
        <w:t>p</w:t>
      </w:r>
      <w:r>
        <w:rPr>
          <w:sz w:val="24"/>
          <w:szCs w:val="24"/>
        </w:rPr>
        <w:t>říkladu č.</w:t>
      </w:r>
      <w:r w:rsidR="00964680">
        <w:rPr>
          <w:sz w:val="24"/>
          <w:szCs w:val="24"/>
        </w:rPr>
        <w:t> </w:t>
      </w:r>
      <w:r w:rsidR="00311115">
        <w:rPr>
          <w:sz w:val="24"/>
          <w:szCs w:val="24"/>
        </w:rPr>
        <w:t>2</w:t>
      </w:r>
      <w:r w:rsidR="00964680">
        <w:rPr>
          <w:sz w:val="24"/>
          <w:szCs w:val="24"/>
        </w:rPr>
        <w:t>.</w:t>
      </w:r>
    </w:p>
    <w:p w14:paraId="782BACC1" w14:textId="3938E164" w:rsidR="00E561E5" w:rsidRDefault="00E561E5">
      <w:pPr>
        <w:rPr>
          <w:sz w:val="24"/>
          <w:szCs w:val="24"/>
        </w:rPr>
      </w:pPr>
    </w:p>
    <w:p w14:paraId="4FC6E5CE" w14:textId="77777777" w:rsidR="00C83A89" w:rsidRPr="00575C64" w:rsidRDefault="00C83A89" w:rsidP="00C83A89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5CDCD6C8" w14:textId="77777777" w:rsidR="003D349E" w:rsidRDefault="003D349E">
      <w:pPr>
        <w:rPr>
          <w:rFonts w:ascii="Calibri" w:hAnsi="Calibri"/>
          <w:b/>
          <w:color w:val="004595"/>
          <w:sz w:val="24"/>
          <w:szCs w:val="24"/>
        </w:rPr>
      </w:pPr>
      <w:r>
        <w:rPr>
          <w:rFonts w:ascii="Calibri" w:hAnsi="Calibri"/>
          <w:b/>
          <w:color w:val="004595"/>
          <w:sz w:val="24"/>
          <w:szCs w:val="24"/>
        </w:rPr>
        <w:br w:type="page"/>
      </w:r>
    </w:p>
    <w:p w14:paraId="3E8F5403" w14:textId="562B7964" w:rsidR="008A1E0D" w:rsidRPr="006D6790" w:rsidRDefault="008A1E0D" w:rsidP="008A1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/>
          <w:color w:val="4472C4" w:themeColor="accent5"/>
          <w:sz w:val="24"/>
          <w:szCs w:val="24"/>
        </w:rPr>
      </w:pPr>
      <w:r w:rsidRPr="000D7D3D">
        <w:rPr>
          <w:rFonts w:ascii="Calibri" w:hAnsi="Calibri"/>
          <w:b/>
          <w:color w:val="004595"/>
          <w:sz w:val="24"/>
          <w:szCs w:val="24"/>
        </w:rPr>
        <w:lastRenderedPageBreak/>
        <w:t xml:space="preserve">Příklad č. </w:t>
      </w:r>
      <w:r w:rsidR="00311115">
        <w:rPr>
          <w:rFonts w:ascii="Calibri" w:hAnsi="Calibri"/>
          <w:b/>
          <w:color w:val="004595"/>
          <w:sz w:val="24"/>
          <w:szCs w:val="24"/>
        </w:rPr>
        <w:t>2</w:t>
      </w:r>
    </w:p>
    <w:p w14:paraId="1B96C026" w14:textId="3BADF3E3" w:rsidR="008A1E0D" w:rsidRDefault="008A1E0D" w:rsidP="008A1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/>
          <w:i/>
          <w:sz w:val="24"/>
          <w:szCs w:val="24"/>
        </w:rPr>
      </w:pPr>
      <w:r w:rsidRPr="004D1748">
        <w:rPr>
          <w:rFonts w:ascii="Calibri" w:hAnsi="Calibri"/>
          <w:i/>
          <w:sz w:val="24"/>
          <w:szCs w:val="24"/>
        </w:rPr>
        <w:t>U hodnot</w:t>
      </w:r>
      <w:r w:rsidR="00830888">
        <w:rPr>
          <w:rFonts w:ascii="Calibri" w:hAnsi="Calibri"/>
          <w:i/>
          <w:sz w:val="24"/>
          <w:szCs w:val="24"/>
        </w:rPr>
        <w:t>i</w:t>
      </w:r>
      <w:r w:rsidRPr="004D1748">
        <w:rPr>
          <w:rFonts w:ascii="Calibri" w:hAnsi="Calibri"/>
          <w:i/>
          <w:sz w:val="24"/>
          <w:szCs w:val="24"/>
        </w:rPr>
        <w:t xml:space="preserve">cího kritéria přijatelnosti „P 03.2 Jsou výdaje v projektu v čase a místě obvyklé?“ MPO v hodnocení </w:t>
      </w:r>
      <w:r w:rsidR="009B643E">
        <w:rPr>
          <w:rFonts w:ascii="Calibri" w:hAnsi="Calibri"/>
          <w:i/>
          <w:sz w:val="24"/>
          <w:szCs w:val="24"/>
        </w:rPr>
        <w:t xml:space="preserve">v kolonce „vyhověl“ </w:t>
      </w:r>
      <w:r w:rsidR="009B643E" w:rsidRPr="004D1748">
        <w:rPr>
          <w:rFonts w:ascii="Calibri" w:hAnsi="Calibri"/>
          <w:i/>
          <w:sz w:val="24"/>
          <w:szCs w:val="24"/>
        </w:rPr>
        <w:t>uvedlo</w:t>
      </w:r>
      <w:r w:rsidR="009B643E">
        <w:rPr>
          <w:rFonts w:ascii="Calibri" w:hAnsi="Calibri"/>
          <w:i/>
          <w:sz w:val="24"/>
          <w:szCs w:val="24"/>
        </w:rPr>
        <w:t xml:space="preserve"> „Pravda“, v kolonce „způsob hodnocení“ uvedlo </w:t>
      </w:r>
      <w:r w:rsidRPr="004D1748">
        <w:rPr>
          <w:rFonts w:ascii="Calibri" w:hAnsi="Calibri"/>
          <w:i/>
          <w:sz w:val="24"/>
          <w:szCs w:val="24"/>
        </w:rPr>
        <w:t xml:space="preserve">předdefinované </w:t>
      </w:r>
      <w:r>
        <w:rPr>
          <w:rFonts w:ascii="Calibri" w:hAnsi="Calibri"/>
          <w:i/>
          <w:sz w:val="24"/>
          <w:szCs w:val="24"/>
        </w:rPr>
        <w:t xml:space="preserve">znění </w:t>
      </w:r>
      <w:r w:rsidRPr="004D1748">
        <w:rPr>
          <w:rFonts w:ascii="Calibri" w:hAnsi="Calibri"/>
          <w:i/>
          <w:sz w:val="24"/>
          <w:szCs w:val="24"/>
        </w:rPr>
        <w:t>hodnocení „ANO - Výdaje v projektu jsou na základě dostupných informací přiměřené z</w:t>
      </w:r>
      <w:r w:rsidR="009B643E">
        <w:rPr>
          <w:rFonts w:ascii="Calibri" w:hAnsi="Calibri"/>
          <w:i/>
          <w:sz w:val="24"/>
          <w:szCs w:val="24"/>
        </w:rPr>
        <w:t xml:space="preserve"> hlediska místního a časového“ a v kolonce „</w:t>
      </w:r>
      <w:r w:rsidR="00E561E5">
        <w:rPr>
          <w:rFonts w:ascii="Calibri" w:hAnsi="Calibri"/>
          <w:i/>
          <w:sz w:val="24"/>
          <w:szCs w:val="24"/>
        </w:rPr>
        <w:t>h</w:t>
      </w:r>
      <w:r w:rsidR="009B643E">
        <w:rPr>
          <w:rFonts w:ascii="Calibri" w:hAnsi="Calibri"/>
          <w:i/>
          <w:sz w:val="24"/>
          <w:szCs w:val="24"/>
        </w:rPr>
        <w:t>odnocení“ uvedlo „Pravda“.</w:t>
      </w:r>
    </w:p>
    <w:p w14:paraId="0156291B" w14:textId="04029F0A" w:rsidR="008A1E0D" w:rsidRPr="004D1748" w:rsidRDefault="008A1E0D" w:rsidP="008A1E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/>
          <w:i/>
          <w:sz w:val="24"/>
          <w:szCs w:val="24"/>
        </w:rPr>
      </w:pPr>
      <w:r>
        <w:rPr>
          <w:rFonts w:ascii="Calibri" w:hAnsi="Calibri"/>
          <w:i/>
          <w:sz w:val="24"/>
          <w:szCs w:val="24"/>
        </w:rPr>
        <w:t xml:space="preserve">V dokumentu </w:t>
      </w:r>
      <w:r w:rsidRPr="00575C64">
        <w:rPr>
          <w:rFonts w:ascii="Calibri" w:hAnsi="Calibri"/>
          <w:i/>
          <w:sz w:val="24"/>
          <w:szCs w:val="24"/>
        </w:rPr>
        <w:t>„Kritéria pro hodnocení a výběr projektů“</w:t>
      </w:r>
      <w:r>
        <w:rPr>
          <w:rFonts w:ascii="Calibri" w:hAnsi="Calibri"/>
          <w:i/>
          <w:sz w:val="24"/>
          <w:szCs w:val="24"/>
        </w:rPr>
        <w:t xml:space="preserve">, který je přílohou textu výzvy </w:t>
      </w:r>
      <w:r w:rsidR="00E561E5">
        <w:rPr>
          <w:rFonts w:ascii="Calibri" w:hAnsi="Calibri"/>
          <w:i/>
          <w:sz w:val="24"/>
          <w:szCs w:val="24"/>
        </w:rPr>
        <w:t>„</w:t>
      </w:r>
      <w:r>
        <w:rPr>
          <w:rFonts w:ascii="Calibri" w:hAnsi="Calibri"/>
          <w:i/>
          <w:sz w:val="24"/>
          <w:szCs w:val="24"/>
        </w:rPr>
        <w:t>Technická pomoc</w:t>
      </w:r>
      <w:r w:rsidR="00E561E5">
        <w:rPr>
          <w:rFonts w:ascii="Calibri" w:hAnsi="Calibri"/>
          <w:i/>
          <w:sz w:val="24"/>
          <w:szCs w:val="24"/>
        </w:rPr>
        <w:t>“</w:t>
      </w:r>
      <w:r>
        <w:rPr>
          <w:rFonts w:ascii="Calibri" w:hAnsi="Calibri"/>
          <w:i/>
          <w:sz w:val="24"/>
          <w:szCs w:val="24"/>
        </w:rPr>
        <w:t>,</w:t>
      </w:r>
      <w:r w:rsidRPr="00575C64">
        <w:rPr>
          <w:rFonts w:ascii="Calibri" w:hAnsi="Calibri"/>
          <w:i/>
          <w:sz w:val="24"/>
          <w:szCs w:val="24"/>
        </w:rPr>
        <w:t xml:space="preserve"> je </w:t>
      </w:r>
      <w:r>
        <w:rPr>
          <w:rFonts w:ascii="Calibri" w:hAnsi="Calibri"/>
          <w:i/>
          <w:sz w:val="24"/>
          <w:szCs w:val="24"/>
        </w:rPr>
        <w:t xml:space="preserve">k tomuto kritériu </w:t>
      </w:r>
      <w:r w:rsidRPr="00575C64">
        <w:rPr>
          <w:rFonts w:ascii="Calibri" w:hAnsi="Calibri"/>
          <w:i/>
          <w:sz w:val="24"/>
          <w:szCs w:val="24"/>
        </w:rPr>
        <w:t>uvedeno</w:t>
      </w:r>
      <w:r>
        <w:rPr>
          <w:rFonts w:ascii="Calibri" w:hAnsi="Calibri"/>
          <w:i/>
          <w:sz w:val="24"/>
          <w:szCs w:val="24"/>
        </w:rPr>
        <w:t xml:space="preserve">, že se na </w:t>
      </w:r>
      <w:r w:rsidRPr="004D1748">
        <w:rPr>
          <w:rFonts w:ascii="Calibri" w:hAnsi="Calibri"/>
          <w:i/>
          <w:sz w:val="24"/>
          <w:szCs w:val="24"/>
        </w:rPr>
        <w:t>základě podkladů od žadatele v</w:t>
      </w:r>
      <w:r w:rsidR="00E561E5">
        <w:rPr>
          <w:rFonts w:ascii="Calibri" w:hAnsi="Calibri"/>
          <w:i/>
          <w:sz w:val="24"/>
          <w:szCs w:val="24"/>
        </w:rPr>
        <w:t> </w:t>
      </w:r>
      <w:r w:rsidRPr="004D1748">
        <w:rPr>
          <w:rFonts w:ascii="Calibri" w:hAnsi="Calibri"/>
          <w:i/>
          <w:sz w:val="24"/>
          <w:szCs w:val="24"/>
        </w:rPr>
        <w:t xml:space="preserve">projektové žádosti </w:t>
      </w:r>
      <w:r>
        <w:rPr>
          <w:rFonts w:ascii="Calibri" w:hAnsi="Calibri"/>
          <w:i/>
          <w:sz w:val="24"/>
          <w:szCs w:val="24"/>
        </w:rPr>
        <w:t>má posoudit</w:t>
      </w:r>
      <w:r w:rsidRPr="004D1748">
        <w:rPr>
          <w:rFonts w:ascii="Calibri" w:hAnsi="Calibri"/>
          <w:i/>
          <w:sz w:val="24"/>
          <w:szCs w:val="24"/>
        </w:rPr>
        <w:t xml:space="preserve">, jakým </w:t>
      </w:r>
      <w:r w:rsidRPr="00AC7A1F">
        <w:rPr>
          <w:rFonts w:ascii="Calibri" w:hAnsi="Calibri"/>
          <w:i/>
          <w:sz w:val="24"/>
          <w:szCs w:val="24"/>
        </w:rPr>
        <w:t>způsobem byl sestaven rozpočet a zda jsou výdaje přiměřené z hlediska místního a časového. Z předdefinované odpovědi nevyplývá</w:t>
      </w:r>
      <w:r w:rsidR="0027453D">
        <w:rPr>
          <w:rFonts w:ascii="Calibri" w:hAnsi="Calibri"/>
          <w:i/>
          <w:sz w:val="24"/>
          <w:szCs w:val="24"/>
        </w:rPr>
        <w:t xml:space="preserve">, jakým způsobem MPO posuzovalo </w:t>
      </w:r>
      <w:r w:rsidRPr="00AC7A1F">
        <w:rPr>
          <w:rFonts w:ascii="Calibri" w:hAnsi="Calibri"/>
          <w:i/>
          <w:sz w:val="24"/>
          <w:szCs w:val="24"/>
        </w:rPr>
        <w:t>stanovení rozpočtu projektu technické pomoci a</w:t>
      </w:r>
      <w:r w:rsidR="00DC605F">
        <w:rPr>
          <w:rFonts w:ascii="Calibri" w:hAnsi="Calibri"/>
          <w:i/>
          <w:sz w:val="24"/>
          <w:szCs w:val="24"/>
        </w:rPr>
        <w:t xml:space="preserve"> </w:t>
      </w:r>
      <w:r w:rsidRPr="00AC7A1F">
        <w:rPr>
          <w:rFonts w:ascii="Calibri" w:hAnsi="Calibri"/>
          <w:i/>
          <w:sz w:val="24"/>
          <w:szCs w:val="24"/>
        </w:rPr>
        <w:t>přiměřenos</w:t>
      </w:r>
      <w:r w:rsidR="0027453D">
        <w:rPr>
          <w:rFonts w:ascii="Calibri" w:hAnsi="Calibri"/>
          <w:i/>
          <w:sz w:val="24"/>
          <w:szCs w:val="24"/>
        </w:rPr>
        <w:t>t</w:t>
      </w:r>
      <w:r w:rsidRPr="00AC7A1F">
        <w:rPr>
          <w:rFonts w:ascii="Calibri" w:hAnsi="Calibri"/>
          <w:i/>
          <w:sz w:val="24"/>
          <w:szCs w:val="24"/>
        </w:rPr>
        <w:t xml:space="preserve"> výdajů z hlediska místního a časového</w:t>
      </w:r>
      <w:r w:rsidR="009B643E">
        <w:rPr>
          <w:rFonts w:ascii="Calibri" w:hAnsi="Calibri"/>
          <w:i/>
          <w:sz w:val="24"/>
          <w:szCs w:val="24"/>
        </w:rPr>
        <w:t>.</w:t>
      </w:r>
    </w:p>
    <w:p w14:paraId="6173A63B" w14:textId="77777777" w:rsidR="002103AD" w:rsidRPr="002103AD" w:rsidRDefault="002103AD" w:rsidP="009418B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cstheme="minorHAnsi"/>
          <w:b/>
          <w:sz w:val="24"/>
          <w:szCs w:val="24"/>
        </w:rPr>
      </w:pPr>
    </w:p>
    <w:p w14:paraId="2CBD12D5" w14:textId="1C6AE841" w:rsidR="009418BB" w:rsidRPr="00964680" w:rsidRDefault="009418BB" w:rsidP="009418B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cstheme="minorHAnsi"/>
          <w:b/>
          <w:color w:val="FF0000"/>
          <w:sz w:val="24"/>
          <w:szCs w:val="24"/>
        </w:rPr>
      </w:pPr>
      <w:r w:rsidRPr="00964680">
        <w:rPr>
          <w:rFonts w:cstheme="minorHAnsi"/>
          <w:b/>
          <w:color w:val="FF0000"/>
          <w:sz w:val="24"/>
          <w:szCs w:val="24"/>
        </w:rPr>
        <w:t>→</w:t>
      </w:r>
      <w:r w:rsidRPr="00964680">
        <w:rPr>
          <w:b/>
          <w:i/>
          <w:color w:val="FF0000"/>
          <w:sz w:val="24"/>
          <w:szCs w:val="24"/>
        </w:rPr>
        <w:t xml:space="preserve"> V oblasti zadávání veřejných zakázek nebyly u MPO a</w:t>
      </w:r>
      <w:r w:rsidR="00E561E5">
        <w:rPr>
          <w:b/>
          <w:i/>
          <w:color w:val="FF0000"/>
          <w:sz w:val="24"/>
          <w:szCs w:val="24"/>
        </w:rPr>
        <w:t>ni</w:t>
      </w:r>
      <w:r w:rsidRPr="00964680">
        <w:rPr>
          <w:b/>
          <w:i/>
          <w:color w:val="FF0000"/>
          <w:sz w:val="24"/>
          <w:szCs w:val="24"/>
        </w:rPr>
        <w:t xml:space="preserve"> API zjištěny </w:t>
      </w:r>
      <w:r w:rsidR="00107271" w:rsidRPr="00964680">
        <w:rPr>
          <w:b/>
          <w:i/>
          <w:color w:val="FF0000"/>
          <w:sz w:val="24"/>
          <w:szCs w:val="24"/>
        </w:rPr>
        <w:t>významné</w:t>
      </w:r>
      <w:r w:rsidRPr="00964680">
        <w:rPr>
          <w:b/>
          <w:i/>
          <w:color w:val="FF0000"/>
          <w:sz w:val="24"/>
          <w:szCs w:val="24"/>
        </w:rPr>
        <w:t xml:space="preserve"> nedostatky</w:t>
      </w:r>
      <w:r w:rsidR="00E530BF" w:rsidRPr="00964680">
        <w:rPr>
          <w:b/>
          <w:i/>
          <w:color w:val="FF0000"/>
          <w:sz w:val="24"/>
          <w:szCs w:val="24"/>
        </w:rPr>
        <w:t>, výše výdajů odpovídá cenám obvyklým v místě a čase</w:t>
      </w:r>
      <w:r w:rsidRPr="00964680">
        <w:rPr>
          <w:b/>
          <w:i/>
          <w:color w:val="FF0000"/>
          <w:sz w:val="24"/>
          <w:szCs w:val="24"/>
        </w:rPr>
        <w:t>.</w:t>
      </w:r>
    </w:p>
    <w:p w14:paraId="6C883BCF" w14:textId="77777777" w:rsidR="009418BB" w:rsidRPr="00253DB8" w:rsidRDefault="009418BB" w:rsidP="00A5329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cstheme="minorHAnsi"/>
          <w:sz w:val="24"/>
          <w:szCs w:val="24"/>
        </w:rPr>
      </w:pPr>
    </w:p>
    <w:p w14:paraId="416B6A83" w14:textId="77777777" w:rsidR="009418BB" w:rsidRDefault="009418BB" w:rsidP="00964680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35727B">
        <w:rPr>
          <w:sz w:val="24"/>
          <w:szCs w:val="24"/>
        </w:rPr>
        <w:t xml:space="preserve">Kontrole bylo podrobeno celkem devět veřejných zakázek </w:t>
      </w:r>
      <w:r w:rsidR="004460F5" w:rsidRPr="0035727B">
        <w:rPr>
          <w:sz w:val="24"/>
          <w:szCs w:val="24"/>
        </w:rPr>
        <w:t xml:space="preserve">realizovaných MPO a API </w:t>
      </w:r>
      <w:r w:rsidRPr="0035727B">
        <w:rPr>
          <w:sz w:val="24"/>
          <w:szCs w:val="24"/>
        </w:rPr>
        <w:t xml:space="preserve">v celkové hodnotě </w:t>
      </w:r>
      <w:r w:rsidR="00E530BF">
        <w:rPr>
          <w:sz w:val="24"/>
          <w:szCs w:val="24"/>
        </w:rPr>
        <w:t xml:space="preserve">cca </w:t>
      </w:r>
      <w:r w:rsidRPr="0035727B">
        <w:rPr>
          <w:sz w:val="24"/>
          <w:szCs w:val="24"/>
        </w:rPr>
        <w:t>18</w:t>
      </w:r>
      <w:r w:rsidR="00E530BF">
        <w:rPr>
          <w:sz w:val="24"/>
          <w:szCs w:val="24"/>
        </w:rPr>
        <w:t>,3</w:t>
      </w:r>
      <w:r w:rsidR="00A54F26">
        <w:rPr>
          <w:sz w:val="24"/>
          <w:szCs w:val="24"/>
        </w:rPr>
        <w:t> </w:t>
      </w:r>
      <w:r w:rsidR="00E530BF">
        <w:rPr>
          <w:sz w:val="24"/>
          <w:szCs w:val="24"/>
        </w:rPr>
        <w:t>mil.</w:t>
      </w:r>
      <w:r w:rsidR="00A54F26">
        <w:rPr>
          <w:sz w:val="24"/>
          <w:szCs w:val="24"/>
        </w:rPr>
        <w:t> </w:t>
      </w:r>
      <w:r w:rsidR="00E530BF">
        <w:rPr>
          <w:sz w:val="24"/>
          <w:szCs w:val="24"/>
        </w:rPr>
        <w:t>Kč</w:t>
      </w:r>
      <w:r w:rsidR="0035727B" w:rsidRPr="0035727B">
        <w:rPr>
          <w:sz w:val="24"/>
          <w:szCs w:val="24"/>
        </w:rPr>
        <w:t xml:space="preserve">, z toho pět veřejných zakázek realizovaných MPO v hodnotě </w:t>
      </w:r>
      <w:r w:rsidR="00E530BF">
        <w:rPr>
          <w:sz w:val="24"/>
          <w:szCs w:val="24"/>
        </w:rPr>
        <w:t xml:space="preserve">cca </w:t>
      </w:r>
      <w:r w:rsidR="0035727B" w:rsidRPr="00964680">
        <w:rPr>
          <w:sz w:val="24"/>
          <w:szCs w:val="24"/>
        </w:rPr>
        <w:t>8</w:t>
      </w:r>
      <w:r w:rsidR="00964680" w:rsidRPr="00964680">
        <w:rPr>
          <w:sz w:val="24"/>
          <w:szCs w:val="24"/>
        </w:rPr>
        <w:t>,4 </w:t>
      </w:r>
      <w:r w:rsidR="00E530BF" w:rsidRPr="00964680">
        <w:rPr>
          <w:sz w:val="24"/>
          <w:szCs w:val="24"/>
        </w:rPr>
        <w:t>mil. Kč</w:t>
      </w:r>
      <w:r w:rsidR="0035727B" w:rsidRPr="00964680">
        <w:rPr>
          <w:sz w:val="24"/>
          <w:szCs w:val="24"/>
        </w:rPr>
        <w:t xml:space="preserve"> a</w:t>
      </w:r>
      <w:r w:rsidRPr="0035727B">
        <w:rPr>
          <w:sz w:val="24"/>
          <w:szCs w:val="24"/>
        </w:rPr>
        <w:t xml:space="preserve"> </w:t>
      </w:r>
      <w:r w:rsidR="0035727B" w:rsidRPr="0035727B">
        <w:rPr>
          <w:sz w:val="24"/>
          <w:szCs w:val="24"/>
        </w:rPr>
        <w:t xml:space="preserve">čtyři veřejné zakázky realizované API v hodnotě </w:t>
      </w:r>
      <w:r w:rsidR="00E530BF">
        <w:rPr>
          <w:sz w:val="24"/>
          <w:szCs w:val="24"/>
        </w:rPr>
        <w:t xml:space="preserve">cca </w:t>
      </w:r>
      <w:r w:rsidR="0035727B" w:rsidRPr="00964680">
        <w:rPr>
          <w:sz w:val="24"/>
          <w:szCs w:val="24"/>
        </w:rPr>
        <w:t>9</w:t>
      </w:r>
      <w:r w:rsidR="00E530BF" w:rsidRPr="00964680">
        <w:rPr>
          <w:sz w:val="24"/>
          <w:szCs w:val="24"/>
        </w:rPr>
        <w:t>,9</w:t>
      </w:r>
      <w:r w:rsidR="00964680" w:rsidRPr="00964680">
        <w:rPr>
          <w:sz w:val="24"/>
          <w:szCs w:val="24"/>
        </w:rPr>
        <w:t xml:space="preserve"> mil. Kč</w:t>
      </w:r>
      <w:r w:rsidR="0035727B" w:rsidRPr="00964680">
        <w:rPr>
          <w:sz w:val="24"/>
          <w:szCs w:val="24"/>
        </w:rPr>
        <w:t xml:space="preserve">. </w:t>
      </w:r>
      <w:r w:rsidR="001E61D0">
        <w:rPr>
          <w:sz w:val="24"/>
          <w:szCs w:val="24"/>
        </w:rPr>
        <w:t>V této oblasti kontroly n</w:t>
      </w:r>
      <w:r w:rsidRPr="0035727B">
        <w:rPr>
          <w:sz w:val="24"/>
          <w:szCs w:val="24"/>
        </w:rPr>
        <w:t>ebyly zjištěny významné nedostatky.</w:t>
      </w:r>
    </w:p>
    <w:p w14:paraId="50E1F63C" w14:textId="77777777" w:rsidR="00107271" w:rsidRPr="0035727B" w:rsidRDefault="00107271" w:rsidP="00107271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07B0430D" w14:textId="35BA8BD8" w:rsidR="00F257DC" w:rsidRPr="0035727B" w:rsidRDefault="00F257DC" w:rsidP="006C6870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35727B">
        <w:rPr>
          <w:sz w:val="24"/>
          <w:szCs w:val="24"/>
        </w:rPr>
        <w:t xml:space="preserve">V rámci ověření výše výdajů </w:t>
      </w:r>
      <w:r w:rsidR="00E561E5">
        <w:rPr>
          <w:sz w:val="24"/>
          <w:szCs w:val="24"/>
        </w:rPr>
        <w:t xml:space="preserve">dle cen </w:t>
      </w:r>
      <w:r w:rsidRPr="0035727B">
        <w:rPr>
          <w:sz w:val="24"/>
          <w:szCs w:val="24"/>
        </w:rPr>
        <w:t xml:space="preserve">v místě a čase obvyklých byla ke kontrole vybrána finančně významná plnění projektů technické pomoci (mimo projektů na </w:t>
      </w:r>
      <w:r w:rsidR="00D52097">
        <w:rPr>
          <w:sz w:val="24"/>
          <w:szCs w:val="24"/>
        </w:rPr>
        <w:t>o</w:t>
      </w:r>
      <w:r w:rsidRPr="0035727B">
        <w:rPr>
          <w:sz w:val="24"/>
          <w:szCs w:val="24"/>
        </w:rPr>
        <w:t>sobní náklady)</w:t>
      </w:r>
      <w:r w:rsidR="00E530BF">
        <w:rPr>
          <w:sz w:val="24"/>
          <w:szCs w:val="24"/>
        </w:rPr>
        <w:t xml:space="preserve"> u</w:t>
      </w:r>
      <w:r w:rsidR="00E561E5">
        <w:rPr>
          <w:sz w:val="24"/>
          <w:szCs w:val="24"/>
        </w:rPr>
        <w:t> </w:t>
      </w:r>
      <w:r w:rsidR="00E530BF">
        <w:rPr>
          <w:sz w:val="24"/>
          <w:szCs w:val="24"/>
        </w:rPr>
        <w:t>MPO i API</w:t>
      </w:r>
      <w:r w:rsidRPr="0035727B">
        <w:rPr>
          <w:sz w:val="24"/>
          <w:szCs w:val="24"/>
        </w:rPr>
        <w:t xml:space="preserve">. Výše plnění </w:t>
      </w:r>
      <w:r w:rsidR="00964680" w:rsidRPr="0035727B">
        <w:rPr>
          <w:sz w:val="24"/>
          <w:szCs w:val="24"/>
        </w:rPr>
        <w:t>vybraných</w:t>
      </w:r>
      <w:r w:rsidR="00964680">
        <w:rPr>
          <w:sz w:val="24"/>
          <w:szCs w:val="24"/>
        </w:rPr>
        <w:t xml:space="preserve"> ke kontrole </w:t>
      </w:r>
      <w:r w:rsidR="0035727B">
        <w:rPr>
          <w:sz w:val="24"/>
          <w:szCs w:val="24"/>
        </w:rPr>
        <w:t>vzešl</w:t>
      </w:r>
      <w:r w:rsidR="00E561E5">
        <w:rPr>
          <w:sz w:val="24"/>
          <w:szCs w:val="24"/>
        </w:rPr>
        <w:t>y</w:t>
      </w:r>
      <w:r w:rsidR="0035727B">
        <w:rPr>
          <w:sz w:val="24"/>
          <w:szCs w:val="24"/>
        </w:rPr>
        <w:t xml:space="preserve"> </w:t>
      </w:r>
      <w:r w:rsidR="0035727B" w:rsidRPr="0035727B">
        <w:rPr>
          <w:sz w:val="24"/>
          <w:szCs w:val="24"/>
        </w:rPr>
        <w:t>jak z průzkumu trhu, tak z výběrových řízení</w:t>
      </w:r>
      <w:r w:rsidR="00D622C1">
        <w:rPr>
          <w:sz w:val="24"/>
          <w:szCs w:val="24"/>
        </w:rPr>
        <w:t xml:space="preserve"> a</w:t>
      </w:r>
      <w:r w:rsidR="00E561E5">
        <w:rPr>
          <w:sz w:val="24"/>
          <w:szCs w:val="24"/>
        </w:rPr>
        <w:t xml:space="preserve"> </w:t>
      </w:r>
      <w:r w:rsidRPr="0035727B">
        <w:rPr>
          <w:sz w:val="24"/>
          <w:szCs w:val="24"/>
        </w:rPr>
        <w:t>odpovídal</w:t>
      </w:r>
      <w:r w:rsidR="00E561E5">
        <w:rPr>
          <w:sz w:val="24"/>
          <w:szCs w:val="24"/>
        </w:rPr>
        <w:t>y</w:t>
      </w:r>
      <w:r w:rsidRPr="0035727B">
        <w:rPr>
          <w:sz w:val="24"/>
          <w:szCs w:val="24"/>
        </w:rPr>
        <w:t xml:space="preserve"> cenám obvyklým v místě a čase</w:t>
      </w:r>
      <w:r w:rsidR="00964680">
        <w:rPr>
          <w:sz w:val="24"/>
          <w:szCs w:val="24"/>
        </w:rPr>
        <w:t xml:space="preserve">. </w:t>
      </w:r>
      <w:r w:rsidR="00E530BF">
        <w:rPr>
          <w:sz w:val="24"/>
          <w:szCs w:val="24"/>
        </w:rPr>
        <w:t xml:space="preserve">Nebyly tak v této oblasti ze strany NKÚ zjištěny </w:t>
      </w:r>
      <w:r w:rsidR="00964680">
        <w:rPr>
          <w:sz w:val="24"/>
          <w:szCs w:val="24"/>
        </w:rPr>
        <w:t>nedostatky.</w:t>
      </w:r>
    </w:p>
    <w:p w14:paraId="100908BE" w14:textId="77777777" w:rsidR="00D13730" w:rsidRDefault="00D13730" w:rsidP="00F373D3">
      <w:pPr>
        <w:pStyle w:val="Odstavecseseznamem"/>
        <w:tabs>
          <w:tab w:val="left" w:pos="567"/>
        </w:tabs>
        <w:spacing w:after="0" w:line="280" w:lineRule="atLeast"/>
        <w:ind w:left="0"/>
        <w:contextualSpacing w:val="0"/>
        <w:jc w:val="both"/>
        <w:rPr>
          <w:sz w:val="24"/>
          <w:szCs w:val="24"/>
        </w:rPr>
      </w:pPr>
    </w:p>
    <w:p w14:paraId="45A10B48" w14:textId="30F2D8FD" w:rsidR="00BB2FCB" w:rsidRPr="00964680" w:rsidRDefault="00BB2FCB" w:rsidP="00A5329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rFonts w:cstheme="minorHAnsi"/>
          <w:b/>
          <w:color w:val="FF0000"/>
          <w:sz w:val="24"/>
          <w:szCs w:val="24"/>
        </w:rPr>
      </w:pPr>
      <w:r w:rsidRPr="00964680">
        <w:rPr>
          <w:rFonts w:cstheme="minorHAnsi"/>
          <w:b/>
          <w:color w:val="FF0000"/>
          <w:sz w:val="24"/>
          <w:szCs w:val="24"/>
        </w:rPr>
        <w:t>→</w:t>
      </w:r>
      <w:r w:rsidRPr="00964680">
        <w:rPr>
          <w:b/>
          <w:i/>
          <w:color w:val="FF0000"/>
          <w:sz w:val="24"/>
          <w:szCs w:val="24"/>
        </w:rPr>
        <w:t xml:space="preserve"> </w:t>
      </w:r>
      <w:r w:rsidR="00D13730" w:rsidRPr="00964680">
        <w:rPr>
          <w:b/>
          <w:i/>
          <w:color w:val="FF0000"/>
          <w:sz w:val="24"/>
          <w:szCs w:val="24"/>
        </w:rPr>
        <w:t xml:space="preserve">Tři plnění </w:t>
      </w:r>
      <w:r w:rsidR="00E561E5">
        <w:rPr>
          <w:b/>
          <w:i/>
          <w:color w:val="FF0000"/>
          <w:sz w:val="24"/>
          <w:szCs w:val="24"/>
        </w:rPr>
        <w:t xml:space="preserve">u </w:t>
      </w:r>
      <w:r w:rsidR="00F3271F" w:rsidRPr="00964680">
        <w:rPr>
          <w:b/>
          <w:i/>
          <w:color w:val="FF0000"/>
          <w:sz w:val="24"/>
          <w:szCs w:val="24"/>
        </w:rPr>
        <w:t xml:space="preserve">projektu technické pomoci na vzdělávání implementační struktury neodpovídala cíli </w:t>
      </w:r>
      <w:r w:rsidR="00E561E5">
        <w:rPr>
          <w:b/>
          <w:i/>
          <w:color w:val="FF0000"/>
          <w:sz w:val="24"/>
          <w:szCs w:val="24"/>
        </w:rPr>
        <w:t>an</w:t>
      </w:r>
      <w:r w:rsidR="00F3271F" w:rsidRPr="00964680">
        <w:rPr>
          <w:b/>
          <w:i/>
          <w:color w:val="FF0000"/>
          <w:sz w:val="24"/>
          <w:szCs w:val="24"/>
        </w:rPr>
        <w:t>i aktivitám projektu</w:t>
      </w:r>
      <w:r w:rsidR="00964680" w:rsidRPr="00964680">
        <w:rPr>
          <w:b/>
          <w:i/>
          <w:color w:val="FF0000"/>
          <w:sz w:val="24"/>
          <w:szCs w:val="24"/>
        </w:rPr>
        <w:t>.</w:t>
      </w:r>
    </w:p>
    <w:p w14:paraId="4E3AB414" w14:textId="77777777" w:rsidR="009418BB" w:rsidRDefault="009418BB" w:rsidP="009418BB">
      <w:pPr>
        <w:pStyle w:val="Odstavecseseznamem"/>
        <w:tabs>
          <w:tab w:val="left" w:pos="567"/>
        </w:tabs>
        <w:spacing w:after="0" w:line="240" w:lineRule="auto"/>
        <w:ind w:left="0"/>
        <w:contextualSpacing w:val="0"/>
        <w:jc w:val="both"/>
        <w:rPr>
          <w:sz w:val="24"/>
          <w:szCs w:val="24"/>
        </w:rPr>
      </w:pPr>
    </w:p>
    <w:p w14:paraId="3D1B44D3" w14:textId="49BE6E89" w:rsidR="00BB2FCB" w:rsidRDefault="00BB2FCB" w:rsidP="00387B82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614B31">
        <w:rPr>
          <w:sz w:val="24"/>
          <w:szCs w:val="24"/>
        </w:rPr>
        <w:t>M</w:t>
      </w:r>
      <w:r w:rsidR="00E561E5">
        <w:rPr>
          <w:sz w:val="24"/>
          <w:szCs w:val="24"/>
        </w:rPr>
        <w:t>inisterstvo průmyslu a obchodu</w:t>
      </w:r>
      <w:r w:rsidRPr="00614B31">
        <w:rPr>
          <w:sz w:val="24"/>
          <w:szCs w:val="24"/>
        </w:rPr>
        <w:t xml:space="preserve"> u projekt</w:t>
      </w:r>
      <w:r w:rsidR="00A5329B" w:rsidRPr="00614B31">
        <w:rPr>
          <w:sz w:val="24"/>
          <w:szCs w:val="24"/>
        </w:rPr>
        <w:t>u</w:t>
      </w:r>
      <w:r w:rsidRPr="00614B31">
        <w:rPr>
          <w:sz w:val="24"/>
          <w:szCs w:val="24"/>
        </w:rPr>
        <w:t xml:space="preserve"> technické pomoci </w:t>
      </w:r>
      <w:r w:rsidR="00964680" w:rsidRPr="00F5137E">
        <w:rPr>
          <w:i/>
          <w:sz w:val="24"/>
          <w:szCs w:val="24"/>
        </w:rPr>
        <w:t>MPO</w:t>
      </w:r>
      <w:r w:rsidR="005E697E" w:rsidRPr="00F5137E">
        <w:rPr>
          <w:i/>
          <w:sz w:val="24"/>
          <w:szCs w:val="24"/>
        </w:rPr>
        <w:t xml:space="preserve"> </w:t>
      </w:r>
      <w:r w:rsidR="00A5329B" w:rsidRPr="00F5137E">
        <w:rPr>
          <w:i/>
          <w:sz w:val="24"/>
          <w:szCs w:val="24"/>
        </w:rPr>
        <w:t>V</w:t>
      </w:r>
      <w:r w:rsidR="005513F1" w:rsidRPr="00F5137E">
        <w:rPr>
          <w:i/>
          <w:sz w:val="24"/>
          <w:szCs w:val="24"/>
        </w:rPr>
        <w:t>zdělávání implementační struktury</w:t>
      </w:r>
      <w:r w:rsidR="005E697E" w:rsidRPr="00F5137E">
        <w:rPr>
          <w:i/>
          <w:sz w:val="24"/>
          <w:szCs w:val="24"/>
        </w:rPr>
        <w:t xml:space="preserve"> </w:t>
      </w:r>
      <w:r w:rsidR="00A5329B" w:rsidRPr="00F5137E">
        <w:rPr>
          <w:i/>
          <w:sz w:val="24"/>
          <w:szCs w:val="24"/>
        </w:rPr>
        <w:t>2016</w:t>
      </w:r>
      <w:r w:rsidR="00E561E5">
        <w:rPr>
          <w:i/>
          <w:sz w:val="24"/>
          <w:szCs w:val="24"/>
        </w:rPr>
        <w:t>–</w:t>
      </w:r>
      <w:r w:rsidR="00A5329B" w:rsidRPr="00F5137E">
        <w:rPr>
          <w:i/>
          <w:sz w:val="24"/>
          <w:szCs w:val="24"/>
        </w:rPr>
        <w:t>2018</w:t>
      </w:r>
      <w:r w:rsidR="00A5329B" w:rsidRPr="00614B31">
        <w:rPr>
          <w:sz w:val="24"/>
          <w:szCs w:val="24"/>
        </w:rPr>
        <w:t xml:space="preserve"> </w:t>
      </w:r>
      <w:r w:rsidR="00BD2668" w:rsidRPr="00614B31">
        <w:rPr>
          <w:sz w:val="24"/>
          <w:szCs w:val="24"/>
        </w:rPr>
        <w:t xml:space="preserve">proplatilo </w:t>
      </w:r>
      <w:r w:rsidR="005E697E" w:rsidRPr="00614B31">
        <w:rPr>
          <w:sz w:val="24"/>
          <w:szCs w:val="24"/>
        </w:rPr>
        <w:t xml:space="preserve">u tří plnění </w:t>
      </w:r>
      <w:r w:rsidR="00BD2668" w:rsidRPr="00614B31">
        <w:rPr>
          <w:sz w:val="24"/>
          <w:szCs w:val="24"/>
        </w:rPr>
        <w:t xml:space="preserve">výdaje v rozporu s podmínkami </w:t>
      </w:r>
      <w:r w:rsidRPr="00614B31">
        <w:rPr>
          <w:sz w:val="24"/>
          <w:szCs w:val="24"/>
        </w:rPr>
        <w:t xml:space="preserve">upravujícími </w:t>
      </w:r>
      <w:r w:rsidR="00095E1E" w:rsidRPr="00614B31">
        <w:rPr>
          <w:sz w:val="24"/>
          <w:szCs w:val="24"/>
        </w:rPr>
        <w:t xml:space="preserve">jejich </w:t>
      </w:r>
      <w:r w:rsidRPr="00614B31">
        <w:rPr>
          <w:sz w:val="24"/>
          <w:szCs w:val="24"/>
        </w:rPr>
        <w:t xml:space="preserve">způsobilost. </w:t>
      </w:r>
      <w:r w:rsidR="00BD2668" w:rsidRPr="00614B31">
        <w:rPr>
          <w:sz w:val="24"/>
          <w:szCs w:val="24"/>
        </w:rPr>
        <w:t xml:space="preserve">Porušením těchto podmínek </w:t>
      </w:r>
      <w:r w:rsidR="005513F1" w:rsidRPr="00614B31">
        <w:rPr>
          <w:sz w:val="24"/>
          <w:szCs w:val="24"/>
        </w:rPr>
        <w:t>jsou tak</w:t>
      </w:r>
      <w:r w:rsidR="00E530BF" w:rsidRPr="00614B31">
        <w:rPr>
          <w:sz w:val="24"/>
          <w:szCs w:val="24"/>
        </w:rPr>
        <w:t xml:space="preserve"> výdaje </w:t>
      </w:r>
      <w:r w:rsidR="009D6053" w:rsidRPr="00614B31">
        <w:rPr>
          <w:sz w:val="24"/>
          <w:szCs w:val="24"/>
        </w:rPr>
        <w:t xml:space="preserve">nezpůsobilé, </w:t>
      </w:r>
      <w:r w:rsidR="002C09F3">
        <w:rPr>
          <w:sz w:val="24"/>
          <w:szCs w:val="24"/>
        </w:rPr>
        <w:t>neúčelné a tím pádem i</w:t>
      </w:r>
      <w:r w:rsidR="003D349E">
        <w:rPr>
          <w:sz w:val="24"/>
          <w:szCs w:val="24"/>
        </w:rPr>
        <w:t xml:space="preserve"> </w:t>
      </w:r>
      <w:r w:rsidR="00E530BF" w:rsidRPr="00614B31">
        <w:rPr>
          <w:sz w:val="24"/>
          <w:szCs w:val="24"/>
        </w:rPr>
        <w:t>nehospodárné</w:t>
      </w:r>
      <w:r w:rsidR="00C67A92" w:rsidRPr="00614B31">
        <w:rPr>
          <w:sz w:val="24"/>
          <w:szCs w:val="24"/>
        </w:rPr>
        <w:t xml:space="preserve">. </w:t>
      </w:r>
      <w:r w:rsidR="00882B66">
        <w:rPr>
          <w:sz w:val="24"/>
          <w:szCs w:val="24"/>
        </w:rPr>
        <w:t xml:space="preserve">Tyto skutečnosti nasvědčují </w:t>
      </w:r>
      <w:r w:rsidRPr="00614B31">
        <w:rPr>
          <w:sz w:val="24"/>
          <w:szCs w:val="24"/>
        </w:rPr>
        <w:t xml:space="preserve">porušení rozpočtové kázně </w:t>
      </w:r>
      <w:r w:rsidR="002C09F3">
        <w:rPr>
          <w:sz w:val="24"/>
          <w:szCs w:val="24"/>
        </w:rPr>
        <w:t xml:space="preserve">ve smyslu </w:t>
      </w:r>
      <w:r w:rsidR="00F71057">
        <w:rPr>
          <w:sz w:val="24"/>
          <w:szCs w:val="24"/>
        </w:rPr>
        <w:t xml:space="preserve">ustanovení </w:t>
      </w:r>
      <w:r w:rsidR="002C09F3">
        <w:rPr>
          <w:sz w:val="24"/>
          <w:szCs w:val="24"/>
        </w:rPr>
        <w:t>§ </w:t>
      </w:r>
      <w:r w:rsidR="002C09F3" w:rsidRPr="002C09F3">
        <w:rPr>
          <w:sz w:val="24"/>
          <w:szCs w:val="24"/>
        </w:rPr>
        <w:t>44 odst. 1 písm. a) zákona č. 218/2000 Sb.</w:t>
      </w:r>
      <w:r w:rsidR="002C09F3">
        <w:rPr>
          <w:sz w:val="24"/>
          <w:szCs w:val="24"/>
        </w:rPr>
        <w:t xml:space="preserve"> </w:t>
      </w:r>
      <w:r w:rsidR="00095E1E" w:rsidRPr="00614B31">
        <w:rPr>
          <w:sz w:val="24"/>
          <w:szCs w:val="24"/>
        </w:rPr>
        <w:t xml:space="preserve">až do </w:t>
      </w:r>
      <w:r w:rsidRPr="00614B31">
        <w:rPr>
          <w:sz w:val="24"/>
          <w:szCs w:val="24"/>
        </w:rPr>
        <w:t>výš</w:t>
      </w:r>
      <w:r w:rsidR="00095E1E" w:rsidRPr="00614B31">
        <w:rPr>
          <w:sz w:val="24"/>
          <w:szCs w:val="24"/>
        </w:rPr>
        <w:t xml:space="preserve">e </w:t>
      </w:r>
      <w:r w:rsidR="009D6053" w:rsidRPr="00614B31">
        <w:rPr>
          <w:sz w:val="24"/>
          <w:szCs w:val="24"/>
        </w:rPr>
        <w:t>cca</w:t>
      </w:r>
      <w:r w:rsidR="001B09C0">
        <w:rPr>
          <w:sz w:val="24"/>
          <w:szCs w:val="24"/>
        </w:rPr>
        <w:t xml:space="preserve"> </w:t>
      </w:r>
      <w:r w:rsidR="009D6053" w:rsidRPr="00614B31">
        <w:rPr>
          <w:sz w:val="24"/>
          <w:szCs w:val="24"/>
        </w:rPr>
        <w:t>1,2</w:t>
      </w:r>
      <w:r w:rsidR="00662565">
        <w:rPr>
          <w:sz w:val="24"/>
          <w:szCs w:val="24"/>
        </w:rPr>
        <w:t> </w:t>
      </w:r>
      <w:r w:rsidR="009D6053" w:rsidRPr="00614B31">
        <w:rPr>
          <w:sz w:val="24"/>
          <w:szCs w:val="24"/>
        </w:rPr>
        <w:t>mil.</w:t>
      </w:r>
      <w:r w:rsidR="003D349E">
        <w:rPr>
          <w:sz w:val="24"/>
          <w:szCs w:val="24"/>
        </w:rPr>
        <w:t> </w:t>
      </w:r>
      <w:r w:rsidR="00095E1E" w:rsidRPr="00614B31">
        <w:rPr>
          <w:sz w:val="24"/>
          <w:szCs w:val="24"/>
        </w:rPr>
        <w:t>Kč</w:t>
      </w:r>
      <w:r w:rsidR="00BD2668" w:rsidRPr="00614B31">
        <w:rPr>
          <w:sz w:val="24"/>
          <w:szCs w:val="24"/>
        </w:rPr>
        <w:t>.</w:t>
      </w:r>
      <w:r w:rsidRPr="00614B31">
        <w:rPr>
          <w:sz w:val="24"/>
          <w:szCs w:val="24"/>
        </w:rPr>
        <w:t xml:space="preserve"> </w:t>
      </w:r>
      <w:r w:rsidR="009D6053" w:rsidRPr="00614B31">
        <w:rPr>
          <w:sz w:val="24"/>
          <w:szCs w:val="24"/>
        </w:rPr>
        <w:t>Zmíněná plnění projektu obsahující nezpůsobilé výdaje</w:t>
      </w:r>
      <w:r w:rsidR="00614B31" w:rsidRPr="00614B31">
        <w:rPr>
          <w:sz w:val="24"/>
          <w:szCs w:val="24"/>
        </w:rPr>
        <w:t xml:space="preserve"> </w:t>
      </w:r>
      <w:r w:rsidR="00095E1E" w:rsidRPr="00614B31">
        <w:rPr>
          <w:sz w:val="24"/>
          <w:szCs w:val="24"/>
        </w:rPr>
        <w:t>ukazuj</w:t>
      </w:r>
      <w:r w:rsidR="00A5329B" w:rsidRPr="00614B31">
        <w:rPr>
          <w:sz w:val="24"/>
          <w:szCs w:val="24"/>
        </w:rPr>
        <w:t>e</w:t>
      </w:r>
      <w:r w:rsidR="00095E1E" w:rsidRPr="00614B31">
        <w:rPr>
          <w:sz w:val="24"/>
          <w:szCs w:val="24"/>
        </w:rPr>
        <w:t xml:space="preserve"> </w:t>
      </w:r>
      <w:r w:rsidR="005E697E" w:rsidRPr="00614B31">
        <w:rPr>
          <w:sz w:val="24"/>
          <w:szCs w:val="24"/>
        </w:rPr>
        <w:t>p</w:t>
      </w:r>
      <w:r w:rsidR="00095E1E" w:rsidRPr="00614B31">
        <w:rPr>
          <w:sz w:val="24"/>
          <w:szCs w:val="24"/>
        </w:rPr>
        <w:t>říklad č. </w:t>
      </w:r>
      <w:r w:rsidR="002C09F3">
        <w:rPr>
          <w:sz w:val="24"/>
          <w:szCs w:val="24"/>
        </w:rPr>
        <w:t>3</w:t>
      </w:r>
      <w:r w:rsidR="002C70DD">
        <w:rPr>
          <w:sz w:val="24"/>
          <w:szCs w:val="24"/>
        </w:rPr>
        <w:t>.</w:t>
      </w:r>
    </w:p>
    <w:p w14:paraId="68CE10CF" w14:textId="77777777" w:rsidR="002103AD" w:rsidRPr="0044729D" w:rsidRDefault="002103AD" w:rsidP="002103AD">
      <w:pPr>
        <w:pStyle w:val="Odstavecseseznamem"/>
        <w:spacing w:after="0" w:line="280" w:lineRule="atLeast"/>
        <w:ind w:left="0"/>
        <w:jc w:val="both"/>
        <w:rPr>
          <w:rFonts w:cstheme="minorHAnsi"/>
          <w:vanish/>
          <w:color w:val="000000"/>
          <w:sz w:val="24"/>
          <w:szCs w:val="24"/>
        </w:rPr>
      </w:pPr>
    </w:p>
    <w:p w14:paraId="7514C790" w14:textId="77777777" w:rsidR="003D349E" w:rsidRDefault="003D349E">
      <w:pPr>
        <w:rPr>
          <w:rFonts w:ascii="Calibri" w:hAnsi="Calibri"/>
          <w:b/>
          <w:color w:val="004595"/>
          <w:sz w:val="24"/>
          <w:szCs w:val="24"/>
        </w:rPr>
      </w:pPr>
      <w:r>
        <w:rPr>
          <w:rFonts w:ascii="Calibri" w:hAnsi="Calibri"/>
          <w:b/>
          <w:color w:val="004595"/>
          <w:sz w:val="24"/>
          <w:szCs w:val="24"/>
        </w:rPr>
        <w:br w:type="page"/>
      </w:r>
    </w:p>
    <w:p w14:paraId="4467CA03" w14:textId="283E321A" w:rsidR="00BD2668" w:rsidRPr="0044729D" w:rsidRDefault="001E61D0" w:rsidP="00BD266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/>
          <w:color w:val="4472C4" w:themeColor="accent5"/>
          <w:sz w:val="24"/>
          <w:szCs w:val="24"/>
        </w:rPr>
      </w:pPr>
      <w:r w:rsidRPr="0044729D">
        <w:rPr>
          <w:rFonts w:ascii="Calibri" w:hAnsi="Calibri"/>
          <w:b/>
          <w:color w:val="004595"/>
          <w:sz w:val="24"/>
          <w:szCs w:val="24"/>
        </w:rPr>
        <w:lastRenderedPageBreak/>
        <w:t>Příklad č. </w:t>
      </w:r>
      <w:r w:rsidR="002C09F3">
        <w:rPr>
          <w:rFonts w:ascii="Calibri" w:hAnsi="Calibri"/>
          <w:b/>
          <w:color w:val="004595"/>
          <w:sz w:val="24"/>
          <w:szCs w:val="24"/>
        </w:rPr>
        <w:t>3</w:t>
      </w:r>
    </w:p>
    <w:p w14:paraId="5CBDB5BF" w14:textId="1F7E9E83" w:rsidR="00A5329B" w:rsidRPr="00A5329B" w:rsidRDefault="00BD2668" w:rsidP="00C67A9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hAnsi="Calibri"/>
          <w:i/>
          <w:sz w:val="24"/>
          <w:szCs w:val="24"/>
        </w:rPr>
      </w:pPr>
      <w:r w:rsidRPr="0044729D">
        <w:rPr>
          <w:rFonts w:ascii="Calibri" w:hAnsi="Calibri"/>
          <w:i/>
          <w:sz w:val="24"/>
          <w:szCs w:val="24"/>
        </w:rPr>
        <w:t xml:space="preserve">V rámci projektu </w:t>
      </w:r>
      <w:r w:rsidR="00D44512" w:rsidRPr="0044729D">
        <w:rPr>
          <w:rFonts w:ascii="Calibri" w:hAnsi="Calibri"/>
          <w:i/>
          <w:sz w:val="24"/>
          <w:szCs w:val="24"/>
        </w:rPr>
        <w:t>technické pomoci MPO_VZDĚLÁVÁ</w:t>
      </w:r>
      <w:r w:rsidR="00C717D8">
        <w:rPr>
          <w:rFonts w:ascii="Calibri" w:hAnsi="Calibri"/>
          <w:i/>
          <w:sz w:val="24"/>
          <w:szCs w:val="24"/>
        </w:rPr>
        <w:t xml:space="preserve">NÍ IMPLEMENTAČNÍ </w:t>
      </w:r>
      <w:proofErr w:type="gramStart"/>
      <w:r w:rsidR="00C717D8">
        <w:rPr>
          <w:rFonts w:ascii="Calibri" w:hAnsi="Calibri"/>
          <w:i/>
          <w:sz w:val="24"/>
          <w:szCs w:val="24"/>
        </w:rPr>
        <w:t>STRUKTURY_2016</w:t>
      </w:r>
      <w:proofErr w:type="gramEnd"/>
      <w:r w:rsidR="00C717D8">
        <w:rPr>
          <w:rFonts w:ascii="Calibri" w:hAnsi="Calibri"/>
          <w:i/>
          <w:sz w:val="24"/>
          <w:szCs w:val="24"/>
        </w:rPr>
        <w:t>–</w:t>
      </w:r>
      <w:proofErr w:type="gramStart"/>
      <w:r w:rsidR="00D44512" w:rsidRPr="0044729D">
        <w:rPr>
          <w:rFonts w:ascii="Calibri" w:hAnsi="Calibri"/>
          <w:i/>
          <w:sz w:val="24"/>
          <w:szCs w:val="24"/>
        </w:rPr>
        <w:t>2018</w:t>
      </w:r>
      <w:proofErr w:type="gramEnd"/>
      <w:r w:rsidR="00D44512" w:rsidRPr="0044729D">
        <w:rPr>
          <w:rFonts w:ascii="Calibri" w:hAnsi="Calibri"/>
          <w:i/>
          <w:sz w:val="24"/>
          <w:szCs w:val="24"/>
        </w:rPr>
        <w:t xml:space="preserve"> realizovalo </w:t>
      </w:r>
      <w:r w:rsidR="00AA7ED7" w:rsidRPr="0044729D">
        <w:rPr>
          <w:rFonts w:ascii="Calibri" w:hAnsi="Calibri"/>
          <w:i/>
          <w:sz w:val="24"/>
          <w:szCs w:val="24"/>
        </w:rPr>
        <w:t xml:space="preserve">MPO </w:t>
      </w:r>
      <w:r w:rsidR="00D44512" w:rsidRPr="0044729D">
        <w:rPr>
          <w:rFonts w:ascii="Calibri" w:hAnsi="Calibri"/>
          <w:i/>
          <w:sz w:val="24"/>
          <w:szCs w:val="24"/>
        </w:rPr>
        <w:t xml:space="preserve">v letech 2016 až 2018 celkem tři výroční semináře pro implementační strukturu. </w:t>
      </w:r>
      <w:r w:rsidR="00C67A92" w:rsidRPr="0044729D">
        <w:rPr>
          <w:rFonts w:ascii="Calibri" w:hAnsi="Calibri"/>
          <w:i/>
          <w:sz w:val="24"/>
          <w:szCs w:val="24"/>
        </w:rPr>
        <w:t>Tyto výroční semináře, jejichž náklady se pohybovaly v rozmezí od</w:t>
      </w:r>
      <w:r w:rsidR="006C6870" w:rsidRPr="0044729D">
        <w:rPr>
          <w:rFonts w:ascii="Calibri" w:hAnsi="Calibri"/>
          <w:i/>
          <w:sz w:val="24"/>
          <w:szCs w:val="24"/>
        </w:rPr>
        <w:t xml:space="preserve"> 344 750 Kč</w:t>
      </w:r>
      <w:r w:rsidR="00C67A92" w:rsidRPr="0044729D">
        <w:rPr>
          <w:rFonts w:ascii="Calibri" w:hAnsi="Calibri"/>
          <w:i/>
          <w:sz w:val="24"/>
          <w:szCs w:val="24"/>
        </w:rPr>
        <w:t xml:space="preserve"> do</w:t>
      </w:r>
      <w:r w:rsidR="006C6870" w:rsidRPr="0044729D">
        <w:rPr>
          <w:rFonts w:ascii="Calibri" w:hAnsi="Calibri"/>
          <w:i/>
          <w:sz w:val="24"/>
          <w:szCs w:val="24"/>
        </w:rPr>
        <w:t xml:space="preserve"> 482 790</w:t>
      </w:r>
      <w:r w:rsidR="00C67A92" w:rsidRPr="0044729D">
        <w:rPr>
          <w:rFonts w:ascii="Calibri" w:hAnsi="Calibri"/>
          <w:i/>
          <w:sz w:val="24"/>
          <w:szCs w:val="24"/>
        </w:rPr>
        <w:t xml:space="preserve"> Kč</w:t>
      </w:r>
      <w:r w:rsidR="009D6053" w:rsidRPr="0044729D">
        <w:rPr>
          <w:rFonts w:ascii="Calibri" w:hAnsi="Calibri"/>
          <w:i/>
          <w:sz w:val="24"/>
          <w:szCs w:val="24"/>
        </w:rPr>
        <w:t>,</w:t>
      </w:r>
      <w:r w:rsidR="00C67A92" w:rsidRPr="0044729D">
        <w:rPr>
          <w:rFonts w:ascii="Calibri" w:hAnsi="Calibri"/>
          <w:i/>
          <w:sz w:val="24"/>
          <w:szCs w:val="24"/>
        </w:rPr>
        <w:t xml:space="preserve"> však měly převažujícím způsobem cha</w:t>
      </w:r>
      <w:r w:rsidR="009D6053" w:rsidRPr="0044729D">
        <w:rPr>
          <w:rFonts w:ascii="Calibri" w:hAnsi="Calibri"/>
          <w:i/>
          <w:sz w:val="24"/>
          <w:szCs w:val="24"/>
        </w:rPr>
        <w:t>rakter společenských akcí</w:t>
      </w:r>
      <w:r w:rsidR="00C67A92" w:rsidRPr="0044729D">
        <w:rPr>
          <w:rFonts w:ascii="Calibri" w:hAnsi="Calibri"/>
          <w:i/>
          <w:sz w:val="24"/>
          <w:szCs w:val="24"/>
        </w:rPr>
        <w:t xml:space="preserve"> pro pracovníky implementační struktury OPPIK</w:t>
      </w:r>
      <w:r w:rsidR="003D349E">
        <w:rPr>
          <w:rFonts w:ascii="Calibri" w:hAnsi="Calibri"/>
          <w:i/>
          <w:sz w:val="24"/>
          <w:szCs w:val="24"/>
        </w:rPr>
        <w:t>,</w:t>
      </w:r>
      <w:r w:rsidR="00A729AA" w:rsidRPr="0044729D">
        <w:rPr>
          <w:rFonts w:ascii="Calibri" w:hAnsi="Calibri"/>
          <w:i/>
          <w:sz w:val="24"/>
          <w:szCs w:val="24"/>
        </w:rPr>
        <w:t xml:space="preserve"> a nikoliv </w:t>
      </w:r>
      <w:r w:rsidR="005513F1" w:rsidRPr="0044729D">
        <w:rPr>
          <w:rFonts w:ascii="Calibri" w:hAnsi="Calibri"/>
          <w:i/>
          <w:sz w:val="24"/>
          <w:szCs w:val="24"/>
        </w:rPr>
        <w:t>akcí vzdělávacích</w:t>
      </w:r>
      <w:r w:rsidR="00C67A92" w:rsidRPr="0044729D">
        <w:rPr>
          <w:rFonts w:ascii="Calibri" w:hAnsi="Calibri"/>
          <w:i/>
          <w:sz w:val="24"/>
          <w:szCs w:val="24"/>
        </w:rPr>
        <w:t xml:space="preserve">. </w:t>
      </w:r>
      <w:r w:rsidR="00052680" w:rsidRPr="0044729D">
        <w:rPr>
          <w:rFonts w:ascii="Calibri" w:hAnsi="Calibri"/>
          <w:i/>
          <w:sz w:val="24"/>
          <w:szCs w:val="24"/>
        </w:rPr>
        <w:t>Výroční semináře měl</w:t>
      </w:r>
      <w:r w:rsidR="00C67A92" w:rsidRPr="0044729D">
        <w:rPr>
          <w:rFonts w:ascii="Calibri" w:hAnsi="Calibri"/>
          <w:i/>
          <w:sz w:val="24"/>
          <w:szCs w:val="24"/>
        </w:rPr>
        <w:t>y</w:t>
      </w:r>
      <w:r w:rsidR="00052680" w:rsidRPr="0044729D">
        <w:rPr>
          <w:rFonts w:ascii="Calibri" w:hAnsi="Calibri"/>
          <w:i/>
          <w:sz w:val="24"/>
          <w:szCs w:val="24"/>
        </w:rPr>
        <w:t xml:space="preserve"> </w:t>
      </w:r>
      <w:r w:rsidR="00A729AA" w:rsidRPr="0044729D">
        <w:rPr>
          <w:rFonts w:ascii="Calibri" w:hAnsi="Calibri"/>
          <w:i/>
          <w:sz w:val="24"/>
          <w:szCs w:val="24"/>
        </w:rPr>
        <w:t xml:space="preserve">tzv. </w:t>
      </w:r>
      <w:r w:rsidR="00052680" w:rsidRPr="0044729D">
        <w:rPr>
          <w:rFonts w:ascii="Calibri" w:hAnsi="Calibri"/>
          <w:i/>
          <w:sz w:val="24"/>
          <w:szCs w:val="24"/>
        </w:rPr>
        <w:t xml:space="preserve">formální </w:t>
      </w:r>
      <w:r w:rsidR="00E01BB7" w:rsidRPr="0044729D">
        <w:rPr>
          <w:rFonts w:ascii="Calibri" w:hAnsi="Calibri"/>
          <w:i/>
          <w:sz w:val="24"/>
          <w:szCs w:val="24"/>
        </w:rPr>
        <w:t xml:space="preserve">a neformální část. </w:t>
      </w:r>
      <w:r w:rsidR="00B96521" w:rsidRPr="0044729D">
        <w:rPr>
          <w:rFonts w:ascii="Calibri" w:hAnsi="Calibri"/>
          <w:i/>
          <w:sz w:val="24"/>
          <w:szCs w:val="24"/>
        </w:rPr>
        <w:t>V</w:t>
      </w:r>
      <w:r w:rsidR="00C67A92" w:rsidRPr="0044729D">
        <w:rPr>
          <w:rFonts w:ascii="Calibri" w:hAnsi="Calibri"/>
          <w:i/>
          <w:sz w:val="24"/>
          <w:szCs w:val="24"/>
        </w:rPr>
        <w:t>e výrazně kratší</w:t>
      </w:r>
      <w:r w:rsidR="00B96521" w:rsidRPr="0044729D">
        <w:rPr>
          <w:rFonts w:ascii="Calibri" w:hAnsi="Calibri"/>
          <w:i/>
          <w:sz w:val="24"/>
          <w:szCs w:val="24"/>
        </w:rPr>
        <w:t xml:space="preserve"> formální části byly </w:t>
      </w:r>
      <w:r w:rsidR="005316CF" w:rsidRPr="0044729D">
        <w:rPr>
          <w:rFonts w:ascii="Calibri" w:hAnsi="Calibri"/>
          <w:i/>
          <w:sz w:val="24"/>
          <w:szCs w:val="24"/>
        </w:rPr>
        <w:t xml:space="preserve">v rámci </w:t>
      </w:r>
      <w:r w:rsidR="00312171" w:rsidRPr="0044729D">
        <w:rPr>
          <w:rFonts w:ascii="Calibri" w:hAnsi="Calibri"/>
          <w:i/>
          <w:sz w:val="24"/>
          <w:szCs w:val="24"/>
        </w:rPr>
        <w:t>vystoupení</w:t>
      </w:r>
      <w:r w:rsidR="005316CF" w:rsidRPr="0044729D">
        <w:rPr>
          <w:rFonts w:ascii="Calibri" w:hAnsi="Calibri"/>
          <w:i/>
          <w:sz w:val="24"/>
          <w:szCs w:val="24"/>
        </w:rPr>
        <w:t xml:space="preserve"> </w:t>
      </w:r>
      <w:r w:rsidR="00312171" w:rsidRPr="0044729D">
        <w:rPr>
          <w:rFonts w:ascii="Calibri" w:hAnsi="Calibri"/>
          <w:i/>
          <w:sz w:val="24"/>
          <w:szCs w:val="24"/>
        </w:rPr>
        <w:t>vedoucích zaměstnanců pře</w:t>
      </w:r>
      <w:r w:rsidR="007A32DD" w:rsidRPr="0044729D">
        <w:rPr>
          <w:rFonts w:ascii="Calibri" w:hAnsi="Calibri"/>
          <w:i/>
          <w:sz w:val="24"/>
          <w:szCs w:val="24"/>
        </w:rPr>
        <w:t>d</w:t>
      </w:r>
      <w:r w:rsidR="00312171" w:rsidRPr="0044729D">
        <w:rPr>
          <w:rFonts w:ascii="Calibri" w:hAnsi="Calibri"/>
          <w:i/>
          <w:sz w:val="24"/>
          <w:szCs w:val="24"/>
        </w:rPr>
        <w:t xml:space="preserve">neseny </w:t>
      </w:r>
      <w:r w:rsidR="00B96521" w:rsidRPr="0044729D">
        <w:rPr>
          <w:rFonts w:ascii="Calibri" w:hAnsi="Calibri"/>
          <w:i/>
          <w:sz w:val="24"/>
          <w:szCs w:val="24"/>
        </w:rPr>
        <w:t xml:space="preserve">zaměstnancům MPO a API obecné informace </w:t>
      </w:r>
      <w:r w:rsidR="009D6053" w:rsidRPr="0044729D">
        <w:rPr>
          <w:rFonts w:ascii="Calibri" w:hAnsi="Calibri"/>
          <w:i/>
          <w:sz w:val="24"/>
          <w:szCs w:val="24"/>
        </w:rPr>
        <w:t xml:space="preserve">např. </w:t>
      </w:r>
      <w:r w:rsidR="007A32DD" w:rsidRPr="0044729D">
        <w:rPr>
          <w:rFonts w:ascii="Calibri" w:hAnsi="Calibri"/>
          <w:i/>
          <w:sz w:val="24"/>
          <w:szCs w:val="24"/>
        </w:rPr>
        <w:t>o stavu a</w:t>
      </w:r>
      <w:r w:rsidR="0061760A" w:rsidRPr="0044729D">
        <w:rPr>
          <w:rFonts w:ascii="Calibri" w:hAnsi="Calibri"/>
          <w:i/>
          <w:sz w:val="24"/>
          <w:szCs w:val="24"/>
        </w:rPr>
        <w:t> p</w:t>
      </w:r>
      <w:r w:rsidR="00B96521" w:rsidRPr="0044729D">
        <w:rPr>
          <w:rFonts w:ascii="Calibri" w:hAnsi="Calibri"/>
          <w:i/>
          <w:sz w:val="24"/>
          <w:szCs w:val="24"/>
        </w:rPr>
        <w:t>okroku implementace OPPIK</w:t>
      </w:r>
      <w:r w:rsidR="00C67A92" w:rsidRPr="0044729D">
        <w:rPr>
          <w:rFonts w:ascii="Calibri" w:hAnsi="Calibri"/>
          <w:i/>
          <w:sz w:val="24"/>
          <w:szCs w:val="24"/>
        </w:rPr>
        <w:t>, tedy převážn</w:t>
      </w:r>
      <w:r w:rsidR="007D797A" w:rsidRPr="0044729D">
        <w:rPr>
          <w:rFonts w:ascii="Calibri" w:hAnsi="Calibri"/>
          <w:i/>
          <w:sz w:val="24"/>
          <w:szCs w:val="24"/>
        </w:rPr>
        <w:t>ě</w:t>
      </w:r>
      <w:r w:rsidR="009D6053" w:rsidRPr="0044729D">
        <w:rPr>
          <w:rFonts w:ascii="Calibri" w:hAnsi="Calibri"/>
          <w:i/>
          <w:sz w:val="24"/>
          <w:szCs w:val="24"/>
        </w:rPr>
        <w:t xml:space="preserve"> informace</w:t>
      </w:r>
      <w:r w:rsidR="00C67A92" w:rsidRPr="0044729D">
        <w:rPr>
          <w:rFonts w:ascii="Calibri" w:hAnsi="Calibri"/>
          <w:i/>
          <w:sz w:val="24"/>
          <w:szCs w:val="24"/>
        </w:rPr>
        <w:t xml:space="preserve"> </w:t>
      </w:r>
      <w:r w:rsidR="005513F1" w:rsidRPr="0044729D">
        <w:rPr>
          <w:rFonts w:ascii="Calibri" w:hAnsi="Calibri"/>
          <w:i/>
          <w:sz w:val="24"/>
          <w:szCs w:val="24"/>
        </w:rPr>
        <w:t xml:space="preserve">zjistitelné z </w:t>
      </w:r>
      <w:r w:rsidR="009D6053" w:rsidRPr="0044729D">
        <w:rPr>
          <w:rFonts w:ascii="Calibri" w:hAnsi="Calibri"/>
          <w:i/>
          <w:sz w:val="24"/>
          <w:szCs w:val="24"/>
        </w:rPr>
        <w:t>jim dostupných</w:t>
      </w:r>
      <w:r w:rsidR="00C67A92" w:rsidRPr="0044729D">
        <w:rPr>
          <w:rFonts w:ascii="Calibri" w:hAnsi="Calibri"/>
          <w:i/>
          <w:sz w:val="24"/>
          <w:szCs w:val="24"/>
        </w:rPr>
        <w:t xml:space="preserve"> </w:t>
      </w:r>
      <w:r w:rsidR="005513F1" w:rsidRPr="0044729D">
        <w:rPr>
          <w:rFonts w:ascii="Calibri" w:hAnsi="Calibri"/>
          <w:i/>
          <w:sz w:val="24"/>
          <w:szCs w:val="24"/>
        </w:rPr>
        <w:t>informačních zdrojů</w:t>
      </w:r>
      <w:r w:rsidR="00B96521" w:rsidRPr="0044729D">
        <w:rPr>
          <w:rFonts w:ascii="Calibri" w:hAnsi="Calibri"/>
          <w:i/>
          <w:sz w:val="24"/>
          <w:szCs w:val="24"/>
        </w:rPr>
        <w:t xml:space="preserve">. V rámci těchto seminářů nebyly proplaceny žádné výdaje </w:t>
      </w:r>
      <w:r w:rsidR="00B21272" w:rsidRPr="0044729D">
        <w:rPr>
          <w:rFonts w:ascii="Calibri" w:hAnsi="Calibri"/>
          <w:i/>
          <w:sz w:val="24"/>
          <w:szCs w:val="24"/>
        </w:rPr>
        <w:t>na vzdělávací aktivity ani na</w:t>
      </w:r>
      <w:r w:rsidR="002103AD" w:rsidRPr="0044729D">
        <w:rPr>
          <w:rFonts w:ascii="Calibri" w:hAnsi="Calibri"/>
          <w:i/>
          <w:sz w:val="24"/>
          <w:szCs w:val="24"/>
        </w:rPr>
        <w:t xml:space="preserve"> </w:t>
      </w:r>
      <w:r w:rsidR="00B96521" w:rsidRPr="0044729D">
        <w:rPr>
          <w:rFonts w:ascii="Calibri" w:hAnsi="Calibri"/>
          <w:i/>
          <w:sz w:val="24"/>
          <w:szCs w:val="24"/>
        </w:rPr>
        <w:t>lektorské služby</w:t>
      </w:r>
      <w:r w:rsidR="005E697E" w:rsidRPr="0044729D">
        <w:rPr>
          <w:rFonts w:ascii="Calibri" w:hAnsi="Calibri"/>
          <w:i/>
          <w:sz w:val="24"/>
          <w:szCs w:val="24"/>
        </w:rPr>
        <w:t xml:space="preserve">, byť tak je explicitně </w:t>
      </w:r>
      <w:r w:rsidR="007D797A" w:rsidRPr="0044729D">
        <w:rPr>
          <w:rFonts w:ascii="Calibri" w:hAnsi="Calibri"/>
          <w:i/>
          <w:sz w:val="24"/>
          <w:szCs w:val="24"/>
        </w:rPr>
        <w:t>uvedeno v žádosti o podporu</w:t>
      </w:r>
      <w:r w:rsidR="005E697E" w:rsidRPr="0044729D">
        <w:rPr>
          <w:rFonts w:ascii="Calibri" w:hAnsi="Calibri"/>
          <w:i/>
          <w:sz w:val="24"/>
          <w:szCs w:val="24"/>
        </w:rPr>
        <w:t>.</w:t>
      </w:r>
      <w:r w:rsidR="005513F1" w:rsidRPr="0044729D">
        <w:rPr>
          <w:rFonts w:ascii="Calibri" w:hAnsi="Calibri"/>
          <w:i/>
          <w:sz w:val="24"/>
          <w:szCs w:val="24"/>
        </w:rPr>
        <w:t xml:space="preserve"> </w:t>
      </w:r>
      <w:r w:rsidR="005E697E" w:rsidRPr="0044729D">
        <w:rPr>
          <w:rFonts w:ascii="Calibri" w:hAnsi="Calibri"/>
          <w:i/>
          <w:sz w:val="24"/>
          <w:szCs w:val="24"/>
        </w:rPr>
        <w:t>N</w:t>
      </w:r>
      <w:r w:rsidR="00B21272" w:rsidRPr="0044729D">
        <w:rPr>
          <w:rFonts w:ascii="Calibri" w:hAnsi="Calibri"/>
          <w:i/>
          <w:sz w:val="24"/>
          <w:szCs w:val="24"/>
        </w:rPr>
        <w:t xml:space="preserve">aopak </w:t>
      </w:r>
      <w:r w:rsidR="00C67A92" w:rsidRPr="0044729D">
        <w:rPr>
          <w:rFonts w:ascii="Calibri" w:hAnsi="Calibri"/>
          <w:i/>
          <w:sz w:val="24"/>
          <w:szCs w:val="24"/>
        </w:rPr>
        <w:t xml:space="preserve">výdaje </w:t>
      </w:r>
      <w:r w:rsidR="00B21272" w:rsidRPr="0044729D">
        <w:rPr>
          <w:rFonts w:ascii="Calibri" w:hAnsi="Calibri"/>
          <w:i/>
          <w:sz w:val="24"/>
          <w:szCs w:val="24"/>
        </w:rPr>
        <w:t>na</w:t>
      </w:r>
      <w:r w:rsidR="005513F1" w:rsidRPr="0044729D">
        <w:rPr>
          <w:rFonts w:ascii="Calibri" w:hAnsi="Calibri"/>
          <w:i/>
          <w:sz w:val="24"/>
          <w:szCs w:val="24"/>
        </w:rPr>
        <w:t xml:space="preserve"> služby </w:t>
      </w:r>
      <w:r w:rsidR="00C67A92" w:rsidRPr="0044729D">
        <w:rPr>
          <w:rFonts w:ascii="Calibri" w:hAnsi="Calibri"/>
          <w:i/>
          <w:sz w:val="24"/>
          <w:szCs w:val="24"/>
        </w:rPr>
        <w:t xml:space="preserve">externím poskytovatelům sestávaly výlučně z položek, jako byly </w:t>
      </w:r>
      <w:r w:rsidR="003D349E">
        <w:rPr>
          <w:rFonts w:ascii="Calibri" w:hAnsi="Calibri"/>
          <w:i/>
          <w:sz w:val="24"/>
          <w:szCs w:val="24"/>
        </w:rPr>
        <w:t>nájemné za</w:t>
      </w:r>
      <w:r w:rsidR="0061760A" w:rsidRPr="0044729D">
        <w:rPr>
          <w:rFonts w:ascii="Calibri" w:hAnsi="Calibri"/>
          <w:i/>
          <w:sz w:val="24"/>
          <w:szCs w:val="24"/>
        </w:rPr>
        <w:t xml:space="preserve"> prostor</w:t>
      </w:r>
      <w:r w:rsidR="003D349E">
        <w:rPr>
          <w:rFonts w:ascii="Calibri" w:hAnsi="Calibri"/>
          <w:i/>
          <w:sz w:val="24"/>
          <w:szCs w:val="24"/>
        </w:rPr>
        <w:t>y</w:t>
      </w:r>
      <w:r w:rsidR="0061760A" w:rsidRPr="0044729D">
        <w:rPr>
          <w:rFonts w:ascii="Calibri" w:hAnsi="Calibri"/>
          <w:i/>
          <w:sz w:val="24"/>
          <w:szCs w:val="24"/>
        </w:rPr>
        <w:t xml:space="preserve"> klubu či restaurace, catering včetně nápojů, </w:t>
      </w:r>
      <w:proofErr w:type="spellStart"/>
      <w:r w:rsidR="0061760A" w:rsidRPr="0044729D">
        <w:rPr>
          <w:rFonts w:ascii="Calibri" w:hAnsi="Calibri"/>
          <w:i/>
          <w:sz w:val="24"/>
          <w:szCs w:val="24"/>
        </w:rPr>
        <w:t>security</w:t>
      </w:r>
      <w:proofErr w:type="spellEnd"/>
      <w:r w:rsidR="0061760A" w:rsidRPr="0044729D">
        <w:rPr>
          <w:rFonts w:ascii="Calibri" w:hAnsi="Calibri"/>
          <w:i/>
          <w:sz w:val="24"/>
          <w:szCs w:val="24"/>
        </w:rPr>
        <w:t xml:space="preserve"> servis, zajištění šatny s obsluhou, nájem techniky, produkce DJ a</w:t>
      </w:r>
      <w:r w:rsidR="003D349E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61760A" w:rsidRPr="0044729D">
        <w:rPr>
          <w:rFonts w:ascii="Calibri" w:hAnsi="Calibri"/>
          <w:i/>
          <w:sz w:val="24"/>
          <w:szCs w:val="24"/>
        </w:rPr>
        <w:t>fotokoutek</w:t>
      </w:r>
      <w:proofErr w:type="spellEnd"/>
      <w:r w:rsidR="0061760A" w:rsidRPr="0044729D">
        <w:rPr>
          <w:rFonts w:ascii="Calibri" w:hAnsi="Calibri"/>
          <w:i/>
          <w:sz w:val="24"/>
          <w:szCs w:val="24"/>
        </w:rPr>
        <w:t>. T</w:t>
      </w:r>
      <w:r w:rsidR="00B96521" w:rsidRPr="0044729D">
        <w:rPr>
          <w:rFonts w:ascii="Calibri" w:hAnsi="Calibri"/>
          <w:i/>
          <w:sz w:val="24"/>
          <w:szCs w:val="24"/>
        </w:rPr>
        <w:t xml:space="preserve">yto akce se konaly </w:t>
      </w:r>
      <w:r w:rsidR="00C67A92" w:rsidRPr="0044729D">
        <w:rPr>
          <w:rFonts w:ascii="Calibri" w:hAnsi="Calibri"/>
          <w:i/>
          <w:sz w:val="24"/>
          <w:szCs w:val="24"/>
        </w:rPr>
        <w:t xml:space="preserve">vždy </w:t>
      </w:r>
      <w:r w:rsidR="00B96521" w:rsidRPr="0044729D">
        <w:rPr>
          <w:rFonts w:ascii="Calibri" w:hAnsi="Calibri"/>
          <w:i/>
          <w:sz w:val="24"/>
          <w:szCs w:val="24"/>
        </w:rPr>
        <w:t>po pracovní době</w:t>
      </w:r>
      <w:r w:rsidR="00A729AA" w:rsidRPr="0044729D">
        <w:rPr>
          <w:rFonts w:ascii="Calibri" w:hAnsi="Calibri"/>
          <w:i/>
          <w:sz w:val="24"/>
          <w:szCs w:val="24"/>
        </w:rPr>
        <w:t xml:space="preserve"> (zpravidla od</w:t>
      </w:r>
      <w:r w:rsidR="006C6870" w:rsidRPr="0044729D">
        <w:rPr>
          <w:rFonts w:ascii="Calibri" w:hAnsi="Calibri"/>
          <w:i/>
          <w:sz w:val="24"/>
          <w:szCs w:val="24"/>
        </w:rPr>
        <w:t xml:space="preserve"> 18</w:t>
      </w:r>
      <w:r w:rsidR="00A729AA" w:rsidRPr="0044729D">
        <w:rPr>
          <w:rFonts w:ascii="Calibri" w:hAnsi="Calibri"/>
          <w:i/>
          <w:sz w:val="24"/>
          <w:szCs w:val="24"/>
        </w:rPr>
        <w:t xml:space="preserve"> hodin)</w:t>
      </w:r>
      <w:r w:rsidR="00C67A92" w:rsidRPr="0044729D">
        <w:rPr>
          <w:rFonts w:ascii="Calibri" w:hAnsi="Calibri"/>
          <w:i/>
          <w:sz w:val="24"/>
          <w:szCs w:val="24"/>
        </w:rPr>
        <w:t xml:space="preserve"> a končily v pozdních nočních hodinách</w:t>
      </w:r>
      <w:r w:rsidR="00B96521" w:rsidRPr="0044729D">
        <w:rPr>
          <w:rFonts w:ascii="Calibri" w:hAnsi="Calibri"/>
          <w:i/>
          <w:sz w:val="24"/>
          <w:szCs w:val="24"/>
        </w:rPr>
        <w:t>.</w:t>
      </w:r>
      <w:r w:rsidR="00E01BB7" w:rsidRPr="0044729D">
        <w:rPr>
          <w:rFonts w:ascii="Calibri" w:hAnsi="Calibri"/>
          <w:i/>
          <w:sz w:val="24"/>
          <w:szCs w:val="24"/>
        </w:rPr>
        <w:t xml:space="preserve"> </w:t>
      </w:r>
      <w:r w:rsidR="00A729AA" w:rsidRPr="0044729D">
        <w:rPr>
          <w:rFonts w:ascii="Calibri" w:hAnsi="Calibri"/>
          <w:i/>
          <w:sz w:val="24"/>
          <w:szCs w:val="24"/>
        </w:rPr>
        <w:t>O hlavním účelu akcí vypovídá i výběr míst konání (kluby a restaurace)</w:t>
      </w:r>
      <w:r w:rsidR="003D349E">
        <w:rPr>
          <w:rFonts w:ascii="Calibri" w:hAnsi="Calibri"/>
          <w:i/>
          <w:sz w:val="24"/>
          <w:szCs w:val="24"/>
        </w:rPr>
        <w:t>, tato místa byla</w:t>
      </w:r>
      <w:r w:rsidR="00A729AA" w:rsidRPr="0044729D">
        <w:rPr>
          <w:rFonts w:ascii="Calibri" w:hAnsi="Calibri"/>
          <w:i/>
          <w:sz w:val="24"/>
          <w:szCs w:val="24"/>
        </w:rPr>
        <w:t xml:space="preserve"> vhodn</w:t>
      </w:r>
      <w:r w:rsidR="003D349E">
        <w:rPr>
          <w:rFonts w:ascii="Calibri" w:hAnsi="Calibri"/>
          <w:i/>
          <w:sz w:val="24"/>
          <w:szCs w:val="24"/>
        </w:rPr>
        <w:t>á</w:t>
      </w:r>
      <w:r w:rsidR="00A729AA" w:rsidRPr="0044729D">
        <w:rPr>
          <w:rFonts w:ascii="Calibri" w:hAnsi="Calibri"/>
          <w:i/>
          <w:sz w:val="24"/>
          <w:szCs w:val="24"/>
        </w:rPr>
        <w:t xml:space="preserve"> pro realizaci časově převažující tzv.</w:t>
      </w:r>
      <w:r w:rsidR="00E01BB7" w:rsidRPr="0044729D">
        <w:rPr>
          <w:rFonts w:ascii="Calibri" w:hAnsi="Calibri"/>
          <w:i/>
          <w:sz w:val="24"/>
          <w:szCs w:val="24"/>
        </w:rPr>
        <w:t xml:space="preserve"> neformální</w:t>
      </w:r>
      <w:r w:rsidR="00CC3AA0" w:rsidRPr="0044729D">
        <w:rPr>
          <w:rFonts w:ascii="Calibri" w:hAnsi="Calibri"/>
          <w:i/>
          <w:sz w:val="24"/>
          <w:szCs w:val="24"/>
        </w:rPr>
        <w:t xml:space="preserve"> část</w:t>
      </w:r>
      <w:r w:rsidR="005513F1" w:rsidRPr="0044729D">
        <w:rPr>
          <w:rFonts w:ascii="Calibri" w:hAnsi="Calibri"/>
          <w:i/>
          <w:sz w:val="24"/>
          <w:szCs w:val="24"/>
        </w:rPr>
        <w:t>i</w:t>
      </w:r>
      <w:r w:rsidR="00E01BB7" w:rsidRPr="0044729D">
        <w:rPr>
          <w:rFonts w:ascii="Calibri" w:hAnsi="Calibri"/>
          <w:i/>
          <w:sz w:val="24"/>
          <w:szCs w:val="24"/>
        </w:rPr>
        <w:t xml:space="preserve">, </w:t>
      </w:r>
      <w:r w:rsidR="00142C85">
        <w:rPr>
          <w:rFonts w:ascii="Calibri" w:hAnsi="Calibri"/>
          <w:i/>
          <w:sz w:val="24"/>
          <w:szCs w:val="24"/>
        </w:rPr>
        <w:t>tvořené zejména</w:t>
      </w:r>
      <w:r w:rsidR="00A729AA" w:rsidRPr="0044729D">
        <w:rPr>
          <w:rFonts w:ascii="Calibri" w:hAnsi="Calibri"/>
          <w:i/>
          <w:sz w:val="24"/>
          <w:szCs w:val="24"/>
        </w:rPr>
        <w:t xml:space="preserve"> </w:t>
      </w:r>
      <w:r w:rsidR="00E01BB7" w:rsidRPr="0044729D">
        <w:rPr>
          <w:rFonts w:ascii="Calibri" w:hAnsi="Calibri"/>
          <w:i/>
          <w:sz w:val="24"/>
          <w:szCs w:val="24"/>
        </w:rPr>
        <w:t>konzumac</w:t>
      </w:r>
      <w:r w:rsidR="00142C85">
        <w:rPr>
          <w:rFonts w:ascii="Calibri" w:hAnsi="Calibri"/>
          <w:i/>
          <w:sz w:val="24"/>
          <w:szCs w:val="24"/>
        </w:rPr>
        <w:t>í</w:t>
      </w:r>
      <w:r w:rsidR="00E01BB7" w:rsidRPr="0044729D">
        <w:rPr>
          <w:rFonts w:ascii="Calibri" w:hAnsi="Calibri"/>
          <w:i/>
          <w:sz w:val="24"/>
          <w:szCs w:val="24"/>
        </w:rPr>
        <w:t xml:space="preserve"> občerstvení (</w:t>
      </w:r>
      <w:r w:rsidR="00DC4CDB">
        <w:rPr>
          <w:rFonts w:ascii="Calibri" w:hAnsi="Calibri"/>
          <w:i/>
          <w:sz w:val="24"/>
          <w:szCs w:val="24"/>
        </w:rPr>
        <w:t>včetně</w:t>
      </w:r>
      <w:r w:rsidR="00142C85">
        <w:rPr>
          <w:rFonts w:ascii="Calibri" w:hAnsi="Calibri"/>
          <w:i/>
          <w:sz w:val="24"/>
          <w:szCs w:val="24"/>
        </w:rPr>
        <w:t xml:space="preserve"> </w:t>
      </w:r>
      <w:r w:rsidR="00E01BB7" w:rsidRPr="0044729D">
        <w:rPr>
          <w:rFonts w:ascii="Calibri" w:hAnsi="Calibri"/>
          <w:i/>
          <w:sz w:val="24"/>
          <w:szCs w:val="24"/>
        </w:rPr>
        <w:t>alkoholick</w:t>
      </w:r>
      <w:r w:rsidR="00DC4CDB">
        <w:rPr>
          <w:rFonts w:ascii="Calibri" w:hAnsi="Calibri"/>
          <w:i/>
          <w:sz w:val="24"/>
          <w:szCs w:val="24"/>
        </w:rPr>
        <w:t>ých</w:t>
      </w:r>
      <w:r w:rsidR="00E01BB7" w:rsidRPr="0044729D">
        <w:rPr>
          <w:rFonts w:ascii="Calibri" w:hAnsi="Calibri"/>
          <w:i/>
          <w:sz w:val="24"/>
          <w:szCs w:val="24"/>
        </w:rPr>
        <w:t xml:space="preserve"> nápoj</w:t>
      </w:r>
      <w:r w:rsidR="00DC4CDB">
        <w:rPr>
          <w:rFonts w:ascii="Calibri" w:hAnsi="Calibri"/>
          <w:i/>
          <w:sz w:val="24"/>
          <w:szCs w:val="24"/>
        </w:rPr>
        <w:t>ů</w:t>
      </w:r>
      <w:r w:rsidR="00E01BB7" w:rsidRPr="0044729D">
        <w:rPr>
          <w:rFonts w:ascii="Calibri" w:hAnsi="Calibri"/>
          <w:i/>
          <w:sz w:val="24"/>
          <w:szCs w:val="24"/>
        </w:rPr>
        <w:t xml:space="preserve">) </w:t>
      </w:r>
      <w:r w:rsidR="0061760A" w:rsidRPr="0044729D">
        <w:rPr>
          <w:rFonts w:ascii="Calibri" w:hAnsi="Calibri"/>
          <w:i/>
          <w:sz w:val="24"/>
          <w:szCs w:val="24"/>
        </w:rPr>
        <w:t>a</w:t>
      </w:r>
      <w:r w:rsidR="00414FD2">
        <w:rPr>
          <w:rFonts w:ascii="Calibri" w:hAnsi="Calibri"/>
          <w:i/>
          <w:sz w:val="24"/>
          <w:szCs w:val="24"/>
        </w:rPr>
        <w:t> </w:t>
      </w:r>
      <w:r w:rsidR="00E01BB7" w:rsidRPr="0044729D">
        <w:rPr>
          <w:rFonts w:ascii="Calibri" w:hAnsi="Calibri"/>
          <w:i/>
          <w:sz w:val="24"/>
          <w:szCs w:val="24"/>
        </w:rPr>
        <w:t>doprovodn</w:t>
      </w:r>
      <w:r w:rsidR="00142C85">
        <w:rPr>
          <w:rFonts w:ascii="Calibri" w:hAnsi="Calibri"/>
          <w:i/>
          <w:sz w:val="24"/>
          <w:szCs w:val="24"/>
        </w:rPr>
        <w:t>ým</w:t>
      </w:r>
      <w:r w:rsidR="00E01BB7" w:rsidRPr="0044729D">
        <w:rPr>
          <w:rFonts w:ascii="Calibri" w:hAnsi="Calibri"/>
          <w:i/>
          <w:sz w:val="24"/>
          <w:szCs w:val="24"/>
        </w:rPr>
        <w:t xml:space="preserve"> program</w:t>
      </w:r>
      <w:r w:rsidR="00142C85">
        <w:rPr>
          <w:rFonts w:ascii="Calibri" w:hAnsi="Calibri"/>
          <w:i/>
          <w:sz w:val="24"/>
          <w:szCs w:val="24"/>
        </w:rPr>
        <w:t>em</w:t>
      </w:r>
      <w:r w:rsidR="00E01BB7" w:rsidRPr="0044729D">
        <w:rPr>
          <w:rFonts w:ascii="Calibri" w:hAnsi="Calibri"/>
          <w:i/>
          <w:sz w:val="24"/>
          <w:szCs w:val="24"/>
        </w:rPr>
        <w:t xml:space="preserve"> (</w:t>
      </w:r>
      <w:r w:rsidR="00A729AA" w:rsidRPr="0044729D">
        <w:rPr>
          <w:rFonts w:ascii="Calibri" w:hAnsi="Calibri"/>
          <w:i/>
          <w:sz w:val="24"/>
          <w:szCs w:val="24"/>
        </w:rPr>
        <w:t xml:space="preserve">např. </w:t>
      </w:r>
      <w:r w:rsidR="00E01BB7" w:rsidRPr="0044729D">
        <w:rPr>
          <w:rFonts w:ascii="Calibri" w:hAnsi="Calibri"/>
          <w:i/>
          <w:sz w:val="24"/>
          <w:szCs w:val="24"/>
        </w:rPr>
        <w:t>služby DJ a</w:t>
      </w:r>
      <w:r w:rsidR="00142C85">
        <w:rPr>
          <w:rFonts w:ascii="Calibri" w:hAnsi="Calibri"/>
          <w:i/>
          <w:sz w:val="24"/>
          <w:szCs w:val="24"/>
        </w:rPr>
        <w:t xml:space="preserve"> </w:t>
      </w:r>
      <w:proofErr w:type="spellStart"/>
      <w:r w:rsidR="00E01BB7" w:rsidRPr="0044729D">
        <w:rPr>
          <w:rFonts w:ascii="Calibri" w:hAnsi="Calibri"/>
          <w:i/>
          <w:sz w:val="24"/>
          <w:szCs w:val="24"/>
        </w:rPr>
        <w:t>fotokoutek</w:t>
      </w:r>
      <w:proofErr w:type="spellEnd"/>
      <w:r w:rsidR="00E01BB7" w:rsidRPr="0044729D">
        <w:rPr>
          <w:rFonts w:ascii="Calibri" w:hAnsi="Calibri"/>
          <w:i/>
          <w:sz w:val="24"/>
          <w:szCs w:val="24"/>
        </w:rPr>
        <w:t xml:space="preserve">). </w:t>
      </w:r>
      <w:r w:rsidR="00B96521" w:rsidRPr="0044729D">
        <w:rPr>
          <w:rFonts w:ascii="Calibri" w:hAnsi="Calibri"/>
          <w:i/>
          <w:sz w:val="24"/>
          <w:szCs w:val="24"/>
        </w:rPr>
        <w:t xml:space="preserve">Výroční semináře </w:t>
      </w:r>
      <w:r w:rsidR="00C67A92" w:rsidRPr="0044729D">
        <w:rPr>
          <w:rFonts w:ascii="Calibri" w:hAnsi="Calibri"/>
          <w:i/>
          <w:sz w:val="24"/>
          <w:szCs w:val="24"/>
        </w:rPr>
        <w:t xml:space="preserve">tak </w:t>
      </w:r>
      <w:r w:rsidR="00B96521" w:rsidRPr="0044729D">
        <w:rPr>
          <w:rFonts w:ascii="Calibri" w:hAnsi="Calibri"/>
          <w:i/>
          <w:sz w:val="24"/>
          <w:szCs w:val="24"/>
        </w:rPr>
        <w:t>neměly prokazatelný charakter vzdělávání a školení pracovníků implementační struktury</w:t>
      </w:r>
      <w:r w:rsidR="00B21272" w:rsidRPr="0044729D">
        <w:rPr>
          <w:rFonts w:ascii="Calibri" w:hAnsi="Calibri"/>
          <w:i/>
          <w:sz w:val="24"/>
          <w:szCs w:val="24"/>
        </w:rPr>
        <w:t>,</w:t>
      </w:r>
      <w:r w:rsidR="00A729AA" w:rsidRPr="0044729D">
        <w:rPr>
          <w:rFonts w:ascii="Calibri" w:hAnsi="Calibri"/>
          <w:i/>
          <w:sz w:val="24"/>
          <w:szCs w:val="24"/>
        </w:rPr>
        <w:t xml:space="preserve"> resp. takový </w:t>
      </w:r>
      <w:r w:rsidR="00FF3AF6" w:rsidRPr="0044729D">
        <w:rPr>
          <w:rFonts w:ascii="Calibri" w:hAnsi="Calibri"/>
          <w:i/>
          <w:sz w:val="24"/>
          <w:szCs w:val="24"/>
        </w:rPr>
        <w:t>účel byl na těchto akcích nanejvýš</w:t>
      </w:r>
      <w:r w:rsidR="00A729AA" w:rsidRPr="0044729D">
        <w:rPr>
          <w:rFonts w:ascii="Calibri" w:hAnsi="Calibri"/>
          <w:i/>
          <w:sz w:val="24"/>
          <w:szCs w:val="24"/>
        </w:rPr>
        <w:t xml:space="preserve"> okrajový</w:t>
      </w:r>
      <w:r w:rsidR="0061760A" w:rsidRPr="0044729D">
        <w:rPr>
          <w:rFonts w:ascii="Calibri" w:hAnsi="Calibri"/>
          <w:i/>
          <w:sz w:val="24"/>
          <w:szCs w:val="24"/>
        </w:rPr>
        <w:t>. N</w:t>
      </w:r>
      <w:r w:rsidR="009A08A6" w:rsidRPr="0044729D">
        <w:rPr>
          <w:rFonts w:ascii="Calibri" w:hAnsi="Calibri"/>
          <w:i/>
          <w:sz w:val="24"/>
          <w:szCs w:val="24"/>
        </w:rPr>
        <w:t xml:space="preserve">eodpovídaly </w:t>
      </w:r>
      <w:r w:rsidR="00A729AA" w:rsidRPr="0044729D">
        <w:rPr>
          <w:rFonts w:ascii="Calibri" w:hAnsi="Calibri"/>
          <w:i/>
          <w:sz w:val="24"/>
          <w:szCs w:val="24"/>
        </w:rPr>
        <w:t>t</w:t>
      </w:r>
      <w:r w:rsidR="003D349E">
        <w:rPr>
          <w:rFonts w:ascii="Calibri" w:hAnsi="Calibri"/>
          <w:i/>
          <w:sz w:val="24"/>
          <w:szCs w:val="24"/>
        </w:rPr>
        <w:t>edy</w:t>
      </w:r>
      <w:r w:rsidR="00A729AA" w:rsidRPr="0044729D">
        <w:rPr>
          <w:rFonts w:ascii="Calibri" w:hAnsi="Calibri"/>
          <w:i/>
          <w:sz w:val="24"/>
          <w:szCs w:val="24"/>
        </w:rPr>
        <w:t xml:space="preserve"> </w:t>
      </w:r>
      <w:r w:rsidR="009A08A6" w:rsidRPr="0044729D">
        <w:rPr>
          <w:rFonts w:ascii="Calibri" w:hAnsi="Calibri"/>
          <w:i/>
          <w:sz w:val="24"/>
          <w:szCs w:val="24"/>
        </w:rPr>
        <w:t>aktivitám uvedeným ve schválené žádosti o podporu, nevedly k naplnění stanov</w:t>
      </w:r>
      <w:r w:rsidR="00B70EC2">
        <w:rPr>
          <w:rFonts w:ascii="Calibri" w:hAnsi="Calibri"/>
          <w:i/>
          <w:sz w:val="24"/>
          <w:szCs w:val="24"/>
        </w:rPr>
        <w:t>en</w:t>
      </w:r>
      <w:r w:rsidR="009A08A6" w:rsidRPr="0044729D">
        <w:rPr>
          <w:rFonts w:ascii="Calibri" w:hAnsi="Calibri"/>
          <w:i/>
          <w:sz w:val="24"/>
          <w:szCs w:val="24"/>
        </w:rPr>
        <w:t>ého cíle a účelu projektu</w:t>
      </w:r>
      <w:r w:rsidR="003D349E">
        <w:rPr>
          <w:rFonts w:ascii="Calibri" w:hAnsi="Calibri"/>
          <w:i/>
          <w:sz w:val="24"/>
          <w:szCs w:val="24"/>
        </w:rPr>
        <w:t>,</w:t>
      </w:r>
      <w:r w:rsidR="00052680" w:rsidRPr="0044729D">
        <w:rPr>
          <w:rFonts w:ascii="Calibri" w:hAnsi="Calibri"/>
          <w:i/>
          <w:sz w:val="24"/>
          <w:szCs w:val="24"/>
        </w:rPr>
        <w:t xml:space="preserve"> a </w:t>
      </w:r>
      <w:r w:rsidR="003D349E">
        <w:rPr>
          <w:rFonts w:ascii="Calibri" w:hAnsi="Calibri"/>
          <w:i/>
          <w:sz w:val="24"/>
          <w:szCs w:val="24"/>
        </w:rPr>
        <w:t xml:space="preserve">tudíž </w:t>
      </w:r>
      <w:r w:rsidR="009A08A6" w:rsidRPr="0044729D">
        <w:rPr>
          <w:rFonts w:ascii="Calibri" w:hAnsi="Calibri"/>
          <w:i/>
          <w:sz w:val="24"/>
          <w:szCs w:val="24"/>
        </w:rPr>
        <w:t xml:space="preserve">nelze </w:t>
      </w:r>
      <w:r w:rsidR="00A729AA" w:rsidRPr="0044729D">
        <w:rPr>
          <w:rFonts w:ascii="Calibri" w:hAnsi="Calibri"/>
          <w:i/>
          <w:sz w:val="24"/>
          <w:szCs w:val="24"/>
        </w:rPr>
        <w:t>výdaje</w:t>
      </w:r>
      <w:r w:rsidR="009A08A6" w:rsidRPr="0044729D">
        <w:rPr>
          <w:rFonts w:ascii="Calibri" w:hAnsi="Calibri"/>
          <w:i/>
          <w:sz w:val="24"/>
          <w:szCs w:val="24"/>
        </w:rPr>
        <w:t xml:space="preserve"> považovat za způsobilé</w:t>
      </w:r>
      <w:r w:rsidR="00A729AA" w:rsidRPr="0044729D">
        <w:rPr>
          <w:rFonts w:ascii="Calibri" w:hAnsi="Calibri"/>
          <w:i/>
          <w:sz w:val="24"/>
          <w:szCs w:val="24"/>
        </w:rPr>
        <w:t xml:space="preserve">, a to až do </w:t>
      </w:r>
      <w:r w:rsidR="00621ECE" w:rsidRPr="0044729D">
        <w:rPr>
          <w:rFonts w:ascii="Calibri" w:hAnsi="Calibri"/>
          <w:i/>
          <w:sz w:val="24"/>
          <w:szCs w:val="24"/>
        </w:rPr>
        <w:t xml:space="preserve">jejich </w:t>
      </w:r>
      <w:r w:rsidR="00A729AA" w:rsidRPr="0044729D">
        <w:rPr>
          <w:rFonts w:ascii="Calibri" w:hAnsi="Calibri"/>
          <w:i/>
          <w:sz w:val="24"/>
          <w:szCs w:val="24"/>
        </w:rPr>
        <w:t>celkové výše vynaložené na tyto akce, tj.</w:t>
      </w:r>
      <w:r w:rsidR="003D349E">
        <w:rPr>
          <w:rFonts w:ascii="Calibri" w:hAnsi="Calibri"/>
          <w:i/>
          <w:sz w:val="24"/>
          <w:szCs w:val="24"/>
        </w:rPr>
        <w:t> </w:t>
      </w:r>
      <w:r w:rsidR="009A08A6" w:rsidRPr="0044729D">
        <w:rPr>
          <w:rFonts w:ascii="Calibri" w:hAnsi="Calibri"/>
          <w:i/>
          <w:sz w:val="24"/>
          <w:szCs w:val="24"/>
        </w:rPr>
        <w:t>1</w:t>
      </w:r>
      <w:r w:rsidR="0061760A" w:rsidRPr="0044729D">
        <w:rPr>
          <w:rFonts w:ascii="Calibri" w:hAnsi="Calibri"/>
          <w:i/>
          <w:sz w:val="24"/>
          <w:szCs w:val="24"/>
        </w:rPr>
        <w:t> </w:t>
      </w:r>
      <w:r w:rsidR="009A08A6" w:rsidRPr="0044729D">
        <w:rPr>
          <w:rFonts w:ascii="Calibri" w:hAnsi="Calibri"/>
          <w:i/>
          <w:sz w:val="24"/>
          <w:szCs w:val="24"/>
        </w:rPr>
        <w:t>230</w:t>
      </w:r>
      <w:r w:rsidR="0061760A" w:rsidRPr="0044729D">
        <w:rPr>
          <w:rFonts w:ascii="Calibri" w:hAnsi="Calibri"/>
          <w:i/>
          <w:sz w:val="24"/>
          <w:szCs w:val="24"/>
        </w:rPr>
        <w:t> </w:t>
      </w:r>
      <w:r w:rsidR="009A08A6" w:rsidRPr="0044729D">
        <w:rPr>
          <w:rFonts w:ascii="Calibri" w:hAnsi="Calibri"/>
          <w:i/>
          <w:sz w:val="24"/>
          <w:szCs w:val="24"/>
        </w:rPr>
        <w:t>269 Kč</w:t>
      </w:r>
      <w:r w:rsidR="009D6053" w:rsidRPr="0044729D">
        <w:rPr>
          <w:rFonts w:ascii="Calibri" w:hAnsi="Calibri"/>
          <w:i/>
          <w:sz w:val="24"/>
          <w:szCs w:val="24"/>
        </w:rPr>
        <w:t xml:space="preserve"> (s DPH</w:t>
      </w:r>
      <w:r w:rsidR="00621ECE" w:rsidRPr="0044729D">
        <w:rPr>
          <w:rFonts w:ascii="Calibri" w:hAnsi="Calibri"/>
          <w:i/>
          <w:sz w:val="24"/>
          <w:szCs w:val="24"/>
        </w:rPr>
        <w:t>)</w:t>
      </w:r>
      <w:r w:rsidR="009A08A6" w:rsidRPr="0044729D">
        <w:rPr>
          <w:rFonts w:ascii="Calibri" w:hAnsi="Calibri"/>
          <w:i/>
          <w:sz w:val="24"/>
          <w:szCs w:val="24"/>
        </w:rPr>
        <w:t>.</w:t>
      </w:r>
    </w:p>
    <w:p w14:paraId="74F2465C" w14:textId="77777777" w:rsidR="0046275B" w:rsidRDefault="0046275B" w:rsidP="0046275B">
      <w:pPr>
        <w:pStyle w:val="Odstavecseseznamem"/>
        <w:spacing w:after="0" w:line="280" w:lineRule="atLeast"/>
        <w:ind w:left="0"/>
        <w:jc w:val="both"/>
        <w:rPr>
          <w:sz w:val="24"/>
          <w:szCs w:val="24"/>
        </w:rPr>
      </w:pPr>
    </w:p>
    <w:p w14:paraId="0D823FCB" w14:textId="7BD32712" w:rsidR="00BB2FCB" w:rsidRPr="00FF2B8F" w:rsidRDefault="00BB2FCB" w:rsidP="006C6870">
      <w:pPr>
        <w:pStyle w:val="Odstavecseseznamem"/>
        <w:numPr>
          <w:ilvl w:val="0"/>
          <w:numId w:val="42"/>
        </w:numPr>
        <w:spacing w:after="0" w:line="280" w:lineRule="atLeast"/>
        <w:ind w:left="0" w:firstLine="0"/>
        <w:jc w:val="both"/>
        <w:rPr>
          <w:sz w:val="24"/>
          <w:szCs w:val="24"/>
        </w:rPr>
      </w:pPr>
      <w:r w:rsidRPr="00FF2B8F">
        <w:rPr>
          <w:sz w:val="24"/>
          <w:szCs w:val="24"/>
        </w:rPr>
        <w:t xml:space="preserve">Při kontrole bylo také ověřováno, zda MPO a API </w:t>
      </w:r>
      <w:r w:rsidR="009418BB" w:rsidRPr="00FF2B8F">
        <w:rPr>
          <w:sz w:val="24"/>
          <w:szCs w:val="24"/>
        </w:rPr>
        <w:t xml:space="preserve">jako příjemci podpory </w:t>
      </w:r>
      <w:r w:rsidRPr="00FF2B8F">
        <w:rPr>
          <w:sz w:val="24"/>
          <w:szCs w:val="24"/>
        </w:rPr>
        <w:t>řádně dodržují pravidla v době udržitelnosti projektů technické pomoci</w:t>
      </w:r>
      <w:r w:rsidR="004460F5">
        <w:rPr>
          <w:sz w:val="24"/>
          <w:szCs w:val="24"/>
        </w:rPr>
        <w:t xml:space="preserve">. </w:t>
      </w:r>
      <w:r w:rsidR="00DF709F">
        <w:rPr>
          <w:sz w:val="24"/>
          <w:szCs w:val="24"/>
        </w:rPr>
        <w:t xml:space="preserve">Kontrole byl podroben postup příjemců podpory </w:t>
      </w:r>
      <w:r w:rsidR="00621ECE">
        <w:rPr>
          <w:sz w:val="24"/>
          <w:szCs w:val="24"/>
        </w:rPr>
        <w:t>při</w:t>
      </w:r>
      <w:r w:rsidR="00DF709F">
        <w:rPr>
          <w:sz w:val="24"/>
          <w:szCs w:val="24"/>
        </w:rPr>
        <w:t xml:space="preserve"> předkládání </w:t>
      </w:r>
      <w:r w:rsidR="00D622C1">
        <w:rPr>
          <w:sz w:val="24"/>
          <w:szCs w:val="24"/>
        </w:rPr>
        <w:t xml:space="preserve">průběžných a závěrečných </w:t>
      </w:r>
      <w:r w:rsidR="00DF709F">
        <w:rPr>
          <w:sz w:val="24"/>
          <w:szCs w:val="24"/>
        </w:rPr>
        <w:t xml:space="preserve">zpráv o realizaci projektu, postup při předkládání </w:t>
      </w:r>
      <w:r w:rsidR="0035697D">
        <w:rPr>
          <w:sz w:val="24"/>
          <w:szCs w:val="24"/>
        </w:rPr>
        <w:t>žádostí o</w:t>
      </w:r>
      <w:r w:rsidR="0043751F">
        <w:rPr>
          <w:sz w:val="24"/>
          <w:szCs w:val="24"/>
        </w:rPr>
        <w:t xml:space="preserve"> </w:t>
      </w:r>
      <w:r w:rsidR="0035697D">
        <w:rPr>
          <w:sz w:val="24"/>
          <w:szCs w:val="24"/>
        </w:rPr>
        <w:t xml:space="preserve">platbu, postup při archivaci dokladů </w:t>
      </w:r>
      <w:r w:rsidR="00F023D5">
        <w:rPr>
          <w:sz w:val="24"/>
          <w:szCs w:val="24"/>
        </w:rPr>
        <w:t>k projekt</w:t>
      </w:r>
      <w:r w:rsidR="003D349E">
        <w:rPr>
          <w:sz w:val="24"/>
          <w:szCs w:val="24"/>
        </w:rPr>
        <w:t>ům</w:t>
      </w:r>
      <w:r w:rsidR="00F023D5">
        <w:rPr>
          <w:sz w:val="24"/>
          <w:szCs w:val="24"/>
        </w:rPr>
        <w:t xml:space="preserve"> technické pomoci </w:t>
      </w:r>
      <w:r w:rsidR="0035697D">
        <w:rPr>
          <w:sz w:val="24"/>
          <w:szCs w:val="24"/>
        </w:rPr>
        <w:t>a</w:t>
      </w:r>
      <w:r w:rsidR="00F023D5">
        <w:rPr>
          <w:sz w:val="24"/>
          <w:szCs w:val="24"/>
        </w:rPr>
        <w:t> </w:t>
      </w:r>
      <w:r w:rsidR="0035697D">
        <w:rPr>
          <w:sz w:val="24"/>
          <w:szCs w:val="24"/>
        </w:rPr>
        <w:t xml:space="preserve">dodržení pravidel publicity. </w:t>
      </w:r>
      <w:r w:rsidRPr="00FF2B8F">
        <w:rPr>
          <w:sz w:val="24"/>
          <w:szCs w:val="24"/>
        </w:rPr>
        <w:t>V</w:t>
      </w:r>
      <w:r w:rsidR="004460F5">
        <w:rPr>
          <w:sz w:val="24"/>
          <w:szCs w:val="24"/>
        </w:rPr>
        <w:t> </w:t>
      </w:r>
      <w:r w:rsidRPr="00FF2B8F">
        <w:rPr>
          <w:sz w:val="24"/>
          <w:szCs w:val="24"/>
        </w:rPr>
        <w:t>t</w:t>
      </w:r>
      <w:r w:rsidR="004460F5">
        <w:rPr>
          <w:sz w:val="24"/>
          <w:szCs w:val="24"/>
        </w:rPr>
        <w:t>éto oblasti ko</w:t>
      </w:r>
      <w:r w:rsidRPr="00FF2B8F">
        <w:rPr>
          <w:sz w:val="24"/>
          <w:szCs w:val="24"/>
        </w:rPr>
        <w:t>ntroly nebyly zjištěny významné nedostatky.</w:t>
      </w:r>
    </w:p>
    <w:p w14:paraId="58D618B3" w14:textId="77777777" w:rsidR="004672DE" w:rsidRDefault="004672DE">
      <w:pPr>
        <w:rPr>
          <w:rFonts w:cstheme="minorHAnsi"/>
          <w:b/>
          <w:sz w:val="24"/>
          <w:szCs w:val="24"/>
        </w:rPr>
      </w:pPr>
    </w:p>
    <w:p w14:paraId="287E6F95" w14:textId="77777777" w:rsidR="002103AD" w:rsidRDefault="002103AD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58B77D4" w14:textId="77777777" w:rsidR="00904D24" w:rsidRDefault="00904D24" w:rsidP="007F1D90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 w:rsidRPr="007F1D90">
        <w:rPr>
          <w:rFonts w:cstheme="minorHAnsi"/>
          <w:b/>
          <w:sz w:val="24"/>
          <w:szCs w:val="24"/>
        </w:rPr>
        <w:lastRenderedPageBreak/>
        <w:t>Seznam použitých zkratek:</w:t>
      </w:r>
    </w:p>
    <w:p w14:paraId="2280CB8C" w14:textId="77777777" w:rsidR="00F373D3" w:rsidRPr="00C83A89" w:rsidRDefault="00F373D3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420D70EF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API</w:t>
      </w:r>
      <w:r>
        <w:rPr>
          <w:rFonts w:cstheme="minorHAnsi"/>
          <w:sz w:val="24"/>
          <w:szCs w:val="24"/>
        </w:rPr>
        <w:tab/>
        <w:t>Agentura pro podnikání a inovace</w:t>
      </w:r>
    </w:p>
    <w:p w14:paraId="18B247B6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ČR</w:t>
      </w:r>
      <w:r>
        <w:rPr>
          <w:rFonts w:cstheme="minorHAnsi"/>
          <w:sz w:val="24"/>
          <w:szCs w:val="24"/>
        </w:rPr>
        <w:tab/>
        <w:t>Česká republika</w:t>
      </w:r>
    </w:p>
    <w:p w14:paraId="0A75BE27" w14:textId="77777777" w:rsidR="00D524C8" w:rsidRDefault="00D524C8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Dohoda o partnerství</w:t>
      </w:r>
      <w:r>
        <w:rPr>
          <w:rFonts w:cstheme="minorHAnsi"/>
          <w:sz w:val="24"/>
          <w:szCs w:val="24"/>
        </w:rPr>
        <w:tab/>
      </w:r>
      <w:r w:rsidRPr="007F1D90">
        <w:rPr>
          <w:rFonts w:cstheme="minorHAnsi"/>
          <w:i/>
          <w:color w:val="000000" w:themeColor="text1"/>
          <w:sz w:val="24"/>
          <w:szCs w:val="24"/>
        </w:rPr>
        <w:t>Dohod</w:t>
      </w:r>
      <w:r>
        <w:rPr>
          <w:rFonts w:cstheme="minorHAnsi"/>
          <w:i/>
          <w:color w:val="000000" w:themeColor="text1"/>
          <w:sz w:val="24"/>
          <w:szCs w:val="24"/>
        </w:rPr>
        <w:t>a</w:t>
      </w:r>
      <w:r w:rsidRPr="007F1D90">
        <w:rPr>
          <w:rFonts w:cstheme="minorHAnsi"/>
          <w:i/>
          <w:color w:val="000000" w:themeColor="text1"/>
          <w:sz w:val="24"/>
          <w:szCs w:val="24"/>
        </w:rPr>
        <w:t xml:space="preserve"> o partnerství</w:t>
      </w:r>
      <w:r>
        <w:rPr>
          <w:rFonts w:cstheme="minorHAnsi"/>
          <w:i/>
          <w:color w:val="000000" w:themeColor="text1"/>
          <w:sz w:val="24"/>
          <w:szCs w:val="24"/>
        </w:rPr>
        <w:t xml:space="preserve"> pro programové období 2014–2020</w:t>
      </w:r>
    </w:p>
    <w:p w14:paraId="28AA3D55" w14:textId="42C3EB35" w:rsidR="00414FD2" w:rsidRDefault="00414FD2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DPH</w:t>
      </w:r>
      <w:r>
        <w:rPr>
          <w:rFonts w:cstheme="minorHAnsi"/>
          <w:sz w:val="24"/>
          <w:szCs w:val="24"/>
        </w:rPr>
        <w:tab/>
        <w:t>daň z přidané hodnoty</w:t>
      </w:r>
    </w:p>
    <w:p w14:paraId="07291904" w14:textId="44B32BF5" w:rsidR="00414FD2" w:rsidRDefault="00414FD2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EK</w:t>
      </w:r>
      <w:r>
        <w:rPr>
          <w:rFonts w:cstheme="minorHAnsi"/>
          <w:sz w:val="24"/>
          <w:szCs w:val="24"/>
        </w:rPr>
        <w:tab/>
        <w:t>Evropská komise</w:t>
      </w:r>
    </w:p>
    <w:p w14:paraId="620C9803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="00245053">
        <w:rPr>
          <w:rFonts w:cstheme="minorHAnsi"/>
          <w:sz w:val="24"/>
          <w:szCs w:val="24"/>
        </w:rPr>
        <w:t>RDF</w:t>
      </w:r>
      <w:r>
        <w:rPr>
          <w:rFonts w:cstheme="minorHAnsi"/>
          <w:sz w:val="24"/>
          <w:szCs w:val="24"/>
        </w:rPr>
        <w:tab/>
      </w:r>
      <w:r w:rsidR="00245053" w:rsidRPr="008D78E5">
        <w:rPr>
          <w:rFonts w:cstheme="minorHAnsi"/>
          <w:i/>
          <w:sz w:val="24"/>
          <w:szCs w:val="24"/>
        </w:rPr>
        <w:t>E</w:t>
      </w:r>
      <w:r w:rsidRPr="008D78E5">
        <w:rPr>
          <w:rFonts w:cstheme="minorHAnsi"/>
          <w:i/>
          <w:sz w:val="24"/>
          <w:szCs w:val="24"/>
        </w:rPr>
        <w:t xml:space="preserve">vropský fond </w:t>
      </w:r>
      <w:r w:rsidR="00816C16" w:rsidRPr="008D78E5">
        <w:rPr>
          <w:rFonts w:cstheme="minorHAnsi"/>
          <w:i/>
          <w:sz w:val="24"/>
          <w:szCs w:val="24"/>
        </w:rPr>
        <w:t xml:space="preserve">pro </w:t>
      </w:r>
      <w:r w:rsidRPr="008D78E5">
        <w:rPr>
          <w:rFonts w:cstheme="minorHAnsi"/>
          <w:i/>
          <w:sz w:val="24"/>
          <w:szCs w:val="24"/>
        </w:rPr>
        <w:t>regionální rozvoj</w:t>
      </w:r>
    </w:p>
    <w:p w14:paraId="18308DA0" w14:textId="4466A8EC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ESI fondy</w:t>
      </w:r>
      <w:r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vropské strukturální a investiční fondy</w:t>
      </w:r>
    </w:p>
    <w:p w14:paraId="19B5E122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EU</w:t>
      </w:r>
      <w:r>
        <w:rPr>
          <w:rFonts w:cstheme="minorHAnsi"/>
          <w:sz w:val="24"/>
          <w:szCs w:val="24"/>
        </w:rPr>
        <w:tab/>
      </w:r>
      <w:r w:rsidR="00245053">
        <w:rPr>
          <w:rFonts w:cstheme="minorHAnsi"/>
          <w:sz w:val="24"/>
          <w:szCs w:val="24"/>
        </w:rPr>
        <w:t>E</w:t>
      </w:r>
      <w:r>
        <w:rPr>
          <w:rFonts w:cstheme="minorHAnsi"/>
          <w:sz w:val="24"/>
          <w:szCs w:val="24"/>
        </w:rPr>
        <w:t>vropská unie</w:t>
      </w:r>
    </w:p>
    <w:p w14:paraId="718A9D0E" w14:textId="552956DD" w:rsidR="00C3279A" w:rsidRDefault="00C3279A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FTE</w:t>
      </w:r>
      <w:r>
        <w:rPr>
          <w:rFonts w:cstheme="minorHAnsi"/>
          <w:sz w:val="24"/>
          <w:szCs w:val="24"/>
        </w:rPr>
        <w:tab/>
      </w:r>
      <w:r w:rsidR="00C52E2B">
        <w:rPr>
          <w:rFonts w:cstheme="minorHAnsi"/>
          <w:sz w:val="24"/>
          <w:szCs w:val="24"/>
        </w:rPr>
        <w:t>p</w:t>
      </w:r>
      <w:r w:rsidR="00D81945" w:rsidRPr="00C52E2B">
        <w:rPr>
          <w:rFonts w:cstheme="minorHAnsi"/>
          <w:sz w:val="24"/>
          <w:szCs w:val="24"/>
        </w:rPr>
        <w:t>očet zaměstnanců přepočtený na pln</w:t>
      </w:r>
      <w:r w:rsidR="00414FD2">
        <w:rPr>
          <w:rFonts w:cstheme="minorHAnsi"/>
          <w:sz w:val="24"/>
          <w:szCs w:val="24"/>
        </w:rPr>
        <w:t>é</w:t>
      </w:r>
      <w:r w:rsidR="00D81945" w:rsidRPr="00C52E2B">
        <w:rPr>
          <w:rFonts w:cstheme="minorHAnsi"/>
          <w:sz w:val="24"/>
          <w:szCs w:val="24"/>
        </w:rPr>
        <w:t xml:space="preserve"> pracovní úvaz</w:t>
      </w:r>
      <w:r w:rsidR="00414FD2">
        <w:rPr>
          <w:rFonts w:cstheme="minorHAnsi"/>
          <w:sz w:val="24"/>
          <w:szCs w:val="24"/>
        </w:rPr>
        <w:t>ky</w:t>
      </w:r>
      <w:r w:rsidR="00D81945" w:rsidRPr="00C52E2B">
        <w:rPr>
          <w:rFonts w:cstheme="minorHAnsi"/>
          <w:sz w:val="24"/>
          <w:szCs w:val="24"/>
        </w:rPr>
        <w:t xml:space="preserve"> (z</w:t>
      </w:r>
      <w:r w:rsidR="00D524C8">
        <w:rPr>
          <w:rFonts w:cstheme="minorHAnsi"/>
          <w:sz w:val="24"/>
          <w:szCs w:val="24"/>
        </w:rPr>
        <w:t> </w:t>
      </w:r>
      <w:r w:rsidR="00D81945" w:rsidRPr="00C52E2B">
        <w:rPr>
          <w:rFonts w:cstheme="minorHAnsi"/>
          <w:sz w:val="24"/>
          <w:szCs w:val="24"/>
        </w:rPr>
        <w:t xml:space="preserve">anglického Full </w:t>
      </w:r>
      <w:proofErr w:type="spellStart"/>
      <w:r w:rsidR="00D81945" w:rsidRPr="00C52E2B">
        <w:rPr>
          <w:rFonts w:cstheme="minorHAnsi"/>
          <w:sz w:val="24"/>
          <w:szCs w:val="24"/>
        </w:rPr>
        <w:t>Time</w:t>
      </w:r>
      <w:proofErr w:type="spellEnd"/>
      <w:r w:rsidR="00D81945" w:rsidRPr="00C52E2B">
        <w:rPr>
          <w:rFonts w:cstheme="minorHAnsi"/>
          <w:sz w:val="24"/>
          <w:szCs w:val="24"/>
        </w:rPr>
        <w:t xml:space="preserve"> </w:t>
      </w:r>
      <w:proofErr w:type="spellStart"/>
      <w:r w:rsidR="00D81945" w:rsidRPr="00C52E2B">
        <w:rPr>
          <w:rFonts w:cstheme="minorHAnsi"/>
          <w:sz w:val="24"/>
          <w:szCs w:val="24"/>
        </w:rPr>
        <w:t>Equivalent</w:t>
      </w:r>
      <w:proofErr w:type="spellEnd"/>
      <w:r w:rsidR="00D81945" w:rsidRPr="00C52E2B">
        <w:rPr>
          <w:rFonts w:cstheme="minorHAnsi"/>
          <w:sz w:val="24"/>
          <w:szCs w:val="24"/>
        </w:rPr>
        <w:t>)</w:t>
      </w:r>
    </w:p>
    <w:p w14:paraId="6DB81BC4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IROP</w:t>
      </w:r>
      <w:r>
        <w:rPr>
          <w:rFonts w:cstheme="minorHAnsi"/>
          <w:sz w:val="24"/>
          <w:szCs w:val="24"/>
        </w:rPr>
        <w:tab/>
      </w:r>
      <w:r w:rsidRPr="00245053">
        <w:rPr>
          <w:rFonts w:cstheme="minorHAnsi"/>
          <w:i/>
          <w:sz w:val="24"/>
          <w:szCs w:val="24"/>
        </w:rPr>
        <w:t>Integrovaný regionální</w:t>
      </w:r>
      <w:r>
        <w:rPr>
          <w:rFonts w:cstheme="minorHAnsi"/>
          <w:sz w:val="24"/>
          <w:szCs w:val="24"/>
        </w:rPr>
        <w:t xml:space="preserve"> </w:t>
      </w:r>
      <w:r w:rsidRPr="008D78E5">
        <w:rPr>
          <w:rFonts w:cstheme="minorHAnsi"/>
          <w:i/>
          <w:sz w:val="24"/>
          <w:szCs w:val="24"/>
        </w:rPr>
        <w:t>operační program</w:t>
      </w:r>
    </w:p>
    <w:p w14:paraId="4B0E2DCE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MMR</w:t>
      </w:r>
      <w:r>
        <w:rPr>
          <w:rFonts w:cstheme="minorHAnsi"/>
          <w:sz w:val="24"/>
          <w:szCs w:val="24"/>
        </w:rPr>
        <w:tab/>
        <w:t>Ministerstvo pro místní rozvoj</w:t>
      </w:r>
    </w:p>
    <w:p w14:paraId="126EB0F7" w14:textId="1C63D0FE" w:rsidR="00142C85" w:rsidRDefault="00142C85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sz w:val="24"/>
          <w:szCs w:val="24"/>
        </w:rPr>
        <w:t>MP Lidské zdroje</w:t>
      </w:r>
      <w:r>
        <w:rPr>
          <w:sz w:val="24"/>
          <w:szCs w:val="24"/>
        </w:rPr>
        <w:tab/>
      </w:r>
      <w:r w:rsidR="005F6E6F" w:rsidRPr="00D70A22">
        <w:rPr>
          <w:i/>
        </w:rPr>
        <w:t xml:space="preserve">Metodický pokyn k rozvoji lidských zdrojů v programovém období </w:t>
      </w:r>
      <w:r w:rsidR="00DC605F">
        <w:rPr>
          <w:i/>
        </w:rPr>
        <w:br/>
      </w:r>
      <w:r w:rsidR="005F6E6F" w:rsidRPr="00D70A22">
        <w:rPr>
          <w:i/>
        </w:rPr>
        <w:t xml:space="preserve">2014–2020 a </w:t>
      </w:r>
      <w:r w:rsidR="005F6E6F">
        <w:rPr>
          <w:i/>
        </w:rPr>
        <w:t xml:space="preserve">v </w:t>
      </w:r>
      <w:r w:rsidR="005F6E6F" w:rsidRPr="00D70A22">
        <w:rPr>
          <w:i/>
        </w:rPr>
        <w:t>programovém období 2007–2013</w:t>
      </w:r>
    </w:p>
    <w:p w14:paraId="7A001E8F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MPO</w:t>
      </w:r>
      <w:r>
        <w:rPr>
          <w:rFonts w:cstheme="minorHAnsi"/>
          <w:sz w:val="24"/>
          <w:szCs w:val="24"/>
        </w:rPr>
        <w:tab/>
        <w:t>Ministerstvo průmyslu a obchodu</w:t>
      </w:r>
    </w:p>
    <w:p w14:paraId="71A15546" w14:textId="42C878D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 w:rsidRPr="00AE4E5E">
        <w:rPr>
          <w:rFonts w:cstheme="minorHAnsi"/>
          <w:sz w:val="24"/>
          <w:szCs w:val="24"/>
        </w:rPr>
        <w:t>MS2014+</w:t>
      </w:r>
      <w:r w:rsidRPr="00AE4E5E"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m</w:t>
      </w:r>
      <w:r w:rsidRPr="00AE4E5E">
        <w:rPr>
          <w:rFonts w:cstheme="minorHAnsi"/>
          <w:sz w:val="24"/>
          <w:szCs w:val="24"/>
        </w:rPr>
        <w:t>onitorovací s</w:t>
      </w:r>
      <w:r w:rsidR="00C717D8">
        <w:rPr>
          <w:rFonts w:cstheme="minorHAnsi"/>
          <w:sz w:val="24"/>
          <w:szCs w:val="24"/>
        </w:rPr>
        <w:t>ystém na programové období 2014–</w:t>
      </w:r>
      <w:r w:rsidRPr="00AE4E5E">
        <w:rPr>
          <w:rFonts w:cstheme="minorHAnsi"/>
          <w:sz w:val="24"/>
          <w:szCs w:val="24"/>
        </w:rPr>
        <w:t>2020</w:t>
      </w:r>
    </w:p>
    <w:p w14:paraId="55514C0C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 w:rsidRPr="00AE4E5E">
        <w:rPr>
          <w:rFonts w:cstheme="minorHAnsi"/>
          <w:sz w:val="24"/>
          <w:szCs w:val="24"/>
        </w:rPr>
        <w:t>NKÚ</w:t>
      </w:r>
      <w:r w:rsidRPr="00AE4E5E">
        <w:rPr>
          <w:rFonts w:cstheme="minorHAnsi"/>
          <w:sz w:val="24"/>
          <w:szCs w:val="24"/>
        </w:rPr>
        <w:tab/>
        <w:t>Nejvyšší kontrolní úřad</w:t>
      </w:r>
    </w:p>
    <w:p w14:paraId="2ADF5EAC" w14:textId="5C065D52" w:rsidR="005316CF" w:rsidRDefault="005316CF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 w:rsidRPr="00755A0E">
        <w:rPr>
          <w:rFonts w:cstheme="minorHAnsi"/>
          <w:sz w:val="24"/>
          <w:szCs w:val="24"/>
        </w:rPr>
        <w:t>OP</w:t>
      </w:r>
      <w:r w:rsidRPr="00755A0E"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o</w:t>
      </w:r>
      <w:r w:rsidRPr="00755A0E">
        <w:rPr>
          <w:rFonts w:cstheme="minorHAnsi"/>
          <w:sz w:val="24"/>
          <w:szCs w:val="24"/>
        </w:rPr>
        <w:t>perační program</w:t>
      </w:r>
    </w:p>
    <w:p w14:paraId="563FBF0E" w14:textId="589F0D2E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OPPIK</w:t>
      </w:r>
      <w:r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perační program </w:t>
      </w:r>
      <w:r w:rsidRPr="002C0B67">
        <w:rPr>
          <w:rFonts w:cstheme="minorHAnsi"/>
          <w:i/>
          <w:sz w:val="24"/>
          <w:szCs w:val="24"/>
        </w:rPr>
        <w:t>Podnikání a inovace pro konkurenceschopnost</w:t>
      </w:r>
    </w:p>
    <w:p w14:paraId="66915C5E" w14:textId="160F3E5C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OPD</w:t>
      </w:r>
      <w:r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perační program </w:t>
      </w:r>
      <w:r w:rsidRPr="002C0B67">
        <w:rPr>
          <w:rFonts w:cstheme="minorHAnsi"/>
          <w:i/>
          <w:sz w:val="24"/>
          <w:szCs w:val="24"/>
        </w:rPr>
        <w:t>Doprava</w:t>
      </w:r>
    </w:p>
    <w:p w14:paraId="71916BA5" w14:textId="1F9B61C4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OPPPR</w:t>
      </w:r>
      <w:r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perační program </w:t>
      </w:r>
      <w:r w:rsidRPr="002C0B67">
        <w:rPr>
          <w:rFonts w:cstheme="minorHAnsi"/>
          <w:i/>
          <w:sz w:val="24"/>
          <w:szCs w:val="24"/>
        </w:rPr>
        <w:t xml:space="preserve">Praha </w:t>
      </w:r>
      <w:r w:rsidR="00D524C8">
        <w:rPr>
          <w:rFonts w:cstheme="minorHAnsi"/>
          <w:i/>
          <w:sz w:val="24"/>
          <w:szCs w:val="24"/>
        </w:rPr>
        <w:t>–</w:t>
      </w:r>
      <w:r w:rsidRPr="002C0B67">
        <w:rPr>
          <w:rFonts w:cstheme="minorHAnsi"/>
          <w:i/>
          <w:sz w:val="24"/>
          <w:szCs w:val="24"/>
        </w:rPr>
        <w:t xml:space="preserve"> pól růstu ČR</w:t>
      </w:r>
    </w:p>
    <w:p w14:paraId="72DB8F8D" w14:textId="0EEC9BFD" w:rsidR="002C0B67" w:rsidRDefault="002C0B67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OPR</w:t>
      </w:r>
      <w:r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perační program </w:t>
      </w:r>
      <w:r w:rsidRPr="002C0B67">
        <w:rPr>
          <w:rFonts w:cstheme="minorHAnsi"/>
          <w:i/>
          <w:sz w:val="24"/>
          <w:szCs w:val="24"/>
        </w:rPr>
        <w:t>Rybářství</w:t>
      </w:r>
    </w:p>
    <w:p w14:paraId="6C1F02BD" w14:textId="5CD1DF38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OPTP</w:t>
      </w:r>
      <w:r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perační program </w:t>
      </w:r>
      <w:r w:rsidRPr="002C0B67">
        <w:rPr>
          <w:rFonts w:cstheme="minorHAnsi"/>
          <w:i/>
          <w:sz w:val="24"/>
          <w:szCs w:val="24"/>
        </w:rPr>
        <w:t>Technická pomoc</w:t>
      </w:r>
    </w:p>
    <w:p w14:paraId="7CB909DD" w14:textId="0595EDC3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OPVVV</w:t>
      </w:r>
      <w:r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perační program </w:t>
      </w:r>
      <w:r w:rsidRPr="002C0B67">
        <w:rPr>
          <w:rFonts w:cstheme="minorHAnsi"/>
          <w:i/>
          <w:sz w:val="24"/>
          <w:szCs w:val="24"/>
        </w:rPr>
        <w:t>Výzkum, vývoj a vzdělávání</w:t>
      </w:r>
    </w:p>
    <w:p w14:paraId="61BC5134" w14:textId="6526BCAA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OPZ</w:t>
      </w:r>
      <w:r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perační program </w:t>
      </w:r>
      <w:r w:rsidRPr="002C0B67">
        <w:rPr>
          <w:rFonts w:cstheme="minorHAnsi"/>
          <w:i/>
          <w:sz w:val="24"/>
          <w:szCs w:val="24"/>
        </w:rPr>
        <w:t>Zaměstnanost</w:t>
      </w:r>
    </w:p>
    <w:p w14:paraId="108423B7" w14:textId="66AF0FB4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OPŽP</w:t>
      </w:r>
      <w:r>
        <w:rPr>
          <w:rFonts w:cstheme="minorHAnsi"/>
          <w:sz w:val="24"/>
          <w:szCs w:val="24"/>
        </w:rPr>
        <w:tab/>
      </w:r>
      <w:r w:rsidR="00BA08CD">
        <w:rPr>
          <w:rFonts w:cstheme="minorHAnsi"/>
          <w:sz w:val="24"/>
          <w:szCs w:val="24"/>
        </w:rPr>
        <w:t>o</w:t>
      </w:r>
      <w:r>
        <w:rPr>
          <w:rFonts w:cstheme="minorHAnsi"/>
          <w:sz w:val="24"/>
          <w:szCs w:val="24"/>
        </w:rPr>
        <w:t xml:space="preserve">perační program </w:t>
      </w:r>
      <w:r w:rsidRPr="002C0B67">
        <w:rPr>
          <w:rFonts w:cstheme="minorHAnsi"/>
          <w:i/>
          <w:sz w:val="24"/>
          <w:szCs w:val="24"/>
        </w:rPr>
        <w:t>Životní prostředí</w:t>
      </w:r>
    </w:p>
    <w:p w14:paraId="385AE591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 5</w:t>
      </w:r>
      <w:r>
        <w:rPr>
          <w:rFonts w:cstheme="minorHAnsi"/>
          <w:sz w:val="24"/>
          <w:szCs w:val="24"/>
        </w:rPr>
        <w:tab/>
        <w:t>prioritní osa 5</w:t>
      </w:r>
    </w:p>
    <w:p w14:paraId="1225CD76" w14:textId="77777777" w:rsidR="00AE4E5E" w:rsidRDefault="00AE4E5E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ŘO</w:t>
      </w:r>
      <w:r>
        <w:rPr>
          <w:rFonts w:cstheme="minorHAnsi"/>
          <w:sz w:val="24"/>
          <w:szCs w:val="24"/>
        </w:rPr>
        <w:tab/>
        <w:t>řídicí orgán</w:t>
      </w:r>
    </w:p>
    <w:p w14:paraId="4F47DCEA" w14:textId="77777777" w:rsidR="00383931" w:rsidRDefault="00383931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SC</w:t>
      </w:r>
      <w:r>
        <w:rPr>
          <w:rFonts w:cstheme="minorHAnsi"/>
          <w:sz w:val="24"/>
          <w:szCs w:val="24"/>
        </w:rPr>
        <w:tab/>
        <w:t>specifický cíl</w:t>
      </w:r>
    </w:p>
    <w:p w14:paraId="12F2EDEE" w14:textId="77777777" w:rsidR="004A0DCD" w:rsidRDefault="00FF3AF6" w:rsidP="008D78E5">
      <w:pPr>
        <w:spacing w:after="0" w:line="280" w:lineRule="atLeast"/>
        <w:ind w:left="2552" w:hanging="255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SR</w:t>
      </w:r>
      <w:r>
        <w:rPr>
          <w:rFonts w:cstheme="minorHAnsi"/>
          <w:sz w:val="24"/>
          <w:szCs w:val="24"/>
        </w:rPr>
        <w:tab/>
        <w:t>státní rozpočet</w:t>
      </w:r>
    </w:p>
    <w:p w14:paraId="0A6C4EDC" w14:textId="77777777" w:rsidR="005F6E6F" w:rsidRDefault="005F6E6F" w:rsidP="008D78E5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4859C99F" w14:textId="552040B3" w:rsidR="005F6E6F" w:rsidRDefault="005F6E6F" w:rsidP="008D78E5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77C4D4AF" w14:textId="77777777" w:rsidR="005F6E6F" w:rsidRPr="008D78E5" w:rsidRDefault="005F6E6F" w:rsidP="005F6E6F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18417CE7" w14:textId="664BD5ED" w:rsidR="005F6E6F" w:rsidRDefault="005F6E6F" w:rsidP="005F6E6F">
      <w:pPr>
        <w:spacing w:after="0" w:line="280" w:lineRule="atLeast"/>
        <w:jc w:val="both"/>
        <w:rPr>
          <w:rFonts w:cstheme="minorHAnsi"/>
          <w:sz w:val="24"/>
          <w:szCs w:val="24"/>
        </w:rPr>
      </w:pPr>
      <w:r w:rsidRPr="008D78E5">
        <w:rPr>
          <w:rFonts w:cstheme="minorHAnsi"/>
          <w:b/>
          <w:sz w:val="24"/>
          <w:szCs w:val="24"/>
        </w:rPr>
        <w:t>Obecné nařízení</w:t>
      </w:r>
      <w:r>
        <w:rPr>
          <w:rFonts w:cstheme="minorHAnsi"/>
          <w:sz w:val="24"/>
          <w:szCs w:val="24"/>
        </w:rPr>
        <w:t xml:space="preserve"> – </w:t>
      </w:r>
      <w:r>
        <w:t>nařízení Evropského parlamentu a Rady (EU) č. 1303/2013 ze dne 17. prosince 2013,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</w:p>
    <w:p w14:paraId="7A07704E" w14:textId="77777777" w:rsidR="005F6E6F" w:rsidRDefault="005F6E6F" w:rsidP="00FF3AF6">
      <w:pPr>
        <w:spacing w:after="0" w:line="280" w:lineRule="atLeast"/>
        <w:ind w:left="1418" w:hanging="1418"/>
        <w:jc w:val="both"/>
        <w:rPr>
          <w:rFonts w:cstheme="minorHAnsi"/>
          <w:sz w:val="24"/>
          <w:szCs w:val="24"/>
        </w:rPr>
      </w:pPr>
    </w:p>
    <w:p w14:paraId="34BBD894" w14:textId="77777777" w:rsidR="001101C6" w:rsidRPr="00FF3AF6" w:rsidRDefault="001101C6" w:rsidP="00FF3AF6">
      <w:pPr>
        <w:spacing w:after="0" w:line="280" w:lineRule="atLeast"/>
        <w:ind w:left="1418" w:hanging="1418"/>
        <w:jc w:val="both"/>
        <w:rPr>
          <w:rFonts w:cstheme="minorHAnsi"/>
          <w:sz w:val="24"/>
          <w:szCs w:val="24"/>
        </w:rPr>
      </w:pPr>
    </w:p>
    <w:p w14:paraId="2570744B" w14:textId="77777777" w:rsidR="00E60B26" w:rsidRPr="007F1D90" w:rsidRDefault="00E60B26" w:rsidP="007F1D90">
      <w:pPr>
        <w:spacing w:after="0" w:line="280" w:lineRule="atLeast"/>
        <w:rPr>
          <w:rFonts w:cstheme="minorHAnsi"/>
          <w:b/>
          <w:color w:val="000000" w:themeColor="text1"/>
          <w:sz w:val="24"/>
          <w:szCs w:val="24"/>
        </w:rPr>
        <w:sectPr w:rsidR="00E60B26" w:rsidRPr="007F1D90" w:rsidSect="00755A0E">
          <w:pgSz w:w="11906" w:h="16838"/>
          <w:pgMar w:top="1418" w:right="1417" w:bottom="993" w:left="1417" w:header="708" w:footer="708" w:gutter="0"/>
          <w:cols w:space="708"/>
          <w:docGrid w:linePitch="360"/>
        </w:sectPr>
      </w:pPr>
    </w:p>
    <w:p w14:paraId="662A2282" w14:textId="77777777" w:rsidR="00AB5A00" w:rsidRPr="007F1D90" w:rsidRDefault="00AB5A00" w:rsidP="00AB5A00">
      <w:pPr>
        <w:spacing w:after="0" w:line="280" w:lineRule="atLeast"/>
        <w:jc w:val="right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Příloha č. 1</w:t>
      </w:r>
    </w:p>
    <w:p w14:paraId="797AB714" w14:textId="77777777" w:rsidR="00AB5A00" w:rsidRPr="00AB5A00" w:rsidRDefault="00AB5A00" w:rsidP="00AB5A00">
      <w:pPr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p w14:paraId="73CE8302" w14:textId="77777777" w:rsidR="00AB5A00" w:rsidRPr="00AB5A00" w:rsidRDefault="00AB5A00" w:rsidP="00AB5A00">
      <w:pPr>
        <w:spacing w:after="0" w:line="280" w:lineRule="atLeast"/>
        <w:rPr>
          <w:rFonts w:cstheme="minorHAnsi"/>
          <w:b/>
          <w:color w:val="000000" w:themeColor="text1"/>
          <w:sz w:val="24"/>
          <w:szCs w:val="24"/>
        </w:rPr>
      </w:pPr>
      <w:r w:rsidRPr="00AB5A00">
        <w:rPr>
          <w:rFonts w:cstheme="minorHAnsi"/>
          <w:b/>
          <w:color w:val="000000" w:themeColor="text1"/>
          <w:sz w:val="24"/>
          <w:szCs w:val="24"/>
        </w:rPr>
        <w:t>Přehled specifických cílů PO 5 OPPIK a k nim přiřazených očekávaných výsledků</w:t>
      </w:r>
    </w:p>
    <w:p w14:paraId="5484D099" w14:textId="77777777" w:rsidR="00AB5A00" w:rsidRPr="00AB5A00" w:rsidRDefault="00AB5A00" w:rsidP="00AB5A00">
      <w:pPr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5003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7" w:type="dxa"/>
          <w:right w:w="32" w:type="dxa"/>
        </w:tblCellMar>
        <w:tblLook w:val="04A0" w:firstRow="1" w:lastRow="0" w:firstColumn="1" w:lastColumn="0" w:noHBand="0" w:noVBand="1"/>
      </w:tblPr>
      <w:tblGrid>
        <w:gridCol w:w="3822"/>
        <w:gridCol w:w="10462"/>
      </w:tblGrid>
      <w:tr w:rsidR="00AB5A00" w:rsidRPr="00AB5A00" w14:paraId="6F5F34D3" w14:textId="77777777" w:rsidTr="0046275B">
        <w:trPr>
          <w:trHeight w:val="475"/>
        </w:trPr>
        <w:tc>
          <w:tcPr>
            <w:tcW w:w="1338" w:type="pct"/>
            <w:vAlign w:val="center"/>
          </w:tcPr>
          <w:p w14:paraId="06435494" w14:textId="77777777" w:rsidR="00AB5A00" w:rsidRPr="00AB5A00" w:rsidRDefault="00AB5A00" w:rsidP="005E7465">
            <w:pPr>
              <w:spacing w:line="280" w:lineRule="atLeast"/>
              <w:ind w:left="108"/>
              <w:rPr>
                <w:rFonts w:cstheme="minorHAnsi"/>
                <w:b/>
                <w:sz w:val="20"/>
                <w:szCs w:val="20"/>
              </w:rPr>
            </w:pPr>
            <w:r w:rsidRPr="00AB5A00">
              <w:rPr>
                <w:rFonts w:cstheme="minorHAnsi"/>
                <w:b/>
                <w:sz w:val="20"/>
                <w:szCs w:val="20"/>
              </w:rPr>
              <w:t>Specifické cíle PO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AB5A00">
              <w:rPr>
                <w:rFonts w:cstheme="minorHAnsi"/>
                <w:b/>
                <w:sz w:val="20"/>
                <w:szCs w:val="20"/>
              </w:rPr>
              <w:t>5</w:t>
            </w:r>
            <w:r>
              <w:rPr>
                <w:rFonts w:cstheme="minorHAnsi"/>
                <w:b/>
                <w:sz w:val="20"/>
                <w:szCs w:val="20"/>
              </w:rPr>
              <w:t xml:space="preserve"> OPPIK</w:t>
            </w:r>
          </w:p>
        </w:tc>
        <w:tc>
          <w:tcPr>
            <w:tcW w:w="3662" w:type="pct"/>
            <w:vAlign w:val="center"/>
          </w:tcPr>
          <w:p w14:paraId="601060D2" w14:textId="4D9F9B6B" w:rsidR="00AB5A00" w:rsidRPr="00AB5A00" w:rsidRDefault="00AB5A00" w:rsidP="005F6E6F">
            <w:pPr>
              <w:spacing w:line="280" w:lineRule="atLeast"/>
              <w:ind w:left="108"/>
              <w:rPr>
                <w:rFonts w:cstheme="minorHAnsi"/>
                <w:b/>
                <w:sz w:val="20"/>
                <w:szCs w:val="20"/>
              </w:rPr>
            </w:pPr>
            <w:r w:rsidRPr="00AB5A00">
              <w:rPr>
                <w:rFonts w:cstheme="minorHAnsi"/>
                <w:b/>
                <w:sz w:val="20"/>
                <w:szCs w:val="20"/>
              </w:rPr>
              <w:t xml:space="preserve">Výsledky, kterých </w:t>
            </w:r>
            <w:r w:rsidR="005F6E6F">
              <w:rPr>
                <w:rFonts w:cstheme="minorHAnsi"/>
                <w:b/>
                <w:sz w:val="20"/>
                <w:szCs w:val="20"/>
              </w:rPr>
              <w:t>má být dosaženo</w:t>
            </w:r>
          </w:p>
        </w:tc>
      </w:tr>
      <w:tr w:rsidR="00AB5A00" w:rsidRPr="00AB5A00" w14:paraId="75CE7D2F" w14:textId="77777777" w:rsidTr="0046275B">
        <w:trPr>
          <w:trHeight w:val="707"/>
        </w:trPr>
        <w:tc>
          <w:tcPr>
            <w:tcW w:w="1338" w:type="pct"/>
            <w:vAlign w:val="center"/>
          </w:tcPr>
          <w:p w14:paraId="327A6901" w14:textId="77777777" w:rsidR="00AB5A00" w:rsidRPr="00AB5A00" w:rsidRDefault="00AB5A00" w:rsidP="0046275B">
            <w:pPr>
              <w:spacing w:line="280" w:lineRule="atLeast"/>
              <w:ind w:left="108"/>
              <w:rPr>
                <w:rFonts w:cstheme="minorHAnsi"/>
                <w:b/>
                <w:sz w:val="20"/>
                <w:szCs w:val="20"/>
              </w:rPr>
            </w:pPr>
            <w:r w:rsidRPr="00AB5A00">
              <w:rPr>
                <w:rFonts w:cstheme="minorHAnsi"/>
                <w:b/>
                <w:sz w:val="20"/>
                <w:szCs w:val="20"/>
              </w:rPr>
              <w:t>SC 5.1</w:t>
            </w:r>
          </w:p>
          <w:p w14:paraId="1D1B2A00" w14:textId="77777777" w:rsidR="00AB5A00" w:rsidRPr="00AB5A00" w:rsidRDefault="00AB5A00" w:rsidP="0046275B">
            <w:pPr>
              <w:spacing w:line="280" w:lineRule="atLeast"/>
              <w:ind w:left="108"/>
              <w:rPr>
                <w:rFonts w:cstheme="minorHAnsi"/>
                <w:b/>
                <w:sz w:val="20"/>
                <w:szCs w:val="20"/>
              </w:rPr>
            </w:pPr>
            <w:r w:rsidRPr="00AB5A00">
              <w:rPr>
                <w:rFonts w:cstheme="minorHAnsi"/>
                <w:b/>
                <w:sz w:val="20"/>
                <w:szCs w:val="20"/>
              </w:rPr>
              <w:t>Zajištění efektivního řízení a administrace operačního programu</w:t>
            </w:r>
          </w:p>
        </w:tc>
        <w:tc>
          <w:tcPr>
            <w:tcW w:w="3662" w:type="pct"/>
            <w:vAlign w:val="center"/>
          </w:tcPr>
          <w:p w14:paraId="36270549" w14:textId="77777777" w:rsidR="00AB5A00" w:rsidRPr="00AB5A00" w:rsidRDefault="00AB5A00" w:rsidP="00C51DB9">
            <w:pPr>
              <w:pStyle w:val="Standardntext"/>
              <w:numPr>
                <w:ilvl w:val="0"/>
                <w:numId w:val="45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Optimální nastavení administrativní kapacity zajistí efektivní řízení programu (zaměstnanci implementační struktury, systém hodnocení projektů).</w:t>
            </w:r>
          </w:p>
          <w:p w14:paraId="12029FB5" w14:textId="77777777" w:rsidR="00AB5A00" w:rsidRPr="00AB5A00" w:rsidRDefault="00AB5A00" w:rsidP="00C51DB9">
            <w:pPr>
              <w:pStyle w:val="Standardntext"/>
              <w:numPr>
                <w:ilvl w:val="0"/>
                <w:numId w:val="45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Optimální zajištění pracovních podmínek povede ke snížení fluktuace zaměstnanců implementační struktury.</w:t>
            </w:r>
          </w:p>
          <w:p w14:paraId="09B5A299" w14:textId="77777777" w:rsidR="00AB5A00" w:rsidRPr="00AB5A00" w:rsidRDefault="00AB5A00" w:rsidP="00C51DB9">
            <w:pPr>
              <w:pStyle w:val="Standardntext"/>
              <w:numPr>
                <w:ilvl w:val="0"/>
                <w:numId w:val="45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Vyšší úroveň vzdělávání a školení zajistí odpovídající kvalitu lidských zdrojů.</w:t>
            </w:r>
          </w:p>
          <w:p w14:paraId="182B71C5" w14:textId="77777777" w:rsidR="00AB5A00" w:rsidRPr="00AB5A00" w:rsidRDefault="00AB5A00" w:rsidP="00C51DB9">
            <w:pPr>
              <w:pStyle w:val="Standardntext"/>
              <w:numPr>
                <w:ilvl w:val="0"/>
                <w:numId w:val="45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Zpracování jasných a přehledných metodik zajistí eliminaci častých změn, různých výkladů a z nich plynoucích pochybení.</w:t>
            </w:r>
          </w:p>
          <w:p w14:paraId="55B85028" w14:textId="77777777" w:rsidR="00AB5A00" w:rsidRPr="00AB5A00" w:rsidRDefault="00AB5A00" w:rsidP="00C51DB9">
            <w:pPr>
              <w:pStyle w:val="Standardntext"/>
              <w:numPr>
                <w:ilvl w:val="0"/>
                <w:numId w:val="45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Efektivní využití a přenos informací pro řádnou administraci programu (ověřené postupy a</w:t>
            </w:r>
            <w:r w:rsidR="0046275B">
              <w:rPr>
                <w:rFonts w:asciiTheme="minorHAnsi" w:hAnsiTheme="minorHAnsi" w:cstheme="minorHAnsi"/>
                <w:sz w:val="20"/>
                <w:szCs w:val="20"/>
              </w:rPr>
              <w:t xml:space="preserve"> příklady dobré praxe získané v </w:t>
            </w: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průběhu implement</w:t>
            </w:r>
            <w:r w:rsidR="00C717D8">
              <w:rPr>
                <w:rFonts w:asciiTheme="minorHAnsi" w:hAnsiTheme="minorHAnsi" w:cstheme="minorHAnsi"/>
                <w:sz w:val="20"/>
                <w:szCs w:val="20"/>
              </w:rPr>
              <w:t>ace OP Podnikání a inovace 2007</w:t>
            </w:r>
            <w:r w:rsidR="00C717D8">
              <w:rPr>
                <w:rFonts w:asciiTheme="minorHAnsi" w:hAnsiTheme="minorHAnsi" w:cstheme="minorHAnsi"/>
                <w:sz w:val="20"/>
                <w:szCs w:val="20"/>
                <w:lang w:val="cs-CZ"/>
              </w:rPr>
              <w:t>–</w:t>
            </w: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2013).</w:t>
            </w:r>
          </w:p>
          <w:p w14:paraId="1AE7F436" w14:textId="77777777" w:rsidR="00AB5A00" w:rsidRPr="00AB5A00" w:rsidRDefault="00AB5A00" w:rsidP="00C51DB9">
            <w:pPr>
              <w:pStyle w:val="Standardntext"/>
              <w:numPr>
                <w:ilvl w:val="0"/>
                <w:numId w:val="45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Činnost a jednání Monitorovacího výboru OPPIK, pracovních skupin.</w:t>
            </w:r>
          </w:p>
          <w:p w14:paraId="4F9081C0" w14:textId="77777777" w:rsidR="00AB5A00" w:rsidRPr="00AB5A00" w:rsidRDefault="00AB5A00" w:rsidP="00C51DB9">
            <w:pPr>
              <w:pStyle w:val="Standardntext"/>
              <w:numPr>
                <w:ilvl w:val="0"/>
                <w:numId w:val="45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Efektivní nastavení kontrolního a monitorovacího systému.</w:t>
            </w:r>
          </w:p>
        </w:tc>
      </w:tr>
      <w:tr w:rsidR="00AB5A00" w:rsidRPr="00AB5A00" w14:paraId="10963615" w14:textId="77777777" w:rsidTr="00C51DB9">
        <w:trPr>
          <w:trHeight w:val="2064"/>
        </w:trPr>
        <w:tc>
          <w:tcPr>
            <w:tcW w:w="1338" w:type="pct"/>
            <w:vAlign w:val="center"/>
          </w:tcPr>
          <w:p w14:paraId="0DA57D7F" w14:textId="77777777" w:rsidR="00AB5A00" w:rsidRPr="00AB5A00" w:rsidRDefault="00AB5A00" w:rsidP="0046275B">
            <w:pPr>
              <w:spacing w:line="280" w:lineRule="atLeast"/>
              <w:rPr>
                <w:rFonts w:cstheme="minorHAnsi"/>
                <w:b/>
                <w:sz w:val="20"/>
                <w:szCs w:val="20"/>
              </w:rPr>
            </w:pPr>
            <w:r w:rsidRPr="00AB5A00">
              <w:rPr>
                <w:rFonts w:cstheme="minorHAnsi"/>
                <w:b/>
                <w:sz w:val="20"/>
                <w:szCs w:val="20"/>
              </w:rPr>
              <w:t>SC 5.2</w:t>
            </w:r>
          </w:p>
          <w:p w14:paraId="20CC29B6" w14:textId="77777777" w:rsidR="00AB5A00" w:rsidRPr="00AB5A00" w:rsidRDefault="00AB5A00" w:rsidP="0046275B">
            <w:pPr>
              <w:spacing w:line="280" w:lineRule="atLeast"/>
              <w:rPr>
                <w:rFonts w:cstheme="minorHAnsi"/>
                <w:b/>
                <w:sz w:val="20"/>
                <w:szCs w:val="20"/>
              </w:rPr>
            </w:pPr>
            <w:r w:rsidRPr="00AB5A00">
              <w:rPr>
                <w:rFonts w:cstheme="minorHAnsi"/>
                <w:b/>
                <w:sz w:val="20"/>
                <w:szCs w:val="20"/>
              </w:rPr>
              <w:t>Zajišt</w:t>
            </w:r>
            <w:r w:rsidR="00E669B2">
              <w:rPr>
                <w:rFonts w:cstheme="minorHAnsi"/>
                <w:b/>
                <w:sz w:val="20"/>
                <w:szCs w:val="20"/>
              </w:rPr>
              <w:t>ění informovanosti, publicity a </w:t>
            </w:r>
            <w:r w:rsidRPr="00AB5A00">
              <w:rPr>
                <w:rFonts w:cstheme="minorHAnsi"/>
                <w:b/>
                <w:sz w:val="20"/>
                <w:szCs w:val="20"/>
              </w:rPr>
              <w:t>absorpční kapacity operačního programu</w:t>
            </w:r>
          </w:p>
        </w:tc>
        <w:tc>
          <w:tcPr>
            <w:tcW w:w="3662" w:type="pct"/>
            <w:vAlign w:val="center"/>
          </w:tcPr>
          <w:p w14:paraId="5368E3E9" w14:textId="77777777" w:rsidR="00AB5A00" w:rsidRPr="00AB5A00" w:rsidRDefault="00AB5A00" w:rsidP="00C51DB9">
            <w:pPr>
              <w:pStyle w:val="Standardntext"/>
              <w:numPr>
                <w:ilvl w:val="0"/>
                <w:numId w:val="46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Posílení a zajištění absorpční kapacity programu.</w:t>
            </w:r>
          </w:p>
          <w:p w14:paraId="79FC55B5" w14:textId="77777777" w:rsidR="00AB5A00" w:rsidRPr="00AB5A00" w:rsidRDefault="00AB5A00" w:rsidP="00C51DB9">
            <w:pPr>
              <w:pStyle w:val="Standardntext"/>
              <w:numPr>
                <w:ilvl w:val="0"/>
                <w:numId w:val="46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Vyšší míra povědomí široké veřejnosti o programu.</w:t>
            </w:r>
          </w:p>
          <w:p w14:paraId="6070E874" w14:textId="77777777" w:rsidR="00AB5A00" w:rsidRPr="00AB5A00" w:rsidRDefault="00AB5A00" w:rsidP="00C51DB9">
            <w:pPr>
              <w:pStyle w:val="Standardntext"/>
              <w:numPr>
                <w:ilvl w:val="0"/>
                <w:numId w:val="46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Vyšší míra úspěšnosti projektových žádostí.</w:t>
            </w:r>
          </w:p>
          <w:p w14:paraId="669292F7" w14:textId="77777777" w:rsidR="00AB5A00" w:rsidRPr="00AB5A00" w:rsidRDefault="00AB5A00" w:rsidP="00C51DB9">
            <w:pPr>
              <w:pStyle w:val="Standardntext"/>
              <w:numPr>
                <w:ilvl w:val="0"/>
                <w:numId w:val="46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Zajištění optimálního čerpání finančních prostředků programu prostřednictvím kvalitních projektů a efektivního využití výsledků evaluačních studií (včetně opatření na snížení administrativní zátěže).</w:t>
            </w:r>
          </w:p>
          <w:p w14:paraId="201CEBFE" w14:textId="77777777" w:rsidR="00AB5A00" w:rsidRPr="00AB5A00" w:rsidRDefault="00AB5A00" w:rsidP="00C51DB9">
            <w:pPr>
              <w:pStyle w:val="Standardntext"/>
              <w:numPr>
                <w:ilvl w:val="0"/>
                <w:numId w:val="46"/>
              </w:numPr>
              <w:spacing w:after="0" w:line="280" w:lineRule="atLeast"/>
              <w:ind w:left="426" w:right="227" w:hanging="284"/>
              <w:textAlignment w:va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5A00">
              <w:rPr>
                <w:rFonts w:asciiTheme="minorHAnsi" w:hAnsiTheme="minorHAnsi" w:cstheme="minorHAnsi"/>
                <w:sz w:val="20"/>
                <w:szCs w:val="20"/>
              </w:rPr>
              <w:t>Zpracování jasných a přehledných manuálů, příruček a dalších informačních materiálů pro žadatele zajistí eliminaci častých změn, různých výkladů a z nich plynoucích pochybení.</w:t>
            </w:r>
          </w:p>
        </w:tc>
      </w:tr>
    </w:tbl>
    <w:p w14:paraId="6DA5900E" w14:textId="4904F4BD" w:rsidR="00AB5A00" w:rsidRDefault="00AB5A00" w:rsidP="005F6E6F">
      <w:pPr>
        <w:spacing w:after="0" w:line="280" w:lineRule="atLeast"/>
        <w:ind w:left="567" w:hanging="567"/>
        <w:rPr>
          <w:rFonts w:cstheme="minorHAnsi"/>
          <w:sz w:val="20"/>
        </w:rPr>
      </w:pPr>
      <w:r w:rsidRPr="007F1D90">
        <w:rPr>
          <w:rFonts w:cstheme="minorHAnsi"/>
          <w:b/>
          <w:sz w:val="20"/>
        </w:rPr>
        <w:t>Zdroj:</w:t>
      </w:r>
      <w:r w:rsidRPr="007F1D90">
        <w:rPr>
          <w:rFonts w:cstheme="minorHAnsi"/>
          <w:sz w:val="20"/>
        </w:rPr>
        <w:tab/>
      </w:r>
      <w:r w:rsidR="005F6E6F">
        <w:rPr>
          <w:rFonts w:cstheme="minorHAnsi"/>
          <w:sz w:val="20"/>
        </w:rPr>
        <w:t>p</w:t>
      </w:r>
      <w:r w:rsidRPr="007F1D90">
        <w:rPr>
          <w:rFonts w:cstheme="minorHAnsi"/>
          <w:sz w:val="20"/>
        </w:rPr>
        <w:t>rogramový dokume</w:t>
      </w:r>
      <w:r>
        <w:rPr>
          <w:rFonts w:cstheme="minorHAnsi"/>
          <w:sz w:val="20"/>
        </w:rPr>
        <w:t>nt OPPIK.</w:t>
      </w:r>
    </w:p>
    <w:p w14:paraId="03944D6B" w14:textId="77777777" w:rsidR="00AB5A00" w:rsidRDefault="00AB5A00">
      <w:pPr>
        <w:rPr>
          <w:rFonts w:cstheme="minorHAnsi"/>
          <w:b/>
          <w:color w:val="000000" w:themeColor="text1"/>
          <w:sz w:val="24"/>
          <w:szCs w:val="24"/>
        </w:rPr>
      </w:pPr>
    </w:p>
    <w:p w14:paraId="6B6ABDBD" w14:textId="77777777" w:rsidR="00AB5A00" w:rsidRDefault="00AB5A00">
      <w:p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br w:type="page"/>
      </w:r>
    </w:p>
    <w:p w14:paraId="78FDDA84" w14:textId="77777777" w:rsidR="00E14424" w:rsidRPr="007F1D90" w:rsidRDefault="00E14424" w:rsidP="00E14424">
      <w:pPr>
        <w:spacing w:after="0" w:line="280" w:lineRule="atLeast"/>
        <w:jc w:val="right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Příloha č. </w:t>
      </w:r>
      <w:r w:rsidR="00AB5A00">
        <w:rPr>
          <w:rFonts w:cstheme="minorHAnsi"/>
          <w:b/>
          <w:color w:val="000000" w:themeColor="text1"/>
          <w:sz w:val="24"/>
          <w:szCs w:val="24"/>
        </w:rPr>
        <w:t>2</w:t>
      </w:r>
    </w:p>
    <w:p w14:paraId="3DB4F8A8" w14:textId="77777777" w:rsidR="00415F38" w:rsidRPr="00C465A0" w:rsidRDefault="00415F38" w:rsidP="00E14424">
      <w:pPr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p w14:paraId="62B424DD" w14:textId="77777777" w:rsidR="00E14424" w:rsidRDefault="00E14424" w:rsidP="00E14424">
      <w:pPr>
        <w:spacing w:after="0" w:line="280" w:lineRule="atLeast"/>
        <w:rPr>
          <w:rFonts w:cstheme="minorHAnsi"/>
          <w:b/>
          <w:color w:val="000000" w:themeColor="text1"/>
          <w:sz w:val="24"/>
          <w:szCs w:val="24"/>
        </w:rPr>
      </w:pPr>
      <w:r w:rsidRPr="007F1D90">
        <w:rPr>
          <w:rFonts w:cstheme="minorHAnsi"/>
          <w:b/>
          <w:color w:val="000000" w:themeColor="text1"/>
          <w:sz w:val="24"/>
          <w:szCs w:val="24"/>
        </w:rPr>
        <w:t>Přehled monitorovacích ukazatelů PO 5 OPPIK a jejich naplnění</w:t>
      </w:r>
    </w:p>
    <w:p w14:paraId="33F71857" w14:textId="77777777" w:rsidR="00E14424" w:rsidRPr="00C465A0" w:rsidRDefault="00E14424" w:rsidP="00E14424">
      <w:pPr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TableGrid"/>
        <w:tblW w:w="5003" w:type="pct"/>
        <w:tblInd w:w="0" w:type="dxa"/>
        <w:tblLayout w:type="fixed"/>
        <w:tblCellMar>
          <w:top w:w="37" w:type="dxa"/>
          <w:right w:w="32" w:type="dxa"/>
        </w:tblCellMar>
        <w:tblLook w:val="04A0" w:firstRow="1" w:lastRow="0" w:firstColumn="1" w:lastColumn="0" w:noHBand="0" w:noVBand="1"/>
      </w:tblPr>
      <w:tblGrid>
        <w:gridCol w:w="1131"/>
        <w:gridCol w:w="2691"/>
        <w:gridCol w:w="1146"/>
        <w:gridCol w:w="1740"/>
        <w:gridCol w:w="1843"/>
        <w:gridCol w:w="1431"/>
        <w:gridCol w:w="1440"/>
        <w:gridCol w:w="1434"/>
        <w:gridCol w:w="1428"/>
      </w:tblGrid>
      <w:tr w:rsidR="00E14424" w:rsidRPr="007F1D90" w14:paraId="683A0251" w14:textId="77777777" w:rsidTr="001B09C0">
        <w:trPr>
          <w:trHeight w:val="707"/>
        </w:trPr>
        <w:tc>
          <w:tcPr>
            <w:tcW w:w="39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6D8438" w14:textId="60889ED1" w:rsidR="00E14424" w:rsidRPr="007F1D90" w:rsidRDefault="00E14424" w:rsidP="00256A33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9761E2D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Název ukazatele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3708946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Jednotka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F4F35F8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Výchozí hodnota</w:t>
            </w:r>
          </w:p>
          <w:p w14:paraId="5CD64887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(rok 2014)</w:t>
            </w:r>
          </w:p>
        </w:tc>
        <w:tc>
          <w:tcPr>
            <w:tcW w:w="64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A9504A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Cílová hodnota</w:t>
            </w:r>
          </w:p>
          <w:p w14:paraId="3179FA47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(rok 2023)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F835601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Dosažená hodnota 2015</w:t>
            </w:r>
          </w:p>
        </w:tc>
        <w:tc>
          <w:tcPr>
            <w:tcW w:w="504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872087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Dosažená hodnota 2016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6F7D5C7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Dosažená hodnota 2017</w:t>
            </w:r>
          </w:p>
        </w:tc>
        <w:tc>
          <w:tcPr>
            <w:tcW w:w="50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CD0FB00" w14:textId="77777777" w:rsidR="00E14424" w:rsidRPr="007F1D90" w:rsidRDefault="00E14424" w:rsidP="001B09C0">
            <w:pPr>
              <w:spacing w:line="280" w:lineRule="atLeast"/>
              <w:ind w:left="108"/>
              <w:jc w:val="center"/>
              <w:rPr>
                <w:rFonts w:cstheme="minorHAnsi"/>
                <w:b/>
                <w:sz w:val="20"/>
                <w:szCs w:val="20"/>
                <w:highlight w:val="yellow"/>
              </w:rPr>
            </w:pPr>
            <w:r w:rsidRPr="007F1D90">
              <w:rPr>
                <w:rFonts w:cstheme="minorHAnsi"/>
                <w:b/>
                <w:sz w:val="20"/>
                <w:szCs w:val="20"/>
              </w:rPr>
              <w:t>Dosažená hodnota 2018</w:t>
            </w:r>
          </w:p>
        </w:tc>
      </w:tr>
      <w:tr w:rsidR="00E14424" w:rsidRPr="007F1D90" w14:paraId="5AF6E80E" w14:textId="77777777" w:rsidTr="00256A33">
        <w:trPr>
          <w:trHeight w:val="194"/>
        </w:trPr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77DD08" w14:textId="300F6FE6" w:rsidR="00E14424" w:rsidRPr="007F1D90" w:rsidRDefault="005F6E6F" w:rsidP="005F6E6F">
            <w:pPr>
              <w:spacing w:line="280" w:lineRule="atLeast"/>
              <w:ind w:left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Ukazatele v</w:t>
            </w:r>
            <w:r w:rsidR="00E14424" w:rsidRPr="007F1D90">
              <w:rPr>
                <w:rFonts w:cstheme="minorHAnsi"/>
                <w:sz w:val="20"/>
                <w:szCs w:val="20"/>
              </w:rPr>
              <w:t>ýsledk</w:t>
            </w: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73C32" w14:textId="77777777" w:rsidR="00E14424" w:rsidRPr="007F1D90" w:rsidRDefault="00E14424" w:rsidP="00256A33">
            <w:pPr>
              <w:spacing w:line="280" w:lineRule="atLeast"/>
              <w:ind w:left="108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Míra stabilizace zaměstnanců implementační struktury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D1E28" w14:textId="77777777" w:rsidR="00E14424" w:rsidRPr="007F1D90" w:rsidRDefault="00E14424" w:rsidP="00256A33">
            <w:pPr>
              <w:spacing w:line="280" w:lineRule="atLeast"/>
              <w:ind w:left="108"/>
              <w:jc w:val="center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FAD61E" w14:textId="77777777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53,00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4B2F" w14:textId="77777777" w:rsidR="00E14424" w:rsidRPr="007F1D90" w:rsidRDefault="00E14424" w:rsidP="00BA08CD">
            <w:pPr>
              <w:spacing w:line="280" w:lineRule="atLeast"/>
              <w:ind w:left="-294" w:right="441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65,00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247E2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53,00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C5BAE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51,78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5ECFE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48,67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18A64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56,53</w:t>
            </w:r>
          </w:p>
        </w:tc>
      </w:tr>
      <w:tr w:rsidR="00E14424" w:rsidRPr="007F1D90" w14:paraId="1B8C98F6" w14:textId="77777777" w:rsidTr="00256A33">
        <w:trPr>
          <w:trHeight w:val="194"/>
        </w:trPr>
        <w:tc>
          <w:tcPr>
            <w:tcW w:w="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5719" w14:textId="77777777" w:rsidR="00E14424" w:rsidRPr="007F1D90" w:rsidRDefault="00E14424" w:rsidP="00256A33">
            <w:pPr>
              <w:spacing w:line="280" w:lineRule="atLeast"/>
              <w:ind w:left="108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73724" w14:textId="77777777" w:rsidR="00E14424" w:rsidRPr="007F1D90" w:rsidRDefault="00E14424" w:rsidP="00256A33">
            <w:pPr>
              <w:spacing w:line="280" w:lineRule="atLeast"/>
              <w:ind w:left="108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Míra úspěšnosti projektových žádostí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B50D8" w14:textId="77777777" w:rsidR="00E14424" w:rsidRPr="007F1D90" w:rsidRDefault="00E14424" w:rsidP="00256A33">
            <w:pPr>
              <w:spacing w:line="280" w:lineRule="atLeast"/>
              <w:ind w:left="108"/>
              <w:jc w:val="center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%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399568B" w14:textId="77777777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94,37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F7CD" w14:textId="77777777" w:rsidR="00E14424" w:rsidRPr="007F1D90" w:rsidRDefault="00E14424" w:rsidP="00BA08CD">
            <w:pPr>
              <w:spacing w:line="280" w:lineRule="atLeast"/>
              <w:ind w:left="-294" w:right="441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95,00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43D20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94,37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9E3AA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94,20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FF875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94,80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B522E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94,65</w:t>
            </w:r>
          </w:p>
        </w:tc>
      </w:tr>
      <w:tr w:rsidR="00E14424" w:rsidRPr="007F1D90" w14:paraId="768A4803" w14:textId="77777777" w:rsidTr="00256A33">
        <w:trPr>
          <w:trHeight w:val="194"/>
        </w:trPr>
        <w:tc>
          <w:tcPr>
            <w:tcW w:w="39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D4DE92" w14:textId="11F43105" w:rsidR="00E14424" w:rsidRPr="007F1D90" w:rsidRDefault="005F6E6F" w:rsidP="005F6E6F">
            <w:pPr>
              <w:spacing w:line="280" w:lineRule="atLeast"/>
              <w:ind w:left="108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Ukazatele v</w:t>
            </w:r>
            <w:r w:rsidR="00E14424" w:rsidRPr="007F1D90">
              <w:rPr>
                <w:rFonts w:cstheme="minorHAnsi"/>
                <w:sz w:val="20"/>
                <w:szCs w:val="20"/>
              </w:rPr>
              <w:t>ýstup</w:t>
            </w:r>
            <w:r>
              <w:rPr>
                <w:rFonts w:cstheme="minorHAnsi"/>
                <w:sz w:val="20"/>
                <w:szCs w:val="20"/>
              </w:rPr>
              <w:t>u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B72A3" w14:textId="77777777" w:rsidR="00E14424" w:rsidRPr="007F1D90" w:rsidRDefault="00E14424" w:rsidP="00256A33">
            <w:pPr>
              <w:spacing w:line="280" w:lineRule="atLeast"/>
              <w:ind w:left="108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Počet napsaných a zveřejněných analytických a strategických dokumentů (vč. evaluačních)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9AAC3" w14:textId="77777777" w:rsidR="00E14424" w:rsidRPr="007F1D90" w:rsidRDefault="00E14424" w:rsidP="00256A33">
            <w:pPr>
              <w:spacing w:line="280" w:lineRule="atLeast"/>
              <w:ind w:left="108"/>
              <w:jc w:val="center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dokumenty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B8C29F" w14:textId="77777777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F280D" w14:textId="74CF0AD4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30</w:t>
            </w:r>
            <w:r w:rsidR="00256A3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4FD8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3D223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132D3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3,00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A5A3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5,00</w:t>
            </w:r>
          </w:p>
        </w:tc>
      </w:tr>
      <w:tr w:rsidR="00E14424" w:rsidRPr="007F1D90" w14:paraId="2EEF86B0" w14:textId="77777777" w:rsidTr="00256A33">
        <w:trPr>
          <w:trHeight w:val="194"/>
        </w:trPr>
        <w:tc>
          <w:tcPr>
            <w:tcW w:w="3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F98736" w14:textId="77777777" w:rsidR="00E14424" w:rsidRPr="007F1D90" w:rsidRDefault="00E14424" w:rsidP="00256A33">
            <w:pPr>
              <w:spacing w:line="280" w:lineRule="atLeast"/>
              <w:ind w:left="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00A7" w14:textId="77777777" w:rsidR="00E14424" w:rsidRPr="007F1D90" w:rsidRDefault="00E14424" w:rsidP="00256A33">
            <w:pPr>
              <w:spacing w:line="280" w:lineRule="atLeast"/>
              <w:ind w:left="108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Počet uskutečněných kontrol na místě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6DEEF" w14:textId="77777777" w:rsidR="00E14424" w:rsidRPr="007F1D90" w:rsidRDefault="00E14424" w:rsidP="00256A33">
            <w:pPr>
              <w:spacing w:line="280" w:lineRule="atLeast"/>
              <w:ind w:left="108"/>
              <w:jc w:val="center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kontroly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E934F9D" w14:textId="77777777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21D3F" w14:textId="117C3405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2</w:t>
            </w:r>
            <w:r w:rsidR="00256A33">
              <w:rPr>
                <w:rFonts w:cstheme="minorHAnsi"/>
                <w:sz w:val="20"/>
                <w:szCs w:val="20"/>
              </w:rPr>
              <w:t> </w:t>
            </w:r>
            <w:r w:rsidRPr="007F1D90">
              <w:rPr>
                <w:rFonts w:cstheme="minorHAnsi"/>
                <w:sz w:val="20"/>
                <w:szCs w:val="20"/>
              </w:rPr>
              <w:t>400</w:t>
            </w:r>
            <w:r w:rsidR="00256A3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99E2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3C15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C853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127,00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ED1B2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366,00</w:t>
            </w:r>
          </w:p>
        </w:tc>
      </w:tr>
      <w:tr w:rsidR="00E14424" w:rsidRPr="007F1D90" w14:paraId="666E1F51" w14:textId="77777777" w:rsidTr="00256A33">
        <w:trPr>
          <w:trHeight w:val="194"/>
        </w:trPr>
        <w:tc>
          <w:tcPr>
            <w:tcW w:w="396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0ECC6E" w14:textId="77777777" w:rsidR="00E14424" w:rsidRPr="007F1D90" w:rsidRDefault="00E14424" w:rsidP="00256A33">
            <w:pPr>
              <w:spacing w:line="280" w:lineRule="atLeast"/>
              <w:ind w:left="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55E2B" w14:textId="77777777" w:rsidR="00E14424" w:rsidRPr="007F1D90" w:rsidRDefault="00E14424" w:rsidP="00256A33">
            <w:pPr>
              <w:spacing w:line="280" w:lineRule="atLeast"/>
              <w:ind w:left="108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Počet uskutečněných školení, seminářů, workshopů a konferencí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A7907" w14:textId="77777777" w:rsidR="00E14424" w:rsidRPr="007F1D90" w:rsidRDefault="00E14424" w:rsidP="00256A33">
            <w:pPr>
              <w:spacing w:line="280" w:lineRule="atLeast"/>
              <w:ind w:left="108"/>
              <w:jc w:val="center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aktivity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C1E07A" w14:textId="77777777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D877A" w14:textId="0062EDD3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970</w:t>
            </w:r>
            <w:r w:rsidR="00256A3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34763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624E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0CCD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317,00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CC5E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429,00</w:t>
            </w:r>
          </w:p>
        </w:tc>
      </w:tr>
      <w:tr w:rsidR="00E14424" w:rsidRPr="007F1D90" w14:paraId="7A9BB408" w14:textId="77777777" w:rsidTr="00256A33">
        <w:trPr>
          <w:trHeight w:val="194"/>
        </w:trPr>
        <w:tc>
          <w:tcPr>
            <w:tcW w:w="39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594B" w14:textId="77777777" w:rsidR="00E14424" w:rsidRPr="007F1D90" w:rsidRDefault="00E14424" w:rsidP="00256A33">
            <w:pPr>
              <w:spacing w:line="280" w:lineRule="atLeast"/>
              <w:ind w:left="108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572F" w14:textId="77777777" w:rsidR="00E14424" w:rsidRPr="007F1D90" w:rsidRDefault="00E14424" w:rsidP="00256A33">
            <w:pPr>
              <w:spacing w:line="280" w:lineRule="atLeast"/>
              <w:ind w:left="108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Počet pracovních míst financovaných z programu</w:t>
            </w:r>
          </w:p>
        </w:tc>
        <w:tc>
          <w:tcPr>
            <w:tcW w:w="4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75DBF" w14:textId="77777777" w:rsidR="00E14424" w:rsidRPr="007F1D90" w:rsidRDefault="00E14424" w:rsidP="00256A33">
            <w:pPr>
              <w:autoSpaceDE w:val="0"/>
              <w:autoSpaceDN w:val="0"/>
              <w:adjustRightInd w:val="0"/>
              <w:spacing w:line="28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FTE</w:t>
            </w:r>
          </w:p>
        </w:tc>
        <w:tc>
          <w:tcPr>
            <w:tcW w:w="6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440A6" w14:textId="77777777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1F75" w14:textId="3ACF9F71" w:rsidR="00E14424" w:rsidRPr="007F1D90" w:rsidRDefault="00E14424" w:rsidP="00BA08CD">
            <w:pPr>
              <w:spacing w:line="280" w:lineRule="atLeast"/>
              <w:ind w:left="-294" w:right="584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334</w:t>
            </w:r>
            <w:r w:rsidR="00256A3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AEC9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E2258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0,00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87531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529,639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AFDF" w14:textId="77777777" w:rsidR="00E14424" w:rsidRPr="007F1D90" w:rsidRDefault="00E14424" w:rsidP="00BA08CD">
            <w:pPr>
              <w:spacing w:line="280" w:lineRule="atLeast"/>
              <w:ind w:left="-186" w:right="463"/>
              <w:jc w:val="right"/>
              <w:rPr>
                <w:rFonts w:cstheme="minorHAnsi"/>
                <w:sz w:val="20"/>
                <w:szCs w:val="20"/>
              </w:rPr>
            </w:pPr>
            <w:r w:rsidRPr="007F1D90">
              <w:rPr>
                <w:rFonts w:cstheme="minorHAnsi"/>
                <w:sz w:val="20"/>
                <w:szCs w:val="20"/>
              </w:rPr>
              <w:t>488,983</w:t>
            </w:r>
          </w:p>
        </w:tc>
      </w:tr>
    </w:tbl>
    <w:p w14:paraId="425695AF" w14:textId="32451708" w:rsidR="00E14424" w:rsidRDefault="00E14424" w:rsidP="005F6E6F">
      <w:pPr>
        <w:spacing w:after="0" w:line="280" w:lineRule="atLeast"/>
        <w:ind w:left="567" w:hanging="567"/>
        <w:rPr>
          <w:rFonts w:cstheme="minorHAnsi"/>
          <w:sz w:val="20"/>
        </w:rPr>
      </w:pPr>
      <w:r w:rsidRPr="007F1D90">
        <w:rPr>
          <w:rFonts w:cstheme="minorHAnsi"/>
          <w:b/>
          <w:sz w:val="20"/>
        </w:rPr>
        <w:t>Zdroj:</w:t>
      </w:r>
      <w:r w:rsidRPr="007F1D90">
        <w:rPr>
          <w:rFonts w:cstheme="minorHAnsi"/>
          <w:sz w:val="20"/>
        </w:rPr>
        <w:tab/>
      </w:r>
      <w:r w:rsidR="005F6E6F">
        <w:rPr>
          <w:rFonts w:cstheme="minorHAnsi"/>
          <w:sz w:val="20"/>
        </w:rPr>
        <w:t>p</w:t>
      </w:r>
      <w:r w:rsidRPr="007F1D90">
        <w:rPr>
          <w:rFonts w:cstheme="minorHAnsi"/>
          <w:sz w:val="20"/>
        </w:rPr>
        <w:t>rogramový dokume</w:t>
      </w:r>
      <w:r w:rsidR="00256A33">
        <w:rPr>
          <w:rFonts w:cstheme="minorHAnsi"/>
          <w:sz w:val="20"/>
        </w:rPr>
        <w:t xml:space="preserve">nt OPPIK, </w:t>
      </w:r>
      <w:r w:rsidR="005F6E6F">
        <w:rPr>
          <w:rFonts w:cstheme="minorHAnsi"/>
          <w:sz w:val="20"/>
        </w:rPr>
        <w:t>a</w:t>
      </w:r>
      <w:r w:rsidR="0046275B">
        <w:rPr>
          <w:rFonts w:cstheme="minorHAnsi"/>
          <w:sz w:val="20"/>
        </w:rPr>
        <w:t xml:space="preserve">gregovaná mapa OPPIK, </w:t>
      </w:r>
      <w:r w:rsidR="005F6E6F">
        <w:rPr>
          <w:rFonts w:cstheme="minorHAnsi"/>
          <w:sz w:val="20"/>
        </w:rPr>
        <w:t>v</w:t>
      </w:r>
      <w:r w:rsidR="00256A33">
        <w:rPr>
          <w:rFonts w:cstheme="minorHAnsi"/>
          <w:sz w:val="20"/>
        </w:rPr>
        <w:t>ýroční zprávy OPPIK.</w:t>
      </w:r>
    </w:p>
    <w:p w14:paraId="0EB9414E" w14:textId="5B4AD4D9" w:rsidR="00256A33" w:rsidRPr="00312893" w:rsidRDefault="00256A33" w:rsidP="00256A33">
      <w:pPr>
        <w:spacing w:after="0" w:line="280" w:lineRule="atLeast"/>
        <w:rPr>
          <w:rFonts w:cstheme="minorHAnsi"/>
          <w:sz w:val="20"/>
          <w:szCs w:val="20"/>
        </w:rPr>
      </w:pPr>
      <w:r w:rsidRPr="00312893">
        <w:rPr>
          <w:rFonts w:cstheme="minorHAnsi"/>
          <w:sz w:val="20"/>
          <w:szCs w:val="20"/>
        </w:rPr>
        <w:t xml:space="preserve">* </w:t>
      </w:r>
      <w:r>
        <w:rPr>
          <w:rFonts w:cstheme="minorHAnsi"/>
          <w:sz w:val="20"/>
          <w:szCs w:val="20"/>
        </w:rPr>
        <w:t>Nepovinná hodnota</w:t>
      </w:r>
      <w:r w:rsidRPr="00312893">
        <w:rPr>
          <w:rFonts w:cstheme="minorHAnsi"/>
          <w:sz w:val="20"/>
          <w:szCs w:val="20"/>
        </w:rPr>
        <w:t>.</w:t>
      </w:r>
    </w:p>
    <w:p w14:paraId="740B01EF" w14:textId="77777777" w:rsidR="00256A33" w:rsidRPr="00C465A0" w:rsidRDefault="00256A33" w:rsidP="00E14424">
      <w:pPr>
        <w:spacing w:after="0" w:line="280" w:lineRule="atLeast"/>
        <w:ind w:left="720" w:hanging="720"/>
        <w:rPr>
          <w:rFonts w:cstheme="minorHAnsi"/>
          <w:bCs/>
          <w:color w:val="000000"/>
          <w:sz w:val="24"/>
          <w:szCs w:val="24"/>
        </w:rPr>
      </w:pPr>
    </w:p>
    <w:p w14:paraId="65561B4B" w14:textId="77777777" w:rsidR="00253DB8" w:rsidRDefault="00253DB8">
      <w:pPr>
        <w:rPr>
          <w:rFonts w:cstheme="minorHAnsi"/>
          <w:color w:val="000000"/>
          <w:highlight w:val="yellow"/>
        </w:rPr>
      </w:pPr>
      <w:r>
        <w:rPr>
          <w:rFonts w:cstheme="minorHAnsi"/>
          <w:color w:val="000000"/>
          <w:highlight w:val="yellow"/>
        </w:rPr>
        <w:br w:type="page"/>
      </w:r>
    </w:p>
    <w:p w14:paraId="3361F49F" w14:textId="77777777" w:rsidR="00253DB8" w:rsidRPr="007F1D90" w:rsidRDefault="00253DB8" w:rsidP="00253DB8">
      <w:pPr>
        <w:spacing w:after="0" w:line="280" w:lineRule="atLeast"/>
        <w:jc w:val="right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Příloha č. </w:t>
      </w:r>
      <w:r w:rsidR="00AB5A00">
        <w:rPr>
          <w:rFonts w:cstheme="minorHAnsi"/>
          <w:b/>
          <w:color w:val="000000" w:themeColor="text1"/>
          <w:sz w:val="24"/>
          <w:szCs w:val="24"/>
        </w:rPr>
        <w:t>3</w:t>
      </w:r>
    </w:p>
    <w:p w14:paraId="4FF25293" w14:textId="77777777" w:rsidR="00253DB8" w:rsidRPr="00C465A0" w:rsidRDefault="00253DB8" w:rsidP="00253DB8">
      <w:pPr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p w14:paraId="1E56B0F0" w14:textId="6506D6AF" w:rsidR="00253DB8" w:rsidRDefault="00253DB8" w:rsidP="0046275B">
      <w:pPr>
        <w:spacing w:after="0" w:line="280" w:lineRule="atLeast"/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253DB8">
        <w:rPr>
          <w:rFonts w:cstheme="minorHAnsi"/>
          <w:b/>
          <w:color w:val="000000" w:themeColor="text1"/>
          <w:sz w:val="24"/>
          <w:szCs w:val="24"/>
        </w:rPr>
        <w:t xml:space="preserve">Porovnání </w:t>
      </w:r>
      <w:r w:rsidR="00256A33">
        <w:rPr>
          <w:rFonts w:cstheme="minorHAnsi"/>
          <w:b/>
          <w:color w:val="000000" w:themeColor="text1"/>
          <w:sz w:val="24"/>
          <w:szCs w:val="24"/>
        </w:rPr>
        <w:t>s</w:t>
      </w:r>
      <w:r w:rsidR="00256A33" w:rsidRPr="00256A33">
        <w:rPr>
          <w:rFonts w:cstheme="minorHAnsi"/>
          <w:b/>
          <w:color w:val="000000" w:themeColor="text1"/>
          <w:sz w:val="24"/>
          <w:szCs w:val="24"/>
        </w:rPr>
        <w:t>tav</w:t>
      </w:r>
      <w:r w:rsidR="00256A33">
        <w:rPr>
          <w:rFonts w:cstheme="minorHAnsi"/>
          <w:b/>
          <w:color w:val="000000" w:themeColor="text1"/>
          <w:sz w:val="24"/>
          <w:szCs w:val="24"/>
        </w:rPr>
        <w:t>u</w:t>
      </w:r>
      <w:r w:rsidR="00256A33" w:rsidRPr="00256A33">
        <w:rPr>
          <w:rFonts w:cstheme="minorHAnsi"/>
          <w:b/>
          <w:color w:val="000000" w:themeColor="text1"/>
          <w:sz w:val="24"/>
          <w:szCs w:val="24"/>
        </w:rPr>
        <w:t xml:space="preserve"> </w:t>
      </w:r>
      <w:r w:rsidR="00256A33">
        <w:rPr>
          <w:rFonts w:cstheme="minorHAnsi"/>
          <w:b/>
          <w:color w:val="000000" w:themeColor="text1"/>
          <w:sz w:val="24"/>
          <w:szCs w:val="24"/>
        </w:rPr>
        <w:t xml:space="preserve">peněžních </w:t>
      </w:r>
      <w:r w:rsidR="00256A33" w:rsidRPr="00256A33">
        <w:rPr>
          <w:rFonts w:cstheme="minorHAnsi"/>
          <w:b/>
          <w:color w:val="000000" w:themeColor="text1"/>
          <w:sz w:val="24"/>
          <w:szCs w:val="24"/>
        </w:rPr>
        <w:t>prostředků v právních aktech o poskytnutí/převodu podpory</w:t>
      </w:r>
      <w:r w:rsidR="00256A33">
        <w:rPr>
          <w:rFonts w:cstheme="minorHAnsi"/>
          <w:b/>
          <w:color w:val="000000" w:themeColor="text1"/>
          <w:sz w:val="24"/>
          <w:szCs w:val="24"/>
        </w:rPr>
        <w:t xml:space="preserve"> a stavu </w:t>
      </w:r>
      <w:r w:rsidRPr="00253DB8">
        <w:rPr>
          <w:rFonts w:cstheme="minorHAnsi"/>
          <w:b/>
          <w:color w:val="000000" w:themeColor="text1"/>
          <w:sz w:val="24"/>
          <w:szCs w:val="24"/>
        </w:rPr>
        <w:t xml:space="preserve">čerpání </w:t>
      </w:r>
      <w:r>
        <w:rPr>
          <w:rFonts w:cstheme="minorHAnsi"/>
          <w:b/>
          <w:color w:val="000000" w:themeColor="text1"/>
          <w:sz w:val="24"/>
          <w:szCs w:val="24"/>
        </w:rPr>
        <w:t>peněžních pros</w:t>
      </w:r>
      <w:r w:rsidR="00256A33">
        <w:rPr>
          <w:rFonts w:cstheme="minorHAnsi"/>
          <w:b/>
          <w:color w:val="000000" w:themeColor="text1"/>
          <w:sz w:val="24"/>
          <w:szCs w:val="24"/>
        </w:rPr>
        <w:t>t</w:t>
      </w:r>
      <w:r>
        <w:rPr>
          <w:rFonts w:cstheme="minorHAnsi"/>
          <w:b/>
          <w:color w:val="000000" w:themeColor="text1"/>
          <w:sz w:val="24"/>
          <w:szCs w:val="24"/>
        </w:rPr>
        <w:t>ředků</w:t>
      </w:r>
      <w:r w:rsidRPr="00253DB8">
        <w:rPr>
          <w:rFonts w:cstheme="minorHAnsi"/>
          <w:b/>
          <w:color w:val="000000" w:themeColor="text1"/>
          <w:sz w:val="24"/>
          <w:szCs w:val="24"/>
        </w:rPr>
        <w:t xml:space="preserve"> OPPIK s jinými </w:t>
      </w:r>
      <w:r w:rsidR="006C6162">
        <w:rPr>
          <w:rFonts w:cstheme="minorHAnsi"/>
          <w:b/>
          <w:color w:val="000000" w:themeColor="text1"/>
          <w:sz w:val="24"/>
          <w:szCs w:val="24"/>
        </w:rPr>
        <w:t>o</w:t>
      </w:r>
      <w:r w:rsidRPr="00253DB8">
        <w:rPr>
          <w:rFonts w:cstheme="minorHAnsi"/>
          <w:b/>
          <w:color w:val="000000" w:themeColor="text1"/>
          <w:sz w:val="24"/>
          <w:szCs w:val="24"/>
        </w:rPr>
        <w:t>peračními programy ČR</w:t>
      </w:r>
    </w:p>
    <w:p w14:paraId="7ECEB15D" w14:textId="77777777" w:rsidR="00253DB8" w:rsidRPr="00C465A0" w:rsidRDefault="00253DB8" w:rsidP="00253DB8">
      <w:pPr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tbl>
      <w:tblPr>
        <w:tblStyle w:val="Mkatabulky"/>
        <w:tblW w:w="14317" w:type="dxa"/>
        <w:tblInd w:w="-5" w:type="dxa"/>
        <w:tblLook w:val="04A0" w:firstRow="1" w:lastRow="0" w:firstColumn="1" w:lastColumn="0" w:noHBand="0" w:noVBand="1"/>
      </w:tblPr>
      <w:tblGrid>
        <w:gridCol w:w="986"/>
        <w:gridCol w:w="1634"/>
        <w:gridCol w:w="1469"/>
        <w:gridCol w:w="1298"/>
        <w:gridCol w:w="1547"/>
        <w:gridCol w:w="1855"/>
        <w:gridCol w:w="1984"/>
        <w:gridCol w:w="1701"/>
        <w:gridCol w:w="1843"/>
      </w:tblGrid>
      <w:tr w:rsidR="00253DB8" w:rsidRPr="00312893" w14:paraId="06BC8825" w14:textId="77777777" w:rsidTr="0046275B">
        <w:tc>
          <w:tcPr>
            <w:tcW w:w="986" w:type="dxa"/>
            <w:vAlign w:val="center"/>
          </w:tcPr>
          <w:p w14:paraId="5A77363E" w14:textId="77777777" w:rsidR="00253DB8" w:rsidRPr="00312893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Operační program</w:t>
            </w:r>
          </w:p>
        </w:tc>
        <w:tc>
          <w:tcPr>
            <w:tcW w:w="1634" w:type="dxa"/>
            <w:vAlign w:val="center"/>
          </w:tcPr>
          <w:p w14:paraId="7B088918" w14:textId="77777777" w:rsidR="0069151C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 xml:space="preserve">Celková alokace OP </w:t>
            </w:r>
            <w:r w:rsidR="006C6162">
              <w:rPr>
                <w:rFonts w:cstheme="minorHAnsi"/>
                <w:b/>
                <w:sz w:val="20"/>
                <w:szCs w:val="20"/>
              </w:rPr>
              <w:t xml:space="preserve">– </w:t>
            </w:r>
          </w:p>
          <w:p w14:paraId="2A68D34C" w14:textId="11804A98" w:rsidR="00253DB8" w:rsidRPr="00312893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podpora z EU</w:t>
            </w:r>
          </w:p>
          <w:p w14:paraId="127EDE3C" w14:textId="77777777" w:rsidR="00253DB8" w:rsidRPr="00312893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(v Kč)</w:t>
            </w:r>
          </w:p>
        </w:tc>
        <w:tc>
          <w:tcPr>
            <w:tcW w:w="1469" w:type="dxa"/>
            <w:vAlign w:val="center"/>
          </w:tcPr>
          <w:p w14:paraId="28204C2F" w14:textId="636CA2FB" w:rsidR="00253DB8" w:rsidRPr="00312893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 xml:space="preserve">Alokace na </w:t>
            </w:r>
            <w:r w:rsidR="006C6162">
              <w:rPr>
                <w:rFonts w:cstheme="minorHAnsi"/>
                <w:b/>
                <w:sz w:val="20"/>
                <w:szCs w:val="20"/>
              </w:rPr>
              <w:t>t</w:t>
            </w:r>
            <w:r w:rsidRPr="00312893">
              <w:rPr>
                <w:rFonts w:cstheme="minorHAnsi"/>
                <w:b/>
                <w:sz w:val="20"/>
                <w:szCs w:val="20"/>
              </w:rPr>
              <w:t xml:space="preserve">echnickou pomoc </w:t>
            </w:r>
            <w:r w:rsidR="006C6162">
              <w:rPr>
                <w:rFonts w:cstheme="minorHAnsi"/>
                <w:b/>
                <w:sz w:val="20"/>
                <w:szCs w:val="20"/>
              </w:rPr>
              <w:t>–</w:t>
            </w:r>
            <w:r w:rsidRPr="00312893">
              <w:rPr>
                <w:rFonts w:cstheme="minorHAnsi"/>
                <w:b/>
                <w:sz w:val="20"/>
                <w:szCs w:val="20"/>
              </w:rPr>
              <w:t xml:space="preserve"> podpora z EU</w:t>
            </w:r>
          </w:p>
          <w:p w14:paraId="7A177D3D" w14:textId="77777777" w:rsidR="00253DB8" w:rsidRPr="00312893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(v Kč)</w:t>
            </w:r>
          </w:p>
        </w:tc>
        <w:tc>
          <w:tcPr>
            <w:tcW w:w="1298" w:type="dxa"/>
            <w:vAlign w:val="center"/>
          </w:tcPr>
          <w:p w14:paraId="722C8904" w14:textId="4A40577A" w:rsidR="00A132FD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 xml:space="preserve">Podíl </w:t>
            </w:r>
            <w:r w:rsidR="006C6162">
              <w:rPr>
                <w:rFonts w:cstheme="minorHAnsi"/>
                <w:b/>
                <w:sz w:val="20"/>
                <w:szCs w:val="20"/>
              </w:rPr>
              <w:t>t</w:t>
            </w:r>
            <w:r w:rsidRPr="00312893">
              <w:rPr>
                <w:rFonts w:cstheme="minorHAnsi"/>
                <w:b/>
                <w:sz w:val="20"/>
                <w:szCs w:val="20"/>
              </w:rPr>
              <w:t>ech</w:t>
            </w:r>
            <w:r w:rsidR="00A132FD">
              <w:rPr>
                <w:rFonts w:cstheme="minorHAnsi"/>
                <w:b/>
                <w:sz w:val="20"/>
                <w:szCs w:val="20"/>
              </w:rPr>
              <w:t>nické pomoci na celkové alokaci</w:t>
            </w:r>
          </w:p>
          <w:p w14:paraId="31914209" w14:textId="77777777" w:rsidR="00253DB8" w:rsidRPr="00312893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(v %)</w:t>
            </w:r>
          </w:p>
        </w:tc>
        <w:tc>
          <w:tcPr>
            <w:tcW w:w="1547" w:type="dxa"/>
            <w:vAlign w:val="center"/>
          </w:tcPr>
          <w:p w14:paraId="2C9F162F" w14:textId="346860EE" w:rsidR="00253DB8" w:rsidRPr="00312893" w:rsidRDefault="00253DB8" w:rsidP="006C6162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Počet uzavřených právních aktů o poskytnutí/ převodu podpory k 31. 3. 2019</w:t>
            </w:r>
          </w:p>
        </w:tc>
        <w:tc>
          <w:tcPr>
            <w:tcW w:w="1855" w:type="dxa"/>
            <w:vAlign w:val="center"/>
          </w:tcPr>
          <w:p w14:paraId="6E22C46A" w14:textId="48AC1C6F" w:rsidR="00253DB8" w:rsidRDefault="00A132FD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Stav peněžních prostředků v právních aktech </w:t>
            </w:r>
            <w:r w:rsidRPr="00312893">
              <w:rPr>
                <w:rFonts w:cstheme="minorHAnsi"/>
                <w:b/>
                <w:sz w:val="20"/>
                <w:szCs w:val="20"/>
              </w:rPr>
              <w:t>o poskytnutí/ převodu podpory k 31. 3. 2019</w:t>
            </w:r>
          </w:p>
          <w:p w14:paraId="46D61151" w14:textId="77777777" w:rsidR="00A132FD" w:rsidRPr="00312893" w:rsidRDefault="00A132FD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(v mil. Kč)</w:t>
            </w:r>
          </w:p>
        </w:tc>
        <w:tc>
          <w:tcPr>
            <w:tcW w:w="1984" w:type="dxa"/>
            <w:vAlign w:val="center"/>
          </w:tcPr>
          <w:p w14:paraId="1D631F2E" w14:textId="417D636B" w:rsidR="00A132FD" w:rsidRDefault="00A132FD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 xml:space="preserve">Podíl peněžních prostředků </w:t>
            </w:r>
            <w:r>
              <w:rPr>
                <w:rFonts w:cstheme="minorHAnsi"/>
                <w:b/>
                <w:sz w:val="20"/>
                <w:szCs w:val="20"/>
              </w:rPr>
              <w:t xml:space="preserve">v právních aktech </w:t>
            </w:r>
            <w:r w:rsidRPr="00312893">
              <w:rPr>
                <w:rFonts w:cstheme="minorHAnsi"/>
                <w:b/>
                <w:sz w:val="20"/>
                <w:szCs w:val="20"/>
              </w:rPr>
              <w:t>o poskytnutí/ převodu podpory na hlavní alokaci OP</w:t>
            </w:r>
          </w:p>
          <w:p w14:paraId="7EAFD783" w14:textId="77777777" w:rsidR="00253DB8" w:rsidRPr="00312893" w:rsidRDefault="00A132FD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(v %)</w:t>
            </w:r>
          </w:p>
        </w:tc>
        <w:tc>
          <w:tcPr>
            <w:tcW w:w="1701" w:type="dxa"/>
            <w:vAlign w:val="center"/>
          </w:tcPr>
          <w:p w14:paraId="3AEBB872" w14:textId="77777777" w:rsidR="00253DB8" w:rsidRPr="00312893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 xml:space="preserve">Čerpání peněžních prostředků </w:t>
            </w:r>
            <w:r w:rsidR="00AE4E5E">
              <w:rPr>
                <w:rFonts w:cstheme="minorHAnsi"/>
                <w:b/>
                <w:sz w:val="20"/>
                <w:szCs w:val="20"/>
              </w:rPr>
              <w:t>v proplacených žádostech o platbu</w:t>
            </w:r>
          </w:p>
          <w:p w14:paraId="000FD0FF" w14:textId="77777777" w:rsidR="00A132FD" w:rsidRDefault="00A132FD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k 31. 3. 2019</w:t>
            </w:r>
          </w:p>
          <w:p w14:paraId="79D18978" w14:textId="77777777" w:rsidR="00253DB8" w:rsidRPr="00312893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(v mil. Kč)</w:t>
            </w:r>
          </w:p>
        </w:tc>
        <w:tc>
          <w:tcPr>
            <w:tcW w:w="1843" w:type="dxa"/>
            <w:vAlign w:val="center"/>
          </w:tcPr>
          <w:p w14:paraId="7693C1B2" w14:textId="77777777" w:rsidR="0046275B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 xml:space="preserve">Podíl čerpání peněžních </w:t>
            </w:r>
            <w:r w:rsidR="0046275B">
              <w:rPr>
                <w:rFonts w:cstheme="minorHAnsi"/>
                <w:b/>
                <w:sz w:val="20"/>
                <w:szCs w:val="20"/>
              </w:rPr>
              <w:t>prostředků na hlavní alokaci OP</w:t>
            </w:r>
          </w:p>
          <w:p w14:paraId="1D7AAFF2" w14:textId="77777777" w:rsidR="00253DB8" w:rsidRPr="00312893" w:rsidRDefault="00253DB8" w:rsidP="00A132FD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(v %)</w:t>
            </w:r>
          </w:p>
        </w:tc>
      </w:tr>
      <w:tr w:rsidR="00253DB8" w:rsidRPr="00312893" w14:paraId="26B09A0E" w14:textId="77777777" w:rsidTr="0046275B">
        <w:trPr>
          <w:trHeight w:val="380"/>
        </w:trPr>
        <w:tc>
          <w:tcPr>
            <w:tcW w:w="986" w:type="dxa"/>
            <w:vAlign w:val="center"/>
          </w:tcPr>
          <w:p w14:paraId="09BFB3E2" w14:textId="77777777" w:rsidR="00253DB8" w:rsidRPr="00312893" w:rsidRDefault="00253DB8" w:rsidP="00253DB8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OPPIK</w:t>
            </w:r>
          </w:p>
        </w:tc>
        <w:tc>
          <w:tcPr>
            <w:tcW w:w="1634" w:type="dxa"/>
            <w:vAlign w:val="center"/>
          </w:tcPr>
          <w:p w14:paraId="1A64A0AC" w14:textId="7777777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111 654 794 266</w:t>
            </w:r>
          </w:p>
        </w:tc>
        <w:tc>
          <w:tcPr>
            <w:tcW w:w="1469" w:type="dxa"/>
            <w:vAlign w:val="center"/>
          </w:tcPr>
          <w:p w14:paraId="2174A979" w14:textId="7777777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3 237 989 036</w:t>
            </w:r>
          </w:p>
        </w:tc>
        <w:tc>
          <w:tcPr>
            <w:tcW w:w="1298" w:type="dxa"/>
            <w:vAlign w:val="center"/>
          </w:tcPr>
          <w:p w14:paraId="13964946" w14:textId="77777777" w:rsidR="00253DB8" w:rsidRPr="00312893" w:rsidRDefault="00253DB8" w:rsidP="0043751F">
            <w:pPr>
              <w:spacing w:line="280" w:lineRule="atLeast"/>
              <w:ind w:left="-90" w:right="32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2,90</w:t>
            </w:r>
          </w:p>
        </w:tc>
        <w:tc>
          <w:tcPr>
            <w:tcW w:w="1547" w:type="dxa"/>
            <w:vAlign w:val="center"/>
          </w:tcPr>
          <w:p w14:paraId="0785AC65" w14:textId="77777777" w:rsidR="00253DB8" w:rsidRPr="00312893" w:rsidRDefault="00253DB8" w:rsidP="0043751F">
            <w:pPr>
              <w:spacing w:line="280" w:lineRule="atLeast"/>
              <w:ind w:right="450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6 291</w:t>
            </w:r>
          </w:p>
        </w:tc>
        <w:tc>
          <w:tcPr>
            <w:tcW w:w="1855" w:type="dxa"/>
            <w:vAlign w:val="center"/>
          </w:tcPr>
          <w:p w14:paraId="2E334761" w14:textId="77777777" w:rsidR="00253DB8" w:rsidRPr="00A132FD" w:rsidRDefault="00A132FD" w:rsidP="0043751F">
            <w:pPr>
              <w:spacing w:line="280" w:lineRule="atLeast"/>
              <w:ind w:right="463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132FD">
              <w:rPr>
                <w:rFonts w:cstheme="minorHAnsi"/>
                <w:b/>
                <w:sz w:val="20"/>
                <w:szCs w:val="20"/>
              </w:rPr>
              <w:t>56 840</w:t>
            </w:r>
          </w:p>
        </w:tc>
        <w:tc>
          <w:tcPr>
            <w:tcW w:w="1984" w:type="dxa"/>
            <w:vAlign w:val="center"/>
          </w:tcPr>
          <w:p w14:paraId="00461FEC" w14:textId="77777777" w:rsidR="00253DB8" w:rsidRPr="00312893" w:rsidRDefault="00A132FD" w:rsidP="0043751F">
            <w:pPr>
              <w:spacing w:line="280" w:lineRule="atLeast"/>
              <w:ind w:right="594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132FD">
              <w:rPr>
                <w:rFonts w:cstheme="minorHAnsi"/>
                <w:b/>
                <w:sz w:val="20"/>
                <w:szCs w:val="20"/>
              </w:rPr>
              <w:t>54,26</w:t>
            </w:r>
          </w:p>
        </w:tc>
        <w:tc>
          <w:tcPr>
            <w:tcW w:w="1701" w:type="dxa"/>
            <w:vAlign w:val="center"/>
          </w:tcPr>
          <w:p w14:paraId="1D433F62" w14:textId="77777777" w:rsidR="00253DB8" w:rsidRPr="00312893" w:rsidRDefault="00253DB8" w:rsidP="006C6162">
            <w:pPr>
              <w:spacing w:line="280" w:lineRule="atLeast"/>
              <w:ind w:right="397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22 817</w:t>
            </w:r>
          </w:p>
        </w:tc>
        <w:tc>
          <w:tcPr>
            <w:tcW w:w="1843" w:type="dxa"/>
            <w:vAlign w:val="center"/>
          </w:tcPr>
          <w:p w14:paraId="37E3513E" w14:textId="77777777" w:rsidR="00253DB8" w:rsidRPr="00312893" w:rsidRDefault="00253DB8" w:rsidP="0043751F">
            <w:pPr>
              <w:spacing w:line="280" w:lineRule="atLeast"/>
              <w:ind w:right="594"/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21,78</w:t>
            </w:r>
          </w:p>
        </w:tc>
      </w:tr>
      <w:tr w:rsidR="00253DB8" w:rsidRPr="00312893" w14:paraId="628685B1" w14:textId="77777777" w:rsidTr="0046275B">
        <w:trPr>
          <w:trHeight w:val="380"/>
        </w:trPr>
        <w:tc>
          <w:tcPr>
            <w:tcW w:w="986" w:type="dxa"/>
            <w:vAlign w:val="center"/>
          </w:tcPr>
          <w:p w14:paraId="6012DF74" w14:textId="77777777" w:rsidR="00253DB8" w:rsidRPr="00312893" w:rsidRDefault="00253DB8" w:rsidP="00253DB8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OPŽP</w:t>
            </w:r>
          </w:p>
        </w:tc>
        <w:tc>
          <w:tcPr>
            <w:tcW w:w="1634" w:type="dxa"/>
            <w:vAlign w:val="center"/>
          </w:tcPr>
          <w:p w14:paraId="4F135336" w14:textId="1FEE9680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71 916 237 010</w:t>
            </w:r>
          </w:p>
        </w:tc>
        <w:tc>
          <w:tcPr>
            <w:tcW w:w="1469" w:type="dxa"/>
            <w:vAlign w:val="center"/>
          </w:tcPr>
          <w:p w14:paraId="336C11F0" w14:textId="7777777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2 410 718 478</w:t>
            </w:r>
          </w:p>
        </w:tc>
        <w:tc>
          <w:tcPr>
            <w:tcW w:w="1298" w:type="dxa"/>
            <w:vAlign w:val="center"/>
          </w:tcPr>
          <w:p w14:paraId="53F8FD6D" w14:textId="77777777" w:rsidR="00253DB8" w:rsidRPr="00312893" w:rsidRDefault="00253DB8" w:rsidP="0043751F">
            <w:pPr>
              <w:spacing w:line="280" w:lineRule="atLeast"/>
              <w:ind w:left="-90" w:right="323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3,35</w:t>
            </w:r>
          </w:p>
        </w:tc>
        <w:tc>
          <w:tcPr>
            <w:tcW w:w="1547" w:type="dxa"/>
            <w:vAlign w:val="center"/>
          </w:tcPr>
          <w:p w14:paraId="121F2541" w14:textId="77777777" w:rsidR="00253DB8" w:rsidRPr="00312893" w:rsidRDefault="00253DB8" w:rsidP="0043751F">
            <w:pPr>
              <w:spacing w:line="280" w:lineRule="atLeast"/>
              <w:ind w:right="450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5 065</w:t>
            </w:r>
          </w:p>
        </w:tc>
        <w:tc>
          <w:tcPr>
            <w:tcW w:w="1855" w:type="dxa"/>
            <w:vAlign w:val="center"/>
          </w:tcPr>
          <w:p w14:paraId="4FE4DC3E" w14:textId="77777777" w:rsidR="00253DB8" w:rsidRPr="00312893" w:rsidRDefault="00A132FD" w:rsidP="0043751F">
            <w:pPr>
              <w:spacing w:line="280" w:lineRule="atLeast"/>
              <w:ind w:right="463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45 359</w:t>
            </w:r>
          </w:p>
        </w:tc>
        <w:tc>
          <w:tcPr>
            <w:tcW w:w="1984" w:type="dxa"/>
            <w:vAlign w:val="center"/>
          </w:tcPr>
          <w:p w14:paraId="19E2281E" w14:textId="77777777" w:rsidR="00253DB8" w:rsidRPr="00312893" w:rsidRDefault="00A132FD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68,50</w:t>
            </w:r>
          </w:p>
        </w:tc>
        <w:tc>
          <w:tcPr>
            <w:tcW w:w="1701" w:type="dxa"/>
            <w:vAlign w:val="center"/>
          </w:tcPr>
          <w:p w14:paraId="1429C877" w14:textId="77777777" w:rsidR="00253DB8" w:rsidRPr="00312893" w:rsidRDefault="00253DB8" w:rsidP="006C6162">
            <w:pPr>
              <w:spacing w:line="280" w:lineRule="atLeast"/>
              <w:ind w:right="397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19 655</w:t>
            </w:r>
          </w:p>
        </w:tc>
        <w:tc>
          <w:tcPr>
            <w:tcW w:w="1843" w:type="dxa"/>
            <w:vAlign w:val="center"/>
          </w:tcPr>
          <w:p w14:paraId="21FC2E3C" w14:textId="77777777" w:rsidR="00253DB8" w:rsidRPr="00312893" w:rsidRDefault="00253DB8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29,68</w:t>
            </w:r>
          </w:p>
        </w:tc>
      </w:tr>
      <w:tr w:rsidR="00253DB8" w:rsidRPr="00312893" w14:paraId="60CA410A" w14:textId="77777777" w:rsidTr="0046275B">
        <w:trPr>
          <w:trHeight w:val="380"/>
        </w:trPr>
        <w:tc>
          <w:tcPr>
            <w:tcW w:w="986" w:type="dxa"/>
            <w:vAlign w:val="center"/>
          </w:tcPr>
          <w:p w14:paraId="5DC3C598" w14:textId="77777777" w:rsidR="00253DB8" w:rsidRPr="00312893" w:rsidRDefault="00253DB8" w:rsidP="00253DB8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OPD</w:t>
            </w:r>
          </w:p>
        </w:tc>
        <w:tc>
          <w:tcPr>
            <w:tcW w:w="1634" w:type="dxa"/>
            <w:vAlign w:val="center"/>
          </w:tcPr>
          <w:p w14:paraId="3A804072" w14:textId="7777777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117 550 870 574</w:t>
            </w:r>
          </w:p>
        </w:tc>
        <w:tc>
          <w:tcPr>
            <w:tcW w:w="1469" w:type="dxa"/>
            <w:vAlign w:val="center"/>
          </w:tcPr>
          <w:p w14:paraId="6535224A" w14:textId="7777777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1 815 854 053</w:t>
            </w:r>
          </w:p>
        </w:tc>
        <w:tc>
          <w:tcPr>
            <w:tcW w:w="1298" w:type="dxa"/>
            <w:vAlign w:val="center"/>
          </w:tcPr>
          <w:p w14:paraId="427158A9" w14:textId="77777777" w:rsidR="00253DB8" w:rsidRPr="00312893" w:rsidRDefault="00253DB8" w:rsidP="0043751F">
            <w:pPr>
              <w:spacing w:line="280" w:lineRule="atLeast"/>
              <w:ind w:left="-90" w:right="323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1,55</w:t>
            </w:r>
          </w:p>
        </w:tc>
        <w:tc>
          <w:tcPr>
            <w:tcW w:w="1547" w:type="dxa"/>
            <w:vAlign w:val="center"/>
          </w:tcPr>
          <w:p w14:paraId="116314D4" w14:textId="1537F7EA" w:rsidR="00253DB8" w:rsidRPr="00312893" w:rsidRDefault="00253DB8" w:rsidP="0043751F">
            <w:pPr>
              <w:spacing w:line="280" w:lineRule="atLeast"/>
              <w:ind w:right="450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150</w:t>
            </w:r>
          </w:p>
        </w:tc>
        <w:tc>
          <w:tcPr>
            <w:tcW w:w="1855" w:type="dxa"/>
            <w:vAlign w:val="center"/>
          </w:tcPr>
          <w:p w14:paraId="2122BCCB" w14:textId="77777777" w:rsidR="00253DB8" w:rsidRPr="00312893" w:rsidRDefault="00A132FD" w:rsidP="0043751F">
            <w:pPr>
              <w:spacing w:line="280" w:lineRule="atLeast"/>
              <w:ind w:right="463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81 306</w:t>
            </w:r>
          </w:p>
        </w:tc>
        <w:tc>
          <w:tcPr>
            <w:tcW w:w="1984" w:type="dxa"/>
            <w:vAlign w:val="center"/>
          </w:tcPr>
          <w:p w14:paraId="4CB17EED" w14:textId="77777777" w:rsidR="00253DB8" w:rsidRPr="00312893" w:rsidRDefault="00A132FD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73,59</w:t>
            </w:r>
          </w:p>
        </w:tc>
        <w:tc>
          <w:tcPr>
            <w:tcW w:w="1701" w:type="dxa"/>
            <w:vAlign w:val="center"/>
          </w:tcPr>
          <w:p w14:paraId="505F395E" w14:textId="77777777" w:rsidR="00253DB8" w:rsidRPr="00312893" w:rsidRDefault="00253DB8" w:rsidP="006C6162">
            <w:pPr>
              <w:spacing w:line="280" w:lineRule="atLeast"/>
              <w:ind w:right="397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43 237</w:t>
            </w:r>
          </w:p>
        </w:tc>
        <w:tc>
          <w:tcPr>
            <w:tcW w:w="1843" w:type="dxa"/>
            <w:vAlign w:val="center"/>
          </w:tcPr>
          <w:p w14:paraId="70289ADF" w14:textId="77777777" w:rsidR="00253DB8" w:rsidRPr="00312893" w:rsidRDefault="00253DB8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39,14</w:t>
            </w:r>
          </w:p>
        </w:tc>
      </w:tr>
      <w:tr w:rsidR="00253DB8" w:rsidRPr="00312893" w14:paraId="6037CD8F" w14:textId="77777777" w:rsidTr="0046275B">
        <w:trPr>
          <w:trHeight w:val="380"/>
        </w:trPr>
        <w:tc>
          <w:tcPr>
            <w:tcW w:w="986" w:type="dxa"/>
            <w:vAlign w:val="center"/>
          </w:tcPr>
          <w:p w14:paraId="4A2E095A" w14:textId="77777777" w:rsidR="00253DB8" w:rsidRPr="00312893" w:rsidRDefault="00253DB8" w:rsidP="00253DB8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OPVVV</w:t>
            </w:r>
          </w:p>
        </w:tc>
        <w:tc>
          <w:tcPr>
            <w:tcW w:w="1634" w:type="dxa"/>
            <w:vAlign w:val="center"/>
          </w:tcPr>
          <w:p w14:paraId="6329B109" w14:textId="4C804FD3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color w:val="000000"/>
                <w:sz w:val="20"/>
                <w:szCs w:val="20"/>
              </w:rPr>
              <w:t>71 360 641 196</w:t>
            </w:r>
          </w:p>
        </w:tc>
        <w:tc>
          <w:tcPr>
            <w:tcW w:w="1469" w:type="dxa"/>
            <w:vAlign w:val="center"/>
          </w:tcPr>
          <w:p w14:paraId="5179A353" w14:textId="7777777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2 497 204 449</w:t>
            </w:r>
          </w:p>
        </w:tc>
        <w:tc>
          <w:tcPr>
            <w:tcW w:w="1298" w:type="dxa"/>
            <w:vAlign w:val="center"/>
          </w:tcPr>
          <w:p w14:paraId="427B8710" w14:textId="77777777" w:rsidR="00253DB8" w:rsidRPr="00312893" w:rsidRDefault="00253DB8" w:rsidP="0043751F">
            <w:pPr>
              <w:spacing w:line="280" w:lineRule="atLeast"/>
              <w:ind w:left="-90" w:right="323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3,50</w:t>
            </w:r>
          </w:p>
        </w:tc>
        <w:tc>
          <w:tcPr>
            <w:tcW w:w="1547" w:type="dxa"/>
            <w:vAlign w:val="center"/>
          </w:tcPr>
          <w:p w14:paraId="17F93779" w14:textId="77777777" w:rsidR="00253DB8" w:rsidRPr="00312893" w:rsidRDefault="00253DB8" w:rsidP="0043751F">
            <w:pPr>
              <w:spacing w:line="280" w:lineRule="atLeast"/>
              <w:ind w:right="450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9 665</w:t>
            </w:r>
          </w:p>
        </w:tc>
        <w:tc>
          <w:tcPr>
            <w:tcW w:w="1855" w:type="dxa"/>
            <w:vAlign w:val="center"/>
          </w:tcPr>
          <w:p w14:paraId="4ED1DB72" w14:textId="77777777" w:rsidR="00253DB8" w:rsidRPr="00312893" w:rsidRDefault="00A132FD" w:rsidP="0043751F">
            <w:pPr>
              <w:spacing w:line="280" w:lineRule="atLeast"/>
              <w:ind w:right="463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57 540</w:t>
            </w:r>
          </w:p>
        </w:tc>
        <w:tc>
          <w:tcPr>
            <w:tcW w:w="1984" w:type="dxa"/>
            <w:vAlign w:val="center"/>
          </w:tcPr>
          <w:p w14:paraId="63DC90FC" w14:textId="77777777" w:rsidR="00253DB8" w:rsidRPr="00312893" w:rsidRDefault="00A132FD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86,18</w:t>
            </w:r>
          </w:p>
        </w:tc>
        <w:tc>
          <w:tcPr>
            <w:tcW w:w="1701" w:type="dxa"/>
            <w:vAlign w:val="center"/>
          </w:tcPr>
          <w:p w14:paraId="1FB2F4F5" w14:textId="77777777" w:rsidR="00253DB8" w:rsidRPr="00312893" w:rsidRDefault="00253DB8" w:rsidP="006C6162">
            <w:pPr>
              <w:spacing w:line="280" w:lineRule="atLeast"/>
              <w:ind w:right="397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31 327</w:t>
            </w:r>
          </w:p>
        </w:tc>
        <w:tc>
          <w:tcPr>
            <w:tcW w:w="1843" w:type="dxa"/>
            <w:vAlign w:val="center"/>
          </w:tcPr>
          <w:p w14:paraId="2F6C1393" w14:textId="77777777" w:rsidR="00253DB8" w:rsidRPr="00312893" w:rsidRDefault="00253DB8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46,92</w:t>
            </w:r>
          </w:p>
        </w:tc>
      </w:tr>
      <w:tr w:rsidR="00253DB8" w:rsidRPr="00312893" w14:paraId="6345CD12" w14:textId="77777777" w:rsidTr="0046275B">
        <w:trPr>
          <w:trHeight w:val="380"/>
        </w:trPr>
        <w:tc>
          <w:tcPr>
            <w:tcW w:w="986" w:type="dxa"/>
            <w:vAlign w:val="center"/>
          </w:tcPr>
          <w:p w14:paraId="57D5DB03" w14:textId="77777777" w:rsidR="00253DB8" w:rsidRPr="00312893" w:rsidRDefault="00253DB8" w:rsidP="00253DB8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OPZ</w:t>
            </w:r>
          </w:p>
        </w:tc>
        <w:tc>
          <w:tcPr>
            <w:tcW w:w="1634" w:type="dxa"/>
            <w:vAlign w:val="center"/>
          </w:tcPr>
          <w:p w14:paraId="423FE9CA" w14:textId="7060788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55 317 112 544</w:t>
            </w:r>
          </w:p>
        </w:tc>
        <w:tc>
          <w:tcPr>
            <w:tcW w:w="1469" w:type="dxa"/>
            <w:vAlign w:val="center"/>
          </w:tcPr>
          <w:p w14:paraId="28F8D336" w14:textId="7777777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2 184 635 896</w:t>
            </w:r>
          </w:p>
        </w:tc>
        <w:tc>
          <w:tcPr>
            <w:tcW w:w="1298" w:type="dxa"/>
            <w:vAlign w:val="center"/>
          </w:tcPr>
          <w:p w14:paraId="6CCB7683" w14:textId="77777777" w:rsidR="00253DB8" w:rsidRPr="00312893" w:rsidRDefault="00253DB8" w:rsidP="0043751F">
            <w:pPr>
              <w:spacing w:line="280" w:lineRule="atLeast"/>
              <w:ind w:left="-90" w:right="323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3,95</w:t>
            </w:r>
          </w:p>
        </w:tc>
        <w:tc>
          <w:tcPr>
            <w:tcW w:w="1547" w:type="dxa"/>
            <w:vAlign w:val="center"/>
          </w:tcPr>
          <w:p w14:paraId="548E6CC2" w14:textId="77777777" w:rsidR="00253DB8" w:rsidRPr="00312893" w:rsidRDefault="00253DB8" w:rsidP="0043751F">
            <w:pPr>
              <w:spacing w:line="280" w:lineRule="atLeast"/>
              <w:ind w:right="450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5 179</w:t>
            </w:r>
          </w:p>
        </w:tc>
        <w:tc>
          <w:tcPr>
            <w:tcW w:w="1855" w:type="dxa"/>
            <w:vAlign w:val="center"/>
          </w:tcPr>
          <w:p w14:paraId="76EF4157" w14:textId="77777777" w:rsidR="00253DB8" w:rsidRPr="00312893" w:rsidRDefault="00A132FD" w:rsidP="0043751F">
            <w:pPr>
              <w:spacing w:line="280" w:lineRule="atLeast"/>
              <w:ind w:right="463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46 354</w:t>
            </w:r>
          </w:p>
        </w:tc>
        <w:tc>
          <w:tcPr>
            <w:tcW w:w="1984" w:type="dxa"/>
            <w:vAlign w:val="center"/>
          </w:tcPr>
          <w:p w14:paraId="53AA91E7" w14:textId="77777777" w:rsidR="00253DB8" w:rsidRPr="00312893" w:rsidRDefault="00A132FD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89,49</w:t>
            </w:r>
          </w:p>
        </w:tc>
        <w:tc>
          <w:tcPr>
            <w:tcW w:w="1701" w:type="dxa"/>
            <w:vAlign w:val="center"/>
          </w:tcPr>
          <w:p w14:paraId="51AC28F4" w14:textId="77777777" w:rsidR="00253DB8" w:rsidRPr="00312893" w:rsidRDefault="00253DB8" w:rsidP="006C6162">
            <w:pPr>
              <w:spacing w:line="280" w:lineRule="atLeast"/>
              <w:ind w:right="397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25 368</w:t>
            </w:r>
          </w:p>
        </w:tc>
        <w:tc>
          <w:tcPr>
            <w:tcW w:w="1843" w:type="dxa"/>
            <w:vAlign w:val="center"/>
          </w:tcPr>
          <w:p w14:paraId="54ABF0E8" w14:textId="77777777" w:rsidR="00253DB8" w:rsidRPr="00312893" w:rsidRDefault="00253DB8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48,97</w:t>
            </w:r>
          </w:p>
        </w:tc>
      </w:tr>
      <w:tr w:rsidR="00253DB8" w:rsidRPr="00312893" w14:paraId="05EBA760" w14:textId="77777777" w:rsidTr="0046275B">
        <w:trPr>
          <w:trHeight w:val="380"/>
        </w:trPr>
        <w:tc>
          <w:tcPr>
            <w:tcW w:w="986" w:type="dxa"/>
            <w:vAlign w:val="center"/>
          </w:tcPr>
          <w:p w14:paraId="07D90EBF" w14:textId="77777777" w:rsidR="00253DB8" w:rsidRPr="00312893" w:rsidRDefault="00253DB8" w:rsidP="00253DB8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IROP</w:t>
            </w:r>
          </w:p>
        </w:tc>
        <w:tc>
          <w:tcPr>
            <w:tcW w:w="1634" w:type="dxa"/>
            <w:tcBorders>
              <w:bottom w:val="single" w:sz="4" w:space="0" w:color="auto"/>
            </w:tcBorders>
            <w:vAlign w:val="center"/>
          </w:tcPr>
          <w:p w14:paraId="2D177BBF" w14:textId="7777777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122 796 078 423</w:t>
            </w:r>
          </w:p>
        </w:tc>
        <w:tc>
          <w:tcPr>
            <w:tcW w:w="1469" w:type="dxa"/>
            <w:tcBorders>
              <w:bottom w:val="single" w:sz="4" w:space="0" w:color="auto"/>
            </w:tcBorders>
            <w:vAlign w:val="center"/>
          </w:tcPr>
          <w:p w14:paraId="78F3175D" w14:textId="77777777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3 580 193 040</w:t>
            </w:r>
          </w:p>
        </w:tc>
        <w:tc>
          <w:tcPr>
            <w:tcW w:w="1298" w:type="dxa"/>
            <w:vAlign w:val="center"/>
          </w:tcPr>
          <w:p w14:paraId="20D447D8" w14:textId="77777777" w:rsidR="00253DB8" w:rsidRPr="00312893" w:rsidRDefault="00253DB8" w:rsidP="0043751F">
            <w:pPr>
              <w:spacing w:line="280" w:lineRule="atLeast"/>
              <w:ind w:left="-90" w:right="323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2,92</w:t>
            </w:r>
          </w:p>
        </w:tc>
        <w:tc>
          <w:tcPr>
            <w:tcW w:w="1547" w:type="dxa"/>
            <w:vAlign w:val="center"/>
          </w:tcPr>
          <w:p w14:paraId="0AD4E318" w14:textId="77777777" w:rsidR="00253DB8" w:rsidRPr="00312893" w:rsidRDefault="00253DB8" w:rsidP="0043751F">
            <w:pPr>
              <w:spacing w:line="280" w:lineRule="atLeast"/>
              <w:ind w:right="450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6 042</w:t>
            </w:r>
          </w:p>
        </w:tc>
        <w:tc>
          <w:tcPr>
            <w:tcW w:w="1855" w:type="dxa"/>
            <w:vAlign w:val="center"/>
          </w:tcPr>
          <w:p w14:paraId="2418B6FC" w14:textId="77777777" w:rsidR="00253DB8" w:rsidRPr="00312893" w:rsidRDefault="00A132FD" w:rsidP="0043751F">
            <w:pPr>
              <w:spacing w:line="280" w:lineRule="atLeast"/>
              <w:ind w:right="463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83 730</w:t>
            </w:r>
          </w:p>
        </w:tc>
        <w:tc>
          <w:tcPr>
            <w:tcW w:w="1984" w:type="dxa"/>
            <w:vAlign w:val="center"/>
          </w:tcPr>
          <w:p w14:paraId="63309BEA" w14:textId="77777777" w:rsidR="00253DB8" w:rsidRPr="00312893" w:rsidRDefault="00A132FD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76,03</w:t>
            </w:r>
          </w:p>
        </w:tc>
        <w:tc>
          <w:tcPr>
            <w:tcW w:w="1701" w:type="dxa"/>
            <w:vAlign w:val="center"/>
          </w:tcPr>
          <w:p w14:paraId="5ADA4CF4" w14:textId="77777777" w:rsidR="00253DB8" w:rsidRPr="00312893" w:rsidRDefault="00253DB8" w:rsidP="006C6162">
            <w:pPr>
              <w:spacing w:line="280" w:lineRule="atLeast"/>
              <w:ind w:right="397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25 291</w:t>
            </w:r>
          </w:p>
        </w:tc>
        <w:tc>
          <w:tcPr>
            <w:tcW w:w="1843" w:type="dxa"/>
            <w:vAlign w:val="center"/>
          </w:tcPr>
          <w:p w14:paraId="03C70A88" w14:textId="77777777" w:rsidR="00253DB8" w:rsidRPr="00312893" w:rsidRDefault="00253DB8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22,96</w:t>
            </w:r>
          </w:p>
        </w:tc>
      </w:tr>
      <w:tr w:rsidR="00253DB8" w:rsidRPr="00312893" w14:paraId="0135B2A2" w14:textId="77777777" w:rsidTr="0046275B">
        <w:trPr>
          <w:trHeight w:val="38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0C88B" w14:textId="77777777" w:rsidR="00253DB8" w:rsidRPr="00312893" w:rsidRDefault="00253DB8" w:rsidP="00253DB8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OPTP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A5EF4" w14:textId="495FAEA2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color w:val="000000"/>
                <w:sz w:val="20"/>
                <w:szCs w:val="20"/>
              </w:rPr>
              <w:t>5 406 184 124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9840B" w14:textId="51D8CB6F" w:rsidR="00253DB8" w:rsidRPr="00312893" w:rsidRDefault="00E011D2" w:rsidP="00E011D2">
            <w:pPr>
              <w:spacing w:line="280" w:lineRule="atLeast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–</w:t>
            </w:r>
            <w:r w:rsidR="00253DB8" w:rsidRPr="00312893">
              <w:rPr>
                <w:rFonts w:cstheme="minorHAnsi"/>
                <w:color w:val="000000"/>
                <w:sz w:val="20"/>
                <w:szCs w:val="20"/>
              </w:rPr>
              <w:t>*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65D2" w14:textId="23B054E0" w:rsidR="00253DB8" w:rsidRPr="00312893" w:rsidRDefault="00E011D2" w:rsidP="00E011D2">
            <w:pPr>
              <w:spacing w:line="280" w:lineRule="atLeast"/>
              <w:ind w:left="-90" w:right="323"/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–</w:t>
            </w:r>
            <w:r w:rsidR="00253DB8" w:rsidRPr="00312893">
              <w:rPr>
                <w:rFonts w:cstheme="minorHAnsi"/>
                <w:sz w:val="20"/>
                <w:szCs w:val="20"/>
              </w:rPr>
              <w:t>*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E229A" w14:textId="4D50F69E" w:rsidR="00253DB8" w:rsidRPr="00312893" w:rsidRDefault="00253DB8" w:rsidP="0043751F">
            <w:pPr>
              <w:spacing w:line="280" w:lineRule="atLeast"/>
              <w:ind w:right="450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154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246B" w14:textId="2CBC204A" w:rsidR="00253DB8" w:rsidRPr="00312893" w:rsidRDefault="00A132FD" w:rsidP="0043751F">
            <w:pPr>
              <w:spacing w:line="280" w:lineRule="atLeast"/>
              <w:ind w:right="463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4 447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BF8BD" w14:textId="77777777" w:rsidR="00253DB8" w:rsidRPr="00312893" w:rsidRDefault="00A132FD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82,00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2124C" w14:textId="71F67FD1" w:rsidR="00253DB8" w:rsidRPr="00312893" w:rsidRDefault="00253DB8" w:rsidP="006C6162">
            <w:pPr>
              <w:spacing w:line="280" w:lineRule="atLeast"/>
              <w:ind w:right="397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2 256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4CAD2" w14:textId="77777777" w:rsidR="00253DB8" w:rsidRPr="00312893" w:rsidRDefault="00253DB8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41,61</w:t>
            </w:r>
          </w:p>
        </w:tc>
      </w:tr>
      <w:tr w:rsidR="00253DB8" w:rsidRPr="00312893" w14:paraId="1BE63C30" w14:textId="77777777" w:rsidTr="0046275B">
        <w:trPr>
          <w:trHeight w:val="38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2AA40" w14:textId="77777777" w:rsidR="00253DB8" w:rsidRPr="00312893" w:rsidRDefault="00253DB8" w:rsidP="00253DB8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OPPPR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A11F8" w14:textId="61FF0C44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color w:val="000000"/>
                <w:sz w:val="20"/>
                <w:szCs w:val="20"/>
              </w:rPr>
              <w:t>5 196 992 881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04FB0" w14:textId="44D5E052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color w:val="000000"/>
                <w:sz w:val="20"/>
                <w:szCs w:val="20"/>
              </w:rPr>
              <w:t>207 879 711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DF70" w14:textId="77777777" w:rsidR="00253DB8" w:rsidRPr="00312893" w:rsidRDefault="00253DB8" w:rsidP="0043751F">
            <w:pPr>
              <w:spacing w:line="280" w:lineRule="atLeast"/>
              <w:ind w:left="-90" w:right="323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4,00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6FD" w14:textId="16840EF2" w:rsidR="00253DB8" w:rsidRPr="00312893" w:rsidRDefault="00253DB8" w:rsidP="0043751F">
            <w:pPr>
              <w:spacing w:line="280" w:lineRule="atLeast"/>
              <w:ind w:right="450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713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BF95" w14:textId="6938BC72" w:rsidR="00253DB8" w:rsidRPr="00312893" w:rsidRDefault="00A132FD" w:rsidP="0043751F">
            <w:pPr>
              <w:spacing w:line="280" w:lineRule="atLeast"/>
              <w:ind w:right="463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3 340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38F65" w14:textId="77777777" w:rsidR="00253DB8" w:rsidRPr="00312893" w:rsidRDefault="00A132FD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68,59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0EE7B" w14:textId="2B14697E" w:rsidR="00253DB8" w:rsidRPr="00312893" w:rsidRDefault="00253DB8" w:rsidP="006C6162">
            <w:pPr>
              <w:spacing w:line="280" w:lineRule="atLeast"/>
              <w:ind w:right="397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1 572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9C7E3" w14:textId="77777777" w:rsidR="00253DB8" w:rsidRPr="00312893" w:rsidRDefault="00253DB8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32,28</w:t>
            </w:r>
          </w:p>
        </w:tc>
      </w:tr>
      <w:tr w:rsidR="00253DB8" w:rsidRPr="00312893" w14:paraId="261AE387" w14:textId="77777777" w:rsidTr="0046275B">
        <w:trPr>
          <w:trHeight w:val="380"/>
        </w:trPr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C66A" w14:textId="77777777" w:rsidR="00253DB8" w:rsidRPr="00312893" w:rsidRDefault="00253DB8" w:rsidP="00253DB8">
            <w:pPr>
              <w:spacing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12893">
              <w:rPr>
                <w:rFonts w:cstheme="minorHAnsi"/>
                <w:b/>
                <w:sz w:val="20"/>
                <w:szCs w:val="20"/>
              </w:rPr>
              <w:t>OPR</w:t>
            </w:r>
          </w:p>
        </w:tc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BCD91" w14:textId="309769B9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color w:val="000000"/>
                <w:sz w:val="20"/>
                <w:szCs w:val="20"/>
              </w:rPr>
              <w:t>801 964 627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ED39" w14:textId="7C3DD621" w:rsidR="00253DB8" w:rsidRPr="00312893" w:rsidRDefault="00253DB8" w:rsidP="006C6162">
            <w:pPr>
              <w:spacing w:line="280" w:lineRule="atLeast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color w:val="000000"/>
                <w:sz w:val="20"/>
                <w:szCs w:val="20"/>
              </w:rPr>
              <w:t>44 014 194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E6A5E" w14:textId="77777777" w:rsidR="00253DB8" w:rsidRPr="00312893" w:rsidRDefault="00253DB8" w:rsidP="0043751F">
            <w:pPr>
              <w:spacing w:line="280" w:lineRule="atLeast"/>
              <w:ind w:left="-90" w:right="323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5,49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356A3" w14:textId="7B969727" w:rsidR="00253DB8" w:rsidRPr="00312893" w:rsidRDefault="00253DB8" w:rsidP="0043751F">
            <w:pPr>
              <w:spacing w:line="280" w:lineRule="atLeast"/>
              <w:ind w:right="450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599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97CA" w14:textId="07824B69" w:rsidR="00253DB8" w:rsidRPr="00312893" w:rsidRDefault="00A132FD" w:rsidP="006C6162">
            <w:pPr>
              <w:spacing w:line="280" w:lineRule="atLeast"/>
              <w:ind w:right="463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474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EDB6D" w14:textId="77777777" w:rsidR="00253DB8" w:rsidRPr="00312893" w:rsidRDefault="00A132FD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A132FD">
              <w:rPr>
                <w:rFonts w:cstheme="minorHAnsi"/>
                <w:sz w:val="20"/>
                <w:szCs w:val="20"/>
              </w:rPr>
              <w:t>63,14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C387" w14:textId="1578FCA3" w:rsidR="00253DB8" w:rsidRPr="00312893" w:rsidRDefault="00253DB8" w:rsidP="006C6162">
            <w:pPr>
              <w:spacing w:line="280" w:lineRule="atLeast"/>
              <w:ind w:right="397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188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E1790" w14:textId="77777777" w:rsidR="00253DB8" w:rsidRPr="00312893" w:rsidRDefault="00253DB8" w:rsidP="0043751F">
            <w:pPr>
              <w:spacing w:line="280" w:lineRule="atLeast"/>
              <w:ind w:right="594"/>
              <w:jc w:val="right"/>
              <w:rPr>
                <w:rFonts w:cstheme="minorHAnsi"/>
                <w:sz w:val="20"/>
                <w:szCs w:val="20"/>
              </w:rPr>
            </w:pPr>
            <w:r w:rsidRPr="00312893">
              <w:rPr>
                <w:rFonts w:cstheme="minorHAnsi"/>
                <w:sz w:val="20"/>
                <w:szCs w:val="20"/>
              </w:rPr>
              <w:t>25,03</w:t>
            </w:r>
          </w:p>
        </w:tc>
      </w:tr>
    </w:tbl>
    <w:p w14:paraId="70978151" w14:textId="71AE7C1C" w:rsidR="00253DB8" w:rsidRPr="00312893" w:rsidRDefault="00253DB8" w:rsidP="006C6162">
      <w:pPr>
        <w:spacing w:after="0" w:line="280" w:lineRule="atLeast"/>
        <w:ind w:left="567" w:hanging="567"/>
        <w:jc w:val="both"/>
        <w:rPr>
          <w:rFonts w:cstheme="minorHAnsi"/>
          <w:sz w:val="20"/>
          <w:szCs w:val="20"/>
        </w:rPr>
      </w:pPr>
      <w:r w:rsidRPr="00312893">
        <w:rPr>
          <w:rFonts w:cstheme="minorHAnsi"/>
          <w:b/>
          <w:sz w:val="20"/>
          <w:szCs w:val="20"/>
        </w:rPr>
        <w:t>Zdroj:</w:t>
      </w:r>
      <w:r w:rsidRPr="00312893">
        <w:rPr>
          <w:rFonts w:cstheme="minorHAnsi"/>
          <w:sz w:val="20"/>
          <w:szCs w:val="20"/>
        </w:rPr>
        <w:tab/>
      </w:r>
      <w:r w:rsidR="006C6162">
        <w:rPr>
          <w:rFonts w:cstheme="minorHAnsi"/>
          <w:sz w:val="20"/>
          <w:szCs w:val="20"/>
        </w:rPr>
        <w:t>a</w:t>
      </w:r>
      <w:r w:rsidRPr="00312893">
        <w:rPr>
          <w:rFonts w:cstheme="minorHAnsi"/>
          <w:sz w:val="20"/>
          <w:szCs w:val="20"/>
        </w:rPr>
        <w:t xml:space="preserve">ktuální verze </w:t>
      </w:r>
      <w:r w:rsidR="006C6162">
        <w:rPr>
          <w:rFonts w:cstheme="minorHAnsi"/>
          <w:sz w:val="20"/>
          <w:szCs w:val="20"/>
        </w:rPr>
        <w:t>p</w:t>
      </w:r>
      <w:r w:rsidRPr="00312893">
        <w:rPr>
          <w:rFonts w:cstheme="minorHAnsi"/>
          <w:sz w:val="20"/>
          <w:szCs w:val="20"/>
        </w:rPr>
        <w:t xml:space="preserve">rogramových dokumentů OPPIK, OPŽP, OPD, OPVVV, OPZ, IROP, OPTP, OPPPR a OPR, </w:t>
      </w:r>
      <w:r w:rsidR="006C6162">
        <w:rPr>
          <w:rFonts w:cstheme="minorHAnsi"/>
          <w:sz w:val="20"/>
          <w:szCs w:val="20"/>
        </w:rPr>
        <w:t>d</w:t>
      </w:r>
      <w:r w:rsidRPr="00312893">
        <w:rPr>
          <w:rFonts w:cstheme="minorHAnsi"/>
          <w:sz w:val="20"/>
          <w:szCs w:val="20"/>
        </w:rPr>
        <w:t xml:space="preserve">ata z MS2014+, </w:t>
      </w:r>
      <w:r w:rsidRPr="006C6162">
        <w:rPr>
          <w:rFonts w:cstheme="minorHAnsi"/>
          <w:i/>
          <w:sz w:val="20"/>
          <w:szCs w:val="20"/>
        </w:rPr>
        <w:t>Čtvrtletní zpráva o implementaci ESI fondů v České republice v programovém období</w:t>
      </w:r>
      <w:r w:rsidR="00F023D5" w:rsidRPr="006C6162">
        <w:rPr>
          <w:rFonts w:cstheme="minorHAnsi"/>
          <w:i/>
          <w:sz w:val="20"/>
          <w:szCs w:val="20"/>
        </w:rPr>
        <w:t xml:space="preserve"> 2014–2020 </w:t>
      </w:r>
      <w:r w:rsidR="006C6162">
        <w:rPr>
          <w:rFonts w:cstheme="minorHAnsi"/>
          <w:i/>
          <w:sz w:val="20"/>
          <w:szCs w:val="20"/>
        </w:rPr>
        <w:t>–</w:t>
      </w:r>
      <w:r w:rsidR="00F023D5" w:rsidRPr="006C6162">
        <w:rPr>
          <w:rFonts w:cstheme="minorHAnsi"/>
          <w:i/>
          <w:sz w:val="20"/>
          <w:szCs w:val="20"/>
        </w:rPr>
        <w:t xml:space="preserve"> I. čtvrtletí 2019</w:t>
      </w:r>
      <w:r w:rsidR="00F023D5">
        <w:rPr>
          <w:rFonts w:cstheme="minorHAnsi"/>
          <w:sz w:val="20"/>
          <w:szCs w:val="20"/>
        </w:rPr>
        <w:t>.</w:t>
      </w:r>
    </w:p>
    <w:p w14:paraId="7F48E101" w14:textId="722F86D9" w:rsidR="00253DB8" w:rsidRPr="00312893" w:rsidRDefault="00253DB8" w:rsidP="00CD1B60">
      <w:pPr>
        <w:spacing w:after="0" w:line="280" w:lineRule="atLeast"/>
        <w:ind w:left="284" w:hanging="284"/>
        <w:rPr>
          <w:rFonts w:cstheme="minorHAnsi"/>
          <w:sz w:val="20"/>
          <w:szCs w:val="20"/>
        </w:rPr>
      </w:pPr>
      <w:r w:rsidRPr="00312893">
        <w:rPr>
          <w:rFonts w:cstheme="minorHAnsi"/>
          <w:sz w:val="20"/>
          <w:szCs w:val="20"/>
        </w:rPr>
        <w:t xml:space="preserve">* Vzhledem k charakteru </w:t>
      </w:r>
      <w:r w:rsidR="00BA08CD">
        <w:rPr>
          <w:rFonts w:cstheme="minorHAnsi"/>
          <w:sz w:val="20"/>
          <w:szCs w:val="20"/>
        </w:rPr>
        <w:t>o</w:t>
      </w:r>
      <w:r w:rsidRPr="00312893">
        <w:rPr>
          <w:rFonts w:cstheme="minorHAnsi"/>
          <w:sz w:val="20"/>
          <w:szCs w:val="20"/>
        </w:rPr>
        <w:t>peračního programu není stanoveno.</w:t>
      </w:r>
    </w:p>
    <w:p w14:paraId="29ECE8D0" w14:textId="77777777" w:rsidR="00E14424" w:rsidRPr="007F1D90" w:rsidRDefault="00E14424" w:rsidP="00E14424">
      <w:pPr>
        <w:spacing w:after="0" w:line="280" w:lineRule="atLeast"/>
        <w:jc w:val="both"/>
        <w:rPr>
          <w:rFonts w:cstheme="minorHAnsi"/>
          <w:color w:val="000000"/>
          <w:highlight w:val="yellow"/>
        </w:rPr>
      </w:pPr>
    </w:p>
    <w:p w14:paraId="00AC3A60" w14:textId="77777777" w:rsidR="00E14424" w:rsidRPr="00C465A0" w:rsidRDefault="00E14424">
      <w:pPr>
        <w:rPr>
          <w:rFonts w:cstheme="minorHAnsi"/>
          <w:color w:val="000000" w:themeColor="text1"/>
          <w:sz w:val="24"/>
          <w:szCs w:val="24"/>
        </w:rPr>
      </w:pPr>
    </w:p>
    <w:p w14:paraId="6A481AF0" w14:textId="77777777" w:rsidR="00415F38" w:rsidRPr="00C465A0" w:rsidRDefault="00415F38">
      <w:pPr>
        <w:rPr>
          <w:rFonts w:cstheme="minorHAnsi"/>
          <w:color w:val="000000" w:themeColor="text1"/>
          <w:sz w:val="24"/>
          <w:szCs w:val="24"/>
        </w:rPr>
        <w:sectPr w:rsidR="00415F38" w:rsidRPr="00C465A0" w:rsidSect="00E60B26">
          <w:pgSz w:w="16838" w:h="11906" w:orient="landscape"/>
          <w:pgMar w:top="1417" w:right="1418" w:bottom="1417" w:left="1135" w:header="708" w:footer="708" w:gutter="0"/>
          <w:cols w:space="708"/>
          <w:docGrid w:linePitch="360"/>
        </w:sectPr>
      </w:pPr>
    </w:p>
    <w:p w14:paraId="6B3E4D84" w14:textId="77777777" w:rsidR="00AE4E5E" w:rsidRPr="007F1D90" w:rsidRDefault="00AE4E5E" w:rsidP="00C465A0">
      <w:pPr>
        <w:spacing w:after="0" w:line="280" w:lineRule="atLeast"/>
        <w:jc w:val="right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Příloha č. </w:t>
      </w:r>
      <w:r w:rsidR="00AB5A00">
        <w:rPr>
          <w:rFonts w:cstheme="minorHAnsi"/>
          <w:b/>
          <w:color w:val="000000" w:themeColor="text1"/>
          <w:sz w:val="24"/>
          <w:szCs w:val="24"/>
        </w:rPr>
        <w:t>4</w:t>
      </w:r>
    </w:p>
    <w:p w14:paraId="5030AE93" w14:textId="77777777" w:rsidR="00555A20" w:rsidRPr="00C465A0" w:rsidRDefault="00555A20" w:rsidP="00C465A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76A60D59" w14:textId="43F26B61" w:rsidR="00555A20" w:rsidRPr="00312893" w:rsidRDefault="00555A20" w:rsidP="00C465A0">
      <w:pPr>
        <w:spacing w:after="0" w:line="280" w:lineRule="atLeast"/>
        <w:jc w:val="both"/>
        <w:rPr>
          <w:rFonts w:cstheme="minorHAnsi"/>
          <w:b/>
        </w:rPr>
      </w:pPr>
      <w:r w:rsidRPr="00312893">
        <w:rPr>
          <w:rFonts w:cstheme="minorHAnsi"/>
          <w:b/>
        </w:rPr>
        <w:t xml:space="preserve">Graf č. </w:t>
      </w:r>
      <w:r>
        <w:rPr>
          <w:rFonts w:cstheme="minorHAnsi"/>
          <w:b/>
        </w:rPr>
        <w:t>3</w:t>
      </w:r>
      <w:r w:rsidRPr="00312893">
        <w:rPr>
          <w:rFonts w:cstheme="minorHAnsi"/>
          <w:b/>
        </w:rPr>
        <w:t xml:space="preserve">: Přehled </w:t>
      </w:r>
      <w:r>
        <w:rPr>
          <w:rFonts w:cstheme="minorHAnsi"/>
          <w:b/>
        </w:rPr>
        <w:t>hlavní</w:t>
      </w:r>
      <w:r w:rsidR="0069151C">
        <w:rPr>
          <w:rFonts w:cstheme="minorHAnsi"/>
          <w:b/>
        </w:rPr>
        <w:t>ch</w:t>
      </w:r>
      <w:r>
        <w:rPr>
          <w:rFonts w:cstheme="minorHAnsi"/>
          <w:b/>
        </w:rPr>
        <w:t xml:space="preserve"> </w:t>
      </w:r>
      <w:r w:rsidRPr="00312893">
        <w:rPr>
          <w:rFonts w:cstheme="minorHAnsi"/>
          <w:b/>
        </w:rPr>
        <w:t>alokac</w:t>
      </w:r>
      <w:r w:rsidR="0069151C">
        <w:rPr>
          <w:rFonts w:cstheme="minorHAnsi"/>
          <w:b/>
        </w:rPr>
        <w:t>í</w:t>
      </w:r>
      <w:r w:rsidRPr="00312893">
        <w:rPr>
          <w:rFonts w:cstheme="minorHAnsi"/>
          <w:b/>
        </w:rPr>
        <w:t xml:space="preserve"> </w:t>
      </w:r>
      <w:r w:rsidR="0069151C">
        <w:rPr>
          <w:rFonts w:cstheme="minorHAnsi"/>
          <w:b/>
        </w:rPr>
        <w:t>o</w:t>
      </w:r>
      <w:r w:rsidRPr="00312893">
        <w:rPr>
          <w:rFonts w:cstheme="minorHAnsi"/>
          <w:b/>
        </w:rPr>
        <w:t>perační</w:t>
      </w:r>
      <w:r w:rsidR="0069151C">
        <w:rPr>
          <w:rFonts w:cstheme="minorHAnsi"/>
          <w:b/>
        </w:rPr>
        <w:t>ch</w:t>
      </w:r>
      <w:r w:rsidRPr="00312893">
        <w:rPr>
          <w:rFonts w:cstheme="minorHAnsi"/>
          <w:b/>
        </w:rPr>
        <w:t xml:space="preserve"> program</w:t>
      </w:r>
      <w:r w:rsidR="0069151C">
        <w:rPr>
          <w:rFonts w:cstheme="minorHAnsi"/>
          <w:b/>
        </w:rPr>
        <w:t>ů</w:t>
      </w:r>
      <w:r w:rsidRPr="00312893">
        <w:rPr>
          <w:rFonts w:cstheme="minorHAnsi"/>
          <w:b/>
        </w:rPr>
        <w:t xml:space="preserve"> ČR</w:t>
      </w:r>
      <w:r>
        <w:rPr>
          <w:rFonts w:cstheme="minorHAnsi"/>
          <w:b/>
        </w:rPr>
        <w:t xml:space="preserve"> (v mld. Kč)</w:t>
      </w:r>
    </w:p>
    <w:p w14:paraId="5B5B0844" w14:textId="77777777" w:rsidR="00555A20" w:rsidRPr="00312893" w:rsidRDefault="002C0B67" w:rsidP="00C465A0">
      <w:pPr>
        <w:spacing w:after="0" w:line="280" w:lineRule="atLeast"/>
        <w:jc w:val="both"/>
        <w:rPr>
          <w:rFonts w:cstheme="minorHAnsi"/>
        </w:rPr>
      </w:pPr>
      <w:r>
        <w:rPr>
          <w:noProof/>
          <w:lang w:eastAsia="cs-CZ"/>
        </w:rPr>
        <w:drawing>
          <wp:inline distT="0" distB="0" distL="0" distR="0" wp14:anchorId="5C83459D" wp14:editId="33013AC5">
            <wp:extent cx="5479576" cy="2654490"/>
            <wp:effectExtent l="0" t="0" r="6985" b="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14:paraId="4E58F923" w14:textId="093ABE49" w:rsidR="00555A20" w:rsidRPr="00312893" w:rsidRDefault="00555A20" w:rsidP="001B09C0">
      <w:pPr>
        <w:spacing w:after="0" w:line="280" w:lineRule="atLeast"/>
        <w:ind w:left="567" w:hanging="567"/>
        <w:rPr>
          <w:rFonts w:cstheme="minorHAnsi"/>
          <w:b/>
          <w:sz w:val="20"/>
          <w:szCs w:val="20"/>
        </w:rPr>
      </w:pPr>
      <w:r w:rsidRPr="00312893">
        <w:rPr>
          <w:rFonts w:cstheme="minorHAnsi"/>
          <w:b/>
          <w:sz w:val="20"/>
          <w:szCs w:val="20"/>
        </w:rPr>
        <w:t xml:space="preserve">Zdroj: </w:t>
      </w:r>
      <w:r w:rsidRPr="00312893">
        <w:rPr>
          <w:rFonts w:cstheme="minorHAnsi"/>
          <w:b/>
          <w:sz w:val="20"/>
          <w:szCs w:val="20"/>
        </w:rPr>
        <w:tab/>
      </w:r>
      <w:r w:rsidR="0069151C">
        <w:rPr>
          <w:rFonts w:cstheme="minorHAnsi"/>
          <w:sz w:val="20"/>
          <w:szCs w:val="20"/>
        </w:rPr>
        <w:t>a</w:t>
      </w:r>
      <w:r w:rsidRPr="00312893">
        <w:rPr>
          <w:rFonts w:cstheme="minorHAnsi"/>
          <w:sz w:val="20"/>
          <w:szCs w:val="20"/>
        </w:rPr>
        <w:t xml:space="preserve">ktuální verze </w:t>
      </w:r>
      <w:r w:rsidR="0069151C">
        <w:rPr>
          <w:rFonts w:cstheme="minorHAnsi"/>
          <w:sz w:val="20"/>
          <w:szCs w:val="20"/>
        </w:rPr>
        <w:t>p</w:t>
      </w:r>
      <w:r w:rsidRPr="00312893">
        <w:rPr>
          <w:rFonts w:cstheme="minorHAnsi"/>
          <w:sz w:val="20"/>
          <w:szCs w:val="20"/>
        </w:rPr>
        <w:t>rogramových dokumentů OPPIK, OPŽP, OPD, OPVVV</w:t>
      </w:r>
      <w:r w:rsidR="00F023D5">
        <w:rPr>
          <w:rFonts w:cstheme="minorHAnsi"/>
          <w:sz w:val="20"/>
          <w:szCs w:val="20"/>
        </w:rPr>
        <w:t>, OPZ, IROP, OPTP, OPPPR a OPR</w:t>
      </w:r>
      <w:r w:rsidRPr="00312893">
        <w:rPr>
          <w:rFonts w:cstheme="minorHAnsi"/>
          <w:sz w:val="20"/>
          <w:szCs w:val="20"/>
        </w:rPr>
        <w:t>.</w:t>
      </w:r>
    </w:p>
    <w:p w14:paraId="465A84CA" w14:textId="77777777" w:rsidR="00555A20" w:rsidRDefault="00555A20" w:rsidP="00C465A0">
      <w:pPr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p w14:paraId="19A50164" w14:textId="77777777" w:rsidR="00C465A0" w:rsidRPr="00C465A0" w:rsidRDefault="00C465A0" w:rsidP="00C465A0">
      <w:pPr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p w14:paraId="6A332228" w14:textId="77777777" w:rsidR="00C465A0" w:rsidRPr="00C465A0" w:rsidRDefault="00C465A0" w:rsidP="00C465A0">
      <w:pPr>
        <w:spacing w:after="0" w:line="280" w:lineRule="atLeast"/>
        <w:rPr>
          <w:rFonts w:cstheme="minorHAnsi"/>
          <w:color w:val="000000" w:themeColor="text1"/>
          <w:sz w:val="24"/>
          <w:szCs w:val="24"/>
        </w:rPr>
      </w:pPr>
    </w:p>
    <w:p w14:paraId="46B247A6" w14:textId="77777777" w:rsidR="00415F38" w:rsidRDefault="00555A20" w:rsidP="00C465A0">
      <w:pPr>
        <w:spacing w:after="0" w:line="280" w:lineRule="atLeast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t>Příloha č. </w:t>
      </w:r>
      <w:r w:rsidR="00AB5A00">
        <w:rPr>
          <w:rFonts w:cstheme="minorHAnsi"/>
          <w:b/>
          <w:color w:val="000000" w:themeColor="text1"/>
          <w:sz w:val="24"/>
          <w:szCs w:val="24"/>
        </w:rPr>
        <w:t>5</w:t>
      </w:r>
    </w:p>
    <w:p w14:paraId="40739375" w14:textId="77777777" w:rsidR="00415F38" w:rsidRPr="00C465A0" w:rsidRDefault="00415F38" w:rsidP="00C465A0">
      <w:pPr>
        <w:spacing w:after="0" w:line="280" w:lineRule="atLeast"/>
        <w:rPr>
          <w:rFonts w:cstheme="minorHAnsi"/>
          <w:sz w:val="24"/>
          <w:szCs w:val="24"/>
        </w:rPr>
      </w:pPr>
    </w:p>
    <w:p w14:paraId="2CECB56A" w14:textId="52153F13" w:rsidR="00415F38" w:rsidRPr="00312893" w:rsidRDefault="00415F38" w:rsidP="00C465A0">
      <w:pPr>
        <w:spacing w:after="0" w:line="280" w:lineRule="atLeast"/>
        <w:jc w:val="both"/>
        <w:rPr>
          <w:rFonts w:cstheme="minorHAnsi"/>
          <w:b/>
        </w:rPr>
      </w:pPr>
      <w:r w:rsidRPr="00312893">
        <w:rPr>
          <w:rFonts w:cstheme="minorHAnsi"/>
          <w:b/>
        </w:rPr>
        <w:t xml:space="preserve">Graf č. </w:t>
      </w:r>
      <w:r w:rsidR="00555A20">
        <w:rPr>
          <w:rFonts w:cstheme="minorHAnsi"/>
          <w:b/>
        </w:rPr>
        <w:t>4</w:t>
      </w:r>
      <w:r w:rsidRPr="00312893">
        <w:rPr>
          <w:rFonts w:cstheme="minorHAnsi"/>
          <w:b/>
        </w:rPr>
        <w:t>: Přehled administrativní</w:t>
      </w:r>
      <w:r w:rsidR="0069151C">
        <w:rPr>
          <w:rFonts w:cstheme="minorHAnsi"/>
          <w:b/>
        </w:rPr>
        <w:t>ch</w:t>
      </w:r>
      <w:r w:rsidRPr="00312893">
        <w:rPr>
          <w:rFonts w:cstheme="minorHAnsi"/>
          <w:b/>
        </w:rPr>
        <w:t xml:space="preserve"> kapacit pro </w:t>
      </w:r>
      <w:r w:rsidR="0069151C">
        <w:rPr>
          <w:rFonts w:cstheme="minorHAnsi"/>
          <w:b/>
        </w:rPr>
        <w:t>o</w:t>
      </w:r>
      <w:r w:rsidRPr="00312893">
        <w:rPr>
          <w:rFonts w:cstheme="minorHAnsi"/>
          <w:b/>
        </w:rPr>
        <w:t>perační programy ČR v roce 2018</w:t>
      </w:r>
      <w:r w:rsidR="00555A20">
        <w:rPr>
          <w:rFonts w:cstheme="minorHAnsi"/>
          <w:b/>
        </w:rPr>
        <w:t xml:space="preserve"> (ve FTE)</w:t>
      </w:r>
    </w:p>
    <w:p w14:paraId="0FF8690B" w14:textId="77777777" w:rsidR="00415F38" w:rsidRPr="00312893" w:rsidRDefault="008716C6" w:rsidP="00C465A0">
      <w:pPr>
        <w:spacing w:after="0" w:line="280" w:lineRule="atLeast"/>
        <w:jc w:val="both"/>
        <w:rPr>
          <w:rFonts w:cstheme="minorHAnsi"/>
        </w:rPr>
      </w:pPr>
      <w:r>
        <w:rPr>
          <w:noProof/>
          <w:lang w:eastAsia="cs-CZ"/>
        </w:rPr>
        <w:drawing>
          <wp:inline distT="0" distB="0" distL="0" distR="0" wp14:anchorId="664E288B" wp14:editId="3D08B5B0">
            <wp:extent cx="5760720" cy="3069590"/>
            <wp:effectExtent l="0" t="0" r="0" b="0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14:paraId="47E2940D" w14:textId="36012B21" w:rsidR="00415F38" w:rsidRPr="00312893" w:rsidRDefault="00415F38" w:rsidP="001B09C0">
      <w:pPr>
        <w:spacing w:after="0" w:line="280" w:lineRule="atLeast"/>
        <w:ind w:left="567" w:hanging="567"/>
        <w:rPr>
          <w:rFonts w:cstheme="minorHAnsi"/>
          <w:sz w:val="20"/>
          <w:szCs w:val="20"/>
        </w:rPr>
      </w:pPr>
      <w:r w:rsidRPr="00312893">
        <w:rPr>
          <w:rFonts w:cstheme="minorHAnsi"/>
          <w:b/>
          <w:sz w:val="20"/>
          <w:szCs w:val="20"/>
        </w:rPr>
        <w:t>Zdroj:</w:t>
      </w:r>
      <w:r w:rsidRPr="00312893">
        <w:rPr>
          <w:rFonts w:cstheme="minorHAnsi"/>
          <w:sz w:val="20"/>
          <w:szCs w:val="20"/>
        </w:rPr>
        <w:tab/>
      </w:r>
      <w:r w:rsidR="0069151C">
        <w:rPr>
          <w:rFonts w:cstheme="minorHAnsi"/>
          <w:sz w:val="20"/>
          <w:szCs w:val="20"/>
        </w:rPr>
        <w:t>ú</w:t>
      </w:r>
      <w:r w:rsidR="00F023D5">
        <w:rPr>
          <w:rFonts w:cstheme="minorHAnsi"/>
          <w:sz w:val="20"/>
          <w:szCs w:val="20"/>
        </w:rPr>
        <w:t>daje od MPO</w:t>
      </w:r>
      <w:r w:rsidR="0069151C">
        <w:rPr>
          <w:rFonts w:cstheme="minorHAnsi"/>
          <w:sz w:val="20"/>
          <w:szCs w:val="20"/>
        </w:rPr>
        <w:t>,</w:t>
      </w:r>
      <w:r w:rsidR="00F023D5">
        <w:rPr>
          <w:rFonts w:cstheme="minorHAnsi"/>
          <w:sz w:val="20"/>
          <w:szCs w:val="20"/>
        </w:rPr>
        <w:t xml:space="preserve"> </w:t>
      </w:r>
      <w:r w:rsidRPr="003E0A2A">
        <w:rPr>
          <w:rFonts w:cstheme="minorHAnsi"/>
          <w:i/>
          <w:sz w:val="20"/>
          <w:szCs w:val="20"/>
        </w:rPr>
        <w:t>Informace o zajištění administrativní kapacity i</w:t>
      </w:r>
      <w:r w:rsidR="00E720C6" w:rsidRPr="003E0A2A">
        <w:rPr>
          <w:rFonts w:cstheme="minorHAnsi"/>
          <w:i/>
          <w:sz w:val="20"/>
          <w:szCs w:val="20"/>
        </w:rPr>
        <w:t>mplementační struktury Dohody o </w:t>
      </w:r>
      <w:r w:rsidRPr="003E0A2A">
        <w:rPr>
          <w:rFonts w:cstheme="minorHAnsi"/>
          <w:i/>
          <w:sz w:val="20"/>
          <w:szCs w:val="20"/>
        </w:rPr>
        <w:t xml:space="preserve">partnerství a Národního strategického </w:t>
      </w:r>
      <w:r w:rsidR="00F023D5" w:rsidRPr="003E0A2A">
        <w:rPr>
          <w:rFonts w:cstheme="minorHAnsi"/>
          <w:i/>
          <w:sz w:val="20"/>
          <w:szCs w:val="20"/>
        </w:rPr>
        <w:t xml:space="preserve">referenčního rámce za rok 2018 </w:t>
      </w:r>
      <w:r w:rsidR="0069151C">
        <w:rPr>
          <w:rFonts w:cstheme="minorHAnsi"/>
          <w:sz w:val="20"/>
          <w:szCs w:val="20"/>
        </w:rPr>
        <w:t>–</w:t>
      </w:r>
      <w:r w:rsidR="00F023D5" w:rsidRPr="0069151C">
        <w:rPr>
          <w:rFonts w:cstheme="minorHAnsi"/>
          <w:sz w:val="20"/>
          <w:szCs w:val="20"/>
        </w:rPr>
        <w:t xml:space="preserve"> draft</w:t>
      </w:r>
      <w:r w:rsidR="00F023D5">
        <w:rPr>
          <w:rFonts w:cstheme="minorHAnsi"/>
          <w:sz w:val="20"/>
          <w:szCs w:val="20"/>
        </w:rPr>
        <w:t>.</w:t>
      </w:r>
    </w:p>
    <w:p w14:paraId="5A569462" w14:textId="77777777" w:rsidR="00415F38" w:rsidRPr="00C465A0" w:rsidRDefault="00415F38" w:rsidP="00C465A0">
      <w:pPr>
        <w:spacing w:after="0"/>
        <w:rPr>
          <w:rFonts w:cstheme="minorHAnsi"/>
          <w:color w:val="000000" w:themeColor="text1"/>
          <w:sz w:val="24"/>
          <w:szCs w:val="24"/>
        </w:rPr>
      </w:pPr>
    </w:p>
    <w:p w14:paraId="46874F63" w14:textId="77777777" w:rsidR="00415F38" w:rsidRPr="00C465A0" w:rsidRDefault="00415F38">
      <w:pPr>
        <w:rPr>
          <w:rFonts w:cstheme="minorHAnsi"/>
          <w:color w:val="000000" w:themeColor="text1"/>
          <w:sz w:val="24"/>
          <w:szCs w:val="24"/>
        </w:rPr>
      </w:pPr>
    </w:p>
    <w:p w14:paraId="4FFD765C" w14:textId="77777777" w:rsidR="00C465A0" w:rsidRDefault="00C465A0">
      <w:pPr>
        <w:rPr>
          <w:rFonts w:cstheme="minorHAnsi"/>
          <w:b/>
          <w:color w:val="000000" w:themeColor="text1"/>
          <w:sz w:val="24"/>
          <w:szCs w:val="24"/>
        </w:rPr>
        <w:sectPr w:rsidR="00C465A0" w:rsidSect="00415F38">
          <w:pgSz w:w="11906" w:h="16838"/>
          <w:pgMar w:top="1418" w:right="1417" w:bottom="1135" w:left="1417" w:header="708" w:footer="708" w:gutter="0"/>
          <w:cols w:space="708"/>
          <w:docGrid w:linePitch="360"/>
        </w:sectPr>
      </w:pPr>
    </w:p>
    <w:p w14:paraId="49B288C1" w14:textId="77777777" w:rsidR="00904D24" w:rsidRPr="007F1D90" w:rsidRDefault="00E14424" w:rsidP="007F1D90">
      <w:pPr>
        <w:spacing w:after="0" w:line="280" w:lineRule="atLeast"/>
        <w:jc w:val="right"/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b/>
          <w:color w:val="000000" w:themeColor="text1"/>
          <w:sz w:val="24"/>
          <w:szCs w:val="24"/>
        </w:rPr>
        <w:lastRenderedPageBreak/>
        <w:t>Příloha č. </w:t>
      </w:r>
      <w:r w:rsidR="00AB5A00">
        <w:rPr>
          <w:rFonts w:cstheme="minorHAnsi"/>
          <w:b/>
          <w:color w:val="000000" w:themeColor="text1"/>
          <w:sz w:val="24"/>
          <w:szCs w:val="24"/>
        </w:rPr>
        <w:t>6</w:t>
      </w:r>
    </w:p>
    <w:p w14:paraId="61352C14" w14:textId="77777777" w:rsidR="00E60B26" w:rsidRPr="007F1D90" w:rsidRDefault="00E60B26" w:rsidP="007F1D90">
      <w:pPr>
        <w:spacing w:after="0" w:line="280" w:lineRule="atLeast"/>
        <w:jc w:val="both"/>
        <w:rPr>
          <w:rFonts w:cstheme="minorHAnsi"/>
          <w:sz w:val="24"/>
          <w:szCs w:val="24"/>
        </w:rPr>
      </w:pPr>
    </w:p>
    <w:p w14:paraId="4FE8DE8C" w14:textId="77777777" w:rsidR="00E60B26" w:rsidRPr="00DC394D" w:rsidRDefault="00E60B26" w:rsidP="00DC394D">
      <w:pPr>
        <w:spacing w:after="0" w:line="280" w:lineRule="atLeast"/>
        <w:jc w:val="both"/>
        <w:rPr>
          <w:rFonts w:cstheme="minorHAnsi"/>
          <w:b/>
          <w:sz w:val="24"/>
          <w:szCs w:val="24"/>
        </w:rPr>
      </w:pPr>
      <w:r w:rsidRPr="00DC394D">
        <w:rPr>
          <w:rFonts w:cstheme="minorHAnsi"/>
          <w:b/>
          <w:sz w:val="24"/>
          <w:szCs w:val="24"/>
        </w:rPr>
        <w:t xml:space="preserve">Přehled </w:t>
      </w:r>
      <w:r w:rsidR="00DC394D" w:rsidRPr="00DC394D">
        <w:rPr>
          <w:rFonts w:cstheme="minorHAnsi"/>
          <w:b/>
          <w:sz w:val="24"/>
          <w:szCs w:val="24"/>
        </w:rPr>
        <w:t xml:space="preserve">výše podpory </w:t>
      </w:r>
      <w:r w:rsidR="00DC394D" w:rsidRPr="00DC394D">
        <w:rPr>
          <w:rFonts w:cstheme="minorHAnsi"/>
          <w:b/>
          <w:color w:val="000000" w:themeColor="text1"/>
          <w:sz w:val="24"/>
          <w:szCs w:val="24"/>
        </w:rPr>
        <w:t>dle právních aktů o poskytnutí/převodu podpory</w:t>
      </w:r>
      <w:r w:rsidRPr="00DC394D">
        <w:rPr>
          <w:rFonts w:cstheme="minorHAnsi"/>
          <w:b/>
          <w:sz w:val="24"/>
          <w:szCs w:val="24"/>
        </w:rPr>
        <w:t xml:space="preserve"> a </w:t>
      </w:r>
      <w:r w:rsidR="004E4F89">
        <w:rPr>
          <w:rFonts w:cstheme="minorHAnsi"/>
          <w:b/>
          <w:sz w:val="24"/>
          <w:szCs w:val="24"/>
        </w:rPr>
        <w:t xml:space="preserve">přehled </w:t>
      </w:r>
      <w:r w:rsidRPr="00DC394D">
        <w:rPr>
          <w:rFonts w:cstheme="minorHAnsi"/>
          <w:b/>
          <w:sz w:val="24"/>
          <w:szCs w:val="24"/>
        </w:rPr>
        <w:t>čerpání peněžních prostředků na projekty technické pomoci OPPIK</w:t>
      </w:r>
    </w:p>
    <w:p w14:paraId="33AE6E30" w14:textId="77777777" w:rsidR="00AC5B0A" w:rsidRPr="00C465A0" w:rsidRDefault="00AC5B0A" w:rsidP="007F1D90">
      <w:pPr>
        <w:spacing w:after="0" w:line="280" w:lineRule="atLeast"/>
        <w:rPr>
          <w:rFonts w:cstheme="minorHAnsi"/>
          <w:sz w:val="24"/>
          <w:szCs w:val="24"/>
        </w:rPr>
      </w:pPr>
    </w:p>
    <w:tbl>
      <w:tblPr>
        <w:tblW w:w="1410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2"/>
        <w:gridCol w:w="6237"/>
        <w:gridCol w:w="3686"/>
        <w:gridCol w:w="3685"/>
      </w:tblGrid>
      <w:tr w:rsidR="0046275B" w:rsidRPr="00AC5B0A" w14:paraId="140419EF" w14:textId="77777777" w:rsidTr="00287973">
        <w:trPr>
          <w:trHeight w:val="675"/>
        </w:trPr>
        <w:tc>
          <w:tcPr>
            <w:tcW w:w="6729" w:type="dxa"/>
            <w:gridSpan w:val="2"/>
            <w:vAlign w:val="center"/>
          </w:tcPr>
          <w:p w14:paraId="45C5EC4C" w14:textId="77777777" w:rsidR="0046275B" w:rsidRPr="00AC5B0A" w:rsidRDefault="0046275B" w:rsidP="007F1D90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  <w:lang w:eastAsia="cs-CZ"/>
              </w:rPr>
            </w:pPr>
            <w:r w:rsidRPr="00AC5B0A">
              <w:rPr>
                <w:rFonts w:cstheme="minorHAnsi"/>
                <w:b/>
                <w:bCs/>
                <w:sz w:val="20"/>
                <w:szCs w:val="20"/>
              </w:rPr>
              <w:t>Název projektu technické pomoci</w:t>
            </w:r>
          </w:p>
        </w:tc>
        <w:tc>
          <w:tcPr>
            <w:tcW w:w="3686" w:type="dxa"/>
            <w:shd w:val="clear" w:color="auto" w:fill="auto"/>
            <w:vAlign w:val="center"/>
            <w:hideMark/>
          </w:tcPr>
          <w:p w14:paraId="5506F6AD" w14:textId="27323BF5" w:rsidR="0046275B" w:rsidRPr="00DC394D" w:rsidRDefault="0046275B" w:rsidP="007F1D90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V</w:t>
            </w:r>
            <w:r w:rsidRPr="00DC394D">
              <w:rPr>
                <w:rFonts w:cstheme="minorHAnsi"/>
                <w:b/>
                <w:sz w:val="20"/>
                <w:szCs w:val="20"/>
              </w:rPr>
              <w:t xml:space="preserve">ýše podpory </w:t>
            </w:r>
            <w:r w:rsidRPr="00DC394D">
              <w:rPr>
                <w:rFonts w:cstheme="minorHAnsi"/>
                <w:b/>
                <w:color w:val="000000" w:themeColor="text1"/>
                <w:sz w:val="20"/>
                <w:szCs w:val="20"/>
              </w:rPr>
              <w:t>dle právních aktů o poskytnutí/převodu podpory</w:t>
            </w:r>
            <w:r w:rsidRPr="00DC394D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r w:rsidR="0069151C">
              <w:rPr>
                <w:rFonts w:cstheme="minorHAnsi"/>
                <w:b/>
                <w:bCs/>
                <w:sz w:val="20"/>
                <w:szCs w:val="20"/>
              </w:rPr>
              <w:t>–</w:t>
            </w:r>
            <w:r w:rsidRPr="00DC394D">
              <w:rPr>
                <w:rFonts w:cstheme="minorHAnsi"/>
                <w:b/>
                <w:bCs/>
                <w:sz w:val="20"/>
                <w:szCs w:val="20"/>
              </w:rPr>
              <w:t xml:space="preserve"> celkové způsobilé náklady projektu</w:t>
            </w:r>
          </w:p>
          <w:p w14:paraId="0732273D" w14:textId="77777777" w:rsidR="0046275B" w:rsidRPr="00AC5B0A" w:rsidRDefault="0046275B" w:rsidP="007F1D90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C394D">
              <w:rPr>
                <w:rFonts w:cstheme="minorHAnsi"/>
                <w:b/>
                <w:bCs/>
                <w:sz w:val="20"/>
                <w:szCs w:val="20"/>
              </w:rPr>
              <w:t>(v Kč)</w:t>
            </w:r>
          </w:p>
        </w:tc>
        <w:tc>
          <w:tcPr>
            <w:tcW w:w="3685" w:type="dxa"/>
            <w:shd w:val="clear" w:color="auto" w:fill="auto"/>
            <w:vAlign w:val="center"/>
            <w:hideMark/>
          </w:tcPr>
          <w:p w14:paraId="2A180137" w14:textId="376EDF59" w:rsidR="0046275B" w:rsidRPr="00AC5B0A" w:rsidRDefault="0046275B" w:rsidP="007F1D90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5B0A">
              <w:rPr>
                <w:rFonts w:cstheme="minorHAnsi"/>
                <w:b/>
                <w:bCs/>
                <w:sz w:val="20"/>
                <w:szCs w:val="20"/>
              </w:rPr>
              <w:t>Celková výše proplacených peněžních prostředků</w:t>
            </w:r>
            <w:r w:rsidR="00C4055F">
              <w:rPr>
                <w:rFonts w:cstheme="minorHAnsi"/>
                <w:b/>
                <w:bCs/>
                <w:sz w:val="20"/>
                <w:szCs w:val="20"/>
              </w:rPr>
              <w:t xml:space="preserve"> k 31. květnu 2019</w:t>
            </w:r>
          </w:p>
          <w:p w14:paraId="75F35B57" w14:textId="77777777" w:rsidR="0046275B" w:rsidRPr="00AC5B0A" w:rsidRDefault="0046275B" w:rsidP="007F1D90">
            <w:pPr>
              <w:spacing w:after="0" w:line="280" w:lineRule="atLeast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C5B0A">
              <w:rPr>
                <w:rFonts w:cstheme="minorHAnsi"/>
                <w:b/>
                <w:bCs/>
                <w:sz w:val="20"/>
                <w:szCs w:val="20"/>
              </w:rPr>
              <w:t>(v Kč)</w:t>
            </w:r>
          </w:p>
        </w:tc>
      </w:tr>
      <w:tr w:rsidR="00AC5B0A" w:rsidRPr="00AC5B0A" w14:paraId="16F3CE81" w14:textId="77777777" w:rsidTr="00106589">
        <w:trPr>
          <w:trHeight w:val="300"/>
        </w:trPr>
        <w:tc>
          <w:tcPr>
            <w:tcW w:w="14100" w:type="dxa"/>
            <w:gridSpan w:val="4"/>
            <w:vAlign w:val="center"/>
          </w:tcPr>
          <w:p w14:paraId="7C63AD14" w14:textId="77777777" w:rsidR="00106589" w:rsidRPr="00AC5B0A" w:rsidRDefault="00106589" w:rsidP="007F1D90">
            <w:pPr>
              <w:spacing w:after="0" w:line="28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b/>
                <w:sz w:val="20"/>
                <w:szCs w:val="20"/>
              </w:rPr>
              <w:t xml:space="preserve">Projekty </w:t>
            </w:r>
            <w:r w:rsidR="00DC394D">
              <w:rPr>
                <w:rFonts w:cstheme="minorHAnsi"/>
                <w:b/>
                <w:sz w:val="20"/>
                <w:szCs w:val="20"/>
              </w:rPr>
              <w:t xml:space="preserve">realizované v letech </w:t>
            </w:r>
            <w:r w:rsidR="00AB4A6C">
              <w:rPr>
                <w:rFonts w:cstheme="minorHAnsi"/>
                <w:b/>
                <w:sz w:val="20"/>
                <w:szCs w:val="20"/>
              </w:rPr>
              <w:t>2016</w:t>
            </w:r>
            <w:r w:rsidR="0070367B">
              <w:rPr>
                <w:rFonts w:cstheme="minorHAnsi"/>
                <w:b/>
                <w:sz w:val="20"/>
                <w:szCs w:val="20"/>
              </w:rPr>
              <w:t>–</w:t>
            </w:r>
            <w:r w:rsidRPr="00AC5B0A">
              <w:rPr>
                <w:rFonts w:cstheme="minorHAnsi"/>
                <w:b/>
                <w:sz w:val="20"/>
                <w:szCs w:val="20"/>
              </w:rPr>
              <w:t>2018</w:t>
            </w:r>
          </w:p>
        </w:tc>
      </w:tr>
      <w:tr w:rsidR="00AC5B0A" w:rsidRPr="00AC5B0A" w14:paraId="39C7483A" w14:textId="77777777" w:rsidTr="00106589">
        <w:trPr>
          <w:trHeight w:val="300"/>
        </w:trPr>
        <w:tc>
          <w:tcPr>
            <w:tcW w:w="492" w:type="dxa"/>
            <w:vMerge w:val="restart"/>
            <w:textDirection w:val="btLr"/>
            <w:vAlign w:val="center"/>
          </w:tcPr>
          <w:p w14:paraId="2245F69E" w14:textId="77777777" w:rsidR="00E60B26" w:rsidRPr="00AC5B0A" w:rsidRDefault="00106589" w:rsidP="007F1D90">
            <w:pPr>
              <w:spacing w:after="0" w:line="280" w:lineRule="atLeast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B0A">
              <w:rPr>
                <w:rFonts w:cstheme="minorHAnsi"/>
                <w:b/>
                <w:sz w:val="20"/>
                <w:szCs w:val="20"/>
              </w:rPr>
              <w:t xml:space="preserve">Příjemce </w:t>
            </w:r>
            <w:r w:rsidR="00DC394D">
              <w:rPr>
                <w:rFonts w:cstheme="minorHAnsi"/>
                <w:b/>
                <w:sz w:val="20"/>
                <w:szCs w:val="20"/>
              </w:rPr>
              <w:t xml:space="preserve">podpory </w:t>
            </w:r>
            <w:r w:rsidR="00E60B26" w:rsidRPr="00AC5B0A">
              <w:rPr>
                <w:rFonts w:cstheme="minorHAnsi"/>
                <w:b/>
                <w:sz w:val="20"/>
                <w:szCs w:val="20"/>
              </w:rPr>
              <w:t>MPO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7112D760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MPO_PLATFORMY, KULATÉ STOL</w:t>
            </w:r>
            <w:r w:rsidR="0070367B">
              <w:rPr>
                <w:rFonts w:cstheme="minorHAnsi"/>
                <w:sz w:val="20"/>
                <w:szCs w:val="20"/>
              </w:rPr>
              <w:t xml:space="preserve">Y, PRACOVNÍ SKUPINY A </w:t>
            </w:r>
            <w:proofErr w:type="gramStart"/>
            <w:r w:rsidR="0070367B">
              <w:rPr>
                <w:rFonts w:cstheme="minorHAnsi"/>
                <w:sz w:val="20"/>
                <w:szCs w:val="20"/>
              </w:rPr>
              <w:t>JINÉ_2016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ADD5EC1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3 000 000,00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9890D13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126 149,00</w:t>
            </w:r>
          </w:p>
        </w:tc>
      </w:tr>
      <w:tr w:rsidR="00AC5B0A" w:rsidRPr="00AC5B0A" w14:paraId="39E65A40" w14:textId="77777777" w:rsidTr="009E308F">
        <w:trPr>
          <w:trHeight w:val="300"/>
        </w:trPr>
        <w:tc>
          <w:tcPr>
            <w:tcW w:w="492" w:type="dxa"/>
            <w:vMerge/>
          </w:tcPr>
          <w:p w14:paraId="2D2AA6FF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8555AE1" w14:textId="77777777" w:rsidR="00E60B26" w:rsidRPr="00AC5B0A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MPO_PUBLICITA_2016</w:t>
            </w:r>
            <w:proofErr w:type="gramEnd"/>
            <w:r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="00E60B26"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5D8C4633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81 000 000,00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96DF1E9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7 051 998,03</w:t>
            </w:r>
          </w:p>
        </w:tc>
      </w:tr>
      <w:tr w:rsidR="00AC5B0A" w:rsidRPr="00AC5B0A" w14:paraId="1073E8BB" w14:textId="77777777" w:rsidTr="009E308F">
        <w:trPr>
          <w:trHeight w:val="300"/>
        </w:trPr>
        <w:tc>
          <w:tcPr>
            <w:tcW w:w="492" w:type="dxa"/>
            <w:vMerge/>
          </w:tcPr>
          <w:p w14:paraId="55212496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73857870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MPO_VZDĚLÁVÁ</w:t>
            </w:r>
            <w:r w:rsidR="0070367B">
              <w:rPr>
                <w:rFonts w:cstheme="minorHAnsi"/>
                <w:sz w:val="20"/>
                <w:szCs w:val="20"/>
              </w:rPr>
              <w:t xml:space="preserve">NÍ IMPLEMENTAČNÍ </w:t>
            </w:r>
            <w:proofErr w:type="gramStart"/>
            <w:r w:rsidR="0070367B">
              <w:rPr>
                <w:rFonts w:cstheme="minorHAnsi"/>
                <w:sz w:val="20"/>
                <w:szCs w:val="20"/>
              </w:rPr>
              <w:t>STRUKTURY_2016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626A5ABE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9 000 000,00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528272E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4 735 382,25</w:t>
            </w:r>
          </w:p>
        </w:tc>
      </w:tr>
      <w:tr w:rsidR="00AC5B0A" w:rsidRPr="00AC5B0A" w14:paraId="269FD892" w14:textId="77777777" w:rsidTr="009E308F">
        <w:trPr>
          <w:trHeight w:val="300"/>
        </w:trPr>
        <w:tc>
          <w:tcPr>
            <w:tcW w:w="492" w:type="dxa"/>
            <w:vMerge/>
          </w:tcPr>
          <w:p w14:paraId="49B3F951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87078C9" w14:textId="77777777" w:rsidR="00E60B26" w:rsidRPr="00AC5B0A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MPO_MONITOROVACÍ </w:t>
            </w:r>
            <w:proofErr w:type="gramStart"/>
            <w:r>
              <w:rPr>
                <w:rFonts w:cstheme="minorHAnsi"/>
                <w:sz w:val="20"/>
                <w:szCs w:val="20"/>
              </w:rPr>
              <w:t>VÝBOR_2016</w:t>
            </w:r>
            <w:proofErr w:type="gramEnd"/>
            <w:r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="00E60B26"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2DD68120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92474C1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1 606 022,15</w:t>
            </w:r>
          </w:p>
        </w:tc>
      </w:tr>
      <w:tr w:rsidR="00AC5B0A" w:rsidRPr="00AC5B0A" w14:paraId="6A621999" w14:textId="77777777" w:rsidTr="009E308F">
        <w:trPr>
          <w:trHeight w:val="300"/>
        </w:trPr>
        <w:tc>
          <w:tcPr>
            <w:tcW w:w="492" w:type="dxa"/>
            <w:vMerge/>
          </w:tcPr>
          <w:p w14:paraId="5D442551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A586AD2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MPO_KANCE</w:t>
            </w:r>
            <w:r w:rsidR="0070367B">
              <w:rPr>
                <w:rFonts w:cstheme="minorHAnsi"/>
                <w:sz w:val="20"/>
                <w:szCs w:val="20"/>
              </w:rPr>
              <w:t xml:space="preserve">LÁŘSKÁ A PROVOZNÍ </w:t>
            </w:r>
            <w:proofErr w:type="gramStart"/>
            <w:r w:rsidR="0070367B">
              <w:rPr>
                <w:rFonts w:cstheme="minorHAnsi"/>
                <w:sz w:val="20"/>
                <w:szCs w:val="20"/>
              </w:rPr>
              <w:t>TECHNIKA_2016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4D06BE53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18 000 000,00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6C04D4C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5 097 309,50</w:t>
            </w:r>
          </w:p>
        </w:tc>
      </w:tr>
      <w:tr w:rsidR="00AC5B0A" w:rsidRPr="00AC5B0A" w14:paraId="4DA432A4" w14:textId="77777777" w:rsidTr="009E308F">
        <w:trPr>
          <w:trHeight w:val="300"/>
        </w:trPr>
        <w:tc>
          <w:tcPr>
            <w:tcW w:w="492" w:type="dxa"/>
            <w:vMerge/>
          </w:tcPr>
          <w:p w14:paraId="507CFD3D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660BF442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MPO_HODNOCENÍ, ST</w:t>
            </w:r>
            <w:r w:rsidR="0070367B">
              <w:rPr>
                <w:rFonts w:cstheme="minorHAnsi"/>
                <w:sz w:val="20"/>
                <w:szCs w:val="20"/>
              </w:rPr>
              <w:t xml:space="preserve">UDIE A </w:t>
            </w:r>
            <w:proofErr w:type="gramStart"/>
            <w:r w:rsidR="0070367B">
              <w:rPr>
                <w:rFonts w:cstheme="minorHAnsi"/>
                <w:sz w:val="20"/>
                <w:szCs w:val="20"/>
              </w:rPr>
              <w:t>ANALÝZY_2016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3A685C7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12 000 000,00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6672285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3 545 399,00</w:t>
            </w:r>
          </w:p>
        </w:tc>
      </w:tr>
      <w:tr w:rsidR="00AC5B0A" w:rsidRPr="00AC5B0A" w14:paraId="5E767F11" w14:textId="77777777" w:rsidTr="009E308F">
        <w:trPr>
          <w:trHeight w:val="300"/>
        </w:trPr>
        <w:tc>
          <w:tcPr>
            <w:tcW w:w="492" w:type="dxa"/>
            <w:vMerge/>
          </w:tcPr>
          <w:p w14:paraId="2F378DC1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0145E63B" w14:textId="77777777" w:rsidR="00E60B26" w:rsidRPr="00F21381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MPO_OSOBNÍ </w:t>
            </w:r>
            <w:proofErr w:type="gramStart"/>
            <w:r>
              <w:rPr>
                <w:rFonts w:cstheme="minorHAnsi"/>
                <w:sz w:val="20"/>
                <w:szCs w:val="20"/>
              </w:rPr>
              <w:t>NÁKLADY_2016</w:t>
            </w:r>
            <w:proofErr w:type="gramEnd"/>
            <w:r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="00E60B26" w:rsidRPr="00F21381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19E12FD" w14:textId="77777777" w:rsidR="00E60B26" w:rsidRPr="00F21381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700 000 000,00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84B5E88" w14:textId="77777777" w:rsidR="00E60B26" w:rsidRPr="00F21381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520 818 622,00</w:t>
            </w:r>
          </w:p>
        </w:tc>
      </w:tr>
      <w:tr w:rsidR="00AC5B0A" w:rsidRPr="00AC5B0A" w14:paraId="6A9EBD63" w14:textId="77777777" w:rsidTr="009E308F">
        <w:trPr>
          <w:trHeight w:val="300"/>
        </w:trPr>
        <w:tc>
          <w:tcPr>
            <w:tcW w:w="492" w:type="dxa"/>
            <w:vMerge/>
          </w:tcPr>
          <w:p w14:paraId="02F58C17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10C0AD3" w14:textId="77777777" w:rsidR="00E60B26" w:rsidRPr="00AC5B0A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MPO_PROVOZNÍ </w:t>
            </w:r>
            <w:proofErr w:type="gramStart"/>
            <w:r>
              <w:rPr>
                <w:rFonts w:cstheme="minorHAnsi"/>
                <w:sz w:val="20"/>
                <w:szCs w:val="20"/>
              </w:rPr>
              <w:t>VÝDAJE_2016</w:t>
            </w:r>
            <w:proofErr w:type="gramEnd"/>
            <w:r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="00E60B26"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66080A88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15 000 000,00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D88F7FE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6 718 275,06</w:t>
            </w:r>
          </w:p>
        </w:tc>
      </w:tr>
      <w:tr w:rsidR="00AC5B0A" w:rsidRPr="00AC5B0A" w14:paraId="4B9ECA9D" w14:textId="77777777" w:rsidTr="009E308F">
        <w:trPr>
          <w:trHeight w:val="300"/>
        </w:trPr>
        <w:tc>
          <w:tcPr>
            <w:tcW w:w="492" w:type="dxa"/>
            <w:vMerge/>
          </w:tcPr>
          <w:p w14:paraId="66D4714E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7F0B9E37" w14:textId="77777777" w:rsidR="00E60B26" w:rsidRPr="00AC5B0A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MPO_EXTERNÍ </w:t>
            </w:r>
            <w:proofErr w:type="gramStart"/>
            <w:r>
              <w:rPr>
                <w:rFonts w:cstheme="minorHAnsi"/>
                <w:sz w:val="20"/>
                <w:szCs w:val="20"/>
              </w:rPr>
              <w:t>SLUŽBY_2016</w:t>
            </w:r>
            <w:proofErr w:type="gramEnd"/>
            <w:r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="00E60B26"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BC19EDC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90 000 000,00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DF859ED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8 217 810,94</w:t>
            </w:r>
          </w:p>
        </w:tc>
      </w:tr>
      <w:tr w:rsidR="00AC5B0A" w:rsidRPr="00AC5B0A" w14:paraId="580A73A0" w14:textId="77777777" w:rsidTr="00106589">
        <w:trPr>
          <w:trHeight w:val="300"/>
        </w:trPr>
        <w:tc>
          <w:tcPr>
            <w:tcW w:w="492" w:type="dxa"/>
            <w:vMerge w:val="restart"/>
            <w:textDirection w:val="btLr"/>
            <w:vAlign w:val="center"/>
          </w:tcPr>
          <w:p w14:paraId="25CFC9FF" w14:textId="77777777" w:rsidR="00E60B26" w:rsidRPr="00AC5B0A" w:rsidRDefault="00E60B26" w:rsidP="007F1D90">
            <w:pPr>
              <w:spacing w:after="0" w:line="280" w:lineRule="atLeast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B0A">
              <w:rPr>
                <w:rFonts w:cstheme="minorHAnsi"/>
                <w:b/>
                <w:sz w:val="20"/>
                <w:szCs w:val="20"/>
              </w:rPr>
              <w:t>Příjemce</w:t>
            </w:r>
            <w:r w:rsidR="00DC394D">
              <w:rPr>
                <w:rFonts w:cstheme="minorHAnsi"/>
                <w:b/>
                <w:sz w:val="20"/>
                <w:szCs w:val="20"/>
              </w:rPr>
              <w:t xml:space="preserve"> podpory </w:t>
            </w:r>
            <w:r w:rsidR="00106589" w:rsidRPr="00AC5B0A">
              <w:rPr>
                <w:rFonts w:cstheme="minorHAnsi"/>
                <w:b/>
                <w:sz w:val="20"/>
                <w:szCs w:val="20"/>
              </w:rPr>
              <w:t>API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F84F0C3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ZS_P</w:t>
            </w:r>
            <w:r w:rsidR="0070367B">
              <w:rPr>
                <w:rFonts w:cstheme="minorHAnsi"/>
                <w:sz w:val="20"/>
                <w:szCs w:val="20"/>
              </w:rPr>
              <w:t xml:space="preserve">ROVOZNÍ </w:t>
            </w:r>
            <w:proofErr w:type="gramStart"/>
            <w:r w:rsidR="0070367B">
              <w:rPr>
                <w:rFonts w:cstheme="minorHAnsi"/>
                <w:sz w:val="20"/>
                <w:szCs w:val="20"/>
              </w:rPr>
              <w:t>VÝDAJE_2016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1A153A5D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41 429 000,00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B6CCD3D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38 333 523,90</w:t>
            </w:r>
          </w:p>
        </w:tc>
      </w:tr>
      <w:tr w:rsidR="00AC5B0A" w:rsidRPr="00AC5B0A" w14:paraId="36765D37" w14:textId="77777777" w:rsidTr="009E308F">
        <w:trPr>
          <w:trHeight w:val="300"/>
        </w:trPr>
        <w:tc>
          <w:tcPr>
            <w:tcW w:w="492" w:type="dxa"/>
            <w:vMerge/>
          </w:tcPr>
          <w:p w14:paraId="2402B27E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6865ECC" w14:textId="77777777" w:rsidR="00E60B26" w:rsidRPr="00AC5B0A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ZS_EXTERNÍ </w:t>
            </w:r>
            <w:proofErr w:type="gramStart"/>
            <w:r>
              <w:rPr>
                <w:rFonts w:cstheme="minorHAnsi"/>
                <w:sz w:val="20"/>
                <w:szCs w:val="20"/>
              </w:rPr>
              <w:t>SLUŽBY_2016</w:t>
            </w:r>
            <w:proofErr w:type="gramEnd"/>
            <w:r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="00E60B26" w:rsidRPr="00AC5B0A">
              <w:rPr>
                <w:rFonts w:cstheme="minorHAnsi"/>
                <w:sz w:val="20"/>
                <w:szCs w:val="20"/>
              </w:rPr>
              <w:t>2018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3BEF757A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5 550 000,00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C7A9A17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1 813 139,72</w:t>
            </w:r>
          </w:p>
        </w:tc>
      </w:tr>
      <w:tr w:rsidR="00AC5B0A" w:rsidRPr="00AC5B0A" w14:paraId="327D4BEE" w14:textId="77777777" w:rsidTr="009E308F">
        <w:trPr>
          <w:trHeight w:val="300"/>
        </w:trPr>
        <w:tc>
          <w:tcPr>
            <w:tcW w:w="492" w:type="dxa"/>
            <w:vMerge/>
          </w:tcPr>
          <w:p w14:paraId="75E2E05E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BC66ABD" w14:textId="77777777" w:rsidR="00E60B26" w:rsidRPr="00F21381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ZS_OSOBNÍ NÁKLADY_2016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25F9A06A" w14:textId="77777777" w:rsidR="00E60B26" w:rsidRPr="00F21381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93 400 177,10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48BCE7B" w14:textId="77777777" w:rsidR="00E60B26" w:rsidRPr="00F21381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92 704 213,39</w:t>
            </w:r>
          </w:p>
        </w:tc>
      </w:tr>
      <w:tr w:rsidR="00AC5B0A" w:rsidRPr="00AC5B0A" w14:paraId="2B62D7BC" w14:textId="77777777" w:rsidTr="009E308F">
        <w:trPr>
          <w:trHeight w:val="300"/>
        </w:trPr>
        <w:tc>
          <w:tcPr>
            <w:tcW w:w="492" w:type="dxa"/>
            <w:vMerge/>
          </w:tcPr>
          <w:p w14:paraId="0BD6BE0F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4845FBB2" w14:textId="77777777" w:rsidR="00E60B26" w:rsidRPr="00F21381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ZS_OSOBNÍ NÁKLADY 2017–</w:t>
            </w:r>
            <w:r w:rsidR="00E60B26" w:rsidRPr="00F21381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3FD5C8FC" w14:textId="77777777" w:rsidR="00E60B26" w:rsidRPr="00F21381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243 664 320,00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078C45EA" w14:textId="77777777" w:rsidR="00E60B26" w:rsidRPr="00F21381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243 414 667,56</w:t>
            </w:r>
          </w:p>
        </w:tc>
      </w:tr>
      <w:tr w:rsidR="00AC5B0A" w:rsidRPr="00AC5B0A" w14:paraId="2EEC3FBD" w14:textId="77777777" w:rsidTr="009E308F">
        <w:trPr>
          <w:trHeight w:val="300"/>
        </w:trPr>
        <w:tc>
          <w:tcPr>
            <w:tcW w:w="492" w:type="dxa"/>
            <w:vMerge/>
          </w:tcPr>
          <w:p w14:paraId="09FB03D8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7DCF1FF3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ZS_KANCELÁŘSKÁ A PROVOZNÍ TECHNI</w:t>
            </w:r>
            <w:r w:rsidR="0070367B">
              <w:rPr>
                <w:rFonts w:cstheme="minorHAnsi"/>
                <w:sz w:val="20"/>
                <w:szCs w:val="20"/>
              </w:rPr>
              <w:t>KA 2016–</w:t>
            </w:r>
            <w:r w:rsidRPr="00AC5B0A">
              <w:rPr>
                <w:rFonts w:cstheme="minorHAnsi"/>
                <w:sz w:val="20"/>
                <w:szCs w:val="20"/>
              </w:rPr>
              <w:t>2018_002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0E09AD1C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4 955 000,00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442BA27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4 309 096,00</w:t>
            </w:r>
          </w:p>
        </w:tc>
      </w:tr>
      <w:tr w:rsidR="00AC5B0A" w:rsidRPr="00AC5B0A" w14:paraId="6C9F7D30" w14:textId="77777777" w:rsidTr="009E308F">
        <w:trPr>
          <w:trHeight w:val="300"/>
        </w:trPr>
        <w:tc>
          <w:tcPr>
            <w:tcW w:w="492" w:type="dxa"/>
            <w:vMerge/>
          </w:tcPr>
          <w:p w14:paraId="3855F9C5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55BD8AD" w14:textId="77777777" w:rsidR="00E60B26" w:rsidRPr="00AC5B0A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ZS_PUBLICITA 2016–</w:t>
            </w:r>
            <w:r w:rsidR="00E60B26" w:rsidRPr="00AC5B0A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3F944415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2 553 000,00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604AE4C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914 828,49</w:t>
            </w:r>
          </w:p>
        </w:tc>
      </w:tr>
      <w:tr w:rsidR="00AC5B0A" w:rsidRPr="00AC5B0A" w14:paraId="74DA444E" w14:textId="77777777" w:rsidTr="009E308F">
        <w:trPr>
          <w:trHeight w:val="300"/>
        </w:trPr>
        <w:tc>
          <w:tcPr>
            <w:tcW w:w="492" w:type="dxa"/>
            <w:vMerge/>
          </w:tcPr>
          <w:p w14:paraId="3D9283A3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38D0DEF4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ZS_VZDĚLÁVÁ</w:t>
            </w:r>
            <w:r w:rsidR="0070367B">
              <w:rPr>
                <w:rFonts w:cstheme="minorHAnsi"/>
                <w:sz w:val="20"/>
                <w:szCs w:val="20"/>
              </w:rPr>
              <w:t>NÍ IMPLEMENTAČNÍ STRUKTURY 2016–</w:t>
            </w:r>
            <w:r w:rsidRPr="00AC5B0A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40060F35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4 800 000,00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382328E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2 653 133,94</w:t>
            </w:r>
          </w:p>
        </w:tc>
      </w:tr>
      <w:tr w:rsidR="00AC5B0A" w:rsidRPr="00AC5B0A" w14:paraId="5F8DBAE5" w14:textId="77777777" w:rsidTr="009E308F">
        <w:trPr>
          <w:trHeight w:val="300"/>
        </w:trPr>
        <w:tc>
          <w:tcPr>
            <w:tcW w:w="492" w:type="dxa"/>
            <w:vMerge/>
          </w:tcPr>
          <w:p w14:paraId="747B528D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3A1AF2EB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ZS_KANCE</w:t>
            </w:r>
            <w:r w:rsidR="0070367B">
              <w:rPr>
                <w:rFonts w:cstheme="minorHAnsi"/>
                <w:sz w:val="20"/>
                <w:szCs w:val="20"/>
              </w:rPr>
              <w:t>LÁŘSKÁ A PROVOZNÍ TECHNIKA 2016–</w:t>
            </w:r>
            <w:r w:rsidRPr="00AC5B0A">
              <w:rPr>
                <w:rFonts w:cstheme="minorHAnsi"/>
                <w:sz w:val="20"/>
                <w:szCs w:val="20"/>
              </w:rPr>
              <w:t>2018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36E5F96A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7 000 000,00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F9E1B65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3 109 064,77</w:t>
            </w:r>
          </w:p>
        </w:tc>
      </w:tr>
      <w:tr w:rsidR="00AC5B0A" w:rsidRPr="00AC5B0A" w14:paraId="0AE0FC6D" w14:textId="77777777" w:rsidTr="009E308F">
        <w:trPr>
          <w:trHeight w:val="300"/>
        </w:trPr>
        <w:tc>
          <w:tcPr>
            <w:tcW w:w="14100" w:type="dxa"/>
            <w:gridSpan w:val="4"/>
            <w:vAlign w:val="center"/>
          </w:tcPr>
          <w:p w14:paraId="5B47CEC9" w14:textId="77777777" w:rsidR="00AC5B0A" w:rsidRPr="00AC5B0A" w:rsidRDefault="00AC5B0A" w:rsidP="007F1D90">
            <w:pPr>
              <w:spacing w:after="0"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CD4EEED" w14:textId="77777777" w:rsidR="00AC5B0A" w:rsidRPr="00AC5B0A" w:rsidRDefault="00AC5B0A" w:rsidP="007F1D90">
            <w:pPr>
              <w:spacing w:after="0"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DEE83E" w14:textId="77777777" w:rsidR="00AC5B0A" w:rsidRPr="00AC5B0A" w:rsidRDefault="00AC5B0A" w:rsidP="007F1D90">
            <w:pPr>
              <w:spacing w:after="0" w:line="280" w:lineRule="atLeast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5806CF6" w14:textId="77777777" w:rsidR="00106589" w:rsidRPr="00AC5B0A" w:rsidRDefault="00DC394D" w:rsidP="007F1D90">
            <w:pPr>
              <w:spacing w:after="0" w:line="280" w:lineRule="atLeast"/>
              <w:jc w:val="center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b/>
                <w:sz w:val="20"/>
                <w:szCs w:val="20"/>
              </w:rPr>
              <w:lastRenderedPageBreak/>
              <w:t xml:space="preserve">Projekty </w:t>
            </w:r>
            <w:r>
              <w:rPr>
                <w:rFonts w:cstheme="minorHAnsi"/>
                <w:b/>
                <w:sz w:val="20"/>
                <w:szCs w:val="20"/>
              </w:rPr>
              <w:t>realizované v letech</w:t>
            </w:r>
            <w:r w:rsidR="0070367B">
              <w:rPr>
                <w:rFonts w:cstheme="minorHAnsi"/>
                <w:b/>
                <w:sz w:val="20"/>
                <w:szCs w:val="20"/>
              </w:rPr>
              <w:t xml:space="preserve"> 2019–</w:t>
            </w:r>
            <w:r w:rsidR="00106589" w:rsidRPr="00AC5B0A">
              <w:rPr>
                <w:rFonts w:cstheme="minorHAnsi"/>
                <w:b/>
                <w:sz w:val="20"/>
                <w:szCs w:val="20"/>
              </w:rPr>
              <w:t>2021</w:t>
            </w:r>
          </w:p>
        </w:tc>
      </w:tr>
      <w:tr w:rsidR="00AC5B0A" w:rsidRPr="00AC5B0A" w14:paraId="2E630E6F" w14:textId="77777777" w:rsidTr="00106589">
        <w:trPr>
          <w:trHeight w:val="300"/>
        </w:trPr>
        <w:tc>
          <w:tcPr>
            <w:tcW w:w="492" w:type="dxa"/>
            <w:vMerge w:val="restart"/>
            <w:shd w:val="clear" w:color="auto" w:fill="auto"/>
            <w:textDirection w:val="btLr"/>
            <w:vAlign w:val="center"/>
          </w:tcPr>
          <w:p w14:paraId="74409A04" w14:textId="77777777" w:rsidR="00E60B26" w:rsidRPr="00AC5B0A" w:rsidRDefault="00AC5B0A" w:rsidP="00AC5B0A">
            <w:pPr>
              <w:spacing w:after="0" w:line="280" w:lineRule="atLeast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B0A">
              <w:rPr>
                <w:rFonts w:cstheme="minorHAnsi"/>
                <w:b/>
                <w:sz w:val="20"/>
                <w:szCs w:val="20"/>
              </w:rPr>
              <w:lastRenderedPageBreak/>
              <w:t xml:space="preserve">Příjemce </w:t>
            </w:r>
            <w:r w:rsidR="00DC394D">
              <w:rPr>
                <w:rFonts w:cstheme="minorHAnsi"/>
                <w:b/>
                <w:sz w:val="20"/>
                <w:szCs w:val="20"/>
              </w:rPr>
              <w:t xml:space="preserve">podpory </w:t>
            </w:r>
            <w:r w:rsidRPr="00AC5B0A">
              <w:rPr>
                <w:rFonts w:cstheme="minorHAnsi"/>
                <w:b/>
                <w:sz w:val="20"/>
                <w:szCs w:val="20"/>
              </w:rPr>
              <w:t>MPO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6D618309" w14:textId="77777777" w:rsidR="00E60B26" w:rsidRPr="00AC5B0A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MPO_PROVOZNÍ </w:t>
            </w:r>
            <w:proofErr w:type="gramStart"/>
            <w:r>
              <w:rPr>
                <w:rFonts w:cstheme="minorHAnsi"/>
                <w:sz w:val="20"/>
                <w:szCs w:val="20"/>
              </w:rPr>
              <w:t>VÝDAJE_2019</w:t>
            </w:r>
            <w:proofErr w:type="gramEnd"/>
            <w:r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="00E60B26" w:rsidRPr="00AC5B0A">
              <w:rPr>
                <w:rFonts w:cstheme="minorHAnsi"/>
                <w:sz w:val="20"/>
                <w:szCs w:val="20"/>
              </w:rPr>
              <w:t>2021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50ECEC93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18 000 000,00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C3CAA6E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509 079,48</w:t>
            </w:r>
          </w:p>
        </w:tc>
      </w:tr>
      <w:tr w:rsidR="00AC5B0A" w:rsidRPr="00AC5B0A" w14:paraId="74FADE7B" w14:textId="77777777" w:rsidTr="00106589">
        <w:trPr>
          <w:trHeight w:val="300"/>
        </w:trPr>
        <w:tc>
          <w:tcPr>
            <w:tcW w:w="492" w:type="dxa"/>
            <w:vMerge/>
            <w:shd w:val="clear" w:color="auto" w:fill="auto"/>
          </w:tcPr>
          <w:p w14:paraId="292D9550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4C5E17F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MPO_PLATFORMY, KULATÉ STOL</w:t>
            </w:r>
            <w:r w:rsidR="0070367B">
              <w:rPr>
                <w:rFonts w:cstheme="minorHAnsi"/>
                <w:sz w:val="20"/>
                <w:szCs w:val="20"/>
              </w:rPr>
              <w:t xml:space="preserve">Y, PRACOVNÍ SKUPINY A </w:t>
            </w:r>
            <w:proofErr w:type="gramStart"/>
            <w:r w:rsidR="0070367B">
              <w:rPr>
                <w:rFonts w:cstheme="minorHAnsi"/>
                <w:sz w:val="20"/>
                <w:szCs w:val="20"/>
              </w:rPr>
              <w:t>JINÉ_2019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2021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4668B142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750 000,00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9650EF0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37 790,00</w:t>
            </w:r>
          </w:p>
        </w:tc>
      </w:tr>
      <w:tr w:rsidR="00AC5B0A" w:rsidRPr="00AC5B0A" w14:paraId="7B852F26" w14:textId="77777777" w:rsidTr="00106589">
        <w:trPr>
          <w:trHeight w:val="300"/>
        </w:trPr>
        <w:tc>
          <w:tcPr>
            <w:tcW w:w="492" w:type="dxa"/>
            <w:vMerge/>
            <w:shd w:val="clear" w:color="auto" w:fill="auto"/>
          </w:tcPr>
          <w:p w14:paraId="573617F5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141F4D5" w14:textId="77777777" w:rsidR="00E60B26" w:rsidRPr="00F21381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 xml:space="preserve">MPO_OSOBNÍ </w:t>
            </w:r>
            <w:proofErr w:type="gramStart"/>
            <w:r w:rsidRPr="00F21381">
              <w:rPr>
                <w:rFonts w:cstheme="minorHAnsi"/>
                <w:sz w:val="20"/>
                <w:szCs w:val="20"/>
              </w:rPr>
              <w:t>NÁKLADY_2019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F21381">
              <w:rPr>
                <w:rFonts w:cstheme="minorHAnsi"/>
                <w:sz w:val="20"/>
                <w:szCs w:val="20"/>
              </w:rPr>
              <w:t>2021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6A5A7F9F" w14:textId="77777777" w:rsidR="00E60B26" w:rsidRPr="00F21381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750 000 000,00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CDED459" w14:textId="77777777" w:rsidR="00E60B26" w:rsidRPr="00F21381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80 094 188,00</w:t>
            </w:r>
          </w:p>
        </w:tc>
      </w:tr>
      <w:tr w:rsidR="00AC5B0A" w:rsidRPr="00AC5B0A" w14:paraId="3C6E5F36" w14:textId="77777777" w:rsidTr="00106589">
        <w:trPr>
          <w:trHeight w:val="300"/>
        </w:trPr>
        <w:tc>
          <w:tcPr>
            <w:tcW w:w="492" w:type="dxa"/>
            <w:vMerge/>
            <w:shd w:val="clear" w:color="auto" w:fill="auto"/>
          </w:tcPr>
          <w:p w14:paraId="3F6EB652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55548D3" w14:textId="77777777" w:rsidR="00E60B26" w:rsidRPr="00AC5B0A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MPO_MONITOROVACÍ </w:t>
            </w:r>
            <w:proofErr w:type="gramStart"/>
            <w:r>
              <w:rPr>
                <w:rFonts w:cstheme="minorHAnsi"/>
                <w:sz w:val="20"/>
                <w:szCs w:val="20"/>
              </w:rPr>
              <w:t>VÝBOR_2019</w:t>
            </w:r>
            <w:proofErr w:type="gramEnd"/>
            <w:r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="00E60B26" w:rsidRPr="00AC5B0A">
              <w:rPr>
                <w:rFonts w:cstheme="minorHAnsi"/>
                <w:sz w:val="20"/>
                <w:szCs w:val="20"/>
              </w:rPr>
              <w:t>2021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03D782C0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2 250 000,00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DBFA6C9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AC5B0A" w:rsidRPr="00AC5B0A" w14:paraId="1764E30E" w14:textId="77777777" w:rsidTr="00106589">
        <w:trPr>
          <w:trHeight w:val="300"/>
        </w:trPr>
        <w:tc>
          <w:tcPr>
            <w:tcW w:w="492" w:type="dxa"/>
            <w:vMerge/>
            <w:shd w:val="clear" w:color="auto" w:fill="auto"/>
          </w:tcPr>
          <w:p w14:paraId="71476D8F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C430A13" w14:textId="77777777" w:rsidR="00E60B26" w:rsidRPr="00AC5B0A" w:rsidRDefault="0070367B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proofErr w:type="gramStart"/>
            <w:r>
              <w:rPr>
                <w:rFonts w:cstheme="minorHAnsi"/>
                <w:sz w:val="20"/>
                <w:szCs w:val="20"/>
              </w:rPr>
              <w:t>MPO_PUBLICITA_2019</w:t>
            </w:r>
            <w:proofErr w:type="gramEnd"/>
            <w:r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="00E60B26" w:rsidRPr="00AC5B0A">
              <w:rPr>
                <w:rFonts w:cstheme="minorHAnsi"/>
                <w:sz w:val="20"/>
                <w:szCs w:val="20"/>
              </w:rPr>
              <w:t>2021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12E64FF3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60 000 000,00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895D6F9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572 337,90</w:t>
            </w:r>
          </w:p>
        </w:tc>
      </w:tr>
      <w:tr w:rsidR="00AC5B0A" w:rsidRPr="00AC5B0A" w14:paraId="041087EB" w14:textId="77777777" w:rsidTr="00106589">
        <w:trPr>
          <w:trHeight w:val="300"/>
        </w:trPr>
        <w:tc>
          <w:tcPr>
            <w:tcW w:w="492" w:type="dxa"/>
            <w:vMerge/>
            <w:shd w:val="clear" w:color="auto" w:fill="auto"/>
          </w:tcPr>
          <w:p w14:paraId="14674656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9021833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MPO_KANCE</w:t>
            </w:r>
            <w:r w:rsidR="0070367B">
              <w:rPr>
                <w:rFonts w:cstheme="minorHAnsi"/>
                <w:sz w:val="20"/>
                <w:szCs w:val="20"/>
              </w:rPr>
              <w:t xml:space="preserve">LÁŘSKÁ A PROVOZNÍ </w:t>
            </w:r>
            <w:proofErr w:type="gramStart"/>
            <w:r w:rsidR="0070367B">
              <w:rPr>
                <w:rFonts w:cstheme="minorHAnsi"/>
                <w:sz w:val="20"/>
                <w:szCs w:val="20"/>
              </w:rPr>
              <w:t>TECHNIKA_2019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2021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406736E4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18 000 000,00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2B1A4EA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AC5B0A" w:rsidRPr="00AC5B0A" w14:paraId="469C5F94" w14:textId="77777777" w:rsidTr="00106589">
        <w:trPr>
          <w:trHeight w:val="300"/>
        </w:trPr>
        <w:tc>
          <w:tcPr>
            <w:tcW w:w="492" w:type="dxa"/>
            <w:vMerge/>
            <w:shd w:val="clear" w:color="auto" w:fill="auto"/>
          </w:tcPr>
          <w:p w14:paraId="093AECDC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349D6706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MPO_H</w:t>
            </w:r>
            <w:r w:rsidR="0070367B">
              <w:rPr>
                <w:rFonts w:cstheme="minorHAnsi"/>
                <w:sz w:val="20"/>
                <w:szCs w:val="20"/>
              </w:rPr>
              <w:t xml:space="preserve">ODNOCENÍ, STUDIE A </w:t>
            </w:r>
            <w:proofErr w:type="gramStart"/>
            <w:r w:rsidR="0070367B">
              <w:rPr>
                <w:rFonts w:cstheme="minorHAnsi"/>
                <w:sz w:val="20"/>
                <w:szCs w:val="20"/>
              </w:rPr>
              <w:t>ANALÝZY_2019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2021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15862660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20 000 000,00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67AF881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1 222 173,97</w:t>
            </w:r>
          </w:p>
        </w:tc>
      </w:tr>
      <w:tr w:rsidR="00AC5B0A" w:rsidRPr="00AC5B0A" w14:paraId="1535A859" w14:textId="77777777" w:rsidTr="00106589">
        <w:trPr>
          <w:trHeight w:val="300"/>
        </w:trPr>
        <w:tc>
          <w:tcPr>
            <w:tcW w:w="492" w:type="dxa"/>
            <w:vMerge/>
            <w:shd w:val="clear" w:color="auto" w:fill="auto"/>
          </w:tcPr>
          <w:p w14:paraId="780B8E20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6E5847E6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 xml:space="preserve">MPO_EXTERNÍ 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SL</w:t>
            </w:r>
            <w:r w:rsidR="0070367B">
              <w:rPr>
                <w:rFonts w:cstheme="minorHAnsi"/>
                <w:sz w:val="20"/>
                <w:szCs w:val="20"/>
              </w:rPr>
              <w:t>UŽBY_2019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2021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4BCB4082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65 000 000,00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4F76A21A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359 689,64</w:t>
            </w:r>
          </w:p>
        </w:tc>
      </w:tr>
      <w:tr w:rsidR="00AC5B0A" w:rsidRPr="00AC5B0A" w14:paraId="6D77E1B9" w14:textId="77777777" w:rsidTr="00106589">
        <w:trPr>
          <w:trHeight w:val="300"/>
        </w:trPr>
        <w:tc>
          <w:tcPr>
            <w:tcW w:w="492" w:type="dxa"/>
            <w:vMerge/>
            <w:shd w:val="clear" w:color="auto" w:fill="auto"/>
          </w:tcPr>
          <w:p w14:paraId="46881D32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6ED4F036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MPO_VZDĚLÁVÁ</w:t>
            </w:r>
            <w:r w:rsidR="0070367B">
              <w:rPr>
                <w:rFonts w:cstheme="minorHAnsi"/>
                <w:sz w:val="20"/>
                <w:szCs w:val="20"/>
              </w:rPr>
              <w:t xml:space="preserve">NÍ IMPLEMENTAČNÍ </w:t>
            </w:r>
            <w:proofErr w:type="gramStart"/>
            <w:r w:rsidR="0070367B">
              <w:rPr>
                <w:rFonts w:cstheme="minorHAnsi"/>
                <w:sz w:val="20"/>
                <w:szCs w:val="20"/>
              </w:rPr>
              <w:t>STRUKTURY_2019</w:t>
            </w:r>
            <w:proofErr w:type="gramEnd"/>
            <w:r w:rsidR="0070367B">
              <w:rPr>
                <w:rFonts w:cstheme="minorHAnsi"/>
                <w:sz w:val="20"/>
                <w:szCs w:val="20"/>
              </w:rPr>
              <w:t>–</w:t>
            </w:r>
            <w:proofErr w:type="gramStart"/>
            <w:r w:rsidRPr="00AC5B0A">
              <w:rPr>
                <w:rFonts w:cstheme="minorHAnsi"/>
                <w:sz w:val="20"/>
                <w:szCs w:val="20"/>
              </w:rPr>
              <w:t>2021</w:t>
            </w:r>
            <w:proofErr w:type="gramEnd"/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A103AC7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9 000 000,00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BABEB8A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899 852,64</w:t>
            </w:r>
          </w:p>
        </w:tc>
      </w:tr>
      <w:tr w:rsidR="00AC5B0A" w:rsidRPr="00AC5B0A" w14:paraId="2D435A13" w14:textId="77777777" w:rsidTr="00106589">
        <w:trPr>
          <w:trHeight w:val="300"/>
        </w:trPr>
        <w:tc>
          <w:tcPr>
            <w:tcW w:w="492" w:type="dxa"/>
            <w:vMerge w:val="restart"/>
            <w:textDirection w:val="btLr"/>
            <w:vAlign w:val="center"/>
          </w:tcPr>
          <w:p w14:paraId="2B1B792F" w14:textId="77777777" w:rsidR="00E60B26" w:rsidRPr="00AC5B0A" w:rsidRDefault="00E60B26" w:rsidP="007F1D90">
            <w:pPr>
              <w:spacing w:after="0" w:line="280" w:lineRule="atLeast"/>
              <w:ind w:left="113" w:right="113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AC5B0A">
              <w:rPr>
                <w:rFonts w:cstheme="minorHAnsi"/>
                <w:b/>
                <w:sz w:val="20"/>
                <w:szCs w:val="20"/>
              </w:rPr>
              <w:t xml:space="preserve">Příjemce </w:t>
            </w:r>
            <w:r w:rsidR="00DC394D">
              <w:rPr>
                <w:rFonts w:cstheme="minorHAnsi"/>
                <w:b/>
                <w:sz w:val="20"/>
                <w:szCs w:val="20"/>
              </w:rPr>
              <w:t xml:space="preserve">podpory </w:t>
            </w:r>
            <w:r w:rsidRPr="00AC5B0A">
              <w:rPr>
                <w:rFonts w:cstheme="minorHAnsi"/>
                <w:b/>
                <w:sz w:val="20"/>
                <w:szCs w:val="20"/>
              </w:rPr>
              <w:t>API</w:t>
            </w: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804C708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ZS_PROVOZ AUTOPARKU A POJIŠTĚNÍ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4A545845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4 170 000,00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0CB2B28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409 080,45</w:t>
            </w:r>
          </w:p>
        </w:tc>
      </w:tr>
      <w:tr w:rsidR="00AC5B0A" w:rsidRPr="00AC5B0A" w14:paraId="7DDD0B88" w14:textId="77777777" w:rsidTr="009E308F">
        <w:trPr>
          <w:trHeight w:val="300"/>
        </w:trPr>
        <w:tc>
          <w:tcPr>
            <w:tcW w:w="492" w:type="dxa"/>
            <w:vMerge/>
          </w:tcPr>
          <w:p w14:paraId="0BE35BC1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C43AE37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ZS_EXTERNÍ SLUŽBY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3B7F492D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7 470 000,00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1D270AFB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472 661,69</w:t>
            </w:r>
          </w:p>
        </w:tc>
      </w:tr>
      <w:tr w:rsidR="00AC5B0A" w:rsidRPr="00AC5B0A" w14:paraId="68321CCE" w14:textId="77777777" w:rsidTr="009E308F">
        <w:trPr>
          <w:trHeight w:val="300"/>
        </w:trPr>
        <w:tc>
          <w:tcPr>
            <w:tcW w:w="492" w:type="dxa"/>
            <w:vMerge/>
          </w:tcPr>
          <w:p w14:paraId="24106422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3DE2C6B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ZS_PUBLICITA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1D5AC3F7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4 270 000,00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E1C8BF5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414 334,16</w:t>
            </w:r>
          </w:p>
        </w:tc>
      </w:tr>
      <w:tr w:rsidR="00AC5B0A" w:rsidRPr="00AC5B0A" w14:paraId="214276CA" w14:textId="77777777" w:rsidTr="009E308F">
        <w:trPr>
          <w:trHeight w:val="300"/>
        </w:trPr>
        <w:tc>
          <w:tcPr>
            <w:tcW w:w="492" w:type="dxa"/>
            <w:vMerge/>
          </w:tcPr>
          <w:p w14:paraId="6587ECC4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A93048E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ZS_VZDĚLÁVÁNÍ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65227DE5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9 000 000,00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744B0E0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284 422,36</w:t>
            </w:r>
          </w:p>
        </w:tc>
      </w:tr>
      <w:tr w:rsidR="00AC5B0A" w:rsidRPr="00AC5B0A" w14:paraId="72C9CFDC" w14:textId="77777777" w:rsidTr="009E308F">
        <w:trPr>
          <w:trHeight w:val="300"/>
        </w:trPr>
        <w:tc>
          <w:tcPr>
            <w:tcW w:w="492" w:type="dxa"/>
            <w:vMerge/>
          </w:tcPr>
          <w:p w14:paraId="0DD3EF24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1689DDB2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ZS_ZAHRANIČNÍ PRACOVNÍ CESTY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420AB02F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3 000 000,00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2F15CF98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416 587,01</w:t>
            </w:r>
          </w:p>
        </w:tc>
      </w:tr>
      <w:tr w:rsidR="00AC5B0A" w:rsidRPr="00AC5B0A" w14:paraId="7B5C4888" w14:textId="77777777" w:rsidTr="009E308F">
        <w:trPr>
          <w:trHeight w:val="300"/>
        </w:trPr>
        <w:tc>
          <w:tcPr>
            <w:tcW w:w="492" w:type="dxa"/>
            <w:vMerge/>
          </w:tcPr>
          <w:p w14:paraId="43381C5D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5AA4F5EC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ZS_TUZEMSKÉ PRACOVNÍ CESTY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057B4C49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2 100 000,00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62A2F0F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73 130,34</w:t>
            </w:r>
          </w:p>
        </w:tc>
      </w:tr>
      <w:tr w:rsidR="00AC5B0A" w:rsidRPr="00AC5B0A" w14:paraId="48682571" w14:textId="77777777" w:rsidTr="009E308F">
        <w:trPr>
          <w:trHeight w:val="300"/>
        </w:trPr>
        <w:tc>
          <w:tcPr>
            <w:tcW w:w="492" w:type="dxa"/>
            <w:vMerge/>
          </w:tcPr>
          <w:p w14:paraId="1E5793CD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20CDE5D5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ZS_PROVOZ - SLUŽBY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15F6E55D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5 700 000,00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BC9D11D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570 984,20</w:t>
            </w:r>
          </w:p>
        </w:tc>
      </w:tr>
      <w:tr w:rsidR="00AC5B0A" w:rsidRPr="00AC5B0A" w14:paraId="7866AC4C" w14:textId="77777777" w:rsidTr="009E308F">
        <w:trPr>
          <w:trHeight w:val="300"/>
        </w:trPr>
        <w:tc>
          <w:tcPr>
            <w:tcW w:w="492" w:type="dxa"/>
            <w:vMerge/>
          </w:tcPr>
          <w:p w14:paraId="5E714D12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3BA69065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ZS_PROVOZ - DODÁVKY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FFE38E5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5 800 000,00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6D9B0F6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107 451,41</w:t>
            </w:r>
          </w:p>
        </w:tc>
      </w:tr>
      <w:tr w:rsidR="00AC5B0A" w:rsidRPr="00AC5B0A" w14:paraId="13F8131E" w14:textId="77777777" w:rsidTr="009E308F">
        <w:trPr>
          <w:trHeight w:val="300"/>
        </w:trPr>
        <w:tc>
          <w:tcPr>
            <w:tcW w:w="492" w:type="dxa"/>
            <w:vMerge/>
          </w:tcPr>
          <w:p w14:paraId="15ECE522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3C1F1734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ZS_PROVOZ - NÁJEM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0FC9F52B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50 160 000,00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51CF2CD7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3 906 664,16</w:t>
            </w:r>
          </w:p>
        </w:tc>
      </w:tr>
      <w:tr w:rsidR="00AC5B0A" w:rsidRPr="00F21381" w14:paraId="744AAA0D" w14:textId="77777777" w:rsidTr="009E308F">
        <w:trPr>
          <w:trHeight w:val="300"/>
        </w:trPr>
        <w:tc>
          <w:tcPr>
            <w:tcW w:w="492" w:type="dxa"/>
            <w:vMerge/>
          </w:tcPr>
          <w:p w14:paraId="2F0225AA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006BB457" w14:textId="77777777" w:rsidR="00E60B26" w:rsidRPr="00F21381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ZS_OSOBNÍ NÁKLADY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3EF22F51" w14:textId="77777777" w:rsidR="00E60B26" w:rsidRPr="00F21381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115 192 712,64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6C0E1BBA" w14:textId="77777777" w:rsidR="00E60B26" w:rsidRPr="00F21381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F21381">
              <w:rPr>
                <w:rFonts w:cstheme="minorHAnsi"/>
                <w:sz w:val="20"/>
                <w:szCs w:val="20"/>
              </w:rPr>
              <w:t>40 548 532,51</w:t>
            </w:r>
          </w:p>
        </w:tc>
      </w:tr>
      <w:tr w:rsidR="00AC5B0A" w:rsidRPr="00AC5B0A" w14:paraId="0FD56D73" w14:textId="77777777" w:rsidTr="009E308F">
        <w:trPr>
          <w:trHeight w:val="300"/>
        </w:trPr>
        <w:tc>
          <w:tcPr>
            <w:tcW w:w="492" w:type="dxa"/>
            <w:vMerge/>
          </w:tcPr>
          <w:p w14:paraId="6F6A9BBF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67E5E54C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ZS_IT INFRASTRUKTURA - INVESTICE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799A78A3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6 000 000,00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3612F1DD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AC5B0A" w:rsidRPr="00AC5B0A" w14:paraId="11511D33" w14:textId="77777777" w:rsidTr="009E308F">
        <w:trPr>
          <w:trHeight w:val="300"/>
        </w:trPr>
        <w:tc>
          <w:tcPr>
            <w:tcW w:w="492" w:type="dxa"/>
            <w:vMerge/>
          </w:tcPr>
          <w:p w14:paraId="09D4972B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bottom"/>
          </w:tcPr>
          <w:p w14:paraId="3BB7FD8D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ZS_IT INFRASTRUKTURA - PROVOZ</w:t>
            </w:r>
          </w:p>
        </w:tc>
        <w:tc>
          <w:tcPr>
            <w:tcW w:w="3686" w:type="dxa"/>
            <w:shd w:val="clear" w:color="auto" w:fill="auto"/>
            <w:noWrap/>
            <w:vAlign w:val="center"/>
          </w:tcPr>
          <w:p w14:paraId="1C86D527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12 000 000,00</w:t>
            </w:r>
          </w:p>
        </w:tc>
        <w:tc>
          <w:tcPr>
            <w:tcW w:w="3685" w:type="dxa"/>
            <w:shd w:val="clear" w:color="auto" w:fill="auto"/>
            <w:noWrap/>
            <w:vAlign w:val="center"/>
          </w:tcPr>
          <w:p w14:paraId="7BAC0538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sz w:val="20"/>
                <w:szCs w:val="20"/>
              </w:rPr>
            </w:pPr>
            <w:r w:rsidRPr="00AC5B0A">
              <w:rPr>
                <w:rFonts w:cstheme="minorHAnsi"/>
                <w:sz w:val="20"/>
                <w:szCs w:val="20"/>
              </w:rPr>
              <w:t>0,00</w:t>
            </w:r>
          </w:p>
        </w:tc>
      </w:tr>
      <w:tr w:rsidR="00AC5B0A" w:rsidRPr="00AC5B0A" w14:paraId="7A00E9B0" w14:textId="77777777" w:rsidTr="009E308F">
        <w:trPr>
          <w:trHeight w:val="315"/>
        </w:trPr>
        <w:tc>
          <w:tcPr>
            <w:tcW w:w="492" w:type="dxa"/>
          </w:tcPr>
          <w:p w14:paraId="6FD9D7B6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shd w:val="clear" w:color="auto" w:fill="auto"/>
            <w:noWrap/>
            <w:vAlign w:val="center"/>
            <w:hideMark/>
          </w:tcPr>
          <w:p w14:paraId="13354513" w14:textId="77777777" w:rsidR="00E60B26" w:rsidRPr="00AC5B0A" w:rsidRDefault="00E60B26" w:rsidP="007F1D90">
            <w:pPr>
              <w:spacing w:after="0" w:line="280" w:lineRule="atLeast"/>
              <w:rPr>
                <w:rFonts w:cstheme="minorHAnsi"/>
                <w:b/>
                <w:sz w:val="20"/>
                <w:szCs w:val="20"/>
              </w:rPr>
            </w:pPr>
            <w:r w:rsidRPr="00AC5B0A">
              <w:rPr>
                <w:rFonts w:cstheme="minorHAnsi"/>
                <w:b/>
                <w:sz w:val="20"/>
                <w:szCs w:val="20"/>
              </w:rPr>
              <w:t>Celkem</w:t>
            </w:r>
          </w:p>
        </w:tc>
        <w:tc>
          <w:tcPr>
            <w:tcW w:w="3686" w:type="dxa"/>
            <w:shd w:val="clear" w:color="auto" w:fill="auto"/>
            <w:noWrap/>
            <w:vAlign w:val="center"/>
            <w:hideMark/>
          </w:tcPr>
          <w:p w14:paraId="7DA7A95D" w14:textId="77777777" w:rsidR="00E60B26" w:rsidRPr="00AC5B0A" w:rsidRDefault="00E60B26" w:rsidP="00BA08CD">
            <w:pPr>
              <w:spacing w:after="0" w:line="280" w:lineRule="atLeast"/>
              <w:ind w:right="74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C5B0A">
              <w:rPr>
                <w:rFonts w:cstheme="minorHAnsi"/>
                <w:b/>
                <w:bCs/>
                <w:sz w:val="20"/>
                <w:szCs w:val="20"/>
              </w:rPr>
              <w:t>2 503 214 209,74</w:t>
            </w:r>
          </w:p>
        </w:tc>
        <w:tc>
          <w:tcPr>
            <w:tcW w:w="3685" w:type="dxa"/>
            <w:shd w:val="clear" w:color="auto" w:fill="auto"/>
            <w:noWrap/>
            <w:vAlign w:val="center"/>
            <w:hideMark/>
          </w:tcPr>
          <w:p w14:paraId="24194F38" w14:textId="77777777" w:rsidR="00E60B26" w:rsidRPr="00AC5B0A" w:rsidRDefault="00E60B26" w:rsidP="00BA08CD">
            <w:pPr>
              <w:spacing w:after="0" w:line="280" w:lineRule="atLeast"/>
              <w:ind w:right="70"/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C5B0A">
              <w:rPr>
                <w:rFonts w:cstheme="minorHAnsi"/>
                <w:b/>
                <w:bCs/>
                <w:sz w:val="20"/>
                <w:szCs w:val="20"/>
              </w:rPr>
              <w:t>1 076 067 595,62</w:t>
            </w:r>
          </w:p>
        </w:tc>
      </w:tr>
    </w:tbl>
    <w:p w14:paraId="1011F6AF" w14:textId="00A104D4" w:rsidR="00346DF0" w:rsidRDefault="00E60B26" w:rsidP="0069151C">
      <w:pPr>
        <w:spacing w:after="0" w:line="280" w:lineRule="atLeast"/>
        <w:ind w:left="567" w:hanging="567"/>
        <w:rPr>
          <w:rFonts w:cstheme="minorHAnsi"/>
          <w:sz w:val="20"/>
          <w:szCs w:val="20"/>
        </w:rPr>
      </w:pPr>
      <w:r w:rsidRPr="007F1D90">
        <w:rPr>
          <w:rFonts w:cstheme="minorHAnsi"/>
          <w:b/>
          <w:sz w:val="20"/>
          <w:szCs w:val="20"/>
        </w:rPr>
        <w:t>Zdroj:</w:t>
      </w:r>
      <w:r w:rsidRPr="007F1D90">
        <w:rPr>
          <w:rFonts w:cstheme="minorHAnsi"/>
          <w:sz w:val="20"/>
          <w:szCs w:val="20"/>
        </w:rPr>
        <w:tab/>
      </w:r>
      <w:r w:rsidR="0069151C">
        <w:rPr>
          <w:rFonts w:cstheme="minorHAnsi"/>
          <w:sz w:val="20"/>
          <w:szCs w:val="20"/>
        </w:rPr>
        <w:t>d</w:t>
      </w:r>
      <w:r w:rsidRPr="007F1D90">
        <w:rPr>
          <w:rFonts w:cstheme="minorHAnsi"/>
          <w:sz w:val="20"/>
          <w:szCs w:val="20"/>
        </w:rPr>
        <w:t xml:space="preserve">ata </w:t>
      </w:r>
      <w:r w:rsidR="00F023D5">
        <w:rPr>
          <w:rFonts w:cstheme="minorHAnsi"/>
          <w:sz w:val="20"/>
          <w:szCs w:val="20"/>
        </w:rPr>
        <w:t xml:space="preserve">předložená MPO, </w:t>
      </w:r>
      <w:r w:rsidR="0069151C">
        <w:rPr>
          <w:rFonts w:cstheme="minorHAnsi"/>
          <w:sz w:val="20"/>
          <w:szCs w:val="20"/>
        </w:rPr>
        <w:t>d</w:t>
      </w:r>
      <w:r w:rsidR="00F023D5">
        <w:rPr>
          <w:rFonts w:cstheme="minorHAnsi"/>
          <w:sz w:val="20"/>
          <w:szCs w:val="20"/>
        </w:rPr>
        <w:t>ata z MS2014+.</w:t>
      </w:r>
    </w:p>
    <w:p w14:paraId="1C3140DD" w14:textId="77777777" w:rsidR="004D4627" w:rsidRDefault="004D4627" w:rsidP="007F1D90">
      <w:pPr>
        <w:spacing w:after="0" w:line="280" w:lineRule="atLeast"/>
        <w:rPr>
          <w:rFonts w:cstheme="minorHAnsi"/>
          <w:sz w:val="20"/>
          <w:szCs w:val="20"/>
        </w:rPr>
      </w:pPr>
    </w:p>
    <w:sectPr w:rsidR="004D4627" w:rsidSect="00B960F1">
      <w:pgSz w:w="16838" w:h="11906" w:orient="landscape"/>
      <w:pgMar w:top="1417" w:right="1418" w:bottom="1417" w:left="113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F90FC4" w14:textId="77777777" w:rsidR="009767D5" w:rsidRDefault="009767D5" w:rsidP="001E1138">
      <w:pPr>
        <w:spacing w:after="0" w:line="240" w:lineRule="auto"/>
      </w:pPr>
      <w:r>
        <w:separator/>
      </w:r>
    </w:p>
  </w:endnote>
  <w:endnote w:type="continuationSeparator" w:id="0">
    <w:p w14:paraId="1B8310C1" w14:textId="77777777" w:rsidR="009767D5" w:rsidRDefault="009767D5" w:rsidP="001E11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Gothic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7CC68F" w14:textId="77777777" w:rsidR="009767D5" w:rsidRDefault="009767D5">
    <w:pPr>
      <w:pStyle w:val="Zpat"/>
      <w:jc w:val="center"/>
    </w:pPr>
  </w:p>
  <w:sdt>
    <w:sdtPr>
      <w:id w:val="1718240908"/>
      <w:docPartObj>
        <w:docPartGallery w:val="Page Numbers (Bottom of Page)"/>
        <w:docPartUnique/>
      </w:docPartObj>
    </w:sdtPr>
    <w:sdtContent>
      <w:p w14:paraId="14DA564F" w14:textId="6A11E9C4" w:rsidR="009767D5" w:rsidRDefault="009767D5" w:rsidP="003826F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33E1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7E36C7" w14:textId="77777777" w:rsidR="009767D5" w:rsidRDefault="009767D5" w:rsidP="001E1138">
      <w:pPr>
        <w:spacing w:after="0" w:line="240" w:lineRule="auto"/>
      </w:pPr>
      <w:r>
        <w:separator/>
      </w:r>
    </w:p>
  </w:footnote>
  <w:footnote w:type="continuationSeparator" w:id="0">
    <w:p w14:paraId="7BCC68A8" w14:textId="77777777" w:rsidR="009767D5" w:rsidRDefault="009767D5" w:rsidP="001E1138">
      <w:pPr>
        <w:spacing w:after="0" w:line="240" w:lineRule="auto"/>
      </w:pPr>
      <w:r>
        <w:continuationSeparator/>
      </w:r>
    </w:p>
  </w:footnote>
  <w:footnote w:id="1">
    <w:p w14:paraId="0B9A7A71" w14:textId="77777777" w:rsidR="009767D5" w:rsidRDefault="009767D5" w:rsidP="006A4C88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Přepočteno na plné pracovní úvazky (FTE).</w:t>
      </w:r>
    </w:p>
  </w:footnote>
  <w:footnote w:id="2">
    <w:p w14:paraId="4057ECF6" w14:textId="63D8BD48" w:rsidR="009767D5" w:rsidRPr="009B03F1" w:rsidRDefault="009767D5" w:rsidP="0029605F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Ke dni </w:t>
      </w:r>
      <w:r w:rsidRPr="009B03F1">
        <w:t>31. března 2019</w:t>
      </w:r>
      <w:r>
        <w:t xml:space="preserve"> dle údajů obsažených v dokumentu </w:t>
      </w:r>
      <w:r w:rsidRPr="0029605F">
        <w:rPr>
          <w:i/>
        </w:rPr>
        <w:t>Čtvrtletní zpráva o implementac</w:t>
      </w:r>
      <w:r>
        <w:rPr>
          <w:i/>
        </w:rPr>
        <w:t>i ESI fondů v České republice v </w:t>
      </w:r>
      <w:r w:rsidRPr="0029605F">
        <w:rPr>
          <w:i/>
        </w:rPr>
        <w:t xml:space="preserve">programovém období 2014–2020 </w:t>
      </w:r>
      <w:r>
        <w:rPr>
          <w:i/>
        </w:rPr>
        <w:t>–</w:t>
      </w:r>
      <w:r w:rsidRPr="0029605F">
        <w:rPr>
          <w:i/>
        </w:rPr>
        <w:t xml:space="preserve"> I. čtvrtletí 2019</w:t>
      </w:r>
      <w:r>
        <w:t>.</w:t>
      </w:r>
    </w:p>
  </w:footnote>
  <w:footnote w:id="3">
    <w:p w14:paraId="082A5DC8" w14:textId="6A1FAA82" w:rsidR="009767D5" w:rsidRDefault="009767D5" w:rsidP="004A4985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Dokument </w:t>
      </w:r>
      <w:r w:rsidRPr="00734CC7">
        <w:rPr>
          <w:i/>
        </w:rPr>
        <w:t xml:space="preserve">Analýza absorpční kapacity a návrh cílových hodnot indikátorů </w:t>
      </w:r>
      <w:r>
        <w:rPr>
          <w:i/>
        </w:rPr>
        <w:t>Operačního programu podnikání a </w:t>
      </w:r>
      <w:r w:rsidRPr="00734CC7">
        <w:rPr>
          <w:i/>
        </w:rPr>
        <w:t>inovace pro konkurenceschopnost 2014</w:t>
      </w:r>
      <w:r>
        <w:rPr>
          <w:i/>
        </w:rPr>
        <w:t>–</w:t>
      </w:r>
      <w:r w:rsidRPr="00734CC7">
        <w:rPr>
          <w:i/>
        </w:rPr>
        <w:t>2020</w:t>
      </w:r>
      <w:r>
        <w:t xml:space="preserve"> </w:t>
      </w:r>
      <w:r w:rsidRPr="009D3338">
        <w:t>z února 2014</w:t>
      </w:r>
      <w:r>
        <w:t xml:space="preserve">, zpracovatel: </w:t>
      </w:r>
      <w:proofErr w:type="spellStart"/>
      <w:r w:rsidRPr="002F4334">
        <w:t>Haskoning</w:t>
      </w:r>
      <w:proofErr w:type="spellEnd"/>
      <w:r>
        <w:t xml:space="preserve"> </w:t>
      </w:r>
      <w:r w:rsidRPr="002F4334">
        <w:t>DHV Czech Republic,</w:t>
      </w:r>
      <w:r>
        <w:t> </w:t>
      </w:r>
      <w:r w:rsidRPr="002F4334">
        <w:t>spol. s r. o.</w:t>
      </w:r>
    </w:p>
  </w:footnote>
  <w:footnote w:id="4">
    <w:p w14:paraId="5C5C6EE9" w14:textId="7E65A541" w:rsidR="009767D5" w:rsidRDefault="009767D5" w:rsidP="00D91581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920CA5">
        <w:t xml:space="preserve">Základní dokument pro čerpání finančních prostředků z fondů EU podle článku 14 </w:t>
      </w:r>
      <w:r>
        <w:t>nařízení Evropského parlamentu a Rady (EU) č. 1303/2013 ze dne 17. prosince 2013, o společných ustanoveních o Evropském fondu pro regionální rozvoj, Evropském sociálním fondu, Fondu soudržnosti, Evropském zemědělském fondu pro rozvoj venkova a Evropském námořním a rybářském fondu, o obecných ustanoveních o Evropském fondu pro regionální rozvoj, Evropském sociálním fondu, Fondu soudržnosti a Evropském námořním a rybářském fondu a o zrušení nařízení Rady (ES) č. 1083/2006</w:t>
      </w:r>
      <w:r w:rsidRPr="00920CA5" w:rsidDel="00D91581">
        <w:t xml:space="preserve"> </w:t>
      </w:r>
      <w:r w:rsidRPr="00920CA5">
        <w:t>(dále také „Obecné nařízení“), schválený Evropskou komisí 26.</w:t>
      </w:r>
      <w:r>
        <w:t> </w:t>
      </w:r>
      <w:r w:rsidRPr="00920CA5">
        <w:t>srpna 2014.</w:t>
      </w:r>
    </w:p>
  </w:footnote>
  <w:footnote w:id="5">
    <w:p w14:paraId="6117D5C1" w14:textId="77777777" w:rsidR="009767D5" w:rsidRDefault="009767D5" w:rsidP="00C34564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5093F">
        <w:t xml:space="preserve">Přepočteno kurzem 25,78 </w:t>
      </w:r>
      <w:r>
        <w:t>CZK</w:t>
      </w:r>
      <w:r w:rsidRPr="0045093F">
        <w:t>/</w:t>
      </w:r>
      <w:r>
        <w:t>EUR.</w:t>
      </w:r>
    </w:p>
  </w:footnote>
  <w:footnote w:id="6">
    <w:p w14:paraId="6A7049A4" w14:textId="77777777" w:rsidR="009767D5" w:rsidRDefault="009767D5" w:rsidP="00C3456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5093F">
        <w:t>Česky</w:t>
      </w:r>
      <w:r>
        <w:t>:</w:t>
      </w:r>
      <w:r w:rsidRPr="0045093F">
        <w:t xml:space="preserve"> upozorňující (resp. varující) dopis</w:t>
      </w:r>
      <w:r>
        <w:t>.</w:t>
      </w:r>
    </w:p>
  </w:footnote>
  <w:footnote w:id="7">
    <w:p w14:paraId="70C6146F" w14:textId="77777777" w:rsidR="009767D5" w:rsidRPr="0045093F" w:rsidRDefault="009767D5" w:rsidP="005E14DB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45093F">
        <w:t xml:space="preserve">Přepočteno kurzem 25,78 </w:t>
      </w:r>
      <w:r>
        <w:t>CZK</w:t>
      </w:r>
      <w:r w:rsidRPr="0045093F">
        <w:t>/</w:t>
      </w:r>
      <w:r>
        <w:t>EUR.</w:t>
      </w:r>
    </w:p>
  </w:footnote>
  <w:footnote w:id="8">
    <w:p w14:paraId="7A0AC9D3" w14:textId="655AB7C2" w:rsidR="009767D5" w:rsidRDefault="009767D5" w:rsidP="00C34564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Z</w:t>
      </w:r>
      <w:r w:rsidRPr="00C34564">
        <w:t>droj financování u projektů</w:t>
      </w:r>
      <w:r>
        <w:t xml:space="preserve"> technické pomoci OPPIK tvoří z 85 % příspěvek z ERDF a z 15 </w:t>
      </w:r>
      <w:r w:rsidRPr="00C34564">
        <w:t>% spolufinancování ze státního rozpočtu.</w:t>
      </w:r>
    </w:p>
  </w:footnote>
  <w:footnote w:id="9">
    <w:p w14:paraId="0AEDAC40" w14:textId="64487CE5" w:rsidR="009767D5" w:rsidRDefault="009767D5" w:rsidP="001F1EB9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Např. článek 30 odst. 1 nařízení (EU, EURATOM) č. 966/2012 Evropského parlamentu a Rady ze dne 25. října 2012, kterým se stanoví finanční pravidla o souhrnném rozpočtu Unie a o zrušení nařízení Rady (ES, EURATOM) č. 1605/2002.</w:t>
      </w:r>
    </w:p>
  </w:footnote>
  <w:footnote w:id="10">
    <w:p w14:paraId="5AF5CBD2" w14:textId="409A98FC" w:rsidR="009767D5" w:rsidRDefault="009767D5" w:rsidP="00F955A2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API byla podrobena kontrole pouze v roli příjemce podpory.</w:t>
      </w:r>
    </w:p>
  </w:footnote>
  <w:footnote w:id="11">
    <w:p w14:paraId="22991673" w14:textId="77777777" w:rsidR="009767D5" w:rsidRDefault="009767D5" w:rsidP="00387B8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0F0AA3">
        <w:t xml:space="preserve">Projekty technické pomoci realizované v letech 2014 a 2015 byly hrazeny </w:t>
      </w:r>
      <w:r>
        <w:t>z </w:t>
      </w:r>
      <w:proofErr w:type="gramStart"/>
      <w:r>
        <w:t>OP</w:t>
      </w:r>
      <w:proofErr w:type="gramEnd"/>
      <w:r>
        <w:t xml:space="preserve"> </w:t>
      </w:r>
      <w:r w:rsidRPr="00387B82">
        <w:rPr>
          <w:i/>
        </w:rPr>
        <w:t>Podnikání a inovace</w:t>
      </w:r>
      <w:r>
        <w:t xml:space="preserve"> (tj. </w:t>
      </w:r>
      <w:r w:rsidRPr="000F0AA3">
        <w:t>v rámci minulého programového období</w:t>
      </w:r>
      <w:r>
        <w:t>)</w:t>
      </w:r>
      <w:r w:rsidRPr="000F0AA3">
        <w:t>.</w:t>
      </w:r>
    </w:p>
  </w:footnote>
  <w:footnote w:id="12">
    <w:p w14:paraId="65FF077A" w14:textId="77777777" w:rsidR="009767D5" w:rsidRDefault="009767D5" w:rsidP="0029605F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Stabilnější personální situace ve prospěch efektivnějšího řízení a implementace operačního programu.</w:t>
      </w:r>
    </w:p>
  </w:footnote>
  <w:footnote w:id="13">
    <w:p w14:paraId="03CEBB06" w14:textId="77777777" w:rsidR="009767D5" w:rsidRDefault="009767D5" w:rsidP="00387B82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Příloha č. 28 </w:t>
      </w:r>
      <w:r w:rsidRPr="00B64697">
        <w:rPr>
          <w:i/>
        </w:rPr>
        <w:t>Metodického pokynu MMR pro monitorování implementace evropských strukturálních a investičních fondů v České republice v programovém období 2014–2020</w:t>
      </w:r>
      <w:r>
        <w:t>.</w:t>
      </w:r>
    </w:p>
  </w:footnote>
  <w:footnote w:id="14">
    <w:p w14:paraId="446692E8" w14:textId="77777777" w:rsidR="009767D5" w:rsidRDefault="009767D5" w:rsidP="00BC04E5">
      <w:pPr>
        <w:pStyle w:val="Textpoznpodarou"/>
        <w:ind w:left="284" w:hanging="284"/>
      </w:pPr>
      <w:r>
        <w:rPr>
          <w:rStyle w:val="Znakapoznpodarou"/>
        </w:rPr>
        <w:footnoteRef/>
      </w:r>
      <w:r>
        <w:t xml:space="preserve"> </w:t>
      </w:r>
      <w:r>
        <w:tab/>
        <w:t>Tato hladina významnosti představuje de facto tolerovanou míru celkové chybovosti.</w:t>
      </w:r>
    </w:p>
  </w:footnote>
  <w:footnote w:id="15">
    <w:p w14:paraId="186B4CD7" w14:textId="6338C1BF" w:rsidR="009767D5" w:rsidRDefault="009767D5" w:rsidP="00B1427C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 xml:space="preserve">Evropská komise v současné době verifikuje nápravná opatření MPO v rámci auditu, jehož </w:t>
      </w:r>
      <w:r w:rsidRPr="00134E77">
        <w:t>výsledky mají být známy v září 2019.</w:t>
      </w:r>
    </w:p>
  </w:footnote>
  <w:footnote w:id="16">
    <w:p w14:paraId="676F9AE9" w14:textId="2EB7B172" w:rsidR="009767D5" w:rsidRPr="00B96521" w:rsidRDefault="009767D5" w:rsidP="0053330F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D1036F">
        <w:rPr>
          <w:i/>
        </w:rPr>
        <w:t xml:space="preserve">Metodický pokyn k rozvoji lidských zdrojů v programovém období 2014–2020 a </w:t>
      </w:r>
      <w:r>
        <w:rPr>
          <w:i/>
        </w:rPr>
        <w:t xml:space="preserve">v </w:t>
      </w:r>
      <w:r w:rsidRPr="00D1036F">
        <w:rPr>
          <w:i/>
        </w:rPr>
        <w:t xml:space="preserve">programovém období </w:t>
      </w:r>
      <w:r>
        <w:rPr>
          <w:i/>
        </w:rPr>
        <w:br/>
      </w:r>
      <w:r w:rsidRPr="00D1036F">
        <w:rPr>
          <w:i/>
        </w:rPr>
        <w:t>2007–2013</w:t>
      </w:r>
      <w:r>
        <w:t xml:space="preserve"> (dále jen „MP Lidské zdroje“), materiál vytvořený a aktualizovaný Ministerstvem pro místní rozvoj. </w:t>
      </w:r>
    </w:p>
  </w:footnote>
  <w:footnote w:id="17">
    <w:p w14:paraId="3F96CF6F" w14:textId="77777777" w:rsidR="009767D5" w:rsidRPr="002C09F3" w:rsidRDefault="009767D5" w:rsidP="00882B66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  <w:t>Z</w:t>
      </w:r>
      <w:r w:rsidRPr="002C09F3">
        <w:t>ákon č. 218/2000 Sb., o rozpočtových pravidlech a o změně některých souvisejících zákonů (rozpočtová pravidla), ve znění pozdějších předpisů</w:t>
      </w:r>
      <w:r>
        <w:t>.</w:t>
      </w:r>
    </w:p>
  </w:footnote>
  <w:footnote w:id="18">
    <w:p w14:paraId="17A0B9A8" w14:textId="37876CA6" w:rsidR="009767D5" w:rsidRDefault="009767D5" w:rsidP="00B969EE">
      <w:pPr>
        <w:pStyle w:val="Textpoznpodarou"/>
        <w:ind w:left="284" w:hanging="284"/>
        <w:jc w:val="both"/>
      </w:pPr>
      <w:r>
        <w:rPr>
          <w:rStyle w:val="Znakapoznpodarou"/>
        </w:rPr>
        <w:footnoteRef/>
      </w:r>
      <w:r>
        <w:t xml:space="preserve"> </w:t>
      </w:r>
      <w:r>
        <w:tab/>
      </w:r>
      <w:r w:rsidRPr="00B969EE">
        <w:t>M</w:t>
      </w:r>
      <w:r>
        <w:t xml:space="preserve">P Lidské zdroje v </w:t>
      </w:r>
      <w:r w:rsidRPr="00B969EE">
        <w:t>kapitol</w:t>
      </w:r>
      <w:r>
        <w:t>e</w:t>
      </w:r>
      <w:r w:rsidRPr="00B969EE">
        <w:t xml:space="preserve"> 13 </w:t>
      </w:r>
      <w:r>
        <w:t>(</w:t>
      </w:r>
      <w:r w:rsidRPr="00B969EE">
        <w:t>oddíl II. bod 2</w:t>
      </w:r>
      <w:r>
        <w:t>) uvádí, že d</w:t>
      </w:r>
      <w:r w:rsidRPr="00B969EE">
        <w:t>održení limit</w:t>
      </w:r>
      <w:r>
        <w:t xml:space="preserve">u </w:t>
      </w:r>
      <w:r w:rsidRPr="00B969EE">
        <w:t>motivační</w:t>
      </w:r>
      <w:r>
        <w:t>ho</w:t>
      </w:r>
      <w:r w:rsidRPr="00B969EE">
        <w:t xml:space="preserve"> příplat</w:t>
      </w:r>
      <w:r>
        <w:t>ku</w:t>
      </w:r>
      <w:r w:rsidRPr="00B969EE">
        <w:t xml:space="preserve"> musí být doloženo (auditní stopa) pro účely kontrol.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16367"/>
    <w:multiLevelType w:val="hybridMultilevel"/>
    <w:tmpl w:val="4614E3F8"/>
    <w:lvl w:ilvl="0" w:tplc="040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9C73869"/>
    <w:multiLevelType w:val="multilevel"/>
    <w:tmpl w:val="95EAD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B281FE6"/>
    <w:multiLevelType w:val="hybridMultilevel"/>
    <w:tmpl w:val="226A8518"/>
    <w:lvl w:ilvl="0" w:tplc="7B165F7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02426F"/>
    <w:multiLevelType w:val="hybridMultilevel"/>
    <w:tmpl w:val="9BE662D6"/>
    <w:lvl w:ilvl="0" w:tplc="58D41998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A12E11"/>
    <w:multiLevelType w:val="hybridMultilevel"/>
    <w:tmpl w:val="E1D67092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1A94219"/>
    <w:multiLevelType w:val="multilevel"/>
    <w:tmpl w:val="05665D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2B13F01"/>
    <w:multiLevelType w:val="hybridMultilevel"/>
    <w:tmpl w:val="99CE0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80380"/>
    <w:multiLevelType w:val="hybridMultilevel"/>
    <w:tmpl w:val="00285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941E83"/>
    <w:multiLevelType w:val="multilevel"/>
    <w:tmpl w:val="95EADE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16393C78"/>
    <w:multiLevelType w:val="multilevel"/>
    <w:tmpl w:val="EEBC350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B83AD3"/>
    <w:multiLevelType w:val="hybridMultilevel"/>
    <w:tmpl w:val="09D0D816"/>
    <w:lvl w:ilvl="0" w:tplc="2D7AF204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1537A3"/>
    <w:multiLevelType w:val="hybridMultilevel"/>
    <w:tmpl w:val="E6C8187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202A99"/>
    <w:multiLevelType w:val="hybridMultilevel"/>
    <w:tmpl w:val="4606CA92"/>
    <w:lvl w:ilvl="0" w:tplc="DFD6921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9D37306"/>
    <w:multiLevelType w:val="hybridMultilevel"/>
    <w:tmpl w:val="83887AE2"/>
    <w:lvl w:ilvl="0" w:tplc="79DE9F94">
      <w:start w:val="1"/>
      <w:numFmt w:val="upperLetter"/>
      <w:suff w:val="space"/>
      <w:lvlText w:val="%1."/>
      <w:lvlJc w:val="left"/>
      <w:pPr>
        <w:ind w:left="720" w:hanging="360"/>
      </w:pPr>
      <w:rPr>
        <w:rFonts w:hint="default"/>
        <w:b/>
        <w:color w:val="004595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5B4289"/>
    <w:multiLevelType w:val="hybridMultilevel"/>
    <w:tmpl w:val="152813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9B5197"/>
    <w:multiLevelType w:val="hybridMultilevel"/>
    <w:tmpl w:val="AA4A8158"/>
    <w:lvl w:ilvl="0" w:tplc="981A8D0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DCA2B0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F47F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43A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5A1B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BA79F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9E31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36DC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385C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BF2F91"/>
    <w:multiLevelType w:val="hybridMultilevel"/>
    <w:tmpl w:val="2DE4FD52"/>
    <w:lvl w:ilvl="0" w:tplc="040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7" w15:restartNumberingAfterBreak="0">
    <w:nsid w:val="275651B1"/>
    <w:multiLevelType w:val="hybridMultilevel"/>
    <w:tmpl w:val="F9A4B24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9F709A0"/>
    <w:multiLevelType w:val="hybridMultilevel"/>
    <w:tmpl w:val="241CAD70"/>
    <w:lvl w:ilvl="0" w:tplc="6D305FC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 w:tplc="35232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44AB199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283A1981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FB745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4BF52D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6105A5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85C3BF3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428ADD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9" w15:restartNumberingAfterBreak="0">
    <w:nsid w:val="2A3C7797"/>
    <w:multiLevelType w:val="hybridMultilevel"/>
    <w:tmpl w:val="382661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FD3D7E"/>
    <w:multiLevelType w:val="hybridMultilevel"/>
    <w:tmpl w:val="10BC4A5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0FE3B82"/>
    <w:multiLevelType w:val="hybridMultilevel"/>
    <w:tmpl w:val="75689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CB5E05"/>
    <w:multiLevelType w:val="multilevel"/>
    <w:tmpl w:val="233293F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B0E3A4D"/>
    <w:multiLevelType w:val="hybridMultilevel"/>
    <w:tmpl w:val="2B72175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C60485"/>
    <w:multiLevelType w:val="hybridMultilevel"/>
    <w:tmpl w:val="091A84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AC4F29"/>
    <w:multiLevelType w:val="hybridMultilevel"/>
    <w:tmpl w:val="4CCC97CE"/>
    <w:lvl w:ilvl="0" w:tplc="1D50D720">
      <w:start w:val="49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3A0373"/>
    <w:multiLevelType w:val="hybridMultilevel"/>
    <w:tmpl w:val="A07EB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3F552B"/>
    <w:multiLevelType w:val="hybridMultilevel"/>
    <w:tmpl w:val="A07EB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C56787"/>
    <w:multiLevelType w:val="hybridMultilevel"/>
    <w:tmpl w:val="0388DF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53358C"/>
    <w:multiLevelType w:val="hybridMultilevel"/>
    <w:tmpl w:val="FC40E9B6"/>
    <w:lvl w:ilvl="0" w:tplc="3CF4B1E4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1E0072"/>
    <w:multiLevelType w:val="hybridMultilevel"/>
    <w:tmpl w:val="617E88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E681C"/>
    <w:multiLevelType w:val="hybridMultilevel"/>
    <w:tmpl w:val="A07EB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B0744"/>
    <w:multiLevelType w:val="hybridMultilevel"/>
    <w:tmpl w:val="5D4CB046"/>
    <w:lvl w:ilvl="0" w:tplc="82F0AA26">
      <w:start w:val="2"/>
      <w:numFmt w:val="decimal"/>
      <w:lvlText w:val="4.%1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B71CD6"/>
    <w:multiLevelType w:val="multilevel"/>
    <w:tmpl w:val="6B5039CA"/>
    <w:lvl w:ilvl="0">
      <w:start w:val="1"/>
      <w:numFmt w:val="upperRoman"/>
      <w:pStyle w:val="Nadpis1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4" w15:restartNumberingAfterBreak="0">
    <w:nsid w:val="5BA506A9"/>
    <w:multiLevelType w:val="hybridMultilevel"/>
    <w:tmpl w:val="85B87DC2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5D7176DE"/>
    <w:multiLevelType w:val="hybridMultilevel"/>
    <w:tmpl w:val="29CCE3A0"/>
    <w:lvl w:ilvl="0" w:tplc="52BA278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6" w15:restartNumberingAfterBreak="0">
    <w:nsid w:val="5D990286"/>
    <w:multiLevelType w:val="hybridMultilevel"/>
    <w:tmpl w:val="F19687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C5E5D24">
      <w:numFmt w:val="bullet"/>
      <w:lvlText w:val="•"/>
      <w:lvlJc w:val="left"/>
      <w:pPr>
        <w:ind w:left="1788" w:hanging="708"/>
      </w:pPr>
      <w:rPr>
        <w:rFonts w:ascii="Calibri" w:eastAsia="Times New Roman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135AE"/>
    <w:multiLevelType w:val="hybridMultilevel"/>
    <w:tmpl w:val="3F54DB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5442A67"/>
    <w:multiLevelType w:val="hybridMultilevel"/>
    <w:tmpl w:val="F0E04F6C"/>
    <w:lvl w:ilvl="0" w:tplc="55727FA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7242003"/>
    <w:multiLevelType w:val="hybridMultilevel"/>
    <w:tmpl w:val="BF1C24E6"/>
    <w:lvl w:ilvl="0" w:tplc="3CF4B1E4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0CB5D33"/>
    <w:multiLevelType w:val="hybridMultilevel"/>
    <w:tmpl w:val="A07EB4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7532A6"/>
    <w:multiLevelType w:val="hybridMultilevel"/>
    <w:tmpl w:val="7F4AC34C"/>
    <w:lvl w:ilvl="0" w:tplc="1A50DDEC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63988"/>
    <w:multiLevelType w:val="hybridMultilevel"/>
    <w:tmpl w:val="045210BE"/>
    <w:lvl w:ilvl="0" w:tplc="3CF4B1E4">
      <w:start w:val="1"/>
      <w:numFmt w:val="decimal"/>
      <w:lvlText w:val="2.%1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D30517"/>
    <w:multiLevelType w:val="hybridMultilevel"/>
    <w:tmpl w:val="8F7AD82A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8"/>
  </w:num>
  <w:num w:numId="3">
    <w:abstractNumId w:val="6"/>
  </w:num>
  <w:num w:numId="4">
    <w:abstractNumId w:val="33"/>
  </w:num>
  <w:num w:numId="5">
    <w:abstractNumId w:val="33"/>
  </w:num>
  <w:num w:numId="6">
    <w:abstractNumId w:val="33"/>
  </w:num>
  <w:num w:numId="7">
    <w:abstractNumId w:val="20"/>
  </w:num>
  <w:num w:numId="8">
    <w:abstractNumId w:val="17"/>
  </w:num>
  <w:num w:numId="9">
    <w:abstractNumId w:val="33"/>
  </w:num>
  <w:num w:numId="10">
    <w:abstractNumId w:val="2"/>
  </w:num>
  <w:num w:numId="11">
    <w:abstractNumId w:val="15"/>
  </w:num>
  <w:num w:numId="12">
    <w:abstractNumId w:val="31"/>
  </w:num>
  <w:num w:numId="13">
    <w:abstractNumId w:val="27"/>
  </w:num>
  <w:num w:numId="14">
    <w:abstractNumId w:val="12"/>
  </w:num>
  <w:num w:numId="15">
    <w:abstractNumId w:val="36"/>
  </w:num>
  <w:num w:numId="16">
    <w:abstractNumId w:val="40"/>
  </w:num>
  <w:num w:numId="17">
    <w:abstractNumId w:val="26"/>
  </w:num>
  <w:num w:numId="18">
    <w:abstractNumId w:val="21"/>
  </w:num>
  <w:num w:numId="19">
    <w:abstractNumId w:val="41"/>
  </w:num>
  <w:num w:numId="20">
    <w:abstractNumId w:val="14"/>
  </w:num>
  <w:num w:numId="21">
    <w:abstractNumId w:val="42"/>
  </w:num>
  <w:num w:numId="22">
    <w:abstractNumId w:val="18"/>
  </w:num>
  <w:num w:numId="23">
    <w:abstractNumId w:val="9"/>
  </w:num>
  <w:num w:numId="24">
    <w:abstractNumId w:val="5"/>
  </w:num>
  <w:num w:numId="25">
    <w:abstractNumId w:val="8"/>
  </w:num>
  <w:num w:numId="26">
    <w:abstractNumId w:val="29"/>
  </w:num>
  <w:num w:numId="27">
    <w:abstractNumId w:val="34"/>
  </w:num>
  <w:num w:numId="28">
    <w:abstractNumId w:val="22"/>
  </w:num>
  <w:num w:numId="29">
    <w:abstractNumId w:val="11"/>
  </w:num>
  <w:num w:numId="30">
    <w:abstractNumId w:val="1"/>
  </w:num>
  <w:num w:numId="31">
    <w:abstractNumId w:val="25"/>
  </w:num>
  <w:num w:numId="32">
    <w:abstractNumId w:val="3"/>
  </w:num>
  <w:num w:numId="33">
    <w:abstractNumId w:val="37"/>
  </w:num>
  <w:num w:numId="34">
    <w:abstractNumId w:val="24"/>
  </w:num>
  <w:num w:numId="35">
    <w:abstractNumId w:val="39"/>
  </w:num>
  <w:num w:numId="36">
    <w:abstractNumId w:val="0"/>
  </w:num>
  <w:num w:numId="37">
    <w:abstractNumId w:val="13"/>
  </w:num>
  <w:num w:numId="38">
    <w:abstractNumId w:val="19"/>
  </w:num>
  <w:num w:numId="39">
    <w:abstractNumId w:val="7"/>
  </w:num>
  <w:num w:numId="40">
    <w:abstractNumId w:val="16"/>
  </w:num>
  <w:num w:numId="41">
    <w:abstractNumId w:val="35"/>
  </w:num>
  <w:num w:numId="42">
    <w:abstractNumId w:val="10"/>
  </w:num>
  <w:num w:numId="43">
    <w:abstractNumId w:val="32"/>
  </w:num>
  <w:num w:numId="44">
    <w:abstractNumId w:val="4"/>
  </w:num>
  <w:num w:numId="45">
    <w:abstractNumId w:val="28"/>
  </w:num>
  <w:num w:numId="46">
    <w:abstractNumId w:val="30"/>
  </w:num>
  <w:num w:numId="47">
    <w:abstractNumId w:val="23"/>
  </w:num>
  <w:num w:numId="48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138"/>
    <w:rsid w:val="0000161F"/>
    <w:rsid w:val="00002A70"/>
    <w:rsid w:val="000038BB"/>
    <w:rsid w:val="00005D7E"/>
    <w:rsid w:val="00006832"/>
    <w:rsid w:val="00006A2B"/>
    <w:rsid w:val="0001060B"/>
    <w:rsid w:val="0001156F"/>
    <w:rsid w:val="000139F8"/>
    <w:rsid w:val="00014E24"/>
    <w:rsid w:val="00016945"/>
    <w:rsid w:val="00021DAE"/>
    <w:rsid w:val="000257A5"/>
    <w:rsid w:val="00027A6D"/>
    <w:rsid w:val="000300D1"/>
    <w:rsid w:val="00031492"/>
    <w:rsid w:val="00031A3F"/>
    <w:rsid w:val="000336A6"/>
    <w:rsid w:val="0003419E"/>
    <w:rsid w:val="0003607D"/>
    <w:rsid w:val="00037886"/>
    <w:rsid w:val="00037A8E"/>
    <w:rsid w:val="000419DF"/>
    <w:rsid w:val="0004274E"/>
    <w:rsid w:val="00042809"/>
    <w:rsid w:val="000457EE"/>
    <w:rsid w:val="00045F16"/>
    <w:rsid w:val="00052680"/>
    <w:rsid w:val="00053E02"/>
    <w:rsid w:val="000553E2"/>
    <w:rsid w:val="00056987"/>
    <w:rsid w:val="00056B78"/>
    <w:rsid w:val="00056EAD"/>
    <w:rsid w:val="00065574"/>
    <w:rsid w:val="00065EA4"/>
    <w:rsid w:val="00067131"/>
    <w:rsid w:val="00072160"/>
    <w:rsid w:val="000730B6"/>
    <w:rsid w:val="00074B30"/>
    <w:rsid w:val="00074E5F"/>
    <w:rsid w:val="00077A2A"/>
    <w:rsid w:val="0008050D"/>
    <w:rsid w:val="0008182F"/>
    <w:rsid w:val="00081A63"/>
    <w:rsid w:val="00082DEE"/>
    <w:rsid w:val="00085E9E"/>
    <w:rsid w:val="000874A8"/>
    <w:rsid w:val="00090326"/>
    <w:rsid w:val="0009053D"/>
    <w:rsid w:val="000933DA"/>
    <w:rsid w:val="00095E1E"/>
    <w:rsid w:val="00096A0B"/>
    <w:rsid w:val="000978EE"/>
    <w:rsid w:val="000B12C5"/>
    <w:rsid w:val="000B1645"/>
    <w:rsid w:val="000B168F"/>
    <w:rsid w:val="000B17F9"/>
    <w:rsid w:val="000B5134"/>
    <w:rsid w:val="000B6920"/>
    <w:rsid w:val="000C291C"/>
    <w:rsid w:val="000C3BE9"/>
    <w:rsid w:val="000C673B"/>
    <w:rsid w:val="000C7EBD"/>
    <w:rsid w:val="000D03A2"/>
    <w:rsid w:val="000D1F10"/>
    <w:rsid w:val="000D4324"/>
    <w:rsid w:val="000D4375"/>
    <w:rsid w:val="000D73B5"/>
    <w:rsid w:val="000D7D5C"/>
    <w:rsid w:val="000D7F8D"/>
    <w:rsid w:val="000E13AC"/>
    <w:rsid w:val="000E1D9D"/>
    <w:rsid w:val="000E272E"/>
    <w:rsid w:val="000E2809"/>
    <w:rsid w:val="000E4603"/>
    <w:rsid w:val="000E5C5E"/>
    <w:rsid w:val="000E71BD"/>
    <w:rsid w:val="000F0AA3"/>
    <w:rsid w:val="000F160F"/>
    <w:rsid w:val="000F3838"/>
    <w:rsid w:val="0010032B"/>
    <w:rsid w:val="00101379"/>
    <w:rsid w:val="00106589"/>
    <w:rsid w:val="00107271"/>
    <w:rsid w:val="001101C6"/>
    <w:rsid w:val="00110253"/>
    <w:rsid w:val="00111622"/>
    <w:rsid w:val="00112821"/>
    <w:rsid w:val="00113E3E"/>
    <w:rsid w:val="00122AE5"/>
    <w:rsid w:val="00122BEF"/>
    <w:rsid w:val="00122D15"/>
    <w:rsid w:val="00123FD7"/>
    <w:rsid w:val="00124B61"/>
    <w:rsid w:val="00130B2E"/>
    <w:rsid w:val="00131D28"/>
    <w:rsid w:val="001325DB"/>
    <w:rsid w:val="00133F0E"/>
    <w:rsid w:val="00134E77"/>
    <w:rsid w:val="0014295F"/>
    <w:rsid w:val="00142C85"/>
    <w:rsid w:val="001444F0"/>
    <w:rsid w:val="00146177"/>
    <w:rsid w:val="0015065E"/>
    <w:rsid w:val="00151B8F"/>
    <w:rsid w:val="00152B29"/>
    <w:rsid w:val="00154920"/>
    <w:rsid w:val="001550CD"/>
    <w:rsid w:val="001560FD"/>
    <w:rsid w:val="00156C16"/>
    <w:rsid w:val="0016200D"/>
    <w:rsid w:val="0016213B"/>
    <w:rsid w:val="00165FB9"/>
    <w:rsid w:val="00167C00"/>
    <w:rsid w:val="0017205D"/>
    <w:rsid w:val="001724FD"/>
    <w:rsid w:val="00176E3C"/>
    <w:rsid w:val="00180F33"/>
    <w:rsid w:val="00181C13"/>
    <w:rsid w:val="0018495D"/>
    <w:rsid w:val="00186C73"/>
    <w:rsid w:val="00186CA0"/>
    <w:rsid w:val="0019105A"/>
    <w:rsid w:val="0019294A"/>
    <w:rsid w:val="00195981"/>
    <w:rsid w:val="001972CC"/>
    <w:rsid w:val="001972CD"/>
    <w:rsid w:val="001A0AD7"/>
    <w:rsid w:val="001A2010"/>
    <w:rsid w:val="001A374A"/>
    <w:rsid w:val="001A4FEA"/>
    <w:rsid w:val="001A6BA6"/>
    <w:rsid w:val="001A71EA"/>
    <w:rsid w:val="001B0731"/>
    <w:rsid w:val="001B09C0"/>
    <w:rsid w:val="001B30A9"/>
    <w:rsid w:val="001B36FB"/>
    <w:rsid w:val="001B65DF"/>
    <w:rsid w:val="001C4C04"/>
    <w:rsid w:val="001C6023"/>
    <w:rsid w:val="001D1FC5"/>
    <w:rsid w:val="001D3CA9"/>
    <w:rsid w:val="001D4E1E"/>
    <w:rsid w:val="001D5414"/>
    <w:rsid w:val="001D71BF"/>
    <w:rsid w:val="001D7862"/>
    <w:rsid w:val="001E08CB"/>
    <w:rsid w:val="001E1138"/>
    <w:rsid w:val="001E61D0"/>
    <w:rsid w:val="001E69F9"/>
    <w:rsid w:val="001F00F6"/>
    <w:rsid w:val="001F15EB"/>
    <w:rsid w:val="001F1EB9"/>
    <w:rsid w:val="001F29FA"/>
    <w:rsid w:val="001F2CC5"/>
    <w:rsid w:val="001F35DA"/>
    <w:rsid w:val="001F448D"/>
    <w:rsid w:val="001F5FFB"/>
    <w:rsid w:val="001F6B71"/>
    <w:rsid w:val="001F74DD"/>
    <w:rsid w:val="002013F2"/>
    <w:rsid w:val="002103AD"/>
    <w:rsid w:val="00217DEB"/>
    <w:rsid w:val="00222B8B"/>
    <w:rsid w:val="002231FA"/>
    <w:rsid w:val="00223915"/>
    <w:rsid w:val="002246C2"/>
    <w:rsid w:val="00225968"/>
    <w:rsid w:val="002273CF"/>
    <w:rsid w:val="00230A43"/>
    <w:rsid w:val="002355E1"/>
    <w:rsid w:val="0023722C"/>
    <w:rsid w:val="002402E6"/>
    <w:rsid w:val="0024180B"/>
    <w:rsid w:val="00245053"/>
    <w:rsid w:val="00246E44"/>
    <w:rsid w:val="00247E4A"/>
    <w:rsid w:val="00250C65"/>
    <w:rsid w:val="00252432"/>
    <w:rsid w:val="002528D0"/>
    <w:rsid w:val="00252C43"/>
    <w:rsid w:val="002538C1"/>
    <w:rsid w:val="00253DB8"/>
    <w:rsid w:val="002549E1"/>
    <w:rsid w:val="0025560A"/>
    <w:rsid w:val="00256A33"/>
    <w:rsid w:val="00257FDE"/>
    <w:rsid w:val="00257FE6"/>
    <w:rsid w:val="0026066F"/>
    <w:rsid w:val="00262D7C"/>
    <w:rsid w:val="00263D76"/>
    <w:rsid w:val="0026522A"/>
    <w:rsid w:val="00266A52"/>
    <w:rsid w:val="00272340"/>
    <w:rsid w:val="0027453D"/>
    <w:rsid w:val="00274FE6"/>
    <w:rsid w:val="0027615A"/>
    <w:rsid w:val="00277773"/>
    <w:rsid w:val="002808B7"/>
    <w:rsid w:val="00282CDB"/>
    <w:rsid w:val="00286760"/>
    <w:rsid w:val="00287973"/>
    <w:rsid w:val="00291BA7"/>
    <w:rsid w:val="0029605F"/>
    <w:rsid w:val="0029644E"/>
    <w:rsid w:val="002A01D6"/>
    <w:rsid w:val="002A2972"/>
    <w:rsid w:val="002A7FFE"/>
    <w:rsid w:val="002B0325"/>
    <w:rsid w:val="002B0A10"/>
    <w:rsid w:val="002B3108"/>
    <w:rsid w:val="002B6BD5"/>
    <w:rsid w:val="002C09F3"/>
    <w:rsid w:val="002C0B67"/>
    <w:rsid w:val="002C11AC"/>
    <w:rsid w:val="002C70DD"/>
    <w:rsid w:val="002C7247"/>
    <w:rsid w:val="002D06F5"/>
    <w:rsid w:val="002D357D"/>
    <w:rsid w:val="002D444B"/>
    <w:rsid w:val="002E0D93"/>
    <w:rsid w:val="002E15EC"/>
    <w:rsid w:val="002E2B9D"/>
    <w:rsid w:val="002E4D3A"/>
    <w:rsid w:val="002E540A"/>
    <w:rsid w:val="002F122F"/>
    <w:rsid w:val="002F4334"/>
    <w:rsid w:val="002F5483"/>
    <w:rsid w:val="002F5C56"/>
    <w:rsid w:val="002F7CE2"/>
    <w:rsid w:val="003040D0"/>
    <w:rsid w:val="003103F3"/>
    <w:rsid w:val="00310C59"/>
    <w:rsid w:val="00310FBE"/>
    <w:rsid w:val="00311115"/>
    <w:rsid w:val="00312171"/>
    <w:rsid w:val="00315B36"/>
    <w:rsid w:val="003174BE"/>
    <w:rsid w:val="0032458B"/>
    <w:rsid w:val="0032588A"/>
    <w:rsid w:val="003331BC"/>
    <w:rsid w:val="00340FEE"/>
    <w:rsid w:val="003447EE"/>
    <w:rsid w:val="003460D1"/>
    <w:rsid w:val="00346DF0"/>
    <w:rsid w:val="00346E5D"/>
    <w:rsid w:val="00347873"/>
    <w:rsid w:val="00350C5D"/>
    <w:rsid w:val="00351621"/>
    <w:rsid w:val="00351B81"/>
    <w:rsid w:val="00355519"/>
    <w:rsid w:val="0035697D"/>
    <w:rsid w:val="0035727B"/>
    <w:rsid w:val="003577CC"/>
    <w:rsid w:val="00363004"/>
    <w:rsid w:val="003639AD"/>
    <w:rsid w:val="00365AF7"/>
    <w:rsid w:val="00371098"/>
    <w:rsid w:val="003716F2"/>
    <w:rsid w:val="00371EAD"/>
    <w:rsid w:val="00371EBF"/>
    <w:rsid w:val="0037388A"/>
    <w:rsid w:val="0037463C"/>
    <w:rsid w:val="00375FC2"/>
    <w:rsid w:val="0038104B"/>
    <w:rsid w:val="003826F0"/>
    <w:rsid w:val="00383931"/>
    <w:rsid w:val="00387358"/>
    <w:rsid w:val="00387674"/>
    <w:rsid w:val="00387B82"/>
    <w:rsid w:val="00390685"/>
    <w:rsid w:val="003931AF"/>
    <w:rsid w:val="00393C64"/>
    <w:rsid w:val="003965AD"/>
    <w:rsid w:val="00397A0B"/>
    <w:rsid w:val="003A0732"/>
    <w:rsid w:val="003A0BB2"/>
    <w:rsid w:val="003A1A24"/>
    <w:rsid w:val="003A224D"/>
    <w:rsid w:val="003A4C7C"/>
    <w:rsid w:val="003A4F17"/>
    <w:rsid w:val="003A634E"/>
    <w:rsid w:val="003A6DEE"/>
    <w:rsid w:val="003B0084"/>
    <w:rsid w:val="003B22F5"/>
    <w:rsid w:val="003B3DEC"/>
    <w:rsid w:val="003B5ED1"/>
    <w:rsid w:val="003B651A"/>
    <w:rsid w:val="003B66E4"/>
    <w:rsid w:val="003B75D3"/>
    <w:rsid w:val="003C20A4"/>
    <w:rsid w:val="003C3249"/>
    <w:rsid w:val="003C3D91"/>
    <w:rsid w:val="003C42C5"/>
    <w:rsid w:val="003C4A83"/>
    <w:rsid w:val="003C622E"/>
    <w:rsid w:val="003D0C45"/>
    <w:rsid w:val="003D1A13"/>
    <w:rsid w:val="003D2B90"/>
    <w:rsid w:val="003D349E"/>
    <w:rsid w:val="003E00F1"/>
    <w:rsid w:val="003E0A2A"/>
    <w:rsid w:val="003E0DF0"/>
    <w:rsid w:val="003E5B53"/>
    <w:rsid w:val="003E7AE2"/>
    <w:rsid w:val="003F6E09"/>
    <w:rsid w:val="004015E0"/>
    <w:rsid w:val="00401E0F"/>
    <w:rsid w:val="00403209"/>
    <w:rsid w:val="00403FBB"/>
    <w:rsid w:val="00410E03"/>
    <w:rsid w:val="00412A0B"/>
    <w:rsid w:val="00413957"/>
    <w:rsid w:val="004140D0"/>
    <w:rsid w:val="00414FD2"/>
    <w:rsid w:val="00415F38"/>
    <w:rsid w:val="00420588"/>
    <w:rsid w:val="00422AA0"/>
    <w:rsid w:val="00427AC2"/>
    <w:rsid w:val="00430AB3"/>
    <w:rsid w:val="00433253"/>
    <w:rsid w:val="00436077"/>
    <w:rsid w:val="004367DF"/>
    <w:rsid w:val="0043751F"/>
    <w:rsid w:val="00437C16"/>
    <w:rsid w:val="004402A1"/>
    <w:rsid w:val="00440955"/>
    <w:rsid w:val="00441734"/>
    <w:rsid w:val="00441CBB"/>
    <w:rsid w:val="004423C0"/>
    <w:rsid w:val="00442D0A"/>
    <w:rsid w:val="0044396D"/>
    <w:rsid w:val="004458A4"/>
    <w:rsid w:val="004460F5"/>
    <w:rsid w:val="0044729D"/>
    <w:rsid w:val="00447D63"/>
    <w:rsid w:val="0045093F"/>
    <w:rsid w:val="00452446"/>
    <w:rsid w:val="00453DF7"/>
    <w:rsid w:val="00453F86"/>
    <w:rsid w:val="004558D5"/>
    <w:rsid w:val="00457F41"/>
    <w:rsid w:val="004615E8"/>
    <w:rsid w:val="00461CE3"/>
    <w:rsid w:val="0046275B"/>
    <w:rsid w:val="00462A97"/>
    <w:rsid w:val="004632E7"/>
    <w:rsid w:val="0046363D"/>
    <w:rsid w:val="0046415F"/>
    <w:rsid w:val="00466169"/>
    <w:rsid w:val="00466618"/>
    <w:rsid w:val="004672DE"/>
    <w:rsid w:val="00467D19"/>
    <w:rsid w:val="00471E13"/>
    <w:rsid w:val="00476C24"/>
    <w:rsid w:val="00482426"/>
    <w:rsid w:val="00487036"/>
    <w:rsid w:val="00487E87"/>
    <w:rsid w:val="00491AB2"/>
    <w:rsid w:val="00492F10"/>
    <w:rsid w:val="0049547D"/>
    <w:rsid w:val="00497DEE"/>
    <w:rsid w:val="004A0DCD"/>
    <w:rsid w:val="004A28F6"/>
    <w:rsid w:val="004A2C22"/>
    <w:rsid w:val="004A39D7"/>
    <w:rsid w:val="004A3D65"/>
    <w:rsid w:val="004A4985"/>
    <w:rsid w:val="004A64CA"/>
    <w:rsid w:val="004A770B"/>
    <w:rsid w:val="004B10CE"/>
    <w:rsid w:val="004B500D"/>
    <w:rsid w:val="004B52A7"/>
    <w:rsid w:val="004B5540"/>
    <w:rsid w:val="004B5CFC"/>
    <w:rsid w:val="004C0904"/>
    <w:rsid w:val="004C1E1B"/>
    <w:rsid w:val="004C5790"/>
    <w:rsid w:val="004D1542"/>
    <w:rsid w:val="004D1748"/>
    <w:rsid w:val="004D2C89"/>
    <w:rsid w:val="004D3645"/>
    <w:rsid w:val="004D4627"/>
    <w:rsid w:val="004D78B0"/>
    <w:rsid w:val="004E4F89"/>
    <w:rsid w:val="004F0482"/>
    <w:rsid w:val="004F0C4C"/>
    <w:rsid w:val="004F115B"/>
    <w:rsid w:val="004F17C3"/>
    <w:rsid w:val="004F3E45"/>
    <w:rsid w:val="004F4D30"/>
    <w:rsid w:val="004F5DDD"/>
    <w:rsid w:val="004F600F"/>
    <w:rsid w:val="0050294A"/>
    <w:rsid w:val="00502FB4"/>
    <w:rsid w:val="0050328F"/>
    <w:rsid w:val="00504272"/>
    <w:rsid w:val="00504D35"/>
    <w:rsid w:val="00504DD4"/>
    <w:rsid w:val="00507102"/>
    <w:rsid w:val="00514E54"/>
    <w:rsid w:val="00515A63"/>
    <w:rsid w:val="005165E9"/>
    <w:rsid w:val="005226C0"/>
    <w:rsid w:val="00522DFE"/>
    <w:rsid w:val="005231E1"/>
    <w:rsid w:val="00523AAC"/>
    <w:rsid w:val="00524BA8"/>
    <w:rsid w:val="00526466"/>
    <w:rsid w:val="005279A2"/>
    <w:rsid w:val="005316CF"/>
    <w:rsid w:val="00531884"/>
    <w:rsid w:val="0053330F"/>
    <w:rsid w:val="00534AE6"/>
    <w:rsid w:val="00536CCD"/>
    <w:rsid w:val="00541003"/>
    <w:rsid w:val="0054268E"/>
    <w:rsid w:val="00545201"/>
    <w:rsid w:val="005463FB"/>
    <w:rsid w:val="0054752F"/>
    <w:rsid w:val="005513F1"/>
    <w:rsid w:val="00552253"/>
    <w:rsid w:val="005530EB"/>
    <w:rsid w:val="00553CF9"/>
    <w:rsid w:val="0055493F"/>
    <w:rsid w:val="00554FF4"/>
    <w:rsid w:val="005552F0"/>
    <w:rsid w:val="00555A20"/>
    <w:rsid w:val="00555A6E"/>
    <w:rsid w:val="00555FF2"/>
    <w:rsid w:val="005560C8"/>
    <w:rsid w:val="00560D04"/>
    <w:rsid w:val="0056102F"/>
    <w:rsid w:val="00561409"/>
    <w:rsid w:val="005624FC"/>
    <w:rsid w:val="005639B8"/>
    <w:rsid w:val="00564582"/>
    <w:rsid w:val="00570230"/>
    <w:rsid w:val="0057025F"/>
    <w:rsid w:val="00571A35"/>
    <w:rsid w:val="00572C01"/>
    <w:rsid w:val="0057316D"/>
    <w:rsid w:val="005731A1"/>
    <w:rsid w:val="0057455C"/>
    <w:rsid w:val="005747C2"/>
    <w:rsid w:val="00575982"/>
    <w:rsid w:val="00575C64"/>
    <w:rsid w:val="00577CB2"/>
    <w:rsid w:val="005803D9"/>
    <w:rsid w:val="00580752"/>
    <w:rsid w:val="005811B5"/>
    <w:rsid w:val="00583AEE"/>
    <w:rsid w:val="00583F64"/>
    <w:rsid w:val="005851FE"/>
    <w:rsid w:val="0058558E"/>
    <w:rsid w:val="00585C87"/>
    <w:rsid w:val="0059060D"/>
    <w:rsid w:val="00591E7F"/>
    <w:rsid w:val="00596418"/>
    <w:rsid w:val="00596C95"/>
    <w:rsid w:val="00597A29"/>
    <w:rsid w:val="005A26B6"/>
    <w:rsid w:val="005A7791"/>
    <w:rsid w:val="005B0FCE"/>
    <w:rsid w:val="005B1875"/>
    <w:rsid w:val="005B5CAB"/>
    <w:rsid w:val="005B5FE0"/>
    <w:rsid w:val="005C0652"/>
    <w:rsid w:val="005C08D1"/>
    <w:rsid w:val="005C0FB2"/>
    <w:rsid w:val="005C17D2"/>
    <w:rsid w:val="005C56D9"/>
    <w:rsid w:val="005C5A87"/>
    <w:rsid w:val="005C5FA1"/>
    <w:rsid w:val="005C6C5D"/>
    <w:rsid w:val="005C7A47"/>
    <w:rsid w:val="005C7CA4"/>
    <w:rsid w:val="005D12B3"/>
    <w:rsid w:val="005D220A"/>
    <w:rsid w:val="005D282C"/>
    <w:rsid w:val="005D31CC"/>
    <w:rsid w:val="005D342D"/>
    <w:rsid w:val="005D34BA"/>
    <w:rsid w:val="005D42F0"/>
    <w:rsid w:val="005D4992"/>
    <w:rsid w:val="005D646D"/>
    <w:rsid w:val="005E14DB"/>
    <w:rsid w:val="005E697E"/>
    <w:rsid w:val="005E69BC"/>
    <w:rsid w:val="005E7465"/>
    <w:rsid w:val="005E7CDF"/>
    <w:rsid w:val="005F16FE"/>
    <w:rsid w:val="005F376F"/>
    <w:rsid w:val="005F4260"/>
    <w:rsid w:val="005F6D35"/>
    <w:rsid w:val="005F6E6F"/>
    <w:rsid w:val="00601D56"/>
    <w:rsid w:val="0060293F"/>
    <w:rsid w:val="00607C06"/>
    <w:rsid w:val="00607CCB"/>
    <w:rsid w:val="00612F02"/>
    <w:rsid w:val="006144B7"/>
    <w:rsid w:val="00614B31"/>
    <w:rsid w:val="00614E6B"/>
    <w:rsid w:val="0061760A"/>
    <w:rsid w:val="00620C8E"/>
    <w:rsid w:val="00621ECE"/>
    <w:rsid w:val="006235AA"/>
    <w:rsid w:val="00624215"/>
    <w:rsid w:val="00627A0C"/>
    <w:rsid w:val="00634EE2"/>
    <w:rsid w:val="006416FB"/>
    <w:rsid w:val="00643D00"/>
    <w:rsid w:val="00644C5D"/>
    <w:rsid w:val="00646D85"/>
    <w:rsid w:val="0064763A"/>
    <w:rsid w:val="00650AD4"/>
    <w:rsid w:val="00650CD2"/>
    <w:rsid w:val="006544EA"/>
    <w:rsid w:val="00655A73"/>
    <w:rsid w:val="00656587"/>
    <w:rsid w:val="006571D1"/>
    <w:rsid w:val="00657AA1"/>
    <w:rsid w:val="00662565"/>
    <w:rsid w:val="00664151"/>
    <w:rsid w:val="0066454C"/>
    <w:rsid w:val="00665414"/>
    <w:rsid w:val="00667E67"/>
    <w:rsid w:val="00667EE3"/>
    <w:rsid w:val="00681344"/>
    <w:rsid w:val="00681BCD"/>
    <w:rsid w:val="006859E0"/>
    <w:rsid w:val="0069034A"/>
    <w:rsid w:val="0069151C"/>
    <w:rsid w:val="006930ED"/>
    <w:rsid w:val="006930F7"/>
    <w:rsid w:val="006937F3"/>
    <w:rsid w:val="00694411"/>
    <w:rsid w:val="00695A2C"/>
    <w:rsid w:val="006979CF"/>
    <w:rsid w:val="006A0AB6"/>
    <w:rsid w:val="006A42F0"/>
    <w:rsid w:val="006A4C88"/>
    <w:rsid w:val="006A6986"/>
    <w:rsid w:val="006A765B"/>
    <w:rsid w:val="006B0643"/>
    <w:rsid w:val="006B1CB3"/>
    <w:rsid w:val="006B2A11"/>
    <w:rsid w:val="006B6ACC"/>
    <w:rsid w:val="006B7272"/>
    <w:rsid w:val="006B7C7A"/>
    <w:rsid w:val="006C04EF"/>
    <w:rsid w:val="006C2552"/>
    <w:rsid w:val="006C3FBA"/>
    <w:rsid w:val="006C48DE"/>
    <w:rsid w:val="006C5A1A"/>
    <w:rsid w:val="006C5F62"/>
    <w:rsid w:val="006C6162"/>
    <w:rsid w:val="006C6870"/>
    <w:rsid w:val="006D1CB2"/>
    <w:rsid w:val="006D1FDF"/>
    <w:rsid w:val="006D2172"/>
    <w:rsid w:val="006D22A3"/>
    <w:rsid w:val="006D5242"/>
    <w:rsid w:val="006D71CE"/>
    <w:rsid w:val="006D78D4"/>
    <w:rsid w:val="006E036B"/>
    <w:rsid w:val="006E0E96"/>
    <w:rsid w:val="006E20F6"/>
    <w:rsid w:val="006E4569"/>
    <w:rsid w:val="006E53E4"/>
    <w:rsid w:val="006F0B5D"/>
    <w:rsid w:val="006F2403"/>
    <w:rsid w:val="006F2725"/>
    <w:rsid w:val="006F2BF2"/>
    <w:rsid w:val="006F513D"/>
    <w:rsid w:val="006F5AD3"/>
    <w:rsid w:val="0070036E"/>
    <w:rsid w:val="00700B02"/>
    <w:rsid w:val="00702809"/>
    <w:rsid w:val="007031A1"/>
    <w:rsid w:val="0070367B"/>
    <w:rsid w:val="00705744"/>
    <w:rsid w:val="0070699B"/>
    <w:rsid w:val="007119CB"/>
    <w:rsid w:val="007121FE"/>
    <w:rsid w:val="007131B9"/>
    <w:rsid w:val="00713F49"/>
    <w:rsid w:val="00723D75"/>
    <w:rsid w:val="00725621"/>
    <w:rsid w:val="0073031A"/>
    <w:rsid w:val="00730C93"/>
    <w:rsid w:val="00733D12"/>
    <w:rsid w:val="00734CC7"/>
    <w:rsid w:val="007350FD"/>
    <w:rsid w:val="00736D50"/>
    <w:rsid w:val="00737529"/>
    <w:rsid w:val="00742AFC"/>
    <w:rsid w:val="00744376"/>
    <w:rsid w:val="007453CA"/>
    <w:rsid w:val="00745ACE"/>
    <w:rsid w:val="007462C7"/>
    <w:rsid w:val="007509AA"/>
    <w:rsid w:val="007519E7"/>
    <w:rsid w:val="00751CEC"/>
    <w:rsid w:val="00753D47"/>
    <w:rsid w:val="007543CE"/>
    <w:rsid w:val="00755A0E"/>
    <w:rsid w:val="00755C96"/>
    <w:rsid w:val="007566C5"/>
    <w:rsid w:val="00757199"/>
    <w:rsid w:val="00757C5A"/>
    <w:rsid w:val="00763DD1"/>
    <w:rsid w:val="00770097"/>
    <w:rsid w:val="00770B89"/>
    <w:rsid w:val="00771009"/>
    <w:rsid w:val="007731A0"/>
    <w:rsid w:val="00773CDE"/>
    <w:rsid w:val="00773EB1"/>
    <w:rsid w:val="00776F3F"/>
    <w:rsid w:val="0077781A"/>
    <w:rsid w:val="0078152B"/>
    <w:rsid w:val="007818AA"/>
    <w:rsid w:val="00782B43"/>
    <w:rsid w:val="00783DBE"/>
    <w:rsid w:val="00785A9D"/>
    <w:rsid w:val="00787963"/>
    <w:rsid w:val="00791BEA"/>
    <w:rsid w:val="0079458E"/>
    <w:rsid w:val="00794F47"/>
    <w:rsid w:val="007A0D45"/>
    <w:rsid w:val="007A0F1D"/>
    <w:rsid w:val="007A32DD"/>
    <w:rsid w:val="007A3DE8"/>
    <w:rsid w:val="007A617C"/>
    <w:rsid w:val="007A6973"/>
    <w:rsid w:val="007A7317"/>
    <w:rsid w:val="007B04D0"/>
    <w:rsid w:val="007B362F"/>
    <w:rsid w:val="007B3A70"/>
    <w:rsid w:val="007B406C"/>
    <w:rsid w:val="007B5630"/>
    <w:rsid w:val="007C4142"/>
    <w:rsid w:val="007C4E6B"/>
    <w:rsid w:val="007D093D"/>
    <w:rsid w:val="007D1E6B"/>
    <w:rsid w:val="007D3809"/>
    <w:rsid w:val="007D704E"/>
    <w:rsid w:val="007D797A"/>
    <w:rsid w:val="007E0C76"/>
    <w:rsid w:val="007E4F6A"/>
    <w:rsid w:val="007E5F94"/>
    <w:rsid w:val="007F0AEB"/>
    <w:rsid w:val="007F1D90"/>
    <w:rsid w:val="007F3AE4"/>
    <w:rsid w:val="007F5CA2"/>
    <w:rsid w:val="007F7A36"/>
    <w:rsid w:val="00800095"/>
    <w:rsid w:val="008000F4"/>
    <w:rsid w:val="0080090C"/>
    <w:rsid w:val="00800DC4"/>
    <w:rsid w:val="008015E3"/>
    <w:rsid w:val="00802041"/>
    <w:rsid w:val="0080311D"/>
    <w:rsid w:val="00803F57"/>
    <w:rsid w:val="008116E0"/>
    <w:rsid w:val="00811BE3"/>
    <w:rsid w:val="00814BEE"/>
    <w:rsid w:val="00815FAF"/>
    <w:rsid w:val="00816C16"/>
    <w:rsid w:val="00821FCD"/>
    <w:rsid w:val="008234F6"/>
    <w:rsid w:val="008253E1"/>
    <w:rsid w:val="00825E2F"/>
    <w:rsid w:val="00827773"/>
    <w:rsid w:val="00827FBE"/>
    <w:rsid w:val="00830888"/>
    <w:rsid w:val="00830C19"/>
    <w:rsid w:val="00830C28"/>
    <w:rsid w:val="00832BE8"/>
    <w:rsid w:val="0083303D"/>
    <w:rsid w:val="00833575"/>
    <w:rsid w:val="00833EB5"/>
    <w:rsid w:val="00835CC5"/>
    <w:rsid w:val="00840D27"/>
    <w:rsid w:val="00843975"/>
    <w:rsid w:val="00844EBC"/>
    <w:rsid w:val="008454AE"/>
    <w:rsid w:val="008469F5"/>
    <w:rsid w:val="0085109B"/>
    <w:rsid w:val="0085118F"/>
    <w:rsid w:val="00856424"/>
    <w:rsid w:val="008626B3"/>
    <w:rsid w:val="00864C74"/>
    <w:rsid w:val="0086511E"/>
    <w:rsid w:val="00865189"/>
    <w:rsid w:val="0086627C"/>
    <w:rsid w:val="00870769"/>
    <w:rsid w:val="008716C6"/>
    <w:rsid w:val="00871C5A"/>
    <w:rsid w:val="00872E04"/>
    <w:rsid w:val="008744C8"/>
    <w:rsid w:val="00874C24"/>
    <w:rsid w:val="0088229D"/>
    <w:rsid w:val="00882B66"/>
    <w:rsid w:val="00883474"/>
    <w:rsid w:val="00890B1C"/>
    <w:rsid w:val="00891F3A"/>
    <w:rsid w:val="0089393F"/>
    <w:rsid w:val="008A1E0D"/>
    <w:rsid w:val="008A1F80"/>
    <w:rsid w:val="008A48D0"/>
    <w:rsid w:val="008A71DE"/>
    <w:rsid w:val="008B01BF"/>
    <w:rsid w:val="008B22A3"/>
    <w:rsid w:val="008B52D8"/>
    <w:rsid w:val="008B7A15"/>
    <w:rsid w:val="008B7C7B"/>
    <w:rsid w:val="008B7E95"/>
    <w:rsid w:val="008C04E2"/>
    <w:rsid w:val="008C0838"/>
    <w:rsid w:val="008C604E"/>
    <w:rsid w:val="008C65A4"/>
    <w:rsid w:val="008C7574"/>
    <w:rsid w:val="008D02A4"/>
    <w:rsid w:val="008D1DB1"/>
    <w:rsid w:val="008D56E0"/>
    <w:rsid w:val="008D6D1E"/>
    <w:rsid w:val="008D7113"/>
    <w:rsid w:val="008D78A1"/>
    <w:rsid w:val="008D78E5"/>
    <w:rsid w:val="008E38BA"/>
    <w:rsid w:val="008E4DFE"/>
    <w:rsid w:val="008E6616"/>
    <w:rsid w:val="008F03EC"/>
    <w:rsid w:val="008F2573"/>
    <w:rsid w:val="008F5D58"/>
    <w:rsid w:val="008F715D"/>
    <w:rsid w:val="00901772"/>
    <w:rsid w:val="00903B52"/>
    <w:rsid w:val="009043FF"/>
    <w:rsid w:val="00904CD4"/>
    <w:rsid w:val="00904D24"/>
    <w:rsid w:val="00907217"/>
    <w:rsid w:val="009074DE"/>
    <w:rsid w:val="00911D4E"/>
    <w:rsid w:val="00914235"/>
    <w:rsid w:val="009170EB"/>
    <w:rsid w:val="00917D74"/>
    <w:rsid w:val="00920CA5"/>
    <w:rsid w:val="00921E7C"/>
    <w:rsid w:val="00931303"/>
    <w:rsid w:val="00937E92"/>
    <w:rsid w:val="00940295"/>
    <w:rsid w:val="00940648"/>
    <w:rsid w:val="00941526"/>
    <w:rsid w:val="009418BB"/>
    <w:rsid w:val="00941E0B"/>
    <w:rsid w:val="009448CD"/>
    <w:rsid w:val="009455F6"/>
    <w:rsid w:val="00946D33"/>
    <w:rsid w:val="00952BF7"/>
    <w:rsid w:val="00952E95"/>
    <w:rsid w:val="00955315"/>
    <w:rsid w:val="0096075A"/>
    <w:rsid w:val="0096257B"/>
    <w:rsid w:val="00963C3E"/>
    <w:rsid w:val="00964680"/>
    <w:rsid w:val="009650C8"/>
    <w:rsid w:val="00965DB2"/>
    <w:rsid w:val="00966076"/>
    <w:rsid w:val="00966082"/>
    <w:rsid w:val="00971407"/>
    <w:rsid w:val="00971D5C"/>
    <w:rsid w:val="00971ED2"/>
    <w:rsid w:val="00972082"/>
    <w:rsid w:val="00972727"/>
    <w:rsid w:val="0097283A"/>
    <w:rsid w:val="009767D1"/>
    <w:rsid w:val="009767D5"/>
    <w:rsid w:val="00976EA9"/>
    <w:rsid w:val="00980475"/>
    <w:rsid w:val="00984AB9"/>
    <w:rsid w:val="009854FB"/>
    <w:rsid w:val="00986916"/>
    <w:rsid w:val="009913CF"/>
    <w:rsid w:val="00991E5E"/>
    <w:rsid w:val="00991FE9"/>
    <w:rsid w:val="00993655"/>
    <w:rsid w:val="009941B4"/>
    <w:rsid w:val="009952E4"/>
    <w:rsid w:val="009961DC"/>
    <w:rsid w:val="0099641A"/>
    <w:rsid w:val="00997971"/>
    <w:rsid w:val="009A0492"/>
    <w:rsid w:val="009A08A6"/>
    <w:rsid w:val="009B03F1"/>
    <w:rsid w:val="009B1EF8"/>
    <w:rsid w:val="009B4354"/>
    <w:rsid w:val="009B4560"/>
    <w:rsid w:val="009B4A21"/>
    <w:rsid w:val="009B643E"/>
    <w:rsid w:val="009B6653"/>
    <w:rsid w:val="009B7364"/>
    <w:rsid w:val="009C5400"/>
    <w:rsid w:val="009C61E3"/>
    <w:rsid w:val="009D0909"/>
    <w:rsid w:val="009D3338"/>
    <w:rsid w:val="009D52E3"/>
    <w:rsid w:val="009D6053"/>
    <w:rsid w:val="009D6B8E"/>
    <w:rsid w:val="009E1132"/>
    <w:rsid w:val="009E2124"/>
    <w:rsid w:val="009E2A6D"/>
    <w:rsid w:val="009E308F"/>
    <w:rsid w:val="009E51F6"/>
    <w:rsid w:val="009E6C55"/>
    <w:rsid w:val="00A00939"/>
    <w:rsid w:val="00A00CCF"/>
    <w:rsid w:val="00A02A13"/>
    <w:rsid w:val="00A0419A"/>
    <w:rsid w:val="00A0561E"/>
    <w:rsid w:val="00A063D5"/>
    <w:rsid w:val="00A07785"/>
    <w:rsid w:val="00A07F74"/>
    <w:rsid w:val="00A10D60"/>
    <w:rsid w:val="00A130AF"/>
    <w:rsid w:val="00A132FD"/>
    <w:rsid w:val="00A150A0"/>
    <w:rsid w:val="00A20998"/>
    <w:rsid w:val="00A2108A"/>
    <w:rsid w:val="00A22AB9"/>
    <w:rsid w:val="00A23180"/>
    <w:rsid w:val="00A235B8"/>
    <w:rsid w:val="00A251F9"/>
    <w:rsid w:val="00A27560"/>
    <w:rsid w:val="00A40431"/>
    <w:rsid w:val="00A422B0"/>
    <w:rsid w:val="00A43BB8"/>
    <w:rsid w:val="00A5329B"/>
    <w:rsid w:val="00A536D2"/>
    <w:rsid w:val="00A543B0"/>
    <w:rsid w:val="00A54F26"/>
    <w:rsid w:val="00A55153"/>
    <w:rsid w:val="00A55D91"/>
    <w:rsid w:val="00A56EAC"/>
    <w:rsid w:val="00A6090F"/>
    <w:rsid w:val="00A613E8"/>
    <w:rsid w:val="00A63E2C"/>
    <w:rsid w:val="00A64D57"/>
    <w:rsid w:val="00A668F8"/>
    <w:rsid w:val="00A717F8"/>
    <w:rsid w:val="00A729AA"/>
    <w:rsid w:val="00A7351A"/>
    <w:rsid w:val="00A76389"/>
    <w:rsid w:val="00A80441"/>
    <w:rsid w:val="00A86A67"/>
    <w:rsid w:val="00A91283"/>
    <w:rsid w:val="00A9255C"/>
    <w:rsid w:val="00A929CA"/>
    <w:rsid w:val="00A92F70"/>
    <w:rsid w:val="00A94AC5"/>
    <w:rsid w:val="00A95AE6"/>
    <w:rsid w:val="00A973E6"/>
    <w:rsid w:val="00AA23B3"/>
    <w:rsid w:val="00AA3B40"/>
    <w:rsid w:val="00AA3E2E"/>
    <w:rsid w:val="00AA497D"/>
    <w:rsid w:val="00AA7ED7"/>
    <w:rsid w:val="00AB0974"/>
    <w:rsid w:val="00AB2751"/>
    <w:rsid w:val="00AB2780"/>
    <w:rsid w:val="00AB32EC"/>
    <w:rsid w:val="00AB4A6C"/>
    <w:rsid w:val="00AB5A00"/>
    <w:rsid w:val="00AB6031"/>
    <w:rsid w:val="00AC1F7C"/>
    <w:rsid w:val="00AC22BE"/>
    <w:rsid w:val="00AC26A8"/>
    <w:rsid w:val="00AC536B"/>
    <w:rsid w:val="00AC5B0A"/>
    <w:rsid w:val="00AC7A1F"/>
    <w:rsid w:val="00AD1A90"/>
    <w:rsid w:val="00AD60CF"/>
    <w:rsid w:val="00AE43D6"/>
    <w:rsid w:val="00AE4E5E"/>
    <w:rsid w:val="00AE5270"/>
    <w:rsid w:val="00AE53D1"/>
    <w:rsid w:val="00AE71E5"/>
    <w:rsid w:val="00AF1A45"/>
    <w:rsid w:val="00AF1F4C"/>
    <w:rsid w:val="00AF277B"/>
    <w:rsid w:val="00AF320A"/>
    <w:rsid w:val="00AF6971"/>
    <w:rsid w:val="00B009CA"/>
    <w:rsid w:val="00B0402F"/>
    <w:rsid w:val="00B06D64"/>
    <w:rsid w:val="00B07157"/>
    <w:rsid w:val="00B1101E"/>
    <w:rsid w:val="00B1427C"/>
    <w:rsid w:val="00B14A1D"/>
    <w:rsid w:val="00B15325"/>
    <w:rsid w:val="00B16548"/>
    <w:rsid w:val="00B175F2"/>
    <w:rsid w:val="00B17AD6"/>
    <w:rsid w:val="00B20E2C"/>
    <w:rsid w:val="00B21272"/>
    <w:rsid w:val="00B25812"/>
    <w:rsid w:val="00B26E2F"/>
    <w:rsid w:val="00B274C9"/>
    <w:rsid w:val="00B302EC"/>
    <w:rsid w:val="00B31BA9"/>
    <w:rsid w:val="00B34153"/>
    <w:rsid w:val="00B34C33"/>
    <w:rsid w:val="00B36152"/>
    <w:rsid w:val="00B37224"/>
    <w:rsid w:val="00B37D82"/>
    <w:rsid w:val="00B42219"/>
    <w:rsid w:val="00B457AE"/>
    <w:rsid w:val="00B46FE6"/>
    <w:rsid w:val="00B512FF"/>
    <w:rsid w:val="00B5695A"/>
    <w:rsid w:val="00B570B6"/>
    <w:rsid w:val="00B57426"/>
    <w:rsid w:val="00B61D96"/>
    <w:rsid w:val="00B623ED"/>
    <w:rsid w:val="00B63C02"/>
    <w:rsid w:val="00B64697"/>
    <w:rsid w:val="00B64750"/>
    <w:rsid w:val="00B65753"/>
    <w:rsid w:val="00B700A7"/>
    <w:rsid w:val="00B70EC2"/>
    <w:rsid w:val="00B73715"/>
    <w:rsid w:val="00B75325"/>
    <w:rsid w:val="00B77234"/>
    <w:rsid w:val="00B843C7"/>
    <w:rsid w:val="00B90B61"/>
    <w:rsid w:val="00B949D5"/>
    <w:rsid w:val="00B958A1"/>
    <w:rsid w:val="00B960F1"/>
    <w:rsid w:val="00B96521"/>
    <w:rsid w:val="00B967B4"/>
    <w:rsid w:val="00B969EE"/>
    <w:rsid w:val="00B97B4C"/>
    <w:rsid w:val="00B97BF5"/>
    <w:rsid w:val="00BA0800"/>
    <w:rsid w:val="00BA08CD"/>
    <w:rsid w:val="00BA14B9"/>
    <w:rsid w:val="00BA28B1"/>
    <w:rsid w:val="00BA31CB"/>
    <w:rsid w:val="00BA5042"/>
    <w:rsid w:val="00BA54C0"/>
    <w:rsid w:val="00BB1157"/>
    <w:rsid w:val="00BB1471"/>
    <w:rsid w:val="00BB1562"/>
    <w:rsid w:val="00BB2FCB"/>
    <w:rsid w:val="00BB4345"/>
    <w:rsid w:val="00BB52AE"/>
    <w:rsid w:val="00BB56B5"/>
    <w:rsid w:val="00BC04E5"/>
    <w:rsid w:val="00BC0A41"/>
    <w:rsid w:val="00BC28EA"/>
    <w:rsid w:val="00BC2C05"/>
    <w:rsid w:val="00BC3A96"/>
    <w:rsid w:val="00BD2668"/>
    <w:rsid w:val="00BD296F"/>
    <w:rsid w:val="00BD2A6A"/>
    <w:rsid w:val="00BD3B44"/>
    <w:rsid w:val="00BD4252"/>
    <w:rsid w:val="00BD58F3"/>
    <w:rsid w:val="00BD605F"/>
    <w:rsid w:val="00BE2DEF"/>
    <w:rsid w:val="00BE3361"/>
    <w:rsid w:val="00BE4D15"/>
    <w:rsid w:val="00BF0B74"/>
    <w:rsid w:val="00BF22FF"/>
    <w:rsid w:val="00BF7F83"/>
    <w:rsid w:val="00C0004E"/>
    <w:rsid w:val="00C00E05"/>
    <w:rsid w:val="00C017BC"/>
    <w:rsid w:val="00C03D0D"/>
    <w:rsid w:val="00C03D12"/>
    <w:rsid w:val="00C077C4"/>
    <w:rsid w:val="00C07851"/>
    <w:rsid w:val="00C141C7"/>
    <w:rsid w:val="00C216B8"/>
    <w:rsid w:val="00C25226"/>
    <w:rsid w:val="00C26873"/>
    <w:rsid w:val="00C278E9"/>
    <w:rsid w:val="00C31E2A"/>
    <w:rsid w:val="00C3228B"/>
    <w:rsid w:val="00C3279A"/>
    <w:rsid w:val="00C34564"/>
    <w:rsid w:val="00C3684E"/>
    <w:rsid w:val="00C40224"/>
    <w:rsid w:val="00C4055F"/>
    <w:rsid w:val="00C40DA8"/>
    <w:rsid w:val="00C44558"/>
    <w:rsid w:val="00C465A0"/>
    <w:rsid w:val="00C50D5A"/>
    <w:rsid w:val="00C51DB9"/>
    <w:rsid w:val="00C526C5"/>
    <w:rsid w:val="00C52E2B"/>
    <w:rsid w:val="00C55347"/>
    <w:rsid w:val="00C55C2B"/>
    <w:rsid w:val="00C56D20"/>
    <w:rsid w:val="00C60E1A"/>
    <w:rsid w:val="00C61148"/>
    <w:rsid w:val="00C61968"/>
    <w:rsid w:val="00C628C2"/>
    <w:rsid w:val="00C67A92"/>
    <w:rsid w:val="00C717D8"/>
    <w:rsid w:val="00C718C5"/>
    <w:rsid w:val="00C71CF6"/>
    <w:rsid w:val="00C80118"/>
    <w:rsid w:val="00C804F3"/>
    <w:rsid w:val="00C82D5F"/>
    <w:rsid w:val="00C83A89"/>
    <w:rsid w:val="00C91F98"/>
    <w:rsid w:val="00C948BA"/>
    <w:rsid w:val="00C94A14"/>
    <w:rsid w:val="00C955D9"/>
    <w:rsid w:val="00C95EE7"/>
    <w:rsid w:val="00CA11B8"/>
    <w:rsid w:val="00CA1E0C"/>
    <w:rsid w:val="00CA37C6"/>
    <w:rsid w:val="00CA3B3D"/>
    <w:rsid w:val="00CA7992"/>
    <w:rsid w:val="00CB10DB"/>
    <w:rsid w:val="00CB1B3F"/>
    <w:rsid w:val="00CB3B8B"/>
    <w:rsid w:val="00CB5608"/>
    <w:rsid w:val="00CB6EFC"/>
    <w:rsid w:val="00CC02AF"/>
    <w:rsid w:val="00CC1A0A"/>
    <w:rsid w:val="00CC28D1"/>
    <w:rsid w:val="00CC2A47"/>
    <w:rsid w:val="00CC3AA0"/>
    <w:rsid w:val="00CD0907"/>
    <w:rsid w:val="00CD1B60"/>
    <w:rsid w:val="00CD3C4C"/>
    <w:rsid w:val="00CD59DC"/>
    <w:rsid w:val="00CD59F6"/>
    <w:rsid w:val="00CD63A4"/>
    <w:rsid w:val="00CE1BEC"/>
    <w:rsid w:val="00CE3146"/>
    <w:rsid w:val="00CF0163"/>
    <w:rsid w:val="00CF6090"/>
    <w:rsid w:val="00CF7FE3"/>
    <w:rsid w:val="00D00AAD"/>
    <w:rsid w:val="00D04B99"/>
    <w:rsid w:val="00D06EF1"/>
    <w:rsid w:val="00D073D1"/>
    <w:rsid w:val="00D07E40"/>
    <w:rsid w:val="00D1036F"/>
    <w:rsid w:val="00D13730"/>
    <w:rsid w:val="00D13AF0"/>
    <w:rsid w:val="00D202B3"/>
    <w:rsid w:val="00D234D0"/>
    <w:rsid w:val="00D252B4"/>
    <w:rsid w:val="00D26216"/>
    <w:rsid w:val="00D26855"/>
    <w:rsid w:val="00D26ACF"/>
    <w:rsid w:val="00D31796"/>
    <w:rsid w:val="00D317B4"/>
    <w:rsid w:val="00D34DA6"/>
    <w:rsid w:val="00D37EFF"/>
    <w:rsid w:val="00D40CAB"/>
    <w:rsid w:val="00D40DF4"/>
    <w:rsid w:val="00D44512"/>
    <w:rsid w:val="00D4553C"/>
    <w:rsid w:val="00D47093"/>
    <w:rsid w:val="00D50556"/>
    <w:rsid w:val="00D509ED"/>
    <w:rsid w:val="00D52097"/>
    <w:rsid w:val="00D524C8"/>
    <w:rsid w:val="00D53CE5"/>
    <w:rsid w:val="00D548E2"/>
    <w:rsid w:val="00D54BFC"/>
    <w:rsid w:val="00D55DC3"/>
    <w:rsid w:val="00D5689B"/>
    <w:rsid w:val="00D622C1"/>
    <w:rsid w:val="00D66FFC"/>
    <w:rsid w:val="00D71E3E"/>
    <w:rsid w:val="00D7478B"/>
    <w:rsid w:val="00D7630D"/>
    <w:rsid w:val="00D81945"/>
    <w:rsid w:val="00D847BF"/>
    <w:rsid w:val="00D865A6"/>
    <w:rsid w:val="00D870ED"/>
    <w:rsid w:val="00D91581"/>
    <w:rsid w:val="00D9312D"/>
    <w:rsid w:val="00D93660"/>
    <w:rsid w:val="00D94551"/>
    <w:rsid w:val="00D964FD"/>
    <w:rsid w:val="00D97247"/>
    <w:rsid w:val="00D973DD"/>
    <w:rsid w:val="00DA321E"/>
    <w:rsid w:val="00DA3677"/>
    <w:rsid w:val="00DA71A2"/>
    <w:rsid w:val="00DB37ED"/>
    <w:rsid w:val="00DB3E36"/>
    <w:rsid w:val="00DB40C3"/>
    <w:rsid w:val="00DB6646"/>
    <w:rsid w:val="00DB6E3B"/>
    <w:rsid w:val="00DC0EB5"/>
    <w:rsid w:val="00DC281A"/>
    <w:rsid w:val="00DC295D"/>
    <w:rsid w:val="00DC3001"/>
    <w:rsid w:val="00DC394D"/>
    <w:rsid w:val="00DC4CDB"/>
    <w:rsid w:val="00DC5549"/>
    <w:rsid w:val="00DC5FFB"/>
    <w:rsid w:val="00DC605F"/>
    <w:rsid w:val="00DC719D"/>
    <w:rsid w:val="00DD262D"/>
    <w:rsid w:val="00DD57BD"/>
    <w:rsid w:val="00DD6075"/>
    <w:rsid w:val="00DD6E95"/>
    <w:rsid w:val="00DE1515"/>
    <w:rsid w:val="00DE34C4"/>
    <w:rsid w:val="00DE43BD"/>
    <w:rsid w:val="00DE5564"/>
    <w:rsid w:val="00DE624D"/>
    <w:rsid w:val="00DE76BF"/>
    <w:rsid w:val="00DF0CD2"/>
    <w:rsid w:val="00DF0F58"/>
    <w:rsid w:val="00DF202C"/>
    <w:rsid w:val="00DF3F32"/>
    <w:rsid w:val="00DF4B9A"/>
    <w:rsid w:val="00DF709F"/>
    <w:rsid w:val="00E00792"/>
    <w:rsid w:val="00E011D2"/>
    <w:rsid w:val="00E012C0"/>
    <w:rsid w:val="00E01BB7"/>
    <w:rsid w:val="00E05826"/>
    <w:rsid w:val="00E10181"/>
    <w:rsid w:val="00E14424"/>
    <w:rsid w:val="00E1692F"/>
    <w:rsid w:val="00E25E62"/>
    <w:rsid w:val="00E3119F"/>
    <w:rsid w:val="00E32221"/>
    <w:rsid w:val="00E33D79"/>
    <w:rsid w:val="00E346B1"/>
    <w:rsid w:val="00E35EEF"/>
    <w:rsid w:val="00E36517"/>
    <w:rsid w:val="00E36594"/>
    <w:rsid w:val="00E367AA"/>
    <w:rsid w:val="00E374B1"/>
    <w:rsid w:val="00E415CC"/>
    <w:rsid w:val="00E41767"/>
    <w:rsid w:val="00E44711"/>
    <w:rsid w:val="00E51B3B"/>
    <w:rsid w:val="00E530BF"/>
    <w:rsid w:val="00E53AFA"/>
    <w:rsid w:val="00E54E86"/>
    <w:rsid w:val="00E561E5"/>
    <w:rsid w:val="00E56B78"/>
    <w:rsid w:val="00E60B26"/>
    <w:rsid w:val="00E6307E"/>
    <w:rsid w:val="00E6326C"/>
    <w:rsid w:val="00E6372A"/>
    <w:rsid w:val="00E63CC1"/>
    <w:rsid w:val="00E669B2"/>
    <w:rsid w:val="00E67638"/>
    <w:rsid w:val="00E709E2"/>
    <w:rsid w:val="00E720C6"/>
    <w:rsid w:val="00E72F8E"/>
    <w:rsid w:val="00E73C64"/>
    <w:rsid w:val="00E77491"/>
    <w:rsid w:val="00E82439"/>
    <w:rsid w:val="00E83D70"/>
    <w:rsid w:val="00E83F16"/>
    <w:rsid w:val="00E86053"/>
    <w:rsid w:val="00E8738B"/>
    <w:rsid w:val="00E9196A"/>
    <w:rsid w:val="00E929A2"/>
    <w:rsid w:val="00E97BAA"/>
    <w:rsid w:val="00EA0331"/>
    <w:rsid w:val="00EA25C2"/>
    <w:rsid w:val="00EA47AD"/>
    <w:rsid w:val="00EA48FA"/>
    <w:rsid w:val="00EB3790"/>
    <w:rsid w:val="00EB65A4"/>
    <w:rsid w:val="00EB6972"/>
    <w:rsid w:val="00EB6B7F"/>
    <w:rsid w:val="00EC177B"/>
    <w:rsid w:val="00EC276C"/>
    <w:rsid w:val="00EC36CA"/>
    <w:rsid w:val="00ED0121"/>
    <w:rsid w:val="00ED3FD7"/>
    <w:rsid w:val="00ED4433"/>
    <w:rsid w:val="00ED610C"/>
    <w:rsid w:val="00ED6358"/>
    <w:rsid w:val="00EE2073"/>
    <w:rsid w:val="00EE29EA"/>
    <w:rsid w:val="00EE33E1"/>
    <w:rsid w:val="00EE6526"/>
    <w:rsid w:val="00EF12EF"/>
    <w:rsid w:val="00EF4289"/>
    <w:rsid w:val="00EF57AD"/>
    <w:rsid w:val="00EF6659"/>
    <w:rsid w:val="00F00B1E"/>
    <w:rsid w:val="00F023D5"/>
    <w:rsid w:val="00F03732"/>
    <w:rsid w:val="00F04EFF"/>
    <w:rsid w:val="00F07B4F"/>
    <w:rsid w:val="00F10E43"/>
    <w:rsid w:val="00F124D6"/>
    <w:rsid w:val="00F12B11"/>
    <w:rsid w:val="00F15527"/>
    <w:rsid w:val="00F16330"/>
    <w:rsid w:val="00F21381"/>
    <w:rsid w:val="00F22624"/>
    <w:rsid w:val="00F2288C"/>
    <w:rsid w:val="00F2331A"/>
    <w:rsid w:val="00F23DEE"/>
    <w:rsid w:val="00F2445E"/>
    <w:rsid w:val="00F24851"/>
    <w:rsid w:val="00F2540B"/>
    <w:rsid w:val="00F257DC"/>
    <w:rsid w:val="00F3271F"/>
    <w:rsid w:val="00F33A2E"/>
    <w:rsid w:val="00F35619"/>
    <w:rsid w:val="00F35B6F"/>
    <w:rsid w:val="00F35D9F"/>
    <w:rsid w:val="00F360CC"/>
    <w:rsid w:val="00F373D3"/>
    <w:rsid w:val="00F4065E"/>
    <w:rsid w:val="00F4140C"/>
    <w:rsid w:val="00F42079"/>
    <w:rsid w:val="00F42BB6"/>
    <w:rsid w:val="00F43850"/>
    <w:rsid w:val="00F43F35"/>
    <w:rsid w:val="00F50814"/>
    <w:rsid w:val="00F50A2C"/>
    <w:rsid w:val="00F50D39"/>
    <w:rsid w:val="00F5137E"/>
    <w:rsid w:val="00F54AD9"/>
    <w:rsid w:val="00F576EC"/>
    <w:rsid w:val="00F610EE"/>
    <w:rsid w:val="00F6183D"/>
    <w:rsid w:val="00F6340E"/>
    <w:rsid w:val="00F642AC"/>
    <w:rsid w:val="00F64B61"/>
    <w:rsid w:val="00F67922"/>
    <w:rsid w:val="00F70280"/>
    <w:rsid w:val="00F7080A"/>
    <w:rsid w:val="00F709EC"/>
    <w:rsid w:val="00F70CDE"/>
    <w:rsid w:val="00F71057"/>
    <w:rsid w:val="00F71158"/>
    <w:rsid w:val="00F75AEA"/>
    <w:rsid w:val="00F77A00"/>
    <w:rsid w:val="00F81033"/>
    <w:rsid w:val="00F83482"/>
    <w:rsid w:val="00F838EB"/>
    <w:rsid w:val="00F839D0"/>
    <w:rsid w:val="00F84C76"/>
    <w:rsid w:val="00F85649"/>
    <w:rsid w:val="00F85B09"/>
    <w:rsid w:val="00F85E7A"/>
    <w:rsid w:val="00F906C8"/>
    <w:rsid w:val="00F915F6"/>
    <w:rsid w:val="00F92EEB"/>
    <w:rsid w:val="00F9482E"/>
    <w:rsid w:val="00F955A2"/>
    <w:rsid w:val="00F967AA"/>
    <w:rsid w:val="00FA2E01"/>
    <w:rsid w:val="00FA31FC"/>
    <w:rsid w:val="00FA3F08"/>
    <w:rsid w:val="00FA73C6"/>
    <w:rsid w:val="00FA7793"/>
    <w:rsid w:val="00FB0363"/>
    <w:rsid w:val="00FB22C8"/>
    <w:rsid w:val="00FB5873"/>
    <w:rsid w:val="00FB5A3A"/>
    <w:rsid w:val="00FC31F7"/>
    <w:rsid w:val="00FC3F81"/>
    <w:rsid w:val="00FC700A"/>
    <w:rsid w:val="00FD1D9B"/>
    <w:rsid w:val="00FD2F5D"/>
    <w:rsid w:val="00FD7930"/>
    <w:rsid w:val="00FE0177"/>
    <w:rsid w:val="00FE176E"/>
    <w:rsid w:val="00FE2A50"/>
    <w:rsid w:val="00FE2D87"/>
    <w:rsid w:val="00FF000C"/>
    <w:rsid w:val="00FF0146"/>
    <w:rsid w:val="00FF064E"/>
    <w:rsid w:val="00FF2B8F"/>
    <w:rsid w:val="00FF2CEF"/>
    <w:rsid w:val="00FF3AF6"/>
    <w:rsid w:val="00FF7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47629207"/>
  <w15:chartTrackingRefBased/>
  <w15:docId w15:val="{F74EB260-9D4F-499A-9457-E41F03674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E1138"/>
  </w:style>
  <w:style w:type="paragraph" w:styleId="Nadpis1">
    <w:name w:val="heading 1"/>
    <w:basedOn w:val="Normln"/>
    <w:next w:val="Normln"/>
    <w:link w:val="Nadpis1Char"/>
    <w:uiPriority w:val="9"/>
    <w:qFormat/>
    <w:rsid w:val="001E1138"/>
    <w:pPr>
      <w:keepNext/>
      <w:numPr>
        <w:numId w:val="1"/>
      </w:numPr>
      <w:overflowPunct w:val="0"/>
      <w:autoSpaceDE w:val="0"/>
      <w:autoSpaceDN w:val="0"/>
      <w:adjustRightInd w:val="0"/>
      <w:spacing w:before="480" w:after="120" w:line="240" w:lineRule="auto"/>
      <w:jc w:val="center"/>
      <w:textAlignment w:val="baseline"/>
      <w:outlineLvl w:val="0"/>
    </w:pPr>
    <w:rPr>
      <w:rFonts w:eastAsia="Times New Roman" w:cstheme="minorHAnsi"/>
      <w:b/>
      <w:color w:val="000000"/>
      <w:sz w:val="24"/>
      <w:szCs w:val="20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E1138"/>
    <w:pPr>
      <w:keepNext/>
      <w:keepLines/>
      <w:numPr>
        <w:ilvl w:val="2"/>
        <w:numId w:val="1"/>
      </w:numPr>
      <w:spacing w:before="40" w:after="120" w:line="240" w:lineRule="auto"/>
      <w:jc w:val="both"/>
      <w:outlineLvl w:val="2"/>
    </w:pPr>
    <w:rPr>
      <w:rFonts w:eastAsiaTheme="majorEastAsia" w:cstheme="majorBidi"/>
      <w:bCs/>
      <w:color w:val="000000"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1E1138"/>
    <w:pPr>
      <w:keepNext/>
      <w:keepLines/>
      <w:numPr>
        <w:ilvl w:val="3"/>
        <w:numId w:val="1"/>
      </w:numPr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E1138"/>
    <w:pPr>
      <w:keepNext/>
      <w:keepLines/>
      <w:numPr>
        <w:ilvl w:val="4"/>
        <w:numId w:val="1"/>
      </w:numPr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E1138"/>
    <w:pPr>
      <w:keepNext/>
      <w:keepLines/>
      <w:numPr>
        <w:ilvl w:val="5"/>
        <w:numId w:val="1"/>
      </w:numPr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E1138"/>
    <w:pPr>
      <w:keepNext/>
      <w:keepLines/>
      <w:numPr>
        <w:ilvl w:val="6"/>
        <w:numId w:val="1"/>
      </w:numPr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E1138"/>
    <w:pPr>
      <w:keepNext/>
      <w:keepLines/>
      <w:numPr>
        <w:ilvl w:val="7"/>
        <w:numId w:val="1"/>
      </w:numPr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E1138"/>
    <w:pPr>
      <w:keepNext/>
      <w:keepLines/>
      <w:numPr>
        <w:ilvl w:val="8"/>
        <w:numId w:val="1"/>
      </w:numPr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E1138"/>
    <w:rPr>
      <w:rFonts w:eastAsia="Times New Roman" w:cstheme="minorHAnsi"/>
      <w:b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1E1138"/>
    <w:rPr>
      <w:rFonts w:eastAsiaTheme="majorEastAsia" w:cstheme="majorBidi"/>
      <w:bCs/>
      <w:color w:val="000000"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rsid w:val="001E1138"/>
    <w:rPr>
      <w:rFonts w:asciiTheme="majorHAnsi" w:eastAsiaTheme="majorEastAsia" w:hAnsiTheme="majorHAnsi" w:cstheme="majorBidi"/>
      <w:i/>
      <w:iCs/>
      <w:color w:val="000000" w:themeColor="text1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E1138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E113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E11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E113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E113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poznpodarou">
    <w:name w:val="footnote text"/>
    <w:aliases w:val="Schriftart: 9 pt,Schriftart: 10 pt,Schriftart: 8 pt,Char,Char Char Char Char,fn,pozn. pod čarou,Podrozdział,Podrozdzia3,Boston 10,Font: Geneva 9,Fußnotentextf,Geneva 9,Text poznámky pod čiarou 007,f,Footnote Text Char1"/>
    <w:basedOn w:val="Normln"/>
    <w:link w:val="TextpoznpodarouChar"/>
    <w:uiPriority w:val="99"/>
    <w:unhideWhenUsed/>
    <w:qFormat/>
    <w:rsid w:val="001E113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Char Char,Char Char Char Char Char,fn Char,pozn. pod čarou Char,Podrozdział Char,Podrozdzia3 Char,Boston 10 Char,Font: Geneva 9 Char,Fußnotentextf Char,f Char"/>
    <w:basedOn w:val="Standardnpsmoodstavce"/>
    <w:link w:val="Textpoznpodarou"/>
    <w:uiPriority w:val="99"/>
    <w:rsid w:val="001E1138"/>
    <w:rPr>
      <w:sz w:val="20"/>
      <w:szCs w:val="20"/>
    </w:rPr>
  </w:style>
  <w:style w:type="character" w:styleId="Znakapoznpodarou">
    <w:name w:val="footnote reference"/>
    <w:aliases w:val="Footnote,Footnote call,PGI Fußnote Ziffer + Times New Roman,12 b.,Zúžené o ...,PGI Fußnote Ziffer,BVI fnr,Footnote symbol,Footnote Reference Number,Footnote Reference Superscript,Appel note de bas de p,Appel note de bas de page"/>
    <w:basedOn w:val="Standardnpsmoodstavce"/>
    <w:uiPriority w:val="99"/>
    <w:unhideWhenUsed/>
    <w:rsid w:val="001E1138"/>
    <w:rPr>
      <w:vertAlign w:val="superscript"/>
    </w:rPr>
  </w:style>
  <w:style w:type="paragraph" w:styleId="Odstavecseseznamem">
    <w:name w:val="List Paragraph"/>
    <w:aliases w:val="Odstavec_muj,odrážky,List Paragraph_0,List Paragraph_0_0,Nadpis pro KZ,Odstavec se seznamem1,Odstavec se seznamem2,List Paragraph,Odstavec_muj1,Odstavec_muj2,Nad,Odstavec_muj3,Nad1,List Paragraph1,Odstavec_muj4,Nad2,List Paragraph2"/>
    <w:basedOn w:val="Normln"/>
    <w:link w:val="OdstavecseseznamemChar"/>
    <w:uiPriority w:val="34"/>
    <w:qFormat/>
    <w:rsid w:val="001E1138"/>
    <w:pPr>
      <w:ind w:left="720"/>
      <w:contextualSpacing/>
    </w:pPr>
  </w:style>
  <w:style w:type="character" w:customStyle="1" w:styleId="OdstavecseseznamemChar">
    <w:name w:val="Odstavec se seznamem Char"/>
    <w:aliases w:val="Odstavec_muj Char,odrážky Char,List Paragraph_0 Char,List Paragraph_0_0 Char,Nadpis pro KZ Char,Odstavec se seznamem1 Char,Odstavec se seznamem2 Char,List Paragraph Char,Odstavec_muj1 Char,Odstavec_muj2 Char,Nad Char,Nad1 Char"/>
    <w:basedOn w:val="Standardnpsmoodstavce"/>
    <w:link w:val="Odstavecseseznamem"/>
    <w:uiPriority w:val="34"/>
    <w:qFormat/>
    <w:rsid w:val="001E1138"/>
  </w:style>
  <w:style w:type="paragraph" w:customStyle="1" w:styleId="KPnormln">
    <w:name w:val="KP normální"/>
    <w:basedOn w:val="Normln"/>
    <w:link w:val="KPnormlnChar"/>
    <w:qFormat/>
    <w:rsid w:val="001E1138"/>
    <w:pPr>
      <w:spacing w:before="120" w:after="120" w:line="240" w:lineRule="auto"/>
      <w:ind w:firstLine="720"/>
      <w:jc w:val="both"/>
    </w:pPr>
    <w:rPr>
      <w:rFonts w:eastAsia="Times New Roman" w:cstheme="minorHAnsi"/>
      <w:color w:val="000000"/>
      <w:sz w:val="24"/>
    </w:rPr>
  </w:style>
  <w:style w:type="character" w:customStyle="1" w:styleId="KPnormlnChar">
    <w:name w:val="KP normální Char"/>
    <w:basedOn w:val="Standardnpsmoodstavce"/>
    <w:link w:val="KPnormln"/>
    <w:rsid w:val="001E1138"/>
    <w:rPr>
      <w:rFonts w:eastAsia="Times New Roman" w:cstheme="minorHAnsi"/>
      <w:color w:val="000000"/>
      <w:sz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E113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E113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E1138"/>
    <w:rPr>
      <w:vertAlign w:val="superscript"/>
    </w:rPr>
  </w:style>
  <w:style w:type="paragraph" w:styleId="Nzev">
    <w:name w:val="Title"/>
    <w:basedOn w:val="Normln"/>
    <w:link w:val="NzevChar"/>
    <w:qFormat/>
    <w:rsid w:val="008E6616"/>
    <w:pPr>
      <w:spacing w:after="0" w:line="240" w:lineRule="auto"/>
      <w:jc w:val="center"/>
    </w:pPr>
    <w:rPr>
      <w:rFonts w:ascii="Arial" w:eastAsia="Times New Roman" w:hAnsi="Arial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E6616"/>
    <w:rPr>
      <w:rFonts w:ascii="Arial" w:eastAsia="Times New Roman" w:hAnsi="Arial" w:cs="Times New Roman"/>
      <w:b/>
      <w:szCs w:val="20"/>
      <w:lang w:eastAsia="cs-CZ"/>
    </w:rPr>
  </w:style>
  <w:style w:type="paragraph" w:customStyle="1" w:styleId="NormlnKZ">
    <w:name w:val="Normální KZ"/>
    <w:basedOn w:val="Normln"/>
    <w:rsid w:val="008E6616"/>
    <w:pPr>
      <w:spacing w:after="120" w:line="240" w:lineRule="auto"/>
      <w:ind w:firstLine="425"/>
      <w:jc w:val="both"/>
    </w:pPr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7D38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P-normlntext">
    <w:name w:val="KP-normální text"/>
    <w:basedOn w:val="Normln"/>
    <w:link w:val="KP-normlntextChar"/>
    <w:qFormat/>
    <w:rsid w:val="00650CD2"/>
    <w:pPr>
      <w:spacing w:after="120" w:line="240" w:lineRule="auto"/>
      <w:jc w:val="both"/>
    </w:pPr>
    <w:rPr>
      <w:rFonts w:ascii="Calibri" w:eastAsia="Times New Roman" w:hAnsi="Calibri" w:cs="Arial"/>
      <w:color w:val="000000"/>
      <w:sz w:val="24"/>
      <w:szCs w:val="24"/>
    </w:rPr>
  </w:style>
  <w:style w:type="character" w:customStyle="1" w:styleId="KP-normlntextChar">
    <w:name w:val="KP-normální text Char"/>
    <w:link w:val="KP-normlntext"/>
    <w:rsid w:val="00650CD2"/>
    <w:rPr>
      <w:rFonts w:ascii="Calibri" w:eastAsia="Times New Roman" w:hAnsi="Calibri" w:cs="Arial"/>
      <w:color w:val="000000"/>
      <w:sz w:val="24"/>
      <w:szCs w:val="24"/>
    </w:rPr>
  </w:style>
  <w:style w:type="paragraph" w:customStyle="1" w:styleId="Poznmkapodarou">
    <w:name w:val="Poznámka pod čarou"/>
    <w:basedOn w:val="Textpoznpodarou"/>
    <w:qFormat/>
    <w:rsid w:val="00650CD2"/>
    <w:pPr>
      <w:tabs>
        <w:tab w:val="left" w:pos="284"/>
      </w:tabs>
      <w:ind w:left="284" w:hanging="284"/>
      <w:jc w:val="both"/>
    </w:pPr>
    <w:rPr>
      <w:rFonts w:eastAsia="Times New Roman" w:cs="Times New Roman"/>
    </w:rPr>
  </w:style>
  <w:style w:type="paragraph" w:customStyle="1" w:styleId="Char4CharCharCharCharCharCharCharCharCharCharCharCharCharCharCharCharCharCharCharCharCharCharCharCharCharCharCharChar">
    <w:name w:val="Char4 Char Char Char Char Char Char Char Char Char Char Char Char Char Char Char Char Char Char Char Char Char Char Char Char Char Char Char Char"/>
    <w:basedOn w:val="Normln"/>
    <w:rsid w:val="00650CD2"/>
    <w:pPr>
      <w:spacing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2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2B8B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151B8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51B8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51B8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51B8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51B8F"/>
    <w:rPr>
      <w:b/>
      <w:bCs/>
      <w:sz w:val="20"/>
      <w:szCs w:val="20"/>
    </w:rPr>
  </w:style>
  <w:style w:type="paragraph" w:customStyle="1" w:styleId="Default">
    <w:name w:val="Default"/>
    <w:rsid w:val="00FD793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C20A4"/>
  </w:style>
  <w:style w:type="paragraph" w:styleId="Zpat">
    <w:name w:val="footer"/>
    <w:basedOn w:val="Normln"/>
    <w:link w:val="ZpatChar"/>
    <w:uiPriority w:val="99"/>
    <w:unhideWhenUsed/>
    <w:rsid w:val="003C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C20A4"/>
  </w:style>
  <w:style w:type="paragraph" w:styleId="Normlnweb">
    <w:name w:val="Normal (Web)"/>
    <w:basedOn w:val="Normln"/>
    <w:uiPriority w:val="99"/>
    <w:semiHidden/>
    <w:unhideWhenUsed/>
    <w:rsid w:val="008F7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Grid">
    <w:name w:val="TableGrid"/>
    <w:rsid w:val="00E60B26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ntext">
    <w:name w:val="Standardní text"/>
    <w:basedOn w:val="Normln"/>
    <w:link w:val="StandardntextChar"/>
    <w:qFormat/>
    <w:rsid w:val="00AB5A00"/>
    <w:pPr>
      <w:overflowPunct w:val="0"/>
      <w:autoSpaceDE w:val="0"/>
      <w:autoSpaceDN w:val="0"/>
      <w:adjustRightInd w:val="0"/>
      <w:spacing w:after="12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AB5A0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evize">
    <w:name w:val="Revision"/>
    <w:hidden/>
    <w:uiPriority w:val="99"/>
    <w:semiHidden/>
    <w:rsid w:val="006C61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hart" Target="charts/chart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hart" Target="charts/chart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9-01\Podklady\Porovn&#225;n&#237;%20s%20OP\Porovn&#225;n&#237;%20s%20OP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9-01\Podklady\Porovn&#225;n&#237;%20s%20OP\Porovn&#225;n&#237;%20s%20OP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9-01\Podklady\Porovn&#225;n&#237;%20s%20OP\Porovn&#225;n&#237;%20s%20OP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D:\Dokumenty\_KA19-01\Podklady\Porovn&#225;n&#237;%20s%20OP\Porovn&#225;n&#237;%20s%20OP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8345307201557E-2"/>
          <c:y val="5.3257419745608721E-2"/>
          <c:w val="0.91230364091343819"/>
          <c:h val="0.783673947536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'Přehled čerpání'!$B$11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89,49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73F3-4CC6-8693-BECE58A380D9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86,18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73F3-4CC6-8693-BECE58A380D9}"/>
                </c:ext>
              </c:extLst>
            </c:dLbl>
            <c:dLbl>
              <c:idx val="2"/>
              <c:layout>
                <c:manualLayout>
                  <c:x val="-4.4606135152186835E-17"/>
                  <c:y val="1.481795153512787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82,00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73F3-4CC6-8693-BECE58A380D9}"/>
                </c:ext>
              </c:extLst>
            </c:dLbl>
            <c:dLbl>
              <c:idx val="3"/>
              <c:layout>
                <c:manualLayout>
                  <c:x val="0"/>
                  <c:y val="-4.8449612403100775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76,03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73F3-4CC6-8693-BECE58A380D9}"/>
                </c:ext>
              </c:extLst>
            </c:dLbl>
            <c:dLbl>
              <c:idx val="4"/>
              <c:layout>
                <c:manualLayout>
                  <c:x val="0"/>
                  <c:y val="2.422499694805591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73,59</a:t>
                    </a: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6.4440293503458049E-2"/>
                      <c:h val="7.7446896172862101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4-73F3-4CC6-8693-BECE58A380D9}"/>
                </c:ext>
              </c:extLst>
            </c:dLbl>
            <c:dLbl>
              <c:idx val="5"/>
              <c:layout>
                <c:manualLayout>
                  <c:x val="-8.921227030437367E-17"/>
                  <c:y val="9.6899224806201549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68,59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73F3-4CC6-8693-BECE58A380D9}"/>
                </c:ext>
              </c:extLst>
            </c:dLbl>
            <c:dLbl>
              <c:idx val="6"/>
              <c:layout>
                <c:manualLayout>
                  <c:x val="-8.921227030437367E-17"/>
                  <c:y val="1.4534883720930232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68,50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73F3-4CC6-8693-BECE58A380D9}"/>
                </c:ext>
              </c:extLst>
            </c:dLbl>
            <c:dLbl>
              <c:idx val="7"/>
              <c:layout>
                <c:manualLayout>
                  <c:x val="-8.921227030437367E-17"/>
                  <c:y val="2.0513022410660157E-2"/>
                </c:manualLayout>
              </c:layout>
              <c:tx>
                <c:rich>
                  <a:bodyPr rot="0" spcFirstLastPara="1" vertOverflow="ellipsis" vert="horz" wrap="square" lIns="38100" tIns="19050" rIns="38100" bIns="19050" anchor="ctr" anchorCtr="1">
                    <a:noAutofit/>
                  </a:bodyPr>
                  <a:lstStyle/>
                  <a:p>
                    <a:pPr>
                      <a:defRPr sz="900" b="0" i="0" u="none" strike="noStrike" kern="1200" baseline="0"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atin typeface="+mn-lt"/>
                        <a:ea typeface="+mn-ea"/>
                        <a:cs typeface="+mn-cs"/>
                      </a:defRPr>
                    </a:pPr>
                    <a:r>
                      <a:rPr lang="en-US"/>
                      <a:t>63,14</a:t>
                    </a:r>
                  </a:p>
                </c:rich>
              </c:tx>
              <c:numFmt formatCode="#,##0.00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tx1">
                          <a:lumMod val="75000"/>
                          <a:lumOff val="2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cs-CZ"/>
                </a:p>
              </c:txPr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>
                    <c:manualLayout>
                      <c:w val="6.4440293503458049E-2"/>
                      <c:h val="6.6589945487583277E-2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7-73F3-4CC6-8693-BECE58A380D9}"/>
                </c:ext>
              </c:extLst>
            </c:dLbl>
            <c:dLbl>
              <c:idx val="8"/>
              <c:layout>
                <c:manualLayout>
                  <c:x val="0"/>
                  <c:y val="2.051282051282046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54,26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separator>, </c:separator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73F3-4CC6-8693-BECE58A380D9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eparator>, </c:separator>
            <c:showLeaderLines val="0"/>
            <c:extLst>
              <c:ext xmlns:c15="http://schemas.microsoft.com/office/drawing/2012/chart" uri="{CE6537A1-D6FC-4f65-9D91-7224C49458BB}">
                <c15:showDataLabelsRange val="1"/>
                <c15:showLeaderLines val="0"/>
              </c:ext>
            </c:extLst>
          </c:dLbls>
          <c:cat>
            <c:strRef>
              <c:f>'Přehled čerpání'!$A$1:$A$9</c:f>
              <c:strCache>
                <c:ptCount val="9"/>
                <c:pt idx="0">
                  <c:v>OPZ</c:v>
                </c:pt>
                <c:pt idx="1">
                  <c:v>OPVVV</c:v>
                </c:pt>
                <c:pt idx="2">
                  <c:v>OPTP</c:v>
                </c:pt>
                <c:pt idx="3">
                  <c:v>IROP</c:v>
                </c:pt>
                <c:pt idx="4">
                  <c:v>OPD</c:v>
                </c:pt>
                <c:pt idx="5">
                  <c:v>OPPPR</c:v>
                </c:pt>
                <c:pt idx="6">
                  <c:v>OPŽP</c:v>
                </c:pt>
                <c:pt idx="7">
                  <c:v>OPR</c:v>
                </c:pt>
                <c:pt idx="8">
                  <c:v>OPPIK</c:v>
                </c:pt>
              </c:strCache>
            </c:strRef>
          </c:cat>
          <c:val>
            <c:numRef>
              <c:f>'Přehled čerpání'!$B$1:$B$9</c:f>
              <c:numCache>
                <c:formatCode>General</c:formatCode>
                <c:ptCount val="9"/>
                <c:pt idx="0">
                  <c:v>89.49</c:v>
                </c:pt>
                <c:pt idx="1">
                  <c:v>86.18</c:v>
                </c:pt>
                <c:pt idx="2" formatCode="0.00">
                  <c:v>82</c:v>
                </c:pt>
                <c:pt idx="3">
                  <c:v>76.03</c:v>
                </c:pt>
                <c:pt idx="4">
                  <c:v>73.59</c:v>
                </c:pt>
                <c:pt idx="5">
                  <c:v>68.59</c:v>
                </c:pt>
                <c:pt idx="6" formatCode="0.00">
                  <c:v>68.5</c:v>
                </c:pt>
                <c:pt idx="7">
                  <c:v>63.14</c:v>
                </c:pt>
                <c:pt idx="8">
                  <c:v>54.26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B51-4C5F-8B0F-2551A89863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2677792"/>
        <c:axId val="152678184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'Vývoj administrativní kapacity'!$Q$1</c15:sqref>
                        </c15:formulaRef>
                      </c:ext>
                    </c:extLst>
                    <c:strCache>
                      <c:ptCount val="1"/>
                      <c:pt idx="0">
                        <c:v>Výše celkové alokace z EU</c:v>
                      </c:pt>
                    </c:strCache>
                  </c:strRef>
                </c:tx>
                <c:spPr>
                  <a:solidFill>
                    <a:schemeClr val="accent2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cs-CZ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'Přehled čerpání'!$A$1:$A$9</c15:sqref>
                        </c15:formulaRef>
                      </c:ext>
                    </c:extLst>
                    <c:strCache>
                      <c:ptCount val="9"/>
                      <c:pt idx="0">
                        <c:v>OPZ</c:v>
                      </c:pt>
                      <c:pt idx="1">
                        <c:v>OPVVV</c:v>
                      </c:pt>
                      <c:pt idx="2">
                        <c:v>OPTP</c:v>
                      </c:pt>
                      <c:pt idx="3">
                        <c:v>IROP</c:v>
                      </c:pt>
                      <c:pt idx="4">
                        <c:v>OPD</c:v>
                      </c:pt>
                      <c:pt idx="5">
                        <c:v>OPPPR</c:v>
                      </c:pt>
                      <c:pt idx="6">
                        <c:v>OPŽP</c:v>
                      </c:pt>
                      <c:pt idx="7">
                        <c:v>OPR</c:v>
                      </c:pt>
                      <c:pt idx="8">
                        <c:v>OPPIK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'Vývoj administrativní kapacity'!$Q$2:$Q$10</c15:sqref>
                        </c15:formulaRef>
                      </c:ext>
                    </c:extLst>
                    <c:numCache>
                      <c:formatCode>#,##0</c:formatCode>
                      <c:ptCount val="9"/>
                      <c:pt idx="0">
                        <c:v>111654794266</c:v>
                      </c:pt>
                      <c:pt idx="1">
                        <c:v>71916237010</c:v>
                      </c:pt>
                      <c:pt idx="2">
                        <c:v>117550870574</c:v>
                      </c:pt>
                      <c:pt idx="3">
                        <c:v>71360641196</c:v>
                      </c:pt>
                      <c:pt idx="4">
                        <c:v>55317112544</c:v>
                      </c:pt>
                      <c:pt idx="5">
                        <c:v>122796078423</c:v>
                      </c:pt>
                      <c:pt idx="6">
                        <c:v>5406184124</c:v>
                      </c:pt>
                      <c:pt idx="7">
                        <c:v>5196992881</c:v>
                      </c:pt>
                      <c:pt idx="8">
                        <c:v>801964627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FB51-4C5F-8B0F-2551A8986375}"/>
                  </c:ext>
                </c:extLst>
              </c15:ser>
            </c15:filteredBarSeries>
          </c:ext>
        </c:extLst>
      </c:barChart>
      <c:catAx>
        <c:axId val="152677792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Operační</a:t>
                </a:r>
                <a:r>
                  <a:rPr lang="cs-CZ" baseline="0"/>
                  <a:t> program</a:t>
                </a:r>
              </a:p>
            </c:rich>
          </c:tx>
          <c:layout>
            <c:manualLayout>
              <c:xMode val="edge"/>
              <c:yMode val="edge"/>
              <c:x val="0.42142096289058756"/>
              <c:y val="0.92133968251381926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2678184"/>
        <c:crosses val="autoZero"/>
        <c:auto val="1"/>
        <c:lblAlgn val="ctr"/>
        <c:lblOffset val="100"/>
        <c:noMultiLvlLbl val="0"/>
      </c:catAx>
      <c:valAx>
        <c:axId val="15267818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26777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5208314477931642E-2"/>
          <c:y val="8.4026572949567752E-2"/>
          <c:w val="0.91230364091343819"/>
          <c:h val="0.7836739475362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'Přehled čerpání'!$E$11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1121767500332923E-17"/>
                  <c:y val="8.02246289610910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48,97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25D1-452A-9DC0-B6DC1AE0C77C}"/>
                </c:ext>
              </c:extLst>
            </c:dLbl>
            <c:dLbl>
              <c:idx val="1"/>
              <c:layout>
                <c:manualLayout>
                  <c:x val="0"/>
                  <c:y val="1.604492579221821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46,92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25D1-452A-9DC0-B6DC1AE0C77C}"/>
                </c:ext>
              </c:extLst>
            </c:dLbl>
            <c:dLbl>
              <c:idx val="2"/>
              <c:layout>
                <c:manualLayout>
                  <c:x val="0"/>
                  <c:y val="1.60449257922181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41,61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25D1-452A-9DC0-B6DC1AE0C77C}"/>
                </c:ext>
              </c:extLst>
            </c:dLbl>
            <c:dLbl>
              <c:idx val="3"/>
              <c:layout>
                <c:manualLayout>
                  <c:x val="0"/>
                  <c:y val="8.02246289610910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39,14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25D1-452A-9DC0-B6DC1AE0C77C}"/>
                </c:ext>
              </c:extLst>
            </c:dLbl>
            <c:dLbl>
              <c:idx val="4"/>
              <c:layout>
                <c:manualLayout>
                  <c:x val="0"/>
                  <c:y val="8.02246289610910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32,28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25D1-452A-9DC0-B6DC1AE0C77C}"/>
                </c:ext>
              </c:extLst>
            </c:dLbl>
            <c:dLbl>
              <c:idx val="5"/>
              <c:layout>
                <c:manualLayout>
                  <c:x val="0"/>
                  <c:y val="8.02246289610910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29,68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25D1-452A-9DC0-B6DC1AE0C77C}"/>
                </c:ext>
              </c:extLst>
            </c:dLbl>
            <c:dLbl>
              <c:idx val="6"/>
              <c:layout>
                <c:manualLayout>
                  <c:x val="-8.897414000266338E-17"/>
                  <c:y val="1.20336943441636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25,03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25D1-452A-9DC0-B6DC1AE0C77C}"/>
                </c:ext>
              </c:extLst>
            </c:dLbl>
            <c:dLbl>
              <c:idx val="7"/>
              <c:layout>
                <c:manualLayout>
                  <c:x val="0"/>
                  <c:y val="8.022462896109031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22,96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25D1-452A-9DC0-B6DC1AE0C77C}"/>
                </c:ext>
              </c:extLst>
            </c:dLbl>
            <c:dLbl>
              <c:idx val="8"/>
              <c:layout>
                <c:manualLayout>
                  <c:x val="1.7794828000532676E-16"/>
                  <c:y val="8.022462896109031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21,78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25D1-452A-9DC0-B6DC1AE0C77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'Přehled čerpání'!$D$1:$D$9</c:f>
              <c:strCache>
                <c:ptCount val="9"/>
                <c:pt idx="0">
                  <c:v>OPZ</c:v>
                </c:pt>
                <c:pt idx="1">
                  <c:v>OPVVV</c:v>
                </c:pt>
                <c:pt idx="2">
                  <c:v>OPTP</c:v>
                </c:pt>
                <c:pt idx="3">
                  <c:v>OPD</c:v>
                </c:pt>
                <c:pt idx="4">
                  <c:v>OPPPR</c:v>
                </c:pt>
                <c:pt idx="5">
                  <c:v>OPŽP</c:v>
                </c:pt>
                <c:pt idx="6">
                  <c:v>OPR</c:v>
                </c:pt>
                <c:pt idx="7">
                  <c:v>IROP</c:v>
                </c:pt>
                <c:pt idx="8">
                  <c:v>OPPIK</c:v>
                </c:pt>
              </c:strCache>
            </c:strRef>
          </c:cat>
          <c:val>
            <c:numRef>
              <c:f>'Přehled čerpání'!$E$1:$E$9</c:f>
              <c:numCache>
                <c:formatCode>General</c:formatCode>
                <c:ptCount val="9"/>
                <c:pt idx="0">
                  <c:v>48.97</c:v>
                </c:pt>
                <c:pt idx="1">
                  <c:v>46.92</c:v>
                </c:pt>
                <c:pt idx="2">
                  <c:v>41.61</c:v>
                </c:pt>
                <c:pt idx="3">
                  <c:v>39.14</c:v>
                </c:pt>
                <c:pt idx="4">
                  <c:v>32.28</c:v>
                </c:pt>
                <c:pt idx="5">
                  <c:v>29.68</c:v>
                </c:pt>
                <c:pt idx="6">
                  <c:v>25.03</c:v>
                </c:pt>
                <c:pt idx="7">
                  <c:v>22.96</c:v>
                </c:pt>
                <c:pt idx="8">
                  <c:v>21.78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83-4331-89EC-6E64B0CA6472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152678968"/>
        <c:axId val="152679360"/>
        <c:extLst>
          <c:ext xmlns:c15="http://schemas.microsoft.com/office/drawing/2012/chart" uri="{02D57815-91ED-43cb-92C2-25804820EDAC}">
            <c15:filteredBarSeries>
              <c15:ser>
                <c:idx val="1"/>
                <c:order val="1"/>
                <c:tx>
                  <c:strRef>
                    <c:extLst>
                      <c:ext uri="{02D57815-91ED-43cb-92C2-25804820EDAC}">
                        <c15:formulaRef>
                          <c15:sqref>'Vývoj administrativní kapacity'!$Q$1</c15:sqref>
                        </c15:formulaRef>
                      </c:ext>
                    </c:extLst>
                    <c:strCache>
                      <c:ptCount val="1"/>
                      <c:pt idx="0">
                        <c:v>Výše celkové alokace z EU</c:v>
                      </c:pt>
                    </c:strCache>
                  </c:strRef>
                </c:tx>
                <c:spPr>
                  <a:solidFill>
                    <a:srgbClr val="C00000"/>
                  </a:solidFill>
                  <a:ln>
                    <a:noFill/>
                  </a:ln>
                  <a:effectLst/>
                </c:spPr>
                <c:invertIfNegative val="0"/>
                <c:dLbls>
                  <c:spPr>
                    <a:noFill/>
                    <a:ln>
                      <a:noFill/>
                    </a:ln>
                    <a:effectLst/>
                  </c:spPr>
                  <c:txPr>
                    <a:bodyPr rot="0" spcFirstLastPara="1" vertOverflow="ellipsis" vert="horz" wrap="square" lIns="38100" tIns="19050" rIns="38100" bIns="19050" anchor="ctr" anchorCtr="1">
                      <a:spAutoFit/>
                    </a:bodyPr>
                    <a:lstStyle/>
                    <a:p>
                      <a:pPr>
                        <a:defRPr sz="900" b="0" i="0" u="none" strike="noStrike" kern="1200" baseline="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latin typeface="+mn-lt"/>
                          <a:ea typeface="+mn-ea"/>
                          <a:cs typeface="+mn-cs"/>
                        </a:defRPr>
                      </a:pPr>
                      <a:endParaRPr lang="cs-CZ"/>
                    </a:p>
                  </c:txPr>
                  <c:showLegendKey val="0"/>
                  <c:showVal val="1"/>
                  <c:showCatName val="0"/>
                  <c:showSerName val="0"/>
                  <c:showPercent val="0"/>
                  <c:showBubbleSize val="0"/>
                  <c:showLeaderLines val="0"/>
                  <c:extLst>
                    <c:ext uri="{CE6537A1-D6FC-4f65-9D91-7224C49458BB}">
                      <c15:showLeaderLines val="1"/>
                      <c15:leaderLines>
                        <c:spPr>
                          <a:ln w="9525" cap="flat" cmpd="sng" algn="ctr">
                            <a:solidFill>
                              <a:schemeClr val="tx1">
                                <a:lumMod val="35000"/>
                                <a:lumOff val="65000"/>
                              </a:schemeClr>
                            </a:solidFill>
                            <a:round/>
                          </a:ln>
                          <a:effectLst/>
                        </c:spPr>
                      </c15:leaderLines>
                    </c:ext>
                  </c:extLst>
                </c:dLbls>
                <c:cat>
                  <c:strRef>
                    <c:extLst>
                      <c:ext uri="{02D57815-91ED-43cb-92C2-25804820EDAC}">
                        <c15:formulaRef>
                          <c15:sqref>'Přehled čerpání'!$D$1:$D$9</c15:sqref>
                        </c15:formulaRef>
                      </c:ext>
                    </c:extLst>
                    <c:strCache>
                      <c:ptCount val="9"/>
                      <c:pt idx="0">
                        <c:v>OPZ</c:v>
                      </c:pt>
                      <c:pt idx="1">
                        <c:v>OPVVV</c:v>
                      </c:pt>
                      <c:pt idx="2">
                        <c:v>OPTP</c:v>
                      </c:pt>
                      <c:pt idx="3">
                        <c:v>OPD</c:v>
                      </c:pt>
                      <c:pt idx="4">
                        <c:v>OPPPR</c:v>
                      </c:pt>
                      <c:pt idx="5">
                        <c:v>OPŽP</c:v>
                      </c:pt>
                      <c:pt idx="6">
                        <c:v>OPR</c:v>
                      </c:pt>
                      <c:pt idx="7">
                        <c:v>IROP</c:v>
                      </c:pt>
                      <c:pt idx="8">
                        <c:v>OPPIK</c:v>
                      </c:pt>
                    </c:strCache>
                  </c:strRef>
                </c:cat>
                <c:val>
                  <c:numRef>
                    <c:extLst>
                      <c:ext uri="{02D57815-91ED-43cb-92C2-25804820EDAC}">
                        <c15:formulaRef>
                          <c15:sqref>'Vývoj administrativní kapacity'!$Q$2:$Q$10</c15:sqref>
                        </c15:formulaRef>
                      </c:ext>
                    </c:extLst>
                    <c:numCache>
                      <c:formatCode>#,##0</c:formatCode>
                      <c:ptCount val="9"/>
                      <c:pt idx="0">
                        <c:v>111654794266</c:v>
                      </c:pt>
                      <c:pt idx="1">
                        <c:v>71916237010</c:v>
                      </c:pt>
                      <c:pt idx="2">
                        <c:v>117550870574</c:v>
                      </c:pt>
                      <c:pt idx="3">
                        <c:v>71360641196</c:v>
                      </c:pt>
                      <c:pt idx="4">
                        <c:v>55317112544</c:v>
                      </c:pt>
                      <c:pt idx="5">
                        <c:v>122796078423</c:v>
                      </c:pt>
                      <c:pt idx="6">
                        <c:v>5406184124</c:v>
                      </c:pt>
                      <c:pt idx="7">
                        <c:v>5196992881</c:v>
                      </c:pt>
                      <c:pt idx="8">
                        <c:v>801964627</c:v>
                      </c:pt>
                    </c:numCache>
                  </c:numRef>
                </c:val>
                <c:extLst>
                  <c:ext xmlns:c16="http://schemas.microsoft.com/office/drawing/2014/chart" uri="{C3380CC4-5D6E-409C-BE32-E72D297353CC}">
                    <c16:uniqueId val="{00000001-8883-4331-89EC-6E64B0CA6472}"/>
                  </c:ext>
                </c:extLst>
              </c15:ser>
            </c15:filteredBarSeries>
          </c:ext>
        </c:extLst>
      </c:barChart>
      <c:catAx>
        <c:axId val="15267896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Operační</a:t>
                </a:r>
                <a:r>
                  <a:rPr lang="cs-CZ" baseline="0"/>
                  <a:t> program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2679360"/>
        <c:crosses val="autoZero"/>
        <c:auto val="1"/>
        <c:lblAlgn val="ctr"/>
        <c:lblOffset val="100"/>
        <c:noMultiLvlLbl val="0"/>
      </c:catAx>
      <c:valAx>
        <c:axId val="1526793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267896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5094616097933798E-2"/>
          <c:y val="0.13068247704191371"/>
          <c:w val="0.90419587771149379"/>
          <c:h val="0.7196439575487846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'Přehled alokace a FTE'!$D$2</c:f>
              <c:strCache>
                <c:ptCount val="1"/>
                <c:pt idx="0">
                  <c:v>Výše alokace z EU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en-US"/>
                      <a:t>122,80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6844-4283-8213-804EAA16BBE5}"/>
                </c:ext>
              </c:extLst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en-US"/>
                      <a:t>117,55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6844-4283-8213-804EAA16BBE5}"/>
                </c:ext>
              </c:extLst>
            </c:dLbl>
            <c:dLbl>
              <c:idx val="2"/>
              <c:layout>
                <c:manualLayout>
                  <c:x val="6.9532970216711091E-3"/>
                  <c:y val="-2.39234449760765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111,65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6844-4283-8213-804EAA16BBE5}"/>
                </c:ext>
              </c:extLst>
            </c:dLbl>
            <c:dLbl>
              <c:idx val="3"/>
              <c:layout>
                <c:manualLayout>
                  <c:x val="-8.498375963633695E-17"/>
                  <c:y val="-1.43540669856458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71,92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6844-4283-8213-804EAA16BBE5}"/>
                </c:ext>
              </c:extLst>
            </c:dLbl>
            <c:dLbl>
              <c:idx val="4"/>
              <c:layout>
                <c:manualLayout>
                  <c:x val="0"/>
                  <c:y val="-1.913875598086124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71,36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6844-4283-8213-804EAA16BBE5}"/>
                </c:ext>
              </c:extLst>
            </c:dLbl>
            <c:dLbl>
              <c:idx val="5"/>
              <c:layout/>
              <c:tx>
                <c:rich>
                  <a:bodyPr/>
                  <a:lstStyle/>
                  <a:p>
                    <a:r>
                      <a:rPr lang="en-US"/>
                      <a:t>55,32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6844-4283-8213-804EAA16BBE5}"/>
                </c:ext>
              </c:extLst>
            </c:dLbl>
            <c:dLbl>
              <c:idx val="6"/>
              <c:layout/>
              <c:tx>
                <c:rich>
                  <a:bodyPr/>
                  <a:lstStyle/>
                  <a:p>
                    <a:r>
                      <a:rPr lang="en-US"/>
                      <a:t>5,41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6844-4283-8213-804EAA16BBE5}"/>
                </c:ext>
              </c:extLst>
            </c:dLbl>
            <c:dLbl>
              <c:idx val="7"/>
              <c:layout>
                <c:manualLayout>
                  <c:x val="0"/>
                  <c:y val="-1.7543656983300278E-1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5,20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6844-4283-8213-804EAA16BBE5}"/>
                </c:ext>
              </c:extLst>
            </c:dLbl>
            <c:dLbl>
              <c:idx val="8"/>
              <c:layout/>
              <c:tx>
                <c:rich>
                  <a:bodyPr/>
                  <a:lstStyle/>
                  <a:p>
                    <a:r>
                      <a:rPr lang="en-US"/>
                      <a:t>0,80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6844-4283-8213-804EAA16BBE5}"/>
                </c:ext>
              </c:extLst>
            </c:dLbl>
            <c:numFmt formatCode="#,##0.00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'Přehled alokace a FTE'!$A$1:$A$9</c:f>
              <c:strCache>
                <c:ptCount val="9"/>
                <c:pt idx="0">
                  <c:v>IROP</c:v>
                </c:pt>
                <c:pt idx="1">
                  <c:v>OPD</c:v>
                </c:pt>
                <c:pt idx="2">
                  <c:v>OPPIK</c:v>
                </c:pt>
                <c:pt idx="3">
                  <c:v>OPŽP</c:v>
                </c:pt>
                <c:pt idx="4">
                  <c:v>OPVVV</c:v>
                </c:pt>
                <c:pt idx="5">
                  <c:v>OPZ</c:v>
                </c:pt>
                <c:pt idx="6">
                  <c:v>OPTP</c:v>
                </c:pt>
                <c:pt idx="7">
                  <c:v>OPPPR</c:v>
                </c:pt>
                <c:pt idx="8">
                  <c:v>OPR</c:v>
                </c:pt>
              </c:strCache>
            </c:strRef>
          </c:cat>
          <c:val>
            <c:numRef>
              <c:f>'Přehled alokace a FTE'!$B$1:$B$9</c:f>
              <c:numCache>
                <c:formatCode>#,##0</c:formatCode>
                <c:ptCount val="9"/>
                <c:pt idx="0">
                  <c:v>122796078423</c:v>
                </c:pt>
                <c:pt idx="1">
                  <c:v>117550870574</c:v>
                </c:pt>
                <c:pt idx="2">
                  <c:v>111654794266</c:v>
                </c:pt>
                <c:pt idx="3">
                  <c:v>71916237010</c:v>
                </c:pt>
                <c:pt idx="4">
                  <c:v>71360641196</c:v>
                </c:pt>
                <c:pt idx="5">
                  <c:v>55317112544</c:v>
                </c:pt>
                <c:pt idx="6">
                  <c:v>5406184124</c:v>
                </c:pt>
                <c:pt idx="7">
                  <c:v>5196992881</c:v>
                </c:pt>
                <c:pt idx="8">
                  <c:v>801964627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30-447E-8652-0CB8AB949CC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5656520"/>
        <c:axId val="245656912"/>
        <c:extLst/>
      </c:barChart>
      <c:catAx>
        <c:axId val="245656520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Operační</a:t>
                </a:r>
                <a:r>
                  <a:rPr lang="cs-CZ" baseline="0"/>
                  <a:t> program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45656912"/>
        <c:crosses val="autoZero"/>
        <c:auto val="1"/>
        <c:lblAlgn val="ctr"/>
        <c:lblOffset val="100"/>
        <c:noMultiLvlLbl val="0"/>
      </c:catAx>
      <c:valAx>
        <c:axId val="2456569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45656520"/>
        <c:crosses val="autoZero"/>
        <c:crossBetween val="between"/>
        <c:dispUnits>
          <c:builtInUnit val="billions"/>
        </c:dispUnits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3292609257176183E-2"/>
          <c:y val="7.9807726764812223E-2"/>
          <c:w val="0.91230364091343819"/>
          <c:h val="0.763982768187230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'Přehled alokace a FTE'!$A$21</c:f>
              <c:strCache>
                <c:ptCount val="1"/>
                <c:pt idx="0">
                  <c:v>FTE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8.2747207281754047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490,97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0-BCEF-47DE-851D-7AAD99759CC2}"/>
                </c:ext>
              </c:extLst>
            </c:dLbl>
            <c:dLbl>
              <c:idx val="1"/>
              <c:layout>
                <c:manualLayout>
                  <c:x val="2.2045855379188711E-3"/>
                  <c:y val="-1.24120810922631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372,03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1-BCEF-47DE-851D-7AAD99759CC2}"/>
                </c:ext>
              </c:extLst>
            </c:dLbl>
            <c:dLbl>
              <c:idx val="2"/>
              <c:layout>
                <c:manualLayout>
                  <c:x val="2.2045855379188711E-3"/>
                  <c:y val="-1.24120810922631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371,91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2-BCEF-47DE-851D-7AAD99759CC2}"/>
                </c:ext>
              </c:extLst>
            </c:dLbl>
            <c:dLbl>
              <c:idx val="3"/>
              <c:layout>
                <c:manualLayout>
                  <c:x val="0"/>
                  <c:y val="1.241208109226317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361,86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3-BCEF-47DE-851D-7AAD99759CC2}"/>
                </c:ext>
              </c:extLst>
            </c:dLbl>
            <c:dLbl>
              <c:idx val="4"/>
              <c:layout>
                <c:manualLayout>
                  <c:x val="0"/>
                  <c:y val="1.65494414563508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358,12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4-BCEF-47DE-851D-7AAD99759CC2}"/>
                </c:ext>
              </c:extLst>
            </c:dLbl>
            <c:dLbl>
              <c:idx val="5"/>
              <c:layout>
                <c:manualLayout>
                  <c:x val="-8.0833869257269799E-17"/>
                  <c:y val="8.274720728175347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121,7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5-BCEF-47DE-851D-7AAD99759CC2}"/>
                </c:ext>
              </c:extLst>
            </c:dLbl>
            <c:dLbl>
              <c:idx val="6"/>
              <c:layout>
                <c:manualLayout>
                  <c:x val="0"/>
                  <c:y val="8.274720728175576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60,3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6-BCEF-47DE-851D-7AAD99759CC2}"/>
                </c:ext>
              </c:extLst>
            </c:dLbl>
            <c:dLbl>
              <c:idx val="7"/>
              <c:layout>
                <c:manualLayout>
                  <c:x val="0"/>
                  <c:y val="8.2747207281754238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7-BCEF-47DE-851D-7AAD99759CC2}"/>
                </c:ext>
              </c:extLst>
            </c:dLbl>
            <c:dLbl>
              <c:idx val="8"/>
              <c:layout>
                <c:manualLayout>
                  <c:x val="0"/>
                  <c:y val="1.241208109226313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28,43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  <c:ext xmlns:c16="http://schemas.microsoft.com/office/drawing/2014/chart" uri="{C3380CC4-5D6E-409C-BE32-E72D297353CC}">
                  <c16:uniqueId val="{00000008-BCEF-47DE-851D-7AAD99759CC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'Přehled alokace a FTE'!$A$11:$A$19</c:f>
              <c:strCache>
                <c:ptCount val="9"/>
                <c:pt idx="0">
                  <c:v>IROP</c:v>
                </c:pt>
                <c:pt idx="1">
                  <c:v>OPPIK</c:v>
                </c:pt>
                <c:pt idx="2">
                  <c:v>OPVVV</c:v>
                </c:pt>
                <c:pt idx="3">
                  <c:v>OPZ</c:v>
                </c:pt>
                <c:pt idx="4">
                  <c:v>OPŽP</c:v>
                </c:pt>
                <c:pt idx="5">
                  <c:v>OPD</c:v>
                </c:pt>
                <c:pt idx="6">
                  <c:v>OPPPR</c:v>
                </c:pt>
                <c:pt idx="7">
                  <c:v>OPTP</c:v>
                </c:pt>
                <c:pt idx="8">
                  <c:v>OPR</c:v>
                </c:pt>
              </c:strCache>
            </c:strRef>
          </c:cat>
          <c:val>
            <c:numRef>
              <c:f>'Přehled alokace a FTE'!$B$11:$B$19</c:f>
              <c:numCache>
                <c:formatCode>General</c:formatCode>
                <c:ptCount val="9"/>
                <c:pt idx="0">
                  <c:v>490.97</c:v>
                </c:pt>
                <c:pt idx="1">
                  <c:v>372.03</c:v>
                </c:pt>
                <c:pt idx="2">
                  <c:v>371.91</c:v>
                </c:pt>
                <c:pt idx="3">
                  <c:v>361.86</c:v>
                </c:pt>
                <c:pt idx="4">
                  <c:v>358.12</c:v>
                </c:pt>
                <c:pt idx="5">
                  <c:v>121.7</c:v>
                </c:pt>
                <c:pt idx="6">
                  <c:v>60.3</c:v>
                </c:pt>
                <c:pt idx="7">
                  <c:v>37.75</c:v>
                </c:pt>
                <c:pt idx="8">
                  <c:v>28.43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9C0-45F2-B2F5-D53E5FCC4FF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45657696"/>
        <c:axId val="159533856"/>
        <c:extLst/>
      </c:barChart>
      <c:catAx>
        <c:axId val="245657696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cs-CZ"/>
                  <a:t>Operační</a:t>
                </a:r>
                <a:r>
                  <a:rPr lang="cs-CZ" baseline="0"/>
                  <a:t> program</a:t>
                </a:r>
              </a:p>
            </c:rich>
          </c:tx>
          <c:layout/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cs-CZ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159533856"/>
        <c:crosses val="autoZero"/>
        <c:auto val="1"/>
        <c:lblAlgn val="ctr"/>
        <c:lblOffset val="100"/>
        <c:noMultiLvlLbl val="0"/>
      </c:catAx>
      <c:valAx>
        <c:axId val="15953385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24565769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7A625AE9F5AB4A939F92BCAA7FEC02" ma:contentTypeVersion="1" ma:contentTypeDescription="Vytvoří nový dokument" ma:contentTypeScope="" ma:versionID="09736fd4d2dc7a7ec8b641ae14df0e5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c91a41dfb025b41eb9943aabee43187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Datum zahájení plánování je sloupec webu, který vytvořila funkce Publikování. Používá se k zadání data a času, od kterého se tato stránka začne návštěvníkům webu zobrazovat.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Datum ukončení plánování je sloupec webu, který vytvořila funkce Publikování. Používá se k zadání data a času, od kterého se tato stránka už nebude návštěvníkům webu zobrazovat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20E46C-1E80-402A-A2A8-E663701728A7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D92DF46-9909-4FD3-9718-8E62515275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926003-3A99-40EC-BDC2-08B8608B47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756D024-4E62-4624-B6F3-4282D9D80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EB996E47.dotm</Template>
  <TotalTime>4</TotalTime>
  <Pages>25</Pages>
  <Words>7256</Words>
  <Characters>42814</Characters>
  <Application>Microsoft Office Word</Application>
  <DocSecurity>0</DocSecurity>
  <Lines>356</Lines>
  <Paragraphs>99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18/06 - Podpora rozvoje výzkumu a vývoje pro inovace poskytovaná z operačního programu Podnikání a inovace pro konkurenceschopnost</vt:lpstr>
    </vt:vector>
  </TitlesOfParts>
  <Company>NKU</Company>
  <LinksUpToDate>false</LinksUpToDate>
  <CharactersWithSpaces>49971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19/01 - Peněžní prostředky vynaložené na technickou pomoc z operačního programu Podnikání a inovace pro konkurenceschopnost</dc:title>
  <dc:subject/>
  <dc:creator>Nejvyšší kontrolní úřad</dc:creator>
  <cp:keywords>kontrolní závěr; OP PIK</cp:keywords>
  <dc:description/>
  <cp:lastModifiedBy>KOKRDA Daniel</cp:lastModifiedBy>
  <cp:revision>3</cp:revision>
  <cp:lastPrinted>2019-10-09T07:01:00Z</cp:lastPrinted>
  <dcterms:created xsi:type="dcterms:W3CDTF">2019-10-09T07:00:00Z</dcterms:created>
  <dcterms:modified xsi:type="dcterms:W3CDTF">2019-10-09T07:03:00Z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0x0101002F7A625AE9F5AB4A939F92BCAA7FEC02</vt:lpwstr>
  </property>
</Properties>
</file>