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59B4" w14:textId="77777777" w:rsidR="000B5E04" w:rsidRDefault="000B5E04" w:rsidP="0099191B">
      <w:pPr>
        <w:jc w:val="both"/>
        <w:rPr>
          <w:rFonts w:ascii="Calibri" w:hAnsi="Calibri" w:cs="Calibri"/>
        </w:rPr>
      </w:pPr>
    </w:p>
    <w:p w14:paraId="6C972E4C" w14:textId="77777777" w:rsidR="00462F78" w:rsidRPr="00840C68" w:rsidRDefault="00CD2800" w:rsidP="00840C68">
      <w:pPr>
        <w:jc w:val="both"/>
        <w:rPr>
          <w:rFonts w:ascii="Calibri" w:hAnsi="Calibri" w:cs="Calibri"/>
        </w:rPr>
      </w:pPr>
      <w:r w:rsidRPr="003D1C56">
        <w:rPr>
          <w:noProof/>
        </w:rPr>
        <w:drawing>
          <wp:anchor distT="0" distB="0" distL="114300" distR="114300" simplePos="0" relativeHeight="251658240" behindDoc="0" locked="0" layoutInCell="1" allowOverlap="1" wp14:anchorId="7D1DA99C" wp14:editId="7600C01A">
            <wp:simplePos x="0" y="0"/>
            <wp:positionH relativeFrom="column">
              <wp:posOffset>2487461</wp:posOffset>
            </wp:positionH>
            <wp:positionV relativeFrom="paragraph">
              <wp:posOffset>-1298</wp:posOffset>
            </wp:positionV>
            <wp:extent cx="780415" cy="560705"/>
            <wp:effectExtent l="0" t="0" r="635"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39141"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80415" cy="560705"/>
                    </a:xfrm>
                    <a:prstGeom prst="rect">
                      <a:avLst/>
                    </a:prstGeom>
                    <a:noFill/>
                  </pic:spPr>
                </pic:pic>
              </a:graphicData>
            </a:graphic>
            <wp14:sizeRelH relativeFrom="page">
              <wp14:pctWidth>0</wp14:pctWidth>
            </wp14:sizeRelH>
            <wp14:sizeRelV relativeFrom="page">
              <wp14:pctHeight>0</wp14:pctHeight>
            </wp14:sizeRelV>
          </wp:anchor>
        </w:drawing>
      </w:r>
    </w:p>
    <w:p w14:paraId="7ED806A0" w14:textId="77777777" w:rsidR="00462F78" w:rsidRPr="003D1C56" w:rsidRDefault="00CD2800" w:rsidP="001B72F6">
      <w:pPr>
        <w:jc w:val="center"/>
        <w:rPr>
          <w:rFonts w:cstheme="minorHAnsi"/>
          <w:b/>
          <w:sz w:val="28"/>
        </w:rPr>
      </w:pPr>
      <w:r w:rsidRPr="003D1C56">
        <w:rPr>
          <w:rFonts w:cstheme="minorHAnsi"/>
          <w:b/>
          <w:sz w:val="28"/>
        </w:rPr>
        <w:t>Kontrolní závěr z kontrolní akce</w:t>
      </w:r>
    </w:p>
    <w:p w14:paraId="4083336B" w14:textId="77777777" w:rsidR="00462F78" w:rsidRPr="003D1C56" w:rsidRDefault="00462F78" w:rsidP="001B72F6">
      <w:pPr>
        <w:jc w:val="center"/>
        <w:rPr>
          <w:rFonts w:ascii="Calibri" w:hAnsi="Calibri" w:cs="Calibri"/>
        </w:rPr>
      </w:pPr>
    </w:p>
    <w:p w14:paraId="04585D20" w14:textId="77777777" w:rsidR="00462F78" w:rsidRPr="00840C68" w:rsidRDefault="00CD2800" w:rsidP="00840C68">
      <w:pPr>
        <w:ind w:right="68"/>
        <w:jc w:val="center"/>
        <w:rPr>
          <w:rFonts w:ascii="Calibri" w:hAnsi="Calibri" w:cs="Calibri"/>
          <w:b/>
          <w:bCs/>
          <w:sz w:val="28"/>
        </w:rPr>
      </w:pPr>
      <w:r w:rsidRPr="003D1C56">
        <w:rPr>
          <w:rFonts w:ascii="Calibri" w:hAnsi="Calibri" w:cs="Calibri"/>
          <w:b/>
          <w:bCs/>
          <w:sz w:val="28"/>
        </w:rPr>
        <w:t>1</w:t>
      </w:r>
      <w:r w:rsidR="00055D97" w:rsidRPr="003D1C56">
        <w:rPr>
          <w:rFonts w:ascii="Calibri" w:hAnsi="Calibri" w:cs="Calibri"/>
          <w:b/>
          <w:bCs/>
          <w:sz w:val="28"/>
        </w:rPr>
        <w:t>8</w:t>
      </w:r>
      <w:r w:rsidRPr="003D1C56">
        <w:rPr>
          <w:rFonts w:ascii="Calibri" w:hAnsi="Calibri" w:cs="Calibri"/>
          <w:b/>
          <w:bCs/>
          <w:sz w:val="28"/>
        </w:rPr>
        <w:t>/</w:t>
      </w:r>
      <w:r w:rsidR="001D380D" w:rsidRPr="003D1C56">
        <w:rPr>
          <w:rFonts w:ascii="Calibri" w:hAnsi="Calibri" w:cs="Calibri"/>
          <w:b/>
          <w:bCs/>
          <w:sz w:val="28"/>
        </w:rPr>
        <w:t>2</w:t>
      </w:r>
      <w:r w:rsidR="00055D97" w:rsidRPr="003D1C56">
        <w:rPr>
          <w:rFonts w:ascii="Calibri" w:hAnsi="Calibri" w:cs="Calibri"/>
          <w:b/>
          <w:bCs/>
          <w:sz w:val="28"/>
        </w:rPr>
        <w:t>8</w:t>
      </w:r>
    </w:p>
    <w:p w14:paraId="4CF95284" w14:textId="77777777" w:rsidR="007347A4" w:rsidRPr="003D1C56" w:rsidRDefault="00CD2800" w:rsidP="001B72F6">
      <w:pPr>
        <w:jc w:val="center"/>
        <w:rPr>
          <w:rFonts w:cstheme="minorHAnsi"/>
          <w:b/>
          <w:sz w:val="28"/>
          <w:szCs w:val="28"/>
        </w:rPr>
      </w:pPr>
      <w:r w:rsidRPr="003D1C56">
        <w:rPr>
          <w:rFonts w:cstheme="minorHAnsi"/>
          <w:b/>
          <w:sz w:val="28"/>
          <w:szCs w:val="28"/>
        </w:rPr>
        <w:t>Peněžní</w:t>
      </w:r>
      <w:r w:rsidRPr="003D1C56">
        <w:t xml:space="preserve"> </w:t>
      </w:r>
      <w:r w:rsidRPr="003D1C56">
        <w:rPr>
          <w:rFonts w:cstheme="minorHAnsi"/>
          <w:b/>
          <w:sz w:val="28"/>
          <w:szCs w:val="28"/>
        </w:rPr>
        <w:t>prostředky určené na realizaci opatření operačníh</w:t>
      </w:r>
      <w:bookmarkStart w:id="0" w:name="_GoBack"/>
      <w:bookmarkEnd w:id="0"/>
      <w:r w:rsidRPr="003D1C56">
        <w:rPr>
          <w:rFonts w:cstheme="minorHAnsi"/>
          <w:b/>
          <w:sz w:val="28"/>
          <w:szCs w:val="28"/>
        </w:rPr>
        <w:t xml:space="preserve">o programu </w:t>
      </w:r>
      <w:r w:rsidRPr="00E13023">
        <w:rPr>
          <w:rFonts w:cstheme="minorHAnsi"/>
          <w:b/>
          <w:i/>
          <w:sz w:val="28"/>
          <w:szCs w:val="28"/>
        </w:rPr>
        <w:t>Zaměstnanost 2014–2020</w:t>
      </w:r>
      <w:r w:rsidRPr="003D1C56">
        <w:rPr>
          <w:rFonts w:cstheme="minorHAnsi"/>
          <w:b/>
          <w:sz w:val="28"/>
          <w:szCs w:val="28"/>
        </w:rPr>
        <w:t xml:space="preserve"> ke zvýšení zaměst</w:t>
      </w:r>
      <w:r w:rsidR="00E537D3">
        <w:rPr>
          <w:rFonts w:cstheme="minorHAnsi"/>
          <w:b/>
          <w:sz w:val="28"/>
          <w:szCs w:val="28"/>
        </w:rPr>
        <w:t xml:space="preserve">nanosti </w:t>
      </w:r>
      <w:r w:rsidR="00150E08">
        <w:rPr>
          <w:rFonts w:cstheme="minorHAnsi"/>
          <w:b/>
          <w:sz w:val="28"/>
          <w:szCs w:val="28"/>
        </w:rPr>
        <w:br/>
      </w:r>
      <w:r w:rsidR="00E537D3">
        <w:rPr>
          <w:rFonts w:cstheme="minorHAnsi"/>
          <w:b/>
          <w:sz w:val="28"/>
          <w:szCs w:val="28"/>
        </w:rPr>
        <w:t>a</w:t>
      </w:r>
      <w:r w:rsidR="00150E08">
        <w:rPr>
          <w:rFonts w:cstheme="minorHAnsi"/>
          <w:b/>
          <w:sz w:val="28"/>
          <w:szCs w:val="28"/>
        </w:rPr>
        <w:t xml:space="preserve"> </w:t>
      </w:r>
      <w:r w:rsidR="00E537D3">
        <w:rPr>
          <w:rFonts w:cstheme="minorHAnsi"/>
          <w:b/>
          <w:sz w:val="28"/>
          <w:szCs w:val="28"/>
        </w:rPr>
        <w:t>adaptability</w:t>
      </w:r>
      <w:r w:rsidR="00150E08">
        <w:rPr>
          <w:rFonts w:cstheme="minorHAnsi"/>
          <w:b/>
          <w:sz w:val="28"/>
          <w:szCs w:val="28"/>
        </w:rPr>
        <w:t xml:space="preserve"> </w:t>
      </w:r>
      <w:r w:rsidR="00E537D3">
        <w:rPr>
          <w:rFonts w:cstheme="minorHAnsi"/>
          <w:b/>
          <w:sz w:val="28"/>
          <w:szCs w:val="28"/>
        </w:rPr>
        <w:t>pracovní</w:t>
      </w:r>
      <w:r w:rsidR="00150E08">
        <w:rPr>
          <w:rFonts w:cstheme="minorHAnsi"/>
          <w:b/>
          <w:sz w:val="28"/>
          <w:szCs w:val="28"/>
        </w:rPr>
        <w:t xml:space="preserve"> </w:t>
      </w:r>
      <w:r w:rsidRPr="003D1C56">
        <w:rPr>
          <w:rFonts w:cstheme="minorHAnsi"/>
          <w:b/>
          <w:sz w:val="28"/>
          <w:szCs w:val="28"/>
        </w:rPr>
        <w:t>síly</w:t>
      </w:r>
    </w:p>
    <w:p w14:paraId="13DF6D25" w14:textId="77777777" w:rsidR="00462F78" w:rsidRPr="003D1C56" w:rsidRDefault="00462F78" w:rsidP="0099191B">
      <w:pPr>
        <w:spacing w:line="264" w:lineRule="auto"/>
        <w:jc w:val="both"/>
        <w:rPr>
          <w:rFonts w:ascii="Calibri" w:hAnsi="Calibri" w:cs="Calibri"/>
        </w:rPr>
      </w:pPr>
    </w:p>
    <w:p w14:paraId="7D6ADA16" w14:textId="62B75740" w:rsidR="00462F78" w:rsidRPr="003D1C56" w:rsidRDefault="00CD2800" w:rsidP="0099191B">
      <w:pPr>
        <w:pStyle w:val="Zkladn"/>
        <w:spacing w:before="0"/>
        <w:rPr>
          <w:rFonts w:ascii="Calibri" w:hAnsi="Calibri" w:cs="Calibri"/>
        </w:rPr>
      </w:pPr>
      <w:r w:rsidRPr="003D1C56">
        <w:rPr>
          <w:rFonts w:ascii="Calibri" w:hAnsi="Calibri" w:cs="Calibri"/>
        </w:rPr>
        <w:t>Kontrolní akce byla zařazena do plánu kontrolní činnosti Nejvyššího kontrolního úřadu (dále </w:t>
      </w:r>
      <w:r w:rsidR="000579F3" w:rsidRPr="003D1C56">
        <w:rPr>
          <w:rFonts w:ascii="Calibri" w:hAnsi="Calibri" w:cs="Calibri"/>
        </w:rPr>
        <w:t xml:space="preserve">také </w:t>
      </w:r>
      <w:r w:rsidRPr="003D1C56">
        <w:rPr>
          <w:rFonts w:ascii="Calibri" w:hAnsi="Calibri" w:cs="Calibri"/>
        </w:rPr>
        <w:t>„NKÚ“) na rok 201</w:t>
      </w:r>
      <w:r w:rsidR="00055D97" w:rsidRPr="003D1C56">
        <w:rPr>
          <w:rFonts w:ascii="Calibri" w:hAnsi="Calibri" w:cs="Calibri"/>
        </w:rPr>
        <w:t>8</w:t>
      </w:r>
      <w:r w:rsidRPr="003D1C56">
        <w:rPr>
          <w:rFonts w:ascii="Calibri" w:hAnsi="Calibri" w:cs="Calibri"/>
        </w:rPr>
        <w:t xml:space="preserve"> pod číslem 1</w:t>
      </w:r>
      <w:r w:rsidR="00055D97" w:rsidRPr="003D1C56">
        <w:rPr>
          <w:rFonts w:ascii="Calibri" w:hAnsi="Calibri" w:cs="Calibri"/>
        </w:rPr>
        <w:t>8</w:t>
      </w:r>
      <w:r w:rsidRPr="003D1C56">
        <w:rPr>
          <w:rFonts w:ascii="Calibri" w:hAnsi="Calibri" w:cs="Calibri"/>
        </w:rPr>
        <w:t>/</w:t>
      </w:r>
      <w:r w:rsidR="001D380D" w:rsidRPr="003D1C56">
        <w:rPr>
          <w:rFonts w:ascii="Calibri" w:hAnsi="Calibri" w:cs="Calibri"/>
        </w:rPr>
        <w:t>2</w:t>
      </w:r>
      <w:r w:rsidR="00055D97" w:rsidRPr="003D1C56">
        <w:rPr>
          <w:rFonts w:ascii="Calibri" w:hAnsi="Calibri" w:cs="Calibri"/>
        </w:rPr>
        <w:t>8</w:t>
      </w:r>
      <w:r w:rsidRPr="003D1C56">
        <w:rPr>
          <w:rFonts w:ascii="Calibri" w:hAnsi="Calibri" w:cs="Calibri"/>
        </w:rPr>
        <w:t xml:space="preserve">. Kontrolní akci řídil a kontrolní závěr vypracoval člen NKÚ </w:t>
      </w:r>
      <w:r w:rsidR="001D380D" w:rsidRPr="003D1C56">
        <w:rPr>
          <w:rFonts w:ascii="Calibri" w:hAnsi="Calibri" w:cs="Calibri"/>
        </w:rPr>
        <w:t>Ing</w:t>
      </w:r>
      <w:r w:rsidRPr="003D1C56">
        <w:rPr>
          <w:rFonts w:ascii="Calibri" w:hAnsi="Calibri" w:cs="Calibri"/>
        </w:rPr>
        <w:t>.</w:t>
      </w:r>
      <w:r w:rsidR="001D380D" w:rsidRPr="003D1C56">
        <w:rPr>
          <w:rFonts w:ascii="Calibri" w:hAnsi="Calibri" w:cs="Calibri"/>
        </w:rPr>
        <w:t xml:space="preserve"> </w:t>
      </w:r>
      <w:r w:rsidR="00055D97" w:rsidRPr="003D1C56">
        <w:rPr>
          <w:rFonts w:ascii="Calibri" w:hAnsi="Calibri" w:cs="Calibri"/>
        </w:rPr>
        <w:t>Adolf Beznoska</w:t>
      </w:r>
      <w:r w:rsidR="001D380D" w:rsidRPr="003D1C56">
        <w:rPr>
          <w:rFonts w:ascii="Calibri" w:hAnsi="Calibri" w:cs="Calibri"/>
        </w:rPr>
        <w:t>.</w:t>
      </w:r>
      <w:r w:rsidRPr="003D1C56">
        <w:rPr>
          <w:rFonts w:ascii="Calibri" w:hAnsi="Calibri" w:cs="Calibri"/>
        </w:rPr>
        <w:t xml:space="preserve"> </w:t>
      </w:r>
    </w:p>
    <w:p w14:paraId="073D804C" w14:textId="77777777" w:rsidR="00462F78" w:rsidRPr="003D1C56" w:rsidRDefault="00462F78" w:rsidP="0099191B">
      <w:pPr>
        <w:pStyle w:val="Zkladntextodsazen"/>
        <w:spacing w:after="0"/>
        <w:ind w:left="0"/>
        <w:jc w:val="both"/>
        <w:rPr>
          <w:rFonts w:ascii="Calibri" w:hAnsi="Calibri" w:cs="Calibri"/>
        </w:rPr>
      </w:pPr>
    </w:p>
    <w:p w14:paraId="5D6F924A" w14:textId="77777777" w:rsidR="001D380D" w:rsidRPr="003D1C56" w:rsidRDefault="00CD2800" w:rsidP="0099191B">
      <w:pPr>
        <w:jc w:val="both"/>
        <w:rPr>
          <w:rFonts w:cstheme="minorHAnsi"/>
          <w:lang w:eastAsia="en-US"/>
        </w:rPr>
      </w:pPr>
      <w:r w:rsidRPr="003D1C56">
        <w:rPr>
          <w:rFonts w:cstheme="minorHAnsi"/>
          <w:lang w:eastAsia="en-US"/>
        </w:rPr>
        <w:t xml:space="preserve">Cílem kontroly </w:t>
      </w:r>
      <w:r w:rsidR="00055D97" w:rsidRPr="003D1C56">
        <w:rPr>
          <w:rFonts w:cstheme="minorHAnsi"/>
          <w:lang w:eastAsia="en-US"/>
        </w:rPr>
        <w:t>bylo prověřit, zda kontrolované osoby poskytují a čerpají peněžní prostředky na realizaci vybraných opatření v souladu s právními předpisy, účelně, hospodárně a efektivně a zda vybrané projekty na podporu zaměstnanosti a adaptabi</w:t>
      </w:r>
      <w:r w:rsidR="00840C68">
        <w:rPr>
          <w:rFonts w:cstheme="minorHAnsi"/>
          <w:lang w:eastAsia="en-US"/>
        </w:rPr>
        <w:t>lity pracovní síly přispívají k </w:t>
      </w:r>
      <w:r w:rsidR="00055D97" w:rsidRPr="003D1C56">
        <w:rPr>
          <w:rFonts w:cstheme="minorHAnsi"/>
          <w:lang w:eastAsia="en-US"/>
        </w:rPr>
        <w:t>naplnění cíle, který je pro oblast zaměstnanosti mladých lidí stanoven ve s</w:t>
      </w:r>
      <w:r w:rsidR="00E47DE0">
        <w:rPr>
          <w:rFonts w:cstheme="minorHAnsi"/>
          <w:lang w:eastAsia="en-US"/>
        </w:rPr>
        <w:t xml:space="preserve">trategii </w:t>
      </w:r>
      <w:r w:rsidR="00E47DE0" w:rsidRPr="00034209">
        <w:rPr>
          <w:rFonts w:cstheme="minorHAnsi"/>
          <w:i/>
          <w:lang w:eastAsia="en-US"/>
        </w:rPr>
        <w:t>Evropa </w:t>
      </w:r>
      <w:r w:rsidR="00055D97" w:rsidRPr="00034209">
        <w:rPr>
          <w:rFonts w:cstheme="minorHAnsi"/>
          <w:i/>
          <w:lang w:eastAsia="en-US"/>
        </w:rPr>
        <w:t>2020</w:t>
      </w:r>
      <w:r w:rsidR="00055D97" w:rsidRPr="003D1C56">
        <w:rPr>
          <w:rFonts w:cstheme="minorHAnsi"/>
          <w:lang w:eastAsia="en-US"/>
        </w:rPr>
        <w:t>.</w:t>
      </w:r>
    </w:p>
    <w:p w14:paraId="1C4C00F2" w14:textId="77777777" w:rsidR="00462F78" w:rsidRPr="003D1C56" w:rsidRDefault="00462F78" w:rsidP="0099191B">
      <w:pPr>
        <w:jc w:val="both"/>
        <w:rPr>
          <w:rFonts w:cstheme="minorHAnsi"/>
          <w:noProof/>
          <w:color w:val="000000"/>
        </w:rPr>
      </w:pPr>
    </w:p>
    <w:p w14:paraId="2ACCF225" w14:textId="77777777" w:rsidR="00462F78" w:rsidRPr="003D1C56" w:rsidRDefault="00CD2800" w:rsidP="0099191B">
      <w:pPr>
        <w:pStyle w:val="Zkladntextodsazen"/>
        <w:spacing w:after="0"/>
        <w:ind w:left="0"/>
        <w:jc w:val="both"/>
        <w:rPr>
          <w:rFonts w:ascii="Calibri" w:hAnsi="Calibri" w:cs="Calibri"/>
        </w:rPr>
      </w:pPr>
      <w:r w:rsidRPr="003D1C56">
        <w:rPr>
          <w:rFonts w:ascii="Calibri" w:hAnsi="Calibri" w:cs="Calibri"/>
        </w:rPr>
        <w:t>Kontrolováno bylo období od roku 201</w:t>
      </w:r>
      <w:r w:rsidR="00055D97" w:rsidRPr="003D1C56">
        <w:rPr>
          <w:rFonts w:ascii="Calibri" w:hAnsi="Calibri" w:cs="Calibri"/>
        </w:rPr>
        <w:t>4</w:t>
      </w:r>
      <w:r w:rsidRPr="003D1C56">
        <w:rPr>
          <w:rFonts w:ascii="Calibri" w:hAnsi="Calibri" w:cs="Calibri"/>
        </w:rPr>
        <w:t xml:space="preserve"> do roku 201</w:t>
      </w:r>
      <w:r w:rsidR="00055D97" w:rsidRPr="003D1C56">
        <w:rPr>
          <w:rFonts w:ascii="Calibri" w:hAnsi="Calibri" w:cs="Calibri"/>
        </w:rPr>
        <w:t>8</w:t>
      </w:r>
      <w:r w:rsidRPr="003D1C56">
        <w:rPr>
          <w:rFonts w:ascii="Calibri" w:hAnsi="Calibri" w:cs="Calibri"/>
        </w:rPr>
        <w:t>, v přípa</w:t>
      </w:r>
      <w:r w:rsidR="00055D97" w:rsidRPr="003D1C56">
        <w:rPr>
          <w:rFonts w:ascii="Calibri" w:hAnsi="Calibri" w:cs="Calibri"/>
        </w:rPr>
        <w:t xml:space="preserve">dě věcných souvislostí i období </w:t>
      </w:r>
      <w:r w:rsidRPr="003D1C56">
        <w:rPr>
          <w:rFonts w:ascii="Calibri" w:hAnsi="Calibri" w:cs="Calibri"/>
        </w:rPr>
        <w:t xml:space="preserve">předcházející a následující. Kontrola byla u kontrolovaných osob </w:t>
      </w:r>
      <w:r w:rsidR="00057447" w:rsidRPr="003D1C56">
        <w:rPr>
          <w:rFonts w:ascii="Calibri" w:hAnsi="Calibri" w:cs="Calibri"/>
        </w:rPr>
        <w:t xml:space="preserve">prováděna </w:t>
      </w:r>
      <w:r w:rsidRPr="003D1C56">
        <w:rPr>
          <w:rFonts w:ascii="Calibri" w:hAnsi="Calibri" w:cs="Calibri"/>
        </w:rPr>
        <w:t xml:space="preserve">od </w:t>
      </w:r>
      <w:r w:rsidR="00055D97" w:rsidRPr="003D1C56">
        <w:rPr>
          <w:rFonts w:ascii="Calibri" w:hAnsi="Calibri" w:cs="Calibri"/>
        </w:rPr>
        <w:t>prosince</w:t>
      </w:r>
      <w:r w:rsidRPr="003D1C56">
        <w:rPr>
          <w:rFonts w:ascii="Calibri" w:hAnsi="Calibri" w:cs="Calibri"/>
        </w:rPr>
        <w:t xml:space="preserve"> </w:t>
      </w:r>
      <w:r w:rsidR="001D380D" w:rsidRPr="003D1C56">
        <w:rPr>
          <w:rFonts w:ascii="Calibri" w:hAnsi="Calibri" w:cs="Calibri"/>
        </w:rPr>
        <w:t>201</w:t>
      </w:r>
      <w:r w:rsidR="00055D97" w:rsidRPr="003D1C56">
        <w:rPr>
          <w:rFonts w:ascii="Calibri" w:hAnsi="Calibri" w:cs="Calibri"/>
        </w:rPr>
        <w:t>8</w:t>
      </w:r>
      <w:r w:rsidR="001D380D" w:rsidRPr="003D1C56">
        <w:rPr>
          <w:rFonts w:ascii="Calibri" w:hAnsi="Calibri" w:cs="Calibri"/>
        </w:rPr>
        <w:t xml:space="preserve"> </w:t>
      </w:r>
      <w:r w:rsidRPr="003D1C56">
        <w:rPr>
          <w:rFonts w:ascii="Calibri" w:hAnsi="Calibri" w:cs="Calibri"/>
        </w:rPr>
        <w:t xml:space="preserve">do </w:t>
      </w:r>
      <w:r w:rsidR="00055D97" w:rsidRPr="003D1C56">
        <w:rPr>
          <w:rFonts w:ascii="Calibri" w:hAnsi="Calibri" w:cs="Calibri"/>
        </w:rPr>
        <w:t>května</w:t>
      </w:r>
      <w:r w:rsidRPr="003D1C56">
        <w:rPr>
          <w:rFonts w:ascii="Calibri" w:hAnsi="Calibri" w:cs="Calibri"/>
        </w:rPr>
        <w:t xml:space="preserve"> 201</w:t>
      </w:r>
      <w:r w:rsidR="00055D97" w:rsidRPr="003D1C56">
        <w:rPr>
          <w:rFonts w:ascii="Calibri" w:hAnsi="Calibri" w:cs="Calibri"/>
        </w:rPr>
        <w:t>9</w:t>
      </w:r>
      <w:r w:rsidRPr="003D1C56">
        <w:rPr>
          <w:rFonts w:ascii="Calibri" w:hAnsi="Calibri" w:cs="Calibri"/>
        </w:rPr>
        <w:t>.</w:t>
      </w:r>
    </w:p>
    <w:p w14:paraId="1372520E" w14:textId="77777777" w:rsidR="00462F78" w:rsidRPr="003D1C56" w:rsidRDefault="00462F78" w:rsidP="0099191B">
      <w:pPr>
        <w:pStyle w:val="Zkladn"/>
        <w:spacing w:before="0"/>
        <w:rPr>
          <w:rFonts w:ascii="Calibri" w:hAnsi="Calibri" w:cs="Calibri"/>
        </w:rPr>
      </w:pPr>
    </w:p>
    <w:p w14:paraId="23C2AA0C" w14:textId="77777777" w:rsidR="00462F78" w:rsidRPr="003D1C56" w:rsidRDefault="00CD2800" w:rsidP="0099191B">
      <w:pPr>
        <w:pStyle w:val="Zkladn"/>
        <w:spacing w:before="0"/>
        <w:rPr>
          <w:rFonts w:ascii="Calibri" w:hAnsi="Calibri" w:cs="Calibri"/>
          <w:b/>
        </w:rPr>
      </w:pPr>
      <w:r w:rsidRPr="003D1C56">
        <w:rPr>
          <w:rFonts w:ascii="Calibri" w:hAnsi="Calibri" w:cs="Calibri"/>
          <w:b/>
        </w:rPr>
        <w:t>Kontrolované osoby:</w:t>
      </w:r>
    </w:p>
    <w:p w14:paraId="7E02425B" w14:textId="77777777" w:rsidR="005E5302" w:rsidRPr="003D1C56" w:rsidRDefault="00CD2800" w:rsidP="00E13023">
      <w:pPr>
        <w:pStyle w:val="Zkladn"/>
        <w:spacing w:before="0"/>
        <w:jc w:val="left"/>
        <w:rPr>
          <w:rFonts w:ascii="Calibri" w:hAnsi="Calibri" w:cs="Calibri"/>
        </w:rPr>
      </w:pPr>
      <w:r w:rsidRPr="003D1C56">
        <w:rPr>
          <w:rFonts w:ascii="Calibri" w:hAnsi="Calibri" w:cs="Calibri"/>
        </w:rPr>
        <w:t>Ministerstvo práce a sociálních věcí (dále také „MPSV“); Úřad práce České republiky</w:t>
      </w:r>
      <w:r w:rsidR="00E13023">
        <w:rPr>
          <w:rFonts w:ascii="Calibri" w:hAnsi="Calibri" w:cs="Calibri"/>
        </w:rPr>
        <w:t>, Praha (dále také „ÚP“</w:t>
      </w:r>
      <w:r w:rsidR="00256905">
        <w:rPr>
          <w:rFonts w:ascii="Calibri" w:hAnsi="Calibri" w:cs="Calibri"/>
        </w:rPr>
        <w:t xml:space="preserve"> nebo „Úřad práce“</w:t>
      </w:r>
      <w:r w:rsidR="00E13023">
        <w:rPr>
          <w:rFonts w:ascii="Calibri" w:hAnsi="Calibri" w:cs="Calibri"/>
        </w:rPr>
        <w:t xml:space="preserve">); Ústecký kraj, Ústí nad </w:t>
      </w:r>
      <w:r w:rsidR="00840C68">
        <w:rPr>
          <w:rFonts w:ascii="Calibri" w:hAnsi="Calibri" w:cs="Calibri"/>
        </w:rPr>
        <w:t>L</w:t>
      </w:r>
      <w:r w:rsidR="00E13023">
        <w:rPr>
          <w:rFonts w:ascii="Calibri" w:hAnsi="Calibri" w:cs="Calibri"/>
        </w:rPr>
        <w:t>abem</w:t>
      </w:r>
      <w:r w:rsidR="00840C68">
        <w:rPr>
          <w:rFonts w:ascii="Calibri" w:hAnsi="Calibri" w:cs="Calibri"/>
        </w:rPr>
        <w:t xml:space="preserve"> </w:t>
      </w:r>
      <w:r w:rsidRPr="003D1C56">
        <w:rPr>
          <w:rFonts w:ascii="Calibri" w:hAnsi="Calibri" w:cs="Calibri"/>
        </w:rPr>
        <w:t>(dále také „ÚK“)</w:t>
      </w:r>
      <w:r w:rsidR="00902F54" w:rsidRPr="003D1C56">
        <w:rPr>
          <w:rFonts w:ascii="Calibri" w:hAnsi="Calibri" w:cs="Calibri"/>
        </w:rPr>
        <w:t>.</w:t>
      </w:r>
    </w:p>
    <w:p w14:paraId="37B89F82" w14:textId="77777777" w:rsidR="00462F78" w:rsidRPr="003D1C56" w:rsidRDefault="00462F78" w:rsidP="0099191B">
      <w:pPr>
        <w:ind w:right="70"/>
        <w:jc w:val="both"/>
        <w:rPr>
          <w:rFonts w:ascii="Calibri" w:hAnsi="Calibri" w:cs="Calibri"/>
        </w:rPr>
      </w:pPr>
    </w:p>
    <w:p w14:paraId="40CC2135" w14:textId="77777777" w:rsidR="00462F78" w:rsidRPr="003D1C56" w:rsidRDefault="00CD2800" w:rsidP="0099191B">
      <w:pPr>
        <w:ind w:right="70"/>
        <w:jc w:val="both"/>
        <w:rPr>
          <w:rFonts w:ascii="Calibri" w:hAnsi="Calibri" w:cs="Calibri"/>
        </w:rPr>
      </w:pPr>
      <w:r w:rsidRPr="003D1C56">
        <w:rPr>
          <w:rFonts w:ascii="Calibri" w:hAnsi="Calibri" w:cs="Calibri"/>
          <w:b/>
          <w:bCs/>
          <w:i/>
          <w:iCs/>
        </w:rPr>
        <w:t>K o l e g i u m</w:t>
      </w:r>
      <w:r w:rsidRPr="003D1C56">
        <w:rPr>
          <w:rFonts w:ascii="Calibri" w:hAnsi="Calibri" w:cs="Calibri"/>
        </w:rPr>
        <w:t xml:space="preserve">   </w:t>
      </w:r>
      <w:r w:rsidRPr="003D1C56">
        <w:rPr>
          <w:rFonts w:ascii="Calibri" w:hAnsi="Calibri" w:cs="Calibri"/>
          <w:b/>
          <w:bCs/>
          <w:i/>
          <w:iCs/>
        </w:rPr>
        <w:t xml:space="preserve">N K Ú  </w:t>
      </w:r>
      <w:r w:rsidRPr="003D1C56">
        <w:rPr>
          <w:rFonts w:ascii="Calibri" w:hAnsi="Calibri" w:cs="Calibri"/>
          <w:b/>
          <w:bCs/>
          <w:iCs/>
        </w:rPr>
        <w:t xml:space="preserve"> </w:t>
      </w:r>
      <w:r w:rsidR="00293B21" w:rsidRPr="003D1C56">
        <w:rPr>
          <w:rFonts w:ascii="Calibri" w:hAnsi="Calibri" w:cs="Calibri"/>
        </w:rPr>
        <w:t xml:space="preserve">na svém </w:t>
      </w:r>
      <w:r w:rsidR="00E47DE0">
        <w:rPr>
          <w:rFonts w:ascii="Calibri" w:hAnsi="Calibri" w:cs="Calibri"/>
        </w:rPr>
        <w:t>XII.</w:t>
      </w:r>
      <w:r w:rsidR="001E42CE">
        <w:rPr>
          <w:rFonts w:ascii="Calibri" w:hAnsi="Calibri" w:cs="Calibri"/>
        </w:rPr>
        <w:t xml:space="preserve"> </w:t>
      </w:r>
      <w:r w:rsidRPr="003D1C56">
        <w:rPr>
          <w:rFonts w:ascii="Calibri" w:hAnsi="Calibri" w:cs="Calibri"/>
        </w:rPr>
        <w:t xml:space="preserve">jednání, které se konalo dne </w:t>
      </w:r>
      <w:r w:rsidR="00E47DE0">
        <w:rPr>
          <w:rFonts w:ascii="Calibri" w:hAnsi="Calibri" w:cs="Calibri"/>
        </w:rPr>
        <w:t>19. srpna 2019,</w:t>
      </w:r>
    </w:p>
    <w:p w14:paraId="7222C611" w14:textId="77777777" w:rsidR="00462F78" w:rsidRPr="003D1C56" w:rsidRDefault="00CD2800" w:rsidP="0099191B">
      <w:pPr>
        <w:ind w:right="68"/>
        <w:jc w:val="both"/>
        <w:rPr>
          <w:rFonts w:ascii="Calibri" w:hAnsi="Calibri" w:cs="Calibri"/>
        </w:rPr>
      </w:pPr>
      <w:proofErr w:type="gramStart"/>
      <w:r w:rsidRPr="003D1C56">
        <w:rPr>
          <w:rFonts w:ascii="Calibri" w:hAnsi="Calibri" w:cs="Calibri"/>
          <w:b/>
          <w:bCs/>
          <w:i/>
          <w:iCs/>
        </w:rPr>
        <w:t>s c h v á l i l o</w:t>
      </w:r>
      <w:r w:rsidRPr="003D1C56">
        <w:rPr>
          <w:rFonts w:ascii="Calibri" w:hAnsi="Calibri" w:cs="Calibri"/>
        </w:rPr>
        <w:t xml:space="preserve">   usnesením č.</w:t>
      </w:r>
      <w:proofErr w:type="gramEnd"/>
      <w:r w:rsidRPr="003D1C56">
        <w:rPr>
          <w:rFonts w:ascii="Calibri" w:hAnsi="Calibri" w:cs="Calibri"/>
        </w:rPr>
        <w:t xml:space="preserve"> </w:t>
      </w:r>
      <w:r w:rsidR="001D096D">
        <w:rPr>
          <w:rFonts w:ascii="Calibri" w:hAnsi="Calibri" w:cs="Calibri"/>
        </w:rPr>
        <w:t>3</w:t>
      </w:r>
      <w:r w:rsidR="00E47DE0">
        <w:rPr>
          <w:rFonts w:ascii="Calibri" w:hAnsi="Calibri" w:cs="Calibri"/>
        </w:rPr>
        <w:t>/XII/2019</w:t>
      </w:r>
    </w:p>
    <w:p w14:paraId="3B1575E2" w14:textId="77777777" w:rsidR="00462F78" w:rsidRPr="003D1C56" w:rsidRDefault="00CD2800" w:rsidP="0099191B">
      <w:pPr>
        <w:ind w:right="70"/>
        <w:jc w:val="both"/>
        <w:rPr>
          <w:rFonts w:ascii="Calibri" w:hAnsi="Calibri" w:cs="Calibri"/>
        </w:rPr>
      </w:pPr>
      <w:r w:rsidRPr="003D1C56">
        <w:rPr>
          <w:rFonts w:ascii="Calibri" w:hAnsi="Calibri" w:cs="Calibri"/>
          <w:b/>
          <w:bCs/>
          <w:i/>
          <w:iCs/>
        </w:rPr>
        <w:t>k o n t r o l n í   z á v ě r</w:t>
      </w:r>
      <w:r w:rsidRPr="003D1C56">
        <w:rPr>
          <w:rFonts w:ascii="Calibri" w:hAnsi="Calibri" w:cs="Calibri"/>
        </w:rPr>
        <w:t xml:space="preserve">   v tomto znění:</w:t>
      </w:r>
    </w:p>
    <w:p w14:paraId="415834BF" w14:textId="77777777" w:rsidR="00AD72F1" w:rsidRPr="003D1C56" w:rsidRDefault="00CD2800" w:rsidP="008124D7">
      <w:pPr>
        <w:pStyle w:val="Nadpis1"/>
        <w:jc w:val="center"/>
      </w:pPr>
      <w:r w:rsidRPr="003D1C56">
        <w:rPr>
          <w:rFonts w:cstheme="minorHAnsi"/>
        </w:rPr>
        <w:br w:type="page"/>
      </w:r>
      <w:r w:rsidRPr="003D1C56">
        <w:lastRenderedPageBreak/>
        <w:t>Klíčová fakta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86"/>
      </w:tblGrid>
      <w:tr w:rsidR="00C76F45" w14:paraId="0B541508" w14:textId="77777777" w:rsidTr="0009337A">
        <w:tc>
          <w:tcPr>
            <w:tcW w:w="2977" w:type="dxa"/>
            <w:vAlign w:val="center"/>
          </w:tcPr>
          <w:p w14:paraId="6FEC4E76" w14:textId="77777777" w:rsidR="005F325C" w:rsidRPr="003D1C56" w:rsidRDefault="00CD2800" w:rsidP="000F1551">
            <w:pPr>
              <w:spacing w:after="0"/>
              <w:jc w:val="center"/>
              <w:rPr>
                <w:b/>
                <w:sz w:val="28"/>
              </w:rPr>
            </w:pPr>
            <w:r w:rsidRPr="003D1C56">
              <w:rPr>
                <w:b/>
                <w:sz w:val="28"/>
              </w:rPr>
              <w:t xml:space="preserve">1 305 mil. </w:t>
            </w:r>
            <w:r w:rsidR="005F09F0" w:rsidRPr="003D1C56">
              <w:rPr>
                <w:b/>
                <w:sz w:val="28"/>
              </w:rPr>
              <w:t>Kč</w:t>
            </w:r>
          </w:p>
        </w:tc>
        <w:tc>
          <w:tcPr>
            <w:tcW w:w="6086" w:type="dxa"/>
          </w:tcPr>
          <w:p w14:paraId="578B0538" w14:textId="36FAA47C" w:rsidR="005F325C" w:rsidRPr="003D1C56" w:rsidRDefault="00CD2800" w:rsidP="007F3E60">
            <w:pPr>
              <w:spacing w:before="120"/>
            </w:pPr>
            <w:r w:rsidRPr="003D1C56">
              <w:t>Prostředky vynaložené na podporu zaměstnávání mladých</w:t>
            </w:r>
            <w:r w:rsidR="003408C1">
              <w:t xml:space="preserve"> lidí</w:t>
            </w:r>
            <w:r w:rsidRPr="003D1C56">
              <w:t xml:space="preserve"> </w:t>
            </w:r>
            <w:r w:rsidR="007F3E60">
              <w:t>z</w:t>
            </w:r>
            <w:r w:rsidR="0053750F">
              <w:t> operační</w:t>
            </w:r>
            <w:r w:rsidR="007F3E60">
              <w:t>ho</w:t>
            </w:r>
            <w:r w:rsidR="0053750F">
              <w:t xml:space="preserve"> programu </w:t>
            </w:r>
            <w:r w:rsidR="0053750F" w:rsidRPr="00034209">
              <w:rPr>
                <w:i/>
              </w:rPr>
              <w:t>Zaměstnanost</w:t>
            </w:r>
            <w:r w:rsidR="007F3E60" w:rsidRPr="00034209">
              <w:rPr>
                <w:i/>
              </w:rPr>
              <w:t xml:space="preserve"> 2014–2020</w:t>
            </w:r>
            <w:r>
              <w:rPr>
                <w:rStyle w:val="Znakapoznpodarou"/>
              </w:rPr>
              <w:footnoteReference w:id="2"/>
            </w:r>
            <w:r w:rsidR="00301647" w:rsidRPr="003D1C56">
              <w:t>.</w:t>
            </w:r>
            <w:r w:rsidRPr="003D1C56">
              <w:t xml:space="preserve"> </w:t>
            </w:r>
          </w:p>
        </w:tc>
      </w:tr>
      <w:tr w:rsidR="00C76F45" w14:paraId="73ABAF55" w14:textId="77777777" w:rsidTr="0009337A">
        <w:tc>
          <w:tcPr>
            <w:tcW w:w="2977" w:type="dxa"/>
            <w:vAlign w:val="center"/>
          </w:tcPr>
          <w:p w14:paraId="33B785A9" w14:textId="77777777" w:rsidR="005F325C" w:rsidRPr="003D1C56" w:rsidRDefault="00CD2800" w:rsidP="005F09F0">
            <w:pPr>
              <w:spacing w:after="0"/>
              <w:jc w:val="center"/>
              <w:rPr>
                <w:b/>
                <w:sz w:val="28"/>
              </w:rPr>
            </w:pPr>
            <w:r w:rsidRPr="003D1C56">
              <w:rPr>
                <w:b/>
                <w:sz w:val="28"/>
              </w:rPr>
              <w:t>10 226</w:t>
            </w:r>
          </w:p>
        </w:tc>
        <w:tc>
          <w:tcPr>
            <w:tcW w:w="6086" w:type="dxa"/>
          </w:tcPr>
          <w:p w14:paraId="228F6F40" w14:textId="77777777" w:rsidR="005F325C" w:rsidRPr="003D1C56" w:rsidRDefault="00CD2800" w:rsidP="0009337A">
            <w:pPr>
              <w:spacing w:before="120"/>
            </w:pPr>
            <w:r w:rsidRPr="003D1C56">
              <w:t>Počet mladých lidí zapojených do projektů</w:t>
            </w:r>
            <w:r>
              <w:rPr>
                <w:rStyle w:val="Znakapoznpodarou"/>
              </w:rPr>
              <w:footnoteReference w:id="3"/>
            </w:r>
            <w:r w:rsidR="00301647" w:rsidRPr="003D1C56">
              <w:t>.</w:t>
            </w:r>
            <w:r w:rsidRPr="003D1C56">
              <w:t xml:space="preserve"> </w:t>
            </w:r>
          </w:p>
        </w:tc>
      </w:tr>
      <w:tr w:rsidR="00C76F45" w14:paraId="6B1F1FC0" w14:textId="77777777" w:rsidTr="0009337A">
        <w:tc>
          <w:tcPr>
            <w:tcW w:w="2977" w:type="dxa"/>
            <w:vAlign w:val="center"/>
          </w:tcPr>
          <w:p w14:paraId="1C723BDA" w14:textId="77777777" w:rsidR="0041336E" w:rsidRPr="003D1C56" w:rsidRDefault="00CD2800" w:rsidP="0083641C">
            <w:pPr>
              <w:spacing w:after="0"/>
              <w:jc w:val="center"/>
              <w:rPr>
                <w:b/>
                <w:sz w:val="28"/>
              </w:rPr>
            </w:pPr>
            <w:r w:rsidRPr="003D1C56">
              <w:rPr>
                <w:b/>
                <w:sz w:val="28"/>
              </w:rPr>
              <w:t>12</w:t>
            </w:r>
            <w:r w:rsidR="0083641C">
              <w:rPr>
                <w:b/>
                <w:sz w:val="28"/>
              </w:rPr>
              <w:t>8</w:t>
            </w:r>
            <w:r w:rsidRPr="003D1C56">
              <w:rPr>
                <w:b/>
                <w:sz w:val="28"/>
              </w:rPr>
              <w:t xml:space="preserve"> tis. Kč</w:t>
            </w:r>
          </w:p>
        </w:tc>
        <w:tc>
          <w:tcPr>
            <w:tcW w:w="6086" w:type="dxa"/>
          </w:tcPr>
          <w:p w14:paraId="656EEA4B" w14:textId="77777777" w:rsidR="0041336E" w:rsidRPr="003D1C56" w:rsidRDefault="00CD2800" w:rsidP="00034209">
            <w:pPr>
              <w:spacing w:before="120"/>
            </w:pPr>
            <w:r w:rsidRPr="003D1C56">
              <w:t>Průměrné náklady na jednoho účastníka projektů.</w:t>
            </w:r>
          </w:p>
        </w:tc>
      </w:tr>
    </w:tbl>
    <w:p w14:paraId="24120728" w14:textId="416FF456" w:rsidR="002F10F8" w:rsidRDefault="00034209" w:rsidP="007F3089">
      <w:pPr>
        <w:jc w:val="center"/>
      </w:pPr>
      <w:r>
        <w:rPr>
          <w:noProof/>
        </w:rPr>
        <w:drawing>
          <wp:inline distT="0" distB="0" distL="0" distR="0" wp14:anchorId="7EFD5517" wp14:editId="122FC476">
            <wp:extent cx="5522976" cy="3123591"/>
            <wp:effectExtent l="0" t="0" r="1905" b="635"/>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A94D7D" w14:textId="77777777" w:rsidR="002F10F8" w:rsidRDefault="002F10F8" w:rsidP="00034209">
      <w:pPr>
        <w:ind w:left="227"/>
        <w:rPr>
          <w:sz w:val="20"/>
        </w:rPr>
      </w:pPr>
      <w:r w:rsidRPr="00D5501B">
        <w:rPr>
          <w:b/>
          <w:sz w:val="20"/>
        </w:rPr>
        <w:t>Zdroj:</w:t>
      </w:r>
      <w:r w:rsidRPr="003D1C56">
        <w:rPr>
          <w:sz w:val="20"/>
        </w:rPr>
        <w:t xml:space="preserve"> ČSÚ (data za ČR), Eurostat (data za EU)</w:t>
      </w:r>
      <w:r w:rsidR="00D5501B">
        <w:rPr>
          <w:sz w:val="20"/>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86"/>
      </w:tblGrid>
      <w:tr w:rsidR="00683D10" w14:paraId="315FE940" w14:textId="77777777" w:rsidTr="002F10F8">
        <w:tc>
          <w:tcPr>
            <w:tcW w:w="2977" w:type="dxa"/>
            <w:vAlign w:val="center"/>
          </w:tcPr>
          <w:p w14:paraId="140EAAF3" w14:textId="77777777" w:rsidR="00683D10" w:rsidRPr="003D1C56" w:rsidRDefault="00B93586" w:rsidP="00683D10">
            <w:pPr>
              <w:spacing w:after="0"/>
              <w:jc w:val="center"/>
              <w:rPr>
                <w:b/>
                <w:sz w:val="28"/>
              </w:rPr>
            </w:pPr>
            <w:r>
              <w:rPr>
                <w:b/>
                <w:sz w:val="28"/>
              </w:rPr>
              <w:t>Přínos</w:t>
            </w:r>
            <w:r w:rsidR="00683D10">
              <w:rPr>
                <w:b/>
                <w:sz w:val="28"/>
              </w:rPr>
              <w:t xml:space="preserve"> projektů</w:t>
            </w:r>
          </w:p>
        </w:tc>
        <w:tc>
          <w:tcPr>
            <w:tcW w:w="6086" w:type="dxa"/>
          </w:tcPr>
          <w:p w14:paraId="11C0ED65" w14:textId="29BFEBC2" w:rsidR="00683D10" w:rsidRPr="00F65D22" w:rsidRDefault="00683D10" w:rsidP="00034209">
            <w:pPr>
              <w:spacing w:before="120"/>
            </w:pPr>
            <w:r w:rsidRPr="00F65D22">
              <w:rPr>
                <w:rFonts w:cstheme="minorHAnsi"/>
              </w:rPr>
              <w:t>NKÚ zjistil vážné nedostatky v nastavení cílů a</w:t>
            </w:r>
            <w:r w:rsidR="007F3E60">
              <w:rPr>
                <w:rFonts w:cstheme="minorHAnsi"/>
              </w:rPr>
              <w:t> </w:t>
            </w:r>
            <w:r w:rsidRPr="00F65D22">
              <w:rPr>
                <w:rFonts w:cstheme="minorHAnsi"/>
              </w:rPr>
              <w:t xml:space="preserve">monitorovacích indikátorů, které měly vliv </w:t>
            </w:r>
            <w:r w:rsidR="00B93586" w:rsidRPr="00F65D22">
              <w:rPr>
                <w:rFonts w:cstheme="minorHAnsi"/>
              </w:rPr>
              <w:t xml:space="preserve">na </w:t>
            </w:r>
            <w:r w:rsidRPr="00F65D22">
              <w:rPr>
                <w:rFonts w:cstheme="minorHAnsi"/>
              </w:rPr>
              <w:t>vyhodnocování účelnosti a efektivity projektů.</w:t>
            </w:r>
          </w:p>
        </w:tc>
      </w:tr>
      <w:tr w:rsidR="00683D10" w14:paraId="5FCABF6B" w14:textId="77777777" w:rsidTr="002F10F8">
        <w:tc>
          <w:tcPr>
            <w:tcW w:w="2977" w:type="dxa"/>
            <w:vAlign w:val="center"/>
          </w:tcPr>
          <w:p w14:paraId="47840082" w14:textId="77777777" w:rsidR="00683D10" w:rsidRPr="003D1C56" w:rsidRDefault="00683D10" w:rsidP="00683D10">
            <w:pPr>
              <w:spacing w:after="0"/>
              <w:jc w:val="center"/>
              <w:rPr>
                <w:b/>
                <w:sz w:val="28"/>
              </w:rPr>
            </w:pPr>
            <w:r w:rsidRPr="003D1C56">
              <w:rPr>
                <w:b/>
                <w:sz w:val="28"/>
              </w:rPr>
              <w:t>83,1 %</w:t>
            </w:r>
          </w:p>
        </w:tc>
        <w:tc>
          <w:tcPr>
            <w:tcW w:w="6086" w:type="dxa"/>
          </w:tcPr>
          <w:p w14:paraId="2E146746" w14:textId="45422996" w:rsidR="00683D10" w:rsidRPr="003D1C56" w:rsidRDefault="00683D10" w:rsidP="00034209">
            <w:pPr>
              <w:spacing w:before="120"/>
            </w:pPr>
            <w:r w:rsidRPr="003D1C56">
              <w:t>Podíl mladých lidí ve věku 15</w:t>
            </w:r>
            <w:r w:rsidR="007F3E60">
              <w:t>–</w:t>
            </w:r>
            <w:r w:rsidRPr="003D1C56">
              <w:t xml:space="preserve">24 let, kteří dostali </w:t>
            </w:r>
            <w:r>
              <w:t xml:space="preserve">od ÚP </w:t>
            </w:r>
            <w:r w:rsidRPr="003D1C56">
              <w:t>kvalitní nabídku zaměstnání, dalšího vzdělávání, odborné přípravy nebo stáže, a</w:t>
            </w:r>
            <w:r w:rsidR="001F60A7">
              <w:t xml:space="preserve"> to</w:t>
            </w:r>
            <w:r w:rsidRPr="003D1C56">
              <w:t xml:space="preserve"> do čtyř měsíců poté, co se stali nezaměstnanými, ukončili formální vzdělávání nebo odešli ze systému formálního vzdělávání.</w:t>
            </w:r>
            <w:r>
              <w:rPr>
                <w:rStyle w:val="Znakapoznpodarou"/>
              </w:rPr>
              <w:footnoteReference w:id="4"/>
            </w:r>
          </w:p>
        </w:tc>
      </w:tr>
      <w:tr w:rsidR="00683D10" w14:paraId="7A74073E" w14:textId="77777777" w:rsidTr="002F10F8">
        <w:tc>
          <w:tcPr>
            <w:tcW w:w="2977" w:type="dxa"/>
            <w:vAlign w:val="center"/>
          </w:tcPr>
          <w:p w14:paraId="001E67A8" w14:textId="77777777" w:rsidR="00683D10" w:rsidRPr="003D1C56" w:rsidRDefault="00683D10" w:rsidP="00683D10">
            <w:pPr>
              <w:spacing w:after="0"/>
              <w:jc w:val="center"/>
              <w:rPr>
                <w:b/>
                <w:sz w:val="28"/>
              </w:rPr>
            </w:pPr>
            <w:r w:rsidRPr="003D1C56">
              <w:rPr>
                <w:b/>
                <w:sz w:val="28"/>
              </w:rPr>
              <w:t>19,54 %</w:t>
            </w:r>
          </w:p>
        </w:tc>
        <w:tc>
          <w:tcPr>
            <w:tcW w:w="6086" w:type="dxa"/>
          </w:tcPr>
          <w:p w14:paraId="297B4E35" w14:textId="77777777" w:rsidR="00683D10" w:rsidRPr="003D1C56" w:rsidRDefault="00683D10" w:rsidP="00683D10">
            <w:pPr>
              <w:spacing w:before="120"/>
            </w:pPr>
            <w:r w:rsidRPr="003D1C56">
              <w:t xml:space="preserve">Podíl mladých lidí, kteří </w:t>
            </w:r>
            <w:r w:rsidRPr="003408C1">
              <w:t>nabídku</w:t>
            </w:r>
            <w:r>
              <w:t xml:space="preserve"> od ÚP</w:t>
            </w:r>
            <w:r w:rsidRPr="003D1C56">
              <w:t xml:space="preserve"> přijali.</w:t>
            </w:r>
          </w:p>
        </w:tc>
      </w:tr>
      <w:tr w:rsidR="00683D10" w14:paraId="1E0ED5FF" w14:textId="77777777" w:rsidTr="002F10F8">
        <w:tc>
          <w:tcPr>
            <w:tcW w:w="2977" w:type="dxa"/>
            <w:vAlign w:val="center"/>
          </w:tcPr>
          <w:p w14:paraId="5046C265" w14:textId="77777777" w:rsidR="00683D10" w:rsidRPr="003D1C56" w:rsidRDefault="00683D10" w:rsidP="00291C07">
            <w:pPr>
              <w:spacing w:after="0"/>
              <w:jc w:val="center"/>
              <w:rPr>
                <w:b/>
                <w:sz w:val="28"/>
              </w:rPr>
            </w:pPr>
            <w:r>
              <w:rPr>
                <w:b/>
                <w:sz w:val="28"/>
              </w:rPr>
              <w:t>1</w:t>
            </w:r>
            <w:r w:rsidR="00291C07">
              <w:rPr>
                <w:b/>
                <w:sz w:val="28"/>
              </w:rPr>
              <w:t>39</w:t>
            </w:r>
            <w:r w:rsidRPr="003D1C56">
              <w:rPr>
                <w:b/>
                <w:sz w:val="28"/>
              </w:rPr>
              <w:t xml:space="preserve"> tis. Kč</w:t>
            </w:r>
          </w:p>
        </w:tc>
        <w:tc>
          <w:tcPr>
            <w:tcW w:w="6086" w:type="dxa"/>
          </w:tcPr>
          <w:p w14:paraId="459C73AF" w14:textId="0A731DD5" w:rsidR="00683D10" w:rsidRPr="003D1C56" w:rsidRDefault="00683D10" w:rsidP="007F3E60">
            <w:pPr>
              <w:spacing w:before="120"/>
            </w:pPr>
            <w:r w:rsidRPr="003D1C56">
              <w:t>Průměrná výše podpory na dotované zaměstnání</w:t>
            </w:r>
            <w:r>
              <w:t xml:space="preserve"> jednoho účastníka</w:t>
            </w:r>
            <w:r w:rsidRPr="003D1C56">
              <w:t xml:space="preserve"> </w:t>
            </w:r>
            <w:r w:rsidR="007F3E60">
              <w:t>za dobu</w:t>
            </w:r>
            <w:r w:rsidRPr="003D1C56">
              <w:t xml:space="preserve"> 12 měsíců. </w:t>
            </w:r>
          </w:p>
        </w:tc>
      </w:tr>
    </w:tbl>
    <w:p w14:paraId="3A344DD0" w14:textId="77777777" w:rsidR="00462F78" w:rsidRDefault="008124D7" w:rsidP="008124D7">
      <w:pPr>
        <w:pStyle w:val="Nadpis1"/>
      </w:pPr>
      <w:r w:rsidRPr="008124D7">
        <w:lastRenderedPageBreak/>
        <w:t>I.</w:t>
      </w:r>
      <w:r>
        <w:t xml:space="preserve"> </w:t>
      </w:r>
      <w:r w:rsidR="00CD2800" w:rsidRPr="008124D7">
        <w:t>Shrnutí</w:t>
      </w:r>
      <w:r w:rsidR="00CD2800" w:rsidRPr="003D1C56">
        <w:t xml:space="preserve"> a vyhodnocení</w:t>
      </w:r>
      <w:r w:rsidR="00421CE8" w:rsidRPr="003D1C56">
        <w:t xml:space="preserve"> </w:t>
      </w:r>
    </w:p>
    <w:p w14:paraId="0399E48E" w14:textId="10ED67AE" w:rsidR="00DF61F9" w:rsidRPr="003D1C56" w:rsidRDefault="00CD2800" w:rsidP="00DF61F9">
      <w:pPr>
        <w:jc w:val="both"/>
      </w:pPr>
      <w:r w:rsidRPr="003D1C56">
        <w:t>NKÚ provedl kontrolu</w:t>
      </w:r>
      <w:r w:rsidR="002451C5" w:rsidRPr="003D1C56">
        <w:t xml:space="preserve"> </w:t>
      </w:r>
      <w:r w:rsidR="00346B98" w:rsidRPr="003D1C56">
        <w:t xml:space="preserve">zaměřenou na poskytování a čerpání finančních prostředků určených na realizaci opatření operačního programu </w:t>
      </w:r>
      <w:r w:rsidR="00346B98" w:rsidRPr="00034209">
        <w:rPr>
          <w:i/>
        </w:rPr>
        <w:t>Zaměstnanost 2014–2020</w:t>
      </w:r>
      <w:r w:rsidR="0053750F">
        <w:t xml:space="preserve"> (dále také „OPZ“)</w:t>
      </w:r>
      <w:r w:rsidR="00346B98" w:rsidRPr="003D1C56">
        <w:t xml:space="preserve"> ke zvýšení zaměstnanosti a adaptability pracovní síly</w:t>
      </w:r>
      <w:r w:rsidR="000730B1">
        <w:t xml:space="preserve"> ve věku 15–</w:t>
      </w:r>
      <w:r w:rsidR="0065498D" w:rsidRPr="003D1C56">
        <w:t>29 let</w:t>
      </w:r>
      <w:r w:rsidR="00806135" w:rsidRPr="003D1C56">
        <w:t>.</w:t>
      </w:r>
    </w:p>
    <w:p w14:paraId="41E1D3B5" w14:textId="77777777" w:rsidR="002F10F8" w:rsidRDefault="002F10F8" w:rsidP="00DF61F9">
      <w:pPr>
        <w:jc w:val="both"/>
      </w:pPr>
      <w:r w:rsidRPr="003D1C56">
        <w:rPr>
          <w:rFonts w:cstheme="minorHAnsi"/>
          <w:lang w:eastAsia="en-US"/>
        </w:rPr>
        <w:t>Cílem kontroly bylo prověřit, zda kontrolované osoby poskytují a čerpají peněžní prostředky na realizaci vybraných opatření v souladu s právními předpisy, účelně, hospodárně a efektivně a zda vybrané projekty na podporu zaměstnanosti a adaptabi</w:t>
      </w:r>
      <w:r>
        <w:rPr>
          <w:rFonts w:cstheme="minorHAnsi"/>
          <w:lang w:eastAsia="en-US"/>
        </w:rPr>
        <w:t>lity pracovní síly přispívají k </w:t>
      </w:r>
      <w:r w:rsidRPr="003D1C56">
        <w:rPr>
          <w:rFonts w:cstheme="minorHAnsi"/>
          <w:lang w:eastAsia="en-US"/>
        </w:rPr>
        <w:t>naplnění cíle, který je pro oblast zaměstnanosti mladých li</w:t>
      </w:r>
      <w:r w:rsidR="008E12BD">
        <w:rPr>
          <w:rFonts w:cstheme="minorHAnsi"/>
          <w:lang w:eastAsia="en-US"/>
        </w:rPr>
        <w:t xml:space="preserve">dí stanoven ve strategii </w:t>
      </w:r>
      <w:r w:rsidR="008E12BD" w:rsidRPr="00034209">
        <w:rPr>
          <w:rFonts w:cstheme="minorHAnsi"/>
          <w:i/>
          <w:lang w:eastAsia="en-US"/>
        </w:rPr>
        <w:t>Evropa </w:t>
      </w:r>
      <w:r w:rsidRPr="00034209">
        <w:rPr>
          <w:rFonts w:cstheme="minorHAnsi"/>
          <w:i/>
          <w:lang w:eastAsia="en-US"/>
        </w:rPr>
        <w:t>2020</w:t>
      </w:r>
      <w:r w:rsidRPr="003D1C56">
        <w:rPr>
          <w:rFonts w:cstheme="minorHAnsi"/>
          <w:lang w:eastAsia="en-US"/>
        </w:rPr>
        <w:t>.</w:t>
      </w:r>
    </w:p>
    <w:p w14:paraId="0F83A278" w14:textId="77777777" w:rsidR="00AA19C3" w:rsidRDefault="008021E8" w:rsidP="00AA19C3">
      <w:pPr>
        <w:spacing w:before="240"/>
        <w:jc w:val="both"/>
        <w:rPr>
          <w:rFonts w:cstheme="minorHAnsi"/>
          <w:b/>
        </w:rPr>
      </w:pPr>
      <w:r>
        <w:rPr>
          <w:rFonts w:cstheme="minorHAnsi"/>
          <w:b/>
        </w:rPr>
        <w:t>Hlavní zjištěné skutečnosti:</w:t>
      </w:r>
    </w:p>
    <w:p w14:paraId="47FC95A8" w14:textId="77777777" w:rsidR="00185B8B" w:rsidRDefault="00185B8B" w:rsidP="008021E8">
      <w:pPr>
        <w:jc w:val="both"/>
        <w:rPr>
          <w:rFonts w:cstheme="minorHAnsi"/>
          <w:b/>
        </w:rPr>
      </w:pPr>
      <w:r>
        <w:rPr>
          <w:rFonts w:cstheme="minorHAnsi"/>
          <w:b/>
        </w:rPr>
        <w:t xml:space="preserve">NKÚ </w:t>
      </w:r>
      <w:r w:rsidR="008021E8" w:rsidRPr="008021E8">
        <w:rPr>
          <w:rFonts w:cstheme="minorHAnsi"/>
          <w:b/>
        </w:rPr>
        <w:t xml:space="preserve">odhalil </w:t>
      </w:r>
      <w:r w:rsidR="00AA19C3">
        <w:rPr>
          <w:rFonts w:cstheme="minorHAnsi"/>
          <w:b/>
        </w:rPr>
        <w:t>u MPSV a ÚP</w:t>
      </w:r>
      <w:r>
        <w:rPr>
          <w:rFonts w:cstheme="minorHAnsi"/>
          <w:b/>
        </w:rPr>
        <w:t xml:space="preserve"> řadu nedostatků </w:t>
      </w:r>
      <w:r w:rsidR="00AA19C3">
        <w:rPr>
          <w:rFonts w:cstheme="minorHAnsi"/>
          <w:b/>
        </w:rPr>
        <w:t>jak na systémové úrovni, tak zejména</w:t>
      </w:r>
      <w:r>
        <w:rPr>
          <w:rFonts w:cstheme="minorHAnsi"/>
          <w:b/>
        </w:rPr>
        <w:t xml:space="preserve"> </w:t>
      </w:r>
      <w:r w:rsidR="00AA19C3">
        <w:rPr>
          <w:rFonts w:cstheme="minorHAnsi"/>
          <w:b/>
        </w:rPr>
        <w:t xml:space="preserve">při </w:t>
      </w:r>
      <w:r>
        <w:rPr>
          <w:rFonts w:cstheme="minorHAnsi"/>
          <w:b/>
        </w:rPr>
        <w:t xml:space="preserve">čerpání podpory </w:t>
      </w:r>
      <w:r w:rsidR="00AA19C3">
        <w:rPr>
          <w:rFonts w:cstheme="minorHAnsi"/>
          <w:b/>
        </w:rPr>
        <w:t xml:space="preserve">zaměřené na </w:t>
      </w:r>
      <w:r>
        <w:rPr>
          <w:rFonts w:cstheme="minorHAnsi"/>
          <w:b/>
        </w:rPr>
        <w:t>zaměstnávání mladých lidí z</w:t>
      </w:r>
      <w:r w:rsidR="00AA19C3">
        <w:rPr>
          <w:rFonts w:cstheme="minorHAnsi"/>
          <w:b/>
        </w:rPr>
        <w:t> </w:t>
      </w:r>
      <w:r>
        <w:rPr>
          <w:rFonts w:cstheme="minorHAnsi"/>
          <w:b/>
        </w:rPr>
        <w:t>OPZ</w:t>
      </w:r>
      <w:r w:rsidR="00AA19C3">
        <w:rPr>
          <w:rFonts w:cstheme="minorHAnsi"/>
          <w:b/>
        </w:rPr>
        <w:t>. Nedostatky se týkaly</w:t>
      </w:r>
      <w:r>
        <w:rPr>
          <w:rFonts w:cstheme="minorHAnsi"/>
          <w:b/>
        </w:rPr>
        <w:t xml:space="preserve"> </w:t>
      </w:r>
      <w:r w:rsidR="00AA19C3">
        <w:rPr>
          <w:rFonts w:cstheme="minorHAnsi"/>
          <w:b/>
        </w:rPr>
        <w:t xml:space="preserve">především její </w:t>
      </w:r>
      <w:r>
        <w:rPr>
          <w:rFonts w:cstheme="minorHAnsi"/>
          <w:b/>
        </w:rPr>
        <w:t>účelnosti a efektivnosti.</w:t>
      </w:r>
    </w:p>
    <w:p w14:paraId="4006337C" w14:textId="2BFC2A27" w:rsidR="00237F8E" w:rsidRDefault="008021E8" w:rsidP="00237F8E">
      <w:pPr>
        <w:jc w:val="both"/>
        <w:rPr>
          <w:b/>
        </w:rPr>
      </w:pPr>
      <w:r>
        <w:rPr>
          <w:rFonts w:cstheme="minorHAnsi"/>
          <w:b/>
        </w:rPr>
        <w:t>NKÚ zjistil vážná</w:t>
      </w:r>
      <w:r w:rsidR="00237F8E">
        <w:rPr>
          <w:rFonts w:cstheme="minorHAnsi"/>
          <w:b/>
        </w:rPr>
        <w:t xml:space="preserve"> </w:t>
      </w:r>
      <w:r>
        <w:rPr>
          <w:rFonts w:cstheme="minorHAnsi"/>
          <w:b/>
        </w:rPr>
        <w:t>pochybení</w:t>
      </w:r>
      <w:r w:rsidR="00AA19C3">
        <w:rPr>
          <w:rFonts w:cstheme="minorHAnsi"/>
          <w:b/>
        </w:rPr>
        <w:t xml:space="preserve"> </w:t>
      </w:r>
      <w:r w:rsidR="00237F8E">
        <w:rPr>
          <w:rFonts w:cstheme="minorHAnsi"/>
          <w:b/>
        </w:rPr>
        <w:t>v</w:t>
      </w:r>
      <w:r w:rsidR="00F87E87">
        <w:rPr>
          <w:rFonts w:cstheme="minorHAnsi"/>
          <w:b/>
        </w:rPr>
        <w:t> </w:t>
      </w:r>
      <w:r w:rsidR="00237F8E">
        <w:rPr>
          <w:rFonts w:cstheme="minorHAnsi"/>
          <w:b/>
        </w:rPr>
        <w:t>nastavení</w:t>
      </w:r>
      <w:r w:rsidR="00F87E87">
        <w:rPr>
          <w:rFonts w:cstheme="minorHAnsi"/>
          <w:b/>
        </w:rPr>
        <w:t xml:space="preserve"> cílů projektů a </w:t>
      </w:r>
      <w:r w:rsidR="00237F8E">
        <w:rPr>
          <w:rFonts w:cstheme="minorHAnsi"/>
          <w:b/>
        </w:rPr>
        <w:t>monitorovacích indikátorů</w:t>
      </w:r>
      <w:r w:rsidR="00F87E87">
        <w:rPr>
          <w:rFonts w:cstheme="minorHAnsi"/>
          <w:b/>
        </w:rPr>
        <w:t>.</w:t>
      </w:r>
      <w:r w:rsidR="00F87E87" w:rsidRPr="003D1C56">
        <w:rPr>
          <w:rFonts w:cstheme="minorHAnsi"/>
          <w:b/>
        </w:rPr>
        <w:t xml:space="preserve"> MPSV nestanovilo pro projekty měřitelné cíle tak, aby bylo možné vyhodnotit, zda projekty OPZ splnily svůj účel</w:t>
      </w:r>
      <w:r w:rsidR="00F87E87">
        <w:rPr>
          <w:rFonts w:cstheme="minorHAnsi"/>
          <w:b/>
        </w:rPr>
        <w:t>. U</w:t>
      </w:r>
      <w:r w:rsidR="00237F8E" w:rsidRPr="003D1C56">
        <w:rPr>
          <w:b/>
        </w:rPr>
        <w:t xml:space="preserve"> žádného z kontrolovaných projektů </w:t>
      </w:r>
      <w:r w:rsidR="00F87E87">
        <w:rPr>
          <w:b/>
        </w:rPr>
        <w:t>současně</w:t>
      </w:r>
      <w:r w:rsidR="00F87E87" w:rsidRPr="003D1C56">
        <w:rPr>
          <w:b/>
        </w:rPr>
        <w:t xml:space="preserve"> </w:t>
      </w:r>
      <w:r w:rsidR="00237F8E" w:rsidRPr="003D1C56">
        <w:rPr>
          <w:b/>
        </w:rPr>
        <w:t>nelze</w:t>
      </w:r>
      <w:r w:rsidR="00F87E87">
        <w:rPr>
          <w:b/>
        </w:rPr>
        <w:t xml:space="preserve"> </w:t>
      </w:r>
      <w:r w:rsidR="00237F8E" w:rsidRPr="003D1C56">
        <w:rPr>
          <w:b/>
        </w:rPr>
        <w:t>vyhodnotit efektivnost vyna</w:t>
      </w:r>
      <w:r w:rsidR="00C159DE">
        <w:rPr>
          <w:b/>
        </w:rPr>
        <w:t>ložených</w:t>
      </w:r>
      <w:r w:rsidR="00237F8E" w:rsidRPr="003D1C56">
        <w:rPr>
          <w:b/>
        </w:rPr>
        <w:t xml:space="preserve"> prostředků. Důvodem je, že ÚP nesleduje účastní</w:t>
      </w:r>
      <w:r w:rsidR="008E12BD">
        <w:rPr>
          <w:b/>
        </w:rPr>
        <w:t>ky projektu a </w:t>
      </w:r>
      <w:r w:rsidR="00237F8E" w:rsidRPr="003D1C56">
        <w:rPr>
          <w:b/>
        </w:rPr>
        <w:t>jejich další profesní uplatnění na trhu práce po skončení projektu</w:t>
      </w:r>
      <w:r w:rsidR="00C159DE">
        <w:rPr>
          <w:b/>
        </w:rPr>
        <w:t>.</w:t>
      </w:r>
      <w:r w:rsidR="00F87E87">
        <w:rPr>
          <w:rStyle w:val="Znakapoznpodarou"/>
          <w:rFonts w:cstheme="minorHAnsi"/>
          <w:b/>
        </w:rPr>
        <w:footnoteReference w:id="5"/>
      </w:r>
      <w:r w:rsidR="00237F8E" w:rsidRPr="003D1C56">
        <w:rPr>
          <w:b/>
        </w:rPr>
        <w:t xml:space="preserve"> Statistiky, které ÚP pravidelně zpracovává, nezachycují vliv realizovaných projektů na vývoj nezaměstnanosti mladých lidí v příslušném regionu. </w:t>
      </w:r>
    </w:p>
    <w:p w14:paraId="48F1F3A3" w14:textId="6B45804C" w:rsidR="008F4A4A" w:rsidRPr="003D1C56" w:rsidRDefault="00CD2800" w:rsidP="00DF61F9">
      <w:pPr>
        <w:jc w:val="both"/>
        <w:rPr>
          <w:rFonts w:cstheme="minorHAnsi"/>
          <w:b/>
        </w:rPr>
      </w:pPr>
      <w:r w:rsidRPr="003D1C56">
        <w:rPr>
          <w:rFonts w:cstheme="minorHAnsi"/>
          <w:b/>
        </w:rPr>
        <w:t>Míra nezaměstnanosti mladých lidí v České republice od roku 2</w:t>
      </w:r>
      <w:r w:rsidR="00101030" w:rsidRPr="003D1C56">
        <w:rPr>
          <w:rFonts w:cstheme="minorHAnsi"/>
          <w:b/>
        </w:rPr>
        <w:t>0</w:t>
      </w:r>
      <w:r w:rsidR="005F4D7B" w:rsidRPr="003D1C56">
        <w:rPr>
          <w:rFonts w:cstheme="minorHAnsi"/>
          <w:b/>
        </w:rPr>
        <w:t>13</w:t>
      </w:r>
      <w:r w:rsidRPr="003D1C56">
        <w:rPr>
          <w:rFonts w:cstheme="minorHAnsi"/>
          <w:b/>
        </w:rPr>
        <w:t xml:space="preserve"> </w:t>
      </w:r>
      <w:r w:rsidR="00101030" w:rsidRPr="003D1C56">
        <w:rPr>
          <w:rFonts w:cstheme="minorHAnsi"/>
          <w:b/>
        </w:rPr>
        <w:t>do doby</w:t>
      </w:r>
      <w:r w:rsidR="00CA23BA" w:rsidRPr="003D1C56">
        <w:rPr>
          <w:rFonts w:cstheme="minorHAnsi"/>
          <w:b/>
        </w:rPr>
        <w:t xml:space="preserve"> ukončení</w:t>
      </w:r>
      <w:r w:rsidR="00101030" w:rsidRPr="003D1C56">
        <w:rPr>
          <w:rFonts w:cstheme="minorHAnsi"/>
          <w:b/>
        </w:rPr>
        <w:t xml:space="preserve"> kontroly NKÚ neus</w:t>
      </w:r>
      <w:r w:rsidRPr="003D1C56">
        <w:rPr>
          <w:rFonts w:cstheme="minorHAnsi"/>
          <w:b/>
        </w:rPr>
        <w:t>tále klesala</w:t>
      </w:r>
      <w:r w:rsidR="00101030" w:rsidRPr="003D1C56">
        <w:rPr>
          <w:rFonts w:cstheme="minorHAnsi"/>
          <w:b/>
        </w:rPr>
        <w:t xml:space="preserve"> až</w:t>
      </w:r>
      <w:r w:rsidR="00C64BEF" w:rsidRPr="003D1C56">
        <w:rPr>
          <w:rFonts w:cstheme="minorHAnsi"/>
          <w:b/>
        </w:rPr>
        <w:t xml:space="preserve"> </w:t>
      </w:r>
      <w:r w:rsidR="00AB4A68">
        <w:rPr>
          <w:rFonts w:cstheme="minorHAnsi"/>
          <w:b/>
        </w:rPr>
        <w:t xml:space="preserve">na </w:t>
      </w:r>
      <w:r w:rsidR="00C64BEF" w:rsidRPr="003D1C56">
        <w:rPr>
          <w:rFonts w:cstheme="minorHAnsi"/>
          <w:b/>
        </w:rPr>
        <w:t>6,7</w:t>
      </w:r>
      <w:r w:rsidR="005F4D7B" w:rsidRPr="003D1C56">
        <w:rPr>
          <w:rFonts w:cstheme="minorHAnsi"/>
          <w:b/>
        </w:rPr>
        <w:t> </w:t>
      </w:r>
      <w:r w:rsidR="00101030" w:rsidRPr="003D1C56">
        <w:rPr>
          <w:rFonts w:cstheme="minorHAnsi"/>
          <w:b/>
        </w:rPr>
        <w:t>%</w:t>
      </w:r>
      <w:r w:rsidR="00FB5CDE">
        <w:rPr>
          <w:rFonts w:cstheme="minorHAnsi"/>
          <w:b/>
        </w:rPr>
        <w:t xml:space="preserve"> v roce 2018</w:t>
      </w:r>
      <w:r w:rsidR="00101030" w:rsidRPr="003D1C56">
        <w:rPr>
          <w:rFonts w:cstheme="minorHAnsi"/>
          <w:b/>
        </w:rPr>
        <w:t>. Ve srovnání s průměrem EU</w:t>
      </w:r>
      <w:r w:rsidR="00AB4A68">
        <w:rPr>
          <w:rFonts w:cstheme="minorHAnsi"/>
          <w:b/>
        </w:rPr>
        <w:t xml:space="preserve"> (aktuálně</w:t>
      </w:r>
      <w:r w:rsidR="00101030" w:rsidRPr="003D1C56">
        <w:rPr>
          <w:rFonts w:cstheme="minorHAnsi"/>
          <w:b/>
        </w:rPr>
        <w:t xml:space="preserve"> ve výši </w:t>
      </w:r>
      <w:r w:rsidR="005F4D7B" w:rsidRPr="003D1C56">
        <w:rPr>
          <w:rFonts w:cstheme="minorHAnsi"/>
          <w:b/>
        </w:rPr>
        <w:t>okolo 15 </w:t>
      </w:r>
      <w:r w:rsidR="00101030" w:rsidRPr="003D1C56">
        <w:rPr>
          <w:rFonts w:cstheme="minorHAnsi"/>
          <w:b/>
        </w:rPr>
        <w:t>%</w:t>
      </w:r>
      <w:r w:rsidR="00AB4A68">
        <w:rPr>
          <w:rFonts w:cstheme="minorHAnsi"/>
          <w:b/>
        </w:rPr>
        <w:t>)</w:t>
      </w:r>
      <w:r w:rsidR="00101030" w:rsidRPr="003D1C56">
        <w:rPr>
          <w:rFonts w:cstheme="minorHAnsi"/>
          <w:b/>
        </w:rPr>
        <w:t xml:space="preserve"> se </w:t>
      </w:r>
      <w:r w:rsidRPr="003D1C56">
        <w:rPr>
          <w:rFonts w:cstheme="minorHAnsi"/>
          <w:b/>
        </w:rPr>
        <w:t>dlouhodobě poh</w:t>
      </w:r>
      <w:r w:rsidR="0065498D" w:rsidRPr="003D1C56">
        <w:rPr>
          <w:rFonts w:cstheme="minorHAnsi"/>
          <w:b/>
        </w:rPr>
        <w:t xml:space="preserve">ybuje na velmi nízké úrovni. </w:t>
      </w:r>
      <w:r w:rsidR="008C189F" w:rsidRPr="003D1C56">
        <w:rPr>
          <w:rFonts w:cstheme="minorHAnsi"/>
          <w:b/>
        </w:rPr>
        <w:t>Přes tuto příznivou situaci</w:t>
      </w:r>
      <w:r w:rsidRPr="003D1C56">
        <w:rPr>
          <w:rFonts w:cstheme="minorHAnsi"/>
          <w:b/>
        </w:rPr>
        <w:t xml:space="preserve"> MPSV pokračovalo v poskytování podpory ve stejném rozsahu jako v době zahájení operačního programu, tedy v době doznív</w:t>
      </w:r>
      <w:r w:rsidR="000730B1">
        <w:rPr>
          <w:rFonts w:cstheme="minorHAnsi"/>
          <w:b/>
        </w:rPr>
        <w:t>ající ekonomické krize let 2008–</w:t>
      </w:r>
      <w:r w:rsidRPr="003D1C56">
        <w:rPr>
          <w:rFonts w:cstheme="minorHAnsi"/>
          <w:b/>
        </w:rPr>
        <w:t xml:space="preserve">2013. </w:t>
      </w:r>
    </w:p>
    <w:p w14:paraId="051C9B05" w14:textId="77777777" w:rsidR="008F4A4A" w:rsidRPr="003D1C56" w:rsidRDefault="00AB4A68" w:rsidP="00DF61F9">
      <w:pPr>
        <w:jc w:val="both"/>
        <w:rPr>
          <w:rFonts w:cstheme="minorHAnsi"/>
          <w:b/>
        </w:rPr>
      </w:pPr>
      <w:r>
        <w:rPr>
          <w:b/>
        </w:rPr>
        <w:t>V</w:t>
      </w:r>
      <w:r w:rsidR="00CD2800" w:rsidRPr="003D1C56">
        <w:rPr>
          <w:b/>
        </w:rPr>
        <w:t xml:space="preserve"> roce 2017 MPSV</w:t>
      </w:r>
      <w:r w:rsidRPr="00AB4A68">
        <w:rPr>
          <w:b/>
        </w:rPr>
        <w:t xml:space="preserve"> </w:t>
      </w:r>
      <w:r>
        <w:rPr>
          <w:b/>
        </w:rPr>
        <w:t>d</w:t>
      </w:r>
      <w:r w:rsidRPr="003D1C56">
        <w:rPr>
          <w:b/>
        </w:rPr>
        <w:t>okonce</w:t>
      </w:r>
      <w:r w:rsidR="00CD2800" w:rsidRPr="003D1C56">
        <w:rPr>
          <w:b/>
        </w:rPr>
        <w:t xml:space="preserve"> rozhodlo o navýšení po</w:t>
      </w:r>
      <w:r w:rsidR="000730B1">
        <w:rPr>
          <w:b/>
        </w:rPr>
        <w:t>dpory pro mladé lidi ve věku 15–29 let o </w:t>
      </w:r>
      <w:r w:rsidR="00CD2800" w:rsidRPr="003D1C56">
        <w:rPr>
          <w:b/>
        </w:rPr>
        <w:t>339 mil. Kč, aniž by podporu koncentrovalo na skupinu mladých</w:t>
      </w:r>
      <w:r>
        <w:rPr>
          <w:b/>
        </w:rPr>
        <w:t xml:space="preserve"> lidí</w:t>
      </w:r>
      <w:r w:rsidR="00CD2800" w:rsidRPr="003D1C56">
        <w:rPr>
          <w:b/>
        </w:rPr>
        <w:t xml:space="preserve"> s kumulací hendikepů (jak doporuč</w:t>
      </w:r>
      <w:r>
        <w:rPr>
          <w:b/>
        </w:rPr>
        <w:t>ovaly výsledky externí evaluace</w:t>
      </w:r>
      <w:r w:rsidR="00CD2800" w:rsidRPr="003D1C56">
        <w:rPr>
          <w:b/>
        </w:rPr>
        <w:t>).</w:t>
      </w:r>
      <w:r w:rsidR="00CD2800" w:rsidRPr="003D1C56">
        <w:rPr>
          <w:rFonts w:cstheme="minorHAnsi"/>
          <w:b/>
        </w:rPr>
        <w:t xml:space="preserve"> Na </w:t>
      </w:r>
      <w:r>
        <w:rPr>
          <w:rFonts w:cstheme="minorHAnsi"/>
          <w:b/>
        </w:rPr>
        <w:t>nízkou</w:t>
      </w:r>
      <w:r w:rsidR="008C189F" w:rsidRPr="003D1C56">
        <w:rPr>
          <w:rFonts w:cstheme="minorHAnsi"/>
          <w:b/>
        </w:rPr>
        <w:t xml:space="preserve"> míru nezaměstnanosti mladých</w:t>
      </w:r>
      <w:r>
        <w:rPr>
          <w:rFonts w:cstheme="minorHAnsi"/>
          <w:b/>
        </w:rPr>
        <w:t xml:space="preserve"> lidí</w:t>
      </w:r>
      <w:r w:rsidR="00CD2800" w:rsidRPr="003D1C56">
        <w:rPr>
          <w:rFonts w:cstheme="minorHAnsi"/>
          <w:b/>
        </w:rPr>
        <w:t xml:space="preserve"> reagovalo MPSV až v roce 2019.</w:t>
      </w:r>
    </w:p>
    <w:p w14:paraId="3573CA63" w14:textId="77777777" w:rsidR="008C4072" w:rsidRPr="003D1C56" w:rsidRDefault="00CD2800" w:rsidP="008C4072">
      <w:pPr>
        <w:jc w:val="both"/>
        <w:rPr>
          <w:rFonts w:cstheme="minorHAnsi"/>
          <w:b/>
        </w:rPr>
      </w:pPr>
      <w:r w:rsidRPr="003D1C56">
        <w:rPr>
          <w:b/>
        </w:rPr>
        <w:t xml:space="preserve">MPSV není schopno objektivně vyčíslit celkový objem nákladů na program </w:t>
      </w:r>
      <w:r w:rsidRPr="00034209">
        <w:rPr>
          <w:b/>
          <w:i/>
        </w:rPr>
        <w:t>Záruky pro mládež</w:t>
      </w:r>
      <w:r w:rsidRPr="003D1C56">
        <w:rPr>
          <w:b/>
        </w:rPr>
        <w:t xml:space="preserve">, protože to </w:t>
      </w:r>
      <w:r w:rsidR="00B45EEC">
        <w:rPr>
          <w:b/>
        </w:rPr>
        <w:t xml:space="preserve">informační </w:t>
      </w:r>
      <w:r w:rsidRPr="003D1C56">
        <w:rPr>
          <w:b/>
        </w:rPr>
        <w:t>systém státní pokladny neumožňuje.</w:t>
      </w:r>
      <w:r w:rsidRPr="003D1C56">
        <w:rPr>
          <w:rFonts w:cstheme="minorHAnsi"/>
          <w:b/>
        </w:rPr>
        <w:t xml:space="preserve"> </w:t>
      </w:r>
    </w:p>
    <w:p w14:paraId="3627FAF4" w14:textId="77777777" w:rsidR="008C4072" w:rsidRPr="003D1C56" w:rsidRDefault="00CD2800" w:rsidP="008C4072">
      <w:pPr>
        <w:jc w:val="both"/>
        <w:rPr>
          <w:rFonts w:cstheme="minorHAnsi"/>
          <w:b/>
        </w:rPr>
      </w:pPr>
      <w:r w:rsidRPr="003D1C56">
        <w:rPr>
          <w:rFonts w:cstheme="minorHAnsi"/>
          <w:b/>
        </w:rPr>
        <w:t>NKÚ nezjistil v kontrolovaných projektech porušení právních předpisů</w:t>
      </w:r>
      <w:r w:rsidR="00FB5CDE">
        <w:rPr>
          <w:rFonts w:cstheme="minorHAnsi"/>
          <w:b/>
        </w:rPr>
        <w:t>.</w:t>
      </w:r>
      <w:r w:rsidRPr="003D1C56">
        <w:rPr>
          <w:rFonts w:cstheme="minorHAnsi"/>
          <w:b/>
        </w:rPr>
        <w:t xml:space="preserve"> </w:t>
      </w:r>
    </w:p>
    <w:p w14:paraId="36D324F4" w14:textId="77777777" w:rsidR="008C4072" w:rsidRPr="003D1C56" w:rsidRDefault="00CD2800" w:rsidP="00FF42BB">
      <w:pPr>
        <w:keepNext/>
        <w:jc w:val="both"/>
        <w:rPr>
          <w:b/>
        </w:rPr>
      </w:pPr>
      <w:r w:rsidRPr="003D1C56">
        <w:rPr>
          <w:b/>
        </w:rPr>
        <w:t>Další zjištěné skutečnosti:</w:t>
      </w:r>
    </w:p>
    <w:p w14:paraId="5D3D74F6" w14:textId="0A8FDCF7" w:rsidR="0072727B" w:rsidRPr="003D1C56" w:rsidRDefault="00CD2800" w:rsidP="00FE4D64">
      <w:pPr>
        <w:jc w:val="both"/>
      </w:pPr>
      <w:r w:rsidRPr="003D1C56">
        <w:t xml:space="preserve">MPSV neprovedlo u programu </w:t>
      </w:r>
      <w:r w:rsidRPr="00034209">
        <w:rPr>
          <w:i/>
        </w:rPr>
        <w:t>Záruky pro mládež</w:t>
      </w:r>
      <w:r w:rsidRPr="003D1C56">
        <w:t xml:space="preserve"> z roku 2014 </w:t>
      </w:r>
      <w:r w:rsidR="008F644C">
        <w:t>žádnou</w:t>
      </w:r>
      <w:r w:rsidRPr="003D1C56">
        <w:t xml:space="preserve"> ze zamýšlených aktualizac</w:t>
      </w:r>
      <w:r w:rsidR="00F134DC" w:rsidRPr="003D1C56">
        <w:t>í</w:t>
      </w:r>
      <w:r w:rsidRPr="003D1C56">
        <w:t xml:space="preserve">, </w:t>
      </w:r>
      <w:r w:rsidR="00B45EEC">
        <w:t>nevymezilo</w:t>
      </w:r>
      <w:r w:rsidRPr="003D1C56">
        <w:t xml:space="preserve"> odpovědnost</w:t>
      </w:r>
      <w:r w:rsidR="00FE4D64" w:rsidRPr="003D1C56">
        <w:t xml:space="preserve"> jednotlivých institucí pro programové období</w:t>
      </w:r>
      <w:r w:rsidR="009C7DD4">
        <w:t xml:space="preserve"> </w:t>
      </w:r>
      <w:r w:rsidR="00630730">
        <w:br/>
      </w:r>
      <w:r w:rsidR="00FE4D64" w:rsidRPr="003D1C56">
        <w:t>201</w:t>
      </w:r>
      <w:r w:rsidRPr="003D1C56">
        <w:t>4</w:t>
      </w:r>
      <w:r w:rsidR="00630730">
        <w:t>–</w:t>
      </w:r>
      <w:r w:rsidR="00FE4D64" w:rsidRPr="003D1C56">
        <w:t xml:space="preserve">2020 a </w:t>
      </w:r>
      <w:r w:rsidR="00B45EEC">
        <w:t>nestanovilo</w:t>
      </w:r>
      <w:r w:rsidRPr="003D1C56">
        <w:t xml:space="preserve"> finanční náklady</w:t>
      </w:r>
      <w:r w:rsidR="00FE4D64" w:rsidRPr="003D1C56">
        <w:t xml:space="preserve"> klíčových iniciativ.</w:t>
      </w:r>
      <w:r w:rsidRPr="003D1C56">
        <w:t xml:space="preserve"> </w:t>
      </w:r>
    </w:p>
    <w:p w14:paraId="19BCF6C8" w14:textId="77777777" w:rsidR="00F134DC" w:rsidRPr="003D1C56" w:rsidRDefault="00CD2800" w:rsidP="00FE4D64">
      <w:pPr>
        <w:jc w:val="both"/>
      </w:pPr>
      <w:r w:rsidRPr="003D1C56">
        <w:t xml:space="preserve">MPSV neposkytuje Evropské komisi všechny požadované údaje o tom, jak se změnila situace mladých lidí po zapojení do programu </w:t>
      </w:r>
      <w:r w:rsidRPr="00034209">
        <w:rPr>
          <w:i/>
        </w:rPr>
        <w:t>Záruky pro mládež</w:t>
      </w:r>
      <w:r w:rsidRPr="003D1C56">
        <w:t xml:space="preserve"> v delším časovém horizontu. </w:t>
      </w:r>
    </w:p>
    <w:p w14:paraId="01542257" w14:textId="77777777" w:rsidR="0036544B" w:rsidRPr="003D1C56" w:rsidRDefault="00CD2800" w:rsidP="0036544B">
      <w:pPr>
        <w:jc w:val="both"/>
        <w:rPr>
          <w:rFonts w:cstheme="minorHAnsi"/>
        </w:rPr>
      </w:pPr>
      <w:r w:rsidRPr="003D1C56">
        <w:rPr>
          <w:rFonts w:cstheme="minorHAnsi"/>
        </w:rPr>
        <w:lastRenderedPageBreak/>
        <w:t xml:space="preserve">NKÚ zjistil, že není významný rozdíl mezi péčí o klienta v projektu a </w:t>
      </w:r>
      <w:r w:rsidR="000B6A7D">
        <w:rPr>
          <w:rFonts w:cstheme="minorHAnsi"/>
        </w:rPr>
        <w:t xml:space="preserve">ve </w:t>
      </w:r>
      <w:r w:rsidRPr="003D1C56">
        <w:rPr>
          <w:rFonts w:cstheme="minorHAnsi"/>
        </w:rPr>
        <w:t>standardním režimu aktivní politiky zaměstnanosti</w:t>
      </w:r>
      <w:r w:rsidR="00EC6A1A">
        <w:rPr>
          <w:rFonts w:cstheme="minorHAnsi"/>
        </w:rPr>
        <w:t>. S</w:t>
      </w:r>
      <w:r w:rsidRPr="003D1C56">
        <w:rPr>
          <w:rFonts w:cstheme="minorHAnsi"/>
        </w:rPr>
        <w:t xml:space="preserve">oučasně není </w:t>
      </w:r>
      <w:r w:rsidRPr="003D1C56">
        <w:t>zajištěna kontinuální koordinovaná podpora společensky účelných pracovních míst, která by umožnila poskytnout pomoc i poté, co projekt skončí</w:t>
      </w:r>
      <w:r w:rsidRPr="003D1C56">
        <w:rPr>
          <w:rFonts w:cstheme="minorHAnsi"/>
        </w:rPr>
        <w:t>.</w:t>
      </w:r>
    </w:p>
    <w:p w14:paraId="13B60241" w14:textId="77777777" w:rsidR="00D547DE" w:rsidRPr="003D1C56" w:rsidRDefault="00CD2800" w:rsidP="00D547DE">
      <w:pPr>
        <w:jc w:val="both"/>
        <w:rPr>
          <w:rFonts w:cstheme="minorHAnsi"/>
        </w:rPr>
      </w:pPr>
      <w:r w:rsidRPr="003D1C56">
        <w:rPr>
          <w:rFonts w:cstheme="minorHAnsi"/>
        </w:rPr>
        <w:t xml:space="preserve">U některých klientů v kontrolovaném vzorku byla evidentní absence bariér pro jejich uplatnění na trhu práce. Tito mladí lidé si sehnali stáž, popř. zaměstnání sami. NKÚ to považuje za příklad tzv. </w:t>
      </w:r>
      <w:r w:rsidR="00480723">
        <w:rPr>
          <w:rFonts w:cstheme="minorHAnsi"/>
        </w:rPr>
        <w:t>„</w:t>
      </w:r>
      <w:r w:rsidRPr="003D1C56">
        <w:rPr>
          <w:rFonts w:cstheme="minorHAnsi"/>
        </w:rPr>
        <w:t>efektu mrtvé váhy</w:t>
      </w:r>
      <w:r w:rsidR="00480723">
        <w:rPr>
          <w:rFonts w:cstheme="minorHAnsi"/>
        </w:rPr>
        <w:t>“</w:t>
      </w:r>
      <w:r w:rsidR="00894D9C">
        <w:rPr>
          <w:rStyle w:val="Znakapoznpodarou"/>
          <w:rFonts w:cstheme="minorHAnsi"/>
        </w:rPr>
        <w:footnoteReference w:id="6"/>
      </w:r>
      <w:r w:rsidRPr="003D1C56">
        <w:rPr>
          <w:rFonts w:cstheme="minorHAnsi"/>
        </w:rPr>
        <w:t xml:space="preserve">. </w:t>
      </w:r>
    </w:p>
    <w:p w14:paraId="48813641" w14:textId="152AE391" w:rsidR="00F740E9" w:rsidRPr="003D1C56" w:rsidRDefault="00CD2800" w:rsidP="00D547DE">
      <w:pPr>
        <w:jc w:val="both"/>
        <w:rPr>
          <w:rFonts w:cstheme="minorHAnsi"/>
        </w:rPr>
      </w:pPr>
      <w:r w:rsidRPr="003D1C56">
        <w:rPr>
          <w:rFonts w:cstheme="minorHAnsi"/>
        </w:rPr>
        <w:t xml:space="preserve">V rámci projektu </w:t>
      </w:r>
      <w:r w:rsidR="00EC6A1A">
        <w:rPr>
          <w:rFonts w:cstheme="minorHAnsi"/>
        </w:rPr>
        <w:t xml:space="preserve">TRANSFER </w:t>
      </w:r>
      <w:r w:rsidR="00C159DE" w:rsidRPr="003D1C56">
        <w:rPr>
          <w:rFonts w:cstheme="minorHAnsi"/>
        </w:rPr>
        <w:t xml:space="preserve">určeného </w:t>
      </w:r>
      <w:r w:rsidRPr="003D1C56">
        <w:rPr>
          <w:rFonts w:cstheme="minorHAnsi"/>
        </w:rPr>
        <w:t xml:space="preserve">přednostně pro osoby neregistrované na </w:t>
      </w:r>
      <w:proofErr w:type="gramStart"/>
      <w:r w:rsidRPr="003D1C56">
        <w:rPr>
          <w:rFonts w:cstheme="minorHAnsi"/>
        </w:rPr>
        <w:t>ÚP</w:t>
      </w:r>
      <w:proofErr w:type="gramEnd"/>
      <w:r w:rsidRPr="003D1C56">
        <w:rPr>
          <w:rFonts w:cstheme="minorHAnsi"/>
        </w:rPr>
        <w:t xml:space="preserve"> </w:t>
      </w:r>
      <w:r w:rsidR="007D7062" w:rsidRPr="003D1C56">
        <w:rPr>
          <w:rFonts w:cstheme="minorHAnsi"/>
        </w:rPr>
        <w:t xml:space="preserve">převažovali </w:t>
      </w:r>
      <w:r w:rsidRPr="003D1C56">
        <w:rPr>
          <w:rFonts w:cstheme="minorHAnsi"/>
        </w:rPr>
        <w:t xml:space="preserve">paradoxně klienti, kteří v evidenci ÚP byli. </w:t>
      </w:r>
    </w:p>
    <w:p w14:paraId="200B3B43" w14:textId="3C8E708F" w:rsidR="00A96D3F" w:rsidRPr="003D1C56" w:rsidRDefault="00CD2800" w:rsidP="00DF61F9">
      <w:pPr>
        <w:jc w:val="both"/>
        <w:rPr>
          <w:rFonts w:cstheme="minorHAnsi"/>
        </w:rPr>
      </w:pPr>
      <w:r w:rsidRPr="003D1C56">
        <w:rPr>
          <w:rFonts w:cstheme="minorHAnsi"/>
        </w:rPr>
        <w:t>NKÚ zjistil případy, kdy byly osoby podpořen</w:t>
      </w:r>
      <w:r w:rsidR="00C159DE">
        <w:rPr>
          <w:rFonts w:cstheme="minorHAnsi"/>
        </w:rPr>
        <w:t>y</w:t>
      </w:r>
      <w:r w:rsidRPr="003D1C56">
        <w:rPr>
          <w:rFonts w:cstheme="minorHAnsi"/>
        </w:rPr>
        <w:t xml:space="preserve"> ze dvou projektů najednou. MPSV nepřijalo adekvátní opatření, aby </w:t>
      </w:r>
      <w:r w:rsidR="00C159DE">
        <w:rPr>
          <w:rFonts w:cstheme="minorHAnsi"/>
        </w:rPr>
        <w:t>těmto</w:t>
      </w:r>
      <w:r w:rsidRPr="003D1C56">
        <w:rPr>
          <w:rFonts w:cstheme="minorHAnsi"/>
        </w:rPr>
        <w:t xml:space="preserve"> nežádoucí</w:t>
      </w:r>
      <w:r w:rsidR="00C159DE">
        <w:rPr>
          <w:rFonts w:cstheme="minorHAnsi"/>
        </w:rPr>
        <w:t>m</w:t>
      </w:r>
      <w:r w:rsidRPr="003D1C56">
        <w:rPr>
          <w:rFonts w:cstheme="minorHAnsi"/>
        </w:rPr>
        <w:t xml:space="preserve"> duplicit</w:t>
      </w:r>
      <w:r w:rsidR="00C159DE">
        <w:rPr>
          <w:rFonts w:cstheme="minorHAnsi"/>
        </w:rPr>
        <w:t>ám</w:t>
      </w:r>
      <w:r w:rsidRPr="003D1C56">
        <w:rPr>
          <w:rFonts w:cstheme="minorHAnsi"/>
        </w:rPr>
        <w:t xml:space="preserve"> </w:t>
      </w:r>
      <w:r w:rsidR="00C159DE">
        <w:rPr>
          <w:rFonts w:cstheme="minorHAnsi"/>
        </w:rPr>
        <w:t>zabránilo</w:t>
      </w:r>
      <w:r w:rsidRPr="003D1C56">
        <w:rPr>
          <w:rFonts w:cstheme="minorHAnsi"/>
        </w:rPr>
        <w:t xml:space="preserve">. </w:t>
      </w:r>
    </w:p>
    <w:p w14:paraId="69ED3AD3" w14:textId="77777777" w:rsidR="00EB044B" w:rsidRDefault="00CD2800" w:rsidP="00DF61F9">
      <w:pPr>
        <w:jc w:val="both"/>
        <w:rPr>
          <w:rFonts w:cstheme="minorHAnsi"/>
        </w:rPr>
      </w:pPr>
      <w:r w:rsidRPr="003D1C56">
        <w:rPr>
          <w:rFonts w:cstheme="minorHAnsi"/>
        </w:rPr>
        <w:t>Dílčí nedostatky zjistil NKÚ v informačních systémech, zejména v informačním systému MS2014+.</w:t>
      </w:r>
    </w:p>
    <w:p w14:paraId="4CF6A76A" w14:textId="4A5CBC57" w:rsidR="002F10F8" w:rsidRPr="008124D7" w:rsidRDefault="002F10F8" w:rsidP="002F10F8">
      <w:pPr>
        <w:jc w:val="both"/>
      </w:pPr>
      <w:r w:rsidRPr="008124D7">
        <w:t xml:space="preserve">Jedním z národních cílů v rámci </w:t>
      </w:r>
      <w:r w:rsidR="00C159DE">
        <w:t>s</w:t>
      </w:r>
      <w:r w:rsidRPr="008124D7">
        <w:t xml:space="preserve">trategie </w:t>
      </w:r>
      <w:r w:rsidRPr="00034209">
        <w:rPr>
          <w:i/>
        </w:rPr>
        <w:t>Evropa 2020</w:t>
      </w:r>
      <w:r w:rsidRPr="008124D7">
        <w:t xml:space="preserve"> je </w:t>
      </w:r>
      <w:r w:rsidR="00C159DE">
        <w:t>„</w:t>
      </w:r>
      <w:r w:rsidR="00C159DE" w:rsidRPr="00034209">
        <w:rPr>
          <w:i/>
        </w:rPr>
        <w:t>s</w:t>
      </w:r>
      <w:r w:rsidRPr="008124D7">
        <w:rPr>
          <w:i/>
        </w:rPr>
        <w:t>nížení míry n</w:t>
      </w:r>
      <w:r w:rsidR="006115CD">
        <w:rPr>
          <w:i/>
        </w:rPr>
        <w:t>ezaměstnanosti mladých osob (15–</w:t>
      </w:r>
      <w:r w:rsidRPr="008124D7">
        <w:rPr>
          <w:i/>
        </w:rPr>
        <w:t>24 let) o třetinu oproti roku 2010</w:t>
      </w:r>
      <w:r w:rsidR="00C159DE">
        <w:t>“</w:t>
      </w:r>
      <w:r w:rsidRPr="008124D7">
        <w:t xml:space="preserve">. Podle údajů MPSV dosáhla Česká republika </w:t>
      </w:r>
      <w:r w:rsidR="00C159DE">
        <w:t xml:space="preserve">tohoto </w:t>
      </w:r>
      <w:r w:rsidRPr="008124D7">
        <w:t xml:space="preserve">cíle již v srpnu 2015. </w:t>
      </w:r>
    </w:p>
    <w:p w14:paraId="2D816387" w14:textId="075FED3B" w:rsidR="002F10F8" w:rsidRPr="003D1C56" w:rsidRDefault="008B228E" w:rsidP="00DF61F9">
      <w:pPr>
        <w:jc w:val="both"/>
        <w:rPr>
          <w:rFonts w:cstheme="minorHAnsi"/>
        </w:rPr>
      </w:pPr>
      <w:r w:rsidRPr="008B228E">
        <w:rPr>
          <w:rFonts w:cstheme="minorHAnsi"/>
        </w:rPr>
        <w:t>NKÚ porovnal</w:t>
      </w:r>
      <w:r>
        <w:rPr>
          <w:rFonts w:cstheme="minorHAnsi"/>
        </w:rPr>
        <w:t xml:space="preserve"> skutečné </w:t>
      </w:r>
      <w:r w:rsidRPr="008B228E">
        <w:rPr>
          <w:rFonts w:cstheme="minorHAnsi"/>
        </w:rPr>
        <w:t xml:space="preserve">náklady na práci s klientem </w:t>
      </w:r>
      <w:r>
        <w:rPr>
          <w:rFonts w:cstheme="minorHAnsi"/>
        </w:rPr>
        <w:t>zjištěn</w:t>
      </w:r>
      <w:r w:rsidR="00E80A59">
        <w:rPr>
          <w:rFonts w:cstheme="minorHAnsi"/>
        </w:rPr>
        <w:t>é v kontrolovaných projektech s </w:t>
      </w:r>
      <w:r>
        <w:rPr>
          <w:rFonts w:cstheme="minorHAnsi"/>
        </w:rPr>
        <w:t xml:space="preserve">analýzou, kterou provedla </w:t>
      </w:r>
      <w:r w:rsidR="00E83061">
        <w:rPr>
          <w:rFonts w:cstheme="minorHAnsi"/>
        </w:rPr>
        <w:t xml:space="preserve">evropská </w:t>
      </w:r>
      <w:r>
        <w:rPr>
          <w:rFonts w:cstheme="minorHAnsi"/>
        </w:rPr>
        <w:t xml:space="preserve">nadace </w:t>
      </w:r>
      <w:proofErr w:type="spellStart"/>
      <w:r>
        <w:rPr>
          <w:rFonts w:cstheme="minorHAnsi"/>
        </w:rPr>
        <w:t>Eurofound</w:t>
      </w:r>
      <w:proofErr w:type="spellEnd"/>
      <w:r w:rsidRPr="008B228E">
        <w:rPr>
          <w:rFonts w:cstheme="minorHAnsi"/>
        </w:rPr>
        <w:t>.</w:t>
      </w:r>
    </w:p>
    <w:p w14:paraId="57D3F999" w14:textId="77777777" w:rsidR="00797B9D" w:rsidRPr="003D1C56" w:rsidRDefault="00CD2800" w:rsidP="00DF61F9">
      <w:pPr>
        <w:ind w:left="624" w:hanging="624"/>
        <w:jc w:val="both"/>
        <w:rPr>
          <w:b/>
          <w:kern w:val="36"/>
          <w:sz w:val="28"/>
          <w:szCs w:val="20"/>
        </w:rPr>
      </w:pPr>
      <w:r w:rsidRPr="003D1C56">
        <w:rPr>
          <w:rFonts w:cstheme="minorHAnsi"/>
          <w:b/>
          <w:sz w:val="20"/>
          <w:szCs w:val="20"/>
        </w:rPr>
        <w:t>Po</w:t>
      </w:r>
      <w:r w:rsidR="00462F78" w:rsidRPr="003D1C56">
        <w:rPr>
          <w:rFonts w:cstheme="minorHAnsi"/>
          <w:b/>
          <w:sz w:val="20"/>
          <w:szCs w:val="20"/>
        </w:rPr>
        <w:t>zn.:</w:t>
      </w:r>
      <w:r w:rsidR="00462F78" w:rsidRPr="003D1C56">
        <w:rPr>
          <w:rFonts w:cstheme="minorHAnsi"/>
          <w:sz w:val="20"/>
          <w:szCs w:val="20"/>
        </w:rPr>
        <w:tab/>
        <w:t>Právní předpisy uvedené v tomto kontrolním závěru jsou aplikovány ve znění účinném pro kontrolované období.</w:t>
      </w:r>
    </w:p>
    <w:p w14:paraId="7A1B4E53" w14:textId="77777777" w:rsidR="004E31D6" w:rsidRPr="008124D7" w:rsidRDefault="00CD2800" w:rsidP="008124D7">
      <w:pPr>
        <w:pStyle w:val="Nadpis1"/>
      </w:pPr>
      <w:r w:rsidRPr="008124D7">
        <w:t xml:space="preserve">II. </w:t>
      </w:r>
      <w:r w:rsidR="00D932E3" w:rsidRPr="008124D7">
        <w:t>Informace o kontrolované oblasti</w:t>
      </w:r>
    </w:p>
    <w:p w14:paraId="0498CE00" w14:textId="6FEE6BE8" w:rsidR="007E09E2" w:rsidRPr="003D1C56" w:rsidRDefault="00CD2800" w:rsidP="007E09E2">
      <w:pPr>
        <w:jc w:val="both"/>
      </w:pPr>
      <w:r w:rsidRPr="003D1C56">
        <w:t xml:space="preserve">Operační program </w:t>
      </w:r>
      <w:r w:rsidRPr="001A69FF">
        <w:rPr>
          <w:i/>
        </w:rPr>
        <w:t>Zaměstnanost</w:t>
      </w:r>
      <w:r w:rsidR="007E7084" w:rsidRPr="001A69FF">
        <w:rPr>
          <w:i/>
        </w:rPr>
        <w:t xml:space="preserve"> 2014–2020</w:t>
      </w:r>
      <w:r w:rsidRPr="003D1C56">
        <w:t xml:space="preserve"> je operačním pro</w:t>
      </w:r>
      <w:r w:rsidR="00E80A59">
        <w:t>gramem programového období 2014–</w:t>
      </w:r>
      <w:r w:rsidRPr="003D1C56">
        <w:t>2020 zacíleným na zlepšení lidského kapitálu obyvatel a veřejné správy v České republice (dále také „ČR“). OPZ se skládá z pěti prioritních os (dále také „PO“).</w:t>
      </w:r>
    </w:p>
    <w:p w14:paraId="7523959C" w14:textId="052D1DF5" w:rsidR="007E09E2" w:rsidRPr="003D1C56" w:rsidRDefault="00CD2800" w:rsidP="007E09E2">
      <w:pPr>
        <w:jc w:val="both"/>
      </w:pPr>
      <w:proofErr w:type="gramStart"/>
      <w:r w:rsidRPr="003D1C56">
        <w:t>Kontrola</w:t>
      </w:r>
      <w:proofErr w:type="gramEnd"/>
      <w:r w:rsidRPr="003D1C56">
        <w:t xml:space="preserve"> NKÚ se týkala PO 1 </w:t>
      </w:r>
      <w:proofErr w:type="gramStart"/>
      <w:r w:rsidRPr="003D1C56">
        <w:rPr>
          <w:i/>
        </w:rPr>
        <w:t>Podpora</w:t>
      </w:r>
      <w:proofErr w:type="gramEnd"/>
      <w:r w:rsidRPr="003D1C56">
        <w:rPr>
          <w:i/>
        </w:rPr>
        <w:t xml:space="preserve"> zaměstnanosti a adaptability pracovní síly</w:t>
      </w:r>
      <w:r w:rsidRPr="003D1C56">
        <w:t xml:space="preserve"> a v jejím rámci těch opatření, která směřují na podporu zaměstnanosti mladých</w:t>
      </w:r>
      <w:r w:rsidR="0053750F">
        <w:t xml:space="preserve"> lidí</w:t>
      </w:r>
      <w:r w:rsidRPr="003D1C56">
        <w:t>. Z</w:t>
      </w:r>
      <w:r w:rsidR="00762D1D">
        <w:t>ejména se jedn</w:t>
      </w:r>
      <w:r w:rsidR="007E7084">
        <w:t>alo</w:t>
      </w:r>
      <w:r w:rsidR="00762D1D">
        <w:t xml:space="preserve"> o </w:t>
      </w:r>
      <w:r w:rsidRPr="003D1C56">
        <w:t>investiční priority a specifické cíle OPZ zvýrazněné v</w:t>
      </w:r>
      <w:r w:rsidR="007E7084">
        <w:t xml:space="preserve"> následující </w:t>
      </w:r>
      <w:r w:rsidRPr="003D1C56">
        <w:t>tabulce</w:t>
      </w:r>
      <w:r w:rsidR="007E7084">
        <w:t>.</w:t>
      </w:r>
    </w:p>
    <w:p w14:paraId="712F8A0A" w14:textId="3BB07DBA" w:rsidR="007E09E2" w:rsidRPr="003D1C56" w:rsidRDefault="00CD2800" w:rsidP="00F65D22">
      <w:pPr>
        <w:keepNext/>
        <w:keepLines/>
        <w:spacing w:before="240" w:after="0"/>
        <w:rPr>
          <w:iCs/>
        </w:rPr>
      </w:pPr>
      <w:r w:rsidRPr="003D1C56">
        <w:rPr>
          <w:iCs/>
        </w:rPr>
        <w:lastRenderedPageBreak/>
        <w:t xml:space="preserve">Tabulka č. </w:t>
      </w:r>
      <w:r w:rsidRPr="003D1C56">
        <w:rPr>
          <w:iCs/>
        </w:rPr>
        <w:fldChar w:fldCharType="begin"/>
      </w:r>
      <w:r w:rsidRPr="003D1C56">
        <w:rPr>
          <w:iCs/>
        </w:rPr>
        <w:instrText xml:space="preserve"> SEQ Tabulka_č. \* ARABIC </w:instrText>
      </w:r>
      <w:r w:rsidRPr="003D1C56">
        <w:rPr>
          <w:iCs/>
        </w:rPr>
        <w:fldChar w:fldCharType="separate"/>
      </w:r>
      <w:r w:rsidR="00996C4C">
        <w:rPr>
          <w:iCs/>
          <w:noProof/>
        </w:rPr>
        <w:t>1</w:t>
      </w:r>
      <w:r w:rsidRPr="003D1C56">
        <w:rPr>
          <w:iCs/>
        </w:rPr>
        <w:fldChar w:fldCharType="end"/>
      </w:r>
      <w:r w:rsidRPr="003D1C56">
        <w:rPr>
          <w:iCs/>
        </w:rPr>
        <w:t>: Přehled opatření PO 1 OPZ zaměřených pouze na mladé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585"/>
      </w:tblGrid>
      <w:tr w:rsidR="00C76F45" w14:paraId="1CB2CAF3" w14:textId="77777777" w:rsidTr="00951354">
        <w:tc>
          <w:tcPr>
            <w:tcW w:w="4497" w:type="dxa"/>
            <w:shd w:val="clear" w:color="auto" w:fill="E5F1FF"/>
            <w:vAlign w:val="center"/>
          </w:tcPr>
          <w:p w14:paraId="47CF91F3" w14:textId="77777777" w:rsidR="007E09E2" w:rsidRPr="003D1C56" w:rsidRDefault="00CD2800" w:rsidP="00F65D22">
            <w:pPr>
              <w:keepNext/>
              <w:keepLines/>
              <w:spacing w:after="0"/>
              <w:jc w:val="center"/>
              <w:rPr>
                <w:b/>
                <w:sz w:val="20"/>
                <w:szCs w:val="20"/>
              </w:rPr>
            </w:pPr>
            <w:r w:rsidRPr="003D1C56">
              <w:rPr>
                <w:b/>
                <w:sz w:val="20"/>
                <w:szCs w:val="20"/>
              </w:rPr>
              <w:t>Investiční priorita</w:t>
            </w:r>
          </w:p>
        </w:tc>
        <w:tc>
          <w:tcPr>
            <w:tcW w:w="4605" w:type="dxa"/>
            <w:shd w:val="clear" w:color="auto" w:fill="E5F1FF"/>
            <w:vAlign w:val="center"/>
          </w:tcPr>
          <w:p w14:paraId="011EFBE9" w14:textId="77777777" w:rsidR="007E09E2" w:rsidRPr="003D1C56" w:rsidRDefault="00CD2800" w:rsidP="00F65D22">
            <w:pPr>
              <w:keepNext/>
              <w:keepLines/>
              <w:spacing w:after="0"/>
              <w:jc w:val="center"/>
              <w:rPr>
                <w:b/>
                <w:sz w:val="20"/>
                <w:szCs w:val="20"/>
              </w:rPr>
            </w:pPr>
            <w:r w:rsidRPr="003D1C56">
              <w:rPr>
                <w:b/>
                <w:sz w:val="20"/>
                <w:szCs w:val="20"/>
              </w:rPr>
              <w:t>Specifický cíl</w:t>
            </w:r>
          </w:p>
        </w:tc>
      </w:tr>
      <w:tr w:rsidR="00C76F45" w14:paraId="79355685" w14:textId="77777777" w:rsidTr="007E09E2">
        <w:tc>
          <w:tcPr>
            <w:tcW w:w="4497" w:type="dxa"/>
          </w:tcPr>
          <w:p w14:paraId="122093B0" w14:textId="77777777" w:rsidR="007E09E2" w:rsidRPr="003D1C56" w:rsidRDefault="00CD2800" w:rsidP="00F65D22">
            <w:pPr>
              <w:keepNext/>
              <w:keepLines/>
              <w:rPr>
                <w:b/>
                <w:sz w:val="20"/>
                <w:szCs w:val="20"/>
              </w:rPr>
            </w:pPr>
            <w:r w:rsidRPr="003D1C56">
              <w:rPr>
                <w:b/>
                <w:sz w:val="20"/>
                <w:szCs w:val="20"/>
              </w:rPr>
              <w:t>8i Přístup k zaměstnání pro osoby hledající zaměstnání a neaktivní osoby, včetně dlouhodobě nezaměstnaných a osob vzdálených trhu práce, také prostřednictvím místních iniciativ na podporu zaměstnanosti a mobility pracovníků</w:t>
            </w:r>
          </w:p>
        </w:tc>
        <w:tc>
          <w:tcPr>
            <w:tcW w:w="4605" w:type="dxa"/>
          </w:tcPr>
          <w:p w14:paraId="06CE89E4" w14:textId="2BEA8BE9" w:rsidR="007E09E2" w:rsidRPr="003D1C56" w:rsidRDefault="00CD2800" w:rsidP="00F65D22">
            <w:pPr>
              <w:keepNext/>
              <w:keepLines/>
              <w:rPr>
                <w:sz w:val="20"/>
                <w:szCs w:val="20"/>
              </w:rPr>
            </w:pPr>
            <w:r w:rsidRPr="003D1C56">
              <w:rPr>
                <w:sz w:val="20"/>
                <w:szCs w:val="20"/>
              </w:rPr>
              <w:t xml:space="preserve">1.1.1 Zvýšit zaměstnanost podpořených osob, zejména starších, </w:t>
            </w:r>
            <w:proofErr w:type="spellStart"/>
            <w:r w:rsidRPr="003D1C56">
              <w:rPr>
                <w:sz w:val="20"/>
                <w:szCs w:val="20"/>
              </w:rPr>
              <w:t>nízkokvalifikovaných</w:t>
            </w:r>
            <w:proofErr w:type="spellEnd"/>
            <w:r w:rsidRPr="003D1C56">
              <w:rPr>
                <w:sz w:val="20"/>
                <w:szCs w:val="20"/>
              </w:rPr>
              <w:t xml:space="preserve"> a</w:t>
            </w:r>
            <w:r w:rsidR="001E42CE">
              <w:rPr>
                <w:sz w:val="20"/>
                <w:szCs w:val="20"/>
              </w:rPr>
              <w:t> </w:t>
            </w:r>
            <w:r w:rsidRPr="003D1C56">
              <w:rPr>
                <w:sz w:val="20"/>
                <w:szCs w:val="20"/>
              </w:rPr>
              <w:t>znevýhodněných</w:t>
            </w:r>
          </w:p>
          <w:p w14:paraId="3C8C9B79" w14:textId="77777777" w:rsidR="007E09E2" w:rsidRPr="003D1C56" w:rsidRDefault="00CD2800" w:rsidP="00F65D22">
            <w:pPr>
              <w:keepNext/>
              <w:keepLines/>
              <w:rPr>
                <w:b/>
                <w:sz w:val="20"/>
                <w:szCs w:val="20"/>
              </w:rPr>
            </w:pPr>
            <w:r w:rsidRPr="003D1C56">
              <w:rPr>
                <w:b/>
                <w:sz w:val="20"/>
                <w:szCs w:val="20"/>
              </w:rPr>
              <w:t>1.</w:t>
            </w:r>
            <w:r w:rsidR="009F6860">
              <w:rPr>
                <w:b/>
                <w:sz w:val="20"/>
                <w:szCs w:val="20"/>
              </w:rPr>
              <w:t>1</w:t>
            </w:r>
            <w:r w:rsidRPr="003D1C56">
              <w:rPr>
                <w:b/>
                <w:sz w:val="20"/>
                <w:szCs w:val="20"/>
              </w:rPr>
              <w:t>.2 Zvýšit zaměstnanost podpořených mladých osob prostřednictvím programu Záruky pro mládež</w:t>
            </w:r>
          </w:p>
        </w:tc>
      </w:tr>
      <w:tr w:rsidR="00C76F45" w14:paraId="19CEE460" w14:textId="77777777" w:rsidTr="007E09E2">
        <w:tc>
          <w:tcPr>
            <w:tcW w:w="4497" w:type="dxa"/>
          </w:tcPr>
          <w:p w14:paraId="0E452182" w14:textId="51A664C2" w:rsidR="007E09E2" w:rsidRPr="003D1C56" w:rsidRDefault="00CD2800" w:rsidP="007E7084">
            <w:pPr>
              <w:keepNext/>
              <w:keepLines/>
              <w:rPr>
                <w:b/>
                <w:sz w:val="20"/>
                <w:szCs w:val="20"/>
              </w:rPr>
            </w:pPr>
            <w:r w:rsidRPr="003D1C56">
              <w:rPr>
                <w:b/>
                <w:sz w:val="20"/>
                <w:szCs w:val="20"/>
              </w:rPr>
              <w:t>8ii Trvalé začlenění mladých lidí na trh práce, mimo jiné pomocí „záruky pro mladé lidi“, a to zejména těch, kteří nejsou ve vzdělávání, v zaměstnání nebo v profesní přípravě, včetně těch mladých lidí, kterým hrozí sociální vyloučení, a mladých lidí z </w:t>
            </w:r>
            <w:proofErr w:type="spellStart"/>
            <w:r w:rsidRPr="003D1C56">
              <w:rPr>
                <w:b/>
                <w:sz w:val="20"/>
                <w:szCs w:val="20"/>
              </w:rPr>
              <w:t>marginalizovaných</w:t>
            </w:r>
            <w:proofErr w:type="spellEnd"/>
            <w:r w:rsidRPr="003D1C56">
              <w:rPr>
                <w:b/>
                <w:sz w:val="20"/>
                <w:szCs w:val="20"/>
              </w:rPr>
              <w:t xml:space="preserve"> komunit </w:t>
            </w:r>
          </w:p>
        </w:tc>
        <w:tc>
          <w:tcPr>
            <w:tcW w:w="4605" w:type="dxa"/>
          </w:tcPr>
          <w:p w14:paraId="0D232F01" w14:textId="5F12D070" w:rsidR="007E09E2" w:rsidRPr="003D1C56" w:rsidRDefault="00CD2800" w:rsidP="00F65D22">
            <w:pPr>
              <w:keepNext/>
              <w:keepLines/>
              <w:rPr>
                <w:b/>
                <w:sz w:val="20"/>
                <w:szCs w:val="20"/>
              </w:rPr>
            </w:pPr>
            <w:r w:rsidRPr="003D1C56">
              <w:rPr>
                <w:b/>
                <w:sz w:val="20"/>
                <w:szCs w:val="20"/>
              </w:rPr>
              <w:t>1.5.1 Zvýšit zaměstnanost podpořených mladých lidí, kteří nejsou v zaměstnání, ve vzdělávání nebo v profesní přípravě v regionu NUTS II Severozápad</w:t>
            </w:r>
          </w:p>
        </w:tc>
      </w:tr>
    </w:tbl>
    <w:p w14:paraId="311BF464" w14:textId="5969F46C" w:rsidR="007E09E2" w:rsidRPr="003D1C56" w:rsidRDefault="00CD2800" w:rsidP="007E09E2">
      <w:pPr>
        <w:rPr>
          <w:sz w:val="20"/>
        </w:rPr>
      </w:pPr>
      <w:r w:rsidRPr="002A4E19">
        <w:rPr>
          <w:b/>
          <w:sz w:val="20"/>
        </w:rPr>
        <w:t>Zdroj:</w:t>
      </w:r>
      <w:r w:rsidR="002A4E19">
        <w:rPr>
          <w:sz w:val="20"/>
        </w:rPr>
        <w:t xml:space="preserve"> </w:t>
      </w:r>
      <w:r w:rsidR="007E7084">
        <w:rPr>
          <w:sz w:val="20"/>
        </w:rPr>
        <w:t>programový dokument</w:t>
      </w:r>
      <w:r w:rsidR="002A4E19">
        <w:rPr>
          <w:sz w:val="20"/>
        </w:rPr>
        <w:t xml:space="preserve"> OPZ.</w:t>
      </w:r>
    </w:p>
    <w:p w14:paraId="187B7F0A" w14:textId="6F8D917B" w:rsidR="007E09E2" w:rsidRPr="003D1C56" w:rsidRDefault="00CD2800" w:rsidP="001D3B37">
      <w:pPr>
        <w:jc w:val="both"/>
      </w:pPr>
      <w:r w:rsidRPr="003D1C56">
        <w:t xml:space="preserve">Tato opatření OPZ by měla přispívat k naplňování strategie </w:t>
      </w:r>
      <w:r w:rsidRPr="001A69FF">
        <w:rPr>
          <w:i/>
        </w:rPr>
        <w:t>Evropa 2020</w:t>
      </w:r>
      <w:r>
        <w:rPr>
          <w:vertAlign w:val="superscript"/>
        </w:rPr>
        <w:footnoteReference w:id="7"/>
      </w:r>
      <w:r w:rsidRPr="003D1C56">
        <w:t xml:space="preserve"> a </w:t>
      </w:r>
      <w:r w:rsidR="00A52B7A">
        <w:t>d</w:t>
      </w:r>
      <w:r w:rsidRPr="003D1C56">
        <w:t>oporučení Rady o</w:t>
      </w:r>
      <w:r w:rsidR="00A52B7A">
        <w:t> </w:t>
      </w:r>
      <w:r w:rsidRPr="003D1C56">
        <w:t>zavedení záruk pro mladé lidi</w:t>
      </w:r>
      <w:r>
        <w:rPr>
          <w:vertAlign w:val="superscript"/>
        </w:rPr>
        <w:footnoteReference w:id="8"/>
      </w:r>
      <w:r w:rsidRPr="003D1C56">
        <w:t>.</w:t>
      </w:r>
    </w:p>
    <w:p w14:paraId="54C56CE3" w14:textId="0A3BEB6F" w:rsidR="007E09E2" w:rsidRPr="003D1C56" w:rsidRDefault="00CD2800" w:rsidP="005A4EE1">
      <w:pPr>
        <w:jc w:val="both"/>
        <w:rPr>
          <w:b/>
        </w:rPr>
      </w:pPr>
      <w:r w:rsidRPr="003D1C56">
        <w:t>Jedním z</w:t>
      </w:r>
      <w:r w:rsidR="00AA5B09" w:rsidRPr="003D1C56">
        <w:t xml:space="preserve"> národních dílčích </w:t>
      </w:r>
      <w:r w:rsidRPr="003D1C56">
        <w:t xml:space="preserve">cílů strategie </w:t>
      </w:r>
      <w:r w:rsidRPr="001A69FF">
        <w:rPr>
          <w:i/>
        </w:rPr>
        <w:t>Evropa 2020</w:t>
      </w:r>
      <w:r w:rsidRPr="003D1C56">
        <w:t xml:space="preserve"> je</w:t>
      </w:r>
      <w:r w:rsidR="00AA5B09" w:rsidRPr="003D1C56">
        <w:rPr>
          <w:b/>
        </w:rPr>
        <w:t xml:space="preserve"> </w:t>
      </w:r>
      <w:r w:rsidR="00AA5B09" w:rsidRPr="00A52B7A">
        <w:rPr>
          <w:b/>
        </w:rPr>
        <w:t>snížení míry ne</w:t>
      </w:r>
      <w:r w:rsidR="005A4EE1" w:rsidRPr="00A52B7A">
        <w:rPr>
          <w:b/>
        </w:rPr>
        <w:t>zaměstnanosti mladých osob</w:t>
      </w:r>
      <w:r w:rsidR="005A4EE1" w:rsidRPr="001A69FF">
        <w:rPr>
          <w:b/>
          <w:i/>
        </w:rPr>
        <w:t xml:space="preserve"> </w:t>
      </w:r>
      <w:r w:rsidR="005A4EE1">
        <w:rPr>
          <w:b/>
        </w:rPr>
        <w:t>(15–</w:t>
      </w:r>
      <w:r w:rsidR="00AA5B09" w:rsidRPr="003D1C56">
        <w:rPr>
          <w:b/>
        </w:rPr>
        <w:t>24 let) o třetinu oproti roku 2010.</w:t>
      </w:r>
      <w:r>
        <w:rPr>
          <w:rStyle w:val="Znakapoznpodarou"/>
          <w:rFonts w:eastAsiaTheme="minorHAnsi"/>
        </w:rPr>
        <w:footnoteReference w:id="9"/>
      </w:r>
    </w:p>
    <w:p w14:paraId="34EF1A88" w14:textId="77777777" w:rsidR="007E09E2" w:rsidRPr="003D1C56" w:rsidRDefault="009F6860" w:rsidP="001D3B37">
      <w:pPr>
        <w:pStyle w:val="KPnormln"/>
        <w:ind w:firstLine="0"/>
      </w:pPr>
      <w:r>
        <w:rPr>
          <w:b/>
        </w:rPr>
        <w:t xml:space="preserve">Program </w:t>
      </w:r>
      <w:r w:rsidR="00CD2800" w:rsidRPr="001A69FF">
        <w:rPr>
          <w:b/>
          <w:i/>
        </w:rPr>
        <w:t>Záruky pro mladé lidi</w:t>
      </w:r>
      <w:r w:rsidR="00CD2800" w:rsidRPr="003D1C56">
        <w:rPr>
          <w:b/>
        </w:rPr>
        <w:t xml:space="preserve"> </w:t>
      </w:r>
      <w:r>
        <w:t>vycház</w:t>
      </w:r>
      <w:r w:rsidR="00CD2800" w:rsidRPr="003D1C56">
        <w:t>í z doporučení Rady, aby členské státy zajistily, že:</w:t>
      </w:r>
    </w:p>
    <w:p w14:paraId="53D9939E" w14:textId="77777777" w:rsidR="007E09E2" w:rsidRPr="003D1C56" w:rsidRDefault="00CD2800" w:rsidP="001D3B37">
      <w:pPr>
        <w:ind w:left="426" w:right="709"/>
        <w:jc w:val="both"/>
        <w:rPr>
          <w:i/>
        </w:rPr>
      </w:pPr>
      <w:r w:rsidRPr="003D1C56">
        <w:rPr>
          <w:i/>
        </w:rPr>
        <w:t xml:space="preserve">všichni mladí lidé mladší 25 let obdrží ve lhůtě čtyř měsíců od okamžiku, kdy se stali nezaměstnanými nebo ukončili formální vzdělávání, kvalitní nabídku zaměstnání, dalšího vzdělávání, učňovského programu nebo stáže. </w:t>
      </w:r>
    </w:p>
    <w:p w14:paraId="5D0107C9" w14:textId="4645423A" w:rsidR="007E09E2" w:rsidRPr="003D1C56" w:rsidRDefault="00CD2800" w:rsidP="001D3B37">
      <w:pPr>
        <w:pStyle w:val="KPnormln"/>
        <w:ind w:firstLine="0"/>
      </w:pPr>
      <w:r w:rsidRPr="003D1C56">
        <w:t xml:space="preserve">MPSV zpracovalo pro program </w:t>
      </w:r>
      <w:r w:rsidRPr="001A69FF">
        <w:rPr>
          <w:i/>
        </w:rPr>
        <w:t>Záruky pro mládež České republiky</w:t>
      </w:r>
      <w:r w:rsidRPr="003D1C56">
        <w:t xml:space="preserve"> (dále také „program </w:t>
      </w:r>
      <w:proofErr w:type="spellStart"/>
      <w:r w:rsidRPr="003D1C56">
        <w:t>ZpM</w:t>
      </w:r>
      <w:proofErr w:type="spellEnd"/>
      <w:r w:rsidRPr="003D1C56">
        <w:t xml:space="preserve">“) v prosinci 2013 </w:t>
      </w:r>
      <w:r w:rsidRPr="001A69FF">
        <w:rPr>
          <w:i/>
        </w:rPr>
        <w:t>Realizační plán programu Záruky pro mládež České republiky</w:t>
      </w:r>
      <w:r w:rsidRPr="003D1C56">
        <w:t xml:space="preserve"> (dále také „RP</w:t>
      </w:r>
      <w:r w:rsidR="00A52B7A">
        <w:t> </w:t>
      </w:r>
      <w:r w:rsidRPr="003D1C56">
        <w:t xml:space="preserve">programu </w:t>
      </w:r>
      <w:proofErr w:type="spellStart"/>
      <w:r w:rsidRPr="003D1C56">
        <w:t>ZpM</w:t>
      </w:r>
      <w:proofErr w:type="spellEnd"/>
      <w:r w:rsidRPr="003D1C56">
        <w:t>“). V době zahájení kontroly NKÚ byla k dispozici aktualizovaná verze RP</w:t>
      </w:r>
      <w:r w:rsidR="00A52B7A">
        <w:t> </w:t>
      </w:r>
      <w:r w:rsidRPr="003D1C56">
        <w:t xml:space="preserve">programu </w:t>
      </w:r>
      <w:proofErr w:type="spellStart"/>
      <w:r w:rsidRPr="003D1C56">
        <w:t>ZpM</w:t>
      </w:r>
      <w:proofErr w:type="spellEnd"/>
      <w:r w:rsidRPr="003D1C56">
        <w:t xml:space="preserve"> z dubna 2014. </w:t>
      </w:r>
    </w:p>
    <w:p w14:paraId="0B949FBC" w14:textId="77777777" w:rsidR="007E09E2" w:rsidRPr="003D1C56" w:rsidRDefault="00CD2800" w:rsidP="001D3B37">
      <w:pPr>
        <w:pStyle w:val="KPnormln"/>
        <w:ind w:firstLine="0"/>
      </w:pPr>
      <w:r w:rsidRPr="003D1C56">
        <w:t xml:space="preserve">Program </w:t>
      </w:r>
      <w:proofErr w:type="spellStart"/>
      <w:r w:rsidRPr="003D1C56">
        <w:t>ZpM</w:t>
      </w:r>
      <w:proofErr w:type="spellEnd"/>
      <w:r w:rsidRPr="003D1C56">
        <w:t xml:space="preserve"> je realizován na celém území ČR s tím, že v Karlovarském a Ústeckém kraji (region NUTS II Severozápad) jsou opatření financována rovněž z prostředků, které ČR obdrží v rámci </w:t>
      </w:r>
      <w:r w:rsidRPr="001A69FF">
        <w:rPr>
          <w:i/>
        </w:rPr>
        <w:t>Iniciativy na podporu zaměstnanosti mladých lidí</w:t>
      </w:r>
      <w:r w:rsidRPr="003D1C56">
        <w:t xml:space="preserve"> (dále t</w:t>
      </w:r>
      <w:r w:rsidR="001D3B37" w:rsidRPr="003D1C56">
        <w:t>aké</w:t>
      </w:r>
      <w:r w:rsidRPr="003D1C56">
        <w:t xml:space="preserve"> „YEI“)</w:t>
      </w:r>
      <w:r>
        <w:rPr>
          <w:rStyle w:val="Znakapoznpodarou"/>
        </w:rPr>
        <w:footnoteReference w:id="10"/>
      </w:r>
      <w:r w:rsidRPr="003D1C56">
        <w:t xml:space="preserve">. </w:t>
      </w:r>
    </w:p>
    <w:p w14:paraId="5FC0B07C" w14:textId="77777777" w:rsidR="007E09E2" w:rsidRPr="003D1C56" w:rsidRDefault="00CD2800" w:rsidP="001D3B37">
      <w:pPr>
        <w:pStyle w:val="KPnormln"/>
        <w:ind w:firstLine="0"/>
      </w:pPr>
      <w:r w:rsidRPr="003D1C56">
        <w:t>YEI je reakcí Evropské komise</w:t>
      </w:r>
      <w:r w:rsidR="001D3B37" w:rsidRPr="003D1C56">
        <w:t xml:space="preserve"> (dále také „EK“)</w:t>
      </w:r>
      <w:r w:rsidRPr="003D1C56">
        <w:t xml:space="preserve"> na velkou míru nezaměstn</w:t>
      </w:r>
      <w:r w:rsidR="00F65D22">
        <w:t>anosti mladých lidí v Evropské u</w:t>
      </w:r>
      <w:r w:rsidRPr="003D1C56">
        <w:t>nii (dále t</w:t>
      </w:r>
      <w:r w:rsidR="001D3B37" w:rsidRPr="003D1C56">
        <w:t>aké</w:t>
      </w:r>
      <w:r w:rsidRPr="003D1C56">
        <w:t xml:space="preserve"> „EU“), která v některých členských zemích (např. Řecko či Španělsko a Itálie) byla a dosud stále je</w:t>
      </w:r>
      <w:r>
        <w:rPr>
          <w:rStyle w:val="Znakapoznpodarou"/>
          <w:rFonts w:eastAsiaTheme="minorHAnsi"/>
        </w:rPr>
        <w:footnoteReference w:id="11"/>
      </w:r>
      <w:r w:rsidRPr="003D1C56">
        <w:t xml:space="preserve"> velkým problémem. </w:t>
      </w:r>
    </w:p>
    <w:p w14:paraId="7E3F5FEE" w14:textId="05B28230" w:rsidR="007E09E2" w:rsidRPr="003D1C56" w:rsidRDefault="00CD2800" w:rsidP="001D3B37">
      <w:pPr>
        <w:pStyle w:val="KPnormln"/>
        <w:ind w:firstLine="0"/>
      </w:pPr>
      <w:r w:rsidRPr="003D1C56">
        <w:t xml:space="preserve">V České republice splnil podmínku zařazení do YEI pouze region NUTS II Severozápad (Ústecký a Karlovarský kraj), kde míra nezaměstnanosti mládeže do 25 let dosáhla v rozhodném období </w:t>
      </w:r>
      <w:r w:rsidRPr="003D1C56">
        <w:lastRenderedPageBreak/>
        <w:t>hodnoty 28,2 %</w:t>
      </w:r>
      <w:r>
        <w:rPr>
          <w:rStyle w:val="Znakapoznpodarou"/>
          <w:rFonts w:eastAsiaTheme="minorHAnsi"/>
        </w:rPr>
        <w:footnoteReference w:id="12"/>
      </w:r>
      <w:r w:rsidRPr="003D1C56">
        <w:t xml:space="preserve">. ČR využila možnosti v návrhu nařízení o </w:t>
      </w:r>
      <w:r w:rsidRPr="001A69FF">
        <w:rPr>
          <w:i/>
        </w:rPr>
        <w:t>Evropském sociálním fondu</w:t>
      </w:r>
      <w:r>
        <w:rPr>
          <w:rStyle w:val="Znakapoznpodarou"/>
        </w:rPr>
        <w:footnoteReference w:id="13"/>
      </w:r>
      <w:r w:rsidRPr="003D1C56">
        <w:t xml:space="preserve"> (dále t</w:t>
      </w:r>
      <w:r w:rsidR="00D23CB6" w:rsidRPr="003D1C56">
        <w:t>aké</w:t>
      </w:r>
      <w:r w:rsidRPr="003D1C56">
        <w:t xml:space="preserve"> „ESF“) a </w:t>
      </w:r>
      <w:r w:rsidR="00D23CB6" w:rsidRPr="003D1C56">
        <w:t>rozšířila cílovou skupinu</w:t>
      </w:r>
      <w:r w:rsidRPr="003D1C56">
        <w:t xml:space="preserve"> (dále t</w:t>
      </w:r>
      <w:r w:rsidR="00D23CB6" w:rsidRPr="003D1C56">
        <w:t>aké</w:t>
      </w:r>
      <w:r w:rsidRPr="003D1C56">
        <w:t xml:space="preserve"> „CS“) o</w:t>
      </w:r>
      <w:r w:rsidR="002A4E19">
        <w:t xml:space="preserve"> osoby ve věku 25–</w:t>
      </w:r>
      <w:r w:rsidR="00D23CB6" w:rsidRPr="003D1C56">
        <w:t xml:space="preserve">29 </w:t>
      </w:r>
      <w:r w:rsidRPr="003D1C56">
        <w:t xml:space="preserve">let. </w:t>
      </w:r>
    </w:p>
    <w:p w14:paraId="60503A53" w14:textId="77777777" w:rsidR="005D7BE7" w:rsidRPr="003D1C56" w:rsidRDefault="00CD2800" w:rsidP="005D7BE7">
      <w:pPr>
        <w:pStyle w:val="Nadpis2"/>
        <w:keepNext w:val="0"/>
        <w:numPr>
          <w:ilvl w:val="1"/>
          <w:numId w:val="0"/>
        </w:numPr>
        <w:tabs>
          <w:tab w:val="left" w:pos="5921"/>
        </w:tabs>
        <w:spacing w:after="0"/>
        <w:ind w:left="480" w:hanging="480"/>
        <w:contextualSpacing/>
        <w:jc w:val="both"/>
      </w:pPr>
      <w:bookmarkStart w:id="1" w:name="_Toc256000002"/>
      <w:bookmarkStart w:id="2" w:name="_Toc9423377"/>
      <w:bookmarkStart w:id="3" w:name="_Toc9423411"/>
      <w:bookmarkStart w:id="4" w:name="_Toc10031036"/>
      <w:bookmarkStart w:id="5" w:name="_Toc10034018"/>
      <w:bookmarkStart w:id="6" w:name="_Toc10034155"/>
      <w:bookmarkStart w:id="7" w:name="_Toc10037967"/>
      <w:bookmarkStart w:id="8" w:name="_Toc256000001"/>
      <w:bookmarkStart w:id="9" w:name="_Toc9423376"/>
      <w:bookmarkStart w:id="10" w:name="_Toc9423410"/>
      <w:bookmarkStart w:id="11" w:name="_Toc10031035"/>
      <w:bookmarkStart w:id="12" w:name="_Toc10034017"/>
      <w:bookmarkStart w:id="13" w:name="_Toc10034154"/>
      <w:bookmarkStart w:id="14" w:name="_Toc10037966"/>
      <w:r w:rsidRPr="003D1C56">
        <w:t xml:space="preserve">Opatření na podporu zaměstnanosti mladých </w:t>
      </w:r>
      <w:r w:rsidR="0053750F">
        <w:t xml:space="preserve">lidí </w:t>
      </w:r>
      <w:r w:rsidRPr="003D1C56">
        <w:t xml:space="preserve">v rámci </w:t>
      </w:r>
      <w:bookmarkEnd w:id="1"/>
      <w:bookmarkEnd w:id="2"/>
      <w:bookmarkEnd w:id="3"/>
      <w:bookmarkEnd w:id="4"/>
      <w:bookmarkEnd w:id="5"/>
      <w:bookmarkEnd w:id="6"/>
      <w:bookmarkEnd w:id="7"/>
      <w:r w:rsidR="00F65D22">
        <w:t>OPZ</w:t>
      </w:r>
    </w:p>
    <w:p w14:paraId="00DA6E94" w14:textId="4D635C25" w:rsidR="005D7BE7" w:rsidRPr="003D1C56" w:rsidRDefault="00CD2800" w:rsidP="005D7BE7">
      <w:pPr>
        <w:pStyle w:val="KPnormln"/>
        <w:ind w:firstLine="0"/>
      </w:pPr>
      <w:r w:rsidRPr="003D1C56">
        <w:t>MPSV dosud vyhlásilo na podporu zaměstnanosti mladých</w:t>
      </w:r>
      <w:r w:rsidR="0053750F">
        <w:t xml:space="preserve"> lidí</w:t>
      </w:r>
      <w:r w:rsidRPr="003D1C56">
        <w:t xml:space="preserve"> čtyři výzvy s celkovou alokací</w:t>
      </w:r>
      <w:r w:rsidR="00F5172B">
        <w:t xml:space="preserve"> </w:t>
      </w:r>
      <w:r w:rsidRPr="003D1C56">
        <w:br/>
        <w:t>2,21 mld. Kč. Tři z těchto výzev byly vyhlášeny již v roce 2015</w:t>
      </w:r>
      <w:r w:rsidR="001170D1" w:rsidRPr="003D1C56">
        <w:t xml:space="preserve">. </w:t>
      </w:r>
      <w:r w:rsidRPr="003D1C56">
        <w:t xml:space="preserve">Poslední z výzev </w:t>
      </w:r>
      <w:r w:rsidR="003B260A" w:rsidRPr="003D1C56">
        <w:t xml:space="preserve">YEI </w:t>
      </w:r>
      <w:r w:rsidR="003B260A">
        <w:t>(</w:t>
      </w:r>
      <w:r w:rsidRPr="003D1C56">
        <w:t>18_091</w:t>
      </w:r>
      <w:r w:rsidR="003B260A">
        <w:t>)</w:t>
      </w:r>
      <w:r w:rsidRPr="003D1C56">
        <w:t xml:space="preserve"> </w:t>
      </w:r>
      <w:r w:rsidR="001170D1" w:rsidRPr="003D1C56">
        <w:t>byla vyhlášena</w:t>
      </w:r>
      <w:r w:rsidRPr="003D1C56">
        <w:t xml:space="preserve"> v roce 2017. </w:t>
      </w:r>
    </w:p>
    <w:p w14:paraId="56D0D0DF" w14:textId="0A995A7A" w:rsidR="005D7BE7" w:rsidRPr="003B260A" w:rsidRDefault="00CD2800" w:rsidP="005D7BE7">
      <w:pPr>
        <w:pStyle w:val="KPnormln"/>
        <w:ind w:firstLine="0"/>
      </w:pPr>
      <w:r w:rsidRPr="003D1C56">
        <w:t xml:space="preserve">Projekty z výzvy 15_004 naplňují specifický cíl 1.1.2 </w:t>
      </w:r>
      <w:r w:rsidRPr="003D1C56">
        <w:rPr>
          <w:i/>
        </w:rPr>
        <w:t>Zvýšit zaměstnanost podpořených mladých osob prostřednictvím programu Záruky pro mládež</w:t>
      </w:r>
      <w:r w:rsidRPr="003D1C56">
        <w:t xml:space="preserve">. Projekty z výzev 15_003, 15_116 a 18_091 naplňují </w:t>
      </w:r>
      <w:r w:rsidR="006D1A9A" w:rsidRPr="003D1C56">
        <w:t>specifický cíl</w:t>
      </w:r>
      <w:r w:rsidRPr="003D1C56">
        <w:t xml:space="preserve"> 1.5.1 </w:t>
      </w:r>
      <w:r w:rsidRPr="003D1C56">
        <w:rPr>
          <w:i/>
        </w:rPr>
        <w:t>Zvýšit zaměstnanost podpořený</w:t>
      </w:r>
      <w:r w:rsidR="002A4E19">
        <w:rPr>
          <w:i/>
        </w:rPr>
        <w:t>ch mladých lidí, kteří nejsou v </w:t>
      </w:r>
      <w:r w:rsidRPr="003D1C56">
        <w:rPr>
          <w:i/>
        </w:rPr>
        <w:t>zaměstnání, ve vzdělávání nebo v profesní přípravě v regionu NUTS II Severozápad</w:t>
      </w:r>
      <w:r w:rsidR="006D1A9A" w:rsidRPr="003D1C56">
        <w:t>.</w:t>
      </w:r>
      <w:r w:rsidRPr="003D1C56">
        <w:rPr>
          <w:i/>
        </w:rPr>
        <w:t xml:space="preserve"> </w:t>
      </w:r>
    </w:p>
    <w:p w14:paraId="23E9E231" w14:textId="6E91EFE8" w:rsidR="00D27C6C" w:rsidRPr="003D1C56" w:rsidRDefault="00CD2800" w:rsidP="00D27C6C">
      <w:pPr>
        <w:keepNext/>
        <w:keepLines/>
        <w:spacing w:before="240" w:after="0"/>
        <w:rPr>
          <w:iCs/>
        </w:rPr>
      </w:pPr>
      <w:r w:rsidRPr="003D1C56">
        <w:rPr>
          <w:iCs/>
        </w:rPr>
        <w:t xml:space="preserve">Tabulka č. </w:t>
      </w:r>
      <w:r w:rsidRPr="003D1C56">
        <w:rPr>
          <w:iCs/>
        </w:rPr>
        <w:fldChar w:fldCharType="begin"/>
      </w:r>
      <w:r w:rsidRPr="003D1C56">
        <w:rPr>
          <w:iCs/>
        </w:rPr>
        <w:instrText xml:space="preserve"> SEQ Tabulka_č. \* ARABIC </w:instrText>
      </w:r>
      <w:r w:rsidRPr="003D1C56">
        <w:rPr>
          <w:iCs/>
        </w:rPr>
        <w:fldChar w:fldCharType="separate"/>
      </w:r>
      <w:r w:rsidR="00996C4C">
        <w:rPr>
          <w:iCs/>
          <w:noProof/>
        </w:rPr>
        <w:t>2</w:t>
      </w:r>
      <w:r w:rsidRPr="003D1C56">
        <w:rPr>
          <w:iCs/>
        </w:rPr>
        <w:fldChar w:fldCharType="end"/>
      </w:r>
      <w:r w:rsidRPr="003D1C56">
        <w:rPr>
          <w:iCs/>
        </w:rPr>
        <w:t>: Základní údaje o výzvách OPZ pro mladé lidi</w:t>
      </w:r>
    </w:p>
    <w:tbl>
      <w:tblPr>
        <w:tblStyle w:val="Mkatabulky"/>
        <w:tblW w:w="9070" w:type="dxa"/>
        <w:tblLayout w:type="fixed"/>
        <w:tblLook w:val="04A0" w:firstRow="1" w:lastRow="0" w:firstColumn="1" w:lastColumn="0" w:noHBand="0" w:noVBand="1"/>
      </w:tblPr>
      <w:tblGrid>
        <w:gridCol w:w="1757"/>
        <w:gridCol w:w="1757"/>
        <w:gridCol w:w="3345"/>
        <w:gridCol w:w="2211"/>
      </w:tblGrid>
      <w:tr w:rsidR="003B260A" w14:paraId="288D57A1" w14:textId="77777777" w:rsidTr="003B260A">
        <w:trPr>
          <w:trHeight w:val="255"/>
        </w:trPr>
        <w:tc>
          <w:tcPr>
            <w:tcW w:w="1757" w:type="dxa"/>
            <w:shd w:val="clear" w:color="auto" w:fill="E5F1FF"/>
            <w:noWrap/>
            <w:hideMark/>
          </w:tcPr>
          <w:p w14:paraId="5E97354F" w14:textId="77777777" w:rsidR="00DE4A20" w:rsidRPr="003D1C56" w:rsidRDefault="00DE4A20" w:rsidP="00D27C6C">
            <w:pPr>
              <w:spacing w:after="0"/>
              <w:jc w:val="center"/>
              <w:rPr>
                <w:rFonts w:ascii="Calibri" w:hAnsi="Calibri"/>
                <w:b/>
                <w:bCs/>
                <w:color w:val="000000"/>
                <w:sz w:val="20"/>
                <w:szCs w:val="20"/>
              </w:rPr>
            </w:pPr>
            <w:r w:rsidRPr="003D1C56">
              <w:rPr>
                <w:rFonts w:ascii="Calibri" w:hAnsi="Calibri"/>
                <w:b/>
                <w:bCs/>
                <w:color w:val="000000"/>
                <w:sz w:val="20"/>
                <w:szCs w:val="20"/>
              </w:rPr>
              <w:t>Číslo výzvy</w:t>
            </w:r>
          </w:p>
        </w:tc>
        <w:tc>
          <w:tcPr>
            <w:tcW w:w="1757" w:type="dxa"/>
            <w:shd w:val="clear" w:color="auto" w:fill="E5F1FF"/>
            <w:noWrap/>
            <w:hideMark/>
          </w:tcPr>
          <w:p w14:paraId="69E50AC9" w14:textId="77777777" w:rsidR="00DE4A20" w:rsidRPr="003D1C56" w:rsidRDefault="00DE4A20" w:rsidP="00D27C6C">
            <w:pPr>
              <w:spacing w:after="0"/>
              <w:jc w:val="center"/>
              <w:rPr>
                <w:rFonts w:ascii="Calibri" w:hAnsi="Calibri"/>
                <w:b/>
                <w:bCs/>
                <w:color w:val="000000"/>
                <w:sz w:val="20"/>
                <w:szCs w:val="20"/>
              </w:rPr>
            </w:pPr>
            <w:r w:rsidRPr="003D1C56">
              <w:rPr>
                <w:rFonts w:ascii="Calibri" w:hAnsi="Calibri"/>
                <w:b/>
                <w:bCs/>
                <w:color w:val="000000"/>
                <w:sz w:val="20"/>
                <w:szCs w:val="20"/>
              </w:rPr>
              <w:t>Počet projektů</w:t>
            </w:r>
          </w:p>
        </w:tc>
        <w:tc>
          <w:tcPr>
            <w:tcW w:w="3345" w:type="dxa"/>
            <w:shd w:val="clear" w:color="auto" w:fill="E5F1FF"/>
            <w:noWrap/>
            <w:hideMark/>
          </w:tcPr>
          <w:p w14:paraId="12DBC13A" w14:textId="77777777" w:rsidR="00DE4A20" w:rsidRPr="003D1C56" w:rsidRDefault="00DE4A20" w:rsidP="00DE4A20">
            <w:pPr>
              <w:spacing w:after="0"/>
              <w:jc w:val="center"/>
              <w:rPr>
                <w:rFonts w:ascii="Calibri" w:hAnsi="Calibri"/>
                <w:b/>
                <w:bCs/>
                <w:color w:val="000000"/>
                <w:sz w:val="20"/>
                <w:szCs w:val="20"/>
              </w:rPr>
            </w:pPr>
            <w:r w:rsidRPr="003D1C56">
              <w:rPr>
                <w:rFonts w:ascii="Calibri" w:hAnsi="Calibri"/>
                <w:b/>
                <w:bCs/>
                <w:color w:val="000000"/>
                <w:sz w:val="20"/>
                <w:szCs w:val="20"/>
              </w:rPr>
              <w:t>Schválená dotace z OPZ (</w:t>
            </w:r>
            <w:r>
              <w:rPr>
                <w:rFonts w:ascii="Calibri" w:hAnsi="Calibri"/>
                <w:b/>
                <w:bCs/>
                <w:color w:val="000000"/>
                <w:sz w:val="20"/>
                <w:szCs w:val="20"/>
              </w:rPr>
              <w:t xml:space="preserve">v </w:t>
            </w:r>
            <w:r w:rsidRPr="003D1C56">
              <w:rPr>
                <w:rFonts w:ascii="Calibri" w:hAnsi="Calibri"/>
                <w:b/>
                <w:bCs/>
                <w:color w:val="000000"/>
                <w:sz w:val="20"/>
                <w:szCs w:val="20"/>
              </w:rPr>
              <w:t>Kč)</w:t>
            </w:r>
          </w:p>
        </w:tc>
        <w:tc>
          <w:tcPr>
            <w:tcW w:w="2211" w:type="dxa"/>
            <w:shd w:val="clear" w:color="auto" w:fill="E5F1FF"/>
          </w:tcPr>
          <w:p w14:paraId="13907962" w14:textId="77777777" w:rsidR="00DE4A20" w:rsidRDefault="00DE4A20" w:rsidP="00DE4A20">
            <w:pPr>
              <w:spacing w:after="0"/>
              <w:jc w:val="center"/>
              <w:rPr>
                <w:rFonts w:ascii="Calibri" w:hAnsi="Calibri"/>
                <w:b/>
                <w:bCs/>
                <w:color w:val="000000"/>
                <w:sz w:val="20"/>
                <w:szCs w:val="20"/>
              </w:rPr>
            </w:pPr>
            <w:r>
              <w:rPr>
                <w:rFonts w:ascii="Calibri" w:hAnsi="Calibri"/>
                <w:b/>
                <w:bCs/>
                <w:color w:val="000000"/>
                <w:sz w:val="20"/>
                <w:szCs w:val="20"/>
              </w:rPr>
              <w:t>Zdroj financování</w:t>
            </w:r>
          </w:p>
        </w:tc>
      </w:tr>
      <w:tr w:rsidR="003B260A" w14:paraId="74179E15" w14:textId="77777777" w:rsidTr="003B260A">
        <w:trPr>
          <w:trHeight w:val="255"/>
        </w:trPr>
        <w:tc>
          <w:tcPr>
            <w:tcW w:w="1757" w:type="dxa"/>
            <w:noWrap/>
            <w:hideMark/>
          </w:tcPr>
          <w:p w14:paraId="516789B6" w14:textId="77777777" w:rsidR="00DE4A20" w:rsidRPr="003D1C56" w:rsidRDefault="00DE4A20" w:rsidP="00D27C6C">
            <w:pPr>
              <w:spacing w:after="0"/>
              <w:jc w:val="center"/>
              <w:rPr>
                <w:rFonts w:ascii="Calibri" w:hAnsi="Calibri"/>
                <w:color w:val="000000"/>
                <w:sz w:val="20"/>
                <w:szCs w:val="20"/>
              </w:rPr>
            </w:pPr>
            <w:r w:rsidRPr="003D1C56">
              <w:rPr>
                <w:rFonts w:ascii="Calibri" w:hAnsi="Calibri"/>
                <w:color w:val="000000"/>
                <w:sz w:val="20"/>
                <w:szCs w:val="20"/>
              </w:rPr>
              <w:t xml:space="preserve">15_003 </w:t>
            </w:r>
          </w:p>
        </w:tc>
        <w:tc>
          <w:tcPr>
            <w:tcW w:w="1757" w:type="dxa"/>
            <w:noWrap/>
            <w:hideMark/>
          </w:tcPr>
          <w:p w14:paraId="0C1AFD3D" w14:textId="77777777" w:rsidR="00DE4A20" w:rsidRPr="003D1C56" w:rsidRDefault="00DE4A20" w:rsidP="00D27C6C">
            <w:pPr>
              <w:spacing w:after="0"/>
              <w:jc w:val="center"/>
              <w:rPr>
                <w:rFonts w:ascii="Calibri" w:hAnsi="Calibri"/>
                <w:color w:val="000000"/>
                <w:sz w:val="20"/>
                <w:szCs w:val="20"/>
              </w:rPr>
            </w:pPr>
            <w:r w:rsidRPr="003D1C56">
              <w:rPr>
                <w:rFonts w:ascii="Calibri" w:hAnsi="Calibri"/>
                <w:color w:val="000000"/>
                <w:sz w:val="20"/>
                <w:szCs w:val="20"/>
              </w:rPr>
              <w:t>2</w:t>
            </w:r>
          </w:p>
        </w:tc>
        <w:tc>
          <w:tcPr>
            <w:tcW w:w="3345" w:type="dxa"/>
            <w:noWrap/>
            <w:hideMark/>
          </w:tcPr>
          <w:p w14:paraId="0271B2C7" w14:textId="77777777" w:rsidR="00DE4A20" w:rsidRPr="003D1C56" w:rsidRDefault="00DE4A20" w:rsidP="00D27C6C">
            <w:pPr>
              <w:spacing w:after="0"/>
              <w:jc w:val="right"/>
              <w:rPr>
                <w:rFonts w:ascii="Calibri" w:hAnsi="Calibri"/>
                <w:color w:val="000000"/>
                <w:sz w:val="20"/>
                <w:szCs w:val="20"/>
              </w:rPr>
            </w:pPr>
            <w:r w:rsidRPr="003D1C56">
              <w:rPr>
                <w:rFonts w:ascii="Calibri" w:hAnsi="Calibri"/>
                <w:color w:val="000000"/>
                <w:sz w:val="20"/>
                <w:szCs w:val="20"/>
              </w:rPr>
              <w:t>639 359 258</w:t>
            </w:r>
          </w:p>
        </w:tc>
        <w:tc>
          <w:tcPr>
            <w:tcW w:w="2211" w:type="dxa"/>
          </w:tcPr>
          <w:p w14:paraId="5EE436CF" w14:textId="77777777" w:rsidR="00DE4A20" w:rsidRPr="003D1C56" w:rsidRDefault="00DE4A20" w:rsidP="00DE4A20">
            <w:pPr>
              <w:spacing w:after="0"/>
              <w:jc w:val="center"/>
              <w:rPr>
                <w:rFonts w:ascii="Calibri" w:hAnsi="Calibri"/>
                <w:color w:val="000000"/>
                <w:sz w:val="20"/>
                <w:szCs w:val="20"/>
              </w:rPr>
            </w:pPr>
            <w:r>
              <w:rPr>
                <w:rFonts w:ascii="Calibri" w:hAnsi="Calibri"/>
                <w:color w:val="000000"/>
                <w:sz w:val="20"/>
                <w:szCs w:val="20"/>
              </w:rPr>
              <w:t>YEI</w:t>
            </w:r>
          </w:p>
        </w:tc>
      </w:tr>
      <w:tr w:rsidR="003B260A" w14:paraId="4F5E37B0" w14:textId="77777777" w:rsidTr="003B260A">
        <w:trPr>
          <w:trHeight w:val="255"/>
        </w:trPr>
        <w:tc>
          <w:tcPr>
            <w:tcW w:w="1757" w:type="dxa"/>
            <w:noWrap/>
            <w:hideMark/>
          </w:tcPr>
          <w:p w14:paraId="49187846" w14:textId="77777777" w:rsidR="00DE4A20" w:rsidRPr="003D1C56" w:rsidRDefault="00DE4A20" w:rsidP="00D27C6C">
            <w:pPr>
              <w:spacing w:after="0"/>
              <w:jc w:val="center"/>
              <w:rPr>
                <w:rFonts w:ascii="Calibri" w:hAnsi="Calibri"/>
                <w:color w:val="000000"/>
                <w:sz w:val="20"/>
                <w:szCs w:val="20"/>
              </w:rPr>
            </w:pPr>
            <w:r w:rsidRPr="003D1C56">
              <w:rPr>
                <w:rFonts w:ascii="Calibri" w:hAnsi="Calibri"/>
                <w:color w:val="000000"/>
                <w:sz w:val="20"/>
                <w:szCs w:val="20"/>
              </w:rPr>
              <w:t>15_004</w:t>
            </w:r>
          </w:p>
        </w:tc>
        <w:tc>
          <w:tcPr>
            <w:tcW w:w="1757" w:type="dxa"/>
            <w:noWrap/>
            <w:hideMark/>
          </w:tcPr>
          <w:p w14:paraId="4ACAFDF4" w14:textId="77777777" w:rsidR="00DE4A20" w:rsidRPr="003D1C56" w:rsidRDefault="00DE4A20" w:rsidP="00D27C6C">
            <w:pPr>
              <w:spacing w:after="0"/>
              <w:jc w:val="center"/>
              <w:rPr>
                <w:rFonts w:ascii="Calibri" w:hAnsi="Calibri"/>
                <w:color w:val="000000"/>
                <w:sz w:val="20"/>
                <w:szCs w:val="20"/>
              </w:rPr>
            </w:pPr>
            <w:r w:rsidRPr="003D1C56">
              <w:rPr>
                <w:rFonts w:ascii="Calibri" w:hAnsi="Calibri"/>
                <w:color w:val="000000"/>
                <w:sz w:val="20"/>
                <w:szCs w:val="20"/>
              </w:rPr>
              <w:t>13</w:t>
            </w:r>
          </w:p>
        </w:tc>
        <w:tc>
          <w:tcPr>
            <w:tcW w:w="3345" w:type="dxa"/>
            <w:noWrap/>
            <w:hideMark/>
          </w:tcPr>
          <w:p w14:paraId="687D6263" w14:textId="77777777" w:rsidR="00DE4A20" w:rsidRPr="003D1C56" w:rsidRDefault="00DE4A20" w:rsidP="00D27C6C">
            <w:pPr>
              <w:spacing w:after="0"/>
              <w:jc w:val="right"/>
              <w:rPr>
                <w:rFonts w:ascii="Calibri" w:hAnsi="Calibri"/>
                <w:color w:val="000000"/>
                <w:sz w:val="20"/>
                <w:szCs w:val="20"/>
              </w:rPr>
            </w:pPr>
            <w:r w:rsidRPr="003D1C56">
              <w:rPr>
                <w:rFonts w:ascii="Calibri" w:hAnsi="Calibri"/>
                <w:color w:val="000000"/>
                <w:sz w:val="20"/>
                <w:szCs w:val="20"/>
              </w:rPr>
              <w:t>1 334 430 460</w:t>
            </w:r>
          </w:p>
        </w:tc>
        <w:tc>
          <w:tcPr>
            <w:tcW w:w="2211" w:type="dxa"/>
          </w:tcPr>
          <w:p w14:paraId="2D346D9F" w14:textId="77777777" w:rsidR="00DE4A20" w:rsidRPr="003D1C56" w:rsidRDefault="00DE4A20" w:rsidP="00DE4A20">
            <w:pPr>
              <w:spacing w:after="0"/>
              <w:jc w:val="center"/>
              <w:rPr>
                <w:rFonts w:ascii="Calibri" w:hAnsi="Calibri"/>
                <w:color w:val="000000"/>
                <w:sz w:val="20"/>
                <w:szCs w:val="20"/>
              </w:rPr>
            </w:pPr>
            <w:r>
              <w:rPr>
                <w:rFonts w:ascii="Calibri" w:hAnsi="Calibri"/>
                <w:color w:val="000000"/>
                <w:sz w:val="20"/>
                <w:szCs w:val="20"/>
              </w:rPr>
              <w:t>ESF</w:t>
            </w:r>
          </w:p>
        </w:tc>
      </w:tr>
      <w:tr w:rsidR="003B260A" w14:paraId="3F373AFA" w14:textId="77777777" w:rsidTr="003B260A">
        <w:trPr>
          <w:trHeight w:val="255"/>
        </w:trPr>
        <w:tc>
          <w:tcPr>
            <w:tcW w:w="1757" w:type="dxa"/>
            <w:noWrap/>
            <w:hideMark/>
          </w:tcPr>
          <w:p w14:paraId="6C8B4D5A" w14:textId="77777777" w:rsidR="00DE4A20" w:rsidRPr="003D1C56" w:rsidRDefault="00DE4A20" w:rsidP="00D27C6C">
            <w:pPr>
              <w:spacing w:after="0"/>
              <w:jc w:val="center"/>
              <w:rPr>
                <w:rFonts w:ascii="Calibri" w:hAnsi="Calibri"/>
                <w:color w:val="000000"/>
                <w:sz w:val="20"/>
                <w:szCs w:val="20"/>
              </w:rPr>
            </w:pPr>
            <w:r w:rsidRPr="003D1C56">
              <w:rPr>
                <w:rFonts w:ascii="Calibri" w:hAnsi="Calibri"/>
                <w:color w:val="000000"/>
                <w:sz w:val="20"/>
                <w:szCs w:val="20"/>
              </w:rPr>
              <w:t>15_116</w:t>
            </w:r>
          </w:p>
        </w:tc>
        <w:tc>
          <w:tcPr>
            <w:tcW w:w="1757" w:type="dxa"/>
            <w:noWrap/>
            <w:hideMark/>
          </w:tcPr>
          <w:p w14:paraId="37235D8C" w14:textId="77777777" w:rsidR="00DE4A20" w:rsidRPr="003D1C56" w:rsidRDefault="00DE4A20" w:rsidP="00D27C6C">
            <w:pPr>
              <w:spacing w:after="0"/>
              <w:jc w:val="center"/>
              <w:rPr>
                <w:rFonts w:ascii="Calibri" w:hAnsi="Calibri"/>
                <w:color w:val="000000"/>
                <w:sz w:val="20"/>
                <w:szCs w:val="20"/>
              </w:rPr>
            </w:pPr>
            <w:r w:rsidRPr="003D1C56">
              <w:rPr>
                <w:rFonts w:ascii="Calibri" w:hAnsi="Calibri"/>
                <w:color w:val="000000"/>
                <w:sz w:val="20"/>
                <w:szCs w:val="20"/>
              </w:rPr>
              <w:t>3</w:t>
            </w:r>
          </w:p>
        </w:tc>
        <w:tc>
          <w:tcPr>
            <w:tcW w:w="3345" w:type="dxa"/>
            <w:noWrap/>
            <w:hideMark/>
          </w:tcPr>
          <w:p w14:paraId="62C89468" w14:textId="77777777" w:rsidR="00DE4A20" w:rsidRPr="003D1C56" w:rsidRDefault="00DE4A20" w:rsidP="00D27C6C">
            <w:pPr>
              <w:spacing w:after="0"/>
              <w:jc w:val="right"/>
              <w:rPr>
                <w:rFonts w:ascii="Calibri" w:hAnsi="Calibri"/>
                <w:color w:val="000000"/>
                <w:sz w:val="20"/>
                <w:szCs w:val="20"/>
              </w:rPr>
            </w:pPr>
            <w:r w:rsidRPr="003D1C56">
              <w:rPr>
                <w:rFonts w:ascii="Calibri" w:hAnsi="Calibri"/>
                <w:color w:val="000000"/>
                <w:sz w:val="20"/>
                <w:szCs w:val="20"/>
              </w:rPr>
              <w:t>150 611 983</w:t>
            </w:r>
          </w:p>
        </w:tc>
        <w:tc>
          <w:tcPr>
            <w:tcW w:w="2211" w:type="dxa"/>
          </w:tcPr>
          <w:p w14:paraId="43F23DBC" w14:textId="77777777" w:rsidR="00DE4A20" w:rsidRPr="003D1C56" w:rsidRDefault="00DE4A20" w:rsidP="00DE4A20">
            <w:pPr>
              <w:spacing w:after="0"/>
              <w:jc w:val="center"/>
              <w:rPr>
                <w:rFonts w:ascii="Calibri" w:hAnsi="Calibri"/>
                <w:color w:val="000000"/>
                <w:sz w:val="20"/>
                <w:szCs w:val="20"/>
              </w:rPr>
            </w:pPr>
            <w:r>
              <w:rPr>
                <w:rFonts w:ascii="Calibri" w:hAnsi="Calibri"/>
                <w:color w:val="000000"/>
                <w:sz w:val="20"/>
                <w:szCs w:val="20"/>
              </w:rPr>
              <w:t>YEI</w:t>
            </w:r>
          </w:p>
        </w:tc>
      </w:tr>
      <w:tr w:rsidR="003B260A" w14:paraId="05F797A1" w14:textId="77777777" w:rsidTr="003B260A">
        <w:trPr>
          <w:trHeight w:val="255"/>
        </w:trPr>
        <w:tc>
          <w:tcPr>
            <w:tcW w:w="1757" w:type="dxa"/>
            <w:noWrap/>
            <w:hideMark/>
          </w:tcPr>
          <w:p w14:paraId="44DE4EF4" w14:textId="77777777" w:rsidR="00DE4A20" w:rsidRPr="003D1C56" w:rsidRDefault="00DE4A20" w:rsidP="00D27C6C">
            <w:pPr>
              <w:spacing w:after="0"/>
              <w:jc w:val="center"/>
              <w:rPr>
                <w:rFonts w:ascii="Calibri" w:hAnsi="Calibri"/>
                <w:color w:val="000000"/>
                <w:sz w:val="20"/>
                <w:szCs w:val="20"/>
              </w:rPr>
            </w:pPr>
            <w:r w:rsidRPr="003D1C56">
              <w:rPr>
                <w:rFonts w:ascii="Calibri" w:hAnsi="Calibri"/>
                <w:color w:val="000000"/>
                <w:sz w:val="20"/>
                <w:szCs w:val="20"/>
              </w:rPr>
              <w:t>18_091</w:t>
            </w:r>
          </w:p>
        </w:tc>
        <w:tc>
          <w:tcPr>
            <w:tcW w:w="1757" w:type="dxa"/>
            <w:noWrap/>
            <w:hideMark/>
          </w:tcPr>
          <w:p w14:paraId="1F87C115" w14:textId="77777777" w:rsidR="00DE4A20" w:rsidRPr="003D1C56" w:rsidRDefault="00DE4A20" w:rsidP="00D27C6C">
            <w:pPr>
              <w:spacing w:after="0"/>
              <w:jc w:val="center"/>
              <w:rPr>
                <w:rFonts w:ascii="Calibri" w:hAnsi="Calibri"/>
                <w:color w:val="000000"/>
                <w:sz w:val="20"/>
                <w:szCs w:val="20"/>
              </w:rPr>
            </w:pPr>
            <w:r w:rsidRPr="003D1C56">
              <w:rPr>
                <w:rFonts w:ascii="Calibri" w:hAnsi="Calibri"/>
                <w:color w:val="000000"/>
                <w:sz w:val="20"/>
                <w:szCs w:val="20"/>
              </w:rPr>
              <w:t>2</w:t>
            </w:r>
          </w:p>
        </w:tc>
        <w:tc>
          <w:tcPr>
            <w:tcW w:w="3345" w:type="dxa"/>
            <w:noWrap/>
            <w:hideMark/>
          </w:tcPr>
          <w:p w14:paraId="3606FF52" w14:textId="77777777" w:rsidR="00DE4A20" w:rsidRPr="003D1C56" w:rsidRDefault="00DE4A20" w:rsidP="00D27C6C">
            <w:pPr>
              <w:spacing w:after="0"/>
              <w:jc w:val="right"/>
              <w:rPr>
                <w:rFonts w:ascii="Calibri" w:hAnsi="Calibri"/>
                <w:color w:val="000000"/>
                <w:sz w:val="20"/>
                <w:szCs w:val="20"/>
              </w:rPr>
            </w:pPr>
            <w:r w:rsidRPr="003D1C56">
              <w:rPr>
                <w:rFonts w:ascii="Calibri" w:hAnsi="Calibri"/>
                <w:color w:val="000000"/>
                <w:sz w:val="20"/>
                <w:szCs w:val="20"/>
              </w:rPr>
              <w:t>31 398 920</w:t>
            </w:r>
          </w:p>
        </w:tc>
        <w:tc>
          <w:tcPr>
            <w:tcW w:w="2211" w:type="dxa"/>
          </w:tcPr>
          <w:p w14:paraId="457DCB93" w14:textId="77777777" w:rsidR="00DE4A20" w:rsidRPr="003D1C56" w:rsidRDefault="00DE4A20" w:rsidP="00DE4A20">
            <w:pPr>
              <w:spacing w:after="0"/>
              <w:jc w:val="center"/>
              <w:rPr>
                <w:rFonts w:ascii="Calibri" w:hAnsi="Calibri"/>
                <w:color w:val="000000"/>
                <w:sz w:val="20"/>
                <w:szCs w:val="20"/>
              </w:rPr>
            </w:pPr>
            <w:r>
              <w:rPr>
                <w:rFonts w:ascii="Calibri" w:hAnsi="Calibri"/>
                <w:color w:val="000000"/>
                <w:sz w:val="20"/>
                <w:szCs w:val="20"/>
              </w:rPr>
              <w:t>YEI</w:t>
            </w:r>
          </w:p>
        </w:tc>
      </w:tr>
      <w:tr w:rsidR="003B260A" w14:paraId="5F7CC829" w14:textId="77777777" w:rsidTr="003B260A">
        <w:trPr>
          <w:trHeight w:val="255"/>
        </w:trPr>
        <w:tc>
          <w:tcPr>
            <w:tcW w:w="1757" w:type="dxa"/>
            <w:noWrap/>
            <w:hideMark/>
          </w:tcPr>
          <w:p w14:paraId="0680AB12" w14:textId="77777777" w:rsidR="00DE4A20" w:rsidRPr="003D1C56" w:rsidRDefault="00DE4A20" w:rsidP="00D27C6C">
            <w:pPr>
              <w:spacing w:after="0"/>
              <w:jc w:val="center"/>
              <w:rPr>
                <w:rFonts w:ascii="Calibri" w:hAnsi="Calibri"/>
                <w:b/>
                <w:bCs/>
                <w:color w:val="000000"/>
                <w:sz w:val="20"/>
                <w:szCs w:val="20"/>
              </w:rPr>
            </w:pPr>
            <w:r w:rsidRPr="003D1C56">
              <w:rPr>
                <w:rFonts w:ascii="Calibri" w:hAnsi="Calibri"/>
                <w:b/>
                <w:bCs/>
                <w:color w:val="000000"/>
                <w:sz w:val="20"/>
                <w:szCs w:val="20"/>
              </w:rPr>
              <w:t>Celkem</w:t>
            </w:r>
          </w:p>
        </w:tc>
        <w:tc>
          <w:tcPr>
            <w:tcW w:w="1757" w:type="dxa"/>
            <w:noWrap/>
            <w:hideMark/>
          </w:tcPr>
          <w:p w14:paraId="112F9221" w14:textId="77777777" w:rsidR="00DE4A20" w:rsidRPr="003D1C56" w:rsidRDefault="00DE4A20" w:rsidP="00D27C6C">
            <w:pPr>
              <w:spacing w:after="0"/>
              <w:jc w:val="center"/>
              <w:rPr>
                <w:rFonts w:ascii="Calibri" w:hAnsi="Calibri"/>
                <w:b/>
                <w:bCs/>
                <w:color w:val="000000"/>
                <w:sz w:val="20"/>
                <w:szCs w:val="20"/>
              </w:rPr>
            </w:pPr>
            <w:r w:rsidRPr="003D1C56">
              <w:rPr>
                <w:rFonts w:ascii="Calibri" w:hAnsi="Calibri"/>
                <w:b/>
                <w:bCs/>
                <w:color w:val="000000"/>
                <w:sz w:val="20"/>
                <w:szCs w:val="20"/>
              </w:rPr>
              <w:t>20</w:t>
            </w:r>
          </w:p>
        </w:tc>
        <w:tc>
          <w:tcPr>
            <w:tcW w:w="3345" w:type="dxa"/>
            <w:noWrap/>
            <w:hideMark/>
          </w:tcPr>
          <w:p w14:paraId="6905C57E" w14:textId="77777777" w:rsidR="00DE4A20" w:rsidRPr="003D1C56" w:rsidRDefault="00DE4A20" w:rsidP="00D27C6C">
            <w:pPr>
              <w:spacing w:after="0"/>
              <w:jc w:val="right"/>
              <w:rPr>
                <w:rFonts w:ascii="Calibri" w:hAnsi="Calibri"/>
                <w:b/>
                <w:bCs/>
                <w:color w:val="000000"/>
                <w:sz w:val="20"/>
                <w:szCs w:val="20"/>
              </w:rPr>
            </w:pPr>
            <w:r w:rsidRPr="003D1C56">
              <w:rPr>
                <w:rFonts w:ascii="Calibri" w:hAnsi="Calibri"/>
                <w:b/>
                <w:bCs/>
                <w:color w:val="000000"/>
                <w:sz w:val="20"/>
                <w:szCs w:val="20"/>
              </w:rPr>
              <w:t>2 155 800 621</w:t>
            </w:r>
          </w:p>
        </w:tc>
        <w:tc>
          <w:tcPr>
            <w:tcW w:w="2211" w:type="dxa"/>
          </w:tcPr>
          <w:p w14:paraId="1D7653E2" w14:textId="64F7CE2F" w:rsidR="00DE4A20" w:rsidRPr="001A69FF" w:rsidRDefault="003B260A" w:rsidP="00DE4A20">
            <w:pPr>
              <w:spacing w:after="0"/>
              <w:jc w:val="center"/>
              <w:rPr>
                <w:rFonts w:ascii="Calibri" w:hAnsi="Calibri"/>
                <w:bCs/>
                <w:color w:val="000000"/>
                <w:sz w:val="20"/>
                <w:szCs w:val="20"/>
              </w:rPr>
            </w:pPr>
            <w:r>
              <w:rPr>
                <w:rFonts w:ascii="Calibri" w:hAnsi="Calibri"/>
                <w:bCs/>
                <w:color w:val="000000"/>
                <w:sz w:val="20"/>
                <w:szCs w:val="20"/>
              </w:rPr>
              <w:t>–</w:t>
            </w:r>
          </w:p>
        </w:tc>
      </w:tr>
    </w:tbl>
    <w:p w14:paraId="5117BC89" w14:textId="77777777" w:rsidR="00B96429" w:rsidRPr="003D1C56" w:rsidRDefault="00CD2800" w:rsidP="00D27C6C">
      <w:pPr>
        <w:pStyle w:val="KPnormln"/>
        <w:spacing w:before="0"/>
        <w:ind w:firstLine="0"/>
        <w:rPr>
          <w:sz w:val="20"/>
        </w:rPr>
      </w:pPr>
      <w:r w:rsidRPr="002A4E19">
        <w:rPr>
          <w:b/>
          <w:sz w:val="20"/>
        </w:rPr>
        <w:t>Zdroj:</w:t>
      </w:r>
      <w:r w:rsidR="002A4E19">
        <w:rPr>
          <w:sz w:val="20"/>
        </w:rPr>
        <w:t xml:space="preserve"> MS2014+, stav k 9.</w:t>
      </w:r>
      <w:r w:rsidR="00176C15">
        <w:rPr>
          <w:sz w:val="20"/>
        </w:rPr>
        <w:t xml:space="preserve"> </w:t>
      </w:r>
      <w:r w:rsidR="002A4E19">
        <w:rPr>
          <w:sz w:val="20"/>
        </w:rPr>
        <w:t>7.</w:t>
      </w:r>
      <w:r w:rsidR="00176C15">
        <w:rPr>
          <w:sz w:val="20"/>
        </w:rPr>
        <w:t xml:space="preserve"> </w:t>
      </w:r>
      <w:r w:rsidR="002A4E19">
        <w:rPr>
          <w:sz w:val="20"/>
        </w:rPr>
        <w:t>2019.</w:t>
      </w:r>
      <w:r w:rsidRPr="003D1C56">
        <w:rPr>
          <w:sz w:val="20"/>
        </w:rPr>
        <w:t xml:space="preserve"> </w:t>
      </w:r>
    </w:p>
    <w:p w14:paraId="16A8C656" w14:textId="77777777" w:rsidR="007E09E2" w:rsidRPr="003D1C56" w:rsidRDefault="00CD2800" w:rsidP="007E09E2">
      <w:pPr>
        <w:pStyle w:val="Nadpis2"/>
        <w:keepNext w:val="0"/>
        <w:numPr>
          <w:ilvl w:val="1"/>
          <w:numId w:val="0"/>
        </w:numPr>
        <w:tabs>
          <w:tab w:val="left" w:pos="5921"/>
        </w:tabs>
        <w:spacing w:after="0"/>
        <w:ind w:left="480" w:hanging="480"/>
        <w:contextualSpacing/>
        <w:jc w:val="both"/>
      </w:pPr>
      <w:r w:rsidRPr="003D1C56">
        <w:t>Strategická východiska pro podporu zaměstnanosti mladých</w:t>
      </w:r>
      <w:r w:rsidR="0053750F">
        <w:t xml:space="preserve"> lidí</w:t>
      </w:r>
      <w:r w:rsidRPr="003D1C56">
        <w:t xml:space="preserve"> na národní úrovni</w:t>
      </w:r>
      <w:bookmarkEnd w:id="8"/>
      <w:bookmarkEnd w:id="9"/>
      <w:bookmarkEnd w:id="10"/>
      <w:bookmarkEnd w:id="11"/>
      <w:bookmarkEnd w:id="12"/>
      <w:bookmarkEnd w:id="13"/>
      <w:bookmarkEnd w:id="14"/>
    </w:p>
    <w:p w14:paraId="63CDA0AA" w14:textId="38E23B7F" w:rsidR="007E09E2" w:rsidRPr="003D1C56" w:rsidRDefault="00CD2800" w:rsidP="00552F52">
      <w:pPr>
        <w:pStyle w:val="KPnormln"/>
        <w:ind w:firstLine="0"/>
      </w:pPr>
      <w:r w:rsidRPr="003D1C56">
        <w:t xml:space="preserve">Hlavním souhrnným strategickým dokumentem na národní úrovni je </w:t>
      </w:r>
      <w:r w:rsidR="003B260A">
        <w:t>pro</w:t>
      </w:r>
      <w:r w:rsidRPr="003D1C56">
        <w:t xml:space="preserve"> zkoumané období </w:t>
      </w:r>
      <w:r w:rsidRPr="001A69FF">
        <w:rPr>
          <w:i/>
        </w:rPr>
        <w:t>Strategie politiky zaměstnanosti do roku 2020</w:t>
      </w:r>
      <w:r w:rsidRPr="003D1C56">
        <w:t xml:space="preserve"> z roku 2014</w:t>
      </w:r>
      <w:r>
        <w:rPr>
          <w:rStyle w:val="Znakapoznpodarou"/>
          <w:rFonts w:eastAsiaTheme="minorHAnsi"/>
        </w:rPr>
        <w:footnoteReference w:id="14"/>
      </w:r>
      <w:r w:rsidRPr="003D1C56">
        <w:t xml:space="preserve"> (dále </w:t>
      </w:r>
      <w:r w:rsidR="00D22B77" w:rsidRPr="003D1C56">
        <w:t>také</w:t>
      </w:r>
      <w:r w:rsidRPr="003D1C56">
        <w:t xml:space="preserve"> „Strategie“). Strategie vychází ze situace existující v roce jejího vzniku, tedy v době doznívající </w:t>
      </w:r>
      <w:r w:rsidR="003B260A">
        <w:t>ekonomické krize</w:t>
      </w:r>
      <w:r w:rsidRPr="003D1C56">
        <w:t>. Mezi hl</w:t>
      </w:r>
      <w:r w:rsidR="00D22B77" w:rsidRPr="003D1C56">
        <w:t>avní problémy trhu práce patřil</w:t>
      </w:r>
      <w:r w:rsidR="003B260A">
        <w:t>a</w:t>
      </w:r>
      <w:r w:rsidRPr="003D1C56">
        <w:t xml:space="preserve"> podle Strategie nedostatečná tvorba pracovních míst</w:t>
      </w:r>
      <w:r w:rsidR="003B260A">
        <w:t>, resp.</w:t>
      </w:r>
      <w:r w:rsidRPr="003D1C56">
        <w:t xml:space="preserve"> vysoký převis nabídky pracovní síly nad poptávkou. Tato situace </w:t>
      </w:r>
      <w:r w:rsidR="00D22B77" w:rsidRPr="003D1C56">
        <w:t>měla</w:t>
      </w:r>
      <w:r w:rsidRPr="003D1C56">
        <w:t xml:space="preserve"> nestejnoměrný dopad na jednotlivé skupiny osob</w:t>
      </w:r>
      <w:r w:rsidR="00D22B77" w:rsidRPr="003D1C56">
        <w:t>. Nejvíce byly</w:t>
      </w:r>
      <w:r w:rsidRPr="003D1C56">
        <w:t xml:space="preserve"> postiženy znevýhodněné skupiny</w:t>
      </w:r>
      <w:r w:rsidR="00D22B77" w:rsidRPr="003D1C56">
        <w:t>,</w:t>
      </w:r>
      <w:r w:rsidRPr="003D1C56">
        <w:t xml:space="preserve"> </w:t>
      </w:r>
      <w:r w:rsidR="00D22B77" w:rsidRPr="003D1C56">
        <w:t>mj. mladí lidé</w:t>
      </w:r>
      <w:r w:rsidRPr="003D1C56">
        <w:t xml:space="preserve">. Za hlavní příčiny byly </w:t>
      </w:r>
      <w:r w:rsidR="003B260A">
        <w:t>ve S</w:t>
      </w:r>
      <w:r w:rsidRPr="003D1C56">
        <w:t>trategi</w:t>
      </w:r>
      <w:r w:rsidR="003B260A">
        <w:t>i</w:t>
      </w:r>
      <w:r w:rsidRPr="003D1C56">
        <w:t xml:space="preserve"> </w:t>
      </w:r>
      <w:r w:rsidR="003B260A">
        <w:t>označeny</w:t>
      </w:r>
      <w:r w:rsidRPr="003D1C56">
        <w:t xml:space="preserve"> neodpovídající struktura</w:t>
      </w:r>
      <w:r w:rsidR="009F6860">
        <w:t xml:space="preserve"> kvalifikace</w:t>
      </w:r>
      <w:r w:rsidRPr="003D1C56">
        <w:t xml:space="preserve"> a nedostatek praktických zkušeností, ale i neodpovídající představy mladých</w:t>
      </w:r>
      <w:r w:rsidR="0053750F">
        <w:t xml:space="preserve"> lidí</w:t>
      </w:r>
      <w:r w:rsidRPr="003D1C56">
        <w:t xml:space="preserve">. Všechny tyto faktory měly za následek horší situaci při uplatnění na trhu práce. </w:t>
      </w:r>
    </w:p>
    <w:p w14:paraId="62998846" w14:textId="36584BEA" w:rsidR="007E09E2" w:rsidRPr="003D1C56" w:rsidRDefault="00CD2800" w:rsidP="00552F52">
      <w:pPr>
        <w:pStyle w:val="KPnormln"/>
        <w:ind w:firstLine="0"/>
      </w:pPr>
      <w:r w:rsidRPr="003D1C56">
        <w:t xml:space="preserve">Klíčovým nástrojem pro řešení této nepříznivé situace měl být program </w:t>
      </w:r>
      <w:r w:rsidRPr="001A69FF">
        <w:rPr>
          <w:i/>
        </w:rPr>
        <w:t>Záruky pro mládež</w:t>
      </w:r>
      <w:r w:rsidRPr="003D1C56">
        <w:t>, obsahující jak preventivní složku (informa</w:t>
      </w:r>
      <w:r w:rsidR="003B260A">
        <w:t>ční</w:t>
      </w:r>
      <w:r w:rsidRPr="003D1C56">
        <w:t xml:space="preserve"> kampaň formou kariérového poradenství apod.), tak i řešení ke zvýšení uplatnitelnosti na trhu práce (vytváření pracovních míst, rekvalifikace atd.). </w:t>
      </w:r>
    </w:p>
    <w:p w14:paraId="370DE290" w14:textId="0FEA0323" w:rsidR="007E09E2" w:rsidRPr="003D1C56" w:rsidRDefault="00CD2800" w:rsidP="00552F52">
      <w:pPr>
        <w:pStyle w:val="KPnormln"/>
        <w:ind w:firstLine="0"/>
      </w:pPr>
      <w:r w:rsidRPr="003D1C56">
        <w:t xml:space="preserve">V prosinci 2017 </w:t>
      </w:r>
      <w:r w:rsidR="00482FC2">
        <w:t xml:space="preserve">byla </w:t>
      </w:r>
      <w:r w:rsidR="00A87F9E">
        <w:t>vypraco</w:t>
      </w:r>
      <w:r w:rsidR="00482FC2">
        <w:t xml:space="preserve">vána </w:t>
      </w:r>
      <w:r w:rsidR="001A69FF">
        <w:t>A</w:t>
      </w:r>
      <w:r w:rsidRPr="003D1C56">
        <w:t>ktualizac</w:t>
      </w:r>
      <w:r w:rsidR="00482FC2">
        <w:t>e</w:t>
      </w:r>
      <w:r w:rsidRPr="003D1C56">
        <w:t xml:space="preserve"> Strategie</w:t>
      </w:r>
      <w:r>
        <w:rPr>
          <w:rStyle w:val="Znakapoznpodarou"/>
          <w:rFonts w:eastAsiaTheme="minorHAnsi"/>
        </w:rPr>
        <w:footnoteReference w:id="15"/>
      </w:r>
      <w:r w:rsidRPr="003D1C56">
        <w:t xml:space="preserve">, která konstatuje, že se česká ekonomika nachází ve fázi hospodářské konjunktury. Aktualizovaná strategie dále uvádí, že </w:t>
      </w:r>
      <w:r w:rsidRPr="003D1C56">
        <w:lastRenderedPageBreak/>
        <w:t xml:space="preserve">všechny cíle politiky zaměstnanosti </w:t>
      </w:r>
      <w:r w:rsidR="00377099" w:rsidRPr="003D1C56">
        <w:t xml:space="preserve">s vazbou na strategii </w:t>
      </w:r>
      <w:r w:rsidR="00377099" w:rsidRPr="001A69FF">
        <w:rPr>
          <w:i/>
        </w:rPr>
        <w:t>Evropa 2020</w:t>
      </w:r>
      <w:r w:rsidR="00377099" w:rsidRPr="003D1C56">
        <w:t xml:space="preserve"> </w:t>
      </w:r>
      <w:r w:rsidRPr="003D1C56">
        <w:t xml:space="preserve">byly dosaženy nejpozději ve čtvrtém kvartále roku 2016. </w:t>
      </w:r>
    </w:p>
    <w:p w14:paraId="2AB96ED4" w14:textId="77777777" w:rsidR="007E09E2" w:rsidRPr="003D1C56" w:rsidRDefault="0053750F" w:rsidP="00552F52">
      <w:pPr>
        <w:pStyle w:val="KPnormln"/>
        <w:ind w:firstLine="0"/>
      </w:pPr>
      <w:r>
        <w:t>Došlo ke změně</w:t>
      </w:r>
      <w:r w:rsidR="00CD2800" w:rsidRPr="003D1C56">
        <w:t xml:space="preserve"> situace oproti roku 2014 a oproti výchozímu období Strategie se český trh práce nachází pod úrovní přirozené míry nezaměstnanosti</w:t>
      </w:r>
      <w:r w:rsidR="00F76FC1">
        <w:rPr>
          <w:rStyle w:val="Znakapoznpodarou"/>
        </w:rPr>
        <w:footnoteReference w:id="16"/>
      </w:r>
      <w:r w:rsidR="00CD2800" w:rsidRPr="003D1C56">
        <w:t xml:space="preserve">, na hranici vyčerpání zdrojů dostupné pracovní síly. </w:t>
      </w:r>
    </w:p>
    <w:p w14:paraId="26DD7D8E" w14:textId="5032A2B3" w:rsidR="00321CA1" w:rsidRPr="003D1C56" w:rsidRDefault="00CD2800" w:rsidP="00321CA1">
      <w:pPr>
        <w:keepNext/>
        <w:keepLines/>
        <w:spacing w:before="240" w:after="0"/>
        <w:rPr>
          <w:iCs/>
        </w:rPr>
      </w:pPr>
      <w:r w:rsidRPr="003D1C56">
        <w:rPr>
          <w:iCs/>
        </w:rPr>
        <w:t xml:space="preserve">Graf č. </w:t>
      </w:r>
      <w:r w:rsidRPr="003D1C56">
        <w:rPr>
          <w:iCs/>
        </w:rPr>
        <w:fldChar w:fldCharType="begin"/>
      </w:r>
      <w:r w:rsidRPr="003D1C56">
        <w:rPr>
          <w:iCs/>
        </w:rPr>
        <w:instrText xml:space="preserve"> SEQ Graf_č. \* ARABIC </w:instrText>
      </w:r>
      <w:r w:rsidRPr="003D1C56">
        <w:rPr>
          <w:iCs/>
        </w:rPr>
        <w:fldChar w:fldCharType="separate"/>
      </w:r>
      <w:r w:rsidR="00996C4C">
        <w:rPr>
          <w:iCs/>
          <w:noProof/>
        </w:rPr>
        <w:t>1</w:t>
      </w:r>
      <w:r w:rsidRPr="003D1C56">
        <w:rPr>
          <w:iCs/>
        </w:rPr>
        <w:fldChar w:fldCharType="end"/>
      </w:r>
      <w:r w:rsidRPr="003D1C56">
        <w:rPr>
          <w:iCs/>
        </w:rPr>
        <w:t>: Vývoj počtu uchazečů o zaměstnání v České republice</w:t>
      </w:r>
      <w:r w:rsidR="00182710" w:rsidRPr="003D1C56">
        <w:rPr>
          <w:iCs/>
        </w:rPr>
        <w:t xml:space="preserve"> dle věkových kategorií</w:t>
      </w:r>
    </w:p>
    <w:p w14:paraId="1A266F74" w14:textId="1F9FDFEB" w:rsidR="00D37E2F" w:rsidRPr="003D1C56" w:rsidRDefault="007432EB" w:rsidP="0099191B">
      <w:pPr>
        <w:jc w:val="both"/>
      </w:pPr>
      <w:r>
        <w:rPr>
          <w:noProof/>
        </w:rPr>
        <w:drawing>
          <wp:inline distT="0" distB="0" distL="0" distR="0" wp14:anchorId="535DED19" wp14:editId="6D304BCB">
            <wp:extent cx="5817235" cy="3686810"/>
            <wp:effectExtent l="0" t="0" r="0" b="889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8E77D4" w14:textId="77777777" w:rsidR="00E346F3" w:rsidRPr="003D1C56" w:rsidRDefault="00CD2800" w:rsidP="00E346F3">
      <w:pPr>
        <w:tabs>
          <w:tab w:val="left" w:pos="3450"/>
        </w:tabs>
        <w:rPr>
          <w:sz w:val="20"/>
        </w:rPr>
      </w:pPr>
      <w:r w:rsidRPr="006C0CA5">
        <w:rPr>
          <w:b/>
          <w:sz w:val="20"/>
        </w:rPr>
        <w:t>Zdroj:</w:t>
      </w:r>
      <w:r w:rsidR="0053750F">
        <w:rPr>
          <w:sz w:val="20"/>
        </w:rPr>
        <w:t xml:space="preserve"> integrovaný portál </w:t>
      </w:r>
      <w:r w:rsidR="00C12D2B" w:rsidRPr="003D1C56">
        <w:rPr>
          <w:sz w:val="20"/>
        </w:rPr>
        <w:t>MPSV</w:t>
      </w:r>
      <w:r w:rsidR="006C0CA5">
        <w:rPr>
          <w:sz w:val="20"/>
        </w:rPr>
        <w:t>.</w:t>
      </w:r>
    </w:p>
    <w:p w14:paraId="2797CCD2" w14:textId="77777777" w:rsidR="00462F78" w:rsidRPr="003D1C56" w:rsidRDefault="00CD2800" w:rsidP="008124D7">
      <w:pPr>
        <w:pStyle w:val="Nadpis1"/>
      </w:pPr>
      <w:r w:rsidRPr="003D1C56">
        <w:t>III. Rozsah kontroly</w:t>
      </w:r>
    </w:p>
    <w:p w14:paraId="05994EBD" w14:textId="77777777" w:rsidR="00F448C6" w:rsidRDefault="00CD2800" w:rsidP="00F448C6">
      <w:pPr>
        <w:jc w:val="both"/>
        <w:rPr>
          <w:rFonts w:cstheme="minorHAnsi"/>
          <w:lang w:eastAsia="en-US"/>
        </w:rPr>
      </w:pPr>
      <w:r w:rsidRPr="003D1C56">
        <w:rPr>
          <w:rFonts w:cstheme="minorHAnsi"/>
          <w:lang w:eastAsia="en-US"/>
        </w:rPr>
        <w:t xml:space="preserve">Kontrolní akcí </w:t>
      </w:r>
      <w:r w:rsidR="000D6413" w:rsidRPr="003D1C56">
        <w:rPr>
          <w:rFonts w:cstheme="minorHAnsi"/>
          <w:lang w:eastAsia="en-US"/>
        </w:rPr>
        <w:t xml:space="preserve">č. </w:t>
      </w:r>
      <w:r w:rsidRPr="003D1C56">
        <w:rPr>
          <w:rFonts w:cstheme="minorHAnsi"/>
          <w:lang w:eastAsia="en-US"/>
        </w:rPr>
        <w:t xml:space="preserve">18/28 bylo prověřeno, zda kontrolované osoby poskytují a čerpají peněžní prostředky na realizaci vybraných opatření v souladu s právními předpisy, účelně, hospodárně a efektivně a zda vybrané projekty na podporu zaměstnanosti a adaptability pracovní síly přispívají k naplnění cíle, který je pro oblast zaměstnanosti mladých lidí stanoven ve strategii </w:t>
      </w:r>
      <w:r w:rsidRPr="00801A50">
        <w:rPr>
          <w:rFonts w:cstheme="minorHAnsi"/>
          <w:i/>
          <w:lang w:eastAsia="en-US"/>
        </w:rPr>
        <w:t>Evropa 2020</w:t>
      </w:r>
      <w:r w:rsidRPr="003D1C56">
        <w:rPr>
          <w:rFonts w:cstheme="minorHAnsi"/>
          <w:lang w:eastAsia="en-US"/>
        </w:rPr>
        <w:t>.</w:t>
      </w:r>
    </w:p>
    <w:p w14:paraId="656E4FD8" w14:textId="12BE6E76" w:rsidR="009E130F" w:rsidRPr="003D1C56" w:rsidRDefault="009E130F" w:rsidP="00F448C6">
      <w:pPr>
        <w:jc w:val="both"/>
        <w:rPr>
          <w:rFonts w:cstheme="minorHAnsi"/>
          <w:lang w:eastAsia="en-US"/>
        </w:rPr>
      </w:pPr>
      <w:r>
        <w:rPr>
          <w:rFonts w:cstheme="minorHAnsi"/>
          <w:lang w:eastAsia="en-US"/>
        </w:rPr>
        <w:t>Kritériem účelnosti bylo především posoudit to, jak vynaložené zdroje přispěly k dosahov</w:t>
      </w:r>
      <w:r w:rsidR="00940FC2">
        <w:rPr>
          <w:rFonts w:cstheme="minorHAnsi"/>
          <w:lang w:eastAsia="en-US"/>
        </w:rPr>
        <w:t>á</w:t>
      </w:r>
      <w:r>
        <w:rPr>
          <w:rFonts w:cstheme="minorHAnsi"/>
          <w:lang w:eastAsia="en-US"/>
        </w:rPr>
        <w:t xml:space="preserve">ní stanovených cílů a dalších parametrů určených poskytovatelem podpory. V případě kritéria efektivnosti šlo o porovnání přínosů projektů a </w:t>
      </w:r>
      <w:r w:rsidR="00940FC2">
        <w:rPr>
          <w:rFonts w:cstheme="minorHAnsi"/>
          <w:lang w:eastAsia="en-US"/>
        </w:rPr>
        <w:t xml:space="preserve">realizovaných </w:t>
      </w:r>
      <w:r>
        <w:rPr>
          <w:rFonts w:cstheme="minorHAnsi"/>
          <w:lang w:eastAsia="en-US"/>
        </w:rPr>
        <w:t>aktivit s objemem vynaložených peněžních prostředků. Kritériem hospodárnosti bylo především dodržení podmínek pro výběr dodavatelů a respektování cen v místě a čase obvyklých.</w:t>
      </w:r>
    </w:p>
    <w:p w14:paraId="53FA1198" w14:textId="77777777" w:rsidR="00487B6C" w:rsidRPr="003D1C56" w:rsidRDefault="00CD2800" w:rsidP="00487B6C">
      <w:pPr>
        <w:pStyle w:val="Zkladntextodsazen"/>
        <w:spacing w:after="0"/>
        <w:ind w:left="0"/>
        <w:jc w:val="both"/>
        <w:rPr>
          <w:rFonts w:ascii="Calibri" w:hAnsi="Calibri" w:cs="Calibri"/>
        </w:rPr>
      </w:pPr>
      <w:r w:rsidRPr="003D1C56">
        <w:rPr>
          <w:rFonts w:ascii="Calibri" w:hAnsi="Calibri" w:cs="Calibri"/>
        </w:rPr>
        <w:t>Kontrolováno bylo období od roku 201</w:t>
      </w:r>
      <w:r w:rsidR="00F448C6" w:rsidRPr="003D1C56">
        <w:rPr>
          <w:rFonts w:ascii="Calibri" w:hAnsi="Calibri" w:cs="Calibri"/>
        </w:rPr>
        <w:t>4</w:t>
      </w:r>
      <w:r w:rsidRPr="003D1C56">
        <w:rPr>
          <w:rFonts w:ascii="Calibri" w:hAnsi="Calibri" w:cs="Calibri"/>
        </w:rPr>
        <w:t xml:space="preserve"> do roku 201</w:t>
      </w:r>
      <w:r w:rsidR="00F448C6" w:rsidRPr="003D1C56">
        <w:rPr>
          <w:rFonts w:ascii="Calibri" w:hAnsi="Calibri" w:cs="Calibri"/>
        </w:rPr>
        <w:t>8</w:t>
      </w:r>
      <w:r w:rsidRPr="003D1C56">
        <w:rPr>
          <w:rFonts w:ascii="Calibri" w:hAnsi="Calibri" w:cs="Calibri"/>
        </w:rPr>
        <w:t xml:space="preserve">, v případě věcných souvislostí i období předcházející a následující. </w:t>
      </w:r>
    </w:p>
    <w:p w14:paraId="3B81E549" w14:textId="77777777" w:rsidR="00487B6C" w:rsidRPr="003D1C56" w:rsidRDefault="00CD2800" w:rsidP="00B56829">
      <w:pPr>
        <w:spacing w:before="240"/>
        <w:jc w:val="both"/>
      </w:pPr>
      <w:r w:rsidRPr="003D1C56">
        <w:t>Nejvyšší kontrolní úřad prověřil:</w:t>
      </w:r>
    </w:p>
    <w:p w14:paraId="0145FF09" w14:textId="050BFEED" w:rsidR="00487B6C" w:rsidRPr="003D1C56" w:rsidRDefault="00F65D22" w:rsidP="007563AF">
      <w:pPr>
        <w:pStyle w:val="Odstavecseseznamem"/>
        <w:numPr>
          <w:ilvl w:val="0"/>
          <w:numId w:val="2"/>
        </w:numPr>
        <w:jc w:val="both"/>
      </w:pPr>
      <w:r>
        <w:t>P</w:t>
      </w:r>
      <w:r w:rsidR="00CD2800" w:rsidRPr="003D1C56">
        <w:t>lnění povinnost</w:t>
      </w:r>
      <w:r w:rsidR="006204F8" w:rsidRPr="003D1C56">
        <w:t>í</w:t>
      </w:r>
      <w:r w:rsidR="00CD2800" w:rsidRPr="003D1C56">
        <w:t xml:space="preserve"> </w:t>
      </w:r>
      <w:r w:rsidR="005A78E3" w:rsidRPr="003D1C56">
        <w:t xml:space="preserve">MPSV jakožto řídicího orgánu </w:t>
      </w:r>
      <w:r w:rsidR="006C0CA5">
        <w:t>OPZ, zejména hodnocení, výběr a </w:t>
      </w:r>
      <w:r w:rsidR="005A78E3" w:rsidRPr="003D1C56">
        <w:t>schvalování projektů</w:t>
      </w:r>
      <w:r w:rsidR="00E061D6">
        <w:t>, provádění</w:t>
      </w:r>
      <w:r w:rsidR="005A78E3" w:rsidRPr="003D1C56">
        <w:t xml:space="preserve"> změn</w:t>
      </w:r>
      <w:r w:rsidR="00E061D6">
        <w:t xml:space="preserve"> projektů</w:t>
      </w:r>
      <w:r w:rsidR="005A78E3" w:rsidRPr="003D1C56">
        <w:t>, kontroly projektů, hlášení a šetření nesrovnalostí</w:t>
      </w:r>
      <w:r w:rsidR="00CD2800" w:rsidRPr="003D1C56">
        <w:t>.</w:t>
      </w:r>
      <w:r w:rsidR="005A78E3" w:rsidRPr="003D1C56">
        <w:t xml:space="preserve"> NKÚ dále kontroloval činnosti MPSV spojené se strategickým řízením OPZ a</w:t>
      </w:r>
      <w:r w:rsidR="00E061D6">
        <w:t> </w:t>
      </w:r>
      <w:r w:rsidR="005A78E3" w:rsidRPr="003D1C56">
        <w:t xml:space="preserve">koordinaci programu </w:t>
      </w:r>
      <w:r w:rsidR="005A78E3" w:rsidRPr="00E82DB8">
        <w:rPr>
          <w:i/>
        </w:rPr>
        <w:t>Záruky pro mladé</w:t>
      </w:r>
      <w:r w:rsidR="005A78E3" w:rsidRPr="003D1C56">
        <w:t xml:space="preserve">. </w:t>
      </w:r>
    </w:p>
    <w:p w14:paraId="7555A3C1" w14:textId="77777777" w:rsidR="00B95E97" w:rsidRPr="003D1C56" w:rsidRDefault="00CD2800" w:rsidP="00B95E97">
      <w:pPr>
        <w:pStyle w:val="Odstavecseseznamem"/>
        <w:numPr>
          <w:ilvl w:val="0"/>
          <w:numId w:val="2"/>
        </w:numPr>
        <w:jc w:val="both"/>
      </w:pPr>
      <w:r w:rsidRPr="003D1C56">
        <w:t>Tři</w:t>
      </w:r>
      <w:r w:rsidR="00487B6C" w:rsidRPr="003D1C56">
        <w:t xml:space="preserve"> projekt</w:t>
      </w:r>
      <w:r w:rsidRPr="003D1C56">
        <w:t>y, na jejichž realizaci poskytlo</w:t>
      </w:r>
      <w:r w:rsidR="00487B6C" w:rsidRPr="003D1C56">
        <w:t xml:space="preserve"> </w:t>
      </w:r>
      <w:r w:rsidRPr="003D1C56">
        <w:t>MPSV</w:t>
      </w:r>
      <w:r w:rsidR="00487B6C" w:rsidRPr="003D1C56">
        <w:t xml:space="preserve"> celkem </w:t>
      </w:r>
      <w:r w:rsidR="002A2F89" w:rsidRPr="003D1C56">
        <w:t>469 634 509,30</w:t>
      </w:r>
      <w:r w:rsidR="00487B6C" w:rsidRPr="003D1C56">
        <w:rPr>
          <w:rFonts w:ascii="Calibri" w:hAnsi="Calibri" w:cs="Calibri"/>
          <w:color w:val="000000"/>
        </w:rPr>
        <w:t> </w:t>
      </w:r>
      <w:r w:rsidR="00487B6C" w:rsidRPr="003D1C56">
        <w:t xml:space="preserve">Kč. </w:t>
      </w:r>
      <w:r w:rsidRPr="003D1C56">
        <w:t>Jednalo se</w:t>
      </w:r>
      <w:r w:rsidR="00377099" w:rsidRPr="003D1C56">
        <w:t xml:space="preserve"> o</w:t>
      </w:r>
      <w:r w:rsidR="006C0CA5">
        <w:t> </w:t>
      </w:r>
      <w:r w:rsidRPr="003D1C56">
        <w:t>projekty:</w:t>
      </w:r>
    </w:p>
    <w:p w14:paraId="717818C0" w14:textId="77777777" w:rsidR="00B95E97" w:rsidRPr="003D1C56" w:rsidRDefault="00CD2800" w:rsidP="00B56829">
      <w:pPr>
        <w:pStyle w:val="Odstavecseseznamem"/>
        <w:numPr>
          <w:ilvl w:val="1"/>
          <w:numId w:val="2"/>
        </w:numPr>
        <w:spacing w:after="0"/>
        <w:jc w:val="both"/>
      </w:pPr>
      <w:r w:rsidRPr="003D1C56">
        <w:t xml:space="preserve">CZ.03.1.48/0.0/0.0/15_004/0000002 </w:t>
      </w:r>
      <w:r w:rsidRPr="00E82DB8">
        <w:rPr>
          <w:i/>
        </w:rPr>
        <w:t>Záruky pro mladé v Libereckém kraji</w:t>
      </w:r>
      <w:r w:rsidRPr="003D1C56">
        <w:t xml:space="preserve"> (dále také „ZÁRUKY“)</w:t>
      </w:r>
      <w:r w:rsidR="0053750F">
        <w:t>,</w:t>
      </w:r>
    </w:p>
    <w:p w14:paraId="275A69E0" w14:textId="77777777" w:rsidR="00B95E97" w:rsidRPr="003D1C56" w:rsidRDefault="00CD2800" w:rsidP="00B56829">
      <w:pPr>
        <w:pStyle w:val="Odstavecseseznamem"/>
        <w:numPr>
          <w:ilvl w:val="1"/>
          <w:numId w:val="2"/>
        </w:numPr>
        <w:spacing w:after="0"/>
        <w:jc w:val="both"/>
      </w:pPr>
      <w:r w:rsidRPr="003D1C56">
        <w:t xml:space="preserve">CZ.03.1.49/0.0/0.0/15_003/0000051 </w:t>
      </w:r>
      <w:r w:rsidRPr="00E82DB8">
        <w:rPr>
          <w:i/>
        </w:rPr>
        <w:t>Iniciativa podpory zaměstnanosti mládeže pro region NUTS 2 Severozápad v Ústeckém kraji</w:t>
      </w:r>
      <w:r w:rsidRPr="003D1C56">
        <w:t xml:space="preserve"> (dále také „INICIATIVA“)</w:t>
      </w:r>
      <w:r w:rsidR="0053750F">
        <w:t>,</w:t>
      </w:r>
    </w:p>
    <w:p w14:paraId="529C6E0C" w14:textId="77777777" w:rsidR="00B95E97" w:rsidRPr="003D1C56" w:rsidRDefault="00CD2800" w:rsidP="00B56829">
      <w:pPr>
        <w:pStyle w:val="Odstavecseseznamem"/>
        <w:numPr>
          <w:ilvl w:val="1"/>
          <w:numId w:val="2"/>
        </w:numPr>
        <w:spacing w:after="0"/>
        <w:jc w:val="both"/>
      </w:pPr>
      <w:r w:rsidRPr="003D1C56">
        <w:t xml:space="preserve">CZ.03.1.49/0.0/0.0/15_116/0001786 </w:t>
      </w:r>
      <w:r w:rsidRPr="00E82DB8">
        <w:rPr>
          <w:i/>
        </w:rPr>
        <w:t>Komplexní program podpory mladých lidí na trhu práce v Ústeckém kraji – TRANSFER</w:t>
      </w:r>
      <w:r w:rsidRPr="003D1C56">
        <w:t xml:space="preserve"> (dále také „TRANSFER“)</w:t>
      </w:r>
      <w:r w:rsidR="0053750F">
        <w:t>.</w:t>
      </w:r>
    </w:p>
    <w:p w14:paraId="56369AA0" w14:textId="5EECB5AD" w:rsidR="00964890" w:rsidRPr="003D1C56" w:rsidRDefault="00CD2800" w:rsidP="00B95E97">
      <w:pPr>
        <w:keepNext/>
        <w:keepLines/>
        <w:spacing w:before="240" w:after="0"/>
        <w:rPr>
          <w:iCs/>
        </w:rPr>
      </w:pPr>
      <w:r w:rsidRPr="003D1C56">
        <w:rPr>
          <w:iCs/>
        </w:rPr>
        <w:t xml:space="preserve">Tabulka č. </w:t>
      </w:r>
      <w:r w:rsidRPr="003D1C56">
        <w:rPr>
          <w:iCs/>
        </w:rPr>
        <w:fldChar w:fldCharType="begin"/>
      </w:r>
      <w:r w:rsidRPr="003D1C56">
        <w:rPr>
          <w:iCs/>
        </w:rPr>
        <w:instrText xml:space="preserve"> SEQ Tabulka_č. \* ARABIC </w:instrText>
      </w:r>
      <w:r w:rsidRPr="003D1C56">
        <w:rPr>
          <w:iCs/>
        </w:rPr>
        <w:fldChar w:fldCharType="separate"/>
      </w:r>
      <w:r w:rsidR="00996C4C">
        <w:rPr>
          <w:iCs/>
          <w:noProof/>
        </w:rPr>
        <w:t>3</w:t>
      </w:r>
      <w:r w:rsidRPr="003D1C56">
        <w:rPr>
          <w:iCs/>
        </w:rPr>
        <w:fldChar w:fldCharType="end"/>
      </w:r>
      <w:r w:rsidRPr="003D1C56">
        <w:rPr>
          <w:iCs/>
        </w:rPr>
        <w:t>: Základní informace ke kontrolovaným projektům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689"/>
        <w:gridCol w:w="1219"/>
        <w:gridCol w:w="1506"/>
        <w:gridCol w:w="1470"/>
        <w:gridCol w:w="1686"/>
      </w:tblGrid>
      <w:tr w:rsidR="00C76F45" w14:paraId="62D58B34" w14:textId="77777777" w:rsidTr="006871DE">
        <w:trPr>
          <w:trHeight w:val="982"/>
        </w:trPr>
        <w:tc>
          <w:tcPr>
            <w:tcW w:w="2497" w:type="dxa"/>
            <w:shd w:val="clear" w:color="auto" w:fill="E5F1FF"/>
            <w:vAlign w:val="center"/>
          </w:tcPr>
          <w:p w14:paraId="07D6C4EB" w14:textId="77777777" w:rsidR="002A2F89" w:rsidRPr="003D1C56" w:rsidRDefault="00CD2800" w:rsidP="00182710">
            <w:pPr>
              <w:pStyle w:val="KPnormln"/>
              <w:spacing w:before="0" w:after="0"/>
              <w:ind w:firstLine="0"/>
              <w:jc w:val="center"/>
              <w:rPr>
                <w:b/>
                <w:sz w:val="20"/>
                <w:szCs w:val="20"/>
              </w:rPr>
            </w:pPr>
            <w:r w:rsidRPr="003D1C56">
              <w:rPr>
                <w:b/>
                <w:sz w:val="20"/>
                <w:szCs w:val="20"/>
              </w:rPr>
              <w:t>Zkrácený název projektu</w:t>
            </w:r>
          </w:p>
        </w:tc>
        <w:tc>
          <w:tcPr>
            <w:tcW w:w="689" w:type="dxa"/>
            <w:shd w:val="clear" w:color="auto" w:fill="E5F1FF"/>
            <w:vAlign w:val="center"/>
          </w:tcPr>
          <w:p w14:paraId="554D2836" w14:textId="77777777" w:rsidR="002A2F89" w:rsidRPr="003D1C56" w:rsidRDefault="00CD2800" w:rsidP="00182710">
            <w:pPr>
              <w:pStyle w:val="KPnormln"/>
              <w:spacing w:before="0" w:after="0"/>
              <w:ind w:firstLine="0"/>
              <w:jc w:val="center"/>
              <w:rPr>
                <w:b/>
                <w:sz w:val="20"/>
                <w:szCs w:val="20"/>
              </w:rPr>
            </w:pPr>
            <w:r w:rsidRPr="003D1C56">
              <w:rPr>
                <w:b/>
                <w:sz w:val="20"/>
                <w:szCs w:val="20"/>
              </w:rPr>
              <w:t>Číslo výzvy</w:t>
            </w:r>
          </w:p>
        </w:tc>
        <w:tc>
          <w:tcPr>
            <w:tcW w:w="1219" w:type="dxa"/>
            <w:shd w:val="clear" w:color="auto" w:fill="E5F1FF"/>
            <w:vAlign w:val="center"/>
          </w:tcPr>
          <w:p w14:paraId="0C0C8C57" w14:textId="77777777" w:rsidR="002A2F89" w:rsidRPr="003D1C56" w:rsidRDefault="00CD2800" w:rsidP="00182710">
            <w:pPr>
              <w:pStyle w:val="KPnormln"/>
              <w:spacing w:before="0" w:after="0"/>
              <w:ind w:firstLine="0"/>
              <w:jc w:val="center"/>
              <w:rPr>
                <w:b/>
                <w:sz w:val="20"/>
                <w:szCs w:val="20"/>
              </w:rPr>
            </w:pPr>
            <w:r w:rsidRPr="003D1C56">
              <w:rPr>
                <w:b/>
                <w:sz w:val="20"/>
                <w:szCs w:val="20"/>
              </w:rPr>
              <w:t>Datum ukončení projektu</w:t>
            </w:r>
          </w:p>
        </w:tc>
        <w:tc>
          <w:tcPr>
            <w:tcW w:w="1506" w:type="dxa"/>
            <w:shd w:val="clear" w:color="auto" w:fill="E5F1FF"/>
            <w:vAlign w:val="center"/>
          </w:tcPr>
          <w:p w14:paraId="5870AE96" w14:textId="77777777" w:rsidR="002A2F89" w:rsidRPr="003D1C56" w:rsidRDefault="00CD2800" w:rsidP="00182710">
            <w:pPr>
              <w:pStyle w:val="KPnormln"/>
              <w:spacing w:before="0" w:after="0"/>
              <w:ind w:firstLine="0"/>
              <w:jc w:val="center"/>
              <w:rPr>
                <w:b/>
                <w:sz w:val="20"/>
                <w:szCs w:val="20"/>
              </w:rPr>
            </w:pPr>
            <w:r w:rsidRPr="003D1C56">
              <w:rPr>
                <w:b/>
                <w:sz w:val="20"/>
                <w:szCs w:val="20"/>
              </w:rPr>
              <w:t>Objem proplacených prostředků z ESF</w:t>
            </w:r>
          </w:p>
        </w:tc>
        <w:tc>
          <w:tcPr>
            <w:tcW w:w="1470" w:type="dxa"/>
            <w:shd w:val="clear" w:color="auto" w:fill="E5F1FF"/>
            <w:vAlign w:val="center"/>
          </w:tcPr>
          <w:p w14:paraId="75E6872E" w14:textId="77777777" w:rsidR="002A2F89" w:rsidRPr="003D1C56" w:rsidRDefault="00CD2800" w:rsidP="00182710">
            <w:pPr>
              <w:pStyle w:val="KPnormln"/>
              <w:spacing w:before="0" w:after="0"/>
              <w:ind w:firstLine="0"/>
              <w:jc w:val="center"/>
              <w:rPr>
                <w:b/>
                <w:sz w:val="20"/>
                <w:szCs w:val="20"/>
              </w:rPr>
            </w:pPr>
            <w:r w:rsidRPr="003D1C56">
              <w:rPr>
                <w:b/>
                <w:sz w:val="20"/>
                <w:szCs w:val="20"/>
              </w:rPr>
              <w:t>Objem proplacených prostředků ze SR</w:t>
            </w:r>
          </w:p>
        </w:tc>
        <w:tc>
          <w:tcPr>
            <w:tcW w:w="1686" w:type="dxa"/>
            <w:shd w:val="clear" w:color="auto" w:fill="E5F1FF"/>
            <w:vAlign w:val="center"/>
          </w:tcPr>
          <w:p w14:paraId="27DCF5FC" w14:textId="4AB92918" w:rsidR="002A2F89" w:rsidRPr="003D1C56" w:rsidRDefault="00CD2800" w:rsidP="00182710">
            <w:pPr>
              <w:pStyle w:val="KPnormln"/>
              <w:spacing w:before="0" w:after="0"/>
              <w:ind w:firstLine="0"/>
              <w:jc w:val="center"/>
              <w:rPr>
                <w:b/>
                <w:sz w:val="20"/>
                <w:szCs w:val="20"/>
              </w:rPr>
            </w:pPr>
            <w:r w:rsidRPr="003D1C56">
              <w:rPr>
                <w:b/>
                <w:sz w:val="20"/>
                <w:szCs w:val="20"/>
              </w:rPr>
              <w:t xml:space="preserve">Objem proplacených prostředků </w:t>
            </w:r>
            <w:r w:rsidR="00E061D6">
              <w:rPr>
                <w:b/>
                <w:sz w:val="20"/>
                <w:szCs w:val="20"/>
              </w:rPr>
              <w:t>z </w:t>
            </w:r>
            <w:r w:rsidRPr="003D1C56">
              <w:rPr>
                <w:b/>
                <w:sz w:val="20"/>
                <w:szCs w:val="20"/>
              </w:rPr>
              <w:t>OPZ celkem</w:t>
            </w:r>
          </w:p>
        </w:tc>
      </w:tr>
      <w:tr w:rsidR="00C76F45" w14:paraId="5E29CC36" w14:textId="77777777" w:rsidTr="006871DE">
        <w:trPr>
          <w:trHeight w:val="273"/>
        </w:trPr>
        <w:tc>
          <w:tcPr>
            <w:tcW w:w="2497" w:type="dxa"/>
            <w:vAlign w:val="center"/>
          </w:tcPr>
          <w:p w14:paraId="354A2EBF" w14:textId="77777777" w:rsidR="002A2F89" w:rsidRPr="003D1C56" w:rsidRDefault="00CD2800" w:rsidP="00E82DB8">
            <w:pPr>
              <w:spacing w:after="0"/>
              <w:ind w:left="164"/>
              <w:rPr>
                <w:sz w:val="20"/>
              </w:rPr>
            </w:pPr>
            <w:r w:rsidRPr="003D1C56">
              <w:rPr>
                <w:sz w:val="20"/>
              </w:rPr>
              <w:t>ZÁRUKY</w:t>
            </w:r>
          </w:p>
        </w:tc>
        <w:tc>
          <w:tcPr>
            <w:tcW w:w="689" w:type="dxa"/>
            <w:vAlign w:val="center"/>
          </w:tcPr>
          <w:p w14:paraId="79F01B97" w14:textId="77777777" w:rsidR="002A2F89" w:rsidRPr="003D1C56" w:rsidRDefault="00CD2800" w:rsidP="00182710">
            <w:pPr>
              <w:spacing w:after="0"/>
              <w:jc w:val="center"/>
              <w:rPr>
                <w:sz w:val="20"/>
              </w:rPr>
            </w:pPr>
            <w:r w:rsidRPr="003D1C56">
              <w:rPr>
                <w:sz w:val="20"/>
              </w:rPr>
              <w:t>04</w:t>
            </w:r>
          </w:p>
        </w:tc>
        <w:tc>
          <w:tcPr>
            <w:tcW w:w="1219" w:type="dxa"/>
            <w:vAlign w:val="center"/>
          </w:tcPr>
          <w:p w14:paraId="0B5F77A1" w14:textId="77777777" w:rsidR="002A2F89" w:rsidRPr="003D1C56" w:rsidRDefault="00CD2800" w:rsidP="00182710">
            <w:pPr>
              <w:spacing w:after="0"/>
              <w:jc w:val="center"/>
              <w:rPr>
                <w:sz w:val="20"/>
              </w:rPr>
            </w:pPr>
            <w:r w:rsidRPr="003D1C56">
              <w:rPr>
                <w:sz w:val="20"/>
              </w:rPr>
              <w:t>31. 12. 2020</w:t>
            </w:r>
          </w:p>
        </w:tc>
        <w:tc>
          <w:tcPr>
            <w:tcW w:w="1506" w:type="dxa"/>
            <w:vAlign w:val="center"/>
          </w:tcPr>
          <w:p w14:paraId="687D140F" w14:textId="77777777" w:rsidR="002A2F89" w:rsidRPr="003D1C56" w:rsidRDefault="00CD2800" w:rsidP="00182710">
            <w:pPr>
              <w:spacing w:after="0"/>
              <w:jc w:val="right"/>
              <w:rPr>
                <w:sz w:val="20"/>
              </w:rPr>
            </w:pPr>
            <w:r w:rsidRPr="003D1C56">
              <w:rPr>
                <w:sz w:val="20"/>
              </w:rPr>
              <w:t>24 305 041,58</w:t>
            </w:r>
          </w:p>
        </w:tc>
        <w:tc>
          <w:tcPr>
            <w:tcW w:w="1470" w:type="dxa"/>
            <w:vAlign w:val="center"/>
          </w:tcPr>
          <w:p w14:paraId="2177629C" w14:textId="77777777" w:rsidR="002A2F89" w:rsidRPr="003D1C56" w:rsidRDefault="00CD2800" w:rsidP="00182710">
            <w:pPr>
              <w:spacing w:after="0"/>
              <w:jc w:val="right"/>
              <w:rPr>
                <w:sz w:val="20"/>
              </w:rPr>
            </w:pPr>
            <w:r w:rsidRPr="003D1C56">
              <w:rPr>
                <w:sz w:val="20"/>
              </w:rPr>
              <w:t>4 289 124,98</w:t>
            </w:r>
          </w:p>
        </w:tc>
        <w:tc>
          <w:tcPr>
            <w:tcW w:w="1686" w:type="dxa"/>
            <w:shd w:val="clear" w:color="auto" w:fill="auto"/>
            <w:vAlign w:val="center"/>
          </w:tcPr>
          <w:p w14:paraId="7C0EC85F" w14:textId="77777777" w:rsidR="002A2F89" w:rsidRPr="003D1C56" w:rsidRDefault="00CD2800" w:rsidP="00182710">
            <w:pPr>
              <w:spacing w:after="0"/>
              <w:jc w:val="right"/>
              <w:rPr>
                <w:sz w:val="20"/>
              </w:rPr>
            </w:pPr>
            <w:r w:rsidRPr="003D1C56">
              <w:rPr>
                <w:rFonts w:ascii="Calibri" w:hAnsi="Calibri" w:cs="Calibri"/>
                <w:color w:val="000000"/>
                <w:sz w:val="20"/>
              </w:rPr>
              <w:t>28</w:t>
            </w:r>
            <w:r w:rsidRPr="003D1C56">
              <w:rPr>
                <w:rFonts w:ascii="Calibri" w:hAnsi="Calibri" w:cs="Calibri"/>
                <w:sz w:val="20"/>
              </w:rPr>
              <w:t> </w:t>
            </w:r>
            <w:r w:rsidRPr="003D1C56">
              <w:rPr>
                <w:rFonts w:ascii="Calibri" w:hAnsi="Calibri" w:cs="Calibri"/>
                <w:color w:val="000000"/>
                <w:sz w:val="20"/>
              </w:rPr>
              <w:t>594</w:t>
            </w:r>
            <w:r w:rsidRPr="003D1C56">
              <w:rPr>
                <w:rFonts w:ascii="Calibri" w:hAnsi="Calibri" w:cs="Calibri"/>
                <w:sz w:val="20"/>
              </w:rPr>
              <w:t> </w:t>
            </w:r>
            <w:r w:rsidRPr="003D1C56">
              <w:rPr>
                <w:rFonts w:ascii="Calibri" w:hAnsi="Calibri" w:cs="Calibri"/>
                <w:color w:val="000000"/>
                <w:sz w:val="20"/>
              </w:rPr>
              <w:t>166,56</w:t>
            </w:r>
          </w:p>
        </w:tc>
      </w:tr>
      <w:tr w:rsidR="00C76F45" w14:paraId="4A71676F" w14:textId="77777777" w:rsidTr="006871DE">
        <w:trPr>
          <w:trHeight w:val="262"/>
        </w:trPr>
        <w:tc>
          <w:tcPr>
            <w:tcW w:w="2497" w:type="dxa"/>
            <w:vAlign w:val="center"/>
          </w:tcPr>
          <w:p w14:paraId="048C1C72" w14:textId="77777777" w:rsidR="002A2F89" w:rsidRPr="003D1C56" w:rsidRDefault="00CD2800" w:rsidP="00E82DB8">
            <w:pPr>
              <w:spacing w:after="0"/>
              <w:ind w:left="164"/>
              <w:rPr>
                <w:sz w:val="20"/>
              </w:rPr>
            </w:pPr>
            <w:r w:rsidRPr="003D1C56">
              <w:rPr>
                <w:sz w:val="20"/>
              </w:rPr>
              <w:t>INICIATIVA</w:t>
            </w:r>
          </w:p>
        </w:tc>
        <w:tc>
          <w:tcPr>
            <w:tcW w:w="689" w:type="dxa"/>
            <w:vAlign w:val="center"/>
          </w:tcPr>
          <w:p w14:paraId="0E2BF950" w14:textId="77777777" w:rsidR="002A2F89" w:rsidRPr="003D1C56" w:rsidRDefault="00CD2800" w:rsidP="00182710">
            <w:pPr>
              <w:spacing w:after="0"/>
              <w:jc w:val="center"/>
              <w:rPr>
                <w:sz w:val="20"/>
              </w:rPr>
            </w:pPr>
            <w:r w:rsidRPr="003D1C56">
              <w:rPr>
                <w:sz w:val="20"/>
              </w:rPr>
              <w:t>03</w:t>
            </w:r>
          </w:p>
        </w:tc>
        <w:tc>
          <w:tcPr>
            <w:tcW w:w="1219" w:type="dxa"/>
            <w:vAlign w:val="center"/>
          </w:tcPr>
          <w:p w14:paraId="480838DF" w14:textId="77777777" w:rsidR="002A2F89" w:rsidRPr="003D1C56" w:rsidRDefault="00CD2800" w:rsidP="00182710">
            <w:pPr>
              <w:spacing w:after="0"/>
              <w:jc w:val="center"/>
              <w:rPr>
                <w:sz w:val="20"/>
              </w:rPr>
            </w:pPr>
            <w:r w:rsidRPr="003D1C56">
              <w:rPr>
                <w:sz w:val="20"/>
              </w:rPr>
              <w:t>31. 7. 2019</w:t>
            </w:r>
          </w:p>
        </w:tc>
        <w:tc>
          <w:tcPr>
            <w:tcW w:w="1506" w:type="dxa"/>
            <w:vAlign w:val="center"/>
          </w:tcPr>
          <w:p w14:paraId="7E7A8F6F" w14:textId="77777777" w:rsidR="002A2F89" w:rsidRPr="003D1C56" w:rsidRDefault="00CD2800" w:rsidP="00182710">
            <w:pPr>
              <w:spacing w:after="0"/>
              <w:jc w:val="right"/>
              <w:rPr>
                <w:sz w:val="20"/>
              </w:rPr>
            </w:pPr>
            <w:r w:rsidRPr="003D1C56">
              <w:rPr>
                <w:sz w:val="20"/>
              </w:rPr>
              <w:t>322 884 931,74</w:t>
            </w:r>
          </w:p>
        </w:tc>
        <w:tc>
          <w:tcPr>
            <w:tcW w:w="1470" w:type="dxa"/>
            <w:vAlign w:val="center"/>
          </w:tcPr>
          <w:p w14:paraId="3EDDA004" w14:textId="77777777" w:rsidR="002A2F89" w:rsidRPr="003D1C56" w:rsidRDefault="00CD2800" w:rsidP="00182710">
            <w:pPr>
              <w:spacing w:after="0"/>
              <w:jc w:val="right"/>
              <w:rPr>
                <w:i/>
                <w:sz w:val="20"/>
              </w:rPr>
            </w:pPr>
            <w:r w:rsidRPr="003D1C56">
              <w:rPr>
                <w:sz w:val="20"/>
              </w:rPr>
              <w:t>28 489 846,98</w:t>
            </w:r>
          </w:p>
        </w:tc>
        <w:tc>
          <w:tcPr>
            <w:tcW w:w="1686" w:type="dxa"/>
            <w:shd w:val="clear" w:color="auto" w:fill="auto"/>
            <w:vAlign w:val="center"/>
          </w:tcPr>
          <w:p w14:paraId="57509BAF" w14:textId="77777777" w:rsidR="002A2F89" w:rsidRPr="003D1C56" w:rsidRDefault="00CD2800" w:rsidP="00182710">
            <w:pPr>
              <w:spacing w:after="0"/>
              <w:jc w:val="right"/>
              <w:rPr>
                <w:i/>
                <w:sz w:val="20"/>
              </w:rPr>
            </w:pPr>
            <w:r w:rsidRPr="003D1C56">
              <w:rPr>
                <w:sz w:val="20"/>
              </w:rPr>
              <w:t>351 374 778,72</w:t>
            </w:r>
          </w:p>
        </w:tc>
      </w:tr>
      <w:tr w:rsidR="00C76F45" w14:paraId="46B637F3" w14:textId="77777777" w:rsidTr="006871DE">
        <w:trPr>
          <w:trHeight w:val="280"/>
        </w:trPr>
        <w:tc>
          <w:tcPr>
            <w:tcW w:w="2497" w:type="dxa"/>
            <w:vAlign w:val="center"/>
          </w:tcPr>
          <w:p w14:paraId="7B99E583" w14:textId="77777777" w:rsidR="002A2F89" w:rsidRPr="003D1C56" w:rsidRDefault="00CD2800" w:rsidP="00E82DB8">
            <w:pPr>
              <w:spacing w:after="0"/>
              <w:ind w:left="164"/>
              <w:rPr>
                <w:sz w:val="20"/>
              </w:rPr>
            </w:pPr>
            <w:r w:rsidRPr="003D1C56">
              <w:rPr>
                <w:sz w:val="20"/>
              </w:rPr>
              <w:t>TRANSFER</w:t>
            </w:r>
          </w:p>
        </w:tc>
        <w:tc>
          <w:tcPr>
            <w:tcW w:w="689" w:type="dxa"/>
            <w:vAlign w:val="center"/>
          </w:tcPr>
          <w:p w14:paraId="5A06CAC6" w14:textId="77777777" w:rsidR="002A2F89" w:rsidRPr="003D1C56" w:rsidRDefault="00CD2800" w:rsidP="00182710">
            <w:pPr>
              <w:spacing w:after="0"/>
              <w:jc w:val="center"/>
              <w:rPr>
                <w:sz w:val="20"/>
              </w:rPr>
            </w:pPr>
            <w:r w:rsidRPr="003D1C56">
              <w:rPr>
                <w:sz w:val="20"/>
              </w:rPr>
              <w:t>116</w:t>
            </w:r>
          </w:p>
        </w:tc>
        <w:tc>
          <w:tcPr>
            <w:tcW w:w="1219" w:type="dxa"/>
            <w:vAlign w:val="center"/>
          </w:tcPr>
          <w:p w14:paraId="519DF541" w14:textId="77777777" w:rsidR="002A2F89" w:rsidRPr="003D1C56" w:rsidRDefault="00CD2800" w:rsidP="00182710">
            <w:pPr>
              <w:spacing w:after="0"/>
              <w:jc w:val="center"/>
              <w:rPr>
                <w:sz w:val="20"/>
              </w:rPr>
            </w:pPr>
            <w:r w:rsidRPr="003D1C56">
              <w:rPr>
                <w:sz w:val="20"/>
              </w:rPr>
              <w:t>31. 12. 2018</w:t>
            </w:r>
          </w:p>
        </w:tc>
        <w:tc>
          <w:tcPr>
            <w:tcW w:w="1506" w:type="dxa"/>
            <w:shd w:val="clear" w:color="auto" w:fill="auto"/>
            <w:vAlign w:val="center"/>
          </w:tcPr>
          <w:p w14:paraId="33D6AAF6" w14:textId="77777777" w:rsidR="002A2F89" w:rsidRPr="003D1C56" w:rsidRDefault="00CD2800" w:rsidP="00182710">
            <w:pPr>
              <w:spacing w:after="0"/>
              <w:jc w:val="right"/>
              <w:rPr>
                <w:sz w:val="20"/>
              </w:rPr>
            </w:pPr>
            <w:r w:rsidRPr="003D1C56">
              <w:rPr>
                <w:sz w:val="20"/>
              </w:rPr>
              <w:t>86 730 196,61</w:t>
            </w:r>
          </w:p>
        </w:tc>
        <w:tc>
          <w:tcPr>
            <w:tcW w:w="1470" w:type="dxa"/>
            <w:shd w:val="clear" w:color="auto" w:fill="auto"/>
            <w:vAlign w:val="center"/>
          </w:tcPr>
          <w:p w14:paraId="4D696BDE" w14:textId="77777777" w:rsidR="002A2F89" w:rsidRPr="003D1C56" w:rsidRDefault="00CD2800" w:rsidP="00182710">
            <w:pPr>
              <w:spacing w:after="0"/>
              <w:jc w:val="right"/>
              <w:rPr>
                <w:sz w:val="20"/>
              </w:rPr>
            </w:pPr>
            <w:r w:rsidRPr="003D1C56">
              <w:rPr>
                <w:sz w:val="20"/>
              </w:rPr>
              <w:t>2 935 367,41</w:t>
            </w:r>
          </w:p>
        </w:tc>
        <w:tc>
          <w:tcPr>
            <w:tcW w:w="1686" w:type="dxa"/>
            <w:shd w:val="clear" w:color="auto" w:fill="auto"/>
            <w:vAlign w:val="center"/>
          </w:tcPr>
          <w:p w14:paraId="605C0EF2" w14:textId="77777777" w:rsidR="002A2F89" w:rsidRPr="003D1C56" w:rsidRDefault="00CD2800" w:rsidP="00182710">
            <w:pPr>
              <w:spacing w:after="0"/>
              <w:jc w:val="right"/>
              <w:rPr>
                <w:sz w:val="20"/>
              </w:rPr>
            </w:pPr>
            <w:r w:rsidRPr="003D1C56">
              <w:rPr>
                <w:rFonts w:ascii="Calibri" w:hAnsi="Calibri" w:cs="Calibri"/>
                <w:color w:val="000000"/>
                <w:sz w:val="20"/>
              </w:rPr>
              <w:t>89 665 564,02</w:t>
            </w:r>
          </w:p>
        </w:tc>
      </w:tr>
      <w:tr w:rsidR="00C76F45" w14:paraId="26983D85" w14:textId="77777777" w:rsidTr="006871DE">
        <w:trPr>
          <w:trHeight w:val="284"/>
        </w:trPr>
        <w:tc>
          <w:tcPr>
            <w:tcW w:w="4405" w:type="dxa"/>
            <w:gridSpan w:val="3"/>
            <w:vAlign w:val="center"/>
          </w:tcPr>
          <w:p w14:paraId="578D3D8B" w14:textId="77777777" w:rsidR="002A2F89" w:rsidRPr="003D1C56" w:rsidRDefault="00CD2800" w:rsidP="00182710">
            <w:pPr>
              <w:spacing w:after="0"/>
              <w:jc w:val="center"/>
              <w:rPr>
                <w:b/>
                <w:sz w:val="20"/>
              </w:rPr>
            </w:pPr>
            <w:r w:rsidRPr="003D1C56">
              <w:rPr>
                <w:b/>
                <w:sz w:val="20"/>
              </w:rPr>
              <w:t>Celkem</w:t>
            </w:r>
          </w:p>
        </w:tc>
        <w:tc>
          <w:tcPr>
            <w:tcW w:w="1506" w:type="dxa"/>
            <w:shd w:val="clear" w:color="auto" w:fill="auto"/>
            <w:vAlign w:val="center"/>
          </w:tcPr>
          <w:p w14:paraId="607ED649" w14:textId="77777777" w:rsidR="002A2F89" w:rsidRPr="003D1C56" w:rsidRDefault="00CD2800" w:rsidP="00182710">
            <w:pPr>
              <w:spacing w:after="0"/>
              <w:jc w:val="right"/>
              <w:rPr>
                <w:b/>
                <w:sz w:val="20"/>
              </w:rPr>
            </w:pPr>
            <w:r w:rsidRPr="003D1C56">
              <w:rPr>
                <w:b/>
                <w:sz w:val="20"/>
              </w:rPr>
              <w:t>433 920 169,93</w:t>
            </w:r>
          </w:p>
        </w:tc>
        <w:tc>
          <w:tcPr>
            <w:tcW w:w="1470" w:type="dxa"/>
            <w:shd w:val="clear" w:color="auto" w:fill="auto"/>
            <w:vAlign w:val="center"/>
          </w:tcPr>
          <w:p w14:paraId="7CEF91B9" w14:textId="77777777" w:rsidR="002A2F89" w:rsidRPr="003D1C56" w:rsidRDefault="00CD2800" w:rsidP="00182710">
            <w:pPr>
              <w:spacing w:after="0"/>
              <w:jc w:val="right"/>
              <w:rPr>
                <w:b/>
                <w:sz w:val="20"/>
              </w:rPr>
            </w:pPr>
            <w:r w:rsidRPr="003D1C56">
              <w:rPr>
                <w:b/>
                <w:sz w:val="20"/>
              </w:rPr>
              <w:t>35 714 339,37</w:t>
            </w:r>
          </w:p>
        </w:tc>
        <w:tc>
          <w:tcPr>
            <w:tcW w:w="1686" w:type="dxa"/>
            <w:shd w:val="clear" w:color="auto" w:fill="auto"/>
            <w:vAlign w:val="center"/>
          </w:tcPr>
          <w:p w14:paraId="0DB652EE" w14:textId="77777777" w:rsidR="002A2F89" w:rsidRPr="003D1C56" w:rsidRDefault="00CD2800" w:rsidP="00182710">
            <w:pPr>
              <w:spacing w:after="0"/>
              <w:jc w:val="right"/>
              <w:rPr>
                <w:b/>
                <w:sz w:val="20"/>
              </w:rPr>
            </w:pPr>
            <w:r w:rsidRPr="003D1C56">
              <w:rPr>
                <w:b/>
                <w:sz w:val="20"/>
              </w:rPr>
              <w:t>469 634 509,30</w:t>
            </w:r>
          </w:p>
        </w:tc>
      </w:tr>
    </w:tbl>
    <w:p w14:paraId="397CCE9D" w14:textId="63D5A3EB" w:rsidR="002A2F89" w:rsidRPr="003D1C56" w:rsidRDefault="00CD2800" w:rsidP="00F65D22">
      <w:pPr>
        <w:spacing w:after="0"/>
        <w:rPr>
          <w:color w:val="000000"/>
          <w:sz w:val="20"/>
        </w:rPr>
      </w:pPr>
      <w:r w:rsidRPr="006C0CA5">
        <w:rPr>
          <w:b/>
          <w:color w:val="000000"/>
          <w:sz w:val="20"/>
        </w:rPr>
        <w:t>Zdroj:</w:t>
      </w:r>
      <w:r w:rsidRPr="003D1C56">
        <w:rPr>
          <w:color w:val="000000"/>
          <w:sz w:val="20"/>
        </w:rPr>
        <w:t xml:space="preserve"> MS2014+, údaje k 31. 12. 2018, respektive k 31. 1. 2019 (u projektu </w:t>
      </w:r>
      <w:r w:rsidR="00F65D22">
        <w:rPr>
          <w:sz w:val="20"/>
        </w:rPr>
        <w:t>ZÁRUKY</w:t>
      </w:r>
      <w:r w:rsidRPr="003D1C56">
        <w:rPr>
          <w:color w:val="000000"/>
          <w:sz w:val="20"/>
        </w:rPr>
        <w:t>).</w:t>
      </w:r>
    </w:p>
    <w:p w14:paraId="040F38D4" w14:textId="00E89AD2" w:rsidR="00E77357" w:rsidRPr="003D1C56" w:rsidRDefault="00CD2800" w:rsidP="00964890">
      <w:pPr>
        <w:spacing w:before="240"/>
        <w:jc w:val="both"/>
      </w:pPr>
      <w:r w:rsidRPr="003D1C56">
        <w:t xml:space="preserve">Vzorek kontrolovaných projektů </w:t>
      </w:r>
      <w:r w:rsidR="005A78E3" w:rsidRPr="003D1C56">
        <w:t>vybral NKÚ tak</w:t>
      </w:r>
      <w:r w:rsidR="00377099" w:rsidRPr="003D1C56">
        <w:t>,</w:t>
      </w:r>
      <w:r w:rsidR="005A78E3" w:rsidRPr="003D1C56">
        <w:t xml:space="preserve"> aby kontrolou pokryl jak projekty financované v rámci programu </w:t>
      </w:r>
      <w:r w:rsidR="005A78E3" w:rsidRPr="00E82DB8">
        <w:rPr>
          <w:i/>
        </w:rPr>
        <w:t>Záruky pro mladé</w:t>
      </w:r>
      <w:r w:rsidR="005A78E3" w:rsidRPr="003D1C56">
        <w:t xml:space="preserve">, tak i projekty patřící pod </w:t>
      </w:r>
      <w:r w:rsidR="005A78E3" w:rsidRPr="00E82DB8">
        <w:rPr>
          <w:i/>
        </w:rPr>
        <w:t>Iniciativu na podporu zaměstn</w:t>
      </w:r>
      <w:r w:rsidR="00E061D6">
        <w:rPr>
          <w:i/>
        </w:rPr>
        <w:t>anosti</w:t>
      </w:r>
      <w:r w:rsidR="005A78E3" w:rsidRPr="00E82DB8">
        <w:rPr>
          <w:i/>
        </w:rPr>
        <w:t xml:space="preserve"> mladých lidí</w:t>
      </w:r>
      <w:r w:rsidR="005A78E3" w:rsidRPr="003D1C56">
        <w:t xml:space="preserve">. Současně s tím NKÚ zohlednil i </w:t>
      </w:r>
      <w:r w:rsidR="00DA4EA4">
        <w:t>oba typy příjemců podpory (ÚP a </w:t>
      </w:r>
      <w:r w:rsidR="005A78E3" w:rsidRPr="003D1C56">
        <w:t xml:space="preserve">kraje). </w:t>
      </w:r>
      <w:r w:rsidRPr="003D1C56">
        <w:t xml:space="preserve">Kontrola </w:t>
      </w:r>
      <w:r w:rsidR="00E061D6" w:rsidRPr="003D1C56">
        <w:t xml:space="preserve">se </w:t>
      </w:r>
      <w:r w:rsidR="00E061D6">
        <w:t xml:space="preserve">u </w:t>
      </w:r>
      <w:r w:rsidRPr="003D1C56">
        <w:t>projektů zaměřila především na plnění podmínek</w:t>
      </w:r>
      <w:r w:rsidR="00A54B42" w:rsidRPr="003D1C56">
        <w:t>, které stanovilo</w:t>
      </w:r>
      <w:r w:rsidR="00582158" w:rsidRPr="003D1C56">
        <w:t xml:space="preserve"> příjemcům podpory </w:t>
      </w:r>
      <w:r w:rsidR="00A54B42" w:rsidRPr="003D1C56">
        <w:t>MPSV</w:t>
      </w:r>
      <w:r w:rsidR="00582158" w:rsidRPr="003D1C56">
        <w:t>.</w:t>
      </w:r>
    </w:p>
    <w:p w14:paraId="5703BDAF" w14:textId="77777777" w:rsidR="00264646" w:rsidRPr="003D1C56" w:rsidRDefault="00CD2800" w:rsidP="008124D7">
      <w:pPr>
        <w:pStyle w:val="Nadpis1"/>
      </w:pPr>
      <w:r w:rsidRPr="003D1C56">
        <w:t>IV. Podrobn</w:t>
      </w:r>
      <w:r w:rsidR="00F82FB5" w:rsidRPr="003D1C56">
        <w:t>osti</w:t>
      </w:r>
      <w:r w:rsidRPr="003D1C56">
        <w:t xml:space="preserve"> </w:t>
      </w:r>
      <w:r w:rsidR="00F82FB5" w:rsidRPr="003D1C56">
        <w:t xml:space="preserve">ke zjištěným </w:t>
      </w:r>
      <w:r w:rsidRPr="003D1C56">
        <w:t>skutečnost</w:t>
      </w:r>
      <w:r w:rsidR="00F82FB5" w:rsidRPr="003D1C56">
        <w:t>em</w:t>
      </w:r>
    </w:p>
    <w:p w14:paraId="4590C3E8" w14:textId="77777777" w:rsidR="00FB1CD1" w:rsidRPr="003D1C56" w:rsidRDefault="00CD2800" w:rsidP="007563AF">
      <w:pPr>
        <w:pStyle w:val="Nadpis2"/>
        <w:numPr>
          <w:ilvl w:val="0"/>
          <w:numId w:val="3"/>
        </w:numPr>
        <w:jc w:val="both"/>
      </w:pPr>
      <w:r w:rsidRPr="003D1C56">
        <w:t>Poskytování</w:t>
      </w:r>
      <w:r w:rsidR="00B86AE5" w:rsidRPr="003D1C56">
        <w:t xml:space="preserve"> peněžních prostředků na podporu zaměstnávání mladých</w:t>
      </w:r>
      <w:r w:rsidR="00874BE2">
        <w:t xml:space="preserve"> lidí</w:t>
      </w:r>
    </w:p>
    <w:p w14:paraId="5DB8733F" w14:textId="77777777" w:rsidR="00B86AE5" w:rsidRPr="003D1C56" w:rsidRDefault="00226B51" w:rsidP="00B02A88">
      <w:pPr>
        <w:pStyle w:val="Nadpis3"/>
      </w:pPr>
      <w:r w:rsidRPr="00226B51">
        <w:t>Cíle projektů nebyly v plném rozsahu SMART</w:t>
      </w:r>
    </w:p>
    <w:p w14:paraId="082A1B2C" w14:textId="77777777" w:rsidR="0083004F" w:rsidRPr="003D1C56" w:rsidRDefault="00CD2800" w:rsidP="0084335A">
      <w:pPr>
        <w:jc w:val="both"/>
      </w:pPr>
      <w:r w:rsidRPr="003D1C56">
        <w:t xml:space="preserve">NKÚ </w:t>
      </w:r>
      <w:r w:rsidR="00250A4D" w:rsidRPr="003D1C56">
        <w:t>na vzorku kontrolovaných projektů zjistil, že ani v jednom případě MPSV neschválilo projekty tak, aby byly jejich cíle v plném rozsahu SMART</w:t>
      </w:r>
      <w:r>
        <w:rPr>
          <w:rStyle w:val="Znakapoznpodarou"/>
        </w:rPr>
        <w:footnoteReference w:id="17"/>
      </w:r>
      <w:r w:rsidR="00AC18DF" w:rsidRPr="003D1C56">
        <w:t xml:space="preserve"> a</w:t>
      </w:r>
      <w:r w:rsidR="00193B76">
        <w:t xml:space="preserve"> aby</w:t>
      </w:r>
      <w:r w:rsidR="00AC18DF" w:rsidRPr="003D1C56">
        <w:t xml:space="preserve"> navazovaly na s</w:t>
      </w:r>
      <w:r w:rsidR="00C10B4C" w:rsidRPr="003D1C56">
        <w:t>pecifické</w:t>
      </w:r>
      <w:r w:rsidR="00AC18DF" w:rsidRPr="003D1C56">
        <w:t xml:space="preserve"> cíl</w:t>
      </w:r>
      <w:r w:rsidR="00C10B4C" w:rsidRPr="003D1C56">
        <w:t>e</w:t>
      </w:r>
      <w:r w:rsidR="00AC18DF" w:rsidRPr="003D1C56">
        <w:t xml:space="preserve"> PO 1 OPZ</w:t>
      </w:r>
      <w:r>
        <w:rPr>
          <w:rStyle w:val="Znakapoznpodarou"/>
        </w:rPr>
        <w:footnoteReference w:id="18"/>
      </w:r>
      <w:r w:rsidR="00AC18DF" w:rsidRPr="003D1C56">
        <w:t xml:space="preserve">. </w:t>
      </w:r>
    </w:p>
    <w:p w14:paraId="52610DF2" w14:textId="20F3F2BC" w:rsidR="006937E6" w:rsidRPr="003D1C56" w:rsidRDefault="00CD2800" w:rsidP="006937E6">
      <w:pPr>
        <w:jc w:val="both"/>
      </w:pPr>
      <w:r w:rsidRPr="003D1C56">
        <w:t xml:space="preserve">Příjemci určili jako měřitelné cíle počet podpořených osob, případně počet osob, kterým bude poskytnuto </w:t>
      </w:r>
      <w:proofErr w:type="gramStart"/>
      <w:r w:rsidRPr="003D1C56">
        <w:t>vzdělání nebo</w:t>
      </w:r>
      <w:proofErr w:type="gramEnd"/>
      <w:r w:rsidRPr="003D1C56">
        <w:t xml:space="preserve"> budou umístěn</w:t>
      </w:r>
      <w:r w:rsidR="000344D7">
        <w:t>y</w:t>
      </w:r>
      <w:r w:rsidRPr="003D1C56">
        <w:t xml:space="preserve"> na dotované pracovní místo. </w:t>
      </w:r>
      <w:r w:rsidRPr="003D1C56">
        <w:rPr>
          <w:b/>
        </w:rPr>
        <w:t>Avšak pro cíle navazující na specifický cíl prioritní osy 1 OPZ, tedy zvýšit zaměstnanost podpořených mladých lidí</w:t>
      </w:r>
      <w:r w:rsidR="000E1F77">
        <w:rPr>
          <w:b/>
        </w:rPr>
        <w:t>,</w:t>
      </w:r>
      <w:r w:rsidRPr="003D1C56">
        <w:rPr>
          <w:b/>
        </w:rPr>
        <w:t xml:space="preserve"> cílové hodnoty stanoveny nebyly</w:t>
      </w:r>
      <w:r w:rsidRPr="00E82DB8">
        <w:rPr>
          <w:b/>
        </w:rPr>
        <w:t>.</w:t>
      </w:r>
      <w:r w:rsidRPr="003D1C56">
        <w:t xml:space="preserve"> </w:t>
      </w:r>
    </w:p>
    <w:p w14:paraId="7060E822" w14:textId="77777777" w:rsidR="00AC18DF" w:rsidRDefault="00CD2800" w:rsidP="00B46231">
      <w:pPr>
        <w:jc w:val="both"/>
      </w:pPr>
      <w:r w:rsidRPr="003D1C56">
        <w:t xml:space="preserve">U projektů ZÁRUKY a TRANSFER upozornila </w:t>
      </w:r>
      <w:r w:rsidR="00FD7D7A" w:rsidRPr="003D1C56">
        <w:t xml:space="preserve">MPSV </w:t>
      </w:r>
      <w:r w:rsidRPr="003D1C56">
        <w:t>na nedostatečné nastavení cílů</w:t>
      </w:r>
      <w:r w:rsidR="006937E6" w:rsidRPr="003D1C56">
        <w:t xml:space="preserve"> i samotná</w:t>
      </w:r>
      <w:r w:rsidRPr="003D1C56">
        <w:t xml:space="preserve"> hodnoticí, resp. výběrová komise, avšak NKÚ konstatuje, že </w:t>
      </w:r>
      <w:r w:rsidR="00B94358" w:rsidRPr="003D1C56">
        <w:t xml:space="preserve">ani po </w:t>
      </w:r>
      <w:r w:rsidR="00B529A9">
        <w:t xml:space="preserve">jejich </w:t>
      </w:r>
      <w:r w:rsidR="00B94358" w:rsidRPr="003D1C56">
        <w:t>doplnění</w:t>
      </w:r>
      <w:r w:rsidR="00193B76">
        <w:t xml:space="preserve"> ze strany žadatelů</w:t>
      </w:r>
      <w:r w:rsidR="00B94358" w:rsidRPr="003D1C56">
        <w:t xml:space="preserve"> </w:t>
      </w:r>
      <w:r w:rsidRPr="003D1C56">
        <w:t>nebyly</w:t>
      </w:r>
      <w:r w:rsidR="00B94358" w:rsidRPr="003D1C56">
        <w:t xml:space="preserve"> cíle definovány</w:t>
      </w:r>
      <w:r w:rsidRPr="003D1C56">
        <w:t xml:space="preserve"> dostatečn</w:t>
      </w:r>
      <w:r w:rsidR="00B94358" w:rsidRPr="003D1C56">
        <w:t>ě</w:t>
      </w:r>
      <w:r w:rsidRPr="003D1C56">
        <w:t xml:space="preserve">. </w:t>
      </w:r>
    </w:p>
    <w:tbl>
      <w:tblPr>
        <w:tblStyle w:val="Mkatabulky"/>
        <w:tblW w:w="0" w:type="auto"/>
        <w:tblLook w:val="04A0" w:firstRow="1" w:lastRow="0" w:firstColumn="1" w:lastColumn="0" w:noHBand="0" w:noVBand="1"/>
      </w:tblPr>
      <w:tblGrid>
        <w:gridCol w:w="9063"/>
      </w:tblGrid>
      <w:tr w:rsidR="00C76F45" w14:paraId="5B41369D" w14:textId="77777777" w:rsidTr="00B46231">
        <w:tc>
          <w:tcPr>
            <w:tcW w:w="9063" w:type="dxa"/>
          </w:tcPr>
          <w:p w14:paraId="50B65DC8" w14:textId="73782E5B" w:rsidR="00B46231" w:rsidRPr="003D1C56" w:rsidRDefault="00CD2800" w:rsidP="00B46231">
            <w:pPr>
              <w:spacing w:after="0"/>
              <w:rPr>
                <w:b/>
                <w:color w:val="1F497D" w:themeColor="text2"/>
              </w:rPr>
            </w:pPr>
            <w:r w:rsidRPr="003D1C56">
              <w:rPr>
                <w:b/>
                <w:color w:val="1F497D" w:themeColor="text2"/>
              </w:rPr>
              <w:t xml:space="preserve">Příklad </w:t>
            </w:r>
            <w:r w:rsidR="004D2C7D">
              <w:rPr>
                <w:b/>
                <w:color w:val="1F497D" w:themeColor="text2"/>
              </w:rPr>
              <w:t>č. 1</w:t>
            </w:r>
            <w:r w:rsidR="00E061D6">
              <w:rPr>
                <w:b/>
                <w:color w:val="1F497D" w:themeColor="text2"/>
              </w:rPr>
              <w:t>:</w:t>
            </w:r>
            <w:r w:rsidR="004D2C7D">
              <w:rPr>
                <w:b/>
                <w:color w:val="1F497D" w:themeColor="text2"/>
              </w:rPr>
              <w:t xml:space="preserve"> </w:t>
            </w:r>
            <w:r w:rsidR="00E061D6">
              <w:rPr>
                <w:b/>
                <w:color w:val="1F497D" w:themeColor="text2"/>
              </w:rPr>
              <w:t>n</w:t>
            </w:r>
            <w:r w:rsidRPr="003D1C56">
              <w:rPr>
                <w:b/>
                <w:color w:val="1F497D" w:themeColor="text2"/>
              </w:rPr>
              <w:t>evhodně definovan</w:t>
            </w:r>
            <w:r w:rsidR="004D2C7D">
              <w:rPr>
                <w:b/>
                <w:color w:val="1F497D" w:themeColor="text2"/>
              </w:rPr>
              <w:t>é</w:t>
            </w:r>
            <w:r w:rsidRPr="003D1C56">
              <w:rPr>
                <w:b/>
                <w:color w:val="1F497D" w:themeColor="text2"/>
              </w:rPr>
              <w:t xml:space="preserve"> cíl</w:t>
            </w:r>
            <w:r w:rsidR="004D2C7D">
              <w:rPr>
                <w:b/>
                <w:color w:val="1F497D" w:themeColor="text2"/>
              </w:rPr>
              <w:t>e</w:t>
            </w:r>
            <w:r w:rsidRPr="003D1C56">
              <w:rPr>
                <w:b/>
                <w:color w:val="1F497D" w:themeColor="text2"/>
              </w:rPr>
              <w:t xml:space="preserve"> v</w:t>
            </w:r>
            <w:r w:rsidR="006937E6" w:rsidRPr="003D1C56">
              <w:rPr>
                <w:b/>
                <w:color w:val="1F497D" w:themeColor="text2"/>
              </w:rPr>
              <w:t> projektu ZÁRUKY</w:t>
            </w:r>
            <w:r w:rsidRPr="003D1C56">
              <w:rPr>
                <w:b/>
                <w:color w:val="1F497D" w:themeColor="text2"/>
              </w:rPr>
              <w:t xml:space="preserve"> </w:t>
            </w:r>
          </w:p>
          <w:p w14:paraId="7F389E30" w14:textId="77777777" w:rsidR="00B46231" w:rsidRPr="003D1C56" w:rsidRDefault="00CD2800" w:rsidP="00B46231">
            <w:pPr>
              <w:pStyle w:val="Odstavecseseznamem"/>
              <w:numPr>
                <w:ilvl w:val="0"/>
                <w:numId w:val="15"/>
              </w:numPr>
              <w:spacing w:after="0"/>
              <w:ind w:left="311"/>
            </w:pPr>
            <w:r w:rsidRPr="003D1C56">
              <w:t xml:space="preserve">snížení podílu </w:t>
            </w:r>
            <w:r w:rsidR="00F706D5" w:rsidRPr="00193B76">
              <w:t>nezaměstnaných</w:t>
            </w:r>
            <w:r w:rsidR="00F706D5" w:rsidRPr="003D1C56">
              <w:rPr>
                <w:i/>
              </w:rPr>
              <w:t xml:space="preserve"> </w:t>
            </w:r>
            <w:r w:rsidRPr="003D1C56">
              <w:t>mladých osob na trhu práce</w:t>
            </w:r>
          </w:p>
          <w:p w14:paraId="3A19A427" w14:textId="77777777" w:rsidR="00B46231" w:rsidRPr="003D1C56" w:rsidRDefault="00CD2800" w:rsidP="00B46231">
            <w:pPr>
              <w:pStyle w:val="Odstavecseseznamem"/>
              <w:numPr>
                <w:ilvl w:val="0"/>
                <w:numId w:val="15"/>
              </w:numPr>
              <w:spacing w:after="0"/>
              <w:ind w:left="311"/>
            </w:pPr>
            <w:r w:rsidRPr="003D1C56">
              <w:t>snížení četnosti opakované evidence</w:t>
            </w:r>
          </w:p>
          <w:p w14:paraId="04BB4ACE" w14:textId="77777777" w:rsidR="00B46231" w:rsidRPr="003D1C56" w:rsidRDefault="00CD2800" w:rsidP="00B46231">
            <w:pPr>
              <w:pStyle w:val="Odstavecseseznamem"/>
              <w:numPr>
                <w:ilvl w:val="0"/>
                <w:numId w:val="15"/>
              </w:numPr>
              <w:spacing w:after="0"/>
              <w:ind w:left="311"/>
            </w:pPr>
            <w:r w:rsidRPr="003D1C56">
              <w:t>snížení průměrné délky evidence</w:t>
            </w:r>
          </w:p>
          <w:p w14:paraId="20318420" w14:textId="77777777" w:rsidR="00605155" w:rsidRPr="003D1C56" w:rsidRDefault="00CD2800" w:rsidP="00605155">
            <w:pPr>
              <w:pStyle w:val="Odstavecseseznamem"/>
              <w:numPr>
                <w:ilvl w:val="0"/>
                <w:numId w:val="15"/>
              </w:numPr>
              <w:spacing w:after="0"/>
              <w:ind w:left="311"/>
            </w:pPr>
            <w:r w:rsidRPr="003D1C56">
              <w:t>zvýšení zodpovědnosti a přístupu k</w:t>
            </w:r>
            <w:r w:rsidR="00F706D5" w:rsidRPr="003D1C56">
              <w:t> </w:t>
            </w:r>
            <w:r w:rsidRPr="003D1C56">
              <w:t>práci</w:t>
            </w:r>
            <w:r w:rsidR="00F706D5" w:rsidRPr="003D1C56">
              <w:t xml:space="preserve"> </w:t>
            </w:r>
          </w:p>
          <w:p w14:paraId="26A67773" w14:textId="77777777" w:rsidR="00605155" w:rsidRPr="003D1C56" w:rsidRDefault="00CD2800" w:rsidP="00193B76">
            <w:pPr>
              <w:spacing w:before="240" w:after="0"/>
              <w:ind w:left="-49"/>
              <w:jc w:val="both"/>
              <w:rPr>
                <w:b/>
              </w:rPr>
            </w:pPr>
            <w:r w:rsidRPr="003D1C56">
              <w:rPr>
                <w:b/>
              </w:rPr>
              <w:t xml:space="preserve">K těmto cílům nejsou v projektu </w:t>
            </w:r>
            <w:r w:rsidR="00B529A9">
              <w:rPr>
                <w:b/>
              </w:rPr>
              <w:t xml:space="preserve">uvedeny </w:t>
            </w:r>
            <w:r w:rsidRPr="003D1C56">
              <w:rPr>
                <w:b/>
              </w:rPr>
              <w:t>žádné cílové hodnoty</w:t>
            </w:r>
            <w:r w:rsidR="00777F84" w:rsidRPr="003D1C56">
              <w:rPr>
                <w:b/>
              </w:rPr>
              <w:t>, tyto cíle</w:t>
            </w:r>
            <w:r w:rsidRPr="003D1C56">
              <w:rPr>
                <w:b/>
              </w:rPr>
              <w:t xml:space="preserve"> nejsou</w:t>
            </w:r>
            <w:r w:rsidR="00777F84" w:rsidRPr="003D1C56">
              <w:rPr>
                <w:b/>
              </w:rPr>
              <w:t xml:space="preserve"> </w:t>
            </w:r>
            <w:r w:rsidRPr="003D1C56">
              <w:rPr>
                <w:b/>
              </w:rPr>
              <w:t>stanoveny dostatečně konkrétně</w:t>
            </w:r>
            <w:r w:rsidR="00777F84" w:rsidRPr="003D1C56">
              <w:rPr>
                <w:b/>
              </w:rPr>
              <w:t>,</w:t>
            </w:r>
            <w:r w:rsidR="00601570" w:rsidRPr="003D1C56">
              <w:rPr>
                <w:b/>
              </w:rPr>
              <w:t xml:space="preserve"> a nejsou tedy měřitelné</w:t>
            </w:r>
            <w:r w:rsidRPr="003D1C56">
              <w:rPr>
                <w:b/>
              </w:rPr>
              <w:t>.</w:t>
            </w:r>
            <w:r w:rsidR="00F706D5" w:rsidRPr="003D1C56">
              <w:rPr>
                <w:b/>
              </w:rPr>
              <w:t xml:space="preserve"> </w:t>
            </w:r>
          </w:p>
        </w:tc>
      </w:tr>
    </w:tbl>
    <w:p w14:paraId="6FD91BF2" w14:textId="56977950" w:rsidR="00A24F25" w:rsidRPr="003D1C56" w:rsidRDefault="00CD2800" w:rsidP="007E09E2">
      <w:pPr>
        <w:spacing w:before="240"/>
        <w:jc w:val="both"/>
      </w:pPr>
      <w:r w:rsidRPr="003D1C56">
        <w:t>NKÚ také zjistil, že úpravy</w:t>
      </w:r>
      <w:r w:rsidR="00601570" w:rsidRPr="003D1C56">
        <w:t xml:space="preserve"> (např. dopracování cílů a způsobu jejich měření)</w:t>
      </w:r>
      <w:r w:rsidRPr="003D1C56">
        <w:t>, kterými podmínila schválení projektu hodnoticí/výběrová komise, mohl v souladu s příslušným pracovním postupem MPSV odsouhlasit projektový manaž</w:t>
      </w:r>
      <w:r w:rsidR="00193B76">
        <w:t>er. Tím na sebe fakticky přebíral</w:t>
      </w:r>
      <w:r w:rsidRPr="003D1C56">
        <w:t xml:space="preserve"> část kompetencí a rozhodovací </w:t>
      </w:r>
      <w:r w:rsidR="00601570" w:rsidRPr="003D1C56">
        <w:t>pravo</w:t>
      </w:r>
      <w:r w:rsidRPr="003D1C56">
        <w:t>moci hodnot</w:t>
      </w:r>
      <w:r w:rsidR="00E061D6">
        <w:t>i</w:t>
      </w:r>
      <w:r w:rsidRPr="003D1C56">
        <w:t>cí komise a výběrové komise. V případě odborně složitějších úprav hroz</w:t>
      </w:r>
      <w:r w:rsidR="00193B76">
        <w:t>ilo</w:t>
      </w:r>
      <w:r w:rsidRPr="003D1C56">
        <w:t>, že neb</w:t>
      </w:r>
      <w:r w:rsidR="00193B76">
        <w:t>ude</w:t>
      </w:r>
      <w:r w:rsidRPr="003D1C56">
        <w:t xml:space="preserve"> toto posouzení provedeno správně. </w:t>
      </w:r>
      <w:r w:rsidRPr="003D1C56">
        <w:rPr>
          <w:b/>
        </w:rPr>
        <w:t>NKÚ považuje tento nedostatek za systémové riziko, které by mohlo vést k realizaci projektů, které nesplňují podmínky poskytnutí podpory.</w:t>
      </w:r>
      <w:r w:rsidRPr="003D1C56">
        <w:t xml:space="preserve"> </w:t>
      </w:r>
    </w:p>
    <w:p w14:paraId="7711F6DE" w14:textId="77777777" w:rsidR="0011211E" w:rsidRPr="003D1C56" w:rsidRDefault="00CD2800" w:rsidP="0011211E">
      <w:pPr>
        <w:jc w:val="both"/>
        <w:rPr>
          <w:b/>
        </w:rPr>
      </w:pPr>
      <w:r w:rsidRPr="003D1C56">
        <w:rPr>
          <w:b/>
        </w:rPr>
        <w:t xml:space="preserve">MPSV </w:t>
      </w:r>
      <w:r w:rsidR="00FD7D7A" w:rsidRPr="003D1C56">
        <w:rPr>
          <w:b/>
        </w:rPr>
        <w:t xml:space="preserve">také </w:t>
      </w:r>
      <w:r w:rsidRPr="003D1C56">
        <w:rPr>
          <w:b/>
        </w:rPr>
        <w:t xml:space="preserve">nestanovilo výchozí ani cílovou hodnotu, kterou měly projekty přispět k naplnění požadovaného účelu. </w:t>
      </w:r>
    </w:p>
    <w:p w14:paraId="0738887B" w14:textId="77777777" w:rsidR="00A00189" w:rsidRPr="003D1C56" w:rsidRDefault="00226B51" w:rsidP="00B02A88">
      <w:pPr>
        <w:pStyle w:val="Nadpis3"/>
      </w:pPr>
      <w:r w:rsidRPr="00226B51">
        <w:t>Zaměstnávání příbuzných představuje riziko</w:t>
      </w:r>
    </w:p>
    <w:p w14:paraId="1ED88478" w14:textId="40002BA0" w:rsidR="00F36FDF" w:rsidRPr="003D1C56" w:rsidRDefault="00CD2800" w:rsidP="008E62A9">
      <w:pPr>
        <w:jc w:val="both"/>
      </w:pPr>
      <w:r w:rsidRPr="003D1C56">
        <w:t xml:space="preserve">Jednou z klíčových aktivit všech tří projektů kontrolovaných NKÚ bylo zajištění dotovaných pracovních míst pro mladé lidi. NKÚ analyzoval seznamy obsahující údaje o zapojených zaměstnavatelích a jména zaměstnaných klientů a zjistil případy, kdy </w:t>
      </w:r>
      <w:r w:rsidR="00883D9A" w:rsidRPr="003D1C56">
        <w:t xml:space="preserve">byly příjmení zaměstnavatele (v případě fyzických osob) nebo jeho název (v případě právnických osob) shodné s příjmením </w:t>
      </w:r>
      <w:r w:rsidR="00F02FE0" w:rsidRPr="003D1C56">
        <w:t>zaměstnance/klienta projektu.</w:t>
      </w:r>
      <w:r w:rsidR="00883D9A" w:rsidRPr="003D1C56">
        <w:t xml:space="preserve"> </w:t>
      </w:r>
    </w:p>
    <w:p w14:paraId="735EA264" w14:textId="4212248C" w:rsidR="003645AF" w:rsidRPr="003D1C56" w:rsidRDefault="00CD2800" w:rsidP="00D002DC">
      <w:pPr>
        <w:keepNext/>
        <w:keepLines/>
        <w:spacing w:before="240" w:after="0"/>
        <w:rPr>
          <w:iCs/>
        </w:rPr>
      </w:pPr>
      <w:r w:rsidRPr="003D1C56">
        <w:rPr>
          <w:iCs/>
        </w:rPr>
        <w:t xml:space="preserve">Tabulka č. </w:t>
      </w:r>
      <w:r w:rsidRPr="003D1C56">
        <w:rPr>
          <w:iCs/>
        </w:rPr>
        <w:fldChar w:fldCharType="begin"/>
      </w:r>
      <w:r w:rsidRPr="003D1C56">
        <w:rPr>
          <w:iCs/>
        </w:rPr>
        <w:instrText xml:space="preserve"> SEQ Tabulka_č. \* ARABIC </w:instrText>
      </w:r>
      <w:r w:rsidRPr="003D1C56">
        <w:rPr>
          <w:iCs/>
        </w:rPr>
        <w:fldChar w:fldCharType="separate"/>
      </w:r>
      <w:r w:rsidR="00996C4C">
        <w:rPr>
          <w:iCs/>
          <w:noProof/>
        </w:rPr>
        <w:t>4</w:t>
      </w:r>
      <w:r w:rsidRPr="003D1C56">
        <w:rPr>
          <w:iCs/>
        </w:rPr>
        <w:fldChar w:fldCharType="end"/>
      </w:r>
      <w:r w:rsidRPr="003D1C56">
        <w:rPr>
          <w:iCs/>
        </w:rPr>
        <w:t xml:space="preserve">: </w:t>
      </w:r>
      <w:r w:rsidR="00E061D6">
        <w:rPr>
          <w:iCs/>
        </w:rPr>
        <w:t>Počty zjištěných</w:t>
      </w:r>
      <w:r w:rsidRPr="003D1C56">
        <w:rPr>
          <w:iCs/>
        </w:rPr>
        <w:t xml:space="preserve"> shodných příjmení</w:t>
      </w:r>
    </w:p>
    <w:tbl>
      <w:tblPr>
        <w:tblW w:w="9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3061"/>
        <w:gridCol w:w="1701"/>
        <w:gridCol w:w="1701"/>
      </w:tblGrid>
      <w:tr w:rsidR="00C76F45" w14:paraId="17CFAAFC" w14:textId="77777777" w:rsidTr="0062167E">
        <w:trPr>
          <w:trHeight w:val="520"/>
        </w:trPr>
        <w:tc>
          <w:tcPr>
            <w:tcW w:w="2607" w:type="dxa"/>
            <w:shd w:val="clear" w:color="auto" w:fill="E5F1FF"/>
            <w:vAlign w:val="center"/>
          </w:tcPr>
          <w:p w14:paraId="1088DC61" w14:textId="77777777" w:rsidR="003645AF" w:rsidRPr="003D1C56" w:rsidRDefault="00CD2800" w:rsidP="0062167E">
            <w:pPr>
              <w:keepNext/>
              <w:spacing w:after="0"/>
              <w:jc w:val="center"/>
              <w:rPr>
                <w:b/>
                <w:sz w:val="20"/>
                <w:szCs w:val="22"/>
              </w:rPr>
            </w:pPr>
            <w:r w:rsidRPr="003D1C56">
              <w:rPr>
                <w:b/>
                <w:sz w:val="20"/>
                <w:szCs w:val="22"/>
              </w:rPr>
              <w:t>Projekt</w:t>
            </w:r>
          </w:p>
        </w:tc>
        <w:tc>
          <w:tcPr>
            <w:tcW w:w="3061" w:type="dxa"/>
            <w:shd w:val="clear" w:color="auto" w:fill="E5F1FF"/>
            <w:vAlign w:val="center"/>
          </w:tcPr>
          <w:p w14:paraId="6D7B2710" w14:textId="77777777" w:rsidR="003645AF" w:rsidRPr="003D1C56" w:rsidRDefault="00CD2800" w:rsidP="0062167E">
            <w:pPr>
              <w:keepNext/>
              <w:spacing w:after="0"/>
              <w:jc w:val="center"/>
              <w:rPr>
                <w:b/>
                <w:sz w:val="20"/>
                <w:szCs w:val="22"/>
              </w:rPr>
            </w:pPr>
            <w:r w:rsidRPr="003D1C56">
              <w:rPr>
                <w:b/>
                <w:sz w:val="20"/>
                <w:szCs w:val="22"/>
              </w:rPr>
              <w:t>Celkový počet účastníků – zaměstnanců</w:t>
            </w:r>
          </w:p>
        </w:tc>
        <w:tc>
          <w:tcPr>
            <w:tcW w:w="1701" w:type="dxa"/>
            <w:shd w:val="clear" w:color="auto" w:fill="E5F1FF"/>
            <w:vAlign w:val="center"/>
          </w:tcPr>
          <w:p w14:paraId="28968900" w14:textId="77777777" w:rsidR="003645AF" w:rsidRPr="003D1C56" w:rsidRDefault="00CD2800" w:rsidP="0062167E">
            <w:pPr>
              <w:keepNext/>
              <w:spacing w:after="0"/>
              <w:jc w:val="center"/>
              <w:rPr>
                <w:b/>
                <w:sz w:val="20"/>
                <w:szCs w:val="22"/>
              </w:rPr>
            </w:pPr>
            <w:r w:rsidRPr="003D1C56">
              <w:rPr>
                <w:b/>
                <w:sz w:val="20"/>
                <w:szCs w:val="22"/>
              </w:rPr>
              <w:t>Počet shod</w:t>
            </w:r>
          </w:p>
        </w:tc>
        <w:tc>
          <w:tcPr>
            <w:tcW w:w="1701" w:type="dxa"/>
            <w:shd w:val="clear" w:color="auto" w:fill="E5F1FF"/>
            <w:vAlign w:val="center"/>
          </w:tcPr>
          <w:p w14:paraId="321285F7" w14:textId="77777777" w:rsidR="003E6895" w:rsidRDefault="00CD2800" w:rsidP="003E6895">
            <w:pPr>
              <w:keepNext/>
              <w:spacing w:after="0"/>
              <w:jc w:val="center"/>
              <w:rPr>
                <w:b/>
                <w:sz w:val="20"/>
                <w:szCs w:val="22"/>
              </w:rPr>
            </w:pPr>
            <w:r w:rsidRPr="003D1C56">
              <w:rPr>
                <w:b/>
                <w:sz w:val="20"/>
                <w:szCs w:val="22"/>
              </w:rPr>
              <w:t>Podíl shod</w:t>
            </w:r>
            <w:r w:rsidR="003E6895">
              <w:rPr>
                <w:b/>
                <w:sz w:val="20"/>
                <w:szCs w:val="22"/>
              </w:rPr>
              <w:t xml:space="preserve"> </w:t>
            </w:r>
          </w:p>
          <w:p w14:paraId="0BAA1AB8" w14:textId="77777777" w:rsidR="003645AF" w:rsidRPr="003D1C56" w:rsidRDefault="003E6895" w:rsidP="003E6895">
            <w:pPr>
              <w:keepNext/>
              <w:spacing w:after="0"/>
              <w:jc w:val="center"/>
              <w:rPr>
                <w:b/>
                <w:sz w:val="20"/>
                <w:szCs w:val="22"/>
              </w:rPr>
            </w:pPr>
            <w:r>
              <w:rPr>
                <w:b/>
                <w:sz w:val="20"/>
                <w:szCs w:val="22"/>
              </w:rPr>
              <w:t>(v %)</w:t>
            </w:r>
          </w:p>
        </w:tc>
      </w:tr>
      <w:tr w:rsidR="00C76F45" w14:paraId="36A74B93" w14:textId="77777777" w:rsidTr="0062167E">
        <w:trPr>
          <w:trHeight w:val="245"/>
        </w:trPr>
        <w:tc>
          <w:tcPr>
            <w:tcW w:w="2607" w:type="dxa"/>
            <w:vAlign w:val="center"/>
          </w:tcPr>
          <w:p w14:paraId="14DF4A7C" w14:textId="77777777" w:rsidR="003645AF" w:rsidRPr="003D1C56" w:rsidRDefault="00CD2800" w:rsidP="00E061D6">
            <w:pPr>
              <w:keepNext/>
              <w:spacing w:after="0"/>
              <w:ind w:left="59"/>
              <w:rPr>
                <w:sz w:val="20"/>
                <w:szCs w:val="22"/>
              </w:rPr>
            </w:pPr>
            <w:r w:rsidRPr="003D1C56">
              <w:rPr>
                <w:sz w:val="20"/>
                <w:szCs w:val="22"/>
              </w:rPr>
              <w:t>ZÁRUKY</w:t>
            </w:r>
          </w:p>
        </w:tc>
        <w:tc>
          <w:tcPr>
            <w:tcW w:w="3061" w:type="dxa"/>
            <w:vAlign w:val="center"/>
          </w:tcPr>
          <w:p w14:paraId="55392EB8" w14:textId="77777777" w:rsidR="003645AF" w:rsidRPr="003D1C56" w:rsidRDefault="00CD2800" w:rsidP="00E061D6">
            <w:pPr>
              <w:keepNext/>
              <w:spacing w:after="0"/>
              <w:ind w:right="1312"/>
              <w:jc w:val="right"/>
              <w:rPr>
                <w:sz w:val="20"/>
                <w:szCs w:val="22"/>
              </w:rPr>
            </w:pPr>
            <w:r w:rsidRPr="003D1C56">
              <w:rPr>
                <w:sz w:val="20"/>
                <w:szCs w:val="22"/>
              </w:rPr>
              <w:t>216</w:t>
            </w:r>
          </w:p>
        </w:tc>
        <w:tc>
          <w:tcPr>
            <w:tcW w:w="1701" w:type="dxa"/>
            <w:vAlign w:val="center"/>
          </w:tcPr>
          <w:p w14:paraId="0DC2211D" w14:textId="77777777" w:rsidR="003645AF" w:rsidRPr="003D1C56" w:rsidRDefault="00CD2800" w:rsidP="00E061D6">
            <w:pPr>
              <w:keepNext/>
              <w:spacing w:after="0"/>
              <w:ind w:right="666"/>
              <w:jc w:val="right"/>
              <w:rPr>
                <w:sz w:val="20"/>
                <w:szCs w:val="22"/>
              </w:rPr>
            </w:pPr>
            <w:r w:rsidRPr="003D1C56">
              <w:rPr>
                <w:sz w:val="20"/>
                <w:szCs w:val="22"/>
              </w:rPr>
              <w:t>2</w:t>
            </w:r>
          </w:p>
        </w:tc>
        <w:tc>
          <w:tcPr>
            <w:tcW w:w="1701" w:type="dxa"/>
            <w:vAlign w:val="center"/>
          </w:tcPr>
          <w:p w14:paraId="6B7D07F6" w14:textId="77777777" w:rsidR="003645AF" w:rsidRPr="003D1C56" w:rsidRDefault="00CD2800" w:rsidP="00562E97">
            <w:pPr>
              <w:keepNext/>
              <w:spacing w:after="0"/>
              <w:ind w:right="451"/>
              <w:jc w:val="right"/>
              <w:rPr>
                <w:sz w:val="20"/>
                <w:szCs w:val="22"/>
              </w:rPr>
            </w:pPr>
            <w:r w:rsidRPr="003D1C56">
              <w:rPr>
                <w:sz w:val="20"/>
                <w:szCs w:val="22"/>
              </w:rPr>
              <w:t>0,93</w:t>
            </w:r>
          </w:p>
        </w:tc>
      </w:tr>
      <w:tr w:rsidR="00C76F45" w14:paraId="19C7EE62" w14:textId="77777777" w:rsidTr="0062167E">
        <w:trPr>
          <w:trHeight w:val="260"/>
        </w:trPr>
        <w:tc>
          <w:tcPr>
            <w:tcW w:w="2607" w:type="dxa"/>
            <w:vAlign w:val="center"/>
          </w:tcPr>
          <w:p w14:paraId="4B0B0CC2" w14:textId="77777777" w:rsidR="003645AF" w:rsidRPr="003D1C56" w:rsidRDefault="00CD2800" w:rsidP="00E061D6">
            <w:pPr>
              <w:keepNext/>
              <w:spacing w:after="0"/>
              <w:ind w:left="59"/>
              <w:rPr>
                <w:sz w:val="20"/>
                <w:szCs w:val="22"/>
              </w:rPr>
            </w:pPr>
            <w:r w:rsidRPr="003D1C56">
              <w:rPr>
                <w:sz w:val="20"/>
                <w:szCs w:val="22"/>
              </w:rPr>
              <w:t>INICIATIVA</w:t>
            </w:r>
          </w:p>
        </w:tc>
        <w:tc>
          <w:tcPr>
            <w:tcW w:w="3061" w:type="dxa"/>
            <w:vAlign w:val="center"/>
          </w:tcPr>
          <w:p w14:paraId="01F55DD3" w14:textId="45C7CC2A" w:rsidR="003645AF" w:rsidRPr="003D1C56" w:rsidRDefault="00CD2800" w:rsidP="00E061D6">
            <w:pPr>
              <w:keepNext/>
              <w:spacing w:after="0"/>
              <w:ind w:right="1312"/>
              <w:jc w:val="right"/>
              <w:rPr>
                <w:sz w:val="20"/>
                <w:szCs w:val="22"/>
              </w:rPr>
            </w:pPr>
            <w:r w:rsidRPr="003D1C56">
              <w:rPr>
                <w:sz w:val="20"/>
                <w:szCs w:val="22"/>
              </w:rPr>
              <w:t>2</w:t>
            </w:r>
            <w:r w:rsidR="00E061D6">
              <w:rPr>
                <w:sz w:val="20"/>
                <w:szCs w:val="22"/>
              </w:rPr>
              <w:t> </w:t>
            </w:r>
            <w:r w:rsidRPr="003D1C56">
              <w:rPr>
                <w:sz w:val="20"/>
                <w:szCs w:val="22"/>
              </w:rPr>
              <w:t>295</w:t>
            </w:r>
          </w:p>
        </w:tc>
        <w:tc>
          <w:tcPr>
            <w:tcW w:w="1701" w:type="dxa"/>
            <w:vAlign w:val="center"/>
          </w:tcPr>
          <w:p w14:paraId="3D1D17FB" w14:textId="77777777" w:rsidR="003645AF" w:rsidRPr="003D1C56" w:rsidRDefault="00CD2800" w:rsidP="00E061D6">
            <w:pPr>
              <w:keepNext/>
              <w:spacing w:after="0"/>
              <w:ind w:right="666"/>
              <w:jc w:val="right"/>
              <w:rPr>
                <w:sz w:val="20"/>
                <w:szCs w:val="22"/>
              </w:rPr>
            </w:pPr>
            <w:r w:rsidRPr="003D1C56">
              <w:rPr>
                <w:sz w:val="20"/>
                <w:szCs w:val="22"/>
              </w:rPr>
              <w:t>96</w:t>
            </w:r>
          </w:p>
        </w:tc>
        <w:tc>
          <w:tcPr>
            <w:tcW w:w="1701" w:type="dxa"/>
            <w:vAlign w:val="center"/>
          </w:tcPr>
          <w:p w14:paraId="202DD819" w14:textId="77777777" w:rsidR="003645AF" w:rsidRPr="003D1C56" w:rsidRDefault="003E6895" w:rsidP="00562E97">
            <w:pPr>
              <w:keepNext/>
              <w:spacing w:after="0"/>
              <w:ind w:right="451"/>
              <w:jc w:val="right"/>
              <w:rPr>
                <w:sz w:val="20"/>
                <w:szCs w:val="22"/>
              </w:rPr>
            </w:pPr>
            <w:r>
              <w:rPr>
                <w:sz w:val="20"/>
                <w:szCs w:val="22"/>
              </w:rPr>
              <w:t>4,18</w:t>
            </w:r>
          </w:p>
        </w:tc>
      </w:tr>
      <w:tr w:rsidR="00C76F45" w14:paraId="3445537E" w14:textId="77777777" w:rsidTr="0062167E">
        <w:trPr>
          <w:trHeight w:val="260"/>
        </w:trPr>
        <w:tc>
          <w:tcPr>
            <w:tcW w:w="2607" w:type="dxa"/>
            <w:vAlign w:val="center"/>
          </w:tcPr>
          <w:p w14:paraId="2610DB07" w14:textId="77777777" w:rsidR="003645AF" w:rsidRPr="003D1C56" w:rsidRDefault="00CD2800" w:rsidP="00E061D6">
            <w:pPr>
              <w:keepNext/>
              <w:spacing w:after="0"/>
              <w:ind w:left="59"/>
              <w:rPr>
                <w:sz w:val="20"/>
                <w:szCs w:val="22"/>
              </w:rPr>
            </w:pPr>
            <w:r w:rsidRPr="003D1C56">
              <w:rPr>
                <w:sz w:val="20"/>
                <w:szCs w:val="22"/>
              </w:rPr>
              <w:t>TRANSFER</w:t>
            </w:r>
          </w:p>
        </w:tc>
        <w:tc>
          <w:tcPr>
            <w:tcW w:w="3061" w:type="dxa"/>
            <w:vAlign w:val="center"/>
          </w:tcPr>
          <w:p w14:paraId="6FAF6293" w14:textId="77777777" w:rsidR="003645AF" w:rsidRPr="003D1C56" w:rsidRDefault="00CD2800" w:rsidP="00E061D6">
            <w:pPr>
              <w:keepNext/>
              <w:spacing w:after="0"/>
              <w:ind w:right="1312"/>
              <w:jc w:val="right"/>
              <w:rPr>
                <w:sz w:val="20"/>
                <w:szCs w:val="22"/>
              </w:rPr>
            </w:pPr>
            <w:r w:rsidRPr="003D1C56">
              <w:rPr>
                <w:sz w:val="20"/>
                <w:szCs w:val="22"/>
              </w:rPr>
              <w:t>240</w:t>
            </w:r>
          </w:p>
        </w:tc>
        <w:tc>
          <w:tcPr>
            <w:tcW w:w="1701" w:type="dxa"/>
            <w:vAlign w:val="center"/>
          </w:tcPr>
          <w:p w14:paraId="366582BC" w14:textId="77777777" w:rsidR="003645AF" w:rsidRPr="003D1C56" w:rsidRDefault="00CD2800" w:rsidP="00E061D6">
            <w:pPr>
              <w:keepNext/>
              <w:spacing w:after="0"/>
              <w:ind w:right="666"/>
              <w:jc w:val="right"/>
              <w:rPr>
                <w:sz w:val="20"/>
                <w:szCs w:val="22"/>
              </w:rPr>
            </w:pPr>
            <w:r w:rsidRPr="003D1C56">
              <w:rPr>
                <w:sz w:val="20"/>
                <w:szCs w:val="22"/>
              </w:rPr>
              <w:t>12</w:t>
            </w:r>
          </w:p>
        </w:tc>
        <w:tc>
          <w:tcPr>
            <w:tcW w:w="1701" w:type="dxa"/>
            <w:vAlign w:val="center"/>
          </w:tcPr>
          <w:p w14:paraId="6F553E56" w14:textId="77777777" w:rsidR="003645AF" w:rsidRPr="003D1C56" w:rsidRDefault="003E6895" w:rsidP="00562E97">
            <w:pPr>
              <w:keepNext/>
              <w:spacing w:after="0"/>
              <w:ind w:right="451"/>
              <w:jc w:val="right"/>
              <w:rPr>
                <w:sz w:val="20"/>
                <w:szCs w:val="22"/>
              </w:rPr>
            </w:pPr>
            <w:r>
              <w:rPr>
                <w:sz w:val="20"/>
                <w:szCs w:val="22"/>
              </w:rPr>
              <w:t>5,00</w:t>
            </w:r>
          </w:p>
        </w:tc>
      </w:tr>
    </w:tbl>
    <w:p w14:paraId="62A0D220" w14:textId="1AA7C89A" w:rsidR="003645AF" w:rsidRPr="003D1C56" w:rsidRDefault="00CD2800" w:rsidP="003645AF">
      <w:pPr>
        <w:spacing w:after="160" w:line="259" w:lineRule="auto"/>
        <w:rPr>
          <w:sz w:val="20"/>
          <w:szCs w:val="22"/>
        </w:rPr>
      </w:pPr>
      <w:r w:rsidRPr="005A3600">
        <w:rPr>
          <w:b/>
          <w:sz w:val="20"/>
          <w:szCs w:val="22"/>
        </w:rPr>
        <w:t>Zdroj:</w:t>
      </w:r>
      <w:r w:rsidRPr="003D1C56">
        <w:rPr>
          <w:sz w:val="20"/>
          <w:szCs w:val="22"/>
        </w:rPr>
        <w:t xml:space="preserve"> údaj</w:t>
      </w:r>
      <w:r w:rsidR="00562E97">
        <w:rPr>
          <w:sz w:val="20"/>
          <w:szCs w:val="22"/>
        </w:rPr>
        <w:t>e</w:t>
      </w:r>
      <w:r w:rsidRPr="003D1C56">
        <w:rPr>
          <w:sz w:val="20"/>
          <w:szCs w:val="22"/>
        </w:rPr>
        <w:t xml:space="preserve"> z MS2014+</w:t>
      </w:r>
      <w:r w:rsidR="005A3600">
        <w:rPr>
          <w:sz w:val="20"/>
          <w:szCs w:val="22"/>
        </w:rPr>
        <w:t>.</w:t>
      </w:r>
    </w:p>
    <w:p w14:paraId="4EAA0F28" w14:textId="77777777" w:rsidR="003645AF" w:rsidRPr="003D1C56" w:rsidRDefault="00012C11" w:rsidP="008E62A9">
      <w:pPr>
        <w:jc w:val="both"/>
      </w:pPr>
      <w:r>
        <w:t>Z analýzy NKÚ vyplývá, že</w:t>
      </w:r>
      <w:r w:rsidR="00CD2800" w:rsidRPr="003D1C56">
        <w:t xml:space="preserve"> část podpořených klientů projektu zaměstnali zaměstnavatelé, kteří jsou s nimi v příbuzenském vztahu. Podle vyjádření MPSV není </w:t>
      </w:r>
      <w:r w:rsidR="00294412" w:rsidRPr="003D1C56">
        <w:t>příbuzenský vztah mezi zaměstnavatelem a zaměstnancem</w:t>
      </w:r>
      <w:r w:rsidR="00EC6A1A">
        <w:t>,</w:t>
      </w:r>
      <w:r w:rsidR="00294412" w:rsidRPr="003D1C56">
        <w:t xml:space="preserve"> mimo případů uvedených v zákoníku práce</w:t>
      </w:r>
      <w:r w:rsidR="00CD2800">
        <w:rPr>
          <w:rStyle w:val="Znakapoznpodarou"/>
        </w:rPr>
        <w:footnoteReference w:id="19"/>
      </w:r>
      <w:r w:rsidR="00EC6A1A">
        <w:t>,</w:t>
      </w:r>
      <w:r w:rsidR="00294412" w:rsidRPr="003D1C56">
        <w:t xml:space="preserve"> překážkou čerpání příspěvku na dotované pracovní místo. </w:t>
      </w:r>
    </w:p>
    <w:p w14:paraId="6D146332" w14:textId="77777777" w:rsidR="003645AF" w:rsidRPr="003D1C56" w:rsidRDefault="00CD2800" w:rsidP="008E62A9">
      <w:pPr>
        <w:jc w:val="both"/>
        <w:rPr>
          <w:b/>
        </w:rPr>
      </w:pPr>
      <w:r w:rsidRPr="003D1C56">
        <w:rPr>
          <w:b/>
        </w:rPr>
        <w:t xml:space="preserve">NKÚ konstatuje, že považuje čerpání příspěvků na dotovaná pracovní místa obsazená osobami v příbuzenském vztahu za zdroj zvýšeného rizika zneužití podpory, který by mělo MPSV vzít </w:t>
      </w:r>
      <w:r w:rsidR="00193B76">
        <w:rPr>
          <w:b/>
        </w:rPr>
        <w:t xml:space="preserve">v </w:t>
      </w:r>
      <w:r w:rsidRPr="003D1C56">
        <w:rPr>
          <w:b/>
        </w:rPr>
        <w:t xml:space="preserve">úvahu při stanovení kontrolního vzorku při plánování </w:t>
      </w:r>
      <w:r w:rsidR="005A1757" w:rsidRPr="003D1C56">
        <w:rPr>
          <w:b/>
        </w:rPr>
        <w:t xml:space="preserve">vlastní </w:t>
      </w:r>
      <w:r w:rsidRPr="003D1C56">
        <w:rPr>
          <w:b/>
        </w:rPr>
        <w:t>kontroly na místě.</w:t>
      </w:r>
    </w:p>
    <w:p w14:paraId="422E640F" w14:textId="77777777" w:rsidR="00A00189" w:rsidRPr="003D1C56" w:rsidRDefault="00226B51" w:rsidP="00B02A88">
      <w:pPr>
        <w:pStyle w:val="Nadpis3"/>
      </w:pPr>
      <w:r w:rsidRPr="00226B51">
        <w:t>Data v MS2014+ mají sníženou informační hodnotu</w:t>
      </w:r>
      <w:r w:rsidR="00A44380">
        <w:t xml:space="preserve"> </w:t>
      </w:r>
    </w:p>
    <w:p w14:paraId="08C166B3" w14:textId="39CB8191" w:rsidR="000579F3" w:rsidRPr="003D1C56" w:rsidRDefault="00CD2800" w:rsidP="000579F3">
      <w:pPr>
        <w:jc w:val="both"/>
      </w:pPr>
      <w:r w:rsidRPr="003D1C56">
        <w:t>V rámci</w:t>
      </w:r>
      <w:r w:rsidR="00B123D2" w:rsidRPr="003D1C56">
        <w:t xml:space="preserve"> operačních programů </w:t>
      </w:r>
      <w:r w:rsidR="00562E97">
        <w:t>e</w:t>
      </w:r>
      <w:r w:rsidR="00B123D2" w:rsidRPr="003D1C56">
        <w:t>vropských strukturálních a investičních fondů</w:t>
      </w:r>
      <w:r w:rsidR="00562E97">
        <w:t>,</w:t>
      </w:r>
      <w:r w:rsidR="00B123D2" w:rsidRPr="003D1C56">
        <w:t xml:space="preserve"> a tedy i OPZ, hraje klíčovou roli </w:t>
      </w:r>
      <w:r w:rsidR="00562E97" w:rsidRPr="00E82DB8">
        <w:rPr>
          <w:i/>
        </w:rPr>
        <w:t>m</w:t>
      </w:r>
      <w:r w:rsidR="00B123D2" w:rsidRPr="00E82DB8">
        <w:rPr>
          <w:i/>
        </w:rPr>
        <w:t>onitorovací systém evropských strukturálních a investičních fondů pro</w:t>
      </w:r>
      <w:r w:rsidR="00562E97">
        <w:rPr>
          <w:i/>
        </w:rPr>
        <w:t xml:space="preserve"> </w:t>
      </w:r>
      <w:r w:rsidR="009D4C92" w:rsidRPr="00E82DB8">
        <w:rPr>
          <w:i/>
        </w:rPr>
        <w:t>programové období 2014–</w:t>
      </w:r>
      <w:r w:rsidR="00B123D2" w:rsidRPr="00E82DB8">
        <w:rPr>
          <w:i/>
        </w:rPr>
        <w:t>2020</w:t>
      </w:r>
      <w:r w:rsidR="00B123D2" w:rsidRPr="003D1C56">
        <w:t xml:space="preserve"> (dále také „MS2014+“).</w:t>
      </w:r>
      <w:r w:rsidRPr="003D1C56">
        <w:t xml:space="preserve"> Kromě dalšího se MS2014+ používá v oblasti kontrol</w:t>
      </w:r>
      <w:r w:rsidR="00E73DF3">
        <w:t>,</w:t>
      </w:r>
      <w:r w:rsidRPr="003D1C56">
        <w:t xml:space="preserve"> včetně kontrol veřejných zakázek. </w:t>
      </w:r>
      <w:r w:rsidRPr="003D1C56">
        <w:rPr>
          <w:b/>
        </w:rPr>
        <w:t xml:space="preserve">NKÚ zjistil v této oblasti nedostatky, které snižují informační hodnotu </w:t>
      </w:r>
      <w:r w:rsidR="00B72421" w:rsidRPr="003D1C56">
        <w:rPr>
          <w:b/>
        </w:rPr>
        <w:t>dat v tomto</w:t>
      </w:r>
      <w:r w:rsidRPr="003D1C56">
        <w:rPr>
          <w:b/>
        </w:rPr>
        <w:t xml:space="preserve"> systému a </w:t>
      </w:r>
      <w:r w:rsidR="00B72421" w:rsidRPr="003D1C56">
        <w:rPr>
          <w:b/>
        </w:rPr>
        <w:t xml:space="preserve">tím </w:t>
      </w:r>
      <w:r w:rsidRPr="003D1C56">
        <w:rPr>
          <w:b/>
        </w:rPr>
        <w:t>ztěžují práci všem uživatelům včetně samotného MPSV.</w:t>
      </w:r>
      <w:r w:rsidRPr="003D1C56">
        <w:t xml:space="preserve"> </w:t>
      </w:r>
      <w:r w:rsidR="00B72421" w:rsidRPr="003D1C56">
        <w:t>Konkrétně</w:t>
      </w:r>
      <w:r w:rsidRPr="003D1C56">
        <w:t>:</w:t>
      </w:r>
    </w:p>
    <w:p w14:paraId="7E8D8CEF" w14:textId="2377377F" w:rsidR="000579F3" w:rsidRPr="003D1C56" w:rsidRDefault="003C5D83" w:rsidP="00E82DB8">
      <w:pPr>
        <w:pStyle w:val="Odstavecseseznamem"/>
        <w:numPr>
          <w:ilvl w:val="0"/>
          <w:numId w:val="12"/>
        </w:numPr>
        <w:spacing w:after="0"/>
        <w:jc w:val="both"/>
      </w:pPr>
      <w:r>
        <w:t>Od spuštění OPZ d</w:t>
      </w:r>
      <w:r w:rsidR="00CD2800" w:rsidRPr="003D1C56">
        <w:t>o 22. 8. 2017 nemohli příjemci vkládat dokumenty k veřejným zakázkám do specializovaného modulu, kde byly jednotlivé zakázky veden</w:t>
      </w:r>
      <w:r w:rsidR="00562E97">
        <w:t>y</w:t>
      </w:r>
      <w:r w:rsidR="00CD2800" w:rsidRPr="003D1C56">
        <w:t xml:space="preserve"> jako samostatná položka. </w:t>
      </w:r>
      <w:r w:rsidR="00B72421" w:rsidRPr="003D1C56">
        <w:t>M</w:t>
      </w:r>
      <w:r w:rsidR="00CD2800" w:rsidRPr="003D1C56">
        <w:t>ísto toho zasílali příjemci dokumenty formou tzv. depeší</w:t>
      </w:r>
      <w:r w:rsidR="00CD2800">
        <w:rPr>
          <w:rStyle w:val="Znakapoznpodarou"/>
        </w:rPr>
        <w:footnoteReference w:id="20"/>
      </w:r>
      <w:r w:rsidR="00CD2800" w:rsidRPr="003D1C56">
        <w:t xml:space="preserve">. </w:t>
      </w:r>
      <w:r w:rsidR="007304B8" w:rsidRPr="003D1C56">
        <w:t>V</w:t>
      </w:r>
      <w:r w:rsidR="009D4C92">
        <w:t> </w:t>
      </w:r>
      <w:r w:rsidR="00E33BB6" w:rsidRPr="003D1C56">
        <w:t>důsle</w:t>
      </w:r>
      <w:r w:rsidR="007304B8" w:rsidRPr="003D1C56">
        <w:t xml:space="preserve">dku </w:t>
      </w:r>
      <w:r>
        <w:t>této praxe</w:t>
      </w:r>
      <w:r w:rsidR="007304B8" w:rsidRPr="003D1C56">
        <w:t xml:space="preserve"> docházelo k chybám v komunikaci, kdy byly příjemci zaslány z pozice MPSV výsledky kontroly vztahující se k jiné </w:t>
      </w:r>
      <w:r w:rsidR="00C41BB5" w:rsidRPr="003D1C56">
        <w:t>zakázce téhož projektu</w:t>
      </w:r>
      <w:r w:rsidR="007304B8" w:rsidRPr="003D1C56">
        <w:t xml:space="preserve">. </w:t>
      </w:r>
      <w:r w:rsidR="001377B5" w:rsidRPr="003D1C56">
        <w:t>MPSV navíc zavázalo příjemce k použ</w:t>
      </w:r>
      <w:r w:rsidR="00562E97">
        <w:t>ívání</w:t>
      </w:r>
      <w:r w:rsidR="001377B5" w:rsidRPr="003D1C56">
        <w:t xml:space="preserve"> modulu </w:t>
      </w:r>
      <w:r w:rsidR="001377B5" w:rsidRPr="00E82DB8">
        <w:rPr>
          <w:i/>
        </w:rPr>
        <w:t>Veřejné zakázky</w:t>
      </w:r>
      <w:r w:rsidR="001377B5" w:rsidRPr="003D1C56">
        <w:t xml:space="preserve"> v MS2014+ až po čtyřech měsících od jeho nasazení.</w:t>
      </w:r>
    </w:p>
    <w:p w14:paraId="1764979A" w14:textId="6773CCA9" w:rsidR="00B123D2" w:rsidRPr="003D1C56" w:rsidRDefault="00CD2800" w:rsidP="00E82DB8">
      <w:pPr>
        <w:pStyle w:val="Odstavecseseznamem"/>
        <w:numPr>
          <w:ilvl w:val="0"/>
          <w:numId w:val="12"/>
        </w:numPr>
        <w:spacing w:after="0"/>
        <w:jc w:val="both"/>
      </w:pPr>
      <w:r w:rsidRPr="003D1C56">
        <w:t xml:space="preserve">NKÚ zjistil, že informace o kontrolách některých veřejných zakázek neodpovídaly skutečnosti. V MS2014+ byly kontroly vedeny jako probíhající, přestože je řídicí orgán </w:t>
      </w:r>
      <w:r w:rsidR="00E33BB6" w:rsidRPr="003D1C56">
        <w:t xml:space="preserve">již </w:t>
      </w:r>
      <w:r w:rsidRPr="003D1C56">
        <w:t xml:space="preserve">ukončil. Důvodem </w:t>
      </w:r>
      <w:r w:rsidR="00E33BB6" w:rsidRPr="003D1C56">
        <w:t>tohoto stavu bylo</w:t>
      </w:r>
      <w:r w:rsidRPr="003D1C56">
        <w:t xml:space="preserve">, </w:t>
      </w:r>
      <w:r w:rsidR="00E33BB6" w:rsidRPr="003D1C56">
        <w:t xml:space="preserve">že k </w:t>
      </w:r>
      <w:r w:rsidRPr="003D1C56">
        <w:t>převedení kontroly do stavu „ukončená“</w:t>
      </w:r>
      <w:r w:rsidR="003C5D83">
        <w:t xml:space="preserve"> došlo</w:t>
      </w:r>
      <w:r w:rsidR="00E33BB6" w:rsidRPr="003D1C56">
        <w:t xml:space="preserve"> až po</w:t>
      </w:r>
      <w:r w:rsidRPr="003D1C56">
        <w:t xml:space="preserve"> vyplnění údajů, které</w:t>
      </w:r>
      <w:r w:rsidR="00E33BB6" w:rsidRPr="003D1C56">
        <w:t xml:space="preserve"> však</w:t>
      </w:r>
      <w:r w:rsidRPr="003D1C56">
        <w:t xml:space="preserve"> řídicí orgán nevy</w:t>
      </w:r>
      <w:r w:rsidR="003C5D83">
        <w:t>užíval</w:t>
      </w:r>
      <w:r w:rsidRPr="003D1C56">
        <w:t xml:space="preserve">. MPSV k tomu uvedlo, že dává přednost </w:t>
      </w:r>
      <w:r w:rsidR="00EB642B" w:rsidRPr="003D1C56">
        <w:t xml:space="preserve">efektivnějšímu </w:t>
      </w:r>
      <w:r w:rsidRPr="003D1C56">
        <w:t xml:space="preserve">využití kapacity zaměstnanců, </w:t>
      </w:r>
      <w:r w:rsidR="00EB642B" w:rsidRPr="003D1C56">
        <w:t xml:space="preserve">než </w:t>
      </w:r>
      <w:r w:rsidR="00562E97">
        <w:t>je</w:t>
      </w:r>
      <w:r w:rsidR="003C5D83">
        <w:t xml:space="preserve"> </w:t>
      </w:r>
      <w:r w:rsidR="00EB642B" w:rsidRPr="003D1C56">
        <w:t>doplňování záznamů</w:t>
      </w:r>
      <w:r w:rsidRPr="003D1C56">
        <w:t>, které</w:t>
      </w:r>
      <w:r w:rsidR="005C66A9" w:rsidRPr="003D1C56">
        <w:t xml:space="preserve"> nejsou využívány. </w:t>
      </w:r>
      <w:r w:rsidR="004D4B00" w:rsidRPr="003D1C56">
        <w:t>Tento postup MPSV není porušením metodického pokynu pro výkon kontrol</w:t>
      </w:r>
      <w:r>
        <w:rPr>
          <w:rStyle w:val="Znakapoznpodarou"/>
        </w:rPr>
        <w:footnoteReference w:id="21"/>
      </w:r>
      <w:r w:rsidR="004D4B00" w:rsidRPr="003D1C56">
        <w:t xml:space="preserve"> vydaného Ministerstvem </w:t>
      </w:r>
      <w:r w:rsidR="00EB642B" w:rsidRPr="003D1C56">
        <w:t>financí</w:t>
      </w:r>
      <w:r w:rsidR="004D4B00" w:rsidRPr="003D1C56">
        <w:t xml:space="preserve">. </w:t>
      </w:r>
      <w:r w:rsidR="005C66A9" w:rsidRPr="003D1C56">
        <w:t>Řídicí orgán má přehled o stavu kontrol z paralelní evidence, která slouží mj. i k hlídání lhůt, protože MS2014+ t</w:t>
      </w:r>
      <w:r w:rsidR="00562E97">
        <w:t>u</w:t>
      </w:r>
      <w:r w:rsidR="005C66A9" w:rsidRPr="003D1C56">
        <w:t>to funkcionalit</w:t>
      </w:r>
      <w:r w:rsidR="00562E97">
        <w:t>u</w:t>
      </w:r>
      <w:r w:rsidR="005C66A9" w:rsidRPr="003D1C56">
        <w:t xml:space="preserve"> postrádá. </w:t>
      </w:r>
    </w:p>
    <w:p w14:paraId="09189C48" w14:textId="4FF9AEC1" w:rsidR="004D4B00" w:rsidRPr="003D1C56" w:rsidRDefault="00CD2800" w:rsidP="004266BC">
      <w:pPr>
        <w:pStyle w:val="Odstavecseseznamem"/>
        <w:numPr>
          <w:ilvl w:val="0"/>
          <w:numId w:val="12"/>
        </w:numPr>
        <w:jc w:val="both"/>
      </w:pPr>
      <w:r w:rsidRPr="003D1C56">
        <w:t xml:space="preserve">U části projektů, zejména projektů ÚP, byla </w:t>
      </w:r>
      <w:r w:rsidR="003C5D83">
        <w:t>využívána</w:t>
      </w:r>
      <w:r w:rsidRPr="003D1C56">
        <w:t xml:space="preserve"> plnění z veřejných zakázek zadaných pro více projektů společně nebo i zakázek zadaných na úrovni MPSV (např. </w:t>
      </w:r>
      <w:r w:rsidR="00A60057" w:rsidRPr="003D1C56">
        <w:t xml:space="preserve">zajištění telekomunikačních služeb). </w:t>
      </w:r>
      <w:r w:rsidRPr="003D1C56">
        <w:t xml:space="preserve">NKÚ zjistil, že v takových případech je dokumentace z kontroly zakázky uložena v MS2014+ pouze u jednoho z dotčených projektů a u zbývajících chybí informace o tom, kde </w:t>
      </w:r>
      <w:r w:rsidR="00562E97" w:rsidRPr="003D1C56">
        <w:t xml:space="preserve">lze </w:t>
      </w:r>
      <w:r w:rsidRPr="003D1C56">
        <w:t xml:space="preserve">patřičnou dokumentaci najít. Modul </w:t>
      </w:r>
      <w:r w:rsidR="00562E97" w:rsidRPr="00E82DB8">
        <w:rPr>
          <w:i/>
        </w:rPr>
        <w:t>V</w:t>
      </w:r>
      <w:r w:rsidRPr="00E82DB8">
        <w:rPr>
          <w:i/>
        </w:rPr>
        <w:t>eřejné zakázky</w:t>
      </w:r>
      <w:r w:rsidRPr="003D1C56">
        <w:t xml:space="preserve"> v MS2014+ přitom </w:t>
      </w:r>
      <w:r w:rsidR="00562E97">
        <w:t>nabízí</w:t>
      </w:r>
      <w:r w:rsidRPr="003D1C56">
        <w:t xml:space="preserve"> možnost takovéto zakázky označit a</w:t>
      </w:r>
      <w:r w:rsidR="00562E97">
        <w:t> </w:t>
      </w:r>
      <w:r w:rsidRPr="003D1C56">
        <w:t>identifikovat, kde je dokumentace uložen</w:t>
      </w:r>
      <w:r w:rsidR="00562E97">
        <w:t>a</w:t>
      </w:r>
      <w:r w:rsidRPr="003D1C56">
        <w:t>.</w:t>
      </w:r>
    </w:p>
    <w:p w14:paraId="10302584" w14:textId="77777777" w:rsidR="00A00189" w:rsidRPr="003D1C56" w:rsidRDefault="00226B51" w:rsidP="00B02A88">
      <w:pPr>
        <w:pStyle w:val="Nadpis3"/>
      </w:pPr>
      <w:r w:rsidRPr="00226B51">
        <w:t>Nápravná opatření ke zjištěním z KA č. 12/19 ve vztahu k MPSV nebyla úplná</w:t>
      </w:r>
    </w:p>
    <w:p w14:paraId="221BE4A3" w14:textId="64A93D70" w:rsidR="002D51B1" w:rsidRPr="00B44D11" w:rsidRDefault="00CD2800" w:rsidP="002D51B1">
      <w:pPr>
        <w:jc w:val="both"/>
      </w:pPr>
      <w:r w:rsidRPr="00B44D11">
        <w:t xml:space="preserve">NKÚ kontroloval, zda MPSV přijalo nápravná opatření týkající se předmětu </w:t>
      </w:r>
      <w:r w:rsidR="003C5D83" w:rsidRPr="00B44D11">
        <w:t>kontrolní akce č. </w:t>
      </w:r>
      <w:r w:rsidRPr="00B44D11">
        <w:t xml:space="preserve">18/28, ke kterým se zavázalo v příloze </w:t>
      </w:r>
      <w:r w:rsidR="003C5D83" w:rsidRPr="00B44D11">
        <w:t>u</w:t>
      </w:r>
      <w:r w:rsidRPr="00B44D11">
        <w:t>snesení vlády</w:t>
      </w:r>
      <w:r w:rsidR="00515D75" w:rsidRPr="00B44D11">
        <w:t xml:space="preserve"> České republiky</w:t>
      </w:r>
      <w:r w:rsidRPr="00B44D11">
        <w:t xml:space="preserve"> ze dne 21. </w:t>
      </w:r>
      <w:r w:rsidR="00515D75" w:rsidRPr="00B44D11">
        <w:t>srpna</w:t>
      </w:r>
      <w:r w:rsidR="00B44D11">
        <w:t xml:space="preserve"> </w:t>
      </w:r>
      <w:r w:rsidRPr="00B44D11">
        <w:t>2013</w:t>
      </w:r>
      <w:r w:rsidR="00515D75" w:rsidRPr="00B44D11">
        <w:t xml:space="preserve"> č. 653</w:t>
      </w:r>
      <w:r w:rsidR="006A1F2F" w:rsidRPr="00B44D11">
        <w:t xml:space="preserve"> </w:t>
      </w:r>
      <w:r w:rsidRPr="00B44D11">
        <w:t>ke kontrole NKÚ č. 12/19</w:t>
      </w:r>
      <w:r w:rsidRPr="00B44D11">
        <w:rPr>
          <w:rStyle w:val="Znakapoznpodarou"/>
        </w:rPr>
        <w:footnoteReference w:id="22"/>
      </w:r>
      <w:r w:rsidRPr="00B44D11">
        <w:t>. Jedním z těchto zjištění bylo též porušení povinnosti zaznamenávat do</w:t>
      </w:r>
      <w:r w:rsidR="005407F1" w:rsidRPr="00B44D11">
        <w:t xml:space="preserve"> informačního systému</w:t>
      </w:r>
      <w:r w:rsidRPr="00B44D11">
        <w:t xml:space="preserve"> </w:t>
      </w:r>
      <w:r w:rsidR="00562E97" w:rsidRPr="00E82DB8">
        <w:rPr>
          <w:i/>
        </w:rPr>
        <w:t>C</w:t>
      </w:r>
      <w:r w:rsidRPr="00E82DB8">
        <w:rPr>
          <w:i/>
        </w:rPr>
        <w:t xml:space="preserve">entrální evidence dotací </w:t>
      </w:r>
      <w:r w:rsidR="00562E97" w:rsidRPr="00E82DB8">
        <w:rPr>
          <w:i/>
        </w:rPr>
        <w:t>z rozpočtu</w:t>
      </w:r>
      <w:r w:rsidR="00562E97">
        <w:t xml:space="preserve"> </w:t>
      </w:r>
      <w:r w:rsidRPr="00B44D11">
        <w:t>(dále také „CEDR“)</w:t>
      </w:r>
      <w:r w:rsidRPr="00B44D11">
        <w:rPr>
          <w:rStyle w:val="Znakapoznpodarou"/>
        </w:rPr>
        <w:footnoteReference w:id="23"/>
      </w:r>
      <w:r w:rsidRPr="00B44D11">
        <w:t xml:space="preserve"> údaje o příjemcích podpory včetně její výše. </w:t>
      </w:r>
      <w:r w:rsidRPr="00B44D11">
        <w:rPr>
          <w:b/>
        </w:rPr>
        <w:t>NKÚ u projektu T</w:t>
      </w:r>
      <w:r w:rsidR="003645AF" w:rsidRPr="00B44D11">
        <w:rPr>
          <w:b/>
        </w:rPr>
        <w:t>RANSFER</w:t>
      </w:r>
      <w:r w:rsidRPr="00B44D11">
        <w:rPr>
          <w:b/>
        </w:rPr>
        <w:t xml:space="preserve"> zjistil, že povinné údaje nebyly v době kontroly v </w:t>
      </w:r>
      <w:proofErr w:type="gramStart"/>
      <w:r w:rsidRPr="00B44D11">
        <w:rPr>
          <w:b/>
        </w:rPr>
        <w:t>CEDR</w:t>
      </w:r>
      <w:proofErr w:type="gramEnd"/>
      <w:r w:rsidRPr="00B44D11">
        <w:rPr>
          <w:b/>
        </w:rPr>
        <w:t xml:space="preserve"> dostupné a zjištěný nedostatek tedy přetrvává. </w:t>
      </w:r>
      <w:r w:rsidR="00B96BAC" w:rsidRPr="00B44D11">
        <w:rPr>
          <w:b/>
        </w:rPr>
        <w:t xml:space="preserve">Přestože </w:t>
      </w:r>
      <w:r w:rsidR="00B529A9" w:rsidRPr="00B44D11">
        <w:rPr>
          <w:b/>
        </w:rPr>
        <w:t>tyto</w:t>
      </w:r>
      <w:r w:rsidRPr="00B44D11">
        <w:rPr>
          <w:b/>
        </w:rPr>
        <w:t xml:space="preserve"> údaje </w:t>
      </w:r>
      <w:r w:rsidR="00B96BAC" w:rsidRPr="00B44D11">
        <w:rPr>
          <w:b/>
        </w:rPr>
        <w:t xml:space="preserve">mají být </w:t>
      </w:r>
      <w:r w:rsidRPr="00B44D11">
        <w:rPr>
          <w:b/>
        </w:rPr>
        <w:t xml:space="preserve">přenášeny z MS2014+, </w:t>
      </w:r>
      <w:r w:rsidR="00EB642B" w:rsidRPr="00B44D11">
        <w:rPr>
          <w:b/>
        </w:rPr>
        <w:t xml:space="preserve">který </w:t>
      </w:r>
      <w:r w:rsidR="00B96BAC" w:rsidRPr="00B44D11">
        <w:rPr>
          <w:b/>
        </w:rPr>
        <w:t xml:space="preserve">je v gesci Ministerstva pro místní rozvoj, </w:t>
      </w:r>
      <w:r w:rsidR="00EB642B" w:rsidRPr="00B44D11">
        <w:rPr>
          <w:b/>
        </w:rPr>
        <w:t xml:space="preserve">je </w:t>
      </w:r>
      <w:r w:rsidR="00B96BAC" w:rsidRPr="00B44D11">
        <w:rPr>
          <w:b/>
        </w:rPr>
        <w:t>za za</w:t>
      </w:r>
      <w:r w:rsidR="00A96AC6" w:rsidRPr="00B44D11">
        <w:rPr>
          <w:b/>
        </w:rPr>
        <w:t xml:space="preserve">znamenání údajů </w:t>
      </w:r>
      <w:r w:rsidR="00EB642B" w:rsidRPr="00B44D11">
        <w:rPr>
          <w:b/>
        </w:rPr>
        <w:t>podle právních předpisů</w:t>
      </w:r>
      <w:r w:rsidRPr="00B44D11">
        <w:rPr>
          <w:rStyle w:val="Znakapoznpodarou"/>
          <w:b/>
        </w:rPr>
        <w:footnoteReference w:id="24"/>
      </w:r>
      <w:r w:rsidR="00EB642B" w:rsidRPr="00B44D11">
        <w:rPr>
          <w:b/>
        </w:rPr>
        <w:t xml:space="preserve"> </w:t>
      </w:r>
      <w:r w:rsidR="00A96AC6" w:rsidRPr="00B44D11">
        <w:rPr>
          <w:b/>
        </w:rPr>
        <w:t>odpovědné MPSV.</w:t>
      </w:r>
    </w:p>
    <w:p w14:paraId="231F1716" w14:textId="77777777" w:rsidR="0000290E" w:rsidRPr="00B44D11" w:rsidRDefault="00226B51" w:rsidP="00B02A88">
      <w:pPr>
        <w:pStyle w:val="Nadpis3"/>
      </w:pPr>
      <w:r w:rsidRPr="00B44D11">
        <w:t>Udržitelná podpora společensky účelných pracovních míst není zaručena</w:t>
      </w:r>
    </w:p>
    <w:p w14:paraId="7AC5609C" w14:textId="77777777" w:rsidR="00DF7B4F" w:rsidRPr="003D1C56" w:rsidRDefault="00CD2800" w:rsidP="00DF7B4F">
      <w:pPr>
        <w:jc w:val="both"/>
      </w:pPr>
      <w:r w:rsidRPr="003D1C56">
        <w:t>Součástí projektů ÚP byly do značné míry aktivity, které představují standardní nástroje aktivní politiky zaměstnanosti vymezené zákonem o zaměstnanosti</w:t>
      </w:r>
      <w:r>
        <w:rPr>
          <w:rStyle w:val="Znakapoznpodarou"/>
        </w:rPr>
        <w:footnoteReference w:id="25"/>
      </w:r>
      <w:r w:rsidRPr="003D1C56">
        <w:t xml:space="preserve">. Jedná se např. o zaměstnávání klientů ÚP na společensky účelných pracovních místech (dále také „SÚPM“) v aktivitách projektů </w:t>
      </w:r>
      <w:r w:rsidR="00EC6A1A" w:rsidRPr="00EC6A1A">
        <w:rPr>
          <w:i/>
        </w:rPr>
        <w:t>P</w:t>
      </w:r>
      <w:r w:rsidRPr="003D1C56">
        <w:rPr>
          <w:i/>
        </w:rPr>
        <w:t xml:space="preserve">ráce na zkoušku </w:t>
      </w:r>
      <w:r w:rsidRPr="003D1C56">
        <w:t xml:space="preserve">a </w:t>
      </w:r>
      <w:r w:rsidR="00EC6A1A" w:rsidRPr="00EC6A1A">
        <w:rPr>
          <w:i/>
        </w:rPr>
        <w:t>O</w:t>
      </w:r>
      <w:r w:rsidRPr="003D1C56">
        <w:rPr>
          <w:i/>
        </w:rPr>
        <w:t>dborná praxe</w:t>
      </w:r>
      <w:r w:rsidRPr="003D1C56">
        <w:t>. Zařazení na tato dotovaná místa se u některých klientů pravidelně střídá s návr</w:t>
      </w:r>
      <w:r w:rsidR="00803103" w:rsidRPr="003D1C56">
        <w:t>a</w:t>
      </w:r>
      <w:r w:rsidRPr="003D1C56">
        <w:t xml:space="preserve">tem do evidence ÚP. </w:t>
      </w:r>
    </w:p>
    <w:p w14:paraId="011834AA" w14:textId="015ED080" w:rsidR="0000290E" w:rsidRPr="003D1C56" w:rsidRDefault="00CD2800" w:rsidP="004503C8">
      <w:pPr>
        <w:jc w:val="both"/>
      </w:pPr>
      <w:r w:rsidRPr="003D1C56">
        <w:t xml:space="preserve">MPSV nestanovilo </w:t>
      </w:r>
      <w:r w:rsidR="004503C8" w:rsidRPr="003D1C56">
        <w:t>u těchto typů aktivit udržitelnost v tom smyslu, že by u některých klientů mohla po ukončení projektu podpora plynule pokračovat s využitím analogického nástroje v rámci aktivní politiky zaměstnanosti financované ze státního rozpočtu. Kontinuální koordinovaná podpora udržitelných</w:t>
      </w:r>
      <w:r w:rsidR="00EC6A1A">
        <w:t>,</w:t>
      </w:r>
      <w:r w:rsidR="004503C8" w:rsidRPr="003D1C56">
        <w:t xml:space="preserve"> společensky účelných pracovních míst není zaručena</w:t>
      </w:r>
      <w:r w:rsidR="00114B2F">
        <w:t xml:space="preserve"> tak,</w:t>
      </w:r>
      <w:r w:rsidR="003C5D83">
        <w:t xml:space="preserve"> aby byla zajištěna soustavná práce s klienty a aby se zabránilo opakovaným návratům do evidence ÚP</w:t>
      </w:r>
      <w:r w:rsidR="004503C8" w:rsidRPr="003D1C56">
        <w:t xml:space="preserve">. </w:t>
      </w:r>
    </w:p>
    <w:p w14:paraId="18A91821" w14:textId="77777777" w:rsidR="00AA4F8D" w:rsidRPr="003D1C56" w:rsidRDefault="00226B51" w:rsidP="00B02A88">
      <w:pPr>
        <w:pStyle w:val="Nadpis3"/>
      </w:pPr>
      <w:r w:rsidRPr="00226B51">
        <w:t xml:space="preserve">MPSV koordinovalo program </w:t>
      </w:r>
      <w:r w:rsidRPr="00E82DB8">
        <w:rPr>
          <w:i/>
        </w:rPr>
        <w:t>Záruky pro mládež</w:t>
      </w:r>
      <w:r w:rsidRPr="00226B51">
        <w:t xml:space="preserve"> pouze omezeně</w:t>
      </w:r>
    </w:p>
    <w:p w14:paraId="2A0F7093" w14:textId="6F180EF8" w:rsidR="00AA4F8D" w:rsidRPr="003D1C56" w:rsidRDefault="00CD2800" w:rsidP="00AA4F8D">
      <w:pPr>
        <w:jc w:val="both"/>
      </w:pPr>
      <w:r w:rsidRPr="003D1C56">
        <w:t>Koordinace probíhala na strategické úrovni mezi hlavním gest</w:t>
      </w:r>
      <w:r w:rsidR="00041156">
        <w:t xml:space="preserve">orem </w:t>
      </w:r>
      <w:r w:rsidR="00562E97">
        <w:t>(</w:t>
      </w:r>
      <w:r w:rsidR="00041156">
        <w:t>MPSV</w:t>
      </w:r>
      <w:r w:rsidR="00562E97">
        <w:t>)</w:t>
      </w:r>
      <w:r w:rsidR="00041156">
        <w:t xml:space="preserve"> a hlavním partnerem</w:t>
      </w:r>
      <w:r w:rsidR="00562E97">
        <w:t xml:space="preserve"> (</w:t>
      </w:r>
      <w:r w:rsidRPr="003D1C56">
        <w:t>MŠMT</w:t>
      </w:r>
      <w:r w:rsidR="00562E97">
        <w:t>)</w:t>
      </w:r>
      <w:r w:rsidRPr="003D1C56">
        <w:t xml:space="preserve"> prostřednictvím </w:t>
      </w:r>
      <w:r w:rsidR="00562E97">
        <w:t>k</w:t>
      </w:r>
      <w:r w:rsidRPr="003D1C56">
        <w:t>oordinační skupiny pro komplementarity</w:t>
      </w:r>
      <w:r>
        <w:rPr>
          <w:rStyle w:val="Znakapoznpodarou"/>
        </w:rPr>
        <w:footnoteReference w:id="26"/>
      </w:r>
      <w:r w:rsidR="002468DA" w:rsidRPr="003D1C56">
        <w:t>.</w:t>
      </w:r>
      <w:r w:rsidRPr="003D1C56">
        <w:t xml:space="preserve"> Na</w:t>
      </w:r>
      <w:r w:rsidR="00562E97">
        <w:t xml:space="preserve"> </w:t>
      </w:r>
      <w:r w:rsidRPr="003D1C56">
        <w:t xml:space="preserve">realizační úrovni zajišťovalo MPSV koordinaci programu prostřednictvím </w:t>
      </w:r>
      <w:r w:rsidR="00F10870" w:rsidRPr="003D1C56">
        <w:t>šesti</w:t>
      </w:r>
      <w:r w:rsidR="00BA6F45" w:rsidRPr="003D1C56">
        <w:t xml:space="preserve"> různorodých forem spolupráce</w:t>
      </w:r>
      <w:r w:rsidRPr="003D1C56">
        <w:t xml:space="preserve"> zaměřujících se na dílčí části</w:t>
      </w:r>
      <w:r w:rsidR="00F40141">
        <w:t>,</w:t>
      </w:r>
      <w:r w:rsidRPr="003D1C56">
        <w:t xml:space="preserve"> jako</w:t>
      </w:r>
      <w:r w:rsidR="00F40141">
        <w:t xml:space="preserve"> je</w:t>
      </w:r>
      <w:r w:rsidRPr="003D1C56">
        <w:t xml:space="preserve"> např. další vzdělávání, spoluprác</w:t>
      </w:r>
      <w:r w:rsidR="00F40141">
        <w:t>e</w:t>
      </w:r>
      <w:r w:rsidRPr="003D1C56">
        <w:t xml:space="preserve"> se zaměstnavateli apod.</w:t>
      </w:r>
      <w:r w:rsidR="003C28D0" w:rsidRPr="003D1C56">
        <w:t xml:space="preserve"> Partneři programu </w:t>
      </w:r>
      <w:proofErr w:type="spellStart"/>
      <w:r w:rsidR="003C28D0" w:rsidRPr="003D1C56">
        <w:t>ZpM</w:t>
      </w:r>
      <w:proofErr w:type="spellEnd"/>
      <w:r w:rsidR="003C28D0" w:rsidRPr="003D1C56">
        <w:t xml:space="preserve"> vykonávají činnosti nezávisle na sobě v rámci své odborné gesce a takto je hodnocen</w:t>
      </w:r>
      <w:r w:rsidR="00F10870" w:rsidRPr="003D1C56">
        <w:t xml:space="preserve"> i</w:t>
      </w:r>
      <w:r w:rsidR="003C28D0" w:rsidRPr="003D1C56">
        <w:t xml:space="preserve"> věcný a časový pokrok programu. </w:t>
      </w:r>
    </w:p>
    <w:p w14:paraId="2D5E7A6D" w14:textId="0256F55F" w:rsidR="00F73686" w:rsidRPr="003D1C56" w:rsidRDefault="00CD2800" w:rsidP="00C447DF">
      <w:pPr>
        <w:jc w:val="both"/>
      </w:pPr>
      <w:r w:rsidRPr="003D1C56">
        <w:t xml:space="preserve">Realizační plán </w:t>
      </w:r>
      <w:r w:rsidR="00FF0E24" w:rsidRPr="003D1C56">
        <w:t xml:space="preserve">programu </w:t>
      </w:r>
      <w:proofErr w:type="spellStart"/>
      <w:r w:rsidR="00FF0E24" w:rsidRPr="003D1C56">
        <w:t>ZpM</w:t>
      </w:r>
      <w:proofErr w:type="spellEnd"/>
      <w:r w:rsidR="00FF0E24" w:rsidRPr="003D1C56">
        <w:t xml:space="preserve"> předpokládá pravidelnou každoroční aktualizaci na základě hodnocení účinnosti, efektivnosti a účelnosti jednotlivých opatření. </w:t>
      </w:r>
      <w:r w:rsidR="00B4470B" w:rsidRPr="003D1C56">
        <w:t xml:space="preserve">MPSV však žádnou aktualizaci programu neprovedlo. Podoba programu tak zůstala zakonzervovaná v podobě z doby schválení v dubnu 2014. </w:t>
      </w:r>
      <w:r w:rsidR="00D96AE6" w:rsidRPr="003D1C56">
        <w:t>Týká se to zejména ha</w:t>
      </w:r>
      <w:r w:rsidR="00B927E1">
        <w:t>rmonogramu realizace programu a </w:t>
      </w:r>
      <w:r w:rsidR="00D96AE6" w:rsidRPr="003D1C56">
        <w:t xml:space="preserve">finančních nákladů. </w:t>
      </w:r>
      <w:r w:rsidR="00ED3347" w:rsidRPr="003D1C56">
        <w:rPr>
          <w:b/>
        </w:rPr>
        <w:t>Chybí tak harmonogram prací a stanovení odpovědnosti jednotlivých institucí pro programové období 201</w:t>
      </w:r>
      <w:r w:rsidR="00E33BB6" w:rsidRPr="003D1C56">
        <w:rPr>
          <w:b/>
        </w:rPr>
        <w:t>4</w:t>
      </w:r>
      <w:r w:rsidR="00E91DD1">
        <w:rPr>
          <w:b/>
        </w:rPr>
        <w:t>–</w:t>
      </w:r>
      <w:r w:rsidR="00ED3347" w:rsidRPr="003D1C56">
        <w:rPr>
          <w:b/>
        </w:rPr>
        <w:t>2020 a stanovení finančních</w:t>
      </w:r>
      <w:r w:rsidR="00C447DF" w:rsidRPr="003D1C56">
        <w:rPr>
          <w:b/>
        </w:rPr>
        <w:t xml:space="preserve"> nákladů klíčových iniciativ</w:t>
      </w:r>
      <w:r w:rsidR="00C447DF" w:rsidRPr="00E82DB8">
        <w:rPr>
          <w:b/>
        </w:rPr>
        <w:t>.</w:t>
      </w:r>
      <w:r w:rsidR="00C447DF" w:rsidRPr="003D1C56">
        <w:t xml:space="preserve"> </w:t>
      </w:r>
    </w:p>
    <w:p w14:paraId="1C8B8094" w14:textId="042C7D05" w:rsidR="00F73686" w:rsidRPr="003D1C56" w:rsidRDefault="00CD2800" w:rsidP="003C28D0">
      <w:pPr>
        <w:jc w:val="both"/>
      </w:pPr>
      <w:r w:rsidRPr="003D1C56">
        <w:t xml:space="preserve">MPSV také neprovádělo celkové hodnocení pokroku programu, jež mělo vycházet nejen z dat ÚP a OPZ, ale </w:t>
      </w:r>
      <w:r w:rsidR="00813F5C" w:rsidRPr="003D1C56">
        <w:t xml:space="preserve">i </w:t>
      </w:r>
      <w:r w:rsidRPr="003D1C56">
        <w:t>z indikátorů dalších operačních programů a analytických dokumentů.</w:t>
      </w:r>
      <w:r w:rsidR="003C28D0" w:rsidRPr="003D1C56">
        <w:t xml:space="preserve"> Sledování MPSV provádě</w:t>
      </w:r>
      <w:r w:rsidR="00813F5C" w:rsidRPr="003D1C56">
        <w:t>lo</w:t>
      </w:r>
      <w:r w:rsidR="003C28D0" w:rsidRPr="003D1C56">
        <w:t xml:space="preserve"> prostřednictvím </w:t>
      </w:r>
      <w:r w:rsidR="00F40141" w:rsidRPr="00E82DB8">
        <w:rPr>
          <w:i/>
        </w:rPr>
        <w:t>z</w:t>
      </w:r>
      <w:r w:rsidR="003C28D0" w:rsidRPr="00E82DB8">
        <w:rPr>
          <w:i/>
        </w:rPr>
        <w:t xml:space="preserve">práv o realizaci a aktualizaci programu </w:t>
      </w:r>
      <w:proofErr w:type="spellStart"/>
      <w:r w:rsidR="003C28D0" w:rsidRPr="00E82DB8">
        <w:rPr>
          <w:i/>
        </w:rPr>
        <w:t>ZpM</w:t>
      </w:r>
      <w:proofErr w:type="spellEnd"/>
      <w:r w:rsidR="003C28D0" w:rsidRPr="003D1C56">
        <w:t>, zpracováva</w:t>
      </w:r>
      <w:r w:rsidR="00813F5C" w:rsidRPr="003D1C56">
        <w:t>ných</w:t>
      </w:r>
      <w:r w:rsidR="003C28D0" w:rsidRPr="003D1C56">
        <w:t xml:space="preserve"> sekcí 4 MPSV, které</w:t>
      </w:r>
      <w:r w:rsidR="00F10870" w:rsidRPr="003D1C56">
        <w:t xml:space="preserve"> však</w:t>
      </w:r>
      <w:r w:rsidR="003C28D0" w:rsidRPr="003D1C56">
        <w:t xml:space="preserve"> pokrývaly pouze či</w:t>
      </w:r>
      <w:r w:rsidR="00F10870" w:rsidRPr="003D1C56">
        <w:t xml:space="preserve">nnosti vykonávané Úřadem práce, takže </w:t>
      </w:r>
      <w:r w:rsidR="003C5D83" w:rsidRPr="003D1C56">
        <w:t xml:space="preserve">hodnocení </w:t>
      </w:r>
      <w:r w:rsidR="00F10870" w:rsidRPr="003D1C56">
        <w:t xml:space="preserve">nebylo </w:t>
      </w:r>
      <w:r w:rsidR="00813F5C" w:rsidRPr="003D1C56">
        <w:t xml:space="preserve">zpracováno </w:t>
      </w:r>
      <w:r w:rsidR="00F10870" w:rsidRPr="003D1C56">
        <w:t xml:space="preserve">např. </w:t>
      </w:r>
      <w:r w:rsidR="00F40141">
        <w:t xml:space="preserve">pro </w:t>
      </w:r>
      <w:r w:rsidR="00F10870" w:rsidRPr="003D1C56">
        <w:t>oblast vzdělávání.</w:t>
      </w:r>
    </w:p>
    <w:p w14:paraId="2ED068D9" w14:textId="57739B60" w:rsidR="00F73686" w:rsidRDefault="00CD2800" w:rsidP="005C383F">
      <w:pPr>
        <w:jc w:val="both"/>
      </w:pPr>
      <w:r w:rsidRPr="003D1C56">
        <w:t xml:space="preserve">NKÚ dále zjistil, že MPSV nedokáže určit výši nákladů na provádění programu. Na úrovni MPSV platí, že </w:t>
      </w:r>
      <w:r w:rsidR="00F40141" w:rsidRPr="003D1C56">
        <w:t xml:space="preserve">program </w:t>
      </w:r>
      <w:r w:rsidRPr="003D1C56">
        <w:t>je v převážné většině financován z OPZ, v menším rozsahu pak v rámci opatření aktivní politiky zaměstnanosti financované z národních zdrojů. Poskytnuté příspěvky sleduje ÚP v</w:t>
      </w:r>
      <w:r w:rsidR="00782CDD">
        <w:t xml:space="preserve"> informačním </w:t>
      </w:r>
      <w:r w:rsidRPr="003D1C56">
        <w:t xml:space="preserve">systému </w:t>
      </w:r>
      <w:r w:rsidR="00F40141">
        <w:t>s</w:t>
      </w:r>
      <w:r w:rsidRPr="003D1C56">
        <w:t>tátní pokladny. Státní pokladna však neumožňuje rozčlenění podle věkových kategorií</w:t>
      </w:r>
      <w:r w:rsidR="00F40141">
        <w:t>,</w:t>
      </w:r>
      <w:r w:rsidRPr="003D1C56">
        <w:t xml:space="preserve"> a MPSV tak nemůže</w:t>
      </w:r>
      <w:r w:rsidR="005C383F" w:rsidRPr="003D1C56">
        <w:t xml:space="preserve"> zjistit,</w:t>
      </w:r>
      <w:r w:rsidRPr="003D1C56">
        <w:t xml:space="preserve"> </w:t>
      </w:r>
      <w:r w:rsidR="0067627C" w:rsidRPr="003D1C56">
        <w:t>jaký podíl vynaložilo na mladé</w:t>
      </w:r>
      <w:r w:rsidRPr="003D1C56">
        <w:t>.</w:t>
      </w:r>
    </w:p>
    <w:p w14:paraId="0C531C12" w14:textId="77777777" w:rsidR="001039C6" w:rsidRPr="003D1C56" w:rsidRDefault="001039C6" w:rsidP="001039C6">
      <w:pPr>
        <w:jc w:val="both"/>
      </w:pPr>
      <w:r>
        <w:t xml:space="preserve">Na základě uvedených poznatků NKÚ konstatuje, že koordinace programu </w:t>
      </w:r>
      <w:r w:rsidRPr="00E82DB8">
        <w:rPr>
          <w:i/>
        </w:rPr>
        <w:t>Záruky pro mládež</w:t>
      </w:r>
      <w:r>
        <w:t xml:space="preserve"> vykazuje dílčí nedostatky. </w:t>
      </w:r>
    </w:p>
    <w:p w14:paraId="6B68A874" w14:textId="01B3BF3B" w:rsidR="00227A01" w:rsidRPr="003D1C56" w:rsidRDefault="00226B51" w:rsidP="00B02A88">
      <w:pPr>
        <w:pStyle w:val="Nadpis3"/>
      </w:pPr>
      <w:r w:rsidRPr="00226B51">
        <w:t xml:space="preserve">Riziko efektu mrtvé váhy: </w:t>
      </w:r>
      <w:r w:rsidR="00F40141">
        <w:t>c</w:t>
      </w:r>
      <w:r w:rsidRPr="00226B51">
        <w:t xml:space="preserve">íl strategie </w:t>
      </w:r>
      <w:r w:rsidRPr="00E82DB8">
        <w:rPr>
          <w:i/>
        </w:rPr>
        <w:t>Evropa 2020</w:t>
      </w:r>
      <w:r w:rsidRPr="00226B51">
        <w:t xml:space="preserve"> byl splněn již před zahájením projektů</w:t>
      </w:r>
    </w:p>
    <w:p w14:paraId="29135E65" w14:textId="198AB963" w:rsidR="00A03BE7" w:rsidRPr="003D1C56" w:rsidRDefault="00CD2800" w:rsidP="00B02A88">
      <w:pPr>
        <w:pStyle w:val="Nadpis4"/>
      </w:pPr>
      <w:r w:rsidRPr="003D1C56">
        <w:t xml:space="preserve">Národní cíl </w:t>
      </w:r>
      <w:r w:rsidR="00F40141">
        <w:t>s</w:t>
      </w:r>
      <w:r w:rsidRPr="003D1C56">
        <w:t xml:space="preserve">trategie </w:t>
      </w:r>
      <w:r w:rsidRPr="00E82DB8">
        <w:rPr>
          <w:i/>
        </w:rPr>
        <w:t>Evropa 2020</w:t>
      </w:r>
    </w:p>
    <w:p w14:paraId="6719084E" w14:textId="6F9B5CC5" w:rsidR="00227A01" w:rsidRPr="003D1C56" w:rsidRDefault="00CD2800" w:rsidP="00965FC4">
      <w:pPr>
        <w:jc w:val="both"/>
      </w:pPr>
      <w:r w:rsidRPr="003D1C56">
        <w:t xml:space="preserve">Jedním z národních cílů v rámci </w:t>
      </w:r>
      <w:r w:rsidR="00F40141">
        <w:t>s</w:t>
      </w:r>
      <w:r w:rsidRPr="003D1C56">
        <w:t xml:space="preserve">trategie </w:t>
      </w:r>
      <w:r w:rsidRPr="00E82DB8">
        <w:rPr>
          <w:i/>
        </w:rPr>
        <w:t>Evropa 2020</w:t>
      </w:r>
      <w:r w:rsidRPr="003D1C56">
        <w:t xml:space="preserve"> je </w:t>
      </w:r>
      <w:r w:rsidR="00F40141">
        <w:t>„</w:t>
      </w:r>
      <w:r w:rsidR="00F40141">
        <w:rPr>
          <w:i/>
        </w:rPr>
        <w:t>s</w:t>
      </w:r>
      <w:r w:rsidRPr="003D1C56">
        <w:rPr>
          <w:i/>
        </w:rPr>
        <w:t>nížení míry n</w:t>
      </w:r>
      <w:r w:rsidR="00E91DD1">
        <w:rPr>
          <w:i/>
        </w:rPr>
        <w:t>ezaměstnanosti mladých osob (15–</w:t>
      </w:r>
      <w:r w:rsidRPr="003D1C56">
        <w:rPr>
          <w:i/>
        </w:rPr>
        <w:t>24 let) o třetinu oproti roku 2010</w:t>
      </w:r>
      <w:r w:rsidR="00F40141">
        <w:t>“</w:t>
      </w:r>
      <w:r w:rsidRPr="003D1C56">
        <w:t xml:space="preserve">. </w:t>
      </w:r>
      <w:r w:rsidR="00965FC4" w:rsidRPr="003D1C56">
        <w:t xml:space="preserve">Podle realizačního plánu programu </w:t>
      </w:r>
      <w:proofErr w:type="spellStart"/>
      <w:r w:rsidR="00965FC4" w:rsidRPr="003D1C56">
        <w:t>ZpM</w:t>
      </w:r>
      <w:proofErr w:type="spellEnd"/>
      <w:r w:rsidR="00965FC4" w:rsidRPr="003D1C56">
        <w:t xml:space="preserve"> </w:t>
      </w:r>
      <w:r w:rsidR="00770931">
        <w:t>byla tato cílová míra nezam</w:t>
      </w:r>
      <w:r w:rsidR="00965FC4" w:rsidRPr="003D1C56">
        <w:t xml:space="preserve">ěstnanosti </w:t>
      </w:r>
      <w:r w:rsidR="00770931">
        <w:t xml:space="preserve">stanovena </w:t>
      </w:r>
      <w:r w:rsidR="00965FC4" w:rsidRPr="003D1C56">
        <w:t xml:space="preserve">ve výši 12,2 %. </w:t>
      </w:r>
      <w:r w:rsidR="00965FC4" w:rsidRPr="003D1C56">
        <w:rPr>
          <w:b/>
        </w:rPr>
        <w:t>Podle údajů MPSV dosáhla Česká republika cíle již v srpnu 2015</w:t>
      </w:r>
      <w:r w:rsidR="00965FC4" w:rsidRPr="00E82DB8">
        <w:rPr>
          <w:b/>
        </w:rPr>
        <w:t>.</w:t>
      </w:r>
      <w:r w:rsidR="00965FC4" w:rsidRPr="003D1C56">
        <w:t xml:space="preserve"> </w:t>
      </w:r>
    </w:p>
    <w:p w14:paraId="46607A58" w14:textId="181A2DA0" w:rsidR="00B445C5" w:rsidRPr="003D1C56" w:rsidRDefault="00CD2800" w:rsidP="00B445C5">
      <w:pPr>
        <w:pStyle w:val="Titulek"/>
        <w:keepNext/>
        <w:spacing w:after="0"/>
        <w:jc w:val="both"/>
        <w:rPr>
          <w:rFonts w:asciiTheme="minorHAnsi" w:hAnsiTheme="minorHAnsi"/>
          <w:i w:val="0"/>
          <w:color w:val="auto"/>
          <w:sz w:val="24"/>
        </w:rPr>
      </w:pPr>
      <w:r w:rsidRPr="003D1C56">
        <w:rPr>
          <w:rFonts w:asciiTheme="minorHAnsi" w:hAnsiTheme="minorHAnsi"/>
          <w:i w:val="0"/>
          <w:color w:val="auto"/>
          <w:sz w:val="24"/>
        </w:rPr>
        <w:t xml:space="preserve">Graf č. </w:t>
      </w:r>
      <w:r w:rsidRPr="003D1C56">
        <w:rPr>
          <w:rFonts w:asciiTheme="minorHAnsi" w:hAnsiTheme="minorHAnsi"/>
          <w:i w:val="0"/>
          <w:color w:val="auto"/>
          <w:sz w:val="24"/>
        </w:rPr>
        <w:fldChar w:fldCharType="begin"/>
      </w:r>
      <w:r w:rsidRPr="003D1C56">
        <w:rPr>
          <w:rFonts w:asciiTheme="minorHAnsi" w:hAnsiTheme="minorHAnsi"/>
          <w:i w:val="0"/>
          <w:color w:val="auto"/>
          <w:sz w:val="24"/>
        </w:rPr>
        <w:instrText xml:space="preserve"> SEQ Graf_č. \* ARABIC </w:instrText>
      </w:r>
      <w:r w:rsidRPr="003D1C56">
        <w:rPr>
          <w:rFonts w:asciiTheme="minorHAnsi" w:hAnsiTheme="minorHAnsi"/>
          <w:i w:val="0"/>
          <w:color w:val="auto"/>
          <w:sz w:val="24"/>
        </w:rPr>
        <w:fldChar w:fldCharType="separate"/>
      </w:r>
      <w:r w:rsidR="00996C4C">
        <w:rPr>
          <w:rFonts w:asciiTheme="minorHAnsi" w:hAnsiTheme="minorHAnsi"/>
          <w:i w:val="0"/>
          <w:noProof/>
          <w:color w:val="auto"/>
          <w:sz w:val="24"/>
        </w:rPr>
        <w:t>2</w:t>
      </w:r>
      <w:r w:rsidRPr="003D1C56">
        <w:rPr>
          <w:rFonts w:asciiTheme="minorHAnsi" w:hAnsiTheme="minorHAnsi"/>
          <w:i w:val="0"/>
          <w:color w:val="auto"/>
          <w:sz w:val="24"/>
        </w:rPr>
        <w:fldChar w:fldCharType="end"/>
      </w:r>
      <w:r w:rsidRPr="003D1C56">
        <w:rPr>
          <w:rFonts w:asciiTheme="minorHAnsi" w:hAnsiTheme="minorHAnsi"/>
          <w:i w:val="0"/>
          <w:color w:val="auto"/>
          <w:sz w:val="24"/>
        </w:rPr>
        <w:t>: Vývoj míry nezaměst</w:t>
      </w:r>
      <w:r w:rsidR="00E91DD1">
        <w:rPr>
          <w:rFonts w:asciiTheme="minorHAnsi" w:hAnsiTheme="minorHAnsi"/>
          <w:i w:val="0"/>
          <w:color w:val="auto"/>
          <w:sz w:val="24"/>
        </w:rPr>
        <w:t>nanosti mladých osob (15–</w:t>
      </w:r>
      <w:r w:rsidRPr="003D1C56">
        <w:rPr>
          <w:rFonts w:asciiTheme="minorHAnsi" w:hAnsiTheme="minorHAnsi"/>
          <w:i w:val="0"/>
          <w:color w:val="auto"/>
          <w:sz w:val="24"/>
        </w:rPr>
        <w:t>24 let)</w:t>
      </w:r>
    </w:p>
    <w:p w14:paraId="7E424BEB" w14:textId="1E76F814" w:rsidR="00965FC4" w:rsidRPr="003D1C56" w:rsidRDefault="00B452B7" w:rsidP="00965FC4">
      <w:pPr>
        <w:jc w:val="both"/>
      </w:pPr>
      <w:r>
        <w:rPr>
          <w:noProof/>
        </w:rPr>
        <w:drawing>
          <wp:inline distT="0" distB="0" distL="0" distR="0" wp14:anchorId="5517D41B" wp14:editId="3779004D">
            <wp:extent cx="5676595" cy="2260396"/>
            <wp:effectExtent l="0" t="0" r="635" b="6985"/>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67814A" w14:textId="77777777" w:rsidR="00B445C5" w:rsidRPr="003D1C56" w:rsidRDefault="00CD2800" w:rsidP="00B445C5">
      <w:pPr>
        <w:spacing w:after="0"/>
        <w:jc w:val="both"/>
        <w:rPr>
          <w:sz w:val="20"/>
        </w:rPr>
      </w:pPr>
      <w:r w:rsidRPr="00B927E1">
        <w:rPr>
          <w:b/>
          <w:sz w:val="20"/>
        </w:rPr>
        <w:t>Zdroj:</w:t>
      </w:r>
      <w:r w:rsidRPr="003D1C56">
        <w:rPr>
          <w:sz w:val="20"/>
        </w:rPr>
        <w:t xml:space="preserve"> </w:t>
      </w:r>
      <w:r w:rsidR="00DC3624">
        <w:rPr>
          <w:sz w:val="20"/>
        </w:rPr>
        <w:t xml:space="preserve">odpověď </w:t>
      </w:r>
      <w:r w:rsidRPr="003D1C56">
        <w:rPr>
          <w:sz w:val="20"/>
        </w:rPr>
        <w:t>MPSV</w:t>
      </w:r>
      <w:r w:rsidR="00DC3624">
        <w:rPr>
          <w:sz w:val="20"/>
        </w:rPr>
        <w:t xml:space="preserve"> ze dne </w:t>
      </w:r>
      <w:r w:rsidR="00C51A9F">
        <w:rPr>
          <w:sz w:val="20"/>
        </w:rPr>
        <w:t>6. února 2019</w:t>
      </w:r>
      <w:r w:rsidR="00DC3624">
        <w:rPr>
          <w:sz w:val="20"/>
        </w:rPr>
        <w:t>.</w:t>
      </w:r>
    </w:p>
    <w:p w14:paraId="2DD7C4BB" w14:textId="77777777" w:rsidR="00B445C5" w:rsidRPr="003D1C56" w:rsidRDefault="00CD2800" w:rsidP="00B445C5">
      <w:pPr>
        <w:spacing w:after="0"/>
        <w:jc w:val="both"/>
        <w:rPr>
          <w:sz w:val="20"/>
        </w:rPr>
      </w:pPr>
      <w:r w:rsidRPr="00B927E1">
        <w:rPr>
          <w:b/>
          <w:sz w:val="20"/>
        </w:rPr>
        <w:t>Pozn.</w:t>
      </w:r>
      <w:r w:rsidR="00B927E1">
        <w:rPr>
          <w:b/>
          <w:sz w:val="20"/>
        </w:rPr>
        <w:t xml:space="preserve">: </w:t>
      </w:r>
      <w:r w:rsidR="0034422E" w:rsidRPr="00E82DB8">
        <w:rPr>
          <w:sz w:val="20"/>
        </w:rPr>
        <w:t>Graf zachycuje vývoj</w:t>
      </w:r>
      <w:r w:rsidR="0034422E">
        <w:rPr>
          <w:b/>
          <w:sz w:val="20"/>
        </w:rPr>
        <w:t xml:space="preserve"> </w:t>
      </w:r>
      <w:r w:rsidRPr="003D1C56">
        <w:rPr>
          <w:sz w:val="20"/>
        </w:rPr>
        <w:t>od srpna 2015</w:t>
      </w:r>
      <w:r w:rsidR="00B927E1">
        <w:rPr>
          <w:sz w:val="20"/>
        </w:rPr>
        <w:t>.</w:t>
      </w:r>
    </w:p>
    <w:p w14:paraId="49A31366" w14:textId="3437F384" w:rsidR="00965FC4" w:rsidRPr="003D1C56" w:rsidRDefault="00CD2800" w:rsidP="00B445C5">
      <w:pPr>
        <w:spacing w:before="240"/>
        <w:jc w:val="both"/>
        <w:rPr>
          <w:b/>
        </w:rPr>
      </w:pPr>
      <w:r w:rsidRPr="003D1C56">
        <w:rPr>
          <w:b/>
        </w:rPr>
        <w:t>Realizace projektů kontrolovaných NKÚ byla z</w:t>
      </w:r>
      <w:r w:rsidR="00B927E1">
        <w:rPr>
          <w:b/>
        </w:rPr>
        <w:t>ahájena v rozmezí listopad 2015</w:t>
      </w:r>
      <w:r w:rsidR="00F40141">
        <w:rPr>
          <w:b/>
        </w:rPr>
        <w:t xml:space="preserve"> až </w:t>
      </w:r>
      <w:r w:rsidRPr="003D1C56">
        <w:rPr>
          <w:b/>
        </w:rPr>
        <w:t xml:space="preserve">červen 2016, tedy v době, kdy již </w:t>
      </w:r>
      <w:r w:rsidR="00B445C5" w:rsidRPr="003D1C56">
        <w:rPr>
          <w:b/>
        </w:rPr>
        <w:t xml:space="preserve">byl výše uvedený národní cíl </w:t>
      </w:r>
      <w:r w:rsidR="00F40141">
        <w:rPr>
          <w:b/>
        </w:rPr>
        <w:t>s</w:t>
      </w:r>
      <w:r w:rsidR="00B445C5" w:rsidRPr="003D1C56">
        <w:rPr>
          <w:b/>
        </w:rPr>
        <w:t xml:space="preserve">trategie </w:t>
      </w:r>
      <w:r w:rsidR="00B445C5" w:rsidRPr="00E82DB8">
        <w:rPr>
          <w:b/>
          <w:i/>
        </w:rPr>
        <w:t>Evropa 2020</w:t>
      </w:r>
      <w:r w:rsidR="00B445C5" w:rsidRPr="003D1C56">
        <w:rPr>
          <w:b/>
        </w:rPr>
        <w:t xml:space="preserve"> dosažen. </w:t>
      </w:r>
    </w:p>
    <w:p w14:paraId="102C0540" w14:textId="77777777" w:rsidR="00EA3105" w:rsidRPr="003D1C56" w:rsidRDefault="00CD2800" w:rsidP="00B02A88">
      <w:pPr>
        <w:pStyle w:val="Nadpis4"/>
      </w:pPr>
      <w:r w:rsidRPr="003D1C56">
        <w:t>Záruk</w:t>
      </w:r>
      <w:r w:rsidR="00813F5C" w:rsidRPr="003D1C56">
        <w:t>y</w:t>
      </w:r>
      <w:r w:rsidRPr="003D1C56">
        <w:t xml:space="preserve"> pro mládež </w:t>
      </w:r>
    </w:p>
    <w:p w14:paraId="03D22FE3" w14:textId="5A44A043" w:rsidR="002F2D86" w:rsidRPr="003D1C56" w:rsidRDefault="00CD2800" w:rsidP="00E810FF">
      <w:pPr>
        <w:jc w:val="both"/>
      </w:pPr>
      <w:r w:rsidRPr="003D1C56">
        <w:t>Realizační plán pr</w:t>
      </w:r>
      <w:r w:rsidR="00AD5F23" w:rsidRPr="003D1C56">
        <w:t xml:space="preserve">ogramu </w:t>
      </w:r>
      <w:r w:rsidR="00F40141" w:rsidRPr="00E82DB8">
        <w:rPr>
          <w:i/>
        </w:rPr>
        <w:t>Z</w:t>
      </w:r>
      <w:r w:rsidR="00AD5F23" w:rsidRPr="00E82DB8">
        <w:rPr>
          <w:i/>
        </w:rPr>
        <w:t>áruky pro mládež</w:t>
      </w:r>
      <w:r w:rsidR="00AD5F23" w:rsidRPr="003D1C56">
        <w:t xml:space="preserve"> uvádí</w:t>
      </w:r>
      <w:r w:rsidRPr="003D1C56">
        <w:t xml:space="preserve"> garanci vlády České republiky, že </w:t>
      </w:r>
      <w:r w:rsidR="0004311F">
        <w:t>„</w:t>
      </w:r>
      <w:r w:rsidR="00E91DD1">
        <w:rPr>
          <w:i/>
        </w:rPr>
        <w:t>každý mladý člověk ve věku 15–</w:t>
      </w:r>
      <w:r w:rsidR="00425B2E" w:rsidRPr="003D1C56">
        <w:rPr>
          <w:i/>
        </w:rPr>
        <w:t>24 let dostane kvalitní nabídku zaměstnání, dalšího vzdělávání, odborné přípravy nebo stáže, a to do čtyř měsíců poté, co se stal nezaměstnaným, ukončil formální vzdělávání nebo odešel ze systému formálního vzdělávání. Program Záruky pro mládež je realizován na celém území ČR</w:t>
      </w:r>
      <w:r w:rsidR="00425B2E" w:rsidRPr="003D1C56">
        <w:t>.</w:t>
      </w:r>
      <w:r w:rsidR="0004311F">
        <w:t>“</w:t>
      </w:r>
    </w:p>
    <w:p w14:paraId="3183BD74" w14:textId="77777777" w:rsidR="002F2D86" w:rsidRPr="003D1C56" w:rsidRDefault="00CD2800" w:rsidP="00B6226B">
      <w:pPr>
        <w:jc w:val="both"/>
        <w:rPr>
          <w:b/>
        </w:rPr>
      </w:pPr>
      <w:r w:rsidRPr="003D1C56">
        <w:rPr>
          <w:b/>
        </w:rPr>
        <w:t xml:space="preserve">NKÚ v průběhu kontroly požádal MPSV </w:t>
      </w:r>
      <w:r w:rsidR="00E15FB0" w:rsidRPr="003D1C56">
        <w:rPr>
          <w:b/>
        </w:rPr>
        <w:t xml:space="preserve">o </w:t>
      </w:r>
      <w:r w:rsidRPr="003D1C56">
        <w:rPr>
          <w:b/>
        </w:rPr>
        <w:t xml:space="preserve">informaci o plnění garance v jednotlivých letech. MPSV odpověď nesdělilo. </w:t>
      </w:r>
    </w:p>
    <w:p w14:paraId="2607E881" w14:textId="3289E8F2" w:rsidR="002F2D86" w:rsidRPr="003D1C56" w:rsidRDefault="00CD2800" w:rsidP="00B6226B">
      <w:pPr>
        <w:jc w:val="both"/>
      </w:pPr>
      <w:r w:rsidRPr="003D1C56">
        <w:t>MPSV však předložilo NKÚ</w:t>
      </w:r>
      <w:r w:rsidR="0004311F">
        <w:t xml:space="preserve"> měsíční</w:t>
      </w:r>
      <w:r w:rsidRPr="003D1C56">
        <w:t xml:space="preserve"> </w:t>
      </w:r>
      <w:r w:rsidR="0004311F" w:rsidRPr="00E82DB8">
        <w:rPr>
          <w:i/>
        </w:rPr>
        <w:t>z</w:t>
      </w:r>
      <w:r w:rsidRPr="00E82DB8">
        <w:rPr>
          <w:i/>
        </w:rPr>
        <w:t xml:space="preserve">právy o implementaci programu </w:t>
      </w:r>
      <w:proofErr w:type="spellStart"/>
      <w:r w:rsidRPr="00E82DB8">
        <w:rPr>
          <w:i/>
        </w:rPr>
        <w:t>ZpM</w:t>
      </w:r>
      <w:proofErr w:type="spellEnd"/>
      <w:r w:rsidRPr="003D1C56">
        <w:t>, které z</w:t>
      </w:r>
      <w:r w:rsidR="00B927E1">
        <w:t>pracoval ÚP v období srpen 2014</w:t>
      </w:r>
      <w:r w:rsidR="0004311F">
        <w:t xml:space="preserve"> až </w:t>
      </w:r>
      <w:r w:rsidRPr="003D1C56">
        <w:t xml:space="preserve">září </w:t>
      </w:r>
      <w:r w:rsidR="00A2646E" w:rsidRPr="003D1C56">
        <w:t>2017</w:t>
      </w:r>
      <w:r w:rsidR="006E5A34" w:rsidRPr="003D1C56">
        <w:t xml:space="preserve"> (pro část měsíců MPSV údaje nepředložilo</w:t>
      </w:r>
      <w:r>
        <w:rPr>
          <w:rStyle w:val="Znakapoznpodarou"/>
        </w:rPr>
        <w:footnoteReference w:id="27"/>
      </w:r>
      <w:r w:rsidR="006E5A34" w:rsidRPr="003D1C56">
        <w:t>)</w:t>
      </w:r>
      <w:r w:rsidR="00A2646E" w:rsidRPr="003D1C56">
        <w:t>. Na základě dostupných zpráv analyzoval NKÚ úroveň plnění programu.</w:t>
      </w:r>
    </w:p>
    <w:p w14:paraId="186F5CC8" w14:textId="5DB1AFDA" w:rsidR="005C6DFF" w:rsidRPr="003D1C56" w:rsidRDefault="00CD2800" w:rsidP="0068548B">
      <w:pPr>
        <w:pStyle w:val="Titulek"/>
        <w:keepNext/>
        <w:spacing w:after="0"/>
        <w:jc w:val="both"/>
        <w:rPr>
          <w:rFonts w:asciiTheme="minorHAnsi" w:hAnsiTheme="minorHAnsi"/>
          <w:i w:val="0"/>
          <w:color w:val="auto"/>
          <w:sz w:val="24"/>
        </w:rPr>
      </w:pPr>
      <w:r w:rsidRPr="003D1C56">
        <w:rPr>
          <w:rFonts w:asciiTheme="minorHAnsi" w:hAnsiTheme="minorHAnsi"/>
          <w:i w:val="0"/>
          <w:color w:val="auto"/>
          <w:sz w:val="24"/>
        </w:rPr>
        <w:t xml:space="preserve">Graf č. </w:t>
      </w:r>
      <w:r w:rsidRPr="003D1C56">
        <w:rPr>
          <w:rFonts w:asciiTheme="minorHAnsi" w:hAnsiTheme="minorHAnsi"/>
          <w:i w:val="0"/>
          <w:color w:val="auto"/>
          <w:sz w:val="24"/>
        </w:rPr>
        <w:fldChar w:fldCharType="begin"/>
      </w:r>
      <w:r w:rsidRPr="003D1C56">
        <w:rPr>
          <w:rFonts w:asciiTheme="minorHAnsi" w:hAnsiTheme="minorHAnsi"/>
          <w:i w:val="0"/>
          <w:color w:val="auto"/>
          <w:sz w:val="24"/>
        </w:rPr>
        <w:instrText xml:space="preserve"> SEQ Graf_č. \* ARABIC </w:instrText>
      </w:r>
      <w:r w:rsidRPr="003D1C56">
        <w:rPr>
          <w:rFonts w:asciiTheme="minorHAnsi" w:hAnsiTheme="minorHAnsi"/>
          <w:i w:val="0"/>
          <w:color w:val="auto"/>
          <w:sz w:val="24"/>
        </w:rPr>
        <w:fldChar w:fldCharType="separate"/>
      </w:r>
      <w:r w:rsidR="00996C4C">
        <w:rPr>
          <w:rFonts w:asciiTheme="minorHAnsi" w:hAnsiTheme="minorHAnsi"/>
          <w:i w:val="0"/>
          <w:noProof/>
          <w:color w:val="auto"/>
          <w:sz w:val="24"/>
        </w:rPr>
        <w:t>3</w:t>
      </w:r>
      <w:r w:rsidRPr="003D1C56">
        <w:rPr>
          <w:rFonts w:asciiTheme="minorHAnsi" w:hAnsiTheme="minorHAnsi"/>
          <w:i w:val="0"/>
          <w:color w:val="auto"/>
          <w:sz w:val="24"/>
        </w:rPr>
        <w:fldChar w:fldCharType="end"/>
      </w:r>
      <w:r w:rsidRPr="003D1C56">
        <w:rPr>
          <w:rFonts w:asciiTheme="minorHAnsi" w:hAnsiTheme="minorHAnsi"/>
          <w:i w:val="0"/>
          <w:color w:val="auto"/>
          <w:sz w:val="24"/>
        </w:rPr>
        <w:t>: Plnění záruky pro mladé</w:t>
      </w:r>
      <w:r w:rsidR="0068548B" w:rsidRPr="003D1C56">
        <w:rPr>
          <w:rFonts w:asciiTheme="minorHAnsi" w:hAnsiTheme="minorHAnsi"/>
          <w:i w:val="0"/>
          <w:color w:val="auto"/>
          <w:sz w:val="24"/>
        </w:rPr>
        <w:t xml:space="preserve"> dle dostupných údajů</w:t>
      </w:r>
    </w:p>
    <w:p w14:paraId="034715D0" w14:textId="295C56D9" w:rsidR="002F2D86" w:rsidRPr="003D1C56" w:rsidRDefault="00EE7BA3" w:rsidP="00B6226B">
      <w:pPr>
        <w:jc w:val="both"/>
      </w:pPr>
      <w:r>
        <w:rPr>
          <w:noProof/>
        </w:rPr>
        <w:drawing>
          <wp:inline distT="0" distB="0" distL="0" distR="0" wp14:anchorId="567C7B1A" wp14:editId="2683358E">
            <wp:extent cx="5761355" cy="3735070"/>
            <wp:effectExtent l="0" t="0" r="0" b="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1C8608" w14:textId="0063814B" w:rsidR="0068548B" w:rsidRPr="003D1C56" w:rsidRDefault="00CD2800" w:rsidP="0068548B">
      <w:pPr>
        <w:spacing w:after="0"/>
        <w:jc w:val="both"/>
        <w:rPr>
          <w:sz w:val="20"/>
        </w:rPr>
      </w:pPr>
      <w:r w:rsidRPr="00116086">
        <w:rPr>
          <w:b/>
          <w:sz w:val="20"/>
        </w:rPr>
        <w:t>Zdroj:</w:t>
      </w:r>
      <w:r w:rsidRPr="003D1C56">
        <w:rPr>
          <w:sz w:val="20"/>
        </w:rPr>
        <w:t xml:space="preserve"> </w:t>
      </w:r>
      <w:r w:rsidR="0004311F">
        <w:rPr>
          <w:sz w:val="20"/>
        </w:rPr>
        <w:t>data</w:t>
      </w:r>
      <w:r w:rsidRPr="003D1C56">
        <w:rPr>
          <w:sz w:val="20"/>
        </w:rPr>
        <w:t xml:space="preserve"> MPSV</w:t>
      </w:r>
      <w:r w:rsidR="00116086">
        <w:rPr>
          <w:sz w:val="20"/>
        </w:rPr>
        <w:t>.</w:t>
      </w:r>
    </w:p>
    <w:p w14:paraId="364EC6F6" w14:textId="77777777" w:rsidR="002F2D86" w:rsidRPr="003D1C56" w:rsidRDefault="00CD2800" w:rsidP="001C25B6">
      <w:pPr>
        <w:spacing w:before="240"/>
        <w:jc w:val="both"/>
        <w:rPr>
          <w:b/>
        </w:rPr>
      </w:pPr>
      <w:r w:rsidRPr="003D1C56">
        <w:rPr>
          <w:b/>
        </w:rPr>
        <w:t xml:space="preserve">Podle předložených údajů dostalo počínaje březnem 2015 nabídku do čtyř měsíců více než 80 % mladých lidí v evidenci ÚP. Nabídku však využilo pouze </w:t>
      </w:r>
      <w:r w:rsidR="00D901FA" w:rsidRPr="003D1C56">
        <w:rPr>
          <w:b/>
        </w:rPr>
        <w:t>necelých 20</w:t>
      </w:r>
      <w:r w:rsidRPr="003D1C56">
        <w:rPr>
          <w:b/>
        </w:rPr>
        <w:t> % z nich.</w:t>
      </w:r>
    </w:p>
    <w:p w14:paraId="0733A4FC" w14:textId="77777777" w:rsidR="00650A87" w:rsidRPr="003D1C56" w:rsidRDefault="00226B51" w:rsidP="00B02A88">
      <w:pPr>
        <w:pStyle w:val="Nadpis3"/>
      </w:pPr>
      <w:r>
        <w:t>MPSV nastavilo výpočet monitorovacího indikátoru v rozporu s jeho definicí</w:t>
      </w:r>
    </w:p>
    <w:p w14:paraId="634D1450" w14:textId="77777777" w:rsidR="00650A87" w:rsidRPr="003D1C56" w:rsidRDefault="00CD2800" w:rsidP="00AA695E">
      <w:pPr>
        <w:jc w:val="both"/>
      </w:pPr>
      <w:r w:rsidRPr="003D1C56">
        <w:t xml:space="preserve">Podmínkou čerpání podpory příjemci bylo dosažení hodnoty závazných monitorovacích indikátorů. Jedním z nich byl indikátor </w:t>
      </w:r>
      <w:r w:rsidR="00AA695E" w:rsidRPr="003D1C56">
        <w:t xml:space="preserve">6 00 00 </w:t>
      </w:r>
      <w:r w:rsidR="00AA695E" w:rsidRPr="003D1C56">
        <w:rPr>
          <w:i/>
        </w:rPr>
        <w:t>Celkový počet účastníků</w:t>
      </w:r>
      <w:r w:rsidRPr="00E82DB8">
        <w:rPr>
          <w:rStyle w:val="Znakapoznpodarou"/>
        </w:rPr>
        <w:footnoteReference w:id="28"/>
      </w:r>
      <w:r w:rsidR="00AA695E" w:rsidRPr="003D1C56">
        <w:t xml:space="preserve">. MPSV dále stanovilo, že účastníkem může být jen taková osoba, která se účastní činností realizovaných v rámci podpořeného projektu pro cílové skupiny a u níž rozsah jejího zapojení do podpořeného projektu překročí tzv. bagatelní podporu. MPSV stanovilo limit této podpory ve výši 40 hodin. </w:t>
      </w:r>
    </w:p>
    <w:p w14:paraId="1F1126D1" w14:textId="77777777" w:rsidR="00AA695E" w:rsidRPr="003D1C56" w:rsidRDefault="00CD2800" w:rsidP="00AA695E">
      <w:pPr>
        <w:jc w:val="both"/>
      </w:pPr>
      <w:r w:rsidRPr="003D1C56">
        <w:t>NKÚ zjistil, že MPSV umožnilo do těchto 40 hodin započítat i hodiny, které klienti projektu odpracovali na nedotovaných pracovních místech</w:t>
      </w:r>
      <w:r w:rsidR="00DC3624">
        <w:t xml:space="preserve"> (tj. na pracovních místech bez finančního příspěvku z veřejných zdrojů)</w:t>
      </w:r>
      <w:r w:rsidRPr="003D1C56">
        <w:t xml:space="preserve">, což je v rozporu s definicí indikátoru, kde se podporou myslí jen aktivity financované z rozpočtu projektu. Práce na nedotovaném pracovním místě financovaná z projektu nebyla. </w:t>
      </w:r>
    </w:p>
    <w:tbl>
      <w:tblPr>
        <w:tblStyle w:val="Mkatabulky"/>
        <w:tblW w:w="0" w:type="auto"/>
        <w:tblLook w:val="04A0" w:firstRow="1" w:lastRow="0" w:firstColumn="1" w:lastColumn="0" w:noHBand="0" w:noVBand="1"/>
      </w:tblPr>
      <w:tblGrid>
        <w:gridCol w:w="9063"/>
      </w:tblGrid>
      <w:tr w:rsidR="00C76F45" w14:paraId="42332213" w14:textId="77777777" w:rsidTr="00630841">
        <w:tc>
          <w:tcPr>
            <w:tcW w:w="9063" w:type="dxa"/>
          </w:tcPr>
          <w:p w14:paraId="700AED06" w14:textId="54A7A281" w:rsidR="00AA695E" w:rsidRPr="003D1C56" w:rsidRDefault="00CD2800" w:rsidP="00CD5C3F">
            <w:pPr>
              <w:keepNext/>
              <w:keepLines/>
              <w:spacing w:after="0"/>
              <w:rPr>
                <w:b/>
                <w:color w:val="1F497D" w:themeColor="text2"/>
              </w:rPr>
            </w:pPr>
            <w:r w:rsidRPr="003D1C56">
              <w:rPr>
                <w:b/>
                <w:color w:val="1F497D" w:themeColor="text2"/>
              </w:rPr>
              <w:t>Příklad</w:t>
            </w:r>
            <w:r w:rsidR="004D2C7D">
              <w:rPr>
                <w:b/>
                <w:color w:val="1F497D" w:themeColor="text2"/>
              </w:rPr>
              <w:t xml:space="preserve"> č. 2</w:t>
            </w:r>
            <w:r w:rsidR="000148FA">
              <w:rPr>
                <w:b/>
                <w:color w:val="1F497D" w:themeColor="text2"/>
              </w:rPr>
              <w:t>:</w:t>
            </w:r>
            <w:r w:rsidRPr="003D1C56">
              <w:rPr>
                <w:b/>
                <w:color w:val="1F497D" w:themeColor="text2"/>
              </w:rPr>
              <w:t xml:space="preserve"> </w:t>
            </w:r>
            <w:r w:rsidR="000148FA">
              <w:rPr>
                <w:b/>
                <w:color w:val="1F497D" w:themeColor="text2"/>
              </w:rPr>
              <w:t>u</w:t>
            </w:r>
            <w:r w:rsidR="006A4B44" w:rsidRPr="003D1C56">
              <w:rPr>
                <w:b/>
                <w:color w:val="1F497D" w:themeColor="text2"/>
              </w:rPr>
              <w:t>rčení</w:t>
            </w:r>
            <w:r w:rsidR="00630841" w:rsidRPr="003D1C56">
              <w:rPr>
                <w:b/>
                <w:color w:val="1F497D" w:themeColor="text2"/>
              </w:rPr>
              <w:t xml:space="preserve"> hodnoty indikátoru 6 00 00</w:t>
            </w:r>
            <w:r w:rsidRPr="003D1C56">
              <w:rPr>
                <w:b/>
                <w:color w:val="1F497D" w:themeColor="text2"/>
              </w:rPr>
              <w:t xml:space="preserve"> </w:t>
            </w:r>
          </w:p>
          <w:p w14:paraId="6E33FBDC" w14:textId="77777777" w:rsidR="00AA695E" w:rsidRPr="003D1C56" w:rsidRDefault="00CD2800" w:rsidP="00CD5C3F">
            <w:pPr>
              <w:keepNext/>
              <w:keepLines/>
              <w:spacing w:before="120" w:after="0"/>
              <w:ind w:left="-51"/>
              <w:jc w:val="both"/>
            </w:pPr>
            <w:r w:rsidRPr="003D1C56">
              <w:t>Klient projektu ÚP absolvoval tři půlhodinové schůzky v rámci aktivity individuální poradenství (tj. 1,5 hodiny). Pracovníci ÚP mu v rámci individuálního poradenství zprostředkovali nedotované zaměstnání se smlouvou na dobu neurčitou. Podle pravidel stanovených MPSV byl počet hodin podpory vypočítán následovně:</w:t>
            </w:r>
          </w:p>
          <w:p w14:paraId="5B520A5A" w14:textId="52903EA6" w:rsidR="006A4B44" w:rsidRPr="003D1C56" w:rsidRDefault="00CD2800" w:rsidP="00CD5C3F">
            <w:pPr>
              <w:pStyle w:val="Odstavecseseznamem"/>
              <w:keepNext/>
              <w:keepLines/>
              <w:numPr>
                <w:ilvl w:val="0"/>
                <w:numId w:val="21"/>
              </w:numPr>
              <w:spacing w:after="0"/>
              <w:jc w:val="both"/>
            </w:pPr>
            <w:r w:rsidRPr="003D1C56">
              <w:t>1,5 hodiny individuální</w:t>
            </w:r>
            <w:r w:rsidR="000148FA">
              <w:t>ho</w:t>
            </w:r>
            <w:r w:rsidRPr="003D1C56">
              <w:t xml:space="preserve"> poradenství</w:t>
            </w:r>
            <w:r w:rsidR="000148FA">
              <w:t>,</w:t>
            </w:r>
          </w:p>
          <w:p w14:paraId="7563FA08" w14:textId="16F4475D" w:rsidR="006A4B44" w:rsidRPr="003D1C56" w:rsidRDefault="00CD2800" w:rsidP="00CD5C3F">
            <w:pPr>
              <w:pStyle w:val="Odstavecseseznamem"/>
              <w:keepNext/>
              <w:keepLines/>
              <w:numPr>
                <w:ilvl w:val="0"/>
                <w:numId w:val="21"/>
              </w:numPr>
              <w:spacing w:after="0"/>
              <w:jc w:val="both"/>
            </w:pPr>
            <w:r w:rsidRPr="003D1C56">
              <w:t>17 226 hodin nedotované</w:t>
            </w:r>
            <w:r w:rsidR="000148FA">
              <w:t>ho</w:t>
            </w:r>
            <w:r w:rsidRPr="003D1C56">
              <w:t xml:space="preserve"> zaměstnání na dobu neurčitou (99 měsíců x 174 hodin měsíčně)</w:t>
            </w:r>
            <w:r>
              <w:rPr>
                <w:rStyle w:val="Znakapoznpodarou"/>
              </w:rPr>
              <w:footnoteReference w:id="29"/>
            </w:r>
            <w:r w:rsidR="000148FA">
              <w:t>;</w:t>
            </w:r>
          </w:p>
          <w:p w14:paraId="177BEEDC" w14:textId="005B4546" w:rsidR="006A4B44" w:rsidRPr="003D1C56" w:rsidRDefault="000148FA" w:rsidP="00CD5C3F">
            <w:pPr>
              <w:pStyle w:val="Odstavecseseznamem"/>
              <w:keepNext/>
              <w:keepLines/>
              <w:numPr>
                <w:ilvl w:val="0"/>
                <w:numId w:val="21"/>
              </w:numPr>
              <w:spacing w:after="0"/>
              <w:jc w:val="both"/>
            </w:pPr>
            <w:r>
              <w:t>k</w:t>
            </w:r>
            <w:r w:rsidR="00CD2800" w:rsidRPr="003D1C56">
              <w:t xml:space="preserve">lient tedy </w:t>
            </w:r>
            <w:r w:rsidR="001A5715" w:rsidRPr="003D1C56">
              <w:t>dosáhl celkem 17 227,5 hodin</w:t>
            </w:r>
            <w:r>
              <w:t>y</w:t>
            </w:r>
            <w:r w:rsidR="001A5715" w:rsidRPr="003D1C56">
              <w:t xml:space="preserve"> podpory</w:t>
            </w:r>
            <w:r>
              <w:t>, čímž</w:t>
            </w:r>
            <w:r w:rsidR="001A5715" w:rsidRPr="003D1C56">
              <w:t xml:space="preserve"> překročil stanovený </w:t>
            </w:r>
            <w:r w:rsidR="00DA6703">
              <w:t>limit 40 </w:t>
            </w:r>
            <w:r w:rsidR="00CD2800" w:rsidRPr="003D1C56">
              <w:t>hodin a ÚP ho mohl započíst</w:t>
            </w:r>
            <w:r w:rsidR="001A5715" w:rsidRPr="003D1C56">
              <w:t xml:space="preserve"> jako podpořenou osobu.</w:t>
            </w:r>
          </w:p>
          <w:p w14:paraId="08871B68" w14:textId="1F2B3C4E" w:rsidR="006A4B44" w:rsidRPr="003D1C56" w:rsidRDefault="00CD2800" w:rsidP="000148FA">
            <w:pPr>
              <w:keepNext/>
              <w:keepLines/>
              <w:spacing w:before="120" w:after="0"/>
              <w:ind w:left="-51"/>
              <w:jc w:val="both"/>
              <w:rPr>
                <w:b/>
              </w:rPr>
            </w:pPr>
            <w:r w:rsidRPr="003D1C56">
              <w:rPr>
                <w:b/>
              </w:rPr>
              <w:t>V projektu ZÁRUKY se to týká 160 ze 498 vykázaných účastníků. Bez započítání hodin podpory na nedotovaném pracovním místě by uvedených 160 účastníků nemohlo být započítáno do naplňované hodnoty závazného indikátoru</w:t>
            </w:r>
            <w:r w:rsidR="000148FA">
              <w:rPr>
                <w:b/>
              </w:rPr>
              <w:t>, v důsledku čehož</w:t>
            </w:r>
            <w:r w:rsidRPr="003D1C56">
              <w:rPr>
                <w:b/>
              </w:rPr>
              <w:t xml:space="preserve"> by odpovídající měrou měla být zkrácena podpora.</w:t>
            </w:r>
          </w:p>
        </w:tc>
      </w:tr>
    </w:tbl>
    <w:p w14:paraId="3EAEFCB5" w14:textId="77777777" w:rsidR="00710006" w:rsidRPr="003D1C56" w:rsidRDefault="00226B51" w:rsidP="00B02A88">
      <w:pPr>
        <w:pStyle w:val="Nadpis3"/>
      </w:pPr>
      <w:r>
        <w:t>MPSV nedoložilo, jak stanovilo objem peněžních prostředků na záruky pro mladé</w:t>
      </w:r>
      <w:r w:rsidR="00D1081F">
        <w:t xml:space="preserve"> </w:t>
      </w:r>
    </w:p>
    <w:p w14:paraId="5A21825F" w14:textId="558AEE26" w:rsidR="00710006" w:rsidRPr="003D1C56" w:rsidRDefault="00CD2800" w:rsidP="00230C0A">
      <w:pPr>
        <w:jc w:val="both"/>
      </w:pPr>
      <w:r w:rsidRPr="003D1C56">
        <w:t xml:space="preserve">MPSV vyhlásilo v roce 2015 pro ÚP výzvu pro předkládání projektů </w:t>
      </w:r>
      <w:r w:rsidR="000148FA">
        <w:t xml:space="preserve">nazvanou </w:t>
      </w:r>
      <w:r w:rsidR="000148FA" w:rsidRPr="00E82DB8">
        <w:rPr>
          <w:i/>
        </w:rPr>
        <w:t>Z</w:t>
      </w:r>
      <w:r w:rsidRPr="003D1C56">
        <w:rPr>
          <w:i/>
        </w:rPr>
        <w:t>áruky pro mladé</w:t>
      </w:r>
      <w:r>
        <w:rPr>
          <w:rStyle w:val="Znakapoznpodarou"/>
        </w:rPr>
        <w:footnoteReference w:id="30"/>
      </w:r>
      <w:r w:rsidRPr="003D1C56">
        <w:t>, na</w:t>
      </w:r>
      <w:r w:rsidR="000148FA">
        <w:t xml:space="preserve"> </w:t>
      </w:r>
      <w:r w:rsidRPr="003D1C56">
        <w:t xml:space="preserve">kterou alokovalo z OPZ </w:t>
      </w:r>
      <w:r w:rsidR="00230C0A" w:rsidRPr="003D1C56">
        <w:t xml:space="preserve">jednu miliardu Kč. </w:t>
      </w:r>
      <w:r w:rsidR="00230C0A" w:rsidRPr="003D1C56">
        <w:rPr>
          <w:b/>
        </w:rPr>
        <w:t xml:space="preserve">MPSV nemá k dispozici žádné analýzy, které </w:t>
      </w:r>
      <w:r w:rsidR="000148FA">
        <w:rPr>
          <w:b/>
        </w:rPr>
        <w:t xml:space="preserve">by </w:t>
      </w:r>
      <w:r w:rsidR="00230C0A" w:rsidRPr="003D1C56">
        <w:rPr>
          <w:b/>
        </w:rPr>
        <w:t>obsah</w:t>
      </w:r>
      <w:r w:rsidR="000148FA">
        <w:rPr>
          <w:b/>
        </w:rPr>
        <w:t>ovaly</w:t>
      </w:r>
      <w:r w:rsidR="00230C0A" w:rsidRPr="003D1C56">
        <w:rPr>
          <w:b/>
        </w:rPr>
        <w:t xml:space="preserve"> přesnější vymezení alokací, takže nebylo schopno NKÚ doložit, na základě čeho stanovilo výši této částky.</w:t>
      </w:r>
      <w:r w:rsidR="00640439" w:rsidRPr="003D1C56">
        <w:t xml:space="preserve"> </w:t>
      </w:r>
    </w:p>
    <w:p w14:paraId="52934F73" w14:textId="77777777" w:rsidR="00687805" w:rsidRPr="003D1C56" w:rsidRDefault="00226B51" w:rsidP="00B02A88">
      <w:pPr>
        <w:pStyle w:val="Nadpis3"/>
      </w:pPr>
      <w:r w:rsidRPr="00226B51">
        <w:t>MPSV zohlednilo výsledky strategické evaluace až s odstupem dvou let</w:t>
      </w:r>
    </w:p>
    <w:p w14:paraId="785BDFEA" w14:textId="33EF9D02" w:rsidR="00110C06" w:rsidRPr="003D1C56" w:rsidRDefault="00CD2800" w:rsidP="00D03F79">
      <w:pPr>
        <w:jc w:val="both"/>
      </w:pPr>
      <w:r w:rsidRPr="003D1C56">
        <w:t xml:space="preserve">Na konci března 2017 mělo MPSV k dispozici závěrečnou zprávu ze strategické </w:t>
      </w:r>
      <w:r w:rsidR="003E4B5E" w:rsidRPr="003D1C56">
        <w:t xml:space="preserve">externí </w:t>
      </w:r>
      <w:r w:rsidRPr="003D1C56">
        <w:t>evaluace OPZ</w:t>
      </w:r>
      <w:r>
        <w:rPr>
          <w:rStyle w:val="Znakapoznpodarou"/>
        </w:rPr>
        <w:footnoteReference w:id="31"/>
      </w:r>
      <w:r w:rsidRPr="003D1C56">
        <w:t xml:space="preserve">, která měla ověřit platnost strategie operačního programu (např. </w:t>
      </w:r>
      <w:r w:rsidR="00D03F79" w:rsidRPr="003D1C56">
        <w:t>aktuálnost identifikovaných problémů a potřeb a správnost nastavení cílů).</w:t>
      </w:r>
    </w:p>
    <w:p w14:paraId="77AA1ED9" w14:textId="0EB989B7" w:rsidR="00501A53" w:rsidRPr="003D1C56" w:rsidRDefault="00CD2800" w:rsidP="00FE321F">
      <w:pPr>
        <w:jc w:val="both"/>
      </w:pPr>
      <w:r w:rsidRPr="003D1C56">
        <w:t xml:space="preserve">Evaluace mj. zmiňuje, že došlo k radikálnímu poklesu nezaměstnanosti, zvýšení počtu volných pracovních míst a změně potřebnosti jednotlivých cílových skupin. </w:t>
      </w:r>
      <w:r w:rsidRPr="003D1C56">
        <w:rPr>
          <w:b/>
        </w:rPr>
        <w:t>Skupina osob ve věku do</w:t>
      </w:r>
      <w:r w:rsidR="00DC3624">
        <w:rPr>
          <w:b/>
        </w:rPr>
        <w:t> </w:t>
      </w:r>
      <w:r w:rsidRPr="003D1C56">
        <w:rPr>
          <w:b/>
        </w:rPr>
        <w:t>25 let přestala podle evaluace být ohroženou skupinou</w:t>
      </w:r>
      <w:r w:rsidR="000148FA">
        <w:rPr>
          <w:b/>
        </w:rPr>
        <w:t>,</w:t>
      </w:r>
      <w:r w:rsidRPr="003D1C56">
        <w:rPr>
          <w:b/>
        </w:rPr>
        <w:t xml:space="preserve"> a není tedy třeba vyhlašovat výzvy specificky zaměřené na tuto věkovou skupinu</w:t>
      </w:r>
      <w:r w:rsidRPr="00E82DB8">
        <w:rPr>
          <w:b/>
        </w:rPr>
        <w:t>.</w:t>
      </w:r>
      <w:r w:rsidRPr="003D1C56">
        <w:t xml:space="preserve"> Evaluace konstatuje, že </w:t>
      </w:r>
      <w:r w:rsidR="00C65737" w:rsidRPr="003D1C56">
        <w:t xml:space="preserve">pokud </w:t>
      </w:r>
      <w:r w:rsidRPr="003D1C56">
        <w:t xml:space="preserve">nezaměstnaní mladí mají ještě další hendikepy (zdravotní postižení, nízkou kvalifikaci apod.), tak budou jejich potřeby pokryty </w:t>
      </w:r>
      <w:r w:rsidR="001D38B1" w:rsidRPr="003D1C56">
        <w:t xml:space="preserve">v rámci </w:t>
      </w:r>
      <w:r w:rsidRPr="003D1C56">
        <w:t>specifického cíle 1.1.1 OPZ</w:t>
      </w:r>
      <w:r>
        <w:rPr>
          <w:rStyle w:val="Znakapoznpodarou"/>
        </w:rPr>
        <w:footnoteReference w:id="32"/>
      </w:r>
      <w:r w:rsidRPr="003D1C56">
        <w:t xml:space="preserve">. </w:t>
      </w:r>
    </w:p>
    <w:p w14:paraId="546E5B00" w14:textId="77777777" w:rsidR="003E4B5E" w:rsidRPr="003D1C56" w:rsidRDefault="00CD2800" w:rsidP="00FE321F">
      <w:pPr>
        <w:jc w:val="both"/>
      </w:pPr>
      <w:r w:rsidRPr="003D1C56">
        <w:t>MPSV přijalo tato doporučení z evaluace jako relevantní</w:t>
      </w:r>
      <w:r w:rsidR="00501A53" w:rsidRPr="003D1C56">
        <w:t xml:space="preserve">, avšak neprovedlo doporučované změny v zacílení podpory. </w:t>
      </w:r>
      <w:r w:rsidR="001D38B1" w:rsidRPr="003D1C56">
        <w:t xml:space="preserve">Místo toho </w:t>
      </w:r>
      <w:r w:rsidR="00501A53" w:rsidRPr="003D1C56">
        <w:t xml:space="preserve">MPSV </w:t>
      </w:r>
      <w:r w:rsidRPr="003D1C56">
        <w:rPr>
          <w:b/>
        </w:rPr>
        <w:t>rozhodlo</w:t>
      </w:r>
      <w:r w:rsidR="00501A53" w:rsidRPr="003D1C56">
        <w:rPr>
          <w:b/>
        </w:rPr>
        <w:t xml:space="preserve"> pouze</w:t>
      </w:r>
      <w:r w:rsidRPr="003D1C56">
        <w:rPr>
          <w:b/>
        </w:rPr>
        <w:t xml:space="preserve"> o navýšení alokace již </w:t>
      </w:r>
      <w:r w:rsidR="00501A53" w:rsidRPr="003D1C56">
        <w:rPr>
          <w:b/>
        </w:rPr>
        <w:t>vyhlášené</w:t>
      </w:r>
      <w:r w:rsidRPr="003D1C56">
        <w:rPr>
          <w:b/>
        </w:rPr>
        <w:t xml:space="preserve"> výzvy</w:t>
      </w:r>
      <w:r>
        <w:rPr>
          <w:rStyle w:val="Znakapoznpodarou"/>
          <w:b/>
        </w:rPr>
        <w:footnoteReference w:id="33"/>
      </w:r>
      <w:r w:rsidR="00501A53" w:rsidRPr="003D1C56">
        <w:rPr>
          <w:b/>
        </w:rPr>
        <w:t xml:space="preserve"> </w:t>
      </w:r>
      <w:r w:rsidRPr="003D1C56">
        <w:rPr>
          <w:b/>
        </w:rPr>
        <w:t>o 339 mil. Kč</w:t>
      </w:r>
      <w:r w:rsidR="001D38B1" w:rsidRPr="003D1C56">
        <w:rPr>
          <w:b/>
        </w:rPr>
        <w:t xml:space="preserve"> za účelem</w:t>
      </w:r>
      <w:r w:rsidRPr="003D1C56">
        <w:rPr>
          <w:b/>
        </w:rPr>
        <w:t xml:space="preserve"> </w:t>
      </w:r>
      <w:r w:rsidR="00501A53" w:rsidRPr="003D1C56">
        <w:rPr>
          <w:b/>
        </w:rPr>
        <w:t>schválení dvou nových projektů a prodloužení projektů</w:t>
      </w:r>
      <w:r w:rsidRPr="003D1C56">
        <w:rPr>
          <w:b/>
        </w:rPr>
        <w:t>, které by jinak byly ukončeny na přelomu let 2018 a 2019</w:t>
      </w:r>
      <w:r w:rsidRPr="00E82DB8">
        <w:rPr>
          <w:b/>
        </w:rPr>
        <w:t>.</w:t>
      </w:r>
      <w:r w:rsidRPr="003D1C56">
        <w:t xml:space="preserve"> </w:t>
      </w:r>
    </w:p>
    <w:p w14:paraId="28A5E5B2" w14:textId="1FC4DD32" w:rsidR="00C65737" w:rsidRPr="003D1C56" w:rsidRDefault="00CD2800" w:rsidP="00FE321F">
      <w:pPr>
        <w:jc w:val="both"/>
        <w:rPr>
          <w:b/>
        </w:rPr>
      </w:pPr>
      <w:r w:rsidRPr="003D1C56">
        <w:t>NKÚ srovnal jeden z probíhajících projektů s projektem nově schváleným a s</w:t>
      </w:r>
      <w:r w:rsidR="00EE5476">
        <w:t> </w:t>
      </w:r>
      <w:r w:rsidRPr="003D1C56">
        <w:t>jedním</w:t>
      </w:r>
      <w:r w:rsidR="00EE5476">
        <w:t xml:space="preserve"> </w:t>
      </w:r>
      <w:r w:rsidRPr="003D1C56">
        <w:t xml:space="preserve">projektem prodlouženým a zjistil, že v nich není uvedena vyšší individualizace nebo koncentrace podpory na mladé lidi s kumulací </w:t>
      </w:r>
      <w:r w:rsidR="001D38B1" w:rsidRPr="003D1C56">
        <w:t>hendikepů</w:t>
      </w:r>
      <w:r w:rsidRPr="003D1C56">
        <w:t>.</w:t>
      </w:r>
      <w:r w:rsidR="00B9338A" w:rsidRPr="003D1C56">
        <w:rPr>
          <w:b/>
        </w:rPr>
        <w:t xml:space="preserve"> V obou případech nejsou provedené </w:t>
      </w:r>
      <w:r w:rsidR="0045685C">
        <w:rPr>
          <w:b/>
        </w:rPr>
        <w:t>změny v souladu s </w:t>
      </w:r>
      <w:r w:rsidR="00B9338A" w:rsidRPr="003D1C56">
        <w:rPr>
          <w:b/>
        </w:rPr>
        <w:t xml:space="preserve">doporučením vyplývajícím z evaluace a </w:t>
      </w:r>
      <w:r w:rsidR="001D38B1" w:rsidRPr="003D1C56">
        <w:rPr>
          <w:b/>
        </w:rPr>
        <w:t xml:space="preserve">jsou dokonce </w:t>
      </w:r>
      <w:r w:rsidR="00B9338A" w:rsidRPr="003D1C56">
        <w:rPr>
          <w:b/>
        </w:rPr>
        <w:t>v rozporu s plánovanými opatřeními.</w:t>
      </w:r>
    </w:p>
    <w:p w14:paraId="7F699735" w14:textId="46BB537B" w:rsidR="001E42CE" w:rsidRDefault="00CD2800" w:rsidP="00B9338A">
      <w:pPr>
        <w:jc w:val="both"/>
        <w:rPr>
          <w:b/>
        </w:rPr>
      </w:pPr>
      <w:r w:rsidRPr="003D1C56">
        <w:t>Z </w:t>
      </w:r>
      <w:r w:rsidR="008E3A85">
        <w:t>některých</w:t>
      </w:r>
      <w:r w:rsidRPr="003D1C56">
        <w:t xml:space="preserve"> zdůvodnění, kterými </w:t>
      </w:r>
      <w:r w:rsidRPr="003D1C56">
        <w:rPr>
          <w:b/>
        </w:rPr>
        <w:t>ÚP dokládal potřebnost pokračování svých projektů, do značné míry v</w:t>
      </w:r>
      <w:r w:rsidR="00176C15">
        <w:rPr>
          <w:b/>
        </w:rPr>
        <w:t>y</w:t>
      </w:r>
      <w:r w:rsidRPr="003D1C56">
        <w:rPr>
          <w:b/>
        </w:rPr>
        <w:t>plývá, že projekty nejsou nástrojem řešení vysoké míry nezaměstnanosti mladých lidí, ale nástrojem pro podporu zaměstnavatelů bez zohlednění objektivní situace na trhu práce.</w:t>
      </w:r>
    </w:p>
    <w:p w14:paraId="10DAB947" w14:textId="77777777" w:rsidR="001E42CE" w:rsidRDefault="001E42CE">
      <w:pPr>
        <w:spacing w:after="0"/>
        <w:rPr>
          <w:b/>
        </w:rPr>
      </w:pPr>
      <w:r>
        <w:rPr>
          <w:b/>
        </w:rPr>
        <w:br w:type="page"/>
      </w:r>
    </w:p>
    <w:tbl>
      <w:tblPr>
        <w:tblStyle w:val="Mkatabulky"/>
        <w:tblW w:w="0" w:type="auto"/>
        <w:tblLook w:val="04A0" w:firstRow="1" w:lastRow="0" w:firstColumn="1" w:lastColumn="0" w:noHBand="0" w:noVBand="1"/>
      </w:tblPr>
      <w:tblGrid>
        <w:gridCol w:w="9063"/>
      </w:tblGrid>
      <w:tr w:rsidR="00C76F45" w14:paraId="3FBF2B0A" w14:textId="77777777" w:rsidTr="00132EBC">
        <w:tc>
          <w:tcPr>
            <w:tcW w:w="9063" w:type="dxa"/>
          </w:tcPr>
          <w:p w14:paraId="2875719A" w14:textId="25C0A104" w:rsidR="00B9338A" w:rsidRPr="003D1C56" w:rsidRDefault="004D2C7D" w:rsidP="00132EBC">
            <w:pPr>
              <w:spacing w:after="0"/>
              <w:rPr>
                <w:b/>
                <w:color w:val="1F497D" w:themeColor="text2"/>
              </w:rPr>
            </w:pPr>
            <w:r>
              <w:rPr>
                <w:b/>
                <w:color w:val="1F497D" w:themeColor="text2"/>
              </w:rPr>
              <w:t>Příklad č. 3</w:t>
            </w:r>
            <w:r w:rsidR="008E3A85">
              <w:rPr>
                <w:b/>
                <w:color w:val="1F497D" w:themeColor="text2"/>
              </w:rPr>
              <w:t>:</w:t>
            </w:r>
            <w:r w:rsidR="00CD2800" w:rsidRPr="003D1C56">
              <w:rPr>
                <w:b/>
                <w:color w:val="1F497D" w:themeColor="text2"/>
              </w:rPr>
              <w:t xml:space="preserve"> </w:t>
            </w:r>
            <w:r w:rsidR="008E3A85">
              <w:rPr>
                <w:b/>
                <w:color w:val="1F497D" w:themeColor="text2"/>
              </w:rPr>
              <w:t>z</w:t>
            </w:r>
            <w:r w:rsidR="00CD2800" w:rsidRPr="003D1C56">
              <w:rPr>
                <w:b/>
                <w:color w:val="1F497D" w:themeColor="text2"/>
              </w:rPr>
              <w:t>důvodnění ÚP k prodloužení projektů</w:t>
            </w:r>
          </w:p>
          <w:p w14:paraId="3C93D7DE" w14:textId="4038C300" w:rsidR="0081354D" w:rsidRPr="003D1C56" w:rsidRDefault="00CD2800" w:rsidP="00306984">
            <w:pPr>
              <w:pStyle w:val="Odstavecseseznamem"/>
              <w:numPr>
                <w:ilvl w:val="0"/>
                <w:numId w:val="33"/>
              </w:numPr>
              <w:spacing w:before="120" w:after="0"/>
              <w:ind w:left="306" w:hanging="357"/>
              <w:jc w:val="both"/>
              <w:rPr>
                <w:i/>
              </w:rPr>
            </w:pPr>
            <w:r w:rsidRPr="003D1C56">
              <w:rPr>
                <w:i/>
              </w:rPr>
              <w:t xml:space="preserve">Největším problémem projektu je nyní velmi nízká nezaměstnanost v našem kraji, což má za následek úbytek potenciálních klientů projektu. Ze strany zaměstnavatelů je projekt velmi žádán a dochází často k situacím, že nemůžeme najít vhodné klienty na poptávaná pracovní místa. Prodloužením projektu zvyšujeme šanci na obsazení těchto pracovních pozic a tím dosažení respektive navýšení počtu Odborných praxí a dosažení plánovaného počtu Práce na zkoušku. </w:t>
            </w:r>
          </w:p>
          <w:p w14:paraId="0ECD3EF6" w14:textId="15922AFF" w:rsidR="00B9338A" w:rsidRPr="003D1C56" w:rsidRDefault="00CD2800" w:rsidP="00306984">
            <w:pPr>
              <w:pStyle w:val="Odstavecseseznamem"/>
              <w:numPr>
                <w:ilvl w:val="0"/>
                <w:numId w:val="33"/>
              </w:numPr>
              <w:spacing w:before="120" w:after="0"/>
              <w:ind w:left="306" w:hanging="357"/>
              <w:jc w:val="both"/>
              <w:rPr>
                <w:i/>
              </w:rPr>
            </w:pPr>
            <w:r w:rsidRPr="003D1C56">
              <w:rPr>
                <w:i/>
              </w:rPr>
              <w:t>Zaměstnavatele většinou tvoří malé a střední podniky, mnohdy fyzické osoby podnikající bez zaměstnanců, pro které je příspěvek značnou finanční úlevou. Jelikož účast v projektu je dobrovolná, zaměstnavatel má navíc možnost předpokládat, že účastník, kterého si vybere přes projekt je osobou aktivní, která se svojí situací chce sama něco dělat a nikoliv jen laxně setrvávat v evidenci.</w:t>
            </w:r>
          </w:p>
          <w:p w14:paraId="72F518A3" w14:textId="018D47CA" w:rsidR="0081354D" w:rsidRPr="003D1C56" w:rsidRDefault="00CD2800" w:rsidP="008F644C">
            <w:pPr>
              <w:pStyle w:val="Odstavecseseznamem"/>
              <w:numPr>
                <w:ilvl w:val="0"/>
                <w:numId w:val="33"/>
              </w:numPr>
              <w:spacing w:before="120" w:after="0"/>
              <w:ind w:left="306" w:hanging="357"/>
              <w:jc w:val="both"/>
              <w:rPr>
                <w:i/>
              </w:rPr>
            </w:pPr>
            <w:r w:rsidRPr="003D1C56">
              <w:rPr>
                <w:i/>
              </w:rPr>
              <w:t>Zaměstnavatelé nemají většinou zájem tuto cílovou skupinu zaměstnat, protože tito mladí lidé nemají pracovní zkušenosti, oborné znalosti a pracovní návyky. Zaměstnavatelé, kteří často nechtějí mladé lidi bez praxe přijmout do pracovního poměru, jsou motivováni mladého člověka z projektu zaměstnat díky finančnímu příspěvku.</w:t>
            </w:r>
            <w:r w:rsidR="005A7CC7" w:rsidRPr="003D1C56">
              <w:rPr>
                <w:i/>
              </w:rPr>
              <w:t xml:space="preserve"> </w:t>
            </w:r>
            <w:r w:rsidR="005A7CC7" w:rsidRPr="003D1C56">
              <w:t>(</w:t>
            </w:r>
            <w:r w:rsidR="008F644C">
              <w:t>až do výše</w:t>
            </w:r>
            <w:r w:rsidR="005A7CC7" w:rsidRPr="003D1C56">
              <w:t xml:space="preserve"> 18 tis. Kč měsíčně)</w:t>
            </w:r>
          </w:p>
        </w:tc>
      </w:tr>
    </w:tbl>
    <w:p w14:paraId="23E2E1FF" w14:textId="762A3A4A" w:rsidR="00B9338A" w:rsidRPr="003D1C56" w:rsidRDefault="00CD2800" w:rsidP="00367C6D">
      <w:pPr>
        <w:spacing w:before="240"/>
        <w:jc w:val="both"/>
      </w:pPr>
      <w:r w:rsidRPr="003D1C56">
        <w:rPr>
          <w:b/>
        </w:rPr>
        <w:t>Studie</w:t>
      </w:r>
      <w:r w:rsidR="00363477" w:rsidRPr="003D1C56">
        <w:rPr>
          <w:b/>
        </w:rPr>
        <w:t xml:space="preserve"> Výzkumného ústavu práce a sociálních věcí, v. v. i.</w:t>
      </w:r>
      <w:r w:rsidR="00DE1F3D">
        <w:rPr>
          <w:b/>
        </w:rPr>
        <w:t>,</w:t>
      </w:r>
      <w:r w:rsidR="00363477" w:rsidRPr="003D1C56">
        <w:rPr>
          <w:b/>
        </w:rPr>
        <w:t xml:space="preserve"> (dále také „VÚPSV“)</w:t>
      </w:r>
      <w:r w:rsidRPr="003D1C56">
        <w:rPr>
          <w:b/>
        </w:rPr>
        <w:t xml:space="preserve"> z roku 2018</w:t>
      </w:r>
      <w:r>
        <w:rPr>
          <w:rStyle w:val="Znakapoznpodarou"/>
          <w:b/>
        </w:rPr>
        <w:footnoteReference w:id="34"/>
      </w:r>
      <w:r w:rsidRPr="003D1C56">
        <w:rPr>
          <w:b/>
        </w:rPr>
        <w:t xml:space="preserve">, která se zabývala </w:t>
      </w:r>
      <w:r w:rsidR="00367C6D" w:rsidRPr="003D1C56">
        <w:rPr>
          <w:b/>
        </w:rPr>
        <w:t xml:space="preserve">programem </w:t>
      </w:r>
      <w:r w:rsidR="00367C6D" w:rsidRPr="001B0745">
        <w:rPr>
          <w:b/>
          <w:i/>
        </w:rPr>
        <w:t xml:space="preserve">Odborné praxe pro mladé </w:t>
      </w:r>
      <w:r w:rsidR="0045685C" w:rsidRPr="001B0745">
        <w:rPr>
          <w:b/>
          <w:i/>
        </w:rPr>
        <w:t>ve věku 15–</w:t>
      </w:r>
      <w:r w:rsidR="004A5991" w:rsidRPr="001B0745">
        <w:rPr>
          <w:b/>
          <w:i/>
        </w:rPr>
        <w:t>29 let</w:t>
      </w:r>
      <w:r w:rsidR="00367C6D" w:rsidRPr="003D1C56">
        <w:rPr>
          <w:b/>
        </w:rPr>
        <w:t>, který je faktickým předchůdcem kontrolovaných projektů OPZ, neprokázala, že by podpoření účastníci byli výrazně úspěšnější</w:t>
      </w:r>
      <w:r w:rsidR="00C76B1E" w:rsidRPr="003D1C56">
        <w:rPr>
          <w:b/>
        </w:rPr>
        <w:t xml:space="preserve"> na trhu práce</w:t>
      </w:r>
      <w:r w:rsidR="00367C6D" w:rsidRPr="003D1C56">
        <w:rPr>
          <w:b/>
        </w:rPr>
        <w:t xml:space="preserve"> než kontrolní skupina nepodpořených osob.</w:t>
      </w:r>
      <w:r w:rsidR="00367C6D" w:rsidRPr="003D1C56">
        <w:t xml:space="preserve"> Studie také uvádí, že se mladí lidé (zejména středoškoláci a vysokoškoláci) velmi dobře uplatňují na trhu práce. </w:t>
      </w:r>
      <w:r w:rsidR="00367C6D" w:rsidRPr="003D1C56">
        <w:rPr>
          <w:b/>
        </w:rPr>
        <w:t>Vzhledem k tomu, že se od okamžiku provedení analýzy situace na trhu práce v ČR pro mladé lidi stále zlepšuje, tak NKÚ neočekává, že by efekty projektů byly zásadním způsobem odlišné od těch, jež konstatuje VÚPS</w:t>
      </w:r>
      <w:r w:rsidR="005A7CC7" w:rsidRPr="003D1C56">
        <w:rPr>
          <w:b/>
        </w:rPr>
        <w:t>V</w:t>
      </w:r>
      <w:r w:rsidR="00367C6D" w:rsidRPr="001B0745">
        <w:rPr>
          <w:b/>
        </w:rPr>
        <w:t>.</w:t>
      </w:r>
    </w:p>
    <w:p w14:paraId="5204B26D" w14:textId="5B132F5A" w:rsidR="00B9338A" w:rsidRPr="003D1C56" w:rsidRDefault="00CD2800" w:rsidP="00B9338A">
      <w:pPr>
        <w:jc w:val="both"/>
      </w:pPr>
      <w:r w:rsidRPr="003D1C56">
        <w:rPr>
          <w:b/>
        </w:rPr>
        <w:t>MPSV upravilo podmínky pro poskytování podpory na společensky účelná pracovní místa</w:t>
      </w:r>
      <w:r w:rsidR="00983E4F" w:rsidRPr="003D1C56">
        <w:rPr>
          <w:b/>
        </w:rPr>
        <w:t xml:space="preserve"> </w:t>
      </w:r>
      <w:r w:rsidR="00EB0E42" w:rsidRPr="003D1C56">
        <w:rPr>
          <w:b/>
        </w:rPr>
        <w:t xml:space="preserve">až </w:t>
      </w:r>
      <w:r w:rsidR="00983E4F" w:rsidRPr="003D1C56">
        <w:rPr>
          <w:b/>
        </w:rPr>
        <w:t>na začátku</w:t>
      </w:r>
      <w:r w:rsidR="00EB0E42" w:rsidRPr="003D1C56">
        <w:rPr>
          <w:b/>
        </w:rPr>
        <w:t xml:space="preserve"> roku</w:t>
      </w:r>
      <w:r w:rsidR="00983E4F" w:rsidRPr="003D1C56">
        <w:rPr>
          <w:b/>
        </w:rPr>
        <w:t xml:space="preserve"> 2019</w:t>
      </w:r>
      <w:r w:rsidR="00E15FB0" w:rsidRPr="003D1C56">
        <w:rPr>
          <w:b/>
        </w:rPr>
        <w:t xml:space="preserve"> </w:t>
      </w:r>
      <w:r w:rsidR="00E15FB0" w:rsidRPr="003D1C56">
        <w:t>(tedy v průběhu kontroly NKÚ)</w:t>
      </w:r>
      <w:r w:rsidR="005A7CC7" w:rsidRPr="003D1C56">
        <w:t>, kdy významným způsobem</w:t>
      </w:r>
      <w:r w:rsidR="00983E4F" w:rsidRPr="003D1C56">
        <w:t xml:space="preserve"> omezilo výši příspěvku v případě, že osoba </w:t>
      </w:r>
      <w:r w:rsidR="0045685C">
        <w:t>ve věku 15–</w:t>
      </w:r>
      <w:r w:rsidR="004A5991" w:rsidRPr="003D1C56">
        <w:t>29</w:t>
      </w:r>
      <w:r w:rsidR="00983E4F" w:rsidRPr="003D1C56">
        <w:t xml:space="preserve"> let nemá další hendikepy (např. zdravotní postižení, nízkou kvalifikaci nebo jde o osobu dlouhodobě nezaměstnanou). </w:t>
      </w:r>
      <w:r w:rsidR="00983E4F" w:rsidRPr="003D1C56">
        <w:rPr>
          <w:b/>
        </w:rPr>
        <w:t xml:space="preserve">Tuto úpravu však MPSV </w:t>
      </w:r>
      <w:r w:rsidR="00DE1F3D">
        <w:rPr>
          <w:b/>
        </w:rPr>
        <w:t>realizovalo</w:t>
      </w:r>
      <w:r w:rsidR="00983E4F" w:rsidRPr="003D1C56">
        <w:rPr>
          <w:b/>
        </w:rPr>
        <w:t xml:space="preserve"> po téměř dvou letech od okamžiku vyhotovení evaluační zprávy, která to doporučovala</w:t>
      </w:r>
      <w:r w:rsidR="00983E4F" w:rsidRPr="001B0745">
        <w:rPr>
          <w:b/>
        </w:rPr>
        <w:t>.</w:t>
      </w:r>
      <w:r w:rsidR="00562D91">
        <w:t xml:space="preserve"> </w:t>
      </w:r>
      <w:r w:rsidR="00562D91" w:rsidRPr="00562D91">
        <w:rPr>
          <w:b/>
        </w:rPr>
        <w:t xml:space="preserve">Toto prodlení mělo negativní vliv na </w:t>
      </w:r>
      <w:r w:rsidR="00562D91">
        <w:rPr>
          <w:b/>
        </w:rPr>
        <w:t>účelnost</w:t>
      </w:r>
      <w:r w:rsidR="00562D91" w:rsidRPr="00562D91">
        <w:rPr>
          <w:b/>
        </w:rPr>
        <w:t xml:space="preserve"> vynakládaných peněžních prostředků.</w:t>
      </w:r>
    </w:p>
    <w:p w14:paraId="193DE1AE" w14:textId="70FF3BAA" w:rsidR="00CC0751" w:rsidRPr="003D1C56" w:rsidRDefault="00226B51" w:rsidP="00B02A88">
      <w:pPr>
        <w:pStyle w:val="Nadpis3"/>
      </w:pPr>
      <w:r w:rsidRPr="00226B51">
        <w:t xml:space="preserve">Data pro </w:t>
      </w:r>
      <w:r w:rsidR="00DE1F3D">
        <w:t>E</w:t>
      </w:r>
      <w:r w:rsidRPr="00226B51">
        <w:t>vropskou komisi vykazovala nedostatky</w:t>
      </w:r>
    </w:p>
    <w:p w14:paraId="7607A121" w14:textId="7DAC3DCA" w:rsidR="00CC0751" w:rsidRPr="003D1C56" w:rsidRDefault="00CD2800" w:rsidP="00B60EBA">
      <w:pPr>
        <w:jc w:val="both"/>
      </w:pPr>
      <w:r w:rsidRPr="003D1C56">
        <w:t>Monitoring podpory mladých lidí probíhal</w:t>
      </w:r>
      <w:r w:rsidR="00E15FB0" w:rsidRPr="003D1C56">
        <w:t xml:space="preserve"> jak</w:t>
      </w:r>
      <w:r w:rsidRPr="003D1C56">
        <w:t xml:space="preserve"> v rámci operačního programu </w:t>
      </w:r>
      <w:r w:rsidRPr="001B0745">
        <w:rPr>
          <w:i/>
        </w:rPr>
        <w:t>Zaměstnanost</w:t>
      </w:r>
      <w:r w:rsidR="00DE1F3D" w:rsidRPr="001B0745">
        <w:rPr>
          <w:i/>
        </w:rPr>
        <w:t xml:space="preserve"> 2014–2020</w:t>
      </w:r>
      <w:r w:rsidRPr="003D1C56">
        <w:t xml:space="preserve">, tak i prostřednictvím specifické metodiky Evropské komise. </w:t>
      </w:r>
    </w:p>
    <w:p w14:paraId="1DBD75C9" w14:textId="4E490089" w:rsidR="00A1192E" w:rsidRPr="003D1C56" w:rsidRDefault="00CD2800" w:rsidP="00B60EBA">
      <w:pPr>
        <w:jc w:val="both"/>
      </w:pPr>
      <w:r w:rsidRPr="003D1C56">
        <w:t xml:space="preserve">U projektů financovaných z OPZ jsou v MS2014+ sledovány </w:t>
      </w:r>
      <w:r w:rsidR="00515D75" w:rsidRPr="003D1C56">
        <w:t>monitorovací</w:t>
      </w:r>
      <w:r w:rsidRPr="003D1C56">
        <w:t xml:space="preserve"> indikátory. Mezi těmito indikátory ale není takový, který by sledoval záruku pro mladé lidi, </w:t>
      </w:r>
      <w:r w:rsidR="00C76B1E" w:rsidRPr="003D1C56">
        <w:t>tedy zda</w:t>
      </w:r>
      <w:r w:rsidR="005A7271">
        <w:t xml:space="preserve"> mladý člověk ve věku 15–</w:t>
      </w:r>
      <w:r w:rsidRPr="003D1C56">
        <w:t>24 let dostane kvalitní nabídku zaměstnání, dalšího vzdělávání, odborné přípravy nebo stáže, a to do čtyř měsíců poté, co se stal nezaměstnaným, ukončil formální vzdělá</w:t>
      </w:r>
      <w:r w:rsidR="00665459">
        <w:t>vá</w:t>
      </w:r>
      <w:r w:rsidRPr="003D1C56">
        <w:t>ní nebo odešel ze systému formálního vzděl</w:t>
      </w:r>
      <w:r w:rsidR="00515E9A" w:rsidRPr="003D1C56">
        <w:t>ávání.</w:t>
      </w:r>
      <w:r w:rsidR="00E853B7" w:rsidRPr="003D1C56">
        <w:t xml:space="preserve"> </w:t>
      </w:r>
    </w:p>
    <w:p w14:paraId="085C712C" w14:textId="7459EFCB" w:rsidR="00A1192E" w:rsidRPr="003D1C56" w:rsidRDefault="00CD2800" w:rsidP="00B60EBA">
      <w:pPr>
        <w:jc w:val="both"/>
      </w:pPr>
      <w:r w:rsidRPr="003D1C56">
        <w:t xml:space="preserve">Samostatné monitorování programu </w:t>
      </w:r>
      <w:r w:rsidR="00DE1F3D" w:rsidRPr="001B0745">
        <w:rPr>
          <w:i/>
        </w:rPr>
        <w:t>Z</w:t>
      </w:r>
      <w:r w:rsidRPr="001B0745">
        <w:rPr>
          <w:i/>
        </w:rPr>
        <w:t>áruky pro mladé</w:t>
      </w:r>
      <w:r w:rsidRPr="003D1C56">
        <w:t xml:space="preserve"> probíhá podle metodiky EK</w:t>
      </w:r>
      <w:r>
        <w:rPr>
          <w:rStyle w:val="Znakapoznpodarou"/>
        </w:rPr>
        <w:footnoteReference w:id="35"/>
      </w:r>
      <w:r w:rsidR="00E853B7" w:rsidRPr="003D1C56">
        <w:t xml:space="preserve"> v ročních intervalech. Požadované údaje zahr</w:t>
      </w:r>
      <w:r w:rsidR="008576A0" w:rsidRPr="003D1C56">
        <w:t xml:space="preserve">nují především data týkající se vstupů mladých lidí do programu, jejich zařazení do aktivit a jejich situace po opuštění programu. Metodika požaduje, aby členské státy uvedly situaci účastníků po 6, 12 a 18 měsících od ukončení účasti. </w:t>
      </w:r>
      <w:r w:rsidR="008576A0" w:rsidRPr="003D1C56">
        <w:rPr>
          <w:b/>
        </w:rPr>
        <w:t>MPSV tyto údaje neuvedlo v žádné z dosud vypracovaných zpráv</w:t>
      </w:r>
      <w:r>
        <w:rPr>
          <w:rStyle w:val="Znakapoznpodarou"/>
          <w:b/>
        </w:rPr>
        <w:footnoteReference w:id="36"/>
      </w:r>
      <w:r w:rsidR="0060301E" w:rsidRPr="003D1C56">
        <w:rPr>
          <w:b/>
        </w:rPr>
        <w:t>, neboť nemá k dispozici propojení příslušných registrů</w:t>
      </w:r>
      <w:r w:rsidR="0060301E" w:rsidRPr="003D1C56">
        <w:t xml:space="preserve">. </w:t>
      </w:r>
      <w:r w:rsidR="00C76B1E" w:rsidRPr="003D1C56">
        <w:t>T</w:t>
      </w:r>
      <w:r w:rsidR="005A7CC7" w:rsidRPr="003D1C56">
        <w:t>yto údaje dosud nepředávají ani</w:t>
      </w:r>
      <w:r w:rsidR="0045685C">
        <w:t xml:space="preserve"> Francie, Nizozem</w:t>
      </w:r>
      <w:r w:rsidR="00DE1F3D">
        <w:t>sko</w:t>
      </w:r>
      <w:r w:rsidR="0045685C">
        <w:t xml:space="preserve">, Finsko </w:t>
      </w:r>
      <w:r w:rsidR="00D26462">
        <w:t xml:space="preserve">či </w:t>
      </w:r>
      <w:r w:rsidR="00DE1F3D">
        <w:t xml:space="preserve">Spojené království </w:t>
      </w:r>
      <w:r w:rsidR="00B479C8" w:rsidRPr="003D1C56">
        <w:t>Velk</w:t>
      </w:r>
      <w:r w:rsidR="00DE1F3D">
        <w:t>é</w:t>
      </w:r>
      <w:r w:rsidR="00B479C8" w:rsidRPr="003D1C56">
        <w:t xml:space="preserve"> Británie</w:t>
      </w:r>
      <w:r w:rsidR="00DE1F3D">
        <w:t xml:space="preserve"> a Severního Irska</w:t>
      </w:r>
      <w:r w:rsidR="00B479C8" w:rsidRPr="003D1C56">
        <w:t xml:space="preserve">. </w:t>
      </w:r>
      <w:r w:rsidR="0060301E" w:rsidRPr="003D1C56">
        <w:t xml:space="preserve">NKÚ </w:t>
      </w:r>
      <w:r w:rsidR="00C76B1E" w:rsidRPr="003D1C56">
        <w:t xml:space="preserve">přitom </w:t>
      </w:r>
      <w:r w:rsidR="0060301E" w:rsidRPr="003D1C56">
        <w:t xml:space="preserve">zjistil, že </w:t>
      </w:r>
      <w:r w:rsidR="009E29FD" w:rsidRPr="003D1C56">
        <w:t xml:space="preserve">část těchto chybějících údajů </w:t>
      </w:r>
      <w:r w:rsidR="00DE1F3D">
        <w:t>je uložena v </w:t>
      </w:r>
      <w:r w:rsidR="0060301E" w:rsidRPr="003D1C56">
        <w:t>MS2014+</w:t>
      </w:r>
      <w:r w:rsidR="00C76B1E" w:rsidRPr="003D1C56">
        <w:t>.</w:t>
      </w:r>
    </w:p>
    <w:p w14:paraId="5D6E4D98" w14:textId="1FA55A3B" w:rsidR="00A1192E" w:rsidRPr="003D1C56" w:rsidRDefault="00CD2800" w:rsidP="00B60EBA">
      <w:pPr>
        <w:jc w:val="both"/>
      </w:pPr>
      <w:r w:rsidRPr="003D1C56">
        <w:t>Z </w:t>
      </w:r>
      <w:r w:rsidR="0047799D" w:rsidRPr="003D1C56">
        <w:t>materiálů</w:t>
      </w:r>
      <w:r w:rsidRPr="003D1C56">
        <w:t xml:space="preserve"> EK</w:t>
      </w:r>
      <w:r>
        <w:rPr>
          <w:rStyle w:val="Znakapoznpodarou"/>
        </w:rPr>
        <w:footnoteReference w:id="37"/>
      </w:r>
      <w:r w:rsidRPr="003D1C56">
        <w:t xml:space="preserve"> vyplývají i další nedostatky </w:t>
      </w:r>
      <w:r w:rsidR="0047799D" w:rsidRPr="003D1C56">
        <w:t xml:space="preserve">informací předávaných Českou republikou. </w:t>
      </w:r>
      <w:r w:rsidR="003153F4">
        <w:t>V ČR je například</w:t>
      </w:r>
      <w:r w:rsidR="003153F4" w:rsidRPr="003D1C56">
        <w:t xml:space="preserve"> navržen </w:t>
      </w:r>
      <w:r w:rsidR="003153F4">
        <w:t>postup</w:t>
      </w:r>
      <w:r w:rsidR="0047799D" w:rsidRPr="003D1C56">
        <w:t xml:space="preserve"> ke sledování mladých lidí vstupujících do programu pouze do </w:t>
      </w:r>
      <w:r w:rsidR="00D26462">
        <w:br/>
      </w:r>
      <w:r w:rsidR="0047799D" w:rsidRPr="003D1C56">
        <w:t xml:space="preserve">12 měsíců od registrace na </w:t>
      </w:r>
      <w:proofErr w:type="gramStart"/>
      <w:r w:rsidR="0047799D" w:rsidRPr="003D1C56">
        <w:t>ÚP</w:t>
      </w:r>
      <w:proofErr w:type="gramEnd"/>
      <w:r w:rsidR="0047799D" w:rsidRPr="003D1C56">
        <w:t xml:space="preserve">. Účastníci, kteří dostanou nabídku po více než roce </w:t>
      </w:r>
      <w:r w:rsidR="00C76B1E" w:rsidRPr="003D1C56">
        <w:t>od registrace, nejsou započítáni</w:t>
      </w:r>
      <w:r w:rsidR="0047799D" w:rsidRPr="003D1C56">
        <w:t xml:space="preserve"> a dochází ke zkreslení dat.</w:t>
      </w:r>
      <w:r w:rsidR="00007694" w:rsidRPr="003D1C56">
        <w:t xml:space="preserve"> </w:t>
      </w:r>
      <w:r w:rsidR="009E29FD" w:rsidRPr="003D1C56">
        <w:t>N</w:t>
      </w:r>
      <w:r w:rsidR="00007694" w:rsidRPr="003D1C56">
        <w:t>ejsou</w:t>
      </w:r>
      <w:r w:rsidR="009E29FD" w:rsidRPr="003D1C56">
        <w:t xml:space="preserve"> </w:t>
      </w:r>
      <w:r w:rsidR="00007694" w:rsidRPr="003D1C56">
        <w:t>zaznamená</w:t>
      </w:r>
      <w:r w:rsidR="00D26462">
        <w:t>vá</w:t>
      </w:r>
      <w:r w:rsidR="00007694" w:rsidRPr="003D1C56">
        <w:t xml:space="preserve">ny </w:t>
      </w:r>
      <w:r w:rsidR="00D26462">
        <w:t xml:space="preserve">ani </w:t>
      </w:r>
      <w:r w:rsidR="00007694" w:rsidRPr="003D1C56">
        <w:t>nabídky</w:t>
      </w:r>
      <w:r w:rsidR="00026617" w:rsidRPr="003D1C56">
        <w:t xml:space="preserve"> (např. vzdělávání)</w:t>
      </w:r>
      <w:r w:rsidR="00007694" w:rsidRPr="003D1C56">
        <w:t xml:space="preserve">, které </w:t>
      </w:r>
      <w:r w:rsidR="00E15FB0" w:rsidRPr="003D1C56">
        <w:t>nevedou k ukončení evidence</w:t>
      </w:r>
      <w:r w:rsidR="00007694" w:rsidRPr="003D1C56">
        <w:t xml:space="preserve"> na </w:t>
      </w:r>
      <w:proofErr w:type="gramStart"/>
      <w:r w:rsidR="00007694" w:rsidRPr="003D1C56">
        <w:t>ÚP</w:t>
      </w:r>
      <w:proofErr w:type="gramEnd"/>
      <w:r w:rsidR="00007694" w:rsidRPr="003D1C56">
        <w:t xml:space="preserve">. Takové </w:t>
      </w:r>
      <w:r w:rsidR="00E15FB0" w:rsidRPr="003D1C56">
        <w:t xml:space="preserve">osoby </w:t>
      </w:r>
      <w:r w:rsidR="00BD2EF8" w:rsidRPr="003D1C56">
        <w:t xml:space="preserve">MPSV vykazuje nadále ve skupině osob, které na nabídku stále čekají. </w:t>
      </w:r>
    </w:p>
    <w:p w14:paraId="6BA3AB4A" w14:textId="77777777" w:rsidR="00A1192E" w:rsidRPr="003D1C56" w:rsidRDefault="00CD2800" w:rsidP="00B60EBA">
      <w:pPr>
        <w:jc w:val="both"/>
      </w:pPr>
      <w:r w:rsidRPr="003D1C56">
        <w:t xml:space="preserve">Monitorování programu ztěžuje i fakt, </w:t>
      </w:r>
      <w:r w:rsidR="000570BD" w:rsidRPr="003D1C56">
        <w:t xml:space="preserve">že metodika EK nevymezuje parametry, které definují kvalitní nabídku zaměstnání, resp. kvalitní další vzdělávání, odbornou přípravu nebo stáž. Přesnější </w:t>
      </w:r>
      <w:r w:rsidR="006820E6" w:rsidRPr="003D1C56">
        <w:t xml:space="preserve">vymezení nezpracovalo ani MPSV. Úřad práce ve svých projektech postupoval podle standardních postupů, tedy např. dle zákona o zaměstnanosti, který vymezuje </w:t>
      </w:r>
      <w:r w:rsidR="00F51949" w:rsidRPr="003D1C56">
        <w:t xml:space="preserve">pouze </w:t>
      </w:r>
      <w:r w:rsidR="006820E6" w:rsidRPr="003D1C56">
        <w:t>pojem vhodného zaměstnání</w:t>
      </w:r>
      <w:r>
        <w:rPr>
          <w:rStyle w:val="Znakapoznpodarou"/>
        </w:rPr>
        <w:footnoteReference w:id="38"/>
      </w:r>
      <w:r w:rsidR="006820E6" w:rsidRPr="003D1C56">
        <w:t>.</w:t>
      </w:r>
    </w:p>
    <w:p w14:paraId="00EF2561" w14:textId="77777777" w:rsidR="0014746E" w:rsidRPr="003D1C56" w:rsidRDefault="00226B51" w:rsidP="00B02A88">
      <w:pPr>
        <w:pStyle w:val="Nadpis3"/>
      </w:pPr>
      <w:r w:rsidRPr="00226B51">
        <w:t>NKÚ zjistil v projektech případy duplicitní podpory</w:t>
      </w:r>
    </w:p>
    <w:p w14:paraId="7179B880" w14:textId="6EB976B7" w:rsidR="00852EE2" w:rsidRPr="003D1C56" w:rsidRDefault="00CD2800" w:rsidP="00530275">
      <w:pPr>
        <w:jc w:val="both"/>
      </w:pPr>
      <w:r w:rsidRPr="003D1C56">
        <w:t xml:space="preserve">NKÚ zjistil, že se podpora mladých lidí neomezovala pouze na projekty určené exkluzivně pro tuto </w:t>
      </w:r>
      <w:r w:rsidR="009570A4" w:rsidRPr="003D1C56">
        <w:t xml:space="preserve">věkovou skupinu, ale že je MPSV podporovalo i v rámci </w:t>
      </w:r>
      <w:r w:rsidR="00892CF3" w:rsidRPr="003D1C56">
        <w:t>dalších výzev OPZ. Vymezení cílové skupiny provedlo MPSV ve výzvác</w:t>
      </w:r>
      <w:r w:rsidR="00530275" w:rsidRPr="003D1C56">
        <w:t>h nejednotně, takže n</w:t>
      </w:r>
      <w:r w:rsidR="0045685C">
        <w:t>apř. ve výzvě č. 32 podpořilo i </w:t>
      </w:r>
      <w:r w:rsidR="00530275" w:rsidRPr="003D1C56">
        <w:t>osoby</w:t>
      </w:r>
      <w:r w:rsidR="00555F7D">
        <w:t xml:space="preserve"> ve věku 30 let (jinde pouze 15–</w:t>
      </w:r>
      <w:r w:rsidR="00530275" w:rsidRPr="003D1C56">
        <w:t>29 let)</w:t>
      </w:r>
      <w:r w:rsidR="00D26462">
        <w:t xml:space="preserve"> a</w:t>
      </w:r>
      <w:r w:rsidR="00530275" w:rsidRPr="003D1C56">
        <w:t xml:space="preserve"> ve v</w:t>
      </w:r>
      <w:r w:rsidR="0045685C">
        <w:t>ýzvě č. 46 uchazeče a zájemce o</w:t>
      </w:r>
      <w:r w:rsidR="00263465">
        <w:t xml:space="preserve"> </w:t>
      </w:r>
      <w:r w:rsidR="00530275" w:rsidRPr="003D1C56">
        <w:t xml:space="preserve">zaměstnání a neaktivní osoby mladší 25 let. Podporované aktivity byly buď totožné, nebo velmi podobné. </w:t>
      </w:r>
      <w:r w:rsidR="005C04E3" w:rsidRPr="003D1C56">
        <w:t xml:space="preserve">Podpora mladých </w:t>
      </w:r>
      <w:r w:rsidR="00675F7F">
        <w:t>lidí</w:t>
      </w:r>
      <w:r w:rsidR="005C04E3" w:rsidRPr="003D1C56">
        <w:t xml:space="preserve"> byla</w:t>
      </w:r>
      <w:r w:rsidR="00F51949" w:rsidRPr="003D1C56">
        <w:t xml:space="preserve"> v</w:t>
      </w:r>
      <w:r w:rsidR="005C04E3" w:rsidRPr="003D1C56">
        <w:t xml:space="preserve"> rámci PO1 </w:t>
      </w:r>
      <w:r w:rsidR="0045685C">
        <w:t>OPZ roztříštěna do více výzev a</w:t>
      </w:r>
      <w:r w:rsidR="00263465">
        <w:t xml:space="preserve"> </w:t>
      </w:r>
      <w:r w:rsidR="005C04E3" w:rsidRPr="003D1C56">
        <w:t>projektů.</w:t>
      </w:r>
    </w:p>
    <w:p w14:paraId="65A80487" w14:textId="77777777" w:rsidR="00530275" w:rsidRPr="003D1C56" w:rsidRDefault="00CD2800" w:rsidP="00A15FFA">
      <w:pPr>
        <w:jc w:val="both"/>
      </w:pPr>
      <w:r w:rsidRPr="003D1C56">
        <w:t>Z údajů informačního systému ESF2014+</w:t>
      </w:r>
      <w:r w:rsidR="00EC0DB1">
        <w:rPr>
          <w:rStyle w:val="Znakapoznpodarou"/>
        </w:rPr>
        <w:footnoteReference w:id="39"/>
      </w:r>
      <w:r w:rsidRPr="003D1C56">
        <w:t xml:space="preserve">, které </w:t>
      </w:r>
      <w:r w:rsidR="009E29FD" w:rsidRPr="003D1C56">
        <w:t xml:space="preserve">MPSV </w:t>
      </w:r>
      <w:r w:rsidRPr="003D1C56">
        <w:t xml:space="preserve">poskytlo </w:t>
      </w:r>
      <w:r w:rsidR="009E29FD" w:rsidRPr="003D1C56">
        <w:t>kontrole NKÚ</w:t>
      </w:r>
      <w:r w:rsidR="005A3778">
        <w:t>,</w:t>
      </w:r>
      <w:r w:rsidR="009E29FD" w:rsidRPr="003D1C56">
        <w:t xml:space="preserve"> </w:t>
      </w:r>
      <w:r w:rsidRPr="003D1C56">
        <w:t>vyplývá, že bylo z OPZ podpořeno</w:t>
      </w:r>
      <w:r w:rsidR="00026617" w:rsidRPr="003D1C56">
        <w:t xml:space="preserve"> celkem</w:t>
      </w:r>
      <w:r w:rsidRPr="003D1C56">
        <w:t xml:space="preserve"> 13 385 mladých lidí, z toho 157 osob </w:t>
      </w:r>
      <w:r w:rsidR="00A15FFA" w:rsidRPr="003D1C56">
        <w:t>obdrželo podporu z více projektů.</w:t>
      </w:r>
    </w:p>
    <w:p w14:paraId="79C2A859" w14:textId="56A40360" w:rsidR="00530275" w:rsidRPr="003D1C56" w:rsidRDefault="00CD2800" w:rsidP="0082424C">
      <w:pPr>
        <w:jc w:val="both"/>
      </w:pPr>
      <w:r w:rsidRPr="003D1C56">
        <w:t>MPSV</w:t>
      </w:r>
      <w:r w:rsidR="002F781B" w:rsidRPr="003D1C56">
        <w:t xml:space="preserve"> ve výzvách č. 116 a 091 adresovaných vybraným krajům na projekty YEI stanovilo zákaz duplicity s projekty ÚP</w:t>
      </w:r>
      <w:r>
        <w:rPr>
          <w:rStyle w:val="Znakapoznpodarou"/>
        </w:rPr>
        <w:footnoteReference w:id="40"/>
      </w:r>
      <w:r w:rsidR="002F781B" w:rsidRPr="003D1C56">
        <w:t>.</w:t>
      </w:r>
      <w:r w:rsidR="00F86DE6" w:rsidRPr="003D1C56">
        <w:t xml:space="preserve"> K identifikaci duplicitních osob odkázalo </w:t>
      </w:r>
      <w:r w:rsidR="0011639B" w:rsidRPr="003D1C56">
        <w:t xml:space="preserve">MPSV </w:t>
      </w:r>
      <w:r w:rsidR="00F86DE6" w:rsidRPr="003D1C56">
        <w:t xml:space="preserve">na sestavu informačního systému ESF2014+ ZA-1 </w:t>
      </w:r>
      <w:r w:rsidR="00F86DE6" w:rsidRPr="003D1C56">
        <w:rPr>
          <w:i/>
        </w:rPr>
        <w:t>Osoby podpořené napříč projekty</w:t>
      </w:r>
      <w:r w:rsidR="00F86DE6" w:rsidRPr="003D1C56">
        <w:t xml:space="preserve">. </w:t>
      </w:r>
      <w:r w:rsidR="00F86DE6" w:rsidRPr="003D1C56">
        <w:rPr>
          <w:b/>
        </w:rPr>
        <w:t xml:space="preserve">NKÚ z této </w:t>
      </w:r>
      <w:r w:rsidR="00CB2F7D" w:rsidRPr="003D1C56">
        <w:rPr>
          <w:b/>
        </w:rPr>
        <w:t xml:space="preserve">sestavy </w:t>
      </w:r>
      <w:r w:rsidR="00F86DE6" w:rsidRPr="003D1C56">
        <w:rPr>
          <w:b/>
        </w:rPr>
        <w:t xml:space="preserve">zjistil, že se 19 osob </w:t>
      </w:r>
      <w:proofErr w:type="gramStart"/>
      <w:r w:rsidR="00F86DE6" w:rsidRPr="003D1C56">
        <w:rPr>
          <w:b/>
        </w:rPr>
        <w:t>účastnilo</w:t>
      </w:r>
      <w:proofErr w:type="gramEnd"/>
      <w:r w:rsidR="00F86DE6" w:rsidRPr="003D1C56">
        <w:rPr>
          <w:b/>
        </w:rPr>
        <w:t xml:space="preserve"> současně projektů INICIATIVA a TRANSFER a výše uvedená podmínka byla</w:t>
      </w:r>
      <w:r w:rsidR="00CC436B">
        <w:rPr>
          <w:b/>
        </w:rPr>
        <w:t xml:space="preserve"> tedy</w:t>
      </w:r>
      <w:r w:rsidR="00F86DE6" w:rsidRPr="003D1C56">
        <w:rPr>
          <w:b/>
        </w:rPr>
        <w:t xml:space="preserve"> porušena</w:t>
      </w:r>
      <w:r w:rsidR="00F86DE6" w:rsidRPr="001B0745">
        <w:rPr>
          <w:b/>
        </w:rPr>
        <w:t>.</w:t>
      </w:r>
      <w:r w:rsidR="00F86DE6" w:rsidRPr="003D1C56">
        <w:t xml:space="preserve"> </w:t>
      </w:r>
    </w:p>
    <w:tbl>
      <w:tblPr>
        <w:tblStyle w:val="Mkatabulky"/>
        <w:tblW w:w="0" w:type="auto"/>
        <w:tblLook w:val="04A0" w:firstRow="1" w:lastRow="0" w:firstColumn="1" w:lastColumn="0" w:noHBand="0" w:noVBand="1"/>
      </w:tblPr>
      <w:tblGrid>
        <w:gridCol w:w="9063"/>
      </w:tblGrid>
      <w:tr w:rsidR="00C76F45" w14:paraId="46E727F7" w14:textId="77777777" w:rsidTr="00D635D4">
        <w:tc>
          <w:tcPr>
            <w:tcW w:w="9063" w:type="dxa"/>
          </w:tcPr>
          <w:p w14:paraId="3BC16175" w14:textId="7B326758" w:rsidR="008031C5" w:rsidRPr="003D1C56" w:rsidRDefault="00CD2800" w:rsidP="00D635D4">
            <w:pPr>
              <w:spacing w:after="0"/>
              <w:rPr>
                <w:b/>
                <w:color w:val="1F497D" w:themeColor="text2"/>
              </w:rPr>
            </w:pPr>
            <w:r w:rsidRPr="003D1C56">
              <w:rPr>
                <w:b/>
                <w:color w:val="1F497D" w:themeColor="text2"/>
              </w:rPr>
              <w:t>Příklad</w:t>
            </w:r>
            <w:r w:rsidR="00D64912">
              <w:rPr>
                <w:b/>
                <w:color w:val="1F497D" w:themeColor="text2"/>
              </w:rPr>
              <w:t xml:space="preserve"> č. 4</w:t>
            </w:r>
            <w:r w:rsidR="0011639B">
              <w:rPr>
                <w:b/>
                <w:color w:val="1F497D" w:themeColor="text2"/>
              </w:rPr>
              <w:t>:</w:t>
            </w:r>
            <w:r w:rsidRPr="003D1C56">
              <w:rPr>
                <w:b/>
                <w:color w:val="1F497D" w:themeColor="text2"/>
              </w:rPr>
              <w:t xml:space="preserve"> </w:t>
            </w:r>
            <w:r w:rsidR="0011639B">
              <w:rPr>
                <w:b/>
                <w:color w:val="1F497D" w:themeColor="text2"/>
              </w:rPr>
              <w:t>d</w:t>
            </w:r>
            <w:r w:rsidRPr="003D1C56">
              <w:rPr>
                <w:b/>
                <w:color w:val="1F497D" w:themeColor="text2"/>
              </w:rPr>
              <w:t>uplicitní účastník</w:t>
            </w:r>
            <w:r w:rsidR="00D64912">
              <w:rPr>
                <w:b/>
                <w:color w:val="1F497D" w:themeColor="text2"/>
              </w:rPr>
              <w:t xml:space="preserve"> v</w:t>
            </w:r>
            <w:r w:rsidRPr="003D1C56">
              <w:rPr>
                <w:b/>
                <w:color w:val="1F497D" w:themeColor="text2"/>
              </w:rPr>
              <w:t xml:space="preserve"> projek</w:t>
            </w:r>
            <w:r w:rsidR="00D64912">
              <w:rPr>
                <w:b/>
                <w:color w:val="1F497D" w:themeColor="text2"/>
              </w:rPr>
              <w:t>tech</w:t>
            </w:r>
            <w:r w:rsidRPr="003D1C56">
              <w:rPr>
                <w:b/>
                <w:color w:val="1F497D" w:themeColor="text2"/>
              </w:rPr>
              <w:t xml:space="preserve"> INICIATIVA a TRANSFER </w:t>
            </w:r>
          </w:p>
          <w:p w14:paraId="04C49A8D" w14:textId="77777777" w:rsidR="00D635D4" w:rsidRPr="003D1C56" w:rsidRDefault="00CD2800" w:rsidP="00306984">
            <w:pPr>
              <w:spacing w:before="120" w:after="0"/>
              <w:ind w:left="-51"/>
              <w:jc w:val="both"/>
            </w:pPr>
            <w:r w:rsidRPr="003D1C56">
              <w:rPr>
                <w:b/>
              </w:rPr>
              <w:t>Klient vstoupil 29. 4. 2016</w:t>
            </w:r>
            <w:r w:rsidRPr="003D1C56">
              <w:t xml:space="preserve"> do projektu INICIATIVA, kde abs</w:t>
            </w:r>
            <w:r w:rsidR="00555F7D">
              <w:t>olvoval kariérové poradenství a </w:t>
            </w:r>
            <w:r w:rsidRPr="003D1C56">
              <w:t xml:space="preserve">diagnostiku (v rozsahu 2 hodin) a oborové vzdělávání (v rozsahu 300 hodin). </w:t>
            </w:r>
            <w:r w:rsidRPr="003D1C56">
              <w:rPr>
                <w:b/>
              </w:rPr>
              <w:t>Účast v projektu INICIATIVA ukončil klient k 9. 5. 2018</w:t>
            </w:r>
            <w:r w:rsidRPr="001B0745">
              <w:rPr>
                <w:b/>
              </w:rPr>
              <w:t>.</w:t>
            </w:r>
          </w:p>
          <w:p w14:paraId="0569CCEC" w14:textId="37FBE230" w:rsidR="008031C5" w:rsidRPr="003D1C56" w:rsidRDefault="00CD2800" w:rsidP="0011639B">
            <w:pPr>
              <w:spacing w:before="120" w:after="0"/>
              <w:ind w:left="-51"/>
              <w:jc w:val="both"/>
            </w:pPr>
            <w:r w:rsidRPr="003D1C56">
              <w:rPr>
                <w:b/>
              </w:rPr>
              <w:t>Od 13. 3. 2017 figur</w:t>
            </w:r>
            <w:r w:rsidR="0011639B">
              <w:rPr>
                <w:b/>
              </w:rPr>
              <w:t>oval</w:t>
            </w:r>
            <w:r w:rsidRPr="003D1C56">
              <w:rPr>
                <w:b/>
              </w:rPr>
              <w:t xml:space="preserve"> klient rovněž v projektu TRANSFER</w:t>
            </w:r>
            <w:r w:rsidRPr="001B0745">
              <w:rPr>
                <w:b/>
              </w:rPr>
              <w:t>,</w:t>
            </w:r>
            <w:r w:rsidRPr="003D1C56">
              <w:t xml:space="preserve"> kde absolvoval kariérové poradenství a diagnostiku (v rozsahu 96,5 hodin</w:t>
            </w:r>
            <w:r w:rsidR="0011639B">
              <w:t>y</w:t>
            </w:r>
            <w:r w:rsidRPr="003D1C56">
              <w:t xml:space="preserve">) a podporu základních kompetencí pro nalezení pracovního uplatnění (v rozsahu 35 hodin). </w:t>
            </w:r>
            <w:r w:rsidRPr="003D1C56">
              <w:rPr>
                <w:b/>
              </w:rPr>
              <w:t>Účast v projektu TRANSFER ukončil klient k 31. 12. 2018.</w:t>
            </w:r>
          </w:p>
        </w:tc>
      </w:tr>
    </w:tbl>
    <w:p w14:paraId="2CF50B58" w14:textId="12CAC3F6" w:rsidR="00530B58" w:rsidRPr="003D1C56" w:rsidRDefault="00CD2800" w:rsidP="00D635D4">
      <w:pPr>
        <w:spacing w:before="240"/>
        <w:jc w:val="both"/>
        <w:rPr>
          <w:b/>
        </w:rPr>
      </w:pPr>
      <w:r w:rsidRPr="003D1C56">
        <w:rPr>
          <w:b/>
        </w:rPr>
        <w:t>S</w:t>
      </w:r>
      <w:r w:rsidR="008031C5" w:rsidRPr="003D1C56">
        <w:rPr>
          <w:b/>
        </w:rPr>
        <w:t>amo MPSV výše uvedenou sestavu v praxi nevyužívalo a spoléhalo se na kontrolu</w:t>
      </w:r>
      <w:r w:rsidR="00EB144F" w:rsidRPr="003D1C56">
        <w:rPr>
          <w:b/>
        </w:rPr>
        <w:t xml:space="preserve"> duplicit</w:t>
      </w:r>
      <w:r w:rsidR="008031C5" w:rsidRPr="003D1C56">
        <w:rPr>
          <w:b/>
        </w:rPr>
        <w:t xml:space="preserve"> ze strany ÚP (kontrola zapojení osoby do projektu Úřadu práce prostřednictvím informačního systému </w:t>
      </w:r>
      <w:proofErr w:type="spellStart"/>
      <w:r w:rsidR="008031C5" w:rsidRPr="001B0745">
        <w:rPr>
          <w:b/>
          <w:i/>
        </w:rPr>
        <w:t>OKpráce</w:t>
      </w:r>
      <w:proofErr w:type="spellEnd"/>
      <w:r w:rsidR="008031C5" w:rsidRPr="003D1C56">
        <w:rPr>
          <w:b/>
        </w:rPr>
        <w:t>).</w:t>
      </w:r>
      <w:r w:rsidR="008031C5" w:rsidRPr="003D1C56">
        <w:t xml:space="preserve"> Tato kontrola může zachyt</w:t>
      </w:r>
      <w:r w:rsidR="00EB144F" w:rsidRPr="003D1C56">
        <w:t>it pouze část možných typů duplicit</w:t>
      </w:r>
      <w:r w:rsidR="0011639B">
        <w:t>.</w:t>
      </w:r>
      <w:r>
        <w:rPr>
          <w:rStyle w:val="Znakapoznpodarou"/>
        </w:rPr>
        <w:footnoteReference w:id="41"/>
      </w:r>
      <w:r w:rsidRPr="003D1C56">
        <w:t xml:space="preserve"> Ve zbývajících případech není zajištěna kontrola ani na úrovni ÚP</w:t>
      </w:r>
      <w:r w:rsidRPr="001B0745">
        <w:t xml:space="preserve">. </w:t>
      </w:r>
      <w:r w:rsidRPr="003D1C56">
        <w:rPr>
          <w:b/>
        </w:rPr>
        <w:t xml:space="preserve">Tato praxe může vést k existenci nezpůsobilých výdajů, které systém kontroly MPSV nezachytí. </w:t>
      </w:r>
    </w:p>
    <w:p w14:paraId="4FC0F5ED" w14:textId="77777777" w:rsidR="00F86DE6" w:rsidRPr="003D1C56" w:rsidRDefault="00CD2800" w:rsidP="00B02A88">
      <w:pPr>
        <w:pStyle w:val="Nadpis3"/>
      </w:pPr>
      <w:r w:rsidRPr="003D1C56">
        <w:t>Kvalita dat v informačním systému ESF2014+</w:t>
      </w:r>
    </w:p>
    <w:p w14:paraId="38A75F76" w14:textId="706746E7" w:rsidR="00EB144F" w:rsidRPr="003D1C56" w:rsidRDefault="00CD2800" w:rsidP="002C0EC8">
      <w:pPr>
        <w:jc w:val="both"/>
      </w:pPr>
      <w:r w:rsidRPr="003D1C56">
        <w:t xml:space="preserve">NKÚ zjistil, že část datových podkladů z informačního systému ESF2014+ obsahuje z části nevěrohodná data. </w:t>
      </w:r>
      <w:r w:rsidR="005245FB" w:rsidRPr="003D1C56">
        <w:t xml:space="preserve">Týká se to </w:t>
      </w:r>
      <w:r w:rsidR="00F9287B" w:rsidRPr="003D1C56">
        <w:t>28 případů, ve kterých</w:t>
      </w:r>
      <w:r w:rsidRPr="003D1C56">
        <w:t xml:space="preserve"> příjemci chybně </w:t>
      </w:r>
      <w:r w:rsidR="00675F7F" w:rsidRPr="003D1C56">
        <w:t xml:space="preserve">vyplnili </w:t>
      </w:r>
      <w:r w:rsidRPr="003D1C56">
        <w:t>rozsah podpory</w:t>
      </w:r>
      <w:r w:rsidR="005245FB" w:rsidRPr="003D1C56">
        <w:t xml:space="preserve"> </w:t>
      </w:r>
      <w:r w:rsidRPr="003D1C56">
        <w:t>(</w:t>
      </w:r>
      <w:r w:rsidR="005245FB" w:rsidRPr="003D1C56">
        <w:t>příjemci vyplnili údaje v hodinách místo v měsících</w:t>
      </w:r>
      <w:r w:rsidRPr="003D1C56">
        <w:t xml:space="preserve">). </w:t>
      </w:r>
      <w:r w:rsidR="005245FB" w:rsidRPr="003D1C56">
        <w:t xml:space="preserve">MPSV </w:t>
      </w:r>
      <w:r w:rsidR="00F9287B" w:rsidRPr="003D1C56">
        <w:t xml:space="preserve">již </w:t>
      </w:r>
      <w:r w:rsidR="005245FB" w:rsidRPr="003D1C56">
        <w:t xml:space="preserve">doplnilo do systému automatický kontrolní mechanismus, </w:t>
      </w:r>
      <w:r w:rsidR="00242300" w:rsidRPr="003D1C56">
        <w:t>k</w:t>
      </w:r>
      <w:r w:rsidR="008E6BF1" w:rsidRPr="003D1C56">
        <w:t>terý ale nepostihl starší záznamy.</w:t>
      </w:r>
    </w:p>
    <w:p w14:paraId="08060DF5" w14:textId="77777777" w:rsidR="00780B4A" w:rsidRPr="003D1C56" w:rsidRDefault="00CD2800" w:rsidP="009E6946">
      <w:pPr>
        <w:pStyle w:val="Nadpis2"/>
        <w:numPr>
          <w:ilvl w:val="0"/>
          <w:numId w:val="3"/>
        </w:numPr>
        <w:jc w:val="both"/>
      </w:pPr>
      <w:r w:rsidRPr="003D1C56">
        <w:t>Čerpání peněžních prostředků určených na podporu zaměstnávání mladých</w:t>
      </w:r>
      <w:r w:rsidR="00675F7F">
        <w:t xml:space="preserve"> lidí</w:t>
      </w:r>
    </w:p>
    <w:p w14:paraId="6B522C8B" w14:textId="77777777" w:rsidR="00F511BB" w:rsidRPr="001B0745" w:rsidRDefault="00226B51" w:rsidP="00B02A88">
      <w:pPr>
        <w:pStyle w:val="Nadpis3"/>
      </w:pPr>
      <w:r w:rsidRPr="00226B51">
        <w:t>Přímý dopad podpory zaměstnanosti mladých lidí nelze vyhodnotit</w:t>
      </w:r>
    </w:p>
    <w:p w14:paraId="4A83C7B5" w14:textId="6F06A827" w:rsidR="00B23635" w:rsidRPr="003D1C56" w:rsidRDefault="00CD2800" w:rsidP="00B23635">
      <w:pPr>
        <w:jc w:val="both"/>
        <w:rPr>
          <w:color w:val="000000" w:themeColor="text1"/>
        </w:rPr>
      </w:pPr>
      <w:r w:rsidRPr="003D1C56">
        <w:rPr>
          <w:color w:val="000000" w:themeColor="text1"/>
        </w:rPr>
        <w:t>Kontrolované projekty ZÁRUKY a INICIATIVA byly schváleny v rámci tzv. nesoutěžních výzev</w:t>
      </w:r>
      <w:r>
        <w:rPr>
          <w:rStyle w:val="Znakapoznpodarou"/>
        </w:rPr>
        <w:footnoteReference w:id="42"/>
      </w:r>
      <w:r w:rsidRPr="001B0745">
        <w:rPr>
          <w:rStyle w:val="Znakapoznpodarou"/>
          <w:vertAlign w:val="baseline"/>
        </w:rPr>
        <w:t>,</w:t>
      </w:r>
      <w:r w:rsidRPr="003D1C56">
        <w:rPr>
          <w:color w:val="000000" w:themeColor="text1"/>
        </w:rPr>
        <w:t xml:space="preserve"> kde </w:t>
      </w:r>
      <w:r w:rsidR="00F95E5A" w:rsidRPr="003D1C56">
        <w:rPr>
          <w:color w:val="000000" w:themeColor="text1"/>
        </w:rPr>
        <w:t xml:space="preserve">MPSV stanovilo </w:t>
      </w:r>
      <w:r w:rsidRPr="003D1C56">
        <w:rPr>
          <w:color w:val="000000" w:themeColor="text1"/>
        </w:rPr>
        <w:t xml:space="preserve">jediným oprávněným </w:t>
      </w:r>
      <w:r w:rsidR="00F95E5A" w:rsidRPr="003D1C56">
        <w:rPr>
          <w:color w:val="000000" w:themeColor="text1"/>
        </w:rPr>
        <w:t>žadatelem</w:t>
      </w:r>
      <w:r w:rsidRPr="003D1C56">
        <w:rPr>
          <w:color w:val="000000" w:themeColor="text1"/>
        </w:rPr>
        <w:t xml:space="preserve"> </w:t>
      </w:r>
      <w:r w:rsidR="00CC436B">
        <w:rPr>
          <w:color w:val="000000" w:themeColor="text1"/>
        </w:rPr>
        <w:t>Úřad práce</w:t>
      </w:r>
      <w:r w:rsidRPr="003D1C56">
        <w:rPr>
          <w:color w:val="000000" w:themeColor="text1"/>
        </w:rPr>
        <w:t>. ÚP v těchto projektech vystupuje z titulu své zákonné působnosti pro oblast zaměstnanosti</w:t>
      </w:r>
      <w:r w:rsidR="00D919E9" w:rsidRPr="003D1C56">
        <w:rPr>
          <w:color w:val="000000" w:themeColor="text1"/>
        </w:rPr>
        <w:t xml:space="preserve"> a v projektech realizuje aktivity, z nichž většina je identická s běžnými činnostmi ÚP. </w:t>
      </w:r>
    </w:p>
    <w:p w14:paraId="3C91444B" w14:textId="2AD9355E" w:rsidR="00D919E9" w:rsidRPr="003D1C56" w:rsidRDefault="00CD2800" w:rsidP="00D919E9">
      <w:pPr>
        <w:jc w:val="both"/>
      </w:pPr>
      <w:r w:rsidRPr="003D1C56">
        <w:rPr>
          <w:color w:val="000000" w:themeColor="text1"/>
        </w:rPr>
        <w:t>Projekt TRANSFER, který realizuje Ústecký kraj, byl schválen v rámci výzvy</w:t>
      </w:r>
      <w:r>
        <w:rPr>
          <w:rStyle w:val="Znakapoznpodarou"/>
          <w:color w:val="000000" w:themeColor="text1"/>
        </w:rPr>
        <w:footnoteReference w:id="43"/>
      </w:r>
      <w:r w:rsidRPr="003D1C56">
        <w:rPr>
          <w:color w:val="000000" w:themeColor="text1"/>
        </w:rPr>
        <w:t xml:space="preserve">, která stanovila </w:t>
      </w:r>
      <w:r w:rsidR="004C7624" w:rsidRPr="003D1C56">
        <w:rPr>
          <w:color w:val="000000" w:themeColor="text1"/>
        </w:rPr>
        <w:t xml:space="preserve">jako oprávněné </w:t>
      </w:r>
      <w:r w:rsidRPr="003D1C56">
        <w:rPr>
          <w:color w:val="000000" w:themeColor="text1"/>
        </w:rPr>
        <w:t>žadatel</w:t>
      </w:r>
      <w:r w:rsidR="004C7624" w:rsidRPr="003D1C56">
        <w:rPr>
          <w:color w:val="000000" w:themeColor="text1"/>
        </w:rPr>
        <w:t>e</w:t>
      </w:r>
      <w:r w:rsidRPr="003D1C56">
        <w:rPr>
          <w:color w:val="000000" w:themeColor="text1"/>
        </w:rPr>
        <w:t xml:space="preserve"> Ústecký a Karlovarský kraj. </w:t>
      </w:r>
      <w:r w:rsidR="0011639B">
        <w:t>Do</w:t>
      </w:r>
      <w:r w:rsidRPr="003D1C56">
        <w:t xml:space="preserve"> projektu TRANSFER </w:t>
      </w:r>
      <w:r w:rsidR="0060790D" w:rsidRPr="003D1C56">
        <w:t>byl</w:t>
      </w:r>
      <w:r w:rsidRPr="003D1C56">
        <w:t xml:space="preserve"> rovněž zapojen Úřad práce v roli partnera bez finančního příspěvku. </w:t>
      </w:r>
    </w:p>
    <w:p w14:paraId="2BF5CD69" w14:textId="25D02029" w:rsidR="00AC7F19" w:rsidRPr="003D1C56" w:rsidRDefault="00CD2800" w:rsidP="00BB6D38">
      <w:pPr>
        <w:jc w:val="both"/>
      </w:pPr>
      <w:r w:rsidRPr="003D1C56">
        <w:t xml:space="preserve">Cíle všech tří kontrolovaných projektů </w:t>
      </w:r>
      <w:r w:rsidR="00E04046" w:rsidRPr="003D1C56">
        <w:t xml:space="preserve">míří shodně ke zvýšení zaměstnanosti mladých </w:t>
      </w:r>
      <w:r w:rsidR="00675F7F">
        <w:t>lidí</w:t>
      </w:r>
      <w:r w:rsidR="00E04046" w:rsidRPr="003D1C56">
        <w:t xml:space="preserve"> do </w:t>
      </w:r>
      <w:r w:rsidR="00B051C5" w:rsidRPr="003D1C56">
        <w:t>29</w:t>
      </w:r>
      <w:r w:rsidR="00DB32C7">
        <w:t> </w:t>
      </w:r>
      <w:r w:rsidR="00E04046" w:rsidRPr="003D1C56">
        <w:t xml:space="preserve">let. </w:t>
      </w:r>
      <w:r w:rsidRPr="003D1C56">
        <w:t>Dílčí cíle projektu TRANSFER vztahující se k počtu zapojených klientů</w:t>
      </w:r>
      <w:r w:rsidR="00761BFA" w:rsidRPr="003D1C56">
        <w:t>, tj. podpořených osob</w:t>
      </w:r>
      <w:r w:rsidR="00DB32C7">
        <w:t>,</w:t>
      </w:r>
      <w:r w:rsidRPr="003D1C56">
        <w:t xml:space="preserve"> byly splněny. Lze konstatovat, že konkrétní cíle vyjádřené počtem podpořených osob budou u projektů Úřadu práce ZÁRUKY a INICIATIVA rovněž splněny. </w:t>
      </w:r>
    </w:p>
    <w:p w14:paraId="0FD5F8A8" w14:textId="5D24D528" w:rsidR="00E26C00" w:rsidRPr="003D1C56" w:rsidRDefault="00CD2800" w:rsidP="0060790D">
      <w:pPr>
        <w:jc w:val="both"/>
      </w:pPr>
      <w:r w:rsidRPr="003D1C56">
        <w:rPr>
          <w:b/>
        </w:rPr>
        <w:t xml:space="preserve">ÚP nestanovil kritéria </w:t>
      </w:r>
      <w:r w:rsidRPr="003D1C56">
        <w:t xml:space="preserve">pro hodnocení vlivu projektu na splnění hodnoty specifického cíle </w:t>
      </w:r>
      <w:r w:rsidR="00DB32C7">
        <w:t>„</w:t>
      </w:r>
      <w:r w:rsidR="00DB32C7">
        <w:rPr>
          <w:i/>
        </w:rPr>
        <w:t>z</w:t>
      </w:r>
      <w:r w:rsidRPr="003D1C56">
        <w:rPr>
          <w:i/>
        </w:rPr>
        <w:t>výšit zaměstnanost podpořených mladých osob</w:t>
      </w:r>
      <w:r w:rsidR="00DB32C7">
        <w:t>“</w:t>
      </w:r>
      <w:r w:rsidR="003402BA" w:rsidRPr="003D1C56">
        <w:t>; žádný z indikátorů k měření naplňování cílů projektů se nevztahuje k cílové skupině nezaměstnaných mladýc</w:t>
      </w:r>
      <w:r w:rsidR="00AE30A9">
        <w:t xml:space="preserve">h lidí </w:t>
      </w:r>
      <w:r w:rsidR="00DB32C7">
        <w:t xml:space="preserve">ve věku </w:t>
      </w:r>
      <w:r w:rsidR="00AE30A9">
        <w:t>15–</w:t>
      </w:r>
      <w:r w:rsidR="001D537C">
        <w:t>24 let, respektive</w:t>
      </w:r>
      <w:r w:rsidR="00DB32C7">
        <w:t xml:space="preserve"> </w:t>
      </w:r>
      <w:r w:rsidR="001D537C">
        <w:t>15–</w:t>
      </w:r>
      <w:r w:rsidR="003402BA" w:rsidRPr="003D1C56">
        <w:t>29 let</w:t>
      </w:r>
      <w:r w:rsidR="003402BA" w:rsidRPr="001B0745">
        <w:t>.</w:t>
      </w:r>
      <w:r w:rsidR="003402BA" w:rsidRPr="003D1C56">
        <w:rPr>
          <w:b/>
        </w:rPr>
        <w:t xml:space="preserve"> </w:t>
      </w:r>
      <w:r w:rsidR="0060790D" w:rsidRPr="003D1C56">
        <w:rPr>
          <w:b/>
        </w:rPr>
        <w:t>Přímý dopad poskytnuté podpory</w:t>
      </w:r>
      <w:r w:rsidRPr="003D1C56">
        <w:rPr>
          <w:b/>
        </w:rPr>
        <w:t xml:space="preserve"> </w:t>
      </w:r>
      <w:r w:rsidR="0060790D" w:rsidRPr="003D1C56">
        <w:rPr>
          <w:b/>
        </w:rPr>
        <w:t>na zaměstnanost cílové skupiny mladých</w:t>
      </w:r>
      <w:r w:rsidR="00153429">
        <w:rPr>
          <w:b/>
        </w:rPr>
        <w:t xml:space="preserve"> lidí</w:t>
      </w:r>
      <w:r w:rsidR="0060790D" w:rsidRPr="003D1C56">
        <w:rPr>
          <w:b/>
        </w:rPr>
        <w:t xml:space="preserve"> nelze vyhodnotit</w:t>
      </w:r>
      <w:r w:rsidR="0060790D" w:rsidRPr="003D1C56">
        <w:t xml:space="preserve"> u žádného z kontrolovaných projektů</w:t>
      </w:r>
      <w:r w:rsidR="002A6D78" w:rsidRPr="003D1C56">
        <w:t>.</w:t>
      </w:r>
      <w:r w:rsidR="0060790D" w:rsidRPr="003D1C56">
        <w:t xml:space="preserve"> </w:t>
      </w:r>
    </w:p>
    <w:p w14:paraId="1EB111C3" w14:textId="77777777" w:rsidR="00C90B54" w:rsidRPr="001B0745" w:rsidRDefault="00226B51" w:rsidP="00B02A88">
      <w:pPr>
        <w:pStyle w:val="Nadpis3"/>
      </w:pPr>
      <w:r w:rsidRPr="00226B51">
        <w:t>NKÚ nezjistil deklarovanou intenzivní individuální práci s cílovou skupinou</w:t>
      </w:r>
    </w:p>
    <w:p w14:paraId="0A031952" w14:textId="67D136E4" w:rsidR="004A26F0" w:rsidRPr="003D1C56" w:rsidRDefault="00CD2800" w:rsidP="00171D0F">
      <w:pPr>
        <w:jc w:val="both"/>
      </w:pPr>
      <w:r w:rsidRPr="003D1C56">
        <w:t xml:space="preserve">Cílovou skupinu podporovanou v projektech ZÁRUKY </w:t>
      </w:r>
      <w:r w:rsidR="00DB32C7">
        <w:t>a</w:t>
      </w:r>
      <w:r w:rsidRPr="003D1C56">
        <w:t xml:space="preserve"> INICIATIVA představují </w:t>
      </w:r>
      <w:proofErr w:type="gramStart"/>
      <w:r w:rsidRPr="003D1C56">
        <w:t>klienti</w:t>
      </w:r>
      <w:proofErr w:type="gramEnd"/>
      <w:r w:rsidRPr="003D1C56">
        <w:t xml:space="preserve"> Ú</w:t>
      </w:r>
      <w:r w:rsidR="00CB3D23" w:rsidRPr="003D1C56">
        <w:t xml:space="preserve">řadu práce, kteří jsou vedeni </w:t>
      </w:r>
      <w:r w:rsidRPr="003D1C56">
        <w:t>v</w:t>
      </w:r>
      <w:r w:rsidR="00CB3D23" w:rsidRPr="003D1C56">
        <w:t xml:space="preserve"> jeho </w:t>
      </w:r>
      <w:r w:rsidRPr="003D1C56">
        <w:t>evidenci</w:t>
      </w:r>
      <w:r w:rsidR="00CB3D23" w:rsidRPr="003D1C56">
        <w:t xml:space="preserve"> </w:t>
      </w:r>
      <w:r w:rsidRPr="003D1C56">
        <w:t xml:space="preserve">jako uchazeči o zaměstnání. </w:t>
      </w:r>
    </w:p>
    <w:p w14:paraId="33EF0A19" w14:textId="10AB6833" w:rsidR="008A7561" w:rsidRPr="003D1C56" w:rsidRDefault="00CD2800" w:rsidP="00B2425C">
      <w:pPr>
        <w:jc w:val="both"/>
        <w:rPr>
          <w:b/>
        </w:rPr>
      </w:pPr>
      <w:r w:rsidRPr="003D1C56">
        <w:t xml:space="preserve">Cílová skupina definovaná v projektu </w:t>
      </w:r>
      <w:r w:rsidR="0091665A" w:rsidRPr="003D1C56">
        <w:t xml:space="preserve">Ústeckého kraje </w:t>
      </w:r>
      <w:r w:rsidR="00DB32C7" w:rsidRPr="003D1C56">
        <w:t xml:space="preserve">TRANSFER </w:t>
      </w:r>
      <w:r w:rsidRPr="003D1C56">
        <w:t xml:space="preserve">má svá specifika. </w:t>
      </w:r>
      <w:r w:rsidRPr="00CC436B">
        <w:rPr>
          <w:b/>
        </w:rPr>
        <w:t>Do projektu TRANSFER měli být na rozdíl od projektů ZÁRUKY a INICIATIVA zařazováni</w:t>
      </w:r>
      <w:r w:rsidR="004A26F0" w:rsidRPr="00CC436B">
        <w:rPr>
          <w:b/>
        </w:rPr>
        <w:t xml:space="preserve"> zejména </w:t>
      </w:r>
      <w:r w:rsidRPr="00CC436B">
        <w:rPr>
          <w:b/>
        </w:rPr>
        <w:t>ti klienti, kteří nebyli registrovanými uchazeči o zaměstnání</w:t>
      </w:r>
      <w:r w:rsidRPr="001B0745">
        <w:rPr>
          <w:b/>
        </w:rPr>
        <w:t>.</w:t>
      </w:r>
      <w:r w:rsidRPr="003D1C56">
        <w:t xml:space="preserve"> V průběhu realizace projektu se ukázalo, že </w:t>
      </w:r>
      <w:r w:rsidR="00C2425B" w:rsidRPr="003D1C56">
        <w:t xml:space="preserve">při vstupu do projektu TRANSFER </w:t>
      </w:r>
      <w:r w:rsidR="00C2425B" w:rsidRPr="003D1C56">
        <w:rPr>
          <w:b/>
        </w:rPr>
        <w:t xml:space="preserve">převažovali klienti z evidence ÚP (58,9 %), neaktivních klientů bylo </w:t>
      </w:r>
      <w:r w:rsidR="00CB3D23" w:rsidRPr="003D1C56">
        <w:rPr>
          <w:b/>
        </w:rPr>
        <w:t>méně (</w:t>
      </w:r>
      <w:r w:rsidR="00C2425B" w:rsidRPr="003D1C56">
        <w:rPr>
          <w:b/>
        </w:rPr>
        <w:t>41,1 %</w:t>
      </w:r>
      <w:r w:rsidR="00CB3D23" w:rsidRPr="003D1C56">
        <w:rPr>
          <w:b/>
        </w:rPr>
        <w:t>)</w:t>
      </w:r>
      <w:r w:rsidR="00C2425B" w:rsidRPr="003D1C56">
        <w:rPr>
          <w:b/>
        </w:rPr>
        <w:t>.</w:t>
      </w:r>
      <w:r w:rsidR="00710644" w:rsidRPr="003D1C56">
        <w:rPr>
          <w:b/>
        </w:rPr>
        <w:t xml:space="preserve"> </w:t>
      </w:r>
    </w:p>
    <w:p w14:paraId="74633A78" w14:textId="77777777" w:rsidR="00E04046" w:rsidRPr="003D1C56" w:rsidRDefault="00CD2800" w:rsidP="00F005D9">
      <w:pPr>
        <w:spacing w:after="0"/>
        <w:jc w:val="both"/>
      </w:pPr>
      <w:r w:rsidRPr="003D1C56">
        <w:t xml:space="preserve">U všech kontrolovaných projektů byla jejich součástí klíčová </w:t>
      </w:r>
      <w:r w:rsidR="00605CAD">
        <w:t>aktivita zaměřená na oslovení a </w:t>
      </w:r>
      <w:r w:rsidRPr="003D1C56">
        <w:t xml:space="preserve">výběr účastníků do projektů. </w:t>
      </w:r>
      <w:r w:rsidR="00171D0F" w:rsidRPr="003D1C56">
        <w:t xml:space="preserve">Z celkového počtu oslovených </w:t>
      </w:r>
      <w:r w:rsidR="008949B9" w:rsidRPr="003D1C56">
        <w:t xml:space="preserve">zástupců cílové skupiny mladých </w:t>
      </w:r>
      <w:r w:rsidR="00153429">
        <w:t>lidí</w:t>
      </w:r>
      <w:r w:rsidR="008949B9" w:rsidRPr="003D1C56">
        <w:t xml:space="preserve"> </w:t>
      </w:r>
      <w:r w:rsidR="00605CAD">
        <w:t>ve věku 15–</w:t>
      </w:r>
      <w:r w:rsidR="00EE0A89" w:rsidRPr="003D1C56">
        <w:t>29 let</w:t>
      </w:r>
      <w:r w:rsidR="008949B9" w:rsidRPr="003D1C56">
        <w:t xml:space="preserve"> </w:t>
      </w:r>
      <w:r w:rsidR="00171D0F" w:rsidRPr="003D1C56">
        <w:t>vstoupilo</w:t>
      </w:r>
      <w:r w:rsidRPr="003D1C56">
        <w:t>:</w:t>
      </w:r>
    </w:p>
    <w:p w14:paraId="1DC7022F" w14:textId="77777777" w:rsidR="00E04046" w:rsidRPr="003D1C56" w:rsidRDefault="00CD2800" w:rsidP="00E26C00">
      <w:pPr>
        <w:pStyle w:val="Odstavecseseznamem"/>
        <w:numPr>
          <w:ilvl w:val="0"/>
          <w:numId w:val="23"/>
        </w:numPr>
        <w:spacing w:after="0"/>
        <w:jc w:val="both"/>
      </w:pPr>
      <w:r w:rsidRPr="003D1C56">
        <w:t xml:space="preserve">do projektu ZÁRUKY </w:t>
      </w:r>
      <w:r w:rsidR="004A26F0" w:rsidRPr="003D1C56">
        <w:t>726</w:t>
      </w:r>
      <w:r w:rsidRPr="003D1C56">
        <w:t xml:space="preserve"> oslovených</w:t>
      </w:r>
      <w:r w:rsidR="00E26C00" w:rsidRPr="003D1C56">
        <w:t xml:space="preserve"> klientů</w:t>
      </w:r>
      <w:r w:rsidR="008949B9" w:rsidRPr="003D1C56">
        <w:t xml:space="preserve">, </w:t>
      </w:r>
    </w:p>
    <w:p w14:paraId="76AB90D3" w14:textId="77777777" w:rsidR="00E04046" w:rsidRPr="003D1C56" w:rsidRDefault="00CD2800" w:rsidP="00E26C00">
      <w:pPr>
        <w:pStyle w:val="Odstavecseseznamem"/>
        <w:numPr>
          <w:ilvl w:val="0"/>
          <w:numId w:val="23"/>
        </w:numPr>
        <w:spacing w:after="0"/>
        <w:jc w:val="both"/>
      </w:pPr>
      <w:r w:rsidRPr="003D1C56">
        <w:t xml:space="preserve">do projektu INICIATIVA </w:t>
      </w:r>
      <w:r w:rsidR="004A26F0" w:rsidRPr="003D1C56">
        <w:t xml:space="preserve">4 507 </w:t>
      </w:r>
      <w:r w:rsidRPr="003D1C56">
        <w:t>oslovených</w:t>
      </w:r>
      <w:r w:rsidR="00E26C00" w:rsidRPr="003D1C56">
        <w:t xml:space="preserve"> klientů</w:t>
      </w:r>
      <w:r w:rsidRPr="003D1C56">
        <w:t xml:space="preserve">, </w:t>
      </w:r>
    </w:p>
    <w:p w14:paraId="2EDFE0FF" w14:textId="253F4CAC" w:rsidR="00C45258" w:rsidRPr="003D1C56" w:rsidRDefault="00CD2800" w:rsidP="00E26C00">
      <w:pPr>
        <w:pStyle w:val="Odstavecseseznamem"/>
        <w:numPr>
          <w:ilvl w:val="0"/>
          <w:numId w:val="23"/>
        </w:numPr>
        <w:jc w:val="both"/>
      </w:pPr>
      <w:r w:rsidRPr="003D1C56">
        <w:t xml:space="preserve">do projektu TRANSFER </w:t>
      </w:r>
      <w:r w:rsidR="004A26F0" w:rsidRPr="003D1C56">
        <w:t xml:space="preserve">1 122 </w:t>
      </w:r>
      <w:r w:rsidRPr="003D1C56">
        <w:t>oslovených zástupců CS.</w:t>
      </w:r>
    </w:p>
    <w:p w14:paraId="5DC7514E" w14:textId="1C3E3FCE" w:rsidR="00A46BCD" w:rsidRPr="003D1C56" w:rsidRDefault="00CD2800" w:rsidP="00171D0F">
      <w:pPr>
        <w:jc w:val="both"/>
      </w:pPr>
      <w:r w:rsidRPr="003D1C56">
        <w:t>V projektech Ú</w:t>
      </w:r>
      <w:r w:rsidR="0091665A" w:rsidRPr="003D1C56">
        <w:t xml:space="preserve">řadu práce </w:t>
      </w:r>
      <w:r w:rsidR="00264143" w:rsidRPr="003D1C56">
        <w:t>i Ú</w:t>
      </w:r>
      <w:r w:rsidR="0091665A" w:rsidRPr="003D1C56">
        <w:t xml:space="preserve">steckého kraje </w:t>
      </w:r>
      <w:r w:rsidR="00264143" w:rsidRPr="00E73558">
        <w:rPr>
          <w:b/>
        </w:rPr>
        <w:t>docházelo a</w:t>
      </w:r>
      <w:r w:rsidRPr="003D1C56">
        <w:t xml:space="preserve"> </w:t>
      </w:r>
      <w:r w:rsidR="00E73558" w:rsidRPr="00E73558">
        <w:rPr>
          <w:b/>
        </w:rPr>
        <w:t xml:space="preserve">stále </w:t>
      </w:r>
      <w:r w:rsidRPr="003D1C56">
        <w:rPr>
          <w:b/>
        </w:rPr>
        <w:t>docház</w:t>
      </w:r>
      <w:r w:rsidR="00E73558">
        <w:rPr>
          <w:b/>
        </w:rPr>
        <w:t>í</w:t>
      </w:r>
      <w:r w:rsidRPr="003D1C56">
        <w:rPr>
          <w:b/>
        </w:rPr>
        <w:t xml:space="preserve"> k předčasn</w:t>
      </w:r>
      <w:r w:rsidR="00DB32C7">
        <w:rPr>
          <w:b/>
        </w:rPr>
        <w:t>ým</w:t>
      </w:r>
      <w:r w:rsidRPr="003D1C56">
        <w:rPr>
          <w:b/>
        </w:rPr>
        <w:t xml:space="preserve"> ukončení</w:t>
      </w:r>
      <w:r w:rsidR="00DB32C7">
        <w:rPr>
          <w:b/>
        </w:rPr>
        <w:t>m</w:t>
      </w:r>
      <w:r w:rsidRPr="003D1C56">
        <w:rPr>
          <w:b/>
        </w:rPr>
        <w:t xml:space="preserve"> účasti klientů</w:t>
      </w:r>
      <w:r w:rsidRPr="001B0745">
        <w:rPr>
          <w:b/>
        </w:rPr>
        <w:t>.</w:t>
      </w:r>
      <w:r w:rsidRPr="003D1C56">
        <w:t xml:space="preserve"> </w:t>
      </w:r>
      <w:r w:rsidR="00D91D14" w:rsidRPr="003D1C56">
        <w:t xml:space="preserve">U všech kontrolovaných projektů </w:t>
      </w:r>
      <w:r w:rsidR="00D91D14" w:rsidRPr="003D1C56">
        <w:rPr>
          <w:b/>
        </w:rPr>
        <w:t xml:space="preserve">se </w:t>
      </w:r>
      <w:r w:rsidR="006D1BE5" w:rsidRPr="003D1C56">
        <w:rPr>
          <w:b/>
        </w:rPr>
        <w:t xml:space="preserve">počet </w:t>
      </w:r>
      <w:r w:rsidR="00D91D14" w:rsidRPr="003D1C56">
        <w:rPr>
          <w:b/>
        </w:rPr>
        <w:t>neú</w:t>
      </w:r>
      <w:r w:rsidR="005A3778">
        <w:rPr>
          <w:b/>
        </w:rPr>
        <w:t>s</w:t>
      </w:r>
      <w:r w:rsidR="00D91D14" w:rsidRPr="003D1C56">
        <w:rPr>
          <w:b/>
        </w:rPr>
        <w:t>pěšn</w:t>
      </w:r>
      <w:r w:rsidR="006D1BE5" w:rsidRPr="003D1C56">
        <w:rPr>
          <w:b/>
        </w:rPr>
        <w:t>ých</w:t>
      </w:r>
      <w:r w:rsidR="00D91D14" w:rsidRPr="003D1C56">
        <w:rPr>
          <w:b/>
        </w:rPr>
        <w:t xml:space="preserve"> účastní</w:t>
      </w:r>
      <w:r w:rsidR="006D1BE5" w:rsidRPr="003D1C56">
        <w:rPr>
          <w:b/>
        </w:rPr>
        <w:t>ků</w:t>
      </w:r>
      <w:r w:rsidR="00D91D14" w:rsidRPr="003D1C56">
        <w:rPr>
          <w:b/>
        </w:rPr>
        <w:t xml:space="preserve"> </w:t>
      </w:r>
      <w:r w:rsidR="00CC436B">
        <w:rPr>
          <w:b/>
        </w:rPr>
        <w:t xml:space="preserve">pohyboval </w:t>
      </w:r>
      <w:r w:rsidR="00D91D14" w:rsidRPr="003D1C56">
        <w:rPr>
          <w:b/>
        </w:rPr>
        <w:t>kolem 20 %.</w:t>
      </w:r>
      <w:r w:rsidR="00D91D14" w:rsidRPr="003D1C56">
        <w:t xml:space="preserve"> </w:t>
      </w:r>
      <w:r w:rsidR="00710644" w:rsidRPr="003D1C56">
        <w:t xml:space="preserve">Podrobnosti k zapojení CS </w:t>
      </w:r>
      <w:r w:rsidR="00DB32C7">
        <w:t xml:space="preserve">do </w:t>
      </w:r>
      <w:r w:rsidR="00710644" w:rsidRPr="003D1C56">
        <w:t>projekt</w:t>
      </w:r>
      <w:r w:rsidR="00DB32C7">
        <w:t>ů</w:t>
      </w:r>
      <w:r w:rsidR="00710644" w:rsidRPr="003D1C56">
        <w:t xml:space="preserve"> uvádí tabulka č. </w:t>
      </w:r>
      <w:r w:rsidR="00BA1A1D" w:rsidRPr="003D1C56">
        <w:t>5</w:t>
      </w:r>
      <w:r w:rsidR="00710644" w:rsidRPr="003D1C56">
        <w:t>. Ú</w:t>
      </w:r>
      <w:r w:rsidR="00506A85" w:rsidRPr="003D1C56">
        <w:t>daje</w:t>
      </w:r>
      <w:r w:rsidRPr="003D1C56">
        <w:t xml:space="preserve"> nejsou </w:t>
      </w:r>
      <w:r w:rsidR="008F4A81" w:rsidRPr="003D1C56">
        <w:t xml:space="preserve">v </w:t>
      </w:r>
      <w:r w:rsidR="008949B9" w:rsidRPr="003D1C56">
        <w:t xml:space="preserve">případě projektů ZÁRUKY </w:t>
      </w:r>
      <w:r w:rsidR="00DB32C7">
        <w:t>a</w:t>
      </w:r>
      <w:r w:rsidR="008949B9" w:rsidRPr="003D1C56">
        <w:t xml:space="preserve"> INICIATIVA </w:t>
      </w:r>
      <w:r w:rsidRPr="003D1C56">
        <w:t xml:space="preserve">konečné, neboť část klientů nemá ukončenou dohodu o účasti v projektu, projektové aktivity stále pokračují. </w:t>
      </w:r>
      <w:r w:rsidR="00710644" w:rsidRPr="003D1C56">
        <w:t xml:space="preserve">Údaje k projektu TRANSFER </w:t>
      </w:r>
      <w:r w:rsidR="004A26F0" w:rsidRPr="003D1C56">
        <w:t>budou již beze změn.</w:t>
      </w:r>
      <w:r w:rsidR="00D91D14" w:rsidRPr="003D1C56">
        <w:t xml:space="preserve"> </w:t>
      </w:r>
    </w:p>
    <w:p w14:paraId="4286FFCB" w14:textId="70EE0CCE" w:rsidR="00AE7F7C" w:rsidRPr="003D1C56" w:rsidRDefault="00CD2800" w:rsidP="00FF42BB">
      <w:pPr>
        <w:keepNext/>
        <w:keepLines/>
        <w:spacing w:before="240" w:after="0"/>
        <w:rPr>
          <w:iCs/>
        </w:rPr>
      </w:pPr>
      <w:r w:rsidRPr="003D1C56">
        <w:rPr>
          <w:iCs/>
        </w:rPr>
        <w:t xml:space="preserve">Tabulka č. </w:t>
      </w:r>
      <w:r w:rsidRPr="003D1C56">
        <w:rPr>
          <w:iCs/>
        </w:rPr>
        <w:fldChar w:fldCharType="begin"/>
      </w:r>
      <w:r w:rsidRPr="003D1C56">
        <w:rPr>
          <w:iCs/>
        </w:rPr>
        <w:instrText xml:space="preserve"> SEQ Tabulka_č. \* ARABIC </w:instrText>
      </w:r>
      <w:r w:rsidRPr="003D1C56">
        <w:rPr>
          <w:iCs/>
        </w:rPr>
        <w:fldChar w:fldCharType="separate"/>
      </w:r>
      <w:r w:rsidR="00996C4C">
        <w:rPr>
          <w:iCs/>
          <w:noProof/>
        </w:rPr>
        <w:t>5</w:t>
      </w:r>
      <w:r w:rsidRPr="003D1C56">
        <w:rPr>
          <w:iCs/>
        </w:rPr>
        <w:fldChar w:fldCharType="end"/>
      </w:r>
      <w:r w:rsidRPr="003D1C56">
        <w:rPr>
          <w:iCs/>
        </w:rPr>
        <w:t xml:space="preserve">: Přehled o účastnících zapojených </w:t>
      </w:r>
      <w:r w:rsidR="00DB32C7">
        <w:rPr>
          <w:iCs/>
        </w:rPr>
        <w:t xml:space="preserve">do </w:t>
      </w:r>
      <w:r w:rsidRPr="003D1C56">
        <w:rPr>
          <w:iCs/>
        </w:rPr>
        <w:t>kontrolovaných projekt</w:t>
      </w:r>
      <w:r w:rsidR="00DB32C7">
        <w:rPr>
          <w:iCs/>
        </w:rPr>
        <w:t>ů</w:t>
      </w:r>
    </w:p>
    <w:tbl>
      <w:tblPr>
        <w:tblW w:w="9066" w:type="dxa"/>
        <w:tblCellMar>
          <w:left w:w="70" w:type="dxa"/>
          <w:right w:w="70" w:type="dxa"/>
        </w:tblCellMar>
        <w:tblLook w:val="04A0" w:firstRow="1" w:lastRow="0" w:firstColumn="1" w:lastColumn="0" w:noHBand="0" w:noVBand="1"/>
      </w:tblPr>
      <w:tblGrid>
        <w:gridCol w:w="1579"/>
        <w:gridCol w:w="1521"/>
        <w:gridCol w:w="1463"/>
        <w:gridCol w:w="1463"/>
        <w:gridCol w:w="1463"/>
        <w:gridCol w:w="1577"/>
      </w:tblGrid>
      <w:tr w:rsidR="00C76F45" w14:paraId="78D6E51F" w14:textId="77777777" w:rsidTr="00306984">
        <w:trPr>
          <w:trHeight w:val="932"/>
        </w:trPr>
        <w:tc>
          <w:tcPr>
            <w:tcW w:w="1579"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500FDC25" w14:textId="77777777" w:rsidR="00D21C01" w:rsidRPr="003D1C56" w:rsidRDefault="00CD2800" w:rsidP="00FF42BB">
            <w:pPr>
              <w:keepNext/>
              <w:keepLines/>
              <w:spacing w:after="0"/>
              <w:jc w:val="center"/>
              <w:rPr>
                <w:rFonts w:ascii="Calibri" w:hAnsi="Calibri" w:cs="Calibri"/>
                <w:b/>
                <w:bCs/>
                <w:color w:val="000000"/>
                <w:sz w:val="20"/>
                <w:szCs w:val="20"/>
              </w:rPr>
            </w:pPr>
            <w:r w:rsidRPr="003D1C56">
              <w:rPr>
                <w:rFonts w:ascii="Calibri" w:hAnsi="Calibri" w:cs="Calibri"/>
                <w:b/>
                <w:bCs/>
                <w:color w:val="000000"/>
                <w:sz w:val="20"/>
                <w:szCs w:val="20"/>
              </w:rPr>
              <w:t>Kontrolovaný projekt</w:t>
            </w:r>
          </w:p>
        </w:tc>
        <w:tc>
          <w:tcPr>
            <w:tcW w:w="1521" w:type="dxa"/>
            <w:tcBorders>
              <w:top w:val="single" w:sz="4" w:space="0" w:color="auto"/>
              <w:left w:val="nil"/>
              <w:bottom w:val="single" w:sz="4" w:space="0" w:color="auto"/>
              <w:right w:val="single" w:sz="4" w:space="0" w:color="auto"/>
            </w:tcBorders>
            <w:shd w:val="clear" w:color="auto" w:fill="E5F1FF"/>
            <w:vAlign w:val="center"/>
            <w:hideMark/>
          </w:tcPr>
          <w:p w14:paraId="0B7D69A3" w14:textId="77777777" w:rsidR="00D21C01" w:rsidRPr="003D1C56" w:rsidRDefault="000B6A7D" w:rsidP="000B6A7D">
            <w:pPr>
              <w:keepNext/>
              <w:keepLines/>
              <w:spacing w:after="0"/>
              <w:jc w:val="center"/>
              <w:rPr>
                <w:rFonts w:ascii="Calibri" w:hAnsi="Calibri" w:cs="Calibri"/>
                <w:b/>
                <w:bCs/>
                <w:color w:val="000000"/>
                <w:sz w:val="20"/>
                <w:szCs w:val="20"/>
              </w:rPr>
            </w:pPr>
            <w:r>
              <w:rPr>
                <w:rFonts w:ascii="Calibri" w:hAnsi="Calibri" w:cs="Calibri"/>
                <w:b/>
                <w:bCs/>
                <w:color w:val="000000"/>
                <w:sz w:val="20"/>
                <w:szCs w:val="20"/>
              </w:rPr>
              <w:t>Oslovení</w:t>
            </w:r>
            <w:r w:rsidR="00CD2800" w:rsidRPr="003D1C56">
              <w:rPr>
                <w:rFonts w:ascii="Calibri" w:hAnsi="Calibri" w:cs="Calibri"/>
                <w:b/>
                <w:bCs/>
                <w:color w:val="000000"/>
                <w:sz w:val="20"/>
                <w:szCs w:val="20"/>
              </w:rPr>
              <w:t xml:space="preserve"> zástupc</w:t>
            </w:r>
            <w:r>
              <w:rPr>
                <w:rFonts w:ascii="Calibri" w:hAnsi="Calibri" w:cs="Calibri"/>
                <w:b/>
                <w:bCs/>
                <w:color w:val="000000"/>
                <w:sz w:val="20"/>
                <w:szCs w:val="20"/>
              </w:rPr>
              <w:t>i</w:t>
            </w:r>
            <w:r w:rsidR="00CD2800" w:rsidRPr="003D1C56">
              <w:rPr>
                <w:rFonts w:ascii="Calibri" w:hAnsi="Calibri" w:cs="Calibri"/>
                <w:b/>
                <w:bCs/>
                <w:color w:val="000000"/>
                <w:sz w:val="20"/>
                <w:szCs w:val="20"/>
              </w:rPr>
              <w:t xml:space="preserve"> CS </w:t>
            </w:r>
          </w:p>
        </w:tc>
        <w:tc>
          <w:tcPr>
            <w:tcW w:w="1463" w:type="dxa"/>
            <w:tcBorders>
              <w:top w:val="single" w:sz="4" w:space="0" w:color="auto"/>
              <w:left w:val="nil"/>
              <w:bottom w:val="single" w:sz="4" w:space="0" w:color="auto"/>
              <w:right w:val="single" w:sz="4" w:space="0" w:color="auto"/>
            </w:tcBorders>
            <w:shd w:val="clear" w:color="auto" w:fill="E5F1FF"/>
            <w:vAlign w:val="center"/>
            <w:hideMark/>
          </w:tcPr>
          <w:p w14:paraId="654A3ECC" w14:textId="77777777" w:rsidR="00D21C01" w:rsidRPr="003D1C56" w:rsidRDefault="000B6A7D" w:rsidP="000B6A7D">
            <w:pPr>
              <w:keepNext/>
              <w:keepLines/>
              <w:spacing w:after="0"/>
              <w:jc w:val="center"/>
              <w:rPr>
                <w:rFonts w:ascii="Calibri" w:hAnsi="Calibri" w:cs="Calibri"/>
                <w:b/>
                <w:bCs/>
                <w:color w:val="000000"/>
                <w:sz w:val="20"/>
                <w:szCs w:val="20"/>
              </w:rPr>
            </w:pPr>
            <w:r>
              <w:rPr>
                <w:rFonts w:ascii="Calibri" w:hAnsi="Calibri" w:cs="Calibri"/>
                <w:b/>
                <w:bCs/>
                <w:color w:val="000000"/>
                <w:sz w:val="20"/>
                <w:szCs w:val="20"/>
              </w:rPr>
              <w:t>Ú</w:t>
            </w:r>
            <w:r w:rsidR="00CD2800" w:rsidRPr="003D1C56">
              <w:rPr>
                <w:rFonts w:ascii="Calibri" w:hAnsi="Calibri" w:cs="Calibri"/>
                <w:b/>
                <w:bCs/>
                <w:color w:val="000000"/>
                <w:sz w:val="20"/>
                <w:szCs w:val="20"/>
              </w:rPr>
              <w:t>častní</w:t>
            </w:r>
            <w:r>
              <w:rPr>
                <w:rFonts w:ascii="Calibri" w:hAnsi="Calibri" w:cs="Calibri"/>
                <w:b/>
                <w:bCs/>
                <w:color w:val="000000"/>
                <w:sz w:val="20"/>
                <w:szCs w:val="20"/>
              </w:rPr>
              <w:t>ci</w:t>
            </w:r>
            <w:r w:rsidR="00CD2800" w:rsidRPr="003D1C56">
              <w:rPr>
                <w:rFonts w:ascii="Calibri" w:hAnsi="Calibri" w:cs="Calibri"/>
                <w:b/>
                <w:bCs/>
                <w:color w:val="000000"/>
                <w:sz w:val="20"/>
                <w:szCs w:val="20"/>
              </w:rPr>
              <w:t>, kteří v</w:t>
            </w:r>
            <w:r w:rsidR="002E79B7" w:rsidRPr="003D1C56">
              <w:rPr>
                <w:rFonts w:ascii="Calibri" w:hAnsi="Calibri" w:cs="Calibri"/>
                <w:b/>
                <w:bCs/>
                <w:color w:val="000000"/>
                <w:sz w:val="20"/>
                <w:szCs w:val="20"/>
              </w:rPr>
              <w:t>stoupili do projektu</w:t>
            </w:r>
          </w:p>
        </w:tc>
        <w:tc>
          <w:tcPr>
            <w:tcW w:w="1463" w:type="dxa"/>
            <w:tcBorders>
              <w:top w:val="single" w:sz="4" w:space="0" w:color="auto"/>
              <w:left w:val="nil"/>
              <w:bottom w:val="single" w:sz="4" w:space="0" w:color="auto"/>
              <w:right w:val="single" w:sz="4" w:space="0" w:color="auto"/>
            </w:tcBorders>
            <w:shd w:val="clear" w:color="auto" w:fill="E5F1FF"/>
            <w:vAlign w:val="center"/>
            <w:hideMark/>
          </w:tcPr>
          <w:p w14:paraId="6C57F4DE" w14:textId="77777777" w:rsidR="00D21C01" w:rsidRPr="003D1C56" w:rsidRDefault="00CD2800" w:rsidP="00FF42BB">
            <w:pPr>
              <w:keepNext/>
              <w:keepLines/>
              <w:spacing w:after="0"/>
              <w:jc w:val="center"/>
              <w:rPr>
                <w:rFonts w:ascii="Calibri" w:hAnsi="Calibri" w:cs="Calibri"/>
                <w:b/>
                <w:bCs/>
                <w:color w:val="000000"/>
                <w:sz w:val="20"/>
                <w:szCs w:val="20"/>
              </w:rPr>
            </w:pPr>
            <w:r w:rsidRPr="003D1C56">
              <w:rPr>
                <w:rFonts w:ascii="Calibri" w:hAnsi="Calibri" w:cs="Calibri"/>
                <w:b/>
                <w:bCs/>
                <w:color w:val="000000"/>
                <w:sz w:val="20"/>
                <w:szCs w:val="20"/>
              </w:rPr>
              <w:t>Účastníci, kteří vstoupili do projektu po oslovení (v %)</w:t>
            </w:r>
          </w:p>
        </w:tc>
        <w:tc>
          <w:tcPr>
            <w:tcW w:w="1463" w:type="dxa"/>
            <w:tcBorders>
              <w:top w:val="single" w:sz="4" w:space="0" w:color="auto"/>
              <w:left w:val="nil"/>
              <w:bottom w:val="single" w:sz="4" w:space="0" w:color="auto"/>
              <w:right w:val="single" w:sz="4" w:space="0" w:color="auto"/>
            </w:tcBorders>
            <w:shd w:val="clear" w:color="auto" w:fill="E5F1FF"/>
            <w:vAlign w:val="center"/>
            <w:hideMark/>
          </w:tcPr>
          <w:p w14:paraId="0559E3E9" w14:textId="77777777" w:rsidR="00D21C01" w:rsidRPr="003D1C56" w:rsidRDefault="000B6A7D" w:rsidP="000B6A7D">
            <w:pPr>
              <w:keepNext/>
              <w:keepLines/>
              <w:spacing w:after="0"/>
              <w:jc w:val="center"/>
              <w:rPr>
                <w:rFonts w:ascii="Calibri" w:hAnsi="Calibri" w:cs="Calibri"/>
                <w:b/>
                <w:bCs/>
                <w:color w:val="000000"/>
                <w:sz w:val="20"/>
                <w:szCs w:val="20"/>
              </w:rPr>
            </w:pPr>
            <w:r>
              <w:rPr>
                <w:rFonts w:ascii="Calibri" w:hAnsi="Calibri" w:cs="Calibri"/>
                <w:b/>
                <w:bCs/>
                <w:color w:val="000000"/>
                <w:sz w:val="20"/>
                <w:szCs w:val="20"/>
              </w:rPr>
              <w:t>Účastníci</w:t>
            </w:r>
            <w:r w:rsidR="00CD2800" w:rsidRPr="003D1C56">
              <w:rPr>
                <w:rFonts w:ascii="Calibri" w:hAnsi="Calibri" w:cs="Calibri"/>
                <w:b/>
                <w:bCs/>
                <w:color w:val="000000"/>
                <w:sz w:val="20"/>
                <w:szCs w:val="20"/>
              </w:rPr>
              <w:t>, kteří projekt předčasně ukončili</w:t>
            </w:r>
          </w:p>
        </w:tc>
        <w:tc>
          <w:tcPr>
            <w:tcW w:w="1577" w:type="dxa"/>
            <w:tcBorders>
              <w:top w:val="single" w:sz="4" w:space="0" w:color="auto"/>
              <w:left w:val="nil"/>
              <w:bottom w:val="single" w:sz="4" w:space="0" w:color="auto"/>
              <w:right w:val="single" w:sz="4" w:space="0" w:color="auto"/>
            </w:tcBorders>
            <w:shd w:val="clear" w:color="auto" w:fill="E5F1FF"/>
            <w:vAlign w:val="center"/>
            <w:hideMark/>
          </w:tcPr>
          <w:p w14:paraId="64890D7A" w14:textId="77777777" w:rsidR="00D21C01" w:rsidRPr="003D1C56" w:rsidRDefault="00CD2800" w:rsidP="00FF42BB">
            <w:pPr>
              <w:keepNext/>
              <w:keepLines/>
              <w:spacing w:after="0"/>
              <w:jc w:val="center"/>
              <w:rPr>
                <w:rFonts w:ascii="Calibri" w:hAnsi="Calibri" w:cs="Calibri"/>
                <w:b/>
                <w:bCs/>
                <w:color w:val="000000"/>
                <w:sz w:val="20"/>
                <w:szCs w:val="20"/>
              </w:rPr>
            </w:pPr>
            <w:r w:rsidRPr="003D1C56">
              <w:rPr>
                <w:rFonts w:ascii="Calibri" w:hAnsi="Calibri" w:cs="Calibri"/>
                <w:b/>
                <w:bCs/>
                <w:color w:val="000000"/>
                <w:sz w:val="20"/>
                <w:szCs w:val="20"/>
              </w:rPr>
              <w:t>Účastníci, kteří projekt předčasně ukončili (v %)</w:t>
            </w:r>
          </w:p>
        </w:tc>
      </w:tr>
      <w:tr w:rsidR="00C76F45" w14:paraId="04DB4899" w14:textId="77777777" w:rsidTr="00306984">
        <w:trPr>
          <w:trHeight w:val="288"/>
        </w:trPr>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6720D45D" w14:textId="77777777" w:rsidR="00D21C01" w:rsidRPr="003D1C56" w:rsidRDefault="00CD2800" w:rsidP="001B0745">
            <w:pPr>
              <w:keepNext/>
              <w:keepLines/>
              <w:spacing w:after="0"/>
              <w:ind w:left="67"/>
              <w:rPr>
                <w:rFonts w:ascii="Calibri" w:hAnsi="Calibri" w:cs="Calibri"/>
                <w:bCs/>
                <w:color w:val="000000"/>
                <w:sz w:val="20"/>
                <w:szCs w:val="22"/>
              </w:rPr>
            </w:pPr>
            <w:r w:rsidRPr="003D1C56">
              <w:rPr>
                <w:rFonts w:ascii="Calibri" w:hAnsi="Calibri" w:cs="Calibri"/>
                <w:bCs/>
                <w:color w:val="000000"/>
                <w:sz w:val="20"/>
                <w:szCs w:val="22"/>
              </w:rPr>
              <w:t>ZÁRUKY</w:t>
            </w:r>
          </w:p>
        </w:tc>
        <w:tc>
          <w:tcPr>
            <w:tcW w:w="1521" w:type="dxa"/>
            <w:tcBorders>
              <w:top w:val="nil"/>
              <w:left w:val="nil"/>
              <w:bottom w:val="single" w:sz="4" w:space="0" w:color="auto"/>
              <w:right w:val="single" w:sz="4" w:space="0" w:color="auto"/>
            </w:tcBorders>
            <w:shd w:val="clear" w:color="auto" w:fill="auto"/>
            <w:noWrap/>
            <w:vAlign w:val="center"/>
            <w:hideMark/>
          </w:tcPr>
          <w:p w14:paraId="717FE898" w14:textId="77777777" w:rsidR="00D21C01" w:rsidRPr="003D1C56" w:rsidRDefault="00CD2800" w:rsidP="00FF42BB">
            <w:pPr>
              <w:keepNext/>
              <w:keepLines/>
              <w:spacing w:after="0"/>
              <w:jc w:val="center"/>
              <w:rPr>
                <w:rFonts w:ascii="Calibri" w:hAnsi="Calibri" w:cs="Calibri"/>
                <w:color w:val="000000"/>
                <w:sz w:val="20"/>
                <w:szCs w:val="22"/>
              </w:rPr>
            </w:pPr>
            <w:r w:rsidRPr="003D1C56">
              <w:rPr>
                <w:rFonts w:ascii="Calibri" w:hAnsi="Calibri" w:cs="Calibri"/>
                <w:color w:val="000000"/>
                <w:sz w:val="20"/>
                <w:szCs w:val="22"/>
              </w:rPr>
              <w:t>1 338</w:t>
            </w:r>
          </w:p>
        </w:tc>
        <w:tc>
          <w:tcPr>
            <w:tcW w:w="1463" w:type="dxa"/>
            <w:tcBorders>
              <w:top w:val="nil"/>
              <w:left w:val="nil"/>
              <w:bottom w:val="single" w:sz="4" w:space="0" w:color="auto"/>
              <w:right w:val="single" w:sz="4" w:space="0" w:color="auto"/>
            </w:tcBorders>
            <w:shd w:val="clear" w:color="auto" w:fill="auto"/>
            <w:noWrap/>
            <w:vAlign w:val="center"/>
            <w:hideMark/>
          </w:tcPr>
          <w:p w14:paraId="530B163D" w14:textId="77777777" w:rsidR="00D21C01" w:rsidRPr="003D1C56" w:rsidRDefault="00CD2800" w:rsidP="00FF42BB">
            <w:pPr>
              <w:keepNext/>
              <w:keepLines/>
              <w:spacing w:after="0"/>
              <w:jc w:val="center"/>
              <w:rPr>
                <w:rFonts w:ascii="Calibri" w:hAnsi="Calibri" w:cs="Calibri"/>
                <w:b/>
                <w:color w:val="000000"/>
                <w:sz w:val="20"/>
                <w:szCs w:val="22"/>
              </w:rPr>
            </w:pPr>
            <w:r w:rsidRPr="003D1C56">
              <w:rPr>
                <w:rFonts w:ascii="Calibri" w:hAnsi="Calibri" w:cs="Calibri"/>
                <w:b/>
                <w:color w:val="000000"/>
                <w:sz w:val="20"/>
                <w:szCs w:val="22"/>
              </w:rPr>
              <w:t>726</w:t>
            </w:r>
          </w:p>
        </w:tc>
        <w:tc>
          <w:tcPr>
            <w:tcW w:w="1463" w:type="dxa"/>
            <w:tcBorders>
              <w:top w:val="nil"/>
              <w:left w:val="nil"/>
              <w:bottom w:val="single" w:sz="4" w:space="0" w:color="auto"/>
              <w:right w:val="single" w:sz="4" w:space="0" w:color="auto"/>
            </w:tcBorders>
            <w:shd w:val="clear" w:color="auto" w:fill="auto"/>
            <w:noWrap/>
            <w:vAlign w:val="center"/>
            <w:hideMark/>
          </w:tcPr>
          <w:p w14:paraId="6B610849" w14:textId="77777777" w:rsidR="00D21C01" w:rsidRPr="003D1C56" w:rsidRDefault="00CD2800" w:rsidP="00FF42BB">
            <w:pPr>
              <w:keepNext/>
              <w:keepLines/>
              <w:spacing w:after="0"/>
              <w:jc w:val="center"/>
              <w:rPr>
                <w:rFonts w:ascii="Calibri" w:hAnsi="Calibri" w:cs="Calibri"/>
                <w:color w:val="000000"/>
                <w:sz w:val="20"/>
                <w:szCs w:val="22"/>
              </w:rPr>
            </w:pPr>
            <w:r w:rsidRPr="003D1C56">
              <w:rPr>
                <w:rFonts w:ascii="Calibri" w:hAnsi="Calibri" w:cs="Calibri"/>
                <w:color w:val="000000"/>
                <w:sz w:val="20"/>
                <w:szCs w:val="22"/>
              </w:rPr>
              <w:t>54</w:t>
            </w:r>
          </w:p>
        </w:tc>
        <w:tc>
          <w:tcPr>
            <w:tcW w:w="1463" w:type="dxa"/>
            <w:tcBorders>
              <w:top w:val="nil"/>
              <w:left w:val="nil"/>
              <w:bottom w:val="single" w:sz="4" w:space="0" w:color="auto"/>
              <w:right w:val="single" w:sz="4" w:space="0" w:color="auto"/>
            </w:tcBorders>
            <w:shd w:val="clear" w:color="auto" w:fill="auto"/>
            <w:noWrap/>
            <w:vAlign w:val="center"/>
            <w:hideMark/>
          </w:tcPr>
          <w:p w14:paraId="0487C877" w14:textId="77777777" w:rsidR="00D21C01" w:rsidRPr="003D1C56" w:rsidRDefault="00CD2800" w:rsidP="00FF42BB">
            <w:pPr>
              <w:keepNext/>
              <w:keepLines/>
              <w:spacing w:after="0"/>
              <w:jc w:val="center"/>
              <w:rPr>
                <w:rFonts w:ascii="Calibri" w:hAnsi="Calibri" w:cs="Calibri"/>
                <w:b/>
                <w:color w:val="000000"/>
                <w:sz w:val="20"/>
                <w:szCs w:val="22"/>
              </w:rPr>
            </w:pPr>
            <w:r w:rsidRPr="003D1C56">
              <w:rPr>
                <w:rFonts w:ascii="Calibri" w:hAnsi="Calibri" w:cs="Calibri"/>
                <w:b/>
                <w:color w:val="000000"/>
                <w:sz w:val="20"/>
                <w:szCs w:val="22"/>
              </w:rPr>
              <w:t>142</w:t>
            </w:r>
          </w:p>
        </w:tc>
        <w:tc>
          <w:tcPr>
            <w:tcW w:w="1577" w:type="dxa"/>
            <w:tcBorders>
              <w:top w:val="nil"/>
              <w:left w:val="nil"/>
              <w:bottom w:val="single" w:sz="4" w:space="0" w:color="auto"/>
              <w:right w:val="single" w:sz="4" w:space="0" w:color="auto"/>
            </w:tcBorders>
            <w:shd w:val="clear" w:color="auto" w:fill="auto"/>
            <w:noWrap/>
            <w:vAlign w:val="center"/>
            <w:hideMark/>
          </w:tcPr>
          <w:p w14:paraId="68223F17" w14:textId="77777777" w:rsidR="00D21C01" w:rsidRPr="003D1C56" w:rsidRDefault="00CD2800" w:rsidP="00FF42BB">
            <w:pPr>
              <w:keepNext/>
              <w:keepLines/>
              <w:spacing w:after="0"/>
              <w:jc w:val="center"/>
              <w:rPr>
                <w:rFonts w:ascii="Calibri" w:hAnsi="Calibri" w:cs="Calibri"/>
                <w:color w:val="000000"/>
                <w:sz w:val="20"/>
                <w:szCs w:val="22"/>
              </w:rPr>
            </w:pPr>
            <w:r w:rsidRPr="003D1C56">
              <w:rPr>
                <w:rFonts w:ascii="Calibri" w:hAnsi="Calibri" w:cs="Calibri"/>
                <w:color w:val="000000"/>
                <w:sz w:val="20"/>
                <w:szCs w:val="22"/>
              </w:rPr>
              <w:t>20</w:t>
            </w:r>
          </w:p>
        </w:tc>
      </w:tr>
      <w:tr w:rsidR="00C76F45" w14:paraId="643D7770" w14:textId="77777777" w:rsidTr="00306984">
        <w:trPr>
          <w:trHeight w:val="288"/>
        </w:trPr>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6B7CD6FE" w14:textId="77777777" w:rsidR="00D21C01" w:rsidRPr="003D1C56" w:rsidRDefault="00CD2800" w:rsidP="001B0745">
            <w:pPr>
              <w:keepNext/>
              <w:keepLines/>
              <w:spacing w:after="0"/>
              <w:ind w:left="67"/>
              <w:rPr>
                <w:rFonts w:ascii="Calibri" w:hAnsi="Calibri" w:cs="Calibri"/>
                <w:bCs/>
                <w:color w:val="000000"/>
                <w:sz w:val="20"/>
                <w:szCs w:val="22"/>
              </w:rPr>
            </w:pPr>
            <w:r w:rsidRPr="003D1C56">
              <w:rPr>
                <w:rFonts w:ascii="Calibri" w:hAnsi="Calibri" w:cs="Calibri"/>
                <w:bCs/>
                <w:color w:val="000000"/>
                <w:sz w:val="20"/>
                <w:szCs w:val="22"/>
              </w:rPr>
              <w:t>INICIATIVA</w:t>
            </w:r>
          </w:p>
        </w:tc>
        <w:tc>
          <w:tcPr>
            <w:tcW w:w="1521" w:type="dxa"/>
            <w:tcBorders>
              <w:top w:val="nil"/>
              <w:left w:val="nil"/>
              <w:bottom w:val="single" w:sz="4" w:space="0" w:color="auto"/>
              <w:right w:val="single" w:sz="4" w:space="0" w:color="auto"/>
            </w:tcBorders>
            <w:shd w:val="clear" w:color="auto" w:fill="auto"/>
            <w:noWrap/>
            <w:vAlign w:val="center"/>
            <w:hideMark/>
          </w:tcPr>
          <w:p w14:paraId="2F50BE11" w14:textId="77777777" w:rsidR="00D21C01" w:rsidRPr="003D1C56" w:rsidRDefault="00CD2800" w:rsidP="00FF42BB">
            <w:pPr>
              <w:keepNext/>
              <w:keepLines/>
              <w:spacing w:after="0"/>
              <w:jc w:val="center"/>
              <w:rPr>
                <w:rFonts w:ascii="Calibri" w:hAnsi="Calibri" w:cs="Calibri"/>
                <w:color w:val="000000"/>
                <w:sz w:val="20"/>
                <w:szCs w:val="22"/>
              </w:rPr>
            </w:pPr>
            <w:r w:rsidRPr="003D1C56">
              <w:rPr>
                <w:rFonts w:ascii="Calibri" w:hAnsi="Calibri" w:cs="Calibri"/>
                <w:color w:val="000000"/>
                <w:sz w:val="20"/>
                <w:szCs w:val="22"/>
              </w:rPr>
              <w:t>7 399</w:t>
            </w:r>
          </w:p>
        </w:tc>
        <w:tc>
          <w:tcPr>
            <w:tcW w:w="1463" w:type="dxa"/>
            <w:tcBorders>
              <w:top w:val="nil"/>
              <w:left w:val="nil"/>
              <w:bottom w:val="single" w:sz="4" w:space="0" w:color="auto"/>
              <w:right w:val="single" w:sz="4" w:space="0" w:color="auto"/>
            </w:tcBorders>
            <w:shd w:val="clear" w:color="auto" w:fill="auto"/>
            <w:noWrap/>
            <w:vAlign w:val="center"/>
            <w:hideMark/>
          </w:tcPr>
          <w:p w14:paraId="47986C50" w14:textId="77777777" w:rsidR="00D21C01" w:rsidRPr="003D1C56" w:rsidRDefault="00CD2800" w:rsidP="00FF42BB">
            <w:pPr>
              <w:keepNext/>
              <w:keepLines/>
              <w:spacing w:after="0"/>
              <w:jc w:val="center"/>
              <w:rPr>
                <w:rFonts w:ascii="Calibri" w:hAnsi="Calibri" w:cs="Calibri"/>
                <w:b/>
                <w:color w:val="000000"/>
                <w:sz w:val="20"/>
                <w:szCs w:val="22"/>
              </w:rPr>
            </w:pPr>
            <w:r w:rsidRPr="003D1C56">
              <w:rPr>
                <w:rFonts w:ascii="Calibri" w:hAnsi="Calibri" w:cs="Calibri"/>
                <w:b/>
                <w:color w:val="000000"/>
                <w:sz w:val="20"/>
                <w:szCs w:val="22"/>
              </w:rPr>
              <w:t>4 507</w:t>
            </w:r>
          </w:p>
        </w:tc>
        <w:tc>
          <w:tcPr>
            <w:tcW w:w="1463" w:type="dxa"/>
            <w:tcBorders>
              <w:top w:val="nil"/>
              <w:left w:val="nil"/>
              <w:bottom w:val="single" w:sz="4" w:space="0" w:color="auto"/>
              <w:right w:val="single" w:sz="4" w:space="0" w:color="auto"/>
            </w:tcBorders>
            <w:shd w:val="clear" w:color="auto" w:fill="auto"/>
            <w:noWrap/>
            <w:vAlign w:val="center"/>
            <w:hideMark/>
          </w:tcPr>
          <w:p w14:paraId="3D80269C" w14:textId="77777777" w:rsidR="00D21C01" w:rsidRPr="003D1C56" w:rsidRDefault="00CD2800" w:rsidP="00FF42BB">
            <w:pPr>
              <w:keepNext/>
              <w:keepLines/>
              <w:spacing w:after="0"/>
              <w:jc w:val="center"/>
              <w:rPr>
                <w:rFonts w:ascii="Calibri" w:hAnsi="Calibri" w:cs="Calibri"/>
                <w:color w:val="000000"/>
                <w:sz w:val="20"/>
                <w:szCs w:val="22"/>
              </w:rPr>
            </w:pPr>
            <w:r w:rsidRPr="003D1C56">
              <w:rPr>
                <w:rFonts w:ascii="Calibri" w:hAnsi="Calibri" w:cs="Calibri"/>
                <w:color w:val="000000"/>
                <w:sz w:val="20"/>
                <w:szCs w:val="22"/>
              </w:rPr>
              <w:t>61</w:t>
            </w:r>
          </w:p>
        </w:tc>
        <w:tc>
          <w:tcPr>
            <w:tcW w:w="1463" w:type="dxa"/>
            <w:tcBorders>
              <w:top w:val="nil"/>
              <w:left w:val="nil"/>
              <w:bottom w:val="single" w:sz="4" w:space="0" w:color="auto"/>
              <w:right w:val="single" w:sz="4" w:space="0" w:color="auto"/>
            </w:tcBorders>
            <w:shd w:val="clear" w:color="auto" w:fill="auto"/>
            <w:noWrap/>
            <w:vAlign w:val="center"/>
            <w:hideMark/>
          </w:tcPr>
          <w:p w14:paraId="7855F793" w14:textId="77777777" w:rsidR="00D21C01" w:rsidRPr="003D1C56" w:rsidRDefault="00CD2800" w:rsidP="00FF42BB">
            <w:pPr>
              <w:keepNext/>
              <w:keepLines/>
              <w:spacing w:after="0"/>
              <w:jc w:val="center"/>
              <w:rPr>
                <w:rFonts w:ascii="Calibri" w:hAnsi="Calibri" w:cs="Calibri"/>
                <w:b/>
                <w:color w:val="000000"/>
                <w:sz w:val="20"/>
                <w:szCs w:val="22"/>
              </w:rPr>
            </w:pPr>
            <w:r w:rsidRPr="003D1C56">
              <w:rPr>
                <w:rFonts w:ascii="Calibri" w:hAnsi="Calibri" w:cs="Calibri"/>
                <w:b/>
                <w:color w:val="000000"/>
                <w:sz w:val="20"/>
                <w:szCs w:val="22"/>
              </w:rPr>
              <w:t>1 173</w:t>
            </w:r>
          </w:p>
        </w:tc>
        <w:tc>
          <w:tcPr>
            <w:tcW w:w="1577" w:type="dxa"/>
            <w:tcBorders>
              <w:top w:val="nil"/>
              <w:left w:val="nil"/>
              <w:bottom w:val="single" w:sz="4" w:space="0" w:color="auto"/>
              <w:right w:val="single" w:sz="4" w:space="0" w:color="auto"/>
            </w:tcBorders>
            <w:shd w:val="clear" w:color="auto" w:fill="auto"/>
            <w:noWrap/>
            <w:vAlign w:val="center"/>
            <w:hideMark/>
          </w:tcPr>
          <w:p w14:paraId="1507B87E" w14:textId="77777777" w:rsidR="00D21C01" w:rsidRPr="003D1C56" w:rsidRDefault="00CD2800" w:rsidP="00FF42BB">
            <w:pPr>
              <w:keepNext/>
              <w:keepLines/>
              <w:spacing w:after="0"/>
              <w:jc w:val="center"/>
              <w:rPr>
                <w:rFonts w:ascii="Calibri" w:hAnsi="Calibri" w:cs="Calibri"/>
                <w:color w:val="000000"/>
                <w:sz w:val="20"/>
                <w:szCs w:val="22"/>
              </w:rPr>
            </w:pPr>
            <w:r w:rsidRPr="003D1C56">
              <w:rPr>
                <w:rFonts w:ascii="Calibri" w:hAnsi="Calibri" w:cs="Calibri"/>
                <w:color w:val="000000"/>
                <w:sz w:val="20"/>
                <w:szCs w:val="22"/>
              </w:rPr>
              <w:t>26</w:t>
            </w:r>
          </w:p>
        </w:tc>
      </w:tr>
      <w:tr w:rsidR="00C76F45" w14:paraId="480A80F0" w14:textId="77777777" w:rsidTr="00306984">
        <w:trPr>
          <w:trHeight w:val="288"/>
        </w:trPr>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251BF056" w14:textId="77777777" w:rsidR="00D21C01" w:rsidRPr="003D1C56" w:rsidRDefault="00CD2800" w:rsidP="001B0745">
            <w:pPr>
              <w:keepNext/>
              <w:keepLines/>
              <w:spacing w:after="0"/>
              <w:ind w:left="67"/>
              <w:rPr>
                <w:rFonts w:ascii="Calibri" w:hAnsi="Calibri" w:cs="Calibri"/>
                <w:bCs/>
                <w:color w:val="000000"/>
                <w:sz w:val="20"/>
                <w:szCs w:val="22"/>
              </w:rPr>
            </w:pPr>
            <w:r w:rsidRPr="003D1C56">
              <w:rPr>
                <w:rFonts w:ascii="Calibri" w:hAnsi="Calibri" w:cs="Calibri"/>
                <w:bCs/>
                <w:color w:val="000000"/>
                <w:sz w:val="20"/>
                <w:szCs w:val="22"/>
              </w:rPr>
              <w:t>TRANSFER</w:t>
            </w:r>
          </w:p>
        </w:tc>
        <w:tc>
          <w:tcPr>
            <w:tcW w:w="1521" w:type="dxa"/>
            <w:tcBorders>
              <w:top w:val="nil"/>
              <w:left w:val="nil"/>
              <w:bottom w:val="single" w:sz="4" w:space="0" w:color="auto"/>
              <w:right w:val="single" w:sz="4" w:space="0" w:color="auto"/>
            </w:tcBorders>
            <w:shd w:val="clear" w:color="auto" w:fill="auto"/>
            <w:noWrap/>
            <w:vAlign w:val="center"/>
            <w:hideMark/>
          </w:tcPr>
          <w:p w14:paraId="3BDFD541" w14:textId="77777777" w:rsidR="00D21C01" w:rsidRPr="003D1C56" w:rsidRDefault="00CD2800" w:rsidP="00FF42BB">
            <w:pPr>
              <w:keepNext/>
              <w:keepLines/>
              <w:spacing w:after="0"/>
              <w:jc w:val="center"/>
              <w:rPr>
                <w:rFonts w:ascii="Calibri" w:hAnsi="Calibri" w:cs="Calibri"/>
                <w:color w:val="000000"/>
                <w:sz w:val="20"/>
                <w:szCs w:val="22"/>
              </w:rPr>
            </w:pPr>
            <w:r w:rsidRPr="003D1C56">
              <w:rPr>
                <w:rFonts w:ascii="Calibri" w:hAnsi="Calibri" w:cs="Calibri"/>
                <w:color w:val="000000"/>
                <w:sz w:val="20"/>
                <w:szCs w:val="22"/>
              </w:rPr>
              <w:t>N/A</w:t>
            </w:r>
            <w:r w:rsidR="00431F3B" w:rsidRPr="003D1C56">
              <w:rPr>
                <w:rFonts w:ascii="Calibri" w:hAnsi="Calibri" w:cs="Calibri"/>
                <w:color w:val="000000"/>
                <w:sz w:val="20"/>
                <w:szCs w:val="22"/>
              </w:rPr>
              <w:t>*</w:t>
            </w:r>
          </w:p>
        </w:tc>
        <w:tc>
          <w:tcPr>
            <w:tcW w:w="1463" w:type="dxa"/>
            <w:tcBorders>
              <w:top w:val="nil"/>
              <w:left w:val="nil"/>
              <w:bottom w:val="single" w:sz="4" w:space="0" w:color="auto"/>
              <w:right w:val="single" w:sz="4" w:space="0" w:color="auto"/>
            </w:tcBorders>
            <w:shd w:val="clear" w:color="auto" w:fill="auto"/>
            <w:noWrap/>
            <w:vAlign w:val="center"/>
            <w:hideMark/>
          </w:tcPr>
          <w:p w14:paraId="1504F96E" w14:textId="77777777" w:rsidR="00D21C01" w:rsidRPr="003D1C56" w:rsidRDefault="00CD2800" w:rsidP="00FF42BB">
            <w:pPr>
              <w:keepNext/>
              <w:keepLines/>
              <w:spacing w:after="0"/>
              <w:jc w:val="center"/>
              <w:rPr>
                <w:rFonts w:ascii="Calibri" w:hAnsi="Calibri" w:cs="Calibri"/>
                <w:b/>
                <w:color w:val="000000"/>
                <w:sz w:val="20"/>
                <w:szCs w:val="22"/>
              </w:rPr>
            </w:pPr>
            <w:r w:rsidRPr="003D1C56">
              <w:rPr>
                <w:rFonts w:ascii="Calibri" w:hAnsi="Calibri" w:cs="Calibri"/>
                <w:b/>
                <w:color w:val="000000"/>
                <w:sz w:val="20"/>
                <w:szCs w:val="22"/>
              </w:rPr>
              <w:t>1 122</w:t>
            </w:r>
          </w:p>
        </w:tc>
        <w:tc>
          <w:tcPr>
            <w:tcW w:w="1463" w:type="dxa"/>
            <w:tcBorders>
              <w:top w:val="nil"/>
              <w:left w:val="nil"/>
              <w:bottom w:val="single" w:sz="4" w:space="0" w:color="auto"/>
              <w:right w:val="single" w:sz="4" w:space="0" w:color="auto"/>
            </w:tcBorders>
            <w:shd w:val="clear" w:color="auto" w:fill="auto"/>
            <w:noWrap/>
            <w:vAlign w:val="center"/>
            <w:hideMark/>
          </w:tcPr>
          <w:p w14:paraId="7AE1AA21" w14:textId="77777777" w:rsidR="00D21C01" w:rsidRPr="003D1C56" w:rsidRDefault="00CD2800" w:rsidP="00FF42BB">
            <w:pPr>
              <w:keepNext/>
              <w:keepLines/>
              <w:spacing w:after="0"/>
              <w:jc w:val="center"/>
              <w:rPr>
                <w:rFonts w:ascii="Calibri" w:hAnsi="Calibri" w:cs="Calibri"/>
                <w:color w:val="000000"/>
                <w:sz w:val="20"/>
                <w:szCs w:val="22"/>
              </w:rPr>
            </w:pPr>
            <w:r w:rsidRPr="003D1C56">
              <w:rPr>
                <w:rFonts w:ascii="Calibri" w:hAnsi="Calibri" w:cs="Calibri"/>
                <w:color w:val="000000"/>
                <w:sz w:val="20"/>
                <w:szCs w:val="22"/>
              </w:rPr>
              <w:t>N/A</w:t>
            </w:r>
            <w:r w:rsidR="00431F3B" w:rsidRPr="003D1C56">
              <w:rPr>
                <w:rFonts w:ascii="Calibri" w:hAnsi="Calibri" w:cs="Calibri"/>
                <w:color w:val="000000"/>
                <w:sz w:val="20"/>
                <w:szCs w:val="22"/>
              </w:rPr>
              <w:t>*</w:t>
            </w:r>
          </w:p>
        </w:tc>
        <w:tc>
          <w:tcPr>
            <w:tcW w:w="1463" w:type="dxa"/>
            <w:tcBorders>
              <w:top w:val="nil"/>
              <w:left w:val="nil"/>
              <w:bottom w:val="single" w:sz="4" w:space="0" w:color="auto"/>
              <w:right w:val="single" w:sz="4" w:space="0" w:color="auto"/>
            </w:tcBorders>
            <w:shd w:val="clear" w:color="auto" w:fill="auto"/>
            <w:noWrap/>
            <w:vAlign w:val="center"/>
            <w:hideMark/>
          </w:tcPr>
          <w:p w14:paraId="3E48A488" w14:textId="77777777" w:rsidR="00D21C01" w:rsidRPr="003D1C56" w:rsidRDefault="00CD2800" w:rsidP="00FF42BB">
            <w:pPr>
              <w:keepNext/>
              <w:keepLines/>
              <w:spacing w:after="0"/>
              <w:jc w:val="center"/>
              <w:rPr>
                <w:rFonts w:ascii="Calibri" w:hAnsi="Calibri" w:cs="Calibri"/>
                <w:b/>
                <w:color w:val="000000"/>
                <w:sz w:val="20"/>
                <w:szCs w:val="22"/>
              </w:rPr>
            </w:pPr>
            <w:r w:rsidRPr="003D1C56">
              <w:rPr>
                <w:rFonts w:ascii="Calibri" w:hAnsi="Calibri" w:cs="Calibri"/>
                <w:b/>
                <w:color w:val="000000"/>
                <w:sz w:val="20"/>
                <w:szCs w:val="22"/>
              </w:rPr>
              <w:t>251</w:t>
            </w:r>
          </w:p>
        </w:tc>
        <w:tc>
          <w:tcPr>
            <w:tcW w:w="1577" w:type="dxa"/>
            <w:tcBorders>
              <w:top w:val="nil"/>
              <w:left w:val="nil"/>
              <w:bottom w:val="single" w:sz="4" w:space="0" w:color="auto"/>
              <w:right w:val="single" w:sz="4" w:space="0" w:color="auto"/>
            </w:tcBorders>
            <w:shd w:val="clear" w:color="auto" w:fill="auto"/>
            <w:noWrap/>
            <w:vAlign w:val="center"/>
            <w:hideMark/>
          </w:tcPr>
          <w:p w14:paraId="03DCC8A8" w14:textId="77777777" w:rsidR="00D21C01" w:rsidRPr="003D1C56" w:rsidRDefault="00CD2800" w:rsidP="00FF42BB">
            <w:pPr>
              <w:keepNext/>
              <w:keepLines/>
              <w:spacing w:after="0"/>
              <w:jc w:val="center"/>
              <w:rPr>
                <w:rFonts w:ascii="Calibri" w:hAnsi="Calibri" w:cs="Calibri"/>
                <w:color w:val="000000"/>
                <w:sz w:val="20"/>
                <w:szCs w:val="22"/>
              </w:rPr>
            </w:pPr>
            <w:r w:rsidRPr="003D1C56">
              <w:rPr>
                <w:rFonts w:ascii="Calibri" w:hAnsi="Calibri" w:cs="Calibri"/>
                <w:color w:val="000000"/>
                <w:sz w:val="20"/>
                <w:szCs w:val="22"/>
              </w:rPr>
              <w:t>22</w:t>
            </w:r>
          </w:p>
        </w:tc>
      </w:tr>
    </w:tbl>
    <w:p w14:paraId="560161F6" w14:textId="43F46E31" w:rsidR="00506A85" w:rsidRPr="003D1C56" w:rsidRDefault="00CD2800" w:rsidP="00FF42BB">
      <w:pPr>
        <w:keepNext/>
        <w:keepLines/>
        <w:spacing w:after="0"/>
        <w:jc w:val="both"/>
        <w:rPr>
          <w:sz w:val="20"/>
        </w:rPr>
      </w:pPr>
      <w:r w:rsidRPr="00605CAD">
        <w:rPr>
          <w:b/>
          <w:sz w:val="20"/>
        </w:rPr>
        <w:t>Zdroj:</w:t>
      </w:r>
      <w:r w:rsidR="000F3517" w:rsidRPr="003D1C56">
        <w:rPr>
          <w:sz w:val="20"/>
        </w:rPr>
        <w:t xml:space="preserve"> </w:t>
      </w:r>
      <w:r w:rsidR="0017716B">
        <w:rPr>
          <w:sz w:val="20"/>
        </w:rPr>
        <w:t>z</w:t>
      </w:r>
      <w:r w:rsidR="000F3517" w:rsidRPr="003D1C56">
        <w:rPr>
          <w:sz w:val="20"/>
        </w:rPr>
        <w:t>právy o realizaci projektů, podklady z ÚP.</w:t>
      </w:r>
    </w:p>
    <w:p w14:paraId="0E17EDFE" w14:textId="5A31C81E" w:rsidR="003330D5" w:rsidRPr="003D1C56" w:rsidRDefault="00CD2800" w:rsidP="00FF42BB">
      <w:pPr>
        <w:keepNext/>
        <w:keepLines/>
        <w:jc w:val="both"/>
        <w:rPr>
          <w:sz w:val="20"/>
        </w:rPr>
      </w:pPr>
      <w:r w:rsidRPr="001B0745">
        <w:rPr>
          <w:sz w:val="20"/>
        </w:rPr>
        <w:t>*</w:t>
      </w:r>
      <w:r w:rsidR="0017716B" w:rsidRPr="0017716B">
        <w:rPr>
          <w:sz w:val="20"/>
        </w:rPr>
        <w:t xml:space="preserve"> </w:t>
      </w:r>
      <w:r w:rsidRPr="003D1C56">
        <w:rPr>
          <w:sz w:val="20"/>
        </w:rPr>
        <w:t xml:space="preserve">Údaj nebyl v monitorovacích zprávách </w:t>
      </w:r>
      <w:r w:rsidR="0060125A" w:rsidRPr="003D1C56">
        <w:rPr>
          <w:sz w:val="20"/>
        </w:rPr>
        <w:t xml:space="preserve">projektu TRANSFER </w:t>
      </w:r>
      <w:r w:rsidRPr="003D1C56">
        <w:rPr>
          <w:sz w:val="20"/>
        </w:rPr>
        <w:t>uveden.</w:t>
      </w:r>
    </w:p>
    <w:p w14:paraId="4711D1A9" w14:textId="77777777" w:rsidR="00BB6D38" w:rsidRPr="003D1C56" w:rsidRDefault="00CD2800" w:rsidP="0014746E">
      <w:pPr>
        <w:spacing w:after="0"/>
        <w:jc w:val="both"/>
      </w:pPr>
      <w:r w:rsidRPr="003D1C56">
        <w:t>ÚP zařaz</w:t>
      </w:r>
      <w:r w:rsidR="00090BAF" w:rsidRPr="003D1C56">
        <w:t>uje</w:t>
      </w:r>
      <w:r w:rsidRPr="003D1C56">
        <w:t xml:space="preserve"> do projektů </w:t>
      </w:r>
      <w:r w:rsidR="002C454D" w:rsidRPr="003D1C56">
        <w:t>ZÁRUKY</w:t>
      </w:r>
      <w:r w:rsidRPr="003D1C56">
        <w:t xml:space="preserve"> a </w:t>
      </w:r>
      <w:r w:rsidR="002C454D" w:rsidRPr="003D1C56">
        <w:t>INICIATIVA</w:t>
      </w:r>
      <w:r w:rsidRPr="003D1C56">
        <w:t xml:space="preserve"> prakticky všechny uchazeče o zaměstnání, kteří splní stanovené podmínky:</w:t>
      </w:r>
    </w:p>
    <w:p w14:paraId="11A51691" w14:textId="1F9AC2ED" w:rsidR="0014746E" w:rsidRPr="003D1C56" w:rsidRDefault="00CD2800" w:rsidP="0014746E">
      <w:pPr>
        <w:pStyle w:val="Odstavecseseznamem"/>
        <w:numPr>
          <w:ilvl w:val="0"/>
          <w:numId w:val="14"/>
        </w:numPr>
        <w:spacing w:after="0"/>
        <w:jc w:val="both"/>
      </w:pPr>
      <w:r w:rsidRPr="003D1C56">
        <w:t xml:space="preserve">věk klientů do </w:t>
      </w:r>
      <w:r w:rsidR="001273D0" w:rsidRPr="003D1C56">
        <w:t>29</w:t>
      </w:r>
      <w:r w:rsidRPr="003D1C56">
        <w:t xml:space="preserve"> let </w:t>
      </w:r>
      <w:r w:rsidR="001273D0" w:rsidRPr="003D1C56">
        <w:t>včetně;</w:t>
      </w:r>
      <w:r w:rsidRPr="003D1C56">
        <w:t xml:space="preserve"> </w:t>
      </w:r>
    </w:p>
    <w:p w14:paraId="055F67CF" w14:textId="77777777" w:rsidR="0014746E" w:rsidRPr="003D1C56" w:rsidRDefault="00CD2800" w:rsidP="0014746E">
      <w:pPr>
        <w:pStyle w:val="Odstavecseseznamem"/>
        <w:numPr>
          <w:ilvl w:val="0"/>
          <w:numId w:val="14"/>
        </w:numPr>
        <w:spacing w:after="0"/>
        <w:jc w:val="both"/>
      </w:pPr>
      <w:r w:rsidRPr="003D1C56">
        <w:t>evidence na Úřadu práce v délce minimálně 3 měsíců</w:t>
      </w:r>
      <w:r w:rsidR="001273D0" w:rsidRPr="003D1C56">
        <w:t>;</w:t>
      </w:r>
      <w:r w:rsidRPr="003D1C56">
        <w:t xml:space="preserve"> </w:t>
      </w:r>
    </w:p>
    <w:p w14:paraId="381E2D57" w14:textId="77777777" w:rsidR="0014746E" w:rsidRPr="003D1C56" w:rsidRDefault="00CD2800" w:rsidP="0014746E">
      <w:pPr>
        <w:pStyle w:val="Odstavecseseznamem"/>
        <w:numPr>
          <w:ilvl w:val="0"/>
          <w:numId w:val="14"/>
        </w:numPr>
        <w:spacing w:after="0"/>
        <w:jc w:val="both"/>
      </w:pPr>
      <w:r w:rsidRPr="003D1C56">
        <w:t xml:space="preserve">pracovní zkušenosti v souhrnné délce max. 3 roky. </w:t>
      </w:r>
    </w:p>
    <w:p w14:paraId="78BE44D5" w14:textId="086B4C8C" w:rsidR="0014746E" w:rsidRPr="003D1C56" w:rsidRDefault="00CD2800" w:rsidP="0014746E">
      <w:pPr>
        <w:spacing w:before="120"/>
        <w:jc w:val="both"/>
      </w:pPr>
      <w:r w:rsidRPr="003D1C56">
        <w:t xml:space="preserve">ÚP nevyužíval při zařazení klientů do projektů žádná další hlediska (např. hendikepy klientů). ÚP nestanovil ani konkrétní kritéria pro zařazení účastníků projektů do jednotlivých projektových aktivit. </w:t>
      </w:r>
    </w:p>
    <w:p w14:paraId="3663A49A" w14:textId="0CDE4BC2" w:rsidR="0014746E" w:rsidRPr="003D1C56" w:rsidRDefault="00CD2800" w:rsidP="0014746E">
      <w:pPr>
        <w:jc w:val="both"/>
      </w:pPr>
      <w:r w:rsidRPr="003D1C56">
        <w:t xml:space="preserve">Klíčovými aktivitami podporovanými v projektech ZÁRUKY a INICIATIVA, které realizuje ÚP, jsou zejména </w:t>
      </w:r>
      <w:r w:rsidR="00DB32C7">
        <w:rPr>
          <w:i/>
        </w:rPr>
        <w:t>o</w:t>
      </w:r>
      <w:r w:rsidRPr="003D1C56">
        <w:rPr>
          <w:i/>
        </w:rPr>
        <w:t xml:space="preserve">dborná praxe, </w:t>
      </w:r>
      <w:r w:rsidRPr="003D1C56">
        <w:t xml:space="preserve">popř. </w:t>
      </w:r>
      <w:r w:rsidR="00DB32C7">
        <w:rPr>
          <w:i/>
        </w:rPr>
        <w:t>p</w:t>
      </w:r>
      <w:r w:rsidRPr="003D1C56">
        <w:rPr>
          <w:i/>
        </w:rPr>
        <w:t>ráce na zkoušku</w:t>
      </w:r>
      <w:r w:rsidRPr="003D1C56">
        <w:t xml:space="preserve"> (zařazení klientů na dotovaná společensky účelná pracovní místa), dále </w:t>
      </w:r>
      <w:r w:rsidR="00DB32C7">
        <w:rPr>
          <w:i/>
        </w:rPr>
        <w:t>r</w:t>
      </w:r>
      <w:r w:rsidRPr="003D1C56">
        <w:rPr>
          <w:i/>
        </w:rPr>
        <w:t xml:space="preserve">ekvalifikace </w:t>
      </w:r>
      <w:r w:rsidRPr="003D1C56">
        <w:t xml:space="preserve">a </w:t>
      </w:r>
      <w:r w:rsidR="00DB32C7">
        <w:rPr>
          <w:i/>
        </w:rPr>
        <w:t>i</w:t>
      </w:r>
      <w:r w:rsidRPr="003D1C56">
        <w:rPr>
          <w:i/>
        </w:rPr>
        <w:t>ndividuální poradenství</w:t>
      </w:r>
      <w:r w:rsidRPr="003D1C56">
        <w:t xml:space="preserve">. </w:t>
      </w:r>
      <w:r w:rsidRPr="003D1C56">
        <w:rPr>
          <w:b/>
        </w:rPr>
        <w:t>Tyto aktivity představují standardní nástroje aktivní politiky zaměstnanosti</w:t>
      </w:r>
      <w:r w:rsidR="00CC436B">
        <w:rPr>
          <w:b/>
        </w:rPr>
        <w:t xml:space="preserve"> </w:t>
      </w:r>
      <w:r w:rsidR="00CC436B" w:rsidRPr="003D1C56">
        <w:rPr>
          <w:b/>
        </w:rPr>
        <w:t>(dále také „APZ“)</w:t>
      </w:r>
      <w:r w:rsidRPr="003D1C56">
        <w:rPr>
          <w:b/>
        </w:rPr>
        <w:t>, kterou ÚP zajišťuje dle zákona</w:t>
      </w:r>
      <w:bookmarkStart w:id="15" w:name="_Ref12445970"/>
      <w:r>
        <w:rPr>
          <w:rStyle w:val="Znakapoznpodarou"/>
        </w:rPr>
        <w:footnoteReference w:id="44"/>
      </w:r>
      <w:bookmarkEnd w:id="15"/>
      <w:r w:rsidRPr="003D1C56">
        <w:t xml:space="preserve">. V rámci kontrolovaných projektů </w:t>
      </w:r>
      <w:r w:rsidR="00F62599" w:rsidRPr="003D1C56">
        <w:t>poskytoval ÚP</w:t>
      </w:r>
      <w:r w:rsidRPr="003D1C56">
        <w:t xml:space="preserve"> </w:t>
      </w:r>
      <w:r w:rsidR="00BF4721" w:rsidRPr="003D1C56">
        <w:t>rovněž</w:t>
      </w:r>
      <w:r w:rsidRPr="003D1C56">
        <w:t xml:space="preserve"> vzdělávací aktivity</w:t>
      </w:r>
      <w:r>
        <w:rPr>
          <w:rStyle w:val="Znakapoznpodarou"/>
        </w:rPr>
        <w:footnoteReference w:id="45"/>
      </w:r>
      <w:r w:rsidRPr="003D1C56">
        <w:t xml:space="preserve">. </w:t>
      </w:r>
    </w:p>
    <w:p w14:paraId="27AE804A" w14:textId="77777777" w:rsidR="00F62FC3" w:rsidRPr="00F62FC3" w:rsidRDefault="00CD2800" w:rsidP="00F62FC3">
      <w:pPr>
        <w:spacing w:before="120"/>
        <w:jc w:val="both"/>
        <w:rPr>
          <w:b/>
        </w:rPr>
      </w:pPr>
      <w:r w:rsidRPr="003D1C56">
        <w:rPr>
          <w:b/>
        </w:rPr>
        <w:t>ÚP deklaruje v projektech podporujících cílovou skupinu mladých</w:t>
      </w:r>
      <w:r w:rsidR="00480723">
        <w:rPr>
          <w:b/>
        </w:rPr>
        <w:t xml:space="preserve"> lidí</w:t>
      </w:r>
      <w:r w:rsidRPr="003D1C56">
        <w:rPr>
          <w:b/>
        </w:rPr>
        <w:t xml:space="preserve"> </w:t>
      </w:r>
      <w:r w:rsidR="000E5BBA">
        <w:rPr>
          <w:b/>
        </w:rPr>
        <w:t>ve věku 15–</w:t>
      </w:r>
      <w:r w:rsidR="00EE0A89" w:rsidRPr="003D1C56">
        <w:rPr>
          <w:b/>
        </w:rPr>
        <w:t>29</w:t>
      </w:r>
      <w:r w:rsidRPr="003D1C56">
        <w:rPr>
          <w:b/>
        </w:rPr>
        <w:t xml:space="preserve"> let intenzivní individuální práci s účastníkem projektu.</w:t>
      </w:r>
      <w:r w:rsidR="00F62FC3" w:rsidRPr="00F62FC3">
        <w:t xml:space="preserve"> </w:t>
      </w:r>
      <w:r w:rsidR="00F62FC3">
        <w:rPr>
          <w:b/>
        </w:rPr>
        <w:t>NKÚ intenzivní individuální práci</w:t>
      </w:r>
      <w:r w:rsidR="00F62FC3" w:rsidRPr="00F62FC3">
        <w:rPr>
          <w:b/>
        </w:rPr>
        <w:t xml:space="preserve"> ze záznamů </w:t>
      </w:r>
      <w:r w:rsidR="00F62FC3">
        <w:rPr>
          <w:b/>
        </w:rPr>
        <w:t>nezjistil</w:t>
      </w:r>
      <w:r w:rsidR="00F62FC3" w:rsidRPr="00F62FC3">
        <w:rPr>
          <w:b/>
        </w:rPr>
        <w:t>.</w:t>
      </w:r>
    </w:p>
    <w:p w14:paraId="6C7C5047" w14:textId="6AC38FDA" w:rsidR="00385E84" w:rsidRPr="003D1C56" w:rsidRDefault="00385E84" w:rsidP="00385E84">
      <w:pPr>
        <w:spacing w:before="120"/>
        <w:jc w:val="both"/>
      </w:pPr>
      <w:r w:rsidRPr="003D1C56">
        <w:rPr>
          <w:b/>
        </w:rPr>
        <w:t xml:space="preserve">Rozsah poskytované individuální péče o klienty v rámci projektů ZÁRUKY a INICIATIVA </w:t>
      </w:r>
      <w:r w:rsidR="00F62FC3">
        <w:rPr>
          <w:b/>
        </w:rPr>
        <w:t xml:space="preserve">dle analýzy NKÚ </w:t>
      </w:r>
      <w:r w:rsidRPr="003D1C56">
        <w:rPr>
          <w:b/>
        </w:rPr>
        <w:t xml:space="preserve">nepřesahuje standardní rámec služeb poskytovaných Úřadem práce v rámci </w:t>
      </w:r>
      <w:r>
        <w:rPr>
          <w:b/>
        </w:rPr>
        <w:t>APZ</w:t>
      </w:r>
      <w:r w:rsidRPr="001B0745">
        <w:rPr>
          <w:b/>
        </w:rPr>
        <w:t xml:space="preserve">. </w:t>
      </w:r>
    </w:p>
    <w:p w14:paraId="782092E0" w14:textId="66F8DCF0" w:rsidR="001B1B7C" w:rsidRPr="003D1C56" w:rsidRDefault="00CD2800" w:rsidP="000F3517">
      <w:pPr>
        <w:pBdr>
          <w:top w:val="single" w:sz="4" w:space="1" w:color="auto"/>
          <w:left w:val="single" w:sz="4" w:space="4" w:color="auto"/>
          <w:bottom w:val="single" w:sz="4" w:space="1" w:color="auto"/>
          <w:right w:val="single" w:sz="4" w:space="4" w:color="auto"/>
        </w:pBdr>
        <w:spacing w:after="0"/>
        <w:jc w:val="both"/>
        <w:rPr>
          <w:b/>
          <w:color w:val="004595"/>
        </w:rPr>
      </w:pPr>
      <w:r w:rsidRPr="003D1C56">
        <w:rPr>
          <w:b/>
          <w:color w:val="004595"/>
        </w:rPr>
        <w:t>Příklad</w:t>
      </w:r>
      <w:r w:rsidR="00D64912">
        <w:rPr>
          <w:b/>
          <w:color w:val="004595"/>
        </w:rPr>
        <w:t xml:space="preserve"> č. 5</w:t>
      </w:r>
      <w:r w:rsidR="00B3041C">
        <w:rPr>
          <w:b/>
          <w:color w:val="004595"/>
        </w:rPr>
        <w:t>:</w:t>
      </w:r>
      <w:r w:rsidRPr="003D1C56">
        <w:rPr>
          <w:b/>
          <w:color w:val="004595"/>
        </w:rPr>
        <w:t xml:space="preserve"> </w:t>
      </w:r>
      <w:r w:rsidR="00B3041C">
        <w:rPr>
          <w:b/>
          <w:color w:val="004595"/>
        </w:rPr>
        <w:t>č</w:t>
      </w:r>
      <w:r w:rsidRPr="003D1C56">
        <w:rPr>
          <w:b/>
          <w:color w:val="004595"/>
        </w:rPr>
        <w:t>asov</w:t>
      </w:r>
      <w:r w:rsidR="00B3041C">
        <w:rPr>
          <w:b/>
          <w:color w:val="004595"/>
        </w:rPr>
        <w:t>á</w:t>
      </w:r>
      <w:r w:rsidRPr="003D1C56">
        <w:rPr>
          <w:b/>
          <w:color w:val="004595"/>
        </w:rPr>
        <w:t xml:space="preserve"> dotace individuálního poradenství projektu ZÁRUKY</w:t>
      </w:r>
    </w:p>
    <w:p w14:paraId="14AF888C" w14:textId="6A59F4EF" w:rsidR="001B1B7C" w:rsidRPr="003D1C56" w:rsidRDefault="00CD2800" w:rsidP="00306984">
      <w:pPr>
        <w:pBdr>
          <w:top w:val="single" w:sz="4" w:space="1" w:color="auto"/>
          <w:left w:val="single" w:sz="4" w:space="4" w:color="auto"/>
          <w:bottom w:val="single" w:sz="4" w:space="1" w:color="auto"/>
          <w:right w:val="single" w:sz="4" w:space="4" w:color="auto"/>
        </w:pBdr>
        <w:spacing w:before="120" w:after="0"/>
        <w:jc w:val="both"/>
      </w:pPr>
      <w:r w:rsidRPr="003D1C56">
        <w:t>ÚP předpokládal u projektu</w:t>
      </w:r>
      <w:r w:rsidR="005E0865" w:rsidRPr="003D1C56">
        <w:t xml:space="preserve"> </w:t>
      </w:r>
      <w:r w:rsidR="00460360" w:rsidRPr="003D1C56">
        <w:t xml:space="preserve">ZÁRUKY </w:t>
      </w:r>
      <w:r w:rsidR="005E0865" w:rsidRPr="003D1C56">
        <w:t>realizaci individuálního po</w:t>
      </w:r>
      <w:r w:rsidR="0046339E">
        <w:t>radenství v délce 3 hodin na 1 </w:t>
      </w:r>
      <w:r w:rsidR="005E0865" w:rsidRPr="003D1C56">
        <w:t>účastníka, ve skutečnosti je však průměrná délka individuálního poradenství na 1 účastníka v tomto projektu kratší než 1,25 hodiny.</w:t>
      </w:r>
    </w:p>
    <w:p w14:paraId="2D162F5D" w14:textId="77777777" w:rsidR="00B1187D" w:rsidRPr="003D1C56" w:rsidRDefault="00CD2800" w:rsidP="00B02A88">
      <w:pPr>
        <w:pStyle w:val="Nadpis3"/>
      </w:pPr>
      <w:r w:rsidRPr="003D1C56">
        <w:t>Vybrané klíčové aktivity</w:t>
      </w:r>
    </w:p>
    <w:p w14:paraId="4723C7B8" w14:textId="7341C5AC" w:rsidR="00BE3B5E" w:rsidRPr="003D1C56" w:rsidRDefault="00CD2800" w:rsidP="004E16E3">
      <w:pPr>
        <w:jc w:val="both"/>
      </w:pPr>
      <w:r w:rsidRPr="003D1C56">
        <w:t>Všechny klíčové aktivity kontrolovaných projekt</w:t>
      </w:r>
      <w:r w:rsidR="00B3041C">
        <w:t>ů</w:t>
      </w:r>
      <w:r w:rsidRPr="003D1C56">
        <w:t xml:space="preserve"> </w:t>
      </w:r>
      <w:r w:rsidRPr="003D1C56">
        <w:rPr>
          <w:b/>
        </w:rPr>
        <w:t xml:space="preserve">přispívají </w:t>
      </w:r>
      <w:r w:rsidR="00B3041C">
        <w:rPr>
          <w:b/>
        </w:rPr>
        <w:t xml:space="preserve">u mladých lidí </w:t>
      </w:r>
      <w:r w:rsidRPr="003D1C56">
        <w:rPr>
          <w:b/>
        </w:rPr>
        <w:t>k možnosti uspět na trhu práce,</w:t>
      </w:r>
      <w:r w:rsidRPr="003D1C56">
        <w:t xml:space="preserve"> </w:t>
      </w:r>
      <w:r w:rsidRPr="003D1C56">
        <w:rPr>
          <w:b/>
        </w:rPr>
        <w:t>zejména tím, že eliminují ned</w:t>
      </w:r>
      <w:r w:rsidR="00893C37">
        <w:rPr>
          <w:b/>
        </w:rPr>
        <w:t>ostatek pracovních zkušeností a</w:t>
      </w:r>
      <w:r w:rsidR="00B3041C">
        <w:rPr>
          <w:b/>
        </w:rPr>
        <w:t xml:space="preserve"> </w:t>
      </w:r>
      <w:r w:rsidRPr="003D1C56">
        <w:rPr>
          <w:b/>
        </w:rPr>
        <w:t>pracovních návyků</w:t>
      </w:r>
      <w:r w:rsidRPr="001B0745">
        <w:rPr>
          <w:b/>
        </w:rPr>
        <w:t>.</w:t>
      </w:r>
      <w:r w:rsidRPr="003D1C56">
        <w:t xml:space="preserve"> </w:t>
      </w:r>
    </w:p>
    <w:p w14:paraId="42B1BBE1" w14:textId="77777777" w:rsidR="0014746E" w:rsidRPr="003D1C56" w:rsidRDefault="00226B51" w:rsidP="00FF42BB">
      <w:pPr>
        <w:keepNext/>
        <w:spacing w:after="0"/>
        <w:jc w:val="both"/>
        <w:rPr>
          <w:u w:val="single"/>
        </w:rPr>
      </w:pPr>
      <w:r w:rsidRPr="00226B51">
        <w:rPr>
          <w:u w:val="single"/>
        </w:rPr>
        <w:t>Přínos odborné praxe pro některé z klientů ÚP není zřejmý</w:t>
      </w:r>
    </w:p>
    <w:p w14:paraId="37817F01" w14:textId="5A68C58D" w:rsidR="00A54E64" w:rsidRPr="003D1C56" w:rsidRDefault="00CD2800" w:rsidP="0014746E">
      <w:pPr>
        <w:jc w:val="both"/>
        <w:rPr>
          <w:b/>
        </w:rPr>
      </w:pPr>
      <w:r w:rsidRPr="003D1C56">
        <w:t xml:space="preserve">Pracovní místa, která zřizují nebo vyhrazují zaměstnavatelé na základě dohody s ÚP, </w:t>
      </w:r>
      <w:r w:rsidRPr="003D1C56">
        <w:rPr>
          <w:b/>
        </w:rPr>
        <w:t>by měla být obsazována uchazeči o zaměstnání, kterým nelze</w:t>
      </w:r>
      <w:r w:rsidR="00321C92" w:rsidRPr="003D1C56">
        <w:rPr>
          <w:b/>
        </w:rPr>
        <w:t xml:space="preserve"> zajistit pracovní uplatnění jiným způsobem</w:t>
      </w:r>
      <w:r w:rsidR="008D1327" w:rsidRPr="00B3041C">
        <w:rPr>
          <w:rStyle w:val="Znakapoznpodarou"/>
        </w:rPr>
        <w:fldChar w:fldCharType="begin"/>
      </w:r>
      <w:r w:rsidR="008D1327" w:rsidRPr="00B3041C">
        <w:rPr>
          <w:rStyle w:val="Znakapoznpodarou"/>
        </w:rPr>
        <w:instrText xml:space="preserve"> NOTEREF _Ref12445970 \h  \* MERGEFORMAT </w:instrText>
      </w:r>
      <w:r w:rsidR="008D1327" w:rsidRPr="00B3041C">
        <w:rPr>
          <w:rStyle w:val="Znakapoznpodarou"/>
        </w:rPr>
      </w:r>
      <w:r w:rsidR="008D1327" w:rsidRPr="00B3041C">
        <w:rPr>
          <w:rStyle w:val="Znakapoznpodarou"/>
        </w:rPr>
        <w:fldChar w:fldCharType="separate"/>
      </w:r>
      <w:r w:rsidR="00996C4C">
        <w:rPr>
          <w:rStyle w:val="Znakapoznpodarou"/>
        </w:rPr>
        <w:t>43</w:t>
      </w:r>
      <w:r w:rsidR="008D1327" w:rsidRPr="00B3041C">
        <w:rPr>
          <w:rStyle w:val="Znakapoznpodarou"/>
        </w:rPr>
        <w:fldChar w:fldCharType="end"/>
      </w:r>
      <w:r w:rsidR="00321C92" w:rsidRPr="001B0745">
        <w:t>.</w:t>
      </w:r>
    </w:p>
    <w:p w14:paraId="7DF22226" w14:textId="77777777" w:rsidR="00A54E64" w:rsidRPr="003D1C56" w:rsidRDefault="00CD2800" w:rsidP="0014746E">
      <w:pPr>
        <w:jc w:val="both"/>
        <w:rPr>
          <w:b/>
        </w:rPr>
      </w:pPr>
      <w:r w:rsidRPr="003D1C56">
        <w:t xml:space="preserve">Vzhledem ke strohosti některých záznamů ÚP z individuálního poradenství s klienty není zřejmé, jakým způsobem se o jednotlivých uchazečích o zaměstnání rozhodovalo. </w:t>
      </w:r>
      <w:r w:rsidR="0040623A">
        <w:rPr>
          <w:b/>
        </w:rPr>
        <w:t>Někteří klienti neměli být do</w:t>
      </w:r>
      <w:r w:rsidRPr="003D1C56">
        <w:rPr>
          <w:b/>
        </w:rPr>
        <w:t xml:space="preserve"> projektu</w:t>
      </w:r>
      <w:r w:rsidR="0040623A">
        <w:rPr>
          <w:b/>
        </w:rPr>
        <w:t xml:space="preserve"> zařazeni</w:t>
      </w:r>
      <w:r w:rsidRPr="003D1C56">
        <w:rPr>
          <w:b/>
        </w:rPr>
        <w:t xml:space="preserve"> a </w:t>
      </w:r>
      <w:r w:rsidR="0040623A">
        <w:rPr>
          <w:b/>
        </w:rPr>
        <w:t xml:space="preserve">u některých dalších </w:t>
      </w:r>
      <w:r w:rsidR="00F62599" w:rsidRPr="003D1C56">
        <w:rPr>
          <w:b/>
        </w:rPr>
        <w:t xml:space="preserve">existují rovněž pochybnosti </w:t>
      </w:r>
      <w:r w:rsidR="0046339E">
        <w:rPr>
          <w:b/>
        </w:rPr>
        <w:t>o </w:t>
      </w:r>
      <w:r w:rsidRPr="003D1C56">
        <w:rPr>
          <w:b/>
        </w:rPr>
        <w:t xml:space="preserve">přínosech aktivit, kterých se zúčastnili, k jejich kariérnímu růstu. </w:t>
      </w:r>
    </w:p>
    <w:p w14:paraId="4D15155F" w14:textId="77777777" w:rsidR="001E42CE" w:rsidRDefault="00CD2800" w:rsidP="0014746E">
      <w:pPr>
        <w:jc w:val="both"/>
        <w:rPr>
          <w:b/>
        </w:rPr>
      </w:pPr>
      <w:r w:rsidRPr="003D1C56">
        <w:t xml:space="preserve">ÚP </w:t>
      </w:r>
      <w:r w:rsidR="00DA7897" w:rsidRPr="003D1C56">
        <w:t>stanovil pro odbornou praxi požadavky</w:t>
      </w:r>
      <w:r w:rsidRPr="003D1C56">
        <w:t xml:space="preserve"> na alespoň minimál</w:t>
      </w:r>
      <w:r w:rsidR="00893C37">
        <w:t>ní potenciál kariérního růstu u </w:t>
      </w:r>
      <w:r w:rsidRPr="003D1C56">
        <w:t>daného zaměstnavatele.</w:t>
      </w:r>
      <w:r w:rsidR="00DA7897" w:rsidRPr="003D1C56">
        <w:t xml:space="preserve"> </w:t>
      </w:r>
      <w:r w:rsidR="00BB1204">
        <w:t>Z a</w:t>
      </w:r>
      <w:r w:rsidR="00DA7897" w:rsidRPr="003D1C56">
        <w:t>nalýz</w:t>
      </w:r>
      <w:r w:rsidR="00BB1204">
        <w:t>y</w:t>
      </w:r>
      <w:r w:rsidR="00DA7897" w:rsidRPr="003D1C56">
        <w:t xml:space="preserve"> složek vybraných klientů</w:t>
      </w:r>
      <w:r w:rsidR="00BB1204">
        <w:t xml:space="preserve"> provedené NKÚ</w:t>
      </w:r>
      <w:r w:rsidR="00DA7897" w:rsidRPr="003D1C56">
        <w:t xml:space="preserve"> </w:t>
      </w:r>
      <w:r w:rsidR="00BB1204">
        <w:t>vyplynulo</w:t>
      </w:r>
      <w:r w:rsidR="00DA7897" w:rsidRPr="003D1C56">
        <w:t xml:space="preserve">, že </w:t>
      </w:r>
      <w:r w:rsidR="00DA7897" w:rsidRPr="003D1C56">
        <w:rPr>
          <w:b/>
        </w:rPr>
        <w:t>p</w:t>
      </w:r>
      <w:r w:rsidRPr="003D1C56">
        <w:rPr>
          <w:b/>
        </w:rPr>
        <w:t>řínos odborné praxe pro</w:t>
      </w:r>
      <w:r w:rsidR="00DA7897" w:rsidRPr="003D1C56">
        <w:rPr>
          <w:b/>
        </w:rPr>
        <w:t xml:space="preserve"> některé z klientů </w:t>
      </w:r>
      <w:r w:rsidRPr="003D1C56">
        <w:rPr>
          <w:b/>
        </w:rPr>
        <w:t xml:space="preserve">ÚP není </w:t>
      </w:r>
      <w:r w:rsidR="000E1494" w:rsidRPr="003D1C56">
        <w:rPr>
          <w:b/>
        </w:rPr>
        <w:t>viditelný</w:t>
      </w:r>
      <w:r w:rsidRPr="003D1C56">
        <w:rPr>
          <w:b/>
        </w:rPr>
        <w:t>.</w:t>
      </w:r>
    </w:p>
    <w:p w14:paraId="3CE1CA3C" w14:textId="77777777" w:rsidR="001E42CE" w:rsidRDefault="001E42CE">
      <w:pPr>
        <w:spacing w:after="0"/>
        <w:rPr>
          <w:b/>
        </w:rPr>
      </w:pPr>
      <w:r>
        <w:rPr>
          <w:b/>
        </w:rPr>
        <w:br w:type="page"/>
      </w:r>
    </w:p>
    <w:p w14:paraId="62E130FC" w14:textId="4B8F63EA" w:rsidR="0014746E" w:rsidRPr="003D1C56" w:rsidRDefault="00CD2800" w:rsidP="00FE2B4E">
      <w:pPr>
        <w:pBdr>
          <w:top w:val="single" w:sz="4" w:space="1" w:color="auto"/>
          <w:left w:val="single" w:sz="4" w:space="1" w:color="auto"/>
          <w:bottom w:val="single" w:sz="4" w:space="1" w:color="auto"/>
          <w:right w:val="single" w:sz="4" w:space="1" w:color="auto"/>
        </w:pBdr>
        <w:spacing w:after="0"/>
        <w:jc w:val="both"/>
        <w:rPr>
          <w:b/>
          <w:color w:val="004595"/>
        </w:rPr>
      </w:pPr>
      <w:r w:rsidRPr="003D1C56">
        <w:rPr>
          <w:b/>
          <w:color w:val="004595"/>
        </w:rPr>
        <w:t>Příklad</w:t>
      </w:r>
      <w:r w:rsidR="00D64912">
        <w:rPr>
          <w:b/>
          <w:color w:val="004595"/>
        </w:rPr>
        <w:t xml:space="preserve"> č. 6</w:t>
      </w:r>
      <w:r w:rsidR="005645D5">
        <w:rPr>
          <w:b/>
          <w:color w:val="004595"/>
        </w:rPr>
        <w:t>:</w:t>
      </w:r>
      <w:r w:rsidR="00D64912">
        <w:rPr>
          <w:b/>
          <w:color w:val="004595"/>
        </w:rPr>
        <w:t xml:space="preserve"> </w:t>
      </w:r>
      <w:r w:rsidR="005645D5">
        <w:rPr>
          <w:b/>
          <w:color w:val="004595"/>
        </w:rPr>
        <w:t>n</w:t>
      </w:r>
      <w:r w:rsidRPr="003D1C56">
        <w:rPr>
          <w:b/>
          <w:color w:val="004595"/>
        </w:rPr>
        <w:t>evhodné zařazení klienta na SÚPM v projektu INICIATIVA</w:t>
      </w:r>
    </w:p>
    <w:p w14:paraId="74211374" w14:textId="77777777" w:rsidR="0014746E" w:rsidRPr="003D1C56" w:rsidRDefault="00CD2800" w:rsidP="00306984">
      <w:pPr>
        <w:pBdr>
          <w:top w:val="single" w:sz="4" w:space="1" w:color="auto"/>
          <w:left w:val="single" w:sz="4" w:space="1" w:color="auto"/>
          <w:bottom w:val="single" w:sz="4" w:space="1" w:color="auto"/>
          <w:right w:val="single" w:sz="4" w:space="1" w:color="auto"/>
        </w:pBdr>
        <w:spacing w:before="120" w:after="0"/>
        <w:jc w:val="both"/>
      </w:pPr>
      <w:r w:rsidRPr="003D1C56">
        <w:t xml:space="preserve">Klient ÚP ukončil vysokoškolské studium na právnické fakultě v oboru mezinárodní právo. Již v průběhu studia nabýval profesní zkušenosti v oblasti lidských práv a azylové politiky na různých stážích. </w:t>
      </w:r>
    </w:p>
    <w:p w14:paraId="33F4362A" w14:textId="77777777" w:rsidR="0014746E" w:rsidRPr="003D1C56" w:rsidRDefault="00CD2800" w:rsidP="00306984">
      <w:pPr>
        <w:pBdr>
          <w:top w:val="single" w:sz="4" w:space="1" w:color="auto"/>
          <w:left w:val="single" w:sz="4" w:space="1" w:color="auto"/>
          <w:bottom w:val="single" w:sz="4" w:space="1" w:color="auto"/>
          <w:right w:val="single" w:sz="4" w:space="1" w:color="auto"/>
        </w:pBdr>
        <w:spacing w:before="120" w:after="0"/>
        <w:jc w:val="both"/>
      </w:pPr>
      <w:r w:rsidRPr="003D1C56">
        <w:t xml:space="preserve">ÚP zařadil klienta </w:t>
      </w:r>
      <w:r w:rsidR="000F3517" w:rsidRPr="003D1C56">
        <w:t xml:space="preserve">na dotované místo </w:t>
      </w:r>
      <w:r w:rsidRPr="003D1C56">
        <w:t xml:space="preserve">na odbornou praxi </w:t>
      </w:r>
      <w:r w:rsidR="000E1494" w:rsidRPr="003D1C56">
        <w:t>včetně asistence mentora</w:t>
      </w:r>
      <w:r w:rsidR="0078784E" w:rsidRPr="003D1C56">
        <w:t xml:space="preserve"> </w:t>
      </w:r>
      <w:r w:rsidRPr="003D1C56">
        <w:t xml:space="preserve">v soukromé stomatologické ordinaci. </w:t>
      </w:r>
    </w:p>
    <w:p w14:paraId="3ACEA7D3" w14:textId="4B4BD226" w:rsidR="0014746E" w:rsidRPr="003D1C56" w:rsidRDefault="00CD2800" w:rsidP="00306984">
      <w:pPr>
        <w:pBdr>
          <w:top w:val="single" w:sz="4" w:space="1" w:color="auto"/>
          <w:left w:val="single" w:sz="4" w:space="1" w:color="auto"/>
          <w:bottom w:val="single" w:sz="4" w:space="1" w:color="auto"/>
          <w:right w:val="single" w:sz="4" w:space="1" w:color="auto"/>
        </w:pBdr>
        <w:spacing w:before="120" w:after="0"/>
        <w:jc w:val="both"/>
      </w:pPr>
      <w:r w:rsidRPr="003D1C56">
        <w:t xml:space="preserve">Sám klient v závěru hodnotil praxi jako </w:t>
      </w:r>
      <w:r w:rsidR="0078784E" w:rsidRPr="003D1C56">
        <w:t xml:space="preserve">jednotvárnou a nedostatečnou pro </w:t>
      </w:r>
      <w:r w:rsidR="00431F3B" w:rsidRPr="003D1C56">
        <w:t xml:space="preserve">svůj </w:t>
      </w:r>
      <w:r w:rsidR="0078784E" w:rsidRPr="003D1C56">
        <w:t xml:space="preserve">další profesní růst. </w:t>
      </w:r>
    </w:p>
    <w:p w14:paraId="250916D5" w14:textId="158A9D06" w:rsidR="00460360" w:rsidRPr="003D1C56" w:rsidRDefault="00CD2800" w:rsidP="00306984">
      <w:pPr>
        <w:pBdr>
          <w:top w:val="single" w:sz="4" w:space="1" w:color="auto"/>
          <w:left w:val="single" w:sz="4" w:space="1" w:color="auto"/>
          <w:bottom w:val="single" w:sz="4" w:space="1" w:color="auto"/>
          <w:right w:val="single" w:sz="4" w:space="1" w:color="auto"/>
        </w:pBdr>
        <w:spacing w:before="120" w:after="0"/>
        <w:jc w:val="both"/>
      </w:pPr>
      <w:r w:rsidRPr="003D1C56">
        <w:t>Již v průběhu odborné praxe dostával klient „konkurenční nabídky“ nedotovaného zaměstnání</w:t>
      </w:r>
      <w:r w:rsidR="00431F3B" w:rsidRPr="003D1C56">
        <w:t>; z</w:t>
      </w:r>
      <w:r w:rsidRPr="003D1C56">
        <w:t>áznam pracovnice ÚP v kontaktním listu klienta potvr</w:t>
      </w:r>
      <w:r w:rsidR="00431F3B" w:rsidRPr="003D1C56">
        <w:t xml:space="preserve">dil, že klient </w:t>
      </w:r>
      <w:r w:rsidRPr="003D1C56">
        <w:t>po skončení odborné praxe</w:t>
      </w:r>
      <w:r w:rsidR="00431F3B" w:rsidRPr="003D1C56">
        <w:t xml:space="preserve"> </w:t>
      </w:r>
      <w:r w:rsidRPr="003D1C56">
        <w:t>začal pracovat v oboru, který vystudoval.</w:t>
      </w:r>
    </w:p>
    <w:p w14:paraId="68BDA04D" w14:textId="77777777" w:rsidR="000E1494" w:rsidRPr="003D1C56" w:rsidRDefault="00226B51" w:rsidP="00C37FE9">
      <w:pPr>
        <w:spacing w:before="240" w:after="0"/>
        <w:rPr>
          <w:b/>
          <w:u w:val="single"/>
        </w:rPr>
      </w:pPr>
      <w:r w:rsidRPr="00226B51">
        <w:rPr>
          <w:u w:val="single"/>
        </w:rPr>
        <w:t>Stáže v zahraničí měly omezenou účelnost</w:t>
      </w:r>
    </w:p>
    <w:p w14:paraId="4DBB8948" w14:textId="7DA7097D" w:rsidR="0014746E" w:rsidRPr="003D1C56" w:rsidRDefault="00CD2800" w:rsidP="0014746E">
      <w:pPr>
        <w:jc w:val="both"/>
        <w:rPr>
          <w:b/>
        </w:rPr>
      </w:pPr>
      <w:r w:rsidRPr="003D1C56">
        <w:t xml:space="preserve">Specifickou klíčovou aktivitou u kontrolovaných projektů Úřadu práce ZÁRUKY a INICIATIVA jsou </w:t>
      </w:r>
      <w:r w:rsidR="005645D5">
        <w:rPr>
          <w:i/>
        </w:rPr>
        <w:t>s</w:t>
      </w:r>
      <w:r w:rsidRPr="003D1C56">
        <w:rPr>
          <w:i/>
        </w:rPr>
        <w:t>táže v zahraničí.</w:t>
      </w:r>
      <w:r w:rsidRPr="003D1C56">
        <w:t xml:space="preserve"> </w:t>
      </w:r>
      <w:r w:rsidR="008406E2">
        <w:t xml:space="preserve">Tyto stáže mohly trvat minimálně tři měsíce </w:t>
      </w:r>
      <w:r w:rsidR="005645D5">
        <w:t xml:space="preserve">a </w:t>
      </w:r>
      <w:r w:rsidR="008406E2">
        <w:t xml:space="preserve">maximální délka nebyla stanovena. Příspěvek na ubytování </w:t>
      </w:r>
      <w:r w:rsidR="005645D5">
        <w:t xml:space="preserve">byl </w:t>
      </w:r>
      <w:r w:rsidR="008406E2">
        <w:t xml:space="preserve">však omezen na maximálně šest měsíců. </w:t>
      </w:r>
      <w:r w:rsidRPr="003D1C56">
        <w:t xml:space="preserve">Úřad práce definuje </w:t>
      </w:r>
      <w:r w:rsidR="005645D5">
        <w:t xml:space="preserve">zahraniční </w:t>
      </w:r>
      <w:r w:rsidRPr="003D1C56">
        <w:t xml:space="preserve">stáže ve svých vnitřních předpisech i v popisu projektů jako pracovní pobyt v zahraničí, jehož účelem je kromě získání zkušeností i </w:t>
      </w:r>
      <w:r w:rsidRPr="003D1C56">
        <w:rPr>
          <w:b/>
        </w:rPr>
        <w:t>zvýšení kvalifikace.</w:t>
      </w:r>
      <w:r w:rsidRPr="003D1C56">
        <w:t xml:space="preserve"> </w:t>
      </w:r>
      <w:r w:rsidRPr="003D1C56">
        <w:rPr>
          <w:b/>
        </w:rPr>
        <w:t>V některých případech však takový účel nemohl být</w:t>
      </w:r>
      <w:r w:rsidR="00363477" w:rsidRPr="003D1C56">
        <w:rPr>
          <w:b/>
        </w:rPr>
        <w:t xml:space="preserve"> </w:t>
      </w:r>
      <w:r w:rsidRPr="003D1C56">
        <w:rPr>
          <w:b/>
        </w:rPr>
        <w:t>naplněn.</w:t>
      </w:r>
    </w:p>
    <w:p w14:paraId="2E8E6ACC" w14:textId="4054F81F" w:rsidR="0014746E" w:rsidRPr="003D1C56" w:rsidRDefault="00CD2800" w:rsidP="00556B0E">
      <w:pPr>
        <w:pBdr>
          <w:top w:val="single" w:sz="4" w:space="0" w:color="auto"/>
          <w:left w:val="single" w:sz="4" w:space="1" w:color="auto"/>
          <w:bottom w:val="single" w:sz="4" w:space="1" w:color="auto"/>
          <w:right w:val="single" w:sz="4" w:space="1" w:color="auto"/>
        </w:pBdr>
        <w:spacing w:after="0"/>
        <w:jc w:val="both"/>
        <w:rPr>
          <w:b/>
          <w:color w:val="004595"/>
        </w:rPr>
      </w:pPr>
      <w:r w:rsidRPr="003D1C56">
        <w:rPr>
          <w:b/>
          <w:color w:val="004595"/>
        </w:rPr>
        <w:t>Příklad</w:t>
      </w:r>
      <w:r w:rsidR="00D64912">
        <w:rPr>
          <w:b/>
          <w:color w:val="004595"/>
        </w:rPr>
        <w:t xml:space="preserve"> č. 7</w:t>
      </w:r>
      <w:r w:rsidR="005645D5">
        <w:rPr>
          <w:b/>
          <w:color w:val="004595"/>
        </w:rPr>
        <w:t>:</w:t>
      </w:r>
      <w:r w:rsidRPr="003D1C56">
        <w:rPr>
          <w:b/>
          <w:color w:val="004595"/>
        </w:rPr>
        <w:t xml:space="preserve"> </w:t>
      </w:r>
      <w:r w:rsidR="005645D5">
        <w:rPr>
          <w:b/>
          <w:color w:val="004595"/>
        </w:rPr>
        <w:t>s</w:t>
      </w:r>
      <w:r w:rsidRPr="003D1C56">
        <w:rPr>
          <w:b/>
          <w:color w:val="004595"/>
        </w:rPr>
        <w:t xml:space="preserve">táže v zahraničí </w:t>
      </w:r>
      <w:r w:rsidR="000E1494" w:rsidRPr="003D1C56">
        <w:rPr>
          <w:b/>
          <w:color w:val="004595"/>
        </w:rPr>
        <w:t xml:space="preserve">s omezenou účelností </w:t>
      </w:r>
      <w:r w:rsidRPr="003D1C56">
        <w:rPr>
          <w:b/>
          <w:color w:val="004595"/>
        </w:rPr>
        <w:t>v projektu ZÁRUKY</w:t>
      </w:r>
    </w:p>
    <w:p w14:paraId="28A3CD35" w14:textId="7C11C174" w:rsidR="0014746E" w:rsidRPr="003D1C56" w:rsidRDefault="00CD2800" w:rsidP="00306984">
      <w:pPr>
        <w:pBdr>
          <w:top w:val="single" w:sz="4" w:space="0" w:color="auto"/>
          <w:left w:val="single" w:sz="4" w:space="1" w:color="auto"/>
          <w:bottom w:val="single" w:sz="4" w:space="1" w:color="auto"/>
          <w:right w:val="single" w:sz="4" w:space="1" w:color="auto"/>
        </w:pBdr>
        <w:spacing w:before="120" w:after="0"/>
        <w:jc w:val="both"/>
      </w:pPr>
      <w:r w:rsidRPr="003D1C56">
        <w:t xml:space="preserve">Účastníci projektu byli středoškolsky vzdělaní mladí lidé s maturitou a již absolvovanou následnou profesní praxí. </w:t>
      </w:r>
    </w:p>
    <w:p w14:paraId="2F042D77" w14:textId="77777777" w:rsidR="0014746E" w:rsidRPr="003D1C56" w:rsidRDefault="00CD2800" w:rsidP="00306984">
      <w:pPr>
        <w:pBdr>
          <w:top w:val="single" w:sz="4" w:space="0" w:color="auto"/>
          <w:left w:val="single" w:sz="4" w:space="1" w:color="auto"/>
          <w:bottom w:val="single" w:sz="4" w:space="1" w:color="auto"/>
          <w:right w:val="single" w:sz="4" w:space="1" w:color="auto"/>
        </w:pBdr>
        <w:spacing w:before="120" w:after="0"/>
        <w:jc w:val="both"/>
      </w:pPr>
      <w:r w:rsidRPr="003D1C56">
        <w:t xml:space="preserve">Úřad práce zařadil klienty v rámci zahraniční stáže na neodborné práce pomocného charakteru; klienti pracovali </w:t>
      </w:r>
      <w:r w:rsidR="003B1F1F" w:rsidRPr="003D1C56">
        <w:t xml:space="preserve">např. </w:t>
      </w:r>
      <w:r w:rsidRPr="003D1C56">
        <w:t xml:space="preserve">jako výrobce pizzy, servírka, pokojská, pomocný montér, barman. </w:t>
      </w:r>
    </w:p>
    <w:p w14:paraId="4E510572" w14:textId="77777777" w:rsidR="0014746E" w:rsidRPr="003D1C56" w:rsidRDefault="00CD2800" w:rsidP="00306984">
      <w:pPr>
        <w:pBdr>
          <w:top w:val="single" w:sz="4" w:space="0" w:color="auto"/>
          <w:left w:val="single" w:sz="4" w:space="1" w:color="auto"/>
          <w:bottom w:val="single" w:sz="4" w:space="1" w:color="auto"/>
          <w:right w:val="single" w:sz="4" w:space="1" w:color="auto"/>
        </w:pBdr>
        <w:spacing w:before="120" w:after="0"/>
        <w:jc w:val="both"/>
      </w:pPr>
      <w:r w:rsidRPr="003D1C56">
        <w:rPr>
          <w:b/>
        </w:rPr>
        <w:t>Zvýšení kvalifikace tak bylo omezeno jen na prohloubení znalost</w:t>
      </w:r>
      <w:r w:rsidR="00363477" w:rsidRPr="003D1C56">
        <w:rPr>
          <w:b/>
        </w:rPr>
        <w:t>i</w:t>
      </w:r>
      <w:r w:rsidRPr="003D1C56">
        <w:rPr>
          <w:b/>
        </w:rPr>
        <w:t xml:space="preserve"> cizího jazyka</w:t>
      </w:r>
      <w:r w:rsidRPr="00F37A2B">
        <w:rPr>
          <w:b/>
        </w:rPr>
        <w:t>.</w:t>
      </w:r>
    </w:p>
    <w:p w14:paraId="154AD0BE" w14:textId="31A1A892" w:rsidR="00736191" w:rsidRPr="00F37A2B" w:rsidRDefault="00CD2800" w:rsidP="00200FCF">
      <w:pPr>
        <w:spacing w:before="120"/>
        <w:jc w:val="both"/>
      </w:pPr>
      <w:r w:rsidRPr="003D1C56">
        <w:rPr>
          <w:color w:val="000000" w:themeColor="text1"/>
        </w:rPr>
        <w:t xml:space="preserve">V projektech ÚP byl zaznamenán nižší zájem účastníků o aktivitu </w:t>
      </w:r>
      <w:r w:rsidR="009B0752">
        <w:rPr>
          <w:i/>
          <w:color w:val="000000" w:themeColor="text1"/>
        </w:rPr>
        <w:t>s</w:t>
      </w:r>
      <w:r w:rsidRPr="003D1C56">
        <w:rPr>
          <w:i/>
          <w:color w:val="000000" w:themeColor="text1"/>
        </w:rPr>
        <w:t>táže v</w:t>
      </w:r>
      <w:r w:rsidR="00B270A8" w:rsidRPr="003D1C56">
        <w:rPr>
          <w:i/>
          <w:color w:val="000000" w:themeColor="text1"/>
        </w:rPr>
        <w:t> </w:t>
      </w:r>
      <w:r w:rsidRPr="003D1C56">
        <w:rPr>
          <w:i/>
          <w:color w:val="000000" w:themeColor="text1"/>
        </w:rPr>
        <w:t>zahraničí</w:t>
      </w:r>
      <w:r w:rsidR="00B270A8" w:rsidRPr="00F37A2B">
        <w:rPr>
          <w:color w:val="000000" w:themeColor="text1"/>
        </w:rPr>
        <w:t>,</w:t>
      </w:r>
      <w:r w:rsidRPr="003D1C56">
        <w:rPr>
          <w:i/>
          <w:color w:val="000000" w:themeColor="text1"/>
        </w:rPr>
        <w:t xml:space="preserve"> </w:t>
      </w:r>
      <w:r w:rsidR="00B270A8" w:rsidRPr="003D1C56">
        <w:rPr>
          <w:color w:val="000000" w:themeColor="text1"/>
        </w:rPr>
        <w:t xml:space="preserve">než byl </w:t>
      </w:r>
      <w:r w:rsidRPr="003D1C56">
        <w:rPr>
          <w:color w:val="000000" w:themeColor="text1"/>
        </w:rPr>
        <w:t>původní předpoklad. Tato aktivita zahrnuje přímou podporu účastníků, kterým je hrazeno především cestovné, ubytování</w:t>
      </w:r>
      <w:r w:rsidR="008406E2">
        <w:rPr>
          <w:color w:val="000000" w:themeColor="text1"/>
        </w:rPr>
        <w:t xml:space="preserve"> (případně </w:t>
      </w:r>
      <w:r w:rsidRPr="003D1C56">
        <w:rPr>
          <w:color w:val="000000" w:themeColor="text1"/>
        </w:rPr>
        <w:t>stravné</w:t>
      </w:r>
      <w:r w:rsidR="008406E2">
        <w:rPr>
          <w:color w:val="000000" w:themeColor="text1"/>
        </w:rPr>
        <w:t>)</w:t>
      </w:r>
      <w:r w:rsidRPr="003D1C56">
        <w:rPr>
          <w:color w:val="000000" w:themeColor="text1"/>
        </w:rPr>
        <w:t xml:space="preserve">. </w:t>
      </w:r>
      <w:r w:rsidR="0001087A" w:rsidRPr="003D1C56">
        <w:rPr>
          <w:b/>
          <w:color w:val="000000" w:themeColor="text1"/>
        </w:rPr>
        <w:t xml:space="preserve">Přímá podpora účastníků v aktivitě </w:t>
      </w:r>
      <w:r w:rsidR="009B0752">
        <w:rPr>
          <w:b/>
          <w:i/>
          <w:color w:val="000000" w:themeColor="text1"/>
        </w:rPr>
        <w:t>s</w:t>
      </w:r>
      <w:r w:rsidR="0001087A" w:rsidRPr="003D1C56">
        <w:rPr>
          <w:b/>
          <w:i/>
          <w:color w:val="000000" w:themeColor="text1"/>
        </w:rPr>
        <w:t xml:space="preserve">táže v zahraničí </w:t>
      </w:r>
      <w:r w:rsidR="0001087A" w:rsidRPr="003D1C56">
        <w:rPr>
          <w:b/>
          <w:color w:val="000000" w:themeColor="text1"/>
        </w:rPr>
        <w:t xml:space="preserve">však není nejvýznamnější položkou, tu představují náklady spojené s administrací této aktivity. </w:t>
      </w:r>
      <w:r w:rsidR="0001087A" w:rsidRPr="003D1C56">
        <w:rPr>
          <w:color w:val="000000" w:themeColor="text1"/>
        </w:rPr>
        <w:t xml:space="preserve">Například v projektu </w:t>
      </w:r>
      <w:r w:rsidR="00200FCF" w:rsidRPr="003D1C56">
        <w:rPr>
          <w:color w:val="000000" w:themeColor="text1"/>
        </w:rPr>
        <w:t xml:space="preserve">INICIATIVA </w:t>
      </w:r>
      <w:r w:rsidR="0001087A" w:rsidRPr="003D1C56">
        <w:rPr>
          <w:b/>
          <w:color w:val="000000" w:themeColor="text1"/>
        </w:rPr>
        <w:t>činily náklady</w:t>
      </w:r>
      <w:r w:rsidR="009B5915">
        <w:rPr>
          <w:b/>
          <w:color w:val="000000" w:themeColor="text1"/>
        </w:rPr>
        <w:t xml:space="preserve"> k</w:t>
      </w:r>
      <w:r w:rsidR="009B0752">
        <w:rPr>
          <w:b/>
          <w:color w:val="000000" w:themeColor="text1"/>
        </w:rPr>
        <w:t xml:space="preserve"> </w:t>
      </w:r>
      <w:r w:rsidR="009B5915">
        <w:rPr>
          <w:b/>
          <w:color w:val="000000" w:themeColor="text1"/>
        </w:rPr>
        <w:t>31. 12. 2018</w:t>
      </w:r>
      <w:r w:rsidR="0001087A" w:rsidRPr="003D1C56">
        <w:rPr>
          <w:b/>
          <w:color w:val="000000" w:themeColor="text1"/>
        </w:rPr>
        <w:t xml:space="preserve"> na přímou podporu cílové skupiny pouhých 26,27 %,</w:t>
      </w:r>
      <w:r w:rsidR="0001087A" w:rsidRPr="003D1C56">
        <w:rPr>
          <w:color w:val="000000" w:themeColor="text1"/>
        </w:rPr>
        <w:t xml:space="preserve"> </w:t>
      </w:r>
      <w:r w:rsidR="00521767" w:rsidRPr="003D1C56">
        <w:rPr>
          <w:color w:val="000000" w:themeColor="text1"/>
        </w:rPr>
        <w:t>režijní náklady 6,61 %</w:t>
      </w:r>
      <w:r w:rsidR="0001087A" w:rsidRPr="003D1C56">
        <w:rPr>
          <w:b/>
          <w:color w:val="000000" w:themeColor="text1"/>
        </w:rPr>
        <w:t xml:space="preserve"> </w:t>
      </w:r>
      <w:r w:rsidR="009B0752">
        <w:rPr>
          <w:b/>
          <w:color w:val="000000" w:themeColor="text1"/>
        </w:rPr>
        <w:t xml:space="preserve">a </w:t>
      </w:r>
      <w:r w:rsidR="0001087A" w:rsidRPr="003D1C56">
        <w:rPr>
          <w:b/>
          <w:color w:val="000000" w:themeColor="text1"/>
        </w:rPr>
        <w:t xml:space="preserve">osobní náklady </w:t>
      </w:r>
      <w:r w:rsidR="00A95A4D" w:rsidRPr="003D1C56">
        <w:rPr>
          <w:b/>
          <w:color w:val="000000" w:themeColor="text1"/>
        </w:rPr>
        <w:t xml:space="preserve">ÚP </w:t>
      </w:r>
      <w:r w:rsidR="0001087A" w:rsidRPr="003D1C56">
        <w:rPr>
          <w:b/>
          <w:color w:val="000000" w:themeColor="text1"/>
        </w:rPr>
        <w:t xml:space="preserve">dosáhly 67,12 % </w:t>
      </w:r>
      <w:r w:rsidR="0001087A" w:rsidRPr="003D1C56">
        <w:rPr>
          <w:color w:val="000000" w:themeColor="text1"/>
        </w:rPr>
        <w:t>z celkové částky</w:t>
      </w:r>
      <w:r w:rsidR="0032608B" w:rsidRPr="003D1C56">
        <w:rPr>
          <w:color w:val="000000" w:themeColor="text1"/>
        </w:rPr>
        <w:t xml:space="preserve"> vynaložené na tuto klíčovou aktivitu ve výši 6,74</w:t>
      </w:r>
      <w:r w:rsidR="009B0752">
        <w:rPr>
          <w:color w:val="000000" w:themeColor="text1"/>
        </w:rPr>
        <w:t xml:space="preserve"> </w:t>
      </w:r>
      <w:r w:rsidR="0032608B" w:rsidRPr="003D1C56">
        <w:rPr>
          <w:color w:val="000000" w:themeColor="text1"/>
        </w:rPr>
        <w:t>mil. Kč</w:t>
      </w:r>
      <w:r w:rsidR="0001087A" w:rsidRPr="003D1C56">
        <w:rPr>
          <w:color w:val="000000" w:themeColor="text1"/>
        </w:rPr>
        <w:t xml:space="preserve">. Nejvyšší podíl na nákladech </w:t>
      </w:r>
      <w:proofErr w:type="gramStart"/>
      <w:r w:rsidR="000432D6" w:rsidRPr="003D1C56">
        <w:rPr>
          <w:color w:val="000000" w:themeColor="text1"/>
        </w:rPr>
        <w:t>tvořil</w:t>
      </w:r>
      <w:r w:rsidR="00F37A2B">
        <w:rPr>
          <w:color w:val="000000" w:themeColor="text1"/>
        </w:rPr>
        <w:t>y</w:t>
      </w:r>
      <w:proofErr w:type="gramEnd"/>
      <w:r w:rsidR="0001087A" w:rsidRPr="003D1C56">
        <w:rPr>
          <w:color w:val="000000" w:themeColor="text1"/>
        </w:rPr>
        <w:t xml:space="preserve"> položk</w:t>
      </w:r>
      <w:r w:rsidR="009B0752">
        <w:rPr>
          <w:color w:val="000000" w:themeColor="text1"/>
        </w:rPr>
        <w:t>y</w:t>
      </w:r>
      <w:r w:rsidR="0001087A" w:rsidRPr="003D1C56">
        <w:rPr>
          <w:color w:val="000000" w:themeColor="text1"/>
        </w:rPr>
        <w:t xml:space="preserve"> </w:t>
      </w:r>
      <w:r w:rsidR="009B0752">
        <w:rPr>
          <w:i/>
          <w:color w:val="000000" w:themeColor="text1"/>
        </w:rPr>
        <w:t>s</w:t>
      </w:r>
      <w:r w:rsidR="0001087A" w:rsidRPr="003D1C56">
        <w:rPr>
          <w:i/>
          <w:color w:val="000000" w:themeColor="text1"/>
        </w:rPr>
        <w:t>pecialista</w:t>
      </w:r>
      <w:r w:rsidR="009B0752">
        <w:rPr>
          <w:i/>
          <w:color w:val="000000" w:themeColor="text1"/>
        </w:rPr>
        <w:t xml:space="preserve"> – </w:t>
      </w:r>
      <w:r w:rsidR="0001087A" w:rsidRPr="003D1C56">
        <w:rPr>
          <w:i/>
          <w:color w:val="000000" w:themeColor="text1"/>
        </w:rPr>
        <w:t xml:space="preserve">stáže do zahraničí </w:t>
      </w:r>
      <w:r w:rsidR="0046339E">
        <w:rPr>
          <w:color w:val="000000" w:themeColor="text1"/>
        </w:rPr>
        <w:t>a</w:t>
      </w:r>
      <w:r w:rsidR="009B0752">
        <w:rPr>
          <w:color w:val="000000" w:themeColor="text1"/>
        </w:rPr>
        <w:t xml:space="preserve"> </w:t>
      </w:r>
      <w:r w:rsidR="009B0752">
        <w:rPr>
          <w:i/>
          <w:color w:val="000000" w:themeColor="text1"/>
        </w:rPr>
        <w:t>k</w:t>
      </w:r>
      <w:r w:rsidR="0001087A" w:rsidRPr="003D1C56">
        <w:rPr>
          <w:i/>
          <w:color w:val="000000" w:themeColor="text1"/>
        </w:rPr>
        <w:t xml:space="preserve">oordinátor pro stáže do zahraničí. </w:t>
      </w:r>
      <w:r w:rsidR="00093ACF" w:rsidRPr="003D1C56">
        <w:rPr>
          <w:color w:val="000000" w:themeColor="text1"/>
        </w:rPr>
        <w:t xml:space="preserve">Související výdaje administrativního charakteru převyšují náklady na cílovou skupinu v aktivitě </w:t>
      </w:r>
      <w:r w:rsidR="009B0752">
        <w:rPr>
          <w:i/>
          <w:color w:val="000000" w:themeColor="text1"/>
        </w:rPr>
        <w:t>s</w:t>
      </w:r>
      <w:r w:rsidR="00093ACF" w:rsidRPr="003D1C56">
        <w:rPr>
          <w:i/>
          <w:color w:val="000000" w:themeColor="text1"/>
        </w:rPr>
        <w:t xml:space="preserve">táže v zahraničí </w:t>
      </w:r>
      <w:r w:rsidR="00093ACF" w:rsidRPr="003D1C56">
        <w:rPr>
          <w:color w:val="000000" w:themeColor="text1"/>
        </w:rPr>
        <w:t xml:space="preserve">rovněž u projektu </w:t>
      </w:r>
      <w:r w:rsidR="00801344" w:rsidRPr="003D1C56">
        <w:rPr>
          <w:color w:val="000000" w:themeColor="text1"/>
        </w:rPr>
        <w:t>ZÁRUKY</w:t>
      </w:r>
      <w:r w:rsidR="00093ACF" w:rsidRPr="003D1C56">
        <w:rPr>
          <w:color w:val="000000" w:themeColor="text1"/>
        </w:rPr>
        <w:t xml:space="preserve">. </w:t>
      </w:r>
      <w:r w:rsidR="00A01EF5" w:rsidRPr="0012492B">
        <w:rPr>
          <w:b/>
          <w:color w:val="000000" w:themeColor="text1"/>
        </w:rPr>
        <w:t>Vzhledem k výše uvedenému</w:t>
      </w:r>
      <w:r w:rsidR="0012492B">
        <w:rPr>
          <w:b/>
          <w:color w:val="000000" w:themeColor="text1"/>
        </w:rPr>
        <w:t xml:space="preserve"> poměru nákladů na administraci aktivity</w:t>
      </w:r>
      <w:r w:rsidR="00A01EF5" w:rsidRPr="0012492B">
        <w:rPr>
          <w:b/>
          <w:color w:val="000000" w:themeColor="text1"/>
        </w:rPr>
        <w:t xml:space="preserve"> nepovažuje </w:t>
      </w:r>
      <w:r w:rsidR="009B0752" w:rsidRPr="0012492B">
        <w:rPr>
          <w:b/>
          <w:color w:val="000000" w:themeColor="text1"/>
        </w:rPr>
        <w:t xml:space="preserve">NKÚ </w:t>
      </w:r>
      <w:r w:rsidR="00A01EF5" w:rsidRPr="0012492B">
        <w:rPr>
          <w:b/>
          <w:color w:val="000000" w:themeColor="text1"/>
        </w:rPr>
        <w:t xml:space="preserve">výdaje vynaložené </w:t>
      </w:r>
      <w:r w:rsidR="0012492B" w:rsidRPr="0012492B">
        <w:rPr>
          <w:b/>
          <w:color w:val="000000" w:themeColor="text1"/>
        </w:rPr>
        <w:t xml:space="preserve">na </w:t>
      </w:r>
      <w:r w:rsidR="009B0752" w:rsidRPr="00F37A2B">
        <w:rPr>
          <w:b/>
          <w:i/>
          <w:color w:val="000000" w:themeColor="text1"/>
        </w:rPr>
        <w:t>s</w:t>
      </w:r>
      <w:r w:rsidR="0012492B" w:rsidRPr="00F37A2B">
        <w:rPr>
          <w:b/>
          <w:i/>
          <w:color w:val="000000" w:themeColor="text1"/>
        </w:rPr>
        <w:t>táže v zahraničí</w:t>
      </w:r>
      <w:r w:rsidR="0012492B" w:rsidRPr="0012492B">
        <w:rPr>
          <w:b/>
          <w:color w:val="000000" w:themeColor="text1"/>
        </w:rPr>
        <w:t xml:space="preserve"> za hospodárné.</w:t>
      </w:r>
      <w:r w:rsidR="00093ACF" w:rsidRPr="003D1C56">
        <w:rPr>
          <w:color w:val="000000" w:themeColor="text1"/>
        </w:rPr>
        <w:t xml:space="preserve"> </w:t>
      </w:r>
    </w:p>
    <w:p w14:paraId="7236B2D5" w14:textId="77777777" w:rsidR="00200FCF" w:rsidRPr="003D1C56" w:rsidRDefault="00CD2800" w:rsidP="00200FCF">
      <w:pPr>
        <w:jc w:val="both"/>
      </w:pPr>
      <w:r w:rsidRPr="003D1C56">
        <w:t xml:space="preserve">NKÚ konstatuje, že u některých klientů ÚP/účastníků projektů </w:t>
      </w:r>
      <w:r w:rsidRPr="003D1C56">
        <w:rPr>
          <w:b/>
        </w:rPr>
        <w:t>může docházet k tzv. „efektu mrtvé váhy“,</w:t>
      </w:r>
      <w:r w:rsidRPr="003D1C56">
        <w:t xml:space="preserve"> neboť někteří klienti zařazovaní do projektu by si zaměstnání mohli snadno najít sami. </w:t>
      </w:r>
      <w:r w:rsidR="006D1BE5" w:rsidRPr="003D1C56">
        <w:t>J</w:t>
      </w:r>
      <w:r w:rsidRPr="003D1C56">
        <w:t xml:space="preserve">e evidentní, že tito </w:t>
      </w:r>
      <w:r w:rsidRPr="003D1C56">
        <w:rPr>
          <w:b/>
        </w:rPr>
        <w:t>klienti reálně vůbec nenaráželi na bariéry pro uplatnění na trhu práce</w:t>
      </w:r>
      <w:r w:rsidRPr="003D1C56">
        <w:t xml:space="preserve"> (sehnali si stáž, popř. „svého zaměstnavatele“ sami). </w:t>
      </w:r>
    </w:p>
    <w:p w14:paraId="37777CDB" w14:textId="77777777" w:rsidR="00611B80" w:rsidRPr="003D1C56" w:rsidRDefault="00226B51" w:rsidP="00F37A2B">
      <w:pPr>
        <w:keepNext/>
      </w:pPr>
      <w:r w:rsidRPr="00226B51">
        <w:rPr>
          <w:u w:val="single"/>
        </w:rPr>
        <w:t>Obsahové zaměření kurzů ve většině případů naplňovalo účel projektu</w:t>
      </w:r>
    </w:p>
    <w:p w14:paraId="7DFDB18D" w14:textId="418314BB" w:rsidR="00171D0F" w:rsidRPr="00F37A2B" w:rsidRDefault="00CD2800" w:rsidP="00611B80">
      <w:pPr>
        <w:jc w:val="both"/>
        <w:rPr>
          <w:b/>
          <w:sz w:val="20"/>
          <w:szCs w:val="20"/>
        </w:rPr>
      </w:pPr>
      <w:r w:rsidRPr="003D1C56">
        <w:t xml:space="preserve">Klíčovou aktivitou, která probíhala ve všech kontrolovaných projektech, </w:t>
      </w:r>
      <w:r w:rsidR="009B0752">
        <w:t>bylo</w:t>
      </w:r>
      <w:r w:rsidRPr="003D1C56">
        <w:t xml:space="preserve"> </w:t>
      </w:r>
      <w:r w:rsidR="00893C37">
        <w:t>rekvalifikační a </w:t>
      </w:r>
      <w:r w:rsidRPr="003D1C56">
        <w:t>odborné vzdělávání</w:t>
      </w:r>
      <w:r w:rsidR="00DA7914" w:rsidRPr="003D1C56">
        <w:t xml:space="preserve">. </w:t>
      </w:r>
      <w:r w:rsidR="005A7515" w:rsidRPr="003D1C56">
        <w:t>Obsahové zaměření kurzů ve většině případů naplňovalo účel projekt</w:t>
      </w:r>
      <w:r w:rsidR="001B60C7" w:rsidRPr="003D1C56">
        <w:t>u</w:t>
      </w:r>
      <w:r w:rsidR="005A7515" w:rsidRPr="003D1C56">
        <w:t xml:space="preserve">, s výjimkou vzdělávací aktivity v </w:t>
      </w:r>
      <w:r w:rsidRPr="003D1C56">
        <w:t>projektu TRANSFER</w:t>
      </w:r>
      <w:r w:rsidR="005A7515" w:rsidRPr="003D1C56">
        <w:t>.</w:t>
      </w:r>
    </w:p>
    <w:p w14:paraId="08915FD1" w14:textId="1DDEC0A5" w:rsidR="00C22B0A" w:rsidRPr="003D1C56" w:rsidRDefault="00CD2800" w:rsidP="00C22B0A">
      <w:pPr>
        <w:pBdr>
          <w:top w:val="single" w:sz="4" w:space="1" w:color="auto"/>
          <w:left w:val="single" w:sz="4" w:space="4" w:color="auto"/>
          <w:bottom w:val="single" w:sz="4" w:space="1" w:color="auto"/>
          <w:right w:val="single" w:sz="4" w:space="4" w:color="auto"/>
        </w:pBdr>
        <w:spacing w:after="0"/>
        <w:jc w:val="both"/>
        <w:rPr>
          <w:b/>
          <w:color w:val="004595"/>
        </w:rPr>
      </w:pPr>
      <w:r w:rsidRPr="003D1C56">
        <w:rPr>
          <w:b/>
          <w:color w:val="004595"/>
        </w:rPr>
        <w:t>Příklad</w:t>
      </w:r>
      <w:r w:rsidR="00D64912">
        <w:rPr>
          <w:b/>
          <w:color w:val="004595"/>
        </w:rPr>
        <w:t> č. 8</w:t>
      </w:r>
      <w:r w:rsidR="009B0752">
        <w:rPr>
          <w:b/>
          <w:color w:val="004595"/>
        </w:rPr>
        <w:t>:</w:t>
      </w:r>
      <w:r w:rsidRPr="003D1C56">
        <w:rPr>
          <w:b/>
          <w:color w:val="004595"/>
        </w:rPr>
        <w:t xml:space="preserve"> </w:t>
      </w:r>
      <w:r w:rsidR="009B0752">
        <w:rPr>
          <w:b/>
          <w:color w:val="004595"/>
        </w:rPr>
        <w:t>n</w:t>
      </w:r>
      <w:r w:rsidRPr="003D1C56">
        <w:rPr>
          <w:b/>
          <w:color w:val="004595"/>
        </w:rPr>
        <w:t>evhodn</w:t>
      </w:r>
      <w:r w:rsidR="00D64912">
        <w:rPr>
          <w:b/>
          <w:color w:val="004595"/>
        </w:rPr>
        <w:t>á</w:t>
      </w:r>
      <w:r w:rsidRPr="003D1C56">
        <w:rPr>
          <w:b/>
          <w:color w:val="004595"/>
        </w:rPr>
        <w:t xml:space="preserve"> změn</w:t>
      </w:r>
      <w:r w:rsidR="00D64912">
        <w:rPr>
          <w:b/>
          <w:color w:val="004595"/>
        </w:rPr>
        <w:t>a</w:t>
      </w:r>
      <w:r w:rsidRPr="003D1C56">
        <w:rPr>
          <w:b/>
          <w:color w:val="004595"/>
        </w:rPr>
        <w:t xml:space="preserve"> v obsahovém zaměření vzdělávacích aktivit </w:t>
      </w:r>
    </w:p>
    <w:p w14:paraId="4C15967D" w14:textId="657F93FA" w:rsidR="00491A1F" w:rsidRPr="00F37A2B" w:rsidRDefault="00CD2800" w:rsidP="00E31912">
      <w:pPr>
        <w:pBdr>
          <w:top w:val="single" w:sz="4" w:space="1" w:color="auto"/>
          <w:left w:val="single" w:sz="4" w:space="4" w:color="auto"/>
          <w:bottom w:val="single" w:sz="4" w:space="1" w:color="auto"/>
          <w:right w:val="single" w:sz="4" w:space="4" w:color="auto"/>
        </w:pBdr>
        <w:spacing w:before="120" w:after="0"/>
        <w:jc w:val="both"/>
        <w:rPr>
          <w:b/>
        </w:rPr>
      </w:pPr>
      <w:r w:rsidRPr="003D1C56">
        <w:t xml:space="preserve">V projektu TRANSFER </w:t>
      </w:r>
      <w:r w:rsidR="009B0752">
        <w:t xml:space="preserve">u </w:t>
      </w:r>
      <w:r w:rsidRPr="003D1C56">
        <w:t xml:space="preserve">klíčové aktivity </w:t>
      </w:r>
      <w:r w:rsidR="009B0752">
        <w:rPr>
          <w:i/>
        </w:rPr>
        <w:t>o</w:t>
      </w:r>
      <w:r w:rsidRPr="003D1C56">
        <w:rPr>
          <w:i/>
        </w:rPr>
        <w:t>dborné a rekvalifikační vzdělávání</w:t>
      </w:r>
      <w:r w:rsidRPr="003D1C56">
        <w:t>, jejímž účelem bylo pomoci klientům projektu s chybějící nebo nevyhovující kvalifikací</w:t>
      </w:r>
      <w:r>
        <w:rPr>
          <w:vertAlign w:val="superscript"/>
        </w:rPr>
        <w:footnoteReference w:id="46"/>
      </w:r>
      <w:r w:rsidR="009B0752">
        <w:t>,</w:t>
      </w:r>
      <w:r w:rsidRPr="003D1C56">
        <w:t xml:space="preserve"> </w:t>
      </w:r>
      <w:r w:rsidR="009B0752" w:rsidRPr="003D1C56">
        <w:t xml:space="preserve">schválilo MPSV rozšíření </w:t>
      </w:r>
      <w:r w:rsidRPr="003D1C56">
        <w:t xml:space="preserve">o </w:t>
      </w:r>
      <w:r w:rsidRPr="003D1C56">
        <w:rPr>
          <w:i/>
        </w:rPr>
        <w:t>kurz sociálních dovedností</w:t>
      </w:r>
      <w:r w:rsidRPr="003D1C56">
        <w:t>, jehož náplní nebyla rekvalifikace. Obsahem kurzu v rozsahu 30</w:t>
      </w:r>
      <w:r w:rsidR="009B0752">
        <w:t> </w:t>
      </w:r>
      <w:r w:rsidRPr="003D1C56">
        <w:t>hodin výuky byly v převážné většině teoretické i praktické informace o systému sociální podpory</w:t>
      </w:r>
      <w:r w:rsidR="009B0752">
        <w:t> </w:t>
      </w:r>
      <w:r w:rsidRPr="003D1C56">
        <w:t>/</w:t>
      </w:r>
      <w:r w:rsidR="009B0752">
        <w:t> </w:t>
      </w:r>
      <w:r w:rsidRPr="003D1C56">
        <w:t xml:space="preserve">sociálních dávek a </w:t>
      </w:r>
      <w:r w:rsidR="009B0752">
        <w:t xml:space="preserve">systému </w:t>
      </w:r>
      <w:r w:rsidRPr="003D1C56">
        <w:t>podpory v nezaměstnanosti</w:t>
      </w:r>
      <w:r>
        <w:rPr>
          <w:vertAlign w:val="superscript"/>
        </w:rPr>
        <w:footnoteReference w:id="47"/>
      </w:r>
      <w:r w:rsidRPr="003D1C56">
        <w:t xml:space="preserve">. </w:t>
      </w:r>
      <w:r w:rsidRPr="003D1C56">
        <w:rPr>
          <w:b/>
        </w:rPr>
        <w:t>NKÚ konstatuje, že tento kurz věcně nepatří do aktivity zaměřené na odborn</w:t>
      </w:r>
      <w:r w:rsidR="00893C37">
        <w:rPr>
          <w:b/>
        </w:rPr>
        <w:t>é a rekvalifikační vzdělávání a </w:t>
      </w:r>
      <w:r w:rsidRPr="003D1C56">
        <w:rPr>
          <w:b/>
        </w:rPr>
        <w:t>nesměřoval k získání nové kvalifikace, ale stal se poradenskou aktivitou se zcela odlišným cílem.</w:t>
      </w:r>
    </w:p>
    <w:p w14:paraId="733B10C6" w14:textId="261B08FA" w:rsidR="00491A1F" w:rsidRPr="00F37A2B" w:rsidRDefault="00CD2800" w:rsidP="00E31912">
      <w:pPr>
        <w:pBdr>
          <w:top w:val="single" w:sz="4" w:space="1" w:color="auto"/>
          <w:left w:val="single" w:sz="4" w:space="4" w:color="auto"/>
          <w:bottom w:val="single" w:sz="4" w:space="1" w:color="auto"/>
          <w:right w:val="single" w:sz="4" w:space="4" w:color="auto"/>
        </w:pBdr>
        <w:spacing w:before="120" w:after="0"/>
        <w:jc w:val="both"/>
        <w:rPr>
          <w:b/>
        </w:rPr>
      </w:pPr>
      <w:r w:rsidRPr="003D1C56">
        <w:t>NKÚ v této souvislosti upozorňuje na možné negativní efekty, kter</w:t>
      </w:r>
      <w:r w:rsidR="00C00DB9">
        <w:t>é</w:t>
      </w:r>
      <w:r w:rsidRPr="003D1C56">
        <w:t xml:space="preserve"> popsal ve své studii</w:t>
      </w:r>
      <w:r>
        <w:rPr>
          <w:vertAlign w:val="superscript"/>
        </w:rPr>
        <w:footnoteReference w:id="48"/>
      </w:r>
      <w:r w:rsidRPr="003D1C56">
        <w:t xml:space="preserve"> financované z OPZ </w:t>
      </w:r>
      <w:r w:rsidR="00363477" w:rsidRPr="003D1C56">
        <w:t xml:space="preserve">VÚPSV, </w:t>
      </w:r>
      <w:r w:rsidRPr="003D1C56">
        <w:t>kdy část klientů Úřadu práce nemá zájem pracovat a</w:t>
      </w:r>
      <w:r w:rsidR="00C15199" w:rsidRPr="003D1C56">
        <w:t xml:space="preserve"> efektivním využitím </w:t>
      </w:r>
      <w:r w:rsidRPr="003D1C56">
        <w:t xml:space="preserve">dobré znalosti systému dokáže zůstat v evidenci a mít nárok na dávky. Stejná studie pak zmiňuje též pojem </w:t>
      </w:r>
      <w:r w:rsidRPr="003D1C56">
        <w:rPr>
          <w:i/>
        </w:rPr>
        <w:t>past nezaměstnanosti</w:t>
      </w:r>
      <w:r w:rsidRPr="003D1C56">
        <w:t>, kdy nezájem o práci pramení z finanční nevýhodnosti nástupu do zaměstnání oproti setrvání v evidenci Úřadu práce.</w:t>
      </w:r>
    </w:p>
    <w:p w14:paraId="3BFF7431" w14:textId="77777777" w:rsidR="00D50224" w:rsidRPr="00F37A2B" w:rsidRDefault="00226B51" w:rsidP="00B02A88">
      <w:pPr>
        <w:pStyle w:val="Nadpis3"/>
      </w:pPr>
      <w:r w:rsidRPr="00226B51">
        <w:t>Fyzické kontroly ze strany ÚP mají spíše formální charakter</w:t>
      </w:r>
    </w:p>
    <w:p w14:paraId="521943CE" w14:textId="6A833F8F" w:rsidR="00117CB3" w:rsidRPr="003D1C56" w:rsidRDefault="00CD2800" w:rsidP="00093ACF">
      <w:pPr>
        <w:jc w:val="both"/>
        <w:rPr>
          <w:b/>
        </w:rPr>
      </w:pPr>
      <w:r w:rsidRPr="003D1C56">
        <w:t xml:space="preserve">ÚP provádí u zaměstnavatelů, kteří vyhradili společensky </w:t>
      </w:r>
      <w:r w:rsidR="005844B3" w:rsidRPr="003D1C56">
        <w:t xml:space="preserve">účelné </w:t>
      </w:r>
      <w:r w:rsidRPr="003D1C56">
        <w:t xml:space="preserve">pracovní místo klientům ÚP, </w:t>
      </w:r>
      <w:r w:rsidRPr="003D1C56">
        <w:rPr>
          <w:b/>
        </w:rPr>
        <w:t xml:space="preserve">fyzické kontroly, které mají spíše formální charakter. </w:t>
      </w:r>
      <w:r w:rsidRPr="003D1C56">
        <w:t xml:space="preserve">Ověření je zaměřeno zejména na provedení zákonných odvodů, existenci právní dokumentace a docházku zaměstnance. </w:t>
      </w:r>
      <w:r w:rsidR="00706E0A" w:rsidRPr="003D1C56">
        <w:t xml:space="preserve">ÚP </w:t>
      </w:r>
      <w:r w:rsidRPr="003D1C56">
        <w:t xml:space="preserve">při kontrolách na místě </w:t>
      </w:r>
      <w:r w:rsidRPr="003D1C56">
        <w:rPr>
          <w:b/>
        </w:rPr>
        <w:t xml:space="preserve">nekontroluje </w:t>
      </w:r>
      <w:r w:rsidR="00A212CE" w:rsidRPr="003D1C56">
        <w:rPr>
          <w:b/>
        </w:rPr>
        <w:t xml:space="preserve">například </w:t>
      </w:r>
      <w:r w:rsidRPr="003D1C56">
        <w:rPr>
          <w:b/>
        </w:rPr>
        <w:t>přítomnost mentorů</w:t>
      </w:r>
      <w:r>
        <w:rPr>
          <w:rStyle w:val="Znakapoznpodarou"/>
          <w:b/>
        </w:rPr>
        <w:footnoteReference w:id="49"/>
      </w:r>
      <w:r w:rsidRPr="003D1C56">
        <w:rPr>
          <w:b/>
        </w:rPr>
        <w:t xml:space="preserve"> a</w:t>
      </w:r>
      <w:r w:rsidR="00C00DB9">
        <w:rPr>
          <w:b/>
        </w:rPr>
        <w:t>ni</w:t>
      </w:r>
      <w:r w:rsidRPr="003D1C56">
        <w:rPr>
          <w:b/>
        </w:rPr>
        <w:t xml:space="preserve"> podpořených osob.</w:t>
      </w:r>
    </w:p>
    <w:p w14:paraId="2E4B2508" w14:textId="3A50B4D7" w:rsidR="002D2BEF" w:rsidRPr="003D1C56" w:rsidRDefault="00CD2800" w:rsidP="002D2BEF">
      <w:pPr>
        <w:pStyle w:val="Odstavecseseznamem"/>
        <w:numPr>
          <w:ilvl w:val="0"/>
          <w:numId w:val="29"/>
        </w:numPr>
        <w:spacing w:before="120"/>
        <w:jc w:val="both"/>
      </w:pPr>
      <w:r w:rsidRPr="003D1C56">
        <w:rPr>
          <w:b/>
        </w:rPr>
        <w:t xml:space="preserve">Úřad práce nestanovil v dohodách o účasti v projektu pro účastníky žádnou podmínku, která by omezovala, respektive zakazovala souběh zaměstnání při práci na společensky účelném pracovním místě. </w:t>
      </w:r>
      <w:r w:rsidR="006400AB">
        <w:t>ÚP případný souběh zaměstnání u </w:t>
      </w:r>
      <w:r w:rsidRPr="003D1C56">
        <w:t>účastníků zařazených na SÚPM nesledoval, neověřoval jej v rámci kontroly u</w:t>
      </w:r>
      <w:r w:rsidR="00C00DB9">
        <w:t> </w:t>
      </w:r>
      <w:r w:rsidRPr="003D1C56">
        <w:t xml:space="preserve">zaměstnavatelů ani o něm nepožadoval žádné informace. </w:t>
      </w:r>
    </w:p>
    <w:p w14:paraId="13D86CAA" w14:textId="37D9D5D3" w:rsidR="002D2BEF" w:rsidRPr="003D1C56" w:rsidRDefault="00CD2800" w:rsidP="002D2BEF">
      <w:pPr>
        <w:pStyle w:val="Odstavecseseznamem"/>
        <w:numPr>
          <w:ilvl w:val="0"/>
          <w:numId w:val="29"/>
        </w:numPr>
        <w:spacing w:before="120"/>
        <w:jc w:val="both"/>
        <w:rPr>
          <w:b/>
        </w:rPr>
      </w:pPr>
      <w:r w:rsidRPr="003D1C56">
        <w:rPr>
          <w:b/>
        </w:rPr>
        <w:t xml:space="preserve">ÚP neověřoval žádným způsobem zaměstnávání příbuzných na podpořených pracovních místech; </w:t>
      </w:r>
      <w:r w:rsidRPr="003D1C56">
        <w:t xml:space="preserve">nevyužíval </w:t>
      </w:r>
      <w:r w:rsidR="00C00DB9" w:rsidRPr="003D1C56">
        <w:t xml:space="preserve">např. </w:t>
      </w:r>
      <w:r w:rsidRPr="003D1C56">
        <w:t xml:space="preserve">ani institut čestného prohlášení účastníka projektu nebo zaměstnavatele před uzavřením dohody o vyhrazení SÚPM. Existuje tak riziko účelového využití, respektive zneužití dotací poskytovaných na společensky účelná pracovní místa u zaměstnavatelů, kteří jsou s klienty ÚP v příbuzenském vztahu. </w:t>
      </w:r>
      <w:r w:rsidRPr="003D1C56">
        <w:rPr>
          <w:b/>
        </w:rPr>
        <w:t>ÚP tyto případné vazby neprověřoval ani v rá</w:t>
      </w:r>
      <w:r w:rsidR="006400AB">
        <w:rPr>
          <w:b/>
        </w:rPr>
        <w:t>mci fyzické kontroly na místě u </w:t>
      </w:r>
      <w:r w:rsidRPr="003D1C56">
        <w:rPr>
          <w:b/>
        </w:rPr>
        <w:t xml:space="preserve">zaměstnavatelů. </w:t>
      </w:r>
    </w:p>
    <w:p w14:paraId="70CD778B" w14:textId="2DFB4ED2" w:rsidR="003F5C4E" w:rsidRPr="003D1C56" w:rsidRDefault="00CD2800" w:rsidP="00C00DB9">
      <w:pPr>
        <w:ind w:left="709"/>
        <w:jc w:val="both"/>
        <w:rPr>
          <w:rFonts w:cstheme="minorHAnsi"/>
        </w:rPr>
      </w:pPr>
      <w:r w:rsidRPr="003D1C56">
        <w:rPr>
          <w:rFonts w:cstheme="minorHAnsi"/>
        </w:rPr>
        <w:t>Tuto praxi zmiňuje např. i „</w:t>
      </w:r>
      <w:r w:rsidR="00C00DB9">
        <w:rPr>
          <w:rFonts w:cstheme="minorHAnsi"/>
        </w:rPr>
        <w:t>d</w:t>
      </w:r>
      <w:r w:rsidRPr="003D1C56">
        <w:rPr>
          <w:rFonts w:cstheme="minorHAnsi"/>
        </w:rPr>
        <w:t>ílčí podkladová studie I.“</w:t>
      </w:r>
      <w:r>
        <w:rPr>
          <w:rStyle w:val="Znakapoznpodarou"/>
          <w:rFonts w:cstheme="minorHAnsi"/>
        </w:rPr>
        <w:footnoteReference w:id="50"/>
      </w:r>
      <w:r w:rsidRPr="003D1C56">
        <w:rPr>
          <w:rFonts w:cstheme="minorHAnsi"/>
        </w:rPr>
        <w:t>, kterou zpracoval VÚPSV</w:t>
      </w:r>
      <w:r w:rsidR="00C55198" w:rsidRPr="003D1C56">
        <w:rPr>
          <w:rFonts w:cstheme="minorHAnsi"/>
        </w:rPr>
        <w:t>. Ta uvádí</w:t>
      </w:r>
      <w:r w:rsidR="00BB3E01" w:rsidRPr="003D1C56">
        <w:rPr>
          <w:rFonts w:cstheme="minorHAnsi"/>
        </w:rPr>
        <w:t>, že pracovníci ÚP motivovaným klientů</w:t>
      </w:r>
      <w:r w:rsidR="00C55198" w:rsidRPr="003D1C56">
        <w:rPr>
          <w:rFonts w:cstheme="minorHAnsi"/>
        </w:rPr>
        <w:t xml:space="preserve">m doporučují, aby potenciální zaměstnavatele </w:t>
      </w:r>
      <w:r w:rsidR="00C00DB9">
        <w:rPr>
          <w:rFonts w:cstheme="minorHAnsi"/>
        </w:rPr>
        <w:t xml:space="preserve">z řad </w:t>
      </w:r>
      <w:r w:rsidR="00C55198" w:rsidRPr="003D1C56">
        <w:rPr>
          <w:rFonts w:cstheme="minorHAnsi"/>
        </w:rPr>
        <w:t xml:space="preserve">osob v příbuzenském </w:t>
      </w:r>
      <w:r w:rsidR="00C37FE9">
        <w:rPr>
          <w:rFonts w:cstheme="minorHAnsi"/>
        </w:rPr>
        <w:t xml:space="preserve">vztahu </w:t>
      </w:r>
      <w:r w:rsidR="00BB3E01" w:rsidRPr="003D1C56">
        <w:rPr>
          <w:rFonts w:cstheme="minorHAnsi"/>
        </w:rPr>
        <w:t>aktivně upozorňovali na skutečnost, že splňují podmínky pro poskytnutí podpory.</w:t>
      </w:r>
      <w:r>
        <w:rPr>
          <w:rStyle w:val="Znakapoznpodarou"/>
          <w:rFonts w:cstheme="minorHAnsi"/>
        </w:rPr>
        <w:footnoteReference w:id="51"/>
      </w:r>
      <w:r w:rsidR="00F511BB" w:rsidRPr="003D1C56">
        <w:rPr>
          <w:rFonts w:cstheme="minorHAnsi"/>
        </w:rPr>
        <w:t xml:space="preserve"> </w:t>
      </w:r>
    </w:p>
    <w:p w14:paraId="156FFBC5" w14:textId="2A94E271" w:rsidR="003F5C4E" w:rsidRPr="003D1C56" w:rsidRDefault="00CD2800" w:rsidP="00C00DB9">
      <w:pPr>
        <w:ind w:left="709"/>
        <w:jc w:val="both"/>
        <w:rPr>
          <w:rFonts w:cstheme="minorHAnsi"/>
          <w:b/>
        </w:rPr>
      </w:pPr>
      <w:r w:rsidRPr="003D1C56">
        <w:rPr>
          <w:rFonts w:cstheme="minorHAnsi"/>
        </w:rPr>
        <w:t>Kontrola NKÚ tuto praxi neprokázala; přesto však na vzorku účastníků projektů bylo na základě analýzy osobních složek zjištěno, že</w:t>
      </w:r>
      <w:r w:rsidR="00F511BB" w:rsidRPr="003D1C56">
        <w:rPr>
          <w:rFonts w:cstheme="minorHAnsi"/>
        </w:rPr>
        <w:t xml:space="preserve"> </w:t>
      </w:r>
      <w:r w:rsidRPr="003D1C56">
        <w:rPr>
          <w:rFonts w:cstheme="minorHAnsi"/>
          <w:b/>
        </w:rPr>
        <w:t>někteří klienti pracovali na SÚPM u</w:t>
      </w:r>
      <w:r w:rsidR="00C00DB9">
        <w:rPr>
          <w:rFonts w:cstheme="minorHAnsi"/>
          <w:b/>
        </w:rPr>
        <w:t> </w:t>
      </w:r>
      <w:r w:rsidRPr="003D1C56">
        <w:rPr>
          <w:rFonts w:cstheme="minorHAnsi"/>
          <w:b/>
        </w:rPr>
        <w:t xml:space="preserve">zaměstnavatelů, se kterými jsou v příbuzenském poměru. </w:t>
      </w:r>
    </w:p>
    <w:p w14:paraId="041A7A2E" w14:textId="1BC59540" w:rsidR="00556B0E" w:rsidRPr="003D1C56" w:rsidRDefault="00CD2800" w:rsidP="00964CF0">
      <w:pPr>
        <w:keepNext/>
        <w:pBdr>
          <w:top w:val="single" w:sz="4" w:space="0" w:color="auto"/>
          <w:left w:val="single" w:sz="4" w:space="1" w:color="auto"/>
          <w:bottom w:val="single" w:sz="4" w:space="1" w:color="auto"/>
          <w:right w:val="single" w:sz="4" w:space="1" w:color="auto"/>
        </w:pBdr>
        <w:spacing w:after="0"/>
        <w:jc w:val="both"/>
        <w:rPr>
          <w:b/>
          <w:color w:val="004595"/>
        </w:rPr>
      </w:pPr>
      <w:r w:rsidRPr="003D1C56">
        <w:rPr>
          <w:b/>
          <w:color w:val="004595"/>
        </w:rPr>
        <w:t xml:space="preserve">Příklad </w:t>
      </w:r>
      <w:r w:rsidR="00D64912">
        <w:rPr>
          <w:b/>
          <w:color w:val="004595"/>
        </w:rPr>
        <w:t>č. 9</w:t>
      </w:r>
      <w:r w:rsidR="00C00DB9">
        <w:rPr>
          <w:b/>
          <w:color w:val="004595"/>
        </w:rPr>
        <w:t>:</w:t>
      </w:r>
      <w:r w:rsidR="00D64912">
        <w:rPr>
          <w:b/>
          <w:color w:val="004595"/>
        </w:rPr>
        <w:t xml:space="preserve"> </w:t>
      </w:r>
      <w:r w:rsidR="00C00DB9">
        <w:rPr>
          <w:b/>
          <w:color w:val="004595"/>
        </w:rPr>
        <w:t>z</w:t>
      </w:r>
      <w:r w:rsidRPr="003D1C56">
        <w:rPr>
          <w:b/>
          <w:color w:val="004595"/>
        </w:rPr>
        <w:t>aměstnání příbuzného na dotovaném místě v projektu INICIATIVA</w:t>
      </w:r>
    </w:p>
    <w:p w14:paraId="06CDE060" w14:textId="75A1C478" w:rsidR="00556B0E" w:rsidRPr="003D1C56" w:rsidRDefault="00CD2800" w:rsidP="00964CF0">
      <w:pPr>
        <w:keepNext/>
        <w:pBdr>
          <w:top w:val="single" w:sz="4" w:space="0" w:color="auto"/>
          <w:left w:val="single" w:sz="4" w:space="1" w:color="auto"/>
          <w:bottom w:val="single" w:sz="4" w:space="1" w:color="auto"/>
          <w:right w:val="single" w:sz="4" w:space="1" w:color="auto"/>
        </w:pBdr>
        <w:spacing w:before="120" w:after="0"/>
        <w:jc w:val="both"/>
      </w:pPr>
      <w:r w:rsidRPr="003D1C56">
        <w:t>Klientka ÚP byla v rámci projektu INICIATIVA zařazena na dotované společensky účelné pracovní místo u svého příbuzného poté, co u něj již předtím absolvovala opakovaně praxi</w:t>
      </w:r>
      <w:r w:rsidR="00026617" w:rsidRPr="003D1C56">
        <w:t xml:space="preserve"> v jiném projektu</w:t>
      </w:r>
      <w:r w:rsidRPr="003D1C56">
        <w:t xml:space="preserve">. </w:t>
      </w:r>
    </w:p>
    <w:p w14:paraId="2325760E" w14:textId="77777777" w:rsidR="00556B0E" w:rsidRPr="003D1C56" w:rsidRDefault="00CD2800" w:rsidP="00964CF0">
      <w:pPr>
        <w:keepNext/>
        <w:pBdr>
          <w:top w:val="single" w:sz="4" w:space="0" w:color="auto"/>
          <w:left w:val="single" w:sz="4" w:space="1" w:color="auto"/>
          <w:bottom w:val="single" w:sz="4" w:space="1" w:color="auto"/>
          <w:right w:val="single" w:sz="4" w:space="1" w:color="auto"/>
        </w:pBdr>
        <w:spacing w:before="120" w:after="0"/>
        <w:jc w:val="both"/>
      </w:pPr>
      <w:r w:rsidRPr="003D1C56">
        <w:t>NKÚ považuje za účelov</w:t>
      </w:r>
      <w:r w:rsidR="00760571" w:rsidRPr="003D1C56">
        <w:t>ou</w:t>
      </w:r>
      <w:r w:rsidRPr="003D1C56">
        <w:t xml:space="preserve"> </w:t>
      </w:r>
      <w:r w:rsidR="00760571" w:rsidRPr="003D1C56">
        <w:t>i r</w:t>
      </w:r>
      <w:r w:rsidRPr="003D1C56">
        <w:t>ekvalifikaci, kterou stejná klientka</w:t>
      </w:r>
      <w:r w:rsidR="006400AB">
        <w:t xml:space="preserve"> zařazená na SÚPM u </w:t>
      </w:r>
      <w:r w:rsidR="00760571" w:rsidRPr="003D1C56">
        <w:t xml:space="preserve">příbuzného </w:t>
      </w:r>
      <w:r w:rsidRPr="003D1C56">
        <w:t>podnikajícího v</w:t>
      </w:r>
      <w:r w:rsidR="00760571" w:rsidRPr="003D1C56">
        <w:t> </w:t>
      </w:r>
      <w:r w:rsidRPr="003D1C56">
        <w:t>zemědělství</w:t>
      </w:r>
      <w:r w:rsidR="00760571" w:rsidRPr="003D1C56">
        <w:t xml:space="preserve"> získala </w:t>
      </w:r>
      <w:r w:rsidRPr="003D1C56">
        <w:t xml:space="preserve">v rámci projektu </w:t>
      </w:r>
      <w:r w:rsidR="00760571" w:rsidRPr="003D1C56">
        <w:t xml:space="preserve">absolvováním </w:t>
      </w:r>
      <w:r w:rsidRPr="003D1C56">
        <w:t>rekvalifikační</w:t>
      </w:r>
      <w:r w:rsidR="00760571" w:rsidRPr="003D1C56">
        <w:t>ho kurzu s</w:t>
      </w:r>
      <w:r w:rsidRPr="003D1C56">
        <w:t xml:space="preserve"> cílem získat řidičský průkaz skupiny „E“ pro traktor.</w:t>
      </w:r>
    </w:p>
    <w:p w14:paraId="6F2EACE2" w14:textId="705CE5A9" w:rsidR="009C10C0" w:rsidRPr="003D1C56" w:rsidRDefault="00CD2800" w:rsidP="00EC2B56">
      <w:pPr>
        <w:spacing w:before="240"/>
        <w:jc w:val="both"/>
        <w:rPr>
          <w:rFonts w:cstheme="minorHAnsi"/>
          <w:b/>
        </w:rPr>
      </w:pPr>
      <w:r w:rsidRPr="003D1C56">
        <w:rPr>
          <w:rFonts w:cstheme="minorHAnsi"/>
          <w:b/>
        </w:rPr>
        <w:t>NKÚ konstatuje</w:t>
      </w:r>
      <w:r w:rsidR="00FF1994" w:rsidRPr="003D1C56">
        <w:rPr>
          <w:rFonts w:cstheme="minorHAnsi"/>
          <w:b/>
        </w:rPr>
        <w:t xml:space="preserve"> ke všem kontrolovaným projektům </w:t>
      </w:r>
      <w:r w:rsidR="00C00DB9">
        <w:rPr>
          <w:rFonts w:cstheme="minorHAnsi"/>
          <w:b/>
        </w:rPr>
        <w:t>(</w:t>
      </w:r>
      <w:r w:rsidR="00FF1994" w:rsidRPr="003D1C56">
        <w:rPr>
          <w:rFonts w:cstheme="minorHAnsi"/>
          <w:b/>
        </w:rPr>
        <w:t>ZÁRUKY, INICIATIVA i TRANSFER</w:t>
      </w:r>
      <w:r w:rsidR="00C00DB9">
        <w:rPr>
          <w:rFonts w:cstheme="minorHAnsi"/>
          <w:b/>
        </w:rPr>
        <w:t>)</w:t>
      </w:r>
      <w:r w:rsidRPr="003D1C56">
        <w:rPr>
          <w:rFonts w:cstheme="minorHAnsi"/>
          <w:b/>
        </w:rPr>
        <w:t xml:space="preserve">, že praxe zaměstnávání </w:t>
      </w:r>
      <w:r w:rsidR="00544925" w:rsidRPr="003D1C56">
        <w:rPr>
          <w:rFonts w:cstheme="minorHAnsi"/>
          <w:b/>
        </w:rPr>
        <w:t xml:space="preserve">klientů na dotovaných pracovních místech u zaměstnavatelů, kteří jsou s podpořenými osobami v příbuzenském poměru, </w:t>
      </w:r>
      <w:r w:rsidRPr="003D1C56">
        <w:rPr>
          <w:rFonts w:cstheme="minorHAnsi"/>
          <w:b/>
        </w:rPr>
        <w:t>zakládá riziko účelového zneužívání nastavených podmínek pro získání dotace</w:t>
      </w:r>
      <w:r w:rsidR="00FF1994" w:rsidRPr="003D1C56">
        <w:rPr>
          <w:rFonts w:cstheme="minorHAnsi"/>
          <w:b/>
        </w:rPr>
        <w:t xml:space="preserve">. </w:t>
      </w:r>
    </w:p>
    <w:p w14:paraId="6CAB43F9" w14:textId="77777777" w:rsidR="00C90B54" w:rsidRPr="00F37A2B" w:rsidRDefault="00226B51" w:rsidP="00B02A88">
      <w:pPr>
        <w:pStyle w:val="Nadpis3"/>
      </w:pPr>
      <w:r w:rsidRPr="00226B51">
        <w:t>Monitorování dopadu klíčových aktivit projektů je omezeno</w:t>
      </w:r>
      <w:r w:rsidR="00CD2800" w:rsidRPr="003D1C56">
        <w:t xml:space="preserve"> </w:t>
      </w:r>
    </w:p>
    <w:p w14:paraId="015B9AA0" w14:textId="1F348196" w:rsidR="00B372E2" w:rsidRPr="003D1C56" w:rsidRDefault="00CD2800" w:rsidP="00B372E2">
      <w:pPr>
        <w:jc w:val="both"/>
      </w:pPr>
      <w:r w:rsidRPr="003D1C56">
        <w:t xml:space="preserve">ÚP a ÚK využívají pro účely monitorování </w:t>
      </w:r>
      <w:r w:rsidR="00B67CCD" w:rsidRPr="003D1C56">
        <w:t xml:space="preserve">projektů </w:t>
      </w:r>
      <w:r w:rsidRPr="003D1C56">
        <w:t xml:space="preserve">systémy MS2014+, ESF2014+ a </w:t>
      </w:r>
      <w:r w:rsidR="00B67CCD" w:rsidRPr="003D1C56">
        <w:t xml:space="preserve">navíc </w:t>
      </w:r>
      <w:r w:rsidR="005B5E01" w:rsidRPr="003D1C56">
        <w:t xml:space="preserve">ještě </w:t>
      </w:r>
      <w:r w:rsidR="00B67CCD" w:rsidRPr="003D1C56">
        <w:t>své</w:t>
      </w:r>
      <w:r w:rsidRPr="003D1C56">
        <w:t xml:space="preserve"> vlastní evi</w:t>
      </w:r>
      <w:r w:rsidR="00363477" w:rsidRPr="003D1C56">
        <w:t>dence. ÚP kromě IS</w:t>
      </w:r>
      <w:r w:rsidR="00C00DB9">
        <w:t xml:space="preserve"> </w:t>
      </w:r>
      <w:proofErr w:type="spellStart"/>
      <w:r w:rsidR="00363477" w:rsidRPr="00F37A2B">
        <w:rPr>
          <w:i/>
        </w:rPr>
        <w:t>OKpráce</w:t>
      </w:r>
      <w:proofErr w:type="spellEnd"/>
      <w:r w:rsidRPr="003D1C56">
        <w:t xml:space="preserve"> zpracovává vlastní podpůrnou evidenci v tabulkovém procesoru. ÚK </w:t>
      </w:r>
      <w:r w:rsidR="00363477" w:rsidRPr="003D1C56">
        <w:t>vedl</w:t>
      </w:r>
      <w:r w:rsidRPr="003D1C56">
        <w:t xml:space="preserve"> </w:t>
      </w:r>
      <w:r w:rsidR="005C41BF" w:rsidRPr="003D1C56">
        <w:t xml:space="preserve">k účastníkům projektu </w:t>
      </w:r>
      <w:r w:rsidRPr="003D1C56">
        <w:t>vlastní webovou databázi</w:t>
      </w:r>
      <w:r w:rsidR="005C41BF" w:rsidRPr="003D1C56">
        <w:t xml:space="preserve">. </w:t>
      </w:r>
      <w:r w:rsidRPr="003D1C56">
        <w:t>ÚK sleduje v rámci projektu</w:t>
      </w:r>
      <w:r w:rsidR="00B67CCD" w:rsidRPr="003D1C56">
        <w:t xml:space="preserve"> TRANSFER</w:t>
      </w:r>
      <w:r w:rsidRPr="003D1C56">
        <w:t xml:space="preserve"> i data, která poskytuje Úřad práce a Český statistický úřad</w:t>
      </w:r>
      <w:r w:rsidR="00EF553D" w:rsidRPr="003D1C56">
        <w:t xml:space="preserve"> (dále jen „ČSÚ“)</w:t>
      </w:r>
      <w:r w:rsidRPr="003D1C56">
        <w:t xml:space="preserve">. </w:t>
      </w:r>
    </w:p>
    <w:p w14:paraId="3247A6A5" w14:textId="77777777" w:rsidR="00B372E2" w:rsidRPr="003D1C56" w:rsidRDefault="00CD2800" w:rsidP="00B372E2">
      <w:pPr>
        <w:jc w:val="both"/>
      </w:pPr>
      <w:r w:rsidRPr="003D1C56">
        <w:rPr>
          <w:b/>
        </w:rPr>
        <w:t>Monitorování dopadu klíčových aktivit projekt</w:t>
      </w:r>
      <w:r w:rsidR="00EF553D" w:rsidRPr="003D1C56">
        <w:rPr>
          <w:b/>
        </w:rPr>
        <w:t>ů</w:t>
      </w:r>
      <w:r w:rsidRPr="003D1C56">
        <w:rPr>
          <w:b/>
        </w:rPr>
        <w:t xml:space="preserve"> na zvýšení zaměstnan</w:t>
      </w:r>
      <w:r w:rsidR="00EF553D" w:rsidRPr="003D1C56">
        <w:rPr>
          <w:b/>
        </w:rPr>
        <w:t xml:space="preserve">osti mladých </w:t>
      </w:r>
      <w:r w:rsidR="00894D9C">
        <w:rPr>
          <w:b/>
        </w:rPr>
        <w:t>lidí</w:t>
      </w:r>
      <w:r w:rsidR="00EF553D" w:rsidRPr="003D1C56">
        <w:rPr>
          <w:b/>
        </w:rPr>
        <w:t xml:space="preserve"> je omezeno</w:t>
      </w:r>
      <w:r w:rsidR="00EF553D" w:rsidRPr="003D1C56">
        <w:t xml:space="preserve"> </w:t>
      </w:r>
      <w:r w:rsidR="005C41BF" w:rsidRPr="003D1C56">
        <w:t xml:space="preserve">zaměřením </w:t>
      </w:r>
      <w:r w:rsidR="00EF553D" w:rsidRPr="003D1C56">
        <w:t xml:space="preserve">jen </w:t>
      </w:r>
      <w:r w:rsidR="005C41BF" w:rsidRPr="003D1C56">
        <w:t xml:space="preserve">na </w:t>
      </w:r>
      <w:r w:rsidR="00EF553D" w:rsidRPr="003D1C56">
        <w:t xml:space="preserve">počty zprostředkovaných pracovních míst, popř. na veřejně dostupné statistické údaje ČSÚ. </w:t>
      </w:r>
      <w:r w:rsidR="00B47D3C" w:rsidRPr="003D1C56">
        <w:rPr>
          <w:b/>
        </w:rPr>
        <w:t xml:space="preserve">ÚP ani ÚK nemají v rámci monitoringu žádný systém vyhodnocování přímého dopadu poskytnuté podpory ve formě realizovaných klíčových aktivit na zvýšení zaměstnanosti cílové skupiny mladých lidí. </w:t>
      </w:r>
    </w:p>
    <w:p w14:paraId="01D0DC77" w14:textId="05464987" w:rsidR="00171D0F" w:rsidRPr="003D1C56" w:rsidRDefault="00CD2800" w:rsidP="00171D0F">
      <w:pPr>
        <w:jc w:val="both"/>
      </w:pPr>
      <w:r w:rsidRPr="003D1C56">
        <w:rPr>
          <w:b/>
        </w:rPr>
        <w:t>ÚP nesleduje účastníky projektu a jejich další pracovní zařazení nebo uplatnění na trhu práce v době po 6 měsících od ukončení praxe</w:t>
      </w:r>
      <w:r w:rsidRPr="003D1C56">
        <w:t xml:space="preserve"> v aktivitě </w:t>
      </w:r>
      <w:r w:rsidR="00C00DB9">
        <w:rPr>
          <w:i/>
        </w:rPr>
        <w:t>o</w:t>
      </w:r>
      <w:r w:rsidRPr="003D1C56">
        <w:rPr>
          <w:i/>
        </w:rPr>
        <w:t>dborná praxe</w:t>
      </w:r>
      <w:r w:rsidR="00B47D3C" w:rsidRPr="003D1C56">
        <w:rPr>
          <w:i/>
        </w:rPr>
        <w:t>.</w:t>
      </w:r>
      <w:r w:rsidRPr="003D1C56">
        <w:t xml:space="preserve"> ÚP sleduje pouze hledisko „opětovného návratu do evidence ÚP“. </w:t>
      </w:r>
      <w:r w:rsidRPr="003D1C56">
        <w:rPr>
          <w:b/>
        </w:rPr>
        <w:t xml:space="preserve">Statistiky, které ÚP pravidelně zpracovává, nezachycují vliv realizovaných projektů na vývoj nezaměstnanosti mladých lidí </w:t>
      </w:r>
      <w:r w:rsidRPr="003D1C56">
        <w:t>v příslušném regionu, tj. není vyhodnocová</w:t>
      </w:r>
      <w:r w:rsidR="005701A5">
        <w:t xml:space="preserve">n přínos projektových aktivit a </w:t>
      </w:r>
      <w:r w:rsidRPr="003D1C56">
        <w:t>vynaložených prostředků projektů k naplnění cíl</w:t>
      </w:r>
      <w:r w:rsidR="00C00DB9">
        <w:t>e</w:t>
      </w:r>
      <w:r w:rsidRPr="003D1C56">
        <w:t xml:space="preserve"> „</w:t>
      </w:r>
      <w:r w:rsidRPr="00F37A2B">
        <w:rPr>
          <w:i/>
        </w:rPr>
        <w:t>snížit nezaměstnanost mladých osob</w:t>
      </w:r>
      <w:r w:rsidRPr="003D1C56">
        <w:t>“.</w:t>
      </w:r>
    </w:p>
    <w:p w14:paraId="44A67C03" w14:textId="77777777" w:rsidR="00EF553D" w:rsidRPr="003D1C56" w:rsidRDefault="00CD2800" w:rsidP="00EF553D">
      <w:pPr>
        <w:jc w:val="both"/>
      </w:pPr>
      <w:r w:rsidRPr="003D1C56">
        <w:rPr>
          <w:b/>
        </w:rPr>
        <w:t xml:space="preserve">Evidence účastníků projektu ZÁRUKY vedená ÚP neobsahovala v některých případech aktuální informace; </w:t>
      </w:r>
      <w:r w:rsidRPr="003D1C56">
        <w:t>několik účastníků bylo evidováno duplicitně, některé údaje nebyly kompletní.</w:t>
      </w:r>
    </w:p>
    <w:p w14:paraId="41F058D2" w14:textId="0D5D2ABC" w:rsidR="001C7285" w:rsidRPr="003D1C56" w:rsidRDefault="00291C07" w:rsidP="001C7285">
      <w:pPr>
        <w:jc w:val="both"/>
      </w:pPr>
      <w:r>
        <w:rPr>
          <w:b/>
        </w:rPr>
        <w:t>Vzhledem k výše uvedeným nedostatkům v monitorování dopadů nelze vyhodnotit e</w:t>
      </w:r>
      <w:r w:rsidR="00CD2800" w:rsidRPr="003D1C56">
        <w:rPr>
          <w:b/>
        </w:rPr>
        <w:t>fektivnost vyna</w:t>
      </w:r>
      <w:r w:rsidR="00C00DB9">
        <w:rPr>
          <w:b/>
        </w:rPr>
        <w:t>ložených</w:t>
      </w:r>
      <w:r w:rsidR="00CD2800" w:rsidRPr="003D1C56">
        <w:rPr>
          <w:b/>
        </w:rPr>
        <w:t xml:space="preserve"> prostředků </w:t>
      </w:r>
      <w:r w:rsidR="00CD2800" w:rsidRPr="003D1C56">
        <w:t xml:space="preserve">u žádného z kontrolovaných projektů. </w:t>
      </w:r>
    </w:p>
    <w:p w14:paraId="3C8C3B4B" w14:textId="77777777" w:rsidR="001C7285" w:rsidRPr="003D1C56" w:rsidRDefault="00CD2800" w:rsidP="007263E3">
      <w:pPr>
        <w:jc w:val="both"/>
        <w:rPr>
          <w:sz w:val="20"/>
          <w:szCs w:val="20"/>
        </w:rPr>
      </w:pPr>
      <w:r w:rsidRPr="003D1C56">
        <w:t xml:space="preserve">Řízená a koordinovaná </w:t>
      </w:r>
      <w:r w:rsidRPr="003D1C56">
        <w:rPr>
          <w:b/>
        </w:rPr>
        <w:t>návaznost dalších opatření APZ na již poskytnutou podporu prostřednictvím projektů OPZ neexistuje</w:t>
      </w:r>
      <w:r w:rsidRPr="00F37A2B">
        <w:rPr>
          <w:b/>
        </w:rPr>
        <w:t>,</w:t>
      </w:r>
      <w:r w:rsidRPr="003D1C56">
        <w:t xml:space="preserve"> to znamená, že není řešena udržitelnost projektových aktivit, které v rámci podpořených projektů zajišťuje pro své klienty ÚP. Dle sdělení ÚP není taková udržitelnost reálná</w:t>
      </w:r>
      <w:r w:rsidR="000E3EC4" w:rsidRPr="003D1C56">
        <w:t>,</w:t>
      </w:r>
      <w:r w:rsidRPr="003D1C56">
        <w:t xml:space="preserve"> zejména z důvodu nižšího rozpočtu APZ v porovnání s alokacemi OPZ.</w:t>
      </w:r>
      <w:r w:rsidR="000E3EC4" w:rsidRPr="003D1C56">
        <w:t xml:space="preserve"> </w:t>
      </w:r>
    </w:p>
    <w:p w14:paraId="6ACB7F44" w14:textId="77777777" w:rsidR="00780B4A" w:rsidRPr="003D1C56" w:rsidRDefault="00CD2800" w:rsidP="00B02A88">
      <w:pPr>
        <w:pStyle w:val="Nadpis3"/>
      </w:pPr>
      <w:r w:rsidRPr="003D1C56">
        <w:t>Hospodárnost</w:t>
      </w:r>
      <w:r w:rsidR="009E6946" w:rsidRPr="003D1C56">
        <w:t xml:space="preserve"> a soulad čerpání s právními předpis</w:t>
      </w:r>
      <w:r w:rsidR="00CF3AE3" w:rsidRPr="003D1C56">
        <w:t>y</w:t>
      </w:r>
      <w:r w:rsidRPr="003D1C56">
        <w:t xml:space="preserve"> </w:t>
      </w:r>
    </w:p>
    <w:p w14:paraId="1BDE376F" w14:textId="3B05E140" w:rsidR="007263E3" w:rsidRPr="003D1C56" w:rsidRDefault="00CD2800" w:rsidP="007263E3">
      <w:pPr>
        <w:jc w:val="both"/>
        <w:rPr>
          <w:rFonts w:cstheme="minorHAnsi"/>
        </w:rPr>
      </w:pPr>
      <w:r w:rsidRPr="003D1C56">
        <w:t>Kontrolou na vzorcích výdajových položek u vybraných</w:t>
      </w:r>
      <w:r w:rsidR="006400AB">
        <w:t xml:space="preserve"> projektů ZÁRUKY, INICIATIVA a </w:t>
      </w:r>
      <w:r w:rsidRPr="003D1C56">
        <w:t>TRANSFER</w:t>
      </w:r>
      <w:r w:rsidR="0068617D" w:rsidRPr="003D1C56">
        <w:t xml:space="preserve"> ověřil NKÚ, že </w:t>
      </w:r>
      <w:r w:rsidRPr="003D1C56">
        <w:rPr>
          <w:b/>
        </w:rPr>
        <w:t>výdaje v projektech byly vynaloženy v souladu s</w:t>
      </w:r>
      <w:r w:rsidR="005D3193" w:rsidRPr="003D1C56">
        <w:rPr>
          <w:b/>
        </w:rPr>
        <w:t> právními předpisy</w:t>
      </w:r>
      <w:r w:rsidR="005D3193" w:rsidRPr="00F37A2B">
        <w:rPr>
          <w:b/>
        </w:rPr>
        <w:t>,</w:t>
      </w:r>
      <w:r w:rsidR="005D3193" w:rsidRPr="003D1C56">
        <w:t xml:space="preserve"> </w:t>
      </w:r>
      <w:r w:rsidR="0072455B">
        <w:t xml:space="preserve">v souladu </w:t>
      </w:r>
      <w:r w:rsidR="005D3193" w:rsidRPr="003D1C56">
        <w:t xml:space="preserve">s </w:t>
      </w:r>
      <w:r w:rsidRPr="003D1C56">
        <w:t xml:space="preserve">pravidly způsobilosti </w:t>
      </w:r>
      <w:r w:rsidR="0068617D" w:rsidRPr="003D1C56">
        <w:t xml:space="preserve">stanovenými v podmínkách použití podpory </w:t>
      </w:r>
      <w:r w:rsidR="0072455B">
        <w:br/>
        <w:t>i v souladu s</w:t>
      </w:r>
      <w:r w:rsidR="0068617D" w:rsidRPr="003D1C56">
        <w:t> pravidl</w:t>
      </w:r>
      <w:r w:rsidR="0072455B">
        <w:t>y</w:t>
      </w:r>
      <w:r w:rsidR="0068617D" w:rsidRPr="003D1C56">
        <w:t xml:space="preserve"> </w:t>
      </w:r>
      <w:r w:rsidRPr="003D1C56">
        <w:t>OPZ</w:t>
      </w:r>
      <w:r w:rsidR="0068617D" w:rsidRPr="003D1C56">
        <w:t xml:space="preserve">. ÚP i ÚK v roli příjemců účtovaly řádně o veškerých výdajích projektů. </w:t>
      </w:r>
      <w:r w:rsidR="00F1677F">
        <w:t>Ve vztahu k </w:t>
      </w:r>
      <w:r w:rsidR="00E96878" w:rsidRPr="00E96878">
        <w:t>hospodárnosti nebyly nedostatky shledány u projektu TRANSFER Ústeckého kraje v oblasti zadávání veřejných zakázek ani v případech nákupů dodávek a služeb na základě objednávek</w:t>
      </w:r>
      <w:r>
        <w:rPr>
          <w:rStyle w:val="Znakapoznpodarou"/>
        </w:rPr>
        <w:footnoteReference w:id="52"/>
      </w:r>
      <w:r w:rsidR="00EC2B56">
        <w:t>. U projektů INICIATIVA a ZÁRUKY jsou nedostatky v oblasti hospodárnosti uvedeny</w:t>
      </w:r>
      <w:r w:rsidR="00BA33A2">
        <w:t xml:space="preserve"> v předchozím textu kontrolního závěru</w:t>
      </w:r>
      <w:r w:rsidR="00291C07">
        <w:t>.</w:t>
      </w:r>
      <w:r w:rsidRPr="003D1C56">
        <w:t xml:space="preserve"> </w:t>
      </w:r>
    </w:p>
    <w:p w14:paraId="37016E2C" w14:textId="77777777" w:rsidR="00EF48F1" w:rsidRPr="003D1C56" w:rsidRDefault="00226B51" w:rsidP="00B02A88">
      <w:pPr>
        <w:pStyle w:val="Nadpis3"/>
      </w:pPr>
      <w:r w:rsidRPr="00226B51">
        <w:t xml:space="preserve">Nápravná opatření ke zjištěním z KA č. 12/19 ve vztahu k </w:t>
      </w:r>
      <w:proofErr w:type="gramStart"/>
      <w:r w:rsidRPr="00226B51">
        <w:t>ÚP</w:t>
      </w:r>
      <w:proofErr w:type="gramEnd"/>
      <w:r w:rsidRPr="00226B51">
        <w:t xml:space="preserve"> n</w:t>
      </w:r>
      <w:r w:rsidR="003A614F">
        <w:t>ebyla</w:t>
      </w:r>
      <w:r w:rsidRPr="00226B51">
        <w:t xml:space="preserve"> úplná</w:t>
      </w:r>
    </w:p>
    <w:p w14:paraId="4CEC6773" w14:textId="184C7EE2" w:rsidR="00DB7683" w:rsidRPr="003D1C56" w:rsidRDefault="00CD2800" w:rsidP="005D3193">
      <w:pPr>
        <w:spacing w:after="0"/>
        <w:jc w:val="both"/>
      </w:pPr>
      <w:r w:rsidRPr="003D1C56">
        <w:t>Kontrolní akcí NKÚ č. 12/19 byly identifikovány některé nedostatky v administraci projektů</w:t>
      </w:r>
      <w:r w:rsidR="0072455B">
        <w:t>.</w:t>
      </w:r>
      <w:r w:rsidRPr="003D1C56">
        <w:t xml:space="preserve"> </w:t>
      </w:r>
      <w:r w:rsidR="0072455B">
        <w:t>NKÚ nyní tuto oblast znovu prověřil</w:t>
      </w:r>
      <w:r w:rsidRPr="003D1C56">
        <w:t xml:space="preserve"> a zjistil, že některé nedostatky přetrvávají i přes přijatá nápravná opatření. Přetrvávající nedostatky </w:t>
      </w:r>
      <w:r w:rsidR="005D3193" w:rsidRPr="003D1C56">
        <w:t xml:space="preserve">s vazbou na </w:t>
      </w:r>
      <w:r w:rsidRPr="003D1C56">
        <w:t>kontrolní akci</w:t>
      </w:r>
      <w:r w:rsidR="005D3193" w:rsidRPr="003D1C56">
        <w:t xml:space="preserve"> č. 12/19 lze shrnout následovně:</w:t>
      </w:r>
    </w:p>
    <w:p w14:paraId="24497BF9" w14:textId="12FC3A1F" w:rsidR="005D3193" w:rsidRPr="003D1C56" w:rsidRDefault="0072455B" w:rsidP="00AB5ED0">
      <w:pPr>
        <w:pStyle w:val="Odstavecseseznamem"/>
        <w:numPr>
          <w:ilvl w:val="0"/>
          <w:numId w:val="31"/>
        </w:numPr>
        <w:jc w:val="both"/>
      </w:pPr>
      <w:r>
        <w:t xml:space="preserve">Do </w:t>
      </w:r>
      <w:r w:rsidR="00CD2800" w:rsidRPr="003D1C56">
        <w:t>projekt</w:t>
      </w:r>
      <w:r>
        <w:t>ů</w:t>
      </w:r>
      <w:r w:rsidR="00CD2800" w:rsidRPr="003D1C56">
        <w:t xml:space="preserve"> jsou zapojeni zástupci CS splňující kritéria výz</w:t>
      </w:r>
      <w:r w:rsidR="009179CB" w:rsidRPr="003D1C56">
        <w:t>ev PO 1 OPZ</w:t>
      </w:r>
      <w:r w:rsidR="00CD2800" w:rsidRPr="003D1C56">
        <w:t>, avšak ÚP nenastavil další kritéria pro zařazování klientů do projektů, respektive do jednotlivých konkrétních klíčových aktivit</w:t>
      </w:r>
      <w:r>
        <w:t>.</w:t>
      </w:r>
    </w:p>
    <w:p w14:paraId="3225C717" w14:textId="212C02E4" w:rsidR="005D3193" w:rsidRPr="003D1C56" w:rsidRDefault="00CD2800" w:rsidP="00AB5ED0">
      <w:pPr>
        <w:pStyle w:val="Odstavecseseznamem"/>
        <w:numPr>
          <w:ilvl w:val="0"/>
          <w:numId w:val="31"/>
        </w:numPr>
        <w:jc w:val="both"/>
      </w:pPr>
      <w:r w:rsidRPr="003D1C56">
        <w:t>ÚP jako příjemce podpory nevedl přesnou a kompletní evidenci záznamů o účastnících projektu ZÁRUKY</w:t>
      </w:r>
      <w:r w:rsidR="009179CB" w:rsidRPr="003D1C56">
        <w:t xml:space="preserve">; </w:t>
      </w:r>
      <w:r w:rsidRPr="003D1C56">
        <w:t xml:space="preserve">nesprávné údaje </w:t>
      </w:r>
      <w:r w:rsidR="009179CB" w:rsidRPr="003D1C56">
        <w:t xml:space="preserve">týkající se </w:t>
      </w:r>
      <w:r w:rsidRPr="003D1C56">
        <w:t>monitorovací</w:t>
      </w:r>
      <w:r w:rsidR="009179CB" w:rsidRPr="003D1C56">
        <w:t xml:space="preserve">ch </w:t>
      </w:r>
      <w:r w:rsidRPr="003D1C56">
        <w:t>indikátorů a klíčový</w:t>
      </w:r>
      <w:r w:rsidR="009179CB" w:rsidRPr="003D1C56">
        <w:t>ch</w:t>
      </w:r>
      <w:r w:rsidRPr="003D1C56">
        <w:t xml:space="preserve"> aktivit vykazoval</w:t>
      </w:r>
      <w:r w:rsidR="00243374" w:rsidRPr="003D1C56">
        <w:t xml:space="preserve"> poskytovateli dotace</w:t>
      </w:r>
      <w:r w:rsidRPr="003D1C56">
        <w:t xml:space="preserve"> ve zprávách o realizaci</w:t>
      </w:r>
      <w:r w:rsidR="009179CB" w:rsidRPr="003D1C56">
        <w:t xml:space="preserve"> projekt</w:t>
      </w:r>
      <w:r w:rsidR="00243374" w:rsidRPr="003D1C56">
        <w:t>u</w:t>
      </w:r>
      <w:r w:rsidR="0072455B">
        <w:t>.</w:t>
      </w:r>
      <w:r w:rsidRPr="003D1C56">
        <w:t xml:space="preserve"> </w:t>
      </w:r>
    </w:p>
    <w:p w14:paraId="6E5389B4" w14:textId="10B407FB" w:rsidR="00BE3B5E" w:rsidRPr="003D1C56" w:rsidRDefault="00CD2800" w:rsidP="00F442B4">
      <w:pPr>
        <w:pStyle w:val="Odstavecseseznamem"/>
        <w:numPr>
          <w:ilvl w:val="0"/>
          <w:numId w:val="31"/>
        </w:numPr>
        <w:jc w:val="both"/>
      </w:pPr>
      <w:r w:rsidRPr="003D1C56">
        <w:t xml:space="preserve">ÚP </w:t>
      </w:r>
      <w:r w:rsidR="00243374" w:rsidRPr="003D1C56">
        <w:t xml:space="preserve">po ukončení účasti v projektu </w:t>
      </w:r>
      <w:r w:rsidRPr="003D1C56">
        <w:t>nesleduje, zda a jakým způsobem se účast v projektu projevila v dalším pracovním životě klientů</w:t>
      </w:r>
      <w:r w:rsidR="00243374" w:rsidRPr="003D1C56">
        <w:t>.</w:t>
      </w:r>
      <w:r w:rsidRPr="003D1C56">
        <w:t xml:space="preserve"> </w:t>
      </w:r>
    </w:p>
    <w:p w14:paraId="15D6C21E" w14:textId="77777777" w:rsidR="00D25F36" w:rsidRPr="003D1C56" w:rsidRDefault="00CD2800" w:rsidP="00EC2B56">
      <w:pPr>
        <w:pStyle w:val="Nadpis3"/>
        <w:ind w:left="0" w:firstLine="0"/>
      </w:pPr>
      <w:r w:rsidRPr="003D1C56">
        <w:t>Náklady na cílovou skupinu u vybraných projektových aktivit</w:t>
      </w:r>
    </w:p>
    <w:p w14:paraId="6AE1B8F6" w14:textId="7E609C35" w:rsidR="00D25F36" w:rsidRPr="003D1C56" w:rsidRDefault="00CD2800" w:rsidP="00D25F36">
      <w:pPr>
        <w:jc w:val="both"/>
      </w:pPr>
      <w:r w:rsidRPr="003D1C56">
        <w:t xml:space="preserve">Lze konstatovat, že významná část nákladů u všech tří kontrolovaných projektů směřuje na klíčové aktivity pro cílovou skupinu. </w:t>
      </w:r>
      <w:r w:rsidRPr="003D1C56">
        <w:rPr>
          <w:b/>
        </w:rPr>
        <w:t>Objemově nejvýznamnější položkou jsou mzdové příspěvky na dotovaná pracovní místa</w:t>
      </w:r>
      <w:r w:rsidRPr="004D4D13">
        <w:rPr>
          <w:b/>
        </w:rPr>
        <w:t>,</w:t>
      </w:r>
      <w:r w:rsidRPr="003D1C56">
        <w:t xml:space="preserve"> tj. přímá podpora účastníků projekt</w:t>
      </w:r>
      <w:r w:rsidR="0072455B">
        <w:t>ů:</w:t>
      </w:r>
      <w:r w:rsidRPr="003D1C56">
        <w:t xml:space="preserve"> </w:t>
      </w:r>
    </w:p>
    <w:p w14:paraId="70819AD1" w14:textId="6DAE8C5F" w:rsidR="00CE52AE" w:rsidRPr="003D1C56" w:rsidRDefault="0072455B" w:rsidP="00CE52AE">
      <w:pPr>
        <w:pStyle w:val="Odstavecseseznamem"/>
        <w:numPr>
          <w:ilvl w:val="0"/>
          <w:numId w:val="27"/>
        </w:numPr>
        <w:spacing w:after="0"/>
        <w:jc w:val="both"/>
      </w:pPr>
      <w:r>
        <w:t>p</w:t>
      </w:r>
      <w:r w:rsidR="00CD2800" w:rsidRPr="003D1C56">
        <w:t>rojekt ZÁRUKY</w:t>
      </w:r>
      <w:r w:rsidR="007D0D8E" w:rsidRPr="003D1C56">
        <w:t xml:space="preserve">: </w:t>
      </w:r>
      <w:r w:rsidR="00CD2800" w:rsidRPr="003D1C56">
        <w:rPr>
          <w:b/>
        </w:rPr>
        <w:t>výdaje na přímou podporu CS činí 67,42 %</w:t>
      </w:r>
      <w:r w:rsidR="00295CE1" w:rsidRPr="003D1C56">
        <w:rPr>
          <w:b/>
        </w:rPr>
        <w:t xml:space="preserve"> </w:t>
      </w:r>
      <w:r w:rsidR="00CD2800" w:rsidRPr="003D1C56">
        <w:t>schváleného rozpočtu;</w:t>
      </w:r>
    </w:p>
    <w:p w14:paraId="371D4208" w14:textId="530F29C9" w:rsidR="00CE52AE" w:rsidRPr="003D1C56" w:rsidRDefault="0072455B" w:rsidP="00CE52AE">
      <w:pPr>
        <w:pStyle w:val="Odstavecseseznamem"/>
        <w:numPr>
          <w:ilvl w:val="0"/>
          <w:numId w:val="27"/>
        </w:numPr>
        <w:spacing w:after="0"/>
        <w:jc w:val="both"/>
      </w:pPr>
      <w:r>
        <w:t>p</w:t>
      </w:r>
      <w:r w:rsidR="00CD2800" w:rsidRPr="003D1C56">
        <w:t>rojekt INICIATIVA</w:t>
      </w:r>
      <w:r w:rsidR="007D0D8E" w:rsidRPr="003D1C56">
        <w:t>:</w:t>
      </w:r>
      <w:r w:rsidR="00CD2800" w:rsidRPr="003D1C56">
        <w:t xml:space="preserve"> </w:t>
      </w:r>
      <w:r w:rsidR="00CD2800" w:rsidRPr="003D1C56">
        <w:rPr>
          <w:b/>
        </w:rPr>
        <w:t xml:space="preserve">výdaje na přímou podporu CS činí 65,13 % </w:t>
      </w:r>
      <w:r w:rsidR="00CD2800" w:rsidRPr="003D1C56">
        <w:t>schváleného rozpočtu;</w:t>
      </w:r>
    </w:p>
    <w:p w14:paraId="787AFB5A" w14:textId="47862830" w:rsidR="00CE52AE" w:rsidRPr="003D1C56" w:rsidRDefault="0072455B" w:rsidP="00CE52AE">
      <w:pPr>
        <w:pStyle w:val="Odstavecseseznamem"/>
        <w:numPr>
          <w:ilvl w:val="0"/>
          <w:numId w:val="27"/>
        </w:numPr>
        <w:jc w:val="both"/>
      </w:pPr>
      <w:r>
        <w:t>p</w:t>
      </w:r>
      <w:r w:rsidR="00CD2800" w:rsidRPr="003D1C56">
        <w:t>rojekt TRANSFER</w:t>
      </w:r>
      <w:r w:rsidR="007D0D8E" w:rsidRPr="003D1C56">
        <w:t xml:space="preserve">: </w:t>
      </w:r>
      <w:r w:rsidR="00CD2800" w:rsidRPr="003D1C56">
        <w:rPr>
          <w:b/>
        </w:rPr>
        <w:t xml:space="preserve">výdaje na přímou podporu CS činí 51,99 % </w:t>
      </w:r>
      <w:r w:rsidR="00CD2800" w:rsidRPr="003D1C56">
        <w:t>schváleného rozpočtu.</w:t>
      </w:r>
    </w:p>
    <w:p w14:paraId="2109B2B8" w14:textId="6EAD4F1F" w:rsidR="00295CE1" w:rsidRPr="003D1C56" w:rsidRDefault="00CD2800" w:rsidP="00AB5ED0">
      <w:pPr>
        <w:jc w:val="both"/>
      </w:pPr>
      <w:r w:rsidRPr="003D1C56">
        <w:t xml:space="preserve">V projektech ZÁRUKY, INICIATIVA a TRANSFER bylo </w:t>
      </w:r>
      <w:r w:rsidR="00452601" w:rsidRPr="003D1C56">
        <w:t>k</w:t>
      </w:r>
      <w:r w:rsidR="0072455B">
        <w:t xml:space="preserve"> </w:t>
      </w:r>
      <w:r w:rsidR="00452601" w:rsidRPr="003D1C56">
        <w:t xml:space="preserve">31. 12. 2018 </w:t>
      </w:r>
      <w:r w:rsidRPr="003D1C56">
        <w:t>zprostředkováno</w:t>
      </w:r>
      <w:r w:rsidR="00260533" w:rsidRPr="003D1C56">
        <w:t xml:space="preserve"> zaměstnání na společensky účelných </w:t>
      </w:r>
      <w:r w:rsidRPr="003D1C56">
        <w:t>pracovních míst</w:t>
      </w:r>
      <w:r w:rsidR="00260533" w:rsidRPr="003D1C56">
        <w:t>ech</w:t>
      </w:r>
      <w:r w:rsidR="00FE042B" w:rsidRPr="003D1C56">
        <w:t xml:space="preserve"> pro 2 725 klientů</w:t>
      </w:r>
      <w:r w:rsidRPr="003D1C56">
        <w:t xml:space="preserve">. </w:t>
      </w:r>
      <w:r w:rsidR="00CD7598" w:rsidRPr="003D1C56">
        <w:t>M</w:t>
      </w:r>
      <w:r w:rsidR="00A5654E" w:rsidRPr="003D1C56">
        <w:t xml:space="preserve">zdové </w:t>
      </w:r>
      <w:r w:rsidRPr="003D1C56">
        <w:t xml:space="preserve">náklady spojené s touto aktivitou </w:t>
      </w:r>
      <w:r w:rsidR="00A5654E" w:rsidRPr="003D1C56">
        <w:t xml:space="preserve">(mzdové příspěvky) </w:t>
      </w:r>
      <w:r w:rsidRPr="003D1C56">
        <w:t xml:space="preserve">dosáhly </w:t>
      </w:r>
      <w:r w:rsidR="00620983">
        <w:t>cca 3</w:t>
      </w:r>
      <w:r w:rsidR="00291C07">
        <w:t>79</w:t>
      </w:r>
      <w:r w:rsidR="00620983">
        <w:t xml:space="preserve"> m</w:t>
      </w:r>
      <w:r w:rsidRPr="003D1C56">
        <w:t xml:space="preserve">il. Kč. Podrobnosti k počtu poskytnutých pracovních míst uvádí tabulka č. </w:t>
      </w:r>
      <w:r w:rsidR="00FE042B" w:rsidRPr="003D1C56">
        <w:t>6</w:t>
      </w:r>
      <w:r w:rsidRPr="003D1C56">
        <w:t>.</w:t>
      </w:r>
    </w:p>
    <w:p w14:paraId="0C19FC9C" w14:textId="4682B40A" w:rsidR="00AE7F7C" w:rsidRPr="003D1C56" w:rsidRDefault="00CD2800" w:rsidP="00964CF0">
      <w:pPr>
        <w:keepNext/>
        <w:keepLines/>
        <w:spacing w:before="240" w:after="0"/>
        <w:jc w:val="both"/>
        <w:rPr>
          <w:iCs/>
        </w:rPr>
      </w:pPr>
      <w:r w:rsidRPr="003D1C56">
        <w:rPr>
          <w:iCs/>
        </w:rPr>
        <w:t xml:space="preserve">Tabulka č. </w:t>
      </w:r>
      <w:r w:rsidRPr="003D1C56">
        <w:rPr>
          <w:iCs/>
        </w:rPr>
        <w:fldChar w:fldCharType="begin"/>
      </w:r>
      <w:r w:rsidRPr="003D1C56">
        <w:rPr>
          <w:iCs/>
        </w:rPr>
        <w:instrText xml:space="preserve"> SEQ Tabulka_č. \* ARABIC </w:instrText>
      </w:r>
      <w:r w:rsidRPr="003D1C56">
        <w:rPr>
          <w:iCs/>
        </w:rPr>
        <w:fldChar w:fldCharType="separate"/>
      </w:r>
      <w:r w:rsidR="00996C4C">
        <w:rPr>
          <w:iCs/>
          <w:noProof/>
        </w:rPr>
        <w:t>6</w:t>
      </w:r>
      <w:r w:rsidRPr="003D1C56">
        <w:rPr>
          <w:iCs/>
        </w:rPr>
        <w:fldChar w:fldCharType="end"/>
      </w:r>
      <w:r w:rsidRPr="003D1C56">
        <w:rPr>
          <w:iCs/>
        </w:rPr>
        <w:t xml:space="preserve">: </w:t>
      </w:r>
      <w:r w:rsidR="001B6995" w:rsidRPr="003D1C56">
        <w:rPr>
          <w:iCs/>
        </w:rPr>
        <w:t>Z</w:t>
      </w:r>
      <w:r w:rsidRPr="003D1C56">
        <w:rPr>
          <w:iCs/>
        </w:rPr>
        <w:t>prostře</w:t>
      </w:r>
      <w:r w:rsidR="00452601" w:rsidRPr="003D1C56">
        <w:rPr>
          <w:iCs/>
        </w:rPr>
        <w:t>d</w:t>
      </w:r>
      <w:r w:rsidRPr="003D1C56">
        <w:rPr>
          <w:iCs/>
        </w:rPr>
        <w:t>kovan</w:t>
      </w:r>
      <w:r w:rsidR="001B6995" w:rsidRPr="003D1C56">
        <w:rPr>
          <w:iCs/>
        </w:rPr>
        <w:t xml:space="preserve">á </w:t>
      </w:r>
      <w:r w:rsidR="00752F6D" w:rsidRPr="003D1C56">
        <w:rPr>
          <w:iCs/>
        </w:rPr>
        <w:t xml:space="preserve">zaměstnání na </w:t>
      </w:r>
      <w:r w:rsidR="001B6995" w:rsidRPr="003D1C56">
        <w:rPr>
          <w:iCs/>
        </w:rPr>
        <w:t xml:space="preserve">SÚPM </w:t>
      </w:r>
      <w:r w:rsidRPr="003D1C56">
        <w:rPr>
          <w:iCs/>
        </w:rPr>
        <w:t>v kontrolovaných projektech</w:t>
      </w:r>
    </w:p>
    <w:tbl>
      <w:tblPr>
        <w:tblW w:w="9063" w:type="dxa"/>
        <w:tblInd w:w="-5" w:type="dxa"/>
        <w:tblCellMar>
          <w:left w:w="70" w:type="dxa"/>
          <w:right w:w="70" w:type="dxa"/>
        </w:tblCellMar>
        <w:tblLook w:val="04A0" w:firstRow="1" w:lastRow="0" w:firstColumn="1" w:lastColumn="0" w:noHBand="0" w:noVBand="1"/>
      </w:tblPr>
      <w:tblGrid>
        <w:gridCol w:w="2240"/>
        <w:gridCol w:w="3000"/>
        <w:gridCol w:w="2240"/>
        <w:gridCol w:w="1583"/>
      </w:tblGrid>
      <w:tr w:rsidR="00C76F45" w14:paraId="291A8594" w14:textId="77777777" w:rsidTr="00320B90">
        <w:trPr>
          <w:trHeight w:val="852"/>
        </w:trPr>
        <w:tc>
          <w:tcPr>
            <w:tcW w:w="2240" w:type="dxa"/>
            <w:tcBorders>
              <w:top w:val="single" w:sz="8" w:space="0" w:color="auto"/>
              <w:left w:val="single" w:sz="8" w:space="0" w:color="auto"/>
              <w:bottom w:val="single" w:sz="8" w:space="0" w:color="auto"/>
              <w:right w:val="single" w:sz="8" w:space="0" w:color="auto"/>
            </w:tcBorders>
            <w:shd w:val="clear" w:color="auto" w:fill="E5F1FF"/>
            <w:vAlign w:val="center"/>
            <w:hideMark/>
          </w:tcPr>
          <w:p w14:paraId="5BFCB640" w14:textId="77777777" w:rsidR="00320B90" w:rsidRPr="003D1C56" w:rsidRDefault="00CD2800" w:rsidP="00964CF0">
            <w:pPr>
              <w:keepNext/>
              <w:keepLines/>
              <w:spacing w:after="0"/>
              <w:jc w:val="center"/>
              <w:rPr>
                <w:rFonts w:ascii="Calibri" w:hAnsi="Calibri" w:cs="Calibri"/>
                <w:b/>
                <w:bCs/>
                <w:color w:val="000000"/>
                <w:sz w:val="20"/>
                <w:szCs w:val="20"/>
              </w:rPr>
            </w:pPr>
            <w:r w:rsidRPr="003D1C56">
              <w:rPr>
                <w:b/>
                <w:bCs/>
                <w:color w:val="000000"/>
                <w:sz w:val="20"/>
                <w:szCs w:val="20"/>
              </w:rPr>
              <w:t>Projekt</w:t>
            </w:r>
          </w:p>
        </w:tc>
        <w:tc>
          <w:tcPr>
            <w:tcW w:w="3000" w:type="dxa"/>
            <w:tcBorders>
              <w:top w:val="single" w:sz="8" w:space="0" w:color="auto"/>
              <w:left w:val="nil"/>
              <w:bottom w:val="single" w:sz="8" w:space="0" w:color="auto"/>
              <w:right w:val="single" w:sz="8" w:space="0" w:color="auto"/>
            </w:tcBorders>
            <w:shd w:val="clear" w:color="auto" w:fill="E5F1FF"/>
            <w:vAlign w:val="center"/>
            <w:hideMark/>
          </w:tcPr>
          <w:p w14:paraId="08E89D54" w14:textId="341618CA" w:rsidR="00320B90" w:rsidRPr="003D1C56" w:rsidRDefault="00CD2800" w:rsidP="00202567">
            <w:pPr>
              <w:keepNext/>
              <w:keepLines/>
              <w:spacing w:after="0"/>
              <w:jc w:val="center"/>
              <w:rPr>
                <w:rFonts w:ascii="Calibri" w:hAnsi="Calibri" w:cs="Calibri"/>
                <w:b/>
                <w:bCs/>
                <w:color w:val="000000"/>
                <w:sz w:val="20"/>
                <w:szCs w:val="20"/>
              </w:rPr>
            </w:pPr>
            <w:r w:rsidRPr="003D1C56">
              <w:rPr>
                <w:b/>
                <w:bCs/>
                <w:color w:val="000000"/>
                <w:sz w:val="20"/>
                <w:szCs w:val="20"/>
              </w:rPr>
              <w:t xml:space="preserve">Počet klientů zařazených na dotované pracovní místo </w:t>
            </w:r>
            <w:r w:rsidR="0072455B">
              <w:rPr>
                <w:b/>
                <w:bCs/>
                <w:color w:val="000000"/>
                <w:sz w:val="20"/>
                <w:szCs w:val="20"/>
              </w:rPr>
              <w:br/>
            </w:r>
            <w:r w:rsidRPr="003D1C56">
              <w:rPr>
                <w:b/>
                <w:bCs/>
                <w:color w:val="000000"/>
                <w:sz w:val="20"/>
                <w:szCs w:val="20"/>
              </w:rPr>
              <w:t xml:space="preserve">(SÚPM </w:t>
            </w:r>
            <w:r w:rsidR="0072455B">
              <w:rPr>
                <w:b/>
                <w:bCs/>
                <w:color w:val="000000"/>
                <w:sz w:val="20"/>
                <w:szCs w:val="20"/>
              </w:rPr>
              <w:t>–</w:t>
            </w:r>
            <w:r w:rsidRPr="003D1C56">
              <w:rPr>
                <w:b/>
                <w:bCs/>
                <w:color w:val="000000"/>
                <w:sz w:val="20"/>
                <w:szCs w:val="20"/>
              </w:rPr>
              <w:t xml:space="preserve"> </w:t>
            </w:r>
            <w:r w:rsidR="0072455B">
              <w:rPr>
                <w:b/>
                <w:bCs/>
                <w:i/>
                <w:iCs/>
                <w:color w:val="000000"/>
                <w:sz w:val="20"/>
                <w:szCs w:val="20"/>
              </w:rPr>
              <w:t>o</w:t>
            </w:r>
            <w:r w:rsidRPr="003D1C56">
              <w:rPr>
                <w:b/>
                <w:bCs/>
                <w:i/>
                <w:iCs/>
                <w:color w:val="000000"/>
                <w:sz w:val="20"/>
                <w:szCs w:val="20"/>
              </w:rPr>
              <w:t>dborná praxe</w:t>
            </w:r>
            <w:r w:rsidRPr="00F37A2B">
              <w:rPr>
                <w:b/>
                <w:bCs/>
                <w:iCs/>
                <w:color w:val="000000"/>
                <w:sz w:val="20"/>
                <w:szCs w:val="20"/>
              </w:rPr>
              <w:t>)</w:t>
            </w:r>
          </w:p>
        </w:tc>
        <w:tc>
          <w:tcPr>
            <w:tcW w:w="2240" w:type="dxa"/>
            <w:tcBorders>
              <w:top w:val="single" w:sz="8" w:space="0" w:color="auto"/>
              <w:left w:val="nil"/>
              <w:bottom w:val="single" w:sz="8" w:space="0" w:color="auto"/>
              <w:right w:val="single" w:sz="8" w:space="0" w:color="auto"/>
            </w:tcBorders>
            <w:shd w:val="clear" w:color="auto" w:fill="E5F1FF"/>
            <w:vAlign w:val="center"/>
            <w:hideMark/>
          </w:tcPr>
          <w:p w14:paraId="5EE85E74" w14:textId="77777777" w:rsidR="00320B90" w:rsidRPr="003D1C56" w:rsidRDefault="00CD2800" w:rsidP="00964CF0">
            <w:pPr>
              <w:keepNext/>
              <w:keepLines/>
              <w:spacing w:after="0"/>
              <w:jc w:val="center"/>
              <w:rPr>
                <w:rFonts w:ascii="Calibri" w:hAnsi="Calibri" w:cs="Calibri"/>
                <w:b/>
                <w:bCs/>
                <w:color w:val="000000"/>
                <w:sz w:val="20"/>
                <w:szCs w:val="20"/>
              </w:rPr>
            </w:pPr>
            <w:r w:rsidRPr="003D1C56">
              <w:rPr>
                <w:b/>
                <w:bCs/>
                <w:color w:val="000000"/>
                <w:sz w:val="20"/>
                <w:szCs w:val="20"/>
              </w:rPr>
              <w:t>Mzdové příspěvky (v Kč)</w:t>
            </w:r>
          </w:p>
        </w:tc>
        <w:tc>
          <w:tcPr>
            <w:tcW w:w="1583" w:type="dxa"/>
            <w:tcBorders>
              <w:top w:val="single" w:sz="8" w:space="0" w:color="auto"/>
              <w:left w:val="nil"/>
              <w:bottom w:val="single" w:sz="8" w:space="0" w:color="auto"/>
              <w:right w:val="single" w:sz="8" w:space="0" w:color="auto"/>
            </w:tcBorders>
            <w:shd w:val="clear" w:color="auto" w:fill="E5F1FF"/>
            <w:vAlign w:val="center"/>
          </w:tcPr>
          <w:p w14:paraId="137C7829" w14:textId="77777777" w:rsidR="00320B90" w:rsidRPr="003D1C56" w:rsidRDefault="00CD2800" w:rsidP="00964CF0">
            <w:pPr>
              <w:keepNext/>
              <w:keepLines/>
              <w:spacing w:after="0"/>
              <w:jc w:val="center"/>
              <w:rPr>
                <w:rFonts w:ascii="Calibri" w:hAnsi="Calibri" w:cs="Calibri"/>
                <w:b/>
                <w:bCs/>
                <w:color w:val="000000"/>
                <w:sz w:val="20"/>
                <w:szCs w:val="20"/>
              </w:rPr>
            </w:pPr>
            <w:r w:rsidRPr="003D1C56">
              <w:rPr>
                <w:b/>
                <w:bCs/>
                <w:color w:val="000000"/>
                <w:sz w:val="20"/>
                <w:szCs w:val="20"/>
              </w:rPr>
              <w:t>Průměrná výše příspěvku na podpořenou osobu (v Kč)</w:t>
            </w:r>
          </w:p>
        </w:tc>
      </w:tr>
      <w:tr w:rsidR="00C76F45" w14:paraId="5DF9B77A" w14:textId="77777777" w:rsidTr="004D4D13">
        <w:trPr>
          <w:trHeight w:val="283"/>
        </w:trPr>
        <w:tc>
          <w:tcPr>
            <w:tcW w:w="2240" w:type="dxa"/>
            <w:tcBorders>
              <w:top w:val="nil"/>
              <w:left w:val="single" w:sz="8" w:space="0" w:color="auto"/>
              <w:bottom w:val="single" w:sz="8" w:space="0" w:color="auto"/>
              <w:right w:val="single" w:sz="8" w:space="0" w:color="auto"/>
            </w:tcBorders>
            <w:noWrap/>
            <w:vAlign w:val="center"/>
            <w:hideMark/>
          </w:tcPr>
          <w:p w14:paraId="79833995" w14:textId="77777777" w:rsidR="00320B90" w:rsidRPr="003D1C56" w:rsidRDefault="00CD2800" w:rsidP="004D4D13">
            <w:pPr>
              <w:keepNext/>
              <w:keepLines/>
              <w:spacing w:after="0"/>
              <w:rPr>
                <w:rFonts w:ascii="Calibri" w:hAnsi="Calibri" w:cs="Calibri"/>
                <w:color w:val="000000"/>
                <w:sz w:val="20"/>
                <w:szCs w:val="20"/>
              </w:rPr>
            </w:pPr>
            <w:r w:rsidRPr="003D1C56">
              <w:rPr>
                <w:color w:val="000000"/>
                <w:sz w:val="20"/>
                <w:szCs w:val="20"/>
              </w:rPr>
              <w:t>ZÁRUKY</w:t>
            </w:r>
          </w:p>
        </w:tc>
        <w:tc>
          <w:tcPr>
            <w:tcW w:w="3000" w:type="dxa"/>
            <w:tcBorders>
              <w:top w:val="nil"/>
              <w:left w:val="nil"/>
              <w:bottom w:val="single" w:sz="8" w:space="0" w:color="auto"/>
              <w:right w:val="single" w:sz="8" w:space="0" w:color="auto"/>
            </w:tcBorders>
            <w:noWrap/>
            <w:vAlign w:val="center"/>
            <w:hideMark/>
          </w:tcPr>
          <w:p w14:paraId="3A44F986" w14:textId="77777777" w:rsidR="00320B90" w:rsidRPr="003D1C56" w:rsidRDefault="00CD2800" w:rsidP="004D4D13">
            <w:pPr>
              <w:keepNext/>
              <w:keepLines/>
              <w:spacing w:after="0"/>
              <w:ind w:right="57"/>
              <w:jc w:val="right"/>
              <w:rPr>
                <w:rFonts w:ascii="Calibri" w:hAnsi="Calibri" w:cs="Calibri"/>
                <w:color w:val="000000"/>
                <w:sz w:val="20"/>
                <w:szCs w:val="20"/>
              </w:rPr>
            </w:pPr>
            <w:r w:rsidRPr="003D1C56">
              <w:rPr>
                <w:color w:val="000000"/>
                <w:sz w:val="20"/>
                <w:szCs w:val="20"/>
              </w:rPr>
              <w:t>216</w:t>
            </w:r>
          </w:p>
        </w:tc>
        <w:tc>
          <w:tcPr>
            <w:tcW w:w="2240" w:type="dxa"/>
            <w:tcBorders>
              <w:top w:val="nil"/>
              <w:left w:val="nil"/>
              <w:bottom w:val="single" w:sz="8" w:space="0" w:color="auto"/>
              <w:right w:val="single" w:sz="8" w:space="0" w:color="auto"/>
            </w:tcBorders>
            <w:noWrap/>
            <w:vAlign w:val="center"/>
            <w:hideMark/>
          </w:tcPr>
          <w:p w14:paraId="03254ED8" w14:textId="77777777" w:rsidR="00320B90" w:rsidRPr="003D1C56" w:rsidRDefault="00CD2800" w:rsidP="004D4D13">
            <w:pPr>
              <w:keepNext/>
              <w:keepLines/>
              <w:spacing w:after="0"/>
              <w:ind w:right="57"/>
              <w:jc w:val="right"/>
              <w:rPr>
                <w:rFonts w:ascii="Calibri" w:hAnsi="Calibri" w:cs="Calibri"/>
                <w:color w:val="000000"/>
                <w:sz w:val="20"/>
                <w:szCs w:val="20"/>
              </w:rPr>
            </w:pPr>
            <w:r w:rsidRPr="003D1C56">
              <w:rPr>
                <w:color w:val="000000"/>
                <w:sz w:val="20"/>
                <w:szCs w:val="20"/>
              </w:rPr>
              <w:t>18 117 819</w:t>
            </w:r>
          </w:p>
        </w:tc>
        <w:tc>
          <w:tcPr>
            <w:tcW w:w="1583" w:type="dxa"/>
            <w:tcBorders>
              <w:top w:val="nil"/>
              <w:left w:val="nil"/>
              <w:bottom w:val="single" w:sz="8" w:space="0" w:color="auto"/>
              <w:right w:val="single" w:sz="8" w:space="0" w:color="auto"/>
            </w:tcBorders>
            <w:vAlign w:val="center"/>
          </w:tcPr>
          <w:p w14:paraId="494E5AAF" w14:textId="77777777" w:rsidR="00320B90" w:rsidRPr="003D1C56" w:rsidRDefault="00CD2800" w:rsidP="004D4D13">
            <w:pPr>
              <w:keepNext/>
              <w:keepLines/>
              <w:spacing w:after="0"/>
              <w:ind w:right="57"/>
              <w:jc w:val="right"/>
              <w:rPr>
                <w:rFonts w:ascii="Calibri" w:hAnsi="Calibri" w:cs="Calibri"/>
                <w:color w:val="000000"/>
                <w:sz w:val="20"/>
                <w:szCs w:val="20"/>
              </w:rPr>
            </w:pPr>
            <w:r w:rsidRPr="003D1C56">
              <w:rPr>
                <w:color w:val="000000"/>
                <w:sz w:val="20"/>
                <w:szCs w:val="20"/>
              </w:rPr>
              <w:t>83 879</w:t>
            </w:r>
          </w:p>
        </w:tc>
      </w:tr>
      <w:tr w:rsidR="00C76F45" w14:paraId="3B3339D2" w14:textId="77777777" w:rsidTr="004D4D13">
        <w:trPr>
          <w:trHeight w:val="283"/>
        </w:trPr>
        <w:tc>
          <w:tcPr>
            <w:tcW w:w="2240" w:type="dxa"/>
            <w:tcBorders>
              <w:top w:val="nil"/>
              <w:left w:val="single" w:sz="8" w:space="0" w:color="auto"/>
              <w:bottom w:val="single" w:sz="8" w:space="0" w:color="auto"/>
              <w:right w:val="single" w:sz="8" w:space="0" w:color="auto"/>
            </w:tcBorders>
            <w:noWrap/>
            <w:vAlign w:val="center"/>
            <w:hideMark/>
          </w:tcPr>
          <w:p w14:paraId="5000B43D" w14:textId="77777777" w:rsidR="00320B90" w:rsidRPr="003D1C56" w:rsidRDefault="00CD2800" w:rsidP="004D4D13">
            <w:pPr>
              <w:keepNext/>
              <w:keepLines/>
              <w:spacing w:after="0"/>
              <w:rPr>
                <w:rFonts w:ascii="Calibri" w:hAnsi="Calibri" w:cs="Calibri"/>
                <w:color w:val="000000"/>
                <w:sz w:val="20"/>
                <w:szCs w:val="20"/>
              </w:rPr>
            </w:pPr>
            <w:r w:rsidRPr="003D1C56">
              <w:rPr>
                <w:color w:val="000000"/>
                <w:sz w:val="20"/>
                <w:szCs w:val="20"/>
              </w:rPr>
              <w:t>INICIATIVA</w:t>
            </w:r>
          </w:p>
        </w:tc>
        <w:tc>
          <w:tcPr>
            <w:tcW w:w="3000" w:type="dxa"/>
            <w:tcBorders>
              <w:top w:val="nil"/>
              <w:left w:val="nil"/>
              <w:bottom w:val="single" w:sz="8" w:space="0" w:color="auto"/>
              <w:right w:val="single" w:sz="8" w:space="0" w:color="auto"/>
            </w:tcBorders>
            <w:noWrap/>
            <w:vAlign w:val="center"/>
            <w:hideMark/>
          </w:tcPr>
          <w:p w14:paraId="460F57BC" w14:textId="77777777" w:rsidR="00320B90" w:rsidRPr="003D1C56" w:rsidRDefault="00CD2800" w:rsidP="004D4D13">
            <w:pPr>
              <w:keepNext/>
              <w:keepLines/>
              <w:spacing w:after="0"/>
              <w:ind w:right="57"/>
              <w:jc w:val="right"/>
              <w:rPr>
                <w:rFonts w:ascii="Calibri" w:hAnsi="Calibri" w:cs="Calibri"/>
                <w:color w:val="000000"/>
                <w:sz w:val="20"/>
                <w:szCs w:val="20"/>
              </w:rPr>
            </w:pPr>
            <w:r w:rsidRPr="003D1C56">
              <w:rPr>
                <w:color w:val="000000"/>
                <w:sz w:val="20"/>
                <w:szCs w:val="20"/>
              </w:rPr>
              <w:t>2 272</w:t>
            </w:r>
          </w:p>
        </w:tc>
        <w:tc>
          <w:tcPr>
            <w:tcW w:w="2240" w:type="dxa"/>
            <w:tcBorders>
              <w:top w:val="nil"/>
              <w:left w:val="nil"/>
              <w:bottom w:val="single" w:sz="8" w:space="0" w:color="auto"/>
              <w:right w:val="single" w:sz="8" w:space="0" w:color="auto"/>
            </w:tcBorders>
            <w:noWrap/>
            <w:vAlign w:val="center"/>
            <w:hideMark/>
          </w:tcPr>
          <w:p w14:paraId="55A59D63" w14:textId="77777777" w:rsidR="00320B90" w:rsidRPr="003D1C56" w:rsidRDefault="00CD2800" w:rsidP="004D4D13">
            <w:pPr>
              <w:keepNext/>
              <w:keepLines/>
              <w:spacing w:after="0"/>
              <w:ind w:right="57"/>
              <w:jc w:val="right"/>
              <w:rPr>
                <w:rFonts w:ascii="Calibri" w:hAnsi="Calibri" w:cs="Calibri"/>
                <w:color w:val="000000"/>
                <w:sz w:val="20"/>
                <w:szCs w:val="20"/>
              </w:rPr>
            </w:pPr>
            <w:r w:rsidRPr="003D1C56">
              <w:rPr>
                <w:sz w:val="20"/>
                <w:szCs w:val="20"/>
              </w:rPr>
              <w:t>317 412 421</w:t>
            </w:r>
          </w:p>
        </w:tc>
        <w:tc>
          <w:tcPr>
            <w:tcW w:w="1583" w:type="dxa"/>
            <w:tcBorders>
              <w:top w:val="nil"/>
              <w:left w:val="nil"/>
              <w:bottom w:val="single" w:sz="8" w:space="0" w:color="auto"/>
              <w:right w:val="single" w:sz="8" w:space="0" w:color="auto"/>
            </w:tcBorders>
            <w:vAlign w:val="center"/>
          </w:tcPr>
          <w:p w14:paraId="4D93D3DA" w14:textId="77777777" w:rsidR="00320B90" w:rsidRPr="003D1C56" w:rsidRDefault="00CD2800" w:rsidP="004D4D13">
            <w:pPr>
              <w:keepNext/>
              <w:keepLines/>
              <w:spacing w:after="0"/>
              <w:ind w:right="57"/>
              <w:jc w:val="right"/>
              <w:rPr>
                <w:rFonts w:ascii="Calibri" w:hAnsi="Calibri" w:cs="Calibri"/>
                <w:color w:val="000000"/>
                <w:sz w:val="20"/>
                <w:szCs w:val="20"/>
              </w:rPr>
            </w:pPr>
            <w:r w:rsidRPr="003D1C56">
              <w:rPr>
                <w:color w:val="000000"/>
                <w:sz w:val="20"/>
                <w:szCs w:val="20"/>
              </w:rPr>
              <w:t>139 706</w:t>
            </w:r>
          </w:p>
        </w:tc>
      </w:tr>
      <w:tr w:rsidR="00C76F45" w14:paraId="00B06C20" w14:textId="77777777" w:rsidTr="004D4D13">
        <w:trPr>
          <w:trHeight w:val="283"/>
        </w:trPr>
        <w:tc>
          <w:tcPr>
            <w:tcW w:w="2240" w:type="dxa"/>
            <w:tcBorders>
              <w:top w:val="nil"/>
              <w:left w:val="single" w:sz="8" w:space="0" w:color="auto"/>
              <w:bottom w:val="single" w:sz="8" w:space="0" w:color="auto"/>
              <w:right w:val="single" w:sz="8" w:space="0" w:color="auto"/>
            </w:tcBorders>
            <w:noWrap/>
            <w:vAlign w:val="center"/>
            <w:hideMark/>
          </w:tcPr>
          <w:p w14:paraId="373E0F25" w14:textId="77777777" w:rsidR="00320B90" w:rsidRPr="003D1C56" w:rsidRDefault="00CD2800" w:rsidP="004D4D13">
            <w:pPr>
              <w:keepNext/>
              <w:keepLines/>
              <w:spacing w:after="0"/>
              <w:rPr>
                <w:rFonts w:ascii="Calibri" w:hAnsi="Calibri" w:cs="Calibri"/>
                <w:color w:val="000000"/>
                <w:sz w:val="20"/>
                <w:szCs w:val="20"/>
              </w:rPr>
            </w:pPr>
            <w:r w:rsidRPr="003D1C56">
              <w:rPr>
                <w:color w:val="000000"/>
                <w:sz w:val="20"/>
                <w:szCs w:val="20"/>
              </w:rPr>
              <w:t>TRANSFER</w:t>
            </w:r>
          </w:p>
        </w:tc>
        <w:tc>
          <w:tcPr>
            <w:tcW w:w="3000" w:type="dxa"/>
            <w:tcBorders>
              <w:top w:val="nil"/>
              <w:left w:val="nil"/>
              <w:bottom w:val="single" w:sz="8" w:space="0" w:color="auto"/>
              <w:right w:val="single" w:sz="8" w:space="0" w:color="auto"/>
            </w:tcBorders>
            <w:noWrap/>
            <w:vAlign w:val="center"/>
            <w:hideMark/>
          </w:tcPr>
          <w:p w14:paraId="62D7E0D2" w14:textId="77777777" w:rsidR="00320B90" w:rsidRPr="003D1C56" w:rsidRDefault="00CD2800" w:rsidP="004D4D13">
            <w:pPr>
              <w:keepNext/>
              <w:keepLines/>
              <w:spacing w:after="0"/>
              <w:ind w:right="57"/>
              <w:jc w:val="right"/>
              <w:rPr>
                <w:rFonts w:ascii="Calibri" w:hAnsi="Calibri" w:cs="Calibri"/>
                <w:color w:val="000000"/>
                <w:sz w:val="20"/>
                <w:szCs w:val="20"/>
              </w:rPr>
            </w:pPr>
            <w:r w:rsidRPr="003D1C56">
              <w:rPr>
                <w:color w:val="000000"/>
                <w:sz w:val="20"/>
                <w:szCs w:val="20"/>
              </w:rPr>
              <w:t>237</w:t>
            </w:r>
          </w:p>
        </w:tc>
        <w:tc>
          <w:tcPr>
            <w:tcW w:w="2240" w:type="dxa"/>
            <w:tcBorders>
              <w:top w:val="nil"/>
              <w:left w:val="nil"/>
              <w:bottom w:val="single" w:sz="8" w:space="0" w:color="auto"/>
              <w:right w:val="single" w:sz="8" w:space="0" w:color="auto"/>
            </w:tcBorders>
            <w:noWrap/>
            <w:vAlign w:val="center"/>
            <w:hideMark/>
          </w:tcPr>
          <w:p w14:paraId="0ED8C517" w14:textId="77777777" w:rsidR="00320B90" w:rsidRPr="003D1C56" w:rsidRDefault="00CD2800" w:rsidP="004D4D13">
            <w:pPr>
              <w:keepNext/>
              <w:keepLines/>
              <w:spacing w:after="0"/>
              <w:ind w:right="57"/>
              <w:jc w:val="right"/>
              <w:rPr>
                <w:rFonts w:ascii="Calibri" w:hAnsi="Calibri" w:cs="Calibri"/>
                <w:color w:val="000000"/>
                <w:sz w:val="20"/>
                <w:szCs w:val="20"/>
              </w:rPr>
            </w:pPr>
            <w:r w:rsidRPr="003D1C56">
              <w:rPr>
                <w:color w:val="000000"/>
                <w:sz w:val="20"/>
                <w:szCs w:val="20"/>
              </w:rPr>
              <w:t>43 214 678</w:t>
            </w:r>
          </w:p>
        </w:tc>
        <w:tc>
          <w:tcPr>
            <w:tcW w:w="1583" w:type="dxa"/>
            <w:tcBorders>
              <w:top w:val="nil"/>
              <w:left w:val="nil"/>
              <w:bottom w:val="single" w:sz="8" w:space="0" w:color="auto"/>
              <w:right w:val="single" w:sz="8" w:space="0" w:color="auto"/>
            </w:tcBorders>
            <w:vAlign w:val="center"/>
          </w:tcPr>
          <w:p w14:paraId="2D0DACF1" w14:textId="77777777" w:rsidR="00320B90" w:rsidRPr="003D1C56" w:rsidRDefault="00CD2800" w:rsidP="004D4D13">
            <w:pPr>
              <w:keepNext/>
              <w:keepLines/>
              <w:spacing w:after="0"/>
              <w:ind w:right="57"/>
              <w:jc w:val="right"/>
              <w:rPr>
                <w:rFonts w:ascii="Calibri" w:hAnsi="Calibri" w:cs="Calibri"/>
                <w:color w:val="000000"/>
                <w:sz w:val="20"/>
                <w:szCs w:val="20"/>
              </w:rPr>
            </w:pPr>
            <w:r w:rsidRPr="003D1C56">
              <w:rPr>
                <w:color w:val="000000"/>
                <w:sz w:val="20"/>
                <w:szCs w:val="20"/>
              </w:rPr>
              <w:t>182 340</w:t>
            </w:r>
          </w:p>
        </w:tc>
      </w:tr>
      <w:tr w:rsidR="00C76F45" w14:paraId="17E6CCD0" w14:textId="77777777" w:rsidTr="004D4D13">
        <w:trPr>
          <w:trHeight w:val="283"/>
        </w:trPr>
        <w:tc>
          <w:tcPr>
            <w:tcW w:w="2240" w:type="dxa"/>
            <w:tcBorders>
              <w:top w:val="nil"/>
              <w:left w:val="single" w:sz="8" w:space="0" w:color="auto"/>
              <w:bottom w:val="single" w:sz="8" w:space="0" w:color="auto"/>
              <w:right w:val="single" w:sz="8" w:space="0" w:color="auto"/>
            </w:tcBorders>
            <w:vAlign w:val="center"/>
            <w:hideMark/>
          </w:tcPr>
          <w:p w14:paraId="0B30C18C" w14:textId="77777777" w:rsidR="00320B90" w:rsidRPr="003D1C56" w:rsidRDefault="00CD2800" w:rsidP="004D4D13">
            <w:pPr>
              <w:keepNext/>
              <w:keepLines/>
              <w:spacing w:after="0"/>
              <w:rPr>
                <w:rFonts w:ascii="Calibri" w:hAnsi="Calibri" w:cs="Calibri"/>
                <w:b/>
                <w:bCs/>
                <w:color w:val="000000"/>
                <w:sz w:val="20"/>
                <w:szCs w:val="20"/>
              </w:rPr>
            </w:pPr>
            <w:r w:rsidRPr="003D1C56">
              <w:rPr>
                <w:b/>
                <w:bCs/>
                <w:color w:val="000000"/>
                <w:sz w:val="20"/>
                <w:szCs w:val="20"/>
              </w:rPr>
              <w:t>CELKEM</w:t>
            </w:r>
          </w:p>
        </w:tc>
        <w:tc>
          <w:tcPr>
            <w:tcW w:w="3000" w:type="dxa"/>
            <w:tcBorders>
              <w:top w:val="nil"/>
              <w:left w:val="nil"/>
              <w:bottom w:val="single" w:sz="8" w:space="0" w:color="auto"/>
              <w:right w:val="single" w:sz="8" w:space="0" w:color="auto"/>
            </w:tcBorders>
            <w:noWrap/>
            <w:vAlign w:val="center"/>
            <w:hideMark/>
          </w:tcPr>
          <w:p w14:paraId="687DDAFF" w14:textId="77777777" w:rsidR="00320B90" w:rsidRPr="003D1C56" w:rsidRDefault="00CD2800" w:rsidP="004D4D13">
            <w:pPr>
              <w:keepNext/>
              <w:keepLines/>
              <w:spacing w:after="0"/>
              <w:ind w:right="57"/>
              <w:jc w:val="right"/>
              <w:rPr>
                <w:rFonts w:ascii="Calibri" w:hAnsi="Calibri" w:cs="Calibri"/>
                <w:b/>
                <w:bCs/>
                <w:color w:val="000000"/>
                <w:sz w:val="20"/>
                <w:szCs w:val="20"/>
              </w:rPr>
            </w:pPr>
            <w:r w:rsidRPr="003D1C56">
              <w:rPr>
                <w:b/>
                <w:bCs/>
                <w:color w:val="000000"/>
                <w:sz w:val="20"/>
                <w:szCs w:val="20"/>
              </w:rPr>
              <w:t>2 725</w:t>
            </w:r>
          </w:p>
        </w:tc>
        <w:tc>
          <w:tcPr>
            <w:tcW w:w="2240" w:type="dxa"/>
            <w:tcBorders>
              <w:top w:val="nil"/>
              <w:left w:val="nil"/>
              <w:bottom w:val="single" w:sz="8" w:space="0" w:color="auto"/>
              <w:right w:val="single" w:sz="8" w:space="0" w:color="auto"/>
            </w:tcBorders>
            <w:noWrap/>
            <w:vAlign w:val="center"/>
            <w:hideMark/>
          </w:tcPr>
          <w:p w14:paraId="3F474463" w14:textId="77777777" w:rsidR="00320B90" w:rsidRPr="003D1C56" w:rsidRDefault="00CD2800" w:rsidP="004D4D13">
            <w:pPr>
              <w:keepNext/>
              <w:keepLines/>
              <w:spacing w:after="0"/>
              <w:ind w:right="57"/>
              <w:jc w:val="right"/>
              <w:rPr>
                <w:rFonts w:ascii="Calibri" w:hAnsi="Calibri" w:cs="Calibri"/>
                <w:b/>
                <w:bCs/>
                <w:color w:val="000000"/>
                <w:sz w:val="20"/>
                <w:szCs w:val="20"/>
              </w:rPr>
            </w:pPr>
            <w:r w:rsidRPr="003D1C56">
              <w:rPr>
                <w:b/>
                <w:bCs/>
                <w:color w:val="000000"/>
                <w:sz w:val="20"/>
                <w:szCs w:val="20"/>
              </w:rPr>
              <w:t>378 744 918</w:t>
            </w:r>
          </w:p>
        </w:tc>
        <w:tc>
          <w:tcPr>
            <w:tcW w:w="1583" w:type="dxa"/>
            <w:tcBorders>
              <w:top w:val="nil"/>
              <w:left w:val="nil"/>
              <w:bottom w:val="single" w:sz="8" w:space="0" w:color="auto"/>
              <w:right w:val="single" w:sz="8" w:space="0" w:color="auto"/>
            </w:tcBorders>
            <w:vAlign w:val="center"/>
          </w:tcPr>
          <w:p w14:paraId="2C1760BC" w14:textId="77777777" w:rsidR="00320B90" w:rsidRPr="003D1C56" w:rsidRDefault="00CD2800" w:rsidP="004D4D13">
            <w:pPr>
              <w:keepNext/>
              <w:keepLines/>
              <w:spacing w:after="0"/>
              <w:ind w:right="57"/>
              <w:jc w:val="right"/>
              <w:rPr>
                <w:rFonts w:ascii="Calibri" w:hAnsi="Calibri" w:cs="Calibri"/>
                <w:b/>
                <w:bCs/>
                <w:color w:val="000000"/>
                <w:sz w:val="20"/>
                <w:szCs w:val="20"/>
              </w:rPr>
            </w:pPr>
            <w:r w:rsidRPr="003D1C56">
              <w:rPr>
                <w:b/>
                <w:bCs/>
                <w:color w:val="000000"/>
                <w:sz w:val="20"/>
                <w:szCs w:val="20"/>
              </w:rPr>
              <w:t>138 989</w:t>
            </w:r>
          </w:p>
        </w:tc>
      </w:tr>
    </w:tbl>
    <w:p w14:paraId="0C4C0A1A" w14:textId="18A6B346" w:rsidR="00A5654E" w:rsidRPr="003D1C56" w:rsidRDefault="00CD2800" w:rsidP="00964CF0">
      <w:pPr>
        <w:keepNext/>
        <w:keepLines/>
        <w:spacing w:after="0"/>
        <w:jc w:val="both"/>
        <w:rPr>
          <w:sz w:val="20"/>
          <w:szCs w:val="20"/>
        </w:rPr>
      </w:pPr>
      <w:r w:rsidRPr="006400AB">
        <w:rPr>
          <w:b/>
          <w:sz w:val="20"/>
          <w:szCs w:val="20"/>
        </w:rPr>
        <w:t>Zdroj:</w:t>
      </w:r>
      <w:r w:rsidRPr="003D1C56">
        <w:rPr>
          <w:sz w:val="20"/>
          <w:szCs w:val="20"/>
        </w:rPr>
        <w:t xml:space="preserve"> podklad</w:t>
      </w:r>
      <w:r w:rsidR="0072455B">
        <w:rPr>
          <w:sz w:val="20"/>
          <w:szCs w:val="20"/>
        </w:rPr>
        <w:t>y</w:t>
      </w:r>
      <w:r w:rsidRPr="003D1C56">
        <w:rPr>
          <w:sz w:val="20"/>
          <w:szCs w:val="20"/>
        </w:rPr>
        <w:t xml:space="preserve"> </w:t>
      </w:r>
      <w:r w:rsidR="0072455B">
        <w:rPr>
          <w:sz w:val="20"/>
          <w:szCs w:val="20"/>
        </w:rPr>
        <w:t>Úřadu práce</w:t>
      </w:r>
      <w:r w:rsidRPr="003D1C56">
        <w:rPr>
          <w:sz w:val="20"/>
          <w:szCs w:val="20"/>
        </w:rPr>
        <w:t xml:space="preserve"> a Ústeckého kraje</w:t>
      </w:r>
      <w:r w:rsidR="006400AB">
        <w:rPr>
          <w:sz w:val="20"/>
          <w:szCs w:val="20"/>
        </w:rPr>
        <w:t>.</w:t>
      </w:r>
    </w:p>
    <w:p w14:paraId="5C2C464F" w14:textId="2683D1ED" w:rsidR="00320B90" w:rsidRPr="003D1C56" w:rsidRDefault="00CD2800" w:rsidP="00202567">
      <w:pPr>
        <w:keepNext/>
        <w:keepLines/>
        <w:ind w:left="567" w:hanging="567"/>
        <w:jc w:val="both"/>
        <w:rPr>
          <w:sz w:val="20"/>
          <w:szCs w:val="20"/>
        </w:rPr>
      </w:pPr>
      <w:r w:rsidRPr="006400AB">
        <w:rPr>
          <w:b/>
          <w:sz w:val="20"/>
          <w:szCs w:val="20"/>
        </w:rPr>
        <w:t>Pozn.</w:t>
      </w:r>
      <w:r w:rsidR="00202567">
        <w:rPr>
          <w:b/>
          <w:sz w:val="20"/>
          <w:szCs w:val="20"/>
        </w:rPr>
        <w:t>:</w:t>
      </w:r>
      <w:r w:rsidRPr="003D1C56">
        <w:rPr>
          <w:sz w:val="20"/>
          <w:szCs w:val="20"/>
        </w:rPr>
        <w:t xml:space="preserve"> </w:t>
      </w:r>
      <w:r w:rsidR="00202567">
        <w:rPr>
          <w:sz w:val="20"/>
          <w:szCs w:val="20"/>
        </w:rPr>
        <w:tab/>
      </w:r>
      <w:r w:rsidRPr="003D1C56">
        <w:rPr>
          <w:sz w:val="20"/>
          <w:szCs w:val="20"/>
        </w:rPr>
        <w:t xml:space="preserve">Údaje vycházejí ze schválených </w:t>
      </w:r>
      <w:r w:rsidRPr="004D4D13">
        <w:rPr>
          <w:i/>
          <w:sz w:val="20"/>
          <w:szCs w:val="20"/>
        </w:rPr>
        <w:t>žádostí o platbu</w:t>
      </w:r>
      <w:r w:rsidRPr="003D1C56">
        <w:rPr>
          <w:sz w:val="20"/>
          <w:szCs w:val="20"/>
        </w:rPr>
        <w:t xml:space="preserve"> k datu 30. 11. 2018 (projekt ZÁRUKY), 30. 8. 2018 (projekt INICIATIVA) a k 31. 12. 2018 (projekt TRANSFER).</w:t>
      </w:r>
    </w:p>
    <w:p w14:paraId="29922DC0" w14:textId="3B56DAF9" w:rsidR="004043C2" w:rsidRPr="003D1C56" w:rsidRDefault="00CD2800" w:rsidP="00A93548">
      <w:pPr>
        <w:jc w:val="both"/>
        <w:rPr>
          <w:b/>
        </w:rPr>
      </w:pPr>
      <w:r w:rsidRPr="003D1C56">
        <w:t xml:space="preserve">Délka trvání odborné praxe na SÚPM v projektech je 12 měsíců. </w:t>
      </w:r>
      <w:r w:rsidR="00C11270" w:rsidRPr="003D1C56">
        <w:t>Mzdové v</w:t>
      </w:r>
      <w:r w:rsidRPr="003D1C56">
        <w:t xml:space="preserve">ýdaje na </w:t>
      </w:r>
      <w:r w:rsidR="00C11270" w:rsidRPr="003D1C56">
        <w:t>1 klienta zařazeného na SÚPM se v </w:t>
      </w:r>
      <w:r w:rsidRPr="003D1C56">
        <w:t>klíčov</w:t>
      </w:r>
      <w:r w:rsidR="00C11270" w:rsidRPr="003D1C56">
        <w:t xml:space="preserve">é </w:t>
      </w:r>
      <w:r w:rsidRPr="003D1C56">
        <w:t>aktivit</w:t>
      </w:r>
      <w:r w:rsidR="00C11270" w:rsidRPr="003D1C56">
        <w:t>ě</w:t>
      </w:r>
      <w:r w:rsidRPr="003D1C56">
        <w:t xml:space="preserve"> </w:t>
      </w:r>
      <w:r w:rsidR="00202567">
        <w:rPr>
          <w:i/>
        </w:rPr>
        <w:t>o</w:t>
      </w:r>
      <w:r w:rsidRPr="003D1C56">
        <w:rPr>
          <w:i/>
        </w:rPr>
        <w:t>dborn</w:t>
      </w:r>
      <w:r w:rsidR="00C11270" w:rsidRPr="003D1C56">
        <w:rPr>
          <w:i/>
        </w:rPr>
        <w:t>á</w:t>
      </w:r>
      <w:r w:rsidRPr="003D1C56">
        <w:rPr>
          <w:i/>
        </w:rPr>
        <w:t xml:space="preserve"> praxe</w:t>
      </w:r>
      <w:r w:rsidR="002A690A" w:rsidRPr="003D1C56">
        <w:rPr>
          <w:i/>
        </w:rPr>
        <w:t xml:space="preserve"> </w:t>
      </w:r>
      <w:r w:rsidR="002A690A" w:rsidRPr="003D1C56">
        <w:t>v kontrolovaných projektech</w:t>
      </w:r>
      <w:r w:rsidR="00320B90" w:rsidRPr="003D1C56">
        <w:t xml:space="preserve"> odvíjí od výše limit</w:t>
      </w:r>
      <w:r w:rsidR="00202567">
        <w:t>u</w:t>
      </w:r>
      <w:r w:rsidR="00320B90" w:rsidRPr="003D1C56">
        <w:t xml:space="preserve"> podpory ve výši 18 tis. Kč</w:t>
      </w:r>
      <w:r w:rsidR="00291C07">
        <w:t>/měsíc</w:t>
      </w:r>
      <w:r w:rsidR="00320B90" w:rsidRPr="003D1C56">
        <w:t xml:space="preserve"> pro projekty ÚP a ve výši 20,8 tis. Kč</w:t>
      </w:r>
      <w:r w:rsidR="00291C07">
        <w:t>/měsíc</w:t>
      </w:r>
      <w:r w:rsidR="00320B90" w:rsidRPr="003D1C56">
        <w:t xml:space="preserve"> pro projekt TRANSFER. </w:t>
      </w:r>
      <w:r w:rsidR="00320B90" w:rsidRPr="003D1C56">
        <w:rPr>
          <w:b/>
        </w:rPr>
        <w:t>P</w:t>
      </w:r>
      <w:r w:rsidR="009D5F9D" w:rsidRPr="003D1C56">
        <w:rPr>
          <w:b/>
        </w:rPr>
        <w:t xml:space="preserve">růměrné </w:t>
      </w:r>
      <w:r w:rsidR="00202567">
        <w:rPr>
          <w:b/>
        </w:rPr>
        <w:t xml:space="preserve">roční </w:t>
      </w:r>
      <w:r w:rsidR="009D5F9D" w:rsidRPr="003D1C56">
        <w:rPr>
          <w:b/>
        </w:rPr>
        <w:t xml:space="preserve">mzdové výdaje </w:t>
      </w:r>
      <w:r w:rsidR="0099550C" w:rsidRPr="003D1C56">
        <w:rPr>
          <w:b/>
        </w:rPr>
        <w:t xml:space="preserve">na </w:t>
      </w:r>
      <w:r w:rsidR="00346D15" w:rsidRPr="003D1C56">
        <w:rPr>
          <w:b/>
        </w:rPr>
        <w:t>jednoho</w:t>
      </w:r>
      <w:r w:rsidR="003E41A8" w:rsidRPr="003D1C56">
        <w:rPr>
          <w:b/>
        </w:rPr>
        <w:t xml:space="preserve"> </w:t>
      </w:r>
      <w:r w:rsidR="0099550C" w:rsidRPr="003D1C56">
        <w:rPr>
          <w:b/>
        </w:rPr>
        <w:t xml:space="preserve">podpořeného mladého člověka </w:t>
      </w:r>
      <w:r w:rsidR="009D5F9D" w:rsidRPr="003D1C56">
        <w:rPr>
          <w:b/>
        </w:rPr>
        <w:t xml:space="preserve">činí </w:t>
      </w:r>
      <w:r w:rsidR="0099550C" w:rsidRPr="003D1C56">
        <w:rPr>
          <w:b/>
        </w:rPr>
        <w:t xml:space="preserve">téměř </w:t>
      </w:r>
      <w:r w:rsidR="00291C07">
        <w:rPr>
          <w:b/>
        </w:rPr>
        <w:t>139</w:t>
      </w:r>
      <w:r w:rsidR="009D5F9D" w:rsidRPr="003D1C56">
        <w:rPr>
          <w:b/>
        </w:rPr>
        <w:t xml:space="preserve"> tis. Kč. </w:t>
      </w:r>
    </w:p>
    <w:p w14:paraId="67F1EB8D" w14:textId="2F0AC261" w:rsidR="00346D15" w:rsidRPr="003D1C56" w:rsidRDefault="00CD2800" w:rsidP="005A19AB">
      <w:pPr>
        <w:keepLines/>
        <w:spacing w:before="240" w:after="240"/>
        <w:jc w:val="both"/>
        <w:rPr>
          <w:iCs/>
        </w:rPr>
      </w:pPr>
      <w:r w:rsidRPr="003D1C56">
        <w:rPr>
          <w:iCs/>
        </w:rPr>
        <w:t>Klíčov</w:t>
      </w:r>
      <w:r w:rsidR="00202567">
        <w:rPr>
          <w:iCs/>
        </w:rPr>
        <w:t>ými</w:t>
      </w:r>
      <w:r w:rsidRPr="003D1C56">
        <w:rPr>
          <w:iCs/>
        </w:rPr>
        <w:t xml:space="preserve"> aktivit</w:t>
      </w:r>
      <w:r w:rsidR="00202567">
        <w:rPr>
          <w:iCs/>
        </w:rPr>
        <w:t>ami</w:t>
      </w:r>
      <w:r w:rsidRPr="003D1C56">
        <w:rPr>
          <w:iCs/>
        </w:rPr>
        <w:t xml:space="preserve">, </w:t>
      </w:r>
      <w:r w:rsidR="00202567">
        <w:rPr>
          <w:iCs/>
        </w:rPr>
        <w:t>které</w:t>
      </w:r>
      <w:r w:rsidRPr="003D1C56">
        <w:rPr>
          <w:iCs/>
        </w:rPr>
        <w:t xml:space="preserve"> byl</w:t>
      </w:r>
      <w:r w:rsidR="00202567">
        <w:rPr>
          <w:iCs/>
        </w:rPr>
        <w:t>y</w:t>
      </w:r>
      <w:r w:rsidRPr="003D1C56">
        <w:rPr>
          <w:iCs/>
        </w:rPr>
        <w:t xml:space="preserve"> realizován</w:t>
      </w:r>
      <w:r w:rsidR="00202567">
        <w:rPr>
          <w:iCs/>
        </w:rPr>
        <w:t>y</w:t>
      </w:r>
      <w:r w:rsidRPr="003D1C56">
        <w:rPr>
          <w:iCs/>
        </w:rPr>
        <w:t xml:space="preserve"> ve všech třech projektech, </w:t>
      </w:r>
      <w:r w:rsidR="00202567">
        <w:rPr>
          <w:iCs/>
        </w:rPr>
        <w:t>byly</w:t>
      </w:r>
      <w:r w:rsidRPr="003D1C56">
        <w:rPr>
          <w:iCs/>
        </w:rPr>
        <w:t xml:space="preserve"> rekvalifikace a</w:t>
      </w:r>
      <w:r w:rsidR="00202567">
        <w:rPr>
          <w:iCs/>
        </w:rPr>
        <w:t> </w:t>
      </w:r>
      <w:r w:rsidRPr="003D1C56">
        <w:rPr>
          <w:iCs/>
        </w:rPr>
        <w:t xml:space="preserve">odborná školení. </w:t>
      </w:r>
      <w:r w:rsidR="0019730C" w:rsidRPr="003D1C56">
        <w:rPr>
          <w:iCs/>
        </w:rPr>
        <w:t>T</w:t>
      </w:r>
      <w:r w:rsidR="00202567">
        <w:rPr>
          <w:iCs/>
        </w:rPr>
        <w:t>y</w:t>
      </w:r>
      <w:r w:rsidR="0019730C" w:rsidRPr="003D1C56">
        <w:rPr>
          <w:iCs/>
        </w:rPr>
        <w:t>to aktivit</w:t>
      </w:r>
      <w:r w:rsidR="00202567">
        <w:rPr>
          <w:iCs/>
        </w:rPr>
        <w:t>y</w:t>
      </w:r>
      <w:r w:rsidR="0019730C" w:rsidRPr="003D1C56">
        <w:rPr>
          <w:iCs/>
        </w:rPr>
        <w:t xml:space="preserve"> představuj</w:t>
      </w:r>
      <w:r w:rsidR="00202567">
        <w:rPr>
          <w:iCs/>
        </w:rPr>
        <w:t>í</w:t>
      </w:r>
      <w:r w:rsidR="0019730C" w:rsidRPr="003D1C56">
        <w:rPr>
          <w:iCs/>
        </w:rPr>
        <w:t xml:space="preserve"> méně významnou </w:t>
      </w:r>
      <w:r w:rsidR="00202567">
        <w:rPr>
          <w:iCs/>
        </w:rPr>
        <w:t xml:space="preserve">výdajovou </w:t>
      </w:r>
      <w:r w:rsidR="0019730C" w:rsidRPr="003D1C56">
        <w:rPr>
          <w:iCs/>
        </w:rPr>
        <w:t>položku ve srovnání s</w:t>
      </w:r>
      <w:r w:rsidR="005A3778">
        <w:rPr>
          <w:iCs/>
        </w:rPr>
        <w:t xml:space="preserve">e </w:t>
      </w:r>
      <w:r w:rsidR="0019730C" w:rsidRPr="003D1C56">
        <w:rPr>
          <w:iCs/>
        </w:rPr>
        <w:t xml:space="preserve">mzdovými příspěvky v rámci přímé podpory cílové skupiny. </w:t>
      </w:r>
    </w:p>
    <w:p w14:paraId="46E66108" w14:textId="3C226FB8" w:rsidR="00AE7F7C" w:rsidRPr="003D1C56" w:rsidRDefault="00CD2800" w:rsidP="0019730C">
      <w:pPr>
        <w:keepNext/>
        <w:keepLines/>
        <w:spacing w:before="120" w:after="0"/>
        <w:rPr>
          <w:iCs/>
        </w:rPr>
      </w:pPr>
      <w:r w:rsidRPr="003D1C56">
        <w:rPr>
          <w:iCs/>
        </w:rPr>
        <w:t xml:space="preserve">Tabulka č. </w:t>
      </w:r>
      <w:r w:rsidRPr="003D1C56">
        <w:rPr>
          <w:iCs/>
        </w:rPr>
        <w:fldChar w:fldCharType="begin"/>
      </w:r>
      <w:r w:rsidRPr="003D1C56">
        <w:rPr>
          <w:iCs/>
        </w:rPr>
        <w:instrText xml:space="preserve"> SEQ Tabulka_č. \* ARABIC </w:instrText>
      </w:r>
      <w:r w:rsidRPr="003D1C56">
        <w:rPr>
          <w:iCs/>
        </w:rPr>
        <w:fldChar w:fldCharType="separate"/>
      </w:r>
      <w:r w:rsidR="00996C4C">
        <w:rPr>
          <w:iCs/>
          <w:noProof/>
        </w:rPr>
        <w:t>7</w:t>
      </w:r>
      <w:r w:rsidRPr="003D1C56">
        <w:rPr>
          <w:iCs/>
        </w:rPr>
        <w:fldChar w:fldCharType="end"/>
      </w:r>
      <w:r w:rsidRPr="003D1C56">
        <w:rPr>
          <w:iCs/>
        </w:rPr>
        <w:t>: Srovnání skutečných výdajů* na účastníky rekvalifikačních a vzdělávacích kurzů</w:t>
      </w:r>
    </w:p>
    <w:tbl>
      <w:tblPr>
        <w:tblW w:w="8970" w:type="dxa"/>
        <w:tblCellMar>
          <w:left w:w="70" w:type="dxa"/>
          <w:right w:w="70" w:type="dxa"/>
        </w:tblCellMar>
        <w:tblLook w:val="04A0" w:firstRow="1" w:lastRow="0" w:firstColumn="1" w:lastColumn="0" w:noHBand="0" w:noVBand="1"/>
      </w:tblPr>
      <w:tblGrid>
        <w:gridCol w:w="3317"/>
        <w:gridCol w:w="2065"/>
        <w:gridCol w:w="1276"/>
        <w:gridCol w:w="2312"/>
      </w:tblGrid>
      <w:tr w:rsidR="00C76F45" w14:paraId="5CF2A0C5" w14:textId="77777777" w:rsidTr="00306984">
        <w:trPr>
          <w:trHeight w:val="267"/>
        </w:trPr>
        <w:tc>
          <w:tcPr>
            <w:tcW w:w="3317" w:type="dxa"/>
            <w:vMerge w:val="restart"/>
            <w:tcBorders>
              <w:top w:val="single" w:sz="4" w:space="0" w:color="auto"/>
              <w:left w:val="single" w:sz="4" w:space="0" w:color="auto"/>
              <w:bottom w:val="single" w:sz="4" w:space="0" w:color="000000"/>
              <w:right w:val="single" w:sz="4" w:space="0" w:color="auto"/>
            </w:tcBorders>
            <w:shd w:val="clear" w:color="auto" w:fill="E5F1FF"/>
            <w:vAlign w:val="center"/>
            <w:hideMark/>
          </w:tcPr>
          <w:p w14:paraId="0F253D76" w14:textId="059D885A" w:rsidR="00DB24E5" w:rsidRPr="003D1C56" w:rsidRDefault="00CD2800" w:rsidP="00AB41F1">
            <w:pPr>
              <w:keepNext/>
              <w:keepLines/>
              <w:spacing w:after="0"/>
              <w:jc w:val="center"/>
              <w:rPr>
                <w:rFonts w:ascii="Calibri" w:hAnsi="Calibri" w:cs="Calibri"/>
                <w:b/>
                <w:bCs/>
                <w:color w:val="000000"/>
                <w:sz w:val="20"/>
                <w:szCs w:val="20"/>
              </w:rPr>
            </w:pPr>
            <w:r w:rsidRPr="003D1C56">
              <w:rPr>
                <w:rFonts w:ascii="Calibri" w:hAnsi="Calibri" w:cs="Calibri"/>
                <w:b/>
                <w:bCs/>
                <w:color w:val="000000"/>
                <w:sz w:val="20"/>
                <w:szCs w:val="20"/>
              </w:rPr>
              <w:t xml:space="preserve">Projekt </w:t>
            </w:r>
            <w:r w:rsidR="00381D1D">
              <w:rPr>
                <w:rFonts w:ascii="Calibri" w:hAnsi="Calibri" w:cs="Calibri"/>
                <w:b/>
                <w:bCs/>
                <w:color w:val="000000"/>
                <w:sz w:val="20"/>
                <w:szCs w:val="20"/>
              </w:rPr>
              <w:t>–</w:t>
            </w:r>
            <w:r w:rsidRPr="003D1C56">
              <w:rPr>
                <w:rFonts w:ascii="Calibri" w:hAnsi="Calibri" w:cs="Calibri"/>
                <w:b/>
                <w:bCs/>
                <w:color w:val="000000"/>
                <w:sz w:val="20"/>
                <w:szCs w:val="20"/>
              </w:rPr>
              <w:t xml:space="preserve"> aktivita</w:t>
            </w:r>
          </w:p>
        </w:tc>
        <w:tc>
          <w:tcPr>
            <w:tcW w:w="5653" w:type="dxa"/>
            <w:gridSpan w:val="3"/>
            <w:tcBorders>
              <w:top w:val="single" w:sz="4" w:space="0" w:color="auto"/>
              <w:left w:val="nil"/>
              <w:bottom w:val="single" w:sz="4" w:space="0" w:color="auto"/>
              <w:right w:val="single" w:sz="4" w:space="0" w:color="auto"/>
            </w:tcBorders>
            <w:shd w:val="clear" w:color="auto" w:fill="E5F1FF"/>
            <w:vAlign w:val="center"/>
            <w:hideMark/>
          </w:tcPr>
          <w:p w14:paraId="22B38B45" w14:textId="77777777" w:rsidR="00DB24E5" w:rsidRPr="003D1C56" w:rsidRDefault="00CD2800" w:rsidP="00FF0E58">
            <w:pPr>
              <w:keepNext/>
              <w:keepLines/>
              <w:spacing w:after="0"/>
              <w:jc w:val="center"/>
              <w:rPr>
                <w:rFonts w:ascii="Calibri" w:hAnsi="Calibri" w:cs="Calibri"/>
                <w:b/>
                <w:bCs/>
                <w:color w:val="000000"/>
                <w:sz w:val="20"/>
                <w:szCs w:val="20"/>
              </w:rPr>
            </w:pPr>
            <w:r w:rsidRPr="003D1C56">
              <w:rPr>
                <w:rFonts w:ascii="Calibri" w:hAnsi="Calibri" w:cs="Calibri"/>
                <w:b/>
                <w:bCs/>
                <w:color w:val="000000"/>
                <w:sz w:val="20"/>
                <w:szCs w:val="20"/>
              </w:rPr>
              <w:t>Výdaje na rekvalifikační kurzy a odborné vzdělávání</w:t>
            </w:r>
          </w:p>
        </w:tc>
      </w:tr>
      <w:tr w:rsidR="00C76F45" w14:paraId="7A3663AF" w14:textId="77777777" w:rsidTr="00306984">
        <w:trPr>
          <w:trHeight w:val="548"/>
        </w:trPr>
        <w:tc>
          <w:tcPr>
            <w:tcW w:w="3317" w:type="dxa"/>
            <w:vMerge/>
            <w:tcBorders>
              <w:top w:val="single" w:sz="4" w:space="0" w:color="auto"/>
              <w:left w:val="single" w:sz="4" w:space="0" w:color="auto"/>
              <w:bottom w:val="single" w:sz="4" w:space="0" w:color="000000"/>
              <w:right w:val="single" w:sz="4" w:space="0" w:color="auto"/>
            </w:tcBorders>
            <w:shd w:val="clear" w:color="auto" w:fill="E5F1FF"/>
            <w:vAlign w:val="center"/>
            <w:hideMark/>
          </w:tcPr>
          <w:p w14:paraId="630E8313" w14:textId="77777777" w:rsidR="00DB24E5" w:rsidRPr="003D1C56" w:rsidRDefault="00DB24E5" w:rsidP="00FF0E58">
            <w:pPr>
              <w:keepNext/>
              <w:keepLines/>
              <w:spacing w:after="0"/>
              <w:rPr>
                <w:rFonts w:ascii="Calibri" w:hAnsi="Calibri" w:cs="Calibri"/>
                <w:b/>
                <w:bCs/>
                <w:color w:val="000000"/>
                <w:sz w:val="20"/>
                <w:szCs w:val="20"/>
              </w:rPr>
            </w:pPr>
          </w:p>
        </w:tc>
        <w:tc>
          <w:tcPr>
            <w:tcW w:w="2065" w:type="dxa"/>
            <w:tcBorders>
              <w:top w:val="nil"/>
              <w:left w:val="nil"/>
              <w:bottom w:val="single" w:sz="4" w:space="0" w:color="auto"/>
              <w:right w:val="single" w:sz="4" w:space="0" w:color="auto"/>
            </w:tcBorders>
            <w:shd w:val="clear" w:color="auto" w:fill="E5F1FF"/>
            <w:vAlign w:val="center"/>
            <w:hideMark/>
          </w:tcPr>
          <w:p w14:paraId="3EC7641E" w14:textId="77777777" w:rsidR="00DB24E5" w:rsidRPr="003D1C56" w:rsidRDefault="00CD2800" w:rsidP="00DB24E5">
            <w:pPr>
              <w:keepNext/>
              <w:keepLines/>
              <w:spacing w:after="0"/>
              <w:jc w:val="center"/>
              <w:rPr>
                <w:rFonts w:ascii="Calibri" w:hAnsi="Calibri" w:cs="Calibri"/>
                <w:b/>
                <w:bCs/>
                <w:color w:val="000000"/>
                <w:sz w:val="20"/>
                <w:szCs w:val="20"/>
              </w:rPr>
            </w:pPr>
            <w:r w:rsidRPr="003D1C56">
              <w:rPr>
                <w:rFonts w:ascii="Calibri" w:hAnsi="Calibri" w:cs="Calibri"/>
                <w:b/>
                <w:bCs/>
                <w:color w:val="000000"/>
                <w:sz w:val="20"/>
                <w:szCs w:val="20"/>
              </w:rPr>
              <w:t>Celkové výdaje</w:t>
            </w:r>
            <w:r w:rsidRPr="003D1C56">
              <w:rPr>
                <w:rFonts w:ascii="Calibri" w:hAnsi="Calibri" w:cs="Calibri"/>
                <w:b/>
                <w:bCs/>
                <w:color w:val="000000"/>
                <w:sz w:val="20"/>
                <w:szCs w:val="20"/>
              </w:rPr>
              <w:br/>
              <w:t>(v Kč)</w:t>
            </w:r>
          </w:p>
        </w:tc>
        <w:tc>
          <w:tcPr>
            <w:tcW w:w="1276" w:type="dxa"/>
            <w:tcBorders>
              <w:top w:val="nil"/>
              <w:left w:val="nil"/>
              <w:bottom w:val="single" w:sz="4" w:space="0" w:color="auto"/>
              <w:right w:val="single" w:sz="4" w:space="0" w:color="auto"/>
            </w:tcBorders>
            <w:shd w:val="clear" w:color="auto" w:fill="E5F1FF"/>
            <w:vAlign w:val="center"/>
            <w:hideMark/>
          </w:tcPr>
          <w:p w14:paraId="0258A22D" w14:textId="77777777" w:rsidR="00DB24E5" w:rsidRPr="003D1C56" w:rsidRDefault="00CD2800" w:rsidP="00DB24E5">
            <w:pPr>
              <w:keepNext/>
              <w:keepLines/>
              <w:spacing w:after="0"/>
              <w:jc w:val="center"/>
              <w:rPr>
                <w:rFonts w:ascii="Calibri" w:hAnsi="Calibri" w:cs="Calibri"/>
                <w:b/>
                <w:bCs/>
                <w:color w:val="000000"/>
                <w:sz w:val="20"/>
                <w:szCs w:val="20"/>
              </w:rPr>
            </w:pPr>
            <w:r w:rsidRPr="003D1C56">
              <w:rPr>
                <w:rFonts w:ascii="Calibri" w:hAnsi="Calibri" w:cs="Calibri"/>
                <w:b/>
                <w:bCs/>
                <w:color w:val="000000"/>
                <w:sz w:val="20"/>
                <w:szCs w:val="20"/>
              </w:rPr>
              <w:t>Počet účastníků</w:t>
            </w:r>
          </w:p>
        </w:tc>
        <w:tc>
          <w:tcPr>
            <w:tcW w:w="2312" w:type="dxa"/>
            <w:tcBorders>
              <w:top w:val="nil"/>
              <w:left w:val="nil"/>
              <w:bottom w:val="single" w:sz="4" w:space="0" w:color="auto"/>
              <w:right w:val="single" w:sz="4" w:space="0" w:color="auto"/>
            </w:tcBorders>
            <w:shd w:val="clear" w:color="auto" w:fill="E5F1FF"/>
            <w:vAlign w:val="center"/>
            <w:hideMark/>
          </w:tcPr>
          <w:p w14:paraId="1D525292" w14:textId="77777777" w:rsidR="00DB24E5" w:rsidRPr="003D1C56" w:rsidRDefault="00CD2800" w:rsidP="00306984">
            <w:pPr>
              <w:keepNext/>
              <w:keepLines/>
              <w:spacing w:after="0"/>
              <w:jc w:val="center"/>
              <w:rPr>
                <w:rFonts w:ascii="Calibri" w:hAnsi="Calibri" w:cs="Calibri"/>
                <w:b/>
                <w:bCs/>
                <w:color w:val="000000"/>
                <w:sz w:val="20"/>
                <w:szCs w:val="20"/>
              </w:rPr>
            </w:pPr>
            <w:r w:rsidRPr="003D1C56">
              <w:rPr>
                <w:rFonts w:ascii="Calibri" w:hAnsi="Calibri" w:cs="Calibri"/>
                <w:b/>
                <w:bCs/>
                <w:color w:val="000000"/>
                <w:sz w:val="20"/>
                <w:szCs w:val="20"/>
              </w:rPr>
              <w:t>Cena za</w:t>
            </w:r>
            <w:r w:rsidR="00306984" w:rsidRPr="003D1C56">
              <w:rPr>
                <w:rFonts w:ascii="Calibri" w:hAnsi="Calibri" w:cs="Calibri"/>
                <w:b/>
                <w:bCs/>
                <w:color w:val="000000"/>
                <w:sz w:val="20"/>
                <w:szCs w:val="20"/>
              </w:rPr>
              <w:t xml:space="preserve"> </w:t>
            </w:r>
            <w:r w:rsidRPr="003D1C56">
              <w:rPr>
                <w:rFonts w:ascii="Calibri" w:hAnsi="Calibri" w:cs="Calibri"/>
                <w:b/>
                <w:bCs/>
                <w:color w:val="000000"/>
                <w:sz w:val="20"/>
                <w:szCs w:val="20"/>
              </w:rPr>
              <w:t>1 účastníka</w:t>
            </w:r>
            <w:r w:rsidRPr="003D1C56">
              <w:rPr>
                <w:rFonts w:ascii="Calibri" w:hAnsi="Calibri" w:cs="Calibri"/>
                <w:b/>
                <w:bCs/>
                <w:color w:val="000000"/>
                <w:sz w:val="20"/>
                <w:szCs w:val="20"/>
              </w:rPr>
              <w:br/>
              <w:t>(v Kč)</w:t>
            </w:r>
          </w:p>
        </w:tc>
      </w:tr>
      <w:tr w:rsidR="00C76F45" w14:paraId="2DDD5484" w14:textId="77777777" w:rsidTr="00F37A2B">
        <w:trPr>
          <w:trHeight w:val="283"/>
        </w:trPr>
        <w:tc>
          <w:tcPr>
            <w:tcW w:w="3317" w:type="dxa"/>
            <w:tcBorders>
              <w:top w:val="nil"/>
              <w:left w:val="single" w:sz="4" w:space="0" w:color="auto"/>
              <w:bottom w:val="single" w:sz="4" w:space="0" w:color="auto"/>
              <w:right w:val="single" w:sz="4" w:space="0" w:color="auto"/>
            </w:tcBorders>
            <w:shd w:val="clear" w:color="auto" w:fill="auto"/>
            <w:noWrap/>
            <w:vAlign w:val="center"/>
            <w:hideMark/>
          </w:tcPr>
          <w:p w14:paraId="139B2DB5" w14:textId="430E0786" w:rsidR="00DB24E5" w:rsidRPr="004D4D13" w:rsidRDefault="00CD2800" w:rsidP="004D4D13">
            <w:pPr>
              <w:keepNext/>
              <w:keepLines/>
              <w:spacing w:after="0"/>
              <w:rPr>
                <w:rFonts w:ascii="Calibri" w:hAnsi="Calibri" w:cs="Calibri"/>
                <w:bCs/>
                <w:color w:val="000000"/>
                <w:sz w:val="20"/>
                <w:szCs w:val="20"/>
              </w:rPr>
            </w:pPr>
            <w:r w:rsidRPr="004D4D13">
              <w:rPr>
                <w:rFonts w:ascii="Calibri" w:hAnsi="Calibri" w:cs="Calibri"/>
                <w:bCs/>
                <w:color w:val="000000"/>
                <w:sz w:val="20"/>
                <w:szCs w:val="20"/>
              </w:rPr>
              <w:t xml:space="preserve">ZÁRUKY </w:t>
            </w:r>
            <w:r w:rsidR="00381D1D" w:rsidRPr="004D4D13">
              <w:rPr>
                <w:rFonts w:ascii="Calibri" w:hAnsi="Calibri" w:cs="Calibri"/>
                <w:bCs/>
                <w:color w:val="000000"/>
                <w:sz w:val="20"/>
                <w:szCs w:val="20"/>
              </w:rPr>
              <w:t>–</w:t>
            </w:r>
            <w:r w:rsidRPr="004D4D13">
              <w:rPr>
                <w:rFonts w:ascii="Calibri" w:hAnsi="Calibri" w:cs="Calibri"/>
                <w:bCs/>
                <w:color w:val="000000"/>
                <w:sz w:val="20"/>
                <w:szCs w:val="20"/>
              </w:rPr>
              <w:t xml:space="preserve"> rekvalifikace</w:t>
            </w:r>
          </w:p>
        </w:tc>
        <w:tc>
          <w:tcPr>
            <w:tcW w:w="2065" w:type="dxa"/>
            <w:tcBorders>
              <w:top w:val="nil"/>
              <w:left w:val="nil"/>
              <w:bottom w:val="single" w:sz="4" w:space="0" w:color="auto"/>
              <w:right w:val="single" w:sz="4" w:space="0" w:color="auto"/>
            </w:tcBorders>
            <w:shd w:val="clear" w:color="auto" w:fill="auto"/>
            <w:noWrap/>
            <w:vAlign w:val="center"/>
            <w:hideMark/>
          </w:tcPr>
          <w:p w14:paraId="4335396B" w14:textId="77777777" w:rsidR="00DB24E5" w:rsidRPr="00202567" w:rsidRDefault="00CD2800" w:rsidP="004D4D13">
            <w:pPr>
              <w:keepNext/>
              <w:keepLines/>
              <w:spacing w:after="0"/>
              <w:ind w:right="57"/>
              <w:jc w:val="right"/>
              <w:rPr>
                <w:rFonts w:ascii="Calibri" w:hAnsi="Calibri" w:cs="Calibri"/>
                <w:color w:val="000000"/>
                <w:sz w:val="20"/>
                <w:szCs w:val="20"/>
              </w:rPr>
            </w:pPr>
            <w:r w:rsidRPr="00202567">
              <w:rPr>
                <w:rFonts w:ascii="Calibri" w:hAnsi="Calibri" w:cs="Calibri"/>
                <w:color w:val="000000"/>
                <w:sz w:val="20"/>
                <w:szCs w:val="20"/>
              </w:rPr>
              <w:t>643 595</w:t>
            </w:r>
          </w:p>
        </w:tc>
        <w:tc>
          <w:tcPr>
            <w:tcW w:w="1276" w:type="dxa"/>
            <w:tcBorders>
              <w:top w:val="nil"/>
              <w:left w:val="nil"/>
              <w:bottom w:val="single" w:sz="4" w:space="0" w:color="auto"/>
              <w:right w:val="single" w:sz="4" w:space="0" w:color="auto"/>
            </w:tcBorders>
            <w:shd w:val="clear" w:color="auto" w:fill="auto"/>
            <w:noWrap/>
            <w:vAlign w:val="center"/>
            <w:hideMark/>
          </w:tcPr>
          <w:p w14:paraId="6BE88E57" w14:textId="77777777" w:rsidR="00DB24E5" w:rsidRPr="00202567" w:rsidRDefault="00CD2800" w:rsidP="004D4D13">
            <w:pPr>
              <w:keepNext/>
              <w:keepLines/>
              <w:spacing w:after="0"/>
              <w:ind w:left="-72" w:right="363"/>
              <w:jc w:val="right"/>
              <w:rPr>
                <w:rFonts w:ascii="Calibri" w:hAnsi="Calibri" w:cs="Calibri"/>
                <w:color w:val="000000"/>
                <w:sz w:val="20"/>
                <w:szCs w:val="20"/>
              </w:rPr>
            </w:pPr>
            <w:r w:rsidRPr="00202567">
              <w:rPr>
                <w:rFonts w:ascii="Calibri" w:hAnsi="Calibri" w:cs="Calibri"/>
                <w:color w:val="000000"/>
                <w:sz w:val="20"/>
                <w:szCs w:val="20"/>
              </w:rPr>
              <w:t>21</w:t>
            </w:r>
          </w:p>
        </w:tc>
        <w:tc>
          <w:tcPr>
            <w:tcW w:w="2312" w:type="dxa"/>
            <w:tcBorders>
              <w:top w:val="nil"/>
              <w:left w:val="nil"/>
              <w:bottom w:val="single" w:sz="4" w:space="0" w:color="auto"/>
              <w:right w:val="single" w:sz="4" w:space="0" w:color="auto"/>
            </w:tcBorders>
            <w:shd w:val="clear" w:color="auto" w:fill="auto"/>
            <w:noWrap/>
            <w:vAlign w:val="center"/>
            <w:hideMark/>
          </w:tcPr>
          <w:p w14:paraId="53A9A2F4" w14:textId="77777777" w:rsidR="00DB24E5" w:rsidRPr="00202567" w:rsidRDefault="00CD2800" w:rsidP="004D4D13">
            <w:pPr>
              <w:keepNext/>
              <w:keepLines/>
              <w:spacing w:after="0"/>
              <w:ind w:right="57"/>
              <w:jc w:val="right"/>
              <w:rPr>
                <w:rFonts w:ascii="Calibri" w:hAnsi="Calibri" w:cs="Calibri"/>
                <w:color w:val="000000"/>
                <w:sz w:val="20"/>
                <w:szCs w:val="20"/>
              </w:rPr>
            </w:pPr>
            <w:r w:rsidRPr="00202567">
              <w:rPr>
                <w:rFonts w:ascii="Calibri" w:hAnsi="Calibri" w:cs="Calibri"/>
                <w:color w:val="000000"/>
                <w:sz w:val="20"/>
                <w:szCs w:val="20"/>
              </w:rPr>
              <w:t>30 647</w:t>
            </w:r>
          </w:p>
        </w:tc>
      </w:tr>
      <w:tr w:rsidR="00C76F45" w14:paraId="1D949CDB" w14:textId="77777777" w:rsidTr="00F37A2B">
        <w:trPr>
          <w:trHeight w:val="283"/>
        </w:trPr>
        <w:tc>
          <w:tcPr>
            <w:tcW w:w="3317" w:type="dxa"/>
            <w:tcBorders>
              <w:top w:val="nil"/>
              <w:left w:val="single" w:sz="4" w:space="0" w:color="auto"/>
              <w:bottom w:val="single" w:sz="4" w:space="0" w:color="auto"/>
              <w:right w:val="single" w:sz="4" w:space="0" w:color="auto"/>
            </w:tcBorders>
            <w:shd w:val="clear" w:color="auto" w:fill="auto"/>
            <w:noWrap/>
            <w:vAlign w:val="center"/>
            <w:hideMark/>
          </w:tcPr>
          <w:p w14:paraId="1F0018AF" w14:textId="3FEA16B5" w:rsidR="00DB24E5" w:rsidRPr="004D4D13" w:rsidRDefault="00CD2800" w:rsidP="004D4D13">
            <w:pPr>
              <w:keepNext/>
              <w:keepLines/>
              <w:spacing w:after="0"/>
              <w:rPr>
                <w:rFonts w:ascii="Calibri" w:hAnsi="Calibri" w:cs="Calibri"/>
                <w:bCs/>
                <w:color w:val="000000"/>
                <w:sz w:val="20"/>
                <w:szCs w:val="20"/>
              </w:rPr>
            </w:pPr>
            <w:r w:rsidRPr="004D4D13">
              <w:rPr>
                <w:rFonts w:ascii="Calibri" w:hAnsi="Calibri" w:cs="Calibri"/>
                <w:bCs/>
                <w:color w:val="000000"/>
                <w:sz w:val="20"/>
                <w:szCs w:val="20"/>
              </w:rPr>
              <w:t xml:space="preserve">               </w:t>
            </w:r>
            <w:r w:rsidR="00381D1D" w:rsidRPr="004D4D13">
              <w:rPr>
                <w:rFonts w:ascii="Calibri" w:hAnsi="Calibri" w:cs="Calibri"/>
                <w:bCs/>
                <w:color w:val="000000"/>
                <w:sz w:val="20"/>
                <w:szCs w:val="20"/>
              </w:rPr>
              <w:t>–</w:t>
            </w:r>
            <w:r w:rsidRPr="004D4D13">
              <w:rPr>
                <w:rFonts w:ascii="Calibri" w:hAnsi="Calibri" w:cs="Calibri"/>
                <w:bCs/>
                <w:color w:val="000000"/>
                <w:sz w:val="20"/>
                <w:szCs w:val="20"/>
              </w:rPr>
              <w:t xml:space="preserve"> odborná školení</w:t>
            </w:r>
          </w:p>
        </w:tc>
        <w:tc>
          <w:tcPr>
            <w:tcW w:w="2065" w:type="dxa"/>
            <w:tcBorders>
              <w:top w:val="nil"/>
              <w:left w:val="nil"/>
              <w:bottom w:val="single" w:sz="4" w:space="0" w:color="auto"/>
              <w:right w:val="single" w:sz="4" w:space="0" w:color="auto"/>
            </w:tcBorders>
            <w:shd w:val="clear" w:color="auto" w:fill="auto"/>
            <w:noWrap/>
            <w:vAlign w:val="center"/>
            <w:hideMark/>
          </w:tcPr>
          <w:p w14:paraId="61BFA50C" w14:textId="77777777" w:rsidR="00DB24E5" w:rsidRPr="00202567" w:rsidRDefault="00CD2800" w:rsidP="004D4D13">
            <w:pPr>
              <w:keepNext/>
              <w:keepLines/>
              <w:spacing w:after="0"/>
              <w:ind w:right="57"/>
              <w:jc w:val="right"/>
              <w:rPr>
                <w:rFonts w:ascii="Calibri" w:hAnsi="Calibri" w:cs="Calibri"/>
                <w:color w:val="000000"/>
                <w:sz w:val="20"/>
                <w:szCs w:val="20"/>
              </w:rPr>
            </w:pPr>
            <w:r w:rsidRPr="00202567">
              <w:rPr>
                <w:rFonts w:ascii="Calibri" w:hAnsi="Calibri" w:cs="Calibri"/>
                <w:color w:val="000000"/>
                <w:sz w:val="20"/>
                <w:szCs w:val="20"/>
              </w:rPr>
              <w:t>925 978</w:t>
            </w:r>
          </w:p>
        </w:tc>
        <w:tc>
          <w:tcPr>
            <w:tcW w:w="1276" w:type="dxa"/>
            <w:tcBorders>
              <w:top w:val="nil"/>
              <w:left w:val="nil"/>
              <w:bottom w:val="single" w:sz="4" w:space="0" w:color="auto"/>
              <w:right w:val="single" w:sz="4" w:space="0" w:color="auto"/>
            </w:tcBorders>
            <w:shd w:val="clear" w:color="auto" w:fill="auto"/>
            <w:noWrap/>
            <w:vAlign w:val="center"/>
            <w:hideMark/>
          </w:tcPr>
          <w:p w14:paraId="102BB566" w14:textId="77777777" w:rsidR="00DB24E5" w:rsidRPr="00202567" w:rsidRDefault="00CD2800" w:rsidP="004D4D13">
            <w:pPr>
              <w:keepNext/>
              <w:keepLines/>
              <w:spacing w:after="0"/>
              <w:ind w:left="-72" w:right="363"/>
              <w:jc w:val="right"/>
              <w:rPr>
                <w:rFonts w:ascii="Calibri" w:hAnsi="Calibri" w:cs="Calibri"/>
                <w:color w:val="000000"/>
                <w:sz w:val="20"/>
                <w:szCs w:val="20"/>
              </w:rPr>
            </w:pPr>
            <w:r w:rsidRPr="00202567">
              <w:rPr>
                <w:rFonts w:ascii="Calibri" w:hAnsi="Calibri" w:cs="Calibri"/>
                <w:color w:val="000000"/>
                <w:sz w:val="20"/>
                <w:szCs w:val="20"/>
              </w:rPr>
              <w:t>353</w:t>
            </w:r>
          </w:p>
        </w:tc>
        <w:tc>
          <w:tcPr>
            <w:tcW w:w="2312" w:type="dxa"/>
            <w:tcBorders>
              <w:top w:val="nil"/>
              <w:left w:val="nil"/>
              <w:bottom w:val="single" w:sz="4" w:space="0" w:color="auto"/>
              <w:right w:val="single" w:sz="4" w:space="0" w:color="auto"/>
            </w:tcBorders>
            <w:shd w:val="clear" w:color="auto" w:fill="auto"/>
            <w:noWrap/>
            <w:vAlign w:val="center"/>
            <w:hideMark/>
          </w:tcPr>
          <w:p w14:paraId="77DABD14" w14:textId="77777777" w:rsidR="00DB24E5" w:rsidRPr="00202567" w:rsidRDefault="00CD2800" w:rsidP="004D4D13">
            <w:pPr>
              <w:keepNext/>
              <w:keepLines/>
              <w:spacing w:after="0"/>
              <w:ind w:right="57"/>
              <w:jc w:val="right"/>
              <w:rPr>
                <w:rFonts w:ascii="Calibri" w:hAnsi="Calibri" w:cs="Calibri"/>
                <w:color w:val="000000"/>
                <w:sz w:val="20"/>
                <w:szCs w:val="20"/>
              </w:rPr>
            </w:pPr>
            <w:r w:rsidRPr="00202567">
              <w:rPr>
                <w:rFonts w:ascii="Calibri" w:hAnsi="Calibri" w:cs="Calibri"/>
                <w:color w:val="000000"/>
                <w:sz w:val="20"/>
                <w:szCs w:val="20"/>
              </w:rPr>
              <w:t>2 623</w:t>
            </w:r>
          </w:p>
        </w:tc>
      </w:tr>
      <w:tr w:rsidR="00C76F45" w14:paraId="0F59899A" w14:textId="77777777" w:rsidTr="00F37A2B">
        <w:trPr>
          <w:trHeight w:val="283"/>
        </w:trPr>
        <w:tc>
          <w:tcPr>
            <w:tcW w:w="3317" w:type="dxa"/>
            <w:tcBorders>
              <w:top w:val="nil"/>
              <w:left w:val="single" w:sz="4" w:space="0" w:color="auto"/>
              <w:bottom w:val="single" w:sz="4" w:space="0" w:color="auto"/>
              <w:right w:val="single" w:sz="4" w:space="0" w:color="auto"/>
            </w:tcBorders>
            <w:shd w:val="clear" w:color="auto" w:fill="auto"/>
            <w:noWrap/>
            <w:vAlign w:val="center"/>
            <w:hideMark/>
          </w:tcPr>
          <w:p w14:paraId="6952494F" w14:textId="51E2E966" w:rsidR="00DB24E5" w:rsidRPr="004D4D13" w:rsidRDefault="00CD2800" w:rsidP="004D4D13">
            <w:pPr>
              <w:keepNext/>
              <w:keepLines/>
              <w:spacing w:after="0"/>
              <w:rPr>
                <w:rFonts w:ascii="Calibri" w:hAnsi="Calibri" w:cs="Calibri"/>
                <w:bCs/>
                <w:color w:val="000000"/>
                <w:sz w:val="20"/>
                <w:szCs w:val="20"/>
              </w:rPr>
            </w:pPr>
            <w:r w:rsidRPr="004D4D13">
              <w:rPr>
                <w:rFonts w:ascii="Calibri" w:hAnsi="Calibri" w:cs="Calibri"/>
                <w:bCs/>
                <w:color w:val="000000"/>
                <w:sz w:val="20"/>
                <w:szCs w:val="20"/>
              </w:rPr>
              <w:t xml:space="preserve">INICIATIVA </w:t>
            </w:r>
            <w:r w:rsidR="00381D1D" w:rsidRPr="004D4D13">
              <w:rPr>
                <w:rFonts w:ascii="Calibri" w:hAnsi="Calibri" w:cs="Calibri"/>
                <w:bCs/>
                <w:color w:val="000000"/>
                <w:sz w:val="20"/>
                <w:szCs w:val="20"/>
              </w:rPr>
              <w:t>–</w:t>
            </w:r>
            <w:r w:rsidRPr="004D4D13">
              <w:rPr>
                <w:rFonts w:ascii="Calibri" w:hAnsi="Calibri" w:cs="Calibri"/>
                <w:bCs/>
                <w:color w:val="000000"/>
                <w:sz w:val="20"/>
                <w:szCs w:val="20"/>
              </w:rPr>
              <w:t xml:space="preserve"> rekvalifikace</w:t>
            </w:r>
          </w:p>
        </w:tc>
        <w:tc>
          <w:tcPr>
            <w:tcW w:w="2065" w:type="dxa"/>
            <w:tcBorders>
              <w:top w:val="nil"/>
              <w:left w:val="nil"/>
              <w:bottom w:val="single" w:sz="4" w:space="0" w:color="auto"/>
              <w:right w:val="single" w:sz="4" w:space="0" w:color="auto"/>
            </w:tcBorders>
            <w:shd w:val="clear" w:color="auto" w:fill="auto"/>
            <w:noWrap/>
            <w:vAlign w:val="center"/>
            <w:hideMark/>
          </w:tcPr>
          <w:p w14:paraId="14D34E0B" w14:textId="77777777" w:rsidR="00DB24E5" w:rsidRPr="00202567" w:rsidRDefault="00CD2800" w:rsidP="004D4D13">
            <w:pPr>
              <w:keepNext/>
              <w:keepLines/>
              <w:spacing w:after="0"/>
              <w:ind w:right="57"/>
              <w:jc w:val="right"/>
              <w:rPr>
                <w:rFonts w:ascii="Calibri" w:hAnsi="Calibri" w:cs="Calibri"/>
                <w:color w:val="000000"/>
                <w:sz w:val="20"/>
                <w:szCs w:val="20"/>
              </w:rPr>
            </w:pPr>
            <w:r w:rsidRPr="00202567">
              <w:rPr>
                <w:rFonts w:ascii="Calibri" w:hAnsi="Calibri" w:cs="Calibri"/>
                <w:color w:val="000000"/>
                <w:sz w:val="20"/>
                <w:szCs w:val="20"/>
              </w:rPr>
              <w:t>2 475 775</w:t>
            </w:r>
          </w:p>
        </w:tc>
        <w:tc>
          <w:tcPr>
            <w:tcW w:w="1276" w:type="dxa"/>
            <w:tcBorders>
              <w:top w:val="nil"/>
              <w:left w:val="nil"/>
              <w:bottom w:val="single" w:sz="4" w:space="0" w:color="auto"/>
              <w:right w:val="single" w:sz="4" w:space="0" w:color="auto"/>
            </w:tcBorders>
            <w:shd w:val="clear" w:color="auto" w:fill="auto"/>
            <w:noWrap/>
            <w:vAlign w:val="center"/>
            <w:hideMark/>
          </w:tcPr>
          <w:p w14:paraId="0965B685" w14:textId="77777777" w:rsidR="00DB24E5" w:rsidRPr="00202567" w:rsidRDefault="00CD2800" w:rsidP="004D4D13">
            <w:pPr>
              <w:keepNext/>
              <w:keepLines/>
              <w:spacing w:after="0"/>
              <w:ind w:left="-72" w:right="363"/>
              <w:jc w:val="right"/>
              <w:rPr>
                <w:rFonts w:ascii="Calibri" w:hAnsi="Calibri" w:cs="Calibri"/>
                <w:color w:val="000000"/>
                <w:sz w:val="20"/>
                <w:szCs w:val="20"/>
              </w:rPr>
            </w:pPr>
            <w:r w:rsidRPr="00202567">
              <w:rPr>
                <w:rFonts w:ascii="Calibri" w:hAnsi="Calibri" w:cs="Calibri"/>
                <w:color w:val="000000"/>
                <w:sz w:val="20"/>
                <w:szCs w:val="20"/>
              </w:rPr>
              <w:t>208</w:t>
            </w:r>
          </w:p>
        </w:tc>
        <w:tc>
          <w:tcPr>
            <w:tcW w:w="2312" w:type="dxa"/>
            <w:tcBorders>
              <w:top w:val="nil"/>
              <w:left w:val="nil"/>
              <w:bottom w:val="single" w:sz="4" w:space="0" w:color="auto"/>
              <w:right w:val="single" w:sz="4" w:space="0" w:color="auto"/>
            </w:tcBorders>
            <w:shd w:val="clear" w:color="auto" w:fill="auto"/>
            <w:noWrap/>
            <w:vAlign w:val="center"/>
            <w:hideMark/>
          </w:tcPr>
          <w:p w14:paraId="1E17BA7A" w14:textId="77777777" w:rsidR="00DB24E5" w:rsidRPr="00202567" w:rsidRDefault="00CD2800" w:rsidP="004D4D13">
            <w:pPr>
              <w:keepNext/>
              <w:keepLines/>
              <w:spacing w:after="0"/>
              <w:ind w:right="57"/>
              <w:jc w:val="right"/>
              <w:rPr>
                <w:rFonts w:ascii="Calibri" w:hAnsi="Calibri" w:cs="Calibri"/>
                <w:color w:val="000000"/>
                <w:sz w:val="20"/>
                <w:szCs w:val="20"/>
              </w:rPr>
            </w:pPr>
            <w:r w:rsidRPr="00202567">
              <w:rPr>
                <w:rFonts w:ascii="Calibri" w:hAnsi="Calibri" w:cs="Calibri"/>
                <w:color w:val="000000"/>
                <w:sz w:val="20"/>
                <w:szCs w:val="20"/>
              </w:rPr>
              <w:t>11 903</w:t>
            </w:r>
          </w:p>
        </w:tc>
      </w:tr>
      <w:tr w:rsidR="00C76F45" w14:paraId="1BF5D1FF" w14:textId="77777777" w:rsidTr="00F37A2B">
        <w:trPr>
          <w:trHeight w:val="283"/>
        </w:trPr>
        <w:tc>
          <w:tcPr>
            <w:tcW w:w="3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0A405" w14:textId="19B2D234" w:rsidR="00DB24E5" w:rsidRPr="004D4D13" w:rsidRDefault="00CD2800" w:rsidP="004D4D13">
            <w:pPr>
              <w:keepNext/>
              <w:keepLines/>
              <w:spacing w:after="0"/>
              <w:rPr>
                <w:rFonts w:ascii="Calibri" w:hAnsi="Calibri" w:cs="Calibri"/>
                <w:bCs/>
                <w:color w:val="000000"/>
                <w:sz w:val="20"/>
                <w:szCs w:val="20"/>
              </w:rPr>
            </w:pPr>
            <w:r w:rsidRPr="004D4D13">
              <w:rPr>
                <w:rFonts w:ascii="Calibri" w:hAnsi="Calibri" w:cs="Calibri"/>
                <w:bCs/>
                <w:color w:val="000000"/>
                <w:sz w:val="20"/>
                <w:szCs w:val="20"/>
              </w:rPr>
              <w:t xml:space="preserve">TRANSFER </w:t>
            </w:r>
            <w:r w:rsidR="00542B6C" w:rsidRPr="004D4D13">
              <w:rPr>
                <w:rFonts w:ascii="Calibri" w:hAnsi="Calibri" w:cs="Calibri"/>
                <w:bCs/>
                <w:color w:val="000000"/>
                <w:sz w:val="20"/>
                <w:szCs w:val="20"/>
              </w:rPr>
              <w:t>–</w:t>
            </w:r>
            <w:r w:rsidRPr="004D4D13">
              <w:rPr>
                <w:rFonts w:ascii="Calibri" w:hAnsi="Calibri" w:cs="Calibri"/>
                <w:bCs/>
                <w:color w:val="000000"/>
                <w:sz w:val="20"/>
                <w:szCs w:val="20"/>
              </w:rPr>
              <w:t xml:space="preserve"> </w:t>
            </w:r>
            <w:r w:rsidR="00542B6C" w:rsidRPr="004D4D13">
              <w:rPr>
                <w:rFonts w:ascii="Calibri" w:hAnsi="Calibri" w:cs="Calibri"/>
                <w:bCs/>
                <w:color w:val="000000"/>
                <w:sz w:val="20"/>
                <w:szCs w:val="20"/>
              </w:rPr>
              <w:t>škol</w:t>
            </w:r>
            <w:r w:rsidR="00381D1D" w:rsidRPr="004D4D13">
              <w:rPr>
                <w:rFonts w:ascii="Calibri" w:hAnsi="Calibri" w:cs="Calibri"/>
                <w:bCs/>
                <w:color w:val="000000"/>
                <w:sz w:val="20"/>
                <w:szCs w:val="20"/>
              </w:rPr>
              <w:t>i</w:t>
            </w:r>
            <w:r w:rsidR="00542B6C" w:rsidRPr="004D4D13">
              <w:rPr>
                <w:rFonts w:ascii="Calibri" w:hAnsi="Calibri" w:cs="Calibri"/>
                <w:bCs/>
                <w:color w:val="000000"/>
                <w:sz w:val="20"/>
                <w:szCs w:val="20"/>
              </w:rPr>
              <w:t>cí aktivity</w:t>
            </w:r>
          </w:p>
        </w:tc>
        <w:tc>
          <w:tcPr>
            <w:tcW w:w="2065" w:type="dxa"/>
            <w:tcBorders>
              <w:top w:val="single" w:sz="4" w:space="0" w:color="auto"/>
              <w:left w:val="nil"/>
              <w:bottom w:val="single" w:sz="4" w:space="0" w:color="auto"/>
              <w:right w:val="single" w:sz="4" w:space="0" w:color="auto"/>
            </w:tcBorders>
            <w:shd w:val="clear" w:color="auto" w:fill="auto"/>
            <w:noWrap/>
            <w:vAlign w:val="center"/>
            <w:hideMark/>
          </w:tcPr>
          <w:p w14:paraId="28A1542C" w14:textId="77777777" w:rsidR="00DB24E5" w:rsidRPr="00202567" w:rsidRDefault="00CD2800" w:rsidP="004D4D13">
            <w:pPr>
              <w:keepNext/>
              <w:keepLines/>
              <w:spacing w:after="0"/>
              <w:ind w:right="57"/>
              <w:jc w:val="right"/>
              <w:rPr>
                <w:rFonts w:ascii="Calibri" w:hAnsi="Calibri" w:cs="Calibri"/>
                <w:color w:val="000000"/>
                <w:sz w:val="20"/>
                <w:szCs w:val="20"/>
              </w:rPr>
            </w:pPr>
            <w:r w:rsidRPr="00202567">
              <w:rPr>
                <w:rFonts w:ascii="Calibri" w:hAnsi="Calibri" w:cs="Calibri"/>
                <w:color w:val="000000"/>
                <w:sz w:val="20"/>
                <w:szCs w:val="20"/>
              </w:rPr>
              <w:t>1 769 60</w:t>
            </w:r>
            <w:r w:rsidR="00542B6C" w:rsidRPr="00202567">
              <w:rPr>
                <w:rFonts w:ascii="Calibri" w:hAnsi="Calibri" w:cs="Calibri"/>
                <w:color w:val="000000"/>
                <w:sz w:val="20"/>
                <w:szCs w:val="20"/>
              </w:rPr>
              <w:t>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026D54E" w14:textId="77777777" w:rsidR="00DB24E5" w:rsidRPr="00202567" w:rsidRDefault="00CD2800" w:rsidP="004D4D13">
            <w:pPr>
              <w:keepNext/>
              <w:keepLines/>
              <w:spacing w:after="0"/>
              <w:ind w:left="-72" w:right="363"/>
              <w:jc w:val="right"/>
              <w:rPr>
                <w:rFonts w:ascii="Calibri" w:hAnsi="Calibri" w:cs="Calibri"/>
                <w:color w:val="000000"/>
                <w:sz w:val="20"/>
                <w:szCs w:val="20"/>
              </w:rPr>
            </w:pPr>
            <w:r w:rsidRPr="00202567">
              <w:rPr>
                <w:rFonts w:ascii="Calibri" w:hAnsi="Calibri" w:cs="Calibri"/>
                <w:color w:val="000000"/>
                <w:sz w:val="20"/>
                <w:szCs w:val="20"/>
              </w:rPr>
              <w:t>218</w:t>
            </w:r>
          </w:p>
        </w:tc>
        <w:tc>
          <w:tcPr>
            <w:tcW w:w="2312" w:type="dxa"/>
            <w:tcBorders>
              <w:top w:val="single" w:sz="4" w:space="0" w:color="auto"/>
              <w:left w:val="nil"/>
              <w:bottom w:val="single" w:sz="4" w:space="0" w:color="auto"/>
              <w:right w:val="single" w:sz="4" w:space="0" w:color="auto"/>
            </w:tcBorders>
            <w:shd w:val="clear" w:color="auto" w:fill="auto"/>
            <w:noWrap/>
            <w:vAlign w:val="center"/>
            <w:hideMark/>
          </w:tcPr>
          <w:p w14:paraId="7CD1E973" w14:textId="77777777" w:rsidR="00DB24E5" w:rsidRPr="00202567" w:rsidRDefault="00CD2800" w:rsidP="004D4D13">
            <w:pPr>
              <w:keepNext/>
              <w:keepLines/>
              <w:spacing w:after="0"/>
              <w:ind w:right="57"/>
              <w:jc w:val="right"/>
              <w:rPr>
                <w:rFonts w:ascii="Calibri" w:hAnsi="Calibri" w:cs="Calibri"/>
                <w:color w:val="000000"/>
                <w:sz w:val="20"/>
                <w:szCs w:val="20"/>
              </w:rPr>
            </w:pPr>
            <w:r w:rsidRPr="00202567">
              <w:rPr>
                <w:rFonts w:ascii="Calibri" w:hAnsi="Calibri" w:cs="Calibri"/>
                <w:color w:val="000000"/>
                <w:sz w:val="20"/>
                <w:szCs w:val="20"/>
              </w:rPr>
              <w:t>8 117</w:t>
            </w:r>
          </w:p>
        </w:tc>
      </w:tr>
      <w:tr w:rsidR="00C76F45" w14:paraId="6D8F0353" w14:textId="77777777" w:rsidTr="00F37A2B">
        <w:trPr>
          <w:trHeight w:val="283"/>
        </w:trPr>
        <w:tc>
          <w:tcPr>
            <w:tcW w:w="33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5E8CC" w14:textId="77777777" w:rsidR="00BF383B" w:rsidRPr="00202567" w:rsidRDefault="00CD2800" w:rsidP="004D4D13">
            <w:pPr>
              <w:keepNext/>
              <w:keepLines/>
              <w:spacing w:after="0"/>
              <w:rPr>
                <w:rFonts w:ascii="Calibri" w:hAnsi="Calibri" w:cs="Calibri"/>
                <w:b/>
                <w:bCs/>
                <w:color w:val="000000"/>
                <w:sz w:val="20"/>
                <w:szCs w:val="20"/>
              </w:rPr>
            </w:pPr>
            <w:r w:rsidRPr="00202567">
              <w:rPr>
                <w:rFonts w:ascii="Calibri" w:hAnsi="Calibri" w:cs="Calibri"/>
                <w:b/>
                <w:bCs/>
                <w:color w:val="000000"/>
                <w:sz w:val="20"/>
                <w:szCs w:val="20"/>
              </w:rPr>
              <w:t>Celkem</w:t>
            </w:r>
          </w:p>
        </w:tc>
        <w:tc>
          <w:tcPr>
            <w:tcW w:w="2065" w:type="dxa"/>
            <w:tcBorders>
              <w:top w:val="single" w:sz="4" w:space="0" w:color="auto"/>
              <w:left w:val="nil"/>
              <w:bottom w:val="single" w:sz="4" w:space="0" w:color="auto"/>
              <w:right w:val="single" w:sz="4" w:space="0" w:color="auto"/>
            </w:tcBorders>
            <w:shd w:val="clear" w:color="auto" w:fill="auto"/>
            <w:noWrap/>
          </w:tcPr>
          <w:p w14:paraId="6C40A6AF" w14:textId="77777777" w:rsidR="00BF383B" w:rsidRPr="00202567" w:rsidRDefault="00CD2800" w:rsidP="004D4D13">
            <w:pPr>
              <w:keepNext/>
              <w:keepLines/>
              <w:spacing w:after="0"/>
              <w:ind w:right="57"/>
              <w:jc w:val="right"/>
              <w:rPr>
                <w:rFonts w:ascii="Calibri" w:hAnsi="Calibri" w:cs="Calibri"/>
                <w:b/>
                <w:color w:val="000000"/>
                <w:sz w:val="20"/>
                <w:szCs w:val="20"/>
              </w:rPr>
            </w:pPr>
            <w:r w:rsidRPr="00202567">
              <w:rPr>
                <w:b/>
                <w:sz w:val="20"/>
                <w:szCs w:val="20"/>
              </w:rPr>
              <w:t>5 814 955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74779D8" w14:textId="77777777" w:rsidR="00BF383B" w:rsidRPr="00202567" w:rsidRDefault="00CD2800" w:rsidP="004D4D13">
            <w:pPr>
              <w:keepNext/>
              <w:keepLines/>
              <w:spacing w:after="0"/>
              <w:ind w:left="-72" w:right="363"/>
              <w:jc w:val="right"/>
              <w:rPr>
                <w:rFonts w:ascii="Calibri" w:hAnsi="Calibri" w:cs="Calibri"/>
                <w:b/>
                <w:color w:val="000000"/>
                <w:sz w:val="20"/>
                <w:szCs w:val="20"/>
              </w:rPr>
            </w:pPr>
            <w:r w:rsidRPr="00202567">
              <w:rPr>
                <w:b/>
                <w:sz w:val="20"/>
                <w:szCs w:val="20"/>
              </w:rPr>
              <w:t>800</w:t>
            </w:r>
          </w:p>
        </w:tc>
        <w:tc>
          <w:tcPr>
            <w:tcW w:w="2312" w:type="dxa"/>
            <w:tcBorders>
              <w:top w:val="single" w:sz="4" w:space="0" w:color="auto"/>
              <w:left w:val="nil"/>
              <w:bottom w:val="single" w:sz="4" w:space="0" w:color="auto"/>
              <w:right w:val="single" w:sz="4" w:space="0" w:color="auto"/>
            </w:tcBorders>
            <w:shd w:val="clear" w:color="auto" w:fill="auto"/>
            <w:noWrap/>
          </w:tcPr>
          <w:p w14:paraId="5C1A0718" w14:textId="6B9295F9" w:rsidR="00BF383B" w:rsidRPr="00202567" w:rsidRDefault="00CD2800" w:rsidP="004D4D13">
            <w:pPr>
              <w:keepNext/>
              <w:keepLines/>
              <w:spacing w:after="0"/>
              <w:ind w:right="57"/>
              <w:jc w:val="right"/>
              <w:rPr>
                <w:rFonts w:ascii="Calibri" w:hAnsi="Calibri" w:cs="Calibri"/>
                <w:b/>
                <w:color w:val="000000"/>
                <w:sz w:val="20"/>
                <w:szCs w:val="20"/>
              </w:rPr>
            </w:pPr>
            <w:r w:rsidRPr="00202567">
              <w:rPr>
                <w:b/>
                <w:sz w:val="20"/>
                <w:szCs w:val="20"/>
              </w:rPr>
              <w:t>7 269</w:t>
            </w:r>
          </w:p>
        </w:tc>
      </w:tr>
    </w:tbl>
    <w:p w14:paraId="227F7EAA" w14:textId="5A194DCC" w:rsidR="002C2012" w:rsidRPr="003D1C56" w:rsidRDefault="00CD2800" w:rsidP="00295CE1">
      <w:pPr>
        <w:spacing w:after="0"/>
        <w:jc w:val="both"/>
        <w:rPr>
          <w:sz w:val="20"/>
        </w:rPr>
      </w:pPr>
      <w:r w:rsidRPr="00710D39">
        <w:rPr>
          <w:b/>
          <w:sz w:val="20"/>
        </w:rPr>
        <w:t>Zdroj:</w:t>
      </w:r>
      <w:r w:rsidRPr="003D1C56">
        <w:rPr>
          <w:sz w:val="20"/>
        </w:rPr>
        <w:t xml:space="preserve"> </w:t>
      </w:r>
      <w:r w:rsidR="00295CE1" w:rsidRPr="003D1C56">
        <w:rPr>
          <w:sz w:val="20"/>
        </w:rPr>
        <w:t>údaj</w:t>
      </w:r>
      <w:r w:rsidR="00202567">
        <w:rPr>
          <w:sz w:val="20"/>
        </w:rPr>
        <w:t>e</w:t>
      </w:r>
      <w:r w:rsidR="00295CE1" w:rsidRPr="003D1C56">
        <w:rPr>
          <w:sz w:val="20"/>
        </w:rPr>
        <w:t xml:space="preserve"> </w:t>
      </w:r>
      <w:r w:rsidR="00202567">
        <w:rPr>
          <w:sz w:val="20"/>
          <w:szCs w:val="20"/>
        </w:rPr>
        <w:t>Úřadu práce</w:t>
      </w:r>
      <w:r w:rsidR="00202567" w:rsidRPr="003D1C56">
        <w:rPr>
          <w:sz w:val="20"/>
          <w:szCs w:val="20"/>
        </w:rPr>
        <w:t xml:space="preserve"> a Ústeckého kraje</w:t>
      </w:r>
      <w:r w:rsidR="00710D39">
        <w:rPr>
          <w:sz w:val="20"/>
        </w:rPr>
        <w:t>.</w:t>
      </w:r>
    </w:p>
    <w:p w14:paraId="102B0ECF" w14:textId="79424FC5" w:rsidR="00295CE1" w:rsidRPr="003D1C56" w:rsidRDefault="00CD2800" w:rsidP="0072455B">
      <w:pPr>
        <w:ind w:left="284" w:hanging="284"/>
        <w:jc w:val="both"/>
        <w:rPr>
          <w:sz w:val="20"/>
        </w:rPr>
      </w:pPr>
      <w:r w:rsidRPr="00710D39">
        <w:rPr>
          <w:b/>
          <w:sz w:val="20"/>
        </w:rPr>
        <w:t>*</w:t>
      </w:r>
      <w:r w:rsidR="002D2BEF" w:rsidRPr="00710D39">
        <w:rPr>
          <w:b/>
          <w:sz w:val="20"/>
        </w:rPr>
        <w:t xml:space="preserve"> </w:t>
      </w:r>
      <w:r w:rsidR="0072455B">
        <w:rPr>
          <w:b/>
          <w:sz w:val="20"/>
        </w:rPr>
        <w:tab/>
      </w:r>
      <w:r w:rsidR="005A3778">
        <w:rPr>
          <w:sz w:val="20"/>
        </w:rPr>
        <w:t>V</w:t>
      </w:r>
      <w:r w:rsidRPr="003D1C56">
        <w:rPr>
          <w:sz w:val="20"/>
        </w:rPr>
        <w:t>ýdaje na účastníka zahrnují i související osobní, administrativní a režijní výdaje p</w:t>
      </w:r>
      <w:r w:rsidR="00761BFA" w:rsidRPr="003D1C56">
        <w:rPr>
          <w:sz w:val="20"/>
        </w:rPr>
        <w:t>ř</w:t>
      </w:r>
      <w:r w:rsidRPr="003D1C56">
        <w:rPr>
          <w:sz w:val="20"/>
        </w:rPr>
        <w:t xml:space="preserve">íjemců </w:t>
      </w:r>
      <w:r w:rsidR="00202567">
        <w:rPr>
          <w:sz w:val="20"/>
        </w:rPr>
        <w:t>(</w:t>
      </w:r>
      <w:r w:rsidRPr="003D1C56">
        <w:rPr>
          <w:sz w:val="20"/>
        </w:rPr>
        <w:t>ÚP a ÚK</w:t>
      </w:r>
      <w:r w:rsidR="00202567">
        <w:rPr>
          <w:sz w:val="20"/>
        </w:rPr>
        <w:t>)</w:t>
      </w:r>
      <w:r w:rsidRPr="003D1C56">
        <w:rPr>
          <w:sz w:val="20"/>
        </w:rPr>
        <w:t xml:space="preserve">, cestovné apod. </w:t>
      </w:r>
    </w:p>
    <w:p w14:paraId="5EE3E6E0" w14:textId="42F0E574" w:rsidR="00600975" w:rsidRPr="003D1C56" w:rsidRDefault="00CD2800" w:rsidP="009749D1">
      <w:pPr>
        <w:jc w:val="both"/>
      </w:pPr>
      <w:r w:rsidRPr="003D1C56">
        <w:rPr>
          <w:b/>
        </w:rPr>
        <w:t xml:space="preserve">Náklady na rekvalifikační kurzy </w:t>
      </w:r>
      <w:r w:rsidR="002C70A7" w:rsidRPr="003D1C56">
        <w:rPr>
          <w:b/>
        </w:rPr>
        <w:t xml:space="preserve">v kontrolovaných </w:t>
      </w:r>
      <w:r w:rsidRPr="003D1C56">
        <w:rPr>
          <w:b/>
        </w:rPr>
        <w:t>projekt</w:t>
      </w:r>
      <w:r w:rsidR="002C70A7" w:rsidRPr="003D1C56">
        <w:rPr>
          <w:b/>
        </w:rPr>
        <w:t>ech</w:t>
      </w:r>
      <w:r w:rsidR="00542B6C">
        <w:rPr>
          <w:b/>
        </w:rPr>
        <w:t xml:space="preserve"> ÚP</w:t>
      </w:r>
      <w:r w:rsidR="002C70A7" w:rsidRPr="003D1C56">
        <w:rPr>
          <w:b/>
        </w:rPr>
        <w:t xml:space="preserve"> se významně liší,</w:t>
      </w:r>
      <w:r w:rsidR="00C40F35">
        <w:rPr>
          <w:b/>
        </w:rPr>
        <w:t xml:space="preserve"> vyšší náklady na rekvalifikace byly</w:t>
      </w:r>
      <w:r w:rsidR="002C70A7" w:rsidRPr="003D1C56">
        <w:rPr>
          <w:b/>
        </w:rPr>
        <w:t xml:space="preserve"> v projektu </w:t>
      </w:r>
      <w:r w:rsidR="007221F9" w:rsidRPr="003D1C56">
        <w:rPr>
          <w:b/>
        </w:rPr>
        <w:t>ZÁRUKY.</w:t>
      </w:r>
      <w:r>
        <w:rPr>
          <w:rStyle w:val="Znakapoznpodarou"/>
          <w:b/>
        </w:rPr>
        <w:footnoteReference w:id="53"/>
      </w:r>
    </w:p>
    <w:p w14:paraId="681D0ABF" w14:textId="77777777" w:rsidR="00480032" w:rsidRPr="003D1C56" w:rsidRDefault="00480032" w:rsidP="004043C2">
      <w:pPr>
        <w:spacing w:after="0"/>
        <w:jc w:val="both"/>
        <w:rPr>
          <w:sz w:val="20"/>
          <w:szCs w:val="20"/>
        </w:rPr>
      </w:pPr>
    </w:p>
    <w:p w14:paraId="3D322664" w14:textId="640790F8" w:rsidR="00480032" w:rsidRPr="003D1C56" w:rsidRDefault="00CD2800" w:rsidP="00AA6CA2">
      <w:pPr>
        <w:jc w:val="both"/>
      </w:pPr>
      <w:r w:rsidRPr="003D1C56">
        <w:t xml:space="preserve">Úřad práce zařadil do projektů ZÁRUKY </w:t>
      </w:r>
      <w:r w:rsidR="00171A8D">
        <w:t>a</w:t>
      </w:r>
      <w:r w:rsidRPr="003D1C56">
        <w:t xml:space="preserve"> INICIATIVA </w:t>
      </w:r>
      <w:r w:rsidR="00171A8D">
        <w:t xml:space="preserve">také </w:t>
      </w:r>
      <w:r w:rsidRPr="003D1C56">
        <w:t xml:space="preserve">klíčovou aktivitu </w:t>
      </w:r>
      <w:r w:rsidR="004D4D13">
        <w:rPr>
          <w:i/>
        </w:rPr>
        <w:t>s</w:t>
      </w:r>
      <w:r w:rsidRPr="003D1C56">
        <w:rPr>
          <w:i/>
        </w:rPr>
        <w:t>táže v zahraničí.</w:t>
      </w:r>
      <w:r w:rsidRPr="00D57777">
        <w:t xml:space="preserve"> </w:t>
      </w:r>
      <w:r w:rsidR="00A25919" w:rsidRPr="003D1C56">
        <w:t>Účast klientů na odborn</w:t>
      </w:r>
      <w:r w:rsidR="004D4D13">
        <w:t>ých</w:t>
      </w:r>
      <w:r w:rsidR="00A25919" w:rsidRPr="003D1C56">
        <w:t xml:space="preserve"> stáž</w:t>
      </w:r>
      <w:r w:rsidR="004D4D13">
        <w:t>ích</w:t>
      </w:r>
      <w:r w:rsidR="00A25919" w:rsidRPr="003D1C56">
        <w:t xml:space="preserve"> v zahraničí je zejména u projektu </w:t>
      </w:r>
      <w:r w:rsidR="005F6BD3" w:rsidRPr="003D1C56">
        <w:t>ZÁRUKY</w:t>
      </w:r>
      <w:r w:rsidR="00A25919" w:rsidRPr="003D1C56">
        <w:t xml:space="preserve"> nízká.</w:t>
      </w:r>
    </w:p>
    <w:p w14:paraId="47F79E79" w14:textId="409BD507" w:rsidR="00AE7F7C" w:rsidRPr="003D1C56" w:rsidRDefault="00CD2800" w:rsidP="00964CF0">
      <w:pPr>
        <w:keepNext/>
        <w:keepLines/>
        <w:spacing w:before="240" w:after="0"/>
        <w:rPr>
          <w:iCs/>
        </w:rPr>
      </w:pPr>
      <w:r w:rsidRPr="003D1C56">
        <w:rPr>
          <w:iCs/>
        </w:rPr>
        <w:t xml:space="preserve">Tabulka č. </w:t>
      </w:r>
      <w:r w:rsidRPr="003D1C56">
        <w:rPr>
          <w:iCs/>
        </w:rPr>
        <w:fldChar w:fldCharType="begin"/>
      </w:r>
      <w:r w:rsidRPr="003D1C56">
        <w:rPr>
          <w:iCs/>
        </w:rPr>
        <w:instrText xml:space="preserve"> SEQ Tabulka_č. \* ARABIC </w:instrText>
      </w:r>
      <w:r w:rsidRPr="003D1C56">
        <w:rPr>
          <w:iCs/>
        </w:rPr>
        <w:fldChar w:fldCharType="separate"/>
      </w:r>
      <w:r w:rsidR="00996C4C">
        <w:rPr>
          <w:iCs/>
          <w:noProof/>
        </w:rPr>
        <w:t>8</w:t>
      </w:r>
      <w:r w:rsidRPr="003D1C56">
        <w:rPr>
          <w:iCs/>
        </w:rPr>
        <w:fldChar w:fldCharType="end"/>
      </w:r>
      <w:r w:rsidRPr="003D1C56">
        <w:rPr>
          <w:iCs/>
        </w:rPr>
        <w:t>: Srovnání skutečných výdajů na účastníky stáží v zahraničí</w:t>
      </w:r>
    </w:p>
    <w:tbl>
      <w:tblPr>
        <w:tblW w:w="9090" w:type="dxa"/>
        <w:tblCellMar>
          <w:left w:w="70" w:type="dxa"/>
          <w:right w:w="70" w:type="dxa"/>
        </w:tblCellMar>
        <w:tblLook w:val="04A0" w:firstRow="1" w:lastRow="0" w:firstColumn="1" w:lastColumn="0" w:noHBand="0" w:noVBand="1"/>
      </w:tblPr>
      <w:tblGrid>
        <w:gridCol w:w="2482"/>
        <w:gridCol w:w="2283"/>
        <w:gridCol w:w="2237"/>
        <w:gridCol w:w="2088"/>
      </w:tblGrid>
      <w:tr w:rsidR="00C76F45" w14:paraId="0F0E3909" w14:textId="77777777" w:rsidTr="00951354">
        <w:trPr>
          <w:trHeight w:val="342"/>
        </w:trPr>
        <w:tc>
          <w:tcPr>
            <w:tcW w:w="2482" w:type="dxa"/>
            <w:vMerge w:val="restart"/>
            <w:tcBorders>
              <w:top w:val="single" w:sz="4" w:space="0" w:color="auto"/>
              <w:left w:val="single" w:sz="4" w:space="0" w:color="auto"/>
              <w:bottom w:val="single" w:sz="4" w:space="0" w:color="000000"/>
              <w:right w:val="single" w:sz="4" w:space="0" w:color="auto"/>
            </w:tcBorders>
            <w:shd w:val="clear" w:color="auto" w:fill="E5F1FF"/>
            <w:vAlign w:val="center"/>
            <w:hideMark/>
          </w:tcPr>
          <w:p w14:paraId="01876120" w14:textId="77777777" w:rsidR="00AA6CA2" w:rsidRPr="003D1C56" w:rsidRDefault="00CD2800" w:rsidP="00964CF0">
            <w:pPr>
              <w:keepNext/>
              <w:keepLines/>
              <w:spacing w:after="0"/>
              <w:jc w:val="center"/>
              <w:rPr>
                <w:rFonts w:ascii="Calibri" w:hAnsi="Calibri" w:cs="Calibri"/>
                <w:b/>
                <w:bCs/>
                <w:color w:val="000000"/>
                <w:sz w:val="20"/>
                <w:szCs w:val="20"/>
              </w:rPr>
            </w:pPr>
            <w:r w:rsidRPr="003D1C56">
              <w:rPr>
                <w:rFonts w:ascii="Calibri" w:hAnsi="Calibri" w:cs="Calibri"/>
                <w:b/>
                <w:bCs/>
                <w:color w:val="000000"/>
                <w:sz w:val="20"/>
                <w:szCs w:val="20"/>
              </w:rPr>
              <w:t>Projekt</w:t>
            </w:r>
          </w:p>
        </w:tc>
        <w:tc>
          <w:tcPr>
            <w:tcW w:w="6608" w:type="dxa"/>
            <w:gridSpan w:val="3"/>
            <w:tcBorders>
              <w:top w:val="single" w:sz="4" w:space="0" w:color="auto"/>
              <w:left w:val="nil"/>
              <w:bottom w:val="single" w:sz="4" w:space="0" w:color="auto"/>
              <w:right w:val="single" w:sz="4" w:space="0" w:color="auto"/>
            </w:tcBorders>
            <w:shd w:val="clear" w:color="auto" w:fill="E5F1FF"/>
            <w:vAlign w:val="center"/>
            <w:hideMark/>
          </w:tcPr>
          <w:p w14:paraId="41A5C1F2" w14:textId="77777777" w:rsidR="00AA6CA2" w:rsidRPr="003D1C56" w:rsidRDefault="00CD2800" w:rsidP="00964CF0">
            <w:pPr>
              <w:keepNext/>
              <w:keepLines/>
              <w:spacing w:after="0"/>
              <w:jc w:val="center"/>
              <w:rPr>
                <w:rFonts w:ascii="Calibri" w:hAnsi="Calibri" w:cs="Calibri"/>
                <w:b/>
                <w:bCs/>
                <w:color w:val="000000"/>
                <w:sz w:val="20"/>
                <w:szCs w:val="20"/>
              </w:rPr>
            </w:pPr>
            <w:r w:rsidRPr="003D1C56">
              <w:rPr>
                <w:rFonts w:ascii="Calibri" w:hAnsi="Calibri" w:cs="Calibri"/>
                <w:b/>
                <w:bCs/>
                <w:color w:val="000000"/>
                <w:sz w:val="20"/>
                <w:szCs w:val="20"/>
              </w:rPr>
              <w:t>Výdaje na stáže v zahraničí (uplatněno v žádostech o platbu)</w:t>
            </w:r>
          </w:p>
        </w:tc>
      </w:tr>
      <w:tr w:rsidR="00C76F45" w14:paraId="25CCCA4A" w14:textId="77777777" w:rsidTr="00951354">
        <w:trPr>
          <w:trHeight w:val="392"/>
        </w:trPr>
        <w:tc>
          <w:tcPr>
            <w:tcW w:w="2482" w:type="dxa"/>
            <w:vMerge/>
            <w:tcBorders>
              <w:top w:val="single" w:sz="4" w:space="0" w:color="auto"/>
              <w:left w:val="single" w:sz="4" w:space="0" w:color="auto"/>
              <w:bottom w:val="single" w:sz="4" w:space="0" w:color="000000"/>
              <w:right w:val="single" w:sz="4" w:space="0" w:color="auto"/>
            </w:tcBorders>
            <w:shd w:val="clear" w:color="auto" w:fill="E5F1FF"/>
            <w:vAlign w:val="center"/>
            <w:hideMark/>
          </w:tcPr>
          <w:p w14:paraId="2FAEBE3A" w14:textId="77777777" w:rsidR="00AA6CA2" w:rsidRPr="003D1C56" w:rsidRDefault="00AA6CA2" w:rsidP="00964CF0">
            <w:pPr>
              <w:keepNext/>
              <w:keepLines/>
              <w:spacing w:after="0"/>
              <w:rPr>
                <w:rFonts w:ascii="Calibri" w:hAnsi="Calibri" w:cs="Calibri"/>
                <w:b/>
                <w:bCs/>
                <w:color w:val="000000"/>
                <w:sz w:val="20"/>
                <w:szCs w:val="20"/>
              </w:rPr>
            </w:pPr>
          </w:p>
        </w:tc>
        <w:tc>
          <w:tcPr>
            <w:tcW w:w="2283" w:type="dxa"/>
            <w:tcBorders>
              <w:top w:val="nil"/>
              <w:left w:val="nil"/>
              <w:bottom w:val="single" w:sz="4" w:space="0" w:color="auto"/>
              <w:right w:val="single" w:sz="4" w:space="0" w:color="auto"/>
            </w:tcBorders>
            <w:shd w:val="clear" w:color="auto" w:fill="E5F1FF"/>
            <w:vAlign w:val="center"/>
            <w:hideMark/>
          </w:tcPr>
          <w:p w14:paraId="5DC47423" w14:textId="77777777" w:rsidR="00AA6CA2" w:rsidRPr="003D1C56" w:rsidRDefault="00CD2800" w:rsidP="00964CF0">
            <w:pPr>
              <w:keepNext/>
              <w:keepLines/>
              <w:spacing w:after="0"/>
              <w:jc w:val="center"/>
              <w:rPr>
                <w:rFonts w:ascii="Calibri" w:hAnsi="Calibri" w:cs="Calibri"/>
                <w:b/>
                <w:bCs/>
                <w:color w:val="000000"/>
                <w:sz w:val="20"/>
                <w:szCs w:val="20"/>
              </w:rPr>
            </w:pPr>
            <w:r w:rsidRPr="003D1C56">
              <w:rPr>
                <w:rFonts w:ascii="Calibri" w:hAnsi="Calibri" w:cs="Calibri"/>
                <w:b/>
                <w:bCs/>
                <w:color w:val="000000"/>
                <w:sz w:val="20"/>
                <w:szCs w:val="20"/>
              </w:rPr>
              <w:t>Celkové výdaje</w:t>
            </w:r>
            <w:r w:rsidRPr="003D1C56">
              <w:rPr>
                <w:rFonts w:ascii="Calibri" w:hAnsi="Calibri" w:cs="Calibri"/>
                <w:b/>
                <w:bCs/>
                <w:color w:val="000000"/>
                <w:sz w:val="20"/>
                <w:szCs w:val="20"/>
              </w:rPr>
              <w:br/>
              <w:t>(v Kč)</w:t>
            </w:r>
          </w:p>
        </w:tc>
        <w:tc>
          <w:tcPr>
            <w:tcW w:w="2237" w:type="dxa"/>
            <w:tcBorders>
              <w:top w:val="nil"/>
              <w:left w:val="nil"/>
              <w:bottom w:val="single" w:sz="4" w:space="0" w:color="auto"/>
              <w:right w:val="single" w:sz="4" w:space="0" w:color="auto"/>
            </w:tcBorders>
            <w:shd w:val="clear" w:color="auto" w:fill="E5F1FF"/>
            <w:vAlign w:val="center"/>
            <w:hideMark/>
          </w:tcPr>
          <w:p w14:paraId="54A83DFA" w14:textId="77777777" w:rsidR="00AA6CA2" w:rsidRPr="003D1C56" w:rsidRDefault="00CD2800" w:rsidP="00964CF0">
            <w:pPr>
              <w:keepNext/>
              <w:keepLines/>
              <w:spacing w:after="0"/>
              <w:jc w:val="center"/>
              <w:rPr>
                <w:rFonts w:ascii="Calibri" w:hAnsi="Calibri" w:cs="Calibri"/>
                <w:b/>
                <w:bCs/>
                <w:color w:val="000000"/>
                <w:sz w:val="20"/>
                <w:szCs w:val="20"/>
              </w:rPr>
            </w:pPr>
            <w:r w:rsidRPr="003D1C56">
              <w:rPr>
                <w:rFonts w:ascii="Calibri" w:hAnsi="Calibri" w:cs="Calibri"/>
                <w:b/>
                <w:bCs/>
                <w:color w:val="000000"/>
                <w:sz w:val="20"/>
                <w:szCs w:val="20"/>
              </w:rPr>
              <w:t>Počet účastníků</w:t>
            </w:r>
          </w:p>
        </w:tc>
        <w:tc>
          <w:tcPr>
            <w:tcW w:w="2087" w:type="dxa"/>
            <w:tcBorders>
              <w:top w:val="nil"/>
              <w:left w:val="nil"/>
              <w:bottom w:val="single" w:sz="4" w:space="0" w:color="auto"/>
              <w:right w:val="single" w:sz="4" w:space="0" w:color="auto"/>
            </w:tcBorders>
            <w:shd w:val="clear" w:color="auto" w:fill="E5F1FF"/>
            <w:vAlign w:val="center"/>
            <w:hideMark/>
          </w:tcPr>
          <w:p w14:paraId="555E82CD" w14:textId="77777777" w:rsidR="00AA6CA2" w:rsidRPr="003D1C56" w:rsidRDefault="00CD2800" w:rsidP="00964CF0">
            <w:pPr>
              <w:keepNext/>
              <w:keepLines/>
              <w:spacing w:after="0"/>
              <w:jc w:val="center"/>
              <w:rPr>
                <w:rFonts w:ascii="Calibri" w:hAnsi="Calibri" w:cs="Calibri"/>
                <w:b/>
                <w:bCs/>
                <w:color w:val="000000"/>
                <w:sz w:val="20"/>
                <w:szCs w:val="20"/>
              </w:rPr>
            </w:pPr>
            <w:r w:rsidRPr="003D1C56">
              <w:rPr>
                <w:rFonts w:ascii="Calibri" w:hAnsi="Calibri" w:cs="Calibri"/>
                <w:b/>
                <w:bCs/>
                <w:color w:val="000000"/>
                <w:sz w:val="20"/>
                <w:szCs w:val="20"/>
              </w:rPr>
              <w:t>Cena za</w:t>
            </w:r>
            <w:r w:rsidR="00E346F3" w:rsidRPr="003D1C56">
              <w:rPr>
                <w:rFonts w:ascii="Calibri" w:hAnsi="Calibri" w:cs="Calibri"/>
                <w:b/>
                <w:bCs/>
                <w:color w:val="000000"/>
                <w:sz w:val="20"/>
                <w:szCs w:val="20"/>
              </w:rPr>
              <w:t xml:space="preserve"> </w:t>
            </w:r>
            <w:r w:rsidRPr="003D1C56">
              <w:rPr>
                <w:rFonts w:ascii="Calibri" w:hAnsi="Calibri" w:cs="Calibri"/>
                <w:b/>
                <w:bCs/>
                <w:color w:val="000000"/>
                <w:sz w:val="20"/>
                <w:szCs w:val="20"/>
              </w:rPr>
              <w:t>1 účastníka</w:t>
            </w:r>
            <w:r w:rsidRPr="003D1C56">
              <w:rPr>
                <w:rFonts w:ascii="Calibri" w:hAnsi="Calibri" w:cs="Calibri"/>
                <w:b/>
                <w:bCs/>
                <w:color w:val="000000"/>
                <w:sz w:val="20"/>
                <w:szCs w:val="20"/>
              </w:rPr>
              <w:br/>
              <w:t>(v Kč)</w:t>
            </w:r>
          </w:p>
        </w:tc>
      </w:tr>
      <w:tr w:rsidR="00C76F45" w14:paraId="4D96CC98" w14:textId="77777777" w:rsidTr="00F37A2B">
        <w:trPr>
          <w:trHeight w:val="283"/>
        </w:trPr>
        <w:tc>
          <w:tcPr>
            <w:tcW w:w="2482" w:type="dxa"/>
            <w:tcBorders>
              <w:top w:val="nil"/>
              <w:left w:val="single" w:sz="4" w:space="0" w:color="auto"/>
              <w:bottom w:val="single" w:sz="4" w:space="0" w:color="auto"/>
              <w:right w:val="single" w:sz="4" w:space="0" w:color="auto"/>
            </w:tcBorders>
            <w:shd w:val="clear" w:color="auto" w:fill="auto"/>
            <w:noWrap/>
            <w:vAlign w:val="center"/>
            <w:hideMark/>
          </w:tcPr>
          <w:p w14:paraId="3C794E3A" w14:textId="77777777" w:rsidR="00AA6CA2" w:rsidRPr="003D1C56" w:rsidRDefault="00CD2800" w:rsidP="00F37A2B">
            <w:pPr>
              <w:keepNext/>
              <w:keepLines/>
              <w:spacing w:after="0"/>
              <w:rPr>
                <w:rFonts w:ascii="Calibri" w:hAnsi="Calibri" w:cs="Calibri"/>
                <w:bCs/>
                <w:color w:val="000000"/>
                <w:sz w:val="22"/>
                <w:szCs w:val="22"/>
              </w:rPr>
            </w:pPr>
            <w:r w:rsidRPr="003D1C56">
              <w:rPr>
                <w:rFonts w:ascii="Calibri" w:hAnsi="Calibri" w:cs="Calibri"/>
                <w:bCs/>
                <w:color w:val="000000"/>
                <w:sz w:val="22"/>
                <w:szCs w:val="22"/>
              </w:rPr>
              <w:t>ZÁRUKY</w:t>
            </w:r>
          </w:p>
        </w:tc>
        <w:tc>
          <w:tcPr>
            <w:tcW w:w="2283" w:type="dxa"/>
            <w:tcBorders>
              <w:top w:val="nil"/>
              <w:left w:val="nil"/>
              <w:bottom w:val="single" w:sz="4" w:space="0" w:color="auto"/>
              <w:right w:val="single" w:sz="4" w:space="0" w:color="auto"/>
            </w:tcBorders>
            <w:shd w:val="clear" w:color="auto" w:fill="auto"/>
            <w:noWrap/>
            <w:vAlign w:val="center"/>
            <w:hideMark/>
          </w:tcPr>
          <w:p w14:paraId="14BADCA4" w14:textId="77777777" w:rsidR="00AA6CA2" w:rsidRPr="003D1C56" w:rsidRDefault="00CD2800" w:rsidP="00F37A2B">
            <w:pPr>
              <w:keepNext/>
              <w:keepLines/>
              <w:spacing w:after="0"/>
              <w:ind w:right="57"/>
              <w:jc w:val="right"/>
              <w:rPr>
                <w:rFonts w:ascii="Calibri" w:hAnsi="Calibri" w:cs="Calibri"/>
                <w:color w:val="000000"/>
                <w:sz w:val="20"/>
                <w:szCs w:val="20"/>
              </w:rPr>
            </w:pPr>
            <w:r w:rsidRPr="003D1C56">
              <w:rPr>
                <w:rFonts w:ascii="Calibri" w:hAnsi="Calibri" w:cs="Calibri"/>
                <w:color w:val="000000"/>
                <w:sz w:val="20"/>
                <w:szCs w:val="20"/>
              </w:rPr>
              <w:t>618 735</w:t>
            </w:r>
          </w:p>
        </w:tc>
        <w:tc>
          <w:tcPr>
            <w:tcW w:w="2237" w:type="dxa"/>
            <w:tcBorders>
              <w:top w:val="nil"/>
              <w:left w:val="nil"/>
              <w:bottom w:val="single" w:sz="4" w:space="0" w:color="auto"/>
              <w:right w:val="single" w:sz="4" w:space="0" w:color="auto"/>
            </w:tcBorders>
            <w:shd w:val="clear" w:color="auto" w:fill="auto"/>
            <w:noWrap/>
            <w:vAlign w:val="center"/>
            <w:hideMark/>
          </w:tcPr>
          <w:p w14:paraId="5FAF43B0" w14:textId="77777777" w:rsidR="00AA6CA2" w:rsidRPr="003D1C56" w:rsidRDefault="00CD2800" w:rsidP="00964CF0">
            <w:pPr>
              <w:keepNext/>
              <w:keepLines/>
              <w:spacing w:after="0"/>
              <w:jc w:val="center"/>
              <w:rPr>
                <w:rFonts w:ascii="Calibri" w:hAnsi="Calibri" w:cs="Calibri"/>
                <w:color w:val="000000"/>
                <w:sz w:val="20"/>
                <w:szCs w:val="20"/>
              </w:rPr>
            </w:pPr>
            <w:r w:rsidRPr="003D1C56">
              <w:rPr>
                <w:rFonts w:ascii="Calibri" w:hAnsi="Calibri" w:cs="Calibri"/>
                <w:color w:val="000000"/>
                <w:sz w:val="20"/>
                <w:szCs w:val="20"/>
              </w:rPr>
              <w:t>11</w:t>
            </w:r>
          </w:p>
        </w:tc>
        <w:tc>
          <w:tcPr>
            <w:tcW w:w="2087" w:type="dxa"/>
            <w:tcBorders>
              <w:top w:val="nil"/>
              <w:left w:val="nil"/>
              <w:bottom w:val="single" w:sz="4" w:space="0" w:color="auto"/>
              <w:right w:val="single" w:sz="4" w:space="0" w:color="auto"/>
            </w:tcBorders>
            <w:shd w:val="clear" w:color="auto" w:fill="auto"/>
            <w:noWrap/>
            <w:vAlign w:val="center"/>
            <w:hideMark/>
          </w:tcPr>
          <w:p w14:paraId="61C4950C" w14:textId="77777777" w:rsidR="00AA6CA2" w:rsidRPr="003D1C56" w:rsidRDefault="00CD2800" w:rsidP="00F37A2B">
            <w:pPr>
              <w:keepNext/>
              <w:keepLines/>
              <w:spacing w:after="0"/>
              <w:ind w:right="57"/>
              <w:jc w:val="right"/>
              <w:rPr>
                <w:rFonts w:ascii="Calibri" w:hAnsi="Calibri" w:cs="Calibri"/>
                <w:color w:val="000000"/>
                <w:sz w:val="20"/>
                <w:szCs w:val="20"/>
              </w:rPr>
            </w:pPr>
            <w:r w:rsidRPr="003D1C56">
              <w:rPr>
                <w:rFonts w:ascii="Calibri" w:hAnsi="Calibri" w:cs="Calibri"/>
                <w:color w:val="000000"/>
                <w:sz w:val="20"/>
                <w:szCs w:val="20"/>
              </w:rPr>
              <w:t>56 249</w:t>
            </w:r>
          </w:p>
        </w:tc>
      </w:tr>
      <w:tr w:rsidR="00C76F45" w14:paraId="20A8A47C" w14:textId="77777777" w:rsidTr="00F37A2B">
        <w:trPr>
          <w:trHeight w:val="283"/>
        </w:trPr>
        <w:tc>
          <w:tcPr>
            <w:tcW w:w="2482" w:type="dxa"/>
            <w:tcBorders>
              <w:top w:val="nil"/>
              <w:left w:val="single" w:sz="4" w:space="0" w:color="auto"/>
              <w:bottom w:val="single" w:sz="4" w:space="0" w:color="auto"/>
              <w:right w:val="single" w:sz="4" w:space="0" w:color="auto"/>
            </w:tcBorders>
            <w:shd w:val="clear" w:color="auto" w:fill="auto"/>
            <w:noWrap/>
            <w:vAlign w:val="center"/>
            <w:hideMark/>
          </w:tcPr>
          <w:p w14:paraId="2D33B7E4" w14:textId="77777777" w:rsidR="00AA6CA2" w:rsidRPr="003D1C56" w:rsidRDefault="00CD2800" w:rsidP="00F37A2B">
            <w:pPr>
              <w:keepNext/>
              <w:keepLines/>
              <w:spacing w:after="0"/>
              <w:rPr>
                <w:rFonts w:ascii="Calibri" w:hAnsi="Calibri" w:cs="Calibri"/>
                <w:bCs/>
                <w:color w:val="000000"/>
                <w:sz w:val="22"/>
                <w:szCs w:val="22"/>
              </w:rPr>
            </w:pPr>
            <w:r w:rsidRPr="003D1C56">
              <w:rPr>
                <w:rFonts w:ascii="Calibri" w:hAnsi="Calibri" w:cs="Calibri"/>
                <w:bCs/>
                <w:color w:val="000000"/>
                <w:sz w:val="22"/>
                <w:szCs w:val="22"/>
              </w:rPr>
              <w:t>INICIAT</w:t>
            </w:r>
            <w:r w:rsidR="00D80AD2" w:rsidRPr="003D1C56">
              <w:rPr>
                <w:rFonts w:ascii="Calibri" w:hAnsi="Calibri" w:cs="Calibri"/>
                <w:bCs/>
                <w:color w:val="000000"/>
                <w:sz w:val="22"/>
                <w:szCs w:val="22"/>
              </w:rPr>
              <w:t>I</w:t>
            </w:r>
            <w:r w:rsidRPr="003D1C56">
              <w:rPr>
                <w:rFonts w:ascii="Calibri" w:hAnsi="Calibri" w:cs="Calibri"/>
                <w:bCs/>
                <w:color w:val="000000"/>
                <w:sz w:val="22"/>
                <w:szCs w:val="22"/>
              </w:rPr>
              <w:t>VA</w:t>
            </w:r>
          </w:p>
        </w:tc>
        <w:tc>
          <w:tcPr>
            <w:tcW w:w="2283" w:type="dxa"/>
            <w:tcBorders>
              <w:top w:val="nil"/>
              <w:left w:val="nil"/>
              <w:bottom w:val="single" w:sz="4" w:space="0" w:color="auto"/>
              <w:right w:val="single" w:sz="4" w:space="0" w:color="auto"/>
            </w:tcBorders>
            <w:shd w:val="clear" w:color="auto" w:fill="auto"/>
            <w:noWrap/>
            <w:vAlign w:val="center"/>
            <w:hideMark/>
          </w:tcPr>
          <w:p w14:paraId="3422630C" w14:textId="77777777" w:rsidR="00AA6CA2" w:rsidRPr="003D1C56" w:rsidRDefault="00CD2800" w:rsidP="00F37A2B">
            <w:pPr>
              <w:keepNext/>
              <w:keepLines/>
              <w:spacing w:after="0"/>
              <w:ind w:right="57"/>
              <w:jc w:val="right"/>
              <w:rPr>
                <w:rFonts w:ascii="Calibri" w:hAnsi="Calibri" w:cs="Calibri"/>
                <w:color w:val="000000"/>
                <w:sz w:val="20"/>
                <w:szCs w:val="20"/>
              </w:rPr>
            </w:pPr>
            <w:r w:rsidRPr="003D1C56">
              <w:rPr>
                <w:rFonts w:ascii="Calibri" w:hAnsi="Calibri" w:cs="Calibri"/>
                <w:color w:val="000000"/>
                <w:sz w:val="20"/>
                <w:szCs w:val="20"/>
              </w:rPr>
              <w:t>5 692 809</w:t>
            </w:r>
          </w:p>
        </w:tc>
        <w:tc>
          <w:tcPr>
            <w:tcW w:w="2237" w:type="dxa"/>
            <w:tcBorders>
              <w:top w:val="nil"/>
              <w:left w:val="nil"/>
              <w:bottom w:val="single" w:sz="4" w:space="0" w:color="auto"/>
              <w:right w:val="single" w:sz="4" w:space="0" w:color="auto"/>
            </w:tcBorders>
            <w:shd w:val="clear" w:color="auto" w:fill="auto"/>
            <w:noWrap/>
            <w:vAlign w:val="center"/>
            <w:hideMark/>
          </w:tcPr>
          <w:p w14:paraId="263E8633" w14:textId="77777777" w:rsidR="00AA6CA2" w:rsidRPr="003D1C56" w:rsidRDefault="00CD2800" w:rsidP="00964CF0">
            <w:pPr>
              <w:keepNext/>
              <w:keepLines/>
              <w:spacing w:after="0"/>
              <w:jc w:val="center"/>
              <w:rPr>
                <w:rFonts w:ascii="Calibri" w:hAnsi="Calibri" w:cs="Calibri"/>
                <w:color w:val="000000"/>
                <w:sz w:val="20"/>
                <w:szCs w:val="20"/>
              </w:rPr>
            </w:pPr>
            <w:r w:rsidRPr="003D1C56">
              <w:rPr>
                <w:rFonts w:ascii="Calibri" w:hAnsi="Calibri" w:cs="Calibri"/>
                <w:color w:val="000000"/>
                <w:sz w:val="20"/>
                <w:szCs w:val="20"/>
              </w:rPr>
              <w:t>172</w:t>
            </w:r>
          </w:p>
        </w:tc>
        <w:tc>
          <w:tcPr>
            <w:tcW w:w="2087" w:type="dxa"/>
            <w:tcBorders>
              <w:top w:val="nil"/>
              <w:left w:val="nil"/>
              <w:bottom w:val="single" w:sz="4" w:space="0" w:color="auto"/>
              <w:right w:val="single" w:sz="4" w:space="0" w:color="auto"/>
            </w:tcBorders>
            <w:shd w:val="clear" w:color="auto" w:fill="auto"/>
            <w:noWrap/>
            <w:vAlign w:val="center"/>
            <w:hideMark/>
          </w:tcPr>
          <w:p w14:paraId="47AF06E7" w14:textId="77777777" w:rsidR="00AA6CA2" w:rsidRPr="003D1C56" w:rsidRDefault="00CD2800" w:rsidP="00F37A2B">
            <w:pPr>
              <w:keepNext/>
              <w:keepLines/>
              <w:spacing w:after="0"/>
              <w:ind w:right="57"/>
              <w:jc w:val="right"/>
              <w:rPr>
                <w:rFonts w:ascii="Calibri" w:hAnsi="Calibri" w:cs="Calibri"/>
                <w:color w:val="000000"/>
                <w:sz w:val="20"/>
                <w:szCs w:val="20"/>
              </w:rPr>
            </w:pPr>
            <w:r w:rsidRPr="003D1C56">
              <w:rPr>
                <w:rFonts w:ascii="Calibri" w:hAnsi="Calibri" w:cs="Calibri"/>
                <w:color w:val="000000"/>
                <w:sz w:val="20"/>
                <w:szCs w:val="20"/>
              </w:rPr>
              <w:t>33 098</w:t>
            </w:r>
          </w:p>
        </w:tc>
      </w:tr>
    </w:tbl>
    <w:p w14:paraId="00BAF75A" w14:textId="4B133288" w:rsidR="004043C2" w:rsidRDefault="00CD2800" w:rsidP="00964CF0">
      <w:pPr>
        <w:keepNext/>
        <w:keepLines/>
        <w:spacing w:after="0"/>
        <w:rPr>
          <w:sz w:val="20"/>
          <w:szCs w:val="20"/>
        </w:rPr>
      </w:pPr>
      <w:r w:rsidRPr="00710D39">
        <w:rPr>
          <w:b/>
          <w:sz w:val="20"/>
          <w:szCs w:val="20"/>
        </w:rPr>
        <w:t>Zdroj:</w:t>
      </w:r>
      <w:r w:rsidRPr="003D1C56">
        <w:rPr>
          <w:sz w:val="20"/>
          <w:szCs w:val="20"/>
        </w:rPr>
        <w:t xml:space="preserve"> podklad</w:t>
      </w:r>
      <w:r w:rsidR="004D4D13">
        <w:rPr>
          <w:sz w:val="20"/>
          <w:szCs w:val="20"/>
        </w:rPr>
        <w:t>y</w:t>
      </w:r>
      <w:r w:rsidRPr="003D1C56">
        <w:rPr>
          <w:sz w:val="20"/>
          <w:szCs w:val="20"/>
        </w:rPr>
        <w:t xml:space="preserve"> </w:t>
      </w:r>
      <w:r w:rsidR="004D4D13">
        <w:rPr>
          <w:sz w:val="20"/>
          <w:szCs w:val="20"/>
        </w:rPr>
        <w:t>Úřadu práce</w:t>
      </w:r>
      <w:r w:rsidR="00710D39">
        <w:rPr>
          <w:sz w:val="20"/>
          <w:szCs w:val="20"/>
        </w:rPr>
        <w:t>.</w:t>
      </w:r>
    </w:p>
    <w:p w14:paraId="1FAFE40E" w14:textId="07E12667" w:rsidR="009B5915" w:rsidRPr="003D1C56" w:rsidRDefault="009B5915" w:rsidP="00964CF0">
      <w:pPr>
        <w:keepNext/>
        <w:keepLines/>
        <w:jc w:val="both"/>
        <w:rPr>
          <w:sz w:val="20"/>
          <w:szCs w:val="20"/>
        </w:rPr>
      </w:pPr>
      <w:r w:rsidRPr="00710D39">
        <w:rPr>
          <w:b/>
          <w:sz w:val="20"/>
        </w:rPr>
        <w:t xml:space="preserve">* </w:t>
      </w:r>
      <w:r>
        <w:rPr>
          <w:sz w:val="20"/>
        </w:rPr>
        <w:t xml:space="preserve">Výdaje dle </w:t>
      </w:r>
      <w:r w:rsidRPr="00F37A2B">
        <w:rPr>
          <w:i/>
          <w:sz w:val="20"/>
        </w:rPr>
        <w:t>žádost</w:t>
      </w:r>
      <w:r w:rsidR="004D4D13" w:rsidRPr="00F37A2B">
        <w:rPr>
          <w:i/>
          <w:sz w:val="20"/>
        </w:rPr>
        <w:t>í</w:t>
      </w:r>
      <w:r w:rsidRPr="00F37A2B">
        <w:rPr>
          <w:i/>
          <w:sz w:val="20"/>
        </w:rPr>
        <w:t xml:space="preserve"> o platbu</w:t>
      </w:r>
      <w:r>
        <w:rPr>
          <w:sz w:val="20"/>
        </w:rPr>
        <w:t xml:space="preserve"> ke dni 31. 8. 2018 (projekt INICIATIVA) a ke dni 30. 11. 2018 (projekt ZÁRUKY)</w:t>
      </w:r>
      <w:r w:rsidR="005B20E9">
        <w:rPr>
          <w:sz w:val="20"/>
        </w:rPr>
        <w:t>.</w:t>
      </w:r>
      <w:r>
        <w:rPr>
          <w:sz w:val="20"/>
        </w:rPr>
        <w:t xml:space="preserve"> </w:t>
      </w:r>
    </w:p>
    <w:p w14:paraId="39CCB4F2" w14:textId="77777777" w:rsidR="0011666E" w:rsidRPr="003D1C56" w:rsidRDefault="00CD2800" w:rsidP="00B02A88">
      <w:pPr>
        <w:pStyle w:val="Nadpis4"/>
      </w:pPr>
      <w:r w:rsidRPr="003D1C56">
        <w:t>Mezinárodní pohled</w:t>
      </w:r>
    </w:p>
    <w:p w14:paraId="7D466E4E" w14:textId="118D7C17" w:rsidR="000D2AC0" w:rsidRDefault="00CD2800" w:rsidP="000D2AC0">
      <w:pPr>
        <w:jc w:val="both"/>
      </w:pPr>
      <w:r w:rsidRPr="003D1C56">
        <w:t xml:space="preserve">Studie </w:t>
      </w:r>
      <w:r w:rsidR="00E83061">
        <w:t xml:space="preserve">evropské nadace </w:t>
      </w:r>
      <w:proofErr w:type="spellStart"/>
      <w:r w:rsidR="00537DC0" w:rsidRPr="003D1C56">
        <w:t>Eurofound</w:t>
      </w:r>
      <w:proofErr w:type="spellEnd"/>
      <w:r w:rsidR="00537DC0" w:rsidRPr="003D1C56">
        <w:t xml:space="preserve"> </w:t>
      </w:r>
      <w:r w:rsidRPr="003D1C56">
        <w:t xml:space="preserve">z roku </w:t>
      </w:r>
      <w:r w:rsidR="00537DC0" w:rsidRPr="003D1C56">
        <w:t>2015</w:t>
      </w:r>
      <w:r>
        <w:rPr>
          <w:rStyle w:val="Znakapoznpodarou"/>
        </w:rPr>
        <w:footnoteReference w:id="54"/>
      </w:r>
      <w:r w:rsidRPr="003D1C56">
        <w:t xml:space="preserve"> se zabývala mimo jiné náklady na rozšíření intervencí pro mladé lidi. Na základě analýzy nákladů více než 300 opatření v 10 různých</w:t>
      </w:r>
      <w:r w:rsidR="008E51D5" w:rsidRPr="003D1C56">
        <w:t xml:space="preserve"> zemích</w:t>
      </w:r>
      <w:r w:rsidRPr="003D1C56">
        <w:t xml:space="preserve"> v</w:t>
      </w:r>
      <w:r w:rsidR="00E83061">
        <w:t> </w:t>
      </w:r>
      <w:r w:rsidRPr="003D1C56">
        <w:t>letech</w:t>
      </w:r>
      <w:r w:rsidR="00E83061">
        <w:t xml:space="preserve"> </w:t>
      </w:r>
      <w:r w:rsidR="00710D39">
        <w:t>2011–</w:t>
      </w:r>
      <w:r w:rsidRPr="003D1C56">
        <w:t xml:space="preserve">2014 </w:t>
      </w:r>
      <w:r w:rsidR="00D37485" w:rsidRPr="003D1C56">
        <w:t xml:space="preserve">uvádí </w:t>
      </w:r>
      <w:r w:rsidRPr="003D1C56">
        <w:t>studie průměrné náklady</w:t>
      </w:r>
      <w:r w:rsidR="002A5983">
        <w:t xml:space="preserve"> na</w:t>
      </w:r>
      <w:r w:rsidRPr="003D1C56">
        <w:t xml:space="preserve"> </w:t>
      </w:r>
      <w:r w:rsidR="00A54C7B" w:rsidRPr="003D1C56">
        <w:t>jednotlivé typy pomoci</w:t>
      </w:r>
      <w:r w:rsidRPr="003D1C56">
        <w:t xml:space="preserve"> (např. školení, dotovaná pracovní místa, přímou tvorbu pracovních míst a pomoc při zahájení podniká</w:t>
      </w:r>
      <w:r w:rsidR="00D37485" w:rsidRPr="003D1C56">
        <w:t xml:space="preserve">ní). Podle studie </w:t>
      </w:r>
      <w:r w:rsidR="002F78FF">
        <w:t>dosáhly</w:t>
      </w:r>
      <w:r w:rsidR="00D37485" w:rsidRPr="003D1C56">
        <w:t xml:space="preserve"> náklad</w:t>
      </w:r>
      <w:r w:rsidR="002F78FF">
        <w:t>y</w:t>
      </w:r>
      <w:r w:rsidR="00D37485" w:rsidRPr="003D1C56">
        <w:t xml:space="preserve"> </w:t>
      </w:r>
      <w:r w:rsidR="00A54C7B" w:rsidRPr="003D1C56">
        <w:t xml:space="preserve">na školení </w:t>
      </w:r>
      <w:r w:rsidR="00D37485" w:rsidRPr="003D1C56">
        <w:t xml:space="preserve">po </w:t>
      </w:r>
      <w:r w:rsidR="008E51D5" w:rsidRPr="003D1C56">
        <w:t>z</w:t>
      </w:r>
      <w:r w:rsidR="00D37485" w:rsidRPr="003D1C56">
        <w:t>ohledněn</w:t>
      </w:r>
      <w:r w:rsidR="008E51D5" w:rsidRPr="003D1C56">
        <w:t>í</w:t>
      </w:r>
      <w:r w:rsidR="00D37485" w:rsidRPr="003D1C56">
        <w:t xml:space="preserve"> cenové hladiny v ČR výš</w:t>
      </w:r>
      <w:r w:rsidR="00D23CE0">
        <w:t>e</w:t>
      </w:r>
      <w:r w:rsidR="00D37485" w:rsidRPr="003D1C56">
        <w:t xml:space="preserve"> </w:t>
      </w:r>
      <w:r w:rsidR="00A54C7B" w:rsidRPr="003D1C56">
        <w:t>3 685</w:t>
      </w:r>
      <w:r w:rsidR="008E51D5" w:rsidRPr="003D1C56">
        <w:t> </w:t>
      </w:r>
      <w:r w:rsidR="002A5983">
        <w:t>€</w:t>
      </w:r>
      <w:r w:rsidR="00A54C7B" w:rsidRPr="003D1C56">
        <w:t xml:space="preserve"> </w:t>
      </w:r>
      <w:r w:rsidR="00D23CE0">
        <w:t>(</w:t>
      </w:r>
      <w:r w:rsidR="00A54C7B" w:rsidRPr="003D1C56">
        <w:t>tj.</w:t>
      </w:r>
      <w:r w:rsidR="00D37485" w:rsidRPr="003D1C56">
        <w:t xml:space="preserve"> </w:t>
      </w:r>
      <w:r w:rsidR="00A54C7B" w:rsidRPr="003D1C56">
        <w:t>93 957</w:t>
      </w:r>
      <w:r w:rsidR="008E51D5" w:rsidRPr="003D1C56">
        <w:t> </w:t>
      </w:r>
      <w:r w:rsidR="00D37485" w:rsidRPr="003D1C56">
        <w:t>Kč</w:t>
      </w:r>
      <w:r>
        <w:rPr>
          <w:rStyle w:val="Znakapoznpodarou"/>
        </w:rPr>
        <w:footnoteReference w:id="55"/>
      </w:r>
      <w:r w:rsidR="00D23CE0">
        <w:t>)</w:t>
      </w:r>
      <w:r w:rsidR="0009333A" w:rsidRPr="003D1C56">
        <w:t xml:space="preserve"> na osobu</w:t>
      </w:r>
      <w:r w:rsidR="00A54C7B" w:rsidRPr="003D1C56">
        <w:t xml:space="preserve"> a výše nákladů </w:t>
      </w:r>
      <w:r w:rsidR="002A5983">
        <w:t xml:space="preserve">na </w:t>
      </w:r>
      <w:r w:rsidR="00A54C7B" w:rsidRPr="003D1C56">
        <w:t>podporu zaměstnávání</w:t>
      </w:r>
      <w:r>
        <w:rPr>
          <w:rStyle w:val="Znakapoznpodarou"/>
        </w:rPr>
        <w:footnoteReference w:id="56"/>
      </w:r>
      <w:r w:rsidR="00A54C7B" w:rsidRPr="003D1C56">
        <w:t xml:space="preserve"> se pohybovala od 2 663 </w:t>
      </w:r>
      <w:r w:rsidR="00D23CE0">
        <w:t xml:space="preserve">€ </w:t>
      </w:r>
      <w:r w:rsidR="00A54C7B" w:rsidRPr="003D1C56">
        <w:t xml:space="preserve">do 3 592 </w:t>
      </w:r>
      <w:r w:rsidR="002A5983">
        <w:t>€</w:t>
      </w:r>
      <w:r w:rsidR="00A54C7B" w:rsidRPr="003D1C56">
        <w:t xml:space="preserve"> </w:t>
      </w:r>
      <w:r w:rsidR="00D23CE0">
        <w:t>(</w:t>
      </w:r>
      <w:r w:rsidR="00A54C7B" w:rsidRPr="003D1C56">
        <w:t xml:space="preserve">tj. od cca 67 917 </w:t>
      </w:r>
      <w:r w:rsidR="00D23CE0">
        <w:t xml:space="preserve">Kč </w:t>
      </w:r>
      <w:r w:rsidR="00A54C7B" w:rsidRPr="003D1C56">
        <w:t xml:space="preserve">do 91 600 </w:t>
      </w:r>
      <w:r w:rsidR="00365FFD" w:rsidRPr="003D1C56">
        <w:t>K</w:t>
      </w:r>
      <w:r w:rsidR="00A54C7B" w:rsidRPr="003D1C56">
        <w:t>č</w:t>
      </w:r>
      <w:r w:rsidR="00D23CE0">
        <w:t>)</w:t>
      </w:r>
      <w:r w:rsidR="00A54C7B" w:rsidRPr="003D1C56">
        <w:t xml:space="preserve"> na osobu.</w:t>
      </w:r>
    </w:p>
    <w:p w14:paraId="1202AC50" w14:textId="43555606" w:rsidR="008B228E" w:rsidRPr="003D1C56" w:rsidRDefault="008B228E" w:rsidP="001472DF">
      <w:pPr>
        <w:jc w:val="both"/>
      </w:pPr>
      <w:r w:rsidRPr="003D1C56">
        <w:t xml:space="preserve">NKÚ porovnal </w:t>
      </w:r>
      <w:r w:rsidR="00B45EEC">
        <w:t xml:space="preserve">skutečné </w:t>
      </w:r>
      <w:r w:rsidRPr="003D1C56">
        <w:t xml:space="preserve">náklady na práci s klientem </w:t>
      </w:r>
      <w:r w:rsidR="00B45EEC">
        <w:t>v kontrolovaných projektech</w:t>
      </w:r>
      <w:r w:rsidRPr="003D1C56">
        <w:t xml:space="preserve"> </w:t>
      </w:r>
      <w:r w:rsidR="0082524A">
        <w:t>s </w:t>
      </w:r>
      <w:r w:rsidR="00B45EEC">
        <w:t>o</w:t>
      </w:r>
      <w:r w:rsidR="00B45EEC" w:rsidRPr="00B45EEC">
        <w:t>dhadovan</w:t>
      </w:r>
      <w:r w:rsidR="00B45EEC">
        <w:t>ými</w:t>
      </w:r>
      <w:r w:rsidR="00B45EEC" w:rsidRPr="00B45EEC">
        <w:t xml:space="preserve"> náklady </w:t>
      </w:r>
      <w:r w:rsidR="00D23CE0" w:rsidRPr="00B45EEC">
        <w:t xml:space="preserve">pro Českou republiku </w:t>
      </w:r>
      <w:r w:rsidR="00B45EEC" w:rsidRPr="00B45EEC">
        <w:t xml:space="preserve">dle studie </w:t>
      </w:r>
      <w:proofErr w:type="spellStart"/>
      <w:r w:rsidR="00B45EEC" w:rsidRPr="00B45EEC">
        <w:t>Eurofound</w:t>
      </w:r>
      <w:r w:rsidR="00D23CE0">
        <w:t>u</w:t>
      </w:r>
      <w:proofErr w:type="spellEnd"/>
      <w:r w:rsidRPr="003D1C56">
        <w:t>. Z</w:t>
      </w:r>
      <w:r>
        <w:t xml:space="preserve"> porovnání </w:t>
      </w:r>
      <w:r w:rsidR="001472DF">
        <w:t>vyplývají značné rozdíly.</w:t>
      </w:r>
    </w:p>
    <w:tbl>
      <w:tblPr>
        <w:tblStyle w:val="Mkatabulky"/>
        <w:tblW w:w="0" w:type="auto"/>
        <w:tblLook w:val="04A0" w:firstRow="1" w:lastRow="0" w:firstColumn="1" w:lastColumn="0" w:noHBand="0" w:noVBand="1"/>
      </w:tblPr>
      <w:tblGrid>
        <w:gridCol w:w="3021"/>
        <w:gridCol w:w="3021"/>
        <w:gridCol w:w="3021"/>
      </w:tblGrid>
      <w:tr w:rsidR="008B228E" w14:paraId="6A2092C6" w14:textId="77777777" w:rsidTr="00F37A2B">
        <w:tc>
          <w:tcPr>
            <w:tcW w:w="3021" w:type="dxa"/>
            <w:shd w:val="clear" w:color="auto" w:fill="E5F1FF"/>
            <w:vAlign w:val="center"/>
          </w:tcPr>
          <w:p w14:paraId="0B9923DA" w14:textId="77777777" w:rsidR="008B228E" w:rsidRPr="003D1C56" w:rsidRDefault="008B228E" w:rsidP="003408C1">
            <w:pPr>
              <w:spacing w:after="0"/>
              <w:jc w:val="center"/>
              <w:rPr>
                <w:sz w:val="20"/>
              </w:rPr>
            </w:pPr>
            <w:r w:rsidRPr="003D1C56">
              <w:rPr>
                <w:sz w:val="20"/>
              </w:rPr>
              <w:t>Typ aktivity</w:t>
            </w:r>
          </w:p>
        </w:tc>
        <w:tc>
          <w:tcPr>
            <w:tcW w:w="3021" w:type="dxa"/>
            <w:shd w:val="clear" w:color="auto" w:fill="E5F1FF"/>
            <w:vAlign w:val="center"/>
          </w:tcPr>
          <w:p w14:paraId="0D010ACF" w14:textId="77777777" w:rsidR="008B228E" w:rsidRPr="003D1C56" w:rsidRDefault="008B228E" w:rsidP="003408C1">
            <w:pPr>
              <w:spacing w:after="0"/>
              <w:jc w:val="center"/>
              <w:rPr>
                <w:sz w:val="20"/>
              </w:rPr>
            </w:pPr>
            <w:r w:rsidRPr="003D1C56">
              <w:rPr>
                <w:sz w:val="20"/>
              </w:rPr>
              <w:t>Průměrné náklady v kontrolovaných projektech</w:t>
            </w:r>
          </w:p>
        </w:tc>
        <w:tc>
          <w:tcPr>
            <w:tcW w:w="3021" w:type="dxa"/>
            <w:shd w:val="clear" w:color="auto" w:fill="E5F1FF"/>
            <w:vAlign w:val="center"/>
          </w:tcPr>
          <w:p w14:paraId="7C086BE8" w14:textId="6BF51053" w:rsidR="008B228E" w:rsidRPr="003D1C56" w:rsidRDefault="00D23CE0" w:rsidP="00D23CE0">
            <w:pPr>
              <w:spacing w:after="0"/>
              <w:jc w:val="center"/>
              <w:rPr>
                <w:sz w:val="20"/>
              </w:rPr>
            </w:pPr>
            <w:r>
              <w:rPr>
                <w:sz w:val="20"/>
              </w:rPr>
              <w:t>N</w:t>
            </w:r>
            <w:r w:rsidRPr="003D1C56">
              <w:rPr>
                <w:sz w:val="20"/>
              </w:rPr>
              <w:t xml:space="preserve">áklady </w:t>
            </w:r>
            <w:r>
              <w:rPr>
                <w:sz w:val="20"/>
              </w:rPr>
              <w:t>o</w:t>
            </w:r>
            <w:r w:rsidR="008B228E" w:rsidRPr="003D1C56">
              <w:rPr>
                <w:sz w:val="20"/>
              </w:rPr>
              <w:t xml:space="preserve">dhadované </w:t>
            </w:r>
            <w:r w:rsidRPr="003D1C56">
              <w:rPr>
                <w:sz w:val="20"/>
              </w:rPr>
              <w:t>pro Českou republiku</w:t>
            </w:r>
            <w:r w:rsidRPr="003D1C56" w:rsidDel="00D23CE0">
              <w:rPr>
                <w:sz w:val="20"/>
              </w:rPr>
              <w:t xml:space="preserve"> </w:t>
            </w:r>
            <w:r w:rsidR="00B45EEC">
              <w:rPr>
                <w:sz w:val="20"/>
              </w:rPr>
              <w:t>dle</w:t>
            </w:r>
            <w:r w:rsidR="008B228E" w:rsidRPr="003D1C56">
              <w:rPr>
                <w:sz w:val="20"/>
              </w:rPr>
              <w:t xml:space="preserve"> studie </w:t>
            </w:r>
            <w:proofErr w:type="spellStart"/>
            <w:r w:rsidR="008B228E" w:rsidRPr="003D1C56">
              <w:rPr>
                <w:sz w:val="20"/>
              </w:rPr>
              <w:t>Eurofound</w:t>
            </w:r>
            <w:r>
              <w:rPr>
                <w:sz w:val="20"/>
              </w:rPr>
              <w:t>u</w:t>
            </w:r>
            <w:proofErr w:type="spellEnd"/>
          </w:p>
        </w:tc>
      </w:tr>
      <w:tr w:rsidR="008B228E" w14:paraId="6E2ACF63" w14:textId="77777777" w:rsidTr="00F37A2B">
        <w:trPr>
          <w:trHeight w:val="283"/>
        </w:trPr>
        <w:tc>
          <w:tcPr>
            <w:tcW w:w="3021" w:type="dxa"/>
            <w:vAlign w:val="center"/>
          </w:tcPr>
          <w:p w14:paraId="7EAB9A8E" w14:textId="77777777" w:rsidR="008B228E" w:rsidRPr="003D1C56" w:rsidRDefault="008B228E" w:rsidP="003408C1">
            <w:pPr>
              <w:spacing w:after="0"/>
              <w:jc w:val="center"/>
              <w:rPr>
                <w:sz w:val="20"/>
              </w:rPr>
            </w:pPr>
            <w:r w:rsidRPr="003D1C56">
              <w:rPr>
                <w:sz w:val="20"/>
              </w:rPr>
              <w:t>Rekvalifikace a odborná školení</w:t>
            </w:r>
          </w:p>
        </w:tc>
        <w:tc>
          <w:tcPr>
            <w:tcW w:w="3021" w:type="dxa"/>
            <w:vAlign w:val="center"/>
          </w:tcPr>
          <w:p w14:paraId="1855379E" w14:textId="77777777" w:rsidR="008B228E" w:rsidRPr="003D1C56" w:rsidRDefault="008B228E" w:rsidP="003408C1">
            <w:pPr>
              <w:spacing w:after="0"/>
              <w:jc w:val="right"/>
              <w:rPr>
                <w:sz w:val="20"/>
                <w:szCs w:val="20"/>
              </w:rPr>
            </w:pPr>
            <w:r>
              <w:rPr>
                <w:sz w:val="20"/>
                <w:szCs w:val="20"/>
              </w:rPr>
              <w:t>7 269</w:t>
            </w:r>
            <w:r w:rsidRPr="003D1C56">
              <w:rPr>
                <w:sz w:val="20"/>
                <w:szCs w:val="20"/>
              </w:rPr>
              <w:t> Kč</w:t>
            </w:r>
          </w:p>
        </w:tc>
        <w:tc>
          <w:tcPr>
            <w:tcW w:w="3021" w:type="dxa"/>
            <w:vAlign w:val="center"/>
          </w:tcPr>
          <w:p w14:paraId="18436FF5" w14:textId="77777777" w:rsidR="008B228E" w:rsidRPr="003D1C56" w:rsidRDefault="008B228E" w:rsidP="003408C1">
            <w:pPr>
              <w:spacing w:after="0"/>
              <w:jc w:val="right"/>
              <w:rPr>
                <w:sz w:val="20"/>
                <w:szCs w:val="20"/>
              </w:rPr>
            </w:pPr>
            <w:r w:rsidRPr="00BD4B5D">
              <w:rPr>
                <w:sz w:val="20"/>
                <w:szCs w:val="20"/>
              </w:rPr>
              <w:t>93 957 Kč</w:t>
            </w:r>
          </w:p>
        </w:tc>
      </w:tr>
      <w:tr w:rsidR="008B228E" w14:paraId="56C7D811" w14:textId="77777777" w:rsidTr="00F37A2B">
        <w:trPr>
          <w:trHeight w:val="283"/>
        </w:trPr>
        <w:tc>
          <w:tcPr>
            <w:tcW w:w="3021" w:type="dxa"/>
            <w:vAlign w:val="center"/>
          </w:tcPr>
          <w:p w14:paraId="7B62EA71" w14:textId="77777777" w:rsidR="008B228E" w:rsidRPr="003D1C56" w:rsidRDefault="008B228E" w:rsidP="003408C1">
            <w:pPr>
              <w:spacing w:after="0"/>
              <w:jc w:val="center"/>
              <w:rPr>
                <w:sz w:val="20"/>
              </w:rPr>
            </w:pPr>
            <w:r w:rsidRPr="003D1C56">
              <w:rPr>
                <w:sz w:val="20"/>
              </w:rPr>
              <w:t>Dotovaná pracovní místa</w:t>
            </w:r>
          </w:p>
        </w:tc>
        <w:tc>
          <w:tcPr>
            <w:tcW w:w="3021" w:type="dxa"/>
            <w:vAlign w:val="center"/>
          </w:tcPr>
          <w:p w14:paraId="1CC8FD65" w14:textId="77777777" w:rsidR="008B228E" w:rsidRPr="003D1C56" w:rsidRDefault="008B228E" w:rsidP="003408C1">
            <w:pPr>
              <w:spacing w:after="0"/>
              <w:jc w:val="right"/>
              <w:rPr>
                <w:sz w:val="20"/>
              </w:rPr>
            </w:pPr>
            <w:r w:rsidRPr="003D1C56">
              <w:rPr>
                <w:sz w:val="20"/>
              </w:rPr>
              <w:t>138 989 Kč</w:t>
            </w:r>
          </w:p>
        </w:tc>
        <w:tc>
          <w:tcPr>
            <w:tcW w:w="3021" w:type="dxa"/>
            <w:vAlign w:val="center"/>
          </w:tcPr>
          <w:p w14:paraId="65ADC768" w14:textId="77777777" w:rsidR="008B228E" w:rsidRPr="003D1C56" w:rsidRDefault="008B228E" w:rsidP="003408C1">
            <w:pPr>
              <w:spacing w:after="0"/>
              <w:jc w:val="right"/>
              <w:rPr>
                <w:sz w:val="20"/>
                <w:szCs w:val="20"/>
              </w:rPr>
            </w:pPr>
            <w:r>
              <w:rPr>
                <w:sz w:val="20"/>
                <w:szCs w:val="20"/>
              </w:rPr>
              <w:t xml:space="preserve">Od </w:t>
            </w:r>
            <w:r w:rsidRPr="003D1C56">
              <w:rPr>
                <w:sz w:val="20"/>
                <w:szCs w:val="20"/>
              </w:rPr>
              <w:t>67</w:t>
            </w:r>
            <w:r>
              <w:rPr>
                <w:sz w:val="20"/>
                <w:szCs w:val="20"/>
              </w:rPr>
              <w:t> </w:t>
            </w:r>
            <w:r w:rsidRPr="003D1C56">
              <w:rPr>
                <w:sz w:val="20"/>
                <w:szCs w:val="20"/>
              </w:rPr>
              <w:t xml:space="preserve">917 </w:t>
            </w:r>
            <w:r>
              <w:rPr>
                <w:sz w:val="20"/>
                <w:szCs w:val="20"/>
              </w:rPr>
              <w:t xml:space="preserve">do </w:t>
            </w:r>
            <w:r w:rsidRPr="003D1C56">
              <w:rPr>
                <w:sz w:val="20"/>
                <w:szCs w:val="20"/>
              </w:rPr>
              <w:t>91 600 Kč</w:t>
            </w:r>
          </w:p>
        </w:tc>
      </w:tr>
    </w:tbl>
    <w:p w14:paraId="4BB8E49C" w14:textId="2D0FC253" w:rsidR="008B228E" w:rsidRPr="00B45EEC" w:rsidRDefault="00B45EEC" w:rsidP="00AC7D22">
      <w:pPr>
        <w:ind w:left="567" w:hanging="567"/>
        <w:jc w:val="both"/>
        <w:rPr>
          <w:sz w:val="20"/>
        </w:rPr>
      </w:pPr>
      <w:r w:rsidRPr="0082524A">
        <w:rPr>
          <w:b/>
          <w:sz w:val="20"/>
        </w:rPr>
        <w:t>Zdroj:</w:t>
      </w:r>
      <w:r w:rsidRPr="00B45EEC">
        <w:rPr>
          <w:sz w:val="22"/>
        </w:rPr>
        <w:t xml:space="preserve"> </w:t>
      </w:r>
      <w:r w:rsidR="00AC7D22">
        <w:rPr>
          <w:sz w:val="22"/>
        </w:rPr>
        <w:tab/>
      </w:r>
      <w:r>
        <w:rPr>
          <w:sz w:val="22"/>
        </w:rPr>
        <w:t>NKÚ</w:t>
      </w:r>
      <w:r w:rsidR="00D23CE0">
        <w:rPr>
          <w:sz w:val="22"/>
        </w:rPr>
        <w:t>;</w:t>
      </w:r>
      <w:r>
        <w:rPr>
          <w:sz w:val="22"/>
        </w:rPr>
        <w:t xml:space="preserve"> </w:t>
      </w:r>
      <w:proofErr w:type="spellStart"/>
      <w:r w:rsidRPr="00B45EEC">
        <w:rPr>
          <w:sz w:val="20"/>
        </w:rPr>
        <w:t>Eurofound</w:t>
      </w:r>
      <w:proofErr w:type="spellEnd"/>
      <w:r w:rsidRPr="00B45EEC">
        <w:rPr>
          <w:sz w:val="20"/>
        </w:rPr>
        <w:t xml:space="preserve"> (2015), </w:t>
      </w:r>
      <w:proofErr w:type="spellStart"/>
      <w:r w:rsidRPr="0062167E">
        <w:rPr>
          <w:i/>
          <w:sz w:val="20"/>
        </w:rPr>
        <w:t>Social</w:t>
      </w:r>
      <w:proofErr w:type="spellEnd"/>
      <w:r w:rsidRPr="0062167E">
        <w:rPr>
          <w:i/>
          <w:sz w:val="20"/>
        </w:rPr>
        <w:t xml:space="preserve"> </w:t>
      </w:r>
      <w:proofErr w:type="spellStart"/>
      <w:r w:rsidRPr="0062167E">
        <w:rPr>
          <w:i/>
          <w:sz w:val="20"/>
        </w:rPr>
        <w:t>inclusion</w:t>
      </w:r>
      <w:proofErr w:type="spellEnd"/>
      <w:r w:rsidRPr="0062167E">
        <w:rPr>
          <w:i/>
          <w:sz w:val="20"/>
        </w:rPr>
        <w:t xml:space="preserve"> </w:t>
      </w:r>
      <w:proofErr w:type="spellStart"/>
      <w:r w:rsidRPr="0062167E">
        <w:rPr>
          <w:i/>
          <w:sz w:val="20"/>
        </w:rPr>
        <w:t>of</w:t>
      </w:r>
      <w:proofErr w:type="spellEnd"/>
      <w:r w:rsidRPr="0062167E">
        <w:rPr>
          <w:i/>
          <w:sz w:val="20"/>
        </w:rPr>
        <w:t xml:space="preserve"> </w:t>
      </w:r>
      <w:proofErr w:type="spellStart"/>
      <w:r w:rsidRPr="0062167E">
        <w:rPr>
          <w:i/>
          <w:sz w:val="20"/>
        </w:rPr>
        <w:t>young</w:t>
      </w:r>
      <w:proofErr w:type="spellEnd"/>
      <w:r w:rsidRPr="0062167E">
        <w:rPr>
          <w:i/>
          <w:sz w:val="20"/>
        </w:rPr>
        <w:t xml:space="preserve"> </w:t>
      </w:r>
      <w:proofErr w:type="spellStart"/>
      <w:r w:rsidRPr="0062167E">
        <w:rPr>
          <w:i/>
          <w:sz w:val="20"/>
        </w:rPr>
        <w:t>people</w:t>
      </w:r>
      <w:proofErr w:type="spellEnd"/>
      <w:r w:rsidRPr="00B45EEC">
        <w:rPr>
          <w:sz w:val="20"/>
        </w:rPr>
        <w:t xml:space="preserve">, </w:t>
      </w:r>
      <w:proofErr w:type="spellStart"/>
      <w:r w:rsidRPr="00B45EEC">
        <w:rPr>
          <w:sz w:val="20"/>
        </w:rPr>
        <w:t>Publications</w:t>
      </w:r>
      <w:proofErr w:type="spellEnd"/>
      <w:r w:rsidRPr="00B45EEC">
        <w:rPr>
          <w:sz w:val="20"/>
        </w:rPr>
        <w:t xml:space="preserve"> Office </w:t>
      </w:r>
      <w:proofErr w:type="spellStart"/>
      <w:r w:rsidRPr="00B45EEC">
        <w:rPr>
          <w:sz w:val="20"/>
        </w:rPr>
        <w:t>of</w:t>
      </w:r>
      <w:proofErr w:type="spellEnd"/>
      <w:r w:rsidRPr="00B45EEC">
        <w:rPr>
          <w:sz w:val="20"/>
        </w:rPr>
        <w:t xml:space="preserve"> </w:t>
      </w:r>
      <w:proofErr w:type="spellStart"/>
      <w:r w:rsidRPr="00B45EEC">
        <w:rPr>
          <w:sz w:val="20"/>
        </w:rPr>
        <w:t>the</w:t>
      </w:r>
      <w:proofErr w:type="spellEnd"/>
      <w:r w:rsidRPr="00B45EEC">
        <w:rPr>
          <w:sz w:val="20"/>
        </w:rPr>
        <w:t xml:space="preserve"> </w:t>
      </w:r>
      <w:proofErr w:type="spellStart"/>
      <w:r w:rsidRPr="00B45EEC">
        <w:rPr>
          <w:sz w:val="20"/>
        </w:rPr>
        <w:t>European</w:t>
      </w:r>
      <w:proofErr w:type="spellEnd"/>
      <w:r w:rsidRPr="00B45EEC">
        <w:rPr>
          <w:sz w:val="20"/>
        </w:rPr>
        <w:t xml:space="preserve"> Union, </w:t>
      </w:r>
      <w:proofErr w:type="spellStart"/>
      <w:r w:rsidRPr="00B45EEC">
        <w:rPr>
          <w:sz w:val="20"/>
        </w:rPr>
        <w:t>Luxembourg</w:t>
      </w:r>
      <w:proofErr w:type="spellEnd"/>
      <w:r w:rsidR="0082524A">
        <w:rPr>
          <w:sz w:val="20"/>
        </w:rPr>
        <w:t>.</w:t>
      </w:r>
    </w:p>
    <w:p w14:paraId="0F2705BF" w14:textId="77777777" w:rsidR="002E1D2E" w:rsidRPr="003D1C56" w:rsidRDefault="00CD2800" w:rsidP="00E346F3">
      <w:pPr>
        <w:keepNext/>
        <w:jc w:val="both"/>
        <w:rPr>
          <w:rFonts w:cstheme="minorHAnsi"/>
          <w:b/>
        </w:rPr>
      </w:pPr>
      <w:r w:rsidRPr="003D1C56">
        <w:rPr>
          <w:rFonts w:cstheme="minorHAnsi"/>
          <w:b/>
        </w:rPr>
        <w:t>S</w:t>
      </w:r>
      <w:r w:rsidR="00462F78" w:rsidRPr="003D1C56">
        <w:rPr>
          <w:rFonts w:cstheme="minorHAnsi"/>
          <w:b/>
        </w:rPr>
        <w:t>eznam použitých zkratek</w:t>
      </w:r>
    </w:p>
    <w:tbl>
      <w:tblPr>
        <w:tblStyle w:val="Mkatabulky"/>
        <w:tblW w:w="0" w:type="auto"/>
        <w:tblLook w:val="04A0" w:firstRow="1" w:lastRow="0" w:firstColumn="1" w:lastColumn="0" w:noHBand="0" w:noVBand="1"/>
      </w:tblPr>
      <w:tblGrid>
        <w:gridCol w:w="2547"/>
        <w:gridCol w:w="6516"/>
      </w:tblGrid>
      <w:tr w:rsidR="00D23CE0" w14:paraId="37644473" w14:textId="77777777" w:rsidTr="008D70A1">
        <w:tc>
          <w:tcPr>
            <w:tcW w:w="2547" w:type="dxa"/>
            <w:vAlign w:val="center"/>
          </w:tcPr>
          <w:p w14:paraId="3997CA81" w14:textId="0C49605E" w:rsidR="00D23CE0" w:rsidRPr="003D1C56" w:rsidRDefault="00D23CE0" w:rsidP="00E346F3">
            <w:pPr>
              <w:keepNext/>
              <w:spacing w:after="0"/>
              <w:rPr>
                <w:rFonts w:cstheme="minorHAnsi"/>
                <w:sz w:val="20"/>
                <w:szCs w:val="20"/>
              </w:rPr>
            </w:pPr>
            <w:r>
              <w:rPr>
                <w:rFonts w:cstheme="minorHAnsi"/>
                <w:sz w:val="20"/>
                <w:szCs w:val="20"/>
              </w:rPr>
              <w:t>2014+</w:t>
            </w:r>
          </w:p>
        </w:tc>
        <w:tc>
          <w:tcPr>
            <w:tcW w:w="6516" w:type="dxa"/>
            <w:vAlign w:val="center"/>
          </w:tcPr>
          <w:p w14:paraId="0F4078BB" w14:textId="2B17BEEB" w:rsidR="00D23CE0" w:rsidRPr="003D1C56" w:rsidRDefault="00D23CE0" w:rsidP="00E346F3">
            <w:pPr>
              <w:keepNext/>
              <w:spacing w:after="0"/>
              <w:rPr>
                <w:rFonts w:cstheme="minorHAnsi"/>
                <w:sz w:val="20"/>
                <w:szCs w:val="20"/>
              </w:rPr>
            </w:pPr>
            <w:r>
              <w:rPr>
                <w:rFonts w:cstheme="minorHAnsi"/>
                <w:sz w:val="20"/>
                <w:szCs w:val="20"/>
              </w:rPr>
              <w:t>Programové období 2014–2020</w:t>
            </w:r>
          </w:p>
        </w:tc>
      </w:tr>
      <w:tr w:rsidR="00C76F45" w14:paraId="3D5F3470" w14:textId="77777777" w:rsidTr="008D70A1">
        <w:tc>
          <w:tcPr>
            <w:tcW w:w="2547" w:type="dxa"/>
            <w:vAlign w:val="center"/>
          </w:tcPr>
          <w:p w14:paraId="67143864" w14:textId="77777777" w:rsidR="00C70660" w:rsidRPr="003D1C56" w:rsidRDefault="00CD2800" w:rsidP="00E346F3">
            <w:pPr>
              <w:keepNext/>
              <w:spacing w:after="0"/>
              <w:rPr>
                <w:rFonts w:cstheme="minorHAnsi"/>
                <w:sz w:val="20"/>
                <w:szCs w:val="20"/>
              </w:rPr>
            </w:pPr>
            <w:r w:rsidRPr="003D1C56">
              <w:rPr>
                <w:rFonts w:cstheme="minorHAnsi"/>
                <w:sz w:val="20"/>
                <w:szCs w:val="20"/>
              </w:rPr>
              <w:t>APZ</w:t>
            </w:r>
          </w:p>
        </w:tc>
        <w:tc>
          <w:tcPr>
            <w:tcW w:w="6516" w:type="dxa"/>
            <w:vAlign w:val="center"/>
          </w:tcPr>
          <w:p w14:paraId="0DC44386" w14:textId="77777777" w:rsidR="00C70660" w:rsidRPr="003D1C56" w:rsidRDefault="00CD2800" w:rsidP="00E346F3">
            <w:pPr>
              <w:keepNext/>
              <w:spacing w:after="0"/>
              <w:rPr>
                <w:rFonts w:cstheme="minorHAnsi"/>
                <w:sz w:val="20"/>
                <w:szCs w:val="20"/>
              </w:rPr>
            </w:pPr>
            <w:r w:rsidRPr="003D1C56">
              <w:rPr>
                <w:rFonts w:cstheme="minorHAnsi"/>
                <w:sz w:val="20"/>
                <w:szCs w:val="20"/>
              </w:rPr>
              <w:t>Aktivní politika zaměstnanosti</w:t>
            </w:r>
          </w:p>
        </w:tc>
      </w:tr>
      <w:tr w:rsidR="00C76F45" w14:paraId="100110F8" w14:textId="77777777" w:rsidTr="00E67119">
        <w:tc>
          <w:tcPr>
            <w:tcW w:w="2547" w:type="dxa"/>
            <w:vAlign w:val="center"/>
          </w:tcPr>
          <w:p w14:paraId="086B6E7A" w14:textId="77777777" w:rsidR="00C70660" w:rsidRPr="003D1C56" w:rsidRDefault="00CD2800" w:rsidP="00E346F3">
            <w:pPr>
              <w:keepNext/>
              <w:spacing w:after="0"/>
              <w:rPr>
                <w:rFonts w:cstheme="minorHAnsi"/>
                <w:sz w:val="20"/>
                <w:szCs w:val="20"/>
              </w:rPr>
            </w:pPr>
            <w:r w:rsidRPr="003D1C56">
              <w:rPr>
                <w:rFonts w:cstheme="minorHAnsi"/>
                <w:sz w:val="20"/>
                <w:szCs w:val="20"/>
              </w:rPr>
              <w:t>CEDR</w:t>
            </w:r>
          </w:p>
        </w:tc>
        <w:tc>
          <w:tcPr>
            <w:tcW w:w="6516" w:type="dxa"/>
            <w:vAlign w:val="center"/>
          </w:tcPr>
          <w:p w14:paraId="1C7A043B" w14:textId="77777777" w:rsidR="00C70660" w:rsidRPr="003D1C56" w:rsidRDefault="00CD2800" w:rsidP="00E346F3">
            <w:pPr>
              <w:keepNext/>
              <w:spacing w:after="0"/>
              <w:rPr>
                <w:rFonts w:cstheme="minorHAnsi"/>
                <w:color w:val="000000"/>
                <w:sz w:val="20"/>
                <w:szCs w:val="20"/>
              </w:rPr>
            </w:pPr>
            <w:r w:rsidRPr="003D1C56">
              <w:rPr>
                <w:rFonts w:cstheme="minorHAnsi"/>
                <w:color w:val="000000"/>
                <w:sz w:val="20"/>
                <w:szCs w:val="20"/>
              </w:rPr>
              <w:t>Informační systém</w:t>
            </w:r>
            <w:r w:rsidRPr="00F37A2B">
              <w:rPr>
                <w:rFonts w:cstheme="minorHAnsi"/>
                <w:sz w:val="20"/>
                <w:szCs w:val="20"/>
              </w:rPr>
              <w:t xml:space="preserve"> </w:t>
            </w:r>
            <w:r w:rsidRPr="00F37A2B">
              <w:rPr>
                <w:rFonts w:cstheme="minorHAnsi"/>
                <w:i/>
                <w:sz w:val="20"/>
                <w:szCs w:val="20"/>
                <w:shd w:val="clear" w:color="auto" w:fill="FFFFFF"/>
              </w:rPr>
              <w:t xml:space="preserve">Centrální evidence dotací z rozpočtu </w:t>
            </w:r>
          </w:p>
        </w:tc>
      </w:tr>
      <w:tr w:rsidR="00C76F45" w14:paraId="0E3ABF05" w14:textId="77777777" w:rsidTr="008D70A1">
        <w:tc>
          <w:tcPr>
            <w:tcW w:w="2547" w:type="dxa"/>
            <w:vAlign w:val="center"/>
          </w:tcPr>
          <w:p w14:paraId="13F4C327" w14:textId="77777777" w:rsidR="00C70660" w:rsidRPr="003D1C56" w:rsidRDefault="00CD2800" w:rsidP="00E346F3">
            <w:pPr>
              <w:keepNext/>
              <w:spacing w:after="0"/>
              <w:rPr>
                <w:rFonts w:cstheme="minorHAnsi"/>
                <w:sz w:val="20"/>
                <w:szCs w:val="20"/>
              </w:rPr>
            </w:pPr>
            <w:r w:rsidRPr="003D1C56">
              <w:rPr>
                <w:rFonts w:cstheme="minorHAnsi"/>
                <w:sz w:val="20"/>
                <w:szCs w:val="20"/>
              </w:rPr>
              <w:t>CS</w:t>
            </w:r>
          </w:p>
        </w:tc>
        <w:tc>
          <w:tcPr>
            <w:tcW w:w="6516" w:type="dxa"/>
            <w:vAlign w:val="center"/>
          </w:tcPr>
          <w:p w14:paraId="2FEF6677" w14:textId="77777777" w:rsidR="00C70660" w:rsidRPr="003D1C56" w:rsidRDefault="00CD2800" w:rsidP="00E346F3">
            <w:pPr>
              <w:keepNext/>
              <w:spacing w:after="0"/>
              <w:rPr>
                <w:rFonts w:cstheme="minorHAnsi"/>
                <w:sz w:val="20"/>
                <w:szCs w:val="20"/>
              </w:rPr>
            </w:pPr>
            <w:r w:rsidRPr="003D1C56">
              <w:rPr>
                <w:rFonts w:cstheme="minorHAnsi"/>
                <w:sz w:val="20"/>
                <w:szCs w:val="20"/>
              </w:rPr>
              <w:t>Cílová skupina</w:t>
            </w:r>
          </w:p>
        </w:tc>
      </w:tr>
      <w:tr w:rsidR="00C76F45" w14:paraId="049F224D" w14:textId="77777777" w:rsidTr="008D70A1">
        <w:tc>
          <w:tcPr>
            <w:tcW w:w="2547" w:type="dxa"/>
            <w:vAlign w:val="center"/>
          </w:tcPr>
          <w:p w14:paraId="7EBEE9D8" w14:textId="77777777" w:rsidR="00C70660" w:rsidRPr="003D1C56" w:rsidRDefault="00CD2800" w:rsidP="00E346F3">
            <w:pPr>
              <w:keepNext/>
              <w:spacing w:after="0"/>
              <w:rPr>
                <w:rFonts w:cstheme="minorHAnsi"/>
                <w:sz w:val="20"/>
                <w:szCs w:val="20"/>
              </w:rPr>
            </w:pPr>
            <w:r w:rsidRPr="003D1C56">
              <w:rPr>
                <w:rFonts w:cstheme="minorHAnsi"/>
                <w:sz w:val="20"/>
                <w:szCs w:val="20"/>
              </w:rPr>
              <w:t>ČR</w:t>
            </w:r>
          </w:p>
        </w:tc>
        <w:tc>
          <w:tcPr>
            <w:tcW w:w="6516" w:type="dxa"/>
            <w:vAlign w:val="center"/>
          </w:tcPr>
          <w:p w14:paraId="7D1E0B29" w14:textId="77777777" w:rsidR="00C70660" w:rsidRPr="003D1C56" w:rsidRDefault="00CD2800" w:rsidP="00E346F3">
            <w:pPr>
              <w:keepNext/>
              <w:spacing w:after="0"/>
              <w:rPr>
                <w:rFonts w:cstheme="minorHAnsi"/>
                <w:sz w:val="20"/>
                <w:szCs w:val="20"/>
              </w:rPr>
            </w:pPr>
            <w:r w:rsidRPr="003D1C56">
              <w:rPr>
                <w:rFonts w:cstheme="minorHAnsi"/>
                <w:sz w:val="20"/>
                <w:szCs w:val="20"/>
              </w:rPr>
              <w:t>Česká republika</w:t>
            </w:r>
          </w:p>
        </w:tc>
      </w:tr>
      <w:tr w:rsidR="00C76F45" w14:paraId="4D365D1D" w14:textId="77777777" w:rsidTr="008D70A1">
        <w:tc>
          <w:tcPr>
            <w:tcW w:w="2547" w:type="dxa"/>
            <w:vAlign w:val="center"/>
          </w:tcPr>
          <w:p w14:paraId="67F3A7EE" w14:textId="77777777" w:rsidR="00C70660" w:rsidRPr="003D1C56" w:rsidRDefault="00CD2800" w:rsidP="00E346F3">
            <w:pPr>
              <w:keepNext/>
              <w:spacing w:after="0"/>
              <w:rPr>
                <w:rFonts w:cstheme="minorHAnsi"/>
                <w:sz w:val="20"/>
                <w:szCs w:val="20"/>
              </w:rPr>
            </w:pPr>
            <w:r w:rsidRPr="003D1C56">
              <w:rPr>
                <w:rFonts w:cstheme="minorHAnsi"/>
                <w:sz w:val="20"/>
                <w:szCs w:val="20"/>
              </w:rPr>
              <w:t>ČSÚ</w:t>
            </w:r>
          </w:p>
        </w:tc>
        <w:tc>
          <w:tcPr>
            <w:tcW w:w="6516" w:type="dxa"/>
            <w:vAlign w:val="center"/>
          </w:tcPr>
          <w:p w14:paraId="097E4C00" w14:textId="77777777" w:rsidR="00C70660" w:rsidRPr="003D1C56" w:rsidRDefault="00CD2800" w:rsidP="00E346F3">
            <w:pPr>
              <w:keepNext/>
              <w:spacing w:after="0"/>
              <w:rPr>
                <w:rFonts w:cstheme="minorHAnsi"/>
                <w:sz w:val="20"/>
                <w:szCs w:val="20"/>
              </w:rPr>
            </w:pPr>
            <w:r w:rsidRPr="003D1C56">
              <w:rPr>
                <w:rFonts w:cstheme="minorHAnsi"/>
                <w:sz w:val="20"/>
                <w:szCs w:val="20"/>
              </w:rPr>
              <w:t>Český statistický úřad</w:t>
            </w:r>
          </w:p>
        </w:tc>
      </w:tr>
      <w:tr w:rsidR="00C76F45" w14:paraId="58231DE3" w14:textId="77777777" w:rsidTr="008D70A1">
        <w:tc>
          <w:tcPr>
            <w:tcW w:w="2547" w:type="dxa"/>
            <w:vAlign w:val="center"/>
          </w:tcPr>
          <w:p w14:paraId="399EF575" w14:textId="77777777" w:rsidR="00C70660" w:rsidRPr="003D1C56" w:rsidRDefault="00CD2800" w:rsidP="00E346F3">
            <w:pPr>
              <w:keepNext/>
              <w:spacing w:after="0"/>
              <w:rPr>
                <w:rFonts w:cstheme="minorHAnsi"/>
                <w:sz w:val="20"/>
                <w:szCs w:val="20"/>
              </w:rPr>
            </w:pPr>
            <w:r w:rsidRPr="003D1C56">
              <w:rPr>
                <w:rFonts w:cstheme="minorHAnsi"/>
                <w:sz w:val="20"/>
                <w:szCs w:val="20"/>
              </w:rPr>
              <w:t>EK</w:t>
            </w:r>
          </w:p>
        </w:tc>
        <w:tc>
          <w:tcPr>
            <w:tcW w:w="6516" w:type="dxa"/>
            <w:vAlign w:val="center"/>
          </w:tcPr>
          <w:p w14:paraId="223B4DC4" w14:textId="77777777" w:rsidR="00C70660" w:rsidRPr="003D1C56" w:rsidRDefault="00CD2800" w:rsidP="00E346F3">
            <w:pPr>
              <w:keepNext/>
              <w:spacing w:after="0"/>
              <w:rPr>
                <w:rFonts w:cstheme="minorHAnsi"/>
                <w:sz w:val="20"/>
                <w:szCs w:val="20"/>
              </w:rPr>
            </w:pPr>
            <w:r w:rsidRPr="003D1C56">
              <w:rPr>
                <w:rFonts w:cstheme="minorHAnsi"/>
                <w:sz w:val="20"/>
                <w:szCs w:val="20"/>
              </w:rPr>
              <w:t>Evropská komise</w:t>
            </w:r>
          </w:p>
        </w:tc>
      </w:tr>
      <w:tr w:rsidR="00C76F45" w14:paraId="59D68745" w14:textId="77777777" w:rsidTr="008D70A1">
        <w:tc>
          <w:tcPr>
            <w:tcW w:w="2547" w:type="dxa"/>
            <w:vAlign w:val="center"/>
          </w:tcPr>
          <w:p w14:paraId="563E6475" w14:textId="77777777" w:rsidR="00C70660" w:rsidRPr="003D1C56" w:rsidRDefault="00CD2800" w:rsidP="00E346F3">
            <w:pPr>
              <w:keepNext/>
              <w:spacing w:after="0"/>
              <w:rPr>
                <w:rFonts w:cstheme="minorHAnsi"/>
                <w:sz w:val="20"/>
                <w:szCs w:val="20"/>
              </w:rPr>
            </w:pPr>
            <w:r w:rsidRPr="003D1C56">
              <w:rPr>
                <w:rFonts w:cstheme="minorHAnsi"/>
                <w:sz w:val="20"/>
                <w:szCs w:val="20"/>
              </w:rPr>
              <w:t>ESF</w:t>
            </w:r>
          </w:p>
        </w:tc>
        <w:tc>
          <w:tcPr>
            <w:tcW w:w="6516" w:type="dxa"/>
            <w:vAlign w:val="center"/>
          </w:tcPr>
          <w:p w14:paraId="32A0B1EC" w14:textId="77777777" w:rsidR="00C70660" w:rsidRPr="00F37A2B" w:rsidRDefault="00CD2800" w:rsidP="00E346F3">
            <w:pPr>
              <w:keepNext/>
              <w:spacing w:after="0"/>
              <w:rPr>
                <w:rFonts w:cstheme="minorHAnsi"/>
                <w:i/>
                <w:sz w:val="20"/>
                <w:szCs w:val="20"/>
              </w:rPr>
            </w:pPr>
            <w:r w:rsidRPr="00F37A2B">
              <w:rPr>
                <w:rFonts w:cstheme="minorHAnsi"/>
                <w:i/>
                <w:sz w:val="20"/>
                <w:szCs w:val="20"/>
              </w:rPr>
              <w:t>Evropský sociální fond</w:t>
            </w:r>
          </w:p>
        </w:tc>
      </w:tr>
      <w:tr w:rsidR="00C76F45" w14:paraId="4ED4F1C5" w14:textId="77777777" w:rsidTr="008D70A1">
        <w:tc>
          <w:tcPr>
            <w:tcW w:w="2547" w:type="dxa"/>
            <w:vAlign w:val="center"/>
          </w:tcPr>
          <w:p w14:paraId="1610486C" w14:textId="77777777" w:rsidR="00C70660" w:rsidRPr="003D1C56" w:rsidRDefault="00CD2800" w:rsidP="00E346F3">
            <w:pPr>
              <w:keepNext/>
              <w:spacing w:after="0"/>
              <w:rPr>
                <w:rFonts w:cstheme="minorHAnsi"/>
                <w:sz w:val="20"/>
                <w:szCs w:val="20"/>
              </w:rPr>
            </w:pPr>
            <w:r w:rsidRPr="003D1C56">
              <w:rPr>
                <w:rFonts w:cstheme="minorHAnsi"/>
                <w:sz w:val="20"/>
                <w:szCs w:val="20"/>
              </w:rPr>
              <w:t>EU</w:t>
            </w:r>
          </w:p>
        </w:tc>
        <w:tc>
          <w:tcPr>
            <w:tcW w:w="6516" w:type="dxa"/>
            <w:vAlign w:val="center"/>
          </w:tcPr>
          <w:p w14:paraId="09B70F5C" w14:textId="77777777" w:rsidR="00C70660" w:rsidRPr="003D1C56" w:rsidRDefault="00CD2800" w:rsidP="00E346F3">
            <w:pPr>
              <w:keepNext/>
              <w:spacing w:after="0"/>
              <w:rPr>
                <w:rFonts w:cstheme="minorHAnsi"/>
                <w:sz w:val="20"/>
                <w:szCs w:val="20"/>
              </w:rPr>
            </w:pPr>
            <w:r w:rsidRPr="003D1C56">
              <w:rPr>
                <w:rFonts w:cstheme="minorHAnsi"/>
                <w:sz w:val="20"/>
                <w:szCs w:val="20"/>
              </w:rPr>
              <w:t>Evropská unie</w:t>
            </w:r>
          </w:p>
        </w:tc>
      </w:tr>
      <w:tr w:rsidR="00D23CE0" w14:paraId="34A7FB7B" w14:textId="77777777" w:rsidTr="008D70A1">
        <w:tc>
          <w:tcPr>
            <w:tcW w:w="2547" w:type="dxa"/>
            <w:vAlign w:val="center"/>
          </w:tcPr>
          <w:p w14:paraId="1ABAFCD7" w14:textId="273126FA" w:rsidR="00D23CE0" w:rsidRPr="003D1C56" w:rsidRDefault="00D23CE0" w:rsidP="00E346F3">
            <w:pPr>
              <w:keepNext/>
              <w:spacing w:after="0"/>
              <w:rPr>
                <w:rFonts w:cstheme="minorHAnsi"/>
                <w:sz w:val="20"/>
                <w:szCs w:val="20"/>
              </w:rPr>
            </w:pPr>
            <w:r>
              <w:rPr>
                <w:rFonts w:cstheme="minorHAnsi"/>
                <w:sz w:val="20"/>
                <w:szCs w:val="20"/>
              </w:rPr>
              <w:t>IS</w:t>
            </w:r>
          </w:p>
        </w:tc>
        <w:tc>
          <w:tcPr>
            <w:tcW w:w="6516" w:type="dxa"/>
            <w:vAlign w:val="center"/>
          </w:tcPr>
          <w:p w14:paraId="128287FF" w14:textId="1AB4D635" w:rsidR="00D23CE0" w:rsidRPr="003D1C56" w:rsidRDefault="00D23CE0" w:rsidP="00E346F3">
            <w:pPr>
              <w:keepNext/>
              <w:spacing w:after="0"/>
              <w:rPr>
                <w:rFonts w:cstheme="minorHAnsi"/>
                <w:sz w:val="20"/>
                <w:szCs w:val="20"/>
              </w:rPr>
            </w:pPr>
            <w:r>
              <w:rPr>
                <w:rFonts w:cstheme="minorHAnsi"/>
                <w:sz w:val="20"/>
                <w:szCs w:val="20"/>
              </w:rPr>
              <w:t>Informační systém</w:t>
            </w:r>
          </w:p>
        </w:tc>
      </w:tr>
      <w:tr w:rsidR="00D23CE0" w14:paraId="4434CEED" w14:textId="77777777" w:rsidTr="008D70A1">
        <w:tc>
          <w:tcPr>
            <w:tcW w:w="2547" w:type="dxa"/>
            <w:vAlign w:val="center"/>
          </w:tcPr>
          <w:p w14:paraId="0E518B50" w14:textId="1E253A6D" w:rsidR="00D23CE0" w:rsidRPr="003D1C56" w:rsidRDefault="00D23CE0" w:rsidP="00E346F3">
            <w:pPr>
              <w:keepNext/>
              <w:spacing w:after="0"/>
              <w:rPr>
                <w:rFonts w:cstheme="minorHAnsi"/>
                <w:sz w:val="20"/>
                <w:szCs w:val="20"/>
              </w:rPr>
            </w:pPr>
            <w:r>
              <w:rPr>
                <w:rFonts w:cstheme="minorHAnsi"/>
                <w:sz w:val="20"/>
                <w:szCs w:val="20"/>
              </w:rPr>
              <w:t>KA</w:t>
            </w:r>
          </w:p>
        </w:tc>
        <w:tc>
          <w:tcPr>
            <w:tcW w:w="6516" w:type="dxa"/>
            <w:vAlign w:val="center"/>
          </w:tcPr>
          <w:p w14:paraId="695A31C9" w14:textId="33498474" w:rsidR="00D23CE0" w:rsidRPr="003D1C56" w:rsidRDefault="00D23CE0" w:rsidP="00E346F3">
            <w:pPr>
              <w:keepNext/>
              <w:spacing w:after="0"/>
              <w:rPr>
                <w:rFonts w:cstheme="minorHAnsi"/>
                <w:sz w:val="20"/>
                <w:szCs w:val="20"/>
              </w:rPr>
            </w:pPr>
            <w:r>
              <w:rPr>
                <w:rFonts w:cstheme="minorHAnsi"/>
                <w:sz w:val="20"/>
                <w:szCs w:val="20"/>
              </w:rPr>
              <w:t>Kontrolní akce Nejvyššího kontrolního úřadu</w:t>
            </w:r>
          </w:p>
        </w:tc>
      </w:tr>
      <w:tr w:rsidR="00C76F45" w14:paraId="10C7702A" w14:textId="77777777" w:rsidTr="008D70A1">
        <w:tc>
          <w:tcPr>
            <w:tcW w:w="2547" w:type="dxa"/>
            <w:vAlign w:val="center"/>
          </w:tcPr>
          <w:p w14:paraId="5A4BF8FE" w14:textId="77777777" w:rsidR="00C70660" w:rsidRPr="003D1C56" w:rsidRDefault="00CD2800" w:rsidP="00E346F3">
            <w:pPr>
              <w:keepNext/>
              <w:spacing w:after="0"/>
              <w:rPr>
                <w:rFonts w:cstheme="minorHAnsi"/>
                <w:sz w:val="20"/>
                <w:szCs w:val="20"/>
              </w:rPr>
            </w:pPr>
            <w:r w:rsidRPr="003D1C56">
              <w:rPr>
                <w:rFonts w:cstheme="minorHAnsi"/>
                <w:sz w:val="20"/>
                <w:szCs w:val="20"/>
              </w:rPr>
              <w:t>INICIATIVA</w:t>
            </w:r>
          </w:p>
        </w:tc>
        <w:tc>
          <w:tcPr>
            <w:tcW w:w="6516" w:type="dxa"/>
            <w:vAlign w:val="center"/>
          </w:tcPr>
          <w:p w14:paraId="2F9C0DBA" w14:textId="77777777" w:rsidR="00C70660" w:rsidRPr="003D1C56" w:rsidRDefault="00CD2800" w:rsidP="00E346F3">
            <w:pPr>
              <w:keepNext/>
              <w:spacing w:after="0"/>
              <w:rPr>
                <w:rFonts w:cstheme="minorHAnsi"/>
                <w:sz w:val="20"/>
                <w:szCs w:val="20"/>
              </w:rPr>
            </w:pPr>
            <w:r w:rsidRPr="003D1C56">
              <w:rPr>
                <w:rFonts w:cstheme="minorHAnsi"/>
                <w:sz w:val="20"/>
                <w:szCs w:val="20"/>
              </w:rPr>
              <w:t xml:space="preserve">Projekt CZ.03.1.49/0.0/0.0/15_003/0000051 </w:t>
            </w:r>
            <w:r w:rsidRPr="00F37A2B">
              <w:rPr>
                <w:rFonts w:cstheme="minorHAnsi"/>
                <w:i/>
                <w:sz w:val="20"/>
                <w:szCs w:val="20"/>
              </w:rPr>
              <w:t>Iniciativa podpory zaměstnanosti mládeže pro region NUTS 2 Severozápad v Ústeckém kraji</w:t>
            </w:r>
          </w:p>
        </w:tc>
      </w:tr>
      <w:tr w:rsidR="00C76F45" w14:paraId="510E1991" w14:textId="77777777" w:rsidTr="008D70A1">
        <w:tc>
          <w:tcPr>
            <w:tcW w:w="2547" w:type="dxa"/>
            <w:vAlign w:val="center"/>
          </w:tcPr>
          <w:p w14:paraId="4E26BBB2" w14:textId="77777777" w:rsidR="00C70660" w:rsidRPr="003D1C56" w:rsidRDefault="00CD2800" w:rsidP="00E346F3">
            <w:pPr>
              <w:keepNext/>
              <w:spacing w:after="0"/>
              <w:rPr>
                <w:rFonts w:cstheme="minorHAnsi"/>
                <w:sz w:val="20"/>
                <w:szCs w:val="20"/>
              </w:rPr>
            </w:pPr>
            <w:r w:rsidRPr="003D1C56">
              <w:rPr>
                <w:rFonts w:cstheme="minorHAnsi"/>
                <w:sz w:val="20"/>
                <w:szCs w:val="20"/>
              </w:rPr>
              <w:t>MPSV</w:t>
            </w:r>
          </w:p>
        </w:tc>
        <w:tc>
          <w:tcPr>
            <w:tcW w:w="6516" w:type="dxa"/>
            <w:vAlign w:val="center"/>
          </w:tcPr>
          <w:p w14:paraId="3EFB7D99" w14:textId="77777777" w:rsidR="00C70660" w:rsidRPr="003D1C56" w:rsidRDefault="00CD2800" w:rsidP="00E346F3">
            <w:pPr>
              <w:keepNext/>
              <w:spacing w:after="0"/>
              <w:rPr>
                <w:rFonts w:cstheme="minorHAnsi"/>
                <w:sz w:val="20"/>
                <w:szCs w:val="20"/>
              </w:rPr>
            </w:pPr>
            <w:r w:rsidRPr="003D1C56">
              <w:rPr>
                <w:rFonts w:cstheme="minorHAnsi"/>
                <w:sz w:val="20"/>
                <w:szCs w:val="20"/>
              </w:rPr>
              <w:t>Ministerstvo práce a sociálních věcí</w:t>
            </w:r>
          </w:p>
        </w:tc>
      </w:tr>
      <w:tr w:rsidR="00C76F45" w14:paraId="0C60FFDF" w14:textId="77777777" w:rsidTr="008D70A1">
        <w:tc>
          <w:tcPr>
            <w:tcW w:w="2547" w:type="dxa"/>
            <w:vAlign w:val="center"/>
          </w:tcPr>
          <w:p w14:paraId="24F7B85A" w14:textId="77777777" w:rsidR="00C70660" w:rsidRPr="003D1C56" w:rsidRDefault="00CD2800" w:rsidP="00E346F3">
            <w:pPr>
              <w:keepNext/>
              <w:spacing w:after="0"/>
              <w:rPr>
                <w:rFonts w:cstheme="minorHAnsi"/>
                <w:sz w:val="20"/>
                <w:szCs w:val="20"/>
              </w:rPr>
            </w:pPr>
            <w:r w:rsidRPr="003D1C56">
              <w:rPr>
                <w:rFonts w:cstheme="minorHAnsi"/>
                <w:sz w:val="20"/>
                <w:szCs w:val="20"/>
              </w:rPr>
              <w:t>MS2014+</w:t>
            </w:r>
          </w:p>
        </w:tc>
        <w:tc>
          <w:tcPr>
            <w:tcW w:w="6516" w:type="dxa"/>
            <w:vAlign w:val="center"/>
          </w:tcPr>
          <w:p w14:paraId="4E682505" w14:textId="3DB521E6" w:rsidR="00C70660" w:rsidRPr="003D1C56" w:rsidRDefault="00CD2800" w:rsidP="004C2BE7">
            <w:pPr>
              <w:keepNext/>
              <w:spacing w:after="0"/>
              <w:rPr>
                <w:rFonts w:cstheme="minorHAnsi"/>
                <w:sz w:val="20"/>
                <w:szCs w:val="20"/>
              </w:rPr>
            </w:pPr>
            <w:r w:rsidRPr="003D1C56">
              <w:rPr>
                <w:rFonts w:cstheme="minorHAnsi"/>
                <w:sz w:val="20"/>
                <w:szCs w:val="20"/>
              </w:rPr>
              <w:t>Monitorovací systém evropských strukturálních a investičních fondů pro programové období 2014</w:t>
            </w:r>
            <w:r w:rsidR="004C2BE7">
              <w:rPr>
                <w:rFonts w:cstheme="minorHAnsi"/>
                <w:sz w:val="20"/>
                <w:szCs w:val="20"/>
              </w:rPr>
              <w:t>–</w:t>
            </w:r>
            <w:r w:rsidRPr="003D1C56">
              <w:rPr>
                <w:rFonts w:cstheme="minorHAnsi"/>
                <w:sz w:val="20"/>
                <w:szCs w:val="20"/>
              </w:rPr>
              <w:t>2020</w:t>
            </w:r>
          </w:p>
        </w:tc>
      </w:tr>
      <w:tr w:rsidR="00C76F45" w14:paraId="31F093B0" w14:textId="77777777" w:rsidTr="008D70A1">
        <w:tc>
          <w:tcPr>
            <w:tcW w:w="2547" w:type="dxa"/>
            <w:vAlign w:val="center"/>
          </w:tcPr>
          <w:p w14:paraId="0044B355" w14:textId="77777777" w:rsidR="00C70660" w:rsidRPr="003D1C56" w:rsidRDefault="00CD2800" w:rsidP="00E346F3">
            <w:pPr>
              <w:keepNext/>
              <w:spacing w:after="0"/>
              <w:rPr>
                <w:rFonts w:cstheme="minorHAnsi"/>
                <w:sz w:val="20"/>
                <w:szCs w:val="20"/>
              </w:rPr>
            </w:pPr>
            <w:r w:rsidRPr="003D1C56">
              <w:rPr>
                <w:rFonts w:cstheme="minorHAnsi"/>
                <w:sz w:val="20"/>
                <w:szCs w:val="20"/>
              </w:rPr>
              <w:t>MŠMT</w:t>
            </w:r>
          </w:p>
        </w:tc>
        <w:tc>
          <w:tcPr>
            <w:tcW w:w="6516" w:type="dxa"/>
            <w:vAlign w:val="center"/>
          </w:tcPr>
          <w:p w14:paraId="66A06286" w14:textId="77777777" w:rsidR="00C70660" w:rsidRPr="003D1C56" w:rsidRDefault="00CD2800" w:rsidP="00E346F3">
            <w:pPr>
              <w:keepNext/>
              <w:spacing w:after="0"/>
              <w:rPr>
                <w:rFonts w:cstheme="minorHAnsi"/>
                <w:sz w:val="20"/>
                <w:szCs w:val="20"/>
              </w:rPr>
            </w:pPr>
            <w:r w:rsidRPr="003D1C56">
              <w:rPr>
                <w:rFonts w:cstheme="minorHAnsi"/>
                <w:sz w:val="20"/>
                <w:szCs w:val="20"/>
              </w:rPr>
              <w:t>Ministerstvo školství, mládeže a tělovýchovy</w:t>
            </w:r>
          </w:p>
        </w:tc>
      </w:tr>
      <w:tr w:rsidR="00C76F45" w14:paraId="1C60E792" w14:textId="77777777" w:rsidTr="008D70A1">
        <w:tc>
          <w:tcPr>
            <w:tcW w:w="2547" w:type="dxa"/>
            <w:vAlign w:val="center"/>
          </w:tcPr>
          <w:p w14:paraId="755E831A" w14:textId="77777777" w:rsidR="00C70660" w:rsidRPr="003D1C56" w:rsidRDefault="00CD2800" w:rsidP="00E346F3">
            <w:pPr>
              <w:keepNext/>
              <w:spacing w:after="0"/>
              <w:rPr>
                <w:rFonts w:cstheme="minorHAnsi"/>
                <w:sz w:val="20"/>
                <w:szCs w:val="20"/>
              </w:rPr>
            </w:pPr>
            <w:r w:rsidRPr="003D1C56">
              <w:rPr>
                <w:rFonts w:cstheme="minorHAnsi"/>
                <w:sz w:val="20"/>
                <w:szCs w:val="20"/>
              </w:rPr>
              <w:t>NKÚ</w:t>
            </w:r>
          </w:p>
        </w:tc>
        <w:tc>
          <w:tcPr>
            <w:tcW w:w="6516" w:type="dxa"/>
            <w:vAlign w:val="center"/>
          </w:tcPr>
          <w:p w14:paraId="45D8772E" w14:textId="77777777" w:rsidR="00C70660" w:rsidRPr="003D1C56" w:rsidRDefault="00CD2800" w:rsidP="00E346F3">
            <w:pPr>
              <w:keepNext/>
              <w:spacing w:after="0"/>
              <w:rPr>
                <w:rFonts w:cstheme="minorHAnsi"/>
                <w:sz w:val="20"/>
                <w:szCs w:val="20"/>
              </w:rPr>
            </w:pPr>
            <w:r w:rsidRPr="003D1C56">
              <w:rPr>
                <w:rFonts w:cstheme="minorHAnsi"/>
                <w:sz w:val="20"/>
                <w:szCs w:val="20"/>
              </w:rPr>
              <w:t>Nejvyšší kontrolní úřad</w:t>
            </w:r>
          </w:p>
        </w:tc>
      </w:tr>
      <w:tr w:rsidR="00C76F45" w14:paraId="5AB412B0" w14:textId="77777777" w:rsidTr="008D70A1">
        <w:tc>
          <w:tcPr>
            <w:tcW w:w="2547" w:type="dxa"/>
            <w:vAlign w:val="center"/>
          </w:tcPr>
          <w:p w14:paraId="4CA086EF" w14:textId="77777777" w:rsidR="00C70660" w:rsidRPr="003D1C56" w:rsidRDefault="00CD2800" w:rsidP="00E346F3">
            <w:pPr>
              <w:keepNext/>
              <w:spacing w:after="0"/>
              <w:rPr>
                <w:rFonts w:cstheme="minorHAnsi"/>
                <w:sz w:val="20"/>
                <w:szCs w:val="20"/>
              </w:rPr>
            </w:pPr>
            <w:r w:rsidRPr="003D1C56">
              <w:rPr>
                <w:rFonts w:cstheme="minorHAnsi"/>
                <w:sz w:val="20"/>
                <w:szCs w:val="20"/>
              </w:rPr>
              <w:t>OPZ</w:t>
            </w:r>
          </w:p>
        </w:tc>
        <w:tc>
          <w:tcPr>
            <w:tcW w:w="6516" w:type="dxa"/>
            <w:vAlign w:val="center"/>
          </w:tcPr>
          <w:p w14:paraId="45654FD2" w14:textId="5F83F41F" w:rsidR="00C70660" w:rsidRPr="003D1C56" w:rsidRDefault="00CD2800" w:rsidP="00E346F3">
            <w:pPr>
              <w:keepNext/>
              <w:spacing w:after="0"/>
              <w:rPr>
                <w:rFonts w:cstheme="minorHAnsi"/>
                <w:sz w:val="20"/>
                <w:szCs w:val="20"/>
              </w:rPr>
            </w:pPr>
            <w:r w:rsidRPr="003D1C56">
              <w:rPr>
                <w:rFonts w:cstheme="minorHAnsi"/>
                <w:sz w:val="20"/>
                <w:szCs w:val="20"/>
              </w:rPr>
              <w:t xml:space="preserve">Operační program </w:t>
            </w:r>
            <w:r w:rsidRPr="00F37A2B">
              <w:rPr>
                <w:rFonts w:cstheme="minorHAnsi"/>
                <w:i/>
                <w:sz w:val="20"/>
                <w:szCs w:val="20"/>
              </w:rPr>
              <w:t>Zaměstnanost</w:t>
            </w:r>
            <w:r w:rsidR="00D23CE0" w:rsidRPr="00F37A2B">
              <w:rPr>
                <w:rFonts w:cstheme="minorHAnsi"/>
                <w:i/>
                <w:sz w:val="20"/>
                <w:szCs w:val="20"/>
              </w:rPr>
              <w:t xml:space="preserve"> 2014–2020</w:t>
            </w:r>
          </w:p>
        </w:tc>
      </w:tr>
      <w:tr w:rsidR="00C76F45" w14:paraId="5ADAD1F2" w14:textId="77777777" w:rsidTr="008D70A1">
        <w:tc>
          <w:tcPr>
            <w:tcW w:w="2547" w:type="dxa"/>
            <w:vAlign w:val="center"/>
          </w:tcPr>
          <w:p w14:paraId="493DDD40" w14:textId="77777777" w:rsidR="00C70660" w:rsidRPr="003D1C56" w:rsidRDefault="00CD2800" w:rsidP="00E346F3">
            <w:pPr>
              <w:keepNext/>
              <w:spacing w:after="0"/>
              <w:rPr>
                <w:rFonts w:cstheme="minorHAnsi"/>
                <w:sz w:val="20"/>
                <w:szCs w:val="20"/>
              </w:rPr>
            </w:pPr>
            <w:r w:rsidRPr="003D1C56">
              <w:rPr>
                <w:rFonts w:cstheme="minorHAnsi"/>
                <w:sz w:val="20"/>
                <w:szCs w:val="20"/>
              </w:rPr>
              <w:t>PO</w:t>
            </w:r>
          </w:p>
        </w:tc>
        <w:tc>
          <w:tcPr>
            <w:tcW w:w="6516" w:type="dxa"/>
            <w:vAlign w:val="center"/>
          </w:tcPr>
          <w:p w14:paraId="655DCEFE" w14:textId="77777777" w:rsidR="00C70660" w:rsidRPr="003D1C56" w:rsidRDefault="00CD2800" w:rsidP="00E346F3">
            <w:pPr>
              <w:keepNext/>
              <w:spacing w:after="0"/>
              <w:rPr>
                <w:rFonts w:cstheme="minorHAnsi"/>
                <w:sz w:val="20"/>
                <w:szCs w:val="20"/>
              </w:rPr>
            </w:pPr>
            <w:r w:rsidRPr="003D1C56">
              <w:rPr>
                <w:rFonts w:cstheme="minorHAnsi"/>
                <w:sz w:val="20"/>
                <w:szCs w:val="20"/>
              </w:rPr>
              <w:t>Prioritní osa</w:t>
            </w:r>
          </w:p>
        </w:tc>
      </w:tr>
      <w:tr w:rsidR="00C76F45" w14:paraId="4763346D" w14:textId="77777777" w:rsidTr="008D70A1">
        <w:tc>
          <w:tcPr>
            <w:tcW w:w="2547" w:type="dxa"/>
            <w:vAlign w:val="center"/>
          </w:tcPr>
          <w:p w14:paraId="17B50B6E" w14:textId="77777777" w:rsidR="00C70660" w:rsidRPr="003D1C56" w:rsidRDefault="00CD2800" w:rsidP="00E346F3">
            <w:pPr>
              <w:keepNext/>
              <w:spacing w:after="0"/>
              <w:rPr>
                <w:rFonts w:cstheme="minorHAnsi"/>
                <w:sz w:val="20"/>
                <w:szCs w:val="20"/>
              </w:rPr>
            </w:pPr>
            <w:r w:rsidRPr="003D1C56">
              <w:rPr>
                <w:rFonts w:cstheme="minorHAnsi"/>
                <w:sz w:val="20"/>
                <w:szCs w:val="20"/>
              </w:rPr>
              <w:t xml:space="preserve">Program </w:t>
            </w:r>
            <w:proofErr w:type="spellStart"/>
            <w:r w:rsidRPr="003D1C56">
              <w:rPr>
                <w:rFonts w:cstheme="minorHAnsi"/>
                <w:sz w:val="20"/>
                <w:szCs w:val="20"/>
              </w:rPr>
              <w:t>ZpM</w:t>
            </w:r>
            <w:proofErr w:type="spellEnd"/>
          </w:p>
        </w:tc>
        <w:tc>
          <w:tcPr>
            <w:tcW w:w="6516" w:type="dxa"/>
            <w:vAlign w:val="center"/>
          </w:tcPr>
          <w:p w14:paraId="17843EA0" w14:textId="77777777" w:rsidR="00C70660" w:rsidRPr="003D1C56" w:rsidRDefault="00CD2800" w:rsidP="00E346F3">
            <w:pPr>
              <w:keepNext/>
              <w:spacing w:after="0"/>
              <w:rPr>
                <w:rFonts w:cstheme="minorHAnsi"/>
                <w:sz w:val="20"/>
                <w:szCs w:val="20"/>
              </w:rPr>
            </w:pPr>
            <w:r w:rsidRPr="003D1C56">
              <w:rPr>
                <w:rFonts w:cstheme="minorHAnsi"/>
                <w:sz w:val="20"/>
                <w:szCs w:val="20"/>
              </w:rPr>
              <w:t xml:space="preserve">Program </w:t>
            </w:r>
            <w:r w:rsidRPr="00F37A2B">
              <w:rPr>
                <w:rFonts w:cstheme="minorHAnsi"/>
                <w:i/>
                <w:sz w:val="20"/>
                <w:szCs w:val="20"/>
              </w:rPr>
              <w:t>Záruky pro mládež České republiky</w:t>
            </w:r>
          </w:p>
        </w:tc>
      </w:tr>
      <w:tr w:rsidR="00E26517" w14:paraId="583808AA" w14:textId="77777777" w:rsidTr="008D70A1">
        <w:tc>
          <w:tcPr>
            <w:tcW w:w="2547" w:type="dxa"/>
            <w:vAlign w:val="center"/>
          </w:tcPr>
          <w:p w14:paraId="545F6B9B" w14:textId="10E42F4A" w:rsidR="00E26517" w:rsidRPr="003D1C56" w:rsidRDefault="00E26517" w:rsidP="00E346F3">
            <w:pPr>
              <w:keepNext/>
              <w:spacing w:after="0"/>
              <w:rPr>
                <w:rFonts w:cstheme="minorHAnsi"/>
                <w:sz w:val="20"/>
                <w:szCs w:val="20"/>
              </w:rPr>
            </w:pPr>
            <w:r>
              <w:rPr>
                <w:rFonts w:cstheme="minorHAnsi"/>
                <w:sz w:val="20"/>
                <w:szCs w:val="20"/>
              </w:rPr>
              <w:t xml:space="preserve">RP programu </w:t>
            </w:r>
            <w:proofErr w:type="spellStart"/>
            <w:r>
              <w:rPr>
                <w:rFonts w:cstheme="minorHAnsi"/>
                <w:sz w:val="20"/>
                <w:szCs w:val="20"/>
              </w:rPr>
              <w:t>ZpM</w:t>
            </w:r>
            <w:proofErr w:type="spellEnd"/>
          </w:p>
        </w:tc>
        <w:tc>
          <w:tcPr>
            <w:tcW w:w="6516" w:type="dxa"/>
            <w:vAlign w:val="center"/>
          </w:tcPr>
          <w:p w14:paraId="6BAFF432" w14:textId="1E0D41A7" w:rsidR="00E26517" w:rsidRPr="00E26517" w:rsidRDefault="00E26517" w:rsidP="00E26517">
            <w:pPr>
              <w:keepNext/>
              <w:spacing w:after="0"/>
              <w:rPr>
                <w:rFonts w:cstheme="minorHAnsi"/>
                <w:sz w:val="20"/>
                <w:szCs w:val="20"/>
              </w:rPr>
            </w:pPr>
            <w:r w:rsidRPr="00F37A2B">
              <w:rPr>
                <w:i/>
                <w:sz w:val="20"/>
                <w:szCs w:val="20"/>
              </w:rPr>
              <w:t>Realizační plán programu Záruky pro mládež České republiky</w:t>
            </w:r>
          </w:p>
        </w:tc>
      </w:tr>
      <w:tr w:rsidR="00E26517" w14:paraId="1FE0A59D" w14:textId="77777777" w:rsidTr="008D70A1">
        <w:tc>
          <w:tcPr>
            <w:tcW w:w="2547" w:type="dxa"/>
            <w:vAlign w:val="center"/>
          </w:tcPr>
          <w:p w14:paraId="128E123F" w14:textId="3914221B" w:rsidR="00E26517" w:rsidRDefault="00E26517" w:rsidP="00E346F3">
            <w:pPr>
              <w:keepNext/>
              <w:spacing w:after="0"/>
              <w:rPr>
                <w:rFonts w:cstheme="minorHAnsi"/>
                <w:sz w:val="20"/>
                <w:szCs w:val="20"/>
              </w:rPr>
            </w:pPr>
            <w:r>
              <w:rPr>
                <w:rFonts w:cstheme="minorHAnsi"/>
                <w:sz w:val="20"/>
                <w:szCs w:val="20"/>
              </w:rPr>
              <w:t>SR</w:t>
            </w:r>
          </w:p>
        </w:tc>
        <w:tc>
          <w:tcPr>
            <w:tcW w:w="6516" w:type="dxa"/>
            <w:vAlign w:val="center"/>
          </w:tcPr>
          <w:p w14:paraId="6F5EB8B3" w14:textId="2BB5FBBB" w:rsidR="00E26517" w:rsidRPr="00F37A2B" w:rsidRDefault="00E26517" w:rsidP="00E26517">
            <w:pPr>
              <w:keepNext/>
              <w:spacing w:after="0"/>
              <w:rPr>
                <w:sz w:val="20"/>
                <w:szCs w:val="20"/>
              </w:rPr>
            </w:pPr>
            <w:r>
              <w:rPr>
                <w:sz w:val="20"/>
                <w:szCs w:val="20"/>
              </w:rPr>
              <w:t>Státní rozpočet</w:t>
            </w:r>
          </w:p>
        </w:tc>
      </w:tr>
      <w:tr w:rsidR="00C76F45" w14:paraId="1FA2FFD7" w14:textId="77777777" w:rsidTr="008D70A1">
        <w:tc>
          <w:tcPr>
            <w:tcW w:w="2547" w:type="dxa"/>
            <w:vAlign w:val="center"/>
          </w:tcPr>
          <w:p w14:paraId="43DF0B32" w14:textId="77777777" w:rsidR="00C70660" w:rsidRPr="003D1C56" w:rsidRDefault="00CD2800" w:rsidP="00E346F3">
            <w:pPr>
              <w:keepNext/>
              <w:spacing w:after="0"/>
              <w:rPr>
                <w:rFonts w:cstheme="minorHAnsi"/>
                <w:sz w:val="20"/>
                <w:szCs w:val="20"/>
              </w:rPr>
            </w:pPr>
            <w:r w:rsidRPr="003D1C56">
              <w:rPr>
                <w:rFonts w:cstheme="minorHAnsi"/>
                <w:sz w:val="20"/>
                <w:szCs w:val="20"/>
              </w:rPr>
              <w:t>Strategie</w:t>
            </w:r>
          </w:p>
        </w:tc>
        <w:tc>
          <w:tcPr>
            <w:tcW w:w="6516" w:type="dxa"/>
            <w:vAlign w:val="center"/>
          </w:tcPr>
          <w:p w14:paraId="5EBD4F95" w14:textId="77777777" w:rsidR="00C70660" w:rsidRPr="00F37A2B" w:rsidRDefault="00CD2800" w:rsidP="00E346F3">
            <w:pPr>
              <w:keepNext/>
              <w:spacing w:after="0"/>
              <w:rPr>
                <w:rFonts w:cstheme="minorHAnsi"/>
                <w:i/>
                <w:sz w:val="20"/>
                <w:szCs w:val="20"/>
              </w:rPr>
            </w:pPr>
            <w:r w:rsidRPr="00F37A2B">
              <w:rPr>
                <w:rFonts w:cstheme="minorHAnsi"/>
                <w:i/>
                <w:sz w:val="20"/>
                <w:szCs w:val="20"/>
              </w:rPr>
              <w:t>Strategie politiky zaměstnanosti do roku 2020</w:t>
            </w:r>
          </w:p>
        </w:tc>
      </w:tr>
      <w:tr w:rsidR="00C76F45" w14:paraId="0F5673FD" w14:textId="77777777" w:rsidTr="008D70A1">
        <w:tc>
          <w:tcPr>
            <w:tcW w:w="2547" w:type="dxa"/>
            <w:vAlign w:val="center"/>
          </w:tcPr>
          <w:p w14:paraId="4B3DA67C" w14:textId="77777777" w:rsidR="00C70660" w:rsidRPr="003D1C56" w:rsidRDefault="00CD2800" w:rsidP="00E346F3">
            <w:pPr>
              <w:keepNext/>
              <w:spacing w:after="0"/>
              <w:rPr>
                <w:rFonts w:cstheme="minorHAnsi"/>
                <w:sz w:val="20"/>
                <w:szCs w:val="20"/>
              </w:rPr>
            </w:pPr>
            <w:r w:rsidRPr="003D1C56">
              <w:rPr>
                <w:rFonts w:cstheme="minorHAnsi"/>
                <w:sz w:val="20"/>
                <w:szCs w:val="20"/>
              </w:rPr>
              <w:t>SÚPM</w:t>
            </w:r>
          </w:p>
        </w:tc>
        <w:tc>
          <w:tcPr>
            <w:tcW w:w="6516" w:type="dxa"/>
            <w:vAlign w:val="center"/>
          </w:tcPr>
          <w:p w14:paraId="1728B28C" w14:textId="77777777" w:rsidR="00C70660" w:rsidRPr="003D1C56" w:rsidRDefault="00CD2800" w:rsidP="00E346F3">
            <w:pPr>
              <w:keepNext/>
              <w:spacing w:after="0"/>
              <w:rPr>
                <w:rFonts w:cstheme="minorHAnsi"/>
                <w:sz w:val="20"/>
                <w:szCs w:val="20"/>
              </w:rPr>
            </w:pPr>
            <w:r w:rsidRPr="003D1C56">
              <w:rPr>
                <w:rFonts w:cstheme="minorHAnsi"/>
                <w:sz w:val="20"/>
                <w:szCs w:val="20"/>
              </w:rPr>
              <w:t>Společensky účelné pracovní místo</w:t>
            </w:r>
          </w:p>
        </w:tc>
      </w:tr>
      <w:tr w:rsidR="00C76F45" w14:paraId="2FC1C01B" w14:textId="77777777" w:rsidTr="008D70A1">
        <w:tc>
          <w:tcPr>
            <w:tcW w:w="2547" w:type="dxa"/>
            <w:vAlign w:val="center"/>
          </w:tcPr>
          <w:p w14:paraId="02AC5D32" w14:textId="77777777" w:rsidR="00C70660" w:rsidRPr="003D1C56" w:rsidRDefault="00CD2800" w:rsidP="00E346F3">
            <w:pPr>
              <w:keepNext/>
              <w:spacing w:after="0"/>
              <w:rPr>
                <w:rFonts w:cstheme="minorHAnsi"/>
                <w:sz w:val="20"/>
                <w:szCs w:val="20"/>
              </w:rPr>
            </w:pPr>
            <w:r w:rsidRPr="003D1C56">
              <w:rPr>
                <w:rFonts w:cstheme="minorHAnsi"/>
                <w:sz w:val="20"/>
                <w:szCs w:val="20"/>
              </w:rPr>
              <w:t>TRANSFER</w:t>
            </w:r>
          </w:p>
        </w:tc>
        <w:tc>
          <w:tcPr>
            <w:tcW w:w="6516" w:type="dxa"/>
            <w:vAlign w:val="center"/>
          </w:tcPr>
          <w:p w14:paraId="2980080E" w14:textId="77777777" w:rsidR="00C70660" w:rsidRPr="003D1C56" w:rsidRDefault="00CD2800" w:rsidP="00E346F3">
            <w:pPr>
              <w:keepNext/>
              <w:spacing w:after="0"/>
              <w:rPr>
                <w:rFonts w:cstheme="minorHAnsi"/>
                <w:sz w:val="20"/>
                <w:szCs w:val="20"/>
              </w:rPr>
            </w:pPr>
            <w:r w:rsidRPr="003D1C56">
              <w:rPr>
                <w:rFonts w:cstheme="minorHAnsi"/>
                <w:sz w:val="20"/>
                <w:szCs w:val="20"/>
              </w:rPr>
              <w:t xml:space="preserve">Projekt CZ.03.1.49/0.0/0.0/15_116/0001786 </w:t>
            </w:r>
            <w:r w:rsidRPr="00F37A2B">
              <w:rPr>
                <w:rFonts w:cstheme="minorHAnsi"/>
                <w:i/>
                <w:sz w:val="20"/>
                <w:szCs w:val="20"/>
              </w:rPr>
              <w:t>Komplexní program podpory mladých lidí na trhu práce v Ústeckém kraji – TRANSFER</w:t>
            </w:r>
          </w:p>
        </w:tc>
      </w:tr>
      <w:tr w:rsidR="00C76F45" w14:paraId="670F7E12" w14:textId="77777777" w:rsidTr="008D70A1">
        <w:tc>
          <w:tcPr>
            <w:tcW w:w="2547" w:type="dxa"/>
            <w:vAlign w:val="center"/>
          </w:tcPr>
          <w:p w14:paraId="36F38D12" w14:textId="77777777" w:rsidR="00C70660" w:rsidRPr="003D1C56" w:rsidRDefault="00CD2800" w:rsidP="00E346F3">
            <w:pPr>
              <w:keepNext/>
              <w:spacing w:after="0"/>
              <w:rPr>
                <w:rFonts w:cstheme="minorHAnsi"/>
                <w:sz w:val="20"/>
                <w:szCs w:val="20"/>
              </w:rPr>
            </w:pPr>
            <w:r w:rsidRPr="003D1C56">
              <w:rPr>
                <w:rFonts w:cstheme="minorHAnsi"/>
                <w:sz w:val="20"/>
                <w:szCs w:val="20"/>
              </w:rPr>
              <w:t>ÚK</w:t>
            </w:r>
          </w:p>
        </w:tc>
        <w:tc>
          <w:tcPr>
            <w:tcW w:w="6516" w:type="dxa"/>
            <w:vAlign w:val="center"/>
          </w:tcPr>
          <w:p w14:paraId="3877CD65" w14:textId="77777777" w:rsidR="00C70660" w:rsidRPr="003D1C56" w:rsidRDefault="00CD2800" w:rsidP="00E346F3">
            <w:pPr>
              <w:keepNext/>
              <w:spacing w:after="0"/>
              <w:rPr>
                <w:rFonts w:cstheme="minorHAnsi"/>
                <w:sz w:val="20"/>
                <w:szCs w:val="20"/>
              </w:rPr>
            </w:pPr>
            <w:r w:rsidRPr="003D1C56">
              <w:rPr>
                <w:rFonts w:cstheme="minorHAnsi"/>
                <w:sz w:val="20"/>
                <w:szCs w:val="20"/>
              </w:rPr>
              <w:t>Ústecký kraj</w:t>
            </w:r>
          </w:p>
        </w:tc>
      </w:tr>
      <w:tr w:rsidR="00C76F45" w14:paraId="24607E60" w14:textId="77777777" w:rsidTr="008D70A1">
        <w:tc>
          <w:tcPr>
            <w:tcW w:w="2547" w:type="dxa"/>
            <w:vAlign w:val="center"/>
          </w:tcPr>
          <w:p w14:paraId="58646555" w14:textId="77777777" w:rsidR="00C70660" w:rsidRPr="003D1C56" w:rsidRDefault="00CD2800" w:rsidP="00E346F3">
            <w:pPr>
              <w:keepNext/>
              <w:spacing w:after="0"/>
              <w:rPr>
                <w:rFonts w:cstheme="minorHAnsi"/>
                <w:sz w:val="20"/>
                <w:szCs w:val="20"/>
              </w:rPr>
            </w:pPr>
            <w:r w:rsidRPr="003D1C56">
              <w:rPr>
                <w:rFonts w:cstheme="minorHAnsi"/>
                <w:sz w:val="20"/>
                <w:szCs w:val="20"/>
              </w:rPr>
              <w:t>ÚP</w:t>
            </w:r>
          </w:p>
        </w:tc>
        <w:tc>
          <w:tcPr>
            <w:tcW w:w="6516" w:type="dxa"/>
            <w:vAlign w:val="center"/>
          </w:tcPr>
          <w:p w14:paraId="1E906431" w14:textId="77777777" w:rsidR="00C70660" w:rsidRPr="003D1C56" w:rsidRDefault="00CD2800" w:rsidP="00E346F3">
            <w:pPr>
              <w:keepNext/>
              <w:spacing w:after="0"/>
              <w:rPr>
                <w:rFonts w:cstheme="minorHAnsi"/>
                <w:sz w:val="20"/>
                <w:szCs w:val="20"/>
              </w:rPr>
            </w:pPr>
            <w:r w:rsidRPr="003D1C56">
              <w:rPr>
                <w:rFonts w:cstheme="minorHAnsi"/>
                <w:sz w:val="20"/>
                <w:szCs w:val="20"/>
              </w:rPr>
              <w:t>Úřad práce České republiky</w:t>
            </w:r>
          </w:p>
        </w:tc>
      </w:tr>
      <w:tr w:rsidR="0062167E" w14:paraId="09EAA87D" w14:textId="77777777" w:rsidTr="008D70A1">
        <w:tc>
          <w:tcPr>
            <w:tcW w:w="2547" w:type="dxa"/>
            <w:vAlign w:val="center"/>
          </w:tcPr>
          <w:p w14:paraId="794D5461" w14:textId="4A6DB93B" w:rsidR="0062167E" w:rsidRPr="003D1C56" w:rsidRDefault="0062167E" w:rsidP="00E346F3">
            <w:pPr>
              <w:keepNext/>
              <w:spacing w:after="0"/>
              <w:rPr>
                <w:rFonts w:cstheme="minorHAnsi"/>
                <w:sz w:val="20"/>
                <w:szCs w:val="20"/>
              </w:rPr>
            </w:pPr>
            <w:r>
              <w:rPr>
                <w:rFonts w:cstheme="minorHAnsi"/>
                <w:sz w:val="20"/>
                <w:szCs w:val="20"/>
              </w:rPr>
              <w:t>Úřad práce</w:t>
            </w:r>
          </w:p>
        </w:tc>
        <w:tc>
          <w:tcPr>
            <w:tcW w:w="6516" w:type="dxa"/>
            <w:vAlign w:val="center"/>
          </w:tcPr>
          <w:p w14:paraId="26AB04FA" w14:textId="40F73BB7" w:rsidR="0062167E" w:rsidRPr="003D1C56" w:rsidRDefault="0062167E" w:rsidP="00E346F3">
            <w:pPr>
              <w:keepNext/>
              <w:spacing w:after="0"/>
              <w:rPr>
                <w:rFonts w:cstheme="minorHAnsi"/>
                <w:sz w:val="20"/>
                <w:szCs w:val="20"/>
              </w:rPr>
            </w:pPr>
            <w:r w:rsidRPr="003D1C56">
              <w:rPr>
                <w:rFonts w:cstheme="minorHAnsi"/>
                <w:sz w:val="20"/>
                <w:szCs w:val="20"/>
              </w:rPr>
              <w:t>Úřad práce České republiky</w:t>
            </w:r>
          </w:p>
        </w:tc>
      </w:tr>
      <w:tr w:rsidR="00C76F45" w14:paraId="0AB99423" w14:textId="77777777" w:rsidTr="008D70A1">
        <w:tc>
          <w:tcPr>
            <w:tcW w:w="2547" w:type="dxa"/>
            <w:vAlign w:val="center"/>
          </w:tcPr>
          <w:p w14:paraId="24DCE2CC" w14:textId="77777777" w:rsidR="00C70660" w:rsidRPr="003D1C56" w:rsidRDefault="00CD2800" w:rsidP="00E346F3">
            <w:pPr>
              <w:keepNext/>
              <w:spacing w:after="0"/>
              <w:rPr>
                <w:rFonts w:cstheme="minorHAnsi"/>
                <w:sz w:val="20"/>
                <w:szCs w:val="20"/>
              </w:rPr>
            </w:pPr>
            <w:r w:rsidRPr="003D1C56">
              <w:rPr>
                <w:rFonts w:cstheme="minorHAnsi"/>
                <w:sz w:val="20"/>
                <w:szCs w:val="20"/>
              </w:rPr>
              <w:t>VÚPSV</w:t>
            </w:r>
          </w:p>
        </w:tc>
        <w:tc>
          <w:tcPr>
            <w:tcW w:w="6516" w:type="dxa"/>
            <w:vAlign w:val="center"/>
          </w:tcPr>
          <w:p w14:paraId="48F56F3F" w14:textId="77777777" w:rsidR="00C70660" w:rsidRPr="003D1C56" w:rsidRDefault="00CD2800" w:rsidP="00E346F3">
            <w:pPr>
              <w:keepNext/>
              <w:spacing w:after="0"/>
              <w:rPr>
                <w:rFonts w:cstheme="minorHAnsi"/>
                <w:sz w:val="20"/>
                <w:szCs w:val="20"/>
              </w:rPr>
            </w:pPr>
            <w:r w:rsidRPr="003D1C56">
              <w:rPr>
                <w:rFonts w:cstheme="minorHAnsi"/>
                <w:sz w:val="20"/>
                <w:szCs w:val="20"/>
              </w:rPr>
              <w:t xml:space="preserve">Výzkumný ústav práce a sociálních věcí, v. v. i. </w:t>
            </w:r>
          </w:p>
        </w:tc>
      </w:tr>
      <w:tr w:rsidR="00C76F45" w14:paraId="212C8648" w14:textId="77777777" w:rsidTr="008D70A1">
        <w:tc>
          <w:tcPr>
            <w:tcW w:w="2547" w:type="dxa"/>
            <w:vAlign w:val="center"/>
          </w:tcPr>
          <w:p w14:paraId="0C74CACD" w14:textId="77777777" w:rsidR="00C70660" w:rsidRPr="003D1C56" w:rsidRDefault="00CD2800" w:rsidP="00E346F3">
            <w:pPr>
              <w:keepNext/>
              <w:spacing w:after="0"/>
              <w:rPr>
                <w:rFonts w:cstheme="minorHAnsi"/>
                <w:sz w:val="20"/>
                <w:szCs w:val="20"/>
              </w:rPr>
            </w:pPr>
            <w:r w:rsidRPr="003D1C56">
              <w:rPr>
                <w:rFonts w:cstheme="minorHAnsi"/>
                <w:sz w:val="20"/>
                <w:szCs w:val="20"/>
              </w:rPr>
              <w:t>YEI</w:t>
            </w:r>
          </w:p>
        </w:tc>
        <w:tc>
          <w:tcPr>
            <w:tcW w:w="6516" w:type="dxa"/>
            <w:vAlign w:val="center"/>
          </w:tcPr>
          <w:p w14:paraId="7794C3E8" w14:textId="77777777" w:rsidR="00C70660" w:rsidRPr="00F37A2B" w:rsidRDefault="00CD2800" w:rsidP="00E346F3">
            <w:pPr>
              <w:keepNext/>
              <w:spacing w:after="0"/>
              <w:rPr>
                <w:rFonts w:cstheme="minorHAnsi"/>
                <w:i/>
                <w:sz w:val="20"/>
                <w:szCs w:val="20"/>
              </w:rPr>
            </w:pPr>
            <w:r w:rsidRPr="00F37A2B">
              <w:rPr>
                <w:rFonts w:cstheme="minorHAnsi"/>
                <w:i/>
                <w:sz w:val="20"/>
                <w:szCs w:val="20"/>
              </w:rPr>
              <w:t>Iniciativa na podporu zaměstnanosti mladých lidí</w:t>
            </w:r>
          </w:p>
        </w:tc>
      </w:tr>
      <w:tr w:rsidR="00C76F45" w14:paraId="275C7BA4" w14:textId="77777777" w:rsidTr="008D70A1">
        <w:tc>
          <w:tcPr>
            <w:tcW w:w="2547" w:type="dxa"/>
            <w:vAlign w:val="center"/>
          </w:tcPr>
          <w:p w14:paraId="44283A51" w14:textId="77777777" w:rsidR="00C70660" w:rsidRPr="003D1C56" w:rsidRDefault="00CD2800" w:rsidP="00E346F3">
            <w:pPr>
              <w:keepNext/>
              <w:spacing w:after="0"/>
              <w:rPr>
                <w:rFonts w:cstheme="minorHAnsi"/>
                <w:sz w:val="20"/>
                <w:szCs w:val="20"/>
              </w:rPr>
            </w:pPr>
            <w:r w:rsidRPr="003D1C56">
              <w:rPr>
                <w:rFonts w:cstheme="minorHAnsi"/>
                <w:sz w:val="20"/>
                <w:szCs w:val="20"/>
              </w:rPr>
              <w:t>ZÁRUKY</w:t>
            </w:r>
          </w:p>
        </w:tc>
        <w:tc>
          <w:tcPr>
            <w:tcW w:w="6516" w:type="dxa"/>
            <w:vAlign w:val="center"/>
          </w:tcPr>
          <w:p w14:paraId="56521E2D" w14:textId="77777777" w:rsidR="00C70660" w:rsidRPr="003D1C56" w:rsidRDefault="00CD2800" w:rsidP="00E346F3">
            <w:pPr>
              <w:keepNext/>
              <w:spacing w:after="0"/>
              <w:rPr>
                <w:rFonts w:cstheme="minorHAnsi"/>
                <w:sz w:val="20"/>
                <w:szCs w:val="20"/>
              </w:rPr>
            </w:pPr>
            <w:r w:rsidRPr="003D1C56">
              <w:rPr>
                <w:rFonts w:cstheme="minorHAnsi"/>
                <w:sz w:val="20"/>
                <w:szCs w:val="20"/>
              </w:rPr>
              <w:t xml:space="preserve">Projekt CZ.03.1.48/0.0/0.0/15_004/0000002 </w:t>
            </w:r>
            <w:r w:rsidRPr="00F37A2B">
              <w:rPr>
                <w:rFonts w:cstheme="minorHAnsi"/>
                <w:i/>
                <w:sz w:val="20"/>
                <w:szCs w:val="20"/>
              </w:rPr>
              <w:t>Záruky pro mladé v Libereckém kraji</w:t>
            </w:r>
          </w:p>
        </w:tc>
      </w:tr>
    </w:tbl>
    <w:p w14:paraId="22000D82" w14:textId="77777777" w:rsidR="00D44F5B" w:rsidRPr="003D1C56" w:rsidRDefault="00D44F5B" w:rsidP="00D40E01">
      <w:pPr>
        <w:jc w:val="both"/>
        <w:rPr>
          <w:rFonts w:cstheme="minorHAnsi"/>
          <w:sz w:val="20"/>
          <w:szCs w:val="20"/>
        </w:rPr>
      </w:pPr>
    </w:p>
    <w:p w14:paraId="77130047" w14:textId="77777777" w:rsidR="00320B90" w:rsidRPr="003D1C56" w:rsidRDefault="00CD2800">
      <w:pPr>
        <w:spacing w:after="0"/>
        <w:rPr>
          <w:iCs/>
          <w:lang w:eastAsia="en-US"/>
        </w:rPr>
      </w:pPr>
      <w:r w:rsidRPr="003D1C56">
        <w:rPr>
          <w:i/>
        </w:rPr>
        <w:br w:type="page"/>
      </w:r>
    </w:p>
    <w:p w14:paraId="2EFE8BA5" w14:textId="348E6859" w:rsidR="00106CA4" w:rsidRPr="003D1C56" w:rsidRDefault="00CD2800" w:rsidP="00F37A2B">
      <w:pPr>
        <w:pStyle w:val="Titulek"/>
        <w:keepNext/>
        <w:tabs>
          <w:tab w:val="right" w:pos="9072"/>
        </w:tabs>
        <w:spacing w:after="0"/>
        <w:ind w:left="1191" w:hanging="1191"/>
        <w:jc w:val="both"/>
        <w:rPr>
          <w:rFonts w:asciiTheme="minorHAnsi" w:hAnsiTheme="minorHAnsi"/>
          <w:i w:val="0"/>
          <w:color w:val="auto"/>
          <w:sz w:val="24"/>
          <w:szCs w:val="24"/>
        </w:rPr>
      </w:pPr>
      <w:r w:rsidRPr="003D1C56">
        <w:rPr>
          <w:rFonts w:asciiTheme="minorHAnsi" w:hAnsiTheme="minorHAnsi"/>
          <w:i w:val="0"/>
          <w:color w:val="auto"/>
          <w:sz w:val="24"/>
          <w:szCs w:val="24"/>
        </w:rPr>
        <w:t xml:space="preserve">Příloha č. </w:t>
      </w:r>
      <w:r w:rsidRPr="003D1C56">
        <w:rPr>
          <w:rFonts w:asciiTheme="minorHAnsi" w:hAnsiTheme="minorHAnsi"/>
          <w:i w:val="0"/>
          <w:color w:val="auto"/>
          <w:sz w:val="24"/>
          <w:szCs w:val="24"/>
        </w:rPr>
        <w:fldChar w:fldCharType="begin"/>
      </w:r>
      <w:r w:rsidRPr="003D1C56">
        <w:rPr>
          <w:rFonts w:asciiTheme="minorHAnsi" w:hAnsiTheme="minorHAnsi"/>
          <w:i w:val="0"/>
          <w:color w:val="auto"/>
          <w:sz w:val="24"/>
          <w:szCs w:val="24"/>
        </w:rPr>
        <w:instrText xml:space="preserve"> SEQ Příloha_č. \* ARABIC </w:instrText>
      </w:r>
      <w:r w:rsidRPr="003D1C56">
        <w:rPr>
          <w:rFonts w:asciiTheme="minorHAnsi" w:hAnsiTheme="minorHAnsi"/>
          <w:i w:val="0"/>
          <w:color w:val="auto"/>
          <w:sz w:val="24"/>
          <w:szCs w:val="24"/>
        </w:rPr>
        <w:fldChar w:fldCharType="separate"/>
      </w:r>
      <w:r w:rsidR="00996C4C">
        <w:rPr>
          <w:rFonts w:asciiTheme="minorHAnsi" w:hAnsiTheme="minorHAnsi"/>
          <w:i w:val="0"/>
          <w:noProof/>
          <w:color w:val="auto"/>
          <w:sz w:val="24"/>
          <w:szCs w:val="24"/>
        </w:rPr>
        <w:t>1</w:t>
      </w:r>
      <w:r w:rsidRPr="003D1C56">
        <w:rPr>
          <w:rFonts w:asciiTheme="minorHAnsi" w:hAnsiTheme="minorHAnsi"/>
          <w:i w:val="0"/>
          <w:color w:val="auto"/>
          <w:sz w:val="24"/>
          <w:szCs w:val="24"/>
        </w:rPr>
        <w:fldChar w:fldCharType="end"/>
      </w:r>
      <w:r w:rsidR="003C25C1" w:rsidRPr="003D1C56">
        <w:rPr>
          <w:rFonts w:asciiTheme="minorHAnsi" w:hAnsiTheme="minorHAnsi"/>
          <w:i w:val="0"/>
          <w:color w:val="auto"/>
          <w:sz w:val="24"/>
          <w:szCs w:val="24"/>
        </w:rPr>
        <w:t xml:space="preserve">: </w:t>
      </w:r>
      <w:r w:rsidR="00E26517">
        <w:rPr>
          <w:rFonts w:asciiTheme="minorHAnsi" w:hAnsiTheme="minorHAnsi"/>
          <w:i w:val="0"/>
          <w:color w:val="auto"/>
          <w:sz w:val="24"/>
          <w:szCs w:val="24"/>
        </w:rPr>
        <w:tab/>
      </w:r>
      <w:r w:rsidR="003C25C1" w:rsidRPr="003D1C56">
        <w:rPr>
          <w:rFonts w:asciiTheme="minorHAnsi" w:hAnsiTheme="minorHAnsi"/>
          <w:i w:val="0"/>
          <w:color w:val="auto"/>
          <w:sz w:val="24"/>
          <w:szCs w:val="24"/>
        </w:rPr>
        <w:t>Míra nezaměstnanosti mladých</w:t>
      </w:r>
      <w:r w:rsidR="00E61C54">
        <w:rPr>
          <w:rFonts w:asciiTheme="minorHAnsi" w:hAnsiTheme="minorHAnsi"/>
          <w:i w:val="0"/>
          <w:color w:val="auto"/>
          <w:sz w:val="24"/>
          <w:szCs w:val="24"/>
        </w:rPr>
        <w:t xml:space="preserve"> lidí</w:t>
      </w:r>
      <w:r w:rsidR="00451248">
        <w:rPr>
          <w:rFonts w:asciiTheme="minorHAnsi" w:hAnsiTheme="minorHAnsi"/>
          <w:i w:val="0"/>
          <w:color w:val="auto"/>
          <w:sz w:val="24"/>
          <w:szCs w:val="24"/>
        </w:rPr>
        <w:t xml:space="preserve"> ve věku 15–</w:t>
      </w:r>
      <w:r w:rsidR="003C25C1" w:rsidRPr="003D1C56">
        <w:rPr>
          <w:rFonts w:asciiTheme="minorHAnsi" w:hAnsiTheme="minorHAnsi"/>
          <w:i w:val="0"/>
          <w:color w:val="auto"/>
          <w:sz w:val="24"/>
          <w:szCs w:val="24"/>
        </w:rPr>
        <w:t xml:space="preserve">24 let </w:t>
      </w:r>
      <w:r w:rsidR="00E26517">
        <w:rPr>
          <w:rFonts w:asciiTheme="minorHAnsi" w:hAnsiTheme="minorHAnsi"/>
          <w:i w:val="0"/>
          <w:color w:val="auto"/>
          <w:sz w:val="24"/>
          <w:szCs w:val="24"/>
        </w:rPr>
        <w:t xml:space="preserve">ve vybraných zemích Evropy </w:t>
      </w:r>
      <w:r w:rsidR="003C25C1" w:rsidRPr="003D1C56">
        <w:rPr>
          <w:rFonts w:asciiTheme="minorHAnsi" w:hAnsiTheme="minorHAnsi"/>
          <w:i w:val="0"/>
          <w:color w:val="auto"/>
          <w:sz w:val="24"/>
          <w:szCs w:val="24"/>
        </w:rPr>
        <w:t>v roce 2018</w:t>
      </w:r>
      <w:r w:rsidR="00E26517">
        <w:rPr>
          <w:rFonts w:asciiTheme="minorHAnsi" w:hAnsiTheme="minorHAnsi"/>
          <w:i w:val="0"/>
          <w:color w:val="auto"/>
          <w:sz w:val="24"/>
          <w:szCs w:val="24"/>
        </w:rPr>
        <w:tab/>
        <w:t>(v %)</w:t>
      </w:r>
    </w:p>
    <w:p w14:paraId="7640097D" w14:textId="0ACE9BD6" w:rsidR="003767AD" w:rsidRPr="003D1C56" w:rsidRDefault="00A07FB8" w:rsidP="00D40E01">
      <w:pPr>
        <w:jc w:val="both"/>
        <w:rPr>
          <w:rFonts w:cstheme="minorHAnsi"/>
          <w:sz w:val="20"/>
          <w:szCs w:val="20"/>
        </w:rPr>
      </w:pPr>
      <w:r>
        <w:rPr>
          <w:noProof/>
        </w:rPr>
        <w:drawing>
          <wp:inline distT="0" distB="0" distL="0" distR="0" wp14:anchorId="333D2262" wp14:editId="0C725642">
            <wp:extent cx="5829300" cy="5381625"/>
            <wp:effectExtent l="0" t="0" r="0" b="0"/>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B8E45E" w14:textId="77777777" w:rsidR="003C25C1" w:rsidRPr="00D44F5B" w:rsidRDefault="00CD2800" w:rsidP="00D40E01">
      <w:pPr>
        <w:jc w:val="both"/>
        <w:rPr>
          <w:rFonts w:cstheme="minorHAnsi"/>
          <w:sz w:val="20"/>
          <w:szCs w:val="20"/>
        </w:rPr>
      </w:pPr>
      <w:r w:rsidRPr="003746B7">
        <w:rPr>
          <w:rFonts w:cstheme="minorHAnsi"/>
          <w:b/>
          <w:sz w:val="20"/>
          <w:szCs w:val="20"/>
        </w:rPr>
        <w:t>Zdroj:</w:t>
      </w:r>
      <w:r w:rsidRPr="003D1C56">
        <w:rPr>
          <w:rFonts w:cstheme="minorHAnsi"/>
          <w:sz w:val="20"/>
          <w:szCs w:val="20"/>
        </w:rPr>
        <w:t xml:space="preserve"> Eurostat</w:t>
      </w:r>
      <w:r w:rsidR="003746B7">
        <w:rPr>
          <w:rFonts w:cstheme="minorHAnsi"/>
          <w:sz w:val="20"/>
          <w:szCs w:val="20"/>
        </w:rPr>
        <w:t>.</w:t>
      </w:r>
    </w:p>
    <w:sectPr w:rsidR="003C25C1" w:rsidRPr="00D44F5B" w:rsidSect="00E85578">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542E5" w14:textId="77777777" w:rsidR="00D57777" w:rsidRDefault="00D57777">
      <w:pPr>
        <w:spacing w:after="0"/>
      </w:pPr>
      <w:r>
        <w:separator/>
      </w:r>
    </w:p>
  </w:endnote>
  <w:endnote w:type="continuationSeparator" w:id="0">
    <w:p w14:paraId="0DB7186E" w14:textId="77777777" w:rsidR="00D57777" w:rsidRDefault="00D57777">
      <w:pPr>
        <w:spacing w:after="0"/>
      </w:pPr>
      <w:r>
        <w:continuationSeparator/>
      </w:r>
    </w:p>
  </w:endnote>
  <w:endnote w:type="continuationNotice" w:id="1">
    <w:p w14:paraId="228D6C79" w14:textId="77777777" w:rsidR="00D57777" w:rsidRDefault="00D5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447F0" w14:textId="77777777" w:rsidR="00855216" w:rsidRDefault="008552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070954"/>
      <w:docPartObj>
        <w:docPartGallery w:val="Page Numbers (Bottom of Page)"/>
        <w:docPartUnique/>
      </w:docPartObj>
    </w:sdtPr>
    <w:sdtEndPr/>
    <w:sdtContent>
      <w:p w14:paraId="2BDC05A3" w14:textId="4AEED773" w:rsidR="00D57777" w:rsidRDefault="00D57777">
        <w:pPr>
          <w:pStyle w:val="Zpat"/>
          <w:jc w:val="center"/>
        </w:pPr>
        <w:r>
          <w:fldChar w:fldCharType="begin"/>
        </w:r>
        <w:r>
          <w:instrText>PAGE   \* MERGEFORMAT</w:instrText>
        </w:r>
        <w:r>
          <w:fldChar w:fldCharType="separate"/>
        </w:r>
        <w:r w:rsidR="00996C4C">
          <w:rPr>
            <w:noProof/>
          </w:rPr>
          <w:t>2</w:t>
        </w:r>
        <w:r>
          <w:fldChar w:fldCharType="end"/>
        </w:r>
      </w:p>
    </w:sdtContent>
  </w:sdt>
  <w:p w14:paraId="32D10BD7" w14:textId="77777777" w:rsidR="00D57777" w:rsidRDefault="00D5777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C6D0B" w14:textId="77777777" w:rsidR="00855216" w:rsidRDefault="008552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08057" w14:textId="77777777" w:rsidR="00D57777" w:rsidRDefault="00D57777">
      <w:r>
        <w:separator/>
      </w:r>
    </w:p>
  </w:footnote>
  <w:footnote w:type="continuationSeparator" w:id="0">
    <w:p w14:paraId="20019E53" w14:textId="77777777" w:rsidR="00D57777" w:rsidRDefault="00D57777">
      <w:r>
        <w:continuationSeparator/>
      </w:r>
    </w:p>
  </w:footnote>
  <w:footnote w:type="continuationNotice" w:id="1">
    <w:p w14:paraId="643E2D54" w14:textId="77777777" w:rsidR="00D57777" w:rsidRDefault="00D57777"/>
  </w:footnote>
  <w:footnote w:id="2">
    <w:p w14:paraId="110092D3" w14:textId="77777777" w:rsidR="00D57777" w:rsidRDefault="00D57777" w:rsidP="008D44A0">
      <w:pPr>
        <w:pStyle w:val="Textpoznpodarou"/>
        <w:spacing w:after="0"/>
        <w:ind w:left="284" w:hanging="284"/>
      </w:pPr>
      <w:r>
        <w:rPr>
          <w:rStyle w:val="Znakapoznpodarou"/>
        </w:rPr>
        <w:footnoteRef/>
      </w:r>
      <w:r>
        <w:t xml:space="preserve"> </w:t>
      </w:r>
      <w:r>
        <w:tab/>
        <w:t xml:space="preserve">Kontrolované výzvy č. 15_003, 15_004, 15_116 a 18_091, stav k 9. 7. 2019 ve výši </w:t>
      </w:r>
      <w:r w:rsidRPr="000F1551">
        <w:t>1 305 427 613,36</w:t>
      </w:r>
      <w:r>
        <w:t xml:space="preserve"> Kč.</w:t>
      </w:r>
    </w:p>
  </w:footnote>
  <w:footnote w:id="3">
    <w:p w14:paraId="5E0D72FB" w14:textId="28B41C1C" w:rsidR="00D57777" w:rsidRPr="000F1551" w:rsidRDefault="00D57777" w:rsidP="008D44A0">
      <w:pPr>
        <w:pStyle w:val="Textpoznpodarou"/>
        <w:spacing w:after="0"/>
        <w:ind w:left="284" w:hanging="284"/>
      </w:pPr>
      <w:r>
        <w:rPr>
          <w:rStyle w:val="Znakapoznpodarou"/>
        </w:rPr>
        <w:footnoteRef/>
      </w:r>
      <w:r>
        <w:t xml:space="preserve"> </w:t>
      </w:r>
      <w:r>
        <w:tab/>
        <w:t xml:space="preserve">Kontrolované výzvy č. 15_003, 15_004, 15_116 a 18_091, dosažená hodnota monitorovacího indikátoru 6 00 00 </w:t>
      </w:r>
      <w:r>
        <w:rPr>
          <w:i/>
        </w:rPr>
        <w:t>Celkový počet účastníků</w:t>
      </w:r>
      <w:r>
        <w:t xml:space="preserve"> k 9. 7. 2019.</w:t>
      </w:r>
    </w:p>
  </w:footnote>
  <w:footnote w:id="4">
    <w:p w14:paraId="4500E837" w14:textId="77777777" w:rsidR="00D57777" w:rsidRDefault="00D57777" w:rsidP="008D44A0">
      <w:pPr>
        <w:pStyle w:val="Textpoznpodarou"/>
        <w:spacing w:after="0"/>
        <w:ind w:left="284" w:hanging="284"/>
      </w:pPr>
      <w:r>
        <w:rPr>
          <w:rStyle w:val="Znakapoznpodarou"/>
        </w:rPr>
        <w:footnoteRef/>
      </w:r>
      <w:r>
        <w:t xml:space="preserve"> </w:t>
      </w:r>
      <w:r>
        <w:tab/>
        <w:t>Údaje ÚP za období březen 2015 – srpen 2018.</w:t>
      </w:r>
    </w:p>
  </w:footnote>
  <w:footnote w:id="5">
    <w:p w14:paraId="4ED96870" w14:textId="77777777" w:rsidR="00D57777" w:rsidRDefault="00D57777" w:rsidP="008D44A0">
      <w:pPr>
        <w:pStyle w:val="Textpoznpodarou"/>
        <w:spacing w:after="0"/>
        <w:ind w:left="284" w:hanging="284"/>
        <w:jc w:val="both"/>
      </w:pPr>
      <w:r>
        <w:rPr>
          <w:rStyle w:val="Znakapoznpodarou"/>
        </w:rPr>
        <w:footnoteRef/>
      </w:r>
      <w:r>
        <w:t xml:space="preserve"> </w:t>
      </w:r>
      <w:r>
        <w:tab/>
      </w:r>
      <w:r w:rsidRPr="008D542B">
        <w:t>K obdobným závěrům</w:t>
      </w:r>
      <w:r>
        <w:t xml:space="preserve"> ve zvláštních zprávách č. </w:t>
      </w:r>
      <w:r w:rsidRPr="008D542B">
        <w:t xml:space="preserve">3/2015 a 5/2017 došel při prověřování v dalších členských státech EU u projektů zaměřených na zaměstnávání mladých lidí </w:t>
      </w:r>
      <w:r>
        <w:t>i Evropský účetní dvůr.</w:t>
      </w:r>
    </w:p>
  </w:footnote>
  <w:footnote w:id="6">
    <w:p w14:paraId="05885E18" w14:textId="6A8E7CBC" w:rsidR="00D57777" w:rsidRDefault="00D57777" w:rsidP="008D44A0">
      <w:pPr>
        <w:pStyle w:val="Textpoznpodarou"/>
        <w:spacing w:after="0"/>
        <w:ind w:left="284" w:hanging="284"/>
        <w:jc w:val="both"/>
      </w:pPr>
      <w:r>
        <w:rPr>
          <w:rStyle w:val="Znakapoznpodarou"/>
        </w:rPr>
        <w:footnoteRef/>
      </w:r>
      <w:r>
        <w:t xml:space="preserve"> </w:t>
      </w:r>
      <w:r>
        <w:tab/>
      </w:r>
      <w:r w:rsidRPr="00894D9C">
        <w:t xml:space="preserve">Situace, kdy dotaci čerpá příjemce, který by svoji aktivitu/činnost/investici realizoval i bez účasti veřejných prostředků (v tomto případě zprostředkování zaměstnání na dotovaném pracovním místě u klienta, který je schopen si zaměstnání/praxi/stáž najít sám). </w:t>
      </w:r>
    </w:p>
  </w:footnote>
  <w:footnote w:id="7">
    <w:p w14:paraId="5B8E642E" w14:textId="77777777" w:rsidR="00D57777" w:rsidRDefault="00D57777" w:rsidP="008D44A0">
      <w:pPr>
        <w:pStyle w:val="Textpoznpodarou"/>
        <w:spacing w:after="0"/>
        <w:ind w:left="284" w:hanging="284"/>
        <w:jc w:val="both"/>
      </w:pPr>
      <w:r>
        <w:rPr>
          <w:rStyle w:val="Znakapoznpodarou"/>
          <w:rFonts w:eastAsiaTheme="minorHAnsi"/>
        </w:rPr>
        <w:footnoteRef/>
      </w:r>
      <w:r>
        <w:t xml:space="preserve"> </w:t>
      </w:r>
      <w:r>
        <w:tab/>
        <w:t xml:space="preserve">Sdělení Komise: EVROPA 2020 – Strategie pro inteligentní a udržitelný růst podporující začlenění, </w:t>
      </w:r>
      <w:proofErr w:type="gramStart"/>
      <w:r>
        <w:t>KOM(2010</w:t>
      </w:r>
      <w:proofErr w:type="gramEnd"/>
      <w:r>
        <w:t>) 2020 v konečném znění ze dne 3. března 2010.</w:t>
      </w:r>
    </w:p>
  </w:footnote>
  <w:footnote w:id="8">
    <w:p w14:paraId="00A63206" w14:textId="77777777" w:rsidR="00D57777" w:rsidRDefault="00D57777" w:rsidP="008D44A0">
      <w:pPr>
        <w:pStyle w:val="Textpoznpodarou"/>
        <w:spacing w:after="0"/>
        <w:ind w:left="284" w:hanging="284"/>
        <w:jc w:val="both"/>
      </w:pPr>
      <w:r>
        <w:rPr>
          <w:rStyle w:val="Znakapoznpodarou"/>
          <w:rFonts w:eastAsiaTheme="minorHAnsi"/>
        </w:rPr>
        <w:footnoteRef/>
      </w:r>
      <w:r>
        <w:t xml:space="preserve"> </w:t>
      </w:r>
      <w:r>
        <w:tab/>
      </w:r>
      <w:r w:rsidRPr="001F2712">
        <w:t>Doporučení Rady ze dne 22. dubna 2013 o zavedení záruk pro mladé lidi (2013/C 120/01)</w:t>
      </w:r>
      <w:r>
        <w:t>.</w:t>
      </w:r>
    </w:p>
  </w:footnote>
  <w:footnote w:id="9">
    <w:p w14:paraId="02D9C695" w14:textId="0C120D2D" w:rsidR="00D57777" w:rsidRPr="00AF53F4" w:rsidRDefault="00D57777" w:rsidP="008D44A0">
      <w:pPr>
        <w:pStyle w:val="Textpoznpodarou"/>
        <w:spacing w:after="0"/>
        <w:ind w:left="284" w:hanging="284"/>
      </w:pPr>
      <w:r>
        <w:rPr>
          <w:rStyle w:val="Znakapoznpodarou"/>
          <w:rFonts w:eastAsiaTheme="minorHAnsi"/>
        </w:rPr>
        <w:footnoteRef/>
      </w:r>
      <w:r>
        <w:t xml:space="preserve"> </w:t>
      </w:r>
      <w:r>
        <w:tab/>
        <w:t xml:space="preserve">Viz </w:t>
      </w:r>
      <w:hyperlink r:id="rId1" w:history="1">
        <w:r w:rsidRPr="00CD5C3F">
          <w:rPr>
            <w:rStyle w:val="Hypertextovodkaz"/>
            <w:color w:val="auto"/>
          </w:rPr>
          <w:t>https://www.vlada.cz/cz/evropske-zalezitosti/evropske-politiky/strategie-evropa-2020/cr/eu-2020-a-cr-78696/</w:t>
        </w:r>
      </w:hyperlink>
      <w:r w:rsidRPr="00CD5C3F">
        <w:t xml:space="preserve"> (12</w:t>
      </w:r>
      <w:r>
        <w:t>. prosince 2018).</w:t>
      </w:r>
    </w:p>
  </w:footnote>
  <w:footnote w:id="10">
    <w:p w14:paraId="77A3F0A8" w14:textId="3C1D5C5A" w:rsidR="00D57777" w:rsidRDefault="00D57777" w:rsidP="008D44A0">
      <w:pPr>
        <w:pStyle w:val="Textpoznpodarou"/>
        <w:spacing w:after="0"/>
        <w:ind w:left="284" w:hanging="284"/>
        <w:jc w:val="both"/>
      </w:pPr>
      <w:r>
        <w:rPr>
          <w:rStyle w:val="Znakapoznpodarou"/>
        </w:rPr>
        <w:footnoteRef/>
      </w:r>
      <w:r>
        <w:t xml:space="preserve"> </w:t>
      </w:r>
      <w:r>
        <w:tab/>
        <w:t xml:space="preserve">Zkratka z anglického názvu </w:t>
      </w:r>
      <w:r w:rsidRPr="005A3778">
        <w:rPr>
          <w:lang w:val="en-GB"/>
        </w:rPr>
        <w:t>Youth Employment Ini</w:t>
      </w:r>
      <w:r>
        <w:rPr>
          <w:lang w:val="en-GB"/>
        </w:rPr>
        <w:t>t</w:t>
      </w:r>
      <w:r w:rsidRPr="005A3778">
        <w:rPr>
          <w:lang w:val="en-GB"/>
        </w:rPr>
        <w:t>iative</w:t>
      </w:r>
      <w:r>
        <w:t>.</w:t>
      </w:r>
    </w:p>
  </w:footnote>
  <w:footnote w:id="11">
    <w:p w14:paraId="67546103" w14:textId="6BCFBE3F" w:rsidR="00D57777" w:rsidRDefault="00D57777" w:rsidP="008D44A0">
      <w:pPr>
        <w:pStyle w:val="Textpoznpodarou"/>
        <w:spacing w:after="0"/>
        <w:ind w:left="284" w:hanging="284"/>
        <w:jc w:val="both"/>
      </w:pPr>
      <w:r>
        <w:rPr>
          <w:rStyle w:val="Znakapoznpodarou"/>
          <w:rFonts w:eastAsiaTheme="minorHAnsi"/>
        </w:rPr>
        <w:footnoteRef/>
      </w:r>
      <w:r>
        <w:t xml:space="preserve"> </w:t>
      </w:r>
      <w:r>
        <w:tab/>
      </w:r>
      <w:r w:rsidRPr="0093786A">
        <w:t xml:space="preserve">Z údajů </w:t>
      </w:r>
      <w:proofErr w:type="spellStart"/>
      <w:r w:rsidRPr="0093786A">
        <w:t>Eurostatu</w:t>
      </w:r>
      <w:proofErr w:type="spellEnd"/>
      <w:r w:rsidRPr="0093786A">
        <w:t xml:space="preserve"> vyplývá, že současná míra nezaměstnanosti mladých</w:t>
      </w:r>
      <w:r>
        <w:t xml:space="preserve"> lidí</w:t>
      </w:r>
      <w:r w:rsidRPr="0093786A">
        <w:t xml:space="preserve"> </w:t>
      </w:r>
      <w:r>
        <w:t xml:space="preserve">je v těchto zemích následující: </w:t>
      </w:r>
      <w:r w:rsidRPr="0093786A">
        <w:t xml:space="preserve">Řecko 37,9 %, Španělsko 34,3 % a Itálie 31,6 %. </w:t>
      </w:r>
    </w:p>
  </w:footnote>
  <w:footnote w:id="12">
    <w:p w14:paraId="2B1AAB0C" w14:textId="77777777" w:rsidR="00D57777" w:rsidRDefault="00D57777" w:rsidP="008D44A0">
      <w:pPr>
        <w:pStyle w:val="Textpoznpodarou"/>
        <w:spacing w:after="0"/>
        <w:ind w:left="284" w:hanging="284"/>
        <w:jc w:val="both"/>
      </w:pPr>
      <w:r>
        <w:rPr>
          <w:rStyle w:val="Znakapoznpodarou"/>
          <w:rFonts w:eastAsiaTheme="minorHAnsi"/>
        </w:rPr>
        <w:footnoteRef/>
      </w:r>
      <w:r>
        <w:t xml:space="preserve"> </w:t>
      </w:r>
      <w:r>
        <w:tab/>
        <w:t xml:space="preserve">YEI </w:t>
      </w:r>
      <w:r w:rsidRPr="00E308F1">
        <w:t xml:space="preserve">je určena regionům na úrovni NUTS </w:t>
      </w:r>
      <w:r>
        <w:t>II</w:t>
      </w:r>
      <w:r w:rsidRPr="00E308F1">
        <w:t>, v nichž míra nezaměstnanosti mládeže do 25 let v roce 2012 přesáhla 25 %.</w:t>
      </w:r>
    </w:p>
  </w:footnote>
  <w:footnote w:id="13">
    <w:p w14:paraId="3920C7F9" w14:textId="77777777" w:rsidR="00D57777" w:rsidRDefault="00D57777" w:rsidP="008D44A0">
      <w:pPr>
        <w:pStyle w:val="Textpoznpodarou"/>
        <w:spacing w:after="0"/>
        <w:ind w:left="284" w:hanging="284"/>
        <w:jc w:val="both"/>
      </w:pPr>
      <w:r>
        <w:rPr>
          <w:rStyle w:val="Znakapoznpodarou"/>
        </w:rPr>
        <w:footnoteRef/>
      </w:r>
      <w:r>
        <w:t xml:space="preserve"> </w:t>
      </w:r>
      <w:r>
        <w:tab/>
        <w:t>Nařízení Evropského parlamentu a Rady (EU) č. 1304/2013 ze dne 17. prosince 2013, o Evropském sociálním fondu a o zrušení nařízení Rady (ES) č. 1081/2006.</w:t>
      </w:r>
    </w:p>
  </w:footnote>
  <w:footnote w:id="14">
    <w:p w14:paraId="39A4626A" w14:textId="77777777" w:rsidR="00D57777" w:rsidRDefault="00D57777" w:rsidP="008D44A0">
      <w:pPr>
        <w:pStyle w:val="Textpoznpodarou"/>
        <w:spacing w:after="0"/>
        <w:ind w:left="284" w:hanging="284"/>
        <w:jc w:val="both"/>
      </w:pPr>
      <w:r>
        <w:rPr>
          <w:rStyle w:val="Znakapoznpodarou"/>
          <w:rFonts w:eastAsiaTheme="minorHAnsi"/>
        </w:rPr>
        <w:footnoteRef/>
      </w:r>
      <w:r>
        <w:t xml:space="preserve"> </w:t>
      </w:r>
      <w:r>
        <w:tab/>
        <w:t xml:space="preserve">Strategie v gesci MPSV byla </w:t>
      </w:r>
      <w:r w:rsidRPr="00B5368F">
        <w:t xml:space="preserve">schválena </w:t>
      </w:r>
      <w:r>
        <w:t>usnesením vlády ČR</w:t>
      </w:r>
      <w:r w:rsidRPr="00B5368F">
        <w:t xml:space="preserve"> ze dne 15. </w:t>
      </w:r>
      <w:r>
        <w:t>října</w:t>
      </w:r>
      <w:r w:rsidRPr="00B5368F">
        <w:t xml:space="preserve"> 2014</w:t>
      </w:r>
      <w:r w:rsidRPr="0053750F">
        <w:t xml:space="preserve"> </w:t>
      </w:r>
      <w:r w:rsidRPr="00B5368F">
        <w:t>č. 835</w:t>
      </w:r>
      <w:r>
        <w:t xml:space="preserve">, </w:t>
      </w:r>
      <w:r w:rsidRPr="008E7F51">
        <w:rPr>
          <w:i/>
        </w:rPr>
        <w:t>o Strategii politiky zaměstnanosti do roku 2020</w:t>
      </w:r>
      <w:r>
        <w:t>.</w:t>
      </w:r>
    </w:p>
  </w:footnote>
  <w:footnote w:id="15">
    <w:p w14:paraId="726056DE" w14:textId="2AA1BEEA" w:rsidR="00D57777" w:rsidRDefault="00D57777" w:rsidP="008D44A0">
      <w:pPr>
        <w:pStyle w:val="Textpoznpodarou"/>
        <w:spacing w:after="0"/>
        <w:ind w:left="284" w:hanging="284"/>
        <w:jc w:val="both"/>
      </w:pPr>
      <w:r>
        <w:rPr>
          <w:rStyle w:val="Znakapoznpodarou"/>
          <w:rFonts w:eastAsiaTheme="minorHAnsi"/>
        </w:rPr>
        <w:footnoteRef/>
      </w:r>
      <w:r>
        <w:t xml:space="preserve"> </w:t>
      </w:r>
      <w:r>
        <w:tab/>
      </w:r>
      <w:r w:rsidRPr="008E7F51">
        <w:rPr>
          <w:i/>
        </w:rPr>
        <w:t>Aktualizace Strategie politiky zaměstnanosti do roku 2020 v kontextu probíhajících změn na trhu práce</w:t>
      </w:r>
      <w:r>
        <w:rPr>
          <w:i/>
        </w:rPr>
        <w:t>.</w:t>
      </w:r>
      <w:r w:rsidRPr="006E4FEF">
        <w:t xml:space="preserve"> </w:t>
      </w:r>
      <w:r>
        <w:t xml:space="preserve">MPSV </w:t>
      </w:r>
      <w:r w:rsidRPr="006E4FEF">
        <w:t>prosinec 2017</w:t>
      </w:r>
      <w:r>
        <w:t>.</w:t>
      </w:r>
    </w:p>
  </w:footnote>
  <w:footnote w:id="16">
    <w:p w14:paraId="74F18518" w14:textId="25B1EDC6" w:rsidR="00D57777" w:rsidRDefault="00D57777" w:rsidP="008D44A0">
      <w:pPr>
        <w:pStyle w:val="Textpoznpodarou"/>
        <w:ind w:left="284" w:hanging="284"/>
        <w:jc w:val="both"/>
      </w:pPr>
      <w:r>
        <w:rPr>
          <w:rStyle w:val="Znakapoznpodarou"/>
        </w:rPr>
        <w:footnoteRef/>
      </w:r>
      <w:r>
        <w:t xml:space="preserve"> </w:t>
      </w:r>
      <w:r>
        <w:tab/>
        <w:t xml:space="preserve">Podle </w:t>
      </w:r>
      <w:hyperlink r:id="rId2" w:history="1">
        <w:r>
          <w:rPr>
            <w:rStyle w:val="Hypertextovodkaz"/>
          </w:rPr>
          <w:t>https://www.ekonomickyslovnik.cz</w:t>
        </w:r>
      </w:hyperlink>
      <w:r>
        <w:t xml:space="preserve"> se j</w:t>
      </w:r>
      <w:r w:rsidRPr="00F76FC1">
        <w:t>edná o takovou míru nezaměstnanosti, při které se nachází trh práce ve stavu všeobecné rovnováhy. Pokud ekonomika dosahuje přirozené míry nezaměstnanosti, potom jsou všichni jednotlivci, kteří chtějí při dané mzdové sazbě pracovat</w:t>
      </w:r>
      <w:r>
        <w:t>,</w:t>
      </w:r>
      <w:r w:rsidRPr="00F76FC1">
        <w:t xml:space="preserve"> zaměstnáni. V tomto důsl</w:t>
      </w:r>
      <w:r>
        <w:t>edku je v </w:t>
      </w:r>
      <w:r w:rsidRPr="00F76FC1">
        <w:t>ekonomice dosaženo stavu, který označujeme pojmem plná zaměstnanost.</w:t>
      </w:r>
    </w:p>
  </w:footnote>
  <w:footnote w:id="17">
    <w:p w14:paraId="708BF30F" w14:textId="77777777" w:rsidR="00D57777" w:rsidRDefault="00D57777" w:rsidP="008D44A0">
      <w:pPr>
        <w:pStyle w:val="Textpoznpodarou"/>
        <w:spacing w:after="0"/>
        <w:ind w:left="284" w:hanging="284"/>
        <w:jc w:val="both"/>
      </w:pPr>
      <w:r>
        <w:rPr>
          <w:rStyle w:val="Znakapoznpodarou"/>
        </w:rPr>
        <w:footnoteRef/>
      </w:r>
      <w:r>
        <w:t xml:space="preserve"> </w:t>
      </w:r>
      <w:r>
        <w:tab/>
        <w:t xml:space="preserve">Z anglického </w:t>
      </w:r>
      <w:proofErr w:type="spellStart"/>
      <w:r w:rsidRPr="00150E08">
        <w:t>Specific</w:t>
      </w:r>
      <w:proofErr w:type="spellEnd"/>
      <w:r>
        <w:t xml:space="preserve"> (specifické), </w:t>
      </w:r>
      <w:proofErr w:type="spellStart"/>
      <w:r w:rsidRPr="00150E08">
        <w:t>Measurable</w:t>
      </w:r>
      <w:proofErr w:type="spellEnd"/>
      <w:r>
        <w:t xml:space="preserve"> (měřitelné), </w:t>
      </w:r>
      <w:proofErr w:type="spellStart"/>
      <w:r w:rsidRPr="00150E08">
        <w:t>Achievable</w:t>
      </w:r>
      <w:proofErr w:type="spellEnd"/>
      <w:r>
        <w:t xml:space="preserve"> (dosažitelné), </w:t>
      </w:r>
      <w:proofErr w:type="spellStart"/>
      <w:r w:rsidRPr="00150E08">
        <w:t>Relevant</w:t>
      </w:r>
      <w:proofErr w:type="spellEnd"/>
      <w:r>
        <w:t xml:space="preserve"> (relevantní) a </w:t>
      </w:r>
      <w:proofErr w:type="spellStart"/>
      <w:r w:rsidRPr="00150E08">
        <w:t>Time</w:t>
      </w:r>
      <w:proofErr w:type="spellEnd"/>
      <w:r w:rsidRPr="00150E08">
        <w:t xml:space="preserve"> </w:t>
      </w:r>
      <w:proofErr w:type="spellStart"/>
      <w:r w:rsidRPr="00150E08">
        <w:t>bound</w:t>
      </w:r>
      <w:proofErr w:type="spellEnd"/>
      <w:r>
        <w:t xml:space="preserve"> (časově omezené).</w:t>
      </w:r>
    </w:p>
  </w:footnote>
  <w:footnote w:id="18">
    <w:p w14:paraId="43F884B4" w14:textId="77777777" w:rsidR="00D57777" w:rsidRDefault="00D57777" w:rsidP="008D44A0">
      <w:pPr>
        <w:pStyle w:val="Textpoznpodarou"/>
        <w:ind w:left="284" w:hanging="284"/>
        <w:jc w:val="both"/>
      </w:pPr>
      <w:r>
        <w:rPr>
          <w:rStyle w:val="Znakapoznpodarou"/>
        </w:rPr>
        <w:footnoteRef/>
      </w:r>
      <w:r>
        <w:t xml:space="preserve"> </w:t>
      </w:r>
      <w:r>
        <w:tab/>
        <w:t>Specifické</w:t>
      </w:r>
      <w:r w:rsidRPr="00C10B4C">
        <w:t xml:space="preserve"> cíl</w:t>
      </w:r>
      <w:r>
        <w:t>e</w:t>
      </w:r>
      <w:r w:rsidRPr="00C10B4C">
        <w:t xml:space="preserve"> 1.1.2: </w:t>
      </w:r>
      <w:r w:rsidRPr="008E7F51">
        <w:rPr>
          <w:i/>
        </w:rPr>
        <w:t>Zvýšit zaměstnanost podpořených mladých osob prostřednictvím programu Záruky pro mládež</w:t>
      </w:r>
      <w:r>
        <w:t xml:space="preserve"> a </w:t>
      </w:r>
      <w:r w:rsidRPr="00C10B4C">
        <w:t xml:space="preserve">1.5.1: </w:t>
      </w:r>
      <w:r w:rsidRPr="008E7F51">
        <w:rPr>
          <w:i/>
        </w:rPr>
        <w:t>Zvýšit zaměstnanost podpořených mladých lidí, kteří nejsou v zaměstnání, ve vzdělávání nebo v profesní přípravě v regionu NUTS II Severozápad</w:t>
      </w:r>
      <w:r>
        <w:t>.</w:t>
      </w:r>
    </w:p>
  </w:footnote>
  <w:footnote w:id="19">
    <w:p w14:paraId="3007C9C7" w14:textId="77777777" w:rsidR="00D57777" w:rsidRDefault="00D57777" w:rsidP="008D44A0">
      <w:pPr>
        <w:pStyle w:val="Textpoznpodarou"/>
        <w:spacing w:after="0"/>
        <w:ind w:left="284" w:hanging="284"/>
        <w:jc w:val="both"/>
      </w:pPr>
      <w:r>
        <w:rPr>
          <w:rStyle w:val="Znakapoznpodarou"/>
        </w:rPr>
        <w:footnoteRef/>
      </w:r>
      <w:r>
        <w:t xml:space="preserve"> </w:t>
      </w:r>
      <w:r>
        <w:tab/>
        <w:t>Podle ustanovení § 318 zákona č. 262/2006 Sb., zákoník práce, základní pracovněprávní vztah uvedený v ustanovení § 3 nemůže být mezi manželi nebo partnery.</w:t>
      </w:r>
    </w:p>
  </w:footnote>
  <w:footnote w:id="20">
    <w:p w14:paraId="35D4AFB6" w14:textId="77777777" w:rsidR="00D57777" w:rsidRDefault="00D57777" w:rsidP="008D44A0">
      <w:pPr>
        <w:pStyle w:val="Textpoznpodarou"/>
        <w:spacing w:after="0"/>
        <w:ind w:left="284" w:hanging="284"/>
      </w:pPr>
      <w:r>
        <w:rPr>
          <w:rStyle w:val="Znakapoznpodarou"/>
        </w:rPr>
        <w:footnoteRef/>
      </w:r>
      <w:r>
        <w:t xml:space="preserve"> </w:t>
      </w:r>
      <w:r>
        <w:tab/>
        <w:t>Depeše slouží primárně k obecné komunikaci mezi poskytovatelem a žadatelem/příjemcem podpory.</w:t>
      </w:r>
    </w:p>
  </w:footnote>
  <w:footnote w:id="21">
    <w:p w14:paraId="3B65997B" w14:textId="5E8E67C8" w:rsidR="00D57777" w:rsidRDefault="00D57777" w:rsidP="008D44A0">
      <w:pPr>
        <w:pStyle w:val="Textpoznpodarou"/>
        <w:spacing w:after="0"/>
        <w:ind w:left="284" w:hanging="284"/>
        <w:jc w:val="both"/>
      </w:pPr>
      <w:r>
        <w:rPr>
          <w:rStyle w:val="Znakapoznpodarou"/>
        </w:rPr>
        <w:footnoteRef/>
      </w:r>
      <w:r>
        <w:t xml:space="preserve"> </w:t>
      </w:r>
      <w:r>
        <w:tab/>
        <w:t xml:space="preserve">V </w:t>
      </w:r>
      <w:r w:rsidRPr="008E7F51">
        <w:rPr>
          <w:i/>
        </w:rPr>
        <w:t>Metodickém pokynu pro výkon kontrol v odpovědnosti řídicích orgánů při implementaci Evropských strukturálních a investičních fondů pro období 2014–2020</w:t>
      </w:r>
      <w:r>
        <w:t xml:space="preserve"> je v bodě 2.13 uvedeno, že: „</w:t>
      </w:r>
      <w:r>
        <w:rPr>
          <w:i/>
        </w:rPr>
        <w:t>s</w:t>
      </w:r>
      <w:r w:rsidRPr="008E7F51">
        <w:rPr>
          <w:i/>
        </w:rPr>
        <w:t xml:space="preserve">tavy </w:t>
      </w:r>
      <w:proofErr w:type="spellStart"/>
      <w:r w:rsidRPr="008E7F51">
        <w:rPr>
          <w:i/>
        </w:rPr>
        <w:t>workflow</w:t>
      </w:r>
      <w:proofErr w:type="spellEnd"/>
      <w:r w:rsidRPr="008E7F51">
        <w:rPr>
          <w:i/>
        </w:rPr>
        <w:t xml:space="preserve"> kontroly nemusí odpovídat skutečnému stavu kontroly. Například v monitorovacím systému může být kontrola evidována ve stavu zahájena, ale ve skutečnosti může být již ukončena</w:t>
      </w:r>
      <w:r>
        <w:t>.“</w:t>
      </w:r>
    </w:p>
  </w:footnote>
  <w:footnote w:id="22">
    <w:p w14:paraId="43BDDEA6" w14:textId="21B6F654" w:rsidR="00D57777" w:rsidRPr="00A96AC6" w:rsidRDefault="00D57777" w:rsidP="008D44A0">
      <w:pPr>
        <w:pStyle w:val="Textpoznpodarou"/>
        <w:spacing w:after="0"/>
        <w:ind w:left="284" w:hanging="284"/>
        <w:jc w:val="both"/>
      </w:pPr>
      <w:r w:rsidRPr="00A96AC6">
        <w:rPr>
          <w:rStyle w:val="Znakapoznpodarou"/>
        </w:rPr>
        <w:footnoteRef/>
      </w:r>
      <w:r>
        <w:t> </w:t>
      </w:r>
      <w:r>
        <w:tab/>
      </w:r>
      <w:r w:rsidRPr="00A96AC6">
        <w:t xml:space="preserve">Kontrolní akce </w:t>
      </w:r>
      <w:r>
        <w:t xml:space="preserve">NKÚ </w:t>
      </w:r>
      <w:r w:rsidRPr="00A96AC6">
        <w:t>č. 12/19</w:t>
      </w:r>
      <w:r>
        <w:t xml:space="preserve"> –</w:t>
      </w:r>
      <w:r w:rsidRPr="00A96AC6">
        <w:t xml:space="preserve"> </w:t>
      </w:r>
      <w:r w:rsidRPr="00F40141">
        <w:t>Peněžní prostředky určené na realizaci operačního programu</w:t>
      </w:r>
      <w:r w:rsidRPr="008E7F51">
        <w:rPr>
          <w:i/>
        </w:rPr>
        <w:t xml:space="preserve"> Lidské zdroje a zaměstnanost</w:t>
      </w:r>
      <w:r w:rsidRPr="00A96AC6">
        <w:t>.</w:t>
      </w:r>
    </w:p>
  </w:footnote>
  <w:footnote w:id="23">
    <w:p w14:paraId="66134D69" w14:textId="77777777" w:rsidR="00D57777" w:rsidRPr="00A96AC6" w:rsidRDefault="00D57777" w:rsidP="008D44A0">
      <w:pPr>
        <w:pStyle w:val="Textpoznpodarou"/>
        <w:spacing w:after="0"/>
        <w:ind w:left="284" w:hanging="284"/>
        <w:jc w:val="both"/>
      </w:pPr>
      <w:r w:rsidRPr="005407F1">
        <w:rPr>
          <w:rStyle w:val="Znakapoznpodarou"/>
        </w:rPr>
        <w:footnoteRef/>
      </w:r>
      <w:r w:rsidRPr="005407F1">
        <w:t xml:space="preserve"> </w:t>
      </w:r>
      <w:r>
        <w:tab/>
      </w:r>
      <w:r w:rsidRPr="005407F1">
        <w:t>Informační systém CEDR (</w:t>
      </w:r>
      <w:r w:rsidRPr="008E7F51">
        <w:rPr>
          <w:i/>
        </w:rPr>
        <w:t>Centrální evidence dotací z rozpočtu</w:t>
      </w:r>
      <w:r w:rsidRPr="005407F1">
        <w:t>) slouží jako podpůrný nástroj pro sledování, evidenci, vyhodnocení a kontrolu dotací, návratných finančních výpomocí a obdobných transferů poskytovaných ze státního rozpočtu, prostředků EU a dalších finančních mechanismů.</w:t>
      </w:r>
    </w:p>
  </w:footnote>
  <w:footnote w:id="24">
    <w:p w14:paraId="0D8D9D73" w14:textId="77777777" w:rsidR="00D57777" w:rsidRPr="00A96AC6" w:rsidRDefault="00D57777" w:rsidP="008D44A0">
      <w:pPr>
        <w:pStyle w:val="Textpoznpodarou"/>
        <w:spacing w:after="0"/>
        <w:ind w:left="284" w:hanging="284"/>
        <w:jc w:val="both"/>
      </w:pPr>
      <w:r w:rsidRPr="00A96AC6">
        <w:rPr>
          <w:rStyle w:val="Znakapoznpodarou"/>
        </w:rPr>
        <w:footnoteRef/>
      </w:r>
      <w:r w:rsidRPr="00A96AC6">
        <w:t xml:space="preserve"> </w:t>
      </w:r>
      <w:r>
        <w:tab/>
      </w:r>
      <w:r w:rsidRPr="00A96AC6">
        <w:t xml:space="preserve">Ustanovení § 75b zákona č. 218/2000 Sb., </w:t>
      </w:r>
      <w:r>
        <w:t>o rozpočtových pravidlech a o změně některých souvisejících zákonů (rozpočtová pravidla),</w:t>
      </w:r>
      <w:r w:rsidRPr="00A96AC6">
        <w:t xml:space="preserve"> a ustanovení § 3 odst. 1 a 2 vyhlášky č. 286/2007 Sb., o centrální evidenci dotací.</w:t>
      </w:r>
    </w:p>
  </w:footnote>
  <w:footnote w:id="25">
    <w:p w14:paraId="0CDDF243" w14:textId="77777777" w:rsidR="00D57777" w:rsidRDefault="00D57777" w:rsidP="008D44A0">
      <w:pPr>
        <w:pStyle w:val="Textpoznpodarou"/>
        <w:spacing w:after="0"/>
        <w:ind w:left="284" w:hanging="284"/>
      </w:pPr>
      <w:r>
        <w:rPr>
          <w:rStyle w:val="Znakapoznpodarou"/>
        </w:rPr>
        <w:footnoteRef/>
      </w:r>
      <w:r>
        <w:t xml:space="preserve"> </w:t>
      </w:r>
      <w:r>
        <w:tab/>
        <w:t>Zákon č. 435/2004 Sb., o zaměstnanosti.</w:t>
      </w:r>
    </w:p>
  </w:footnote>
  <w:footnote w:id="26">
    <w:p w14:paraId="39A3B1A2" w14:textId="7D08076A" w:rsidR="00D57777" w:rsidRDefault="00D57777" w:rsidP="008D44A0">
      <w:pPr>
        <w:pStyle w:val="Textpoznpodarou"/>
        <w:spacing w:after="0"/>
        <w:ind w:left="284" w:hanging="284"/>
        <w:jc w:val="both"/>
      </w:pPr>
      <w:r>
        <w:rPr>
          <w:rStyle w:val="Znakapoznpodarou"/>
        </w:rPr>
        <w:footnoteRef/>
      </w:r>
      <w:r>
        <w:t xml:space="preserve"> </w:t>
      </w:r>
      <w:r>
        <w:tab/>
        <w:t xml:space="preserve">Na základě </w:t>
      </w:r>
      <w:r w:rsidRPr="008E7F51">
        <w:rPr>
          <w:i/>
        </w:rPr>
        <w:t>dohody o spolupráci při realizaci operačních programů</w:t>
      </w:r>
      <w:r w:rsidRPr="00AA4F8D">
        <w:t xml:space="preserve"> z </w:t>
      </w:r>
      <w:r>
        <w:t xml:space="preserve">23. 10. 2015. </w:t>
      </w:r>
      <w:r w:rsidRPr="00AA4F8D">
        <w:t xml:space="preserve">Dohoda navazuje na předcházející </w:t>
      </w:r>
      <w:r>
        <w:t>m</w:t>
      </w:r>
      <w:r w:rsidRPr="00AA4F8D">
        <w:t>emorandum o spolupráci při přípravě a budoucí realizaci operačních programů.</w:t>
      </w:r>
    </w:p>
  </w:footnote>
  <w:footnote w:id="27">
    <w:p w14:paraId="57E25DA8" w14:textId="5B2CC240" w:rsidR="00D57777" w:rsidRPr="005407F1" w:rsidRDefault="00D57777" w:rsidP="008D44A0">
      <w:pPr>
        <w:pStyle w:val="Textpoznpodarou"/>
        <w:spacing w:after="0"/>
        <w:ind w:left="284" w:hanging="284"/>
        <w:rPr>
          <w:szCs w:val="24"/>
        </w:rPr>
      </w:pPr>
      <w:r w:rsidRPr="005407F1">
        <w:rPr>
          <w:rStyle w:val="Znakapoznpodarou"/>
          <w:szCs w:val="24"/>
        </w:rPr>
        <w:footnoteRef/>
      </w:r>
      <w:r w:rsidRPr="005407F1">
        <w:rPr>
          <w:szCs w:val="24"/>
        </w:rPr>
        <w:t xml:space="preserve"> </w:t>
      </w:r>
      <w:r>
        <w:rPr>
          <w:szCs w:val="24"/>
        </w:rPr>
        <w:tab/>
      </w:r>
      <w:r w:rsidRPr="005407F1">
        <w:rPr>
          <w:szCs w:val="24"/>
        </w:rPr>
        <w:t>Prosi</w:t>
      </w:r>
      <w:r>
        <w:rPr>
          <w:szCs w:val="24"/>
        </w:rPr>
        <w:t xml:space="preserve">nec 2014 až únor 2015; září 2016 až </w:t>
      </w:r>
      <w:r w:rsidRPr="005407F1">
        <w:rPr>
          <w:szCs w:val="24"/>
        </w:rPr>
        <w:t>únor 2017.</w:t>
      </w:r>
    </w:p>
  </w:footnote>
  <w:footnote w:id="28">
    <w:p w14:paraId="222FCCA7" w14:textId="77777777" w:rsidR="00D57777" w:rsidRDefault="00D57777" w:rsidP="008D44A0">
      <w:pPr>
        <w:spacing w:after="0"/>
        <w:ind w:left="284" w:hanging="284"/>
        <w:jc w:val="both"/>
      </w:pPr>
      <w:r w:rsidRPr="005407F1">
        <w:rPr>
          <w:rStyle w:val="Znakapoznpodarou"/>
          <w:sz w:val="20"/>
        </w:rPr>
        <w:footnoteRef/>
      </w:r>
      <w:r w:rsidRPr="005407F1">
        <w:rPr>
          <w:sz w:val="20"/>
        </w:rPr>
        <w:t xml:space="preserve"> </w:t>
      </w:r>
      <w:r>
        <w:rPr>
          <w:sz w:val="20"/>
        </w:rPr>
        <w:tab/>
      </w:r>
      <w:r w:rsidRPr="005407F1">
        <w:rPr>
          <w:sz w:val="20"/>
        </w:rPr>
        <w:t>Definice indikátoru byla následující: „</w:t>
      </w:r>
      <w:r w:rsidRPr="005407F1">
        <w:rPr>
          <w:i/>
          <w:sz w:val="20"/>
        </w:rPr>
        <w:t>Celkový počet osob/účastníků (zaměstnanců, pracovníků implementační struktury, osob cílových skupin apod.), které v rámci projektu získaly jakoukoliv formu podpory, bez ohledu na počet poskytnutých podpor. Každá podpořená osoba se v rámci projektu započítává pouze jednou bez ohledu na to, kolik podpor obdržela. Podpora je jakákoliv aktivita financovaná z rozpočtu projektu, ze které mají cílové skupiny prospěch, podpora může mít formu např. vzdělávacího nebo rekvalifikačního kurzu, stáže, odborné konzultace, poradenství, výcviku, školení, odborné praxe apod.</w:t>
      </w:r>
      <w:r w:rsidRPr="005407F1">
        <w:rPr>
          <w:sz w:val="20"/>
        </w:rPr>
        <w:t>“</w:t>
      </w:r>
    </w:p>
  </w:footnote>
  <w:footnote w:id="29">
    <w:p w14:paraId="1ECAD53F" w14:textId="77777777" w:rsidR="00D57777" w:rsidRDefault="00D57777" w:rsidP="008D44A0">
      <w:pPr>
        <w:pStyle w:val="Textpoznpodarou"/>
        <w:spacing w:after="0"/>
        <w:ind w:left="284" w:hanging="284"/>
        <w:jc w:val="both"/>
      </w:pPr>
      <w:r>
        <w:rPr>
          <w:rStyle w:val="Znakapoznpodarou"/>
        </w:rPr>
        <w:footnoteRef/>
      </w:r>
      <w:r>
        <w:t> </w:t>
      </w:r>
      <w:r>
        <w:tab/>
        <w:t>Pro snazší identifikaci zvolilo u podpor na dobu neurčitou hodnotu 99 měsíců jako počet, který není zaměnitelný s hodnotou na dobu určitou. 174 hodin byl měsíční fond pracovní doby.</w:t>
      </w:r>
    </w:p>
  </w:footnote>
  <w:footnote w:id="30">
    <w:p w14:paraId="66639CAA" w14:textId="77777777" w:rsidR="00D57777" w:rsidRDefault="00D57777" w:rsidP="008D44A0">
      <w:pPr>
        <w:pStyle w:val="Textpoznpodarou"/>
        <w:spacing w:after="0"/>
        <w:ind w:left="284" w:hanging="284"/>
      </w:pPr>
      <w:r>
        <w:rPr>
          <w:rStyle w:val="Znakapoznpodarou"/>
        </w:rPr>
        <w:footnoteRef/>
      </w:r>
      <w:r>
        <w:t xml:space="preserve"> </w:t>
      </w:r>
      <w:r>
        <w:tab/>
        <w:t xml:space="preserve">Výzva č. 15_004 </w:t>
      </w:r>
      <w:r w:rsidRPr="008E7F51">
        <w:rPr>
          <w:i/>
        </w:rPr>
        <w:t>Záruky pro mladé</w:t>
      </w:r>
      <w:r>
        <w:t xml:space="preserve"> ze dne 8. 6. 2015.</w:t>
      </w:r>
    </w:p>
  </w:footnote>
  <w:footnote w:id="31">
    <w:p w14:paraId="167E0A3D" w14:textId="7B1B511A" w:rsidR="00D57777" w:rsidRDefault="00D57777" w:rsidP="008D44A0">
      <w:pPr>
        <w:pStyle w:val="Textpoznpodarou"/>
        <w:spacing w:after="0"/>
        <w:ind w:left="284" w:hanging="284"/>
      </w:pPr>
      <w:r>
        <w:rPr>
          <w:rStyle w:val="Znakapoznpodarou"/>
        </w:rPr>
        <w:footnoteRef/>
      </w:r>
      <w:r>
        <w:t xml:space="preserve"> </w:t>
      </w:r>
      <w:r>
        <w:tab/>
      </w:r>
      <w:r w:rsidRPr="008E7F51">
        <w:rPr>
          <w:i/>
        </w:rPr>
        <w:t>Strategická evaluace OPZ I – relevance – Závěrečná zpráva</w:t>
      </w:r>
      <w:r>
        <w:t xml:space="preserve">, datum 30. 3. 2017. </w:t>
      </w:r>
    </w:p>
  </w:footnote>
  <w:footnote w:id="32">
    <w:p w14:paraId="7C5B8FE3" w14:textId="7F421419" w:rsidR="00D57777" w:rsidRDefault="00D57777" w:rsidP="008D44A0">
      <w:pPr>
        <w:pStyle w:val="Textpoznpodarou"/>
        <w:spacing w:after="0"/>
        <w:ind w:left="284" w:hanging="284"/>
        <w:jc w:val="both"/>
      </w:pPr>
      <w:r>
        <w:rPr>
          <w:rStyle w:val="Znakapoznpodarou"/>
        </w:rPr>
        <w:footnoteRef/>
      </w:r>
      <w:r>
        <w:tab/>
      </w:r>
      <w:r w:rsidRPr="00A216B2">
        <w:t xml:space="preserve">Specifický cíl 1.1.1: </w:t>
      </w:r>
      <w:r w:rsidRPr="008E7F51">
        <w:rPr>
          <w:i/>
        </w:rPr>
        <w:t xml:space="preserve">Zvýšit zaměstnanost podpořených osob, zejména starších, </w:t>
      </w:r>
      <w:proofErr w:type="spellStart"/>
      <w:r w:rsidRPr="008E7F51">
        <w:rPr>
          <w:i/>
        </w:rPr>
        <w:t>nízkokvalifikovaných</w:t>
      </w:r>
      <w:proofErr w:type="spellEnd"/>
      <w:r w:rsidRPr="008E7F51">
        <w:rPr>
          <w:i/>
        </w:rPr>
        <w:t xml:space="preserve"> a znevýhodněných</w:t>
      </w:r>
      <w:r>
        <w:t>.</w:t>
      </w:r>
    </w:p>
  </w:footnote>
  <w:footnote w:id="33">
    <w:p w14:paraId="5FABED7A" w14:textId="77777777" w:rsidR="00D57777" w:rsidRDefault="00D57777" w:rsidP="008D44A0">
      <w:pPr>
        <w:pStyle w:val="Textpoznpodarou"/>
        <w:spacing w:after="0"/>
        <w:ind w:left="284" w:hanging="284"/>
      </w:pPr>
      <w:r>
        <w:rPr>
          <w:rStyle w:val="Znakapoznpodarou"/>
        </w:rPr>
        <w:footnoteRef/>
      </w:r>
      <w:r>
        <w:t xml:space="preserve"> </w:t>
      </w:r>
      <w:r>
        <w:tab/>
        <w:t>Výzva č. 15_004 vyhlášená dne 8. 6. 2015.</w:t>
      </w:r>
    </w:p>
  </w:footnote>
  <w:footnote w:id="34">
    <w:p w14:paraId="61C23E74" w14:textId="0D67C56A" w:rsidR="00D57777" w:rsidRDefault="00D57777" w:rsidP="008D44A0">
      <w:pPr>
        <w:pStyle w:val="Textpoznpodarou"/>
        <w:spacing w:after="0"/>
        <w:ind w:left="284" w:hanging="284"/>
        <w:jc w:val="both"/>
      </w:pPr>
      <w:r>
        <w:rPr>
          <w:rStyle w:val="Znakapoznpodarou"/>
        </w:rPr>
        <w:footnoteRef/>
      </w:r>
      <w:r>
        <w:t xml:space="preserve"> </w:t>
      </w:r>
      <w:r>
        <w:tab/>
      </w:r>
      <w:r w:rsidRPr="00367C6D">
        <w:t>Výzkumný ústav práce a sociálních věcí, v. v. i.</w:t>
      </w:r>
      <w:r>
        <w:t>:</w:t>
      </w:r>
      <w:r w:rsidRPr="00367C6D">
        <w:t xml:space="preserve"> </w:t>
      </w:r>
      <w:r w:rsidRPr="008E7F51">
        <w:rPr>
          <w:i/>
        </w:rPr>
        <w:t>Zhodnocení krátkodobých a střednědobých dopadů vybraných programů APZ realizovaných v roce 2014 s důrazem na situaci dlouhodobě nezaměstnaných</w:t>
      </w:r>
      <w:r w:rsidRPr="00367C6D">
        <w:t>. Praha</w:t>
      </w:r>
      <w:r>
        <w:t>,</w:t>
      </w:r>
      <w:r w:rsidRPr="00367C6D">
        <w:t xml:space="preserve"> VÚPSV 2018. ISBN 978-80-7416-336-4</w:t>
      </w:r>
      <w:r>
        <w:t>.</w:t>
      </w:r>
    </w:p>
  </w:footnote>
  <w:footnote w:id="35">
    <w:p w14:paraId="73E2DFE0" w14:textId="77777777" w:rsidR="00D57777" w:rsidRDefault="00D57777" w:rsidP="008D44A0">
      <w:pPr>
        <w:pStyle w:val="Textpoznpodarou"/>
        <w:spacing w:after="0"/>
        <w:ind w:left="284" w:hanging="284"/>
      </w:pPr>
      <w:r>
        <w:rPr>
          <w:rStyle w:val="Znakapoznpodarou"/>
        </w:rPr>
        <w:footnoteRef/>
      </w:r>
      <w:r>
        <w:t xml:space="preserve"> </w:t>
      </w:r>
      <w:r>
        <w:tab/>
      </w:r>
      <w:r w:rsidRPr="006A4B50">
        <w:rPr>
          <w:lang w:val="en-GB"/>
        </w:rPr>
        <w:t>Indicator Framework for Monitoring the Youth Guarantee</w:t>
      </w:r>
      <w:r>
        <w:t>.</w:t>
      </w:r>
    </w:p>
  </w:footnote>
  <w:footnote w:id="36">
    <w:p w14:paraId="61B37841" w14:textId="77777777" w:rsidR="00D57777" w:rsidRDefault="00D57777" w:rsidP="008D44A0">
      <w:pPr>
        <w:pStyle w:val="Textpoznpodarou"/>
        <w:spacing w:after="0"/>
        <w:ind w:left="284" w:hanging="284"/>
        <w:jc w:val="both"/>
      </w:pPr>
      <w:r>
        <w:rPr>
          <w:rStyle w:val="Znakapoznpodarou"/>
        </w:rPr>
        <w:footnoteRef/>
      </w:r>
      <w:r>
        <w:t xml:space="preserve"> </w:t>
      </w:r>
      <w:r>
        <w:tab/>
        <w:t>NKÚ pracoval se zprávami za roky 2014–2017. Požadované údaje o situaci účastníků programu po jeho opuštění měly členské státy uvádět od roku 2015.</w:t>
      </w:r>
    </w:p>
  </w:footnote>
  <w:footnote w:id="37">
    <w:p w14:paraId="3D193466" w14:textId="77777777" w:rsidR="00D57777" w:rsidRPr="00B479C8" w:rsidRDefault="00D57777" w:rsidP="008D44A0">
      <w:pPr>
        <w:pStyle w:val="Textpoznpodarou"/>
        <w:spacing w:after="0"/>
        <w:ind w:left="284" w:hanging="284"/>
        <w:jc w:val="both"/>
      </w:pPr>
      <w:r>
        <w:rPr>
          <w:rStyle w:val="Znakapoznpodarou"/>
        </w:rPr>
        <w:footnoteRef/>
      </w:r>
      <w:r>
        <w:t xml:space="preserve"> </w:t>
      </w:r>
      <w:r>
        <w:tab/>
      </w:r>
      <w:r w:rsidRPr="008E7F51">
        <w:rPr>
          <w:i/>
          <w:lang w:val="en-GB"/>
        </w:rPr>
        <w:t>Data collection for monitoring of Youth Guarantee schemes 2017 Country fiche: Czech Republic</w:t>
      </w:r>
      <w:r>
        <w:t>, prosinec 2018.</w:t>
      </w:r>
    </w:p>
  </w:footnote>
  <w:footnote w:id="38">
    <w:p w14:paraId="0AFBFE48" w14:textId="77777777" w:rsidR="00D57777" w:rsidRPr="00675F7F" w:rsidRDefault="00D57777" w:rsidP="008D44A0">
      <w:pPr>
        <w:pStyle w:val="Textpoznpodarou"/>
        <w:spacing w:after="0"/>
        <w:ind w:left="284" w:hanging="284"/>
        <w:jc w:val="both"/>
        <w:rPr>
          <w:rFonts w:cstheme="minorHAnsi"/>
        </w:rPr>
      </w:pPr>
      <w:r w:rsidRPr="00675F7F">
        <w:rPr>
          <w:rStyle w:val="Znakapoznpodarou"/>
          <w:rFonts w:cstheme="minorHAnsi"/>
        </w:rPr>
        <w:footnoteRef/>
      </w:r>
      <w:r w:rsidRPr="00675F7F">
        <w:rPr>
          <w:rFonts w:cstheme="minorHAnsi"/>
        </w:rPr>
        <w:t xml:space="preserve"> </w:t>
      </w:r>
      <w:r>
        <w:rPr>
          <w:rFonts w:cstheme="minorHAnsi"/>
        </w:rPr>
        <w:tab/>
      </w:r>
      <w:r w:rsidRPr="00675F7F">
        <w:rPr>
          <w:rFonts w:cstheme="minorHAnsi"/>
        </w:rPr>
        <w:t>Podle ustanovení § 20 odst. 1 písm. b) až d) zákona č. 435/2004 Sb., o zaměstnanosti, vhodným zaměstnáním, pokud tento zákon nestanoví jinak, je zaměstnání, jehož délka pracovní doby činí nejméně 80 % stanovené týdenní pracovní doby, které je sjednáno na dobu neurčitou, nebo na dobu určitou delší než 3 měsíce a které odpovídá zdravotní způsobilosti fyzické osoby a pokud možno její kvalifikaci, schopnostem, dosavadní délce doby zaměstnání, možnosti ubytování a dopravní dosažitelnosti zaměstnání.</w:t>
      </w:r>
    </w:p>
  </w:footnote>
  <w:footnote w:id="39">
    <w:p w14:paraId="0056BFBD" w14:textId="3E850112" w:rsidR="00D57777" w:rsidRPr="00C52F45" w:rsidRDefault="00D57777" w:rsidP="008D44A0">
      <w:pPr>
        <w:pStyle w:val="Textpoznpodarou"/>
        <w:spacing w:after="0"/>
        <w:ind w:left="284" w:hanging="284"/>
        <w:jc w:val="both"/>
      </w:pPr>
      <w:r>
        <w:rPr>
          <w:rStyle w:val="Znakapoznpodarou"/>
        </w:rPr>
        <w:footnoteRef/>
      </w:r>
      <w:r w:rsidRPr="00C52F45">
        <w:rPr>
          <w:rStyle w:val="Znakapoznpodarou"/>
        </w:rPr>
        <w:t xml:space="preserve"> </w:t>
      </w:r>
      <w:r>
        <w:tab/>
      </w:r>
      <w:r w:rsidRPr="00C52F45">
        <w:rPr>
          <w:rStyle w:val="Znakapoznpodarou"/>
          <w:vertAlign w:val="baseline"/>
        </w:rPr>
        <w:t>Informační systém ESF2014+ slouží zástupcům příjemců k evidenci podpořených osob a výpočtu indikátorů pro potřeby zpracování zpráv o realizaci projektu.</w:t>
      </w:r>
    </w:p>
  </w:footnote>
  <w:footnote w:id="40">
    <w:p w14:paraId="1B067640" w14:textId="77777777" w:rsidR="00D57777" w:rsidRDefault="00D57777" w:rsidP="008D44A0">
      <w:pPr>
        <w:pStyle w:val="Textpoznpodarou"/>
        <w:spacing w:after="0"/>
        <w:ind w:left="284" w:hanging="284"/>
        <w:jc w:val="both"/>
      </w:pPr>
      <w:r>
        <w:rPr>
          <w:rStyle w:val="Znakapoznpodarou"/>
        </w:rPr>
        <w:footnoteRef/>
      </w:r>
      <w:r>
        <w:t xml:space="preserve"> </w:t>
      </w:r>
      <w:r>
        <w:tab/>
      </w:r>
      <w:r w:rsidRPr="002F781B">
        <w:t>V rámci projektů pod touto výzvou nesmí docházet k duplicitě s projekty ÚP (zařazení stejných osob do stejných nebo podobných aktivit).</w:t>
      </w:r>
    </w:p>
  </w:footnote>
  <w:footnote w:id="41">
    <w:p w14:paraId="61F33EC1" w14:textId="7710EC54" w:rsidR="00D57777" w:rsidRDefault="00D57777" w:rsidP="008D44A0">
      <w:pPr>
        <w:pStyle w:val="Textpoznpodarou"/>
        <w:spacing w:after="0"/>
        <w:ind w:left="284" w:hanging="284"/>
        <w:jc w:val="both"/>
      </w:pPr>
      <w:r>
        <w:rPr>
          <w:rStyle w:val="Znakapoznpodarou"/>
        </w:rPr>
        <w:footnoteRef/>
      </w:r>
      <w:r>
        <w:t xml:space="preserve"> </w:t>
      </w:r>
      <w:r>
        <w:tab/>
        <w:t xml:space="preserve">Kontrola tohoto typu je účinná </w:t>
      </w:r>
      <w:r w:rsidRPr="00EB144F">
        <w:t>v případě duplicitního zapojení téže osoby ve dvou projektech ÚP a</w:t>
      </w:r>
      <w:r>
        <w:t> </w:t>
      </w:r>
      <w:r w:rsidRPr="00EB144F">
        <w:t>v</w:t>
      </w:r>
      <w:r>
        <w:t> </w:t>
      </w:r>
      <w:r w:rsidRPr="00EB144F">
        <w:t xml:space="preserve">případech, kdy příjemce požádá ÚP o informaci o zapojení osoby v jeho projektech. </w:t>
      </w:r>
      <w:r>
        <w:t xml:space="preserve">Neúčinná je naopak při zapojení osoby ve více projektech jiných žadatelů, než je ÚP, nebo pokud osoba vstupuje do projektu ÚP až jako do druhého projektu v pořadí. </w:t>
      </w:r>
    </w:p>
  </w:footnote>
  <w:footnote w:id="42">
    <w:p w14:paraId="4BBB619B" w14:textId="396B6FDF" w:rsidR="00D57777" w:rsidRDefault="00D57777" w:rsidP="008D44A0">
      <w:pPr>
        <w:pStyle w:val="Textpoznpodarou"/>
        <w:spacing w:after="0"/>
        <w:ind w:left="284" w:hanging="284"/>
        <w:jc w:val="both"/>
      </w:pPr>
      <w:r>
        <w:rPr>
          <w:rStyle w:val="Znakapoznpodarou"/>
        </w:rPr>
        <w:footnoteRef/>
      </w:r>
      <w:r>
        <w:t xml:space="preserve"> </w:t>
      </w:r>
      <w:r>
        <w:tab/>
        <w:t xml:space="preserve">Výzvy č. 03_15_004 k předkládání projektů v rámci </w:t>
      </w:r>
      <w:r w:rsidRPr="008E7F51">
        <w:rPr>
          <w:i/>
        </w:rPr>
        <w:t>Záruk pro mladé</w:t>
      </w:r>
      <w:r>
        <w:t xml:space="preserve"> a č. 03_15_003 pro projekty </w:t>
      </w:r>
      <w:r w:rsidRPr="008E7F51">
        <w:rPr>
          <w:i/>
        </w:rPr>
        <w:t>Iniciativy na podporu zaměstnanosti mládeže</w:t>
      </w:r>
      <w:r>
        <w:t xml:space="preserve">. </w:t>
      </w:r>
    </w:p>
  </w:footnote>
  <w:footnote w:id="43">
    <w:p w14:paraId="6E9C5BEF" w14:textId="77777777" w:rsidR="00D57777" w:rsidRDefault="00D57777" w:rsidP="008D44A0">
      <w:pPr>
        <w:pStyle w:val="Textpoznpodarou"/>
        <w:spacing w:after="0"/>
        <w:ind w:left="284" w:hanging="284"/>
        <w:jc w:val="both"/>
      </w:pPr>
      <w:r>
        <w:rPr>
          <w:rStyle w:val="Znakapoznpodarou"/>
        </w:rPr>
        <w:footnoteRef/>
      </w:r>
      <w:r>
        <w:t xml:space="preserve"> </w:t>
      </w:r>
      <w:r>
        <w:tab/>
        <w:t xml:space="preserve">Výzva č. 03_15_116 k předkládání projektů v rámci </w:t>
      </w:r>
      <w:r w:rsidRPr="008E7F51">
        <w:rPr>
          <w:i/>
        </w:rPr>
        <w:t>Iniciativy na podporu zaměstnanosti mládeže</w:t>
      </w:r>
      <w:r>
        <w:t>.</w:t>
      </w:r>
    </w:p>
  </w:footnote>
  <w:footnote w:id="44">
    <w:p w14:paraId="7F7FDDDA" w14:textId="77777777" w:rsidR="00D57777" w:rsidRDefault="00D57777" w:rsidP="005407F1">
      <w:pPr>
        <w:pStyle w:val="Textpoznpodarou"/>
        <w:spacing w:after="0"/>
        <w:ind w:left="284" w:hanging="284"/>
        <w:jc w:val="both"/>
      </w:pPr>
      <w:r>
        <w:rPr>
          <w:rStyle w:val="Znakapoznpodarou"/>
        </w:rPr>
        <w:footnoteRef/>
      </w:r>
      <w:r>
        <w:t xml:space="preserve"> </w:t>
      </w:r>
      <w:r>
        <w:tab/>
        <w:t>Zákon č. 435/2004 Sb., o zaměstnanosti.</w:t>
      </w:r>
    </w:p>
  </w:footnote>
  <w:footnote w:id="45">
    <w:p w14:paraId="676EE21D" w14:textId="1E36009F" w:rsidR="00D57777" w:rsidRDefault="00D57777" w:rsidP="005407F1">
      <w:pPr>
        <w:spacing w:after="0"/>
        <w:ind w:left="284" w:hanging="284"/>
        <w:jc w:val="both"/>
      </w:pPr>
      <w:r>
        <w:rPr>
          <w:rStyle w:val="Znakapoznpodarou"/>
          <w:sz w:val="20"/>
          <w:szCs w:val="20"/>
        </w:rPr>
        <w:footnoteRef/>
      </w:r>
      <w:r>
        <w:rPr>
          <w:sz w:val="20"/>
          <w:szCs w:val="20"/>
        </w:rPr>
        <w:t xml:space="preserve"> </w:t>
      </w:r>
      <w:r>
        <w:rPr>
          <w:sz w:val="20"/>
          <w:szCs w:val="20"/>
        </w:rPr>
        <w:tab/>
        <w:t xml:space="preserve">Finanční gramotnost, pracovněprávní minimum apod. </w:t>
      </w:r>
    </w:p>
  </w:footnote>
  <w:footnote w:id="46">
    <w:p w14:paraId="23E55E5C" w14:textId="72567B8C" w:rsidR="00D57777" w:rsidRDefault="00D57777" w:rsidP="008D44A0">
      <w:pPr>
        <w:pStyle w:val="Textpoznpodarou"/>
        <w:spacing w:after="0"/>
        <w:ind w:left="284" w:hanging="284"/>
        <w:jc w:val="both"/>
      </w:pPr>
      <w:r>
        <w:rPr>
          <w:rStyle w:val="Znakapoznpodarou"/>
        </w:rPr>
        <w:footnoteRef/>
      </w:r>
      <w:r>
        <w:t xml:space="preserve"> </w:t>
      </w:r>
      <w:r>
        <w:tab/>
        <w:t>Popis klíčové aktivity mimo dalšího uvádí: „</w:t>
      </w:r>
      <w:r w:rsidRPr="00694460">
        <w:rPr>
          <w:i/>
        </w:rPr>
        <w:t xml:space="preserve">Ve spolupráci klient </w:t>
      </w:r>
      <w:r>
        <w:rPr>
          <w:i/>
        </w:rPr>
        <w:t>–</w:t>
      </w:r>
      <w:r w:rsidRPr="00694460">
        <w:rPr>
          <w:i/>
        </w:rPr>
        <w:t xml:space="preserve"> osobní poradce dojde ke zmapování jednak zájmu jednotlivých klientů o případné odborné či rekvalifikační vzdělání a </w:t>
      </w:r>
      <w:r>
        <w:rPr>
          <w:i/>
        </w:rPr>
        <w:t>jednak potřeb tohoto vzdělání u </w:t>
      </w:r>
      <w:r w:rsidRPr="00694460">
        <w:rPr>
          <w:i/>
        </w:rPr>
        <w:t>jednotlivých klientů. Na základě tohoto zmapování budou následně urč</w:t>
      </w:r>
      <w:r>
        <w:rPr>
          <w:i/>
        </w:rPr>
        <w:t>eny optimální kurzy odborného a </w:t>
      </w:r>
      <w:r w:rsidRPr="00694460">
        <w:rPr>
          <w:i/>
        </w:rPr>
        <w:t>rekvalifikačního vzdělávání s ohledem na míru zájmu klientů, optimální velikost studijních skupin, regionální složení zájemců a rozpočtové možnosti projektu.</w:t>
      </w:r>
      <w:r>
        <w:t>“</w:t>
      </w:r>
    </w:p>
  </w:footnote>
  <w:footnote w:id="47">
    <w:p w14:paraId="3161B183" w14:textId="77777777" w:rsidR="00D57777" w:rsidRDefault="00D57777" w:rsidP="008D44A0">
      <w:pPr>
        <w:pStyle w:val="Textpoznpodarou"/>
        <w:spacing w:after="0"/>
        <w:ind w:left="284" w:hanging="284"/>
      </w:pPr>
      <w:r>
        <w:rPr>
          <w:rStyle w:val="Znakapoznpodarou"/>
        </w:rPr>
        <w:footnoteRef/>
      </w:r>
      <w:r>
        <w:t xml:space="preserve"> </w:t>
      </w:r>
      <w:r>
        <w:tab/>
        <w:t xml:space="preserve">V omezeném rozsahu též informace o problematice bezdomovectví a o rizicích spojených se závislostí. </w:t>
      </w:r>
    </w:p>
  </w:footnote>
  <w:footnote w:id="48">
    <w:p w14:paraId="0BE3AA03" w14:textId="1C97509B" w:rsidR="00D57777" w:rsidRDefault="00D57777" w:rsidP="008D44A0">
      <w:pPr>
        <w:pStyle w:val="Textpoznpodarou"/>
        <w:spacing w:after="0"/>
        <w:ind w:left="284" w:hanging="284"/>
        <w:jc w:val="both"/>
      </w:pPr>
      <w:r>
        <w:rPr>
          <w:rStyle w:val="Znakapoznpodarou"/>
        </w:rPr>
        <w:footnoteRef/>
      </w:r>
      <w:r>
        <w:t xml:space="preserve"> </w:t>
      </w:r>
      <w:r>
        <w:tab/>
        <w:t xml:space="preserve">Výzkumný ústav práce a sociálních věcí, v. v. i.: </w:t>
      </w:r>
      <w:r w:rsidRPr="008E7F51">
        <w:rPr>
          <w:i/>
        </w:rPr>
        <w:t>Realizace vybraných programů aktivní politiky zaměstnanosti a hodnocení jejich efektivity a účinnosti perspektivou zaměstnanců ÚP ČR v roce 2017, Dílčí podkladová studie I</w:t>
      </w:r>
      <w:r>
        <w:t>. Praha, VÚPSV 2019. ISBN 978-80-7416-338-8.</w:t>
      </w:r>
    </w:p>
  </w:footnote>
  <w:footnote w:id="49">
    <w:p w14:paraId="37FDEA24" w14:textId="46A7A609" w:rsidR="00D57777" w:rsidRPr="008E7F51" w:rsidRDefault="00D57777" w:rsidP="008D44A0">
      <w:pPr>
        <w:pStyle w:val="Textpoznpodarou"/>
        <w:spacing w:after="0"/>
        <w:ind w:left="284" w:hanging="284"/>
        <w:jc w:val="both"/>
      </w:pPr>
      <w:r w:rsidRPr="005407F1">
        <w:rPr>
          <w:rStyle w:val="Znakapoznpodarou"/>
        </w:rPr>
        <w:footnoteRef/>
      </w:r>
      <w:r w:rsidRPr="005407F1">
        <w:t xml:space="preserve"> </w:t>
      </w:r>
      <w:r>
        <w:tab/>
      </w:r>
      <w:r w:rsidRPr="005407F1">
        <w:t xml:space="preserve">Pracovník zaměstnavatele, který je pověřen zaškolením a zapracováním účastníka v rámci </w:t>
      </w:r>
      <w:r>
        <w:rPr>
          <w:i/>
        </w:rPr>
        <w:t>o</w:t>
      </w:r>
      <w:r w:rsidRPr="005407F1">
        <w:rPr>
          <w:i/>
        </w:rPr>
        <w:t xml:space="preserve">dborné praxe </w:t>
      </w:r>
      <w:r w:rsidRPr="005407F1">
        <w:t>na</w:t>
      </w:r>
      <w:r>
        <w:t> </w:t>
      </w:r>
      <w:r w:rsidRPr="005407F1">
        <w:t>SÚPM.</w:t>
      </w:r>
    </w:p>
  </w:footnote>
  <w:footnote w:id="50">
    <w:p w14:paraId="230C31A2" w14:textId="6C67C4F3" w:rsidR="00D57777" w:rsidRPr="008D44A0" w:rsidRDefault="00D57777" w:rsidP="008D44A0">
      <w:pPr>
        <w:pStyle w:val="Textpoznpodarou"/>
        <w:spacing w:after="0"/>
        <w:ind w:left="284" w:hanging="284"/>
        <w:jc w:val="both"/>
        <w:rPr>
          <w:rFonts w:cstheme="minorHAnsi"/>
        </w:rPr>
      </w:pPr>
      <w:r w:rsidRPr="005407F1">
        <w:rPr>
          <w:rStyle w:val="Znakapoznpodarou"/>
        </w:rPr>
        <w:footnoteRef/>
      </w:r>
      <w:r w:rsidRPr="005407F1">
        <w:t xml:space="preserve"> </w:t>
      </w:r>
      <w:r w:rsidRPr="005407F1">
        <w:tab/>
      </w:r>
      <w:r>
        <w:t xml:space="preserve">Viz: </w:t>
      </w:r>
      <w:hyperlink r:id="rId3" w:history="1">
        <w:r w:rsidRPr="005407F1">
          <w:rPr>
            <w:rFonts w:cstheme="minorHAnsi"/>
            <w:color w:val="0000FF"/>
            <w:u w:val="single"/>
          </w:rPr>
          <w:t>https://www.vupsv.cz/2019/04/17/nova-publikace-vupsv-19/</w:t>
        </w:r>
      </w:hyperlink>
      <w:r w:rsidRPr="00A34E3B">
        <w:rPr>
          <w:rFonts w:cstheme="minorHAnsi"/>
        </w:rPr>
        <w:t>.</w:t>
      </w:r>
    </w:p>
  </w:footnote>
  <w:footnote w:id="51">
    <w:p w14:paraId="25D8E36D" w14:textId="77777777" w:rsidR="00D57777" w:rsidRPr="00F511BB" w:rsidRDefault="00D57777" w:rsidP="008D44A0">
      <w:pPr>
        <w:spacing w:after="0"/>
        <w:ind w:left="284" w:hanging="284"/>
        <w:jc w:val="both"/>
        <w:rPr>
          <w:rFonts w:cstheme="minorHAnsi"/>
          <w:sz w:val="20"/>
          <w:szCs w:val="20"/>
        </w:rPr>
      </w:pPr>
      <w:r w:rsidRPr="005407F1">
        <w:rPr>
          <w:rStyle w:val="Znakapoznpodarou"/>
          <w:sz w:val="20"/>
          <w:szCs w:val="20"/>
        </w:rPr>
        <w:footnoteRef/>
      </w:r>
      <w:r w:rsidRPr="005407F1">
        <w:rPr>
          <w:sz w:val="20"/>
          <w:szCs w:val="20"/>
        </w:rPr>
        <w:t xml:space="preserve"> </w:t>
      </w:r>
      <w:r w:rsidRPr="005407F1">
        <w:rPr>
          <w:sz w:val="20"/>
          <w:szCs w:val="20"/>
        </w:rPr>
        <w:tab/>
        <w:t>Studie VÚPS poukazuje na straně 22 kapitoly Motivace uchazeče k zaměstnání na používanou praxi Úřadu práce, která vyplynula z </w:t>
      </w:r>
      <w:proofErr w:type="spellStart"/>
      <w:r w:rsidRPr="005407F1">
        <w:rPr>
          <w:sz w:val="20"/>
          <w:szCs w:val="20"/>
        </w:rPr>
        <w:t>fokusních</w:t>
      </w:r>
      <w:proofErr w:type="spellEnd"/>
      <w:r w:rsidRPr="005407F1">
        <w:rPr>
          <w:sz w:val="20"/>
          <w:szCs w:val="20"/>
        </w:rPr>
        <w:t xml:space="preserve"> rozhovorů s pracovníky ÚP. Cit.: </w:t>
      </w:r>
      <w:r w:rsidRPr="008E7F51">
        <w:rPr>
          <w:rFonts w:cstheme="minorHAnsi"/>
          <w:iCs/>
          <w:sz w:val="20"/>
          <w:szCs w:val="20"/>
        </w:rPr>
        <w:t>„</w:t>
      </w:r>
      <w:r w:rsidRPr="005407F1">
        <w:rPr>
          <w:rFonts w:cstheme="minorHAnsi"/>
          <w:i/>
          <w:iCs/>
          <w:sz w:val="20"/>
          <w:szCs w:val="20"/>
        </w:rPr>
        <w:t>…když se s nimi pracuje dlouhodobě, tak my jim říkáme: bude dobré, abyste si třeba našel zaměstnavatele ve svém okruhu, který by vás normálně</w:t>
      </w:r>
      <w:r w:rsidRPr="00F511BB">
        <w:rPr>
          <w:rFonts w:cstheme="minorHAnsi"/>
          <w:i/>
          <w:iCs/>
          <w:sz w:val="20"/>
          <w:szCs w:val="20"/>
        </w:rPr>
        <w:t xml:space="preserve"> nezaměstnal, protože ho to stojí zvýšené náklady a nemá je zakalkulované, ale třeba byste se mu hodil. Zkuste si oslovit příbuzné, známé, sousedy, kdo má firmu, že když by dostal příspěvek od úřadu práce, tak, že by vás třeba zaměstnal.</w:t>
      </w:r>
      <w:r w:rsidRPr="008E7F51">
        <w:rPr>
          <w:rFonts w:cstheme="minorHAnsi"/>
          <w:iCs/>
          <w:sz w:val="20"/>
          <w:szCs w:val="20"/>
        </w:rPr>
        <w:t>“</w:t>
      </w:r>
    </w:p>
    <w:p w14:paraId="0C99A2B2" w14:textId="77777777" w:rsidR="00D57777" w:rsidRPr="00AF5CA7" w:rsidRDefault="00D57777" w:rsidP="008D44A0">
      <w:pPr>
        <w:pStyle w:val="Textpoznpodarou"/>
        <w:spacing w:after="0"/>
        <w:ind w:left="284" w:hanging="284"/>
        <w:jc w:val="both"/>
      </w:pPr>
    </w:p>
  </w:footnote>
  <w:footnote w:id="52">
    <w:p w14:paraId="7D032ED2" w14:textId="77777777" w:rsidR="00D57777" w:rsidRDefault="00D57777" w:rsidP="008D44A0">
      <w:pPr>
        <w:pStyle w:val="Textpoznpodarou"/>
        <w:ind w:left="284" w:hanging="284"/>
        <w:jc w:val="both"/>
      </w:pPr>
      <w:r>
        <w:rPr>
          <w:rStyle w:val="Znakapoznpodarou"/>
        </w:rPr>
        <w:footnoteRef/>
      </w:r>
      <w:r>
        <w:t xml:space="preserve"> </w:t>
      </w:r>
      <w:r>
        <w:tab/>
        <w:t xml:space="preserve">Zadávání veřejných zakázek prověřil NKÚ jen u projektu TRANSFER, neboť v projektech ZÁRUKY a INICIATIVA Úřad práce zadávání zakázek nerealizoval. </w:t>
      </w:r>
    </w:p>
  </w:footnote>
  <w:footnote w:id="53">
    <w:p w14:paraId="7E283C46" w14:textId="4E1A3CC3" w:rsidR="00D57777" w:rsidRPr="00320B90" w:rsidRDefault="00D57777" w:rsidP="008D44A0">
      <w:pPr>
        <w:spacing w:after="0"/>
        <w:ind w:left="284" w:hanging="284"/>
        <w:jc w:val="both"/>
        <w:rPr>
          <w:sz w:val="20"/>
          <w:szCs w:val="20"/>
        </w:rPr>
      </w:pPr>
      <w:r w:rsidRPr="00320B90">
        <w:rPr>
          <w:rStyle w:val="Znakapoznpodarou"/>
          <w:sz w:val="20"/>
          <w:szCs w:val="20"/>
        </w:rPr>
        <w:footnoteRef/>
      </w:r>
      <w:r w:rsidRPr="00320B90">
        <w:rPr>
          <w:sz w:val="20"/>
          <w:szCs w:val="20"/>
        </w:rPr>
        <w:t xml:space="preserve"> </w:t>
      </w:r>
      <w:r>
        <w:rPr>
          <w:sz w:val="20"/>
          <w:szCs w:val="20"/>
        </w:rPr>
        <w:tab/>
      </w:r>
      <w:r w:rsidRPr="00320B90">
        <w:rPr>
          <w:sz w:val="20"/>
          <w:szCs w:val="20"/>
        </w:rPr>
        <w:t>ÚP stanovil jednotkovou cenu v žádosti o podporu na 28 000 Kč, tento limit bude dodržen za předpokladu, že průměrná cena rekvalifikace je očištěna o související výdaje administrativního a režijního charakteru</w:t>
      </w:r>
      <w:r>
        <w:rPr>
          <w:sz w:val="20"/>
          <w:szCs w:val="20"/>
        </w:rPr>
        <w:t xml:space="preserve"> </w:t>
      </w:r>
      <w:r w:rsidRPr="00320B90">
        <w:rPr>
          <w:sz w:val="20"/>
          <w:szCs w:val="20"/>
        </w:rPr>
        <w:br/>
        <w:t>na 22 398 Kč na 1 účastníka.</w:t>
      </w:r>
    </w:p>
  </w:footnote>
  <w:footnote w:id="54">
    <w:p w14:paraId="689D51B9" w14:textId="23ECD436" w:rsidR="00D57777" w:rsidRDefault="00D57777" w:rsidP="008D44A0">
      <w:pPr>
        <w:pStyle w:val="Textpoznpodarou"/>
        <w:spacing w:after="0"/>
        <w:ind w:left="284" w:hanging="284"/>
      </w:pPr>
      <w:r>
        <w:rPr>
          <w:rStyle w:val="Znakapoznpodarou"/>
        </w:rPr>
        <w:footnoteRef/>
      </w:r>
      <w:r>
        <w:t xml:space="preserve"> </w:t>
      </w:r>
      <w:r>
        <w:tab/>
      </w:r>
      <w:proofErr w:type="spellStart"/>
      <w:r w:rsidRPr="000D2AC0">
        <w:t>Eurofound</w:t>
      </w:r>
      <w:proofErr w:type="spellEnd"/>
      <w:r w:rsidRPr="000D2AC0">
        <w:t xml:space="preserve"> (2015), </w:t>
      </w:r>
      <w:r w:rsidRPr="00A34E3B">
        <w:rPr>
          <w:i/>
          <w:lang w:val="en-GB"/>
        </w:rPr>
        <w:t>Social inclusion of young people</w:t>
      </w:r>
      <w:r w:rsidRPr="0062167E">
        <w:rPr>
          <w:lang w:val="en-GB"/>
        </w:rPr>
        <w:t>,</w:t>
      </w:r>
      <w:r w:rsidRPr="00A34E3B">
        <w:rPr>
          <w:i/>
          <w:lang w:val="en-GB"/>
        </w:rPr>
        <w:t xml:space="preserve"> </w:t>
      </w:r>
      <w:r w:rsidRPr="004D4D13">
        <w:rPr>
          <w:lang w:val="en-GB"/>
        </w:rPr>
        <w:t>Publications Office of the European Union</w:t>
      </w:r>
      <w:r w:rsidRPr="006A4B50">
        <w:rPr>
          <w:lang w:val="en-GB"/>
        </w:rPr>
        <w:t>, Luxembourg</w:t>
      </w:r>
      <w:r w:rsidRPr="000D2AC0">
        <w:t>.</w:t>
      </w:r>
    </w:p>
  </w:footnote>
  <w:footnote w:id="55">
    <w:p w14:paraId="76550FA1" w14:textId="77777777" w:rsidR="00D57777" w:rsidRDefault="00D57777" w:rsidP="008D44A0">
      <w:pPr>
        <w:pStyle w:val="Textpoznpodarou"/>
        <w:spacing w:after="0"/>
        <w:ind w:left="284" w:hanging="284"/>
      </w:pPr>
      <w:r>
        <w:rPr>
          <w:rStyle w:val="Znakapoznpodarou"/>
        </w:rPr>
        <w:footnoteRef/>
      </w:r>
      <w:r>
        <w:t xml:space="preserve"> </w:t>
      </w:r>
      <w:r>
        <w:tab/>
        <w:t>Kurz 25,50 Kč/€.</w:t>
      </w:r>
    </w:p>
  </w:footnote>
  <w:footnote w:id="56">
    <w:p w14:paraId="38458322" w14:textId="5F4208D6" w:rsidR="00D57777" w:rsidRPr="00D755BA" w:rsidRDefault="00D57777" w:rsidP="008D44A0">
      <w:pPr>
        <w:pStyle w:val="Textpoznpodarou"/>
        <w:spacing w:after="0"/>
        <w:ind w:left="284" w:hanging="284"/>
        <w:jc w:val="both"/>
      </w:pPr>
      <w:r>
        <w:rPr>
          <w:rStyle w:val="Znakapoznpodarou"/>
        </w:rPr>
        <w:footnoteRef/>
      </w:r>
      <w:r>
        <w:t> </w:t>
      </w:r>
      <w:r>
        <w:tab/>
        <w:t xml:space="preserve">Částka 2 663 € se týká </w:t>
      </w:r>
      <w:proofErr w:type="spellStart"/>
      <w:r w:rsidRPr="00150E08">
        <w:rPr>
          <w:i/>
        </w:rPr>
        <w:t>employment</w:t>
      </w:r>
      <w:proofErr w:type="spellEnd"/>
      <w:r w:rsidRPr="00150E08">
        <w:rPr>
          <w:i/>
        </w:rPr>
        <w:t xml:space="preserve"> </w:t>
      </w:r>
      <w:proofErr w:type="spellStart"/>
      <w:r w:rsidRPr="00150E08">
        <w:rPr>
          <w:i/>
        </w:rPr>
        <w:t>incentives</w:t>
      </w:r>
      <w:proofErr w:type="spellEnd"/>
      <w:r>
        <w:t xml:space="preserve">, které zahrnují např. kompenzace mzdy související se zaměstnáním mladých nezaměstnaných, částka 3 592 € jsou aktivity typu </w:t>
      </w:r>
      <w:proofErr w:type="spellStart"/>
      <w:r w:rsidRPr="00150E08">
        <w:rPr>
          <w:i/>
        </w:rPr>
        <w:t>supported</w:t>
      </w:r>
      <w:proofErr w:type="spellEnd"/>
      <w:r w:rsidRPr="00150E08">
        <w:rPr>
          <w:i/>
        </w:rPr>
        <w:t>/</w:t>
      </w:r>
      <w:proofErr w:type="spellStart"/>
      <w:r w:rsidRPr="00150E08">
        <w:rPr>
          <w:i/>
        </w:rPr>
        <w:t>sheltered</w:t>
      </w:r>
      <w:proofErr w:type="spellEnd"/>
      <w:r w:rsidRPr="00150E08">
        <w:rPr>
          <w:i/>
        </w:rPr>
        <w:t xml:space="preserve"> </w:t>
      </w:r>
      <w:proofErr w:type="spellStart"/>
      <w:r w:rsidRPr="00150E08">
        <w:rPr>
          <w:i/>
        </w:rPr>
        <w:t>employment</w:t>
      </w:r>
      <w:proofErr w:type="spellEnd"/>
      <w:r w:rsidRPr="00150E08">
        <w:rPr>
          <w:i/>
        </w:rPr>
        <w:t xml:space="preserve"> a </w:t>
      </w:r>
      <w:proofErr w:type="spellStart"/>
      <w:r w:rsidRPr="00150E08">
        <w:rPr>
          <w:i/>
        </w:rPr>
        <w:t>rehabilitation</w:t>
      </w:r>
      <w:proofErr w:type="spellEnd"/>
      <w:r>
        <w:t>, které zahrnují zejména náklady související se zaměstnáváním osob s hendikepy (zdravotně postižení, drogově závislí atd.).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115DF" w14:textId="77777777" w:rsidR="00855216" w:rsidRDefault="0085521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0ABAF" w14:textId="77777777" w:rsidR="00855216" w:rsidRDefault="0085521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7EA8C" w14:textId="77777777" w:rsidR="00855216" w:rsidRDefault="008552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C9C"/>
    <w:multiLevelType w:val="hybridMultilevel"/>
    <w:tmpl w:val="1144AFA4"/>
    <w:lvl w:ilvl="0" w:tplc="F7DEB8D2">
      <w:start w:val="1"/>
      <w:numFmt w:val="bullet"/>
      <w:lvlText w:val=""/>
      <w:lvlJc w:val="left"/>
      <w:pPr>
        <w:ind w:left="671" w:hanging="360"/>
      </w:pPr>
      <w:rPr>
        <w:rFonts w:ascii="Symbol" w:hAnsi="Symbol" w:hint="default"/>
      </w:rPr>
    </w:lvl>
    <w:lvl w:ilvl="1" w:tplc="C26C4804" w:tentative="1">
      <w:start w:val="1"/>
      <w:numFmt w:val="bullet"/>
      <w:lvlText w:val="o"/>
      <w:lvlJc w:val="left"/>
      <w:pPr>
        <w:ind w:left="1391" w:hanging="360"/>
      </w:pPr>
      <w:rPr>
        <w:rFonts w:ascii="Courier New" w:hAnsi="Courier New" w:cs="Courier New" w:hint="default"/>
      </w:rPr>
    </w:lvl>
    <w:lvl w:ilvl="2" w:tplc="2E06F110" w:tentative="1">
      <w:start w:val="1"/>
      <w:numFmt w:val="bullet"/>
      <w:lvlText w:val=""/>
      <w:lvlJc w:val="left"/>
      <w:pPr>
        <w:ind w:left="2111" w:hanging="360"/>
      </w:pPr>
      <w:rPr>
        <w:rFonts w:ascii="Wingdings" w:hAnsi="Wingdings" w:hint="default"/>
      </w:rPr>
    </w:lvl>
    <w:lvl w:ilvl="3" w:tplc="78025734" w:tentative="1">
      <w:start w:val="1"/>
      <w:numFmt w:val="bullet"/>
      <w:lvlText w:val=""/>
      <w:lvlJc w:val="left"/>
      <w:pPr>
        <w:ind w:left="2831" w:hanging="360"/>
      </w:pPr>
      <w:rPr>
        <w:rFonts w:ascii="Symbol" w:hAnsi="Symbol" w:hint="default"/>
      </w:rPr>
    </w:lvl>
    <w:lvl w:ilvl="4" w:tplc="D7B28628" w:tentative="1">
      <w:start w:val="1"/>
      <w:numFmt w:val="bullet"/>
      <w:lvlText w:val="o"/>
      <w:lvlJc w:val="left"/>
      <w:pPr>
        <w:ind w:left="3551" w:hanging="360"/>
      </w:pPr>
      <w:rPr>
        <w:rFonts w:ascii="Courier New" w:hAnsi="Courier New" w:cs="Courier New" w:hint="default"/>
      </w:rPr>
    </w:lvl>
    <w:lvl w:ilvl="5" w:tplc="380CA85C" w:tentative="1">
      <w:start w:val="1"/>
      <w:numFmt w:val="bullet"/>
      <w:lvlText w:val=""/>
      <w:lvlJc w:val="left"/>
      <w:pPr>
        <w:ind w:left="4271" w:hanging="360"/>
      </w:pPr>
      <w:rPr>
        <w:rFonts w:ascii="Wingdings" w:hAnsi="Wingdings" w:hint="default"/>
      </w:rPr>
    </w:lvl>
    <w:lvl w:ilvl="6" w:tplc="452C3B46" w:tentative="1">
      <w:start w:val="1"/>
      <w:numFmt w:val="bullet"/>
      <w:lvlText w:val=""/>
      <w:lvlJc w:val="left"/>
      <w:pPr>
        <w:ind w:left="4991" w:hanging="360"/>
      </w:pPr>
      <w:rPr>
        <w:rFonts w:ascii="Symbol" w:hAnsi="Symbol" w:hint="default"/>
      </w:rPr>
    </w:lvl>
    <w:lvl w:ilvl="7" w:tplc="58FE9FA4" w:tentative="1">
      <w:start w:val="1"/>
      <w:numFmt w:val="bullet"/>
      <w:lvlText w:val="o"/>
      <w:lvlJc w:val="left"/>
      <w:pPr>
        <w:ind w:left="5711" w:hanging="360"/>
      </w:pPr>
      <w:rPr>
        <w:rFonts w:ascii="Courier New" w:hAnsi="Courier New" w:cs="Courier New" w:hint="default"/>
      </w:rPr>
    </w:lvl>
    <w:lvl w:ilvl="8" w:tplc="ED72BE38" w:tentative="1">
      <w:start w:val="1"/>
      <w:numFmt w:val="bullet"/>
      <w:lvlText w:val=""/>
      <w:lvlJc w:val="left"/>
      <w:pPr>
        <w:ind w:left="6431" w:hanging="360"/>
      </w:pPr>
      <w:rPr>
        <w:rFonts w:ascii="Wingdings" w:hAnsi="Wingdings" w:hint="default"/>
      </w:rPr>
    </w:lvl>
  </w:abstractNum>
  <w:abstractNum w:abstractNumId="1" w15:restartNumberingAfterBreak="0">
    <w:nsid w:val="05924F56"/>
    <w:multiLevelType w:val="multilevel"/>
    <w:tmpl w:val="D146211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5705A6"/>
    <w:multiLevelType w:val="hybridMultilevel"/>
    <w:tmpl w:val="F1F615FA"/>
    <w:lvl w:ilvl="0" w:tplc="1800F8E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64395"/>
    <w:multiLevelType w:val="hybridMultilevel"/>
    <w:tmpl w:val="67580E94"/>
    <w:lvl w:ilvl="0" w:tplc="D7B61A58">
      <w:start w:val="1"/>
      <w:numFmt w:val="decimal"/>
      <w:lvlText w:val="%1."/>
      <w:lvlJc w:val="left"/>
      <w:pPr>
        <w:ind w:left="720" w:hanging="360"/>
      </w:pPr>
      <w:rPr>
        <w:rFonts w:hint="default"/>
      </w:rPr>
    </w:lvl>
    <w:lvl w:ilvl="1" w:tplc="04185756" w:tentative="1">
      <w:start w:val="1"/>
      <w:numFmt w:val="lowerLetter"/>
      <w:lvlText w:val="%2."/>
      <w:lvlJc w:val="left"/>
      <w:pPr>
        <w:ind w:left="1440" w:hanging="360"/>
      </w:pPr>
    </w:lvl>
    <w:lvl w:ilvl="2" w:tplc="D4624DB0" w:tentative="1">
      <w:start w:val="1"/>
      <w:numFmt w:val="lowerRoman"/>
      <w:lvlText w:val="%3."/>
      <w:lvlJc w:val="right"/>
      <w:pPr>
        <w:ind w:left="2160" w:hanging="180"/>
      </w:pPr>
    </w:lvl>
    <w:lvl w:ilvl="3" w:tplc="E7009B8A" w:tentative="1">
      <w:start w:val="1"/>
      <w:numFmt w:val="decimal"/>
      <w:lvlText w:val="%4."/>
      <w:lvlJc w:val="left"/>
      <w:pPr>
        <w:ind w:left="2880" w:hanging="360"/>
      </w:pPr>
    </w:lvl>
    <w:lvl w:ilvl="4" w:tplc="6CF2DD9E" w:tentative="1">
      <w:start w:val="1"/>
      <w:numFmt w:val="lowerLetter"/>
      <w:lvlText w:val="%5."/>
      <w:lvlJc w:val="left"/>
      <w:pPr>
        <w:ind w:left="3600" w:hanging="360"/>
      </w:pPr>
    </w:lvl>
    <w:lvl w:ilvl="5" w:tplc="8FCE75EA" w:tentative="1">
      <w:start w:val="1"/>
      <w:numFmt w:val="lowerRoman"/>
      <w:lvlText w:val="%6."/>
      <w:lvlJc w:val="right"/>
      <w:pPr>
        <w:ind w:left="4320" w:hanging="180"/>
      </w:pPr>
    </w:lvl>
    <w:lvl w:ilvl="6" w:tplc="28FA4F98" w:tentative="1">
      <w:start w:val="1"/>
      <w:numFmt w:val="decimal"/>
      <w:lvlText w:val="%7."/>
      <w:lvlJc w:val="left"/>
      <w:pPr>
        <w:ind w:left="5040" w:hanging="360"/>
      </w:pPr>
    </w:lvl>
    <w:lvl w:ilvl="7" w:tplc="EB885514" w:tentative="1">
      <w:start w:val="1"/>
      <w:numFmt w:val="lowerLetter"/>
      <w:lvlText w:val="%8."/>
      <w:lvlJc w:val="left"/>
      <w:pPr>
        <w:ind w:left="5760" w:hanging="360"/>
      </w:pPr>
    </w:lvl>
    <w:lvl w:ilvl="8" w:tplc="797896BC" w:tentative="1">
      <w:start w:val="1"/>
      <w:numFmt w:val="lowerRoman"/>
      <w:lvlText w:val="%9."/>
      <w:lvlJc w:val="right"/>
      <w:pPr>
        <w:ind w:left="6480" w:hanging="180"/>
      </w:pPr>
    </w:lvl>
  </w:abstractNum>
  <w:abstractNum w:abstractNumId="4" w15:restartNumberingAfterBreak="0">
    <w:nsid w:val="10E1463C"/>
    <w:multiLevelType w:val="hybridMultilevel"/>
    <w:tmpl w:val="81DC5CF6"/>
    <w:lvl w:ilvl="0" w:tplc="E0EEA278">
      <w:start w:val="1"/>
      <w:numFmt w:val="bullet"/>
      <w:lvlText w:val=""/>
      <w:lvlJc w:val="left"/>
      <w:pPr>
        <w:ind w:left="720" w:hanging="360"/>
      </w:pPr>
      <w:rPr>
        <w:rFonts w:ascii="Wingdings" w:hAnsi="Wingdings" w:hint="default"/>
      </w:rPr>
    </w:lvl>
    <w:lvl w:ilvl="1" w:tplc="5560A2D0" w:tentative="1">
      <w:start w:val="1"/>
      <w:numFmt w:val="bullet"/>
      <w:lvlText w:val="o"/>
      <w:lvlJc w:val="left"/>
      <w:pPr>
        <w:ind w:left="1440" w:hanging="360"/>
      </w:pPr>
      <w:rPr>
        <w:rFonts w:ascii="Courier New" w:hAnsi="Courier New" w:cs="Courier New" w:hint="default"/>
      </w:rPr>
    </w:lvl>
    <w:lvl w:ilvl="2" w:tplc="8EB2B964" w:tentative="1">
      <w:start w:val="1"/>
      <w:numFmt w:val="bullet"/>
      <w:lvlText w:val=""/>
      <w:lvlJc w:val="left"/>
      <w:pPr>
        <w:ind w:left="2160" w:hanging="360"/>
      </w:pPr>
      <w:rPr>
        <w:rFonts w:ascii="Wingdings" w:hAnsi="Wingdings" w:hint="default"/>
      </w:rPr>
    </w:lvl>
    <w:lvl w:ilvl="3" w:tplc="C9AEC89E" w:tentative="1">
      <w:start w:val="1"/>
      <w:numFmt w:val="bullet"/>
      <w:lvlText w:val=""/>
      <w:lvlJc w:val="left"/>
      <w:pPr>
        <w:ind w:left="2880" w:hanging="360"/>
      </w:pPr>
      <w:rPr>
        <w:rFonts w:ascii="Symbol" w:hAnsi="Symbol" w:hint="default"/>
      </w:rPr>
    </w:lvl>
    <w:lvl w:ilvl="4" w:tplc="FE222A3C" w:tentative="1">
      <w:start w:val="1"/>
      <w:numFmt w:val="bullet"/>
      <w:lvlText w:val="o"/>
      <w:lvlJc w:val="left"/>
      <w:pPr>
        <w:ind w:left="3600" w:hanging="360"/>
      </w:pPr>
      <w:rPr>
        <w:rFonts w:ascii="Courier New" w:hAnsi="Courier New" w:cs="Courier New" w:hint="default"/>
      </w:rPr>
    </w:lvl>
    <w:lvl w:ilvl="5" w:tplc="8654A79E" w:tentative="1">
      <w:start w:val="1"/>
      <w:numFmt w:val="bullet"/>
      <w:lvlText w:val=""/>
      <w:lvlJc w:val="left"/>
      <w:pPr>
        <w:ind w:left="4320" w:hanging="360"/>
      </w:pPr>
      <w:rPr>
        <w:rFonts w:ascii="Wingdings" w:hAnsi="Wingdings" w:hint="default"/>
      </w:rPr>
    </w:lvl>
    <w:lvl w:ilvl="6" w:tplc="CE5ADAC2" w:tentative="1">
      <w:start w:val="1"/>
      <w:numFmt w:val="bullet"/>
      <w:lvlText w:val=""/>
      <w:lvlJc w:val="left"/>
      <w:pPr>
        <w:ind w:left="5040" w:hanging="360"/>
      </w:pPr>
      <w:rPr>
        <w:rFonts w:ascii="Symbol" w:hAnsi="Symbol" w:hint="default"/>
      </w:rPr>
    </w:lvl>
    <w:lvl w:ilvl="7" w:tplc="C42C4850" w:tentative="1">
      <w:start w:val="1"/>
      <w:numFmt w:val="bullet"/>
      <w:lvlText w:val="o"/>
      <w:lvlJc w:val="left"/>
      <w:pPr>
        <w:ind w:left="5760" w:hanging="360"/>
      </w:pPr>
      <w:rPr>
        <w:rFonts w:ascii="Courier New" w:hAnsi="Courier New" w:cs="Courier New" w:hint="default"/>
      </w:rPr>
    </w:lvl>
    <w:lvl w:ilvl="8" w:tplc="8D98A9E2" w:tentative="1">
      <w:start w:val="1"/>
      <w:numFmt w:val="bullet"/>
      <w:lvlText w:val=""/>
      <w:lvlJc w:val="left"/>
      <w:pPr>
        <w:ind w:left="6480" w:hanging="360"/>
      </w:pPr>
      <w:rPr>
        <w:rFonts w:ascii="Wingdings" w:hAnsi="Wingdings" w:hint="default"/>
      </w:rPr>
    </w:lvl>
  </w:abstractNum>
  <w:abstractNum w:abstractNumId="5" w15:restartNumberingAfterBreak="0">
    <w:nsid w:val="12EA3CA7"/>
    <w:multiLevelType w:val="hybridMultilevel"/>
    <w:tmpl w:val="E260368C"/>
    <w:lvl w:ilvl="0" w:tplc="FE7A50AC">
      <w:start w:val="1"/>
      <w:numFmt w:val="decimal"/>
      <w:lvlText w:val="%1."/>
      <w:lvlJc w:val="left"/>
      <w:pPr>
        <w:ind w:left="720" w:hanging="360"/>
      </w:pPr>
    </w:lvl>
    <w:lvl w:ilvl="1" w:tplc="2ED03664" w:tentative="1">
      <w:start w:val="1"/>
      <w:numFmt w:val="lowerLetter"/>
      <w:lvlText w:val="%2."/>
      <w:lvlJc w:val="left"/>
      <w:pPr>
        <w:ind w:left="1440" w:hanging="360"/>
      </w:pPr>
    </w:lvl>
    <w:lvl w:ilvl="2" w:tplc="1092306E" w:tentative="1">
      <w:start w:val="1"/>
      <w:numFmt w:val="lowerRoman"/>
      <w:lvlText w:val="%3."/>
      <w:lvlJc w:val="right"/>
      <w:pPr>
        <w:ind w:left="2160" w:hanging="180"/>
      </w:pPr>
    </w:lvl>
    <w:lvl w:ilvl="3" w:tplc="5EDECB8C" w:tentative="1">
      <w:start w:val="1"/>
      <w:numFmt w:val="decimal"/>
      <w:lvlText w:val="%4."/>
      <w:lvlJc w:val="left"/>
      <w:pPr>
        <w:ind w:left="2880" w:hanging="360"/>
      </w:pPr>
    </w:lvl>
    <w:lvl w:ilvl="4" w:tplc="4E34AC90" w:tentative="1">
      <w:start w:val="1"/>
      <w:numFmt w:val="lowerLetter"/>
      <w:lvlText w:val="%5."/>
      <w:lvlJc w:val="left"/>
      <w:pPr>
        <w:ind w:left="3600" w:hanging="360"/>
      </w:pPr>
    </w:lvl>
    <w:lvl w:ilvl="5" w:tplc="8070C070" w:tentative="1">
      <w:start w:val="1"/>
      <w:numFmt w:val="lowerRoman"/>
      <w:lvlText w:val="%6."/>
      <w:lvlJc w:val="right"/>
      <w:pPr>
        <w:ind w:left="4320" w:hanging="180"/>
      </w:pPr>
    </w:lvl>
    <w:lvl w:ilvl="6" w:tplc="3ED00028" w:tentative="1">
      <w:start w:val="1"/>
      <w:numFmt w:val="decimal"/>
      <w:lvlText w:val="%7."/>
      <w:lvlJc w:val="left"/>
      <w:pPr>
        <w:ind w:left="5040" w:hanging="360"/>
      </w:pPr>
    </w:lvl>
    <w:lvl w:ilvl="7" w:tplc="555C1A8C" w:tentative="1">
      <w:start w:val="1"/>
      <w:numFmt w:val="lowerLetter"/>
      <w:lvlText w:val="%8."/>
      <w:lvlJc w:val="left"/>
      <w:pPr>
        <w:ind w:left="5760" w:hanging="360"/>
      </w:pPr>
    </w:lvl>
    <w:lvl w:ilvl="8" w:tplc="ABA43F42" w:tentative="1">
      <w:start w:val="1"/>
      <w:numFmt w:val="lowerRoman"/>
      <w:lvlText w:val="%9."/>
      <w:lvlJc w:val="right"/>
      <w:pPr>
        <w:ind w:left="6480" w:hanging="180"/>
      </w:pPr>
    </w:lvl>
  </w:abstractNum>
  <w:abstractNum w:abstractNumId="6" w15:restartNumberingAfterBreak="0">
    <w:nsid w:val="15924705"/>
    <w:multiLevelType w:val="hybridMultilevel"/>
    <w:tmpl w:val="D478B8EC"/>
    <w:lvl w:ilvl="0" w:tplc="C84EE87E">
      <w:numFmt w:val="bullet"/>
      <w:lvlText w:val="-"/>
      <w:lvlJc w:val="left"/>
      <w:pPr>
        <w:ind w:left="720" w:hanging="360"/>
      </w:pPr>
      <w:rPr>
        <w:rFonts w:ascii="Calibri" w:eastAsia="Times New Roman" w:hAnsi="Calibri" w:cs="Calibri" w:hint="default"/>
      </w:rPr>
    </w:lvl>
    <w:lvl w:ilvl="1" w:tplc="C848E8C8" w:tentative="1">
      <w:start w:val="1"/>
      <w:numFmt w:val="bullet"/>
      <w:lvlText w:val="o"/>
      <w:lvlJc w:val="left"/>
      <w:pPr>
        <w:ind w:left="1440" w:hanging="360"/>
      </w:pPr>
      <w:rPr>
        <w:rFonts w:ascii="Courier New" w:hAnsi="Courier New" w:cs="Courier New" w:hint="default"/>
      </w:rPr>
    </w:lvl>
    <w:lvl w:ilvl="2" w:tplc="D3980672" w:tentative="1">
      <w:start w:val="1"/>
      <w:numFmt w:val="bullet"/>
      <w:lvlText w:val=""/>
      <w:lvlJc w:val="left"/>
      <w:pPr>
        <w:ind w:left="2160" w:hanging="360"/>
      </w:pPr>
      <w:rPr>
        <w:rFonts w:ascii="Wingdings" w:hAnsi="Wingdings" w:hint="default"/>
      </w:rPr>
    </w:lvl>
    <w:lvl w:ilvl="3" w:tplc="B5342356" w:tentative="1">
      <w:start w:val="1"/>
      <w:numFmt w:val="bullet"/>
      <w:lvlText w:val=""/>
      <w:lvlJc w:val="left"/>
      <w:pPr>
        <w:ind w:left="2880" w:hanging="360"/>
      </w:pPr>
      <w:rPr>
        <w:rFonts w:ascii="Symbol" w:hAnsi="Symbol" w:hint="default"/>
      </w:rPr>
    </w:lvl>
    <w:lvl w:ilvl="4" w:tplc="18C0D43E" w:tentative="1">
      <w:start w:val="1"/>
      <w:numFmt w:val="bullet"/>
      <w:lvlText w:val="o"/>
      <w:lvlJc w:val="left"/>
      <w:pPr>
        <w:ind w:left="3600" w:hanging="360"/>
      </w:pPr>
      <w:rPr>
        <w:rFonts w:ascii="Courier New" w:hAnsi="Courier New" w:cs="Courier New" w:hint="default"/>
      </w:rPr>
    </w:lvl>
    <w:lvl w:ilvl="5" w:tplc="C6901A74" w:tentative="1">
      <w:start w:val="1"/>
      <w:numFmt w:val="bullet"/>
      <w:lvlText w:val=""/>
      <w:lvlJc w:val="left"/>
      <w:pPr>
        <w:ind w:left="4320" w:hanging="360"/>
      </w:pPr>
      <w:rPr>
        <w:rFonts w:ascii="Wingdings" w:hAnsi="Wingdings" w:hint="default"/>
      </w:rPr>
    </w:lvl>
    <w:lvl w:ilvl="6" w:tplc="1DF47856" w:tentative="1">
      <w:start w:val="1"/>
      <w:numFmt w:val="bullet"/>
      <w:lvlText w:val=""/>
      <w:lvlJc w:val="left"/>
      <w:pPr>
        <w:ind w:left="5040" w:hanging="360"/>
      </w:pPr>
      <w:rPr>
        <w:rFonts w:ascii="Symbol" w:hAnsi="Symbol" w:hint="default"/>
      </w:rPr>
    </w:lvl>
    <w:lvl w:ilvl="7" w:tplc="FF16827A" w:tentative="1">
      <w:start w:val="1"/>
      <w:numFmt w:val="bullet"/>
      <w:lvlText w:val="o"/>
      <w:lvlJc w:val="left"/>
      <w:pPr>
        <w:ind w:left="5760" w:hanging="360"/>
      </w:pPr>
      <w:rPr>
        <w:rFonts w:ascii="Courier New" w:hAnsi="Courier New" w:cs="Courier New" w:hint="default"/>
      </w:rPr>
    </w:lvl>
    <w:lvl w:ilvl="8" w:tplc="FC225876" w:tentative="1">
      <w:start w:val="1"/>
      <w:numFmt w:val="bullet"/>
      <w:lvlText w:val=""/>
      <w:lvlJc w:val="left"/>
      <w:pPr>
        <w:ind w:left="6480" w:hanging="360"/>
      </w:pPr>
      <w:rPr>
        <w:rFonts w:ascii="Wingdings" w:hAnsi="Wingdings" w:hint="default"/>
      </w:rPr>
    </w:lvl>
  </w:abstractNum>
  <w:abstractNum w:abstractNumId="7" w15:restartNumberingAfterBreak="0">
    <w:nsid w:val="15C56195"/>
    <w:multiLevelType w:val="hybridMultilevel"/>
    <w:tmpl w:val="D26C3936"/>
    <w:lvl w:ilvl="0" w:tplc="38E0754C">
      <w:start w:val="1"/>
      <w:numFmt w:val="bullet"/>
      <w:lvlText w:val=""/>
      <w:lvlJc w:val="left"/>
      <w:pPr>
        <w:ind w:left="720" w:hanging="360"/>
      </w:pPr>
      <w:rPr>
        <w:rFonts w:ascii="Symbol" w:hAnsi="Symbol" w:hint="default"/>
      </w:rPr>
    </w:lvl>
    <w:lvl w:ilvl="1" w:tplc="8610BE14" w:tentative="1">
      <w:start w:val="1"/>
      <w:numFmt w:val="bullet"/>
      <w:lvlText w:val="o"/>
      <w:lvlJc w:val="left"/>
      <w:pPr>
        <w:ind w:left="1440" w:hanging="360"/>
      </w:pPr>
      <w:rPr>
        <w:rFonts w:ascii="Courier New" w:hAnsi="Courier New" w:cs="Courier New" w:hint="default"/>
      </w:rPr>
    </w:lvl>
    <w:lvl w:ilvl="2" w:tplc="B5F4E068" w:tentative="1">
      <w:start w:val="1"/>
      <w:numFmt w:val="bullet"/>
      <w:lvlText w:val=""/>
      <w:lvlJc w:val="left"/>
      <w:pPr>
        <w:ind w:left="2160" w:hanging="360"/>
      </w:pPr>
      <w:rPr>
        <w:rFonts w:ascii="Wingdings" w:hAnsi="Wingdings" w:hint="default"/>
      </w:rPr>
    </w:lvl>
    <w:lvl w:ilvl="3" w:tplc="8DC07EE8" w:tentative="1">
      <w:start w:val="1"/>
      <w:numFmt w:val="bullet"/>
      <w:lvlText w:val=""/>
      <w:lvlJc w:val="left"/>
      <w:pPr>
        <w:ind w:left="2880" w:hanging="360"/>
      </w:pPr>
      <w:rPr>
        <w:rFonts w:ascii="Symbol" w:hAnsi="Symbol" w:hint="default"/>
      </w:rPr>
    </w:lvl>
    <w:lvl w:ilvl="4" w:tplc="2C147C96" w:tentative="1">
      <w:start w:val="1"/>
      <w:numFmt w:val="bullet"/>
      <w:lvlText w:val="o"/>
      <w:lvlJc w:val="left"/>
      <w:pPr>
        <w:ind w:left="3600" w:hanging="360"/>
      </w:pPr>
      <w:rPr>
        <w:rFonts w:ascii="Courier New" w:hAnsi="Courier New" w:cs="Courier New" w:hint="default"/>
      </w:rPr>
    </w:lvl>
    <w:lvl w:ilvl="5" w:tplc="18ACFA48" w:tentative="1">
      <w:start w:val="1"/>
      <w:numFmt w:val="bullet"/>
      <w:lvlText w:val=""/>
      <w:lvlJc w:val="left"/>
      <w:pPr>
        <w:ind w:left="4320" w:hanging="360"/>
      </w:pPr>
      <w:rPr>
        <w:rFonts w:ascii="Wingdings" w:hAnsi="Wingdings" w:hint="default"/>
      </w:rPr>
    </w:lvl>
    <w:lvl w:ilvl="6" w:tplc="38FED3E2" w:tentative="1">
      <w:start w:val="1"/>
      <w:numFmt w:val="bullet"/>
      <w:lvlText w:val=""/>
      <w:lvlJc w:val="left"/>
      <w:pPr>
        <w:ind w:left="5040" w:hanging="360"/>
      </w:pPr>
      <w:rPr>
        <w:rFonts w:ascii="Symbol" w:hAnsi="Symbol" w:hint="default"/>
      </w:rPr>
    </w:lvl>
    <w:lvl w:ilvl="7" w:tplc="16FAE11C" w:tentative="1">
      <w:start w:val="1"/>
      <w:numFmt w:val="bullet"/>
      <w:lvlText w:val="o"/>
      <w:lvlJc w:val="left"/>
      <w:pPr>
        <w:ind w:left="5760" w:hanging="360"/>
      </w:pPr>
      <w:rPr>
        <w:rFonts w:ascii="Courier New" w:hAnsi="Courier New" w:cs="Courier New" w:hint="default"/>
      </w:rPr>
    </w:lvl>
    <w:lvl w:ilvl="8" w:tplc="854E936A" w:tentative="1">
      <w:start w:val="1"/>
      <w:numFmt w:val="bullet"/>
      <w:lvlText w:val=""/>
      <w:lvlJc w:val="left"/>
      <w:pPr>
        <w:ind w:left="6480" w:hanging="360"/>
      </w:pPr>
      <w:rPr>
        <w:rFonts w:ascii="Wingdings" w:hAnsi="Wingdings" w:hint="default"/>
      </w:rPr>
    </w:lvl>
  </w:abstractNum>
  <w:abstractNum w:abstractNumId="8" w15:restartNumberingAfterBreak="0">
    <w:nsid w:val="1FB800C8"/>
    <w:multiLevelType w:val="hybridMultilevel"/>
    <w:tmpl w:val="4C8ADCF0"/>
    <w:lvl w:ilvl="0" w:tplc="381E210C">
      <w:start w:val="1"/>
      <w:numFmt w:val="decimal"/>
      <w:lvlText w:val="%1."/>
      <w:lvlJc w:val="left"/>
      <w:pPr>
        <w:ind w:left="720" w:hanging="360"/>
      </w:pPr>
      <w:rPr>
        <w:rFonts w:hint="default"/>
      </w:rPr>
    </w:lvl>
    <w:lvl w:ilvl="1" w:tplc="5550463A" w:tentative="1">
      <w:start w:val="1"/>
      <w:numFmt w:val="lowerLetter"/>
      <w:lvlText w:val="%2."/>
      <w:lvlJc w:val="left"/>
      <w:pPr>
        <w:ind w:left="1440" w:hanging="360"/>
      </w:pPr>
    </w:lvl>
    <w:lvl w:ilvl="2" w:tplc="7D605A9E" w:tentative="1">
      <w:start w:val="1"/>
      <w:numFmt w:val="lowerRoman"/>
      <w:lvlText w:val="%3."/>
      <w:lvlJc w:val="right"/>
      <w:pPr>
        <w:ind w:left="2160" w:hanging="180"/>
      </w:pPr>
    </w:lvl>
    <w:lvl w:ilvl="3" w:tplc="B3F2DA02" w:tentative="1">
      <w:start w:val="1"/>
      <w:numFmt w:val="decimal"/>
      <w:lvlText w:val="%4."/>
      <w:lvlJc w:val="left"/>
      <w:pPr>
        <w:ind w:left="2880" w:hanging="360"/>
      </w:pPr>
    </w:lvl>
    <w:lvl w:ilvl="4" w:tplc="FA6A52EC" w:tentative="1">
      <w:start w:val="1"/>
      <w:numFmt w:val="lowerLetter"/>
      <w:lvlText w:val="%5."/>
      <w:lvlJc w:val="left"/>
      <w:pPr>
        <w:ind w:left="3600" w:hanging="360"/>
      </w:pPr>
    </w:lvl>
    <w:lvl w:ilvl="5" w:tplc="B066BD20" w:tentative="1">
      <w:start w:val="1"/>
      <w:numFmt w:val="lowerRoman"/>
      <w:lvlText w:val="%6."/>
      <w:lvlJc w:val="right"/>
      <w:pPr>
        <w:ind w:left="4320" w:hanging="180"/>
      </w:pPr>
    </w:lvl>
    <w:lvl w:ilvl="6" w:tplc="E75A1F80" w:tentative="1">
      <w:start w:val="1"/>
      <w:numFmt w:val="decimal"/>
      <w:lvlText w:val="%7."/>
      <w:lvlJc w:val="left"/>
      <w:pPr>
        <w:ind w:left="5040" w:hanging="360"/>
      </w:pPr>
    </w:lvl>
    <w:lvl w:ilvl="7" w:tplc="F21E18D0" w:tentative="1">
      <w:start w:val="1"/>
      <w:numFmt w:val="lowerLetter"/>
      <w:lvlText w:val="%8."/>
      <w:lvlJc w:val="left"/>
      <w:pPr>
        <w:ind w:left="5760" w:hanging="360"/>
      </w:pPr>
    </w:lvl>
    <w:lvl w:ilvl="8" w:tplc="59488264" w:tentative="1">
      <w:start w:val="1"/>
      <w:numFmt w:val="lowerRoman"/>
      <w:lvlText w:val="%9."/>
      <w:lvlJc w:val="right"/>
      <w:pPr>
        <w:ind w:left="6480" w:hanging="180"/>
      </w:pPr>
    </w:lvl>
  </w:abstractNum>
  <w:abstractNum w:abstractNumId="9" w15:restartNumberingAfterBreak="0">
    <w:nsid w:val="31C21CBB"/>
    <w:multiLevelType w:val="hybridMultilevel"/>
    <w:tmpl w:val="CD6677E2"/>
    <w:lvl w:ilvl="0" w:tplc="6FEADD9E">
      <w:start w:val="1"/>
      <w:numFmt w:val="bullet"/>
      <w:lvlText w:val=""/>
      <w:lvlJc w:val="left"/>
      <w:pPr>
        <w:ind w:left="720" w:hanging="360"/>
      </w:pPr>
      <w:rPr>
        <w:rFonts w:ascii="Symbol" w:hAnsi="Symbol" w:hint="default"/>
      </w:rPr>
    </w:lvl>
    <w:lvl w:ilvl="1" w:tplc="82244728" w:tentative="1">
      <w:start w:val="1"/>
      <w:numFmt w:val="bullet"/>
      <w:lvlText w:val="o"/>
      <w:lvlJc w:val="left"/>
      <w:pPr>
        <w:ind w:left="1440" w:hanging="360"/>
      </w:pPr>
      <w:rPr>
        <w:rFonts w:ascii="Courier New" w:hAnsi="Courier New" w:cs="Courier New" w:hint="default"/>
      </w:rPr>
    </w:lvl>
    <w:lvl w:ilvl="2" w:tplc="47A0571A" w:tentative="1">
      <w:start w:val="1"/>
      <w:numFmt w:val="bullet"/>
      <w:lvlText w:val=""/>
      <w:lvlJc w:val="left"/>
      <w:pPr>
        <w:ind w:left="2160" w:hanging="360"/>
      </w:pPr>
      <w:rPr>
        <w:rFonts w:ascii="Wingdings" w:hAnsi="Wingdings" w:hint="default"/>
      </w:rPr>
    </w:lvl>
    <w:lvl w:ilvl="3" w:tplc="F99A50C2" w:tentative="1">
      <w:start w:val="1"/>
      <w:numFmt w:val="bullet"/>
      <w:lvlText w:val=""/>
      <w:lvlJc w:val="left"/>
      <w:pPr>
        <w:ind w:left="2880" w:hanging="360"/>
      </w:pPr>
      <w:rPr>
        <w:rFonts w:ascii="Symbol" w:hAnsi="Symbol" w:hint="default"/>
      </w:rPr>
    </w:lvl>
    <w:lvl w:ilvl="4" w:tplc="B7DE5058" w:tentative="1">
      <w:start w:val="1"/>
      <w:numFmt w:val="bullet"/>
      <w:lvlText w:val="o"/>
      <w:lvlJc w:val="left"/>
      <w:pPr>
        <w:ind w:left="3600" w:hanging="360"/>
      </w:pPr>
      <w:rPr>
        <w:rFonts w:ascii="Courier New" w:hAnsi="Courier New" w:cs="Courier New" w:hint="default"/>
      </w:rPr>
    </w:lvl>
    <w:lvl w:ilvl="5" w:tplc="91B07AA4" w:tentative="1">
      <w:start w:val="1"/>
      <w:numFmt w:val="bullet"/>
      <w:lvlText w:val=""/>
      <w:lvlJc w:val="left"/>
      <w:pPr>
        <w:ind w:left="4320" w:hanging="360"/>
      </w:pPr>
      <w:rPr>
        <w:rFonts w:ascii="Wingdings" w:hAnsi="Wingdings" w:hint="default"/>
      </w:rPr>
    </w:lvl>
    <w:lvl w:ilvl="6" w:tplc="8C5658AE" w:tentative="1">
      <w:start w:val="1"/>
      <w:numFmt w:val="bullet"/>
      <w:lvlText w:val=""/>
      <w:lvlJc w:val="left"/>
      <w:pPr>
        <w:ind w:left="5040" w:hanging="360"/>
      </w:pPr>
      <w:rPr>
        <w:rFonts w:ascii="Symbol" w:hAnsi="Symbol" w:hint="default"/>
      </w:rPr>
    </w:lvl>
    <w:lvl w:ilvl="7" w:tplc="7CD21036" w:tentative="1">
      <w:start w:val="1"/>
      <w:numFmt w:val="bullet"/>
      <w:lvlText w:val="o"/>
      <w:lvlJc w:val="left"/>
      <w:pPr>
        <w:ind w:left="5760" w:hanging="360"/>
      </w:pPr>
      <w:rPr>
        <w:rFonts w:ascii="Courier New" w:hAnsi="Courier New" w:cs="Courier New" w:hint="default"/>
      </w:rPr>
    </w:lvl>
    <w:lvl w:ilvl="8" w:tplc="593E1616" w:tentative="1">
      <w:start w:val="1"/>
      <w:numFmt w:val="bullet"/>
      <w:lvlText w:val=""/>
      <w:lvlJc w:val="left"/>
      <w:pPr>
        <w:ind w:left="6480" w:hanging="360"/>
      </w:pPr>
      <w:rPr>
        <w:rFonts w:ascii="Wingdings" w:hAnsi="Wingdings" w:hint="default"/>
      </w:rPr>
    </w:lvl>
  </w:abstractNum>
  <w:abstractNum w:abstractNumId="10" w15:restartNumberingAfterBreak="0">
    <w:nsid w:val="31C810AA"/>
    <w:multiLevelType w:val="hybridMultilevel"/>
    <w:tmpl w:val="1B3ADB2E"/>
    <w:lvl w:ilvl="0" w:tplc="0AB29A76">
      <w:start w:val="1"/>
      <w:numFmt w:val="decimal"/>
      <w:lvlText w:val="%1."/>
      <w:lvlJc w:val="left"/>
      <w:pPr>
        <w:ind w:left="720" w:hanging="360"/>
      </w:pPr>
    </w:lvl>
    <w:lvl w:ilvl="1" w:tplc="06681354" w:tentative="1">
      <w:start w:val="1"/>
      <w:numFmt w:val="lowerLetter"/>
      <w:lvlText w:val="%2."/>
      <w:lvlJc w:val="left"/>
      <w:pPr>
        <w:ind w:left="1440" w:hanging="360"/>
      </w:pPr>
    </w:lvl>
    <w:lvl w:ilvl="2" w:tplc="F0BE428C" w:tentative="1">
      <w:start w:val="1"/>
      <w:numFmt w:val="lowerRoman"/>
      <w:lvlText w:val="%3."/>
      <w:lvlJc w:val="right"/>
      <w:pPr>
        <w:ind w:left="2160" w:hanging="180"/>
      </w:pPr>
    </w:lvl>
    <w:lvl w:ilvl="3" w:tplc="79E02CA2" w:tentative="1">
      <w:start w:val="1"/>
      <w:numFmt w:val="decimal"/>
      <w:lvlText w:val="%4."/>
      <w:lvlJc w:val="left"/>
      <w:pPr>
        <w:ind w:left="2880" w:hanging="360"/>
      </w:pPr>
    </w:lvl>
    <w:lvl w:ilvl="4" w:tplc="B72CB846" w:tentative="1">
      <w:start w:val="1"/>
      <w:numFmt w:val="lowerLetter"/>
      <w:lvlText w:val="%5."/>
      <w:lvlJc w:val="left"/>
      <w:pPr>
        <w:ind w:left="3600" w:hanging="360"/>
      </w:pPr>
    </w:lvl>
    <w:lvl w:ilvl="5" w:tplc="DAEA0604" w:tentative="1">
      <w:start w:val="1"/>
      <w:numFmt w:val="lowerRoman"/>
      <w:lvlText w:val="%6."/>
      <w:lvlJc w:val="right"/>
      <w:pPr>
        <w:ind w:left="4320" w:hanging="180"/>
      </w:pPr>
    </w:lvl>
    <w:lvl w:ilvl="6" w:tplc="0596A86C" w:tentative="1">
      <w:start w:val="1"/>
      <w:numFmt w:val="decimal"/>
      <w:lvlText w:val="%7."/>
      <w:lvlJc w:val="left"/>
      <w:pPr>
        <w:ind w:left="5040" w:hanging="360"/>
      </w:pPr>
    </w:lvl>
    <w:lvl w:ilvl="7" w:tplc="D9F8B6A0" w:tentative="1">
      <w:start w:val="1"/>
      <w:numFmt w:val="lowerLetter"/>
      <w:lvlText w:val="%8."/>
      <w:lvlJc w:val="left"/>
      <w:pPr>
        <w:ind w:left="5760" w:hanging="360"/>
      </w:pPr>
    </w:lvl>
    <w:lvl w:ilvl="8" w:tplc="95B238C6" w:tentative="1">
      <w:start w:val="1"/>
      <w:numFmt w:val="lowerRoman"/>
      <w:lvlText w:val="%9."/>
      <w:lvlJc w:val="right"/>
      <w:pPr>
        <w:ind w:left="6480" w:hanging="180"/>
      </w:pPr>
    </w:lvl>
  </w:abstractNum>
  <w:abstractNum w:abstractNumId="11" w15:restartNumberingAfterBreak="0">
    <w:nsid w:val="32AB7E4D"/>
    <w:multiLevelType w:val="hybridMultilevel"/>
    <w:tmpl w:val="482E907A"/>
    <w:lvl w:ilvl="0" w:tplc="8A4E3A76">
      <w:start w:val="1"/>
      <w:numFmt w:val="bullet"/>
      <w:lvlText w:val=""/>
      <w:lvlJc w:val="left"/>
      <w:pPr>
        <w:ind w:left="720" w:hanging="360"/>
      </w:pPr>
      <w:rPr>
        <w:rFonts w:ascii="Symbol" w:hAnsi="Symbol" w:hint="default"/>
      </w:rPr>
    </w:lvl>
    <w:lvl w:ilvl="1" w:tplc="518016E6" w:tentative="1">
      <w:start w:val="1"/>
      <w:numFmt w:val="bullet"/>
      <w:lvlText w:val="o"/>
      <w:lvlJc w:val="left"/>
      <w:pPr>
        <w:ind w:left="1440" w:hanging="360"/>
      </w:pPr>
      <w:rPr>
        <w:rFonts w:ascii="Courier New" w:hAnsi="Courier New" w:cs="Courier New" w:hint="default"/>
      </w:rPr>
    </w:lvl>
    <w:lvl w:ilvl="2" w:tplc="BC8CDF1A" w:tentative="1">
      <w:start w:val="1"/>
      <w:numFmt w:val="bullet"/>
      <w:lvlText w:val=""/>
      <w:lvlJc w:val="left"/>
      <w:pPr>
        <w:ind w:left="2160" w:hanging="360"/>
      </w:pPr>
      <w:rPr>
        <w:rFonts w:ascii="Wingdings" w:hAnsi="Wingdings" w:hint="default"/>
      </w:rPr>
    </w:lvl>
    <w:lvl w:ilvl="3" w:tplc="95B26BAA" w:tentative="1">
      <w:start w:val="1"/>
      <w:numFmt w:val="bullet"/>
      <w:lvlText w:val=""/>
      <w:lvlJc w:val="left"/>
      <w:pPr>
        <w:ind w:left="2880" w:hanging="360"/>
      </w:pPr>
      <w:rPr>
        <w:rFonts w:ascii="Symbol" w:hAnsi="Symbol" w:hint="default"/>
      </w:rPr>
    </w:lvl>
    <w:lvl w:ilvl="4" w:tplc="BE84795A" w:tentative="1">
      <w:start w:val="1"/>
      <w:numFmt w:val="bullet"/>
      <w:lvlText w:val="o"/>
      <w:lvlJc w:val="left"/>
      <w:pPr>
        <w:ind w:left="3600" w:hanging="360"/>
      </w:pPr>
      <w:rPr>
        <w:rFonts w:ascii="Courier New" w:hAnsi="Courier New" w:cs="Courier New" w:hint="default"/>
      </w:rPr>
    </w:lvl>
    <w:lvl w:ilvl="5" w:tplc="F6A24DB2" w:tentative="1">
      <w:start w:val="1"/>
      <w:numFmt w:val="bullet"/>
      <w:lvlText w:val=""/>
      <w:lvlJc w:val="left"/>
      <w:pPr>
        <w:ind w:left="4320" w:hanging="360"/>
      </w:pPr>
      <w:rPr>
        <w:rFonts w:ascii="Wingdings" w:hAnsi="Wingdings" w:hint="default"/>
      </w:rPr>
    </w:lvl>
    <w:lvl w:ilvl="6" w:tplc="F984F95A" w:tentative="1">
      <w:start w:val="1"/>
      <w:numFmt w:val="bullet"/>
      <w:lvlText w:val=""/>
      <w:lvlJc w:val="left"/>
      <w:pPr>
        <w:ind w:left="5040" w:hanging="360"/>
      </w:pPr>
      <w:rPr>
        <w:rFonts w:ascii="Symbol" w:hAnsi="Symbol" w:hint="default"/>
      </w:rPr>
    </w:lvl>
    <w:lvl w:ilvl="7" w:tplc="74A2D2DA" w:tentative="1">
      <w:start w:val="1"/>
      <w:numFmt w:val="bullet"/>
      <w:lvlText w:val="o"/>
      <w:lvlJc w:val="left"/>
      <w:pPr>
        <w:ind w:left="5760" w:hanging="360"/>
      </w:pPr>
      <w:rPr>
        <w:rFonts w:ascii="Courier New" w:hAnsi="Courier New" w:cs="Courier New" w:hint="default"/>
      </w:rPr>
    </w:lvl>
    <w:lvl w:ilvl="8" w:tplc="6AB65E6E" w:tentative="1">
      <w:start w:val="1"/>
      <w:numFmt w:val="bullet"/>
      <w:lvlText w:val=""/>
      <w:lvlJc w:val="left"/>
      <w:pPr>
        <w:ind w:left="6480" w:hanging="360"/>
      </w:pPr>
      <w:rPr>
        <w:rFonts w:ascii="Wingdings" w:hAnsi="Wingdings" w:hint="default"/>
      </w:rPr>
    </w:lvl>
  </w:abstractNum>
  <w:abstractNum w:abstractNumId="12" w15:restartNumberingAfterBreak="0">
    <w:nsid w:val="37FB69C6"/>
    <w:multiLevelType w:val="hybridMultilevel"/>
    <w:tmpl w:val="6D1C6854"/>
    <w:lvl w:ilvl="0" w:tplc="CA04B8C0">
      <w:start w:val="2"/>
      <w:numFmt w:val="bullet"/>
      <w:lvlText w:val="-"/>
      <w:lvlJc w:val="left"/>
      <w:pPr>
        <w:ind w:left="720" w:hanging="360"/>
      </w:pPr>
      <w:rPr>
        <w:rFonts w:ascii="Calibri" w:eastAsia="Times New Roman" w:hAnsi="Calibri" w:cs="Times New Roman" w:hint="default"/>
      </w:rPr>
    </w:lvl>
    <w:lvl w:ilvl="1" w:tplc="2CDC5146" w:tentative="1">
      <w:start w:val="1"/>
      <w:numFmt w:val="bullet"/>
      <w:lvlText w:val="o"/>
      <w:lvlJc w:val="left"/>
      <w:pPr>
        <w:ind w:left="1440" w:hanging="360"/>
      </w:pPr>
      <w:rPr>
        <w:rFonts w:ascii="Courier New" w:hAnsi="Courier New" w:cs="Courier New" w:hint="default"/>
      </w:rPr>
    </w:lvl>
    <w:lvl w:ilvl="2" w:tplc="3AA2BEE8" w:tentative="1">
      <w:start w:val="1"/>
      <w:numFmt w:val="bullet"/>
      <w:lvlText w:val=""/>
      <w:lvlJc w:val="left"/>
      <w:pPr>
        <w:ind w:left="2160" w:hanging="360"/>
      </w:pPr>
      <w:rPr>
        <w:rFonts w:ascii="Wingdings" w:hAnsi="Wingdings" w:hint="default"/>
      </w:rPr>
    </w:lvl>
    <w:lvl w:ilvl="3" w:tplc="7BCA97FE" w:tentative="1">
      <w:start w:val="1"/>
      <w:numFmt w:val="bullet"/>
      <w:lvlText w:val=""/>
      <w:lvlJc w:val="left"/>
      <w:pPr>
        <w:ind w:left="2880" w:hanging="360"/>
      </w:pPr>
      <w:rPr>
        <w:rFonts w:ascii="Symbol" w:hAnsi="Symbol" w:hint="default"/>
      </w:rPr>
    </w:lvl>
    <w:lvl w:ilvl="4" w:tplc="5742E4F8" w:tentative="1">
      <w:start w:val="1"/>
      <w:numFmt w:val="bullet"/>
      <w:lvlText w:val="o"/>
      <w:lvlJc w:val="left"/>
      <w:pPr>
        <w:ind w:left="3600" w:hanging="360"/>
      </w:pPr>
      <w:rPr>
        <w:rFonts w:ascii="Courier New" w:hAnsi="Courier New" w:cs="Courier New" w:hint="default"/>
      </w:rPr>
    </w:lvl>
    <w:lvl w:ilvl="5" w:tplc="A50657F4" w:tentative="1">
      <w:start w:val="1"/>
      <w:numFmt w:val="bullet"/>
      <w:lvlText w:val=""/>
      <w:lvlJc w:val="left"/>
      <w:pPr>
        <w:ind w:left="4320" w:hanging="360"/>
      </w:pPr>
      <w:rPr>
        <w:rFonts w:ascii="Wingdings" w:hAnsi="Wingdings" w:hint="default"/>
      </w:rPr>
    </w:lvl>
    <w:lvl w:ilvl="6" w:tplc="AD341B5C" w:tentative="1">
      <w:start w:val="1"/>
      <w:numFmt w:val="bullet"/>
      <w:lvlText w:val=""/>
      <w:lvlJc w:val="left"/>
      <w:pPr>
        <w:ind w:left="5040" w:hanging="360"/>
      </w:pPr>
      <w:rPr>
        <w:rFonts w:ascii="Symbol" w:hAnsi="Symbol" w:hint="default"/>
      </w:rPr>
    </w:lvl>
    <w:lvl w:ilvl="7" w:tplc="EB908DA8" w:tentative="1">
      <w:start w:val="1"/>
      <w:numFmt w:val="bullet"/>
      <w:lvlText w:val="o"/>
      <w:lvlJc w:val="left"/>
      <w:pPr>
        <w:ind w:left="5760" w:hanging="360"/>
      </w:pPr>
      <w:rPr>
        <w:rFonts w:ascii="Courier New" w:hAnsi="Courier New" w:cs="Courier New" w:hint="default"/>
      </w:rPr>
    </w:lvl>
    <w:lvl w:ilvl="8" w:tplc="F8D00266" w:tentative="1">
      <w:start w:val="1"/>
      <w:numFmt w:val="bullet"/>
      <w:lvlText w:val=""/>
      <w:lvlJc w:val="left"/>
      <w:pPr>
        <w:ind w:left="6480" w:hanging="360"/>
      </w:pPr>
      <w:rPr>
        <w:rFonts w:ascii="Wingdings" w:hAnsi="Wingdings" w:hint="default"/>
      </w:rPr>
    </w:lvl>
  </w:abstractNum>
  <w:abstractNum w:abstractNumId="13" w15:restartNumberingAfterBreak="0">
    <w:nsid w:val="39DF6E9E"/>
    <w:multiLevelType w:val="hybridMultilevel"/>
    <w:tmpl w:val="DDD61262"/>
    <w:lvl w:ilvl="0" w:tplc="37DA1C0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102E64"/>
    <w:multiLevelType w:val="hybridMultilevel"/>
    <w:tmpl w:val="0554AC56"/>
    <w:lvl w:ilvl="0" w:tplc="8128459E">
      <w:start w:val="1"/>
      <w:numFmt w:val="bullet"/>
      <w:lvlText w:val=""/>
      <w:lvlJc w:val="left"/>
      <w:pPr>
        <w:ind w:left="720" w:hanging="360"/>
      </w:pPr>
      <w:rPr>
        <w:rFonts w:ascii="Symbol" w:hAnsi="Symbol" w:hint="default"/>
      </w:rPr>
    </w:lvl>
    <w:lvl w:ilvl="1" w:tplc="2C1EFAF0" w:tentative="1">
      <w:start w:val="1"/>
      <w:numFmt w:val="bullet"/>
      <w:lvlText w:val="o"/>
      <w:lvlJc w:val="left"/>
      <w:pPr>
        <w:ind w:left="1440" w:hanging="360"/>
      </w:pPr>
      <w:rPr>
        <w:rFonts w:ascii="Courier New" w:hAnsi="Courier New" w:cs="Courier New" w:hint="default"/>
      </w:rPr>
    </w:lvl>
    <w:lvl w:ilvl="2" w:tplc="52D2C818" w:tentative="1">
      <w:start w:val="1"/>
      <w:numFmt w:val="bullet"/>
      <w:lvlText w:val=""/>
      <w:lvlJc w:val="left"/>
      <w:pPr>
        <w:ind w:left="2160" w:hanging="360"/>
      </w:pPr>
      <w:rPr>
        <w:rFonts w:ascii="Wingdings" w:hAnsi="Wingdings" w:hint="default"/>
      </w:rPr>
    </w:lvl>
    <w:lvl w:ilvl="3" w:tplc="FB64E9B2" w:tentative="1">
      <w:start w:val="1"/>
      <w:numFmt w:val="bullet"/>
      <w:lvlText w:val=""/>
      <w:lvlJc w:val="left"/>
      <w:pPr>
        <w:ind w:left="2880" w:hanging="360"/>
      </w:pPr>
      <w:rPr>
        <w:rFonts w:ascii="Symbol" w:hAnsi="Symbol" w:hint="default"/>
      </w:rPr>
    </w:lvl>
    <w:lvl w:ilvl="4" w:tplc="FB70B040" w:tentative="1">
      <w:start w:val="1"/>
      <w:numFmt w:val="bullet"/>
      <w:lvlText w:val="o"/>
      <w:lvlJc w:val="left"/>
      <w:pPr>
        <w:ind w:left="3600" w:hanging="360"/>
      </w:pPr>
      <w:rPr>
        <w:rFonts w:ascii="Courier New" w:hAnsi="Courier New" w:cs="Courier New" w:hint="default"/>
      </w:rPr>
    </w:lvl>
    <w:lvl w:ilvl="5" w:tplc="3774DDB2" w:tentative="1">
      <w:start w:val="1"/>
      <w:numFmt w:val="bullet"/>
      <w:lvlText w:val=""/>
      <w:lvlJc w:val="left"/>
      <w:pPr>
        <w:ind w:left="4320" w:hanging="360"/>
      </w:pPr>
      <w:rPr>
        <w:rFonts w:ascii="Wingdings" w:hAnsi="Wingdings" w:hint="default"/>
      </w:rPr>
    </w:lvl>
    <w:lvl w:ilvl="6" w:tplc="93E08780" w:tentative="1">
      <w:start w:val="1"/>
      <w:numFmt w:val="bullet"/>
      <w:lvlText w:val=""/>
      <w:lvlJc w:val="left"/>
      <w:pPr>
        <w:ind w:left="5040" w:hanging="360"/>
      </w:pPr>
      <w:rPr>
        <w:rFonts w:ascii="Symbol" w:hAnsi="Symbol" w:hint="default"/>
      </w:rPr>
    </w:lvl>
    <w:lvl w:ilvl="7" w:tplc="A8E6F76A" w:tentative="1">
      <w:start w:val="1"/>
      <w:numFmt w:val="bullet"/>
      <w:lvlText w:val="o"/>
      <w:lvlJc w:val="left"/>
      <w:pPr>
        <w:ind w:left="5760" w:hanging="360"/>
      </w:pPr>
      <w:rPr>
        <w:rFonts w:ascii="Courier New" w:hAnsi="Courier New" w:cs="Courier New" w:hint="default"/>
      </w:rPr>
    </w:lvl>
    <w:lvl w:ilvl="8" w:tplc="4B3250DE" w:tentative="1">
      <w:start w:val="1"/>
      <w:numFmt w:val="bullet"/>
      <w:lvlText w:val=""/>
      <w:lvlJc w:val="left"/>
      <w:pPr>
        <w:ind w:left="6480" w:hanging="360"/>
      </w:pPr>
      <w:rPr>
        <w:rFonts w:ascii="Wingdings" w:hAnsi="Wingdings" w:hint="default"/>
      </w:rPr>
    </w:lvl>
  </w:abstractNum>
  <w:abstractNum w:abstractNumId="15" w15:restartNumberingAfterBreak="0">
    <w:nsid w:val="3DF7633A"/>
    <w:multiLevelType w:val="hybridMultilevel"/>
    <w:tmpl w:val="E3720954"/>
    <w:lvl w:ilvl="0" w:tplc="368E54D0">
      <w:start w:val="1"/>
      <w:numFmt w:val="bullet"/>
      <w:lvlText w:val=""/>
      <w:lvlJc w:val="left"/>
      <w:pPr>
        <w:ind w:left="720" w:hanging="360"/>
      </w:pPr>
      <w:rPr>
        <w:rFonts w:ascii="Symbol" w:hAnsi="Symbol" w:hint="default"/>
      </w:rPr>
    </w:lvl>
    <w:lvl w:ilvl="1" w:tplc="31C482C4" w:tentative="1">
      <w:start w:val="1"/>
      <w:numFmt w:val="bullet"/>
      <w:lvlText w:val="o"/>
      <w:lvlJc w:val="left"/>
      <w:pPr>
        <w:ind w:left="1440" w:hanging="360"/>
      </w:pPr>
      <w:rPr>
        <w:rFonts w:ascii="Courier New" w:hAnsi="Courier New" w:cs="Courier New" w:hint="default"/>
      </w:rPr>
    </w:lvl>
    <w:lvl w:ilvl="2" w:tplc="FC587F26" w:tentative="1">
      <w:start w:val="1"/>
      <w:numFmt w:val="bullet"/>
      <w:lvlText w:val=""/>
      <w:lvlJc w:val="left"/>
      <w:pPr>
        <w:ind w:left="2160" w:hanging="360"/>
      </w:pPr>
      <w:rPr>
        <w:rFonts w:ascii="Wingdings" w:hAnsi="Wingdings" w:hint="default"/>
      </w:rPr>
    </w:lvl>
    <w:lvl w:ilvl="3" w:tplc="7A3CB2CC" w:tentative="1">
      <w:start w:val="1"/>
      <w:numFmt w:val="bullet"/>
      <w:lvlText w:val=""/>
      <w:lvlJc w:val="left"/>
      <w:pPr>
        <w:ind w:left="2880" w:hanging="360"/>
      </w:pPr>
      <w:rPr>
        <w:rFonts w:ascii="Symbol" w:hAnsi="Symbol" w:hint="default"/>
      </w:rPr>
    </w:lvl>
    <w:lvl w:ilvl="4" w:tplc="CBEEE67A" w:tentative="1">
      <w:start w:val="1"/>
      <w:numFmt w:val="bullet"/>
      <w:lvlText w:val="o"/>
      <w:lvlJc w:val="left"/>
      <w:pPr>
        <w:ind w:left="3600" w:hanging="360"/>
      </w:pPr>
      <w:rPr>
        <w:rFonts w:ascii="Courier New" w:hAnsi="Courier New" w:cs="Courier New" w:hint="default"/>
      </w:rPr>
    </w:lvl>
    <w:lvl w:ilvl="5" w:tplc="7AB019BE" w:tentative="1">
      <w:start w:val="1"/>
      <w:numFmt w:val="bullet"/>
      <w:lvlText w:val=""/>
      <w:lvlJc w:val="left"/>
      <w:pPr>
        <w:ind w:left="4320" w:hanging="360"/>
      </w:pPr>
      <w:rPr>
        <w:rFonts w:ascii="Wingdings" w:hAnsi="Wingdings" w:hint="default"/>
      </w:rPr>
    </w:lvl>
    <w:lvl w:ilvl="6" w:tplc="DAEADE36" w:tentative="1">
      <w:start w:val="1"/>
      <w:numFmt w:val="bullet"/>
      <w:lvlText w:val=""/>
      <w:lvlJc w:val="left"/>
      <w:pPr>
        <w:ind w:left="5040" w:hanging="360"/>
      </w:pPr>
      <w:rPr>
        <w:rFonts w:ascii="Symbol" w:hAnsi="Symbol" w:hint="default"/>
      </w:rPr>
    </w:lvl>
    <w:lvl w:ilvl="7" w:tplc="52785218" w:tentative="1">
      <w:start w:val="1"/>
      <w:numFmt w:val="bullet"/>
      <w:lvlText w:val="o"/>
      <w:lvlJc w:val="left"/>
      <w:pPr>
        <w:ind w:left="5760" w:hanging="360"/>
      </w:pPr>
      <w:rPr>
        <w:rFonts w:ascii="Courier New" w:hAnsi="Courier New" w:cs="Courier New" w:hint="default"/>
      </w:rPr>
    </w:lvl>
    <w:lvl w:ilvl="8" w:tplc="E93C60CE" w:tentative="1">
      <w:start w:val="1"/>
      <w:numFmt w:val="bullet"/>
      <w:lvlText w:val=""/>
      <w:lvlJc w:val="left"/>
      <w:pPr>
        <w:ind w:left="6480" w:hanging="360"/>
      </w:pPr>
      <w:rPr>
        <w:rFonts w:ascii="Wingdings" w:hAnsi="Wingdings" w:hint="default"/>
      </w:rPr>
    </w:lvl>
  </w:abstractNum>
  <w:abstractNum w:abstractNumId="16" w15:restartNumberingAfterBreak="0">
    <w:nsid w:val="3FD75A98"/>
    <w:multiLevelType w:val="hybridMultilevel"/>
    <w:tmpl w:val="739E07AE"/>
    <w:lvl w:ilvl="0" w:tplc="00CA9D94">
      <w:start w:val="1"/>
      <w:numFmt w:val="bullet"/>
      <w:lvlText w:val=""/>
      <w:lvlJc w:val="left"/>
      <w:pPr>
        <w:ind w:left="778" w:hanging="360"/>
      </w:pPr>
      <w:rPr>
        <w:rFonts w:ascii="Symbol" w:hAnsi="Symbol" w:hint="default"/>
      </w:rPr>
    </w:lvl>
    <w:lvl w:ilvl="1" w:tplc="CF92BF0A" w:tentative="1">
      <w:start w:val="1"/>
      <w:numFmt w:val="bullet"/>
      <w:lvlText w:val="o"/>
      <w:lvlJc w:val="left"/>
      <w:pPr>
        <w:ind w:left="1498" w:hanging="360"/>
      </w:pPr>
      <w:rPr>
        <w:rFonts w:ascii="Courier New" w:hAnsi="Courier New" w:cs="Courier New" w:hint="default"/>
      </w:rPr>
    </w:lvl>
    <w:lvl w:ilvl="2" w:tplc="7D92EBA8" w:tentative="1">
      <w:start w:val="1"/>
      <w:numFmt w:val="bullet"/>
      <w:lvlText w:val=""/>
      <w:lvlJc w:val="left"/>
      <w:pPr>
        <w:ind w:left="2218" w:hanging="360"/>
      </w:pPr>
      <w:rPr>
        <w:rFonts w:ascii="Wingdings" w:hAnsi="Wingdings" w:hint="default"/>
      </w:rPr>
    </w:lvl>
    <w:lvl w:ilvl="3" w:tplc="1096ACBC" w:tentative="1">
      <w:start w:val="1"/>
      <w:numFmt w:val="bullet"/>
      <w:lvlText w:val=""/>
      <w:lvlJc w:val="left"/>
      <w:pPr>
        <w:ind w:left="2938" w:hanging="360"/>
      </w:pPr>
      <w:rPr>
        <w:rFonts w:ascii="Symbol" w:hAnsi="Symbol" w:hint="default"/>
      </w:rPr>
    </w:lvl>
    <w:lvl w:ilvl="4" w:tplc="388CE5E2" w:tentative="1">
      <w:start w:val="1"/>
      <w:numFmt w:val="bullet"/>
      <w:lvlText w:val="o"/>
      <w:lvlJc w:val="left"/>
      <w:pPr>
        <w:ind w:left="3658" w:hanging="360"/>
      </w:pPr>
      <w:rPr>
        <w:rFonts w:ascii="Courier New" w:hAnsi="Courier New" w:cs="Courier New" w:hint="default"/>
      </w:rPr>
    </w:lvl>
    <w:lvl w:ilvl="5" w:tplc="AFA4CE3A" w:tentative="1">
      <w:start w:val="1"/>
      <w:numFmt w:val="bullet"/>
      <w:lvlText w:val=""/>
      <w:lvlJc w:val="left"/>
      <w:pPr>
        <w:ind w:left="4378" w:hanging="360"/>
      </w:pPr>
      <w:rPr>
        <w:rFonts w:ascii="Wingdings" w:hAnsi="Wingdings" w:hint="default"/>
      </w:rPr>
    </w:lvl>
    <w:lvl w:ilvl="6" w:tplc="07D837E6" w:tentative="1">
      <w:start w:val="1"/>
      <w:numFmt w:val="bullet"/>
      <w:lvlText w:val=""/>
      <w:lvlJc w:val="left"/>
      <w:pPr>
        <w:ind w:left="5098" w:hanging="360"/>
      </w:pPr>
      <w:rPr>
        <w:rFonts w:ascii="Symbol" w:hAnsi="Symbol" w:hint="default"/>
      </w:rPr>
    </w:lvl>
    <w:lvl w:ilvl="7" w:tplc="D8C6CF7A" w:tentative="1">
      <w:start w:val="1"/>
      <w:numFmt w:val="bullet"/>
      <w:lvlText w:val="o"/>
      <w:lvlJc w:val="left"/>
      <w:pPr>
        <w:ind w:left="5818" w:hanging="360"/>
      </w:pPr>
      <w:rPr>
        <w:rFonts w:ascii="Courier New" w:hAnsi="Courier New" w:cs="Courier New" w:hint="default"/>
      </w:rPr>
    </w:lvl>
    <w:lvl w:ilvl="8" w:tplc="F99453CA" w:tentative="1">
      <w:start w:val="1"/>
      <w:numFmt w:val="bullet"/>
      <w:lvlText w:val=""/>
      <w:lvlJc w:val="left"/>
      <w:pPr>
        <w:ind w:left="6538" w:hanging="360"/>
      </w:pPr>
      <w:rPr>
        <w:rFonts w:ascii="Wingdings" w:hAnsi="Wingdings" w:hint="default"/>
      </w:rPr>
    </w:lvl>
  </w:abstractNum>
  <w:abstractNum w:abstractNumId="17" w15:restartNumberingAfterBreak="0">
    <w:nsid w:val="43CB07BA"/>
    <w:multiLevelType w:val="hybridMultilevel"/>
    <w:tmpl w:val="EDF68FEE"/>
    <w:lvl w:ilvl="0" w:tplc="D74AB71A">
      <w:start w:val="1"/>
      <w:numFmt w:val="decimal"/>
      <w:lvlText w:val="%1."/>
      <w:lvlJc w:val="left"/>
      <w:pPr>
        <w:ind w:left="720" w:hanging="360"/>
      </w:pPr>
    </w:lvl>
    <w:lvl w:ilvl="1" w:tplc="EDF68BC2" w:tentative="1">
      <w:start w:val="1"/>
      <w:numFmt w:val="lowerLetter"/>
      <w:lvlText w:val="%2."/>
      <w:lvlJc w:val="left"/>
      <w:pPr>
        <w:ind w:left="1440" w:hanging="360"/>
      </w:pPr>
    </w:lvl>
    <w:lvl w:ilvl="2" w:tplc="F25A1488" w:tentative="1">
      <w:start w:val="1"/>
      <w:numFmt w:val="lowerRoman"/>
      <w:lvlText w:val="%3."/>
      <w:lvlJc w:val="right"/>
      <w:pPr>
        <w:ind w:left="2160" w:hanging="180"/>
      </w:pPr>
    </w:lvl>
    <w:lvl w:ilvl="3" w:tplc="E2CA0648" w:tentative="1">
      <w:start w:val="1"/>
      <w:numFmt w:val="decimal"/>
      <w:lvlText w:val="%4."/>
      <w:lvlJc w:val="left"/>
      <w:pPr>
        <w:ind w:left="2880" w:hanging="360"/>
      </w:pPr>
    </w:lvl>
    <w:lvl w:ilvl="4" w:tplc="76F64C30" w:tentative="1">
      <w:start w:val="1"/>
      <w:numFmt w:val="lowerLetter"/>
      <w:lvlText w:val="%5."/>
      <w:lvlJc w:val="left"/>
      <w:pPr>
        <w:ind w:left="3600" w:hanging="360"/>
      </w:pPr>
    </w:lvl>
    <w:lvl w:ilvl="5" w:tplc="26CEF82A" w:tentative="1">
      <w:start w:val="1"/>
      <w:numFmt w:val="lowerRoman"/>
      <w:lvlText w:val="%6."/>
      <w:lvlJc w:val="right"/>
      <w:pPr>
        <w:ind w:left="4320" w:hanging="180"/>
      </w:pPr>
    </w:lvl>
    <w:lvl w:ilvl="6" w:tplc="024431F6" w:tentative="1">
      <w:start w:val="1"/>
      <w:numFmt w:val="decimal"/>
      <w:lvlText w:val="%7."/>
      <w:lvlJc w:val="left"/>
      <w:pPr>
        <w:ind w:left="5040" w:hanging="360"/>
      </w:pPr>
    </w:lvl>
    <w:lvl w:ilvl="7" w:tplc="1534ACCA" w:tentative="1">
      <w:start w:val="1"/>
      <w:numFmt w:val="lowerLetter"/>
      <w:lvlText w:val="%8."/>
      <w:lvlJc w:val="left"/>
      <w:pPr>
        <w:ind w:left="5760" w:hanging="360"/>
      </w:pPr>
    </w:lvl>
    <w:lvl w:ilvl="8" w:tplc="700A96AA" w:tentative="1">
      <w:start w:val="1"/>
      <w:numFmt w:val="lowerRoman"/>
      <w:lvlText w:val="%9."/>
      <w:lvlJc w:val="right"/>
      <w:pPr>
        <w:ind w:left="6480" w:hanging="180"/>
      </w:pPr>
    </w:lvl>
  </w:abstractNum>
  <w:abstractNum w:abstractNumId="18" w15:restartNumberingAfterBreak="0">
    <w:nsid w:val="44BD53D9"/>
    <w:multiLevelType w:val="hybridMultilevel"/>
    <w:tmpl w:val="E478535E"/>
    <w:lvl w:ilvl="0" w:tplc="9440F0E6">
      <w:start w:val="1"/>
      <w:numFmt w:val="bullet"/>
      <w:lvlText w:val=""/>
      <w:lvlJc w:val="left"/>
      <w:pPr>
        <w:ind w:left="720" w:hanging="360"/>
      </w:pPr>
      <w:rPr>
        <w:rFonts w:ascii="Wingdings" w:hAnsi="Wingdings" w:hint="default"/>
      </w:rPr>
    </w:lvl>
    <w:lvl w:ilvl="1" w:tplc="58345D5C">
      <w:start w:val="1"/>
      <w:numFmt w:val="bullet"/>
      <w:lvlText w:val="o"/>
      <w:lvlJc w:val="left"/>
      <w:pPr>
        <w:ind w:left="1440" w:hanging="360"/>
      </w:pPr>
      <w:rPr>
        <w:rFonts w:ascii="Courier New" w:hAnsi="Courier New" w:cs="Courier New" w:hint="default"/>
      </w:rPr>
    </w:lvl>
    <w:lvl w:ilvl="2" w:tplc="0D0498AE">
      <w:start w:val="1"/>
      <w:numFmt w:val="bullet"/>
      <w:lvlText w:val=""/>
      <w:lvlJc w:val="left"/>
      <w:pPr>
        <w:ind w:left="2160" w:hanging="360"/>
      </w:pPr>
      <w:rPr>
        <w:rFonts w:ascii="Wingdings" w:hAnsi="Wingdings" w:hint="default"/>
      </w:rPr>
    </w:lvl>
    <w:lvl w:ilvl="3" w:tplc="D3B67424">
      <w:start w:val="1"/>
      <w:numFmt w:val="bullet"/>
      <w:lvlText w:val=""/>
      <w:lvlJc w:val="left"/>
      <w:pPr>
        <w:ind w:left="2880" w:hanging="360"/>
      </w:pPr>
      <w:rPr>
        <w:rFonts w:ascii="Symbol" w:hAnsi="Symbol" w:hint="default"/>
      </w:rPr>
    </w:lvl>
    <w:lvl w:ilvl="4" w:tplc="132CD100">
      <w:start w:val="1"/>
      <w:numFmt w:val="bullet"/>
      <w:lvlText w:val="o"/>
      <w:lvlJc w:val="left"/>
      <w:pPr>
        <w:ind w:left="3600" w:hanging="360"/>
      </w:pPr>
      <w:rPr>
        <w:rFonts w:ascii="Courier New" w:hAnsi="Courier New" w:cs="Courier New" w:hint="default"/>
      </w:rPr>
    </w:lvl>
    <w:lvl w:ilvl="5" w:tplc="6AC478B0">
      <w:start w:val="1"/>
      <w:numFmt w:val="bullet"/>
      <w:lvlText w:val=""/>
      <w:lvlJc w:val="left"/>
      <w:pPr>
        <w:ind w:left="4320" w:hanging="360"/>
      </w:pPr>
      <w:rPr>
        <w:rFonts w:ascii="Wingdings" w:hAnsi="Wingdings" w:hint="default"/>
      </w:rPr>
    </w:lvl>
    <w:lvl w:ilvl="6" w:tplc="66F8AB9A">
      <w:start w:val="1"/>
      <w:numFmt w:val="bullet"/>
      <w:lvlText w:val=""/>
      <w:lvlJc w:val="left"/>
      <w:pPr>
        <w:ind w:left="5040" w:hanging="360"/>
      </w:pPr>
      <w:rPr>
        <w:rFonts w:ascii="Symbol" w:hAnsi="Symbol" w:hint="default"/>
      </w:rPr>
    </w:lvl>
    <w:lvl w:ilvl="7" w:tplc="DE4EF7FA">
      <w:start w:val="1"/>
      <w:numFmt w:val="bullet"/>
      <w:lvlText w:val="o"/>
      <w:lvlJc w:val="left"/>
      <w:pPr>
        <w:ind w:left="5760" w:hanging="360"/>
      </w:pPr>
      <w:rPr>
        <w:rFonts w:ascii="Courier New" w:hAnsi="Courier New" w:cs="Courier New" w:hint="default"/>
      </w:rPr>
    </w:lvl>
    <w:lvl w:ilvl="8" w:tplc="BCB0259A">
      <w:start w:val="1"/>
      <w:numFmt w:val="bullet"/>
      <w:lvlText w:val=""/>
      <w:lvlJc w:val="left"/>
      <w:pPr>
        <w:ind w:left="6480" w:hanging="360"/>
      </w:pPr>
      <w:rPr>
        <w:rFonts w:ascii="Wingdings" w:hAnsi="Wingdings" w:hint="default"/>
      </w:rPr>
    </w:lvl>
  </w:abstractNum>
  <w:abstractNum w:abstractNumId="19" w15:restartNumberingAfterBreak="0">
    <w:nsid w:val="484250A4"/>
    <w:multiLevelType w:val="hybridMultilevel"/>
    <w:tmpl w:val="E29C3D68"/>
    <w:lvl w:ilvl="0" w:tplc="7CA89FAC">
      <w:start w:val="4"/>
      <w:numFmt w:val="bullet"/>
      <w:lvlText w:val="-"/>
      <w:lvlJc w:val="left"/>
      <w:pPr>
        <w:ind w:left="720" w:hanging="360"/>
      </w:pPr>
      <w:rPr>
        <w:rFonts w:ascii="Calibri" w:eastAsia="Times New Roman" w:hAnsi="Calibri" w:cs="Times New Roman" w:hint="default"/>
      </w:rPr>
    </w:lvl>
    <w:lvl w:ilvl="1" w:tplc="FFE814D4" w:tentative="1">
      <w:start w:val="1"/>
      <w:numFmt w:val="bullet"/>
      <w:lvlText w:val="o"/>
      <w:lvlJc w:val="left"/>
      <w:pPr>
        <w:ind w:left="1440" w:hanging="360"/>
      </w:pPr>
      <w:rPr>
        <w:rFonts w:ascii="Courier New" w:hAnsi="Courier New" w:cs="Courier New" w:hint="default"/>
      </w:rPr>
    </w:lvl>
    <w:lvl w:ilvl="2" w:tplc="603670F0" w:tentative="1">
      <w:start w:val="1"/>
      <w:numFmt w:val="bullet"/>
      <w:lvlText w:val=""/>
      <w:lvlJc w:val="left"/>
      <w:pPr>
        <w:ind w:left="2160" w:hanging="360"/>
      </w:pPr>
      <w:rPr>
        <w:rFonts w:ascii="Wingdings" w:hAnsi="Wingdings" w:hint="default"/>
      </w:rPr>
    </w:lvl>
    <w:lvl w:ilvl="3" w:tplc="2CA87172" w:tentative="1">
      <w:start w:val="1"/>
      <w:numFmt w:val="bullet"/>
      <w:lvlText w:val=""/>
      <w:lvlJc w:val="left"/>
      <w:pPr>
        <w:ind w:left="2880" w:hanging="360"/>
      </w:pPr>
      <w:rPr>
        <w:rFonts w:ascii="Symbol" w:hAnsi="Symbol" w:hint="default"/>
      </w:rPr>
    </w:lvl>
    <w:lvl w:ilvl="4" w:tplc="96FE18B6" w:tentative="1">
      <w:start w:val="1"/>
      <w:numFmt w:val="bullet"/>
      <w:lvlText w:val="o"/>
      <w:lvlJc w:val="left"/>
      <w:pPr>
        <w:ind w:left="3600" w:hanging="360"/>
      </w:pPr>
      <w:rPr>
        <w:rFonts w:ascii="Courier New" w:hAnsi="Courier New" w:cs="Courier New" w:hint="default"/>
      </w:rPr>
    </w:lvl>
    <w:lvl w:ilvl="5" w:tplc="68782EDC" w:tentative="1">
      <w:start w:val="1"/>
      <w:numFmt w:val="bullet"/>
      <w:lvlText w:val=""/>
      <w:lvlJc w:val="left"/>
      <w:pPr>
        <w:ind w:left="4320" w:hanging="360"/>
      </w:pPr>
      <w:rPr>
        <w:rFonts w:ascii="Wingdings" w:hAnsi="Wingdings" w:hint="default"/>
      </w:rPr>
    </w:lvl>
    <w:lvl w:ilvl="6" w:tplc="07548176" w:tentative="1">
      <w:start w:val="1"/>
      <w:numFmt w:val="bullet"/>
      <w:lvlText w:val=""/>
      <w:lvlJc w:val="left"/>
      <w:pPr>
        <w:ind w:left="5040" w:hanging="360"/>
      </w:pPr>
      <w:rPr>
        <w:rFonts w:ascii="Symbol" w:hAnsi="Symbol" w:hint="default"/>
      </w:rPr>
    </w:lvl>
    <w:lvl w:ilvl="7" w:tplc="1A164688" w:tentative="1">
      <w:start w:val="1"/>
      <w:numFmt w:val="bullet"/>
      <w:lvlText w:val="o"/>
      <w:lvlJc w:val="left"/>
      <w:pPr>
        <w:ind w:left="5760" w:hanging="360"/>
      </w:pPr>
      <w:rPr>
        <w:rFonts w:ascii="Courier New" w:hAnsi="Courier New" w:cs="Courier New" w:hint="default"/>
      </w:rPr>
    </w:lvl>
    <w:lvl w:ilvl="8" w:tplc="65F293CA" w:tentative="1">
      <w:start w:val="1"/>
      <w:numFmt w:val="bullet"/>
      <w:lvlText w:val=""/>
      <w:lvlJc w:val="left"/>
      <w:pPr>
        <w:ind w:left="6480" w:hanging="360"/>
      </w:pPr>
      <w:rPr>
        <w:rFonts w:ascii="Wingdings" w:hAnsi="Wingdings" w:hint="default"/>
      </w:rPr>
    </w:lvl>
  </w:abstractNum>
  <w:abstractNum w:abstractNumId="20" w15:restartNumberingAfterBreak="0">
    <w:nsid w:val="4E67097E"/>
    <w:multiLevelType w:val="hybridMultilevel"/>
    <w:tmpl w:val="C016A4B4"/>
    <w:lvl w:ilvl="0" w:tplc="943076B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04193A"/>
    <w:multiLevelType w:val="hybridMultilevel"/>
    <w:tmpl w:val="0DF6E68E"/>
    <w:lvl w:ilvl="0" w:tplc="F3CA11EA">
      <w:start w:val="1"/>
      <w:numFmt w:val="bullet"/>
      <w:lvlText w:val=""/>
      <w:lvlJc w:val="left"/>
      <w:pPr>
        <w:ind w:left="720" w:hanging="360"/>
      </w:pPr>
      <w:rPr>
        <w:rFonts w:ascii="Symbol" w:hAnsi="Symbol" w:hint="default"/>
      </w:rPr>
    </w:lvl>
    <w:lvl w:ilvl="1" w:tplc="C2B8AE5E" w:tentative="1">
      <w:start w:val="1"/>
      <w:numFmt w:val="bullet"/>
      <w:lvlText w:val="o"/>
      <w:lvlJc w:val="left"/>
      <w:pPr>
        <w:ind w:left="1440" w:hanging="360"/>
      </w:pPr>
      <w:rPr>
        <w:rFonts w:ascii="Courier New" w:hAnsi="Courier New" w:cs="Courier New" w:hint="default"/>
      </w:rPr>
    </w:lvl>
    <w:lvl w:ilvl="2" w:tplc="F3E41AAE" w:tentative="1">
      <w:start w:val="1"/>
      <w:numFmt w:val="bullet"/>
      <w:lvlText w:val=""/>
      <w:lvlJc w:val="left"/>
      <w:pPr>
        <w:ind w:left="2160" w:hanging="360"/>
      </w:pPr>
      <w:rPr>
        <w:rFonts w:ascii="Wingdings" w:hAnsi="Wingdings" w:hint="default"/>
      </w:rPr>
    </w:lvl>
    <w:lvl w:ilvl="3" w:tplc="F1480866" w:tentative="1">
      <w:start w:val="1"/>
      <w:numFmt w:val="bullet"/>
      <w:lvlText w:val=""/>
      <w:lvlJc w:val="left"/>
      <w:pPr>
        <w:ind w:left="2880" w:hanging="360"/>
      </w:pPr>
      <w:rPr>
        <w:rFonts w:ascii="Symbol" w:hAnsi="Symbol" w:hint="default"/>
      </w:rPr>
    </w:lvl>
    <w:lvl w:ilvl="4" w:tplc="73F88BD8" w:tentative="1">
      <w:start w:val="1"/>
      <w:numFmt w:val="bullet"/>
      <w:lvlText w:val="o"/>
      <w:lvlJc w:val="left"/>
      <w:pPr>
        <w:ind w:left="3600" w:hanging="360"/>
      </w:pPr>
      <w:rPr>
        <w:rFonts w:ascii="Courier New" w:hAnsi="Courier New" w:cs="Courier New" w:hint="default"/>
      </w:rPr>
    </w:lvl>
    <w:lvl w:ilvl="5" w:tplc="4A8679CC" w:tentative="1">
      <w:start w:val="1"/>
      <w:numFmt w:val="bullet"/>
      <w:lvlText w:val=""/>
      <w:lvlJc w:val="left"/>
      <w:pPr>
        <w:ind w:left="4320" w:hanging="360"/>
      </w:pPr>
      <w:rPr>
        <w:rFonts w:ascii="Wingdings" w:hAnsi="Wingdings" w:hint="default"/>
      </w:rPr>
    </w:lvl>
    <w:lvl w:ilvl="6" w:tplc="085622CC" w:tentative="1">
      <w:start w:val="1"/>
      <w:numFmt w:val="bullet"/>
      <w:lvlText w:val=""/>
      <w:lvlJc w:val="left"/>
      <w:pPr>
        <w:ind w:left="5040" w:hanging="360"/>
      </w:pPr>
      <w:rPr>
        <w:rFonts w:ascii="Symbol" w:hAnsi="Symbol" w:hint="default"/>
      </w:rPr>
    </w:lvl>
    <w:lvl w:ilvl="7" w:tplc="30BC0808" w:tentative="1">
      <w:start w:val="1"/>
      <w:numFmt w:val="bullet"/>
      <w:lvlText w:val="o"/>
      <w:lvlJc w:val="left"/>
      <w:pPr>
        <w:ind w:left="5760" w:hanging="360"/>
      </w:pPr>
      <w:rPr>
        <w:rFonts w:ascii="Courier New" w:hAnsi="Courier New" w:cs="Courier New" w:hint="default"/>
      </w:rPr>
    </w:lvl>
    <w:lvl w:ilvl="8" w:tplc="A01A7522" w:tentative="1">
      <w:start w:val="1"/>
      <w:numFmt w:val="bullet"/>
      <w:lvlText w:val=""/>
      <w:lvlJc w:val="left"/>
      <w:pPr>
        <w:ind w:left="6480" w:hanging="360"/>
      </w:pPr>
      <w:rPr>
        <w:rFonts w:ascii="Wingdings" w:hAnsi="Wingdings" w:hint="default"/>
      </w:rPr>
    </w:lvl>
  </w:abstractNum>
  <w:abstractNum w:abstractNumId="22" w15:restartNumberingAfterBreak="0">
    <w:nsid w:val="5099508B"/>
    <w:multiLevelType w:val="hybridMultilevel"/>
    <w:tmpl w:val="1706909E"/>
    <w:lvl w:ilvl="0" w:tplc="293C363C">
      <w:start w:val="1"/>
      <w:numFmt w:val="decimal"/>
      <w:lvlText w:val="%1."/>
      <w:lvlJc w:val="left"/>
      <w:pPr>
        <w:ind w:left="720" w:hanging="360"/>
      </w:pPr>
      <w:rPr>
        <w:rFonts w:hint="default"/>
        <w:b/>
      </w:rPr>
    </w:lvl>
    <w:lvl w:ilvl="1" w:tplc="06123D64" w:tentative="1">
      <w:start w:val="1"/>
      <w:numFmt w:val="lowerLetter"/>
      <w:lvlText w:val="%2."/>
      <w:lvlJc w:val="left"/>
      <w:pPr>
        <w:ind w:left="1440" w:hanging="360"/>
      </w:pPr>
    </w:lvl>
    <w:lvl w:ilvl="2" w:tplc="95F8AFEC" w:tentative="1">
      <w:start w:val="1"/>
      <w:numFmt w:val="lowerRoman"/>
      <w:lvlText w:val="%3."/>
      <w:lvlJc w:val="right"/>
      <w:pPr>
        <w:ind w:left="2160" w:hanging="180"/>
      </w:pPr>
    </w:lvl>
    <w:lvl w:ilvl="3" w:tplc="A4EC85B0" w:tentative="1">
      <w:start w:val="1"/>
      <w:numFmt w:val="decimal"/>
      <w:lvlText w:val="%4."/>
      <w:lvlJc w:val="left"/>
      <w:pPr>
        <w:ind w:left="2880" w:hanging="360"/>
      </w:pPr>
    </w:lvl>
    <w:lvl w:ilvl="4" w:tplc="5372CC12" w:tentative="1">
      <w:start w:val="1"/>
      <w:numFmt w:val="lowerLetter"/>
      <w:lvlText w:val="%5."/>
      <w:lvlJc w:val="left"/>
      <w:pPr>
        <w:ind w:left="3600" w:hanging="360"/>
      </w:pPr>
    </w:lvl>
    <w:lvl w:ilvl="5" w:tplc="5FB87A54" w:tentative="1">
      <w:start w:val="1"/>
      <w:numFmt w:val="lowerRoman"/>
      <w:lvlText w:val="%6."/>
      <w:lvlJc w:val="right"/>
      <w:pPr>
        <w:ind w:left="4320" w:hanging="180"/>
      </w:pPr>
    </w:lvl>
    <w:lvl w:ilvl="6" w:tplc="78109326" w:tentative="1">
      <w:start w:val="1"/>
      <w:numFmt w:val="decimal"/>
      <w:lvlText w:val="%7."/>
      <w:lvlJc w:val="left"/>
      <w:pPr>
        <w:ind w:left="5040" w:hanging="360"/>
      </w:pPr>
    </w:lvl>
    <w:lvl w:ilvl="7" w:tplc="C5D0738C" w:tentative="1">
      <w:start w:val="1"/>
      <w:numFmt w:val="lowerLetter"/>
      <w:lvlText w:val="%8."/>
      <w:lvlJc w:val="left"/>
      <w:pPr>
        <w:ind w:left="5760" w:hanging="360"/>
      </w:pPr>
    </w:lvl>
    <w:lvl w:ilvl="8" w:tplc="36780FE6" w:tentative="1">
      <w:start w:val="1"/>
      <w:numFmt w:val="lowerRoman"/>
      <w:lvlText w:val="%9."/>
      <w:lvlJc w:val="right"/>
      <w:pPr>
        <w:ind w:left="6480" w:hanging="180"/>
      </w:pPr>
    </w:lvl>
  </w:abstractNum>
  <w:abstractNum w:abstractNumId="23" w15:restartNumberingAfterBreak="0">
    <w:nsid w:val="512543C6"/>
    <w:multiLevelType w:val="hybridMultilevel"/>
    <w:tmpl w:val="0010C48A"/>
    <w:lvl w:ilvl="0" w:tplc="57D4D02A">
      <w:start w:val="1"/>
      <w:numFmt w:val="upperLetter"/>
      <w:lvlText w:val="%1."/>
      <w:lvlJc w:val="left"/>
      <w:pPr>
        <w:ind w:left="720" w:hanging="360"/>
      </w:pPr>
    </w:lvl>
    <w:lvl w:ilvl="1" w:tplc="8E6A10C4" w:tentative="1">
      <w:start w:val="1"/>
      <w:numFmt w:val="lowerLetter"/>
      <w:lvlText w:val="%2."/>
      <w:lvlJc w:val="left"/>
      <w:pPr>
        <w:ind w:left="1440" w:hanging="360"/>
      </w:pPr>
    </w:lvl>
    <w:lvl w:ilvl="2" w:tplc="70A292D0" w:tentative="1">
      <w:start w:val="1"/>
      <w:numFmt w:val="lowerRoman"/>
      <w:lvlText w:val="%3."/>
      <w:lvlJc w:val="right"/>
      <w:pPr>
        <w:ind w:left="2160" w:hanging="180"/>
      </w:pPr>
    </w:lvl>
    <w:lvl w:ilvl="3" w:tplc="C23628AE" w:tentative="1">
      <w:start w:val="1"/>
      <w:numFmt w:val="decimal"/>
      <w:lvlText w:val="%4."/>
      <w:lvlJc w:val="left"/>
      <w:pPr>
        <w:ind w:left="2880" w:hanging="360"/>
      </w:pPr>
    </w:lvl>
    <w:lvl w:ilvl="4" w:tplc="2620E30E" w:tentative="1">
      <w:start w:val="1"/>
      <w:numFmt w:val="lowerLetter"/>
      <w:lvlText w:val="%5."/>
      <w:lvlJc w:val="left"/>
      <w:pPr>
        <w:ind w:left="3600" w:hanging="360"/>
      </w:pPr>
    </w:lvl>
    <w:lvl w:ilvl="5" w:tplc="4E300F52" w:tentative="1">
      <w:start w:val="1"/>
      <w:numFmt w:val="lowerRoman"/>
      <w:lvlText w:val="%6."/>
      <w:lvlJc w:val="right"/>
      <w:pPr>
        <w:ind w:left="4320" w:hanging="180"/>
      </w:pPr>
    </w:lvl>
    <w:lvl w:ilvl="6" w:tplc="1158B644" w:tentative="1">
      <w:start w:val="1"/>
      <w:numFmt w:val="decimal"/>
      <w:lvlText w:val="%7."/>
      <w:lvlJc w:val="left"/>
      <w:pPr>
        <w:ind w:left="5040" w:hanging="360"/>
      </w:pPr>
    </w:lvl>
    <w:lvl w:ilvl="7" w:tplc="BF969498" w:tentative="1">
      <w:start w:val="1"/>
      <w:numFmt w:val="lowerLetter"/>
      <w:lvlText w:val="%8."/>
      <w:lvlJc w:val="left"/>
      <w:pPr>
        <w:ind w:left="5760" w:hanging="360"/>
      </w:pPr>
    </w:lvl>
    <w:lvl w:ilvl="8" w:tplc="09FC45D4" w:tentative="1">
      <w:start w:val="1"/>
      <w:numFmt w:val="lowerRoman"/>
      <w:lvlText w:val="%9."/>
      <w:lvlJc w:val="right"/>
      <w:pPr>
        <w:ind w:left="6480" w:hanging="180"/>
      </w:pPr>
    </w:lvl>
  </w:abstractNum>
  <w:abstractNum w:abstractNumId="24" w15:restartNumberingAfterBreak="0">
    <w:nsid w:val="541568F8"/>
    <w:multiLevelType w:val="hybridMultilevel"/>
    <w:tmpl w:val="D250EB7A"/>
    <w:lvl w:ilvl="0" w:tplc="C4F692DE">
      <w:start w:val="8"/>
      <w:numFmt w:val="bullet"/>
      <w:lvlText w:val="-"/>
      <w:lvlJc w:val="left"/>
      <w:pPr>
        <w:ind w:left="720" w:hanging="360"/>
      </w:pPr>
      <w:rPr>
        <w:rFonts w:ascii="Calibri" w:eastAsia="Times New Roman" w:hAnsi="Calibri" w:cs="Calibri" w:hint="default"/>
      </w:rPr>
    </w:lvl>
    <w:lvl w:ilvl="1" w:tplc="FD7C191C" w:tentative="1">
      <w:start w:val="1"/>
      <w:numFmt w:val="bullet"/>
      <w:lvlText w:val="o"/>
      <w:lvlJc w:val="left"/>
      <w:pPr>
        <w:ind w:left="1440" w:hanging="360"/>
      </w:pPr>
      <w:rPr>
        <w:rFonts w:ascii="Courier New" w:hAnsi="Courier New" w:cs="Courier New" w:hint="default"/>
      </w:rPr>
    </w:lvl>
    <w:lvl w:ilvl="2" w:tplc="9EA4A880" w:tentative="1">
      <w:start w:val="1"/>
      <w:numFmt w:val="bullet"/>
      <w:lvlText w:val=""/>
      <w:lvlJc w:val="left"/>
      <w:pPr>
        <w:ind w:left="2160" w:hanging="360"/>
      </w:pPr>
      <w:rPr>
        <w:rFonts w:ascii="Wingdings" w:hAnsi="Wingdings" w:hint="default"/>
      </w:rPr>
    </w:lvl>
    <w:lvl w:ilvl="3" w:tplc="D9729540" w:tentative="1">
      <w:start w:val="1"/>
      <w:numFmt w:val="bullet"/>
      <w:lvlText w:val=""/>
      <w:lvlJc w:val="left"/>
      <w:pPr>
        <w:ind w:left="2880" w:hanging="360"/>
      </w:pPr>
      <w:rPr>
        <w:rFonts w:ascii="Symbol" w:hAnsi="Symbol" w:hint="default"/>
      </w:rPr>
    </w:lvl>
    <w:lvl w:ilvl="4" w:tplc="5B4AA612" w:tentative="1">
      <w:start w:val="1"/>
      <w:numFmt w:val="bullet"/>
      <w:lvlText w:val="o"/>
      <w:lvlJc w:val="left"/>
      <w:pPr>
        <w:ind w:left="3600" w:hanging="360"/>
      </w:pPr>
      <w:rPr>
        <w:rFonts w:ascii="Courier New" w:hAnsi="Courier New" w:cs="Courier New" w:hint="default"/>
      </w:rPr>
    </w:lvl>
    <w:lvl w:ilvl="5" w:tplc="9034A61A" w:tentative="1">
      <w:start w:val="1"/>
      <w:numFmt w:val="bullet"/>
      <w:lvlText w:val=""/>
      <w:lvlJc w:val="left"/>
      <w:pPr>
        <w:ind w:left="4320" w:hanging="360"/>
      </w:pPr>
      <w:rPr>
        <w:rFonts w:ascii="Wingdings" w:hAnsi="Wingdings" w:hint="default"/>
      </w:rPr>
    </w:lvl>
    <w:lvl w:ilvl="6" w:tplc="C0D67D4E" w:tentative="1">
      <w:start w:val="1"/>
      <w:numFmt w:val="bullet"/>
      <w:lvlText w:val=""/>
      <w:lvlJc w:val="left"/>
      <w:pPr>
        <w:ind w:left="5040" w:hanging="360"/>
      </w:pPr>
      <w:rPr>
        <w:rFonts w:ascii="Symbol" w:hAnsi="Symbol" w:hint="default"/>
      </w:rPr>
    </w:lvl>
    <w:lvl w:ilvl="7" w:tplc="BCBC1CD6" w:tentative="1">
      <w:start w:val="1"/>
      <w:numFmt w:val="bullet"/>
      <w:lvlText w:val="o"/>
      <w:lvlJc w:val="left"/>
      <w:pPr>
        <w:ind w:left="5760" w:hanging="360"/>
      </w:pPr>
      <w:rPr>
        <w:rFonts w:ascii="Courier New" w:hAnsi="Courier New" w:cs="Courier New" w:hint="default"/>
      </w:rPr>
    </w:lvl>
    <w:lvl w:ilvl="8" w:tplc="837EF8FA" w:tentative="1">
      <w:start w:val="1"/>
      <w:numFmt w:val="bullet"/>
      <w:lvlText w:val=""/>
      <w:lvlJc w:val="left"/>
      <w:pPr>
        <w:ind w:left="6480" w:hanging="360"/>
      </w:pPr>
      <w:rPr>
        <w:rFonts w:ascii="Wingdings" w:hAnsi="Wingdings" w:hint="default"/>
      </w:rPr>
    </w:lvl>
  </w:abstractNum>
  <w:abstractNum w:abstractNumId="25" w15:restartNumberingAfterBreak="0">
    <w:nsid w:val="57145289"/>
    <w:multiLevelType w:val="hybridMultilevel"/>
    <w:tmpl w:val="4B1616B2"/>
    <w:lvl w:ilvl="0" w:tplc="38B60360">
      <w:start w:val="1"/>
      <w:numFmt w:val="bullet"/>
      <w:lvlText w:val=""/>
      <w:lvlJc w:val="left"/>
      <w:pPr>
        <w:ind w:left="720" w:hanging="360"/>
      </w:pPr>
      <w:rPr>
        <w:rFonts w:ascii="Wingdings" w:hAnsi="Wingdings" w:hint="default"/>
      </w:rPr>
    </w:lvl>
    <w:lvl w:ilvl="1" w:tplc="EF0082DE" w:tentative="1">
      <w:start w:val="1"/>
      <w:numFmt w:val="bullet"/>
      <w:lvlText w:val="o"/>
      <w:lvlJc w:val="left"/>
      <w:pPr>
        <w:ind w:left="1440" w:hanging="360"/>
      </w:pPr>
      <w:rPr>
        <w:rFonts w:ascii="Courier New" w:hAnsi="Courier New" w:cs="Courier New" w:hint="default"/>
      </w:rPr>
    </w:lvl>
    <w:lvl w:ilvl="2" w:tplc="1FBA66BA" w:tentative="1">
      <w:start w:val="1"/>
      <w:numFmt w:val="bullet"/>
      <w:lvlText w:val=""/>
      <w:lvlJc w:val="left"/>
      <w:pPr>
        <w:ind w:left="2160" w:hanging="360"/>
      </w:pPr>
      <w:rPr>
        <w:rFonts w:ascii="Wingdings" w:hAnsi="Wingdings" w:hint="default"/>
      </w:rPr>
    </w:lvl>
    <w:lvl w:ilvl="3" w:tplc="5CA8ED12" w:tentative="1">
      <w:start w:val="1"/>
      <w:numFmt w:val="bullet"/>
      <w:lvlText w:val=""/>
      <w:lvlJc w:val="left"/>
      <w:pPr>
        <w:ind w:left="2880" w:hanging="360"/>
      </w:pPr>
      <w:rPr>
        <w:rFonts w:ascii="Symbol" w:hAnsi="Symbol" w:hint="default"/>
      </w:rPr>
    </w:lvl>
    <w:lvl w:ilvl="4" w:tplc="8A267588" w:tentative="1">
      <w:start w:val="1"/>
      <w:numFmt w:val="bullet"/>
      <w:lvlText w:val="o"/>
      <w:lvlJc w:val="left"/>
      <w:pPr>
        <w:ind w:left="3600" w:hanging="360"/>
      </w:pPr>
      <w:rPr>
        <w:rFonts w:ascii="Courier New" w:hAnsi="Courier New" w:cs="Courier New" w:hint="default"/>
      </w:rPr>
    </w:lvl>
    <w:lvl w:ilvl="5" w:tplc="5BB254B8" w:tentative="1">
      <w:start w:val="1"/>
      <w:numFmt w:val="bullet"/>
      <w:lvlText w:val=""/>
      <w:lvlJc w:val="left"/>
      <w:pPr>
        <w:ind w:left="4320" w:hanging="360"/>
      </w:pPr>
      <w:rPr>
        <w:rFonts w:ascii="Wingdings" w:hAnsi="Wingdings" w:hint="default"/>
      </w:rPr>
    </w:lvl>
    <w:lvl w:ilvl="6" w:tplc="95FC5530" w:tentative="1">
      <w:start w:val="1"/>
      <w:numFmt w:val="bullet"/>
      <w:lvlText w:val=""/>
      <w:lvlJc w:val="left"/>
      <w:pPr>
        <w:ind w:left="5040" w:hanging="360"/>
      </w:pPr>
      <w:rPr>
        <w:rFonts w:ascii="Symbol" w:hAnsi="Symbol" w:hint="default"/>
      </w:rPr>
    </w:lvl>
    <w:lvl w:ilvl="7" w:tplc="89089022" w:tentative="1">
      <w:start w:val="1"/>
      <w:numFmt w:val="bullet"/>
      <w:lvlText w:val="o"/>
      <w:lvlJc w:val="left"/>
      <w:pPr>
        <w:ind w:left="5760" w:hanging="360"/>
      </w:pPr>
      <w:rPr>
        <w:rFonts w:ascii="Courier New" w:hAnsi="Courier New" w:cs="Courier New" w:hint="default"/>
      </w:rPr>
    </w:lvl>
    <w:lvl w:ilvl="8" w:tplc="E67E0516" w:tentative="1">
      <w:start w:val="1"/>
      <w:numFmt w:val="bullet"/>
      <w:lvlText w:val=""/>
      <w:lvlJc w:val="left"/>
      <w:pPr>
        <w:ind w:left="6480" w:hanging="360"/>
      </w:pPr>
      <w:rPr>
        <w:rFonts w:ascii="Wingdings" w:hAnsi="Wingdings" w:hint="default"/>
      </w:rPr>
    </w:lvl>
  </w:abstractNum>
  <w:abstractNum w:abstractNumId="26" w15:restartNumberingAfterBreak="0">
    <w:nsid w:val="5A9A1B39"/>
    <w:multiLevelType w:val="hybridMultilevel"/>
    <w:tmpl w:val="7D9405EE"/>
    <w:lvl w:ilvl="0" w:tplc="45A668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5A5D71"/>
    <w:multiLevelType w:val="hybridMultilevel"/>
    <w:tmpl w:val="FAEA7E6E"/>
    <w:lvl w:ilvl="0" w:tplc="F5928E42">
      <w:start w:val="1"/>
      <w:numFmt w:val="bullet"/>
      <w:lvlText w:val=""/>
      <w:lvlJc w:val="left"/>
      <w:pPr>
        <w:ind w:left="360" w:hanging="360"/>
      </w:pPr>
      <w:rPr>
        <w:rFonts w:ascii="Symbol" w:hAnsi="Symbol" w:hint="default"/>
      </w:rPr>
    </w:lvl>
    <w:lvl w:ilvl="1" w:tplc="E51C13C8">
      <w:start w:val="1"/>
      <w:numFmt w:val="lowerLetter"/>
      <w:lvlText w:val="%2."/>
      <w:lvlJc w:val="left"/>
      <w:pPr>
        <w:ind w:left="1080" w:hanging="360"/>
      </w:pPr>
    </w:lvl>
    <w:lvl w:ilvl="2" w:tplc="5330B6BA" w:tentative="1">
      <w:start w:val="1"/>
      <w:numFmt w:val="lowerRoman"/>
      <w:lvlText w:val="%3."/>
      <w:lvlJc w:val="right"/>
      <w:pPr>
        <w:ind w:left="1800" w:hanging="180"/>
      </w:pPr>
    </w:lvl>
    <w:lvl w:ilvl="3" w:tplc="B6AA2F60" w:tentative="1">
      <w:start w:val="1"/>
      <w:numFmt w:val="decimal"/>
      <w:lvlText w:val="%4."/>
      <w:lvlJc w:val="left"/>
      <w:pPr>
        <w:ind w:left="2520" w:hanging="360"/>
      </w:pPr>
    </w:lvl>
    <w:lvl w:ilvl="4" w:tplc="F17475E6" w:tentative="1">
      <w:start w:val="1"/>
      <w:numFmt w:val="lowerLetter"/>
      <w:lvlText w:val="%5."/>
      <w:lvlJc w:val="left"/>
      <w:pPr>
        <w:ind w:left="3240" w:hanging="360"/>
      </w:pPr>
    </w:lvl>
    <w:lvl w:ilvl="5" w:tplc="56B4C69E" w:tentative="1">
      <w:start w:val="1"/>
      <w:numFmt w:val="lowerRoman"/>
      <w:lvlText w:val="%6."/>
      <w:lvlJc w:val="right"/>
      <w:pPr>
        <w:ind w:left="3960" w:hanging="180"/>
      </w:pPr>
    </w:lvl>
    <w:lvl w:ilvl="6" w:tplc="5088DF2C" w:tentative="1">
      <w:start w:val="1"/>
      <w:numFmt w:val="decimal"/>
      <w:lvlText w:val="%7."/>
      <w:lvlJc w:val="left"/>
      <w:pPr>
        <w:ind w:left="4680" w:hanging="360"/>
      </w:pPr>
    </w:lvl>
    <w:lvl w:ilvl="7" w:tplc="18302CB6" w:tentative="1">
      <w:start w:val="1"/>
      <w:numFmt w:val="lowerLetter"/>
      <w:lvlText w:val="%8."/>
      <w:lvlJc w:val="left"/>
      <w:pPr>
        <w:ind w:left="5400" w:hanging="360"/>
      </w:pPr>
    </w:lvl>
    <w:lvl w:ilvl="8" w:tplc="C77EC6B6" w:tentative="1">
      <w:start w:val="1"/>
      <w:numFmt w:val="lowerRoman"/>
      <w:lvlText w:val="%9."/>
      <w:lvlJc w:val="right"/>
      <w:pPr>
        <w:ind w:left="6120" w:hanging="180"/>
      </w:pPr>
    </w:lvl>
  </w:abstractNum>
  <w:abstractNum w:abstractNumId="28" w15:restartNumberingAfterBreak="0">
    <w:nsid w:val="65442A67"/>
    <w:multiLevelType w:val="hybridMultilevel"/>
    <w:tmpl w:val="FBAED522"/>
    <w:lvl w:ilvl="0" w:tplc="8DEAB678">
      <w:start w:val="1"/>
      <w:numFmt w:val="decimal"/>
      <w:lvlText w:val="%1."/>
      <w:lvlJc w:val="left"/>
      <w:pPr>
        <w:ind w:left="360" w:hanging="360"/>
      </w:pPr>
    </w:lvl>
    <w:lvl w:ilvl="1" w:tplc="9886E29A">
      <w:start w:val="1"/>
      <w:numFmt w:val="bullet"/>
      <w:lvlText w:val=""/>
      <w:lvlJc w:val="left"/>
      <w:pPr>
        <w:ind w:left="1080" w:hanging="360"/>
      </w:pPr>
      <w:rPr>
        <w:rFonts w:ascii="Symbol" w:hAnsi="Symbol" w:hint="default"/>
      </w:rPr>
    </w:lvl>
    <w:lvl w:ilvl="2" w:tplc="B8BC7D88" w:tentative="1">
      <w:start w:val="1"/>
      <w:numFmt w:val="lowerRoman"/>
      <w:lvlText w:val="%3."/>
      <w:lvlJc w:val="right"/>
      <w:pPr>
        <w:ind w:left="1800" w:hanging="180"/>
      </w:pPr>
    </w:lvl>
    <w:lvl w:ilvl="3" w:tplc="6EE6D5A6" w:tentative="1">
      <w:start w:val="1"/>
      <w:numFmt w:val="decimal"/>
      <w:lvlText w:val="%4."/>
      <w:lvlJc w:val="left"/>
      <w:pPr>
        <w:ind w:left="2520" w:hanging="360"/>
      </w:pPr>
    </w:lvl>
    <w:lvl w:ilvl="4" w:tplc="0172D794" w:tentative="1">
      <w:start w:val="1"/>
      <w:numFmt w:val="lowerLetter"/>
      <w:lvlText w:val="%5."/>
      <w:lvlJc w:val="left"/>
      <w:pPr>
        <w:ind w:left="3240" w:hanging="360"/>
      </w:pPr>
    </w:lvl>
    <w:lvl w:ilvl="5" w:tplc="E3F6F926" w:tentative="1">
      <w:start w:val="1"/>
      <w:numFmt w:val="lowerRoman"/>
      <w:lvlText w:val="%6."/>
      <w:lvlJc w:val="right"/>
      <w:pPr>
        <w:ind w:left="3960" w:hanging="180"/>
      </w:pPr>
    </w:lvl>
    <w:lvl w:ilvl="6" w:tplc="EFB6A64A" w:tentative="1">
      <w:start w:val="1"/>
      <w:numFmt w:val="decimal"/>
      <w:lvlText w:val="%7."/>
      <w:lvlJc w:val="left"/>
      <w:pPr>
        <w:ind w:left="4680" w:hanging="360"/>
      </w:pPr>
    </w:lvl>
    <w:lvl w:ilvl="7" w:tplc="E5E2C86A" w:tentative="1">
      <w:start w:val="1"/>
      <w:numFmt w:val="lowerLetter"/>
      <w:lvlText w:val="%8."/>
      <w:lvlJc w:val="left"/>
      <w:pPr>
        <w:ind w:left="5400" w:hanging="360"/>
      </w:pPr>
    </w:lvl>
    <w:lvl w:ilvl="8" w:tplc="10B44056" w:tentative="1">
      <w:start w:val="1"/>
      <w:numFmt w:val="lowerRoman"/>
      <w:lvlText w:val="%9."/>
      <w:lvlJc w:val="right"/>
      <w:pPr>
        <w:ind w:left="6120" w:hanging="180"/>
      </w:pPr>
    </w:lvl>
  </w:abstractNum>
  <w:abstractNum w:abstractNumId="29" w15:restartNumberingAfterBreak="0">
    <w:nsid w:val="65BC2473"/>
    <w:multiLevelType w:val="hybridMultilevel"/>
    <w:tmpl w:val="043481EA"/>
    <w:lvl w:ilvl="0" w:tplc="2C6A6C26">
      <w:start w:val="1"/>
      <w:numFmt w:val="bullet"/>
      <w:lvlText w:val=""/>
      <w:lvlJc w:val="left"/>
      <w:pPr>
        <w:ind w:left="311" w:hanging="360"/>
      </w:pPr>
      <w:rPr>
        <w:rFonts w:ascii="Symbol" w:hAnsi="Symbol" w:hint="default"/>
      </w:rPr>
    </w:lvl>
    <w:lvl w:ilvl="1" w:tplc="9102A35C" w:tentative="1">
      <w:start w:val="1"/>
      <w:numFmt w:val="bullet"/>
      <w:lvlText w:val="o"/>
      <w:lvlJc w:val="left"/>
      <w:pPr>
        <w:ind w:left="1031" w:hanging="360"/>
      </w:pPr>
      <w:rPr>
        <w:rFonts w:ascii="Courier New" w:hAnsi="Courier New" w:cs="Courier New" w:hint="default"/>
      </w:rPr>
    </w:lvl>
    <w:lvl w:ilvl="2" w:tplc="6F3CE270" w:tentative="1">
      <w:start w:val="1"/>
      <w:numFmt w:val="bullet"/>
      <w:lvlText w:val=""/>
      <w:lvlJc w:val="left"/>
      <w:pPr>
        <w:ind w:left="1751" w:hanging="360"/>
      </w:pPr>
      <w:rPr>
        <w:rFonts w:ascii="Wingdings" w:hAnsi="Wingdings" w:hint="default"/>
      </w:rPr>
    </w:lvl>
    <w:lvl w:ilvl="3" w:tplc="8FF8A540" w:tentative="1">
      <w:start w:val="1"/>
      <w:numFmt w:val="bullet"/>
      <w:lvlText w:val=""/>
      <w:lvlJc w:val="left"/>
      <w:pPr>
        <w:ind w:left="2471" w:hanging="360"/>
      </w:pPr>
      <w:rPr>
        <w:rFonts w:ascii="Symbol" w:hAnsi="Symbol" w:hint="default"/>
      </w:rPr>
    </w:lvl>
    <w:lvl w:ilvl="4" w:tplc="2E42E0B2" w:tentative="1">
      <w:start w:val="1"/>
      <w:numFmt w:val="bullet"/>
      <w:lvlText w:val="o"/>
      <w:lvlJc w:val="left"/>
      <w:pPr>
        <w:ind w:left="3191" w:hanging="360"/>
      </w:pPr>
      <w:rPr>
        <w:rFonts w:ascii="Courier New" w:hAnsi="Courier New" w:cs="Courier New" w:hint="default"/>
      </w:rPr>
    </w:lvl>
    <w:lvl w:ilvl="5" w:tplc="8C307E8A" w:tentative="1">
      <w:start w:val="1"/>
      <w:numFmt w:val="bullet"/>
      <w:lvlText w:val=""/>
      <w:lvlJc w:val="left"/>
      <w:pPr>
        <w:ind w:left="3911" w:hanging="360"/>
      </w:pPr>
      <w:rPr>
        <w:rFonts w:ascii="Wingdings" w:hAnsi="Wingdings" w:hint="default"/>
      </w:rPr>
    </w:lvl>
    <w:lvl w:ilvl="6" w:tplc="F77E5216" w:tentative="1">
      <w:start w:val="1"/>
      <w:numFmt w:val="bullet"/>
      <w:lvlText w:val=""/>
      <w:lvlJc w:val="left"/>
      <w:pPr>
        <w:ind w:left="4631" w:hanging="360"/>
      </w:pPr>
      <w:rPr>
        <w:rFonts w:ascii="Symbol" w:hAnsi="Symbol" w:hint="default"/>
      </w:rPr>
    </w:lvl>
    <w:lvl w:ilvl="7" w:tplc="731A10E0" w:tentative="1">
      <w:start w:val="1"/>
      <w:numFmt w:val="bullet"/>
      <w:lvlText w:val="o"/>
      <w:lvlJc w:val="left"/>
      <w:pPr>
        <w:ind w:left="5351" w:hanging="360"/>
      </w:pPr>
      <w:rPr>
        <w:rFonts w:ascii="Courier New" w:hAnsi="Courier New" w:cs="Courier New" w:hint="default"/>
      </w:rPr>
    </w:lvl>
    <w:lvl w:ilvl="8" w:tplc="B828610C" w:tentative="1">
      <w:start w:val="1"/>
      <w:numFmt w:val="bullet"/>
      <w:lvlText w:val=""/>
      <w:lvlJc w:val="left"/>
      <w:pPr>
        <w:ind w:left="6071" w:hanging="360"/>
      </w:pPr>
      <w:rPr>
        <w:rFonts w:ascii="Wingdings" w:hAnsi="Wingdings" w:hint="default"/>
      </w:rPr>
    </w:lvl>
  </w:abstractNum>
  <w:abstractNum w:abstractNumId="30" w15:restartNumberingAfterBreak="0">
    <w:nsid w:val="66B578D2"/>
    <w:multiLevelType w:val="hybridMultilevel"/>
    <w:tmpl w:val="B5EA6AC4"/>
    <w:lvl w:ilvl="0" w:tplc="747C1DFE">
      <w:start w:val="1"/>
      <w:numFmt w:val="decimal"/>
      <w:lvlText w:val="%1."/>
      <w:lvlJc w:val="left"/>
      <w:pPr>
        <w:ind w:left="720" w:hanging="360"/>
      </w:pPr>
    </w:lvl>
    <w:lvl w:ilvl="1" w:tplc="1E04D89C" w:tentative="1">
      <w:start w:val="1"/>
      <w:numFmt w:val="lowerLetter"/>
      <w:lvlText w:val="%2."/>
      <w:lvlJc w:val="left"/>
      <w:pPr>
        <w:ind w:left="1440" w:hanging="360"/>
      </w:pPr>
    </w:lvl>
    <w:lvl w:ilvl="2" w:tplc="91981DB2" w:tentative="1">
      <w:start w:val="1"/>
      <w:numFmt w:val="lowerRoman"/>
      <w:lvlText w:val="%3."/>
      <w:lvlJc w:val="right"/>
      <w:pPr>
        <w:ind w:left="2160" w:hanging="180"/>
      </w:pPr>
    </w:lvl>
    <w:lvl w:ilvl="3" w:tplc="A378AABC" w:tentative="1">
      <w:start w:val="1"/>
      <w:numFmt w:val="decimal"/>
      <w:lvlText w:val="%4."/>
      <w:lvlJc w:val="left"/>
      <w:pPr>
        <w:ind w:left="2880" w:hanging="360"/>
      </w:pPr>
    </w:lvl>
    <w:lvl w:ilvl="4" w:tplc="903A8B76" w:tentative="1">
      <w:start w:val="1"/>
      <w:numFmt w:val="lowerLetter"/>
      <w:lvlText w:val="%5."/>
      <w:lvlJc w:val="left"/>
      <w:pPr>
        <w:ind w:left="3600" w:hanging="360"/>
      </w:pPr>
    </w:lvl>
    <w:lvl w:ilvl="5" w:tplc="A9580794" w:tentative="1">
      <w:start w:val="1"/>
      <w:numFmt w:val="lowerRoman"/>
      <w:lvlText w:val="%6."/>
      <w:lvlJc w:val="right"/>
      <w:pPr>
        <w:ind w:left="4320" w:hanging="180"/>
      </w:pPr>
    </w:lvl>
    <w:lvl w:ilvl="6" w:tplc="182A410A" w:tentative="1">
      <w:start w:val="1"/>
      <w:numFmt w:val="decimal"/>
      <w:lvlText w:val="%7."/>
      <w:lvlJc w:val="left"/>
      <w:pPr>
        <w:ind w:left="5040" w:hanging="360"/>
      </w:pPr>
    </w:lvl>
    <w:lvl w:ilvl="7" w:tplc="88BAB6CE" w:tentative="1">
      <w:start w:val="1"/>
      <w:numFmt w:val="lowerLetter"/>
      <w:lvlText w:val="%8."/>
      <w:lvlJc w:val="left"/>
      <w:pPr>
        <w:ind w:left="5760" w:hanging="360"/>
      </w:pPr>
    </w:lvl>
    <w:lvl w:ilvl="8" w:tplc="AD9841B6" w:tentative="1">
      <w:start w:val="1"/>
      <w:numFmt w:val="lowerRoman"/>
      <w:lvlText w:val="%9."/>
      <w:lvlJc w:val="right"/>
      <w:pPr>
        <w:ind w:left="6480" w:hanging="180"/>
      </w:pPr>
    </w:lvl>
  </w:abstractNum>
  <w:abstractNum w:abstractNumId="31" w15:restartNumberingAfterBreak="0">
    <w:nsid w:val="67770E46"/>
    <w:multiLevelType w:val="hybridMultilevel"/>
    <w:tmpl w:val="8B246B32"/>
    <w:lvl w:ilvl="0" w:tplc="82940A66">
      <w:start w:val="1"/>
      <w:numFmt w:val="bullet"/>
      <w:lvlText w:val=""/>
      <w:lvlJc w:val="left"/>
      <w:pPr>
        <w:ind w:left="671" w:hanging="360"/>
      </w:pPr>
      <w:rPr>
        <w:rFonts w:ascii="Symbol" w:hAnsi="Symbol" w:hint="default"/>
      </w:rPr>
    </w:lvl>
    <w:lvl w:ilvl="1" w:tplc="29620FD0" w:tentative="1">
      <w:start w:val="1"/>
      <w:numFmt w:val="bullet"/>
      <w:lvlText w:val="o"/>
      <w:lvlJc w:val="left"/>
      <w:pPr>
        <w:ind w:left="1391" w:hanging="360"/>
      </w:pPr>
      <w:rPr>
        <w:rFonts w:ascii="Courier New" w:hAnsi="Courier New" w:cs="Courier New" w:hint="default"/>
      </w:rPr>
    </w:lvl>
    <w:lvl w:ilvl="2" w:tplc="E4C643A2" w:tentative="1">
      <w:start w:val="1"/>
      <w:numFmt w:val="bullet"/>
      <w:lvlText w:val=""/>
      <w:lvlJc w:val="left"/>
      <w:pPr>
        <w:ind w:left="2111" w:hanging="360"/>
      </w:pPr>
      <w:rPr>
        <w:rFonts w:ascii="Wingdings" w:hAnsi="Wingdings" w:hint="default"/>
      </w:rPr>
    </w:lvl>
    <w:lvl w:ilvl="3" w:tplc="11544B80" w:tentative="1">
      <w:start w:val="1"/>
      <w:numFmt w:val="bullet"/>
      <w:lvlText w:val=""/>
      <w:lvlJc w:val="left"/>
      <w:pPr>
        <w:ind w:left="2831" w:hanging="360"/>
      </w:pPr>
      <w:rPr>
        <w:rFonts w:ascii="Symbol" w:hAnsi="Symbol" w:hint="default"/>
      </w:rPr>
    </w:lvl>
    <w:lvl w:ilvl="4" w:tplc="BE928E3C" w:tentative="1">
      <w:start w:val="1"/>
      <w:numFmt w:val="bullet"/>
      <w:lvlText w:val="o"/>
      <w:lvlJc w:val="left"/>
      <w:pPr>
        <w:ind w:left="3551" w:hanging="360"/>
      </w:pPr>
      <w:rPr>
        <w:rFonts w:ascii="Courier New" w:hAnsi="Courier New" w:cs="Courier New" w:hint="default"/>
      </w:rPr>
    </w:lvl>
    <w:lvl w:ilvl="5" w:tplc="FE48AA14" w:tentative="1">
      <w:start w:val="1"/>
      <w:numFmt w:val="bullet"/>
      <w:lvlText w:val=""/>
      <w:lvlJc w:val="left"/>
      <w:pPr>
        <w:ind w:left="4271" w:hanging="360"/>
      </w:pPr>
      <w:rPr>
        <w:rFonts w:ascii="Wingdings" w:hAnsi="Wingdings" w:hint="default"/>
      </w:rPr>
    </w:lvl>
    <w:lvl w:ilvl="6" w:tplc="495A7928" w:tentative="1">
      <w:start w:val="1"/>
      <w:numFmt w:val="bullet"/>
      <w:lvlText w:val=""/>
      <w:lvlJc w:val="left"/>
      <w:pPr>
        <w:ind w:left="4991" w:hanging="360"/>
      </w:pPr>
      <w:rPr>
        <w:rFonts w:ascii="Symbol" w:hAnsi="Symbol" w:hint="default"/>
      </w:rPr>
    </w:lvl>
    <w:lvl w:ilvl="7" w:tplc="53A66CA6" w:tentative="1">
      <w:start w:val="1"/>
      <w:numFmt w:val="bullet"/>
      <w:lvlText w:val="o"/>
      <w:lvlJc w:val="left"/>
      <w:pPr>
        <w:ind w:left="5711" w:hanging="360"/>
      </w:pPr>
      <w:rPr>
        <w:rFonts w:ascii="Courier New" w:hAnsi="Courier New" w:cs="Courier New" w:hint="default"/>
      </w:rPr>
    </w:lvl>
    <w:lvl w:ilvl="8" w:tplc="973C7624" w:tentative="1">
      <w:start w:val="1"/>
      <w:numFmt w:val="bullet"/>
      <w:lvlText w:val=""/>
      <w:lvlJc w:val="left"/>
      <w:pPr>
        <w:ind w:left="6431" w:hanging="360"/>
      </w:pPr>
      <w:rPr>
        <w:rFonts w:ascii="Wingdings" w:hAnsi="Wingdings" w:hint="default"/>
      </w:rPr>
    </w:lvl>
  </w:abstractNum>
  <w:abstractNum w:abstractNumId="32" w15:restartNumberingAfterBreak="0">
    <w:nsid w:val="67BF56AB"/>
    <w:multiLevelType w:val="hybridMultilevel"/>
    <w:tmpl w:val="55B21CAC"/>
    <w:lvl w:ilvl="0" w:tplc="2906164C">
      <w:start w:val="1"/>
      <w:numFmt w:val="decimal"/>
      <w:lvlText w:val="%1."/>
      <w:lvlJc w:val="left"/>
      <w:pPr>
        <w:ind w:left="720" w:hanging="360"/>
      </w:pPr>
    </w:lvl>
    <w:lvl w:ilvl="1" w:tplc="A582EF0A" w:tentative="1">
      <w:start w:val="1"/>
      <w:numFmt w:val="lowerLetter"/>
      <w:lvlText w:val="%2."/>
      <w:lvlJc w:val="left"/>
      <w:pPr>
        <w:ind w:left="1440" w:hanging="360"/>
      </w:pPr>
    </w:lvl>
    <w:lvl w:ilvl="2" w:tplc="FE0E1F52" w:tentative="1">
      <w:start w:val="1"/>
      <w:numFmt w:val="lowerRoman"/>
      <w:lvlText w:val="%3."/>
      <w:lvlJc w:val="right"/>
      <w:pPr>
        <w:ind w:left="2160" w:hanging="180"/>
      </w:pPr>
    </w:lvl>
    <w:lvl w:ilvl="3" w:tplc="FB347E7A" w:tentative="1">
      <w:start w:val="1"/>
      <w:numFmt w:val="decimal"/>
      <w:lvlText w:val="%4."/>
      <w:lvlJc w:val="left"/>
      <w:pPr>
        <w:ind w:left="2880" w:hanging="360"/>
      </w:pPr>
    </w:lvl>
    <w:lvl w:ilvl="4" w:tplc="ADC0231A" w:tentative="1">
      <w:start w:val="1"/>
      <w:numFmt w:val="lowerLetter"/>
      <w:lvlText w:val="%5."/>
      <w:lvlJc w:val="left"/>
      <w:pPr>
        <w:ind w:left="3600" w:hanging="360"/>
      </w:pPr>
    </w:lvl>
    <w:lvl w:ilvl="5" w:tplc="1E02B354" w:tentative="1">
      <w:start w:val="1"/>
      <w:numFmt w:val="lowerRoman"/>
      <w:lvlText w:val="%6."/>
      <w:lvlJc w:val="right"/>
      <w:pPr>
        <w:ind w:left="4320" w:hanging="180"/>
      </w:pPr>
    </w:lvl>
    <w:lvl w:ilvl="6" w:tplc="37342E56" w:tentative="1">
      <w:start w:val="1"/>
      <w:numFmt w:val="decimal"/>
      <w:lvlText w:val="%7."/>
      <w:lvlJc w:val="left"/>
      <w:pPr>
        <w:ind w:left="5040" w:hanging="360"/>
      </w:pPr>
    </w:lvl>
    <w:lvl w:ilvl="7" w:tplc="066EEE3C" w:tentative="1">
      <w:start w:val="1"/>
      <w:numFmt w:val="lowerLetter"/>
      <w:lvlText w:val="%8."/>
      <w:lvlJc w:val="left"/>
      <w:pPr>
        <w:ind w:left="5760" w:hanging="360"/>
      </w:pPr>
    </w:lvl>
    <w:lvl w:ilvl="8" w:tplc="20E2F5D8" w:tentative="1">
      <w:start w:val="1"/>
      <w:numFmt w:val="lowerRoman"/>
      <w:lvlText w:val="%9."/>
      <w:lvlJc w:val="right"/>
      <w:pPr>
        <w:ind w:left="6480" w:hanging="180"/>
      </w:pPr>
    </w:lvl>
  </w:abstractNum>
  <w:abstractNum w:abstractNumId="33" w15:restartNumberingAfterBreak="0">
    <w:nsid w:val="6AC31916"/>
    <w:multiLevelType w:val="hybridMultilevel"/>
    <w:tmpl w:val="D25A5ED8"/>
    <w:lvl w:ilvl="0" w:tplc="39CA4682">
      <w:start w:val="1"/>
      <w:numFmt w:val="decimal"/>
      <w:lvlText w:val="%1."/>
      <w:lvlJc w:val="left"/>
      <w:pPr>
        <w:ind w:left="720" w:hanging="360"/>
      </w:pPr>
      <w:rPr>
        <w:rFonts w:hint="default"/>
      </w:rPr>
    </w:lvl>
    <w:lvl w:ilvl="1" w:tplc="5ABA06A4" w:tentative="1">
      <w:start w:val="1"/>
      <w:numFmt w:val="lowerLetter"/>
      <w:lvlText w:val="%2."/>
      <w:lvlJc w:val="left"/>
      <w:pPr>
        <w:ind w:left="1440" w:hanging="360"/>
      </w:pPr>
    </w:lvl>
    <w:lvl w:ilvl="2" w:tplc="2DAEDBE8" w:tentative="1">
      <w:start w:val="1"/>
      <w:numFmt w:val="lowerRoman"/>
      <w:lvlText w:val="%3."/>
      <w:lvlJc w:val="right"/>
      <w:pPr>
        <w:ind w:left="2160" w:hanging="180"/>
      </w:pPr>
    </w:lvl>
    <w:lvl w:ilvl="3" w:tplc="E8522076" w:tentative="1">
      <w:start w:val="1"/>
      <w:numFmt w:val="decimal"/>
      <w:lvlText w:val="%4."/>
      <w:lvlJc w:val="left"/>
      <w:pPr>
        <w:ind w:left="2880" w:hanging="360"/>
      </w:pPr>
    </w:lvl>
    <w:lvl w:ilvl="4" w:tplc="BAB08B70" w:tentative="1">
      <w:start w:val="1"/>
      <w:numFmt w:val="lowerLetter"/>
      <w:lvlText w:val="%5."/>
      <w:lvlJc w:val="left"/>
      <w:pPr>
        <w:ind w:left="3600" w:hanging="360"/>
      </w:pPr>
    </w:lvl>
    <w:lvl w:ilvl="5" w:tplc="EBB86F04" w:tentative="1">
      <w:start w:val="1"/>
      <w:numFmt w:val="lowerRoman"/>
      <w:lvlText w:val="%6."/>
      <w:lvlJc w:val="right"/>
      <w:pPr>
        <w:ind w:left="4320" w:hanging="180"/>
      </w:pPr>
    </w:lvl>
    <w:lvl w:ilvl="6" w:tplc="850CBE4E" w:tentative="1">
      <w:start w:val="1"/>
      <w:numFmt w:val="decimal"/>
      <w:lvlText w:val="%7."/>
      <w:lvlJc w:val="left"/>
      <w:pPr>
        <w:ind w:left="5040" w:hanging="360"/>
      </w:pPr>
    </w:lvl>
    <w:lvl w:ilvl="7" w:tplc="3FC61D58" w:tentative="1">
      <w:start w:val="1"/>
      <w:numFmt w:val="lowerLetter"/>
      <w:lvlText w:val="%8."/>
      <w:lvlJc w:val="left"/>
      <w:pPr>
        <w:ind w:left="5760" w:hanging="360"/>
      </w:pPr>
    </w:lvl>
    <w:lvl w:ilvl="8" w:tplc="238E6704" w:tentative="1">
      <w:start w:val="1"/>
      <w:numFmt w:val="lowerRoman"/>
      <w:lvlText w:val="%9."/>
      <w:lvlJc w:val="right"/>
      <w:pPr>
        <w:ind w:left="6480" w:hanging="180"/>
      </w:pPr>
    </w:lvl>
  </w:abstractNum>
  <w:abstractNum w:abstractNumId="34" w15:restartNumberingAfterBreak="0">
    <w:nsid w:val="71033EF1"/>
    <w:multiLevelType w:val="hybridMultilevel"/>
    <w:tmpl w:val="E1287754"/>
    <w:lvl w:ilvl="0" w:tplc="89E81512">
      <w:start w:val="1"/>
      <w:numFmt w:val="bullet"/>
      <w:lvlText w:val=""/>
      <w:lvlJc w:val="left"/>
      <w:pPr>
        <w:ind w:left="720" w:hanging="360"/>
      </w:pPr>
      <w:rPr>
        <w:rFonts w:ascii="Symbol" w:hAnsi="Symbol" w:hint="default"/>
      </w:rPr>
    </w:lvl>
    <w:lvl w:ilvl="1" w:tplc="B12EBEA0" w:tentative="1">
      <w:start w:val="1"/>
      <w:numFmt w:val="bullet"/>
      <w:lvlText w:val="o"/>
      <w:lvlJc w:val="left"/>
      <w:pPr>
        <w:ind w:left="1440" w:hanging="360"/>
      </w:pPr>
      <w:rPr>
        <w:rFonts w:ascii="Courier New" w:hAnsi="Courier New" w:cs="Courier New" w:hint="default"/>
      </w:rPr>
    </w:lvl>
    <w:lvl w:ilvl="2" w:tplc="B49EB1B8" w:tentative="1">
      <w:start w:val="1"/>
      <w:numFmt w:val="bullet"/>
      <w:lvlText w:val=""/>
      <w:lvlJc w:val="left"/>
      <w:pPr>
        <w:ind w:left="2160" w:hanging="360"/>
      </w:pPr>
      <w:rPr>
        <w:rFonts w:ascii="Wingdings" w:hAnsi="Wingdings" w:hint="default"/>
      </w:rPr>
    </w:lvl>
    <w:lvl w:ilvl="3" w:tplc="681EB712" w:tentative="1">
      <w:start w:val="1"/>
      <w:numFmt w:val="bullet"/>
      <w:lvlText w:val=""/>
      <w:lvlJc w:val="left"/>
      <w:pPr>
        <w:ind w:left="2880" w:hanging="360"/>
      </w:pPr>
      <w:rPr>
        <w:rFonts w:ascii="Symbol" w:hAnsi="Symbol" w:hint="default"/>
      </w:rPr>
    </w:lvl>
    <w:lvl w:ilvl="4" w:tplc="B3401762" w:tentative="1">
      <w:start w:val="1"/>
      <w:numFmt w:val="bullet"/>
      <w:lvlText w:val="o"/>
      <w:lvlJc w:val="left"/>
      <w:pPr>
        <w:ind w:left="3600" w:hanging="360"/>
      </w:pPr>
      <w:rPr>
        <w:rFonts w:ascii="Courier New" w:hAnsi="Courier New" w:cs="Courier New" w:hint="default"/>
      </w:rPr>
    </w:lvl>
    <w:lvl w:ilvl="5" w:tplc="7760F7E2" w:tentative="1">
      <w:start w:val="1"/>
      <w:numFmt w:val="bullet"/>
      <w:lvlText w:val=""/>
      <w:lvlJc w:val="left"/>
      <w:pPr>
        <w:ind w:left="4320" w:hanging="360"/>
      </w:pPr>
      <w:rPr>
        <w:rFonts w:ascii="Wingdings" w:hAnsi="Wingdings" w:hint="default"/>
      </w:rPr>
    </w:lvl>
    <w:lvl w:ilvl="6" w:tplc="4554364E" w:tentative="1">
      <w:start w:val="1"/>
      <w:numFmt w:val="bullet"/>
      <w:lvlText w:val=""/>
      <w:lvlJc w:val="left"/>
      <w:pPr>
        <w:ind w:left="5040" w:hanging="360"/>
      </w:pPr>
      <w:rPr>
        <w:rFonts w:ascii="Symbol" w:hAnsi="Symbol" w:hint="default"/>
      </w:rPr>
    </w:lvl>
    <w:lvl w:ilvl="7" w:tplc="B01255DE" w:tentative="1">
      <w:start w:val="1"/>
      <w:numFmt w:val="bullet"/>
      <w:lvlText w:val="o"/>
      <w:lvlJc w:val="left"/>
      <w:pPr>
        <w:ind w:left="5760" w:hanging="360"/>
      </w:pPr>
      <w:rPr>
        <w:rFonts w:ascii="Courier New" w:hAnsi="Courier New" w:cs="Courier New" w:hint="default"/>
      </w:rPr>
    </w:lvl>
    <w:lvl w:ilvl="8" w:tplc="BAA49528" w:tentative="1">
      <w:start w:val="1"/>
      <w:numFmt w:val="bullet"/>
      <w:lvlText w:val=""/>
      <w:lvlJc w:val="left"/>
      <w:pPr>
        <w:ind w:left="6480" w:hanging="360"/>
      </w:pPr>
      <w:rPr>
        <w:rFonts w:ascii="Wingdings" w:hAnsi="Wingdings" w:hint="default"/>
      </w:rPr>
    </w:lvl>
  </w:abstractNum>
  <w:abstractNum w:abstractNumId="35" w15:restartNumberingAfterBreak="0">
    <w:nsid w:val="746C2FC5"/>
    <w:multiLevelType w:val="hybridMultilevel"/>
    <w:tmpl w:val="DF06A3A6"/>
    <w:lvl w:ilvl="0" w:tplc="F702CE0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D13B77"/>
    <w:multiLevelType w:val="hybridMultilevel"/>
    <w:tmpl w:val="A45E3298"/>
    <w:lvl w:ilvl="0" w:tplc="651425F4">
      <w:start w:val="1"/>
      <w:numFmt w:val="decimal"/>
      <w:lvlText w:val="%1."/>
      <w:lvlJc w:val="left"/>
      <w:pPr>
        <w:ind w:left="720" w:hanging="360"/>
      </w:pPr>
      <w:rPr>
        <w:rFonts w:hint="default"/>
      </w:rPr>
    </w:lvl>
    <w:lvl w:ilvl="1" w:tplc="5F445134" w:tentative="1">
      <w:start w:val="1"/>
      <w:numFmt w:val="lowerLetter"/>
      <w:lvlText w:val="%2."/>
      <w:lvlJc w:val="left"/>
      <w:pPr>
        <w:ind w:left="1440" w:hanging="360"/>
      </w:pPr>
    </w:lvl>
    <w:lvl w:ilvl="2" w:tplc="9C225C68" w:tentative="1">
      <w:start w:val="1"/>
      <w:numFmt w:val="lowerRoman"/>
      <w:lvlText w:val="%3."/>
      <w:lvlJc w:val="right"/>
      <w:pPr>
        <w:ind w:left="2160" w:hanging="180"/>
      </w:pPr>
    </w:lvl>
    <w:lvl w:ilvl="3" w:tplc="628887BE" w:tentative="1">
      <w:start w:val="1"/>
      <w:numFmt w:val="decimal"/>
      <w:lvlText w:val="%4."/>
      <w:lvlJc w:val="left"/>
      <w:pPr>
        <w:ind w:left="2880" w:hanging="360"/>
      </w:pPr>
    </w:lvl>
    <w:lvl w:ilvl="4" w:tplc="0DB43118" w:tentative="1">
      <w:start w:val="1"/>
      <w:numFmt w:val="lowerLetter"/>
      <w:lvlText w:val="%5."/>
      <w:lvlJc w:val="left"/>
      <w:pPr>
        <w:ind w:left="3600" w:hanging="360"/>
      </w:pPr>
    </w:lvl>
    <w:lvl w:ilvl="5" w:tplc="CE32EE62" w:tentative="1">
      <w:start w:val="1"/>
      <w:numFmt w:val="lowerRoman"/>
      <w:lvlText w:val="%6."/>
      <w:lvlJc w:val="right"/>
      <w:pPr>
        <w:ind w:left="4320" w:hanging="180"/>
      </w:pPr>
    </w:lvl>
    <w:lvl w:ilvl="6" w:tplc="BCF6AFA2" w:tentative="1">
      <w:start w:val="1"/>
      <w:numFmt w:val="decimal"/>
      <w:lvlText w:val="%7."/>
      <w:lvlJc w:val="left"/>
      <w:pPr>
        <w:ind w:left="5040" w:hanging="360"/>
      </w:pPr>
    </w:lvl>
    <w:lvl w:ilvl="7" w:tplc="4AEE03A2" w:tentative="1">
      <w:start w:val="1"/>
      <w:numFmt w:val="lowerLetter"/>
      <w:lvlText w:val="%8."/>
      <w:lvlJc w:val="left"/>
      <w:pPr>
        <w:ind w:left="5760" w:hanging="360"/>
      </w:pPr>
    </w:lvl>
    <w:lvl w:ilvl="8" w:tplc="A602286A" w:tentative="1">
      <w:start w:val="1"/>
      <w:numFmt w:val="lowerRoman"/>
      <w:lvlText w:val="%9."/>
      <w:lvlJc w:val="right"/>
      <w:pPr>
        <w:ind w:left="6480" w:hanging="180"/>
      </w:pPr>
    </w:lvl>
  </w:abstractNum>
  <w:abstractNum w:abstractNumId="37" w15:restartNumberingAfterBreak="0">
    <w:nsid w:val="77EB502D"/>
    <w:multiLevelType w:val="hybridMultilevel"/>
    <w:tmpl w:val="207481B2"/>
    <w:lvl w:ilvl="0" w:tplc="B1FECFB0">
      <w:start w:val="1"/>
      <w:numFmt w:val="bullet"/>
      <w:lvlText w:val=""/>
      <w:lvlJc w:val="left"/>
      <w:pPr>
        <w:ind w:left="720" w:hanging="360"/>
      </w:pPr>
      <w:rPr>
        <w:rFonts w:ascii="Symbol" w:hAnsi="Symbol" w:hint="default"/>
      </w:rPr>
    </w:lvl>
    <w:lvl w:ilvl="1" w:tplc="0AF247DA" w:tentative="1">
      <w:start w:val="1"/>
      <w:numFmt w:val="bullet"/>
      <w:lvlText w:val="o"/>
      <w:lvlJc w:val="left"/>
      <w:pPr>
        <w:ind w:left="1440" w:hanging="360"/>
      </w:pPr>
      <w:rPr>
        <w:rFonts w:ascii="Courier New" w:hAnsi="Courier New" w:cs="Courier New" w:hint="default"/>
      </w:rPr>
    </w:lvl>
    <w:lvl w:ilvl="2" w:tplc="C9764B8C" w:tentative="1">
      <w:start w:val="1"/>
      <w:numFmt w:val="bullet"/>
      <w:lvlText w:val=""/>
      <w:lvlJc w:val="left"/>
      <w:pPr>
        <w:ind w:left="2160" w:hanging="360"/>
      </w:pPr>
      <w:rPr>
        <w:rFonts w:ascii="Wingdings" w:hAnsi="Wingdings" w:hint="default"/>
      </w:rPr>
    </w:lvl>
    <w:lvl w:ilvl="3" w:tplc="D1F08206" w:tentative="1">
      <w:start w:val="1"/>
      <w:numFmt w:val="bullet"/>
      <w:lvlText w:val=""/>
      <w:lvlJc w:val="left"/>
      <w:pPr>
        <w:ind w:left="2880" w:hanging="360"/>
      </w:pPr>
      <w:rPr>
        <w:rFonts w:ascii="Symbol" w:hAnsi="Symbol" w:hint="default"/>
      </w:rPr>
    </w:lvl>
    <w:lvl w:ilvl="4" w:tplc="BBB219EE" w:tentative="1">
      <w:start w:val="1"/>
      <w:numFmt w:val="bullet"/>
      <w:lvlText w:val="o"/>
      <w:lvlJc w:val="left"/>
      <w:pPr>
        <w:ind w:left="3600" w:hanging="360"/>
      </w:pPr>
      <w:rPr>
        <w:rFonts w:ascii="Courier New" w:hAnsi="Courier New" w:cs="Courier New" w:hint="default"/>
      </w:rPr>
    </w:lvl>
    <w:lvl w:ilvl="5" w:tplc="0FFA2980" w:tentative="1">
      <w:start w:val="1"/>
      <w:numFmt w:val="bullet"/>
      <w:lvlText w:val=""/>
      <w:lvlJc w:val="left"/>
      <w:pPr>
        <w:ind w:left="4320" w:hanging="360"/>
      </w:pPr>
      <w:rPr>
        <w:rFonts w:ascii="Wingdings" w:hAnsi="Wingdings" w:hint="default"/>
      </w:rPr>
    </w:lvl>
    <w:lvl w:ilvl="6" w:tplc="9AB24EFE" w:tentative="1">
      <w:start w:val="1"/>
      <w:numFmt w:val="bullet"/>
      <w:lvlText w:val=""/>
      <w:lvlJc w:val="left"/>
      <w:pPr>
        <w:ind w:left="5040" w:hanging="360"/>
      </w:pPr>
      <w:rPr>
        <w:rFonts w:ascii="Symbol" w:hAnsi="Symbol" w:hint="default"/>
      </w:rPr>
    </w:lvl>
    <w:lvl w:ilvl="7" w:tplc="EB885734" w:tentative="1">
      <w:start w:val="1"/>
      <w:numFmt w:val="bullet"/>
      <w:lvlText w:val="o"/>
      <w:lvlJc w:val="left"/>
      <w:pPr>
        <w:ind w:left="5760" w:hanging="360"/>
      </w:pPr>
      <w:rPr>
        <w:rFonts w:ascii="Courier New" w:hAnsi="Courier New" w:cs="Courier New" w:hint="default"/>
      </w:rPr>
    </w:lvl>
    <w:lvl w:ilvl="8" w:tplc="BAE80AD6" w:tentative="1">
      <w:start w:val="1"/>
      <w:numFmt w:val="bullet"/>
      <w:lvlText w:val=""/>
      <w:lvlJc w:val="left"/>
      <w:pPr>
        <w:ind w:left="6480" w:hanging="360"/>
      </w:pPr>
      <w:rPr>
        <w:rFonts w:ascii="Wingdings" w:hAnsi="Wingdings" w:hint="default"/>
      </w:rPr>
    </w:lvl>
  </w:abstractNum>
  <w:abstractNum w:abstractNumId="38" w15:restartNumberingAfterBreak="0">
    <w:nsid w:val="7C870986"/>
    <w:multiLevelType w:val="multilevel"/>
    <w:tmpl w:val="11A8A9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8"/>
  </w:num>
  <w:num w:numId="2">
    <w:abstractNumId w:val="27"/>
  </w:num>
  <w:num w:numId="3">
    <w:abstractNumId w:val="38"/>
  </w:num>
  <w:num w:numId="4">
    <w:abstractNumId w:val="37"/>
  </w:num>
  <w:num w:numId="5">
    <w:abstractNumId w:val="23"/>
  </w:num>
  <w:num w:numId="6">
    <w:abstractNumId w:val="30"/>
  </w:num>
  <w:num w:numId="7">
    <w:abstractNumId w:val="8"/>
  </w:num>
  <w:num w:numId="8">
    <w:abstractNumId w:val="3"/>
  </w:num>
  <w:num w:numId="9">
    <w:abstractNumId w:val="32"/>
  </w:num>
  <w:num w:numId="10">
    <w:abstractNumId w:val="10"/>
  </w:num>
  <w:num w:numId="11">
    <w:abstractNumId w:val="17"/>
  </w:num>
  <w:num w:numId="12">
    <w:abstractNumId w:val="15"/>
  </w:num>
  <w:num w:numId="13">
    <w:abstractNumId w:val="19"/>
  </w:num>
  <w:num w:numId="14">
    <w:abstractNumId w:val="18"/>
  </w:num>
  <w:num w:numId="15">
    <w:abstractNumId w:val="21"/>
  </w:num>
  <w:num w:numId="16">
    <w:abstractNumId w:val="16"/>
  </w:num>
  <w:num w:numId="17">
    <w:abstractNumId w:val="12"/>
  </w:num>
  <w:num w:numId="18">
    <w:abstractNumId w:val="9"/>
  </w:num>
  <w:num w:numId="19">
    <w:abstractNumId w:val="6"/>
  </w:num>
  <w:num w:numId="20">
    <w:abstractNumId w:val="36"/>
  </w:num>
  <w:num w:numId="21">
    <w:abstractNumId w:val="31"/>
  </w:num>
  <w:num w:numId="22">
    <w:abstractNumId w:val="7"/>
  </w:num>
  <w:num w:numId="23">
    <w:abstractNumId w:val="25"/>
  </w:num>
  <w:num w:numId="24">
    <w:abstractNumId w:val="23"/>
  </w:num>
  <w:num w:numId="25">
    <w:abstractNumId w:val="23"/>
    <w:lvlOverride w:ilvl="0">
      <w:startOverride w:val="1"/>
    </w:lvlOverride>
  </w:num>
  <w:num w:numId="26">
    <w:abstractNumId w:val="33"/>
  </w:num>
  <w:num w:numId="27">
    <w:abstractNumId w:val="14"/>
  </w:num>
  <w:num w:numId="28">
    <w:abstractNumId w:val="24"/>
  </w:num>
  <w:num w:numId="29">
    <w:abstractNumId w:val="22"/>
  </w:num>
  <w:num w:numId="30">
    <w:abstractNumId w:val="5"/>
  </w:num>
  <w:num w:numId="31">
    <w:abstractNumId w:val="4"/>
  </w:num>
  <w:num w:numId="32">
    <w:abstractNumId w:val="0"/>
  </w:num>
  <w:num w:numId="33">
    <w:abstractNumId w:val="29"/>
  </w:num>
  <w:num w:numId="34">
    <w:abstractNumId w:val="11"/>
  </w:num>
  <w:num w:numId="35">
    <w:abstractNumId w:val="34"/>
  </w:num>
  <w:num w:numId="36">
    <w:abstractNumId w:val="1"/>
  </w:num>
  <w:num w:numId="37">
    <w:abstractNumId w:val="26"/>
  </w:num>
  <w:num w:numId="38">
    <w:abstractNumId w:val="20"/>
  </w:num>
  <w:num w:numId="39">
    <w:abstractNumId w:val="13"/>
  </w:num>
  <w:num w:numId="40">
    <w:abstractNumId w:val="2"/>
  </w:num>
  <w:num w:numId="41">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63"/>
    <w:rsid w:val="00000192"/>
    <w:rsid w:val="00000932"/>
    <w:rsid w:val="000015A0"/>
    <w:rsid w:val="000021B2"/>
    <w:rsid w:val="0000290E"/>
    <w:rsid w:val="00002A51"/>
    <w:rsid w:val="00004A85"/>
    <w:rsid w:val="00004DD2"/>
    <w:rsid w:val="00005898"/>
    <w:rsid w:val="00006515"/>
    <w:rsid w:val="00006A7F"/>
    <w:rsid w:val="000075DC"/>
    <w:rsid w:val="00007694"/>
    <w:rsid w:val="000103D2"/>
    <w:rsid w:val="0001087A"/>
    <w:rsid w:val="00010B18"/>
    <w:rsid w:val="00010C87"/>
    <w:rsid w:val="00012C11"/>
    <w:rsid w:val="000148FA"/>
    <w:rsid w:val="0001660A"/>
    <w:rsid w:val="00016AA8"/>
    <w:rsid w:val="00020301"/>
    <w:rsid w:val="00020A4B"/>
    <w:rsid w:val="00021601"/>
    <w:rsid w:val="00021B61"/>
    <w:rsid w:val="00022765"/>
    <w:rsid w:val="00022AB8"/>
    <w:rsid w:val="000255C9"/>
    <w:rsid w:val="00025EE4"/>
    <w:rsid w:val="00026617"/>
    <w:rsid w:val="000300D4"/>
    <w:rsid w:val="000301A2"/>
    <w:rsid w:val="00030BA0"/>
    <w:rsid w:val="0003126F"/>
    <w:rsid w:val="000315CA"/>
    <w:rsid w:val="00031B16"/>
    <w:rsid w:val="00031D6A"/>
    <w:rsid w:val="00032116"/>
    <w:rsid w:val="00032A2F"/>
    <w:rsid w:val="0003342C"/>
    <w:rsid w:val="00034209"/>
    <w:rsid w:val="000344D7"/>
    <w:rsid w:val="00034E68"/>
    <w:rsid w:val="00036E98"/>
    <w:rsid w:val="00037555"/>
    <w:rsid w:val="00037A77"/>
    <w:rsid w:val="0004078C"/>
    <w:rsid w:val="00040808"/>
    <w:rsid w:val="00040FA1"/>
    <w:rsid w:val="00041156"/>
    <w:rsid w:val="00041569"/>
    <w:rsid w:val="00041A69"/>
    <w:rsid w:val="00042E50"/>
    <w:rsid w:val="0004311F"/>
    <w:rsid w:val="000432D6"/>
    <w:rsid w:val="00044858"/>
    <w:rsid w:val="0004651D"/>
    <w:rsid w:val="00046EFE"/>
    <w:rsid w:val="0005054A"/>
    <w:rsid w:val="00050723"/>
    <w:rsid w:val="000513C3"/>
    <w:rsid w:val="00051F1E"/>
    <w:rsid w:val="000520E2"/>
    <w:rsid w:val="0005371B"/>
    <w:rsid w:val="000540FC"/>
    <w:rsid w:val="00054248"/>
    <w:rsid w:val="00054833"/>
    <w:rsid w:val="0005565A"/>
    <w:rsid w:val="00055935"/>
    <w:rsid w:val="00055D97"/>
    <w:rsid w:val="00056D82"/>
    <w:rsid w:val="000570BD"/>
    <w:rsid w:val="00057447"/>
    <w:rsid w:val="000579F3"/>
    <w:rsid w:val="00060429"/>
    <w:rsid w:val="00061C4B"/>
    <w:rsid w:val="00063131"/>
    <w:rsid w:val="0006438D"/>
    <w:rsid w:val="00064945"/>
    <w:rsid w:val="00064AC2"/>
    <w:rsid w:val="000658D1"/>
    <w:rsid w:val="00066240"/>
    <w:rsid w:val="00067DDE"/>
    <w:rsid w:val="00070A17"/>
    <w:rsid w:val="00070B8A"/>
    <w:rsid w:val="0007227E"/>
    <w:rsid w:val="00072511"/>
    <w:rsid w:val="00072EB7"/>
    <w:rsid w:val="000730B1"/>
    <w:rsid w:val="000739AF"/>
    <w:rsid w:val="00073DB3"/>
    <w:rsid w:val="00073F1E"/>
    <w:rsid w:val="00075209"/>
    <w:rsid w:val="000752E1"/>
    <w:rsid w:val="00077F95"/>
    <w:rsid w:val="000802AE"/>
    <w:rsid w:val="00080386"/>
    <w:rsid w:val="00081E26"/>
    <w:rsid w:val="00082AE1"/>
    <w:rsid w:val="00083C5B"/>
    <w:rsid w:val="00083DBA"/>
    <w:rsid w:val="00090BAF"/>
    <w:rsid w:val="000915EF"/>
    <w:rsid w:val="00091A90"/>
    <w:rsid w:val="00091E9C"/>
    <w:rsid w:val="00092CE3"/>
    <w:rsid w:val="00092E0F"/>
    <w:rsid w:val="0009333A"/>
    <w:rsid w:val="0009336C"/>
    <w:rsid w:val="0009337A"/>
    <w:rsid w:val="00093ACF"/>
    <w:rsid w:val="00095594"/>
    <w:rsid w:val="0009635D"/>
    <w:rsid w:val="0009641B"/>
    <w:rsid w:val="00097F4E"/>
    <w:rsid w:val="000A0884"/>
    <w:rsid w:val="000A2103"/>
    <w:rsid w:val="000A21B8"/>
    <w:rsid w:val="000A35D1"/>
    <w:rsid w:val="000A4227"/>
    <w:rsid w:val="000A4471"/>
    <w:rsid w:val="000A5351"/>
    <w:rsid w:val="000A56F7"/>
    <w:rsid w:val="000A6CAC"/>
    <w:rsid w:val="000B17E0"/>
    <w:rsid w:val="000B3F77"/>
    <w:rsid w:val="000B4E5B"/>
    <w:rsid w:val="000B4F18"/>
    <w:rsid w:val="000B5E04"/>
    <w:rsid w:val="000B6A7D"/>
    <w:rsid w:val="000B7723"/>
    <w:rsid w:val="000C0147"/>
    <w:rsid w:val="000C112B"/>
    <w:rsid w:val="000C1BE2"/>
    <w:rsid w:val="000C1F15"/>
    <w:rsid w:val="000C222F"/>
    <w:rsid w:val="000C29B3"/>
    <w:rsid w:val="000C4083"/>
    <w:rsid w:val="000C418C"/>
    <w:rsid w:val="000C484E"/>
    <w:rsid w:val="000C75A9"/>
    <w:rsid w:val="000D00BB"/>
    <w:rsid w:val="000D1D8F"/>
    <w:rsid w:val="000D20AF"/>
    <w:rsid w:val="000D2AC0"/>
    <w:rsid w:val="000D5819"/>
    <w:rsid w:val="000D6413"/>
    <w:rsid w:val="000D6EB6"/>
    <w:rsid w:val="000D73E0"/>
    <w:rsid w:val="000D74EC"/>
    <w:rsid w:val="000E02D0"/>
    <w:rsid w:val="000E1494"/>
    <w:rsid w:val="000E1F77"/>
    <w:rsid w:val="000E2A5C"/>
    <w:rsid w:val="000E2EBB"/>
    <w:rsid w:val="000E31AC"/>
    <w:rsid w:val="000E3A95"/>
    <w:rsid w:val="000E3EC4"/>
    <w:rsid w:val="000E43EB"/>
    <w:rsid w:val="000E5A4A"/>
    <w:rsid w:val="000E5BBA"/>
    <w:rsid w:val="000E73AE"/>
    <w:rsid w:val="000E76A9"/>
    <w:rsid w:val="000F02E3"/>
    <w:rsid w:val="000F0799"/>
    <w:rsid w:val="000F0D5B"/>
    <w:rsid w:val="000F1551"/>
    <w:rsid w:val="000F1E6C"/>
    <w:rsid w:val="000F329C"/>
    <w:rsid w:val="000F3517"/>
    <w:rsid w:val="000F43A5"/>
    <w:rsid w:val="000F5079"/>
    <w:rsid w:val="000F54EC"/>
    <w:rsid w:val="000F6789"/>
    <w:rsid w:val="000F744A"/>
    <w:rsid w:val="000F7B9A"/>
    <w:rsid w:val="001008A6"/>
    <w:rsid w:val="00101030"/>
    <w:rsid w:val="001014A8"/>
    <w:rsid w:val="00101E07"/>
    <w:rsid w:val="00102030"/>
    <w:rsid w:val="00102E06"/>
    <w:rsid w:val="00103774"/>
    <w:rsid w:val="001038D3"/>
    <w:rsid w:val="0010397D"/>
    <w:rsid w:val="001039C6"/>
    <w:rsid w:val="001043C9"/>
    <w:rsid w:val="00104EB1"/>
    <w:rsid w:val="001053B8"/>
    <w:rsid w:val="001067DC"/>
    <w:rsid w:val="00106CA4"/>
    <w:rsid w:val="00106E63"/>
    <w:rsid w:val="00106F23"/>
    <w:rsid w:val="00110C06"/>
    <w:rsid w:val="00110C30"/>
    <w:rsid w:val="00111226"/>
    <w:rsid w:val="001115B9"/>
    <w:rsid w:val="0011211E"/>
    <w:rsid w:val="00112BBB"/>
    <w:rsid w:val="00112DA8"/>
    <w:rsid w:val="00113D9D"/>
    <w:rsid w:val="00114542"/>
    <w:rsid w:val="00114B2F"/>
    <w:rsid w:val="00114C27"/>
    <w:rsid w:val="00116086"/>
    <w:rsid w:val="0011639B"/>
    <w:rsid w:val="0011658E"/>
    <w:rsid w:val="0011666E"/>
    <w:rsid w:val="001170D1"/>
    <w:rsid w:val="0011712B"/>
    <w:rsid w:val="00117453"/>
    <w:rsid w:val="00117CB3"/>
    <w:rsid w:val="00120567"/>
    <w:rsid w:val="00120EAA"/>
    <w:rsid w:val="0012492B"/>
    <w:rsid w:val="00125D95"/>
    <w:rsid w:val="001273D0"/>
    <w:rsid w:val="0013041E"/>
    <w:rsid w:val="001311BE"/>
    <w:rsid w:val="00131DD4"/>
    <w:rsid w:val="001325A2"/>
    <w:rsid w:val="00132777"/>
    <w:rsid w:val="00132D38"/>
    <w:rsid w:val="00132EBC"/>
    <w:rsid w:val="0013353D"/>
    <w:rsid w:val="00135624"/>
    <w:rsid w:val="00135676"/>
    <w:rsid w:val="0013651C"/>
    <w:rsid w:val="001377B5"/>
    <w:rsid w:val="00137947"/>
    <w:rsid w:val="00140AA1"/>
    <w:rsid w:val="00141293"/>
    <w:rsid w:val="00141496"/>
    <w:rsid w:val="00141F66"/>
    <w:rsid w:val="00142408"/>
    <w:rsid w:val="001425FD"/>
    <w:rsid w:val="0014270A"/>
    <w:rsid w:val="0014296D"/>
    <w:rsid w:val="00143408"/>
    <w:rsid w:val="00143C0C"/>
    <w:rsid w:val="00144E33"/>
    <w:rsid w:val="0014577C"/>
    <w:rsid w:val="00145C9E"/>
    <w:rsid w:val="00146D43"/>
    <w:rsid w:val="001472DF"/>
    <w:rsid w:val="0014746E"/>
    <w:rsid w:val="00150034"/>
    <w:rsid w:val="00150E08"/>
    <w:rsid w:val="001518C4"/>
    <w:rsid w:val="00151F46"/>
    <w:rsid w:val="00152F09"/>
    <w:rsid w:val="0015305D"/>
    <w:rsid w:val="00153429"/>
    <w:rsid w:val="00153F11"/>
    <w:rsid w:val="001549EA"/>
    <w:rsid w:val="00154BD0"/>
    <w:rsid w:val="00155389"/>
    <w:rsid w:val="001554E2"/>
    <w:rsid w:val="00156C53"/>
    <w:rsid w:val="00157D5D"/>
    <w:rsid w:val="00160281"/>
    <w:rsid w:val="001602EC"/>
    <w:rsid w:val="001607AA"/>
    <w:rsid w:val="00160CDC"/>
    <w:rsid w:val="0016112D"/>
    <w:rsid w:val="001638D7"/>
    <w:rsid w:val="001645FE"/>
    <w:rsid w:val="00164EA0"/>
    <w:rsid w:val="0016777E"/>
    <w:rsid w:val="00170C00"/>
    <w:rsid w:val="0017117A"/>
    <w:rsid w:val="001719E2"/>
    <w:rsid w:val="00171A8D"/>
    <w:rsid w:val="00171D0F"/>
    <w:rsid w:val="00171F47"/>
    <w:rsid w:val="001725BF"/>
    <w:rsid w:val="00176C15"/>
    <w:rsid w:val="00176EF2"/>
    <w:rsid w:val="0017716B"/>
    <w:rsid w:val="001802DB"/>
    <w:rsid w:val="001808CC"/>
    <w:rsid w:val="00180E9D"/>
    <w:rsid w:val="001813D2"/>
    <w:rsid w:val="00181484"/>
    <w:rsid w:val="0018148A"/>
    <w:rsid w:val="00182270"/>
    <w:rsid w:val="00182710"/>
    <w:rsid w:val="00185B8B"/>
    <w:rsid w:val="00185D85"/>
    <w:rsid w:val="0018649B"/>
    <w:rsid w:val="00186D1F"/>
    <w:rsid w:val="00190B17"/>
    <w:rsid w:val="001916DD"/>
    <w:rsid w:val="00191820"/>
    <w:rsid w:val="00192409"/>
    <w:rsid w:val="001937A5"/>
    <w:rsid w:val="00193B76"/>
    <w:rsid w:val="00195255"/>
    <w:rsid w:val="00195563"/>
    <w:rsid w:val="00196CB7"/>
    <w:rsid w:val="0019730C"/>
    <w:rsid w:val="001974EF"/>
    <w:rsid w:val="00197BBE"/>
    <w:rsid w:val="001A1844"/>
    <w:rsid w:val="001A44AD"/>
    <w:rsid w:val="001A44E1"/>
    <w:rsid w:val="001A470F"/>
    <w:rsid w:val="001A4F52"/>
    <w:rsid w:val="001A523D"/>
    <w:rsid w:val="001A56EF"/>
    <w:rsid w:val="001A5715"/>
    <w:rsid w:val="001A659D"/>
    <w:rsid w:val="001A69FF"/>
    <w:rsid w:val="001A6F98"/>
    <w:rsid w:val="001A6FD8"/>
    <w:rsid w:val="001A707E"/>
    <w:rsid w:val="001B0011"/>
    <w:rsid w:val="001B0745"/>
    <w:rsid w:val="001B1184"/>
    <w:rsid w:val="001B1B7C"/>
    <w:rsid w:val="001B1CCF"/>
    <w:rsid w:val="001B1DEE"/>
    <w:rsid w:val="001B339C"/>
    <w:rsid w:val="001B4851"/>
    <w:rsid w:val="001B60C7"/>
    <w:rsid w:val="001B6436"/>
    <w:rsid w:val="001B66D7"/>
    <w:rsid w:val="001B6995"/>
    <w:rsid w:val="001B72F6"/>
    <w:rsid w:val="001C1318"/>
    <w:rsid w:val="001C25B6"/>
    <w:rsid w:val="001C4520"/>
    <w:rsid w:val="001C4F93"/>
    <w:rsid w:val="001C6019"/>
    <w:rsid w:val="001C6636"/>
    <w:rsid w:val="001C7285"/>
    <w:rsid w:val="001C7CA8"/>
    <w:rsid w:val="001C7CFA"/>
    <w:rsid w:val="001D096D"/>
    <w:rsid w:val="001D102F"/>
    <w:rsid w:val="001D1480"/>
    <w:rsid w:val="001D3108"/>
    <w:rsid w:val="001D34B4"/>
    <w:rsid w:val="001D380D"/>
    <w:rsid w:val="001D38B1"/>
    <w:rsid w:val="001D3B37"/>
    <w:rsid w:val="001D3E51"/>
    <w:rsid w:val="001D4979"/>
    <w:rsid w:val="001D537C"/>
    <w:rsid w:val="001D5841"/>
    <w:rsid w:val="001D65E2"/>
    <w:rsid w:val="001D72B8"/>
    <w:rsid w:val="001D7F03"/>
    <w:rsid w:val="001E0687"/>
    <w:rsid w:val="001E0975"/>
    <w:rsid w:val="001E09C2"/>
    <w:rsid w:val="001E0FB2"/>
    <w:rsid w:val="001E0FF6"/>
    <w:rsid w:val="001E1A03"/>
    <w:rsid w:val="001E1AC2"/>
    <w:rsid w:val="001E1C66"/>
    <w:rsid w:val="001E1F9A"/>
    <w:rsid w:val="001E1FC5"/>
    <w:rsid w:val="001E28B7"/>
    <w:rsid w:val="001E3C59"/>
    <w:rsid w:val="001E42CE"/>
    <w:rsid w:val="001E4D47"/>
    <w:rsid w:val="001E5C1D"/>
    <w:rsid w:val="001E6B5E"/>
    <w:rsid w:val="001E71C0"/>
    <w:rsid w:val="001E727C"/>
    <w:rsid w:val="001E7763"/>
    <w:rsid w:val="001E7C12"/>
    <w:rsid w:val="001F0105"/>
    <w:rsid w:val="001F06FA"/>
    <w:rsid w:val="001F2712"/>
    <w:rsid w:val="001F27F0"/>
    <w:rsid w:val="001F46DC"/>
    <w:rsid w:val="001F48ED"/>
    <w:rsid w:val="001F4A2E"/>
    <w:rsid w:val="001F4DE1"/>
    <w:rsid w:val="001F60A7"/>
    <w:rsid w:val="001F6559"/>
    <w:rsid w:val="001F7210"/>
    <w:rsid w:val="002003AA"/>
    <w:rsid w:val="0020068C"/>
    <w:rsid w:val="00200F94"/>
    <w:rsid w:val="00200FCF"/>
    <w:rsid w:val="00201BEB"/>
    <w:rsid w:val="00202567"/>
    <w:rsid w:val="0020490C"/>
    <w:rsid w:val="00206AAE"/>
    <w:rsid w:val="00206B14"/>
    <w:rsid w:val="0020708D"/>
    <w:rsid w:val="0020755C"/>
    <w:rsid w:val="00207919"/>
    <w:rsid w:val="00211AF8"/>
    <w:rsid w:val="002131B1"/>
    <w:rsid w:val="00214E0B"/>
    <w:rsid w:val="0021516C"/>
    <w:rsid w:val="00216129"/>
    <w:rsid w:val="0021735E"/>
    <w:rsid w:val="002207CE"/>
    <w:rsid w:val="00220D75"/>
    <w:rsid w:val="00224EFC"/>
    <w:rsid w:val="002250BB"/>
    <w:rsid w:val="00226A4D"/>
    <w:rsid w:val="00226B51"/>
    <w:rsid w:val="00227A01"/>
    <w:rsid w:val="00230C0A"/>
    <w:rsid w:val="00231CC1"/>
    <w:rsid w:val="00234375"/>
    <w:rsid w:val="00234414"/>
    <w:rsid w:val="0023502E"/>
    <w:rsid w:val="0023533E"/>
    <w:rsid w:val="00237F8E"/>
    <w:rsid w:val="00240DF8"/>
    <w:rsid w:val="00241100"/>
    <w:rsid w:val="002413F9"/>
    <w:rsid w:val="00242300"/>
    <w:rsid w:val="00243374"/>
    <w:rsid w:val="00243C07"/>
    <w:rsid w:val="00243FE4"/>
    <w:rsid w:val="00244D10"/>
    <w:rsid w:val="002451C5"/>
    <w:rsid w:val="00245856"/>
    <w:rsid w:val="0024600F"/>
    <w:rsid w:val="002468DA"/>
    <w:rsid w:val="00250A4D"/>
    <w:rsid w:val="00250B7B"/>
    <w:rsid w:val="00251111"/>
    <w:rsid w:val="00252B71"/>
    <w:rsid w:val="00252CA2"/>
    <w:rsid w:val="00252D6A"/>
    <w:rsid w:val="002533F8"/>
    <w:rsid w:val="00253560"/>
    <w:rsid w:val="00253FBB"/>
    <w:rsid w:val="00256905"/>
    <w:rsid w:val="00257CA3"/>
    <w:rsid w:val="00260533"/>
    <w:rsid w:val="00260792"/>
    <w:rsid w:val="00260FE7"/>
    <w:rsid w:val="002616C5"/>
    <w:rsid w:val="00263465"/>
    <w:rsid w:val="002640E9"/>
    <w:rsid w:val="00264143"/>
    <w:rsid w:val="00264646"/>
    <w:rsid w:val="00264ED6"/>
    <w:rsid w:val="0026560A"/>
    <w:rsid w:val="00266941"/>
    <w:rsid w:val="00267A85"/>
    <w:rsid w:val="002749F4"/>
    <w:rsid w:val="00274D36"/>
    <w:rsid w:val="00275E07"/>
    <w:rsid w:val="00276D65"/>
    <w:rsid w:val="00277148"/>
    <w:rsid w:val="00277615"/>
    <w:rsid w:val="00277FA4"/>
    <w:rsid w:val="00280592"/>
    <w:rsid w:val="002806E6"/>
    <w:rsid w:val="00280782"/>
    <w:rsid w:val="00280863"/>
    <w:rsid w:val="00280CCE"/>
    <w:rsid w:val="002813AE"/>
    <w:rsid w:val="00281579"/>
    <w:rsid w:val="00281DE4"/>
    <w:rsid w:val="00283146"/>
    <w:rsid w:val="00284FEC"/>
    <w:rsid w:val="002862DE"/>
    <w:rsid w:val="0028690D"/>
    <w:rsid w:val="00287E52"/>
    <w:rsid w:val="00291C07"/>
    <w:rsid w:val="00292C76"/>
    <w:rsid w:val="002939DB"/>
    <w:rsid w:val="00293B21"/>
    <w:rsid w:val="00293F1E"/>
    <w:rsid w:val="00294412"/>
    <w:rsid w:val="00295CE1"/>
    <w:rsid w:val="002970D3"/>
    <w:rsid w:val="00297304"/>
    <w:rsid w:val="002978CB"/>
    <w:rsid w:val="00297A08"/>
    <w:rsid w:val="002A01F8"/>
    <w:rsid w:val="002A07D6"/>
    <w:rsid w:val="002A1785"/>
    <w:rsid w:val="002A233C"/>
    <w:rsid w:val="002A29F6"/>
    <w:rsid w:val="002A2F89"/>
    <w:rsid w:val="002A318B"/>
    <w:rsid w:val="002A37B6"/>
    <w:rsid w:val="002A40E6"/>
    <w:rsid w:val="002A4E19"/>
    <w:rsid w:val="002A52B4"/>
    <w:rsid w:val="002A53A0"/>
    <w:rsid w:val="002A56CC"/>
    <w:rsid w:val="002A5983"/>
    <w:rsid w:val="002A59A3"/>
    <w:rsid w:val="002A5A47"/>
    <w:rsid w:val="002A5EF4"/>
    <w:rsid w:val="002A6714"/>
    <w:rsid w:val="002A68FA"/>
    <w:rsid w:val="002A690A"/>
    <w:rsid w:val="002A6D78"/>
    <w:rsid w:val="002A7AA5"/>
    <w:rsid w:val="002B2C66"/>
    <w:rsid w:val="002B2EE7"/>
    <w:rsid w:val="002B44FE"/>
    <w:rsid w:val="002B5840"/>
    <w:rsid w:val="002B5BB7"/>
    <w:rsid w:val="002B7942"/>
    <w:rsid w:val="002B7A89"/>
    <w:rsid w:val="002C0C75"/>
    <w:rsid w:val="002C0D33"/>
    <w:rsid w:val="002C0DCD"/>
    <w:rsid w:val="002C0EC8"/>
    <w:rsid w:val="002C1D07"/>
    <w:rsid w:val="002C1DB8"/>
    <w:rsid w:val="002C2012"/>
    <w:rsid w:val="002C20E7"/>
    <w:rsid w:val="002C25D9"/>
    <w:rsid w:val="002C345C"/>
    <w:rsid w:val="002C454D"/>
    <w:rsid w:val="002C4CE0"/>
    <w:rsid w:val="002C4DBC"/>
    <w:rsid w:val="002C4DDA"/>
    <w:rsid w:val="002C5447"/>
    <w:rsid w:val="002C5E38"/>
    <w:rsid w:val="002C6FC2"/>
    <w:rsid w:val="002C70A7"/>
    <w:rsid w:val="002D1457"/>
    <w:rsid w:val="002D1B32"/>
    <w:rsid w:val="002D1CA7"/>
    <w:rsid w:val="002D2BEF"/>
    <w:rsid w:val="002D3136"/>
    <w:rsid w:val="002D40AC"/>
    <w:rsid w:val="002D41E9"/>
    <w:rsid w:val="002D51B1"/>
    <w:rsid w:val="002D578C"/>
    <w:rsid w:val="002D5DA9"/>
    <w:rsid w:val="002D7214"/>
    <w:rsid w:val="002D7D8B"/>
    <w:rsid w:val="002E046A"/>
    <w:rsid w:val="002E0F67"/>
    <w:rsid w:val="002E1D2E"/>
    <w:rsid w:val="002E1FBE"/>
    <w:rsid w:val="002E387B"/>
    <w:rsid w:val="002E47BE"/>
    <w:rsid w:val="002E5CE3"/>
    <w:rsid w:val="002E5F80"/>
    <w:rsid w:val="002E6450"/>
    <w:rsid w:val="002E691C"/>
    <w:rsid w:val="002E6A06"/>
    <w:rsid w:val="002E70FD"/>
    <w:rsid w:val="002E79B7"/>
    <w:rsid w:val="002F10F8"/>
    <w:rsid w:val="002F2D86"/>
    <w:rsid w:val="002F2DE1"/>
    <w:rsid w:val="002F3C93"/>
    <w:rsid w:val="002F3D38"/>
    <w:rsid w:val="002F47B8"/>
    <w:rsid w:val="002F573B"/>
    <w:rsid w:val="002F5905"/>
    <w:rsid w:val="002F7495"/>
    <w:rsid w:val="002F781B"/>
    <w:rsid w:val="002F78FF"/>
    <w:rsid w:val="002F7C55"/>
    <w:rsid w:val="002F7EA5"/>
    <w:rsid w:val="00300066"/>
    <w:rsid w:val="00301647"/>
    <w:rsid w:val="00302120"/>
    <w:rsid w:val="00302601"/>
    <w:rsid w:val="003028EA"/>
    <w:rsid w:val="00303E5F"/>
    <w:rsid w:val="00304A20"/>
    <w:rsid w:val="00305622"/>
    <w:rsid w:val="00306984"/>
    <w:rsid w:val="00306D30"/>
    <w:rsid w:val="003109C3"/>
    <w:rsid w:val="00310D05"/>
    <w:rsid w:val="00310EED"/>
    <w:rsid w:val="003113AE"/>
    <w:rsid w:val="003116BA"/>
    <w:rsid w:val="00311705"/>
    <w:rsid w:val="00312836"/>
    <w:rsid w:val="00312C9C"/>
    <w:rsid w:val="00313199"/>
    <w:rsid w:val="00314B4A"/>
    <w:rsid w:val="003153EB"/>
    <w:rsid w:val="003153F4"/>
    <w:rsid w:val="0031551F"/>
    <w:rsid w:val="00315B41"/>
    <w:rsid w:val="00316C7A"/>
    <w:rsid w:val="003202FF"/>
    <w:rsid w:val="003206AD"/>
    <w:rsid w:val="00320B90"/>
    <w:rsid w:val="00320EE0"/>
    <w:rsid w:val="00321C92"/>
    <w:rsid w:val="00321CA1"/>
    <w:rsid w:val="00323160"/>
    <w:rsid w:val="00323B15"/>
    <w:rsid w:val="003241C2"/>
    <w:rsid w:val="003243F9"/>
    <w:rsid w:val="0032608B"/>
    <w:rsid w:val="003265B0"/>
    <w:rsid w:val="0033034D"/>
    <w:rsid w:val="00330F14"/>
    <w:rsid w:val="00331690"/>
    <w:rsid w:val="00332004"/>
    <w:rsid w:val="003330D5"/>
    <w:rsid w:val="00333E99"/>
    <w:rsid w:val="0033626F"/>
    <w:rsid w:val="003378D0"/>
    <w:rsid w:val="00337A41"/>
    <w:rsid w:val="003400FC"/>
    <w:rsid w:val="003402BA"/>
    <w:rsid w:val="00340565"/>
    <w:rsid w:val="003408C1"/>
    <w:rsid w:val="00340EBC"/>
    <w:rsid w:val="00341096"/>
    <w:rsid w:val="003417B6"/>
    <w:rsid w:val="00343320"/>
    <w:rsid w:val="00343563"/>
    <w:rsid w:val="0034379D"/>
    <w:rsid w:val="0034414D"/>
    <w:rsid w:val="0034422E"/>
    <w:rsid w:val="003447CB"/>
    <w:rsid w:val="00345BED"/>
    <w:rsid w:val="0034607C"/>
    <w:rsid w:val="003465DC"/>
    <w:rsid w:val="00346B98"/>
    <w:rsid w:val="00346D15"/>
    <w:rsid w:val="003507D2"/>
    <w:rsid w:val="003516CE"/>
    <w:rsid w:val="00352836"/>
    <w:rsid w:val="003528EA"/>
    <w:rsid w:val="00353783"/>
    <w:rsid w:val="00354107"/>
    <w:rsid w:val="0035485C"/>
    <w:rsid w:val="00354DC9"/>
    <w:rsid w:val="00355767"/>
    <w:rsid w:val="00356EFC"/>
    <w:rsid w:val="00357F49"/>
    <w:rsid w:val="003607FA"/>
    <w:rsid w:val="0036124A"/>
    <w:rsid w:val="0036276A"/>
    <w:rsid w:val="0036346F"/>
    <w:rsid w:val="00363477"/>
    <w:rsid w:val="00363ECA"/>
    <w:rsid w:val="003645AF"/>
    <w:rsid w:val="00364B62"/>
    <w:rsid w:val="00364D2B"/>
    <w:rsid w:val="00365168"/>
    <w:rsid w:val="0036544B"/>
    <w:rsid w:val="00365FFD"/>
    <w:rsid w:val="00366356"/>
    <w:rsid w:val="003669EF"/>
    <w:rsid w:val="00367C6D"/>
    <w:rsid w:val="00371A96"/>
    <w:rsid w:val="003723DB"/>
    <w:rsid w:val="003727C9"/>
    <w:rsid w:val="00372978"/>
    <w:rsid w:val="0037342C"/>
    <w:rsid w:val="00373766"/>
    <w:rsid w:val="00373938"/>
    <w:rsid w:val="00374690"/>
    <w:rsid w:val="003746B7"/>
    <w:rsid w:val="0037641D"/>
    <w:rsid w:val="0037666A"/>
    <w:rsid w:val="003767AD"/>
    <w:rsid w:val="00376A1A"/>
    <w:rsid w:val="00376A68"/>
    <w:rsid w:val="00376C33"/>
    <w:rsid w:val="00377099"/>
    <w:rsid w:val="00381D1D"/>
    <w:rsid w:val="00382352"/>
    <w:rsid w:val="0038275B"/>
    <w:rsid w:val="0038301D"/>
    <w:rsid w:val="00383329"/>
    <w:rsid w:val="00383ED6"/>
    <w:rsid w:val="00384127"/>
    <w:rsid w:val="00385630"/>
    <w:rsid w:val="00385E84"/>
    <w:rsid w:val="003861BA"/>
    <w:rsid w:val="0038662A"/>
    <w:rsid w:val="00386C95"/>
    <w:rsid w:val="00387471"/>
    <w:rsid w:val="003874F0"/>
    <w:rsid w:val="00387A93"/>
    <w:rsid w:val="00391B51"/>
    <w:rsid w:val="00393D50"/>
    <w:rsid w:val="00394AAC"/>
    <w:rsid w:val="00395A65"/>
    <w:rsid w:val="003978AF"/>
    <w:rsid w:val="003A046A"/>
    <w:rsid w:val="003A1F00"/>
    <w:rsid w:val="003A1F4B"/>
    <w:rsid w:val="003A2709"/>
    <w:rsid w:val="003A3CBD"/>
    <w:rsid w:val="003A462C"/>
    <w:rsid w:val="003A5076"/>
    <w:rsid w:val="003A55A5"/>
    <w:rsid w:val="003A614F"/>
    <w:rsid w:val="003A7B37"/>
    <w:rsid w:val="003B0380"/>
    <w:rsid w:val="003B1C4E"/>
    <w:rsid w:val="003B1F1F"/>
    <w:rsid w:val="003B2435"/>
    <w:rsid w:val="003B260A"/>
    <w:rsid w:val="003B40E2"/>
    <w:rsid w:val="003B5119"/>
    <w:rsid w:val="003B53C5"/>
    <w:rsid w:val="003B62C4"/>
    <w:rsid w:val="003B6B77"/>
    <w:rsid w:val="003C0503"/>
    <w:rsid w:val="003C198B"/>
    <w:rsid w:val="003C2281"/>
    <w:rsid w:val="003C25C1"/>
    <w:rsid w:val="003C28D0"/>
    <w:rsid w:val="003C30B1"/>
    <w:rsid w:val="003C3B31"/>
    <w:rsid w:val="003C3CA9"/>
    <w:rsid w:val="003C49FA"/>
    <w:rsid w:val="003C5AC9"/>
    <w:rsid w:val="003C5D83"/>
    <w:rsid w:val="003C7690"/>
    <w:rsid w:val="003D1368"/>
    <w:rsid w:val="003D1C56"/>
    <w:rsid w:val="003D2A24"/>
    <w:rsid w:val="003D382F"/>
    <w:rsid w:val="003D41C0"/>
    <w:rsid w:val="003D5D72"/>
    <w:rsid w:val="003D69F1"/>
    <w:rsid w:val="003D748A"/>
    <w:rsid w:val="003D79EB"/>
    <w:rsid w:val="003E0A7D"/>
    <w:rsid w:val="003E12CD"/>
    <w:rsid w:val="003E15F5"/>
    <w:rsid w:val="003E258B"/>
    <w:rsid w:val="003E2E16"/>
    <w:rsid w:val="003E310B"/>
    <w:rsid w:val="003E41A8"/>
    <w:rsid w:val="003E4B5E"/>
    <w:rsid w:val="003E548B"/>
    <w:rsid w:val="003E5C25"/>
    <w:rsid w:val="003E5EB2"/>
    <w:rsid w:val="003E5FA5"/>
    <w:rsid w:val="003E64B4"/>
    <w:rsid w:val="003E6895"/>
    <w:rsid w:val="003E7FFE"/>
    <w:rsid w:val="003F0D6A"/>
    <w:rsid w:val="003F2100"/>
    <w:rsid w:val="003F2B97"/>
    <w:rsid w:val="003F3299"/>
    <w:rsid w:val="003F3908"/>
    <w:rsid w:val="003F3E99"/>
    <w:rsid w:val="003F4704"/>
    <w:rsid w:val="003F5C4E"/>
    <w:rsid w:val="003F5C5C"/>
    <w:rsid w:val="003F5E0A"/>
    <w:rsid w:val="003F5E5E"/>
    <w:rsid w:val="003F758F"/>
    <w:rsid w:val="003F7ED4"/>
    <w:rsid w:val="00400024"/>
    <w:rsid w:val="004007DC"/>
    <w:rsid w:val="00400EBF"/>
    <w:rsid w:val="004024CF"/>
    <w:rsid w:val="0040286D"/>
    <w:rsid w:val="00402B02"/>
    <w:rsid w:val="00403916"/>
    <w:rsid w:val="004043C2"/>
    <w:rsid w:val="00404A8A"/>
    <w:rsid w:val="0040546F"/>
    <w:rsid w:val="00405755"/>
    <w:rsid w:val="00405F4F"/>
    <w:rsid w:val="00405F84"/>
    <w:rsid w:val="0040604E"/>
    <w:rsid w:val="0040623A"/>
    <w:rsid w:val="004065E1"/>
    <w:rsid w:val="004067CB"/>
    <w:rsid w:val="0040695C"/>
    <w:rsid w:val="004078F5"/>
    <w:rsid w:val="00410046"/>
    <w:rsid w:val="0041100F"/>
    <w:rsid w:val="004114D8"/>
    <w:rsid w:val="00413353"/>
    <w:rsid w:val="0041336E"/>
    <w:rsid w:val="00413A0A"/>
    <w:rsid w:val="00414282"/>
    <w:rsid w:val="00415A34"/>
    <w:rsid w:val="00416C50"/>
    <w:rsid w:val="0041735C"/>
    <w:rsid w:val="004177C0"/>
    <w:rsid w:val="00417BC8"/>
    <w:rsid w:val="00420A2A"/>
    <w:rsid w:val="00420AC7"/>
    <w:rsid w:val="00421CE8"/>
    <w:rsid w:val="004236D4"/>
    <w:rsid w:val="00425712"/>
    <w:rsid w:val="00425B2E"/>
    <w:rsid w:val="004263F1"/>
    <w:rsid w:val="004266BC"/>
    <w:rsid w:val="00426A01"/>
    <w:rsid w:val="00431F3B"/>
    <w:rsid w:val="00433FD7"/>
    <w:rsid w:val="0043439D"/>
    <w:rsid w:val="00434C3E"/>
    <w:rsid w:val="00434F90"/>
    <w:rsid w:val="00436275"/>
    <w:rsid w:val="00437AA7"/>
    <w:rsid w:val="004400B7"/>
    <w:rsid w:val="0044058C"/>
    <w:rsid w:val="00440DCE"/>
    <w:rsid w:val="004416A9"/>
    <w:rsid w:val="00441D23"/>
    <w:rsid w:val="004423DA"/>
    <w:rsid w:val="00442772"/>
    <w:rsid w:val="00442A6D"/>
    <w:rsid w:val="00442C09"/>
    <w:rsid w:val="004436BA"/>
    <w:rsid w:val="00443E26"/>
    <w:rsid w:val="00444793"/>
    <w:rsid w:val="004460D0"/>
    <w:rsid w:val="00446E19"/>
    <w:rsid w:val="004503C8"/>
    <w:rsid w:val="00450483"/>
    <w:rsid w:val="00451157"/>
    <w:rsid w:val="00451248"/>
    <w:rsid w:val="004513A7"/>
    <w:rsid w:val="004516EC"/>
    <w:rsid w:val="00452601"/>
    <w:rsid w:val="00453001"/>
    <w:rsid w:val="00453383"/>
    <w:rsid w:val="00453729"/>
    <w:rsid w:val="00453D48"/>
    <w:rsid w:val="004548DC"/>
    <w:rsid w:val="0045685C"/>
    <w:rsid w:val="00456D25"/>
    <w:rsid w:val="00457E96"/>
    <w:rsid w:val="00460360"/>
    <w:rsid w:val="00460E90"/>
    <w:rsid w:val="004628CF"/>
    <w:rsid w:val="00462F78"/>
    <w:rsid w:val="0046339E"/>
    <w:rsid w:val="00464892"/>
    <w:rsid w:val="00467AAF"/>
    <w:rsid w:val="004705E5"/>
    <w:rsid w:val="00470F63"/>
    <w:rsid w:val="004714EF"/>
    <w:rsid w:val="0047255D"/>
    <w:rsid w:val="004727DB"/>
    <w:rsid w:val="00472E6D"/>
    <w:rsid w:val="00473835"/>
    <w:rsid w:val="00474851"/>
    <w:rsid w:val="0047496C"/>
    <w:rsid w:val="0047651E"/>
    <w:rsid w:val="0047789B"/>
    <w:rsid w:val="0047799D"/>
    <w:rsid w:val="00480032"/>
    <w:rsid w:val="00480723"/>
    <w:rsid w:val="00480922"/>
    <w:rsid w:val="004815F5"/>
    <w:rsid w:val="00481B83"/>
    <w:rsid w:val="00481E9C"/>
    <w:rsid w:val="00482FC2"/>
    <w:rsid w:val="00483201"/>
    <w:rsid w:val="0048548F"/>
    <w:rsid w:val="004859D7"/>
    <w:rsid w:val="004862A8"/>
    <w:rsid w:val="004863E8"/>
    <w:rsid w:val="004877B7"/>
    <w:rsid w:val="00487B6C"/>
    <w:rsid w:val="00487D9C"/>
    <w:rsid w:val="00487E52"/>
    <w:rsid w:val="00490452"/>
    <w:rsid w:val="00491A1F"/>
    <w:rsid w:val="00492913"/>
    <w:rsid w:val="00492BE3"/>
    <w:rsid w:val="00493109"/>
    <w:rsid w:val="0049352F"/>
    <w:rsid w:val="00495239"/>
    <w:rsid w:val="004A05A2"/>
    <w:rsid w:val="004A16AE"/>
    <w:rsid w:val="004A26F0"/>
    <w:rsid w:val="004A3BDF"/>
    <w:rsid w:val="004A3F76"/>
    <w:rsid w:val="004A5991"/>
    <w:rsid w:val="004A5C5A"/>
    <w:rsid w:val="004A64FA"/>
    <w:rsid w:val="004A6D4E"/>
    <w:rsid w:val="004A718D"/>
    <w:rsid w:val="004A7D0F"/>
    <w:rsid w:val="004B0B91"/>
    <w:rsid w:val="004B1773"/>
    <w:rsid w:val="004B3750"/>
    <w:rsid w:val="004B4FC0"/>
    <w:rsid w:val="004B5069"/>
    <w:rsid w:val="004B50D7"/>
    <w:rsid w:val="004B576B"/>
    <w:rsid w:val="004B595F"/>
    <w:rsid w:val="004B5E7F"/>
    <w:rsid w:val="004C0454"/>
    <w:rsid w:val="004C07DE"/>
    <w:rsid w:val="004C1394"/>
    <w:rsid w:val="004C1AD1"/>
    <w:rsid w:val="004C2BE7"/>
    <w:rsid w:val="004C2DFA"/>
    <w:rsid w:val="004C34A0"/>
    <w:rsid w:val="004C4F67"/>
    <w:rsid w:val="004C564B"/>
    <w:rsid w:val="004C5F90"/>
    <w:rsid w:val="004C7624"/>
    <w:rsid w:val="004C78E7"/>
    <w:rsid w:val="004C7DAE"/>
    <w:rsid w:val="004D23D5"/>
    <w:rsid w:val="004D2A5E"/>
    <w:rsid w:val="004D2C7D"/>
    <w:rsid w:val="004D325F"/>
    <w:rsid w:val="004D3266"/>
    <w:rsid w:val="004D40CF"/>
    <w:rsid w:val="004D4B00"/>
    <w:rsid w:val="004D4D13"/>
    <w:rsid w:val="004D537B"/>
    <w:rsid w:val="004D7AB3"/>
    <w:rsid w:val="004E0129"/>
    <w:rsid w:val="004E134C"/>
    <w:rsid w:val="004E16E3"/>
    <w:rsid w:val="004E31D6"/>
    <w:rsid w:val="004E3C1B"/>
    <w:rsid w:val="004E415C"/>
    <w:rsid w:val="004E790E"/>
    <w:rsid w:val="004E7D1F"/>
    <w:rsid w:val="004F0757"/>
    <w:rsid w:val="004F2951"/>
    <w:rsid w:val="004F3805"/>
    <w:rsid w:val="004F42D1"/>
    <w:rsid w:val="004F5235"/>
    <w:rsid w:val="004F56CE"/>
    <w:rsid w:val="004F5A4E"/>
    <w:rsid w:val="004F6312"/>
    <w:rsid w:val="004F631B"/>
    <w:rsid w:val="00500162"/>
    <w:rsid w:val="00501A53"/>
    <w:rsid w:val="005025BA"/>
    <w:rsid w:val="00502A41"/>
    <w:rsid w:val="0050388D"/>
    <w:rsid w:val="005049BA"/>
    <w:rsid w:val="005051FA"/>
    <w:rsid w:val="00505371"/>
    <w:rsid w:val="00505A43"/>
    <w:rsid w:val="00506262"/>
    <w:rsid w:val="00506A85"/>
    <w:rsid w:val="00507BE3"/>
    <w:rsid w:val="00507FA4"/>
    <w:rsid w:val="00510194"/>
    <w:rsid w:val="00512467"/>
    <w:rsid w:val="00513D5E"/>
    <w:rsid w:val="00514108"/>
    <w:rsid w:val="00514953"/>
    <w:rsid w:val="00514F48"/>
    <w:rsid w:val="00515D75"/>
    <w:rsid w:val="00515E9A"/>
    <w:rsid w:val="0051606F"/>
    <w:rsid w:val="00517AF2"/>
    <w:rsid w:val="00521767"/>
    <w:rsid w:val="00521A1B"/>
    <w:rsid w:val="00521E07"/>
    <w:rsid w:val="005220D8"/>
    <w:rsid w:val="0052234F"/>
    <w:rsid w:val="00522A49"/>
    <w:rsid w:val="0052371E"/>
    <w:rsid w:val="005245FB"/>
    <w:rsid w:val="00524B53"/>
    <w:rsid w:val="005264E5"/>
    <w:rsid w:val="0052675E"/>
    <w:rsid w:val="005274EB"/>
    <w:rsid w:val="00527521"/>
    <w:rsid w:val="005276F9"/>
    <w:rsid w:val="00527B55"/>
    <w:rsid w:val="00530275"/>
    <w:rsid w:val="00530B58"/>
    <w:rsid w:val="005334BE"/>
    <w:rsid w:val="00534087"/>
    <w:rsid w:val="00534420"/>
    <w:rsid w:val="005356B5"/>
    <w:rsid w:val="00535E30"/>
    <w:rsid w:val="005370F4"/>
    <w:rsid w:val="0053750F"/>
    <w:rsid w:val="00537DC0"/>
    <w:rsid w:val="0054002E"/>
    <w:rsid w:val="005407F1"/>
    <w:rsid w:val="00540E66"/>
    <w:rsid w:val="00540F94"/>
    <w:rsid w:val="005419EC"/>
    <w:rsid w:val="00541EAF"/>
    <w:rsid w:val="00542143"/>
    <w:rsid w:val="00542313"/>
    <w:rsid w:val="00542B6C"/>
    <w:rsid w:val="00543057"/>
    <w:rsid w:val="00544925"/>
    <w:rsid w:val="005453FA"/>
    <w:rsid w:val="005466AB"/>
    <w:rsid w:val="00546D79"/>
    <w:rsid w:val="00547269"/>
    <w:rsid w:val="00547969"/>
    <w:rsid w:val="0055054C"/>
    <w:rsid w:val="00550FC6"/>
    <w:rsid w:val="00551EC8"/>
    <w:rsid w:val="0055243C"/>
    <w:rsid w:val="00552F52"/>
    <w:rsid w:val="005532C1"/>
    <w:rsid w:val="005541D6"/>
    <w:rsid w:val="00554BA5"/>
    <w:rsid w:val="00554F6A"/>
    <w:rsid w:val="00555C1F"/>
    <w:rsid w:val="00555F7D"/>
    <w:rsid w:val="005567BC"/>
    <w:rsid w:val="00556B0E"/>
    <w:rsid w:val="005578B5"/>
    <w:rsid w:val="00561288"/>
    <w:rsid w:val="005624A9"/>
    <w:rsid w:val="00562545"/>
    <w:rsid w:val="0056265E"/>
    <w:rsid w:val="00562D91"/>
    <w:rsid w:val="00562E97"/>
    <w:rsid w:val="0056332A"/>
    <w:rsid w:val="005645D5"/>
    <w:rsid w:val="00564A2C"/>
    <w:rsid w:val="00565674"/>
    <w:rsid w:val="005673C1"/>
    <w:rsid w:val="00567DA9"/>
    <w:rsid w:val="00567DB8"/>
    <w:rsid w:val="005701A5"/>
    <w:rsid w:val="0057094E"/>
    <w:rsid w:val="0057129E"/>
    <w:rsid w:val="00571462"/>
    <w:rsid w:val="00571766"/>
    <w:rsid w:val="0057212D"/>
    <w:rsid w:val="00572FB0"/>
    <w:rsid w:val="005740C8"/>
    <w:rsid w:val="005753E5"/>
    <w:rsid w:val="0057617A"/>
    <w:rsid w:val="00580956"/>
    <w:rsid w:val="005811CB"/>
    <w:rsid w:val="005814B3"/>
    <w:rsid w:val="00582158"/>
    <w:rsid w:val="00582504"/>
    <w:rsid w:val="00582A7B"/>
    <w:rsid w:val="00582B89"/>
    <w:rsid w:val="005830ED"/>
    <w:rsid w:val="00583E07"/>
    <w:rsid w:val="005844B3"/>
    <w:rsid w:val="0058478B"/>
    <w:rsid w:val="00585270"/>
    <w:rsid w:val="005856EF"/>
    <w:rsid w:val="00586DA1"/>
    <w:rsid w:val="005878B3"/>
    <w:rsid w:val="0059012E"/>
    <w:rsid w:val="00591C87"/>
    <w:rsid w:val="005920F2"/>
    <w:rsid w:val="00592690"/>
    <w:rsid w:val="00592A4E"/>
    <w:rsid w:val="00592E4A"/>
    <w:rsid w:val="00593172"/>
    <w:rsid w:val="00597260"/>
    <w:rsid w:val="005973F4"/>
    <w:rsid w:val="005A0540"/>
    <w:rsid w:val="005A0783"/>
    <w:rsid w:val="005A1003"/>
    <w:rsid w:val="005A1757"/>
    <w:rsid w:val="005A1904"/>
    <w:rsid w:val="005A19AB"/>
    <w:rsid w:val="005A1C34"/>
    <w:rsid w:val="005A1D42"/>
    <w:rsid w:val="005A1EFC"/>
    <w:rsid w:val="005A3600"/>
    <w:rsid w:val="005A3778"/>
    <w:rsid w:val="005A3D14"/>
    <w:rsid w:val="005A4171"/>
    <w:rsid w:val="005A4EE1"/>
    <w:rsid w:val="005A526F"/>
    <w:rsid w:val="005A580D"/>
    <w:rsid w:val="005A6289"/>
    <w:rsid w:val="005A7271"/>
    <w:rsid w:val="005A7515"/>
    <w:rsid w:val="005A78E3"/>
    <w:rsid w:val="005A7CC7"/>
    <w:rsid w:val="005B0E1D"/>
    <w:rsid w:val="005B1400"/>
    <w:rsid w:val="005B1A88"/>
    <w:rsid w:val="005B20E9"/>
    <w:rsid w:val="005B3BC8"/>
    <w:rsid w:val="005B3C75"/>
    <w:rsid w:val="005B3DFE"/>
    <w:rsid w:val="005B5E01"/>
    <w:rsid w:val="005C04E3"/>
    <w:rsid w:val="005C207E"/>
    <w:rsid w:val="005C2AD4"/>
    <w:rsid w:val="005C2B0B"/>
    <w:rsid w:val="005C352B"/>
    <w:rsid w:val="005C383F"/>
    <w:rsid w:val="005C38F3"/>
    <w:rsid w:val="005C39FC"/>
    <w:rsid w:val="005C3F62"/>
    <w:rsid w:val="005C41BF"/>
    <w:rsid w:val="005C4598"/>
    <w:rsid w:val="005C48F9"/>
    <w:rsid w:val="005C4DD4"/>
    <w:rsid w:val="005C66A9"/>
    <w:rsid w:val="005C69D3"/>
    <w:rsid w:val="005C6DFF"/>
    <w:rsid w:val="005C791F"/>
    <w:rsid w:val="005C7CF2"/>
    <w:rsid w:val="005D11D4"/>
    <w:rsid w:val="005D19AC"/>
    <w:rsid w:val="005D1E14"/>
    <w:rsid w:val="005D2B04"/>
    <w:rsid w:val="005D314D"/>
    <w:rsid w:val="005D3193"/>
    <w:rsid w:val="005D3FC0"/>
    <w:rsid w:val="005D5060"/>
    <w:rsid w:val="005D541D"/>
    <w:rsid w:val="005D7757"/>
    <w:rsid w:val="005D7BE7"/>
    <w:rsid w:val="005E033D"/>
    <w:rsid w:val="005E0865"/>
    <w:rsid w:val="005E0C6E"/>
    <w:rsid w:val="005E3AB3"/>
    <w:rsid w:val="005E3AB9"/>
    <w:rsid w:val="005E4256"/>
    <w:rsid w:val="005E5302"/>
    <w:rsid w:val="005E63E6"/>
    <w:rsid w:val="005E6A49"/>
    <w:rsid w:val="005F0154"/>
    <w:rsid w:val="005F09F0"/>
    <w:rsid w:val="005F253B"/>
    <w:rsid w:val="005F325C"/>
    <w:rsid w:val="005F46B4"/>
    <w:rsid w:val="005F4D1B"/>
    <w:rsid w:val="005F4D7B"/>
    <w:rsid w:val="005F5932"/>
    <w:rsid w:val="005F6206"/>
    <w:rsid w:val="005F6BD3"/>
    <w:rsid w:val="005F7C8B"/>
    <w:rsid w:val="00600975"/>
    <w:rsid w:val="0060125A"/>
    <w:rsid w:val="00601570"/>
    <w:rsid w:val="00601D85"/>
    <w:rsid w:val="00602D5A"/>
    <w:rsid w:val="0060301E"/>
    <w:rsid w:val="00603F0B"/>
    <w:rsid w:val="00604F7A"/>
    <w:rsid w:val="00605155"/>
    <w:rsid w:val="00605290"/>
    <w:rsid w:val="00605CAD"/>
    <w:rsid w:val="00606C20"/>
    <w:rsid w:val="0060790D"/>
    <w:rsid w:val="00607D2B"/>
    <w:rsid w:val="00610678"/>
    <w:rsid w:val="006115CD"/>
    <w:rsid w:val="006115E7"/>
    <w:rsid w:val="006117BB"/>
    <w:rsid w:val="00611B80"/>
    <w:rsid w:val="00613335"/>
    <w:rsid w:val="0061366D"/>
    <w:rsid w:val="0061380B"/>
    <w:rsid w:val="00613C61"/>
    <w:rsid w:val="006144EF"/>
    <w:rsid w:val="00614B68"/>
    <w:rsid w:val="00614E88"/>
    <w:rsid w:val="0061503A"/>
    <w:rsid w:val="00615D13"/>
    <w:rsid w:val="00615F44"/>
    <w:rsid w:val="0061653C"/>
    <w:rsid w:val="00616CC9"/>
    <w:rsid w:val="00616FA1"/>
    <w:rsid w:val="0061705D"/>
    <w:rsid w:val="00617A30"/>
    <w:rsid w:val="0062006C"/>
    <w:rsid w:val="006201EA"/>
    <w:rsid w:val="00620451"/>
    <w:rsid w:val="006204F8"/>
    <w:rsid w:val="006206C4"/>
    <w:rsid w:val="00620983"/>
    <w:rsid w:val="0062167E"/>
    <w:rsid w:val="006224FB"/>
    <w:rsid w:val="00623020"/>
    <w:rsid w:val="006236F3"/>
    <w:rsid w:val="00624D5A"/>
    <w:rsid w:val="00625C93"/>
    <w:rsid w:val="0062657F"/>
    <w:rsid w:val="006266C2"/>
    <w:rsid w:val="00626E71"/>
    <w:rsid w:val="006270D5"/>
    <w:rsid w:val="006276D8"/>
    <w:rsid w:val="006278D2"/>
    <w:rsid w:val="00627960"/>
    <w:rsid w:val="00627CDB"/>
    <w:rsid w:val="00630730"/>
    <w:rsid w:val="00630841"/>
    <w:rsid w:val="0063095C"/>
    <w:rsid w:val="00631197"/>
    <w:rsid w:val="006316EF"/>
    <w:rsid w:val="00631ABE"/>
    <w:rsid w:val="006331F1"/>
    <w:rsid w:val="0063341B"/>
    <w:rsid w:val="006346FD"/>
    <w:rsid w:val="006348FD"/>
    <w:rsid w:val="00634CA6"/>
    <w:rsid w:val="00635221"/>
    <w:rsid w:val="0063551D"/>
    <w:rsid w:val="00637BB4"/>
    <w:rsid w:val="006400AB"/>
    <w:rsid w:val="00640439"/>
    <w:rsid w:val="00640C86"/>
    <w:rsid w:val="0064284D"/>
    <w:rsid w:val="00642AE8"/>
    <w:rsid w:val="00642B5A"/>
    <w:rsid w:val="00643176"/>
    <w:rsid w:val="0064321D"/>
    <w:rsid w:val="006432AD"/>
    <w:rsid w:val="006439DB"/>
    <w:rsid w:val="00643A53"/>
    <w:rsid w:val="00645BC3"/>
    <w:rsid w:val="006474F4"/>
    <w:rsid w:val="00647D80"/>
    <w:rsid w:val="0065031E"/>
    <w:rsid w:val="00650A87"/>
    <w:rsid w:val="00651A28"/>
    <w:rsid w:val="00651EE9"/>
    <w:rsid w:val="00652337"/>
    <w:rsid w:val="00653B6C"/>
    <w:rsid w:val="00654039"/>
    <w:rsid w:val="006543E2"/>
    <w:rsid w:val="0065498D"/>
    <w:rsid w:val="00654A64"/>
    <w:rsid w:val="00655AC3"/>
    <w:rsid w:val="00655F63"/>
    <w:rsid w:val="00656333"/>
    <w:rsid w:val="0065724A"/>
    <w:rsid w:val="00657F56"/>
    <w:rsid w:val="00660AAB"/>
    <w:rsid w:val="00661B01"/>
    <w:rsid w:val="00662429"/>
    <w:rsid w:val="00662D5F"/>
    <w:rsid w:val="006639CE"/>
    <w:rsid w:val="00663AFE"/>
    <w:rsid w:val="0066452A"/>
    <w:rsid w:val="00664BD9"/>
    <w:rsid w:val="00665459"/>
    <w:rsid w:val="006655A8"/>
    <w:rsid w:val="006661A4"/>
    <w:rsid w:val="0066753D"/>
    <w:rsid w:val="00670444"/>
    <w:rsid w:val="00670891"/>
    <w:rsid w:val="00671193"/>
    <w:rsid w:val="00671D4B"/>
    <w:rsid w:val="00671DB6"/>
    <w:rsid w:val="006733FD"/>
    <w:rsid w:val="006738AD"/>
    <w:rsid w:val="00674B74"/>
    <w:rsid w:val="00675ABE"/>
    <w:rsid w:val="00675F7F"/>
    <w:rsid w:val="0067627C"/>
    <w:rsid w:val="006769E1"/>
    <w:rsid w:val="00676C2B"/>
    <w:rsid w:val="00676C6D"/>
    <w:rsid w:val="00676C7A"/>
    <w:rsid w:val="00677D8E"/>
    <w:rsid w:val="00680EEF"/>
    <w:rsid w:val="00680F96"/>
    <w:rsid w:val="00681AC9"/>
    <w:rsid w:val="006820E6"/>
    <w:rsid w:val="00682759"/>
    <w:rsid w:val="00682F4C"/>
    <w:rsid w:val="00683897"/>
    <w:rsid w:val="0068392E"/>
    <w:rsid w:val="00683C0D"/>
    <w:rsid w:val="00683CDD"/>
    <w:rsid w:val="00683D10"/>
    <w:rsid w:val="00684FB0"/>
    <w:rsid w:val="00684FFC"/>
    <w:rsid w:val="0068548B"/>
    <w:rsid w:val="0068617D"/>
    <w:rsid w:val="006864D3"/>
    <w:rsid w:val="006868E0"/>
    <w:rsid w:val="006871DE"/>
    <w:rsid w:val="00687805"/>
    <w:rsid w:val="00691814"/>
    <w:rsid w:val="00691B1F"/>
    <w:rsid w:val="006937E6"/>
    <w:rsid w:val="00694460"/>
    <w:rsid w:val="006964DF"/>
    <w:rsid w:val="0069666C"/>
    <w:rsid w:val="00696739"/>
    <w:rsid w:val="00697B1C"/>
    <w:rsid w:val="00697DEC"/>
    <w:rsid w:val="006A09CF"/>
    <w:rsid w:val="006A0EE5"/>
    <w:rsid w:val="006A0FA0"/>
    <w:rsid w:val="006A1625"/>
    <w:rsid w:val="006A1E7A"/>
    <w:rsid w:val="006A1F2F"/>
    <w:rsid w:val="006A20C3"/>
    <w:rsid w:val="006A26DF"/>
    <w:rsid w:val="006A2A26"/>
    <w:rsid w:val="006A2E30"/>
    <w:rsid w:val="006A3393"/>
    <w:rsid w:val="006A35E3"/>
    <w:rsid w:val="006A374F"/>
    <w:rsid w:val="006A4B44"/>
    <w:rsid w:val="006A4B50"/>
    <w:rsid w:val="006A4E0E"/>
    <w:rsid w:val="006A5383"/>
    <w:rsid w:val="006A7F10"/>
    <w:rsid w:val="006B0068"/>
    <w:rsid w:val="006B038C"/>
    <w:rsid w:val="006B08A0"/>
    <w:rsid w:val="006B3210"/>
    <w:rsid w:val="006B3C24"/>
    <w:rsid w:val="006B4FAA"/>
    <w:rsid w:val="006B4FB1"/>
    <w:rsid w:val="006B5E3B"/>
    <w:rsid w:val="006B621B"/>
    <w:rsid w:val="006B6D09"/>
    <w:rsid w:val="006B7215"/>
    <w:rsid w:val="006B7E66"/>
    <w:rsid w:val="006C0633"/>
    <w:rsid w:val="006C0CA5"/>
    <w:rsid w:val="006C159A"/>
    <w:rsid w:val="006C27C6"/>
    <w:rsid w:val="006C45E0"/>
    <w:rsid w:val="006C756C"/>
    <w:rsid w:val="006C7D22"/>
    <w:rsid w:val="006D0859"/>
    <w:rsid w:val="006D0D15"/>
    <w:rsid w:val="006D103F"/>
    <w:rsid w:val="006D131A"/>
    <w:rsid w:val="006D1A9A"/>
    <w:rsid w:val="006D1BE5"/>
    <w:rsid w:val="006D2902"/>
    <w:rsid w:val="006D306A"/>
    <w:rsid w:val="006D403E"/>
    <w:rsid w:val="006D43C5"/>
    <w:rsid w:val="006D4EAD"/>
    <w:rsid w:val="006D5E46"/>
    <w:rsid w:val="006D609C"/>
    <w:rsid w:val="006D7D02"/>
    <w:rsid w:val="006E16FB"/>
    <w:rsid w:val="006E21B6"/>
    <w:rsid w:val="006E4C5C"/>
    <w:rsid w:val="006E4FBF"/>
    <w:rsid w:val="006E4FEF"/>
    <w:rsid w:val="006E5316"/>
    <w:rsid w:val="006E5A34"/>
    <w:rsid w:val="006E6629"/>
    <w:rsid w:val="006E6893"/>
    <w:rsid w:val="006F1820"/>
    <w:rsid w:val="006F187F"/>
    <w:rsid w:val="006F1E4E"/>
    <w:rsid w:val="006F2EF8"/>
    <w:rsid w:val="006F3075"/>
    <w:rsid w:val="006F30DF"/>
    <w:rsid w:val="006F3B5E"/>
    <w:rsid w:val="006F48B1"/>
    <w:rsid w:val="006F54B8"/>
    <w:rsid w:val="006F5CD2"/>
    <w:rsid w:val="006F6DC8"/>
    <w:rsid w:val="006F7267"/>
    <w:rsid w:val="006F7302"/>
    <w:rsid w:val="006F761B"/>
    <w:rsid w:val="00701592"/>
    <w:rsid w:val="00701828"/>
    <w:rsid w:val="0070206F"/>
    <w:rsid w:val="00702C7A"/>
    <w:rsid w:val="00703546"/>
    <w:rsid w:val="007035B5"/>
    <w:rsid w:val="00703FD9"/>
    <w:rsid w:val="007046D5"/>
    <w:rsid w:val="0070495B"/>
    <w:rsid w:val="00704FD5"/>
    <w:rsid w:val="0070511A"/>
    <w:rsid w:val="007055CD"/>
    <w:rsid w:val="00706247"/>
    <w:rsid w:val="00706E0A"/>
    <w:rsid w:val="00706E2A"/>
    <w:rsid w:val="00710006"/>
    <w:rsid w:val="007102FC"/>
    <w:rsid w:val="00710644"/>
    <w:rsid w:val="00710AC4"/>
    <w:rsid w:val="00710D39"/>
    <w:rsid w:val="00712296"/>
    <w:rsid w:val="00712589"/>
    <w:rsid w:val="007126C6"/>
    <w:rsid w:val="007128AD"/>
    <w:rsid w:val="00712D8F"/>
    <w:rsid w:val="0071331E"/>
    <w:rsid w:val="00714340"/>
    <w:rsid w:val="00714DC6"/>
    <w:rsid w:val="007158C4"/>
    <w:rsid w:val="00716011"/>
    <w:rsid w:val="007160C1"/>
    <w:rsid w:val="00716404"/>
    <w:rsid w:val="00716834"/>
    <w:rsid w:val="007177D5"/>
    <w:rsid w:val="00717DA2"/>
    <w:rsid w:val="00720246"/>
    <w:rsid w:val="007209EF"/>
    <w:rsid w:val="00720B2F"/>
    <w:rsid w:val="007221F9"/>
    <w:rsid w:val="007222E6"/>
    <w:rsid w:val="00722F5C"/>
    <w:rsid w:val="007241A1"/>
    <w:rsid w:val="00724260"/>
    <w:rsid w:val="0072455B"/>
    <w:rsid w:val="007249DF"/>
    <w:rsid w:val="0072574B"/>
    <w:rsid w:val="00725E76"/>
    <w:rsid w:val="0072623F"/>
    <w:rsid w:val="007263E3"/>
    <w:rsid w:val="00726C03"/>
    <w:rsid w:val="0072727B"/>
    <w:rsid w:val="007304B8"/>
    <w:rsid w:val="007319AD"/>
    <w:rsid w:val="00732AD5"/>
    <w:rsid w:val="007339A2"/>
    <w:rsid w:val="00733C28"/>
    <w:rsid w:val="007347A4"/>
    <w:rsid w:val="00734E5D"/>
    <w:rsid w:val="00734E6D"/>
    <w:rsid w:val="007358A4"/>
    <w:rsid w:val="00736191"/>
    <w:rsid w:val="007365DB"/>
    <w:rsid w:val="00737B50"/>
    <w:rsid w:val="0074013A"/>
    <w:rsid w:val="007410AC"/>
    <w:rsid w:val="0074194E"/>
    <w:rsid w:val="00742D30"/>
    <w:rsid w:val="007432EB"/>
    <w:rsid w:val="007439BE"/>
    <w:rsid w:val="007441D8"/>
    <w:rsid w:val="007447AA"/>
    <w:rsid w:val="007454C4"/>
    <w:rsid w:val="00745775"/>
    <w:rsid w:val="007457F7"/>
    <w:rsid w:val="00745A4B"/>
    <w:rsid w:val="00745CEC"/>
    <w:rsid w:val="007466AF"/>
    <w:rsid w:val="00747150"/>
    <w:rsid w:val="0075008D"/>
    <w:rsid w:val="0075217D"/>
    <w:rsid w:val="00752208"/>
    <w:rsid w:val="00752F6D"/>
    <w:rsid w:val="0075373E"/>
    <w:rsid w:val="007563AF"/>
    <w:rsid w:val="007570DF"/>
    <w:rsid w:val="00760571"/>
    <w:rsid w:val="00761BFA"/>
    <w:rsid w:val="00762242"/>
    <w:rsid w:val="00762D1D"/>
    <w:rsid w:val="00764B1C"/>
    <w:rsid w:val="00764D99"/>
    <w:rsid w:val="007659C9"/>
    <w:rsid w:val="00766A08"/>
    <w:rsid w:val="00766C72"/>
    <w:rsid w:val="00770931"/>
    <w:rsid w:val="00770C87"/>
    <w:rsid w:val="00771079"/>
    <w:rsid w:val="00771376"/>
    <w:rsid w:val="00773F63"/>
    <w:rsid w:val="007745CC"/>
    <w:rsid w:val="00776A9A"/>
    <w:rsid w:val="007772D9"/>
    <w:rsid w:val="00777F84"/>
    <w:rsid w:val="00780B4A"/>
    <w:rsid w:val="007816CB"/>
    <w:rsid w:val="00782B5D"/>
    <w:rsid w:val="00782CDD"/>
    <w:rsid w:val="00784156"/>
    <w:rsid w:val="00785491"/>
    <w:rsid w:val="0078595E"/>
    <w:rsid w:val="007860CE"/>
    <w:rsid w:val="00787808"/>
    <w:rsid w:val="0078784E"/>
    <w:rsid w:val="0079058B"/>
    <w:rsid w:val="007907B0"/>
    <w:rsid w:val="00790F2A"/>
    <w:rsid w:val="00791EBF"/>
    <w:rsid w:val="00792675"/>
    <w:rsid w:val="00792BCD"/>
    <w:rsid w:val="00792E4A"/>
    <w:rsid w:val="007933A1"/>
    <w:rsid w:val="0079463F"/>
    <w:rsid w:val="007954D7"/>
    <w:rsid w:val="00795F4B"/>
    <w:rsid w:val="00797B9D"/>
    <w:rsid w:val="007A13B9"/>
    <w:rsid w:val="007A2BE0"/>
    <w:rsid w:val="007A2D79"/>
    <w:rsid w:val="007A38D5"/>
    <w:rsid w:val="007A3EA5"/>
    <w:rsid w:val="007A4218"/>
    <w:rsid w:val="007A4F43"/>
    <w:rsid w:val="007A55A5"/>
    <w:rsid w:val="007A5B6F"/>
    <w:rsid w:val="007A62BE"/>
    <w:rsid w:val="007B00D5"/>
    <w:rsid w:val="007B1946"/>
    <w:rsid w:val="007B1CC6"/>
    <w:rsid w:val="007B2E9B"/>
    <w:rsid w:val="007B3C5D"/>
    <w:rsid w:val="007B4548"/>
    <w:rsid w:val="007B53F7"/>
    <w:rsid w:val="007B544D"/>
    <w:rsid w:val="007B54BC"/>
    <w:rsid w:val="007B76C2"/>
    <w:rsid w:val="007B7C96"/>
    <w:rsid w:val="007C0DFD"/>
    <w:rsid w:val="007C0F54"/>
    <w:rsid w:val="007C19AA"/>
    <w:rsid w:val="007C259D"/>
    <w:rsid w:val="007C2EA8"/>
    <w:rsid w:val="007C2ECA"/>
    <w:rsid w:val="007C302C"/>
    <w:rsid w:val="007C4643"/>
    <w:rsid w:val="007C4BAD"/>
    <w:rsid w:val="007C7CB9"/>
    <w:rsid w:val="007D0D8E"/>
    <w:rsid w:val="007D2D6E"/>
    <w:rsid w:val="007D3635"/>
    <w:rsid w:val="007D4E14"/>
    <w:rsid w:val="007D63A9"/>
    <w:rsid w:val="007D65AD"/>
    <w:rsid w:val="007D7062"/>
    <w:rsid w:val="007D792B"/>
    <w:rsid w:val="007D7DE6"/>
    <w:rsid w:val="007E09E2"/>
    <w:rsid w:val="007E0EDF"/>
    <w:rsid w:val="007E1531"/>
    <w:rsid w:val="007E170F"/>
    <w:rsid w:val="007E42BD"/>
    <w:rsid w:val="007E442B"/>
    <w:rsid w:val="007E49F9"/>
    <w:rsid w:val="007E4B23"/>
    <w:rsid w:val="007E4D80"/>
    <w:rsid w:val="007E4DC6"/>
    <w:rsid w:val="007E5C1D"/>
    <w:rsid w:val="007E6F17"/>
    <w:rsid w:val="007E6FF8"/>
    <w:rsid w:val="007E7084"/>
    <w:rsid w:val="007E7AAC"/>
    <w:rsid w:val="007E7BA6"/>
    <w:rsid w:val="007F16E7"/>
    <w:rsid w:val="007F1C23"/>
    <w:rsid w:val="007F3089"/>
    <w:rsid w:val="007F3E60"/>
    <w:rsid w:val="007F5B42"/>
    <w:rsid w:val="007F6370"/>
    <w:rsid w:val="007F7223"/>
    <w:rsid w:val="007F77A0"/>
    <w:rsid w:val="00800351"/>
    <w:rsid w:val="00801344"/>
    <w:rsid w:val="008019EC"/>
    <w:rsid w:val="00801A50"/>
    <w:rsid w:val="008021E8"/>
    <w:rsid w:val="00803103"/>
    <w:rsid w:val="008031BC"/>
    <w:rsid w:val="008031C5"/>
    <w:rsid w:val="00804838"/>
    <w:rsid w:val="008059C5"/>
    <w:rsid w:val="00805A71"/>
    <w:rsid w:val="00806135"/>
    <w:rsid w:val="008069A4"/>
    <w:rsid w:val="00807316"/>
    <w:rsid w:val="00807CC4"/>
    <w:rsid w:val="0081206C"/>
    <w:rsid w:val="008124D7"/>
    <w:rsid w:val="008127BD"/>
    <w:rsid w:val="008127D1"/>
    <w:rsid w:val="00813107"/>
    <w:rsid w:val="0081354D"/>
    <w:rsid w:val="008136EB"/>
    <w:rsid w:val="00813E53"/>
    <w:rsid w:val="00813F5C"/>
    <w:rsid w:val="008143FD"/>
    <w:rsid w:val="0081594B"/>
    <w:rsid w:val="00815B41"/>
    <w:rsid w:val="00816604"/>
    <w:rsid w:val="00816779"/>
    <w:rsid w:val="00816C7C"/>
    <w:rsid w:val="008170F3"/>
    <w:rsid w:val="008171B5"/>
    <w:rsid w:val="00821D3B"/>
    <w:rsid w:val="00821F0E"/>
    <w:rsid w:val="00821F8F"/>
    <w:rsid w:val="00822BC5"/>
    <w:rsid w:val="00822DEF"/>
    <w:rsid w:val="008234F8"/>
    <w:rsid w:val="0082362D"/>
    <w:rsid w:val="008239F2"/>
    <w:rsid w:val="00823A23"/>
    <w:rsid w:val="00823A97"/>
    <w:rsid w:val="0082424C"/>
    <w:rsid w:val="00824B59"/>
    <w:rsid w:val="0082524A"/>
    <w:rsid w:val="00825E01"/>
    <w:rsid w:val="0082624C"/>
    <w:rsid w:val="008268A9"/>
    <w:rsid w:val="00826EBD"/>
    <w:rsid w:val="008275A4"/>
    <w:rsid w:val="0083004F"/>
    <w:rsid w:val="00831395"/>
    <w:rsid w:val="008316EF"/>
    <w:rsid w:val="00831EA3"/>
    <w:rsid w:val="00832AA7"/>
    <w:rsid w:val="00833854"/>
    <w:rsid w:val="00833B63"/>
    <w:rsid w:val="008345AB"/>
    <w:rsid w:val="00834F2E"/>
    <w:rsid w:val="0083572D"/>
    <w:rsid w:val="0083641C"/>
    <w:rsid w:val="00837DA0"/>
    <w:rsid w:val="008406E2"/>
    <w:rsid w:val="00840C68"/>
    <w:rsid w:val="0084141C"/>
    <w:rsid w:val="00841D0E"/>
    <w:rsid w:val="00842B83"/>
    <w:rsid w:val="0084335A"/>
    <w:rsid w:val="00843425"/>
    <w:rsid w:val="00843E1C"/>
    <w:rsid w:val="008456C2"/>
    <w:rsid w:val="00846248"/>
    <w:rsid w:val="0084638D"/>
    <w:rsid w:val="00846B8A"/>
    <w:rsid w:val="00846EDF"/>
    <w:rsid w:val="00850018"/>
    <w:rsid w:val="008504CA"/>
    <w:rsid w:val="0085057E"/>
    <w:rsid w:val="00851242"/>
    <w:rsid w:val="008513ED"/>
    <w:rsid w:val="00851B0C"/>
    <w:rsid w:val="00851FD1"/>
    <w:rsid w:val="008528B3"/>
    <w:rsid w:val="00852AD1"/>
    <w:rsid w:val="00852B06"/>
    <w:rsid w:val="00852EE2"/>
    <w:rsid w:val="00854541"/>
    <w:rsid w:val="00854CA9"/>
    <w:rsid w:val="00855216"/>
    <w:rsid w:val="008561C3"/>
    <w:rsid w:val="00856DC0"/>
    <w:rsid w:val="00857295"/>
    <w:rsid w:val="008576A0"/>
    <w:rsid w:val="0085780B"/>
    <w:rsid w:val="00861FA4"/>
    <w:rsid w:val="00866248"/>
    <w:rsid w:val="0086658D"/>
    <w:rsid w:val="008671B5"/>
    <w:rsid w:val="00867848"/>
    <w:rsid w:val="008710E9"/>
    <w:rsid w:val="00871DAF"/>
    <w:rsid w:val="00871E2D"/>
    <w:rsid w:val="008730AE"/>
    <w:rsid w:val="0087316C"/>
    <w:rsid w:val="00873627"/>
    <w:rsid w:val="00873A5D"/>
    <w:rsid w:val="008747B7"/>
    <w:rsid w:val="00874BE2"/>
    <w:rsid w:val="00875733"/>
    <w:rsid w:val="008759D7"/>
    <w:rsid w:val="00875C75"/>
    <w:rsid w:val="00876E03"/>
    <w:rsid w:val="00877C38"/>
    <w:rsid w:val="00877D8B"/>
    <w:rsid w:val="00877D90"/>
    <w:rsid w:val="00880CDC"/>
    <w:rsid w:val="008813DC"/>
    <w:rsid w:val="008818D2"/>
    <w:rsid w:val="00883D9A"/>
    <w:rsid w:val="00884271"/>
    <w:rsid w:val="00884FE5"/>
    <w:rsid w:val="00885A5B"/>
    <w:rsid w:val="0089183F"/>
    <w:rsid w:val="008924CC"/>
    <w:rsid w:val="00892CF3"/>
    <w:rsid w:val="0089347E"/>
    <w:rsid w:val="008935E5"/>
    <w:rsid w:val="00893C37"/>
    <w:rsid w:val="00893C46"/>
    <w:rsid w:val="0089463E"/>
    <w:rsid w:val="008949B9"/>
    <w:rsid w:val="00894D9C"/>
    <w:rsid w:val="00896302"/>
    <w:rsid w:val="00896380"/>
    <w:rsid w:val="00897B7F"/>
    <w:rsid w:val="008A0335"/>
    <w:rsid w:val="008A08E1"/>
    <w:rsid w:val="008A152B"/>
    <w:rsid w:val="008A2ABB"/>
    <w:rsid w:val="008A2D2F"/>
    <w:rsid w:val="008A2EBD"/>
    <w:rsid w:val="008A3A38"/>
    <w:rsid w:val="008A42EC"/>
    <w:rsid w:val="008A4D5B"/>
    <w:rsid w:val="008A5449"/>
    <w:rsid w:val="008A5609"/>
    <w:rsid w:val="008A7561"/>
    <w:rsid w:val="008A78C6"/>
    <w:rsid w:val="008B0ADD"/>
    <w:rsid w:val="008B228E"/>
    <w:rsid w:val="008B32E4"/>
    <w:rsid w:val="008B42C9"/>
    <w:rsid w:val="008B47F9"/>
    <w:rsid w:val="008B4FD7"/>
    <w:rsid w:val="008B55B1"/>
    <w:rsid w:val="008B5738"/>
    <w:rsid w:val="008B5896"/>
    <w:rsid w:val="008B59F9"/>
    <w:rsid w:val="008B6373"/>
    <w:rsid w:val="008B64B6"/>
    <w:rsid w:val="008B70CB"/>
    <w:rsid w:val="008C0E21"/>
    <w:rsid w:val="008C0EFD"/>
    <w:rsid w:val="008C189F"/>
    <w:rsid w:val="008C1BC2"/>
    <w:rsid w:val="008C2840"/>
    <w:rsid w:val="008C2861"/>
    <w:rsid w:val="008C4072"/>
    <w:rsid w:val="008C56B3"/>
    <w:rsid w:val="008C73F2"/>
    <w:rsid w:val="008C7CDE"/>
    <w:rsid w:val="008D1327"/>
    <w:rsid w:val="008D1C73"/>
    <w:rsid w:val="008D1CC9"/>
    <w:rsid w:val="008D3ADF"/>
    <w:rsid w:val="008D44A0"/>
    <w:rsid w:val="008D50B2"/>
    <w:rsid w:val="008D542B"/>
    <w:rsid w:val="008D542E"/>
    <w:rsid w:val="008D60F1"/>
    <w:rsid w:val="008D68D1"/>
    <w:rsid w:val="008D70A1"/>
    <w:rsid w:val="008E0D4F"/>
    <w:rsid w:val="008E12BD"/>
    <w:rsid w:val="008E241B"/>
    <w:rsid w:val="008E2BBD"/>
    <w:rsid w:val="008E3A85"/>
    <w:rsid w:val="008E4AE3"/>
    <w:rsid w:val="008E51D5"/>
    <w:rsid w:val="008E533A"/>
    <w:rsid w:val="008E5AB0"/>
    <w:rsid w:val="008E625D"/>
    <w:rsid w:val="008E62A9"/>
    <w:rsid w:val="008E6BF1"/>
    <w:rsid w:val="008E7F51"/>
    <w:rsid w:val="008F04AE"/>
    <w:rsid w:val="008F1996"/>
    <w:rsid w:val="008F1F5C"/>
    <w:rsid w:val="008F329D"/>
    <w:rsid w:val="008F44BF"/>
    <w:rsid w:val="008F4A4A"/>
    <w:rsid w:val="008F4A81"/>
    <w:rsid w:val="008F567E"/>
    <w:rsid w:val="008F644C"/>
    <w:rsid w:val="008F6D33"/>
    <w:rsid w:val="00901CB5"/>
    <w:rsid w:val="00902F54"/>
    <w:rsid w:val="00903796"/>
    <w:rsid w:val="00903E6C"/>
    <w:rsid w:val="00904CB9"/>
    <w:rsid w:val="00905DBA"/>
    <w:rsid w:val="00906E8A"/>
    <w:rsid w:val="00906F59"/>
    <w:rsid w:val="0090777B"/>
    <w:rsid w:val="009123CA"/>
    <w:rsid w:val="00912D58"/>
    <w:rsid w:val="00913744"/>
    <w:rsid w:val="00914377"/>
    <w:rsid w:val="00914957"/>
    <w:rsid w:val="0091665A"/>
    <w:rsid w:val="00916FEC"/>
    <w:rsid w:val="00917408"/>
    <w:rsid w:val="00917628"/>
    <w:rsid w:val="009179CB"/>
    <w:rsid w:val="00917BC4"/>
    <w:rsid w:val="00921592"/>
    <w:rsid w:val="0092249A"/>
    <w:rsid w:val="00923C3B"/>
    <w:rsid w:val="00925A4B"/>
    <w:rsid w:val="00926589"/>
    <w:rsid w:val="00926D06"/>
    <w:rsid w:val="0093097B"/>
    <w:rsid w:val="00931691"/>
    <w:rsid w:val="0093185E"/>
    <w:rsid w:val="00931CB6"/>
    <w:rsid w:val="009330F6"/>
    <w:rsid w:val="00934B20"/>
    <w:rsid w:val="00935BEA"/>
    <w:rsid w:val="0093670C"/>
    <w:rsid w:val="009367F8"/>
    <w:rsid w:val="00936EA4"/>
    <w:rsid w:val="0093786A"/>
    <w:rsid w:val="00937A38"/>
    <w:rsid w:val="00940FC2"/>
    <w:rsid w:val="009415E4"/>
    <w:rsid w:val="00941DCC"/>
    <w:rsid w:val="00942513"/>
    <w:rsid w:val="0094254D"/>
    <w:rsid w:val="00942A9D"/>
    <w:rsid w:val="00946EDF"/>
    <w:rsid w:val="0095015C"/>
    <w:rsid w:val="00950A00"/>
    <w:rsid w:val="00951017"/>
    <w:rsid w:val="00951236"/>
    <w:rsid w:val="00951354"/>
    <w:rsid w:val="00951E37"/>
    <w:rsid w:val="00952AE8"/>
    <w:rsid w:val="00952ED5"/>
    <w:rsid w:val="00953074"/>
    <w:rsid w:val="0095383A"/>
    <w:rsid w:val="00956610"/>
    <w:rsid w:val="009570A4"/>
    <w:rsid w:val="0095728F"/>
    <w:rsid w:val="00957373"/>
    <w:rsid w:val="009601CD"/>
    <w:rsid w:val="009602BA"/>
    <w:rsid w:val="00960539"/>
    <w:rsid w:val="00961282"/>
    <w:rsid w:val="0096225A"/>
    <w:rsid w:val="00962443"/>
    <w:rsid w:val="009624C5"/>
    <w:rsid w:val="009628AF"/>
    <w:rsid w:val="009638E5"/>
    <w:rsid w:val="00963D59"/>
    <w:rsid w:val="00963FF7"/>
    <w:rsid w:val="009641D0"/>
    <w:rsid w:val="00964890"/>
    <w:rsid w:val="00964CF0"/>
    <w:rsid w:val="00964F7C"/>
    <w:rsid w:val="0096554F"/>
    <w:rsid w:val="00965AF5"/>
    <w:rsid w:val="00965FC4"/>
    <w:rsid w:val="00967C46"/>
    <w:rsid w:val="009704D9"/>
    <w:rsid w:val="00971B97"/>
    <w:rsid w:val="009726DB"/>
    <w:rsid w:val="00972A72"/>
    <w:rsid w:val="00973134"/>
    <w:rsid w:val="009749D1"/>
    <w:rsid w:val="00975B71"/>
    <w:rsid w:val="00975FD3"/>
    <w:rsid w:val="00976507"/>
    <w:rsid w:val="0097753F"/>
    <w:rsid w:val="00982018"/>
    <w:rsid w:val="00982282"/>
    <w:rsid w:val="00982D22"/>
    <w:rsid w:val="009833A5"/>
    <w:rsid w:val="00983862"/>
    <w:rsid w:val="00983BC4"/>
    <w:rsid w:val="00983E4F"/>
    <w:rsid w:val="00985DFC"/>
    <w:rsid w:val="00986078"/>
    <w:rsid w:val="00986408"/>
    <w:rsid w:val="00986A50"/>
    <w:rsid w:val="0098756F"/>
    <w:rsid w:val="00990C86"/>
    <w:rsid w:val="00990DB9"/>
    <w:rsid w:val="0099191B"/>
    <w:rsid w:val="00993884"/>
    <w:rsid w:val="00994BE6"/>
    <w:rsid w:val="0099529B"/>
    <w:rsid w:val="0099550C"/>
    <w:rsid w:val="00996C4C"/>
    <w:rsid w:val="00996DC5"/>
    <w:rsid w:val="00997BD0"/>
    <w:rsid w:val="009A0A87"/>
    <w:rsid w:val="009A13A2"/>
    <w:rsid w:val="009A1D51"/>
    <w:rsid w:val="009A2986"/>
    <w:rsid w:val="009A2B67"/>
    <w:rsid w:val="009A3BD0"/>
    <w:rsid w:val="009A3D81"/>
    <w:rsid w:val="009A5591"/>
    <w:rsid w:val="009A5690"/>
    <w:rsid w:val="009A65EB"/>
    <w:rsid w:val="009B00E4"/>
    <w:rsid w:val="009B0752"/>
    <w:rsid w:val="009B1266"/>
    <w:rsid w:val="009B1C0B"/>
    <w:rsid w:val="009B3BFD"/>
    <w:rsid w:val="009B3C01"/>
    <w:rsid w:val="009B4A8A"/>
    <w:rsid w:val="009B5915"/>
    <w:rsid w:val="009B626F"/>
    <w:rsid w:val="009B63E6"/>
    <w:rsid w:val="009B6AF2"/>
    <w:rsid w:val="009B6FD1"/>
    <w:rsid w:val="009B700A"/>
    <w:rsid w:val="009B7409"/>
    <w:rsid w:val="009B7911"/>
    <w:rsid w:val="009B79C5"/>
    <w:rsid w:val="009C10B3"/>
    <w:rsid w:val="009C10C0"/>
    <w:rsid w:val="009C1AFC"/>
    <w:rsid w:val="009C2CC3"/>
    <w:rsid w:val="009C4FDD"/>
    <w:rsid w:val="009C7DD4"/>
    <w:rsid w:val="009D0556"/>
    <w:rsid w:val="009D0B14"/>
    <w:rsid w:val="009D114E"/>
    <w:rsid w:val="009D1D9E"/>
    <w:rsid w:val="009D2401"/>
    <w:rsid w:val="009D29FB"/>
    <w:rsid w:val="009D4C92"/>
    <w:rsid w:val="009D5F9D"/>
    <w:rsid w:val="009D7A24"/>
    <w:rsid w:val="009E0B20"/>
    <w:rsid w:val="009E0EEC"/>
    <w:rsid w:val="009E1070"/>
    <w:rsid w:val="009E130F"/>
    <w:rsid w:val="009E169D"/>
    <w:rsid w:val="009E19EF"/>
    <w:rsid w:val="009E252E"/>
    <w:rsid w:val="009E29FD"/>
    <w:rsid w:val="009E2AFA"/>
    <w:rsid w:val="009E2E5C"/>
    <w:rsid w:val="009E3DFC"/>
    <w:rsid w:val="009E4198"/>
    <w:rsid w:val="009E5183"/>
    <w:rsid w:val="009E528A"/>
    <w:rsid w:val="009E58A2"/>
    <w:rsid w:val="009E5960"/>
    <w:rsid w:val="009E6946"/>
    <w:rsid w:val="009E6EB0"/>
    <w:rsid w:val="009E7F1D"/>
    <w:rsid w:val="009F0172"/>
    <w:rsid w:val="009F1164"/>
    <w:rsid w:val="009F1AA7"/>
    <w:rsid w:val="009F2A37"/>
    <w:rsid w:val="009F4400"/>
    <w:rsid w:val="009F4C4D"/>
    <w:rsid w:val="009F4CCC"/>
    <w:rsid w:val="009F6657"/>
    <w:rsid w:val="009F6860"/>
    <w:rsid w:val="00A00189"/>
    <w:rsid w:val="00A01EF5"/>
    <w:rsid w:val="00A03452"/>
    <w:rsid w:val="00A036EF"/>
    <w:rsid w:val="00A0375F"/>
    <w:rsid w:val="00A03870"/>
    <w:rsid w:val="00A03BE7"/>
    <w:rsid w:val="00A068F4"/>
    <w:rsid w:val="00A06E4E"/>
    <w:rsid w:val="00A0736D"/>
    <w:rsid w:val="00A07FB8"/>
    <w:rsid w:val="00A10040"/>
    <w:rsid w:val="00A1192E"/>
    <w:rsid w:val="00A119FF"/>
    <w:rsid w:val="00A11F76"/>
    <w:rsid w:val="00A12465"/>
    <w:rsid w:val="00A12D7A"/>
    <w:rsid w:val="00A13B7A"/>
    <w:rsid w:val="00A149FD"/>
    <w:rsid w:val="00A158BF"/>
    <w:rsid w:val="00A15B43"/>
    <w:rsid w:val="00A15FFA"/>
    <w:rsid w:val="00A1608D"/>
    <w:rsid w:val="00A16D15"/>
    <w:rsid w:val="00A17247"/>
    <w:rsid w:val="00A176C9"/>
    <w:rsid w:val="00A17ACA"/>
    <w:rsid w:val="00A17EC9"/>
    <w:rsid w:val="00A20964"/>
    <w:rsid w:val="00A20989"/>
    <w:rsid w:val="00A212CE"/>
    <w:rsid w:val="00A216B2"/>
    <w:rsid w:val="00A22203"/>
    <w:rsid w:val="00A22C04"/>
    <w:rsid w:val="00A231B7"/>
    <w:rsid w:val="00A2355A"/>
    <w:rsid w:val="00A23AE7"/>
    <w:rsid w:val="00A240C2"/>
    <w:rsid w:val="00A24F25"/>
    <w:rsid w:val="00A24F6F"/>
    <w:rsid w:val="00A25293"/>
    <w:rsid w:val="00A25493"/>
    <w:rsid w:val="00A25919"/>
    <w:rsid w:val="00A2646E"/>
    <w:rsid w:val="00A26643"/>
    <w:rsid w:val="00A274BB"/>
    <w:rsid w:val="00A30176"/>
    <w:rsid w:val="00A30D5B"/>
    <w:rsid w:val="00A3113A"/>
    <w:rsid w:val="00A31C41"/>
    <w:rsid w:val="00A31F41"/>
    <w:rsid w:val="00A3254F"/>
    <w:rsid w:val="00A32A24"/>
    <w:rsid w:val="00A332BA"/>
    <w:rsid w:val="00A3341F"/>
    <w:rsid w:val="00A33AC1"/>
    <w:rsid w:val="00A33DF4"/>
    <w:rsid w:val="00A34E3B"/>
    <w:rsid w:val="00A3582C"/>
    <w:rsid w:val="00A36946"/>
    <w:rsid w:val="00A37D12"/>
    <w:rsid w:val="00A40206"/>
    <w:rsid w:val="00A41582"/>
    <w:rsid w:val="00A41D86"/>
    <w:rsid w:val="00A42007"/>
    <w:rsid w:val="00A42009"/>
    <w:rsid w:val="00A422A3"/>
    <w:rsid w:val="00A43E3F"/>
    <w:rsid w:val="00A44380"/>
    <w:rsid w:val="00A45599"/>
    <w:rsid w:val="00A46174"/>
    <w:rsid w:val="00A46BCD"/>
    <w:rsid w:val="00A50008"/>
    <w:rsid w:val="00A5087D"/>
    <w:rsid w:val="00A50D14"/>
    <w:rsid w:val="00A515ED"/>
    <w:rsid w:val="00A51930"/>
    <w:rsid w:val="00A528F5"/>
    <w:rsid w:val="00A52B7A"/>
    <w:rsid w:val="00A53644"/>
    <w:rsid w:val="00A5398E"/>
    <w:rsid w:val="00A54B42"/>
    <w:rsid w:val="00A54C7B"/>
    <w:rsid w:val="00A54E64"/>
    <w:rsid w:val="00A5654E"/>
    <w:rsid w:val="00A575EB"/>
    <w:rsid w:val="00A60057"/>
    <w:rsid w:val="00A6098A"/>
    <w:rsid w:val="00A60B3F"/>
    <w:rsid w:val="00A61F4C"/>
    <w:rsid w:val="00A62196"/>
    <w:rsid w:val="00A62856"/>
    <w:rsid w:val="00A62E29"/>
    <w:rsid w:val="00A635F1"/>
    <w:rsid w:val="00A641AB"/>
    <w:rsid w:val="00A64FAD"/>
    <w:rsid w:val="00A6642C"/>
    <w:rsid w:val="00A66A6A"/>
    <w:rsid w:val="00A70F8C"/>
    <w:rsid w:val="00A711C7"/>
    <w:rsid w:val="00A72442"/>
    <w:rsid w:val="00A724E1"/>
    <w:rsid w:val="00A73166"/>
    <w:rsid w:val="00A737C2"/>
    <w:rsid w:val="00A74205"/>
    <w:rsid w:val="00A75F48"/>
    <w:rsid w:val="00A760D5"/>
    <w:rsid w:val="00A766EA"/>
    <w:rsid w:val="00A76BB1"/>
    <w:rsid w:val="00A77191"/>
    <w:rsid w:val="00A77894"/>
    <w:rsid w:val="00A8068D"/>
    <w:rsid w:val="00A80B2D"/>
    <w:rsid w:val="00A81A5F"/>
    <w:rsid w:val="00A81EF3"/>
    <w:rsid w:val="00A833FA"/>
    <w:rsid w:val="00A839C4"/>
    <w:rsid w:val="00A83E31"/>
    <w:rsid w:val="00A8475A"/>
    <w:rsid w:val="00A84FE8"/>
    <w:rsid w:val="00A85021"/>
    <w:rsid w:val="00A857A6"/>
    <w:rsid w:val="00A86521"/>
    <w:rsid w:val="00A87589"/>
    <w:rsid w:val="00A87F9E"/>
    <w:rsid w:val="00A904F3"/>
    <w:rsid w:val="00A9209B"/>
    <w:rsid w:val="00A93548"/>
    <w:rsid w:val="00A93AE1"/>
    <w:rsid w:val="00A93F94"/>
    <w:rsid w:val="00A942E5"/>
    <w:rsid w:val="00A95A4D"/>
    <w:rsid w:val="00A95D15"/>
    <w:rsid w:val="00A9638B"/>
    <w:rsid w:val="00A964F4"/>
    <w:rsid w:val="00A9681C"/>
    <w:rsid w:val="00A9692C"/>
    <w:rsid w:val="00A96AC6"/>
    <w:rsid w:val="00A96D3F"/>
    <w:rsid w:val="00A96FB9"/>
    <w:rsid w:val="00A974A3"/>
    <w:rsid w:val="00A97D53"/>
    <w:rsid w:val="00AA19C3"/>
    <w:rsid w:val="00AA2B10"/>
    <w:rsid w:val="00AA3071"/>
    <w:rsid w:val="00AA3AC7"/>
    <w:rsid w:val="00AA3F3F"/>
    <w:rsid w:val="00AA4165"/>
    <w:rsid w:val="00AA4753"/>
    <w:rsid w:val="00AA4E07"/>
    <w:rsid w:val="00AA4F76"/>
    <w:rsid w:val="00AA4F8D"/>
    <w:rsid w:val="00AA5B09"/>
    <w:rsid w:val="00AA695E"/>
    <w:rsid w:val="00AA6CA2"/>
    <w:rsid w:val="00AA7C0C"/>
    <w:rsid w:val="00AB0106"/>
    <w:rsid w:val="00AB0DB4"/>
    <w:rsid w:val="00AB0E45"/>
    <w:rsid w:val="00AB1011"/>
    <w:rsid w:val="00AB18E1"/>
    <w:rsid w:val="00AB2770"/>
    <w:rsid w:val="00AB2BC0"/>
    <w:rsid w:val="00AB40C3"/>
    <w:rsid w:val="00AB41F1"/>
    <w:rsid w:val="00AB4A68"/>
    <w:rsid w:val="00AB4D12"/>
    <w:rsid w:val="00AB5D7A"/>
    <w:rsid w:val="00AB5ED0"/>
    <w:rsid w:val="00AB6BBB"/>
    <w:rsid w:val="00AB7F93"/>
    <w:rsid w:val="00AC01A5"/>
    <w:rsid w:val="00AC0657"/>
    <w:rsid w:val="00AC18DF"/>
    <w:rsid w:val="00AC201A"/>
    <w:rsid w:val="00AC2270"/>
    <w:rsid w:val="00AC2EDA"/>
    <w:rsid w:val="00AC3A84"/>
    <w:rsid w:val="00AC449E"/>
    <w:rsid w:val="00AC4F8C"/>
    <w:rsid w:val="00AC64F4"/>
    <w:rsid w:val="00AC6D59"/>
    <w:rsid w:val="00AC6F72"/>
    <w:rsid w:val="00AC7865"/>
    <w:rsid w:val="00AC7D22"/>
    <w:rsid w:val="00AC7F19"/>
    <w:rsid w:val="00AD0DB0"/>
    <w:rsid w:val="00AD1AA9"/>
    <w:rsid w:val="00AD2B28"/>
    <w:rsid w:val="00AD34B4"/>
    <w:rsid w:val="00AD3D0C"/>
    <w:rsid w:val="00AD3E2B"/>
    <w:rsid w:val="00AD5F23"/>
    <w:rsid w:val="00AD68DD"/>
    <w:rsid w:val="00AD72F1"/>
    <w:rsid w:val="00AD7502"/>
    <w:rsid w:val="00AD7BD8"/>
    <w:rsid w:val="00AE04BC"/>
    <w:rsid w:val="00AE05CE"/>
    <w:rsid w:val="00AE1686"/>
    <w:rsid w:val="00AE1A76"/>
    <w:rsid w:val="00AE2249"/>
    <w:rsid w:val="00AE25E5"/>
    <w:rsid w:val="00AE27E5"/>
    <w:rsid w:val="00AE30A9"/>
    <w:rsid w:val="00AE51C4"/>
    <w:rsid w:val="00AE57B9"/>
    <w:rsid w:val="00AE7AD4"/>
    <w:rsid w:val="00AE7F7C"/>
    <w:rsid w:val="00AF1256"/>
    <w:rsid w:val="00AF326E"/>
    <w:rsid w:val="00AF32E4"/>
    <w:rsid w:val="00AF4059"/>
    <w:rsid w:val="00AF4BAE"/>
    <w:rsid w:val="00AF53F4"/>
    <w:rsid w:val="00AF588C"/>
    <w:rsid w:val="00AF5CA7"/>
    <w:rsid w:val="00AF61EE"/>
    <w:rsid w:val="00AF671A"/>
    <w:rsid w:val="00B00CBE"/>
    <w:rsid w:val="00B02581"/>
    <w:rsid w:val="00B029AD"/>
    <w:rsid w:val="00B02A88"/>
    <w:rsid w:val="00B03D9B"/>
    <w:rsid w:val="00B051C5"/>
    <w:rsid w:val="00B051ED"/>
    <w:rsid w:val="00B05FD9"/>
    <w:rsid w:val="00B06444"/>
    <w:rsid w:val="00B1113B"/>
    <w:rsid w:val="00B114B3"/>
    <w:rsid w:val="00B1187D"/>
    <w:rsid w:val="00B123D2"/>
    <w:rsid w:val="00B1572B"/>
    <w:rsid w:val="00B16CA2"/>
    <w:rsid w:val="00B171D3"/>
    <w:rsid w:val="00B203F0"/>
    <w:rsid w:val="00B20900"/>
    <w:rsid w:val="00B21153"/>
    <w:rsid w:val="00B21D75"/>
    <w:rsid w:val="00B22450"/>
    <w:rsid w:val="00B22572"/>
    <w:rsid w:val="00B228B9"/>
    <w:rsid w:val="00B22915"/>
    <w:rsid w:val="00B22C92"/>
    <w:rsid w:val="00B23635"/>
    <w:rsid w:val="00B2425C"/>
    <w:rsid w:val="00B2552B"/>
    <w:rsid w:val="00B265F1"/>
    <w:rsid w:val="00B26754"/>
    <w:rsid w:val="00B26C47"/>
    <w:rsid w:val="00B270A8"/>
    <w:rsid w:val="00B2714F"/>
    <w:rsid w:val="00B27900"/>
    <w:rsid w:val="00B27C39"/>
    <w:rsid w:val="00B3041C"/>
    <w:rsid w:val="00B3216A"/>
    <w:rsid w:val="00B32903"/>
    <w:rsid w:val="00B33924"/>
    <w:rsid w:val="00B3541E"/>
    <w:rsid w:val="00B36392"/>
    <w:rsid w:val="00B36394"/>
    <w:rsid w:val="00B372E2"/>
    <w:rsid w:val="00B374EB"/>
    <w:rsid w:val="00B37A4B"/>
    <w:rsid w:val="00B37CFC"/>
    <w:rsid w:val="00B37E0C"/>
    <w:rsid w:val="00B40443"/>
    <w:rsid w:val="00B4266C"/>
    <w:rsid w:val="00B42C0C"/>
    <w:rsid w:val="00B434F7"/>
    <w:rsid w:val="00B4355A"/>
    <w:rsid w:val="00B43DBE"/>
    <w:rsid w:val="00B44583"/>
    <w:rsid w:val="00B445C5"/>
    <w:rsid w:val="00B4470B"/>
    <w:rsid w:val="00B44D11"/>
    <w:rsid w:val="00B4501D"/>
    <w:rsid w:val="00B452B7"/>
    <w:rsid w:val="00B45390"/>
    <w:rsid w:val="00B45EEC"/>
    <w:rsid w:val="00B45EF2"/>
    <w:rsid w:val="00B46231"/>
    <w:rsid w:val="00B46385"/>
    <w:rsid w:val="00B46570"/>
    <w:rsid w:val="00B46D8C"/>
    <w:rsid w:val="00B479C8"/>
    <w:rsid w:val="00B47D3C"/>
    <w:rsid w:val="00B508AB"/>
    <w:rsid w:val="00B50CFF"/>
    <w:rsid w:val="00B5103F"/>
    <w:rsid w:val="00B5251D"/>
    <w:rsid w:val="00B529A9"/>
    <w:rsid w:val="00B5368F"/>
    <w:rsid w:val="00B53EB7"/>
    <w:rsid w:val="00B53F28"/>
    <w:rsid w:val="00B545D2"/>
    <w:rsid w:val="00B54B49"/>
    <w:rsid w:val="00B56829"/>
    <w:rsid w:val="00B578BB"/>
    <w:rsid w:val="00B57ECF"/>
    <w:rsid w:val="00B6010B"/>
    <w:rsid w:val="00B60819"/>
    <w:rsid w:val="00B60EBA"/>
    <w:rsid w:val="00B60FDA"/>
    <w:rsid w:val="00B61503"/>
    <w:rsid w:val="00B6226B"/>
    <w:rsid w:val="00B634D1"/>
    <w:rsid w:val="00B636FB"/>
    <w:rsid w:val="00B6405B"/>
    <w:rsid w:val="00B64FA2"/>
    <w:rsid w:val="00B658DA"/>
    <w:rsid w:val="00B664A6"/>
    <w:rsid w:val="00B66BE3"/>
    <w:rsid w:val="00B66CAF"/>
    <w:rsid w:val="00B6797A"/>
    <w:rsid w:val="00B67CCD"/>
    <w:rsid w:val="00B70816"/>
    <w:rsid w:val="00B70859"/>
    <w:rsid w:val="00B70FAC"/>
    <w:rsid w:val="00B7172C"/>
    <w:rsid w:val="00B718D3"/>
    <w:rsid w:val="00B71B0C"/>
    <w:rsid w:val="00B72263"/>
    <w:rsid w:val="00B72421"/>
    <w:rsid w:val="00B75781"/>
    <w:rsid w:val="00B77F72"/>
    <w:rsid w:val="00B77FBD"/>
    <w:rsid w:val="00B81410"/>
    <w:rsid w:val="00B8385C"/>
    <w:rsid w:val="00B849B2"/>
    <w:rsid w:val="00B84D7E"/>
    <w:rsid w:val="00B84EB5"/>
    <w:rsid w:val="00B850A8"/>
    <w:rsid w:val="00B860CA"/>
    <w:rsid w:val="00B86AE5"/>
    <w:rsid w:val="00B87CAF"/>
    <w:rsid w:val="00B91637"/>
    <w:rsid w:val="00B91811"/>
    <w:rsid w:val="00B9254B"/>
    <w:rsid w:val="00B927E1"/>
    <w:rsid w:val="00B92D15"/>
    <w:rsid w:val="00B9338A"/>
    <w:rsid w:val="00B9348A"/>
    <w:rsid w:val="00B93586"/>
    <w:rsid w:val="00B93C59"/>
    <w:rsid w:val="00B94358"/>
    <w:rsid w:val="00B94E9D"/>
    <w:rsid w:val="00B95E97"/>
    <w:rsid w:val="00B96429"/>
    <w:rsid w:val="00B966CE"/>
    <w:rsid w:val="00B96739"/>
    <w:rsid w:val="00B96A8A"/>
    <w:rsid w:val="00B96A97"/>
    <w:rsid w:val="00B96BAC"/>
    <w:rsid w:val="00B975F5"/>
    <w:rsid w:val="00BA09C6"/>
    <w:rsid w:val="00BA0ABE"/>
    <w:rsid w:val="00BA1A1D"/>
    <w:rsid w:val="00BA2AF6"/>
    <w:rsid w:val="00BA2F24"/>
    <w:rsid w:val="00BA323B"/>
    <w:rsid w:val="00BA33A2"/>
    <w:rsid w:val="00BA3560"/>
    <w:rsid w:val="00BA36B7"/>
    <w:rsid w:val="00BA5937"/>
    <w:rsid w:val="00BA5CF5"/>
    <w:rsid w:val="00BA60CF"/>
    <w:rsid w:val="00BA6F45"/>
    <w:rsid w:val="00BA6F86"/>
    <w:rsid w:val="00BB07B9"/>
    <w:rsid w:val="00BB08D0"/>
    <w:rsid w:val="00BB10D4"/>
    <w:rsid w:val="00BB1204"/>
    <w:rsid w:val="00BB2F18"/>
    <w:rsid w:val="00BB3B62"/>
    <w:rsid w:val="00BB3E01"/>
    <w:rsid w:val="00BB411B"/>
    <w:rsid w:val="00BB4806"/>
    <w:rsid w:val="00BB4936"/>
    <w:rsid w:val="00BB4B8F"/>
    <w:rsid w:val="00BB633D"/>
    <w:rsid w:val="00BB6D38"/>
    <w:rsid w:val="00BB6E22"/>
    <w:rsid w:val="00BB6FB3"/>
    <w:rsid w:val="00BB7853"/>
    <w:rsid w:val="00BB7E0D"/>
    <w:rsid w:val="00BC097E"/>
    <w:rsid w:val="00BC0DC1"/>
    <w:rsid w:val="00BC209F"/>
    <w:rsid w:val="00BC360C"/>
    <w:rsid w:val="00BC3984"/>
    <w:rsid w:val="00BC44EA"/>
    <w:rsid w:val="00BC4E9D"/>
    <w:rsid w:val="00BC5001"/>
    <w:rsid w:val="00BC5562"/>
    <w:rsid w:val="00BC67B3"/>
    <w:rsid w:val="00BC753A"/>
    <w:rsid w:val="00BC7CD5"/>
    <w:rsid w:val="00BC7DA1"/>
    <w:rsid w:val="00BD08DE"/>
    <w:rsid w:val="00BD1026"/>
    <w:rsid w:val="00BD11EF"/>
    <w:rsid w:val="00BD2079"/>
    <w:rsid w:val="00BD2E93"/>
    <w:rsid w:val="00BD2EF8"/>
    <w:rsid w:val="00BD31E8"/>
    <w:rsid w:val="00BD4954"/>
    <w:rsid w:val="00BD4B5D"/>
    <w:rsid w:val="00BD5E8F"/>
    <w:rsid w:val="00BE16FB"/>
    <w:rsid w:val="00BE2FEF"/>
    <w:rsid w:val="00BE3246"/>
    <w:rsid w:val="00BE39F0"/>
    <w:rsid w:val="00BE3B5E"/>
    <w:rsid w:val="00BE4A04"/>
    <w:rsid w:val="00BE4BDE"/>
    <w:rsid w:val="00BE69B3"/>
    <w:rsid w:val="00BE73DD"/>
    <w:rsid w:val="00BE7429"/>
    <w:rsid w:val="00BE7995"/>
    <w:rsid w:val="00BF0507"/>
    <w:rsid w:val="00BF0B92"/>
    <w:rsid w:val="00BF1834"/>
    <w:rsid w:val="00BF196C"/>
    <w:rsid w:val="00BF1A98"/>
    <w:rsid w:val="00BF1E43"/>
    <w:rsid w:val="00BF20BE"/>
    <w:rsid w:val="00BF339B"/>
    <w:rsid w:val="00BF383B"/>
    <w:rsid w:val="00BF3CC2"/>
    <w:rsid w:val="00BF3DCE"/>
    <w:rsid w:val="00BF4721"/>
    <w:rsid w:val="00BF4D1B"/>
    <w:rsid w:val="00BF549D"/>
    <w:rsid w:val="00BF77AA"/>
    <w:rsid w:val="00BF7969"/>
    <w:rsid w:val="00BF7B03"/>
    <w:rsid w:val="00C00DB9"/>
    <w:rsid w:val="00C00FE3"/>
    <w:rsid w:val="00C01923"/>
    <w:rsid w:val="00C01EF3"/>
    <w:rsid w:val="00C02C84"/>
    <w:rsid w:val="00C052EC"/>
    <w:rsid w:val="00C06256"/>
    <w:rsid w:val="00C069BF"/>
    <w:rsid w:val="00C06DC4"/>
    <w:rsid w:val="00C0784F"/>
    <w:rsid w:val="00C07942"/>
    <w:rsid w:val="00C07CAF"/>
    <w:rsid w:val="00C10035"/>
    <w:rsid w:val="00C10700"/>
    <w:rsid w:val="00C10B4C"/>
    <w:rsid w:val="00C11270"/>
    <w:rsid w:val="00C11E4B"/>
    <w:rsid w:val="00C1276C"/>
    <w:rsid w:val="00C12D2B"/>
    <w:rsid w:val="00C12ED9"/>
    <w:rsid w:val="00C14E6D"/>
    <w:rsid w:val="00C15199"/>
    <w:rsid w:val="00C154A6"/>
    <w:rsid w:val="00C159DE"/>
    <w:rsid w:val="00C172B7"/>
    <w:rsid w:val="00C20F46"/>
    <w:rsid w:val="00C22B0A"/>
    <w:rsid w:val="00C22F3C"/>
    <w:rsid w:val="00C23B27"/>
    <w:rsid w:val="00C2425B"/>
    <w:rsid w:val="00C2441F"/>
    <w:rsid w:val="00C24543"/>
    <w:rsid w:val="00C25065"/>
    <w:rsid w:val="00C26084"/>
    <w:rsid w:val="00C273CA"/>
    <w:rsid w:val="00C27A29"/>
    <w:rsid w:val="00C27F7D"/>
    <w:rsid w:val="00C27F83"/>
    <w:rsid w:val="00C30C09"/>
    <w:rsid w:val="00C322A9"/>
    <w:rsid w:val="00C33C64"/>
    <w:rsid w:val="00C3430B"/>
    <w:rsid w:val="00C34B10"/>
    <w:rsid w:val="00C36041"/>
    <w:rsid w:val="00C36116"/>
    <w:rsid w:val="00C365AC"/>
    <w:rsid w:val="00C37CB6"/>
    <w:rsid w:val="00C37FE9"/>
    <w:rsid w:val="00C402C8"/>
    <w:rsid w:val="00C40E00"/>
    <w:rsid w:val="00C40F35"/>
    <w:rsid w:val="00C41BB5"/>
    <w:rsid w:val="00C423CF"/>
    <w:rsid w:val="00C447DF"/>
    <w:rsid w:val="00C44D98"/>
    <w:rsid w:val="00C45258"/>
    <w:rsid w:val="00C45B91"/>
    <w:rsid w:val="00C45CC8"/>
    <w:rsid w:val="00C50799"/>
    <w:rsid w:val="00C508DD"/>
    <w:rsid w:val="00C51A9F"/>
    <w:rsid w:val="00C52F45"/>
    <w:rsid w:val="00C5331A"/>
    <w:rsid w:val="00C53B22"/>
    <w:rsid w:val="00C54C4A"/>
    <w:rsid w:val="00C550B2"/>
    <w:rsid w:val="00C55198"/>
    <w:rsid w:val="00C559DC"/>
    <w:rsid w:val="00C602E1"/>
    <w:rsid w:val="00C60701"/>
    <w:rsid w:val="00C60B77"/>
    <w:rsid w:val="00C619EB"/>
    <w:rsid w:val="00C61E09"/>
    <w:rsid w:val="00C62D66"/>
    <w:rsid w:val="00C635B5"/>
    <w:rsid w:val="00C63F30"/>
    <w:rsid w:val="00C6401A"/>
    <w:rsid w:val="00C64216"/>
    <w:rsid w:val="00C64988"/>
    <w:rsid w:val="00C64BEF"/>
    <w:rsid w:val="00C65737"/>
    <w:rsid w:val="00C66908"/>
    <w:rsid w:val="00C67091"/>
    <w:rsid w:val="00C70660"/>
    <w:rsid w:val="00C70AB6"/>
    <w:rsid w:val="00C71487"/>
    <w:rsid w:val="00C750FB"/>
    <w:rsid w:val="00C76B1E"/>
    <w:rsid w:val="00C76F45"/>
    <w:rsid w:val="00C77309"/>
    <w:rsid w:val="00C77A8F"/>
    <w:rsid w:val="00C811F4"/>
    <w:rsid w:val="00C81E78"/>
    <w:rsid w:val="00C81F42"/>
    <w:rsid w:val="00C82DF3"/>
    <w:rsid w:val="00C83763"/>
    <w:rsid w:val="00C862D1"/>
    <w:rsid w:val="00C86413"/>
    <w:rsid w:val="00C86FE3"/>
    <w:rsid w:val="00C87F38"/>
    <w:rsid w:val="00C90123"/>
    <w:rsid w:val="00C90B54"/>
    <w:rsid w:val="00C93738"/>
    <w:rsid w:val="00C93787"/>
    <w:rsid w:val="00C93844"/>
    <w:rsid w:val="00C939EC"/>
    <w:rsid w:val="00C93AC2"/>
    <w:rsid w:val="00C93C40"/>
    <w:rsid w:val="00C93D48"/>
    <w:rsid w:val="00C94437"/>
    <w:rsid w:val="00C948DD"/>
    <w:rsid w:val="00C94ABF"/>
    <w:rsid w:val="00C954AD"/>
    <w:rsid w:val="00C9645F"/>
    <w:rsid w:val="00C96D6E"/>
    <w:rsid w:val="00C97BBA"/>
    <w:rsid w:val="00CA01E5"/>
    <w:rsid w:val="00CA23BA"/>
    <w:rsid w:val="00CA386C"/>
    <w:rsid w:val="00CA3B6E"/>
    <w:rsid w:val="00CA47EA"/>
    <w:rsid w:val="00CA4A6E"/>
    <w:rsid w:val="00CA4AFA"/>
    <w:rsid w:val="00CA4F81"/>
    <w:rsid w:val="00CA5007"/>
    <w:rsid w:val="00CA6FC7"/>
    <w:rsid w:val="00CA7263"/>
    <w:rsid w:val="00CB013A"/>
    <w:rsid w:val="00CB29BF"/>
    <w:rsid w:val="00CB2F7D"/>
    <w:rsid w:val="00CB3D23"/>
    <w:rsid w:val="00CB49FF"/>
    <w:rsid w:val="00CB666B"/>
    <w:rsid w:val="00CB69F5"/>
    <w:rsid w:val="00CB788C"/>
    <w:rsid w:val="00CB7C0D"/>
    <w:rsid w:val="00CB7E27"/>
    <w:rsid w:val="00CC0724"/>
    <w:rsid w:val="00CC0751"/>
    <w:rsid w:val="00CC165A"/>
    <w:rsid w:val="00CC1697"/>
    <w:rsid w:val="00CC1A00"/>
    <w:rsid w:val="00CC264F"/>
    <w:rsid w:val="00CC2A70"/>
    <w:rsid w:val="00CC2BDE"/>
    <w:rsid w:val="00CC3578"/>
    <w:rsid w:val="00CC41F9"/>
    <w:rsid w:val="00CC436B"/>
    <w:rsid w:val="00CC4E25"/>
    <w:rsid w:val="00CC7246"/>
    <w:rsid w:val="00CC7D8D"/>
    <w:rsid w:val="00CD1A90"/>
    <w:rsid w:val="00CD267F"/>
    <w:rsid w:val="00CD2800"/>
    <w:rsid w:val="00CD2D5A"/>
    <w:rsid w:val="00CD2D6C"/>
    <w:rsid w:val="00CD5C3F"/>
    <w:rsid w:val="00CD7598"/>
    <w:rsid w:val="00CD77A3"/>
    <w:rsid w:val="00CE0347"/>
    <w:rsid w:val="00CE2606"/>
    <w:rsid w:val="00CE2955"/>
    <w:rsid w:val="00CE3FCE"/>
    <w:rsid w:val="00CE4133"/>
    <w:rsid w:val="00CE4F10"/>
    <w:rsid w:val="00CE4F61"/>
    <w:rsid w:val="00CE5285"/>
    <w:rsid w:val="00CE52AE"/>
    <w:rsid w:val="00CE542D"/>
    <w:rsid w:val="00CE7F0A"/>
    <w:rsid w:val="00CF0891"/>
    <w:rsid w:val="00CF1019"/>
    <w:rsid w:val="00CF289D"/>
    <w:rsid w:val="00CF3AE3"/>
    <w:rsid w:val="00CF3F26"/>
    <w:rsid w:val="00CF4D48"/>
    <w:rsid w:val="00CF60B7"/>
    <w:rsid w:val="00CF6F9A"/>
    <w:rsid w:val="00CF700C"/>
    <w:rsid w:val="00D002DC"/>
    <w:rsid w:val="00D01C4A"/>
    <w:rsid w:val="00D01F75"/>
    <w:rsid w:val="00D02C8F"/>
    <w:rsid w:val="00D03F79"/>
    <w:rsid w:val="00D0420A"/>
    <w:rsid w:val="00D04F20"/>
    <w:rsid w:val="00D06227"/>
    <w:rsid w:val="00D07269"/>
    <w:rsid w:val="00D1081F"/>
    <w:rsid w:val="00D112D6"/>
    <w:rsid w:val="00D11ACC"/>
    <w:rsid w:val="00D11BE2"/>
    <w:rsid w:val="00D11CF1"/>
    <w:rsid w:val="00D13902"/>
    <w:rsid w:val="00D13BF9"/>
    <w:rsid w:val="00D13C45"/>
    <w:rsid w:val="00D151D7"/>
    <w:rsid w:val="00D15E9C"/>
    <w:rsid w:val="00D16541"/>
    <w:rsid w:val="00D1657B"/>
    <w:rsid w:val="00D16DAD"/>
    <w:rsid w:val="00D170F8"/>
    <w:rsid w:val="00D17BC0"/>
    <w:rsid w:val="00D202E2"/>
    <w:rsid w:val="00D20D2C"/>
    <w:rsid w:val="00D21C01"/>
    <w:rsid w:val="00D21D93"/>
    <w:rsid w:val="00D22700"/>
    <w:rsid w:val="00D22B77"/>
    <w:rsid w:val="00D23119"/>
    <w:rsid w:val="00D23CB6"/>
    <w:rsid w:val="00D23CE0"/>
    <w:rsid w:val="00D25F36"/>
    <w:rsid w:val="00D26462"/>
    <w:rsid w:val="00D264F4"/>
    <w:rsid w:val="00D267F4"/>
    <w:rsid w:val="00D27C6C"/>
    <w:rsid w:val="00D312EC"/>
    <w:rsid w:val="00D31FDA"/>
    <w:rsid w:val="00D3245E"/>
    <w:rsid w:val="00D34E97"/>
    <w:rsid w:val="00D35E45"/>
    <w:rsid w:val="00D36553"/>
    <w:rsid w:val="00D3691A"/>
    <w:rsid w:val="00D37485"/>
    <w:rsid w:val="00D37A83"/>
    <w:rsid w:val="00D37E2F"/>
    <w:rsid w:val="00D40E01"/>
    <w:rsid w:val="00D414BC"/>
    <w:rsid w:val="00D415BC"/>
    <w:rsid w:val="00D43BF5"/>
    <w:rsid w:val="00D44BAB"/>
    <w:rsid w:val="00D44F5B"/>
    <w:rsid w:val="00D451FB"/>
    <w:rsid w:val="00D466E0"/>
    <w:rsid w:val="00D46FA6"/>
    <w:rsid w:val="00D47A9F"/>
    <w:rsid w:val="00D47C14"/>
    <w:rsid w:val="00D50224"/>
    <w:rsid w:val="00D547DE"/>
    <w:rsid w:val="00D5501B"/>
    <w:rsid w:val="00D555B1"/>
    <w:rsid w:val="00D55949"/>
    <w:rsid w:val="00D5752B"/>
    <w:rsid w:val="00D57777"/>
    <w:rsid w:val="00D5795B"/>
    <w:rsid w:val="00D60F7F"/>
    <w:rsid w:val="00D6258A"/>
    <w:rsid w:val="00D626B0"/>
    <w:rsid w:val="00D635D4"/>
    <w:rsid w:val="00D64912"/>
    <w:rsid w:val="00D64C89"/>
    <w:rsid w:val="00D64D13"/>
    <w:rsid w:val="00D66589"/>
    <w:rsid w:val="00D7102F"/>
    <w:rsid w:val="00D71F30"/>
    <w:rsid w:val="00D72269"/>
    <w:rsid w:val="00D72AB2"/>
    <w:rsid w:val="00D733FA"/>
    <w:rsid w:val="00D74519"/>
    <w:rsid w:val="00D74EAA"/>
    <w:rsid w:val="00D755BA"/>
    <w:rsid w:val="00D77028"/>
    <w:rsid w:val="00D77A91"/>
    <w:rsid w:val="00D804B7"/>
    <w:rsid w:val="00D80AD2"/>
    <w:rsid w:val="00D80FE9"/>
    <w:rsid w:val="00D8126C"/>
    <w:rsid w:val="00D82D91"/>
    <w:rsid w:val="00D83249"/>
    <w:rsid w:val="00D836E5"/>
    <w:rsid w:val="00D851A9"/>
    <w:rsid w:val="00D856BC"/>
    <w:rsid w:val="00D861F0"/>
    <w:rsid w:val="00D86709"/>
    <w:rsid w:val="00D86824"/>
    <w:rsid w:val="00D86DC7"/>
    <w:rsid w:val="00D871B8"/>
    <w:rsid w:val="00D875FE"/>
    <w:rsid w:val="00D87C95"/>
    <w:rsid w:val="00D901FA"/>
    <w:rsid w:val="00D91924"/>
    <w:rsid w:val="00D919E9"/>
    <w:rsid w:val="00D91D14"/>
    <w:rsid w:val="00D92574"/>
    <w:rsid w:val="00D932E3"/>
    <w:rsid w:val="00D94BF5"/>
    <w:rsid w:val="00D958CC"/>
    <w:rsid w:val="00D95FB4"/>
    <w:rsid w:val="00D967EA"/>
    <w:rsid w:val="00D96AE6"/>
    <w:rsid w:val="00D96D76"/>
    <w:rsid w:val="00D97AC7"/>
    <w:rsid w:val="00DA137D"/>
    <w:rsid w:val="00DA182F"/>
    <w:rsid w:val="00DA1B4D"/>
    <w:rsid w:val="00DA3056"/>
    <w:rsid w:val="00DA3D61"/>
    <w:rsid w:val="00DA3F34"/>
    <w:rsid w:val="00DA40DC"/>
    <w:rsid w:val="00DA4EA4"/>
    <w:rsid w:val="00DA50A3"/>
    <w:rsid w:val="00DA622F"/>
    <w:rsid w:val="00DA6703"/>
    <w:rsid w:val="00DA7058"/>
    <w:rsid w:val="00DA7897"/>
    <w:rsid w:val="00DA7914"/>
    <w:rsid w:val="00DB1749"/>
    <w:rsid w:val="00DB1E30"/>
    <w:rsid w:val="00DB1FCE"/>
    <w:rsid w:val="00DB2023"/>
    <w:rsid w:val="00DB24E5"/>
    <w:rsid w:val="00DB28E7"/>
    <w:rsid w:val="00DB2944"/>
    <w:rsid w:val="00DB2981"/>
    <w:rsid w:val="00DB2E40"/>
    <w:rsid w:val="00DB32C7"/>
    <w:rsid w:val="00DB456D"/>
    <w:rsid w:val="00DB7331"/>
    <w:rsid w:val="00DB7683"/>
    <w:rsid w:val="00DC030A"/>
    <w:rsid w:val="00DC17D3"/>
    <w:rsid w:val="00DC3624"/>
    <w:rsid w:val="00DC4FC3"/>
    <w:rsid w:val="00DC5315"/>
    <w:rsid w:val="00DC6863"/>
    <w:rsid w:val="00DC730E"/>
    <w:rsid w:val="00DD05B0"/>
    <w:rsid w:val="00DD1056"/>
    <w:rsid w:val="00DD208F"/>
    <w:rsid w:val="00DD3A9B"/>
    <w:rsid w:val="00DD5424"/>
    <w:rsid w:val="00DD5777"/>
    <w:rsid w:val="00DD68EF"/>
    <w:rsid w:val="00DD730B"/>
    <w:rsid w:val="00DD7638"/>
    <w:rsid w:val="00DE023E"/>
    <w:rsid w:val="00DE07E8"/>
    <w:rsid w:val="00DE18E1"/>
    <w:rsid w:val="00DE1ADF"/>
    <w:rsid w:val="00DE1F3D"/>
    <w:rsid w:val="00DE200C"/>
    <w:rsid w:val="00DE2070"/>
    <w:rsid w:val="00DE345F"/>
    <w:rsid w:val="00DE425A"/>
    <w:rsid w:val="00DE46A4"/>
    <w:rsid w:val="00DE4A10"/>
    <w:rsid w:val="00DE4A20"/>
    <w:rsid w:val="00DE4EE6"/>
    <w:rsid w:val="00DE54AE"/>
    <w:rsid w:val="00DE6088"/>
    <w:rsid w:val="00DE67CE"/>
    <w:rsid w:val="00DE7621"/>
    <w:rsid w:val="00DF0720"/>
    <w:rsid w:val="00DF3007"/>
    <w:rsid w:val="00DF377D"/>
    <w:rsid w:val="00DF4DB0"/>
    <w:rsid w:val="00DF4F6D"/>
    <w:rsid w:val="00DF61F9"/>
    <w:rsid w:val="00DF71CC"/>
    <w:rsid w:val="00DF7B4F"/>
    <w:rsid w:val="00E005F8"/>
    <w:rsid w:val="00E02159"/>
    <w:rsid w:val="00E02483"/>
    <w:rsid w:val="00E0357F"/>
    <w:rsid w:val="00E04046"/>
    <w:rsid w:val="00E05265"/>
    <w:rsid w:val="00E05902"/>
    <w:rsid w:val="00E06154"/>
    <w:rsid w:val="00E061D6"/>
    <w:rsid w:val="00E06E81"/>
    <w:rsid w:val="00E10189"/>
    <w:rsid w:val="00E10F2D"/>
    <w:rsid w:val="00E115A1"/>
    <w:rsid w:val="00E11DB8"/>
    <w:rsid w:val="00E12346"/>
    <w:rsid w:val="00E13023"/>
    <w:rsid w:val="00E137E7"/>
    <w:rsid w:val="00E15260"/>
    <w:rsid w:val="00E15FB0"/>
    <w:rsid w:val="00E161FF"/>
    <w:rsid w:val="00E16221"/>
    <w:rsid w:val="00E1634C"/>
    <w:rsid w:val="00E170FF"/>
    <w:rsid w:val="00E173D1"/>
    <w:rsid w:val="00E20264"/>
    <w:rsid w:val="00E20E84"/>
    <w:rsid w:val="00E22268"/>
    <w:rsid w:val="00E22B0E"/>
    <w:rsid w:val="00E2444F"/>
    <w:rsid w:val="00E24B30"/>
    <w:rsid w:val="00E24D6C"/>
    <w:rsid w:val="00E25112"/>
    <w:rsid w:val="00E25E29"/>
    <w:rsid w:val="00E26517"/>
    <w:rsid w:val="00E26692"/>
    <w:rsid w:val="00E26C00"/>
    <w:rsid w:val="00E26C09"/>
    <w:rsid w:val="00E26E14"/>
    <w:rsid w:val="00E2749C"/>
    <w:rsid w:val="00E308F1"/>
    <w:rsid w:val="00E31912"/>
    <w:rsid w:val="00E32031"/>
    <w:rsid w:val="00E322D7"/>
    <w:rsid w:val="00E3249C"/>
    <w:rsid w:val="00E33724"/>
    <w:rsid w:val="00E33BB6"/>
    <w:rsid w:val="00E346F3"/>
    <w:rsid w:val="00E34EC0"/>
    <w:rsid w:val="00E35FEB"/>
    <w:rsid w:val="00E36417"/>
    <w:rsid w:val="00E36D52"/>
    <w:rsid w:val="00E3717A"/>
    <w:rsid w:val="00E40F35"/>
    <w:rsid w:val="00E41032"/>
    <w:rsid w:val="00E42E9C"/>
    <w:rsid w:val="00E43543"/>
    <w:rsid w:val="00E43F2A"/>
    <w:rsid w:val="00E45A03"/>
    <w:rsid w:val="00E45CCE"/>
    <w:rsid w:val="00E47DE0"/>
    <w:rsid w:val="00E50ADB"/>
    <w:rsid w:val="00E51469"/>
    <w:rsid w:val="00E528DE"/>
    <w:rsid w:val="00E5321F"/>
    <w:rsid w:val="00E532DB"/>
    <w:rsid w:val="00E533F7"/>
    <w:rsid w:val="00E537D3"/>
    <w:rsid w:val="00E54288"/>
    <w:rsid w:val="00E55351"/>
    <w:rsid w:val="00E557C0"/>
    <w:rsid w:val="00E55FBC"/>
    <w:rsid w:val="00E5611F"/>
    <w:rsid w:val="00E56DE2"/>
    <w:rsid w:val="00E57BBF"/>
    <w:rsid w:val="00E61C54"/>
    <w:rsid w:val="00E6323C"/>
    <w:rsid w:val="00E63264"/>
    <w:rsid w:val="00E633FF"/>
    <w:rsid w:val="00E63494"/>
    <w:rsid w:val="00E634B0"/>
    <w:rsid w:val="00E6350E"/>
    <w:rsid w:val="00E63D35"/>
    <w:rsid w:val="00E63D82"/>
    <w:rsid w:val="00E640AE"/>
    <w:rsid w:val="00E64E41"/>
    <w:rsid w:val="00E65C74"/>
    <w:rsid w:val="00E67119"/>
    <w:rsid w:val="00E70508"/>
    <w:rsid w:val="00E7090C"/>
    <w:rsid w:val="00E73558"/>
    <w:rsid w:val="00E73DF3"/>
    <w:rsid w:val="00E77357"/>
    <w:rsid w:val="00E809D2"/>
    <w:rsid w:val="00E80A59"/>
    <w:rsid w:val="00E810FF"/>
    <w:rsid w:val="00E81294"/>
    <w:rsid w:val="00E81AE4"/>
    <w:rsid w:val="00E82DB8"/>
    <w:rsid w:val="00E83061"/>
    <w:rsid w:val="00E84EDE"/>
    <w:rsid w:val="00E853B7"/>
    <w:rsid w:val="00E85578"/>
    <w:rsid w:val="00E85A35"/>
    <w:rsid w:val="00E86FCE"/>
    <w:rsid w:val="00E90FC9"/>
    <w:rsid w:val="00E9148D"/>
    <w:rsid w:val="00E919BF"/>
    <w:rsid w:val="00E91DD1"/>
    <w:rsid w:val="00E92438"/>
    <w:rsid w:val="00E9440A"/>
    <w:rsid w:val="00E948C4"/>
    <w:rsid w:val="00E96531"/>
    <w:rsid w:val="00E96878"/>
    <w:rsid w:val="00E9724D"/>
    <w:rsid w:val="00EA02C4"/>
    <w:rsid w:val="00EA0FE5"/>
    <w:rsid w:val="00EA1B22"/>
    <w:rsid w:val="00EA30F8"/>
    <w:rsid w:val="00EA3105"/>
    <w:rsid w:val="00EA3E84"/>
    <w:rsid w:val="00EA4A37"/>
    <w:rsid w:val="00EA4AB6"/>
    <w:rsid w:val="00EA5155"/>
    <w:rsid w:val="00EA6A19"/>
    <w:rsid w:val="00EA6D77"/>
    <w:rsid w:val="00EB044B"/>
    <w:rsid w:val="00EB0E42"/>
    <w:rsid w:val="00EB144F"/>
    <w:rsid w:val="00EB2805"/>
    <w:rsid w:val="00EB3945"/>
    <w:rsid w:val="00EB3A1C"/>
    <w:rsid w:val="00EB3BCF"/>
    <w:rsid w:val="00EB3C22"/>
    <w:rsid w:val="00EB3F58"/>
    <w:rsid w:val="00EB44BD"/>
    <w:rsid w:val="00EB4637"/>
    <w:rsid w:val="00EB642B"/>
    <w:rsid w:val="00EB694F"/>
    <w:rsid w:val="00EB6B2F"/>
    <w:rsid w:val="00EB6D2E"/>
    <w:rsid w:val="00EB7854"/>
    <w:rsid w:val="00EC0DB1"/>
    <w:rsid w:val="00EC1831"/>
    <w:rsid w:val="00EC27F3"/>
    <w:rsid w:val="00EC2B56"/>
    <w:rsid w:val="00EC2DC6"/>
    <w:rsid w:val="00EC3093"/>
    <w:rsid w:val="00EC341D"/>
    <w:rsid w:val="00EC4AA0"/>
    <w:rsid w:val="00EC4E13"/>
    <w:rsid w:val="00EC5C21"/>
    <w:rsid w:val="00EC6A1A"/>
    <w:rsid w:val="00EC7968"/>
    <w:rsid w:val="00EC7DFE"/>
    <w:rsid w:val="00ED0125"/>
    <w:rsid w:val="00ED044C"/>
    <w:rsid w:val="00ED2BE5"/>
    <w:rsid w:val="00ED3347"/>
    <w:rsid w:val="00ED36BF"/>
    <w:rsid w:val="00ED5F5F"/>
    <w:rsid w:val="00ED6369"/>
    <w:rsid w:val="00ED6D68"/>
    <w:rsid w:val="00ED6DBA"/>
    <w:rsid w:val="00ED74ED"/>
    <w:rsid w:val="00ED7EB5"/>
    <w:rsid w:val="00EE00EE"/>
    <w:rsid w:val="00EE046C"/>
    <w:rsid w:val="00EE0683"/>
    <w:rsid w:val="00EE072C"/>
    <w:rsid w:val="00EE0911"/>
    <w:rsid w:val="00EE0A89"/>
    <w:rsid w:val="00EE2DF0"/>
    <w:rsid w:val="00EE3501"/>
    <w:rsid w:val="00EE35EF"/>
    <w:rsid w:val="00EE4DC3"/>
    <w:rsid w:val="00EE4F75"/>
    <w:rsid w:val="00EE5476"/>
    <w:rsid w:val="00EE574D"/>
    <w:rsid w:val="00EE5B98"/>
    <w:rsid w:val="00EE6C5D"/>
    <w:rsid w:val="00EE7164"/>
    <w:rsid w:val="00EE7BA3"/>
    <w:rsid w:val="00EF14A2"/>
    <w:rsid w:val="00EF16E4"/>
    <w:rsid w:val="00EF18F0"/>
    <w:rsid w:val="00EF24C1"/>
    <w:rsid w:val="00EF28B7"/>
    <w:rsid w:val="00EF29BC"/>
    <w:rsid w:val="00EF362D"/>
    <w:rsid w:val="00EF4251"/>
    <w:rsid w:val="00EF477E"/>
    <w:rsid w:val="00EF48F1"/>
    <w:rsid w:val="00EF4A55"/>
    <w:rsid w:val="00EF4C98"/>
    <w:rsid w:val="00EF5012"/>
    <w:rsid w:val="00EF553D"/>
    <w:rsid w:val="00EF5AC4"/>
    <w:rsid w:val="00EF5C05"/>
    <w:rsid w:val="00EF6661"/>
    <w:rsid w:val="00EF782F"/>
    <w:rsid w:val="00EF7931"/>
    <w:rsid w:val="00EF7C67"/>
    <w:rsid w:val="00F005D9"/>
    <w:rsid w:val="00F011B3"/>
    <w:rsid w:val="00F01C62"/>
    <w:rsid w:val="00F023CC"/>
    <w:rsid w:val="00F02FE0"/>
    <w:rsid w:val="00F03523"/>
    <w:rsid w:val="00F037DD"/>
    <w:rsid w:val="00F05BA5"/>
    <w:rsid w:val="00F05C7B"/>
    <w:rsid w:val="00F05E9C"/>
    <w:rsid w:val="00F07BC1"/>
    <w:rsid w:val="00F10870"/>
    <w:rsid w:val="00F11CEA"/>
    <w:rsid w:val="00F12155"/>
    <w:rsid w:val="00F134DC"/>
    <w:rsid w:val="00F15E7C"/>
    <w:rsid w:val="00F1607A"/>
    <w:rsid w:val="00F160E6"/>
    <w:rsid w:val="00F161FC"/>
    <w:rsid w:val="00F162B2"/>
    <w:rsid w:val="00F1677F"/>
    <w:rsid w:val="00F16D99"/>
    <w:rsid w:val="00F17A8F"/>
    <w:rsid w:val="00F204DC"/>
    <w:rsid w:val="00F21418"/>
    <w:rsid w:val="00F214DF"/>
    <w:rsid w:val="00F217A7"/>
    <w:rsid w:val="00F222D2"/>
    <w:rsid w:val="00F22C31"/>
    <w:rsid w:val="00F23384"/>
    <w:rsid w:val="00F245C4"/>
    <w:rsid w:val="00F2612A"/>
    <w:rsid w:val="00F2752C"/>
    <w:rsid w:val="00F2784F"/>
    <w:rsid w:val="00F27C52"/>
    <w:rsid w:val="00F27E69"/>
    <w:rsid w:val="00F3323B"/>
    <w:rsid w:val="00F3551B"/>
    <w:rsid w:val="00F36FDF"/>
    <w:rsid w:val="00F37778"/>
    <w:rsid w:val="00F37A2B"/>
    <w:rsid w:val="00F37C4A"/>
    <w:rsid w:val="00F37EBC"/>
    <w:rsid w:val="00F40141"/>
    <w:rsid w:val="00F40788"/>
    <w:rsid w:val="00F41014"/>
    <w:rsid w:val="00F41264"/>
    <w:rsid w:val="00F41523"/>
    <w:rsid w:val="00F416AB"/>
    <w:rsid w:val="00F43955"/>
    <w:rsid w:val="00F442B4"/>
    <w:rsid w:val="00F4471D"/>
    <w:rsid w:val="00F448C6"/>
    <w:rsid w:val="00F50A0D"/>
    <w:rsid w:val="00F50DCA"/>
    <w:rsid w:val="00F5103C"/>
    <w:rsid w:val="00F511BB"/>
    <w:rsid w:val="00F51539"/>
    <w:rsid w:val="00F51700"/>
    <w:rsid w:val="00F5172B"/>
    <w:rsid w:val="00F51949"/>
    <w:rsid w:val="00F51ADD"/>
    <w:rsid w:val="00F52965"/>
    <w:rsid w:val="00F541C3"/>
    <w:rsid w:val="00F5497E"/>
    <w:rsid w:val="00F55492"/>
    <w:rsid w:val="00F55D46"/>
    <w:rsid w:val="00F55E8B"/>
    <w:rsid w:val="00F56143"/>
    <w:rsid w:val="00F572A1"/>
    <w:rsid w:val="00F5766E"/>
    <w:rsid w:val="00F57827"/>
    <w:rsid w:val="00F57CEF"/>
    <w:rsid w:val="00F57E1E"/>
    <w:rsid w:val="00F60018"/>
    <w:rsid w:val="00F60069"/>
    <w:rsid w:val="00F611AD"/>
    <w:rsid w:val="00F62599"/>
    <w:rsid w:val="00F62FC3"/>
    <w:rsid w:val="00F6310E"/>
    <w:rsid w:val="00F644E5"/>
    <w:rsid w:val="00F65D22"/>
    <w:rsid w:val="00F706D5"/>
    <w:rsid w:val="00F71132"/>
    <w:rsid w:val="00F713CF"/>
    <w:rsid w:val="00F717BA"/>
    <w:rsid w:val="00F719DA"/>
    <w:rsid w:val="00F72740"/>
    <w:rsid w:val="00F731B1"/>
    <w:rsid w:val="00F73686"/>
    <w:rsid w:val="00F73E22"/>
    <w:rsid w:val="00F740E9"/>
    <w:rsid w:val="00F7456A"/>
    <w:rsid w:val="00F76DAA"/>
    <w:rsid w:val="00F76DD7"/>
    <w:rsid w:val="00F76FC1"/>
    <w:rsid w:val="00F811BA"/>
    <w:rsid w:val="00F821B8"/>
    <w:rsid w:val="00F82FB5"/>
    <w:rsid w:val="00F83664"/>
    <w:rsid w:val="00F83AEE"/>
    <w:rsid w:val="00F85A3F"/>
    <w:rsid w:val="00F86DE6"/>
    <w:rsid w:val="00F86E3B"/>
    <w:rsid w:val="00F87AB3"/>
    <w:rsid w:val="00F87E87"/>
    <w:rsid w:val="00F9055E"/>
    <w:rsid w:val="00F909FA"/>
    <w:rsid w:val="00F91430"/>
    <w:rsid w:val="00F914BB"/>
    <w:rsid w:val="00F916DF"/>
    <w:rsid w:val="00F922BA"/>
    <w:rsid w:val="00F9236F"/>
    <w:rsid w:val="00F9287B"/>
    <w:rsid w:val="00F92D14"/>
    <w:rsid w:val="00F92FB1"/>
    <w:rsid w:val="00F9416A"/>
    <w:rsid w:val="00F9431F"/>
    <w:rsid w:val="00F95592"/>
    <w:rsid w:val="00F95E5A"/>
    <w:rsid w:val="00F96FB3"/>
    <w:rsid w:val="00F97B44"/>
    <w:rsid w:val="00F97BE1"/>
    <w:rsid w:val="00FA0913"/>
    <w:rsid w:val="00FA161F"/>
    <w:rsid w:val="00FA190B"/>
    <w:rsid w:val="00FA1D9A"/>
    <w:rsid w:val="00FA20E6"/>
    <w:rsid w:val="00FA2C5F"/>
    <w:rsid w:val="00FA5FD9"/>
    <w:rsid w:val="00FA69BE"/>
    <w:rsid w:val="00FA74D9"/>
    <w:rsid w:val="00FB0C13"/>
    <w:rsid w:val="00FB15D4"/>
    <w:rsid w:val="00FB198E"/>
    <w:rsid w:val="00FB1A92"/>
    <w:rsid w:val="00FB1CD1"/>
    <w:rsid w:val="00FB2CBA"/>
    <w:rsid w:val="00FB2EF5"/>
    <w:rsid w:val="00FB3D68"/>
    <w:rsid w:val="00FB5CDE"/>
    <w:rsid w:val="00FB5DF0"/>
    <w:rsid w:val="00FB6824"/>
    <w:rsid w:val="00FB7A5E"/>
    <w:rsid w:val="00FB7E70"/>
    <w:rsid w:val="00FC073B"/>
    <w:rsid w:val="00FC094F"/>
    <w:rsid w:val="00FC0FA1"/>
    <w:rsid w:val="00FC196E"/>
    <w:rsid w:val="00FC2A92"/>
    <w:rsid w:val="00FC2C42"/>
    <w:rsid w:val="00FC329E"/>
    <w:rsid w:val="00FC3C36"/>
    <w:rsid w:val="00FC4428"/>
    <w:rsid w:val="00FC4689"/>
    <w:rsid w:val="00FC4FDA"/>
    <w:rsid w:val="00FC65C0"/>
    <w:rsid w:val="00FC65E3"/>
    <w:rsid w:val="00FC6DA1"/>
    <w:rsid w:val="00FC719B"/>
    <w:rsid w:val="00FD0586"/>
    <w:rsid w:val="00FD2BDB"/>
    <w:rsid w:val="00FD2DEB"/>
    <w:rsid w:val="00FD40EC"/>
    <w:rsid w:val="00FD43E8"/>
    <w:rsid w:val="00FD4F9F"/>
    <w:rsid w:val="00FD542C"/>
    <w:rsid w:val="00FD705A"/>
    <w:rsid w:val="00FD7170"/>
    <w:rsid w:val="00FD7D7A"/>
    <w:rsid w:val="00FD7E7B"/>
    <w:rsid w:val="00FE042B"/>
    <w:rsid w:val="00FE1045"/>
    <w:rsid w:val="00FE1279"/>
    <w:rsid w:val="00FE2323"/>
    <w:rsid w:val="00FE2959"/>
    <w:rsid w:val="00FE2B4E"/>
    <w:rsid w:val="00FE2D8B"/>
    <w:rsid w:val="00FE2F23"/>
    <w:rsid w:val="00FE321F"/>
    <w:rsid w:val="00FE3A83"/>
    <w:rsid w:val="00FE3C6C"/>
    <w:rsid w:val="00FE3C9B"/>
    <w:rsid w:val="00FE3EC4"/>
    <w:rsid w:val="00FE3F6A"/>
    <w:rsid w:val="00FE4D64"/>
    <w:rsid w:val="00FE4EEC"/>
    <w:rsid w:val="00FE5AEA"/>
    <w:rsid w:val="00FE659D"/>
    <w:rsid w:val="00FF0E24"/>
    <w:rsid w:val="00FF0E58"/>
    <w:rsid w:val="00FF1994"/>
    <w:rsid w:val="00FF2DF2"/>
    <w:rsid w:val="00FF2ECA"/>
    <w:rsid w:val="00FF30D1"/>
    <w:rsid w:val="00FF3382"/>
    <w:rsid w:val="00FF42BB"/>
    <w:rsid w:val="00FF46AF"/>
    <w:rsid w:val="00FF53C3"/>
    <w:rsid w:val="00FF72D8"/>
    <w:rsid w:val="00FF7732"/>
    <w:rsid w:val="00FF7758"/>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B185A"/>
  <w15:docId w15:val="{B54958B5-8132-4143-90A7-3673429C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662A"/>
    <w:pPr>
      <w:spacing w:after="120"/>
    </w:pPr>
    <w:rPr>
      <w:rFonts w:asciiTheme="minorHAnsi" w:hAnsiTheme="minorHAnsi"/>
      <w:sz w:val="24"/>
      <w:szCs w:val="24"/>
    </w:rPr>
  </w:style>
  <w:style w:type="paragraph" w:styleId="Nadpis1">
    <w:name w:val="heading 1"/>
    <w:basedOn w:val="Normln"/>
    <w:next w:val="Normln"/>
    <w:qFormat/>
    <w:rsid w:val="008124D7"/>
    <w:pPr>
      <w:keepNext/>
      <w:keepLines/>
      <w:suppressAutoHyphens/>
      <w:overflowPunct w:val="0"/>
      <w:autoSpaceDE w:val="0"/>
      <w:autoSpaceDN w:val="0"/>
      <w:adjustRightInd w:val="0"/>
      <w:spacing w:before="240"/>
      <w:jc w:val="both"/>
      <w:textAlignment w:val="baseline"/>
      <w:outlineLvl w:val="0"/>
    </w:pPr>
    <w:rPr>
      <w:b/>
      <w:kern w:val="36"/>
      <w:sz w:val="28"/>
      <w:szCs w:val="20"/>
    </w:rPr>
  </w:style>
  <w:style w:type="paragraph" w:styleId="Nadpis2">
    <w:name w:val="heading 2"/>
    <w:basedOn w:val="Normln"/>
    <w:next w:val="Normln"/>
    <w:qFormat/>
    <w:rsid w:val="00DE425A"/>
    <w:pPr>
      <w:keepNext/>
      <w:spacing w:before="240" w:after="60"/>
      <w:outlineLvl w:val="1"/>
    </w:pPr>
    <w:rPr>
      <w:b/>
      <w:bCs/>
      <w:iCs/>
      <w:szCs w:val="28"/>
    </w:rPr>
  </w:style>
  <w:style w:type="paragraph" w:styleId="Nadpis3">
    <w:name w:val="heading 3"/>
    <w:basedOn w:val="Normln"/>
    <w:next w:val="Normln"/>
    <w:uiPriority w:val="9"/>
    <w:qFormat/>
    <w:rsid w:val="00306984"/>
    <w:pPr>
      <w:keepNext/>
      <w:keepLines/>
      <w:spacing w:before="240"/>
      <w:ind w:left="425" w:hanging="425"/>
      <w:outlineLvl w:val="2"/>
    </w:pPr>
    <w:rPr>
      <w:b/>
      <w:bCs/>
      <w:u w:val="single"/>
    </w:rPr>
  </w:style>
  <w:style w:type="paragraph" w:styleId="Nadpis4">
    <w:name w:val="heading 4"/>
    <w:basedOn w:val="Normln"/>
    <w:next w:val="Normln"/>
    <w:qFormat/>
    <w:rsid w:val="00306984"/>
    <w:pPr>
      <w:keepNext/>
      <w:spacing w:before="120" w:after="60"/>
      <w:outlineLvl w:val="3"/>
    </w:pPr>
    <w:rPr>
      <w:rFonts w:ascii="Calibri" w:hAnsi="Calibri"/>
      <w:b/>
      <w:bCs/>
      <w:szCs w:val="28"/>
    </w:rPr>
  </w:style>
  <w:style w:type="paragraph" w:styleId="Nadpis5">
    <w:name w:val="heading 5"/>
    <w:basedOn w:val="Normln"/>
    <w:next w:val="Normln"/>
    <w:qFormat/>
    <w:rsid w:val="00A03BE7"/>
    <w:pPr>
      <w:spacing w:before="120" w:after="60"/>
      <w:outlineLvl w:val="4"/>
    </w:pPr>
    <w:rPr>
      <w:rFonts w:ascii="Calibri" w:hAnsi="Calibri"/>
      <w:bCs/>
      <w:i/>
      <w:iCs/>
      <w:szCs w:val="26"/>
    </w:rPr>
  </w:style>
  <w:style w:type="paragraph" w:styleId="Nadpis9">
    <w:name w:val="heading 9"/>
    <w:basedOn w:val="Normln"/>
    <w:next w:val="Normln"/>
    <w:qFormat/>
    <w:rsid w:val="00074A01"/>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sid w:val="00074A01"/>
    <w:rPr>
      <w:rFonts w:ascii="Arial Narrow" w:hAnsi="Arial Narrow"/>
      <w:b/>
      <w:kern w:val="36"/>
      <w:sz w:val="36"/>
    </w:rPr>
  </w:style>
  <w:style w:type="character" w:customStyle="1" w:styleId="Nadpis2Char">
    <w:name w:val="Nadpis 2 Char"/>
    <w:basedOn w:val="Standardnpsmoodstavce"/>
    <w:rsid w:val="00074A01"/>
    <w:rPr>
      <w:rFonts w:ascii="Cambria" w:eastAsia="Times New Roman" w:hAnsi="Cambria" w:cs="Times New Roman"/>
      <w:b/>
      <w:bCs/>
      <w:i/>
      <w:iCs/>
      <w:sz w:val="28"/>
      <w:szCs w:val="28"/>
    </w:rPr>
  </w:style>
  <w:style w:type="paragraph" w:styleId="Vrazncitt">
    <w:name w:val="Intense Quote"/>
    <w:basedOn w:val="Normln"/>
    <w:next w:val="Normln"/>
    <w:qFormat/>
    <w:rsid w:val="00074A01"/>
    <w:pPr>
      <w:pBdr>
        <w:bottom w:val="single" w:sz="4" w:space="4" w:color="4F81BD"/>
      </w:pBdr>
      <w:spacing w:before="200" w:after="280"/>
      <w:ind w:left="936" w:right="936"/>
    </w:pPr>
    <w:rPr>
      <w:b/>
      <w:bCs/>
      <w:i/>
      <w:iCs/>
      <w:color w:val="4F81BD"/>
    </w:rPr>
  </w:style>
  <w:style w:type="character" w:customStyle="1" w:styleId="CitaceintenzivnChar">
    <w:name w:val="Citace – intenzivní Char"/>
    <w:basedOn w:val="Standardnpsmoodstavce"/>
    <w:rsid w:val="00074A01"/>
    <w:rPr>
      <w:b/>
      <w:bCs/>
      <w:i/>
      <w:iCs/>
      <w:color w:val="4F81BD"/>
      <w:sz w:val="24"/>
      <w:szCs w:val="24"/>
    </w:rPr>
  </w:style>
  <w:style w:type="character" w:styleId="Zdraznnintenzivn">
    <w:name w:val="Intense Emphasis"/>
    <w:basedOn w:val="Standardnpsmoodstavce"/>
    <w:qFormat/>
    <w:rsid w:val="00074A01"/>
    <w:rPr>
      <w:b/>
      <w:bCs/>
      <w:i/>
      <w:iCs/>
      <w:color w:val="4F81BD"/>
    </w:rPr>
  </w:style>
  <w:style w:type="paragraph" w:customStyle="1" w:styleId="Bn">
    <w:name w:val="Běžný"/>
    <w:basedOn w:val="Normln"/>
    <w:qFormat/>
    <w:rsid w:val="00074A01"/>
    <w:pPr>
      <w:spacing w:before="40" w:line="276" w:lineRule="auto"/>
      <w:ind w:firstLine="284"/>
      <w:jc w:val="both"/>
    </w:pPr>
    <w:rPr>
      <w:rFonts w:ascii="Palatino Linotype" w:eastAsia="Calibri" w:hAnsi="Palatino Linotype"/>
      <w:sz w:val="22"/>
      <w:szCs w:val="22"/>
    </w:rPr>
  </w:style>
  <w:style w:type="character" w:customStyle="1" w:styleId="Nadpis3Char">
    <w:name w:val="Nadpis 3 Char"/>
    <w:basedOn w:val="Standardnpsmoodstavce"/>
    <w:uiPriority w:val="9"/>
    <w:rsid w:val="00074A01"/>
    <w:rPr>
      <w:rFonts w:ascii="Cambria" w:eastAsia="Times New Roman" w:hAnsi="Cambria" w:cs="Times New Roman"/>
      <w:b/>
      <w:bCs/>
      <w:color w:val="4F81BD"/>
      <w:sz w:val="24"/>
      <w:szCs w:val="24"/>
    </w:rPr>
  </w:style>
  <w:style w:type="paragraph" w:styleId="Zkladntext3">
    <w:name w:val="Body Text 3"/>
    <w:basedOn w:val="Normln"/>
    <w:unhideWhenUsed/>
    <w:rsid w:val="00074A01"/>
    <w:rPr>
      <w:sz w:val="16"/>
      <w:szCs w:val="16"/>
      <w:lang w:eastAsia="en-US"/>
    </w:rPr>
  </w:style>
  <w:style w:type="character" w:customStyle="1" w:styleId="Zkladntext3Char">
    <w:name w:val="Základní text 3 Char"/>
    <w:basedOn w:val="Standardnpsmoodstavce"/>
    <w:rsid w:val="00074A01"/>
    <w:rPr>
      <w:sz w:val="16"/>
      <w:szCs w:val="16"/>
      <w:lang w:eastAsia="en-US"/>
    </w:rPr>
  </w:style>
  <w:style w:type="character" w:customStyle="1" w:styleId="Nadpis4Char">
    <w:name w:val="Nadpis 4 Char"/>
    <w:basedOn w:val="Standardnpsmoodstavce"/>
    <w:rsid w:val="00074A01"/>
    <w:rPr>
      <w:rFonts w:ascii="Calibri" w:eastAsia="Times New Roman" w:hAnsi="Calibri" w:cs="Times New Roman"/>
      <w:b/>
      <w:bCs/>
      <w:sz w:val="28"/>
      <w:szCs w:val="28"/>
    </w:rPr>
  </w:style>
  <w:style w:type="character" w:customStyle="1" w:styleId="Nadpis5Char">
    <w:name w:val="Nadpis 5 Char"/>
    <w:basedOn w:val="Standardnpsmoodstavce"/>
    <w:semiHidden/>
    <w:rsid w:val="00074A01"/>
    <w:rPr>
      <w:rFonts w:ascii="Calibri" w:eastAsia="Times New Roman" w:hAnsi="Calibri" w:cs="Times New Roman"/>
      <w:b/>
      <w:bCs/>
      <w:i/>
      <w:iCs/>
      <w:sz w:val="26"/>
      <w:szCs w:val="26"/>
    </w:rPr>
  </w:style>
  <w:style w:type="character" w:customStyle="1" w:styleId="Nadpis9Char">
    <w:name w:val="Nadpis 9 Char"/>
    <w:basedOn w:val="Standardnpsmoodstavce"/>
    <w:semiHidden/>
    <w:rsid w:val="00074A01"/>
    <w:rPr>
      <w:rFonts w:ascii="Cambria" w:eastAsia="Times New Roman" w:hAnsi="Cambria" w:cs="Times New Roman"/>
      <w:sz w:val="22"/>
      <w:szCs w:val="22"/>
    </w:rPr>
  </w:style>
  <w:style w:type="paragraph" w:styleId="Zkladntextodsazen">
    <w:name w:val="Body Text Indent"/>
    <w:basedOn w:val="Normln"/>
    <w:uiPriority w:val="99"/>
    <w:unhideWhenUsed/>
    <w:rsid w:val="00074A01"/>
    <w:pPr>
      <w:ind w:left="283"/>
    </w:pPr>
  </w:style>
  <w:style w:type="character" w:customStyle="1" w:styleId="ZkladntextodsazenChar">
    <w:name w:val="Základní text odsazený Char"/>
    <w:basedOn w:val="Standardnpsmoodstavce"/>
    <w:uiPriority w:val="99"/>
    <w:rsid w:val="00074A01"/>
    <w:rPr>
      <w:sz w:val="24"/>
      <w:szCs w:val="24"/>
    </w:rPr>
  </w:style>
  <w:style w:type="paragraph" w:customStyle="1" w:styleId="Zkladn">
    <w:name w:val="Základní"/>
    <w:basedOn w:val="Normln"/>
    <w:rsid w:val="00074A01"/>
    <w:pPr>
      <w:spacing w:before="120"/>
      <w:jc w:val="both"/>
    </w:pPr>
    <w:rPr>
      <w:lang w:eastAsia="en-US"/>
    </w:rPr>
  </w:style>
  <w:style w:type="paragraph" w:styleId="Textpoznpodarou">
    <w:name w:val="footnote text"/>
    <w:aliases w:val="Boston 10,Char,Char Char Char1,Char1,Font: Geneva 9,Fußnotentextf,Geneva 9,Podrozdzia3,Podrozdział,Schriftart: 10 pt,Schriftart: 8 pt,Schriftart: 9 pt,Text pozn. pod čarou1,Text poznámky pod čiarou 007,f,fn,o,pozn. pod čarou"/>
    <w:basedOn w:val="Normln"/>
    <w:uiPriority w:val="99"/>
    <w:unhideWhenUsed/>
    <w:qFormat/>
    <w:rsid w:val="00074A01"/>
    <w:rPr>
      <w:sz w:val="20"/>
      <w:szCs w:val="20"/>
    </w:rPr>
  </w:style>
  <w:style w:type="character" w:customStyle="1" w:styleId="TextpoznpodarouChar">
    <w:name w:val="Text pozn. pod čarou Char"/>
    <w:aliases w:val="Footnote Char,Fußnotentextf Char,Geneva 9 Char,Podrozdzia3 Char,Podrozdział Char,Schriftart: 10 pt Char,Schriftart: 8 pt Char,Schriftart: 9 pt Char,Text poznámky pod čiarou 007 Char,fn Char,fn Char1,pozn. pod čarou Char"/>
    <w:basedOn w:val="Standardnpsmoodstavce"/>
    <w:uiPriority w:val="99"/>
    <w:rsid w:val="00074A01"/>
  </w:style>
  <w:style w:type="character" w:styleId="Znakapoznpodarou">
    <w:name w:val="footnote reference"/>
    <w:aliases w:val="12 b.,Appel note de bas de p,Appel note de bas de page,BVI fnr,Char Car Car Car Car,Footnote,Footnote Reference Superscript,Footnote call,Footnote symbol,Légende,PGI Fußnote Ziffer,PGI Fußnote Ziffer + Times New Roman,Zúžené o ..."/>
    <w:basedOn w:val="Standardnpsmoodstavce"/>
    <w:uiPriority w:val="99"/>
    <w:unhideWhenUsed/>
    <w:rsid w:val="00074A01"/>
    <w:rPr>
      <w:vertAlign w:val="superscript"/>
    </w:rPr>
  </w:style>
  <w:style w:type="paragraph" w:styleId="Zhlav">
    <w:name w:val="header"/>
    <w:basedOn w:val="Normln"/>
    <w:uiPriority w:val="99"/>
    <w:unhideWhenUsed/>
    <w:rsid w:val="00074A01"/>
    <w:pPr>
      <w:tabs>
        <w:tab w:val="center" w:pos="4536"/>
        <w:tab w:val="right" w:pos="9072"/>
      </w:tabs>
    </w:pPr>
  </w:style>
  <w:style w:type="character" w:customStyle="1" w:styleId="ZhlavChar">
    <w:name w:val="Záhlaví Char"/>
    <w:basedOn w:val="Standardnpsmoodstavce"/>
    <w:uiPriority w:val="99"/>
    <w:rsid w:val="00074A01"/>
    <w:rPr>
      <w:sz w:val="24"/>
      <w:szCs w:val="24"/>
    </w:rPr>
  </w:style>
  <w:style w:type="paragraph" w:styleId="Zpat">
    <w:name w:val="footer"/>
    <w:basedOn w:val="Normln"/>
    <w:uiPriority w:val="99"/>
    <w:unhideWhenUsed/>
    <w:rsid w:val="00074A01"/>
    <w:pPr>
      <w:tabs>
        <w:tab w:val="center" w:pos="4536"/>
        <w:tab w:val="right" w:pos="9072"/>
      </w:tabs>
    </w:pPr>
  </w:style>
  <w:style w:type="character" w:customStyle="1" w:styleId="ZpatChar">
    <w:name w:val="Zápatí Char"/>
    <w:basedOn w:val="Standardnpsmoodstavce"/>
    <w:uiPriority w:val="99"/>
    <w:rsid w:val="00074A01"/>
    <w:rPr>
      <w:sz w:val="24"/>
      <w:szCs w:val="24"/>
    </w:rPr>
  </w:style>
  <w:style w:type="paragraph" w:styleId="Odstavecseseznamem">
    <w:name w:val="List Paragraph"/>
    <w:aliases w:val="List Paragraph_0,List Paragraph_0_0,List Paragraph_1,Nadpis pro KZ,Odstavec se seznamem1,Odstavec se seznamem2,Odstavec_muj,odrážky"/>
    <w:basedOn w:val="Normln"/>
    <w:link w:val="OdstavecseseznamemChar"/>
    <w:uiPriority w:val="34"/>
    <w:qFormat/>
    <w:rsid w:val="00BA709C"/>
    <w:pPr>
      <w:ind w:left="708"/>
    </w:pPr>
  </w:style>
  <w:style w:type="character" w:styleId="Odkaznakoment">
    <w:name w:val="annotation reference"/>
    <w:basedOn w:val="Standardnpsmoodstavce"/>
    <w:uiPriority w:val="99"/>
    <w:semiHidden/>
    <w:unhideWhenUsed/>
    <w:rsid w:val="00B667E8"/>
    <w:rPr>
      <w:sz w:val="16"/>
      <w:szCs w:val="16"/>
    </w:rPr>
  </w:style>
  <w:style w:type="paragraph" w:styleId="Textkomente">
    <w:name w:val="annotation text"/>
    <w:basedOn w:val="Normln"/>
    <w:link w:val="TextkomenteChar"/>
    <w:uiPriority w:val="99"/>
    <w:unhideWhenUsed/>
    <w:rsid w:val="00B667E8"/>
    <w:rPr>
      <w:sz w:val="20"/>
      <w:szCs w:val="20"/>
    </w:rPr>
  </w:style>
  <w:style w:type="character" w:customStyle="1" w:styleId="TextkomenteChar">
    <w:name w:val="Text komentáře Char"/>
    <w:basedOn w:val="Standardnpsmoodstavce"/>
    <w:link w:val="Textkomente"/>
    <w:uiPriority w:val="99"/>
    <w:rsid w:val="00B667E8"/>
  </w:style>
  <w:style w:type="paragraph" w:styleId="Pedmtkomente">
    <w:name w:val="annotation subject"/>
    <w:basedOn w:val="Textkomente"/>
    <w:next w:val="Textkomente"/>
    <w:link w:val="PedmtkomenteChar"/>
    <w:uiPriority w:val="99"/>
    <w:semiHidden/>
    <w:unhideWhenUsed/>
    <w:rsid w:val="00B667E8"/>
    <w:rPr>
      <w:b/>
      <w:bCs/>
    </w:rPr>
  </w:style>
  <w:style w:type="character" w:customStyle="1" w:styleId="PedmtkomenteChar">
    <w:name w:val="Předmět komentáře Char"/>
    <w:basedOn w:val="TextkomenteChar"/>
    <w:link w:val="Pedmtkomente"/>
    <w:uiPriority w:val="99"/>
    <w:semiHidden/>
    <w:rsid w:val="00B667E8"/>
    <w:rPr>
      <w:b/>
      <w:bCs/>
    </w:rPr>
  </w:style>
  <w:style w:type="paragraph" w:styleId="Revize">
    <w:name w:val="Revision"/>
    <w:hidden/>
    <w:uiPriority w:val="99"/>
    <w:semiHidden/>
    <w:rsid w:val="00B667E8"/>
    <w:rPr>
      <w:sz w:val="24"/>
      <w:szCs w:val="24"/>
    </w:rPr>
  </w:style>
  <w:style w:type="paragraph" w:styleId="Textbubliny">
    <w:name w:val="Balloon Text"/>
    <w:basedOn w:val="Normln"/>
    <w:link w:val="TextbublinyChar"/>
    <w:uiPriority w:val="99"/>
    <w:semiHidden/>
    <w:unhideWhenUsed/>
    <w:rsid w:val="00B667E8"/>
    <w:rPr>
      <w:rFonts w:ascii="Tahoma" w:hAnsi="Tahoma" w:cs="Tahoma"/>
      <w:sz w:val="16"/>
      <w:szCs w:val="16"/>
    </w:rPr>
  </w:style>
  <w:style w:type="character" w:customStyle="1" w:styleId="TextbublinyChar">
    <w:name w:val="Text bubliny Char"/>
    <w:basedOn w:val="Standardnpsmoodstavce"/>
    <w:link w:val="Textbubliny"/>
    <w:uiPriority w:val="99"/>
    <w:semiHidden/>
    <w:rsid w:val="00B667E8"/>
    <w:rPr>
      <w:rFonts w:ascii="Tahoma" w:hAnsi="Tahoma" w:cs="Tahoma"/>
      <w:sz w:val="16"/>
      <w:szCs w:val="16"/>
    </w:rPr>
  </w:style>
  <w:style w:type="table" w:styleId="Mkatabulky">
    <w:name w:val="Table Grid"/>
    <w:basedOn w:val="Normlntabulka"/>
    <w:uiPriority w:val="39"/>
    <w:rsid w:val="00803A70"/>
    <w:rPr>
      <w:rFonts w:ascii="Arial" w:eastAsia="Calibr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kladntext">
    <w:name w:val="Body Text"/>
    <w:basedOn w:val="Normln"/>
    <w:link w:val="ZkladntextChar"/>
    <w:uiPriority w:val="99"/>
    <w:rsid w:val="00C41D2F"/>
    <w:pPr>
      <w:jc w:val="both"/>
    </w:pPr>
    <w:rPr>
      <w:rFonts w:cs="Arial"/>
      <w:i/>
      <w:sz w:val="22"/>
      <w:lang w:eastAsia="en-US"/>
    </w:rPr>
  </w:style>
  <w:style w:type="character" w:customStyle="1" w:styleId="ZkladntextChar">
    <w:name w:val="Základní text Char"/>
    <w:basedOn w:val="Standardnpsmoodstavce"/>
    <w:link w:val="Zkladntext"/>
    <w:uiPriority w:val="99"/>
    <w:rsid w:val="00C41D2F"/>
    <w:rPr>
      <w:rFonts w:ascii="Arial" w:hAnsi="Arial" w:cs="Arial"/>
      <w:i/>
      <w:sz w:val="22"/>
      <w:szCs w:val="24"/>
      <w:lang w:eastAsia="en-US"/>
    </w:rPr>
  </w:style>
  <w:style w:type="paragraph" w:styleId="Prosttext">
    <w:name w:val="Plain Text"/>
    <w:basedOn w:val="Normln"/>
    <w:link w:val="ProsttextChar"/>
    <w:uiPriority w:val="99"/>
    <w:unhideWhenUsed/>
    <w:rsid w:val="00430278"/>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430278"/>
    <w:rPr>
      <w:rFonts w:ascii="Consolas" w:eastAsiaTheme="minorHAnsi" w:hAnsi="Consolas" w:cstheme="minorBidi"/>
      <w:sz w:val="21"/>
      <w:szCs w:val="21"/>
      <w:lang w:eastAsia="en-US"/>
    </w:rPr>
  </w:style>
  <w:style w:type="paragraph" w:styleId="Zkladntextodsazen3">
    <w:name w:val="Body Text Indent 3"/>
    <w:basedOn w:val="Normln"/>
    <w:link w:val="Zkladntextodsazen3Char"/>
    <w:uiPriority w:val="99"/>
    <w:unhideWhenUsed/>
    <w:rsid w:val="00695DC0"/>
    <w:pPr>
      <w:ind w:left="283"/>
    </w:pPr>
    <w:rPr>
      <w:sz w:val="16"/>
      <w:szCs w:val="16"/>
    </w:rPr>
  </w:style>
  <w:style w:type="character" w:customStyle="1" w:styleId="Zkladntextodsazen3Char">
    <w:name w:val="Základní text odsazený 3 Char"/>
    <w:basedOn w:val="Standardnpsmoodstavce"/>
    <w:link w:val="Zkladntextodsazen3"/>
    <w:uiPriority w:val="99"/>
    <w:rsid w:val="00695DC0"/>
    <w:rPr>
      <w:rFonts w:ascii="Arial" w:hAnsi="Arial"/>
      <w:sz w:val="16"/>
      <w:szCs w:val="16"/>
    </w:rPr>
  </w:style>
  <w:style w:type="paragraph" w:customStyle="1" w:styleId="NadpisKZ">
    <w:name w:val="Nadpis KZ"/>
    <w:basedOn w:val="Zkladntext2"/>
    <w:rsid w:val="004827C3"/>
  </w:style>
  <w:style w:type="paragraph" w:styleId="Zkladntext2">
    <w:name w:val="Body Text 2"/>
    <w:basedOn w:val="Normln"/>
    <w:link w:val="Zkladntext2Char"/>
    <w:uiPriority w:val="99"/>
    <w:semiHidden/>
    <w:unhideWhenUsed/>
    <w:rsid w:val="004827C3"/>
    <w:pPr>
      <w:spacing w:line="480" w:lineRule="auto"/>
    </w:pPr>
  </w:style>
  <w:style w:type="character" w:customStyle="1" w:styleId="Zkladntext2Char">
    <w:name w:val="Základní text 2 Char"/>
    <w:basedOn w:val="Standardnpsmoodstavce"/>
    <w:link w:val="Zkladntext2"/>
    <w:uiPriority w:val="99"/>
    <w:semiHidden/>
    <w:rsid w:val="004827C3"/>
    <w:rPr>
      <w:rFonts w:ascii="Arial" w:hAnsi="Arial"/>
      <w:sz w:val="24"/>
      <w:szCs w:val="24"/>
    </w:rPr>
  </w:style>
  <w:style w:type="paragraph" w:customStyle="1" w:styleId="Char4CharCharCharCharCharCharCharCharCharChar">
    <w:name w:val="Char4 Char Char Char Char Char Char Char Char Char Char"/>
    <w:basedOn w:val="Normln"/>
    <w:rsid w:val="000F3776"/>
    <w:pPr>
      <w:spacing w:after="160" w:line="240" w:lineRule="exact"/>
    </w:pPr>
    <w:rPr>
      <w:rFonts w:ascii="Times New Roman Bold" w:hAnsi="Times New Roman Bold"/>
      <w:sz w:val="22"/>
      <w:szCs w:val="26"/>
      <w:lang w:val="sk-SK" w:eastAsia="en-US"/>
    </w:rPr>
  </w:style>
  <w:style w:type="character" w:styleId="Hypertextovodkaz">
    <w:name w:val="Hyperlink"/>
    <w:basedOn w:val="Standardnpsmoodstavce"/>
    <w:uiPriority w:val="99"/>
    <w:unhideWhenUsed/>
    <w:rsid w:val="00925EFE"/>
    <w:rPr>
      <w:color w:val="0000FF" w:themeColor="hyperlink"/>
      <w:u w:val="single"/>
    </w:rPr>
  </w:style>
  <w:style w:type="table" w:customStyle="1" w:styleId="Mkatabulky10">
    <w:name w:val="Mřížka tabulky10"/>
    <w:basedOn w:val="Normlntabulka"/>
    <w:next w:val="Mkatabulky"/>
    <w:uiPriority w:val="59"/>
    <w:rsid w:val="003A2E8D"/>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7A253E"/>
    <w:rPr>
      <w:rFonts w:ascii="Arial" w:eastAsia="Calibr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E67B9"/>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Standardnpsmoodstavce"/>
    <w:rsid w:val="003163D4"/>
  </w:style>
  <w:style w:type="paragraph" w:styleId="Normlnweb">
    <w:name w:val="Normal (Web)"/>
    <w:basedOn w:val="Normln"/>
    <w:uiPriority w:val="99"/>
    <w:semiHidden/>
    <w:unhideWhenUsed/>
    <w:rsid w:val="003163D4"/>
    <w:pPr>
      <w:spacing w:before="100" w:beforeAutospacing="1" w:after="100" w:afterAutospacing="1"/>
    </w:pPr>
    <w:rPr>
      <w:rFonts w:ascii="Times New Roman" w:hAnsi="Times New Roman"/>
    </w:rPr>
  </w:style>
  <w:style w:type="character" w:styleId="Siln">
    <w:name w:val="Strong"/>
    <w:basedOn w:val="Standardnpsmoodstavce"/>
    <w:uiPriority w:val="22"/>
    <w:qFormat/>
    <w:rsid w:val="003163D4"/>
    <w:rPr>
      <w:b/>
      <w:bCs/>
    </w:rPr>
  </w:style>
  <w:style w:type="paragraph" w:styleId="Textvysvtlivek">
    <w:name w:val="endnote text"/>
    <w:basedOn w:val="Normln"/>
    <w:link w:val="TextvysvtlivekChar"/>
    <w:uiPriority w:val="99"/>
    <w:semiHidden/>
    <w:unhideWhenUsed/>
    <w:rsid w:val="00667B99"/>
    <w:rPr>
      <w:sz w:val="20"/>
      <w:szCs w:val="20"/>
    </w:rPr>
  </w:style>
  <w:style w:type="character" w:customStyle="1" w:styleId="TextvysvtlivekChar">
    <w:name w:val="Text vysvětlivek Char"/>
    <w:basedOn w:val="Standardnpsmoodstavce"/>
    <w:link w:val="Textvysvtlivek"/>
    <w:uiPriority w:val="99"/>
    <w:semiHidden/>
    <w:rsid w:val="00667B99"/>
    <w:rPr>
      <w:rFonts w:ascii="Arial" w:hAnsi="Arial"/>
    </w:rPr>
  </w:style>
  <w:style w:type="character" w:styleId="Odkaznavysvtlivky">
    <w:name w:val="endnote reference"/>
    <w:basedOn w:val="Standardnpsmoodstavce"/>
    <w:uiPriority w:val="99"/>
    <w:semiHidden/>
    <w:unhideWhenUsed/>
    <w:rsid w:val="00667B99"/>
    <w:rPr>
      <w:vertAlign w:val="superscript"/>
    </w:rPr>
  </w:style>
  <w:style w:type="character" w:customStyle="1" w:styleId="A0">
    <w:name w:val="A0"/>
    <w:uiPriority w:val="99"/>
    <w:rsid w:val="00AD28AE"/>
    <w:rPr>
      <w:rFonts w:cs="Myriad Pro"/>
      <w:b/>
      <w:bCs/>
      <w:color w:val="000000"/>
      <w:sz w:val="26"/>
      <w:szCs w:val="26"/>
    </w:rPr>
  </w:style>
  <w:style w:type="character" w:customStyle="1" w:styleId="A2">
    <w:name w:val="A2"/>
    <w:uiPriority w:val="99"/>
    <w:rsid w:val="00AD28AE"/>
    <w:rPr>
      <w:rFonts w:cs="Myriad Pro"/>
      <w:b/>
      <w:bCs/>
      <w:color w:val="000000"/>
      <w:sz w:val="44"/>
      <w:szCs w:val="44"/>
    </w:rPr>
  </w:style>
  <w:style w:type="character" w:customStyle="1" w:styleId="st1">
    <w:name w:val="st1"/>
    <w:basedOn w:val="Standardnpsmoodstavce"/>
    <w:rsid w:val="009858DF"/>
  </w:style>
  <w:style w:type="character" w:customStyle="1" w:styleId="tgc">
    <w:name w:val="_tgc"/>
    <w:basedOn w:val="Standardnpsmoodstavce"/>
    <w:rsid w:val="00FC2078"/>
  </w:style>
  <w:style w:type="paragraph" w:styleId="Nzev">
    <w:name w:val="Title"/>
    <w:basedOn w:val="Normln"/>
    <w:link w:val="NzevChar"/>
    <w:qFormat/>
    <w:rsid w:val="008D4B89"/>
    <w:pPr>
      <w:jc w:val="center"/>
    </w:pPr>
    <w:rPr>
      <w:rFonts w:ascii="Times New Roman" w:hAnsi="Times New Roman"/>
      <w:sz w:val="28"/>
      <w:szCs w:val="28"/>
    </w:rPr>
  </w:style>
  <w:style w:type="character" w:customStyle="1" w:styleId="NzevChar">
    <w:name w:val="Název Char"/>
    <w:basedOn w:val="Standardnpsmoodstavce"/>
    <w:link w:val="Nzev"/>
    <w:rsid w:val="008D4B89"/>
    <w:rPr>
      <w:sz w:val="28"/>
      <w:szCs w:val="28"/>
    </w:rPr>
  </w:style>
  <w:style w:type="paragraph" w:customStyle="1" w:styleId="Pa18">
    <w:name w:val="Pa18"/>
    <w:basedOn w:val="Default"/>
    <w:next w:val="Default"/>
    <w:uiPriority w:val="99"/>
    <w:rsid w:val="009E75B5"/>
    <w:pPr>
      <w:spacing w:line="211" w:lineRule="atLeast"/>
    </w:pPr>
    <w:rPr>
      <w:rFonts w:cs="Times New Roman"/>
      <w:color w:val="auto"/>
    </w:rPr>
  </w:style>
  <w:style w:type="character" w:customStyle="1" w:styleId="A14">
    <w:name w:val="A14"/>
    <w:uiPriority w:val="99"/>
    <w:rsid w:val="009E75B5"/>
    <w:rPr>
      <w:rFonts w:cs="Calibri"/>
      <w:b/>
      <w:bCs/>
      <w:color w:val="000000"/>
      <w:sz w:val="54"/>
      <w:szCs w:val="54"/>
    </w:rPr>
  </w:style>
  <w:style w:type="character" w:customStyle="1" w:styleId="A15">
    <w:name w:val="A15"/>
    <w:uiPriority w:val="99"/>
    <w:rsid w:val="009E75B5"/>
    <w:rPr>
      <w:rFonts w:cs="Calibri"/>
      <w:color w:val="000000"/>
      <w:sz w:val="36"/>
      <w:szCs w:val="36"/>
    </w:rPr>
  </w:style>
  <w:style w:type="paragraph" w:customStyle="1" w:styleId="Pa19">
    <w:name w:val="Pa19"/>
    <w:basedOn w:val="Default"/>
    <w:next w:val="Default"/>
    <w:uiPriority w:val="99"/>
    <w:rsid w:val="009E75B5"/>
    <w:pPr>
      <w:spacing w:line="211" w:lineRule="atLeast"/>
    </w:pPr>
    <w:rPr>
      <w:rFonts w:cs="Times New Roman"/>
      <w:color w:val="auto"/>
    </w:rPr>
  </w:style>
  <w:style w:type="paragraph" w:customStyle="1" w:styleId="Pa6">
    <w:name w:val="Pa6"/>
    <w:basedOn w:val="Default"/>
    <w:next w:val="Default"/>
    <w:uiPriority w:val="99"/>
    <w:rsid w:val="007D792B"/>
    <w:pPr>
      <w:spacing w:line="211" w:lineRule="atLeast"/>
    </w:pPr>
    <w:rPr>
      <w:rFonts w:cs="Times New Roman"/>
      <w:color w:val="auto"/>
    </w:rPr>
  </w:style>
  <w:style w:type="character" w:customStyle="1" w:styleId="A12">
    <w:name w:val="A12"/>
    <w:uiPriority w:val="99"/>
    <w:rsid w:val="007D792B"/>
    <w:rPr>
      <w:rFonts w:cs="Calibri"/>
      <w:b/>
      <w:bCs/>
      <w:color w:val="000000"/>
      <w:sz w:val="34"/>
      <w:szCs w:val="34"/>
    </w:rPr>
  </w:style>
  <w:style w:type="paragraph" w:customStyle="1" w:styleId="Pa16">
    <w:name w:val="Pa16"/>
    <w:basedOn w:val="Default"/>
    <w:next w:val="Default"/>
    <w:uiPriority w:val="99"/>
    <w:rsid w:val="007D792B"/>
    <w:pPr>
      <w:spacing w:line="211" w:lineRule="atLeast"/>
    </w:pPr>
    <w:rPr>
      <w:rFonts w:cs="Times New Roman"/>
      <w:color w:val="auto"/>
    </w:rPr>
  </w:style>
  <w:style w:type="character" w:customStyle="1" w:styleId="A13">
    <w:name w:val="A13"/>
    <w:uiPriority w:val="99"/>
    <w:rsid w:val="007D792B"/>
    <w:rPr>
      <w:rFonts w:ascii="Arial" w:hAnsi="Arial" w:cs="Arial"/>
      <w:b/>
      <w:bCs/>
      <w:color w:val="000000"/>
      <w:sz w:val="19"/>
      <w:szCs w:val="19"/>
    </w:rPr>
  </w:style>
  <w:style w:type="character" w:customStyle="1" w:styleId="OdstavecseseznamemChar">
    <w:name w:val="Odstavec se seznamem Char"/>
    <w:aliases w:val="List Paragraph_0 Char,List Paragraph_0_0 Char,List Paragraph_1 Char,Nadpis pro KZ Char,Odstavec se seznamem1 Char,Odstavec se seznamem2 Char,Odstavec_muj Char,odrážky Char"/>
    <w:link w:val="Odstavecseseznamem"/>
    <w:uiPriority w:val="34"/>
    <w:rsid w:val="00F92FB1"/>
    <w:rPr>
      <w:rFonts w:ascii="Arial" w:hAnsi="Arial"/>
      <w:sz w:val="24"/>
      <w:szCs w:val="24"/>
    </w:rPr>
  </w:style>
  <w:style w:type="paragraph" w:styleId="Titulek">
    <w:name w:val="caption"/>
    <w:basedOn w:val="Normln"/>
    <w:next w:val="Normln"/>
    <w:uiPriority w:val="35"/>
    <w:unhideWhenUsed/>
    <w:qFormat/>
    <w:rsid w:val="00F92FB1"/>
    <w:pPr>
      <w:spacing w:after="200"/>
    </w:pPr>
    <w:rPr>
      <w:rFonts w:ascii="Times New Roman" w:hAnsi="Times New Roman"/>
      <w:i/>
      <w:iCs/>
      <w:color w:val="1F497D" w:themeColor="text2"/>
      <w:sz w:val="18"/>
      <w:szCs w:val="18"/>
      <w:lang w:eastAsia="en-US"/>
    </w:rPr>
  </w:style>
  <w:style w:type="paragraph" w:customStyle="1" w:styleId="Odstavec">
    <w:name w:val="Odstavec"/>
    <w:basedOn w:val="Normln"/>
    <w:rsid w:val="0033626F"/>
    <w:pPr>
      <w:spacing w:before="120"/>
      <w:ind w:firstLine="709"/>
      <w:jc w:val="both"/>
    </w:pPr>
    <w:rPr>
      <w:rFonts w:ascii="Times New Roman" w:hAnsi="Times New Roman"/>
      <w:szCs w:val="20"/>
    </w:rPr>
  </w:style>
  <w:style w:type="paragraph" w:customStyle="1" w:styleId="l3">
    <w:name w:val="l3"/>
    <w:basedOn w:val="Normln"/>
    <w:rsid w:val="00542313"/>
    <w:pPr>
      <w:spacing w:before="100" w:beforeAutospacing="1" w:after="100" w:afterAutospacing="1"/>
    </w:pPr>
    <w:rPr>
      <w:rFonts w:ascii="Times New Roman" w:hAnsi="Times New Roman"/>
    </w:rPr>
  </w:style>
  <w:style w:type="paragraph" w:customStyle="1" w:styleId="l2">
    <w:name w:val="l2"/>
    <w:basedOn w:val="Normln"/>
    <w:rsid w:val="00542313"/>
    <w:pPr>
      <w:spacing w:before="100" w:beforeAutospacing="1" w:after="100" w:afterAutospacing="1"/>
    </w:pPr>
    <w:rPr>
      <w:rFonts w:ascii="Times New Roman" w:hAnsi="Times New Roman"/>
    </w:rPr>
  </w:style>
  <w:style w:type="paragraph" w:customStyle="1" w:styleId="l4">
    <w:name w:val="l4"/>
    <w:basedOn w:val="Normln"/>
    <w:rsid w:val="00542313"/>
    <w:pPr>
      <w:spacing w:before="100" w:beforeAutospacing="1" w:after="100" w:afterAutospacing="1"/>
    </w:pPr>
    <w:rPr>
      <w:rFonts w:ascii="Times New Roman" w:hAnsi="Times New Roman"/>
    </w:rPr>
  </w:style>
  <w:style w:type="character" w:styleId="PromnnHTML">
    <w:name w:val="HTML Variable"/>
    <w:basedOn w:val="Standardnpsmoodstavce"/>
    <w:uiPriority w:val="99"/>
    <w:semiHidden/>
    <w:unhideWhenUsed/>
    <w:rsid w:val="00542313"/>
    <w:rPr>
      <w:i/>
      <w:iCs/>
    </w:rPr>
  </w:style>
  <w:style w:type="character" w:styleId="Zdraznn">
    <w:name w:val="Emphasis"/>
    <w:basedOn w:val="Standardnpsmoodstavce"/>
    <w:uiPriority w:val="20"/>
    <w:qFormat/>
    <w:rsid w:val="00512467"/>
    <w:rPr>
      <w:b/>
      <w:bCs/>
      <w:i w:val="0"/>
      <w:iCs w:val="0"/>
    </w:rPr>
  </w:style>
  <w:style w:type="paragraph" w:customStyle="1" w:styleId="l1">
    <w:name w:val="l1"/>
    <w:basedOn w:val="Normln"/>
    <w:rsid w:val="003D41C0"/>
    <w:pPr>
      <w:spacing w:before="100" w:beforeAutospacing="1" w:after="100" w:afterAutospacing="1"/>
    </w:pPr>
    <w:rPr>
      <w:rFonts w:ascii="Times New Roman" w:hAnsi="Times New Roman"/>
    </w:rPr>
  </w:style>
  <w:style w:type="character" w:customStyle="1" w:styleId="aural">
    <w:name w:val="aural"/>
    <w:basedOn w:val="Standardnpsmoodstavce"/>
    <w:rsid w:val="00E43543"/>
  </w:style>
  <w:style w:type="paragraph" w:customStyle="1" w:styleId="KPnormln">
    <w:name w:val="KP normální"/>
    <w:basedOn w:val="Normln"/>
    <w:link w:val="KPnormlnChar"/>
    <w:rsid w:val="00C50799"/>
    <w:pPr>
      <w:spacing w:before="120"/>
      <w:ind w:firstLine="720"/>
      <w:jc w:val="both"/>
    </w:pPr>
    <w:rPr>
      <w:rFonts w:cstheme="minorHAnsi"/>
      <w:color w:val="000000"/>
      <w:szCs w:val="22"/>
      <w:lang w:eastAsia="en-US"/>
    </w:rPr>
  </w:style>
  <w:style w:type="character" w:customStyle="1" w:styleId="KPnormlnChar">
    <w:name w:val="KP normální Char"/>
    <w:basedOn w:val="Standardnpsmoodstavce"/>
    <w:link w:val="KPnormln"/>
    <w:rsid w:val="00C50799"/>
    <w:rPr>
      <w:rFonts w:asciiTheme="minorHAnsi" w:hAnsiTheme="minorHAnsi" w:cstheme="minorHAnsi"/>
      <w:color w:val="000000"/>
      <w:sz w:val="24"/>
      <w:szCs w:val="22"/>
      <w:lang w:eastAsia="en-US"/>
    </w:rPr>
  </w:style>
  <w:style w:type="table" w:customStyle="1" w:styleId="Mkatabulky2">
    <w:name w:val="Mřížka tabulky2"/>
    <w:basedOn w:val="Normlntabulka"/>
    <w:next w:val="Mkatabulky"/>
    <w:uiPriority w:val="39"/>
    <w:rsid w:val="00B636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AA5B09"/>
    <w:rPr>
      <w:color w:val="800080" w:themeColor="followedHyperlink"/>
      <w:u w:val="single"/>
    </w:rPr>
  </w:style>
  <w:style w:type="paragraph" w:customStyle="1" w:styleId="Pa25">
    <w:name w:val="Pa25"/>
    <w:basedOn w:val="Default"/>
    <w:next w:val="Default"/>
    <w:uiPriority w:val="99"/>
    <w:rsid w:val="0005565A"/>
    <w:pPr>
      <w:spacing w:line="261" w:lineRule="atLeast"/>
    </w:pPr>
    <w:rPr>
      <w:rFonts w:ascii="Myriad Pro" w:hAnsi="Myriad Pro"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324">
      <w:bodyDiv w:val="1"/>
      <w:marLeft w:val="0"/>
      <w:marRight w:val="0"/>
      <w:marTop w:val="0"/>
      <w:marBottom w:val="0"/>
      <w:divBdr>
        <w:top w:val="none" w:sz="0" w:space="0" w:color="auto"/>
        <w:left w:val="none" w:sz="0" w:space="0" w:color="auto"/>
        <w:bottom w:val="none" w:sz="0" w:space="0" w:color="auto"/>
        <w:right w:val="none" w:sz="0" w:space="0" w:color="auto"/>
      </w:divBdr>
    </w:div>
    <w:div w:id="1434008630">
      <w:bodyDiv w:val="1"/>
      <w:marLeft w:val="0"/>
      <w:marRight w:val="0"/>
      <w:marTop w:val="0"/>
      <w:marBottom w:val="0"/>
      <w:divBdr>
        <w:top w:val="none" w:sz="0" w:space="0" w:color="auto"/>
        <w:left w:val="none" w:sz="0" w:space="0" w:color="auto"/>
        <w:bottom w:val="none" w:sz="0" w:space="0" w:color="auto"/>
        <w:right w:val="none" w:sz="0" w:space="0" w:color="auto"/>
      </w:divBdr>
    </w:div>
    <w:div w:id="1532062419">
      <w:bodyDiv w:val="1"/>
      <w:marLeft w:val="0"/>
      <w:marRight w:val="0"/>
      <w:marTop w:val="0"/>
      <w:marBottom w:val="0"/>
      <w:divBdr>
        <w:top w:val="none" w:sz="0" w:space="0" w:color="auto"/>
        <w:left w:val="none" w:sz="0" w:space="0" w:color="auto"/>
        <w:bottom w:val="none" w:sz="0" w:space="0" w:color="auto"/>
        <w:right w:val="none" w:sz="0" w:space="0" w:color="auto"/>
      </w:divBdr>
    </w:div>
    <w:div w:id="170224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vupsv.cz/2019/04/17/nova-publikace-vupsv-19/" TargetMode="External"/><Relationship Id="rId2" Type="http://schemas.openxmlformats.org/officeDocument/2006/relationships/hyperlink" Target="https://www.ekonomickyslovnik.cz/prirozena-mira-nezamestnanosti/" TargetMode="External"/><Relationship Id="rId1" Type="http://schemas.openxmlformats.org/officeDocument/2006/relationships/hyperlink" Target="https://www.vlada.cz/cz/evropske-zalezitosti/evropske-politiky/strategie-evropa-2020/cr/eu-2020-a-cr-78696/"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List_aplikac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8-28%20Mlad&#237;\MPSV-statistika\Struktura_nezam&#283;stnanost_spojeno-leden_20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1\LINHART\KA%2018-28%20-%20OP%20zam&#283;stnanost%20-%20mlad&#237;\KONTROLN&#205;%20Z&#193;V&#282;R\Graf%20E2020%20graf%20&#269;.%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1\LINHART\KA%2018-28%20-%20OP%20zam&#283;stnanost%20-%20mlad&#237;\KONTROLN&#205;%20Z&#193;V&#282;R\pln&#283;n&#237;%20programu%20z&#225;ruky%20pro%20ml&#225;de&#382;_graf%20&#269;.%20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List_aplikace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Míra</a:t>
            </a:r>
            <a:r>
              <a:rPr lang="cs-CZ" b="1">
                <a:solidFill>
                  <a:sysClr val="windowText" lastClr="000000"/>
                </a:solidFill>
              </a:rPr>
              <a:t> nezaměstnanosti mladých lidí ve věku 15-24 let</a:t>
            </a:r>
            <a:r>
              <a:rPr lang="en-US" b="1">
                <a:solidFill>
                  <a:sysClr val="windowText" lastClr="000000"/>
                </a:solidFill>
              </a:rPr>
              <a:t> </a:t>
            </a:r>
          </a:p>
        </c:rich>
      </c:tx>
      <c:layout>
        <c:manualLayout>
          <c:xMode val="edge"/>
          <c:yMode val="edge"/>
          <c:x val="0.11931212130082253"/>
          <c:y val="2.60586319218241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lineChart>
        <c:grouping val="standard"/>
        <c:varyColors val="0"/>
        <c:ser>
          <c:idx val="1"/>
          <c:order val="1"/>
          <c:tx>
            <c:strRef>
              <c:f>List1!$F$6</c:f>
              <c:strCache>
                <c:ptCount val="1"/>
                <c:pt idx="0">
                  <c:v>ČR</c:v>
                </c:pt>
              </c:strCache>
            </c:strRef>
          </c:tx>
          <c:spPr>
            <a:ln w="28575" cap="rnd">
              <a:solidFill>
                <a:srgbClr val="BD2A33"/>
              </a:solidFill>
              <a:round/>
            </a:ln>
            <a:effectLst/>
          </c:spPr>
          <c:marker>
            <c:symbol val="none"/>
          </c:marker>
          <c:cat>
            <c:numRef>
              <c:f>List1!$D$7:$D$13</c:f>
              <c:numCache>
                <c:formatCode>General</c:formatCode>
                <c:ptCount val="7"/>
                <c:pt idx="0">
                  <c:v>2012</c:v>
                </c:pt>
                <c:pt idx="1">
                  <c:v>2013</c:v>
                </c:pt>
                <c:pt idx="2">
                  <c:v>2014</c:v>
                </c:pt>
                <c:pt idx="3">
                  <c:v>2015</c:v>
                </c:pt>
                <c:pt idx="4">
                  <c:v>2016</c:v>
                </c:pt>
                <c:pt idx="5">
                  <c:v>2017</c:v>
                </c:pt>
                <c:pt idx="6">
                  <c:v>2018</c:v>
                </c:pt>
              </c:numCache>
            </c:numRef>
          </c:cat>
          <c:val>
            <c:numRef>
              <c:f>List1!$F$7:$F$13</c:f>
              <c:numCache>
                <c:formatCode>0.0</c:formatCode>
                <c:ptCount val="7"/>
                <c:pt idx="0" formatCode="General">
                  <c:v>19.5</c:v>
                </c:pt>
                <c:pt idx="1">
                  <c:v>19</c:v>
                </c:pt>
                <c:pt idx="2" formatCode="General">
                  <c:v>15.9</c:v>
                </c:pt>
                <c:pt idx="3" formatCode="General">
                  <c:v>12.6</c:v>
                </c:pt>
                <c:pt idx="4" formatCode="General">
                  <c:v>10.5</c:v>
                </c:pt>
                <c:pt idx="5" formatCode="General">
                  <c:v>7.9</c:v>
                </c:pt>
                <c:pt idx="6" formatCode="General">
                  <c:v>6.7</c:v>
                </c:pt>
              </c:numCache>
            </c:numRef>
          </c:val>
          <c:smooth val="0"/>
          <c:extLst>
            <c:ext xmlns:c16="http://schemas.microsoft.com/office/drawing/2014/chart" uri="{C3380CC4-5D6E-409C-BE32-E72D297353CC}">
              <c16:uniqueId val="{00000000-D1BE-4395-BBC9-0024B8F11FCA}"/>
            </c:ext>
          </c:extLst>
        </c:ser>
        <c:ser>
          <c:idx val="2"/>
          <c:order val="2"/>
          <c:tx>
            <c:strRef>
              <c:f>List1!$G$6</c:f>
              <c:strCache>
                <c:ptCount val="1"/>
                <c:pt idx="0">
                  <c:v>EU</c:v>
                </c:pt>
              </c:strCache>
            </c:strRef>
          </c:tx>
          <c:spPr>
            <a:ln w="28575" cap="rnd">
              <a:solidFill>
                <a:srgbClr val="004595"/>
              </a:solidFill>
              <a:round/>
            </a:ln>
            <a:effectLst/>
          </c:spPr>
          <c:marker>
            <c:symbol val="none"/>
          </c:marker>
          <c:cat>
            <c:numRef>
              <c:f>List1!$D$7:$D$13</c:f>
              <c:numCache>
                <c:formatCode>General</c:formatCode>
                <c:ptCount val="7"/>
                <c:pt idx="0">
                  <c:v>2012</c:v>
                </c:pt>
                <c:pt idx="1">
                  <c:v>2013</c:v>
                </c:pt>
                <c:pt idx="2">
                  <c:v>2014</c:v>
                </c:pt>
                <c:pt idx="3">
                  <c:v>2015</c:v>
                </c:pt>
                <c:pt idx="4">
                  <c:v>2016</c:v>
                </c:pt>
                <c:pt idx="5">
                  <c:v>2017</c:v>
                </c:pt>
                <c:pt idx="6">
                  <c:v>2018</c:v>
                </c:pt>
              </c:numCache>
            </c:numRef>
          </c:cat>
          <c:val>
            <c:numRef>
              <c:f>List1!$G$7:$G$13</c:f>
              <c:numCache>
                <c:formatCode>General</c:formatCode>
                <c:ptCount val="7"/>
                <c:pt idx="0">
                  <c:v>23.3</c:v>
                </c:pt>
                <c:pt idx="1">
                  <c:v>23.8</c:v>
                </c:pt>
                <c:pt idx="2">
                  <c:v>22.2</c:v>
                </c:pt>
                <c:pt idx="3">
                  <c:v>20.3</c:v>
                </c:pt>
                <c:pt idx="4">
                  <c:v>18.7</c:v>
                </c:pt>
                <c:pt idx="5">
                  <c:v>16.8</c:v>
                </c:pt>
                <c:pt idx="6">
                  <c:v>15.6</c:v>
                </c:pt>
              </c:numCache>
            </c:numRef>
          </c:val>
          <c:smooth val="0"/>
          <c:extLst>
            <c:ext xmlns:c16="http://schemas.microsoft.com/office/drawing/2014/chart" uri="{C3380CC4-5D6E-409C-BE32-E72D297353CC}">
              <c16:uniqueId val="{00000001-D1BE-4395-BBC9-0024B8F11FCA}"/>
            </c:ext>
          </c:extLst>
        </c:ser>
        <c:ser>
          <c:idx val="3"/>
          <c:order val="3"/>
          <c:tx>
            <c:strRef>
              <c:f>List1!$I$6</c:f>
              <c:strCache>
                <c:ptCount val="1"/>
                <c:pt idx="0">
                  <c:v>Cílová hodnota dle strategie Evropa 2020</c:v>
                </c:pt>
              </c:strCache>
            </c:strRef>
          </c:tx>
          <c:spPr>
            <a:ln w="28575" cap="rnd">
              <a:solidFill>
                <a:srgbClr val="808080"/>
              </a:solidFill>
              <a:round/>
            </a:ln>
            <a:effectLst/>
          </c:spPr>
          <c:marker>
            <c:symbol val="none"/>
          </c:marker>
          <c:val>
            <c:numRef>
              <c:f>List1!$I$7:$I$13</c:f>
              <c:numCache>
                <c:formatCode>General</c:formatCode>
                <c:ptCount val="7"/>
                <c:pt idx="0">
                  <c:v>12.2</c:v>
                </c:pt>
                <c:pt idx="1">
                  <c:v>12.2</c:v>
                </c:pt>
                <c:pt idx="2">
                  <c:v>12.2</c:v>
                </c:pt>
                <c:pt idx="3">
                  <c:v>12.2</c:v>
                </c:pt>
                <c:pt idx="4">
                  <c:v>12.2</c:v>
                </c:pt>
                <c:pt idx="5">
                  <c:v>12.2</c:v>
                </c:pt>
                <c:pt idx="6">
                  <c:v>12.2</c:v>
                </c:pt>
              </c:numCache>
            </c:numRef>
          </c:val>
          <c:smooth val="0"/>
          <c:extLst>
            <c:ext xmlns:c16="http://schemas.microsoft.com/office/drawing/2014/chart" uri="{C3380CC4-5D6E-409C-BE32-E72D297353CC}">
              <c16:uniqueId val="{00000002-D1BE-4395-BBC9-0024B8F11FCA}"/>
            </c:ext>
          </c:extLst>
        </c:ser>
        <c:dLbls>
          <c:showLegendKey val="0"/>
          <c:showVal val="0"/>
          <c:showCatName val="0"/>
          <c:showSerName val="0"/>
          <c:showPercent val="0"/>
          <c:showBubbleSize val="0"/>
        </c:dLbls>
        <c:smooth val="0"/>
        <c:axId val="1967276432"/>
        <c:axId val="1967275184"/>
        <c:extLst>
          <c:ext xmlns:c15="http://schemas.microsoft.com/office/drawing/2012/chart" uri="{02D57815-91ED-43cb-92C2-25804820EDAC}">
            <c15:filteredLineSeries>
              <c15:ser>
                <c:idx val="0"/>
                <c:order val="0"/>
                <c:tx>
                  <c:strRef>
                    <c:extLst>
                      <c:ext uri="{02D57815-91ED-43cb-92C2-25804820EDAC}">
                        <c15:formulaRef>
                          <c15:sqref>List1!$E$6</c15:sqref>
                        </c15:formulaRef>
                      </c:ext>
                    </c:extLst>
                    <c:strCache>
                      <c:ptCount val="1"/>
                    </c:strCache>
                  </c:strRef>
                </c:tx>
                <c:spPr>
                  <a:ln w="28575" cap="rnd">
                    <a:solidFill>
                      <a:schemeClr val="accent1"/>
                    </a:solidFill>
                    <a:round/>
                  </a:ln>
                  <a:effectLst/>
                </c:spPr>
                <c:marker>
                  <c:symbol val="none"/>
                </c:marker>
                <c:cat>
                  <c:numRef>
                    <c:extLst>
                      <c:ext uri="{02D57815-91ED-43cb-92C2-25804820EDAC}">
                        <c15:formulaRef>
                          <c15:sqref>List1!$D$7:$D$13</c15:sqref>
                        </c15:formulaRef>
                      </c:ext>
                    </c:extLst>
                    <c:numCache>
                      <c:formatCode>General</c:formatCode>
                      <c:ptCount val="7"/>
                      <c:pt idx="0">
                        <c:v>2012</c:v>
                      </c:pt>
                      <c:pt idx="1">
                        <c:v>2013</c:v>
                      </c:pt>
                      <c:pt idx="2">
                        <c:v>2014</c:v>
                      </c:pt>
                      <c:pt idx="3">
                        <c:v>2015</c:v>
                      </c:pt>
                      <c:pt idx="4">
                        <c:v>2016</c:v>
                      </c:pt>
                      <c:pt idx="5">
                        <c:v>2017</c:v>
                      </c:pt>
                      <c:pt idx="6">
                        <c:v>2018</c:v>
                      </c:pt>
                    </c:numCache>
                  </c:numRef>
                </c:cat>
                <c:val>
                  <c:numRef>
                    <c:extLst>
                      <c:ext uri="{02D57815-91ED-43cb-92C2-25804820EDAC}">
                        <c15:formulaRef>
                          <c15:sqref>List1!$E$7:$E$13</c15:sqref>
                        </c15:formulaRef>
                      </c:ext>
                    </c:extLst>
                    <c:numCache>
                      <c:formatCode>General</c:formatCode>
                      <c:ptCount val="7"/>
                    </c:numCache>
                  </c:numRef>
                </c:val>
                <c:smooth val="0"/>
                <c:extLst>
                  <c:ext xmlns:c16="http://schemas.microsoft.com/office/drawing/2014/chart" uri="{C3380CC4-5D6E-409C-BE32-E72D297353CC}">
                    <c16:uniqueId val="{00000003-D1BE-4395-BBC9-0024B8F11FCA}"/>
                  </c:ext>
                </c:extLst>
              </c15:ser>
            </c15:filteredLineSeries>
          </c:ext>
        </c:extLst>
      </c:lineChart>
      <c:catAx>
        <c:axId val="196727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967275184"/>
        <c:crosses val="autoZero"/>
        <c:auto val="1"/>
        <c:lblAlgn val="ctr"/>
        <c:lblOffset val="100"/>
        <c:noMultiLvlLbl val="0"/>
      </c:catAx>
      <c:valAx>
        <c:axId val="1967275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9672764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529313850647975E-2"/>
          <c:y val="3.7402244134648079E-2"/>
          <c:w val="0.90247067550133353"/>
          <c:h val="0.79179724477258118"/>
        </c:manualLayout>
      </c:layout>
      <c:lineChart>
        <c:grouping val="standard"/>
        <c:varyColors val="0"/>
        <c:ser>
          <c:idx val="0"/>
          <c:order val="0"/>
          <c:tx>
            <c:v>15–29 let</c:v>
          </c:tx>
          <c:spPr>
            <a:ln w="28575" cap="rnd">
              <a:solidFill>
                <a:srgbClr val="004595"/>
              </a:solidFill>
              <a:round/>
            </a:ln>
            <a:effectLst/>
          </c:spPr>
          <c:marker>
            <c:symbol val="none"/>
          </c:marker>
          <c:cat>
            <c:numRef>
              <c:f>'[Struktura_nezaměstnanost_spojeno-leden_2019.xlsx]Vše'!$A$49:$A$5691</c:f>
              <c:numCache>
                <c:formatCode>[$-405]mmmm\ yy;@</c:formatCode>
                <c:ptCount val="63"/>
                <c:pt idx="0">
                  <c:v>41334</c:v>
                </c:pt>
                <c:pt idx="1">
                  <c:v>41426</c:v>
                </c:pt>
                <c:pt idx="2">
                  <c:v>41518</c:v>
                </c:pt>
                <c:pt idx="3">
                  <c:v>41609</c:v>
                </c:pt>
                <c:pt idx="4">
                  <c:v>41699</c:v>
                </c:pt>
                <c:pt idx="5">
                  <c:v>41730</c:v>
                </c:pt>
                <c:pt idx="6">
                  <c:v>41760</c:v>
                </c:pt>
                <c:pt idx="7">
                  <c:v>41791</c:v>
                </c:pt>
                <c:pt idx="8">
                  <c:v>41821</c:v>
                </c:pt>
                <c:pt idx="9">
                  <c:v>41852</c:v>
                </c:pt>
                <c:pt idx="10">
                  <c:v>41883</c:v>
                </c:pt>
                <c:pt idx="11">
                  <c:v>41913</c:v>
                </c:pt>
                <c:pt idx="12">
                  <c:v>41944</c:v>
                </c:pt>
                <c:pt idx="13">
                  <c:v>41974</c:v>
                </c:pt>
                <c:pt idx="14">
                  <c:v>42005</c:v>
                </c:pt>
                <c:pt idx="15">
                  <c:v>42036</c:v>
                </c:pt>
                <c:pt idx="16">
                  <c:v>42064</c:v>
                </c:pt>
                <c:pt idx="17">
                  <c:v>42095</c:v>
                </c:pt>
                <c:pt idx="18">
                  <c:v>42125</c:v>
                </c:pt>
                <c:pt idx="19">
                  <c:v>42156</c:v>
                </c:pt>
                <c:pt idx="20">
                  <c:v>42186</c:v>
                </c:pt>
                <c:pt idx="21">
                  <c:v>42217</c:v>
                </c:pt>
                <c:pt idx="22">
                  <c:v>42248</c:v>
                </c:pt>
                <c:pt idx="23">
                  <c:v>42278</c:v>
                </c:pt>
                <c:pt idx="24">
                  <c:v>42309</c:v>
                </c:pt>
                <c:pt idx="25">
                  <c:v>42339</c:v>
                </c:pt>
                <c:pt idx="26">
                  <c:v>42370</c:v>
                </c:pt>
                <c:pt idx="27">
                  <c:v>42401</c:v>
                </c:pt>
                <c:pt idx="28">
                  <c:v>42430</c:v>
                </c:pt>
                <c:pt idx="29">
                  <c:v>42461</c:v>
                </c:pt>
                <c:pt idx="30">
                  <c:v>42491</c:v>
                </c:pt>
                <c:pt idx="31">
                  <c:v>42522</c:v>
                </c:pt>
                <c:pt idx="32">
                  <c:v>42552</c:v>
                </c:pt>
                <c:pt idx="33">
                  <c:v>42583</c:v>
                </c:pt>
                <c:pt idx="34">
                  <c:v>42614</c:v>
                </c:pt>
                <c:pt idx="35">
                  <c:v>42644</c:v>
                </c:pt>
                <c:pt idx="36">
                  <c:v>42675</c:v>
                </c:pt>
                <c:pt idx="37">
                  <c:v>42705</c:v>
                </c:pt>
                <c:pt idx="38">
                  <c:v>42736</c:v>
                </c:pt>
                <c:pt idx="39">
                  <c:v>42767</c:v>
                </c:pt>
                <c:pt idx="40">
                  <c:v>42795</c:v>
                </c:pt>
                <c:pt idx="41">
                  <c:v>42826</c:v>
                </c:pt>
                <c:pt idx="42">
                  <c:v>42856</c:v>
                </c:pt>
                <c:pt idx="43">
                  <c:v>42887</c:v>
                </c:pt>
                <c:pt idx="44">
                  <c:v>42917</c:v>
                </c:pt>
                <c:pt idx="45">
                  <c:v>42948</c:v>
                </c:pt>
                <c:pt idx="46">
                  <c:v>42979</c:v>
                </c:pt>
                <c:pt idx="47">
                  <c:v>43009</c:v>
                </c:pt>
                <c:pt idx="48">
                  <c:v>43040</c:v>
                </c:pt>
                <c:pt idx="49">
                  <c:v>43070</c:v>
                </c:pt>
                <c:pt idx="50">
                  <c:v>43101</c:v>
                </c:pt>
                <c:pt idx="51">
                  <c:v>43132</c:v>
                </c:pt>
                <c:pt idx="52">
                  <c:v>43160</c:v>
                </c:pt>
                <c:pt idx="53">
                  <c:v>43191</c:v>
                </c:pt>
                <c:pt idx="54">
                  <c:v>43221</c:v>
                </c:pt>
                <c:pt idx="55">
                  <c:v>43252</c:v>
                </c:pt>
                <c:pt idx="56">
                  <c:v>43282</c:v>
                </c:pt>
                <c:pt idx="57">
                  <c:v>43313</c:v>
                </c:pt>
                <c:pt idx="58">
                  <c:v>43344</c:v>
                </c:pt>
                <c:pt idx="59">
                  <c:v>43374</c:v>
                </c:pt>
                <c:pt idx="60">
                  <c:v>43405</c:v>
                </c:pt>
                <c:pt idx="61">
                  <c:v>43435</c:v>
                </c:pt>
                <c:pt idx="62">
                  <c:v>43466</c:v>
                </c:pt>
              </c:numCache>
            </c:numRef>
          </c:cat>
          <c:val>
            <c:numRef>
              <c:f>'[Struktura_nezaměstnanost_spojeno-leden_2019.xlsx]Vše'!$Q$49:$Q$5691</c:f>
              <c:numCache>
                <c:formatCode>#,##0</c:formatCode>
                <c:ptCount val="63"/>
                <c:pt idx="0">
                  <c:v>167893</c:v>
                </c:pt>
                <c:pt idx="1">
                  <c:v>152921</c:v>
                </c:pt>
                <c:pt idx="2">
                  <c:v>168270</c:v>
                </c:pt>
                <c:pt idx="3">
                  <c:v>166969</c:v>
                </c:pt>
                <c:pt idx="4">
                  <c:v>164456</c:v>
                </c:pt>
                <c:pt idx="5">
                  <c:v>154840</c:v>
                </c:pt>
                <c:pt idx="6">
                  <c:v>146356</c:v>
                </c:pt>
                <c:pt idx="7">
                  <c:v>141826</c:v>
                </c:pt>
                <c:pt idx="8">
                  <c:v>142837</c:v>
                </c:pt>
                <c:pt idx="9">
                  <c:v>141173</c:v>
                </c:pt>
                <c:pt idx="10">
                  <c:v>147905</c:v>
                </c:pt>
                <c:pt idx="11">
                  <c:v>142695</c:v>
                </c:pt>
                <c:pt idx="12">
                  <c:v>137103</c:v>
                </c:pt>
                <c:pt idx="13">
                  <c:v>138645</c:v>
                </c:pt>
                <c:pt idx="14">
                  <c:v>138811</c:v>
                </c:pt>
                <c:pt idx="15">
                  <c:v>135696</c:v>
                </c:pt>
                <c:pt idx="16">
                  <c:v>129848</c:v>
                </c:pt>
                <c:pt idx="17">
                  <c:v>121171</c:v>
                </c:pt>
                <c:pt idx="18">
                  <c:v>113928</c:v>
                </c:pt>
                <c:pt idx="19">
                  <c:v>109694</c:v>
                </c:pt>
                <c:pt idx="20">
                  <c:v>111327</c:v>
                </c:pt>
                <c:pt idx="21">
                  <c:v>111107</c:v>
                </c:pt>
                <c:pt idx="22">
                  <c:v>115930</c:v>
                </c:pt>
                <c:pt idx="23">
                  <c:v>110650</c:v>
                </c:pt>
                <c:pt idx="24">
                  <c:v>106567</c:v>
                </c:pt>
                <c:pt idx="25">
                  <c:v>108171</c:v>
                </c:pt>
                <c:pt idx="26">
                  <c:v>109030</c:v>
                </c:pt>
                <c:pt idx="27">
                  <c:v>107047</c:v>
                </c:pt>
                <c:pt idx="28">
                  <c:v>102602</c:v>
                </c:pt>
                <c:pt idx="29">
                  <c:v>96695</c:v>
                </c:pt>
                <c:pt idx="30">
                  <c:v>91215</c:v>
                </c:pt>
                <c:pt idx="31">
                  <c:v>88506</c:v>
                </c:pt>
                <c:pt idx="32">
                  <c:v>91144</c:v>
                </c:pt>
                <c:pt idx="33">
                  <c:v>90838</c:v>
                </c:pt>
                <c:pt idx="34">
                  <c:v>94511</c:v>
                </c:pt>
                <c:pt idx="35">
                  <c:v>89350</c:v>
                </c:pt>
                <c:pt idx="36">
                  <c:v>84800</c:v>
                </c:pt>
                <c:pt idx="37">
                  <c:v>85385</c:v>
                </c:pt>
                <c:pt idx="38">
                  <c:v>84500</c:v>
                </c:pt>
                <c:pt idx="39">
                  <c:v>81323</c:v>
                </c:pt>
                <c:pt idx="40">
                  <c:v>75498</c:v>
                </c:pt>
                <c:pt idx="41">
                  <c:v>69921</c:v>
                </c:pt>
                <c:pt idx="42">
                  <c:v>65689</c:v>
                </c:pt>
                <c:pt idx="43">
                  <c:v>62887</c:v>
                </c:pt>
                <c:pt idx="44">
                  <c:v>64817</c:v>
                </c:pt>
                <c:pt idx="45">
                  <c:v>63432</c:v>
                </c:pt>
                <c:pt idx="46">
                  <c:v>66294</c:v>
                </c:pt>
                <c:pt idx="47">
                  <c:v>61463</c:v>
                </c:pt>
                <c:pt idx="48">
                  <c:v>57068</c:v>
                </c:pt>
                <c:pt idx="49">
                  <c:v>57863</c:v>
                </c:pt>
                <c:pt idx="50">
                  <c:v>58644</c:v>
                </c:pt>
                <c:pt idx="51">
                  <c:v>56585</c:v>
                </c:pt>
                <c:pt idx="52">
                  <c:v>53136</c:v>
                </c:pt>
                <c:pt idx="53">
                  <c:v>49565</c:v>
                </c:pt>
                <c:pt idx="54">
                  <c:v>46605</c:v>
                </c:pt>
                <c:pt idx="55">
                  <c:v>45180</c:v>
                </c:pt>
                <c:pt idx="56">
                  <c:v>47854</c:v>
                </c:pt>
                <c:pt idx="57">
                  <c:v>48425</c:v>
                </c:pt>
                <c:pt idx="58">
                  <c:v>53438</c:v>
                </c:pt>
                <c:pt idx="59">
                  <c:v>50142</c:v>
                </c:pt>
                <c:pt idx="60">
                  <c:v>47227</c:v>
                </c:pt>
                <c:pt idx="61">
                  <c:v>48960</c:v>
                </c:pt>
                <c:pt idx="62">
                  <c:v>51062</c:v>
                </c:pt>
              </c:numCache>
            </c:numRef>
          </c:val>
          <c:smooth val="0"/>
          <c:extLst>
            <c:ext xmlns:c16="http://schemas.microsoft.com/office/drawing/2014/chart" uri="{C3380CC4-5D6E-409C-BE32-E72D297353CC}">
              <c16:uniqueId val="{00000000-DF54-4558-B77D-B0F3E4075612}"/>
            </c:ext>
          </c:extLst>
        </c:ser>
        <c:ser>
          <c:idx val="1"/>
          <c:order val="1"/>
          <c:tx>
            <c:v>15–24 let</c:v>
          </c:tx>
          <c:spPr>
            <a:ln w="28575" cap="rnd">
              <a:solidFill>
                <a:srgbClr val="BD2A33"/>
              </a:solidFill>
              <a:round/>
            </a:ln>
            <a:effectLst/>
          </c:spPr>
          <c:marker>
            <c:symbol val="none"/>
          </c:marker>
          <c:val>
            <c:numRef>
              <c:f>'[Struktura_nezaměstnanost_spojeno-leden_2019.xlsx]Vše'!$P$49:$P$5691</c:f>
              <c:numCache>
                <c:formatCode>#,##0</c:formatCode>
                <c:ptCount val="63"/>
                <c:pt idx="0">
                  <c:v>102129</c:v>
                </c:pt>
                <c:pt idx="1">
                  <c:v>91052</c:v>
                </c:pt>
                <c:pt idx="2">
                  <c:v>104661</c:v>
                </c:pt>
                <c:pt idx="3">
                  <c:v>100032</c:v>
                </c:pt>
                <c:pt idx="4">
                  <c:v>96747</c:v>
                </c:pt>
                <c:pt idx="5">
                  <c:v>90969</c:v>
                </c:pt>
                <c:pt idx="6">
                  <c:v>85306</c:v>
                </c:pt>
                <c:pt idx="7">
                  <c:v>81682</c:v>
                </c:pt>
                <c:pt idx="8">
                  <c:v>80557</c:v>
                </c:pt>
                <c:pt idx="9">
                  <c:v>79746</c:v>
                </c:pt>
                <c:pt idx="10">
                  <c:v>89489</c:v>
                </c:pt>
                <c:pt idx="11">
                  <c:v>85400</c:v>
                </c:pt>
                <c:pt idx="12">
                  <c:v>80630</c:v>
                </c:pt>
                <c:pt idx="13">
                  <c:v>79931</c:v>
                </c:pt>
                <c:pt idx="14">
                  <c:v>78921</c:v>
                </c:pt>
                <c:pt idx="15">
                  <c:v>77057</c:v>
                </c:pt>
                <c:pt idx="16">
                  <c:v>73665</c:v>
                </c:pt>
                <c:pt idx="17">
                  <c:v>68864</c:v>
                </c:pt>
                <c:pt idx="18">
                  <c:v>64397</c:v>
                </c:pt>
                <c:pt idx="19">
                  <c:v>61545</c:v>
                </c:pt>
                <c:pt idx="20">
                  <c:v>61175</c:v>
                </c:pt>
                <c:pt idx="21">
                  <c:v>61353</c:v>
                </c:pt>
                <c:pt idx="22">
                  <c:v>68962</c:v>
                </c:pt>
                <c:pt idx="23">
                  <c:v>65071</c:v>
                </c:pt>
                <c:pt idx="24">
                  <c:v>61160</c:v>
                </c:pt>
                <c:pt idx="25">
                  <c:v>60682</c:v>
                </c:pt>
                <c:pt idx="26">
                  <c:v>60330</c:v>
                </c:pt>
                <c:pt idx="27">
                  <c:v>59213</c:v>
                </c:pt>
                <c:pt idx="28">
                  <c:v>56720</c:v>
                </c:pt>
                <c:pt idx="29">
                  <c:v>53646</c:v>
                </c:pt>
                <c:pt idx="30">
                  <c:v>50293</c:v>
                </c:pt>
                <c:pt idx="31">
                  <c:v>48212</c:v>
                </c:pt>
                <c:pt idx="32">
                  <c:v>48465</c:v>
                </c:pt>
                <c:pt idx="33">
                  <c:v>48552</c:v>
                </c:pt>
                <c:pt idx="34">
                  <c:v>54962</c:v>
                </c:pt>
                <c:pt idx="35">
                  <c:v>51354</c:v>
                </c:pt>
                <c:pt idx="36">
                  <c:v>47515</c:v>
                </c:pt>
                <c:pt idx="37">
                  <c:v>46819</c:v>
                </c:pt>
                <c:pt idx="38">
                  <c:v>45576</c:v>
                </c:pt>
                <c:pt idx="39">
                  <c:v>43817</c:v>
                </c:pt>
                <c:pt idx="40">
                  <c:v>40679</c:v>
                </c:pt>
                <c:pt idx="41">
                  <c:v>37949</c:v>
                </c:pt>
                <c:pt idx="42">
                  <c:v>35579</c:v>
                </c:pt>
                <c:pt idx="43">
                  <c:v>33335</c:v>
                </c:pt>
                <c:pt idx="44">
                  <c:v>33535</c:v>
                </c:pt>
                <c:pt idx="45">
                  <c:v>32727</c:v>
                </c:pt>
                <c:pt idx="46">
                  <c:v>38224</c:v>
                </c:pt>
                <c:pt idx="47">
                  <c:v>34952</c:v>
                </c:pt>
                <c:pt idx="48">
                  <c:v>31588</c:v>
                </c:pt>
                <c:pt idx="49">
                  <c:v>31296</c:v>
                </c:pt>
                <c:pt idx="50">
                  <c:v>31327</c:v>
                </c:pt>
                <c:pt idx="51">
                  <c:v>30256</c:v>
                </c:pt>
                <c:pt idx="52">
                  <c:v>28458</c:v>
                </c:pt>
                <c:pt idx="53">
                  <c:v>26710</c:v>
                </c:pt>
                <c:pt idx="54">
                  <c:v>24975</c:v>
                </c:pt>
                <c:pt idx="55">
                  <c:v>23642</c:v>
                </c:pt>
                <c:pt idx="56">
                  <c:v>24219</c:v>
                </c:pt>
                <c:pt idx="57">
                  <c:v>24505</c:v>
                </c:pt>
                <c:pt idx="58">
                  <c:v>31147</c:v>
                </c:pt>
                <c:pt idx="59">
                  <c:v>28622</c:v>
                </c:pt>
                <c:pt idx="60">
                  <c:v>25972</c:v>
                </c:pt>
                <c:pt idx="61">
                  <c:v>26206</c:v>
                </c:pt>
                <c:pt idx="62">
                  <c:v>26962</c:v>
                </c:pt>
              </c:numCache>
            </c:numRef>
          </c:val>
          <c:smooth val="0"/>
          <c:extLst>
            <c:ext xmlns:c16="http://schemas.microsoft.com/office/drawing/2014/chart" uri="{C3380CC4-5D6E-409C-BE32-E72D297353CC}">
              <c16:uniqueId val="{00000001-DF54-4558-B77D-B0F3E4075612}"/>
            </c:ext>
          </c:extLst>
        </c:ser>
        <c:ser>
          <c:idx val="2"/>
          <c:order val="2"/>
          <c:tx>
            <c:v>25–29 let</c:v>
          </c:tx>
          <c:spPr>
            <a:ln w="28575" cap="rnd">
              <a:solidFill>
                <a:srgbClr val="808080"/>
              </a:solidFill>
              <a:round/>
            </a:ln>
            <a:effectLst/>
          </c:spPr>
          <c:marker>
            <c:symbol val="none"/>
          </c:marker>
          <c:val>
            <c:numRef>
              <c:f>'[Struktura_nezaměstnanost_spojeno-leden_2019.xlsx]Vše'!$V$49:$V$5691</c:f>
              <c:numCache>
                <c:formatCode>General</c:formatCode>
                <c:ptCount val="63"/>
                <c:pt idx="0">
                  <c:v>65764</c:v>
                </c:pt>
                <c:pt idx="1">
                  <c:v>61869</c:v>
                </c:pt>
                <c:pt idx="2">
                  <c:v>63609</c:v>
                </c:pt>
                <c:pt idx="3" formatCode="0">
                  <c:v>66937</c:v>
                </c:pt>
                <c:pt idx="4">
                  <c:v>67709</c:v>
                </c:pt>
                <c:pt idx="5">
                  <c:v>63871</c:v>
                </c:pt>
                <c:pt idx="6">
                  <c:v>61050</c:v>
                </c:pt>
                <c:pt idx="7">
                  <c:v>60144</c:v>
                </c:pt>
                <c:pt idx="8">
                  <c:v>62280</c:v>
                </c:pt>
                <c:pt idx="9">
                  <c:v>61427</c:v>
                </c:pt>
                <c:pt idx="10">
                  <c:v>58416</c:v>
                </c:pt>
                <c:pt idx="11">
                  <c:v>57295</c:v>
                </c:pt>
                <c:pt idx="12">
                  <c:v>56473</c:v>
                </c:pt>
                <c:pt idx="13">
                  <c:v>58714</c:v>
                </c:pt>
                <c:pt idx="14">
                  <c:v>59890</c:v>
                </c:pt>
                <c:pt idx="15">
                  <c:v>58639</c:v>
                </c:pt>
                <c:pt idx="16">
                  <c:v>56183</c:v>
                </c:pt>
                <c:pt idx="17">
                  <c:v>52307</c:v>
                </c:pt>
                <c:pt idx="18">
                  <c:v>49531</c:v>
                </c:pt>
                <c:pt idx="19">
                  <c:v>48149</c:v>
                </c:pt>
                <c:pt idx="20">
                  <c:v>50152</c:v>
                </c:pt>
                <c:pt idx="21">
                  <c:v>49754</c:v>
                </c:pt>
                <c:pt idx="22">
                  <c:v>46968</c:v>
                </c:pt>
                <c:pt idx="23">
                  <c:v>45579</c:v>
                </c:pt>
                <c:pt idx="24">
                  <c:v>45407</c:v>
                </c:pt>
                <c:pt idx="25">
                  <c:v>47489</c:v>
                </c:pt>
                <c:pt idx="26">
                  <c:v>48700</c:v>
                </c:pt>
                <c:pt idx="27">
                  <c:v>47834</c:v>
                </c:pt>
                <c:pt idx="28">
                  <c:v>45882</c:v>
                </c:pt>
                <c:pt idx="29">
                  <c:v>43049</c:v>
                </c:pt>
                <c:pt idx="30">
                  <c:v>40922</c:v>
                </c:pt>
                <c:pt idx="31">
                  <c:v>40294</c:v>
                </c:pt>
                <c:pt idx="32">
                  <c:v>42679</c:v>
                </c:pt>
                <c:pt idx="33">
                  <c:v>42286</c:v>
                </c:pt>
                <c:pt idx="34">
                  <c:v>39549</c:v>
                </c:pt>
                <c:pt idx="35">
                  <c:v>37996</c:v>
                </c:pt>
                <c:pt idx="36">
                  <c:v>37285</c:v>
                </c:pt>
                <c:pt idx="37">
                  <c:v>38566</c:v>
                </c:pt>
                <c:pt idx="38">
                  <c:v>38924</c:v>
                </c:pt>
                <c:pt idx="39">
                  <c:v>37506</c:v>
                </c:pt>
                <c:pt idx="40">
                  <c:v>34819</c:v>
                </c:pt>
                <c:pt idx="41">
                  <c:v>31972</c:v>
                </c:pt>
                <c:pt idx="42">
                  <c:v>30110</c:v>
                </c:pt>
                <c:pt idx="43">
                  <c:v>29552</c:v>
                </c:pt>
                <c:pt idx="44">
                  <c:v>31282</c:v>
                </c:pt>
                <c:pt idx="45">
                  <c:v>30705</c:v>
                </c:pt>
                <c:pt idx="46">
                  <c:v>28070</c:v>
                </c:pt>
                <c:pt idx="47">
                  <c:v>26511</c:v>
                </c:pt>
                <c:pt idx="48">
                  <c:v>25480</c:v>
                </c:pt>
                <c:pt idx="49">
                  <c:v>26567</c:v>
                </c:pt>
                <c:pt idx="50">
                  <c:v>27317</c:v>
                </c:pt>
                <c:pt idx="51">
                  <c:v>26329</c:v>
                </c:pt>
                <c:pt idx="52">
                  <c:v>24678</c:v>
                </c:pt>
                <c:pt idx="53">
                  <c:v>22855</c:v>
                </c:pt>
                <c:pt idx="54">
                  <c:v>21630</c:v>
                </c:pt>
                <c:pt idx="55">
                  <c:v>21538</c:v>
                </c:pt>
                <c:pt idx="56">
                  <c:v>23635</c:v>
                </c:pt>
                <c:pt idx="57">
                  <c:v>23920</c:v>
                </c:pt>
                <c:pt idx="58">
                  <c:v>22291</c:v>
                </c:pt>
                <c:pt idx="59">
                  <c:v>21520</c:v>
                </c:pt>
                <c:pt idx="60">
                  <c:v>21255</c:v>
                </c:pt>
                <c:pt idx="61">
                  <c:v>22754</c:v>
                </c:pt>
                <c:pt idx="62">
                  <c:v>24100</c:v>
                </c:pt>
              </c:numCache>
            </c:numRef>
          </c:val>
          <c:smooth val="0"/>
          <c:extLst>
            <c:ext xmlns:c16="http://schemas.microsoft.com/office/drawing/2014/chart" uri="{C3380CC4-5D6E-409C-BE32-E72D297353CC}">
              <c16:uniqueId val="{00000002-DF54-4558-B77D-B0F3E4075612}"/>
            </c:ext>
          </c:extLst>
        </c:ser>
        <c:dLbls>
          <c:showLegendKey val="0"/>
          <c:showVal val="0"/>
          <c:showCatName val="0"/>
          <c:showSerName val="0"/>
          <c:showPercent val="0"/>
          <c:showBubbleSize val="0"/>
        </c:dLbls>
        <c:smooth val="0"/>
        <c:axId val="681891520"/>
        <c:axId val="681888192"/>
      </c:lineChart>
      <c:dateAx>
        <c:axId val="681891520"/>
        <c:scaling>
          <c:orientation val="minMax"/>
        </c:scaling>
        <c:delete val="0"/>
        <c:axPos val="b"/>
        <c:numFmt formatCode="[$-405]mmmm\ yy;@" sourceLinked="1"/>
        <c:majorTickMark val="none"/>
        <c:minorTickMark val="none"/>
        <c:tickLblPos val="nextTo"/>
        <c:spPr>
          <a:noFill/>
          <a:ln w="9525" cap="flat" cmpd="sng" algn="ctr">
            <a:solidFill>
              <a:schemeClr val="tx1">
                <a:lumMod val="15000"/>
                <a:lumOff val="85000"/>
              </a:schemeClr>
            </a:solidFill>
            <a:round/>
          </a:ln>
          <a:effectLst/>
        </c:spPr>
        <c:txPr>
          <a:bodyPr rot="-2940000" spcFirstLastPara="1" vertOverflow="ellipsis" wrap="square" anchor="ctr" anchorCtr="0"/>
          <a:lstStyle/>
          <a:p>
            <a:pPr>
              <a:defRPr sz="900" b="0" i="0" u="none" strike="noStrike" kern="1200" baseline="0">
                <a:solidFill>
                  <a:sysClr val="windowText" lastClr="000000"/>
                </a:solidFill>
                <a:latin typeface="+mn-lt"/>
                <a:ea typeface="+mn-ea"/>
                <a:cs typeface="+mn-cs"/>
              </a:defRPr>
            </a:pPr>
            <a:endParaRPr lang="cs-CZ"/>
          </a:p>
        </c:txPr>
        <c:crossAx val="681888192"/>
        <c:crosses val="autoZero"/>
        <c:auto val="1"/>
        <c:lblOffset val="100"/>
        <c:baseTimeUnit val="months"/>
      </c:dateAx>
      <c:valAx>
        <c:axId val="681888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681891520"/>
        <c:crosses val="autoZero"/>
        <c:crossBetween val="between"/>
      </c:valAx>
      <c:spPr>
        <a:noFill/>
        <a:ln>
          <a:noFill/>
        </a:ln>
        <a:effectLst/>
      </c:spPr>
    </c:plotArea>
    <c:legend>
      <c:legendPos val="r"/>
      <c:layout>
        <c:manualLayout>
          <c:xMode val="edge"/>
          <c:yMode val="edge"/>
          <c:x val="0.70616607374465712"/>
          <c:y val="0.12767894195795282"/>
          <c:w val="0.2223728619395958"/>
          <c:h val="0.2745023633208145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465600178990946E-2"/>
          <c:y val="3.3652291075304264E-2"/>
          <c:w val="0.67688753079709973"/>
          <c:h val="0.84828614602438535"/>
        </c:manualLayout>
      </c:layout>
      <c:lineChart>
        <c:grouping val="standard"/>
        <c:varyColors val="0"/>
        <c:ser>
          <c:idx val="1"/>
          <c:order val="0"/>
          <c:tx>
            <c:strRef>
              <c:f>Data!$A$4</c:f>
              <c:strCache>
                <c:ptCount val="1"/>
                <c:pt idx="0">
                  <c:v>Cílová hodnota</c:v>
                </c:pt>
              </c:strCache>
            </c:strRef>
          </c:tx>
          <c:spPr>
            <a:ln w="28575" cap="rnd">
              <a:solidFill>
                <a:srgbClr val="BD2A33"/>
              </a:solidFill>
              <a:round/>
            </a:ln>
            <a:effectLst/>
          </c:spPr>
          <c:marker>
            <c:symbol val="none"/>
          </c:marker>
          <c:cat>
            <c:numRef>
              <c:f>Data!$B$3:$E$3</c:f>
              <c:numCache>
                <c:formatCode>General</c:formatCode>
                <c:ptCount val="4"/>
                <c:pt idx="0">
                  <c:v>2015</c:v>
                </c:pt>
                <c:pt idx="1">
                  <c:v>2016</c:v>
                </c:pt>
                <c:pt idx="2">
                  <c:v>2017</c:v>
                </c:pt>
                <c:pt idx="3">
                  <c:v>2018</c:v>
                </c:pt>
              </c:numCache>
            </c:numRef>
          </c:cat>
          <c:val>
            <c:numRef>
              <c:f>Data!$B$4:$E$4</c:f>
              <c:numCache>
                <c:formatCode>General</c:formatCode>
                <c:ptCount val="4"/>
                <c:pt idx="0">
                  <c:v>12.2</c:v>
                </c:pt>
                <c:pt idx="1">
                  <c:v>12.2</c:v>
                </c:pt>
                <c:pt idx="2">
                  <c:v>12.2</c:v>
                </c:pt>
                <c:pt idx="3">
                  <c:v>12.2</c:v>
                </c:pt>
              </c:numCache>
            </c:numRef>
          </c:val>
          <c:smooth val="0"/>
          <c:extLst>
            <c:ext xmlns:c16="http://schemas.microsoft.com/office/drawing/2014/chart" uri="{C3380CC4-5D6E-409C-BE32-E72D297353CC}">
              <c16:uniqueId val="{00000000-30CC-4759-B4A1-D32385210CDF}"/>
            </c:ext>
          </c:extLst>
        </c:ser>
        <c:ser>
          <c:idx val="0"/>
          <c:order val="1"/>
          <c:tx>
            <c:strRef>
              <c:f>Data!$A$5</c:f>
              <c:strCache>
                <c:ptCount val="1"/>
                <c:pt idx="0">
                  <c:v>Míra nezaměstnanosti 15–24 let</c:v>
                </c:pt>
              </c:strCache>
            </c:strRef>
          </c:tx>
          <c:spPr>
            <a:ln w="28575" cap="rnd">
              <a:solidFill>
                <a:srgbClr val="004595"/>
              </a:solidFill>
              <a:round/>
            </a:ln>
            <a:effectLst/>
          </c:spPr>
          <c:marker>
            <c:symbol val="none"/>
          </c:marker>
          <c:dLbls>
            <c:dLbl>
              <c:idx val="0"/>
              <c:layout>
                <c:manualLayout>
                  <c:x val="0"/>
                  <c:y val="8.9912896881146384E-2"/>
                </c:manualLayout>
              </c:layout>
              <c:tx>
                <c:rich>
                  <a:bodyPr/>
                  <a:lstStyle/>
                  <a:p>
                    <a:fld id="{CA9E1E33-F1EB-4DD0-BA88-DD75C63F69FC}" type="VALUE">
                      <a:rPr lang="en-US"/>
                      <a:pPr/>
                      <a:t>[HODNOTA]</a:t>
                    </a:fld>
                    <a:r>
                      <a:rPr lang="en-US"/>
                      <a:t> %</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2-30CC-4759-B4A1-D32385210CDF}"/>
                </c:ext>
              </c:extLst>
            </c:dLbl>
            <c:dLbl>
              <c:idx val="1"/>
              <c:layout>
                <c:manualLayout>
                  <c:x val="6.7121601968899913E-3"/>
                  <c:y val="-3.371733633042992E-2"/>
                </c:manualLayout>
              </c:layout>
              <c:tx>
                <c:rich>
                  <a:bodyPr/>
                  <a:lstStyle/>
                  <a:p>
                    <a:fld id="{7D34B1C0-1672-4D99-8F7E-62D3C15B1BC8}" type="VALUE">
                      <a:rPr lang="en-US"/>
                      <a:pPr/>
                      <a:t>[HODNOTA]</a:t>
                    </a:fld>
                    <a:r>
                      <a:rPr lang="en-US"/>
                      <a:t> %</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30CC-4759-B4A1-D32385210CDF}"/>
                </c:ext>
              </c:extLst>
            </c:dLbl>
            <c:dLbl>
              <c:idx val="2"/>
              <c:layout>
                <c:manualLayout>
                  <c:x val="0"/>
                  <c:y val="-5.6195560550716547E-2"/>
                </c:manualLayout>
              </c:layout>
              <c:tx>
                <c:rich>
                  <a:bodyPr/>
                  <a:lstStyle/>
                  <a:p>
                    <a:fld id="{F76714A4-E3E4-48B5-913B-88441731D365}" type="VALUE">
                      <a:rPr lang="en-US"/>
                      <a:pPr/>
                      <a:t>[HODNOTA]</a:t>
                    </a:fld>
                    <a:r>
                      <a:rPr lang="en-US"/>
                      <a:t> %</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4-30CC-4759-B4A1-D32385210CDF}"/>
                </c:ext>
              </c:extLst>
            </c:dLbl>
            <c:dLbl>
              <c:idx val="3"/>
              <c:layout/>
              <c:tx>
                <c:rich>
                  <a:bodyPr/>
                  <a:lstStyle/>
                  <a:p>
                    <a:fld id="{FE03CE4C-0C65-4824-B504-30AA4D7BF0B4}" type="VALUE">
                      <a:rPr lang="en-US"/>
                      <a:pPr/>
                      <a:t>[HODNOTA]</a:t>
                    </a:fld>
                    <a:r>
                      <a:rPr lang="en-US"/>
                      <a:t> %</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30CC-4759-B4A1-D32385210CDF}"/>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Data!$B$3:$E$3</c:f>
              <c:numCache>
                <c:formatCode>General</c:formatCode>
                <c:ptCount val="4"/>
                <c:pt idx="0">
                  <c:v>2015</c:v>
                </c:pt>
                <c:pt idx="1">
                  <c:v>2016</c:v>
                </c:pt>
                <c:pt idx="2">
                  <c:v>2017</c:v>
                </c:pt>
                <c:pt idx="3">
                  <c:v>2018</c:v>
                </c:pt>
              </c:numCache>
            </c:numRef>
          </c:cat>
          <c:val>
            <c:numRef>
              <c:f>Data!$B$5:$E$5</c:f>
              <c:numCache>
                <c:formatCode>General</c:formatCode>
                <c:ptCount val="4"/>
                <c:pt idx="0">
                  <c:v>11.8</c:v>
                </c:pt>
                <c:pt idx="1">
                  <c:v>10.5</c:v>
                </c:pt>
                <c:pt idx="2">
                  <c:v>7.9</c:v>
                </c:pt>
                <c:pt idx="3">
                  <c:v>6.7</c:v>
                </c:pt>
              </c:numCache>
            </c:numRef>
          </c:val>
          <c:smooth val="0"/>
          <c:extLst>
            <c:ext xmlns:c16="http://schemas.microsoft.com/office/drawing/2014/chart" uri="{C3380CC4-5D6E-409C-BE32-E72D297353CC}">
              <c16:uniqueId val="{00000001-30CC-4759-B4A1-D32385210CDF}"/>
            </c:ext>
          </c:extLst>
        </c:ser>
        <c:dLbls>
          <c:showLegendKey val="0"/>
          <c:showVal val="0"/>
          <c:showCatName val="0"/>
          <c:showSerName val="0"/>
          <c:showPercent val="0"/>
          <c:showBubbleSize val="0"/>
        </c:dLbls>
        <c:smooth val="0"/>
        <c:axId val="1988788016"/>
        <c:axId val="1988788848"/>
      </c:lineChart>
      <c:catAx>
        <c:axId val="198878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988788848"/>
        <c:crosses val="autoZero"/>
        <c:auto val="1"/>
        <c:lblAlgn val="ctr"/>
        <c:lblOffset val="100"/>
        <c:noMultiLvlLbl val="0"/>
      </c:catAx>
      <c:valAx>
        <c:axId val="1988788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988788016"/>
        <c:crosses val="autoZero"/>
        <c:crossBetween val="between"/>
      </c:valAx>
      <c:spPr>
        <a:noFill/>
        <a:ln>
          <a:noFill/>
        </a:ln>
        <a:effectLst/>
      </c:spPr>
    </c:plotArea>
    <c:legend>
      <c:legendPos val="b"/>
      <c:layout>
        <c:manualLayout>
          <c:xMode val="edge"/>
          <c:yMode val="edge"/>
          <c:x val="0.74497543719329529"/>
          <c:y val="3.1179243926343993E-2"/>
          <c:w val="0.2143132852324548"/>
          <c:h val="0.6761560466644395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558938826022692E-2"/>
          <c:y val="3.7402244134648079E-2"/>
          <c:w val="0.89841105087258122"/>
          <c:h val="0.66272948030425127"/>
        </c:manualLayout>
      </c:layout>
      <c:lineChart>
        <c:grouping val="standard"/>
        <c:varyColors val="0"/>
        <c:ser>
          <c:idx val="0"/>
          <c:order val="0"/>
          <c:tx>
            <c:strRef>
              <c:f>Data!$B$1</c:f>
              <c:strCache>
                <c:ptCount val="1"/>
                <c:pt idx="0">
                  <c:v>Nabídka zaměstnání podaná v prvních čtyřech měsících od zaevidování uchazeče do evidence ÚP</c:v>
                </c:pt>
              </c:strCache>
            </c:strRef>
          </c:tx>
          <c:spPr>
            <a:ln w="28575" cap="rnd">
              <a:solidFill>
                <a:srgbClr val="004595"/>
              </a:solidFill>
              <a:round/>
            </a:ln>
            <a:effectLst/>
          </c:spPr>
          <c:marker>
            <c:symbol val="none"/>
          </c:marker>
          <c:cat>
            <c:numRef>
              <c:f>Data!$A$2:$A$40</c:f>
              <c:numCache>
                <c:formatCode>mmm\-yy</c:formatCode>
                <c:ptCount val="39"/>
                <c:pt idx="0">
                  <c:v>41791</c:v>
                </c:pt>
                <c:pt idx="1">
                  <c:v>41821</c:v>
                </c:pt>
                <c:pt idx="2">
                  <c:v>41852</c:v>
                </c:pt>
                <c:pt idx="3">
                  <c:v>41883</c:v>
                </c:pt>
                <c:pt idx="4">
                  <c:v>41913</c:v>
                </c:pt>
                <c:pt idx="5">
                  <c:v>41944</c:v>
                </c:pt>
                <c:pt idx="6">
                  <c:v>41974</c:v>
                </c:pt>
                <c:pt idx="7">
                  <c:v>42005</c:v>
                </c:pt>
                <c:pt idx="8">
                  <c:v>42036</c:v>
                </c:pt>
                <c:pt idx="9">
                  <c:v>42064</c:v>
                </c:pt>
                <c:pt idx="10">
                  <c:v>42095</c:v>
                </c:pt>
                <c:pt idx="11">
                  <c:v>42125</c:v>
                </c:pt>
                <c:pt idx="12">
                  <c:v>42156</c:v>
                </c:pt>
                <c:pt idx="13">
                  <c:v>42186</c:v>
                </c:pt>
                <c:pt idx="14">
                  <c:v>42217</c:v>
                </c:pt>
                <c:pt idx="15">
                  <c:v>42248</c:v>
                </c:pt>
                <c:pt idx="16">
                  <c:v>42278</c:v>
                </c:pt>
                <c:pt idx="17">
                  <c:v>42309</c:v>
                </c:pt>
                <c:pt idx="18">
                  <c:v>42339</c:v>
                </c:pt>
                <c:pt idx="19">
                  <c:v>42370</c:v>
                </c:pt>
                <c:pt idx="20">
                  <c:v>42401</c:v>
                </c:pt>
                <c:pt idx="21">
                  <c:v>42430</c:v>
                </c:pt>
                <c:pt idx="22">
                  <c:v>42461</c:v>
                </c:pt>
                <c:pt idx="23">
                  <c:v>42491</c:v>
                </c:pt>
                <c:pt idx="24">
                  <c:v>42522</c:v>
                </c:pt>
                <c:pt idx="25">
                  <c:v>42552</c:v>
                </c:pt>
                <c:pt idx="26">
                  <c:v>42583</c:v>
                </c:pt>
                <c:pt idx="27">
                  <c:v>42614</c:v>
                </c:pt>
                <c:pt idx="28">
                  <c:v>42644</c:v>
                </c:pt>
                <c:pt idx="29">
                  <c:v>42675</c:v>
                </c:pt>
                <c:pt idx="30">
                  <c:v>42705</c:v>
                </c:pt>
                <c:pt idx="31">
                  <c:v>42736</c:v>
                </c:pt>
                <c:pt idx="32">
                  <c:v>42767</c:v>
                </c:pt>
                <c:pt idx="33">
                  <c:v>42795</c:v>
                </c:pt>
                <c:pt idx="34">
                  <c:v>42826</c:v>
                </c:pt>
                <c:pt idx="35">
                  <c:v>42856</c:v>
                </c:pt>
                <c:pt idx="36">
                  <c:v>42887</c:v>
                </c:pt>
                <c:pt idx="37">
                  <c:v>42917</c:v>
                </c:pt>
                <c:pt idx="38">
                  <c:v>42948</c:v>
                </c:pt>
              </c:numCache>
            </c:numRef>
          </c:cat>
          <c:val>
            <c:numRef>
              <c:f>Data!$B$2:$B$40</c:f>
              <c:numCache>
                <c:formatCode>0.0%</c:formatCode>
                <c:ptCount val="39"/>
                <c:pt idx="0">
                  <c:v>0.36499999999999999</c:v>
                </c:pt>
                <c:pt idx="1">
                  <c:v>0.38500000000000001</c:v>
                </c:pt>
                <c:pt idx="2">
                  <c:v>0.436</c:v>
                </c:pt>
                <c:pt idx="3">
                  <c:v>0.48299999999999998</c:v>
                </c:pt>
                <c:pt idx="4">
                  <c:v>0.44800000000000001</c:v>
                </c:pt>
                <c:pt idx="5">
                  <c:v>0.505</c:v>
                </c:pt>
                <c:pt idx="9">
                  <c:v>0.82499999999999996</c:v>
                </c:pt>
                <c:pt idx="10">
                  <c:v>0.81599999999999995</c:v>
                </c:pt>
                <c:pt idx="11">
                  <c:v>0.83199999999999996</c:v>
                </c:pt>
                <c:pt idx="12">
                  <c:v>0.83199999999999996</c:v>
                </c:pt>
                <c:pt idx="13">
                  <c:v>0.83599999999999997</c:v>
                </c:pt>
                <c:pt idx="14">
                  <c:v>0.84599999999999997</c:v>
                </c:pt>
                <c:pt idx="15">
                  <c:v>0.85099999999999998</c:v>
                </c:pt>
                <c:pt idx="16">
                  <c:v>0.82499999999999996</c:v>
                </c:pt>
                <c:pt idx="17">
                  <c:v>0.81399999999999995</c:v>
                </c:pt>
                <c:pt idx="18">
                  <c:v>0.82099999999999995</c:v>
                </c:pt>
                <c:pt idx="19">
                  <c:v>0.82199999999999995</c:v>
                </c:pt>
                <c:pt idx="20">
                  <c:v>0.81399999999999995</c:v>
                </c:pt>
                <c:pt idx="21">
                  <c:v>0.80500000000000005</c:v>
                </c:pt>
                <c:pt idx="22">
                  <c:v>0.80099999999999993</c:v>
                </c:pt>
                <c:pt idx="23">
                  <c:v>0.82200000000000006</c:v>
                </c:pt>
                <c:pt idx="24">
                  <c:v>0.82599999999999996</c:v>
                </c:pt>
                <c:pt idx="25">
                  <c:v>0.83499999999999996</c:v>
                </c:pt>
                <c:pt idx="26">
                  <c:v>0.84699999999999998</c:v>
                </c:pt>
                <c:pt idx="33">
                  <c:v>0.84</c:v>
                </c:pt>
                <c:pt idx="34">
                  <c:v>0.83299999999999996</c:v>
                </c:pt>
                <c:pt idx="35">
                  <c:v>0.84499999999999997</c:v>
                </c:pt>
                <c:pt idx="36">
                  <c:v>0.84499999999999997</c:v>
                </c:pt>
                <c:pt idx="37">
                  <c:v>0.86</c:v>
                </c:pt>
                <c:pt idx="38">
                  <c:v>0.85199999999999998</c:v>
                </c:pt>
              </c:numCache>
            </c:numRef>
          </c:val>
          <c:smooth val="0"/>
          <c:extLst>
            <c:ext xmlns:c16="http://schemas.microsoft.com/office/drawing/2014/chart" uri="{C3380CC4-5D6E-409C-BE32-E72D297353CC}">
              <c16:uniqueId val="{00000000-CE35-4DDC-99D3-69ECEE125116}"/>
            </c:ext>
          </c:extLst>
        </c:ser>
        <c:ser>
          <c:idx val="1"/>
          <c:order val="1"/>
          <c:tx>
            <c:strRef>
              <c:f>Data!$C$1</c:f>
              <c:strCache>
                <c:ptCount val="1"/>
                <c:pt idx="0">
                  <c:v>z tohoto počtu nabídku přijalo</c:v>
                </c:pt>
              </c:strCache>
            </c:strRef>
          </c:tx>
          <c:spPr>
            <a:ln w="28575" cap="rnd">
              <a:solidFill>
                <a:srgbClr val="BD2A33"/>
              </a:solidFill>
              <a:round/>
            </a:ln>
            <a:effectLst/>
          </c:spPr>
          <c:marker>
            <c:symbol val="none"/>
          </c:marker>
          <c:cat>
            <c:numRef>
              <c:f>Data!$A$2:$A$40</c:f>
              <c:numCache>
                <c:formatCode>mmm\-yy</c:formatCode>
                <c:ptCount val="39"/>
                <c:pt idx="0">
                  <c:v>41791</c:v>
                </c:pt>
                <c:pt idx="1">
                  <c:v>41821</c:v>
                </c:pt>
                <c:pt idx="2">
                  <c:v>41852</c:v>
                </c:pt>
                <c:pt idx="3">
                  <c:v>41883</c:v>
                </c:pt>
                <c:pt idx="4">
                  <c:v>41913</c:v>
                </c:pt>
                <c:pt idx="5">
                  <c:v>41944</c:v>
                </c:pt>
                <c:pt idx="6">
                  <c:v>41974</c:v>
                </c:pt>
                <c:pt idx="7">
                  <c:v>42005</c:v>
                </c:pt>
                <c:pt idx="8">
                  <c:v>42036</c:v>
                </c:pt>
                <c:pt idx="9">
                  <c:v>42064</c:v>
                </c:pt>
                <c:pt idx="10">
                  <c:v>42095</c:v>
                </c:pt>
                <c:pt idx="11">
                  <c:v>42125</c:v>
                </c:pt>
                <c:pt idx="12">
                  <c:v>42156</c:v>
                </c:pt>
                <c:pt idx="13">
                  <c:v>42186</c:v>
                </c:pt>
                <c:pt idx="14">
                  <c:v>42217</c:v>
                </c:pt>
                <c:pt idx="15">
                  <c:v>42248</c:v>
                </c:pt>
                <c:pt idx="16">
                  <c:v>42278</c:v>
                </c:pt>
                <c:pt idx="17">
                  <c:v>42309</c:v>
                </c:pt>
                <c:pt idx="18">
                  <c:v>42339</c:v>
                </c:pt>
                <c:pt idx="19">
                  <c:v>42370</c:v>
                </c:pt>
                <c:pt idx="20">
                  <c:v>42401</c:v>
                </c:pt>
                <c:pt idx="21">
                  <c:v>42430</c:v>
                </c:pt>
                <c:pt idx="22">
                  <c:v>42461</c:v>
                </c:pt>
                <c:pt idx="23">
                  <c:v>42491</c:v>
                </c:pt>
                <c:pt idx="24">
                  <c:v>42522</c:v>
                </c:pt>
                <c:pt idx="25">
                  <c:v>42552</c:v>
                </c:pt>
                <c:pt idx="26">
                  <c:v>42583</c:v>
                </c:pt>
                <c:pt idx="27">
                  <c:v>42614</c:v>
                </c:pt>
                <c:pt idx="28">
                  <c:v>42644</c:v>
                </c:pt>
                <c:pt idx="29">
                  <c:v>42675</c:v>
                </c:pt>
                <c:pt idx="30">
                  <c:v>42705</c:v>
                </c:pt>
                <c:pt idx="31">
                  <c:v>42736</c:v>
                </c:pt>
                <c:pt idx="32">
                  <c:v>42767</c:v>
                </c:pt>
                <c:pt idx="33">
                  <c:v>42795</c:v>
                </c:pt>
                <c:pt idx="34">
                  <c:v>42826</c:v>
                </c:pt>
                <c:pt idx="35">
                  <c:v>42856</c:v>
                </c:pt>
                <c:pt idx="36">
                  <c:v>42887</c:v>
                </c:pt>
                <c:pt idx="37">
                  <c:v>42917</c:v>
                </c:pt>
                <c:pt idx="38">
                  <c:v>42948</c:v>
                </c:pt>
              </c:numCache>
            </c:numRef>
          </c:cat>
          <c:val>
            <c:numRef>
              <c:f>Data!$C$2:$C$40</c:f>
              <c:numCache>
                <c:formatCode>0.0%</c:formatCode>
                <c:ptCount val="39"/>
                <c:pt idx="0">
                  <c:v>0.38500000000000001</c:v>
                </c:pt>
                <c:pt idx="1">
                  <c:v>0.38</c:v>
                </c:pt>
                <c:pt idx="2">
                  <c:v>0.32400000000000001</c:v>
                </c:pt>
                <c:pt idx="3">
                  <c:v>0.24199999999999999</c:v>
                </c:pt>
                <c:pt idx="4">
                  <c:v>0.186</c:v>
                </c:pt>
                <c:pt idx="5">
                  <c:v>0.14599999999999999</c:v>
                </c:pt>
                <c:pt idx="9">
                  <c:v>0.20200000000000001</c:v>
                </c:pt>
                <c:pt idx="10">
                  <c:v>0.19800000000000001</c:v>
                </c:pt>
                <c:pt idx="11">
                  <c:v>0.249</c:v>
                </c:pt>
                <c:pt idx="12">
                  <c:v>0.27700000000000002</c:v>
                </c:pt>
                <c:pt idx="13">
                  <c:v>0.28899999999999998</c:v>
                </c:pt>
                <c:pt idx="14">
                  <c:v>0.255</c:v>
                </c:pt>
                <c:pt idx="15">
                  <c:v>0.2</c:v>
                </c:pt>
                <c:pt idx="16">
                  <c:v>0.14199999999999999</c:v>
                </c:pt>
                <c:pt idx="17">
                  <c:v>0.14299999999999999</c:v>
                </c:pt>
                <c:pt idx="18">
                  <c:v>0.14099999999999999</c:v>
                </c:pt>
                <c:pt idx="19">
                  <c:v>0.13700000000000001</c:v>
                </c:pt>
                <c:pt idx="20">
                  <c:v>0.129</c:v>
                </c:pt>
                <c:pt idx="21">
                  <c:v>0.14199999999999999</c:v>
                </c:pt>
                <c:pt idx="22">
                  <c:v>0.14199999999999999</c:v>
                </c:pt>
                <c:pt idx="23">
                  <c:v>0.19699999999999998</c:v>
                </c:pt>
                <c:pt idx="24">
                  <c:v>0.20100000000000001</c:v>
                </c:pt>
                <c:pt idx="25">
                  <c:v>0.23</c:v>
                </c:pt>
                <c:pt idx="26">
                  <c:v>0.19</c:v>
                </c:pt>
                <c:pt idx="33">
                  <c:v>0.153</c:v>
                </c:pt>
                <c:pt idx="34">
                  <c:v>0.16699999999999998</c:v>
                </c:pt>
                <c:pt idx="35">
                  <c:v>0.20499999999999999</c:v>
                </c:pt>
                <c:pt idx="36">
                  <c:v>0.22500000000000001</c:v>
                </c:pt>
                <c:pt idx="37">
                  <c:v>0.253</c:v>
                </c:pt>
                <c:pt idx="38">
                  <c:v>0.223</c:v>
                </c:pt>
              </c:numCache>
            </c:numRef>
          </c:val>
          <c:smooth val="0"/>
          <c:extLst>
            <c:ext xmlns:c16="http://schemas.microsoft.com/office/drawing/2014/chart" uri="{C3380CC4-5D6E-409C-BE32-E72D297353CC}">
              <c16:uniqueId val="{00000001-CE35-4DDC-99D3-69ECEE125116}"/>
            </c:ext>
          </c:extLst>
        </c:ser>
        <c:dLbls>
          <c:showLegendKey val="0"/>
          <c:showVal val="0"/>
          <c:showCatName val="0"/>
          <c:showSerName val="0"/>
          <c:showPercent val="0"/>
          <c:showBubbleSize val="0"/>
        </c:dLbls>
        <c:smooth val="0"/>
        <c:axId val="5815840"/>
        <c:axId val="5813760"/>
      </c:lineChart>
      <c:dateAx>
        <c:axId val="5815840"/>
        <c:scaling>
          <c:orientation val="minMax"/>
        </c:scaling>
        <c:delete val="0"/>
        <c:axPos val="b"/>
        <c:numFmt formatCode="[$-405]mmmm\ yy;@" sourceLinked="0"/>
        <c:majorTickMark val="out"/>
        <c:minorTickMark val="none"/>
        <c:tickLblPos val="nextTo"/>
        <c:spPr>
          <a:noFill/>
          <a:ln w="9525" cap="flat" cmpd="sng" algn="ctr">
            <a:solidFill>
              <a:schemeClr val="tx1">
                <a:lumMod val="15000"/>
                <a:lumOff val="85000"/>
              </a:schemeClr>
            </a:solidFill>
            <a:round/>
          </a:ln>
          <a:effectLst/>
        </c:spPr>
        <c:txPr>
          <a:bodyPr rot="-294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cs-CZ"/>
          </a:p>
        </c:txPr>
        <c:crossAx val="5813760"/>
        <c:crosses val="autoZero"/>
        <c:auto val="1"/>
        <c:lblOffset val="100"/>
        <c:baseTimeUnit val="months"/>
        <c:majorUnit val="2"/>
        <c:majorTimeUnit val="months"/>
      </c:dateAx>
      <c:valAx>
        <c:axId val="58137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58158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941613417782554E-2"/>
          <c:y val="2.3157894736842106E-2"/>
          <c:w val="0.87401905348541431"/>
          <c:h val="0.92800364691255699"/>
        </c:manualLayout>
      </c:layout>
      <c:barChart>
        <c:barDir val="bar"/>
        <c:grouping val="clustered"/>
        <c:varyColors val="0"/>
        <c:ser>
          <c:idx val="0"/>
          <c:order val="0"/>
          <c:tx>
            <c:strRef>
              <c:f>'15-24 celkem'!$C$62</c:f>
              <c:strCache>
                <c:ptCount val="1"/>
                <c:pt idx="0">
                  <c:v>2018</c:v>
                </c:pt>
              </c:strCache>
            </c:strRef>
          </c:tx>
          <c:spPr>
            <a:solidFill>
              <a:srgbClr val="004595"/>
            </a:solidFill>
            <a:ln>
              <a:noFill/>
            </a:ln>
            <a:effectLst/>
          </c:spPr>
          <c:invertIfNegative val="0"/>
          <c:dPt>
            <c:idx val="8"/>
            <c:invertIfNegative val="0"/>
            <c:bubble3D val="0"/>
            <c:spPr>
              <a:solidFill>
                <a:srgbClr val="808080"/>
              </a:solidFill>
              <a:ln>
                <a:noFill/>
              </a:ln>
              <a:effectLst/>
            </c:spPr>
            <c:extLst>
              <c:ext xmlns:c16="http://schemas.microsoft.com/office/drawing/2014/chart" uri="{C3380CC4-5D6E-409C-BE32-E72D297353CC}">
                <c16:uniqueId val="{00000001-0AFB-416E-84A9-D9ACF78ECCEA}"/>
              </c:ext>
            </c:extLst>
          </c:dPt>
          <c:dPt>
            <c:idx val="12"/>
            <c:invertIfNegative val="0"/>
            <c:bubble3D val="0"/>
            <c:spPr>
              <a:solidFill>
                <a:srgbClr val="808080"/>
              </a:solidFill>
              <a:ln>
                <a:noFill/>
              </a:ln>
              <a:effectLst/>
            </c:spPr>
            <c:extLst>
              <c:ext xmlns:c16="http://schemas.microsoft.com/office/drawing/2014/chart" uri="{C3380CC4-5D6E-409C-BE32-E72D297353CC}">
                <c16:uniqueId val="{00000003-0AFB-416E-84A9-D9ACF78ECCEA}"/>
              </c:ext>
            </c:extLst>
          </c:dPt>
          <c:dPt>
            <c:idx val="28"/>
            <c:invertIfNegative val="0"/>
            <c:bubble3D val="0"/>
            <c:spPr>
              <a:solidFill>
                <a:srgbClr val="BD2A33"/>
              </a:solidFill>
              <a:ln>
                <a:noFill/>
              </a:ln>
              <a:effectLst/>
            </c:spPr>
            <c:extLst>
              <c:ext xmlns:c16="http://schemas.microsoft.com/office/drawing/2014/chart" uri="{C3380CC4-5D6E-409C-BE32-E72D297353CC}">
                <c16:uniqueId val="{00000005-0AFB-416E-84A9-D9ACF78ECCEA}"/>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'15-24 celkem'!$B$63:$B$92</c:f>
              <c:strCache>
                <c:ptCount val="30"/>
                <c:pt idx="0">
                  <c:v>Řecko</c:v>
                </c:pt>
                <c:pt idx="1">
                  <c:v>Španělsko</c:v>
                </c:pt>
                <c:pt idx="2">
                  <c:v>Itálie</c:v>
                </c:pt>
                <c:pt idx="3">
                  <c:v>Chorvatsko</c:v>
                </c:pt>
                <c:pt idx="4">
                  <c:v>Francie</c:v>
                </c:pt>
                <c:pt idx="5">
                  <c:v>Portugalsko</c:v>
                </c:pt>
                <c:pt idx="6">
                  <c:v>Kypr</c:v>
                </c:pt>
                <c:pt idx="7">
                  <c:v>Finsko</c:v>
                </c:pt>
                <c:pt idx="8">
                  <c:v>Eurozóna</c:v>
                </c:pt>
                <c:pt idx="9">
                  <c:v>Švédsko</c:v>
                </c:pt>
                <c:pt idx="10">
                  <c:v>Rumunsko</c:v>
                </c:pt>
                <c:pt idx="11">
                  <c:v>Belgie</c:v>
                </c:pt>
                <c:pt idx="12">
                  <c:v>EU</c:v>
                </c:pt>
                <c:pt idx="13">
                  <c:v>Slovensko</c:v>
                </c:pt>
                <c:pt idx="14">
                  <c:v>Lucembursko</c:v>
                </c:pt>
                <c:pt idx="15">
                  <c:v>Irsko</c:v>
                </c:pt>
                <c:pt idx="16">
                  <c:v>Bulharsko</c:v>
                </c:pt>
                <c:pt idx="17">
                  <c:v>Lotyšsko</c:v>
                </c:pt>
                <c:pt idx="18">
                  <c:v>Estonsko</c:v>
                </c:pt>
                <c:pt idx="19">
                  <c:v>Polsko</c:v>
                </c:pt>
                <c:pt idx="20">
                  <c:v>Velká Británie</c:v>
                </c:pt>
                <c:pt idx="21">
                  <c:v>Litva</c:v>
                </c:pt>
                <c:pt idx="22">
                  <c:v>Maďarsko</c:v>
                </c:pt>
                <c:pt idx="23">
                  <c:v>Dánsko</c:v>
                </c:pt>
                <c:pt idx="24">
                  <c:v>Rakousko</c:v>
                </c:pt>
                <c:pt idx="25">
                  <c:v>Malta</c:v>
                </c:pt>
                <c:pt idx="26">
                  <c:v>Slovinsko</c:v>
                </c:pt>
                <c:pt idx="27">
                  <c:v>Nizozemsko</c:v>
                </c:pt>
                <c:pt idx="28">
                  <c:v>Česko</c:v>
                </c:pt>
                <c:pt idx="29">
                  <c:v>Německo</c:v>
                </c:pt>
              </c:strCache>
            </c:strRef>
          </c:cat>
          <c:val>
            <c:numRef>
              <c:f>'15-24 celkem'!$C$63:$C$92</c:f>
              <c:numCache>
                <c:formatCode>#\ ##0.0</c:formatCode>
                <c:ptCount val="30"/>
                <c:pt idx="0">
                  <c:v>39.9</c:v>
                </c:pt>
                <c:pt idx="1">
                  <c:v>34.299999999999997</c:v>
                </c:pt>
                <c:pt idx="2">
                  <c:v>32.200000000000003</c:v>
                </c:pt>
                <c:pt idx="3">
                  <c:v>23.7</c:v>
                </c:pt>
                <c:pt idx="4">
                  <c:v>20.8</c:v>
                </c:pt>
                <c:pt idx="5">
                  <c:v>20.3</c:v>
                </c:pt>
                <c:pt idx="6">
                  <c:v>20.2</c:v>
                </c:pt>
                <c:pt idx="7">
                  <c:v>17</c:v>
                </c:pt>
                <c:pt idx="8">
                  <c:v>16.899999999999999</c:v>
                </c:pt>
                <c:pt idx="9">
                  <c:v>16.8</c:v>
                </c:pt>
                <c:pt idx="10">
                  <c:v>16.2</c:v>
                </c:pt>
                <c:pt idx="11">
                  <c:v>15.8</c:v>
                </c:pt>
                <c:pt idx="12">
                  <c:v>15.2</c:v>
                </c:pt>
                <c:pt idx="13">
                  <c:v>14.9</c:v>
                </c:pt>
                <c:pt idx="14">
                  <c:v>14.2</c:v>
                </c:pt>
                <c:pt idx="15">
                  <c:v>13.8</c:v>
                </c:pt>
                <c:pt idx="16">
                  <c:v>12.7</c:v>
                </c:pt>
                <c:pt idx="17">
                  <c:v>12.2</c:v>
                </c:pt>
                <c:pt idx="18">
                  <c:v>11.8</c:v>
                </c:pt>
                <c:pt idx="19">
                  <c:v>11.7</c:v>
                </c:pt>
                <c:pt idx="20">
                  <c:v>11.3</c:v>
                </c:pt>
                <c:pt idx="21">
                  <c:v>11.1</c:v>
                </c:pt>
                <c:pt idx="22">
                  <c:v>10.199999999999999</c:v>
                </c:pt>
                <c:pt idx="23">
                  <c:v>9.4</c:v>
                </c:pt>
                <c:pt idx="24">
                  <c:v>9.4</c:v>
                </c:pt>
                <c:pt idx="25">
                  <c:v>9.1999999999999993</c:v>
                </c:pt>
                <c:pt idx="26">
                  <c:v>8.8000000000000007</c:v>
                </c:pt>
                <c:pt idx="27">
                  <c:v>7.2</c:v>
                </c:pt>
                <c:pt idx="28">
                  <c:v>6.7</c:v>
                </c:pt>
                <c:pt idx="29">
                  <c:v>6.2</c:v>
                </c:pt>
              </c:numCache>
            </c:numRef>
          </c:val>
          <c:extLst>
            <c:ext xmlns:c16="http://schemas.microsoft.com/office/drawing/2014/chart" uri="{C3380CC4-5D6E-409C-BE32-E72D297353CC}">
              <c16:uniqueId val="{00000006-0AFB-416E-84A9-D9ACF78ECCEA}"/>
            </c:ext>
          </c:extLst>
        </c:ser>
        <c:dLbls>
          <c:showLegendKey val="0"/>
          <c:showVal val="0"/>
          <c:showCatName val="0"/>
          <c:showSerName val="0"/>
          <c:showPercent val="0"/>
          <c:showBubbleSize val="0"/>
        </c:dLbls>
        <c:gapWidth val="182"/>
        <c:axId val="1901722208"/>
        <c:axId val="1"/>
      </c:barChart>
      <c:catAx>
        <c:axId val="1901722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901722208"/>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8C8CBA5073DD46B7C2FE1D9B051A29" ma:contentTypeVersion="0" ma:contentTypeDescription="Vytvoří nový dokument" ma:contentTypeScope="" ma:versionID="48e1a8a725f37bc409277c2a630efb6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1EEA3-E56A-49F9-A8B5-BA78FD87E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71347A-F5E8-4EAA-9ACC-BF9749B23F79}">
  <ds:schemaRefs>
    <ds:schemaRef ds:uri="http://schemas.microsoft.com/sharepoint/v3/contenttype/forms"/>
  </ds:schemaRefs>
</ds:datastoreItem>
</file>

<file path=customXml/itemProps3.xml><?xml version="1.0" encoding="utf-8"?>
<ds:datastoreItem xmlns:ds="http://schemas.openxmlformats.org/officeDocument/2006/customXml" ds:itemID="{1C7228B4-BA39-49C6-B50E-51DA7CF18AF6}">
  <ds:schemaRefs>
    <ds:schemaRef ds:uri="http://purl.org/dc/elements/1.1/"/>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7FDE2AF-2FFE-4379-91ED-9838F3974E0A}">
  <ds:schemaRefs>
    <ds:schemaRef ds:uri="http://schemas.openxmlformats.org/officeDocument/2006/bibliography"/>
  </ds:schemaRefs>
</ds:datastoreItem>
</file>

<file path=customXml/itemProps5.xml><?xml version="1.0" encoding="utf-8"?>
<ds:datastoreItem xmlns:ds="http://schemas.openxmlformats.org/officeDocument/2006/customXml" ds:itemID="{5AAEB12B-3B59-471A-98BD-F1063E1C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27C8C28F.dotm</Template>
  <TotalTime>5</TotalTime>
  <Pages>28</Pages>
  <Words>8762</Words>
  <Characters>51696</Characters>
  <Application>Microsoft Office Word</Application>
  <DocSecurity>0</DocSecurity>
  <Lines>430</Lines>
  <Paragraphs>120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KZ 18/28</vt:lpstr>
      <vt:lpstr/>
    </vt:vector>
  </TitlesOfParts>
  <Company>Nejvyšší kontrolní úřad</Company>
  <LinksUpToDate>false</LinksUpToDate>
  <CharactersWithSpaces>60338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18/28 - Peněžní prostředky určené na realizaci opatření operačního programu Zaměstnanost 2014–2020 ke zvýšení zaměstnanosti</dc:title>
  <dc:subject/>
  <dc:creator>Nejvyšší kontrolní úřad</dc:creator>
  <cp:keywords>kontrolní závěr; operační programy; zaměstnanost mladých</cp:keywords>
  <dc:description/>
  <cp:lastModifiedBy>KOKRDA Daniel</cp:lastModifiedBy>
  <cp:revision>5</cp:revision>
  <cp:lastPrinted>2019-09-11T06:35:00Z</cp:lastPrinted>
  <dcterms:created xsi:type="dcterms:W3CDTF">2019-09-11T06:33:00Z</dcterms:created>
  <dcterms:modified xsi:type="dcterms:W3CDTF">2019-09-11T06:38:00Z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18/28-NKU30/745/19</vt:lpwstr>
  </property>
  <property fmtid="{D5CDD505-2E9C-101B-9397-08002B2CF9AE}" pid="5" name="CJ_PostaDoruc_PisemnostOdpovedNa_Pisemnost">
    <vt:lpwstr>XXX-XXX-XXX</vt:lpwstr>
  </property>
  <property fmtid="{D5CDD505-2E9C-101B-9397-08002B2CF9AE}" pid="6" name="CJ_Spis_Pisemnost">
    <vt:lpwstr>30/897/18</vt:lpwstr>
  </property>
  <property fmtid="{D5CDD505-2E9C-101B-9397-08002B2CF9AE}" pid="7" name="Contact_PostaOdes_All">
    <vt:lpwstr>ROZDĚLOVNÍK...</vt:lpwstr>
  </property>
  <property fmtid="{D5CDD505-2E9C-101B-9397-08002B2CF9AE}" pid="8" name="ContentTypeId">
    <vt:lpwstr>0x010100FB8C8CBA5073DD46B7C2FE1D9B051A29</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30.7.2019</vt:lpwstr>
  </property>
  <property fmtid="{D5CDD505-2E9C-101B-9397-08002B2CF9AE}" pid="12" name="DisplayName_CisloObalky_PostaOdes">
    <vt:lpwstr>{DisplayName_CisloObalky_PostaOdes}</vt:lpwstr>
  </property>
  <property fmtid="{D5CDD505-2E9C-101B-9397-08002B2CF9AE}" pid="13" name="DisplayName_CJCol">
    <vt:lpwstr>&lt;TABLE&gt;&lt;TR&gt;&lt;TD&gt;Č.j.:&lt;/TD&gt;&lt;TD&gt;18/28-NKU30/745/19&lt;/TD&gt;&lt;/TR&gt;&lt;TR&gt;&lt;TD&gt;&lt;/TD&gt;&lt;TD&gt;&lt;/TD&gt;&lt;/TR&gt;&lt;/TABLE&gt;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Členové Úřadu</vt:lpwstr>
  </property>
  <property fmtid="{D5CDD505-2E9C-101B-9397-08002B2CF9AE}" pid="16" name="DisplayName_UserPoriz_Pisemnost">
    <vt:lpwstr>Bc. Jana Pokorná</vt:lpwstr>
  </property>
  <property fmtid="{D5CDD505-2E9C-101B-9397-08002B2CF9AE}" pid="17" name="DuvodZmeny_SlozkaStupenUtajeniCollection_Slozka_Pisemnost">
    <vt:lpwstr/>
  </property>
  <property fmtid="{D5CDD505-2E9C-101B-9397-08002B2CF9AE}" pid="18" name="EC_Pisemnost">
    <vt:lpwstr>19-10076/NKU</vt:lpwstr>
  </property>
  <property fmtid="{D5CDD505-2E9C-101B-9397-08002B2CF9AE}" pid="19" name="Key_BarCode_Pisemnost">
    <vt:lpwstr>*B000340722*</vt:lpwstr>
  </property>
  <property fmtid="{D5CDD505-2E9C-101B-9397-08002B2CF9AE}" pid="20" name="KRukam">
    <vt:lpwstr>{KRukam}</vt:lpwstr>
  </property>
  <property fmtid="{D5CDD505-2E9C-101B-9397-08002B2CF9AE}" pid="21" name="NameAddress_Contact_SpisovyUzel_PoziceZodpo_Pisemnost">
    <vt:lpwstr>ADRESÁT SU...</vt:lpwstr>
  </property>
  <property fmtid="{D5CDD505-2E9C-101B-9397-08002B2CF9AE}" pid="22" name="NamePostalAddress_Contact_PostaOdes">
    <vt:lpwstr>{NameAddress_Contact_PostaOdes}
{PostalAddress_Contact_PostaOdes}</vt:lpwstr>
  </property>
  <property fmtid="{D5CDD505-2E9C-101B-9397-08002B2CF9AE}" pid="23" name="Odkaz">
    <vt:lpwstr>ODKAZ</vt:lpwstr>
  </property>
  <property fmtid="{D5CDD505-2E9C-101B-9397-08002B2CF9AE}" pid="24" name="Password_PisemnostTypZpristupneniInformaciZOSZ_Pisemnost">
    <vt:lpwstr>ZOSZ_Password</vt:lpwstr>
  </property>
  <property fmtid="{D5CDD505-2E9C-101B-9397-08002B2CF9AE}" pid="25" name="PocetListuDokumentu_Pisemnost">
    <vt:lpwstr>1</vt:lpwstr>
  </property>
  <property fmtid="{D5CDD505-2E9C-101B-9397-08002B2CF9AE}" pid="26" name="PocetListu_Pisemnost">
    <vt:lpwstr>1</vt:lpwstr>
  </property>
  <property fmtid="{D5CDD505-2E9C-101B-9397-08002B2CF9AE}" pid="27" name="PocetPriloh_Pisemnost">
    <vt:lpwstr>POČET PŘÍLOH</vt:lpwstr>
  </property>
  <property fmtid="{D5CDD505-2E9C-101B-9397-08002B2CF9AE}" pid="28" name="Podpis">
    <vt:lpwstr/>
  </property>
  <property fmtid="{D5CDD505-2E9C-101B-9397-08002B2CF9AE}" pid="29" name="PostalAddress_Contact_SpisovyUzel_PoziceZodpo_Pisemnost">
    <vt:lpwstr>ADRESA SU...</vt:lpwstr>
  </property>
  <property fmtid="{D5CDD505-2E9C-101B-9397-08002B2CF9AE}" pid="30" name="RC">
    <vt:lpwstr/>
  </property>
  <property fmtid="{D5CDD505-2E9C-101B-9397-08002B2CF9AE}" pid="31" name="SkartacniZnakLhuta_PisemnostZnak">
    <vt:lpwstr>?/?</vt:lpwstr>
  </property>
  <property fmtid="{D5CDD505-2E9C-101B-9397-08002B2CF9AE}" pid="32" name="SmlouvaCislo">
    <vt:lpwstr>ČÍSLO SMLOUVY</vt:lpwstr>
  </property>
  <property fmtid="{D5CDD505-2E9C-101B-9397-08002B2CF9AE}" pid="33" name="SZ_Spis_Pisemnost">
    <vt:lpwstr>18/28</vt:lpwstr>
  </property>
  <property fmtid="{D5CDD505-2E9C-101B-9397-08002B2CF9AE}" pid="34" name="TEST">
    <vt:lpwstr>testovací pole</vt:lpwstr>
  </property>
  <property fmtid="{D5CDD505-2E9C-101B-9397-08002B2CF9AE}" pid="35" name="TypPrilohy_Pisemnost">
    <vt:lpwstr>TYP PŘÍLOHY</vt:lpwstr>
  </property>
  <property fmtid="{D5CDD505-2E9C-101B-9397-08002B2CF9AE}" pid="36" name="UserName_PisemnostTypZpristupneniInformaciZOSZ_Pisemnost">
    <vt:lpwstr>ZOSZ_UserName</vt:lpwstr>
  </property>
  <property fmtid="{D5CDD505-2E9C-101B-9397-08002B2CF9AE}" pid="37" name="Vec_Pisemnost">
    <vt:lpwstr>Návrh kontrolního závěru 18/28 - do připomínek</vt:lpwstr>
  </property>
  <property fmtid="{D5CDD505-2E9C-101B-9397-08002B2CF9AE}" pid="38" name="Zkratka_SpisovyUzel_PoziceZodpo_Pisemnost">
    <vt:lpwstr>30</vt:lpwstr>
  </property>
</Properties>
</file>