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7DCA" w14:textId="77777777" w:rsidR="009E560F" w:rsidRPr="009E560F" w:rsidRDefault="009E560F" w:rsidP="00050B20">
      <w:pPr>
        <w:spacing w:before="0"/>
        <w:jc w:val="center"/>
      </w:pPr>
      <w:r w:rsidRPr="009E560F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D73315" wp14:editId="6BCF753B">
            <wp:simplePos x="0" y="0"/>
            <wp:positionH relativeFrom="margin">
              <wp:posOffset>2520315</wp:posOffset>
            </wp:positionH>
            <wp:positionV relativeFrom="paragraph">
              <wp:posOffset>0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58A9F" w14:textId="77777777" w:rsidR="009E560F" w:rsidRPr="009E560F" w:rsidRDefault="009E560F" w:rsidP="00050B20">
      <w:pPr>
        <w:spacing w:before="0"/>
        <w:jc w:val="center"/>
      </w:pPr>
    </w:p>
    <w:p w14:paraId="4293C03E" w14:textId="77777777" w:rsidR="004F24F4" w:rsidRPr="009E560F" w:rsidRDefault="004F24F4" w:rsidP="00050B20">
      <w:pPr>
        <w:spacing w:before="0"/>
        <w:jc w:val="center"/>
      </w:pPr>
    </w:p>
    <w:p w14:paraId="3942D321" w14:textId="77777777" w:rsidR="004F24F4" w:rsidRPr="0010177B" w:rsidRDefault="00D91D0B" w:rsidP="00050B20">
      <w:pPr>
        <w:spacing w:before="0"/>
        <w:jc w:val="center"/>
        <w:rPr>
          <w:b/>
          <w:sz w:val="28"/>
          <w:szCs w:val="28"/>
        </w:rPr>
      </w:pPr>
      <w:r w:rsidRPr="0010177B">
        <w:rPr>
          <w:b/>
          <w:sz w:val="28"/>
          <w:szCs w:val="28"/>
        </w:rPr>
        <w:t>Kontrolní závěr z kontrolní akce</w:t>
      </w:r>
    </w:p>
    <w:p w14:paraId="53AA7333" w14:textId="77777777" w:rsidR="009E560F" w:rsidRPr="009E560F" w:rsidRDefault="009E560F" w:rsidP="00050B20">
      <w:pPr>
        <w:spacing w:before="0"/>
        <w:jc w:val="center"/>
      </w:pPr>
    </w:p>
    <w:p w14:paraId="4D12600A" w14:textId="77777777" w:rsidR="004F24F4" w:rsidRDefault="00D91D0B" w:rsidP="00050B20">
      <w:pPr>
        <w:spacing w:before="0"/>
        <w:jc w:val="center"/>
        <w:rPr>
          <w:b/>
          <w:sz w:val="28"/>
          <w:szCs w:val="28"/>
        </w:rPr>
      </w:pPr>
      <w:r w:rsidRPr="0010177B">
        <w:rPr>
          <w:b/>
          <w:sz w:val="28"/>
          <w:szCs w:val="28"/>
        </w:rPr>
        <w:t>1</w:t>
      </w:r>
      <w:r w:rsidR="00A105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</w:t>
      </w:r>
      <w:r w:rsidR="00A1053A">
        <w:rPr>
          <w:b/>
          <w:sz w:val="28"/>
          <w:szCs w:val="28"/>
        </w:rPr>
        <w:t>7</w:t>
      </w:r>
    </w:p>
    <w:p w14:paraId="54FB4AC8" w14:textId="77777777" w:rsidR="009E560F" w:rsidRPr="009E560F" w:rsidRDefault="009E560F" w:rsidP="00050B20">
      <w:pPr>
        <w:spacing w:before="0"/>
        <w:jc w:val="center"/>
      </w:pPr>
    </w:p>
    <w:p w14:paraId="4770AAC1" w14:textId="77777777" w:rsidR="004F24F4" w:rsidRPr="00A8036F" w:rsidRDefault="00A1053A" w:rsidP="00050B20">
      <w:pPr>
        <w:spacing w:before="0"/>
        <w:jc w:val="center"/>
        <w:rPr>
          <w:i/>
        </w:rPr>
      </w:pPr>
      <w:r>
        <w:rPr>
          <w:b/>
          <w:sz w:val="28"/>
          <w:szCs w:val="28"/>
        </w:rPr>
        <w:t>Opatření realizovaná v resortech zemědělství a životního prostředí z důvodu zmírnění dopadů sucha a nedostatku vody</w:t>
      </w:r>
    </w:p>
    <w:p w14:paraId="48538E9F" w14:textId="77777777" w:rsidR="009E560F" w:rsidRDefault="009E560F" w:rsidP="00050B20">
      <w:pPr>
        <w:spacing w:before="0"/>
      </w:pPr>
    </w:p>
    <w:p w14:paraId="489341CD" w14:textId="77777777" w:rsidR="009E560F" w:rsidRPr="009E560F" w:rsidRDefault="009E560F" w:rsidP="00050B20">
      <w:pPr>
        <w:spacing w:before="0"/>
      </w:pPr>
    </w:p>
    <w:p w14:paraId="54503FB8" w14:textId="77777777" w:rsidR="004F24F4" w:rsidRPr="00876251" w:rsidRDefault="00D91D0B" w:rsidP="00050B20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>Kontrolní akce byla zařazena do plánu kontrolní činnosti Nejvyššího kontrolního úřadu (dále jen „NKÚ“) na rok 201</w:t>
      </w:r>
      <w:r w:rsidR="00A1053A">
        <w:rPr>
          <w:color w:val="000000" w:themeColor="text1"/>
        </w:rPr>
        <w:t>8</w:t>
      </w:r>
      <w:r w:rsidRPr="00876251">
        <w:rPr>
          <w:color w:val="000000" w:themeColor="text1"/>
        </w:rPr>
        <w:t xml:space="preserve"> pod číslem 1</w:t>
      </w:r>
      <w:r w:rsidR="00A1053A">
        <w:rPr>
          <w:color w:val="000000" w:themeColor="text1"/>
        </w:rPr>
        <w:t>8</w:t>
      </w:r>
      <w:r w:rsidRPr="00876251">
        <w:rPr>
          <w:color w:val="000000" w:themeColor="text1"/>
        </w:rPr>
        <w:t>/2</w:t>
      </w:r>
      <w:r w:rsidR="00A1053A">
        <w:rPr>
          <w:color w:val="000000" w:themeColor="text1"/>
        </w:rPr>
        <w:t>7</w:t>
      </w:r>
      <w:r w:rsidRPr="00876251">
        <w:rPr>
          <w:color w:val="000000" w:themeColor="text1"/>
        </w:rPr>
        <w:t>. Kontrolní akci řídil a kontrolní závěr vypracoval člen NKÚ Ing. Pavel Hrnčíř.</w:t>
      </w:r>
    </w:p>
    <w:p w14:paraId="25A9656A" w14:textId="77777777" w:rsidR="00876251" w:rsidRDefault="00876251" w:rsidP="00050B20">
      <w:pPr>
        <w:spacing w:before="0"/>
        <w:rPr>
          <w:color w:val="000000" w:themeColor="text1"/>
        </w:rPr>
      </w:pPr>
    </w:p>
    <w:p w14:paraId="6EA458BD" w14:textId="77777777" w:rsidR="00A1053A" w:rsidRDefault="00D91D0B" w:rsidP="00050B20">
      <w:pPr>
        <w:spacing w:before="0"/>
        <w:rPr>
          <w:rFonts w:asciiTheme="minorHAnsi" w:hAnsiTheme="minorHAnsi" w:cstheme="minorHAnsi"/>
        </w:rPr>
      </w:pPr>
      <w:r w:rsidRPr="00876251">
        <w:rPr>
          <w:color w:val="000000" w:themeColor="text1"/>
        </w:rPr>
        <w:t xml:space="preserve">Cílem kontroly bylo </w:t>
      </w:r>
      <w:r w:rsidR="00A1053A">
        <w:rPr>
          <w:rFonts w:asciiTheme="minorHAnsi" w:hAnsiTheme="minorHAnsi" w:cstheme="minorHAnsi"/>
        </w:rPr>
        <w:t>prověřit v resortech zemědělství a životního prostředí realizaci opatření pro zmírnění negativních dopadů sucha a nedostatku vody a prověřit poskytování peněžních prostředků ve vazbě na stanovené cíle a jejich plnění.</w:t>
      </w:r>
    </w:p>
    <w:p w14:paraId="31ED4492" w14:textId="77777777" w:rsidR="00876251" w:rsidRPr="00876251" w:rsidRDefault="00876251" w:rsidP="00050B20">
      <w:pPr>
        <w:spacing w:before="0"/>
        <w:rPr>
          <w:color w:val="000000" w:themeColor="text1"/>
        </w:rPr>
      </w:pPr>
    </w:p>
    <w:p w14:paraId="766C5CE4" w14:textId="77777777" w:rsidR="004F24F4" w:rsidRDefault="00D91D0B" w:rsidP="00050B20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 xml:space="preserve">Kontrola byla prováděna u kontrolovaných osob v období od </w:t>
      </w:r>
      <w:r w:rsidR="00A1053A">
        <w:rPr>
          <w:color w:val="000000" w:themeColor="text1"/>
        </w:rPr>
        <w:t>listopadu 2018</w:t>
      </w:r>
      <w:r w:rsidRPr="00876251">
        <w:rPr>
          <w:color w:val="000000" w:themeColor="text1"/>
        </w:rPr>
        <w:t xml:space="preserve"> do </w:t>
      </w:r>
      <w:r w:rsidR="00A1053A">
        <w:rPr>
          <w:color w:val="000000" w:themeColor="text1"/>
        </w:rPr>
        <w:t>června</w:t>
      </w:r>
      <w:r w:rsidRPr="00876251">
        <w:rPr>
          <w:color w:val="000000" w:themeColor="text1"/>
        </w:rPr>
        <w:t xml:space="preserve"> 201</w:t>
      </w:r>
      <w:r w:rsidR="00A1053A">
        <w:rPr>
          <w:color w:val="000000" w:themeColor="text1"/>
        </w:rPr>
        <w:t>9</w:t>
      </w:r>
      <w:r w:rsidRPr="00876251">
        <w:rPr>
          <w:color w:val="000000" w:themeColor="text1"/>
        </w:rPr>
        <w:t xml:space="preserve">. </w:t>
      </w:r>
    </w:p>
    <w:p w14:paraId="36349E73" w14:textId="77777777" w:rsidR="00876251" w:rsidRPr="00876251" w:rsidRDefault="00876251" w:rsidP="00050B20">
      <w:pPr>
        <w:spacing w:before="0"/>
        <w:rPr>
          <w:color w:val="000000" w:themeColor="text1"/>
        </w:rPr>
      </w:pPr>
    </w:p>
    <w:p w14:paraId="1BAF72ED" w14:textId="77777777" w:rsidR="004F24F4" w:rsidRDefault="00D91D0B" w:rsidP="00050B20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>Kontrolovaným obdobím byly roky 201</w:t>
      </w:r>
      <w:r w:rsidR="00A1053A">
        <w:rPr>
          <w:color w:val="000000" w:themeColor="text1"/>
        </w:rPr>
        <w:t>3</w:t>
      </w:r>
      <w:r w:rsidRPr="00876251">
        <w:rPr>
          <w:color w:val="000000" w:themeColor="text1"/>
        </w:rPr>
        <w:t xml:space="preserve"> až 201</w:t>
      </w:r>
      <w:r w:rsidR="00A1053A">
        <w:rPr>
          <w:color w:val="000000" w:themeColor="text1"/>
        </w:rPr>
        <w:t>8</w:t>
      </w:r>
      <w:r w:rsidRPr="00876251">
        <w:rPr>
          <w:color w:val="000000" w:themeColor="text1"/>
        </w:rPr>
        <w:t>, v případě v</w:t>
      </w:r>
      <w:bookmarkStart w:id="0" w:name="_GoBack"/>
      <w:bookmarkEnd w:id="0"/>
      <w:r w:rsidRPr="00876251">
        <w:rPr>
          <w:color w:val="000000" w:themeColor="text1"/>
        </w:rPr>
        <w:t>ěcných souvislostí i období předcházející a následující.</w:t>
      </w:r>
    </w:p>
    <w:p w14:paraId="34D8BD13" w14:textId="77777777" w:rsidR="00876251" w:rsidRPr="00876251" w:rsidRDefault="00876251" w:rsidP="00050B20">
      <w:pPr>
        <w:spacing w:before="0"/>
        <w:rPr>
          <w:color w:val="000000" w:themeColor="text1"/>
        </w:rPr>
      </w:pPr>
    </w:p>
    <w:p w14:paraId="79DA469C" w14:textId="77777777" w:rsidR="00C82631" w:rsidRDefault="00D91D0B" w:rsidP="00050B20">
      <w:pPr>
        <w:spacing w:before="0"/>
        <w:rPr>
          <w:color w:val="000000" w:themeColor="text1"/>
        </w:rPr>
      </w:pPr>
      <w:r w:rsidRPr="00876251">
        <w:rPr>
          <w:b/>
          <w:color w:val="000000" w:themeColor="text1"/>
        </w:rPr>
        <w:t>Kontrolované osoby:</w:t>
      </w:r>
      <w:r w:rsidRPr="00876251">
        <w:rPr>
          <w:b/>
          <w:color w:val="000000" w:themeColor="text1"/>
        </w:rPr>
        <w:cr/>
      </w:r>
      <w:r w:rsidRPr="00876251">
        <w:rPr>
          <w:color w:val="000000" w:themeColor="text1"/>
        </w:rPr>
        <w:t xml:space="preserve">Ministerstvo zemědělství </w:t>
      </w:r>
      <w:r w:rsidRPr="00876251">
        <w:rPr>
          <w:bCs/>
          <w:iCs/>
          <w:color w:val="000000" w:themeColor="text1"/>
        </w:rPr>
        <w:t>(dále též „</w:t>
      </w:r>
      <w:proofErr w:type="spellStart"/>
      <w:r w:rsidRPr="00876251">
        <w:rPr>
          <w:bCs/>
          <w:iCs/>
          <w:color w:val="000000" w:themeColor="text1"/>
        </w:rPr>
        <w:t>MZe</w:t>
      </w:r>
      <w:proofErr w:type="spellEnd"/>
      <w:r w:rsidRPr="00876251">
        <w:rPr>
          <w:bCs/>
          <w:iCs/>
          <w:color w:val="000000" w:themeColor="text1"/>
        </w:rPr>
        <w:t>“)</w:t>
      </w:r>
      <w:r w:rsidR="00C82631">
        <w:rPr>
          <w:bCs/>
          <w:iCs/>
          <w:color w:val="000000" w:themeColor="text1"/>
        </w:rPr>
        <w:t>;</w:t>
      </w:r>
      <w:r w:rsidRPr="00876251">
        <w:rPr>
          <w:color w:val="000000" w:themeColor="text1"/>
        </w:rPr>
        <w:t xml:space="preserve"> </w:t>
      </w:r>
    </w:p>
    <w:p w14:paraId="45D3BE2A" w14:textId="77777777" w:rsidR="004F24F4" w:rsidRPr="00876251" w:rsidRDefault="00A1053A" w:rsidP="00050B20">
      <w:pPr>
        <w:spacing w:before="0"/>
        <w:rPr>
          <w:rStyle w:val="Siln"/>
          <w:b w:val="0"/>
          <w:bCs w:val="0"/>
          <w:color w:val="000000" w:themeColor="text1"/>
        </w:rPr>
      </w:pPr>
      <w:r>
        <w:rPr>
          <w:bCs/>
          <w:iCs/>
          <w:color w:val="000000" w:themeColor="text1"/>
        </w:rPr>
        <w:t>Ministerstvo životního prostředí (dále též „MŽP“)</w:t>
      </w:r>
      <w:r w:rsidR="00D91D0B" w:rsidRPr="00876251">
        <w:rPr>
          <w:bCs/>
          <w:iCs/>
          <w:color w:val="000000" w:themeColor="text1"/>
        </w:rPr>
        <w:t>.</w:t>
      </w:r>
    </w:p>
    <w:p w14:paraId="673335E2" w14:textId="45EBA006" w:rsidR="00876251" w:rsidRDefault="00876251" w:rsidP="00050B20">
      <w:pPr>
        <w:spacing w:before="0"/>
        <w:rPr>
          <w:color w:val="000000" w:themeColor="text1"/>
        </w:rPr>
      </w:pPr>
    </w:p>
    <w:p w14:paraId="7B66EFE6" w14:textId="77777777" w:rsidR="00050B20" w:rsidRDefault="00050B20" w:rsidP="00050B20">
      <w:pPr>
        <w:spacing w:before="0"/>
        <w:rPr>
          <w:color w:val="000000" w:themeColor="text1"/>
        </w:rPr>
      </w:pPr>
    </w:p>
    <w:p w14:paraId="798AB23D" w14:textId="3A3D9AC4" w:rsidR="004F24F4" w:rsidRPr="00876251" w:rsidRDefault="00D91D0B" w:rsidP="00050B20">
      <w:pPr>
        <w:spacing w:before="0" w:line="360" w:lineRule="auto"/>
        <w:rPr>
          <w:color w:val="000000" w:themeColor="text1"/>
        </w:rPr>
      </w:pPr>
      <w:r w:rsidRPr="00876251">
        <w:rPr>
          <w:b/>
          <w:i/>
          <w:color w:val="000000" w:themeColor="text1"/>
          <w:spacing w:val="40"/>
        </w:rPr>
        <w:t>Kolegium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b/>
          <w:i/>
          <w:color w:val="000000" w:themeColor="text1"/>
          <w:spacing w:val="40"/>
        </w:rPr>
        <w:t>NKÚ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color w:val="000000" w:themeColor="text1"/>
        </w:rPr>
        <w:t xml:space="preserve">na svém </w:t>
      </w:r>
      <w:r w:rsidR="00ED5925">
        <w:rPr>
          <w:color w:val="000000" w:themeColor="text1"/>
        </w:rPr>
        <w:t>XIV</w:t>
      </w:r>
      <w:r w:rsidRPr="00876251">
        <w:rPr>
          <w:color w:val="000000" w:themeColor="text1"/>
        </w:rPr>
        <w:t xml:space="preserve">. jednání, které se konalo dne </w:t>
      </w:r>
      <w:r w:rsidR="00AD7E3F">
        <w:rPr>
          <w:color w:val="000000" w:themeColor="text1"/>
        </w:rPr>
        <w:t>30</w:t>
      </w:r>
      <w:r w:rsidR="009C0AC2" w:rsidRPr="00876251">
        <w:rPr>
          <w:color w:val="000000" w:themeColor="text1"/>
        </w:rPr>
        <w:t xml:space="preserve">. </w:t>
      </w:r>
      <w:r w:rsidR="00F309FA">
        <w:rPr>
          <w:color w:val="000000" w:themeColor="text1"/>
        </w:rPr>
        <w:t>září</w:t>
      </w:r>
      <w:r w:rsidRPr="00876251">
        <w:rPr>
          <w:color w:val="000000" w:themeColor="text1"/>
        </w:rPr>
        <w:t xml:space="preserve"> 201</w:t>
      </w:r>
      <w:r w:rsidR="00F309FA">
        <w:rPr>
          <w:color w:val="000000" w:themeColor="text1"/>
        </w:rPr>
        <w:t>9</w:t>
      </w:r>
      <w:r w:rsidRPr="00876251">
        <w:rPr>
          <w:color w:val="000000" w:themeColor="text1"/>
        </w:rPr>
        <w:t>,</w:t>
      </w:r>
    </w:p>
    <w:p w14:paraId="58E4D9AD" w14:textId="2B0DC56B" w:rsidR="004F24F4" w:rsidRPr="00876251" w:rsidRDefault="00D91D0B" w:rsidP="00050B20">
      <w:pPr>
        <w:spacing w:before="0" w:line="360" w:lineRule="auto"/>
        <w:rPr>
          <w:color w:val="000000" w:themeColor="text1"/>
        </w:rPr>
      </w:pPr>
      <w:r w:rsidRPr="00876251">
        <w:rPr>
          <w:b/>
          <w:i/>
          <w:color w:val="000000" w:themeColor="text1"/>
          <w:spacing w:val="40"/>
        </w:rPr>
        <w:t>schválilo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color w:val="000000" w:themeColor="text1"/>
        </w:rPr>
        <w:t xml:space="preserve">usnesením č. </w:t>
      </w:r>
      <w:r w:rsidR="00CE5281">
        <w:rPr>
          <w:color w:val="000000" w:themeColor="text1"/>
        </w:rPr>
        <w:t>10</w:t>
      </w:r>
      <w:r w:rsidRPr="00876251">
        <w:rPr>
          <w:color w:val="000000" w:themeColor="text1"/>
        </w:rPr>
        <w:t>/</w:t>
      </w:r>
      <w:r w:rsidR="00236219">
        <w:rPr>
          <w:color w:val="000000" w:themeColor="text1"/>
        </w:rPr>
        <w:t>XIV</w:t>
      </w:r>
      <w:r w:rsidRPr="00876251">
        <w:rPr>
          <w:color w:val="000000" w:themeColor="text1"/>
        </w:rPr>
        <w:t>/201</w:t>
      </w:r>
      <w:r w:rsidR="00F309FA">
        <w:rPr>
          <w:color w:val="000000" w:themeColor="text1"/>
        </w:rPr>
        <w:t>9</w:t>
      </w:r>
    </w:p>
    <w:p w14:paraId="5E7FA414" w14:textId="77777777" w:rsidR="004F24F4" w:rsidRPr="00876251" w:rsidRDefault="00D91D0B" w:rsidP="00050B20">
      <w:pPr>
        <w:spacing w:before="0" w:line="360" w:lineRule="auto"/>
        <w:rPr>
          <w:color w:val="000000" w:themeColor="text1"/>
        </w:rPr>
      </w:pPr>
      <w:r w:rsidRPr="007D17FD">
        <w:rPr>
          <w:b/>
          <w:i/>
          <w:color w:val="000000" w:themeColor="text1"/>
          <w:spacing w:val="40"/>
        </w:rPr>
        <w:t>kontrolní</w:t>
      </w:r>
      <w:r w:rsidRPr="007D17FD">
        <w:rPr>
          <w:b/>
          <w:i/>
          <w:color w:val="000000" w:themeColor="text1"/>
        </w:rPr>
        <w:t xml:space="preserve">   </w:t>
      </w:r>
      <w:r w:rsidRPr="007D17FD">
        <w:rPr>
          <w:b/>
          <w:i/>
          <w:color w:val="000000" w:themeColor="text1"/>
          <w:spacing w:val="40"/>
        </w:rPr>
        <w:t>závěr</w:t>
      </w:r>
      <w:r w:rsidRPr="00876251">
        <w:rPr>
          <w:color w:val="000000" w:themeColor="text1"/>
        </w:rPr>
        <w:t xml:space="preserve">   v tomto znění:</w:t>
      </w:r>
    </w:p>
    <w:p w14:paraId="61C67220" w14:textId="77777777" w:rsidR="004F24F4" w:rsidRDefault="004F24F4" w:rsidP="00050B20">
      <w:pPr>
        <w:spacing w:before="0"/>
      </w:pPr>
    </w:p>
    <w:p w14:paraId="15150DD2" w14:textId="77777777" w:rsidR="004F24F4" w:rsidRDefault="004F24F4" w:rsidP="00050B20">
      <w:pPr>
        <w:spacing w:before="0"/>
      </w:pPr>
    </w:p>
    <w:p w14:paraId="63BFDCBF" w14:textId="77777777" w:rsidR="009E560F" w:rsidRDefault="009E560F" w:rsidP="00211B4C">
      <w:pPr>
        <w:spacing w:before="0"/>
        <w:jc w:val="left"/>
        <w:rPr>
          <w:b/>
        </w:rPr>
      </w:pPr>
      <w:r>
        <w:rPr>
          <w:b/>
        </w:rPr>
        <w:br w:type="page"/>
      </w:r>
    </w:p>
    <w:p w14:paraId="528472B6" w14:textId="77777777" w:rsidR="004F24F4" w:rsidRPr="006016FF" w:rsidRDefault="00D91D0B" w:rsidP="00050B20">
      <w:pPr>
        <w:spacing w:before="0"/>
        <w:jc w:val="center"/>
        <w:outlineLvl w:val="0"/>
        <w:rPr>
          <w:b/>
          <w:sz w:val="28"/>
        </w:rPr>
      </w:pPr>
      <w:r w:rsidRPr="006016FF">
        <w:rPr>
          <w:b/>
          <w:sz w:val="28"/>
        </w:rPr>
        <w:lastRenderedPageBreak/>
        <w:t>Klíčová fakta</w:t>
      </w:r>
    </w:p>
    <w:p w14:paraId="3E319C77" w14:textId="77777777" w:rsidR="004F24F4" w:rsidRDefault="004F24F4" w:rsidP="00050B20">
      <w:pPr>
        <w:spacing w:before="0"/>
        <w:jc w:val="center"/>
      </w:pPr>
    </w:p>
    <w:tbl>
      <w:tblPr>
        <w:tblW w:w="8789" w:type="dxa"/>
        <w:jc w:val="center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551"/>
        <w:gridCol w:w="1843"/>
      </w:tblGrid>
      <w:tr w:rsidR="00AE6F38" w14:paraId="26B926B7" w14:textId="77777777" w:rsidTr="007D17FD">
        <w:trPr>
          <w:trHeight w:val="601"/>
          <w:jc w:val="center"/>
        </w:trPr>
        <w:tc>
          <w:tcPr>
            <w:tcW w:w="2552" w:type="dxa"/>
            <w:tcBorders>
              <w:bottom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104C4DBC" w14:textId="77777777" w:rsidR="00AE6F38" w:rsidRPr="002E4AE8" w:rsidRDefault="00AE6F38" w:rsidP="00050B20">
            <w:pPr>
              <w:pStyle w:val="Pa18"/>
              <w:spacing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F25806">
              <w:rPr>
                <w:b/>
                <w:bCs/>
                <w:sz w:val="52"/>
                <w:szCs w:val="28"/>
              </w:rPr>
              <w:t>25 974</w:t>
            </w:r>
            <w:r w:rsidRPr="007D17FD">
              <w:rPr>
                <w:b/>
                <w:bCs/>
                <w:sz w:val="28"/>
                <w:szCs w:val="28"/>
              </w:rPr>
              <w:t xml:space="preserve"> </w:t>
            </w:r>
            <w:r w:rsidRPr="00211B4C">
              <w:rPr>
                <w:b/>
                <w:bCs/>
                <w:sz w:val="28"/>
                <w:szCs w:val="28"/>
              </w:rPr>
              <w:t>mil. Kč</w:t>
            </w:r>
          </w:p>
        </w:tc>
        <w:tc>
          <w:tcPr>
            <w:tcW w:w="1843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5A4EEA3B" w14:textId="77777777" w:rsidR="00AE6F38" w:rsidRPr="00AE6F38" w:rsidRDefault="00AE6F38" w:rsidP="00050B20">
            <w:pPr>
              <w:pStyle w:val="Pa18"/>
              <w:spacing w:line="240" w:lineRule="auto"/>
              <w:jc w:val="center"/>
              <w:rPr>
                <w:rFonts w:cs="Calibri"/>
                <w:b/>
                <w:color w:val="000000"/>
                <w:sz w:val="52"/>
                <w:szCs w:val="52"/>
              </w:rPr>
            </w:pPr>
            <w:r w:rsidRPr="00AE6F38">
              <w:rPr>
                <w:rFonts w:cs="Calibri"/>
                <w:b/>
                <w:color w:val="000000"/>
                <w:sz w:val="52"/>
                <w:szCs w:val="52"/>
              </w:rPr>
              <w:t>27</w:t>
            </w:r>
          </w:p>
        </w:tc>
        <w:tc>
          <w:tcPr>
            <w:tcW w:w="255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207CB779" w14:textId="77777777" w:rsidR="00AE6F38" w:rsidRPr="002E4AE8" w:rsidRDefault="00097727" w:rsidP="00050B20">
            <w:pPr>
              <w:pStyle w:val="Pa18"/>
              <w:spacing w:line="240" w:lineRule="auto"/>
              <w:jc w:val="center"/>
              <w:rPr>
                <w:rStyle w:val="A14"/>
                <w:rFonts w:cs="Calibri"/>
                <w:bCs/>
                <w:sz w:val="28"/>
                <w:szCs w:val="28"/>
              </w:rPr>
            </w:pPr>
            <w:r w:rsidRPr="00097727">
              <w:rPr>
                <w:rStyle w:val="A14"/>
                <w:rFonts w:cs="Calibri"/>
                <w:bCs/>
                <w:sz w:val="52"/>
                <w:szCs w:val="52"/>
              </w:rPr>
              <w:t>1 810</w:t>
            </w:r>
            <w:r>
              <w:rPr>
                <w:rStyle w:val="A14"/>
                <w:rFonts w:cs="Calibri"/>
                <w:bCs/>
                <w:sz w:val="28"/>
                <w:szCs w:val="28"/>
              </w:rPr>
              <w:t xml:space="preserve"> mil. Kč</w:t>
            </w:r>
          </w:p>
        </w:tc>
        <w:tc>
          <w:tcPr>
            <w:tcW w:w="1843" w:type="dxa"/>
            <w:tcBorders>
              <w:left w:val="single" w:sz="4" w:space="0" w:color="4F81BD"/>
              <w:bottom w:val="single" w:sz="4" w:space="0" w:color="4F81BD"/>
            </w:tcBorders>
            <w:shd w:val="clear" w:color="auto" w:fill="E5F1FF"/>
            <w:vAlign w:val="center"/>
          </w:tcPr>
          <w:p w14:paraId="6B974EDB" w14:textId="77777777" w:rsidR="00AE6F38" w:rsidRPr="00097727" w:rsidRDefault="00097727" w:rsidP="00050B20">
            <w:pPr>
              <w:pStyle w:val="Pa18"/>
              <w:spacing w:line="240" w:lineRule="auto"/>
              <w:jc w:val="center"/>
              <w:rPr>
                <w:rFonts w:cs="Calibri"/>
                <w:b/>
                <w:color w:val="000000"/>
                <w:sz w:val="52"/>
                <w:szCs w:val="52"/>
              </w:rPr>
            </w:pPr>
            <w:r w:rsidRPr="00097727">
              <w:rPr>
                <w:rFonts w:cs="Calibri"/>
                <w:b/>
                <w:color w:val="000000"/>
                <w:sz w:val="52"/>
                <w:szCs w:val="52"/>
              </w:rPr>
              <w:t>10</w:t>
            </w:r>
          </w:p>
        </w:tc>
      </w:tr>
      <w:tr w:rsidR="00AE6F38" w14:paraId="4A8C2736" w14:textId="77777777" w:rsidTr="007D17FD">
        <w:trPr>
          <w:trHeight w:val="1245"/>
          <w:jc w:val="center"/>
        </w:trPr>
        <w:tc>
          <w:tcPr>
            <w:tcW w:w="2552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280EF766" w14:textId="196B718A" w:rsidR="00AE6F38" w:rsidRPr="002E4AE8" w:rsidRDefault="00AE6F38" w:rsidP="007D17FD">
            <w:pPr>
              <w:pStyle w:val="Pa19"/>
              <w:spacing w:before="20" w:after="20" w:line="240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2E4AE8">
              <w:t xml:space="preserve">Prostředky </w:t>
            </w:r>
            <w:r>
              <w:t>vy</w:t>
            </w:r>
            <w:r w:rsidR="003A0B37">
              <w:t>kázané</w:t>
            </w:r>
            <w:r>
              <w:t xml:space="preserve"> na boj se suchem </w:t>
            </w:r>
            <w:r w:rsidR="008941A3">
              <w:br/>
            </w:r>
            <w:r>
              <w:t xml:space="preserve">v resortu </w:t>
            </w:r>
            <w:proofErr w:type="spellStart"/>
            <w:r>
              <w:t>MZe</w:t>
            </w:r>
            <w:proofErr w:type="spellEnd"/>
          </w:p>
        </w:tc>
        <w:tc>
          <w:tcPr>
            <w:tcW w:w="184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6135D161" w14:textId="10B17F8F" w:rsidR="00AE6F38" w:rsidRPr="00AE6F38" w:rsidRDefault="006360E7" w:rsidP="008941A3">
            <w:pPr>
              <w:pStyle w:val="Pa19"/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dotačních programů</w:t>
            </w:r>
            <w:r w:rsidR="00AE6F38">
              <w:rPr>
                <w:rFonts w:cs="Calibri"/>
                <w:color w:val="000000"/>
              </w:rPr>
              <w:t xml:space="preserve"> </w:t>
            </w:r>
            <w:proofErr w:type="spellStart"/>
            <w:r w:rsidR="00AE6F38">
              <w:rPr>
                <w:rFonts w:cs="Calibri"/>
                <w:color w:val="000000"/>
              </w:rPr>
              <w:t>MZe</w:t>
            </w:r>
            <w:proofErr w:type="spellEnd"/>
            <w:r w:rsidR="008F7746">
              <w:rPr>
                <w:rFonts w:cs="Calibri"/>
                <w:color w:val="000000"/>
              </w:rPr>
              <w:t xml:space="preserve"> vyk</w:t>
            </w:r>
            <w:r w:rsidR="000947FB">
              <w:rPr>
                <w:rFonts w:cs="Calibri"/>
                <w:color w:val="000000"/>
              </w:rPr>
              <w:t>á</w:t>
            </w:r>
            <w:r w:rsidR="008F7746">
              <w:rPr>
                <w:rFonts w:cs="Calibri"/>
                <w:color w:val="000000"/>
              </w:rPr>
              <w:t>zaných</w:t>
            </w:r>
            <w:r w:rsidR="00AE6F38">
              <w:rPr>
                <w:rFonts w:cs="Calibri"/>
                <w:color w:val="000000"/>
              </w:rPr>
              <w:t xml:space="preserve"> na boj se suchem</w:t>
            </w:r>
          </w:p>
        </w:tc>
        <w:tc>
          <w:tcPr>
            <w:tcW w:w="2551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68AE6175" w14:textId="2A512B20" w:rsidR="00AE6F38" w:rsidRPr="002E4AE8" w:rsidRDefault="00AE6F38" w:rsidP="007D17FD">
            <w:pPr>
              <w:pStyle w:val="Pa19"/>
              <w:spacing w:before="20" w:after="20" w:line="240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E6F38">
              <w:rPr>
                <w:rFonts w:cs="Calibri"/>
                <w:color w:val="000000"/>
              </w:rPr>
              <w:t>Prostředky vy</w:t>
            </w:r>
            <w:r w:rsidR="003A0B37">
              <w:rPr>
                <w:rFonts w:cs="Calibri"/>
                <w:color w:val="000000"/>
              </w:rPr>
              <w:t>kázané</w:t>
            </w:r>
            <w:r w:rsidRPr="00AE6F38">
              <w:rPr>
                <w:rFonts w:cs="Calibri"/>
                <w:color w:val="000000"/>
              </w:rPr>
              <w:t xml:space="preserve"> na boj se suchem </w:t>
            </w:r>
            <w:r w:rsidR="008941A3">
              <w:rPr>
                <w:rFonts w:cs="Calibri"/>
                <w:color w:val="000000"/>
              </w:rPr>
              <w:br/>
            </w:r>
            <w:r w:rsidRPr="00AE6F38">
              <w:rPr>
                <w:rFonts w:cs="Calibri"/>
                <w:color w:val="000000"/>
              </w:rPr>
              <w:t>v resortu MŽP</w:t>
            </w:r>
          </w:p>
        </w:tc>
        <w:tc>
          <w:tcPr>
            <w:tcW w:w="1843" w:type="dxa"/>
            <w:tcBorders>
              <w:top w:val="single" w:sz="4" w:space="0" w:color="4F81BD"/>
              <w:left w:val="single" w:sz="4" w:space="0" w:color="4F81BD"/>
            </w:tcBorders>
            <w:shd w:val="clear" w:color="auto" w:fill="E5F1FF"/>
            <w:vAlign w:val="center"/>
          </w:tcPr>
          <w:p w14:paraId="04DDC2F0" w14:textId="5736C511" w:rsidR="00AE6F38" w:rsidRPr="00AE6F38" w:rsidRDefault="00AE6F38" w:rsidP="008941A3">
            <w:pPr>
              <w:pStyle w:val="Pa19"/>
              <w:spacing w:before="20" w:after="20" w:line="240" w:lineRule="auto"/>
              <w:jc w:val="center"/>
              <w:rPr>
                <w:rFonts w:cs="Calibri"/>
                <w:color w:val="000000"/>
              </w:rPr>
            </w:pPr>
            <w:r w:rsidRPr="00AE6F38">
              <w:rPr>
                <w:rFonts w:cs="Calibri"/>
                <w:color w:val="000000"/>
              </w:rPr>
              <w:t xml:space="preserve">Počet dotačních </w:t>
            </w:r>
            <w:r w:rsidR="006360E7">
              <w:rPr>
                <w:rFonts w:cs="Calibri"/>
                <w:color w:val="000000"/>
              </w:rPr>
              <w:t>programů</w:t>
            </w:r>
            <w:r w:rsidRPr="00AE6F38">
              <w:rPr>
                <w:rFonts w:cs="Calibri"/>
                <w:color w:val="000000"/>
              </w:rPr>
              <w:t xml:space="preserve"> MŽP</w:t>
            </w:r>
            <w:r w:rsidR="008F7746">
              <w:rPr>
                <w:rFonts w:cs="Calibri"/>
                <w:color w:val="000000"/>
              </w:rPr>
              <w:t xml:space="preserve"> vyk</w:t>
            </w:r>
            <w:r w:rsidR="000947FB">
              <w:rPr>
                <w:rFonts w:cs="Calibri"/>
                <w:color w:val="000000"/>
              </w:rPr>
              <w:t>á</w:t>
            </w:r>
            <w:r w:rsidR="008F7746">
              <w:rPr>
                <w:rFonts w:cs="Calibri"/>
                <w:color w:val="000000"/>
              </w:rPr>
              <w:t>zaných</w:t>
            </w:r>
            <w:r w:rsidRPr="00AE6F38">
              <w:rPr>
                <w:rFonts w:cs="Calibri"/>
                <w:color w:val="000000"/>
              </w:rPr>
              <w:t xml:space="preserve"> na boj se suchem</w:t>
            </w:r>
          </w:p>
        </w:tc>
      </w:tr>
    </w:tbl>
    <w:p w14:paraId="7DC91B07" w14:textId="5BB71EA1" w:rsidR="004F24F4" w:rsidRDefault="004F24F4" w:rsidP="00050B20">
      <w:pPr>
        <w:spacing w:before="0"/>
      </w:pPr>
    </w:p>
    <w:p w14:paraId="1B1EDF81" w14:textId="77777777" w:rsidR="006A6BF1" w:rsidRDefault="006A6BF1" w:rsidP="00050B20">
      <w:pPr>
        <w:spacing w:before="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62"/>
        <w:gridCol w:w="5783"/>
      </w:tblGrid>
      <w:tr w:rsidR="00B75D7D" w:rsidRPr="001C7010" w14:paraId="1679F1FD" w14:textId="77777777" w:rsidTr="004F1E9C">
        <w:trPr>
          <w:jc w:val="right"/>
        </w:trPr>
        <w:tc>
          <w:tcPr>
            <w:tcW w:w="3062" w:type="dxa"/>
          </w:tcPr>
          <w:p w14:paraId="43D5FB0B" w14:textId="16D9E1B3" w:rsidR="00B75D7D" w:rsidRPr="001C7010" w:rsidRDefault="00F02380" w:rsidP="00050B20">
            <w:pPr>
              <w:spacing w:before="0"/>
              <w:jc w:val="left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1F504F" wp14:editId="3FD5C0F7">
                      <wp:simplePos x="0" y="0"/>
                      <wp:positionH relativeFrom="column">
                        <wp:posOffset>-107094</wp:posOffset>
                      </wp:positionH>
                      <wp:positionV relativeFrom="paragraph">
                        <wp:posOffset>25925</wp:posOffset>
                      </wp:positionV>
                      <wp:extent cx="1963420" cy="763077"/>
                      <wp:effectExtent l="0" t="0" r="17780" b="18415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20" cy="7630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36D555" w14:textId="77777777" w:rsidR="00CD158C" w:rsidRPr="00F02380" w:rsidRDefault="00CD158C" w:rsidP="006A0816">
                                  <w:pPr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02380">
                                    <w:rPr>
                                      <w:b/>
                                      <w:color w:val="FFFFFF" w:themeColor="background1"/>
                                    </w:rPr>
                                    <w:t>Nedostatečná právní úprava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F504F" id="Obdélník 16" o:spid="_x0000_s1026" style="position:absolute;margin-left:-8.45pt;margin-top:2.05pt;width:154.6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" fillcolor="#c00000" strokecolor="#c00000" strokeweight="2pt">
                      <v:textbox inset="1mm,1mm,1mm,1mm">
                        <w:txbxContent>
                          <w:p w14:paraId="5636D555" w14:textId="77777777" w:rsidR="00CD158C" w:rsidRPr="00F02380" w:rsidRDefault="00CD158C" w:rsidP="006A0816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02380">
                              <w:rPr>
                                <w:b/>
                                <w:color w:val="FFFFFF" w:themeColor="background1"/>
                              </w:rPr>
                              <w:t>Nedostatečná právní úprava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83" w:type="dxa"/>
          </w:tcPr>
          <w:p w14:paraId="7187D38A" w14:textId="5B36AAD2" w:rsidR="00B75D7D" w:rsidRPr="004F1E9C" w:rsidRDefault="00B75D7D" w:rsidP="00050B20">
            <w:pPr>
              <w:spacing w:before="0"/>
            </w:pPr>
            <w:r w:rsidRPr="004F1E9C">
              <w:t xml:space="preserve">Vodní zákon zmiňuje sucho pouze okrajově a novela tohoto zákona zatím nebyla schválena. Rovněž nebyla schválena protierozní vyhláška, která </w:t>
            </w:r>
            <w:r w:rsidR="000947FB" w:rsidRPr="004F1E9C">
              <w:t xml:space="preserve">má </w:t>
            </w:r>
            <w:r w:rsidRPr="004F1E9C">
              <w:t>zpřesn</w:t>
            </w:r>
            <w:r w:rsidR="000947FB" w:rsidRPr="004F1E9C">
              <w:t>it</w:t>
            </w:r>
            <w:r w:rsidRPr="004F1E9C">
              <w:t xml:space="preserve"> pravidla pro hospodaření na </w:t>
            </w:r>
            <w:r w:rsidR="00C0422F">
              <w:t>erozí</w:t>
            </w:r>
            <w:r w:rsidRPr="004F1E9C">
              <w:t xml:space="preserve"> ohrožených pozemcích.</w:t>
            </w:r>
          </w:p>
          <w:p w14:paraId="030CA09A" w14:textId="4EBE31C3" w:rsidR="006A6BF1" w:rsidRPr="004F1E9C" w:rsidRDefault="006A6BF1" w:rsidP="00050B20">
            <w:pPr>
              <w:spacing w:before="0"/>
            </w:pPr>
          </w:p>
        </w:tc>
      </w:tr>
      <w:tr w:rsidR="00B75D7D" w:rsidRPr="001C7010" w14:paraId="25D9C599" w14:textId="77777777" w:rsidTr="004F1E9C">
        <w:trPr>
          <w:jc w:val="right"/>
        </w:trPr>
        <w:tc>
          <w:tcPr>
            <w:tcW w:w="3062" w:type="dxa"/>
          </w:tcPr>
          <w:p w14:paraId="5F4539AC" w14:textId="1ABBD45F" w:rsidR="00B75D7D" w:rsidRPr="001C7010" w:rsidRDefault="00F02380" w:rsidP="00050B20">
            <w:pPr>
              <w:spacing w:before="0"/>
              <w:jc w:val="left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2BEF6E" wp14:editId="67171A6B">
                      <wp:simplePos x="0" y="0"/>
                      <wp:positionH relativeFrom="column">
                        <wp:posOffset>-107093</wp:posOffset>
                      </wp:positionH>
                      <wp:positionV relativeFrom="paragraph">
                        <wp:posOffset>41468</wp:posOffset>
                      </wp:positionV>
                      <wp:extent cx="1963420" cy="675861"/>
                      <wp:effectExtent l="0" t="0" r="17780" b="10160"/>
                      <wp:wrapNone/>
                      <wp:docPr id="17" name="Obdélní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20" cy="675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3EBEDA" w14:textId="77E71DCC" w:rsidR="00CD158C" w:rsidRPr="00F02380" w:rsidRDefault="00CD158C" w:rsidP="006A0816">
                                  <w:pPr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Nepřizpůsobení dotačních </w:t>
                                  </w:r>
                                  <w:r w:rsidRPr="00F02380">
                                    <w:rPr>
                                      <w:b/>
                                      <w:color w:val="FFFFFF" w:themeColor="background1"/>
                                    </w:rPr>
                                    <w:t>programů suchu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BEF6E" id="Obdélník 17" o:spid="_x0000_s1027" style="position:absolute;margin-left:-8.45pt;margin-top:3.25pt;width:154.6pt;height: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" fillcolor="#c00000" strokecolor="#c00000" strokeweight="2pt">
                      <v:textbox inset="1mm,1mm,1mm,1mm">
                        <w:txbxContent>
                          <w:p w14:paraId="5E3EBEDA" w14:textId="77E71DCC" w:rsidR="00CD158C" w:rsidRPr="00F02380" w:rsidRDefault="00CD158C" w:rsidP="006A0816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Nepřizpůsobení dotačních </w:t>
                            </w:r>
                            <w:r w:rsidRPr="00F02380">
                              <w:rPr>
                                <w:b/>
                                <w:color w:val="FFFFFF" w:themeColor="background1"/>
                              </w:rPr>
                              <w:t>programů suchu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83" w:type="dxa"/>
          </w:tcPr>
          <w:p w14:paraId="673AC4F3" w14:textId="719846F4" w:rsidR="00B75D7D" w:rsidRPr="004F1E9C" w:rsidRDefault="00B75D7D" w:rsidP="00050B20">
            <w:pPr>
              <w:spacing w:before="0"/>
            </w:pPr>
            <w:proofErr w:type="spellStart"/>
            <w:r w:rsidRPr="004F1E9C">
              <w:t>MZe</w:t>
            </w:r>
            <w:proofErr w:type="spellEnd"/>
            <w:r w:rsidRPr="004F1E9C">
              <w:t xml:space="preserve"> a MŽP realizují dlouhodobě stále stejné dotační programy. Nezahájily téměř žádné nové programy určené na zmírňování dopadů sucha a nedostatku vody, případně vyplatil</w:t>
            </w:r>
            <w:r w:rsidR="000947FB" w:rsidRPr="004F1E9C">
              <w:t>y</w:t>
            </w:r>
            <w:r w:rsidRPr="004F1E9C">
              <w:t xml:space="preserve"> zanedbatelné částky.</w:t>
            </w:r>
          </w:p>
          <w:p w14:paraId="7DC26641" w14:textId="73282C5C" w:rsidR="006A6BF1" w:rsidRPr="004F1E9C" w:rsidRDefault="006A6BF1" w:rsidP="00050B20">
            <w:pPr>
              <w:spacing w:before="0"/>
            </w:pPr>
          </w:p>
        </w:tc>
      </w:tr>
      <w:tr w:rsidR="00B75D7D" w:rsidRPr="001C7010" w14:paraId="722E7DDA" w14:textId="77777777" w:rsidTr="004F1E9C">
        <w:trPr>
          <w:jc w:val="right"/>
        </w:trPr>
        <w:tc>
          <w:tcPr>
            <w:tcW w:w="3062" w:type="dxa"/>
          </w:tcPr>
          <w:p w14:paraId="2E7E4D55" w14:textId="3459500B" w:rsidR="00B75D7D" w:rsidRPr="001C7010" w:rsidRDefault="00F02380" w:rsidP="00050B20">
            <w:pPr>
              <w:spacing w:before="0"/>
              <w:jc w:val="left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AF077F" wp14:editId="4740D062">
                      <wp:simplePos x="0" y="0"/>
                      <wp:positionH relativeFrom="column">
                        <wp:posOffset>-107093</wp:posOffset>
                      </wp:positionH>
                      <wp:positionV relativeFrom="paragraph">
                        <wp:posOffset>41109</wp:posOffset>
                      </wp:positionV>
                      <wp:extent cx="1963420" cy="691764"/>
                      <wp:effectExtent l="0" t="0" r="17780" b="13335"/>
                      <wp:wrapNone/>
                      <wp:docPr id="18" name="Obdélní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20" cy="6917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BA3961" w14:textId="48E58913" w:rsidR="00CD158C" w:rsidRPr="00F02380" w:rsidRDefault="00CD158C" w:rsidP="007D17FD">
                                  <w:pPr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02380">
                                    <w:rPr>
                                      <w:b/>
                                      <w:color w:val="FFFFFF" w:themeColor="background1"/>
                                    </w:rPr>
                                    <w:t>Protichůdné dotační programy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F077F" id="Obdélník 18" o:spid="_x0000_s1028" style="position:absolute;margin-left:-8.45pt;margin-top:3.25pt;width:154.6pt;height:5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" fillcolor="#c00000" strokecolor="#c00000" strokeweight="2pt">
                      <v:textbox inset="1mm,1mm,1mm,1mm">
                        <w:txbxContent>
                          <w:p w14:paraId="6ABA3961" w14:textId="48E58913" w:rsidR="00CD158C" w:rsidRPr="00F02380" w:rsidRDefault="00CD158C" w:rsidP="007D17FD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02380">
                              <w:rPr>
                                <w:b/>
                                <w:color w:val="FFFFFF" w:themeColor="background1"/>
                              </w:rPr>
                              <w:t>Protichůdné dotační programy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83" w:type="dxa"/>
          </w:tcPr>
          <w:p w14:paraId="56365323" w14:textId="64E9D5F7" w:rsidR="00B75D7D" w:rsidRPr="004F1E9C" w:rsidRDefault="00B75D7D" w:rsidP="00050B20">
            <w:pPr>
              <w:spacing w:before="0"/>
            </w:pPr>
            <w:proofErr w:type="spellStart"/>
            <w:r w:rsidRPr="004F1E9C">
              <w:t>MZe</w:t>
            </w:r>
            <w:proofErr w:type="spellEnd"/>
            <w:r w:rsidRPr="004F1E9C">
              <w:t xml:space="preserve"> financovalo technické úpravy koryt drobných vodních toků. MŽP podporovalo odstraňování nevhodných technických úprav a vracení vodních koryt přírodě blízkému stavu.</w:t>
            </w:r>
          </w:p>
          <w:p w14:paraId="3E698C0C" w14:textId="1DA4CC17" w:rsidR="006A6BF1" w:rsidRPr="004F1E9C" w:rsidRDefault="006A6BF1" w:rsidP="00050B20">
            <w:pPr>
              <w:spacing w:before="0"/>
            </w:pPr>
          </w:p>
        </w:tc>
      </w:tr>
      <w:tr w:rsidR="00B75D7D" w:rsidRPr="001C7010" w14:paraId="5B8C72E9" w14:textId="77777777" w:rsidTr="004F1E9C">
        <w:trPr>
          <w:jc w:val="right"/>
        </w:trPr>
        <w:tc>
          <w:tcPr>
            <w:tcW w:w="3062" w:type="dxa"/>
          </w:tcPr>
          <w:p w14:paraId="7C9EF7B2" w14:textId="0749A31B" w:rsidR="00B75D7D" w:rsidRPr="001C7010" w:rsidRDefault="00F02380" w:rsidP="00050B20">
            <w:pPr>
              <w:spacing w:before="0"/>
              <w:jc w:val="left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6868B1" wp14:editId="3DA8E28E">
                      <wp:simplePos x="0" y="0"/>
                      <wp:positionH relativeFrom="column">
                        <wp:posOffset>-107093</wp:posOffset>
                      </wp:positionH>
                      <wp:positionV relativeFrom="paragraph">
                        <wp:posOffset>32799</wp:posOffset>
                      </wp:positionV>
                      <wp:extent cx="1963420" cy="858740"/>
                      <wp:effectExtent l="0" t="0" r="17780" b="17780"/>
                      <wp:wrapNone/>
                      <wp:docPr id="19" name="Obdélní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20" cy="85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A32C6" w14:textId="09ECF52D" w:rsidR="00CD158C" w:rsidRPr="00F02380" w:rsidRDefault="00CD158C" w:rsidP="006A0816">
                                  <w:pPr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02380">
                                    <w:rPr>
                                      <w:b/>
                                      <w:color w:val="FFFFFF" w:themeColor="background1"/>
                                    </w:rPr>
                                    <w:t>Neprokazatelné dopady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868B1" id="Obdélník 19" o:spid="_x0000_s1029" style="position:absolute;margin-left:-8.45pt;margin-top:2.6pt;width:154.6pt;height: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" fillcolor="#c00000" strokecolor="#c00000" strokeweight="2pt">
                      <v:textbox inset="1mm,1mm,1mm,1mm">
                        <w:txbxContent>
                          <w:p w14:paraId="520A32C6" w14:textId="09ECF52D" w:rsidR="00CD158C" w:rsidRPr="00F02380" w:rsidRDefault="00CD158C" w:rsidP="006A0816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02380">
                              <w:rPr>
                                <w:b/>
                                <w:color w:val="FFFFFF" w:themeColor="background1"/>
                              </w:rPr>
                              <w:t>Neprokazatelné dopady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83" w:type="dxa"/>
          </w:tcPr>
          <w:p w14:paraId="53458A46" w14:textId="77777777" w:rsidR="00B75D7D" w:rsidRPr="004F1E9C" w:rsidRDefault="00B75D7D" w:rsidP="00050B20">
            <w:pPr>
              <w:spacing w:before="0"/>
            </w:pPr>
            <w:r w:rsidRPr="004F1E9C">
              <w:t xml:space="preserve">Většina programů </w:t>
            </w:r>
            <w:proofErr w:type="spellStart"/>
            <w:r w:rsidRPr="004F1E9C">
              <w:t>MZe</w:t>
            </w:r>
            <w:proofErr w:type="spellEnd"/>
            <w:r w:rsidRPr="004F1E9C">
              <w:t xml:space="preserve"> a MŽP neměla jako hlavní cíl boj se suchem a neobsahovala konkrétní a měřitelné cíle v oblasti zmírnění negativních dopadů sucha a nedostatku vody. Jejich přínos pro oblast sucha je těžko měřitelný, stejně jako dosahování cílů v této oblasti. </w:t>
            </w:r>
          </w:p>
          <w:p w14:paraId="79917041" w14:textId="0C667FE7" w:rsidR="006A6BF1" w:rsidRPr="004F1E9C" w:rsidRDefault="006A6BF1" w:rsidP="00050B20">
            <w:pPr>
              <w:spacing w:before="0"/>
            </w:pPr>
          </w:p>
        </w:tc>
      </w:tr>
      <w:tr w:rsidR="00B75D7D" w:rsidRPr="001C7010" w14:paraId="4941DF11" w14:textId="77777777" w:rsidTr="004F1E9C">
        <w:trPr>
          <w:jc w:val="right"/>
        </w:trPr>
        <w:tc>
          <w:tcPr>
            <w:tcW w:w="3062" w:type="dxa"/>
          </w:tcPr>
          <w:p w14:paraId="362133E1" w14:textId="198C9E97" w:rsidR="00B75D7D" w:rsidRPr="001C7010" w:rsidRDefault="00F02380" w:rsidP="00050B20">
            <w:pPr>
              <w:spacing w:before="0"/>
              <w:jc w:val="left"/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E207C4" wp14:editId="56B44ACA">
                      <wp:simplePos x="0" y="0"/>
                      <wp:positionH relativeFrom="column">
                        <wp:posOffset>-107093</wp:posOffset>
                      </wp:positionH>
                      <wp:positionV relativeFrom="paragraph">
                        <wp:posOffset>29265</wp:posOffset>
                      </wp:positionV>
                      <wp:extent cx="1963420" cy="898497"/>
                      <wp:effectExtent l="0" t="0" r="17780" b="16510"/>
                      <wp:wrapNone/>
                      <wp:docPr id="20" name="Obdélní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3420" cy="8984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6EF80" w14:textId="03FD30BD" w:rsidR="00CD158C" w:rsidRPr="00F02380" w:rsidRDefault="00CD158C" w:rsidP="006A0816">
                                  <w:pPr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02380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Rostoucí škody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br/>
                                  </w:r>
                                  <w:r w:rsidRPr="00F02380">
                                    <w:rPr>
                                      <w:b/>
                                      <w:color w:val="FFFFFF" w:themeColor="background1"/>
                                    </w:rPr>
                                    <w:t>způsobené suchem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207C4" id="Obdélník 20" o:spid="_x0000_s1030" style="position:absolute;margin-left:-8.45pt;margin-top:2.3pt;width:154.6pt;height:7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" fillcolor="#c00000" strokecolor="#c00000" strokeweight="2pt">
                      <v:textbox inset="1mm,1mm,1mm,1mm">
                        <w:txbxContent>
                          <w:p w14:paraId="1DA6EF80" w14:textId="03FD30BD" w:rsidR="00CD158C" w:rsidRPr="00F02380" w:rsidRDefault="00CD158C" w:rsidP="006A0816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02380">
                              <w:rPr>
                                <w:b/>
                                <w:color w:val="FFFFFF" w:themeColor="background1"/>
                              </w:rPr>
                              <w:t xml:space="preserve">Rostoucí škody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br/>
                            </w:r>
                            <w:r w:rsidRPr="00F02380">
                              <w:rPr>
                                <w:b/>
                                <w:color w:val="FFFFFF" w:themeColor="background1"/>
                              </w:rPr>
                              <w:t>způsobené suchem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83" w:type="dxa"/>
          </w:tcPr>
          <w:p w14:paraId="32D01369" w14:textId="558DAA2D" w:rsidR="00B75D7D" w:rsidRPr="004F1E9C" w:rsidRDefault="00F73F72" w:rsidP="00050B20">
            <w:pPr>
              <w:spacing w:before="0"/>
            </w:pPr>
            <w:r w:rsidRPr="004F1E9C">
              <w:t>O</w:t>
            </w:r>
            <w:r w:rsidR="00B75D7D" w:rsidRPr="004F1E9C">
              <w:t>dhad celkové škody způsobené suchem v zemědělství a</w:t>
            </w:r>
            <w:r w:rsidR="003C33FD" w:rsidRPr="004F1E9C">
              <w:t> </w:t>
            </w:r>
            <w:r w:rsidR="00B75D7D" w:rsidRPr="004F1E9C">
              <w:t>lesním hospodářství byl</w:t>
            </w:r>
            <w:r w:rsidRPr="004F1E9C">
              <w:t xml:space="preserve"> </w:t>
            </w:r>
            <w:r w:rsidR="00A64389" w:rsidRPr="004F1E9C">
              <w:t xml:space="preserve">dle </w:t>
            </w:r>
            <w:proofErr w:type="spellStart"/>
            <w:proofErr w:type="gramStart"/>
            <w:r w:rsidR="00A64389" w:rsidRPr="004F1E9C">
              <w:t>MZe</w:t>
            </w:r>
            <w:proofErr w:type="spellEnd"/>
            <w:proofErr w:type="gramEnd"/>
            <w:r w:rsidR="00A64389" w:rsidRPr="004F1E9C">
              <w:t xml:space="preserve"> </w:t>
            </w:r>
            <w:r w:rsidR="00B75D7D" w:rsidRPr="004F1E9C">
              <w:t>cca:</w:t>
            </w:r>
          </w:p>
          <w:p w14:paraId="7385605C" w14:textId="07042C33" w:rsidR="00B75D7D" w:rsidRPr="004F1E9C" w:rsidRDefault="00B75D7D" w:rsidP="00050B20">
            <w:pPr>
              <w:pStyle w:val="Odstavecseseznamem"/>
              <w:numPr>
                <w:ilvl w:val="0"/>
                <w:numId w:val="31"/>
              </w:numPr>
              <w:spacing w:before="0"/>
              <w:contextualSpacing w:val="0"/>
            </w:pPr>
            <w:r w:rsidRPr="004F1E9C">
              <w:t>3,0 mld. Kč v roce 2015</w:t>
            </w:r>
            <w:r w:rsidR="00C0422F">
              <w:t>,</w:t>
            </w:r>
          </w:p>
          <w:p w14:paraId="5ECE929F" w14:textId="24E0DA39" w:rsidR="00B75D7D" w:rsidRPr="004F1E9C" w:rsidRDefault="00B75D7D" w:rsidP="00050B20">
            <w:pPr>
              <w:pStyle w:val="Odstavecseseznamem"/>
              <w:numPr>
                <w:ilvl w:val="0"/>
                <w:numId w:val="31"/>
              </w:numPr>
              <w:spacing w:before="0"/>
              <w:contextualSpacing w:val="0"/>
            </w:pPr>
            <w:r w:rsidRPr="004F1E9C">
              <w:t>7,7 mld. Kč v roce 2017</w:t>
            </w:r>
            <w:r w:rsidR="00C0422F">
              <w:t>,</w:t>
            </w:r>
            <w:r w:rsidRPr="004F1E9C">
              <w:t xml:space="preserve"> </w:t>
            </w:r>
          </w:p>
          <w:p w14:paraId="35DBB880" w14:textId="3F3E486F" w:rsidR="00B75D7D" w:rsidRPr="004F1E9C" w:rsidRDefault="00B75D7D" w:rsidP="00050B20">
            <w:pPr>
              <w:pStyle w:val="Odstavecseseznamem"/>
              <w:numPr>
                <w:ilvl w:val="0"/>
                <w:numId w:val="31"/>
              </w:numPr>
              <w:spacing w:before="0"/>
              <w:contextualSpacing w:val="0"/>
            </w:pPr>
            <w:r w:rsidRPr="004F1E9C">
              <w:t>24,0 mld. Kč v roce 2018</w:t>
            </w:r>
            <w:r w:rsidR="00C0422F">
              <w:t>.</w:t>
            </w:r>
          </w:p>
        </w:tc>
      </w:tr>
    </w:tbl>
    <w:p w14:paraId="6D6E0B18" w14:textId="71A9A227" w:rsidR="00870825" w:rsidRDefault="00870825" w:rsidP="00050B20">
      <w:pPr>
        <w:spacing w:before="0"/>
        <w:ind w:left="2832" w:hanging="2832"/>
        <w:rPr>
          <w:b/>
        </w:rPr>
      </w:pPr>
    </w:p>
    <w:p w14:paraId="13BE9381" w14:textId="420B16C2" w:rsidR="000947FB" w:rsidRDefault="000947FB" w:rsidP="00050B20">
      <w:pPr>
        <w:spacing w:before="0"/>
        <w:ind w:left="2832" w:hanging="2832"/>
        <w:rPr>
          <w:b/>
        </w:rPr>
      </w:pPr>
    </w:p>
    <w:p w14:paraId="6E55830F" w14:textId="77777777" w:rsidR="00050B20" w:rsidRDefault="00050B20">
      <w:pPr>
        <w:spacing w:befor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22B7976" w14:textId="4EF028AE" w:rsidR="004F24F4" w:rsidRPr="004F1E9C" w:rsidRDefault="009E560F" w:rsidP="00050B20">
      <w:pPr>
        <w:pStyle w:val="Nadpis1"/>
        <w:spacing w:before="0"/>
        <w:rPr>
          <w:sz w:val="28"/>
          <w:szCs w:val="24"/>
        </w:rPr>
      </w:pPr>
      <w:r w:rsidRPr="004F1E9C">
        <w:rPr>
          <w:sz w:val="28"/>
          <w:szCs w:val="24"/>
        </w:rPr>
        <w:lastRenderedPageBreak/>
        <w:t xml:space="preserve">I. </w:t>
      </w:r>
      <w:r w:rsidR="00D91D0B" w:rsidRPr="004F1E9C">
        <w:rPr>
          <w:sz w:val="28"/>
          <w:szCs w:val="24"/>
        </w:rPr>
        <w:t>Shrnutí a vyhodnocení</w:t>
      </w:r>
    </w:p>
    <w:p w14:paraId="28DF626F" w14:textId="77777777" w:rsidR="00665C11" w:rsidRPr="00050B20" w:rsidRDefault="00665C11" w:rsidP="00050B20">
      <w:pPr>
        <w:spacing w:before="0"/>
      </w:pPr>
    </w:p>
    <w:p w14:paraId="246D0E55" w14:textId="005DBAD7" w:rsidR="00CB0ED9" w:rsidRPr="00050B20" w:rsidRDefault="00D91D0B" w:rsidP="00050B20">
      <w:pPr>
        <w:spacing w:before="0"/>
      </w:pPr>
      <w:r w:rsidRPr="00050B20">
        <w:t xml:space="preserve">NKÚ provedl kontrolu </w:t>
      </w:r>
      <w:r w:rsidR="00631C0D" w:rsidRPr="00050B20">
        <w:t xml:space="preserve">realizace opatření pro zmírnění negativních </w:t>
      </w:r>
      <w:r w:rsidR="007933DE" w:rsidRPr="00050B20">
        <w:t>d</w:t>
      </w:r>
      <w:r w:rsidR="00631C0D" w:rsidRPr="00050B20">
        <w:t>opadů sucha a nedostatku vody</w:t>
      </w:r>
      <w:r w:rsidR="00870825" w:rsidRPr="00050B20">
        <w:t xml:space="preserve"> </w:t>
      </w:r>
      <w:r w:rsidR="00870825" w:rsidRPr="00050B20">
        <w:rPr>
          <w:rFonts w:asciiTheme="minorHAnsi" w:hAnsiTheme="minorHAnsi" w:cstheme="minorHAnsi"/>
        </w:rPr>
        <w:t>v resortech zemědělství a životního prostředí</w:t>
      </w:r>
      <w:r w:rsidR="00631C0D" w:rsidRPr="00050B20">
        <w:t xml:space="preserve">. </w:t>
      </w:r>
      <w:r w:rsidR="00CB0ED9" w:rsidRPr="00050B20">
        <w:t>Kontrole bylo podrobeno poskytování peněžních prostředků určených na opatření pro</w:t>
      </w:r>
      <w:r w:rsidR="00F12BC2">
        <w:t xml:space="preserve"> </w:t>
      </w:r>
      <w:r w:rsidR="00CB0ED9" w:rsidRPr="00050B20">
        <w:t>zmírnění negativních dopadů sucha a</w:t>
      </w:r>
      <w:r w:rsidR="007A0496">
        <w:t> </w:t>
      </w:r>
      <w:r w:rsidR="00CB0ED9" w:rsidRPr="00050B20">
        <w:t>n</w:t>
      </w:r>
      <w:r w:rsidR="007A0496">
        <w:t>e</w:t>
      </w:r>
      <w:r w:rsidR="00CB0ED9" w:rsidRPr="00050B20">
        <w:t xml:space="preserve">dostatku vody v resortech zemědělství a životního prostředí. Kontrolní akce byla zaměřena na vzájemné vazby národních dotačních </w:t>
      </w:r>
      <w:r w:rsidR="002B5612" w:rsidRPr="00050B20">
        <w:t>programů</w:t>
      </w:r>
      <w:r w:rsidR="00CB0ED9" w:rsidRPr="00050B20">
        <w:t xml:space="preserve"> </w:t>
      </w:r>
      <w:proofErr w:type="spellStart"/>
      <w:r w:rsidR="00870825" w:rsidRPr="00050B20">
        <w:t>MZe</w:t>
      </w:r>
      <w:proofErr w:type="spellEnd"/>
      <w:r w:rsidR="00870825" w:rsidRPr="00050B20">
        <w:t xml:space="preserve"> a MŽP</w:t>
      </w:r>
      <w:r w:rsidR="005F064A" w:rsidRPr="00050B20">
        <w:t>,</w:t>
      </w:r>
      <w:r w:rsidR="00F12BC2">
        <w:t xml:space="preserve"> </w:t>
      </w:r>
      <w:r w:rsidR="00123F07" w:rsidRPr="007A0496">
        <w:rPr>
          <w:i/>
        </w:rPr>
        <w:t>Program</w:t>
      </w:r>
      <w:r w:rsidR="005F064A" w:rsidRPr="007A0496">
        <w:rPr>
          <w:i/>
        </w:rPr>
        <w:t>u</w:t>
      </w:r>
      <w:r w:rsidR="00123F07" w:rsidRPr="007A0496">
        <w:rPr>
          <w:i/>
        </w:rPr>
        <w:t xml:space="preserve"> rozvoje venkova</w:t>
      </w:r>
      <w:r w:rsidR="00BC652C" w:rsidRPr="007A0496">
        <w:rPr>
          <w:i/>
        </w:rPr>
        <w:t xml:space="preserve"> na období</w:t>
      </w:r>
      <w:r w:rsidR="00123F07" w:rsidRPr="007A0496">
        <w:rPr>
          <w:i/>
        </w:rPr>
        <w:t xml:space="preserve"> 2014</w:t>
      </w:r>
      <w:r w:rsidR="001A237E" w:rsidRPr="007A0496">
        <w:rPr>
          <w:i/>
        </w:rPr>
        <w:t>–</w:t>
      </w:r>
      <w:r w:rsidR="00123F07" w:rsidRPr="007A0496">
        <w:rPr>
          <w:i/>
        </w:rPr>
        <w:t>2020</w:t>
      </w:r>
      <w:r w:rsidR="00CB0ED9" w:rsidRPr="00050B20">
        <w:t xml:space="preserve"> </w:t>
      </w:r>
      <w:r w:rsidR="00166AEF" w:rsidRPr="00050B20">
        <w:t>(</w:t>
      </w:r>
      <w:r w:rsidR="00123F07" w:rsidRPr="00050B20">
        <w:t>dále též „</w:t>
      </w:r>
      <w:r w:rsidR="00CB0ED9" w:rsidRPr="00050B20">
        <w:t>PRV</w:t>
      </w:r>
      <w:r w:rsidR="00123F07" w:rsidRPr="00050B20">
        <w:t>“)</w:t>
      </w:r>
      <w:r w:rsidR="00CB0ED9" w:rsidRPr="00050B20">
        <w:t xml:space="preserve">, </w:t>
      </w:r>
      <w:r w:rsidR="00F12BC2">
        <w:t>o</w:t>
      </w:r>
      <w:r w:rsidR="00123F07" w:rsidRPr="00050B20">
        <w:t>perační</w:t>
      </w:r>
      <w:r w:rsidR="005F064A" w:rsidRPr="00050B20">
        <w:t>ho</w:t>
      </w:r>
      <w:r w:rsidR="00123F07" w:rsidRPr="00050B20">
        <w:t xml:space="preserve"> program</w:t>
      </w:r>
      <w:r w:rsidR="005F064A" w:rsidRPr="00050B20">
        <w:t>u</w:t>
      </w:r>
      <w:r w:rsidR="00123F07" w:rsidRPr="00050B20">
        <w:t xml:space="preserve"> </w:t>
      </w:r>
      <w:r w:rsidR="00123F07" w:rsidRPr="007A0496">
        <w:rPr>
          <w:i/>
        </w:rPr>
        <w:t>Rybářství 2014</w:t>
      </w:r>
      <w:r w:rsidR="001A237E" w:rsidRPr="007A0496">
        <w:rPr>
          <w:i/>
        </w:rPr>
        <w:t>–</w:t>
      </w:r>
      <w:r w:rsidR="00123F07" w:rsidRPr="007A0496">
        <w:rPr>
          <w:i/>
        </w:rPr>
        <w:t>2020</w:t>
      </w:r>
      <w:r w:rsidR="00123F07" w:rsidRPr="00050B20">
        <w:t xml:space="preserve"> (dále též „</w:t>
      </w:r>
      <w:r w:rsidR="00CB0ED9" w:rsidRPr="00050B20">
        <w:t>OPR</w:t>
      </w:r>
      <w:r w:rsidR="00123F07" w:rsidRPr="00050B20">
        <w:t>“)</w:t>
      </w:r>
      <w:r w:rsidR="00CB0ED9" w:rsidRPr="00050B20">
        <w:t xml:space="preserve"> a </w:t>
      </w:r>
      <w:r w:rsidR="00F12BC2">
        <w:t>o</w:t>
      </w:r>
      <w:r w:rsidR="00123F07" w:rsidRPr="00050B20">
        <w:t>perační</w:t>
      </w:r>
      <w:r w:rsidR="005F064A" w:rsidRPr="00050B20">
        <w:t>ho</w:t>
      </w:r>
      <w:r w:rsidR="00123F07" w:rsidRPr="00050B20">
        <w:t xml:space="preserve"> programu </w:t>
      </w:r>
      <w:r w:rsidR="00123F07" w:rsidRPr="007A0496">
        <w:rPr>
          <w:i/>
        </w:rPr>
        <w:t>Životní prostředí 2014</w:t>
      </w:r>
      <w:r w:rsidR="001A237E" w:rsidRPr="007A0496">
        <w:rPr>
          <w:i/>
        </w:rPr>
        <w:t>–</w:t>
      </w:r>
      <w:r w:rsidR="00123F07" w:rsidRPr="007A0496">
        <w:rPr>
          <w:i/>
        </w:rPr>
        <w:t>2020</w:t>
      </w:r>
      <w:r w:rsidR="00123F07" w:rsidRPr="00050B20">
        <w:t xml:space="preserve"> (dále též „</w:t>
      </w:r>
      <w:r w:rsidR="00CB0ED9" w:rsidRPr="00050B20">
        <w:t>OPŽP</w:t>
      </w:r>
      <w:r w:rsidR="00123F07" w:rsidRPr="00050B20">
        <w:t>“)</w:t>
      </w:r>
      <w:r w:rsidR="00CB0ED9" w:rsidRPr="00050B20">
        <w:t xml:space="preserve"> a jejich návaznost na</w:t>
      </w:r>
      <w:r w:rsidR="00C85397" w:rsidRPr="00050B20">
        <w:t xml:space="preserve"> strategické a</w:t>
      </w:r>
      <w:r w:rsidR="00CB0ED9" w:rsidRPr="00050B20">
        <w:t xml:space="preserve"> koncepční materiály a na stanovení cílů, kterých má být realizací programů dosaženo. </w:t>
      </w:r>
      <w:r w:rsidR="0064641F" w:rsidRPr="00050B20">
        <w:t>Dále bylo kontrolováno, zda jsou prostřednictvím poskytovaných peněžních prostředků plněny stanovené cíle.</w:t>
      </w:r>
    </w:p>
    <w:p w14:paraId="06CB8828" w14:textId="77777777" w:rsidR="004F24F4" w:rsidRPr="00050B20" w:rsidRDefault="004F24F4" w:rsidP="00050B20">
      <w:pPr>
        <w:spacing w:before="0"/>
      </w:pPr>
    </w:p>
    <w:p w14:paraId="49331FA0" w14:textId="77777777" w:rsidR="004F24F4" w:rsidRPr="00050B20" w:rsidRDefault="00D91D0B" w:rsidP="00050B20">
      <w:pPr>
        <w:spacing w:before="0"/>
        <w:rPr>
          <w:b/>
        </w:rPr>
      </w:pPr>
      <w:r w:rsidRPr="00050B20">
        <w:rPr>
          <w:b/>
        </w:rPr>
        <w:t>Celkové vyhodnocení</w:t>
      </w:r>
    </w:p>
    <w:p w14:paraId="495126B3" w14:textId="77777777" w:rsidR="00665C11" w:rsidRPr="00050B20" w:rsidRDefault="00665C11" w:rsidP="00050B20">
      <w:pPr>
        <w:spacing w:before="0"/>
      </w:pPr>
    </w:p>
    <w:p w14:paraId="0BA687A4" w14:textId="77777777" w:rsidR="0028114D" w:rsidRDefault="00BB4CF1" w:rsidP="00050B20">
      <w:pPr>
        <w:spacing w:before="0"/>
        <w:rPr>
          <w:b/>
        </w:rPr>
      </w:pPr>
      <w:r w:rsidRPr="00050B20">
        <w:rPr>
          <w:b/>
        </w:rPr>
        <w:t xml:space="preserve">Kontrolou bylo zjištěno, že pro </w:t>
      </w:r>
      <w:r w:rsidR="00CE5281" w:rsidRPr="00050B20">
        <w:rPr>
          <w:rFonts w:cstheme="minorHAnsi"/>
          <w:b/>
          <w:noProof/>
        </w:rPr>
        <w:t>zmírnění negativních dopadů sucha a nedostatku vody</w:t>
      </w:r>
      <w:r w:rsidR="00CE5281" w:rsidRPr="00050B20">
        <w:rPr>
          <w:rFonts w:cstheme="minorHAnsi"/>
          <w:noProof/>
        </w:rPr>
        <w:t xml:space="preserve"> </w:t>
      </w:r>
      <w:r w:rsidRPr="00050B20">
        <w:rPr>
          <w:b/>
        </w:rPr>
        <w:t xml:space="preserve">neexistuje žádná právní úprava. Celá tato problematika </w:t>
      </w:r>
      <w:r w:rsidR="008F7746" w:rsidRPr="00050B20">
        <w:rPr>
          <w:b/>
        </w:rPr>
        <w:t>byla strategicky</w:t>
      </w:r>
      <w:r w:rsidRPr="00050B20">
        <w:rPr>
          <w:b/>
        </w:rPr>
        <w:t xml:space="preserve"> řízena </w:t>
      </w:r>
      <w:r w:rsidR="008F7746" w:rsidRPr="00050B20">
        <w:rPr>
          <w:b/>
        </w:rPr>
        <w:t>zejména</w:t>
      </w:r>
      <w:r w:rsidRPr="00050B20">
        <w:rPr>
          <w:b/>
        </w:rPr>
        <w:t xml:space="preserve"> na základě dvou vládou s</w:t>
      </w:r>
      <w:r w:rsidR="00697859" w:rsidRPr="00050B20">
        <w:rPr>
          <w:b/>
        </w:rPr>
        <w:t>chválených materiálů</w:t>
      </w:r>
      <w:r w:rsidRPr="00050B20">
        <w:rPr>
          <w:b/>
        </w:rPr>
        <w:t xml:space="preserve">. </w:t>
      </w:r>
      <w:r w:rsidR="002814A8" w:rsidRPr="00050B20">
        <w:rPr>
          <w:b/>
        </w:rPr>
        <w:t>Bylo ověřeno</w:t>
      </w:r>
      <w:r w:rsidR="00697859" w:rsidRPr="00050B20">
        <w:rPr>
          <w:b/>
        </w:rPr>
        <w:t xml:space="preserve"> </w:t>
      </w:r>
      <w:r w:rsidR="00CE5281" w:rsidRPr="00050B20">
        <w:rPr>
          <w:rFonts w:cstheme="minorHAnsi"/>
          <w:b/>
          <w:noProof/>
        </w:rPr>
        <w:t>plnění úkolů MZe a MŽP</w:t>
      </w:r>
      <w:r w:rsidR="002814A8" w:rsidRPr="00050B20">
        <w:rPr>
          <w:rFonts w:cstheme="minorHAnsi"/>
          <w:noProof/>
        </w:rPr>
        <w:t xml:space="preserve"> </w:t>
      </w:r>
      <w:r w:rsidR="00697859" w:rsidRPr="00050B20">
        <w:rPr>
          <w:b/>
        </w:rPr>
        <w:t>v oblasti boje se suchem. Ačkoli většina úkolů</w:t>
      </w:r>
      <w:r w:rsidR="006A6BF1" w:rsidRPr="00050B20">
        <w:rPr>
          <w:b/>
        </w:rPr>
        <w:t xml:space="preserve"> byla</w:t>
      </w:r>
      <w:r w:rsidR="00697859" w:rsidRPr="00050B20">
        <w:rPr>
          <w:b/>
        </w:rPr>
        <w:t xml:space="preserve"> splněna, na řadu z nich nenavázala realizace skutečných opatření pro zmírnění negativních dopadů sucha a nedostatku vody. </w:t>
      </w:r>
    </w:p>
    <w:p w14:paraId="3C457B17" w14:textId="77777777" w:rsidR="0028114D" w:rsidRDefault="0028114D" w:rsidP="00050B20">
      <w:pPr>
        <w:spacing w:before="0"/>
        <w:rPr>
          <w:b/>
        </w:rPr>
      </w:pPr>
    </w:p>
    <w:p w14:paraId="38288B3F" w14:textId="24697A4C" w:rsidR="0028114D" w:rsidRDefault="00014B71" w:rsidP="00050B20">
      <w:pPr>
        <w:spacing w:before="0"/>
        <w:rPr>
          <w:b/>
        </w:rPr>
      </w:pPr>
      <w:r w:rsidRPr="00050B20">
        <w:rPr>
          <w:b/>
        </w:rPr>
        <w:t>Za</w:t>
      </w:r>
      <w:r w:rsidR="00F12BC2">
        <w:rPr>
          <w:b/>
        </w:rPr>
        <w:t xml:space="preserve"> </w:t>
      </w:r>
      <w:r w:rsidR="00C7428C" w:rsidRPr="00050B20">
        <w:rPr>
          <w:b/>
        </w:rPr>
        <w:t>období</w:t>
      </w:r>
      <w:r w:rsidRPr="00050B20">
        <w:rPr>
          <w:b/>
        </w:rPr>
        <w:t xml:space="preserve"> let</w:t>
      </w:r>
      <w:r w:rsidR="003A6577" w:rsidRPr="00050B20">
        <w:rPr>
          <w:b/>
        </w:rPr>
        <w:t xml:space="preserve"> </w:t>
      </w:r>
      <w:r w:rsidR="00C7428C" w:rsidRPr="00050B20">
        <w:rPr>
          <w:b/>
        </w:rPr>
        <w:t>2016–</w:t>
      </w:r>
      <w:r w:rsidR="003C4E9E" w:rsidRPr="00050B20">
        <w:rPr>
          <w:b/>
        </w:rPr>
        <w:t xml:space="preserve">2018 </w:t>
      </w:r>
      <w:r w:rsidRPr="00050B20">
        <w:rPr>
          <w:b/>
        </w:rPr>
        <w:t>vykázaly</w:t>
      </w:r>
      <w:r w:rsidR="003C4E9E" w:rsidRPr="00050B20">
        <w:rPr>
          <w:b/>
        </w:rPr>
        <w:t xml:space="preserve"> </w:t>
      </w:r>
      <w:proofErr w:type="spellStart"/>
      <w:r w:rsidR="00817AC5" w:rsidRPr="00050B20">
        <w:rPr>
          <w:b/>
        </w:rPr>
        <w:t>MZe</w:t>
      </w:r>
      <w:proofErr w:type="spellEnd"/>
      <w:r w:rsidR="00817AC5" w:rsidRPr="00050B20">
        <w:rPr>
          <w:b/>
        </w:rPr>
        <w:t xml:space="preserve"> a MŽ</w:t>
      </w:r>
      <w:r w:rsidR="002B5612" w:rsidRPr="00050B20">
        <w:rPr>
          <w:b/>
        </w:rPr>
        <w:t>P dotační program</w:t>
      </w:r>
      <w:r w:rsidRPr="00050B20">
        <w:rPr>
          <w:b/>
        </w:rPr>
        <w:t>y týkající se řešení problematiky sucha</w:t>
      </w:r>
      <w:r w:rsidR="00817AC5" w:rsidRPr="00050B20">
        <w:rPr>
          <w:b/>
        </w:rPr>
        <w:t xml:space="preserve"> v celkové částce </w:t>
      </w:r>
      <w:r w:rsidR="00184BE3" w:rsidRPr="00050B20">
        <w:rPr>
          <w:b/>
        </w:rPr>
        <w:t>téměř 2</w:t>
      </w:r>
      <w:r w:rsidR="0028114D">
        <w:rPr>
          <w:b/>
        </w:rPr>
        <w:t>8 ml</w:t>
      </w:r>
      <w:r w:rsidR="00184BE3" w:rsidRPr="00050B20">
        <w:rPr>
          <w:b/>
        </w:rPr>
        <w:t>d</w:t>
      </w:r>
      <w:r w:rsidR="00F369A4">
        <w:rPr>
          <w:b/>
        </w:rPr>
        <w:t>.</w:t>
      </w:r>
      <w:r w:rsidR="00817AC5" w:rsidRPr="00050B20">
        <w:rPr>
          <w:b/>
        </w:rPr>
        <w:t xml:space="preserve"> </w:t>
      </w:r>
      <w:r w:rsidR="0028114D">
        <w:rPr>
          <w:b/>
        </w:rPr>
        <w:t>Kč</w:t>
      </w:r>
      <w:r w:rsidR="00817AC5" w:rsidRPr="00050B20">
        <w:rPr>
          <w:b/>
        </w:rPr>
        <w:t>. Jedn</w:t>
      </w:r>
      <w:r w:rsidR="00184BE3" w:rsidRPr="00050B20">
        <w:rPr>
          <w:b/>
        </w:rPr>
        <w:t>alo</w:t>
      </w:r>
      <w:r w:rsidR="00817AC5" w:rsidRPr="00050B20">
        <w:rPr>
          <w:b/>
        </w:rPr>
        <w:t xml:space="preserve"> se však v napr</w:t>
      </w:r>
      <w:r w:rsidR="00F369A4">
        <w:rPr>
          <w:b/>
        </w:rPr>
        <w:t>osté většině o </w:t>
      </w:r>
      <w:r w:rsidR="00817AC5" w:rsidRPr="00050B20">
        <w:rPr>
          <w:b/>
        </w:rPr>
        <w:t xml:space="preserve">programy, které tyto resorty realizují dlouhodobě a </w:t>
      </w:r>
      <w:r w:rsidR="006360E7" w:rsidRPr="00050B20">
        <w:rPr>
          <w:b/>
        </w:rPr>
        <w:t>jejich</w:t>
      </w:r>
      <w:r w:rsidR="008A71D6">
        <w:rPr>
          <w:b/>
        </w:rPr>
        <w:t>ž</w:t>
      </w:r>
      <w:r w:rsidR="006360E7" w:rsidRPr="00050B20">
        <w:rPr>
          <w:b/>
        </w:rPr>
        <w:t xml:space="preserve"> hlavním cílem není </w:t>
      </w:r>
      <w:r w:rsidR="00817AC5" w:rsidRPr="00050B20">
        <w:rPr>
          <w:b/>
        </w:rPr>
        <w:t xml:space="preserve">řešení problematiky sucha. </w:t>
      </w:r>
      <w:r w:rsidR="003C4E9E" w:rsidRPr="00050B20">
        <w:rPr>
          <w:b/>
        </w:rPr>
        <w:t>N</w:t>
      </w:r>
      <w:r w:rsidR="00817AC5" w:rsidRPr="00050B20">
        <w:rPr>
          <w:b/>
        </w:rPr>
        <w:t>e všech</w:t>
      </w:r>
      <w:r w:rsidR="003C4E9E" w:rsidRPr="00050B20">
        <w:rPr>
          <w:b/>
        </w:rPr>
        <w:t>ny dotační programy</w:t>
      </w:r>
      <w:r w:rsidR="00774FCF" w:rsidRPr="00050B20">
        <w:rPr>
          <w:b/>
        </w:rPr>
        <w:t xml:space="preserve"> </w:t>
      </w:r>
      <w:r w:rsidR="00817AC5" w:rsidRPr="00050B20">
        <w:rPr>
          <w:b/>
        </w:rPr>
        <w:t>přímo a jednoznačně přispíval</w:t>
      </w:r>
      <w:r w:rsidR="003C4E9E" w:rsidRPr="00050B20">
        <w:rPr>
          <w:b/>
        </w:rPr>
        <w:t>y</w:t>
      </w:r>
      <w:r w:rsidR="00817AC5" w:rsidRPr="00050B20">
        <w:rPr>
          <w:b/>
        </w:rPr>
        <w:t xml:space="preserve"> ke zmír</w:t>
      </w:r>
      <w:r w:rsidR="00C7428C" w:rsidRPr="00050B20">
        <w:rPr>
          <w:b/>
        </w:rPr>
        <w:t>nění negativních dopadů sucha a </w:t>
      </w:r>
      <w:r w:rsidR="00817AC5" w:rsidRPr="00050B20">
        <w:rPr>
          <w:b/>
        </w:rPr>
        <w:t>nedostatku vody. Většina programů neobsah</w:t>
      </w:r>
      <w:r w:rsidR="00184BE3" w:rsidRPr="00050B20">
        <w:rPr>
          <w:b/>
        </w:rPr>
        <w:t>ovala</w:t>
      </w:r>
      <w:r w:rsidR="00817AC5" w:rsidRPr="00050B20">
        <w:rPr>
          <w:b/>
        </w:rPr>
        <w:t xml:space="preserve"> konkrétní a</w:t>
      </w:r>
      <w:r w:rsidR="00166AEF" w:rsidRPr="00050B20">
        <w:rPr>
          <w:b/>
        </w:rPr>
        <w:t> </w:t>
      </w:r>
      <w:r w:rsidR="00817AC5" w:rsidRPr="00050B20">
        <w:rPr>
          <w:b/>
        </w:rPr>
        <w:t>měřitelné cíle v oblasti zmírnění negativních dopadů sucha a nedostatku vody</w:t>
      </w:r>
      <w:r w:rsidR="00E446A4" w:rsidRPr="00050B20">
        <w:rPr>
          <w:b/>
        </w:rPr>
        <w:t xml:space="preserve">, </w:t>
      </w:r>
      <w:r w:rsidR="00C7428C" w:rsidRPr="00050B20">
        <w:rPr>
          <w:b/>
        </w:rPr>
        <w:t>takže přínosy těchto programů a </w:t>
      </w:r>
      <w:r w:rsidR="00E446A4" w:rsidRPr="00050B20">
        <w:rPr>
          <w:b/>
        </w:rPr>
        <w:t>plnění cílů v této oblasti nelze vyhodnotit</w:t>
      </w:r>
      <w:r w:rsidR="00817AC5" w:rsidRPr="00050B20">
        <w:rPr>
          <w:b/>
        </w:rPr>
        <w:t>.</w:t>
      </w:r>
      <w:r w:rsidR="00E446A4" w:rsidRPr="00050B20">
        <w:rPr>
          <w:b/>
        </w:rPr>
        <w:t xml:space="preserve"> </w:t>
      </w:r>
    </w:p>
    <w:p w14:paraId="684FADC7" w14:textId="77777777" w:rsidR="0028114D" w:rsidRDefault="0028114D" w:rsidP="00050B20">
      <w:pPr>
        <w:spacing w:before="0"/>
        <w:rPr>
          <w:b/>
        </w:rPr>
      </w:pPr>
    </w:p>
    <w:p w14:paraId="3852A8D6" w14:textId="405A6E8B" w:rsidR="000947FB" w:rsidRPr="00050B20" w:rsidRDefault="000947FB" w:rsidP="00050B20">
      <w:pPr>
        <w:spacing w:before="0"/>
        <w:rPr>
          <w:b/>
        </w:rPr>
      </w:pPr>
      <w:r w:rsidRPr="00050B20">
        <w:rPr>
          <w:b/>
        </w:rPr>
        <w:t xml:space="preserve">Nové programy, jejichž hlavním cílem </w:t>
      </w:r>
      <w:r w:rsidR="002814A8" w:rsidRPr="00050B20">
        <w:rPr>
          <w:b/>
        </w:rPr>
        <w:t xml:space="preserve">má být </w:t>
      </w:r>
      <w:r w:rsidRPr="00050B20">
        <w:rPr>
          <w:b/>
        </w:rPr>
        <w:t xml:space="preserve">dle </w:t>
      </w:r>
      <w:r w:rsidRPr="00050B20">
        <w:rPr>
          <w:b/>
          <w:i/>
        </w:rPr>
        <w:t>Koncepce</w:t>
      </w:r>
      <w:r w:rsidR="006A6BF1" w:rsidRPr="00050B20">
        <w:rPr>
          <w:b/>
          <w:i/>
        </w:rPr>
        <w:t xml:space="preserve"> ochrany před následky sucha pro území České republiky</w:t>
      </w:r>
      <w:r w:rsidRPr="00050B20">
        <w:rPr>
          <w:b/>
        </w:rPr>
        <w:t xml:space="preserve"> řešení negativních následků sucha a nedostatku vody, </w:t>
      </w:r>
      <w:proofErr w:type="spellStart"/>
      <w:r w:rsidRPr="00050B20">
        <w:rPr>
          <w:b/>
        </w:rPr>
        <w:t>MZe</w:t>
      </w:r>
      <w:proofErr w:type="spellEnd"/>
      <w:r w:rsidRPr="00050B20">
        <w:rPr>
          <w:b/>
        </w:rPr>
        <w:t xml:space="preserve"> nezahájilo a MŽP v jejich rámci vyplatilo zanedbatelné částky. Pro zmírnění dopadů sucha a nedostatku vody je zapotřebí prosadit efektivní</w:t>
      </w:r>
      <w:r w:rsidR="00A64389" w:rsidRPr="00050B20">
        <w:rPr>
          <w:b/>
        </w:rPr>
        <w:t xml:space="preserve"> a dlouhodobě udržitelné řešení,</w:t>
      </w:r>
      <w:r w:rsidRPr="00050B20">
        <w:rPr>
          <w:b/>
        </w:rPr>
        <w:t xml:space="preserve"> dosáhnout odstranění rozporů a úzce resortních hledisek. </w:t>
      </w:r>
    </w:p>
    <w:p w14:paraId="13BAA5CF" w14:textId="19E20E45" w:rsidR="00040099" w:rsidRPr="00050B20" w:rsidRDefault="00040099" w:rsidP="00050B20">
      <w:pPr>
        <w:spacing w:before="0"/>
        <w:rPr>
          <w:b/>
        </w:rPr>
      </w:pPr>
    </w:p>
    <w:p w14:paraId="19D4ED10" w14:textId="4683DC43" w:rsidR="004F24F4" w:rsidRPr="00050B20" w:rsidRDefault="00D12A8A" w:rsidP="00050B20">
      <w:pPr>
        <w:spacing w:before="0"/>
      </w:pPr>
      <w:r w:rsidRPr="00050B20">
        <w:t>Celkové vyhodnocení vyplývá z těchto zjištěných nedostatků</w:t>
      </w:r>
      <w:r w:rsidR="00D91D0B" w:rsidRPr="00050B20">
        <w:t>:</w:t>
      </w:r>
    </w:p>
    <w:p w14:paraId="18974A1E" w14:textId="77777777" w:rsidR="00B82A93" w:rsidRPr="00050B20" w:rsidRDefault="00B82A93" w:rsidP="00050B20">
      <w:pPr>
        <w:spacing w:before="0"/>
        <w:jc w:val="left"/>
      </w:pPr>
    </w:p>
    <w:p w14:paraId="7F03296D" w14:textId="7211831B" w:rsidR="00B82A93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708DF" w:rsidRPr="00050B20">
        <w:rPr>
          <w:sz w:val="24"/>
          <w:szCs w:val="24"/>
        </w:rPr>
        <w:t>Nedostatečná</w:t>
      </w:r>
      <w:r w:rsidR="00B82A93" w:rsidRPr="00050B20">
        <w:rPr>
          <w:sz w:val="24"/>
          <w:szCs w:val="24"/>
        </w:rPr>
        <w:t xml:space="preserve"> </w:t>
      </w:r>
      <w:r w:rsidR="009355ED" w:rsidRPr="00050B20">
        <w:rPr>
          <w:sz w:val="24"/>
          <w:szCs w:val="24"/>
        </w:rPr>
        <w:t>právní</w:t>
      </w:r>
      <w:r w:rsidR="00D708DF" w:rsidRPr="00050B20">
        <w:rPr>
          <w:sz w:val="24"/>
          <w:szCs w:val="24"/>
        </w:rPr>
        <w:t xml:space="preserve"> úprava</w:t>
      </w:r>
    </w:p>
    <w:p w14:paraId="285F9FF5" w14:textId="77777777" w:rsidR="00050B20" w:rsidRDefault="00050B20" w:rsidP="00050B20">
      <w:pPr>
        <w:keepNext/>
        <w:spacing w:before="0"/>
      </w:pPr>
    </w:p>
    <w:p w14:paraId="62DAD580" w14:textId="6909B34C" w:rsidR="003C27E2" w:rsidRDefault="003C4E9E" w:rsidP="00050B20">
      <w:pPr>
        <w:spacing w:before="0"/>
      </w:pPr>
      <w:r w:rsidRPr="00050B20">
        <w:t>V</w:t>
      </w:r>
      <w:r w:rsidR="00B82A93" w:rsidRPr="00050B20">
        <w:t>odní zákon</w:t>
      </w:r>
      <w:r w:rsidR="00D76808" w:rsidRPr="00050B20">
        <w:rPr>
          <w:rStyle w:val="Znakapoznpodarou"/>
        </w:rPr>
        <w:footnoteReference w:id="1"/>
      </w:r>
      <w:r w:rsidR="00B82A93" w:rsidRPr="00050B20">
        <w:t xml:space="preserve"> zmiňuje</w:t>
      </w:r>
      <w:r w:rsidRPr="00050B20">
        <w:t xml:space="preserve"> problematiku</w:t>
      </w:r>
      <w:r w:rsidR="00B82A93" w:rsidRPr="00050B20">
        <w:t xml:space="preserve"> such</w:t>
      </w:r>
      <w:r w:rsidRPr="00050B20">
        <w:t>a</w:t>
      </w:r>
      <w:r w:rsidR="00B82A93" w:rsidRPr="00050B20">
        <w:t xml:space="preserve"> pouze okrajově a novela tohoto zákona</w:t>
      </w:r>
      <w:r w:rsidR="00697859" w:rsidRPr="00050B20">
        <w:t xml:space="preserve"> se</w:t>
      </w:r>
      <w:r w:rsidR="00B82A93" w:rsidRPr="00050B20">
        <w:t xml:space="preserve"> </w:t>
      </w:r>
      <w:r w:rsidR="009355ED" w:rsidRPr="00050B20">
        <w:t>speciální část</w:t>
      </w:r>
      <w:r w:rsidR="008F7746" w:rsidRPr="00050B20">
        <w:t>í</w:t>
      </w:r>
      <w:r w:rsidR="009355ED" w:rsidRPr="00050B20">
        <w:t xml:space="preserve"> týkající se sucha</w:t>
      </w:r>
      <w:r w:rsidR="00B82A93" w:rsidRPr="00050B20">
        <w:t xml:space="preserve"> zatím nebyla schválena.</w:t>
      </w:r>
      <w:r w:rsidR="008F0320" w:rsidRPr="00050B20">
        <w:t xml:space="preserve"> </w:t>
      </w:r>
      <w:r w:rsidR="003C27E2" w:rsidRPr="00050B20">
        <w:t xml:space="preserve">Chybějící stanovení zákonných práv a povinností jednotlivých zainteresovaných subjektů </w:t>
      </w:r>
      <w:r w:rsidR="00F12BC2">
        <w:t>komplikuje</w:t>
      </w:r>
      <w:r w:rsidR="003C27E2" w:rsidRPr="00050B20">
        <w:t xml:space="preserve"> realizaci opatření na zmírnění dopadů sucha a nedostatku vody. </w:t>
      </w:r>
      <w:r w:rsidR="008F0320" w:rsidRPr="00050B20">
        <w:t xml:space="preserve">Dále chybí </w:t>
      </w:r>
      <w:r w:rsidR="00AE2FA9" w:rsidRPr="00050B20">
        <w:t xml:space="preserve">tzv. </w:t>
      </w:r>
      <w:r w:rsidR="008F0320" w:rsidRPr="00050B20">
        <w:t>protierozní vyhlášk</w:t>
      </w:r>
      <w:r w:rsidR="00AE2FA9" w:rsidRPr="00050B20">
        <w:t>a</w:t>
      </w:r>
      <w:r w:rsidR="008F0320" w:rsidRPr="00050B20">
        <w:t>,</w:t>
      </w:r>
      <w:r w:rsidR="00014B71" w:rsidRPr="00050B20">
        <w:t xml:space="preserve"> která</w:t>
      </w:r>
      <w:r w:rsidR="000947FB" w:rsidRPr="00050B20">
        <w:t xml:space="preserve"> má</w:t>
      </w:r>
      <w:r w:rsidR="00014B71" w:rsidRPr="00050B20">
        <w:t xml:space="preserve"> zpřesn</w:t>
      </w:r>
      <w:r w:rsidR="000947FB" w:rsidRPr="00050B20">
        <w:t>it</w:t>
      </w:r>
      <w:r w:rsidR="00014B71" w:rsidRPr="00050B20">
        <w:t xml:space="preserve"> pravidla pro hospodaření na eroz</w:t>
      </w:r>
      <w:r w:rsidR="00F12BC2">
        <w:t>í</w:t>
      </w:r>
      <w:r w:rsidR="00014B71" w:rsidRPr="00050B20">
        <w:t xml:space="preserve"> ohrožených pozemcích</w:t>
      </w:r>
      <w:r w:rsidR="008F0320" w:rsidRPr="00050B20">
        <w:t>.</w:t>
      </w:r>
    </w:p>
    <w:p w14:paraId="037BD77F" w14:textId="77777777" w:rsidR="00050B20" w:rsidRPr="00050B20" w:rsidRDefault="00050B20" w:rsidP="00050B20">
      <w:pPr>
        <w:spacing w:before="0"/>
      </w:pPr>
    </w:p>
    <w:p w14:paraId="230E8A53" w14:textId="0A5FE297" w:rsidR="00B82A93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3C27E2" w:rsidRPr="00050B20">
        <w:rPr>
          <w:sz w:val="24"/>
          <w:szCs w:val="24"/>
        </w:rPr>
        <w:t>Formální</w:t>
      </w:r>
      <w:r w:rsidR="002A7604" w:rsidRPr="00050B20">
        <w:rPr>
          <w:sz w:val="24"/>
          <w:szCs w:val="24"/>
        </w:rPr>
        <w:t xml:space="preserve"> p</w:t>
      </w:r>
      <w:r w:rsidR="00B82A93" w:rsidRPr="00050B20">
        <w:rPr>
          <w:sz w:val="24"/>
          <w:szCs w:val="24"/>
        </w:rPr>
        <w:t xml:space="preserve">lnění </w:t>
      </w:r>
      <w:r w:rsidR="00C963E2" w:rsidRPr="00050B20">
        <w:rPr>
          <w:sz w:val="24"/>
          <w:szCs w:val="24"/>
        </w:rPr>
        <w:t>úkolů uložených vládou ČR</w:t>
      </w:r>
    </w:p>
    <w:p w14:paraId="6E2ABAF1" w14:textId="77777777" w:rsidR="00050B20" w:rsidRDefault="00050B20" w:rsidP="00050B20">
      <w:pPr>
        <w:keepNext/>
        <w:spacing w:before="0"/>
      </w:pPr>
    </w:p>
    <w:p w14:paraId="6AFDD288" w14:textId="15C8BD7F" w:rsidR="00B82A93" w:rsidRDefault="003C27E2" w:rsidP="00050B20">
      <w:pPr>
        <w:spacing w:before="0"/>
      </w:pPr>
      <w:proofErr w:type="spellStart"/>
      <w:r w:rsidRPr="00050B20">
        <w:t>MZe</w:t>
      </w:r>
      <w:proofErr w:type="spellEnd"/>
      <w:r w:rsidRPr="00050B20">
        <w:t xml:space="preserve"> a MŽP mělo zajistit plnění u</w:t>
      </w:r>
      <w:r w:rsidR="003C4E9E" w:rsidRPr="00050B20">
        <w:t>snesení v</w:t>
      </w:r>
      <w:r w:rsidR="00FF75B3" w:rsidRPr="00050B20">
        <w:t>lád</w:t>
      </w:r>
      <w:r w:rsidR="003C4E9E" w:rsidRPr="00050B20">
        <w:t>y</w:t>
      </w:r>
      <w:r w:rsidR="00FF75B3" w:rsidRPr="00050B20">
        <w:t xml:space="preserve"> ČR z roku </w:t>
      </w:r>
      <w:r w:rsidR="00B82A93" w:rsidRPr="00050B20">
        <w:t>2015</w:t>
      </w:r>
      <w:r w:rsidR="000B3B80" w:rsidRPr="00050B20">
        <w:t xml:space="preserve"> č. 620</w:t>
      </w:r>
      <w:r w:rsidRPr="00050B20">
        <w:t>, které</w:t>
      </w:r>
      <w:r w:rsidR="003C4E9E" w:rsidRPr="00050B20">
        <w:t xml:space="preserve"> </w:t>
      </w:r>
      <w:r w:rsidR="00B82A93" w:rsidRPr="00050B20">
        <w:t>obsahuje 49 úkolů</w:t>
      </w:r>
      <w:r w:rsidR="003C4E9E" w:rsidRPr="00050B20">
        <w:t xml:space="preserve"> týkajících se oblasti sucha</w:t>
      </w:r>
      <w:r w:rsidR="00B82A93" w:rsidRPr="00050B20">
        <w:t xml:space="preserve">. </w:t>
      </w:r>
      <w:r w:rsidR="003C4E9E" w:rsidRPr="00050B20">
        <w:t>O</w:t>
      </w:r>
      <w:r w:rsidR="00B82A93" w:rsidRPr="00050B20">
        <w:t>bsahem mnoha úkolů</w:t>
      </w:r>
      <w:r w:rsidR="003C4E9E" w:rsidRPr="00050B20">
        <w:t xml:space="preserve"> však</w:t>
      </w:r>
      <w:r w:rsidR="00B82A93" w:rsidRPr="00050B20">
        <w:t xml:space="preserve"> bylo pouze provést analýzu, vypracovat návrh, zhodnotit potenciál, nikoli již realizovat příslušn</w:t>
      </w:r>
      <w:r w:rsidR="009355ED" w:rsidRPr="00050B20">
        <w:t>á</w:t>
      </w:r>
      <w:r w:rsidR="00B82A93" w:rsidRPr="00050B20">
        <w:t xml:space="preserve"> opatření. Příkladem j</w:t>
      </w:r>
      <w:r w:rsidR="00123F07" w:rsidRPr="00050B20">
        <w:t xml:space="preserve">sou </w:t>
      </w:r>
      <w:r w:rsidR="00B82A93" w:rsidRPr="00050B20">
        <w:t>úkol</w:t>
      </w:r>
      <w:r w:rsidR="00123F07" w:rsidRPr="00050B20">
        <w:t>y</w:t>
      </w:r>
      <w:r w:rsidR="00B82A93" w:rsidRPr="00050B20">
        <w:t>, v </w:t>
      </w:r>
      <w:r w:rsidR="00F12BC2">
        <w:t xml:space="preserve">jejichž </w:t>
      </w:r>
      <w:r w:rsidR="00B82A93" w:rsidRPr="00050B20">
        <w:t>rámci byl připraven návrh novely vodního zákona týkající se racionálního nastavení ceny odběrů surové vody z podzemních a</w:t>
      </w:r>
      <w:r w:rsidR="00166AEF" w:rsidRPr="00050B20">
        <w:t> </w:t>
      </w:r>
      <w:r w:rsidR="00B82A93" w:rsidRPr="00050B20">
        <w:t>povrc</w:t>
      </w:r>
      <w:r w:rsidR="008F0320" w:rsidRPr="00050B20">
        <w:t>hových zdrojů, nebo úkol zaměřený na revizi</w:t>
      </w:r>
      <w:r w:rsidR="00B82A93" w:rsidRPr="00050B20">
        <w:t xml:space="preserve"> </w:t>
      </w:r>
      <w:r w:rsidR="00D03CD2" w:rsidRPr="00050B20">
        <w:t>lokalit pro akumulaci povrchových vod</w:t>
      </w:r>
      <w:r w:rsidR="005950C1" w:rsidRPr="00050B20">
        <w:t>,</w:t>
      </w:r>
      <w:r w:rsidR="008F0320" w:rsidRPr="00050B20">
        <w:t xml:space="preserve"> kter</w:t>
      </w:r>
      <w:r w:rsidR="005950C1" w:rsidRPr="00050B20">
        <w:t>é jsou</w:t>
      </w:r>
      <w:r w:rsidR="008F0320" w:rsidRPr="00050B20">
        <w:t xml:space="preserve"> významn</w:t>
      </w:r>
      <w:r w:rsidR="005950C1" w:rsidRPr="00050B20">
        <w:t>é</w:t>
      </w:r>
      <w:r w:rsidR="008F0320" w:rsidRPr="00050B20">
        <w:t xml:space="preserve"> pro zaji</w:t>
      </w:r>
      <w:r w:rsidR="005950C1" w:rsidRPr="00050B20">
        <w:t xml:space="preserve">štění zdrojů vody v budoucnosti, </w:t>
      </w:r>
      <w:r w:rsidR="00B82A93" w:rsidRPr="00050B20">
        <w:t>nebo úkol</w:t>
      </w:r>
      <w:r w:rsidR="008F0320" w:rsidRPr="00050B20">
        <w:t xml:space="preserve"> na přípravu</w:t>
      </w:r>
      <w:r w:rsidR="00B82A93" w:rsidRPr="00050B20">
        <w:t xml:space="preserve"> fond</w:t>
      </w:r>
      <w:r w:rsidR="008F0320" w:rsidRPr="00050B20">
        <w:t>u</w:t>
      </w:r>
      <w:r w:rsidR="00B82A93" w:rsidRPr="00050B20">
        <w:t xml:space="preserve"> těžko pojistitelných rizik</w:t>
      </w:r>
      <w:r w:rsidR="005950C1" w:rsidRPr="00050B20">
        <w:t>, ze kterého by mohly být pojištěny i škody způsobené suchem a který stále nebyl zřízen</w:t>
      </w:r>
      <w:r w:rsidR="00B82A93" w:rsidRPr="00050B20">
        <w:t xml:space="preserve">. </w:t>
      </w:r>
      <w:r w:rsidR="0022460C" w:rsidRPr="00050B20">
        <w:t>Přestože v</w:t>
      </w:r>
      <w:r w:rsidR="00014B71" w:rsidRPr="00050B20">
        <w:t>ětšina úkolů splněna byla, n</w:t>
      </w:r>
      <w:r w:rsidR="00B82A93" w:rsidRPr="00050B20">
        <w:t>a tyto úkoly nenavazovala žádná realizace</w:t>
      </w:r>
      <w:r w:rsidR="008F0320" w:rsidRPr="00050B20">
        <w:t>.</w:t>
      </w:r>
    </w:p>
    <w:p w14:paraId="3F096343" w14:textId="77777777" w:rsidR="00050B20" w:rsidRPr="00050B20" w:rsidRDefault="00050B20" w:rsidP="00050B20">
      <w:pPr>
        <w:spacing w:before="0"/>
      </w:pPr>
    </w:p>
    <w:p w14:paraId="26829C53" w14:textId="07E6C58C" w:rsidR="001D6886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A7604" w:rsidRPr="00050B20">
        <w:rPr>
          <w:sz w:val="24"/>
          <w:szCs w:val="24"/>
        </w:rPr>
        <w:t>Ne</w:t>
      </w:r>
      <w:r w:rsidR="00972181" w:rsidRPr="00050B20">
        <w:rPr>
          <w:sz w:val="24"/>
          <w:szCs w:val="24"/>
        </w:rPr>
        <w:t>dostatky</w:t>
      </w:r>
      <w:r w:rsidR="002A7604" w:rsidRPr="00050B20">
        <w:rPr>
          <w:sz w:val="24"/>
          <w:szCs w:val="24"/>
        </w:rPr>
        <w:t xml:space="preserve"> k</w:t>
      </w:r>
      <w:r w:rsidR="001D6886" w:rsidRPr="00050B20">
        <w:rPr>
          <w:sz w:val="24"/>
          <w:szCs w:val="24"/>
        </w:rPr>
        <w:t>oncepce</w:t>
      </w:r>
    </w:p>
    <w:p w14:paraId="750B06AB" w14:textId="77777777" w:rsidR="00050B20" w:rsidRDefault="00050B20" w:rsidP="00050B20">
      <w:pPr>
        <w:keepNext/>
        <w:spacing w:before="0"/>
        <w:rPr>
          <w:rFonts w:asciiTheme="minorHAnsi" w:hAnsiTheme="minorHAnsi" w:cstheme="minorHAnsi"/>
        </w:rPr>
      </w:pPr>
    </w:p>
    <w:p w14:paraId="6C13BEA9" w14:textId="70858797" w:rsidR="001D50A3" w:rsidRDefault="00FF75B3" w:rsidP="00050B20">
      <w:pPr>
        <w:spacing w:before="0"/>
        <w:rPr>
          <w:rFonts w:asciiTheme="minorHAnsi" w:hAnsiTheme="minorHAnsi" w:cstheme="minorHAnsi"/>
        </w:rPr>
      </w:pPr>
      <w:r w:rsidRPr="00050B20">
        <w:rPr>
          <w:rFonts w:asciiTheme="minorHAnsi" w:hAnsiTheme="minorHAnsi" w:cstheme="minorHAnsi"/>
        </w:rPr>
        <w:t>Základním strategickým materiálem</w:t>
      </w:r>
      <w:r w:rsidR="00E07A60" w:rsidRPr="00050B20">
        <w:rPr>
          <w:rFonts w:asciiTheme="minorHAnsi" w:hAnsiTheme="minorHAnsi" w:cstheme="minorHAnsi"/>
        </w:rPr>
        <w:t xml:space="preserve"> pro zmírňování negativních následků sucha a nedostatku vody</w:t>
      </w:r>
      <w:r w:rsidRPr="00050B20">
        <w:rPr>
          <w:rFonts w:asciiTheme="minorHAnsi" w:hAnsiTheme="minorHAnsi" w:cstheme="minorHAnsi"/>
        </w:rPr>
        <w:t xml:space="preserve"> je </w:t>
      </w:r>
      <w:r w:rsidRPr="00050B20">
        <w:rPr>
          <w:rFonts w:asciiTheme="minorHAnsi" w:hAnsiTheme="minorHAnsi" w:cstheme="minorHAnsi"/>
          <w:i/>
        </w:rPr>
        <w:t>Koncepce ochrany před následky sucha pro území Č</w:t>
      </w:r>
      <w:r w:rsidR="009F7EFB">
        <w:rPr>
          <w:rFonts w:asciiTheme="minorHAnsi" w:hAnsiTheme="minorHAnsi" w:cstheme="minorHAnsi"/>
          <w:i/>
        </w:rPr>
        <w:t>eské republiky</w:t>
      </w:r>
      <w:r w:rsidRPr="00050B20">
        <w:rPr>
          <w:rFonts w:asciiTheme="minorHAnsi" w:hAnsiTheme="minorHAnsi" w:cstheme="minorHAnsi"/>
        </w:rPr>
        <w:t xml:space="preserve"> (dále též „Koncepce“). </w:t>
      </w:r>
      <w:r w:rsidR="006A3C39" w:rsidRPr="00050B20">
        <w:rPr>
          <w:rFonts w:asciiTheme="minorHAnsi" w:hAnsiTheme="minorHAnsi" w:cstheme="minorHAnsi"/>
        </w:rPr>
        <w:t>V Koncepc</w:t>
      </w:r>
      <w:r w:rsidR="00E07A60" w:rsidRPr="00050B20">
        <w:rPr>
          <w:rFonts w:asciiTheme="minorHAnsi" w:hAnsiTheme="minorHAnsi" w:cstheme="minorHAnsi"/>
        </w:rPr>
        <w:t>i je uvedeno celkem 30 opatření.</w:t>
      </w:r>
      <w:r w:rsidR="006A3C39" w:rsidRPr="00050B20">
        <w:rPr>
          <w:rFonts w:asciiTheme="minorHAnsi" w:hAnsiTheme="minorHAnsi" w:cstheme="minorHAnsi"/>
        </w:rPr>
        <w:t xml:space="preserve"> </w:t>
      </w:r>
      <w:r w:rsidR="00E07A60" w:rsidRPr="00050B20">
        <w:rPr>
          <w:rFonts w:asciiTheme="minorHAnsi" w:hAnsiTheme="minorHAnsi" w:cstheme="minorHAnsi"/>
        </w:rPr>
        <w:t>U</w:t>
      </w:r>
      <w:r w:rsidR="006A3C39" w:rsidRPr="00050B20">
        <w:rPr>
          <w:rFonts w:asciiTheme="minorHAnsi" w:hAnsiTheme="minorHAnsi" w:cstheme="minorHAnsi"/>
        </w:rPr>
        <w:t xml:space="preserve"> jednotlivých opatření </w:t>
      </w:r>
      <w:r w:rsidR="00E07A60" w:rsidRPr="00050B20">
        <w:rPr>
          <w:rFonts w:asciiTheme="minorHAnsi" w:hAnsiTheme="minorHAnsi" w:cstheme="minorHAnsi"/>
        </w:rPr>
        <w:t xml:space="preserve">však </w:t>
      </w:r>
      <w:r w:rsidR="006A3C39" w:rsidRPr="00050B20">
        <w:rPr>
          <w:rFonts w:asciiTheme="minorHAnsi" w:hAnsiTheme="minorHAnsi" w:cstheme="minorHAnsi"/>
        </w:rPr>
        <w:t>nejsou stanoveny cíle, které by byly konkrétní, měřitelné, realistické a termínované. V samot</w:t>
      </w:r>
      <w:r w:rsidR="0064641F" w:rsidRPr="00050B20">
        <w:rPr>
          <w:rFonts w:asciiTheme="minorHAnsi" w:hAnsiTheme="minorHAnsi" w:cstheme="minorHAnsi"/>
        </w:rPr>
        <w:t>ném textu Koncepce není uvedeno</w:t>
      </w:r>
      <w:r w:rsidR="006A3C39" w:rsidRPr="00050B20">
        <w:rPr>
          <w:rFonts w:asciiTheme="minorHAnsi" w:hAnsiTheme="minorHAnsi" w:cstheme="minorHAnsi"/>
        </w:rPr>
        <w:t>, kdo za realizaci</w:t>
      </w:r>
      <w:r w:rsidR="0064641F" w:rsidRPr="00050B20">
        <w:rPr>
          <w:rFonts w:asciiTheme="minorHAnsi" w:hAnsiTheme="minorHAnsi" w:cstheme="minorHAnsi"/>
        </w:rPr>
        <w:t xml:space="preserve"> jednotlivých opatření odpovídá</w:t>
      </w:r>
      <w:r w:rsidR="006A3C39" w:rsidRPr="00050B20">
        <w:rPr>
          <w:rFonts w:asciiTheme="minorHAnsi" w:hAnsiTheme="minorHAnsi" w:cstheme="minorHAnsi"/>
        </w:rPr>
        <w:t>. U</w:t>
      </w:r>
      <w:r w:rsidR="0064641F" w:rsidRPr="00050B20">
        <w:rPr>
          <w:rFonts w:asciiTheme="minorHAnsi" w:hAnsiTheme="minorHAnsi" w:cstheme="minorHAnsi"/>
        </w:rPr>
        <w:t> </w:t>
      </w:r>
      <w:r w:rsidR="006A3C39" w:rsidRPr="00050B20">
        <w:rPr>
          <w:rFonts w:asciiTheme="minorHAnsi" w:hAnsiTheme="minorHAnsi" w:cstheme="minorHAnsi"/>
        </w:rPr>
        <w:t xml:space="preserve">některých opatření postupují </w:t>
      </w:r>
      <w:proofErr w:type="spellStart"/>
      <w:r w:rsidR="00BD76EF" w:rsidRPr="00050B20">
        <w:rPr>
          <w:rFonts w:asciiTheme="minorHAnsi" w:hAnsiTheme="minorHAnsi" w:cstheme="minorHAnsi"/>
        </w:rPr>
        <w:t>MZe</w:t>
      </w:r>
      <w:proofErr w:type="spellEnd"/>
      <w:r w:rsidR="00BD76EF" w:rsidRPr="00050B20">
        <w:rPr>
          <w:rFonts w:asciiTheme="minorHAnsi" w:hAnsiTheme="minorHAnsi" w:cstheme="minorHAnsi"/>
        </w:rPr>
        <w:t xml:space="preserve"> a MŽP</w:t>
      </w:r>
      <w:r w:rsidR="006A3C39" w:rsidRPr="00050B20">
        <w:rPr>
          <w:rFonts w:asciiTheme="minorHAnsi" w:hAnsiTheme="minorHAnsi" w:cstheme="minorHAnsi"/>
        </w:rPr>
        <w:t xml:space="preserve"> </w:t>
      </w:r>
      <w:r w:rsidR="008C0372" w:rsidRPr="00050B20">
        <w:rPr>
          <w:rFonts w:asciiTheme="minorHAnsi" w:hAnsiTheme="minorHAnsi" w:cstheme="minorHAnsi"/>
        </w:rPr>
        <w:t>v rozporu s</w:t>
      </w:r>
      <w:r w:rsidR="00650A93" w:rsidRPr="00050B20">
        <w:rPr>
          <w:rFonts w:asciiTheme="minorHAnsi" w:hAnsiTheme="minorHAnsi" w:cstheme="minorHAnsi"/>
        </w:rPr>
        <w:t> </w:t>
      </w:r>
      <w:r w:rsidR="008C0372" w:rsidRPr="00050B20">
        <w:rPr>
          <w:rFonts w:asciiTheme="minorHAnsi" w:hAnsiTheme="minorHAnsi" w:cstheme="minorHAnsi"/>
        </w:rPr>
        <w:t>Koncepcí</w:t>
      </w:r>
      <w:r w:rsidR="00650A93" w:rsidRPr="00050B20">
        <w:rPr>
          <w:rFonts w:asciiTheme="minorHAnsi" w:hAnsiTheme="minorHAnsi" w:cstheme="minorHAnsi"/>
        </w:rPr>
        <w:t xml:space="preserve"> (</w:t>
      </w:r>
      <w:r w:rsidR="008F7746" w:rsidRPr="00050B20">
        <w:rPr>
          <w:rFonts w:asciiTheme="minorHAnsi" w:hAnsiTheme="minorHAnsi" w:cstheme="minorHAnsi"/>
        </w:rPr>
        <w:t xml:space="preserve">opatření </w:t>
      </w:r>
      <w:r w:rsidR="008F7746" w:rsidRPr="00CD158C">
        <w:rPr>
          <w:rFonts w:asciiTheme="minorHAnsi" w:hAnsiTheme="minorHAnsi" w:cstheme="minorHAnsi"/>
          <w:i/>
        </w:rPr>
        <w:t>Změna zemědělské politiky v</w:t>
      </w:r>
      <w:r w:rsidR="00650A93" w:rsidRPr="00CD158C">
        <w:rPr>
          <w:rFonts w:asciiTheme="minorHAnsi" w:hAnsiTheme="minorHAnsi" w:cstheme="minorHAnsi"/>
          <w:i/>
        </w:rPr>
        <w:t> oblasti podpory pěstování energetických plodin</w:t>
      </w:r>
      <w:r w:rsidR="00650A93" w:rsidRPr="00050B20">
        <w:rPr>
          <w:rFonts w:asciiTheme="minorHAnsi" w:hAnsiTheme="minorHAnsi" w:cstheme="minorHAnsi"/>
        </w:rPr>
        <w:t>)</w:t>
      </w:r>
      <w:r w:rsidR="006A3C39" w:rsidRPr="00050B20">
        <w:rPr>
          <w:rFonts w:asciiTheme="minorHAnsi" w:hAnsiTheme="minorHAnsi" w:cstheme="minorHAnsi"/>
        </w:rPr>
        <w:t>.</w:t>
      </w:r>
    </w:p>
    <w:p w14:paraId="023A0BB2" w14:textId="77777777" w:rsidR="00050B20" w:rsidRPr="00050B20" w:rsidRDefault="00050B20" w:rsidP="00050B20">
      <w:pPr>
        <w:spacing w:before="0"/>
      </w:pPr>
    </w:p>
    <w:p w14:paraId="4C864E48" w14:textId="2B464D58" w:rsidR="00366823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D50A3" w:rsidRPr="00050B20">
        <w:rPr>
          <w:sz w:val="24"/>
          <w:szCs w:val="24"/>
        </w:rPr>
        <w:t>Absence konkrétních a měřitelných cílů</w:t>
      </w:r>
      <w:r w:rsidR="007509A1" w:rsidRPr="00050B20">
        <w:rPr>
          <w:sz w:val="24"/>
          <w:szCs w:val="24"/>
        </w:rPr>
        <w:t xml:space="preserve"> a ukazatelů</w:t>
      </w:r>
      <w:r w:rsidR="001D50A3" w:rsidRPr="00050B20">
        <w:rPr>
          <w:sz w:val="24"/>
          <w:szCs w:val="24"/>
        </w:rPr>
        <w:t xml:space="preserve"> pro oblast sucha</w:t>
      </w:r>
    </w:p>
    <w:p w14:paraId="0A332FEB" w14:textId="77777777" w:rsidR="00050B20" w:rsidRDefault="00050B20" w:rsidP="00050B20">
      <w:pPr>
        <w:keepNext/>
        <w:spacing w:before="0"/>
      </w:pPr>
    </w:p>
    <w:p w14:paraId="7F4D4CB2" w14:textId="3304622D" w:rsidR="008F0320" w:rsidRDefault="00B37400" w:rsidP="00050B20">
      <w:pPr>
        <w:spacing w:before="0"/>
      </w:pPr>
      <w:r>
        <w:t>T</w:t>
      </w:r>
      <w:r w:rsidR="005B6434" w:rsidRPr="00050B20">
        <w:t>éměř</w:t>
      </w:r>
      <w:r w:rsidR="00366823" w:rsidRPr="00050B20">
        <w:t xml:space="preserve"> </w:t>
      </w:r>
      <w:r>
        <w:t xml:space="preserve">pro </w:t>
      </w:r>
      <w:r w:rsidR="00366823" w:rsidRPr="00050B20">
        <w:t xml:space="preserve">všechny dotační </w:t>
      </w:r>
      <w:r w:rsidR="002B5612" w:rsidRPr="00050B20">
        <w:t>programy</w:t>
      </w:r>
      <w:r w:rsidR="00366823" w:rsidRPr="00050B20">
        <w:t xml:space="preserve"> realizované </w:t>
      </w:r>
      <w:proofErr w:type="spellStart"/>
      <w:r w:rsidR="00366823" w:rsidRPr="00050B20">
        <w:t>MZe</w:t>
      </w:r>
      <w:proofErr w:type="spellEnd"/>
      <w:r w:rsidR="00930C8D" w:rsidRPr="00050B20">
        <w:t xml:space="preserve"> a MŽP</w:t>
      </w:r>
      <w:r w:rsidR="00366823" w:rsidRPr="00050B20">
        <w:t xml:space="preserve"> </w:t>
      </w:r>
      <w:r w:rsidR="005950C1" w:rsidRPr="00050B20">
        <w:t>v rámci</w:t>
      </w:r>
      <w:r>
        <w:t xml:space="preserve"> </w:t>
      </w:r>
      <w:r w:rsidR="00366823" w:rsidRPr="00050B20">
        <w:t>problemati</w:t>
      </w:r>
      <w:r w:rsidR="005950C1" w:rsidRPr="00050B20">
        <w:t>ky</w:t>
      </w:r>
      <w:r w:rsidR="00366823" w:rsidRPr="00050B20">
        <w:t xml:space="preserve"> sucha a</w:t>
      </w:r>
      <w:r w:rsidR="00050B20">
        <w:t> </w:t>
      </w:r>
      <w:r w:rsidR="00366823" w:rsidRPr="00050B20">
        <w:t xml:space="preserve">nedostatku vody platí, že jejich </w:t>
      </w:r>
      <w:r w:rsidR="001F26C3" w:rsidRPr="00050B20">
        <w:t>hlavním</w:t>
      </w:r>
      <w:r w:rsidR="00366823" w:rsidRPr="00050B20">
        <w:t xml:space="preserve"> cílem a účelem ne</w:t>
      </w:r>
      <w:r w:rsidR="00E07A60" w:rsidRPr="00050B20">
        <w:t>bylo</w:t>
      </w:r>
      <w:r w:rsidR="00366823" w:rsidRPr="00050B20">
        <w:t xml:space="preserve"> řešit problematiku sucha. </w:t>
      </w:r>
      <w:r w:rsidR="007509A1" w:rsidRPr="00050B20">
        <w:t>Tomu odpovídají stanovené cíle a ukazatele</w:t>
      </w:r>
      <w:r w:rsidR="00366823" w:rsidRPr="00050B20">
        <w:t>, které slouží k hodnocení nastavených cílů programu, nikoli však</w:t>
      </w:r>
      <w:r w:rsidR="001F26C3" w:rsidRPr="00050B20">
        <w:t xml:space="preserve"> k tomu, aby byl sledován a hodnocen přínos dotačních programů k zmírňování dopadů sucha a nedostatku vody</w:t>
      </w:r>
      <w:r w:rsidR="00366823" w:rsidRPr="00050B20">
        <w:t xml:space="preserve">. </w:t>
      </w:r>
      <w:r w:rsidR="008C0372" w:rsidRPr="00050B20">
        <w:t>Přínosy</w:t>
      </w:r>
      <w:r w:rsidR="004B5D67" w:rsidRPr="00050B20">
        <w:t xml:space="preserve"> vynaložených prostředků</w:t>
      </w:r>
      <w:r w:rsidR="00A615A4" w:rsidRPr="00050B20">
        <w:t xml:space="preserve"> ve vztahu k problematice sucha</w:t>
      </w:r>
      <w:r w:rsidR="004B5D67" w:rsidRPr="00050B20">
        <w:t xml:space="preserve"> byly neprokazatelné.</w:t>
      </w:r>
    </w:p>
    <w:p w14:paraId="0637AAA8" w14:textId="77777777" w:rsidR="00050B20" w:rsidRPr="00050B20" w:rsidRDefault="00050B20" w:rsidP="00050B20">
      <w:pPr>
        <w:spacing w:before="0"/>
      </w:pPr>
    </w:p>
    <w:p w14:paraId="66156583" w14:textId="6563B75C" w:rsidR="00081FD8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C27E2" w:rsidRPr="00050B20">
        <w:rPr>
          <w:sz w:val="24"/>
          <w:szCs w:val="24"/>
        </w:rPr>
        <w:t>Nerealizované nové dotační programy</w:t>
      </w:r>
    </w:p>
    <w:p w14:paraId="3C60C80C" w14:textId="77777777" w:rsidR="00050B20" w:rsidRDefault="00050B20" w:rsidP="00050B20">
      <w:pPr>
        <w:keepNext/>
        <w:spacing w:before="0"/>
      </w:pPr>
    </w:p>
    <w:p w14:paraId="088FBCC8" w14:textId="53A2E5FD" w:rsidR="005950C1" w:rsidRPr="00050B20" w:rsidRDefault="003C27E2" w:rsidP="00050B20">
      <w:pPr>
        <w:spacing w:before="0"/>
      </w:pPr>
      <w:proofErr w:type="spellStart"/>
      <w:r w:rsidRPr="00050B20">
        <w:t>MZe</w:t>
      </w:r>
      <w:proofErr w:type="spellEnd"/>
      <w:r w:rsidRPr="00050B20">
        <w:t xml:space="preserve"> a MŽP n</w:t>
      </w:r>
      <w:r w:rsidR="00B27F95" w:rsidRPr="00050B20">
        <w:t>ezahájily téměř žádné nové</w:t>
      </w:r>
      <w:r w:rsidR="008C0372" w:rsidRPr="00050B20">
        <w:t xml:space="preserve"> dotační</w:t>
      </w:r>
      <w:r w:rsidR="00B27F95" w:rsidRPr="00050B20">
        <w:t xml:space="preserve"> programy určené na zmírňování dopadů sucha a nedostatku vody, případně </w:t>
      </w:r>
      <w:r w:rsidR="00B37400" w:rsidRPr="00050B20">
        <w:t xml:space="preserve">bylo </w:t>
      </w:r>
      <w:r w:rsidR="00B27F95" w:rsidRPr="00050B20">
        <w:t>v těchto programech nízké čerpání</w:t>
      </w:r>
      <w:r w:rsidR="00014B71" w:rsidRPr="00050B20">
        <w:t xml:space="preserve"> peněžních prostředků</w:t>
      </w:r>
      <w:r w:rsidR="00B27F95" w:rsidRPr="00050B20">
        <w:t>.</w:t>
      </w:r>
      <w:r w:rsidRPr="00050B20">
        <w:t xml:space="preserve"> </w:t>
      </w:r>
      <w:proofErr w:type="spellStart"/>
      <w:r w:rsidRPr="00050B20">
        <w:t>MZe</w:t>
      </w:r>
      <w:proofErr w:type="spellEnd"/>
      <w:r w:rsidRPr="00050B20">
        <w:t xml:space="preserve"> a MŽP realizují dlouhodobě stále stejné dotační programy, které nemají za hlavní cíl boj se suchem.</w:t>
      </w:r>
    </w:p>
    <w:p w14:paraId="279D99B1" w14:textId="77777777" w:rsidR="00050B20" w:rsidRDefault="00050B20" w:rsidP="00050B20">
      <w:pPr>
        <w:spacing w:before="0"/>
      </w:pPr>
    </w:p>
    <w:p w14:paraId="5DE434F8" w14:textId="2B5E004A" w:rsidR="001D0350" w:rsidRPr="00050B20" w:rsidRDefault="00081FD8" w:rsidP="00050B20">
      <w:pPr>
        <w:spacing w:before="0"/>
      </w:pPr>
      <w:r w:rsidRPr="00050B20">
        <w:t>V Koncepc</w:t>
      </w:r>
      <w:r w:rsidR="003C27E2" w:rsidRPr="00050B20">
        <w:t>i</w:t>
      </w:r>
      <w:r w:rsidRPr="00050B20">
        <w:t xml:space="preserve"> </w:t>
      </w:r>
      <w:proofErr w:type="spellStart"/>
      <w:r w:rsidRPr="00050B20">
        <w:t>MZe</w:t>
      </w:r>
      <w:proofErr w:type="spellEnd"/>
      <w:r w:rsidRPr="00050B20">
        <w:t xml:space="preserve"> uvedlo přehled </w:t>
      </w:r>
      <w:r w:rsidR="002F4B1F" w:rsidRPr="00050B20">
        <w:t xml:space="preserve">15 národních </w:t>
      </w:r>
      <w:r w:rsidRPr="00050B20">
        <w:t xml:space="preserve">dotačních </w:t>
      </w:r>
      <w:r w:rsidR="002B5612" w:rsidRPr="00050B20">
        <w:t>programů</w:t>
      </w:r>
      <w:r w:rsidRPr="00050B20">
        <w:t xml:space="preserve"> v gesci </w:t>
      </w:r>
      <w:proofErr w:type="spellStart"/>
      <w:r w:rsidRPr="00050B20">
        <w:t>MZe</w:t>
      </w:r>
      <w:proofErr w:type="spellEnd"/>
      <w:r w:rsidRPr="00050B20">
        <w:t xml:space="preserve"> financujících opatření na zm</w:t>
      </w:r>
      <w:r w:rsidR="00702129" w:rsidRPr="00050B20">
        <w:t xml:space="preserve">írnění negativních dopadů sucha, pět </w:t>
      </w:r>
      <w:r w:rsidR="00E07A60" w:rsidRPr="00050B20">
        <w:t>z</w:t>
      </w:r>
      <w:r w:rsidR="00702129" w:rsidRPr="00050B20">
        <w:t> nich</w:t>
      </w:r>
      <w:r w:rsidRPr="00050B20">
        <w:t xml:space="preserve"> </w:t>
      </w:r>
      <w:r w:rsidR="00ED613A" w:rsidRPr="00050B20">
        <w:t>k 31.</w:t>
      </w:r>
      <w:r w:rsidR="00034BEC" w:rsidRPr="00050B20">
        <w:t> </w:t>
      </w:r>
      <w:r w:rsidR="00ED613A" w:rsidRPr="00050B20">
        <w:t>12. 2018 nebylo zahájeno</w:t>
      </w:r>
      <w:r w:rsidR="00702129" w:rsidRPr="00050B20">
        <w:t xml:space="preserve"> – </w:t>
      </w:r>
      <w:r w:rsidR="00E07A60" w:rsidRPr="00050B20">
        <w:t>jedná se</w:t>
      </w:r>
      <w:r w:rsidR="008C0372" w:rsidRPr="00050B20">
        <w:t xml:space="preserve"> právě</w:t>
      </w:r>
      <w:r w:rsidR="00702129" w:rsidRPr="00050B20">
        <w:t xml:space="preserve"> o nové dotační programy</w:t>
      </w:r>
      <w:r w:rsidR="00E07A60" w:rsidRPr="00050B20">
        <w:t xml:space="preserve"> </w:t>
      </w:r>
      <w:r w:rsidR="00702129" w:rsidRPr="00050B20">
        <w:t>(</w:t>
      </w:r>
      <w:r w:rsidR="007A6A3B" w:rsidRPr="00050B20">
        <w:t>např. program zaměřený na výstavbu přehrad)</w:t>
      </w:r>
      <w:r w:rsidRPr="00050B20">
        <w:t xml:space="preserve">. </w:t>
      </w:r>
    </w:p>
    <w:p w14:paraId="30968C76" w14:textId="77777777" w:rsidR="00050B20" w:rsidRDefault="00050B20" w:rsidP="00050B20">
      <w:pPr>
        <w:spacing w:before="0"/>
      </w:pPr>
    </w:p>
    <w:p w14:paraId="53F7B672" w14:textId="45A2864E" w:rsidR="00050B20" w:rsidRDefault="007A6A3B" w:rsidP="00050B20">
      <w:pPr>
        <w:spacing w:before="0"/>
      </w:pPr>
      <w:r w:rsidRPr="00050B20">
        <w:t xml:space="preserve">V resortu MŽP </w:t>
      </w:r>
      <w:r w:rsidR="00B34086" w:rsidRPr="00050B20">
        <w:t>je</w:t>
      </w:r>
      <w:r w:rsidRPr="00050B20">
        <w:t xml:space="preserve"> </w:t>
      </w:r>
      <w:r w:rsidR="00B34086" w:rsidRPr="00050B20">
        <w:t>n</w:t>
      </w:r>
      <w:r w:rsidRPr="00050B20">
        <w:t xml:space="preserve">ovým </w:t>
      </w:r>
      <w:r w:rsidR="00B34086" w:rsidRPr="00050B20">
        <w:t xml:space="preserve">přístupem k řešení problematiky </w:t>
      </w:r>
      <w:r w:rsidR="00817AC5" w:rsidRPr="00050B20">
        <w:t>sucha</w:t>
      </w:r>
      <w:r w:rsidR="00B34086" w:rsidRPr="00050B20">
        <w:t xml:space="preserve"> a nedostatku vody</w:t>
      </w:r>
      <w:r w:rsidR="008C0372" w:rsidRPr="00050B20">
        <w:t xml:space="preserve"> </w:t>
      </w:r>
      <w:r w:rsidR="00B37400">
        <w:t xml:space="preserve">program </w:t>
      </w:r>
      <w:r w:rsidR="008C0372" w:rsidRPr="00050B20">
        <w:t>hospodaření se srážkovými vodami</w:t>
      </w:r>
      <w:r w:rsidR="00B37400">
        <w:t>,</w:t>
      </w:r>
      <w:r w:rsidR="00817AC5" w:rsidRPr="00050B20">
        <w:t xml:space="preserve"> </w:t>
      </w:r>
      <w:r w:rsidRPr="00050B20">
        <w:t>t</w:t>
      </w:r>
      <w:r w:rsidR="00817AC5" w:rsidRPr="00050B20">
        <w:t>zv.</w:t>
      </w:r>
      <w:r w:rsidR="008C0372" w:rsidRPr="00050B20">
        <w:t> </w:t>
      </w:r>
      <w:r w:rsidR="00817AC5" w:rsidRPr="00050B20">
        <w:t xml:space="preserve">Dešťovka, </w:t>
      </w:r>
      <w:r w:rsidR="00034BEC" w:rsidRPr="00050B20">
        <w:t xml:space="preserve">z </w:t>
      </w:r>
      <w:r w:rsidR="00B37400">
        <w:t>něhož</w:t>
      </w:r>
      <w:r w:rsidR="00817AC5" w:rsidRPr="00050B20">
        <w:t xml:space="preserve"> </w:t>
      </w:r>
      <w:r w:rsidR="00B37400">
        <w:t xml:space="preserve">bylo </w:t>
      </w:r>
      <w:r w:rsidR="0064641F" w:rsidRPr="00050B20">
        <w:t>z národních zdrojů</w:t>
      </w:r>
      <w:r w:rsidR="008842E0" w:rsidRPr="00050B20">
        <w:t xml:space="preserve"> v období let 2016–</w:t>
      </w:r>
      <w:r w:rsidR="00817AC5" w:rsidRPr="00050B20">
        <w:t>2018 vyčerp</w:t>
      </w:r>
      <w:r w:rsidR="00B37400">
        <w:t>áno</w:t>
      </w:r>
      <w:r w:rsidR="00817AC5" w:rsidRPr="00050B20">
        <w:t xml:space="preserve"> 4</w:t>
      </w:r>
      <w:r w:rsidR="000A279D" w:rsidRPr="00050B20">
        <w:t>2</w:t>
      </w:r>
      <w:r w:rsidR="00C56A2F">
        <w:t xml:space="preserve"> mil.</w:t>
      </w:r>
      <w:r w:rsidR="00817AC5" w:rsidRPr="00050B20">
        <w:t xml:space="preserve"> Kč.</w:t>
      </w:r>
    </w:p>
    <w:p w14:paraId="6A35CCC6" w14:textId="05015B63" w:rsidR="00817AC5" w:rsidRPr="00050B20" w:rsidRDefault="00817AC5" w:rsidP="00050B20">
      <w:pPr>
        <w:spacing w:before="0"/>
      </w:pPr>
    </w:p>
    <w:p w14:paraId="2CFDC0DE" w14:textId="061D4A25" w:rsidR="00665289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665289" w:rsidRPr="00050B20">
        <w:rPr>
          <w:sz w:val="24"/>
          <w:szCs w:val="24"/>
        </w:rPr>
        <w:t>Miliardové chyby ve výkaznictví</w:t>
      </w:r>
    </w:p>
    <w:p w14:paraId="69BA6045" w14:textId="77777777" w:rsidR="00050B20" w:rsidRDefault="00050B20" w:rsidP="00050B20">
      <w:pPr>
        <w:keepNext/>
        <w:spacing w:before="0"/>
      </w:pPr>
    </w:p>
    <w:p w14:paraId="1DDCBE92" w14:textId="52FF2C87" w:rsidR="00665289" w:rsidRDefault="007A6A3B" w:rsidP="00050B20">
      <w:pPr>
        <w:spacing w:before="0"/>
      </w:pPr>
      <w:proofErr w:type="spellStart"/>
      <w:r w:rsidRPr="00050B20">
        <w:t>MZe</w:t>
      </w:r>
      <w:proofErr w:type="spellEnd"/>
      <w:r w:rsidRPr="00050B20">
        <w:t xml:space="preserve"> v materiálech pro vládu vykázalo celkovou</w:t>
      </w:r>
      <w:r w:rsidR="00665289" w:rsidRPr="00050B20">
        <w:t xml:space="preserve"> částk</w:t>
      </w:r>
      <w:r w:rsidRPr="00050B20">
        <w:t xml:space="preserve">u vynaloženou na boj se suchem ve výši 29 </w:t>
      </w:r>
      <w:r w:rsidR="00483D3F">
        <w:t>mld</w:t>
      </w:r>
      <w:r w:rsidR="00880EA9">
        <w:t>.</w:t>
      </w:r>
      <w:r w:rsidRPr="00050B20">
        <w:t xml:space="preserve"> Kč</w:t>
      </w:r>
      <w:r w:rsidR="00665289" w:rsidRPr="00050B20">
        <w:t xml:space="preserve">. Kontrolou však bylo zjištěno, že při stanovování výše této částky ze strany </w:t>
      </w:r>
      <w:proofErr w:type="spellStart"/>
      <w:r w:rsidR="00665289" w:rsidRPr="00050B20">
        <w:t>MZe</w:t>
      </w:r>
      <w:proofErr w:type="spellEnd"/>
      <w:r w:rsidR="00665289" w:rsidRPr="00050B20">
        <w:t xml:space="preserve"> došlo k celé řadě nesprávností. Kontrolou zjištěná částka vyplacených prostředků na</w:t>
      </w:r>
      <w:r w:rsidR="00BA02F2">
        <w:t xml:space="preserve"> </w:t>
      </w:r>
      <w:r w:rsidR="00665289" w:rsidRPr="00050B20">
        <w:t xml:space="preserve">problematiku sucha </w:t>
      </w:r>
      <w:r w:rsidR="0064641F" w:rsidRPr="00050B20">
        <w:t>byla</w:t>
      </w:r>
      <w:r w:rsidR="00665289" w:rsidRPr="00050B20">
        <w:t xml:space="preserve"> ve výši necelých 26 m</w:t>
      </w:r>
      <w:r w:rsidR="00483D3F">
        <w:t>ld</w:t>
      </w:r>
      <w:r w:rsidR="00880EA9">
        <w:t>.</w:t>
      </w:r>
      <w:r w:rsidR="00483D3F">
        <w:t xml:space="preserve"> Kč. </w:t>
      </w:r>
      <w:r w:rsidR="00665289" w:rsidRPr="00050B20">
        <w:t>Rozdíl tak činil</w:t>
      </w:r>
      <w:r w:rsidR="00D03CD2" w:rsidRPr="00050B20">
        <w:t xml:space="preserve"> více než</w:t>
      </w:r>
      <w:r w:rsidR="00665289" w:rsidRPr="00050B20">
        <w:t xml:space="preserve"> 3</w:t>
      </w:r>
      <w:r w:rsidR="00BA02F2">
        <w:t> </w:t>
      </w:r>
      <w:r w:rsidR="00483D3F">
        <w:t>mld</w:t>
      </w:r>
      <w:r w:rsidR="00880EA9">
        <w:t>.</w:t>
      </w:r>
      <w:r w:rsidR="00483D3F">
        <w:t xml:space="preserve"> Kč.</w:t>
      </w:r>
    </w:p>
    <w:p w14:paraId="149389D0" w14:textId="77777777" w:rsidR="00050B20" w:rsidRPr="00050B20" w:rsidRDefault="00050B20" w:rsidP="00050B20">
      <w:pPr>
        <w:spacing w:before="0"/>
      </w:pPr>
    </w:p>
    <w:p w14:paraId="3887AA2D" w14:textId="543C3104" w:rsidR="00665289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65289" w:rsidRPr="00050B20">
        <w:rPr>
          <w:sz w:val="24"/>
          <w:szCs w:val="24"/>
        </w:rPr>
        <w:t xml:space="preserve">Rozpory mezi </w:t>
      </w:r>
      <w:proofErr w:type="spellStart"/>
      <w:proofErr w:type="gramStart"/>
      <w:r w:rsidR="00665289" w:rsidRPr="00050B20">
        <w:rPr>
          <w:sz w:val="24"/>
          <w:szCs w:val="24"/>
        </w:rPr>
        <w:t>MZe</w:t>
      </w:r>
      <w:proofErr w:type="spellEnd"/>
      <w:proofErr w:type="gramEnd"/>
      <w:r w:rsidR="00665289" w:rsidRPr="00050B20">
        <w:rPr>
          <w:sz w:val="24"/>
          <w:szCs w:val="24"/>
        </w:rPr>
        <w:t xml:space="preserve"> a MŽP</w:t>
      </w:r>
    </w:p>
    <w:p w14:paraId="2A252550" w14:textId="77777777" w:rsidR="00050B20" w:rsidRDefault="00050B20" w:rsidP="00050B20">
      <w:pPr>
        <w:keepNext/>
        <w:spacing w:before="0"/>
      </w:pPr>
    </w:p>
    <w:p w14:paraId="4A3A4177" w14:textId="39B382C9" w:rsidR="007A6A3B" w:rsidRDefault="00184BE3" w:rsidP="00050B20">
      <w:pPr>
        <w:spacing w:before="0"/>
      </w:pPr>
      <w:r w:rsidRPr="00050B20">
        <w:t xml:space="preserve">Spolupráce </w:t>
      </w:r>
      <w:proofErr w:type="spellStart"/>
      <w:r w:rsidRPr="00050B20">
        <w:t>MZe</w:t>
      </w:r>
      <w:proofErr w:type="spellEnd"/>
      <w:r w:rsidRPr="00050B20">
        <w:t xml:space="preserve"> a MŽP v oblasti </w:t>
      </w:r>
      <w:r w:rsidR="003C27E2" w:rsidRPr="00050B20">
        <w:t xml:space="preserve">zmírnění dopadů </w:t>
      </w:r>
      <w:r w:rsidRPr="00050B20">
        <w:t>sucha</w:t>
      </w:r>
      <w:r w:rsidR="003C27E2" w:rsidRPr="00050B20">
        <w:t xml:space="preserve"> a nedostatku vody</w:t>
      </w:r>
      <w:r w:rsidRPr="00050B20">
        <w:t xml:space="preserve"> nebyla</w:t>
      </w:r>
      <w:r w:rsidR="008C0372" w:rsidRPr="00050B20">
        <w:t xml:space="preserve"> vždy</w:t>
      </w:r>
      <w:r w:rsidRPr="00050B20">
        <w:t xml:space="preserve"> optimální. To dokazuje mj. </w:t>
      </w:r>
      <w:r w:rsidR="00930C8D" w:rsidRPr="00050B20">
        <w:t>nepřijetí protierozní vyhlášky, která je klíčová pro zlepšení hospodaření na zemědělské půdě a posílení její schopnosti zadržet vodu. Další</w:t>
      </w:r>
      <w:r w:rsidR="00B40F19" w:rsidRPr="00050B20">
        <w:t>m</w:t>
      </w:r>
      <w:r w:rsidR="00930C8D" w:rsidRPr="00050B20">
        <w:t xml:space="preserve"> příkladem je</w:t>
      </w:r>
      <w:r w:rsidRPr="00050B20">
        <w:t xml:space="preserve"> realizace protichůdných dotačních </w:t>
      </w:r>
      <w:r w:rsidR="00B40F19" w:rsidRPr="00050B20">
        <w:t>programů</w:t>
      </w:r>
      <w:r w:rsidRPr="00050B20">
        <w:t>. Z </w:t>
      </w:r>
      <w:r w:rsidR="00B40F19" w:rsidRPr="00050B20">
        <w:t>rozpočtu</w:t>
      </w:r>
      <w:r w:rsidRPr="00050B20">
        <w:t xml:space="preserve"> </w:t>
      </w:r>
      <w:proofErr w:type="spellStart"/>
      <w:r w:rsidRPr="00050B20">
        <w:t>MZe</w:t>
      </w:r>
      <w:proofErr w:type="spellEnd"/>
      <w:r w:rsidRPr="00050B20">
        <w:t xml:space="preserve"> dochází k technickým úpravám koryt drobných vodních toků, bez požadavku na přírodě blízký stav. Z dotačního programu MŽP dochází k odstraňování nevhodných technických úprav a vracení vodních koryt přírodě blízkému stavu. Rovněž v oblasti dotací na kanalizace mezi </w:t>
      </w:r>
      <w:proofErr w:type="spellStart"/>
      <w:proofErr w:type="gramStart"/>
      <w:r w:rsidRPr="00050B20">
        <w:t>MZe</w:t>
      </w:r>
      <w:proofErr w:type="spellEnd"/>
      <w:proofErr w:type="gramEnd"/>
      <w:r w:rsidRPr="00050B20">
        <w:t xml:space="preserve"> a MŽP nepanovala shoda. Tyto dotace poskytoval</w:t>
      </w:r>
      <w:r w:rsidR="004124BA" w:rsidRPr="00050B20">
        <w:t>y</w:t>
      </w:r>
      <w:r w:rsidRPr="00050B20">
        <w:t xml:space="preserve"> </w:t>
      </w:r>
      <w:proofErr w:type="spellStart"/>
      <w:r w:rsidRPr="00050B20">
        <w:t>MZe</w:t>
      </w:r>
      <w:proofErr w:type="spellEnd"/>
      <w:r w:rsidRPr="00050B20">
        <w:t xml:space="preserve"> i MŽP</w:t>
      </w:r>
      <w:r w:rsidR="00B20F43" w:rsidRPr="00050B20">
        <w:t xml:space="preserve">, pouze </w:t>
      </w:r>
      <w:proofErr w:type="spellStart"/>
      <w:r w:rsidR="00B20F43" w:rsidRPr="00050B20">
        <w:t>MZe</w:t>
      </w:r>
      <w:proofErr w:type="spellEnd"/>
      <w:r w:rsidR="00DD0E51" w:rsidRPr="00050B20">
        <w:t xml:space="preserve"> však</w:t>
      </w:r>
      <w:r w:rsidR="00B20F43" w:rsidRPr="00050B20">
        <w:t xml:space="preserve"> podporu o</w:t>
      </w:r>
      <w:r w:rsidRPr="00050B20">
        <w:t>blast</w:t>
      </w:r>
      <w:r w:rsidR="00B20F43" w:rsidRPr="00050B20">
        <w:t>i</w:t>
      </w:r>
      <w:r w:rsidRPr="00050B20">
        <w:t xml:space="preserve"> kanalizací </w:t>
      </w:r>
      <w:r w:rsidR="00B20F43" w:rsidRPr="00050B20">
        <w:t>zařadilo mezi dotační programy financující zmírnění negativních dopadů sucha a nedostatku vody, na rozdíl od MŽP.</w:t>
      </w:r>
    </w:p>
    <w:p w14:paraId="64F6CFA7" w14:textId="77777777" w:rsidR="00050B20" w:rsidRPr="00050B20" w:rsidRDefault="00050B20" w:rsidP="00050B20">
      <w:pPr>
        <w:spacing w:before="0"/>
      </w:pPr>
    </w:p>
    <w:p w14:paraId="3958C5AA" w14:textId="6DFE1089" w:rsidR="00F05EBC" w:rsidRPr="00050B20" w:rsidRDefault="00050B20" w:rsidP="00050B20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F1B50" w:rsidRPr="00050B20">
        <w:rPr>
          <w:sz w:val="24"/>
          <w:szCs w:val="24"/>
        </w:rPr>
        <w:t>Rostoucí š</w:t>
      </w:r>
      <w:r w:rsidR="00F05EBC" w:rsidRPr="00050B20">
        <w:rPr>
          <w:sz w:val="24"/>
          <w:szCs w:val="24"/>
        </w:rPr>
        <w:t>kod</w:t>
      </w:r>
      <w:r w:rsidR="00665289" w:rsidRPr="00050B20">
        <w:rPr>
          <w:sz w:val="24"/>
          <w:szCs w:val="24"/>
        </w:rPr>
        <w:t>y způsobené suchem a jejich</w:t>
      </w:r>
      <w:r w:rsidR="00AD7E3F" w:rsidRPr="00050B20">
        <w:rPr>
          <w:sz w:val="24"/>
          <w:szCs w:val="24"/>
        </w:rPr>
        <w:t xml:space="preserve"> finanční</w:t>
      </w:r>
      <w:r w:rsidR="00665289" w:rsidRPr="00050B20">
        <w:rPr>
          <w:sz w:val="24"/>
          <w:szCs w:val="24"/>
        </w:rPr>
        <w:t xml:space="preserve"> náhrady</w:t>
      </w:r>
    </w:p>
    <w:p w14:paraId="693CEE50" w14:textId="77777777" w:rsidR="00050B20" w:rsidRDefault="00050B20" w:rsidP="00050B20">
      <w:pPr>
        <w:keepNext/>
        <w:spacing w:before="0"/>
      </w:pPr>
    </w:p>
    <w:p w14:paraId="1DA3DA8F" w14:textId="11619FD2" w:rsidR="00665289" w:rsidRPr="00050B20" w:rsidRDefault="00D06887" w:rsidP="00050B20">
      <w:pPr>
        <w:spacing w:before="0"/>
      </w:pPr>
      <w:r w:rsidRPr="00050B20">
        <w:t>Š</w:t>
      </w:r>
      <w:r w:rsidR="00665289" w:rsidRPr="00050B20">
        <w:t xml:space="preserve">kody vzniklé suchem </w:t>
      </w:r>
      <w:r w:rsidR="00665289" w:rsidRPr="00050B20">
        <w:rPr>
          <w:bCs/>
        </w:rPr>
        <w:t>v posledních letech</w:t>
      </w:r>
      <w:r w:rsidR="00B27F95" w:rsidRPr="00050B20">
        <w:rPr>
          <w:bCs/>
        </w:rPr>
        <w:t xml:space="preserve"> rostly. O</w:t>
      </w:r>
      <w:r w:rsidR="00665289" w:rsidRPr="00050B20">
        <w:t>dhad skutečné celkové škody způsobené suchem v zemědělství a lesním hospodářství byl</w:t>
      </w:r>
      <w:r w:rsidR="00740142" w:rsidRPr="00050B20">
        <w:t xml:space="preserve"> dle </w:t>
      </w:r>
      <w:proofErr w:type="spellStart"/>
      <w:proofErr w:type="gramStart"/>
      <w:r w:rsidR="00740142" w:rsidRPr="00050B20">
        <w:t>MZe</w:t>
      </w:r>
      <w:proofErr w:type="spellEnd"/>
      <w:proofErr w:type="gramEnd"/>
      <w:r w:rsidRPr="00050B20">
        <w:t>:</w:t>
      </w:r>
    </w:p>
    <w:p w14:paraId="32046496" w14:textId="17C8666D" w:rsidR="00665289" w:rsidRPr="00050B20" w:rsidRDefault="00665289" w:rsidP="00BA02F2">
      <w:pPr>
        <w:pStyle w:val="Odstavecseseznamem"/>
        <w:numPr>
          <w:ilvl w:val="0"/>
          <w:numId w:val="35"/>
        </w:numPr>
        <w:spacing w:before="0"/>
        <w:ind w:left="284" w:hanging="284"/>
      </w:pPr>
      <w:r w:rsidRPr="00050B20">
        <w:t>3 mld. Kč v roce 2015</w:t>
      </w:r>
      <w:r w:rsidR="00BA02F2">
        <w:t>,</w:t>
      </w:r>
    </w:p>
    <w:p w14:paraId="6D9390A7" w14:textId="7647776A" w:rsidR="00665289" w:rsidRPr="00050B20" w:rsidRDefault="00665289" w:rsidP="00BA02F2">
      <w:pPr>
        <w:pStyle w:val="Odstavecseseznamem"/>
        <w:numPr>
          <w:ilvl w:val="0"/>
          <w:numId w:val="35"/>
        </w:numPr>
        <w:spacing w:before="0"/>
        <w:ind w:left="284" w:hanging="284"/>
      </w:pPr>
      <w:r w:rsidRPr="00050B20">
        <w:t>7,7 mld. Kč v roce 2017</w:t>
      </w:r>
      <w:r w:rsidR="00BA02F2">
        <w:t>,</w:t>
      </w:r>
      <w:r w:rsidRPr="00050B20">
        <w:t xml:space="preserve"> </w:t>
      </w:r>
    </w:p>
    <w:p w14:paraId="51213F6B" w14:textId="67DC68DC" w:rsidR="00665289" w:rsidRPr="00050B20" w:rsidRDefault="00665289" w:rsidP="00BA02F2">
      <w:pPr>
        <w:pStyle w:val="Odstavecseseznamem"/>
        <w:numPr>
          <w:ilvl w:val="0"/>
          <w:numId w:val="35"/>
        </w:numPr>
        <w:spacing w:before="0"/>
        <w:ind w:left="284" w:hanging="284"/>
      </w:pPr>
      <w:r w:rsidRPr="00050B20">
        <w:t>24 mld. Kč v roce 2018</w:t>
      </w:r>
      <w:r w:rsidR="00BA02F2">
        <w:t>.</w:t>
      </w:r>
      <w:r w:rsidRPr="00050B20">
        <w:t xml:space="preserve"> </w:t>
      </w:r>
    </w:p>
    <w:p w14:paraId="01A6197A" w14:textId="77777777" w:rsidR="00050B20" w:rsidRDefault="00050B20" w:rsidP="00050B20">
      <w:pPr>
        <w:spacing w:before="0"/>
        <w:rPr>
          <w:rFonts w:cs="Arial"/>
        </w:rPr>
      </w:pPr>
    </w:p>
    <w:p w14:paraId="64EC38C4" w14:textId="1AAA282A" w:rsidR="00BD76EF" w:rsidRPr="00050B20" w:rsidRDefault="00BD76EF" w:rsidP="00050B20">
      <w:pPr>
        <w:spacing w:before="0"/>
        <w:rPr>
          <w:rFonts w:cs="Arial"/>
        </w:rPr>
      </w:pPr>
      <w:r w:rsidRPr="00050B20">
        <w:rPr>
          <w:rFonts w:cs="Arial"/>
        </w:rPr>
        <w:t>Na náhrady škod způsobených suchem v letech 2015 a 2017, které nejsou aktivním bojem se suchem</w:t>
      </w:r>
      <w:r w:rsidR="009D3742" w:rsidRPr="00050B20">
        <w:rPr>
          <w:rFonts w:cs="Arial"/>
        </w:rPr>
        <w:t>, ale pouze finančním příspěvkem na překonání nepříznivého obdo</w:t>
      </w:r>
      <w:r w:rsidR="008F7746" w:rsidRPr="00050B20">
        <w:rPr>
          <w:rFonts w:cs="Arial"/>
        </w:rPr>
        <w:t>b</w:t>
      </w:r>
      <w:r w:rsidR="009D3742" w:rsidRPr="00050B20">
        <w:rPr>
          <w:rFonts w:cs="Arial"/>
        </w:rPr>
        <w:t>í</w:t>
      </w:r>
      <w:r w:rsidRPr="00050B20">
        <w:rPr>
          <w:rFonts w:cs="Arial"/>
        </w:rPr>
        <w:t xml:space="preserve">, vyplatilo </w:t>
      </w:r>
      <w:proofErr w:type="spellStart"/>
      <w:r w:rsidRPr="00050B20">
        <w:rPr>
          <w:rFonts w:cs="Arial"/>
        </w:rPr>
        <w:t>MZe</w:t>
      </w:r>
      <w:proofErr w:type="spellEnd"/>
      <w:r w:rsidRPr="00050B20">
        <w:rPr>
          <w:rFonts w:cs="Arial"/>
        </w:rPr>
        <w:t xml:space="preserve"> zemědělcům v období 2016–2018 téměř 2,4</w:t>
      </w:r>
      <w:r w:rsidR="00F369A4">
        <w:rPr>
          <w:rFonts w:cs="Arial"/>
        </w:rPr>
        <w:t xml:space="preserve"> mld. Kč.</w:t>
      </w:r>
      <w:r w:rsidRPr="00050B20">
        <w:rPr>
          <w:rFonts w:cs="Arial"/>
        </w:rPr>
        <w:t xml:space="preserve"> Na realizaci investičních dotačních programů na zmírnění negativních dopadů sucha v období let 2016–2018, kter</w:t>
      </w:r>
      <w:r w:rsidR="00DD0E51" w:rsidRPr="00050B20">
        <w:rPr>
          <w:rFonts w:cs="Arial"/>
        </w:rPr>
        <w:t>é</w:t>
      </w:r>
      <w:r w:rsidRPr="00050B20">
        <w:rPr>
          <w:rFonts w:cs="Arial"/>
        </w:rPr>
        <w:t xml:space="preserve"> lze považovat za preventivní opatření v boji se suchem, </w:t>
      </w:r>
      <w:proofErr w:type="spellStart"/>
      <w:r w:rsidRPr="00050B20">
        <w:rPr>
          <w:rFonts w:cs="Arial"/>
        </w:rPr>
        <w:t>MZe</w:t>
      </w:r>
      <w:proofErr w:type="spellEnd"/>
      <w:r w:rsidRPr="00050B20">
        <w:rPr>
          <w:rFonts w:cs="Arial"/>
        </w:rPr>
        <w:t xml:space="preserve"> vynaložilo </w:t>
      </w:r>
      <w:r w:rsidR="00571565">
        <w:rPr>
          <w:rFonts w:cs="Arial"/>
          <w:bCs/>
        </w:rPr>
        <w:t>2,9 mld. Kč</w:t>
      </w:r>
      <w:r w:rsidRPr="00050B20">
        <w:rPr>
          <w:rFonts w:cs="Arial"/>
        </w:rPr>
        <w:t>.</w:t>
      </w:r>
      <w:r w:rsidRPr="00050B20">
        <w:t xml:space="preserve"> Rostoucí náhrady škod však poukazují na to, že realizovaná preventivní opatření v boji se suchem nejsou dostatečn</w:t>
      </w:r>
      <w:r w:rsidR="00DD0E51" w:rsidRPr="00050B20">
        <w:t>ě účinná</w:t>
      </w:r>
      <w:r w:rsidRPr="00050B20">
        <w:t>.</w:t>
      </w:r>
    </w:p>
    <w:p w14:paraId="68D7CC60" w14:textId="77777777" w:rsidR="006A6BF1" w:rsidRPr="00050B20" w:rsidRDefault="006A6BF1" w:rsidP="00050B20">
      <w:pPr>
        <w:spacing w:before="0"/>
      </w:pPr>
    </w:p>
    <w:p w14:paraId="6E846542" w14:textId="030AEA1E" w:rsidR="00060BA1" w:rsidRPr="00050B20" w:rsidRDefault="00060BA1" w:rsidP="00050B20">
      <w:pPr>
        <w:spacing w:before="0"/>
        <w:ind w:left="567" w:hanging="567"/>
        <w:rPr>
          <w:sz w:val="20"/>
        </w:rPr>
      </w:pPr>
      <w:r w:rsidRPr="00050B20">
        <w:rPr>
          <w:b/>
          <w:sz w:val="20"/>
        </w:rPr>
        <w:t>Pozn</w:t>
      </w:r>
      <w:r w:rsidR="00BA02F2">
        <w:rPr>
          <w:b/>
          <w:sz w:val="20"/>
        </w:rPr>
        <w:t>.</w:t>
      </w:r>
      <w:r w:rsidRPr="00050B20">
        <w:rPr>
          <w:b/>
          <w:sz w:val="20"/>
        </w:rPr>
        <w:t>:</w:t>
      </w:r>
      <w:r w:rsidRPr="00050B20">
        <w:rPr>
          <w:sz w:val="20"/>
        </w:rPr>
        <w:t xml:space="preserve"> Právní předpisy uvedené v tomto kontrolním závěru jsou aplikovány ve znění účinném pro kontrolované období.</w:t>
      </w:r>
    </w:p>
    <w:p w14:paraId="41856BB6" w14:textId="6BE6461B" w:rsidR="003C27E2" w:rsidRPr="00050B20" w:rsidRDefault="003C27E2" w:rsidP="00050B20">
      <w:pPr>
        <w:spacing w:before="0"/>
      </w:pPr>
    </w:p>
    <w:p w14:paraId="488331C7" w14:textId="77777777" w:rsidR="00A010A7" w:rsidRPr="00050B20" w:rsidRDefault="00A010A7" w:rsidP="00050B20">
      <w:pPr>
        <w:spacing w:before="0"/>
      </w:pPr>
    </w:p>
    <w:p w14:paraId="59BDEA45" w14:textId="03DBA695" w:rsidR="004F24F4" w:rsidRDefault="00D91D0B" w:rsidP="00050B20">
      <w:pPr>
        <w:pStyle w:val="Nadpis1"/>
        <w:spacing w:before="0"/>
        <w:rPr>
          <w:sz w:val="28"/>
          <w:szCs w:val="28"/>
        </w:rPr>
      </w:pPr>
      <w:r w:rsidRPr="00D86DAB">
        <w:rPr>
          <w:sz w:val="28"/>
          <w:szCs w:val="28"/>
        </w:rPr>
        <w:t>II. Informace o kontrolované oblasti</w:t>
      </w:r>
    </w:p>
    <w:p w14:paraId="1C92615F" w14:textId="77777777" w:rsidR="00D53E4A" w:rsidRPr="00D53E4A" w:rsidRDefault="00D53E4A" w:rsidP="00050B20">
      <w:pPr>
        <w:keepNext/>
        <w:spacing w:before="0"/>
      </w:pPr>
    </w:p>
    <w:p w14:paraId="2280A413" w14:textId="0EF879ED" w:rsidR="007E7486" w:rsidRPr="00DC426C" w:rsidRDefault="00714F15" w:rsidP="00AF3CE8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 w:rsidRPr="00DC426C">
        <w:rPr>
          <w:sz w:val="24"/>
          <w:szCs w:val="24"/>
        </w:rPr>
        <w:t>Sucho a nedostatek vody</w:t>
      </w:r>
    </w:p>
    <w:p w14:paraId="45BEA05D" w14:textId="77777777" w:rsidR="00AF3CE8" w:rsidRDefault="00AF3CE8" w:rsidP="00AF3CE8">
      <w:pPr>
        <w:pStyle w:val="Normlnweb"/>
        <w:keepNext/>
        <w:spacing w:before="0"/>
      </w:pPr>
    </w:p>
    <w:p w14:paraId="5076C234" w14:textId="763FF543" w:rsidR="002408E7" w:rsidRDefault="002408E7" w:rsidP="00AF3CE8">
      <w:pPr>
        <w:pStyle w:val="Normlnweb"/>
        <w:spacing w:before="0"/>
      </w:pPr>
      <w:r>
        <w:t xml:space="preserve">Sucho je nahodilý přírodní jev způsobený zejména deficitem srážek, který následně vede k výraznému poklesu vody v různých částech </w:t>
      </w:r>
      <w:r w:rsidR="00B20F43">
        <w:t>koloběhu vody</w:t>
      </w:r>
      <w:r>
        <w:t xml:space="preserve"> (v atmosféře, v půdě, ve vodních tocích, v podzemních strukturách) a následně i ve vodních zdrojích. Pokud v důsledku sucha </w:t>
      </w:r>
      <w:r>
        <w:lastRenderedPageBreak/>
        <w:t>požadavky na užívání vod převyšují dostupné zdroje vod a je nezbytné omezovat hospodaření s vodou a přijímat další opatření, nastává stav nedostatku vody.</w:t>
      </w:r>
    </w:p>
    <w:p w14:paraId="0EB1112A" w14:textId="77777777" w:rsidR="00AF3CE8" w:rsidRDefault="00AF3CE8" w:rsidP="00AF3CE8">
      <w:pPr>
        <w:pStyle w:val="Normlnweb"/>
        <w:spacing w:before="0"/>
      </w:pPr>
    </w:p>
    <w:p w14:paraId="333AD50D" w14:textId="3D2D4EE6" w:rsidR="007E7486" w:rsidRDefault="007E7486" w:rsidP="00AF3CE8">
      <w:pPr>
        <w:spacing w:before="0"/>
      </w:pPr>
      <w:r>
        <w:t>Zvyšující se intenzitu s</w:t>
      </w:r>
      <w:r w:rsidRPr="00937A62">
        <w:t>uch</w:t>
      </w:r>
      <w:r>
        <w:t>a</w:t>
      </w:r>
      <w:r w:rsidRPr="00937A62">
        <w:t xml:space="preserve"> na území ČR ilustruje následující graf</w:t>
      </w:r>
      <w:r>
        <w:t xml:space="preserve"> (a dále též viz příloha č. 3</w:t>
      </w:r>
      <w:r w:rsidR="000D04D6">
        <w:t xml:space="preserve"> tohoto</w:t>
      </w:r>
      <w:r>
        <w:t xml:space="preserve"> kontrolního závěru)</w:t>
      </w:r>
      <w:r w:rsidRPr="00937A62">
        <w:t>.</w:t>
      </w:r>
      <w:r>
        <w:t xml:space="preserve"> </w:t>
      </w:r>
    </w:p>
    <w:p w14:paraId="0E3895A4" w14:textId="77777777" w:rsidR="00AF3CE8" w:rsidRDefault="00AF3CE8" w:rsidP="00AF3CE8">
      <w:pPr>
        <w:spacing w:before="0"/>
      </w:pPr>
    </w:p>
    <w:p w14:paraId="4773394B" w14:textId="39FCFCE5" w:rsidR="00DE53B3" w:rsidRPr="00AF3CE8" w:rsidRDefault="00DE53B3" w:rsidP="00AF3CE8">
      <w:pPr>
        <w:keepNext/>
        <w:spacing w:before="0"/>
        <w:rPr>
          <w:b/>
        </w:rPr>
      </w:pPr>
      <w:r w:rsidRPr="00AF3CE8">
        <w:rPr>
          <w:b/>
        </w:rPr>
        <w:t>Graf č. 1</w:t>
      </w:r>
      <w:r w:rsidR="00BA02F2">
        <w:rPr>
          <w:b/>
        </w:rPr>
        <w:t>:</w:t>
      </w:r>
      <w:r w:rsidRPr="00AF3CE8">
        <w:rPr>
          <w:b/>
        </w:rPr>
        <w:t xml:space="preserve"> Deficit půdní vláhy v ČR</w:t>
      </w:r>
    </w:p>
    <w:p w14:paraId="2A69DB4C" w14:textId="77777777" w:rsidR="00DE53B3" w:rsidRDefault="00DE53B3" w:rsidP="00AF3CE8">
      <w:pPr>
        <w:keepNext/>
      </w:pPr>
      <w:r>
        <w:rPr>
          <w:noProof/>
          <w:lang w:eastAsia="cs-CZ"/>
        </w:rPr>
        <w:drawing>
          <wp:inline distT="0" distB="0" distL="0" distR="0" wp14:anchorId="2D550131" wp14:editId="3DE0F534">
            <wp:extent cx="5760720" cy="259905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0EBF69" w14:textId="49D5368A" w:rsidR="00DE53B3" w:rsidRPr="00AF3CE8" w:rsidRDefault="00DE53B3" w:rsidP="00DB6E48">
      <w:pPr>
        <w:keepNext/>
        <w:spacing w:before="200"/>
        <w:rPr>
          <w:sz w:val="20"/>
          <w:szCs w:val="20"/>
        </w:rPr>
      </w:pPr>
      <w:r w:rsidRPr="00AF3CE8">
        <w:rPr>
          <w:b/>
          <w:sz w:val="20"/>
          <w:szCs w:val="20"/>
        </w:rPr>
        <w:t>Zdroj:</w:t>
      </w:r>
      <w:r w:rsidRPr="00AF3CE8">
        <w:rPr>
          <w:sz w:val="20"/>
          <w:szCs w:val="20"/>
        </w:rPr>
        <w:t xml:space="preserve"> </w:t>
      </w:r>
      <w:r w:rsidR="00BA02F2">
        <w:rPr>
          <w:sz w:val="20"/>
          <w:szCs w:val="20"/>
        </w:rPr>
        <w:t>vypracoval</w:t>
      </w:r>
      <w:r w:rsidRPr="00AF3CE8">
        <w:rPr>
          <w:sz w:val="20"/>
          <w:szCs w:val="20"/>
        </w:rPr>
        <w:t xml:space="preserve"> NKÚ na základě dat projektu </w:t>
      </w:r>
      <w:proofErr w:type="spellStart"/>
      <w:r w:rsidRPr="00AF3CE8">
        <w:rPr>
          <w:sz w:val="20"/>
          <w:szCs w:val="20"/>
        </w:rPr>
        <w:t>InterSucho</w:t>
      </w:r>
      <w:proofErr w:type="spellEnd"/>
      <w:r w:rsidRPr="00AF3CE8">
        <w:rPr>
          <w:sz w:val="20"/>
          <w:szCs w:val="20"/>
        </w:rPr>
        <w:t>.</w:t>
      </w:r>
    </w:p>
    <w:p w14:paraId="62D1FFF3" w14:textId="5FBE88A8" w:rsidR="00DE53B3" w:rsidRPr="00AF3CE8" w:rsidRDefault="00DE53B3" w:rsidP="00AF3CE8">
      <w:pPr>
        <w:spacing w:before="0"/>
        <w:ind w:left="567" w:hanging="567"/>
        <w:rPr>
          <w:sz w:val="20"/>
        </w:rPr>
      </w:pPr>
      <w:r w:rsidRPr="004E75F7">
        <w:rPr>
          <w:b/>
          <w:sz w:val="20"/>
        </w:rPr>
        <w:t>Pozn</w:t>
      </w:r>
      <w:r w:rsidR="00BA02F2">
        <w:rPr>
          <w:b/>
          <w:sz w:val="20"/>
        </w:rPr>
        <w:t>.</w:t>
      </w:r>
      <w:r w:rsidRPr="004E75F7">
        <w:rPr>
          <w:b/>
          <w:sz w:val="20"/>
        </w:rPr>
        <w:t>:</w:t>
      </w:r>
      <w:r w:rsidRPr="00AF3CE8">
        <w:rPr>
          <w:sz w:val="20"/>
        </w:rPr>
        <w:t xml:space="preserve"> Deficit půdní vláhy představuje odchylku půdní vláhy (v mm) od obvyklé zásoby vody</w:t>
      </w:r>
      <w:r w:rsidR="00C60BE4" w:rsidRPr="00AF3CE8">
        <w:rPr>
          <w:sz w:val="20"/>
        </w:rPr>
        <w:t xml:space="preserve"> v půdě zjištěné mezi lety 1961–</w:t>
      </w:r>
      <w:r w:rsidRPr="00AF3CE8">
        <w:rPr>
          <w:sz w:val="20"/>
        </w:rPr>
        <w:t>2010.</w:t>
      </w:r>
    </w:p>
    <w:p w14:paraId="62BFFF7C" w14:textId="77777777" w:rsidR="007E7486" w:rsidRPr="00AF3CE8" w:rsidRDefault="007E7486" w:rsidP="00AF3CE8">
      <w:pPr>
        <w:spacing w:before="0"/>
      </w:pPr>
    </w:p>
    <w:p w14:paraId="27D3E659" w14:textId="61E540A1" w:rsidR="004F24F4" w:rsidRPr="00AF3CE8" w:rsidRDefault="007933DE" w:rsidP="00AF3CE8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 w:rsidRPr="00AF3CE8">
        <w:rPr>
          <w:sz w:val="24"/>
          <w:szCs w:val="24"/>
        </w:rPr>
        <w:t>Sucho</w:t>
      </w:r>
      <w:r w:rsidR="009355ED" w:rsidRPr="00AF3CE8">
        <w:rPr>
          <w:sz w:val="24"/>
          <w:szCs w:val="24"/>
        </w:rPr>
        <w:t xml:space="preserve"> – právní</w:t>
      </w:r>
      <w:r w:rsidR="00097727" w:rsidRPr="00AF3CE8">
        <w:rPr>
          <w:sz w:val="24"/>
          <w:szCs w:val="24"/>
        </w:rPr>
        <w:t xml:space="preserve"> úprava a základní koncepční materiály</w:t>
      </w:r>
    </w:p>
    <w:p w14:paraId="56147E63" w14:textId="77777777" w:rsidR="00AF3CE8" w:rsidRDefault="00AF3CE8" w:rsidP="00AF3CE8">
      <w:pPr>
        <w:keepNext/>
        <w:spacing w:before="0"/>
      </w:pPr>
    </w:p>
    <w:p w14:paraId="0738B363" w14:textId="70039FC0" w:rsidR="00097727" w:rsidRPr="00AF3CE8" w:rsidRDefault="00097727" w:rsidP="00AF3CE8">
      <w:pPr>
        <w:spacing w:before="0"/>
      </w:pPr>
      <w:r w:rsidRPr="00AF3CE8">
        <w:t>Problematika sucha v</w:t>
      </w:r>
      <w:r w:rsidR="00B40F19" w:rsidRPr="00AF3CE8">
        <w:t> </w:t>
      </w:r>
      <w:r w:rsidRPr="00AF3CE8">
        <w:t>době</w:t>
      </w:r>
      <w:r w:rsidR="00B40F19" w:rsidRPr="00AF3CE8">
        <w:t xml:space="preserve"> ukončení</w:t>
      </w:r>
      <w:r w:rsidR="00B7671D" w:rsidRPr="00AF3CE8">
        <w:t xml:space="preserve"> kontroly (červen 2019)</w:t>
      </w:r>
      <w:r w:rsidRPr="00AF3CE8">
        <w:t xml:space="preserve"> ne</w:t>
      </w:r>
      <w:r w:rsidR="00B40F19" w:rsidRPr="00AF3CE8">
        <w:t>byla</w:t>
      </w:r>
      <w:r w:rsidRPr="00AF3CE8">
        <w:t xml:space="preserve"> </w:t>
      </w:r>
      <w:r w:rsidR="009355ED" w:rsidRPr="00AF3CE8">
        <w:t>právním řádem</w:t>
      </w:r>
      <w:r w:rsidRPr="00AF3CE8">
        <w:t xml:space="preserve"> upravena, vodní zákon zmiňuje sucho pouze okrajově a novela tohoto zákona s tzv. suchou hlavou zatím nebyla schválena.</w:t>
      </w:r>
    </w:p>
    <w:p w14:paraId="3A703B87" w14:textId="77777777" w:rsidR="00AF3CE8" w:rsidRDefault="00AF3CE8" w:rsidP="00AF3CE8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theme="minorHAnsi"/>
        </w:rPr>
      </w:pPr>
    </w:p>
    <w:p w14:paraId="25468248" w14:textId="1AD59341" w:rsidR="007F33E8" w:rsidRPr="00AF3CE8" w:rsidRDefault="001D70B8" w:rsidP="00AF3CE8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/>
        </w:rPr>
      </w:pPr>
      <w:r w:rsidRPr="00AF3CE8">
        <w:rPr>
          <w:rFonts w:ascii="Calibri" w:hAnsi="Calibri" w:cstheme="minorHAnsi"/>
        </w:rPr>
        <w:t xml:space="preserve">Dokument </w:t>
      </w:r>
      <w:r w:rsidRPr="00AF3CE8">
        <w:rPr>
          <w:rFonts w:ascii="Calibri" w:hAnsi="Calibri" w:cstheme="minorHAnsi"/>
          <w:i/>
        </w:rPr>
        <w:t>Příprava realizace opatření pro zmírnění negativních dopadů sucha a nedostatku vody</w:t>
      </w:r>
      <w:r w:rsidRPr="004E75F7">
        <w:rPr>
          <w:rFonts w:ascii="Calibri" w:hAnsi="Calibri" w:cstheme="minorHAnsi"/>
        </w:rPr>
        <w:t xml:space="preserve"> </w:t>
      </w:r>
      <w:r w:rsidRPr="00AF3CE8">
        <w:rPr>
          <w:rFonts w:ascii="Calibri" w:hAnsi="Calibri" w:cstheme="minorHAnsi"/>
        </w:rPr>
        <w:t>přijala vláda</w:t>
      </w:r>
      <w:r w:rsidR="000F55DF" w:rsidRPr="00AF3CE8">
        <w:rPr>
          <w:rFonts w:ascii="Calibri" w:hAnsi="Calibri" w:cstheme="minorHAnsi"/>
        </w:rPr>
        <w:t xml:space="preserve"> ČR</w:t>
      </w:r>
      <w:r w:rsidRPr="00AF3CE8">
        <w:rPr>
          <w:rFonts w:ascii="Calibri" w:hAnsi="Calibri" w:cstheme="minorHAnsi"/>
        </w:rPr>
        <w:t xml:space="preserve"> svým usnesením dne 29. července 2015 č. 620. </w:t>
      </w:r>
      <w:proofErr w:type="spellStart"/>
      <w:r w:rsidR="007F33E8" w:rsidRPr="00AF3CE8">
        <w:rPr>
          <w:rFonts w:ascii="Calibri" w:hAnsi="Calibri"/>
        </w:rPr>
        <w:t>MZe</w:t>
      </w:r>
      <w:proofErr w:type="spellEnd"/>
      <w:r w:rsidR="007F33E8" w:rsidRPr="00AF3CE8">
        <w:rPr>
          <w:rFonts w:ascii="Calibri" w:hAnsi="Calibri"/>
        </w:rPr>
        <w:t xml:space="preserve"> a MŽP jsou hlavními řešiteli úkolů z tohoto vládního materiálu. </w:t>
      </w:r>
    </w:p>
    <w:p w14:paraId="5C75F739" w14:textId="77777777" w:rsidR="00AF3CE8" w:rsidRDefault="00AF3CE8" w:rsidP="00AF3CE8">
      <w:pPr>
        <w:tabs>
          <w:tab w:val="left" w:pos="1418"/>
        </w:tabs>
        <w:spacing w:before="0"/>
      </w:pPr>
    </w:p>
    <w:p w14:paraId="1D00C92B" w14:textId="36343980" w:rsidR="001D70B8" w:rsidRPr="00AF3CE8" w:rsidRDefault="00097727" w:rsidP="00AF3CE8">
      <w:pPr>
        <w:tabs>
          <w:tab w:val="left" w:pos="1418"/>
        </w:tabs>
        <w:spacing w:before="0"/>
        <w:rPr>
          <w:rFonts w:cstheme="minorHAnsi"/>
        </w:rPr>
      </w:pPr>
      <w:r w:rsidRPr="00AF3CE8">
        <w:t xml:space="preserve">Základním koncepčním materiálem pro oblast sucha je </w:t>
      </w:r>
      <w:r w:rsidRPr="00AF3CE8">
        <w:rPr>
          <w:i/>
        </w:rPr>
        <w:t>Koncepce ochrany před následky sucha pro území ČR</w:t>
      </w:r>
      <w:r w:rsidRPr="00AF3CE8">
        <w:t>, schválená usnesením vlády ČR z</w:t>
      </w:r>
      <w:r w:rsidR="006115AC" w:rsidRPr="00AF3CE8">
        <w:t xml:space="preserve">e dne 24. července </w:t>
      </w:r>
      <w:r w:rsidRPr="00AF3CE8">
        <w:t>2017</w:t>
      </w:r>
      <w:r w:rsidR="005B6434" w:rsidRPr="00AF3CE8">
        <w:t xml:space="preserve"> č. 528</w:t>
      </w:r>
      <w:r w:rsidRPr="00AF3CE8">
        <w:t>.</w:t>
      </w:r>
      <w:r w:rsidR="00AF3CE8">
        <w:t xml:space="preserve"> </w:t>
      </w:r>
      <w:r w:rsidR="001D70B8" w:rsidRPr="00AF3CE8">
        <w:rPr>
          <w:rFonts w:cstheme="minorHAnsi"/>
        </w:rPr>
        <w:t>Tento dokument připravila pracovní skupina VODA-SUCHO v náva</w:t>
      </w:r>
      <w:r w:rsidR="005B4E65" w:rsidRPr="00AF3CE8">
        <w:rPr>
          <w:rFonts w:cstheme="minorHAnsi"/>
        </w:rPr>
        <w:t>znosti na usnesení vlády z roku </w:t>
      </w:r>
      <w:r w:rsidR="001D70B8" w:rsidRPr="00AF3CE8">
        <w:rPr>
          <w:rFonts w:cstheme="minorHAnsi"/>
        </w:rPr>
        <w:t>2015</w:t>
      </w:r>
      <w:r w:rsidR="00B20F43" w:rsidRPr="00AF3CE8">
        <w:rPr>
          <w:rFonts w:cstheme="minorHAnsi"/>
        </w:rPr>
        <w:t xml:space="preserve"> č. 620</w:t>
      </w:r>
      <w:r w:rsidR="001D70B8" w:rsidRPr="00AF3CE8">
        <w:rPr>
          <w:rFonts w:cstheme="minorHAnsi"/>
        </w:rPr>
        <w:t xml:space="preserve">. Schválená Koncepce obsahuje přehledy dotačních </w:t>
      </w:r>
      <w:r w:rsidR="002B5612" w:rsidRPr="00AF3CE8">
        <w:rPr>
          <w:rFonts w:cstheme="minorHAnsi"/>
        </w:rPr>
        <w:t>programů</w:t>
      </w:r>
      <w:r w:rsidR="005B4E65" w:rsidRPr="00AF3CE8">
        <w:rPr>
          <w:rFonts w:cstheme="minorHAnsi"/>
        </w:rPr>
        <w:t xml:space="preserve"> v gesci </w:t>
      </w:r>
      <w:proofErr w:type="spellStart"/>
      <w:r w:rsidR="005B4E65" w:rsidRPr="00AF3CE8">
        <w:rPr>
          <w:rFonts w:cstheme="minorHAnsi"/>
        </w:rPr>
        <w:t>MZe</w:t>
      </w:r>
      <w:proofErr w:type="spellEnd"/>
      <w:r w:rsidR="005B4E65" w:rsidRPr="00AF3CE8">
        <w:rPr>
          <w:rFonts w:cstheme="minorHAnsi"/>
        </w:rPr>
        <w:t xml:space="preserve"> i </w:t>
      </w:r>
      <w:r w:rsidR="001D70B8" w:rsidRPr="00AF3CE8">
        <w:rPr>
          <w:rFonts w:cstheme="minorHAnsi"/>
        </w:rPr>
        <w:t>MŽP pro financování opatření na zmírnění negativních dopadů sucha.</w:t>
      </w:r>
    </w:p>
    <w:p w14:paraId="6CEEB136" w14:textId="77777777" w:rsidR="00E66BFD" w:rsidRPr="00AF3CE8" w:rsidRDefault="00E66BFD" w:rsidP="00AF3CE8">
      <w:pPr>
        <w:tabs>
          <w:tab w:val="left" w:pos="1418"/>
        </w:tabs>
        <w:spacing w:before="0"/>
        <w:rPr>
          <w:rFonts w:cstheme="minorHAnsi"/>
        </w:rPr>
      </w:pPr>
    </w:p>
    <w:p w14:paraId="4144B598" w14:textId="01307313" w:rsidR="004F24F4" w:rsidRPr="00AF3CE8" w:rsidRDefault="00D91D0B" w:rsidP="00AF3CE8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 w:rsidRPr="00AF3CE8">
        <w:rPr>
          <w:sz w:val="24"/>
          <w:szCs w:val="24"/>
        </w:rPr>
        <w:t>Ministerstvo zemědělství</w:t>
      </w:r>
    </w:p>
    <w:p w14:paraId="3D4CC94A" w14:textId="77777777" w:rsidR="00AF3CE8" w:rsidRDefault="00AF3CE8" w:rsidP="00AF3CE8">
      <w:pPr>
        <w:keepNext/>
        <w:spacing w:before="0"/>
      </w:pPr>
    </w:p>
    <w:p w14:paraId="417FED65" w14:textId="61ABF497" w:rsidR="00097727" w:rsidRDefault="00097727" w:rsidP="00AF3CE8">
      <w:pPr>
        <w:spacing w:before="0"/>
        <w:rPr>
          <w:rFonts w:cstheme="minorHAnsi"/>
        </w:rPr>
      </w:pPr>
      <w:r w:rsidRPr="00AF3CE8">
        <w:t>Ministerstvo zemědělství je ústředním orgánem státní správy pro zemědělství, s výjimkou ochrany zemědělského půdního fondu</w:t>
      </w:r>
      <w:r w:rsidR="0022460C" w:rsidRPr="00AF3CE8">
        <w:t>,</w:t>
      </w:r>
      <w:r w:rsidR="000D11A4">
        <w:t xml:space="preserve"> </w:t>
      </w:r>
      <w:r w:rsidRPr="00AF3CE8">
        <w:t xml:space="preserve">pro vodní hospodářství, s výjimkou ochrany přirozené </w:t>
      </w:r>
      <w:r w:rsidRPr="00AF3CE8">
        <w:lastRenderedPageBreak/>
        <w:t>akumulace vod, ochrany vodních zdrojů a ochrany jakosti povrchových a podzemních vod.</w:t>
      </w:r>
      <w:r w:rsidR="00FC7999" w:rsidRPr="00AF3CE8">
        <w:rPr>
          <w:rStyle w:val="Znakapoznpodarou"/>
        </w:rPr>
        <w:footnoteReference w:id="2"/>
      </w:r>
      <w:r w:rsidRPr="00AF3CE8">
        <w:t xml:space="preserve"> </w:t>
      </w:r>
      <w:proofErr w:type="spellStart"/>
      <w:r w:rsidRPr="00AF3CE8">
        <w:rPr>
          <w:rFonts w:cstheme="minorHAnsi"/>
        </w:rPr>
        <w:t>MZe</w:t>
      </w:r>
      <w:proofErr w:type="spellEnd"/>
      <w:r w:rsidRPr="00AF3CE8">
        <w:rPr>
          <w:rFonts w:cstheme="minorHAnsi"/>
        </w:rPr>
        <w:t xml:space="preserve"> vykonává působnost ústředního vodoprávn</w:t>
      </w:r>
      <w:r w:rsidR="0057733C" w:rsidRPr="00AF3CE8">
        <w:rPr>
          <w:rFonts w:cstheme="minorHAnsi"/>
        </w:rPr>
        <w:t>ího úřadu podle vodního zákona</w:t>
      </w:r>
      <w:r w:rsidRPr="00AF3CE8">
        <w:rPr>
          <w:rFonts w:cstheme="minorHAnsi"/>
        </w:rPr>
        <w:t>.</w:t>
      </w:r>
    </w:p>
    <w:p w14:paraId="0E87DB34" w14:textId="77777777" w:rsidR="00AF3CE8" w:rsidRPr="00AF3CE8" w:rsidRDefault="00AF3CE8" w:rsidP="00AF3CE8">
      <w:pPr>
        <w:spacing w:before="0"/>
        <w:rPr>
          <w:rFonts w:cstheme="minorHAnsi"/>
        </w:rPr>
      </w:pPr>
    </w:p>
    <w:p w14:paraId="63C300A0" w14:textId="3BA9179F" w:rsidR="00565F2B" w:rsidRPr="00AF3CE8" w:rsidRDefault="00097727" w:rsidP="00AF3CE8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theme="minorHAnsi"/>
          <w:bCs/>
        </w:rPr>
      </w:pPr>
      <w:proofErr w:type="spellStart"/>
      <w:r w:rsidRPr="00AF3CE8">
        <w:rPr>
          <w:rFonts w:ascii="Calibri" w:hAnsi="Calibri"/>
        </w:rPr>
        <w:t>MZe</w:t>
      </w:r>
      <w:proofErr w:type="spellEnd"/>
      <w:r w:rsidRPr="00AF3CE8">
        <w:rPr>
          <w:rFonts w:ascii="Calibri" w:hAnsi="Calibri"/>
        </w:rPr>
        <w:t xml:space="preserve"> plní úkoly </w:t>
      </w:r>
      <w:r w:rsidR="000D11A4">
        <w:rPr>
          <w:rFonts w:ascii="Calibri" w:hAnsi="Calibri"/>
        </w:rPr>
        <w:t>ř</w:t>
      </w:r>
      <w:r w:rsidRPr="00AF3CE8">
        <w:rPr>
          <w:rFonts w:ascii="Calibri" w:hAnsi="Calibri"/>
        </w:rPr>
        <w:t>íd</w:t>
      </w:r>
      <w:r w:rsidR="000D11A4">
        <w:rPr>
          <w:rFonts w:ascii="Calibri" w:hAnsi="Calibri"/>
        </w:rPr>
        <w:t>i</w:t>
      </w:r>
      <w:r w:rsidRPr="00AF3CE8">
        <w:rPr>
          <w:rFonts w:ascii="Calibri" w:hAnsi="Calibri"/>
        </w:rPr>
        <w:t>cího orgánu P</w:t>
      </w:r>
      <w:r w:rsidR="007F33E8" w:rsidRPr="00AF3CE8">
        <w:rPr>
          <w:rFonts w:ascii="Calibri" w:hAnsi="Calibri"/>
        </w:rPr>
        <w:t>RV</w:t>
      </w:r>
      <w:r w:rsidRPr="00AF3CE8">
        <w:rPr>
          <w:rFonts w:ascii="Calibri" w:hAnsi="Calibri"/>
        </w:rPr>
        <w:t xml:space="preserve"> a </w:t>
      </w:r>
      <w:r w:rsidR="00242FA8" w:rsidRPr="00AF3CE8">
        <w:rPr>
          <w:rFonts w:ascii="Calibri" w:hAnsi="Calibri"/>
        </w:rPr>
        <w:t>O</w:t>
      </w:r>
      <w:r w:rsidR="007F33E8" w:rsidRPr="00AF3CE8">
        <w:rPr>
          <w:rFonts w:ascii="Calibri" w:hAnsi="Calibri"/>
        </w:rPr>
        <w:t>PR</w:t>
      </w:r>
      <w:r w:rsidRPr="00AF3CE8">
        <w:rPr>
          <w:rFonts w:ascii="Calibri" w:hAnsi="Calibri"/>
        </w:rPr>
        <w:t xml:space="preserve">. </w:t>
      </w:r>
      <w:proofErr w:type="spellStart"/>
      <w:r w:rsidR="00B42307" w:rsidRPr="00AF3CE8">
        <w:rPr>
          <w:rFonts w:ascii="Calibri" w:hAnsi="Calibri"/>
        </w:rPr>
        <w:t>MZe</w:t>
      </w:r>
      <w:proofErr w:type="spellEnd"/>
      <w:r w:rsidR="000D11A4">
        <w:rPr>
          <w:rFonts w:ascii="Calibri" w:hAnsi="Calibri"/>
        </w:rPr>
        <w:t xml:space="preserve"> </w:t>
      </w:r>
      <w:r w:rsidR="004124BA" w:rsidRPr="00AF3CE8">
        <w:rPr>
          <w:rFonts w:ascii="Calibri" w:hAnsi="Calibri"/>
        </w:rPr>
        <w:t>dále</w:t>
      </w:r>
      <w:r w:rsidR="00B42307" w:rsidRPr="00AF3CE8">
        <w:rPr>
          <w:rFonts w:ascii="Calibri" w:hAnsi="Calibri"/>
        </w:rPr>
        <w:t xml:space="preserve"> poskytuje dotace z národních zdrojů na základě </w:t>
      </w:r>
      <w:r w:rsidR="000D11A4">
        <w:rPr>
          <w:rFonts w:ascii="Calibri" w:hAnsi="Calibri"/>
        </w:rPr>
        <w:t>z</w:t>
      </w:r>
      <w:r w:rsidR="00B42307" w:rsidRPr="00AF3CE8">
        <w:rPr>
          <w:rFonts w:ascii="Calibri" w:hAnsi="Calibri"/>
        </w:rPr>
        <w:t xml:space="preserve">ásad, </w:t>
      </w:r>
      <w:r w:rsidR="007F33E8" w:rsidRPr="00AF3CE8">
        <w:rPr>
          <w:rFonts w:ascii="Calibri" w:hAnsi="Calibri" w:cstheme="minorHAnsi"/>
        </w:rPr>
        <w:t xml:space="preserve">kterými se na základě zákona </w:t>
      </w:r>
      <w:r w:rsidR="00B20F43" w:rsidRPr="00AF3CE8">
        <w:rPr>
          <w:rFonts w:ascii="Calibri" w:hAnsi="Calibri" w:cstheme="minorHAnsi"/>
        </w:rPr>
        <w:t>o zemědělství</w:t>
      </w:r>
      <w:r w:rsidR="0022460C" w:rsidRPr="00AF3CE8">
        <w:rPr>
          <w:rStyle w:val="Znakapoznpodarou"/>
          <w:rFonts w:ascii="Calibri" w:hAnsi="Calibri" w:cstheme="minorHAnsi"/>
        </w:rPr>
        <w:footnoteReference w:id="3"/>
      </w:r>
      <w:r w:rsidR="00B42307" w:rsidRPr="00AF3CE8">
        <w:rPr>
          <w:rFonts w:ascii="Calibri" w:hAnsi="Calibri" w:cstheme="minorHAnsi"/>
        </w:rPr>
        <w:t xml:space="preserve"> stanovují podmínky pro</w:t>
      </w:r>
      <w:r w:rsidR="000D11A4">
        <w:rPr>
          <w:rFonts w:ascii="Calibri" w:hAnsi="Calibri" w:cstheme="minorHAnsi"/>
        </w:rPr>
        <w:t xml:space="preserve"> </w:t>
      </w:r>
      <w:r w:rsidR="00B42307" w:rsidRPr="00AF3CE8">
        <w:rPr>
          <w:rFonts w:ascii="Calibri" w:hAnsi="Calibri" w:cstheme="minorHAnsi"/>
        </w:rPr>
        <w:t>poskytování dotací na jednotlivé kalendářní roky.</w:t>
      </w:r>
      <w:r w:rsidR="00242FA8" w:rsidRPr="00AF3CE8">
        <w:rPr>
          <w:rFonts w:ascii="Calibri" w:hAnsi="Calibri" w:cstheme="minorHAnsi"/>
        </w:rPr>
        <w:t xml:space="preserve"> </w:t>
      </w:r>
      <w:proofErr w:type="spellStart"/>
      <w:r w:rsidR="00B42307" w:rsidRPr="00AF3CE8">
        <w:rPr>
          <w:rFonts w:ascii="Calibri" w:hAnsi="Calibri" w:cstheme="minorHAnsi"/>
        </w:rPr>
        <w:t>MZe</w:t>
      </w:r>
      <w:proofErr w:type="spellEnd"/>
      <w:r w:rsidR="00B42307" w:rsidRPr="00AF3CE8">
        <w:rPr>
          <w:rFonts w:ascii="Calibri" w:hAnsi="Calibri" w:cstheme="minorHAnsi"/>
        </w:rPr>
        <w:t xml:space="preserve"> </w:t>
      </w:r>
      <w:r w:rsidR="004124BA" w:rsidRPr="00AF3CE8">
        <w:rPr>
          <w:rFonts w:ascii="Calibri" w:hAnsi="Calibri" w:cstheme="minorHAnsi"/>
        </w:rPr>
        <w:t>také</w:t>
      </w:r>
      <w:r w:rsidR="00B42307" w:rsidRPr="00AF3CE8">
        <w:rPr>
          <w:rFonts w:ascii="Calibri" w:hAnsi="Calibri" w:cstheme="minorHAnsi"/>
        </w:rPr>
        <w:t xml:space="preserve"> poskytuje dotace z národních zdrojů v rámci programového financování.</w:t>
      </w:r>
      <w:r w:rsidR="00242FA8" w:rsidRPr="00AF3CE8">
        <w:rPr>
          <w:rFonts w:ascii="Calibri" w:hAnsi="Calibri" w:cstheme="minorHAnsi"/>
        </w:rPr>
        <w:t xml:space="preserve"> </w:t>
      </w:r>
      <w:proofErr w:type="spellStart"/>
      <w:r w:rsidR="00565F2B" w:rsidRPr="00AF3CE8">
        <w:rPr>
          <w:rFonts w:ascii="Calibri" w:hAnsi="Calibri" w:cstheme="minorHAnsi"/>
        </w:rPr>
        <w:t>MZe</w:t>
      </w:r>
      <w:proofErr w:type="spellEnd"/>
      <w:r w:rsidR="00565F2B" w:rsidRPr="00AF3CE8">
        <w:rPr>
          <w:rFonts w:ascii="Calibri" w:hAnsi="Calibri" w:cstheme="minorHAnsi"/>
        </w:rPr>
        <w:t xml:space="preserve"> rov</w:t>
      </w:r>
      <w:r w:rsidR="0057748C" w:rsidRPr="00AF3CE8">
        <w:rPr>
          <w:rFonts w:ascii="Calibri" w:hAnsi="Calibri" w:cstheme="minorHAnsi"/>
        </w:rPr>
        <w:t>něž poskytuje</w:t>
      </w:r>
      <w:r w:rsidR="00565F2B" w:rsidRPr="00AF3CE8">
        <w:rPr>
          <w:rFonts w:ascii="Calibri" w:hAnsi="Calibri" w:cstheme="minorHAnsi"/>
        </w:rPr>
        <w:t xml:space="preserve"> náhrady škod podle </w:t>
      </w:r>
      <w:r w:rsidR="000D11A4">
        <w:rPr>
          <w:rFonts w:ascii="Calibri" w:hAnsi="Calibri" w:cstheme="minorHAnsi"/>
          <w:bCs/>
        </w:rPr>
        <w:t>z</w:t>
      </w:r>
      <w:r w:rsidR="00565F2B" w:rsidRPr="00AF3CE8">
        <w:rPr>
          <w:rFonts w:ascii="Calibri" w:hAnsi="Calibri" w:cstheme="minorHAnsi"/>
          <w:bCs/>
        </w:rPr>
        <w:t>ásad, kterými se stanovují podmínky pro</w:t>
      </w:r>
      <w:r w:rsidR="000D11A4">
        <w:rPr>
          <w:rFonts w:ascii="Calibri" w:hAnsi="Calibri" w:cstheme="minorHAnsi"/>
          <w:bCs/>
        </w:rPr>
        <w:t xml:space="preserve"> </w:t>
      </w:r>
      <w:r w:rsidR="00565F2B" w:rsidRPr="00AF3CE8">
        <w:rPr>
          <w:rFonts w:ascii="Calibri" w:hAnsi="Calibri" w:cstheme="minorHAnsi"/>
          <w:bCs/>
        </w:rPr>
        <w:t>poskytování dotací na zmírnění škod způsobených suchem.</w:t>
      </w:r>
      <w:r w:rsidR="00242FA8" w:rsidRPr="00AF3CE8">
        <w:rPr>
          <w:rFonts w:ascii="Calibri" w:hAnsi="Calibri" w:cstheme="minorHAnsi"/>
          <w:bCs/>
        </w:rPr>
        <w:t xml:space="preserve"> </w:t>
      </w:r>
      <w:r w:rsidR="00565F2B" w:rsidRPr="00AF3CE8">
        <w:rPr>
          <w:rFonts w:ascii="Calibri" w:hAnsi="Calibri" w:cstheme="minorHAnsi"/>
          <w:bCs/>
        </w:rPr>
        <w:t xml:space="preserve">Další dotace </w:t>
      </w:r>
      <w:proofErr w:type="spellStart"/>
      <w:r w:rsidR="00565F2B" w:rsidRPr="00AF3CE8">
        <w:rPr>
          <w:rFonts w:ascii="Calibri" w:hAnsi="Calibri" w:cstheme="minorHAnsi"/>
          <w:bCs/>
        </w:rPr>
        <w:t>MZe</w:t>
      </w:r>
      <w:proofErr w:type="spellEnd"/>
      <w:r w:rsidR="00565F2B" w:rsidRPr="00AF3CE8">
        <w:rPr>
          <w:rFonts w:ascii="Calibri" w:hAnsi="Calibri" w:cstheme="minorHAnsi"/>
          <w:bCs/>
        </w:rPr>
        <w:t xml:space="preserve"> poskyt</w:t>
      </w:r>
      <w:r w:rsidR="0057748C" w:rsidRPr="00AF3CE8">
        <w:rPr>
          <w:rFonts w:ascii="Calibri" w:hAnsi="Calibri" w:cstheme="minorHAnsi"/>
          <w:bCs/>
        </w:rPr>
        <w:t>uje</w:t>
      </w:r>
      <w:r w:rsidR="00565F2B" w:rsidRPr="00AF3CE8">
        <w:rPr>
          <w:rFonts w:ascii="Calibri" w:hAnsi="Calibri" w:cstheme="minorHAnsi"/>
          <w:bCs/>
        </w:rPr>
        <w:t xml:space="preserve"> v rámci lesnických podpor</w:t>
      </w:r>
      <w:r w:rsidR="0057733C" w:rsidRPr="00AF3CE8">
        <w:rPr>
          <w:rFonts w:ascii="Calibri" w:hAnsi="Calibri" w:cstheme="minorHAnsi"/>
          <w:bCs/>
        </w:rPr>
        <w:t xml:space="preserve"> dle lesního zákona</w:t>
      </w:r>
      <w:r w:rsidR="00565F2B" w:rsidRPr="00AF3CE8">
        <w:rPr>
          <w:rFonts w:ascii="Calibri" w:hAnsi="Calibri" w:cstheme="minorHAnsi"/>
          <w:bCs/>
        </w:rPr>
        <w:t>.</w:t>
      </w:r>
      <w:r w:rsidR="00E34AB7" w:rsidRPr="00AF3CE8">
        <w:rPr>
          <w:rStyle w:val="Znakapoznpodarou"/>
          <w:rFonts w:ascii="Calibri" w:hAnsi="Calibri" w:cstheme="minorHAnsi"/>
          <w:bCs/>
        </w:rPr>
        <w:footnoteReference w:id="4"/>
      </w:r>
    </w:p>
    <w:p w14:paraId="4AFBD829" w14:textId="4836C0E4" w:rsidR="004F24F4" w:rsidRPr="00AF3CE8" w:rsidRDefault="004F24F4" w:rsidP="00AF3CE8">
      <w:pPr>
        <w:tabs>
          <w:tab w:val="left" w:pos="1418"/>
        </w:tabs>
        <w:spacing w:before="0"/>
      </w:pPr>
    </w:p>
    <w:p w14:paraId="3AA07529" w14:textId="7385188B" w:rsidR="00665C11" w:rsidRPr="00AF3CE8" w:rsidRDefault="00097727" w:rsidP="0084391B">
      <w:pPr>
        <w:pStyle w:val="Nadpis2"/>
        <w:keepNext/>
        <w:numPr>
          <w:ilvl w:val="0"/>
          <w:numId w:val="0"/>
        </w:numPr>
        <w:spacing w:before="0"/>
        <w:rPr>
          <w:sz w:val="24"/>
          <w:szCs w:val="24"/>
        </w:rPr>
      </w:pPr>
      <w:r w:rsidRPr="00AF3CE8">
        <w:rPr>
          <w:sz w:val="24"/>
          <w:szCs w:val="24"/>
        </w:rPr>
        <w:t>Ministerstvo životního prostředí</w:t>
      </w:r>
    </w:p>
    <w:p w14:paraId="50C5CA1C" w14:textId="77777777" w:rsidR="00AF3CE8" w:rsidRDefault="00AF3CE8" w:rsidP="0084391B">
      <w:pPr>
        <w:keepNext/>
        <w:spacing w:before="0"/>
      </w:pPr>
    </w:p>
    <w:p w14:paraId="0BF7E2C8" w14:textId="6D53E5BA" w:rsidR="00097727" w:rsidRDefault="00097727" w:rsidP="00AF3CE8">
      <w:pPr>
        <w:spacing w:before="0"/>
        <w:rPr>
          <w:rFonts w:cstheme="minorHAnsi"/>
        </w:rPr>
      </w:pPr>
      <w:r w:rsidRPr="00AF3CE8">
        <w:t>Ministerstvo životního prostředí je</w:t>
      </w:r>
      <w:r w:rsidR="00B75D7D" w:rsidRPr="00AF3CE8">
        <w:t xml:space="preserve"> ústředním</w:t>
      </w:r>
      <w:r w:rsidRPr="00AF3CE8">
        <w:t xml:space="preserve"> orgánem</w:t>
      </w:r>
      <w:r w:rsidR="00B75D7D" w:rsidRPr="00AF3CE8">
        <w:t xml:space="preserve"> státní správy mj. pro ochranu přirozené akumulace vod, ochranu vodních zdrojů a ochranu jakosti povrchových a</w:t>
      </w:r>
      <w:r w:rsidR="006A6BF1" w:rsidRPr="00AF3CE8">
        <w:t> </w:t>
      </w:r>
      <w:r w:rsidR="00B75D7D" w:rsidRPr="00AF3CE8">
        <w:t>podzemních vod</w:t>
      </w:r>
      <w:r w:rsidRPr="00AF3CE8">
        <w:t>.</w:t>
      </w:r>
      <w:r w:rsidR="00A46264" w:rsidRPr="00AF3CE8">
        <w:rPr>
          <w:rStyle w:val="Znakapoznpodarou"/>
        </w:rPr>
        <w:footnoteReference w:id="5"/>
      </w:r>
      <w:r w:rsidRPr="00AF3CE8">
        <w:t xml:space="preserve"> </w:t>
      </w:r>
      <w:r w:rsidRPr="00AF3CE8">
        <w:rPr>
          <w:rFonts w:cstheme="minorHAnsi"/>
        </w:rPr>
        <w:t>MŽP vykonává působnost ústředního vodoprávního úřadu ve věcech vyjmenovaných</w:t>
      </w:r>
      <w:r w:rsidR="007F33E8" w:rsidRPr="00AF3CE8">
        <w:rPr>
          <w:rFonts w:cstheme="minorHAnsi"/>
        </w:rPr>
        <w:t xml:space="preserve"> v</w:t>
      </w:r>
      <w:r w:rsidR="001B1180" w:rsidRPr="00AF3CE8">
        <w:rPr>
          <w:rFonts w:cstheme="minorHAnsi"/>
        </w:rPr>
        <w:t xml:space="preserve"> ustanovení </w:t>
      </w:r>
      <w:r w:rsidRPr="00AF3CE8">
        <w:rPr>
          <w:rFonts w:cstheme="minorHAnsi"/>
        </w:rPr>
        <w:t>§ 104</w:t>
      </w:r>
      <w:r w:rsidR="007F33E8" w:rsidRPr="00AF3CE8">
        <w:rPr>
          <w:rFonts w:cstheme="minorHAnsi"/>
        </w:rPr>
        <w:t xml:space="preserve"> odst. 3</w:t>
      </w:r>
      <w:r w:rsidR="00B40F19" w:rsidRPr="00AF3CE8">
        <w:rPr>
          <w:rFonts w:cstheme="minorHAnsi"/>
        </w:rPr>
        <w:t xml:space="preserve"> vodního zákona</w:t>
      </w:r>
      <w:r w:rsidRPr="00AF3CE8">
        <w:rPr>
          <w:rFonts w:cstheme="minorHAnsi"/>
        </w:rPr>
        <w:t>.</w:t>
      </w:r>
    </w:p>
    <w:p w14:paraId="46A0F5CC" w14:textId="77777777" w:rsidR="00AF3CE8" w:rsidRPr="00AF3CE8" w:rsidRDefault="00AF3CE8" w:rsidP="00AF3CE8">
      <w:pPr>
        <w:spacing w:before="0"/>
        <w:rPr>
          <w:rFonts w:cstheme="minorHAnsi"/>
        </w:rPr>
      </w:pPr>
    </w:p>
    <w:p w14:paraId="3FC3D904" w14:textId="60FBF318" w:rsidR="00C56104" w:rsidRPr="00AF3CE8" w:rsidRDefault="00097727" w:rsidP="00AF3CE8">
      <w:pPr>
        <w:spacing w:before="0"/>
      </w:pPr>
      <w:r w:rsidRPr="00AF3CE8">
        <w:t>MŽP</w:t>
      </w:r>
      <w:r w:rsidR="00BB1BB1" w:rsidRPr="00AF3CE8">
        <w:t xml:space="preserve"> je</w:t>
      </w:r>
      <w:r w:rsidRPr="00AF3CE8">
        <w:t xml:space="preserve"> říd</w:t>
      </w:r>
      <w:r w:rsidR="000D11A4">
        <w:t>i</w:t>
      </w:r>
      <w:r w:rsidRPr="00AF3CE8">
        <w:t xml:space="preserve">cím orgánem pro </w:t>
      </w:r>
      <w:r w:rsidR="00242FA8" w:rsidRPr="00AF3CE8">
        <w:t>O</w:t>
      </w:r>
      <w:r w:rsidR="007F33E8" w:rsidRPr="00AF3CE8">
        <w:t>PŽP</w:t>
      </w:r>
      <w:r w:rsidRPr="00AF3CE8">
        <w:t xml:space="preserve">. </w:t>
      </w:r>
      <w:r w:rsidR="00C56104" w:rsidRPr="00AF3CE8">
        <w:t>Dále MŽP na oblast sucha poskyt</w:t>
      </w:r>
      <w:r w:rsidR="0057748C" w:rsidRPr="00AF3CE8">
        <w:t>uje</w:t>
      </w:r>
      <w:r w:rsidR="00C56104" w:rsidRPr="00AF3CE8">
        <w:t xml:space="preserve"> národní dotace v</w:t>
      </w:r>
      <w:r w:rsidR="00BB1BB1" w:rsidRPr="00AF3CE8">
        <w:t> </w:t>
      </w:r>
      <w:r w:rsidR="00C56104" w:rsidRPr="00AF3CE8">
        <w:t>gesci MŽP a</w:t>
      </w:r>
      <w:r w:rsidR="003F37E1" w:rsidRPr="00AF3CE8">
        <w:t xml:space="preserve"> také</w:t>
      </w:r>
      <w:r w:rsidR="00C56104" w:rsidRPr="00AF3CE8">
        <w:t xml:space="preserve"> finanční prostředky ze SFŽP ČR prostřednictvím </w:t>
      </w:r>
      <w:r w:rsidR="00C56104" w:rsidRPr="004E75F7">
        <w:rPr>
          <w:i/>
        </w:rPr>
        <w:t>Národního programu Životního prostředí</w:t>
      </w:r>
      <w:r w:rsidR="00C56104" w:rsidRPr="00AF3CE8">
        <w:t xml:space="preserve">. </w:t>
      </w:r>
    </w:p>
    <w:p w14:paraId="5769376F" w14:textId="6281660F" w:rsidR="00A44D15" w:rsidRDefault="00A44D15" w:rsidP="00AF3CE8">
      <w:pPr>
        <w:spacing w:before="0"/>
      </w:pPr>
    </w:p>
    <w:p w14:paraId="1935306F" w14:textId="77777777" w:rsidR="00AF3CE8" w:rsidRPr="00AF3CE8" w:rsidRDefault="00AF3CE8" w:rsidP="00AF3CE8">
      <w:pPr>
        <w:spacing w:before="0"/>
      </w:pPr>
    </w:p>
    <w:p w14:paraId="7A807403" w14:textId="7674A1E0" w:rsidR="004F24F4" w:rsidRPr="00D86DAB" w:rsidRDefault="00D91D0B" w:rsidP="00AF3CE8">
      <w:pPr>
        <w:pStyle w:val="Nadpis1"/>
        <w:spacing w:before="0"/>
        <w:rPr>
          <w:sz w:val="28"/>
          <w:szCs w:val="28"/>
        </w:rPr>
      </w:pPr>
      <w:r w:rsidRPr="00D86DAB">
        <w:rPr>
          <w:sz w:val="28"/>
          <w:szCs w:val="28"/>
        </w:rPr>
        <w:t>III. Rozsah kontroly</w:t>
      </w:r>
    </w:p>
    <w:p w14:paraId="2CEF9D5D" w14:textId="77777777" w:rsidR="00AD78F3" w:rsidRDefault="00AD78F3" w:rsidP="00AF3CE8">
      <w:pPr>
        <w:keepNext/>
        <w:spacing w:before="0"/>
      </w:pPr>
    </w:p>
    <w:p w14:paraId="5E504505" w14:textId="35B09240" w:rsidR="00557A73" w:rsidRDefault="00D91D0B" w:rsidP="00AF3CE8">
      <w:pPr>
        <w:spacing w:before="0"/>
      </w:pPr>
      <w:r>
        <w:t xml:space="preserve">V rámci kontrolní akce byla provedena kontrola u </w:t>
      </w:r>
      <w:proofErr w:type="spellStart"/>
      <w:proofErr w:type="gramStart"/>
      <w:r>
        <w:t>MZe</w:t>
      </w:r>
      <w:proofErr w:type="spellEnd"/>
      <w:proofErr w:type="gramEnd"/>
      <w:r>
        <w:t xml:space="preserve"> a </w:t>
      </w:r>
      <w:r w:rsidR="00224DBA">
        <w:t>MŽP</w:t>
      </w:r>
      <w:r>
        <w:t xml:space="preserve">. </w:t>
      </w:r>
      <w:r w:rsidR="00557A73">
        <w:t xml:space="preserve">Dotační </w:t>
      </w:r>
      <w:r w:rsidR="002B5612">
        <w:t>programy</w:t>
      </w:r>
      <w:r w:rsidR="00557A73">
        <w:t xml:space="preserve"> však nebyly hodnoceny jako celek, ale pouze v aspektech týkající</w:t>
      </w:r>
      <w:r w:rsidR="00821590">
        <w:t>ch</w:t>
      </w:r>
      <w:r w:rsidR="00557A73">
        <w:t xml:space="preserve"> se boje se suchem a nedostatkem vody.</w:t>
      </w:r>
      <w:r w:rsidR="00F73F72">
        <w:t xml:space="preserve"> U jednotlivých dotačních titulů NKÚ kontroloval návaznost na </w:t>
      </w:r>
      <w:r w:rsidR="00F73F72" w:rsidRPr="00DD0E51">
        <w:rPr>
          <w:i/>
        </w:rPr>
        <w:t>Koncepci ochrany před následky sucha pro území České republiky</w:t>
      </w:r>
      <w:r w:rsidR="00F73F72">
        <w:t xml:space="preserve"> a provedl vyhodnocení finanční významnosti a</w:t>
      </w:r>
      <w:r w:rsidR="00AF3CE8">
        <w:t> </w:t>
      </w:r>
      <w:r w:rsidR="00F73F72">
        <w:t>vyhodnocení přínosu ke zmírnění negativních dopadů sucha a nedostatku vody.</w:t>
      </w:r>
    </w:p>
    <w:p w14:paraId="494396FF" w14:textId="77777777" w:rsidR="00AF3CE8" w:rsidRDefault="00AF3CE8" w:rsidP="00AF3CE8">
      <w:pPr>
        <w:spacing w:before="0"/>
      </w:pPr>
    </w:p>
    <w:p w14:paraId="3CE136E8" w14:textId="7378D55E" w:rsidR="00224DBA" w:rsidRDefault="00224DBA" w:rsidP="00AF3CE8">
      <w:pPr>
        <w:spacing w:before="0"/>
      </w:pPr>
      <w:r>
        <w:t>Kontrole byly</w:t>
      </w:r>
      <w:r w:rsidR="00567045">
        <w:t xml:space="preserve"> v rámci resortu </w:t>
      </w:r>
      <w:proofErr w:type="spellStart"/>
      <w:r w:rsidR="00567045">
        <w:t>MZe</w:t>
      </w:r>
      <w:proofErr w:type="spellEnd"/>
      <w:r w:rsidR="00B34086">
        <w:t xml:space="preserve"> </w:t>
      </w:r>
      <w:r>
        <w:t xml:space="preserve">podrobeny všechny dotační </w:t>
      </w:r>
      <w:r w:rsidR="002B5612">
        <w:t>programy</w:t>
      </w:r>
      <w:r>
        <w:t>, které</w:t>
      </w:r>
      <w:r w:rsidR="00567045">
        <w:t xml:space="preserve"> </w:t>
      </w:r>
      <w:proofErr w:type="spellStart"/>
      <w:r w:rsidR="00567045">
        <w:t>MZe</w:t>
      </w:r>
      <w:proofErr w:type="spellEnd"/>
      <w:r>
        <w:t xml:space="preserve"> na boj se suchem vykazuje, to jest 26 dotačních </w:t>
      </w:r>
      <w:r w:rsidR="002B5612">
        <w:t>programů</w:t>
      </w:r>
      <w:r>
        <w:t xml:space="preserve"> a podpor</w:t>
      </w:r>
      <w:r w:rsidR="00FC6D74">
        <w:t>,</w:t>
      </w:r>
      <w:r>
        <w:t xml:space="preserve"> a dále náhrady vyplácené za škody způsobené suchem</w:t>
      </w:r>
      <w:r w:rsidR="00650A93">
        <w:t xml:space="preserve">, celkem tedy 27 dotačních programů. Do finančního výčtu jsou dále zahrnuty tzv. staré závazky PRV, </w:t>
      </w:r>
      <w:r w:rsidR="00FC6D74">
        <w:t xml:space="preserve">a to </w:t>
      </w:r>
      <w:r w:rsidR="00650A93">
        <w:t>celkem 28 položek</w:t>
      </w:r>
      <w:r w:rsidR="00567045">
        <w:t xml:space="preserve"> (viz příloha č. 1 tohoto kontrolního závěru)</w:t>
      </w:r>
      <w:r>
        <w:t>.</w:t>
      </w:r>
      <w:r w:rsidR="00567045">
        <w:t xml:space="preserve"> Z toho 15 </w:t>
      </w:r>
      <w:r w:rsidR="002B5612">
        <w:t>programů</w:t>
      </w:r>
      <w:r w:rsidR="00567045">
        <w:t xml:space="preserve"> bylo uvedeno v příloze </w:t>
      </w:r>
      <w:r w:rsidR="00B27F95">
        <w:t>1</w:t>
      </w:r>
      <w:r w:rsidR="00567045">
        <w:t>4 Koncepce a jednalo se o</w:t>
      </w:r>
      <w:r w:rsidR="00FC6D74">
        <w:t> </w:t>
      </w:r>
      <w:r w:rsidR="00567045">
        <w:t xml:space="preserve">národní dotační </w:t>
      </w:r>
      <w:r w:rsidR="002B5612">
        <w:t>programy</w:t>
      </w:r>
      <w:r w:rsidR="00567045">
        <w:t xml:space="preserve"> (např. vodovody, kanalizace, rybníky, malé vodní nádrže, závlahy a další).</w:t>
      </w:r>
      <w:r>
        <w:t xml:space="preserve"> Nad rámec přílohy 14 Koncepce se jedn</w:t>
      </w:r>
      <w:r w:rsidR="00A207EF">
        <w:t>alo</w:t>
      </w:r>
      <w:r>
        <w:t xml:space="preserve"> o dalších 12 </w:t>
      </w:r>
      <w:r w:rsidR="002B5612">
        <w:t>programů</w:t>
      </w:r>
      <w:r w:rsidR="00567045">
        <w:t xml:space="preserve">. Těmito </w:t>
      </w:r>
      <w:r w:rsidR="002B5612">
        <w:t>programy</w:t>
      </w:r>
      <w:r w:rsidR="00567045">
        <w:t xml:space="preserve"> jsou</w:t>
      </w:r>
      <w:r>
        <w:t xml:space="preserve"> zemědělsk</w:t>
      </w:r>
      <w:r w:rsidR="00567045">
        <w:t>é</w:t>
      </w:r>
      <w:r>
        <w:t xml:space="preserve"> podpor</w:t>
      </w:r>
      <w:r w:rsidR="00567045">
        <w:t>y PRV (</w:t>
      </w:r>
      <w:proofErr w:type="spellStart"/>
      <w:r w:rsidR="00B40F19">
        <w:t>a</w:t>
      </w:r>
      <w:r w:rsidR="00034BEC">
        <w:t>groenvironmentálně</w:t>
      </w:r>
      <w:proofErr w:type="spellEnd"/>
      <w:r w:rsidR="007F33E8">
        <w:t>-klimatická opatření</w:t>
      </w:r>
      <w:r>
        <w:t xml:space="preserve">, ekologické zemědělství, </w:t>
      </w:r>
      <w:r w:rsidR="00567045">
        <w:t>méně příznivé oblasti</w:t>
      </w:r>
      <w:r w:rsidR="007F33E8">
        <w:t>)</w:t>
      </w:r>
      <w:r>
        <w:t>, zalesnění zemědělské půdy, lesnická opatření a</w:t>
      </w:r>
      <w:r w:rsidR="00FC6D74">
        <w:t> </w:t>
      </w:r>
      <w:r>
        <w:t>pozemkové úpravy, dále OPR, hasičsk</w:t>
      </w:r>
      <w:r w:rsidR="00567045">
        <w:t>á</w:t>
      </w:r>
      <w:r>
        <w:t xml:space="preserve"> leteck</w:t>
      </w:r>
      <w:r w:rsidR="00567045">
        <w:t>á</w:t>
      </w:r>
      <w:r>
        <w:t xml:space="preserve"> služb</w:t>
      </w:r>
      <w:r w:rsidR="00567045">
        <w:t>a</w:t>
      </w:r>
      <w:r>
        <w:t xml:space="preserve"> a podpory z Národní agentury zemědělského výzkumu.</w:t>
      </w:r>
    </w:p>
    <w:p w14:paraId="2B4BE7F3" w14:textId="77777777" w:rsidR="00AF3CE8" w:rsidRDefault="00AF3CE8" w:rsidP="00AF3CE8">
      <w:pPr>
        <w:spacing w:before="0"/>
      </w:pPr>
    </w:p>
    <w:p w14:paraId="270428A4" w14:textId="655A5889" w:rsidR="00224DBA" w:rsidRDefault="00224DBA" w:rsidP="00AF3CE8">
      <w:pPr>
        <w:spacing w:before="0"/>
      </w:pPr>
      <w:r>
        <w:lastRenderedPageBreak/>
        <w:t xml:space="preserve">V rámci resortu MŽP byly kontrolovány všechny dotační </w:t>
      </w:r>
      <w:r w:rsidR="002B5612">
        <w:t>programy</w:t>
      </w:r>
      <w:r>
        <w:t xml:space="preserve"> uvedené v příloze 15 Koncepce</w:t>
      </w:r>
      <w:r w:rsidR="00A207EF">
        <w:t>, tedy dotace poskytované z OPŽP, dále z </w:t>
      </w:r>
      <w:r w:rsidR="00A207EF" w:rsidRPr="004E75F7">
        <w:rPr>
          <w:i/>
        </w:rPr>
        <w:t>Národní</w:t>
      </w:r>
      <w:r w:rsidR="00D53E4A" w:rsidRPr="004E75F7">
        <w:rPr>
          <w:i/>
        </w:rPr>
        <w:t>ho programu Životní prostředí</w:t>
      </w:r>
      <w:r w:rsidR="00D53E4A">
        <w:t xml:space="preserve"> a </w:t>
      </w:r>
      <w:r w:rsidR="00A207EF">
        <w:t>programy v gesci MŽP</w:t>
      </w:r>
      <w:r w:rsidR="00E54830">
        <w:t>, celkem šlo o 10 programů</w:t>
      </w:r>
      <w:r w:rsidR="00567045">
        <w:t xml:space="preserve"> (viz příloha č. 2 tohoto kontrolního závěru)</w:t>
      </w:r>
      <w:r>
        <w:t>.</w:t>
      </w:r>
      <w:r w:rsidR="00B27F95">
        <w:t xml:space="preserve"> Rozsah dotačních </w:t>
      </w:r>
      <w:r w:rsidR="002B5612">
        <w:t>programů</w:t>
      </w:r>
      <w:r w:rsidR="00B27F95">
        <w:t xml:space="preserve"> vykazovaných MŽP byl v souladu s obsahem přílohy 15 Koncepce.</w:t>
      </w:r>
    </w:p>
    <w:p w14:paraId="56036A64" w14:textId="77777777" w:rsidR="00AF3CE8" w:rsidRDefault="00AF3CE8" w:rsidP="00AF3CE8">
      <w:pPr>
        <w:spacing w:before="0"/>
      </w:pPr>
    </w:p>
    <w:p w14:paraId="639864FD" w14:textId="79063D37" w:rsidR="00E54830" w:rsidRDefault="00E54830" w:rsidP="00AF3CE8">
      <w:pPr>
        <w:spacing w:before="0"/>
      </w:pPr>
      <w:r>
        <w:t>Celkový kontrolovatelný objem finančních prostředků na úrovni systému byl ve výši téměř 28</w:t>
      </w:r>
      <w:r w:rsidR="00183E13">
        <w:t> </w:t>
      </w:r>
      <w:r w:rsidR="000B5CC2">
        <w:t>mld.</w:t>
      </w:r>
      <w:r>
        <w:t xml:space="preserve"> Kč, z toho na </w:t>
      </w:r>
      <w:proofErr w:type="spellStart"/>
      <w:r>
        <w:t>MZe</w:t>
      </w:r>
      <w:proofErr w:type="spellEnd"/>
      <w:r>
        <w:t xml:space="preserve"> 25,974 </w:t>
      </w:r>
      <w:r w:rsidR="000B5CC2">
        <w:t>mld.</w:t>
      </w:r>
      <w:r>
        <w:t xml:space="preserve"> Kč a na MŽP 1,810 </w:t>
      </w:r>
      <w:r w:rsidR="000B5CC2">
        <w:t>mld.</w:t>
      </w:r>
      <w:r>
        <w:t xml:space="preserve"> Kč.</w:t>
      </w:r>
    </w:p>
    <w:p w14:paraId="7152D6A4" w14:textId="77777777" w:rsidR="00AF3CE8" w:rsidRDefault="00AF3CE8" w:rsidP="00AF3CE8">
      <w:pPr>
        <w:spacing w:before="0"/>
      </w:pPr>
    </w:p>
    <w:p w14:paraId="4A66EB41" w14:textId="4F49D192" w:rsidR="00E54830" w:rsidRDefault="00E54830" w:rsidP="00AF3CE8">
      <w:pPr>
        <w:spacing w:before="0"/>
      </w:pPr>
      <w:r>
        <w:t xml:space="preserve">Kontrole byl dále na </w:t>
      </w:r>
      <w:proofErr w:type="spellStart"/>
      <w:r>
        <w:t>MZe</w:t>
      </w:r>
      <w:proofErr w:type="spellEnd"/>
      <w:r>
        <w:t xml:space="preserve"> a MŽP podroben vzorek projektů. Kontrolovaný objem finančních prostředků na úrovni projektů byl na </w:t>
      </w:r>
      <w:proofErr w:type="spellStart"/>
      <w:r>
        <w:t>MZe</w:t>
      </w:r>
      <w:proofErr w:type="spellEnd"/>
      <w:r>
        <w:t xml:space="preserve"> ve výši 85 604 655 Kč. Dále byly prověřeny konkrétní složky náhrad škod ve výši 87 315 911 Kč. Kontrolovaný objem finančních prostředků na úrovni projektů byl na MŽP ve výši </w:t>
      </w:r>
      <w:r w:rsidR="00907DA4">
        <w:t>305 529 940 Kč.</w:t>
      </w:r>
    </w:p>
    <w:p w14:paraId="0AAF6EE4" w14:textId="747FDC82" w:rsidR="00C70C9F" w:rsidRDefault="00C70C9F" w:rsidP="00AF3CE8">
      <w:pPr>
        <w:spacing w:before="0"/>
      </w:pPr>
    </w:p>
    <w:p w14:paraId="683B6EEB" w14:textId="77777777" w:rsidR="00A64389" w:rsidRDefault="00A64389" w:rsidP="00AF3CE8">
      <w:pPr>
        <w:spacing w:before="0"/>
      </w:pPr>
    </w:p>
    <w:p w14:paraId="6EFF2111" w14:textId="454258D2" w:rsidR="004F24F4" w:rsidRDefault="00D91D0B" w:rsidP="0084391B">
      <w:pPr>
        <w:pStyle w:val="Nadpis1"/>
        <w:spacing w:before="0"/>
        <w:rPr>
          <w:sz w:val="28"/>
          <w:szCs w:val="28"/>
        </w:rPr>
      </w:pPr>
      <w:r w:rsidRPr="00D86DAB">
        <w:rPr>
          <w:sz w:val="28"/>
          <w:szCs w:val="28"/>
        </w:rPr>
        <w:t>IV. Podrobné skutečnosti zjištěné kontrolou</w:t>
      </w:r>
    </w:p>
    <w:p w14:paraId="1D565CB6" w14:textId="77777777" w:rsidR="00A64389" w:rsidRPr="00A64389" w:rsidRDefault="00A64389" w:rsidP="0084391B">
      <w:pPr>
        <w:keepNext/>
        <w:spacing w:before="0"/>
      </w:pPr>
    </w:p>
    <w:p w14:paraId="3AE8A870" w14:textId="39CB5711" w:rsidR="00AD7E3F" w:rsidRPr="0084391B" w:rsidRDefault="0084391B" w:rsidP="0084391B">
      <w:pPr>
        <w:keepNext/>
        <w:spacing w:before="0"/>
        <w:outlineLvl w:val="0"/>
        <w:rPr>
          <w:b/>
        </w:rPr>
      </w:pPr>
      <w:r>
        <w:rPr>
          <w:b/>
        </w:rPr>
        <w:t xml:space="preserve">1. </w:t>
      </w:r>
      <w:r w:rsidR="009355ED" w:rsidRPr="0084391B">
        <w:rPr>
          <w:b/>
        </w:rPr>
        <w:t>Nedostatečná prá</w:t>
      </w:r>
      <w:r w:rsidR="00BD6545" w:rsidRPr="0084391B">
        <w:rPr>
          <w:b/>
        </w:rPr>
        <w:t>vní úprava problematiky sucha a nedostatku vody</w:t>
      </w:r>
    </w:p>
    <w:p w14:paraId="34FF21DE" w14:textId="77777777" w:rsidR="00C15B17" w:rsidRDefault="00C15B17" w:rsidP="0084391B">
      <w:pPr>
        <w:keepNext/>
        <w:spacing w:before="0"/>
        <w:outlineLvl w:val="0"/>
      </w:pPr>
    </w:p>
    <w:p w14:paraId="0F9DB8CF" w14:textId="4AFACC30" w:rsidR="00F054B8" w:rsidRDefault="009355ED" w:rsidP="00C15B17">
      <w:pPr>
        <w:spacing w:before="0"/>
        <w:outlineLvl w:val="0"/>
      </w:pPr>
      <w:r>
        <w:t>Prá</w:t>
      </w:r>
      <w:r w:rsidR="00F054B8">
        <w:t xml:space="preserve">vní úprava </w:t>
      </w:r>
      <w:r w:rsidR="00FC6D74">
        <w:t xml:space="preserve">problematiky </w:t>
      </w:r>
      <w:r w:rsidR="00F054B8">
        <w:t xml:space="preserve">sucha a nedostatku vody je klíčová pro možnost státní správy efektivně tuto situaci řešit. Chybějící stanovení zákonných práv a povinností jednotlivých zainteresovaných subjektů </w:t>
      </w:r>
      <w:r w:rsidR="0044037C">
        <w:t>komplikuje</w:t>
      </w:r>
      <w:r w:rsidR="00F054B8">
        <w:t xml:space="preserve"> realizaci opat</w:t>
      </w:r>
      <w:r w:rsidR="000A00A8">
        <w:t>ření na zmírnění dopadů sucha a </w:t>
      </w:r>
      <w:r w:rsidR="00F054B8">
        <w:t>nedostatku vody.</w:t>
      </w:r>
    </w:p>
    <w:p w14:paraId="0303B1E2" w14:textId="77777777" w:rsidR="0084391B" w:rsidRDefault="0084391B" w:rsidP="00C15B17">
      <w:pPr>
        <w:spacing w:before="0"/>
        <w:outlineLvl w:val="0"/>
      </w:pPr>
    </w:p>
    <w:p w14:paraId="1CFE0D66" w14:textId="674F2DF2" w:rsidR="00BD6545" w:rsidRPr="0084391B" w:rsidRDefault="0084391B" w:rsidP="0084391B">
      <w:pPr>
        <w:keepNext/>
        <w:spacing w:before="0"/>
        <w:outlineLvl w:val="1"/>
        <w:rPr>
          <w:rFonts w:asciiTheme="minorHAnsi" w:hAnsiTheme="minorHAnsi" w:cstheme="minorHAnsi"/>
          <w:b/>
        </w:rPr>
      </w:pPr>
      <w:bookmarkStart w:id="1" w:name="_Toc9425610"/>
      <w:r>
        <w:rPr>
          <w:rFonts w:asciiTheme="minorHAnsi" w:hAnsiTheme="minorHAnsi" w:cstheme="minorHAnsi"/>
          <w:b/>
        </w:rPr>
        <w:t xml:space="preserve">1.1 </w:t>
      </w:r>
      <w:r w:rsidR="00BD6545" w:rsidRPr="0084391B">
        <w:rPr>
          <w:rFonts w:asciiTheme="minorHAnsi" w:hAnsiTheme="minorHAnsi" w:cstheme="minorHAnsi"/>
          <w:b/>
        </w:rPr>
        <w:t xml:space="preserve">Definice sucha a nedostatku vody </w:t>
      </w:r>
      <w:bookmarkEnd w:id="1"/>
    </w:p>
    <w:p w14:paraId="16FBECBC" w14:textId="77777777" w:rsidR="0084391B" w:rsidRDefault="0084391B" w:rsidP="0084391B">
      <w:pPr>
        <w:keepNext/>
        <w:spacing w:before="0"/>
        <w:rPr>
          <w:rFonts w:asciiTheme="minorHAnsi" w:hAnsiTheme="minorHAnsi" w:cstheme="minorHAnsi"/>
        </w:rPr>
      </w:pPr>
    </w:p>
    <w:p w14:paraId="2EBA4830" w14:textId="31A80CB3" w:rsidR="00BD6545" w:rsidRDefault="00BD6545" w:rsidP="00C15B17">
      <w:pPr>
        <w:spacing w:before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Problematiku sucha a nedostatku vody zmiňuje</w:t>
      </w:r>
      <w:r w:rsidR="00B40F19">
        <w:rPr>
          <w:rFonts w:asciiTheme="minorHAnsi" w:hAnsiTheme="minorHAnsi" w:cstheme="minorHAnsi"/>
        </w:rPr>
        <w:t xml:space="preserve"> vodní</w:t>
      </w:r>
      <w:r w:rsidRPr="00CF541F">
        <w:rPr>
          <w:rFonts w:asciiTheme="minorHAnsi" w:hAnsiTheme="minorHAnsi" w:cstheme="minorHAnsi"/>
        </w:rPr>
        <w:t xml:space="preserve"> zákon pouze okrajově. </w:t>
      </w:r>
      <w:r w:rsidR="00BB1BB1">
        <w:rPr>
          <w:rFonts w:asciiTheme="minorHAnsi" w:hAnsiTheme="minorHAnsi" w:cstheme="minorHAnsi"/>
        </w:rPr>
        <w:t>P</w:t>
      </w:r>
      <w:r w:rsidRPr="00CF541F">
        <w:rPr>
          <w:rFonts w:asciiTheme="minorHAnsi" w:hAnsiTheme="minorHAnsi" w:cstheme="minorHAnsi"/>
        </w:rPr>
        <w:t xml:space="preserve">roblematika sucha a nedostatku vody ve vodním zákoně není podrobněji řešena. Sucho je ve vodním zákoně zmíněno v několika paragrafech, </w:t>
      </w:r>
      <w:r w:rsidR="00111C1A">
        <w:rPr>
          <w:rFonts w:asciiTheme="minorHAnsi" w:hAnsiTheme="minorHAnsi" w:cstheme="minorHAnsi"/>
        </w:rPr>
        <w:t xml:space="preserve">ale </w:t>
      </w:r>
      <w:r w:rsidRPr="00CF541F">
        <w:rPr>
          <w:rFonts w:asciiTheme="minorHAnsi" w:hAnsiTheme="minorHAnsi" w:cstheme="minorHAnsi"/>
        </w:rPr>
        <w:t>vždy jde</w:t>
      </w:r>
      <w:r w:rsidR="00111C1A">
        <w:rPr>
          <w:rFonts w:asciiTheme="minorHAnsi" w:hAnsiTheme="minorHAnsi" w:cstheme="minorHAnsi"/>
        </w:rPr>
        <w:t xml:space="preserve"> pouze</w:t>
      </w:r>
      <w:r w:rsidRPr="00CF541F">
        <w:rPr>
          <w:rFonts w:asciiTheme="minorHAnsi" w:hAnsiTheme="minorHAnsi" w:cstheme="minorHAnsi"/>
        </w:rPr>
        <w:t xml:space="preserve"> o obecná ustanovení, která neřeší konkrétní povinnosti nebo opatření.</w:t>
      </w:r>
    </w:p>
    <w:p w14:paraId="506D126A" w14:textId="77777777" w:rsidR="0084391B" w:rsidRPr="00CF541F" w:rsidRDefault="0084391B" w:rsidP="00C15B17">
      <w:pPr>
        <w:spacing w:before="0"/>
        <w:rPr>
          <w:rFonts w:asciiTheme="minorHAnsi" w:hAnsiTheme="minorHAnsi" w:cstheme="minorHAnsi"/>
        </w:rPr>
      </w:pPr>
    </w:p>
    <w:p w14:paraId="3B702D6F" w14:textId="62F4F1DC" w:rsidR="00BD6545" w:rsidRDefault="00BD6545" w:rsidP="00C15B17">
      <w:pPr>
        <w:spacing w:before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Definice sucha, definice nedostatku vody a celá nově vytvořená</w:t>
      </w:r>
      <w:r w:rsidR="00111C1A">
        <w:rPr>
          <w:rFonts w:asciiTheme="minorHAnsi" w:hAnsiTheme="minorHAnsi" w:cstheme="minorHAnsi"/>
        </w:rPr>
        <w:t xml:space="preserve"> tzv. suchá</w:t>
      </w:r>
      <w:r w:rsidRPr="00CF541F">
        <w:rPr>
          <w:rFonts w:asciiTheme="minorHAnsi" w:hAnsiTheme="minorHAnsi" w:cstheme="minorHAnsi"/>
        </w:rPr>
        <w:t xml:space="preserve"> hlava</w:t>
      </w:r>
      <w:r w:rsidR="00111C1A">
        <w:rPr>
          <w:rFonts w:asciiTheme="minorHAnsi" w:hAnsiTheme="minorHAnsi" w:cstheme="minorHAnsi"/>
        </w:rPr>
        <w:t xml:space="preserve"> nazvaná</w:t>
      </w:r>
      <w:r w:rsidRPr="00CF541F">
        <w:rPr>
          <w:rFonts w:asciiTheme="minorHAnsi" w:hAnsiTheme="minorHAnsi" w:cstheme="minorHAnsi"/>
        </w:rPr>
        <w:t xml:space="preserve"> „</w:t>
      </w:r>
      <w:r w:rsidRPr="00CF541F">
        <w:rPr>
          <w:rFonts w:asciiTheme="minorHAnsi" w:hAnsiTheme="minorHAnsi" w:cstheme="minorHAnsi"/>
          <w:i/>
        </w:rPr>
        <w:t>Z</w:t>
      </w:r>
      <w:r w:rsidR="00111C1A">
        <w:rPr>
          <w:rFonts w:asciiTheme="minorHAnsi" w:hAnsiTheme="minorHAnsi" w:cstheme="minorHAnsi"/>
          <w:i/>
        </w:rPr>
        <w:t>vládání sucha a stavu nedostatku vody</w:t>
      </w:r>
      <w:r w:rsidRPr="00CF541F">
        <w:rPr>
          <w:rFonts w:asciiTheme="minorHAnsi" w:hAnsiTheme="minorHAnsi" w:cstheme="minorHAnsi"/>
        </w:rPr>
        <w:t>“ je uvedena v návrhu novely vodního zákona,</w:t>
      </w:r>
      <w:r w:rsidR="00BB1BB1">
        <w:rPr>
          <w:rFonts w:asciiTheme="minorHAnsi" w:hAnsiTheme="minorHAnsi" w:cstheme="minorHAnsi"/>
        </w:rPr>
        <w:t xml:space="preserve"> která však</w:t>
      </w:r>
      <w:r w:rsidR="00E07A60">
        <w:rPr>
          <w:rFonts w:asciiTheme="minorHAnsi" w:hAnsiTheme="minorHAnsi" w:cstheme="minorHAnsi"/>
        </w:rPr>
        <w:t xml:space="preserve"> byla v</w:t>
      </w:r>
      <w:r w:rsidR="00AD7E3F">
        <w:rPr>
          <w:rFonts w:asciiTheme="minorHAnsi" w:hAnsiTheme="minorHAnsi" w:cstheme="minorHAnsi"/>
        </w:rPr>
        <w:t> době ukončení kontroly</w:t>
      </w:r>
      <w:r w:rsidR="00E07A60">
        <w:rPr>
          <w:rFonts w:asciiTheme="minorHAnsi" w:hAnsiTheme="minorHAnsi" w:cstheme="minorHAnsi"/>
        </w:rPr>
        <w:t xml:space="preserve"> stále </w:t>
      </w:r>
      <w:r w:rsidR="00BB1BB1">
        <w:rPr>
          <w:rFonts w:asciiTheme="minorHAnsi" w:hAnsiTheme="minorHAnsi" w:cstheme="minorHAnsi"/>
        </w:rPr>
        <w:t>v legislativním procesu</w:t>
      </w:r>
      <w:r w:rsidRPr="00CF541F">
        <w:rPr>
          <w:rFonts w:asciiTheme="minorHAnsi" w:hAnsiTheme="minorHAnsi" w:cstheme="minorHAnsi"/>
        </w:rPr>
        <w:t>.</w:t>
      </w:r>
    </w:p>
    <w:p w14:paraId="69EF74F0" w14:textId="77777777" w:rsidR="0084391B" w:rsidRPr="00CF541F" w:rsidRDefault="0084391B" w:rsidP="00C15B17">
      <w:pPr>
        <w:spacing w:before="0"/>
        <w:rPr>
          <w:rFonts w:asciiTheme="minorHAnsi" w:hAnsiTheme="minorHAnsi" w:cstheme="minorHAnsi"/>
        </w:rPr>
      </w:pPr>
    </w:p>
    <w:p w14:paraId="3DB2442C" w14:textId="4248EAFB" w:rsidR="00BD6545" w:rsidRDefault="00BD6545" w:rsidP="00C15B17">
      <w:pPr>
        <w:spacing w:before="0"/>
        <w:rPr>
          <w:rFonts w:asciiTheme="minorHAnsi" w:hAnsiTheme="minorHAnsi" w:cstheme="minorHAnsi"/>
          <w:b/>
        </w:rPr>
      </w:pPr>
      <w:r w:rsidRPr="00425DEB">
        <w:rPr>
          <w:rFonts w:asciiTheme="minorHAnsi" w:hAnsiTheme="minorHAnsi" w:cstheme="minorHAnsi"/>
          <w:b/>
        </w:rPr>
        <w:t>Definici such</w:t>
      </w:r>
      <w:r w:rsidR="00BB1BB1" w:rsidRPr="00425DEB">
        <w:rPr>
          <w:rFonts w:asciiTheme="minorHAnsi" w:hAnsiTheme="minorHAnsi" w:cstheme="minorHAnsi"/>
          <w:b/>
        </w:rPr>
        <w:t xml:space="preserve">a a nedostatku vody </w:t>
      </w:r>
      <w:r w:rsidRPr="00425DEB">
        <w:rPr>
          <w:rFonts w:asciiTheme="minorHAnsi" w:hAnsiTheme="minorHAnsi" w:cstheme="minorHAnsi"/>
          <w:b/>
        </w:rPr>
        <w:t>uváděly jen některé koncepční a strategické materiály schválené usnesením vlády. Vodní zákon ani jiné právní předpisy definici sucha neobsahovaly.</w:t>
      </w:r>
    </w:p>
    <w:p w14:paraId="001713BC" w14:textId="77777777" w:rsidR="00AE2FA9" w:rsidRDefault="00AE2FA9" w:rsidP="00C15B17">
      <w:pPr>
        <w:spacing w:before="0"/>
        <w:rPr>
          <w:rFonts w:asciiTheme="minorHAnsi" w:hAnsiTheme="minorHAnsi" w:cstheme="minorHAnsi"/>
          <w:b/>
        </w:rPr>
      </w:pPr>
    </w:p>
    <w:p w14:paraId="1C95D0D2" w14:textId="1FCB8B3E" w:rsidR="00AD7E3F" w:rsidRPr="0084391B" w:rsidRDefault="0084391B" w:rsidP="0084391B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1.2 </w:t>
      </w:r>
      <w:r w:rsidR="00AD7E3F" w:rsidRPr="0084391B">
        <w:rPr>
          <w:rFonts w:asciiTheme="minorHAnsi" w:hAnsiTheme="minorHAnsi" w:cstheme="minorHAnsi"/>
          <w:b/>
        </w:rPr>
        <w:t>Protierozní vyhláška</w:t>
      </w:r>
    </w:p>
    <w:p w14:paraId="7F12E28F" w14:textId="77777777" w:rsidR="0084391B" w:rsidRDefault="0084391B" w:rsidP="0084391B">
      <w:pPr>
        <w:keepNext/>
        <w:spacing w:before="0"/>
        <w:rPr>
          <w:rFonts w:asciiTheme="minorHAnsi" w:hAnsiTheme="minorHAnsi" w:cstheme="minorHAnsi"/>
        </w:rPr>
      </w:pPr>
    </w:p>
    <w:p w14:paraId="6B4F1EAE" w14:textId="468A685F" w:rsidR="00AE2FA9" w:rsidRDefault="000F7EFA" w:rsidP="0084391B">
      <w:pPr>
        <w:keepNext/>
        <w:spacing w:before="0"/>
      </w:pPr>
      <w:r>
        <w:rPr>
          <w:rFonts w:asciiTheme="minorHAnsi" w:hAnsiTheme="minorHAnsi" w:cstheme="minorHAnsi"/>
        </w:rPr>
        <w:t xml:space="preserve">Vyhláška o ochraně zemědělské půdy před erozí </w:t>
      </w:r>
      <w:r w:rsidR="00111C1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tzv. p</w:t>
      </w:r>
      <w:r w:rsidR="00643A33">
        <w:rPr>
          <w:rFonts w:asciiTheme="minorHAnsi" w:hAnsiTheme="minorHAnsi" w:cstheme="minorHAnsi"/>
        </w:rPr>
        <w:t>rotierozní vyhláška</w:t>
      </w:r>
      <w:r w:rsidR="00111C1A">
        <w:rPr>
          <w:rFonts w:asciiTheme="minorHAnsi" w:hAnsiTheme="minorHAnsi" w:cstheme="minorHAnsi"/>
        </w:rPr>
        <w:t>)</w:t>
      </w:r>
      <w:r w:rsidR="00643A33">
        <w:rPr>
          <w:rFonts w:asciiTheme="minorHAnsi" w:hAnsiTheme="minorHAnsi" w:cstheme="minorHAnsi"/>
        </w:rPr>
        <w:t xml:space="preserve"> má být p</w:t>
      </w:r>
      <w:r w:rsidR="00AE2FA9" w:rsidRPr="00AE2FA9">
        <w:rPr>
          <w:rFonts w:asciiTheme="minorHAnsi" w:hAnsiTheme="minorHAnsi" w:cstheme="minorHAnsi"/>
        </w:rPr>
        <w:t>rováděcím</w:t>
      </w:r>
      <w:r w:rsidR="00AE2FA9">
        <w:rPr>
          <w:rFonts w:asciiTheme="minorHAnsi" w:hAnsiTheme="minorHAnsi" w:cstheme="minorHAnsi"/>
        </w:rPr>
        <w:t xml:space="preserve"> předpisem</w:t>
      </w:r>
      <w:r w:rsidR="00AE2FA9" w:rsidRPr="00AE2FA9">
        <w:rPr>
          <w:rFonts w:asciiTheme="minorHAnsi" w:hAnsiTheme="minorHAnsi" w:cstheme="minorHAnsi"/>
        </w:rPr>
        <w:t xml:space="preserve"> k zákonu o ochraně zemědělského půdního fondu</w:t>
      </w:r>
      <w:r w:rsidR="005454D5">
        <w:rPr>
          <w:rStyle w:val="Znakapoznpodarou"/>
          <w:rFonts w:asciiTheme="minorHAnsi" w:hAnsiTheme="minorHAnsi" w:cstheme="minorHAnsi"/>
        </w:rPr>
        <w:footnoteReference w:id="6"/>
      </w:r>
      <w:r w:rsidR="0044037C">
        <w:rPr>
          <w:rFonts w:asciiTheme="minorHAnsi" w:hAnsiTheme="minorHAnsi" w:cstheme="minorHAnsi"/>
        </w:rPr>
        <w:t>.</w:t>
      </w:r>
      <w:r w:rsidR="00DD0E51">
        <w:rPr>
          <w:rFonts w:asciiTheme="minorHAnsi" w:hAnsiTheme="minorHAnsi" w:cstheme="minorHAnsi"/>
        </w:rPr>
        <w:t xml:space="preserve"> </w:t>
      </w:r>
      <w:r w:rsidR="0044037C">
        <w:rPr>
          <w:rFonts w:asciiTheme="minorHAnsi" w:hAnsiTheme="minorHAnsi" w:cstheme="minorHAnsi"/>
        </w:rPr>
        <w:t xml:space="preserve">Vyhláška </w:t>
      </w:r>
      <w:r w:rsidR="00DD0E51">
        <w:rPr>
          <w:rFonts w:asciiTheme="minorHAnsi" w:hAnsiTheme="minorHAnsi" w:cstheme="minorHAnsi"/>
        </w:rPr>
        <w:t>má zpřesnit pravidla pro hospodaření na erozně ohrožených pozemcích.</w:t>
      </w:r>
      <w:r w:rsidR="00AE2FA9" w:rsidRPr="00AE2FA9">
        <w:rPr>
          <w:rFonts w:asciiTheme="minorHAnsi" w:hAnsiTheme="minorHAnsi" w:cstheme="minorHAnsi"/>
        </w:rPr>
        <w:t xml:space="preserve"> </w:t>
      </w:r>
      <w:r w:rsidR="00643A33">
        <w:t xml:space="preserve">Ochrana půdy a zadržení </w:t>
      </w:r>
      <w:r w:rsidR="00DA53A6">
        <w:t xml:space="preserve">vody </w:t>
      </w:r>
      <w:r w:rsidR="00643A33">
        <w:t>v krajině je pro zmírňování negativních následků sucha a nedostatku vody zásadní.</w:t>
      </w:r>
      <w:r>
        <w:t xml:space="preserve"> Proto byla ochrana půdního fondu před erozí jedním z úkolů uvedených ve strategických materiálech související</w:t>
      </w:r>
      <w:r w:rsidR="0044037C">
        <w:t>ch</w:t>
      </w:r>
      <w:r>
        <w:t xml:space="preserve"> </w:t>
      </w:r>
      <w:r>
        <w:lastRenderedPageBreak/>
        <w:t>se suchem. Tato vyhláška by měla zakotvit obecně platné principy protierozní ochrany půdy, kterými by se v</w:t>
      </w:r>
      <w:r w:rsidR="001177BE">
        <w:t> </w:t>
      </w:r>
      <w:r>
        <w:t xml:space="preserve">budoucnu měli řídit všichni, kteří na půdě hospodaří, a to bez ohledu na to, zda </w:t>
      </w:r>
      <w:r w:rsidR="0084391B">
        <w:t>jsou či nejsou příjemci dotací.</w:t>
      </w:r>
    </w:p>
    <w:p w14:paraId="6F45185D" w14:textId="77777777" w:rsidR="0084391B" w:rsidRPr="00C17EF7" w:rsidRDefault="0084391B" w:rsidP="0084391B">
      <w:pPr>
        <w:keepNext/>
        <w:spacing w:before="0"/>
      </w:pPr>
    </w:p>
    <w:p w14:paraId="66B88366" w14:textId="0D51A9FC" w:rsidR="00AE2FA9" w:rsidRPr="00AE2FA9" w:rsidRDefault="00AE2FA9" w:rsidP="0084391B">
      <w:pPr>
        <w:keepNext/>
        <w:spacing w:before="0"/>
        <w:rPr>
          <w:rFonts w:asciiTheme="minorHAnsi" w:hAnsiTheme="minorHAnsi" w:cstheme="minorHAnsi"/>
          <w:b/>
        </w:rPr>
      </w:pPr>
      <w:r w:rsidRPr="00AE2FA9">
        <w:rPr>
          <w:rFonts w:asciiTheme="minorHAnsi" w:hAnsiTheme="minorHAnsi" w:cstheme="minorHAnsi"/>
          <w:b/>
        </w:rPr>
        <w:t>Do ukončení kontroly nebyla tzv. protierozní vyhlášk</w:t>
      </w:r>
      <w:r>
        <w:rPr>
          <w:rFonts w:asciiTheme="minorHAnsi" w:hAnsiTheme="minorHAnsi" w:cstheme="minorHAnsi"/>
          <w:b/>
        </w:rPr>
        <w:t>a</w:t>
      </w:r>
      <w:r w:rsidRPr="00AE2FA9">
        <w:rPr>
          <w:rFonts w:asciiTheme="minorHAnsi" w:hAnsiTheme="minorHAnsi" w:cstheme="minorHAnsi"/>
          <w:b/>
        </w:rPr>
        <w:t xml:space="preserve"> schválena.</w:t>
      </w:r>
    </w:p>
    <w:p w14:paraId="2754F399" w14:textId="77777777" w:rsidR="00FC43C7" w:rsidRPr="00C15B17" w:rsidRDefault="00FC43C7" w:rsidP="00C15B17">
      <w:pPr>
        <w:spacing w:before="0"/>
        <w:rPr>
          <w:rFonts w:asciiTheme="minorHAnsi" w:hAnsiTheme="minorHAnsi" w:cstheme="minorHAnsi"/>
          <w:color w:val="000000" w:themeColor="text1"/>
          <w:lang w:eastAsia="cs-CZ"/>
        </w:rPr>
      </w:pPr>
    </w:p>
    <w:p w14:paraId="344736E0" w14:textId="499A50EF" w:rsidR="00BD6545" w:rsidRPr="0084391B" w:rsidRDefault="0084391B" w:rsidP="0084391B">
      <w:pPr>
        <w:keepNext/>
        <w:spacing w:before="0"/>
        <w:outlineLvl w:val="1"/>
        <w:rPr>
          <w:rFonts w:asciiTheme="minorHAnsi" w:hAnsiTheme="minorHAnsi" w:cstheme="minorHAnsi"/>
          <w:b/>
        </w:rPr>
      </w:pPr>
      <w:bookmarkStart w:id="2" w:name="_Toc9425612"/>
      <w:r>
        <w:rPr>
          <w:rFonts w:asciiTheme="minorHAnsi" w:hAnsiTheme="minorHAnsi" w:cstheme="minorHAnsi"/>
          <w:b/>
        </w:rPr>
        <w:t xml:space="preserve">1.3 </w:t>
      </w:r>
      <w:r w:rsidR="00BD6545" w:rsidRPr="0084391B">
        <w:rPr>
          <w:rFonts w:asciiTheme="minorHAnsi" w:hAnsiTheme="minorHAnsi" w:cstheme="minorHAnsi"/>
          <w:b/>
        </w:rPr>
        <w:t>Kompete</w:t>
      </w:r>
      <w:bookmarkEnd w:id="2"/>
      <w:r w:rsidR="0057748C" w:rsidRPr="0084391B">
        <w:rPr>
          <w:rFonts w:asciiTheme="minorHAnsi" w:hAnsiTheme="minorHAnsi" w:cstheme="minorHAnsi"/>
          <w:b/>
        </w:rPr>
        <w:t>nce</w:t>
      </w:r>
    </w:p>
    <w:p w14:paraId="551E01F5" w14:textId="77777777" w:rsidR="00DE37DD" w:rsidRDefault="00DE37DD" w:rsidP="0084391B">
      <w:pPr>
        <w:keepNext/>
        <w:spacing w:before="0"/>
        <w:rPr>
          <w:rFonts w:asciiTheme="minorHAnsi" w:hAnsiTheme="minorHAnsi" w:cstheme="minorHAnsi"/>
        </w:rPr>
      </w:pPr>
    </w:p>
    <w:p w14:paraId="2B11052B" w14:textId="7DC37163" w:rsidR="00BD6545" w:rsidRPr="00CF541F" w:rsidRDefault="00BD6545" w:rsidP="00C15B17">
      <w:pPr>
        <w:spacing w:before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Působnost ústředního správního orgánu na úseku vodního hospodářství je podle vodního zákona sdílena mezi několika ministerstvy. Vodní zákon v</w:t>
      </w:r>
      <w:r w:rsidR="00623D05">
        <w:rPr>
          <w:rFonts w:asciiTheme="minorHAnsi" w:hAnsiTheme="minorHAnsi" w:cstheme="minorHAnsi"/>
        </w:rPr>
        <w:t xml:space="preserve"> ustanovení </w:t>
      </w:r>
      <w:r w:rsidRPr="00CF541F">
        <w:rPr>
          <w:rFonts w:asciiTheme="minorHAnsi" w:hAnsiTheme="minorHAnsi" w:cstheme="minorHAnsi"/>
        </w:rPr>
        <w:t>§ 108 odst. 1 stanoví</w:t>
      </w:r>
      <w:r w:rsidR="0044037C">
        <w:rPr>
          <w:rFonts w:asciiTheme="minorHAnsi" w:hAnsiTheme="minorHAnsi" w:cstheme="minorHAnsi"/>
        </w:rPr>
        <w:t>:</w:t>
      </w:r>
      <w:r w:rsidRPr="00CF541F">
        <w:rPr>
          <w:rFonts w:asciiTheme="minorHAnsi" w:hAnsiTheme="minorHAnsi" w:cstheme="minorHAnsi"/>
        </w:rPr>
        <w:t xml:space="preserve"> „</w:t>
      </w:r>
      <w:r w:rsidR="0044037C">
        <w:rPr>
          <w:rFonts w:asciiTheme="minorHAnsi" w:hAnsiTheme="minorHAnsi" w:cstheme="minorHAnsi"/>
          <w:i/>
        </w:rPr>
        <w:t>N</w:t>
      </w:r>
      <w:r w:rsidRPr="00CF541F">
        <w:rPr>
          <w:rFonts w:asciiTheme="minorHAnsi" w:hAnsiTheme="minorHAnsi" w:cstheme="minorHAnsi"/>
          <w:i/>
        </w:rPr>
        <w:t>ení-li tímto zákonem stanoveno jinak, vykonává působnost ústředního vodoprávního úřadu Ministerstvo zemědělství“</w:t>
      </w:r>
      <w:r w:rsidRPr="00CF541F">
        <w:rPr>
          <w:rFonts w:asciiTheme="minorHAnsi" w:hAnsiTheme="minorHAnsi" w:cstheme="minorHAnsi"/>
        </w:rPr>
        <w:t xml:space="preserve">. </w:t>
      </w:r>
    </w:p>
    <w:p w14:paraId="47001BA3" w14:textId="4DE1D3BB" w:rsidR="00BD6545" w:rsidRPr="00CF541F" w:rsidRDefault="00BD6545" w:rsidP="00DE37DD">
      <w:pPr>
        <w:pStyle w:val="Odstavecseseznamem"/>
        <w:numPr>
          <w:ilvl w:val="0"/>
          <w:numId w:val="5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MŽP vykonává působnost ústředního vodoprávního úřadu ve věcech uvedených v</w:t>
      </w:r>
      <w:r w:rsidR="00623D05">
        <w:rPr>
          <w:rFonts w:asciiTheme="minorHAnsi" w:hAnsiTheme="minorHAnsi" w:cstheme="minorHAnsi"/>
        </w:rPr>
        <w:t xml:space="preserve"> ustanovení </w:t>
      </w:r>
      <w:r w:rsidRPr="00CF541F">
        <w:rPr>
          <w:rFonts w:asciiTheme="minorHAnsi" w:hAnsiTheme="minorHAnsi" w:cstheme="minorHAnsi"/>
        </w:rPr>
        <w:t>§</w:t>
      </w:r>
      <w:r w:rsidR="00B758EF">
        <w:rPr>
          <w:rFonts w:asciiTheme="minorHAnsi" w:hAnsiTheme="minorHAnsi" w:cstheme="minorHAnsi"/>
        </w:rPr>
        <w:t> </w:t>
      </w:r>
      <w:r w:rsidRPr="00CF541F">
        <w:rPr>
          <w:rFonts w:asciiTheme="minorHAnsi" w:hAnsiTheme="minorHAnsi" w:cstheme="minorHAnsi"/>
        </w:rPr>
        <w:t>108 odst. 3 vodního zákona (písmeno a</w:t>
      </w:r>
      <w:r w:rsidR="0044037C">
        <w:rPr>
          <w:rFonts w:asciiTheme="minorHAnsi" w:hAnsiTheme="minorHAnsi" w:cstheme="minorHAnsi"/>
        </w:rPr>
        <w:t xml:space="preserve"> až </w:t>
      </w:r>
      <w:r w:rsidRPr="00CF541F">
        <w:rPr>
          <w:rFonts w:asciiTheme="minorHAnsi" w:hAnsiTheme="minorHAnsi" w:cstheme="minorHAnsi"/>
        </w:rPr>
        <w:t>w), například ve věcech ochrany před povodněmi, dále ve věcech ochrany m</w:t>
      </w:r>
      <w:r w:rsidR="00623D05">
        <w:rPr>
          <w:rFonts w:asciiTheme="minorHAnsi" w:hAnsiTheme="minorHAnsi" w:cstheme="minorHAnsi"/>
        </w:rPr>
        <w:t>nožství a jakosti povrchových a </w:t>
      </w:r>
      <w:r w:rsidRPr="00CF541F">
        <w:rPr>
          <w:rFonts w:asciiTheme="minorHAnsi" w:hAnsiTheme="minorHAnsi" w:cstheme="minorHAnsi"/>
        </w:rPr>
        <w:t xml:space="preserve">podzemních vod. </w:t>
      </w:r>
    </w:p>
    <w:p w14:paraId="6A310DF6" w14:textId="6B849502" w:rsidR="00BD6545" w:rsidRPr="00CF541F" w:rsidRDefault="00BD6545" w:rsidP="00DE37DD">
      <w:pPr>
        <w:pStyle w:val="Odstavecseseznamem"/>
        <w:numPr>
          <w:ilvl w:val="0"/>
          <w:numId w:val="5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proofErr w:type="spellStart"/>
      <w:r w:rsidRPr="00CF541F">
        <w:rPr>
          <w:rFonts w:asciiTheme="minorHAnsi" w:hAnsiTheme="minorHAnsi" w:cstheme="minorHAnsi"/>
        </w:rPr>
        <w:t>MZe</w:t>
      </w:r>
      <w:proofErr w:type="spellEnd"/>
      <w:r w:rsidRPr="00CF541F">
        <w:rPr>
          <w:rFonts w:asciiTheme="minorHAnsi" w:hAnsiTheme="minorHAnsi" w:cstheme="minorHAnsi"/>
        </w:rPr>
        <w:t xml:space="preserve"> společně s MŽP vykonáv</w:t>
      </w:r>
      <w:r w:rsidR="0044037C">
        <w:rPr>
          <w:rFonts w:asciiTheme="minorHAnsi" w:hAnsiTheme="minorHAnsi" w:cstheme="minorHAnsi"/>
        </w:rPr>
        <w:t>ají</w:t>
      </w:r>
      <w:r w:rsidRPr="00CF541F">
        <w:rPr>
          <w:rFonts w:asciiTheme="minorHAnsi" w:hAnsiTheme="minorHAnsi" w:cstheme="minorHAnsi"/>
        </w:rPr>
        <w:t xml:space="preserve"> působnost ústředního vodoprávního úřadu ve věcech sestavování plánů v oblasti vod, tvorby a vedení informačního systému, plnění úkolů vyplývajících ze vztahu k Evropské unii v oblasti ochrany vod. </w:t>
      </w:r>
    </w:p>
    <w:p w14:paraId="76F176B9" w14:textId="5D9E5663" w:rsidR="00BD6545" w:rsidRPr="00CF541F" w:rsidRDefault="00BD6545" w:rsidP="00DE37DD">
      <w:pPr>
        <w:pStyle w:val="Odstavecseseznamem"/>
        <w:numPr>
          <w:ilvl w:val="0"/>
          <w:numId w:val="5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Ministerstvo dopravy vykonává působnost ústředního vodoprávního úřadu ve věcech užívání povrchových vod k</w:t>
      </w:r>
      <w:r w:rsidR="0057733C">
        <w:rPr>
          <w:rFonts w:asciiTheme="minorHAnsi" w:hAnsiTheme="minorHAnsi" w:cstheme="minorHAnsi"/>
        </w:rPr>
        <w:t> </w:t>
      </w:r>
      <w:r w:rsidRPr="00CF541F">
        <w:rPr>
          <w:rFonts w:asciiTheme="minorHAnsi" w:hAnsiTheme="minorHAnsi" w:cstheme="minorHAnsi"/>
        </w:rPr>
        <w:t>plavbě</w:t>
      </w:r>
      <w:r w:rsidR="0057733C">
        <w:rPr>
          <w:rFonts w:asciiTheme="minorHAnsi" w:hAnsiTheme="minorHAnsi" w:cstheme="minorHAnsi"/>
        </w:rPr>
        <w:t>.</w:t>
      </w:r>
    </w:p>
    <w:p w14:paraId="286487AD" w14:textId="72B68739" w:rsidR="00BD6545" w:rsidRPr="00CF541F" w:rsidRDefault="00BD6545" w:rsidP="00DE37DD">
      <w:pPr>
        <w:pStyle w:val="Odstavecseseznamem"/>
        <w:numPr>
          <w:ilvl w:val="0"/>
          <w:numId w:val="5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 xml:space="preserve">Ministerstvo obrany vykonává působnost ústředního vodoprávního úřadu ve věcech, v nichž je založena působnost újezdních úřadů. </w:t>
      </w:r>
    </w:p>
    <w:p w14:paraId="33B5C40D" w14:textId="448282C9" w:rsidR="00BD6545" w:rsidRPr="00CF541F" w:rsidRDefault="00BD6545" w:rsidP="00DE37DD">
      <w:pPr>
        <w:pStyle w:val="Odstavecseseznamem"/>
        <w:numPr>
          <w:ilvl w:val="0"/>
          <w:numId w:val="5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 xml:space="preserve">Ministerstvo vnitra je ústředním orgánem státní správy pro vnitřní věci, zejména </w:t>
      </w:r>
      <w:r w:rsidR="0044037C">
        <w:rPr>
          <w:rFonts w:asciiTheme="minorHAnsi" w:hAnsiTheme="minorHAnsi" w:cstheme="minorHAnsi"/>
        </w:rPr>
        <w:t xml:space="preserve">pro </w:t>
      </w:r>
      <w:r w:rsidRPr="00111C1A">
        <w:rPr>
          <w:rFonts w:asciiTheme="minorHAnsi" w:hAnsiTheme="minorHAnsi" w:cstheme="minorHAnsi"/>
        </w:rPr>
        <w:t>krizové řízení, civilní nouzové plánování, ochranu obyvatelstva a integrovaný záchranný systém</w:t>
      </w:r>
      <w:r w:rsidR="00B40F19">
        <w:rPr>
          <w:rFonts w:asciiTheme="minorHAnsi" w:hAnsiTheme="minorHAnsi" w:cstheme="minorHAnsi"/>
        </w:rPr>
        <w:t>. V</w:t>
      </w:r>
      <w:r w:rsidRPr="00CF541F">
        <w:rPr>
          <w:rFonts w:asciiTheme="minorHAnsi" w:hAnsiTheme="minorHAnsi" w:cstheme="minorHAnsi"/>
        </w:rPr>
        <w:t xml:space="preserve">e vodním zákoně je podrobně stanovena role Ministerstva vnitra při povodních. </w:t>
      </w:r>
    </w:p>
    <w:p w14:paraId="2284B5B8" w14:textId="77777777" w:rsidR="00DE37DD" w:rsidRDefault="00DE37DD" w:rsidP="00DE37DD">
      <w:pPr>
        <w:spacing w:before="0"/>
        <w:ind w:left="567" w:hanging="283"/>
        <w:rPr>
          <w:rFonts w:asciiTheme="minorHAnsi" w:hAnsiTheme="minorHAnsi" w:cstheme="minorHAnsi"/>
        </w:rPr>
      </w:pPr>
    </w:p>
    <w:p w14:paraId="5F2EF625" w14:textId="0C5135AC" w:rsidR="00BD6545" w:rsidRPr="00CF541F" w:rsidRDefault="00BD6545" w:rsidP="00DE37DD">
      <w:pPr>
        <w:spacing w:before="0"/>
        <w:ind w:left="567" w:hanging="283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Další zapojené subjekty:</w:t>
      </w:r>
    </w:p>
    <w:p w14:paraId="27A5D7F6" w14:textId="53952CB3" w:rsidR="00BD6545" w:rsidRPr="00CF541F" w:rsidRDefault="00BD6545" w:rsidP="00DE37DD">
      <w:pPr>
        <w:pStyle w:val="Odstavecseseznamem"/>
        <w:numPr>
          <w:ilvl w:val="0"/>
          <w:numId w:val="6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Ministerstvo pro místní rozvoj, které je ústředním orgánem státní správy ve věci územního plánování, které také souvisí s problematikou vodního hospodářství</w:t>
      </w:r>
      <w:r w:rsidR="003671CC">
        <w:rPr>
          <w:rFonts w:asciiTheme="minorHAnsi" w:hAnsiTheme="minorHAnsi" w:cstheme="minorHAnsi"/>
        </w:rPr>
        <w:t>;</w:t>
      </w:r>
    </w:p>
    <w:p w14:paraId="205ACF23" w14:textId="1CE09F47" w:rsidR="00BD6545" w:rsidRPr="00CF541F" w:rsidRDefault="00BD6545" w:rsidP="00DE37DD">
      <w:pPr>
        <w:pStyle w:val="Odstavecseseznamem"/>
        <w:numPr>
          <w:ilvl w:val="0"/>
          <w:numId w:val="6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Ministerstv</w:t>
      </w:r>
      <w:r w:rsidR="00111C1A">
        <w:rPr>
          <w:rFonts w:asciiTheme="minorHAnsi" w:hAnsiTheme="minorHAnsi" w:cstheme="minorHAnsi"/>
        </w:rPr>
        <w:t>o</w:t>
      </w:r>
      <w:r w:rsidRPr="00CF541F">
        <w:rPr>
          <w:rFonts w:asciiTheme="minorHAnsi" w:hAnsiTheme="minorHAnsi" w:cstheme="minorHAnsi"/>
        </w:rPr>
        <w:t xml:space="preserve"> zdravotnictví</w:t>
      </w:r>
      <w:r w:rsidR="00111C1A">
        <w:rPr>
          <w:rFonts w:asciiTheme="minorHAnsi" w:hAnsiTheme="minorHAnsi" w:cstheme="minorHAnsi"/>
        </w:rPr>
        <w:t>, kterému</w:t>
      </w:r>
      <w:r w:rsidRPr="00CF541F">
        <w:rPr>
          <w:rFonts w:asciiTheme="minorHAnsi" w:hAnsiTheme="minorHAnsi" w:cstheme="minorHAnsi"/>
        </w:rPr>
        <w:t xml:space="preserve"> jsou ve vodním zákoně určeny pravomoci např. v oblasti kvality vody</w:t>
      </w:r>
      <w:r w:rsidR="003671CC">
        <w:rPr>
          <w:rFonts w:asciiTheme="minorHAnsi" w:hAnsiTheme="minorHAnsi" w:cstheme="minorHAnsi"/>
        </w:rPr>
        <w:t>;</w:t>
      </w:r>
      <w:r w:rsidRPr="00CF541F">
        <w:rPr>
          <w:rFonts w:asciiTheme="minorHAnsi" w:hAnsiTheme="minorHAnsi" w:cstheme="minorHAnsi"/>
        </w:rPr>
        <w:t xml:space="preserve"> </w:t>
      </w:r>
    </w:p>
    <w:p w14:paraId="56C9323A" w14:textId="704B2EDF" w:rsidR="00BD6545" w:rsidRPr="00CF541F" w:rsidRDefault="00BD6545" w:rsidP="00DE37DD">
      <w:pPr>
        <w:pStyle w:val="Odstavecseseznamem"/>
        <w:numPr>
          <w:ilvl w:val="0"/>
          <w:numId w:val="6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Ministerstvo financí</w:t>
      </w:r>
      <w:r w:rsidR="003671CC">
        <w:rPr>
          <w:rFonts w:asciiTheme="minorHAnsi" w:hAnsiTheme="minorHAnsi" w:cstheme="minorHAnsi"/>
        </w:rPr>
        <w:t>, které</w:t>
      </w:r>
      <w:r w:rsidRPr="00CF541F">
        <w:rPr>
          <w:rFonts w:asciiTheme="minorHAnsi" w:hAnsiTheme="minorHAnsi" w:cstheme="minorHAnsi"/>
        </w:rPr>
        <w:t xml:space="preserve"> stanovuje cenovým rozhodnutím (výměrem) pravidla regulace cen pro přesný výpočet ceny povrchové vody</w:t>
      </w:r>
      <w:r w:rsidR="003671CC">
        <w:rPr>
          <w:rFonts w:asciiTheme="minorHAnsi" w:hAnsiTheme="minorHAnsi" w:cstheme="minorHAnsi"/>
        </w:rPr>
        <w:t>;</w:t>
      </w:r>
    </w:p>
    <w:p w14:paraId="7F98C3F7" w14:textId="0F52172D" w:rsidR="00BD6545" w:rsidRPr="00CF541F" w:rsidRDefault="00BD6545" w:rsidP="00DE37DD">
      <w:pPr>
        <w:pStyle w:val="Odstavecseseznamem"/>
        <w:numPr>
          <w:ilvl w:val="0"/>
          <w:numId w:val="6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 w:rsidRPr="00CF541F">
        <w:rPr>
          <w:rFonts w:asciiTheme="minorHAnsi" w:hAnsiTheme="minorHAnsi" w:cstheme="minorHAnsi"/>
        </w:rPr>
        <w:t>Ministerstvo průmyslu a obchodu</w:t>
      </w:r>
      <w:r w:rsidR="003671CC">
        <w:rPr>
          <w:rFonts w:asciiTheme="minorHAnsi" w:hAnsiTheme="minorHAnsi" w:cstheme="minorHAnsi"/>
        </w:rPr>
        <w:t>, které</w:t>
      </w:r>
      <w:r w:rsidRPr="00CF541F">
        <w:rPr>
          <w:rFonts w:asciiTheme="minorHAnsi" w:hAnsiTheme="minorHAnsi" w:cstheme="minorHAnsi"/>
        </w:rPr>
        <w:t xml:space="preserve"> je ústředním orgánem státní správy mj. pro státní průmyslovou politiku a energetiku. Ve strategických dokumentech souvisejících se suchem je uvedeno několik úkolů, na jejichž plněn</w:t>
      </w:r>
      <w:r w:rsidR="003121E4">
        <w:rPr>
          <w:rFonts w:asciiTheme="minorHAnsi" w:hAnsiTheme="minorHAnsi" w:cstheme="minorHAnsi"/>
        </w:rPr>
        <w:t>í se má Ministerstvo průmyslu a </w:t>
      </w:r>
      <w:r w:rsidRPr="00CF541F">
        <w:rPr>
          <w:rFonts w:asciiTheme="minorHAnsi" w:hAnsiTheme="minorHAnsi" w:cstheme="minorHAnsi"/>
        </w:rPr>
        <w:t>obchodu podílet</w:t>
      </w:r>
      <w:r w:rsidR="003671CC">
        <w:rPr>
          <w:rFonts w:asciiTheme="minorHAnsi" w:hAnsiTheme="minorHAnsi" w:cstheme="minorHAnsi"/>
        </w:rPr>
        <w:t>;</w:t>
      </w:r>
    </w:p>
    <w:p w14:paraId="4077A4C7" w14:textId="5B4FDE0E" w:rsidR="00BD6545" w:rsidRPr="0057748C" w:rsidRDefault="003671CC" w:rsidP="00DE37DD">
      <w:pPr>
        <w:pStyle w:val="Odstavecseseznamem"/>
        <w:numPr>
          <w:ilvl w:val="0"/>
          <w:numId w:val="6"/>
        </w:numPr>
        <w:spacing w:before="0"/>
        <w:ind w:left="567" w:hanging="283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BD6545" w:rsidRPr="00CF541F">
        <w:rPr>
          <w:rFonts w:asciiTheme="minorHAnsi" w:hAnsiTheme="minorHAnsi" w:cstheme="minorHAnsi"/>
        </w:rPr>
        <w:t>ezi další zainteresované s</w:t>
      </w:r>
      <w:r w:rsidR="0057748C">
        <w:rPr>
          <w:rFonts w:asciiTheme="minorHAnsi" w:hAnsiTheme="minorHAnsi" w:cstheme="minorHAnsi"/>
        </w:rPr>
        <w:t>ubjekty</w:t>
      </w:r>
      <w:r w:rsidR="00BD6545" w:rsidRPr="00CF541F">
        <w:rPr>
          <w:rFonts w:asciiTheme="minorHAnsi" w:hAnsiTheme="minorHAnsi" w:cstheme="minorHAnsi"/>
        </w:rPr>
        <w:t xml:space="preserve"> patří např. obce s rozšířenou působností, kraje, Česká inspekce životního prostředí, Státní fond životního prostředí</w:t>
      </w:r>
      <w:r w:rsidR="003121E4">
        <w:rPr>
          <w:rFonts w:asciiTheme="minorHAnsi" w:hAnsiTheme="minorHAnsi" w:cstheme="minorHAnsi"/>
        </w:rPr>
        <w:t>, podniky Povodí a </w:t>
      </w:r>
      <w:r w:rsidR="00BD6545" w:rsidRPr="00CF541F">
        <w:rPr>
          <w:rFonts w:asciiTheme="minorHAnsi" w:hAnsiTheme="minorHAnsi" w:cstheme="minorHAnsi"/>
        </w:rPr>
        <w:t>mnohé další.</w:t>
      </w:r>
    </w:p>
    <w:p w14:paraId="48F942FB" w14:textId="77777777" w:rsidR="00BD6545" w:rsidRPr="00CF541F" w:rsidRDefault="00BD6545" w:rsidP="00C15B17">
      <w:pPr>
        <w:pStyle w:val="Odstavecseseznamem"/>
        <w:spacing w:before="0"/>
        <w:ind w:left="0"/>
        <w:contextualSpacing w:val="0"/>
        <w:rPr>
          <w:rFonts w:asciiTheme="minorHAnsi" w:hAnsiTheme="minorHAnsi" w:cstheme="minorHAnsi"/>
          <w:u w:val="single"/>
        </w:rPr>
      </w:pPr>
    </w:p>
    <w:p w14:paraId="25D514DA" w14:textId="500ECEAF" w:rsidR="00907DA4" w:rsidRDefault="00BD6545" w:rsidP="00C15B17">
      <w:pPr>
        <w:tabs>
          <w:tab w:val="left" w:pos="360"/>
        </w:tabs>
        <w:spacing w:before="0"/>
      </w:pPr>
      <w:r w:rsidRPr="00CF541F">
        <w:rPr>
          <w:rFonts w:asciiTheme="minorHAnsi" w:hAnsiTheme="minorHAnsi" w:cstheme="minorHAnsi"/>
        </w:rPr>
        <w:t xml:space="preserve">V reakci na významné epizody sucha z přelomu let 2013 a 2014 </w:t>
      </w:r>
      <w:r>
        <w:rPr>
          <w:rFonts w:asciiTheme="minorHAnsi" w:hAnsiTheme="minorHAnsi" w:cstheme="minorHAnsi"/>
        </w:rPr>
        <w:t xml:space="preserve">vznikla </w:t>
      </w:r>
      <w:r w:rsidR="003671C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ezires</w:t>
      </w:r>
      <w:r w:rsidRPr="00CF541F">
        <w:rPr>
          <w:rFonts w:asciiTheme="minorHAnsi" w:hAnsiTheme="minorHAnsi" w:cstheme="minorHAnsi"/>
        </w:rPr>
        <w:t xml:space="preserve">ortní komise VODA-SUCHO (dále jen „Komise VODA-SUCHO“). Ministerstvo zemědělství a Ministerstvo životního prostředí uzavřely </w:t>
      </w:r>
      <w:r w:rsidR="003671CC">
        <w:rPr>
          <w:rFonts w:asciiTheme="minorHAnsi" w:hAnsiTheme="minorHAnsi" w:cstheme="minorHAnsi"/>
        </w:rPr>
        <w:t>m</w:t>
      </w:r>
      <w:r w:rsidRPr="00CF541F">
        <w:rPr>
          <w:rFonts w:asciiTheme="minorHAnsi" w:hAnsiTheme="minorHAnsi" w:cstheme="minorHAnsi"/>
        </w:rPr>
        <w:t>emorandum o spolupráci.</w:t>
      </w:r>
      <w:r w:rsidR="00485FFF">
        <w:rPr>
          <w:rFonts w:asciiTheme="minorHAnsi" w:hAnsiTheme="minorHAnsi" w:cstheme="minorHAnsi"/>
        </w:rPr>
        <w:t xml:space="preserve"> </w:t>
      </w:r>
      <w:r w:rsidRPr="00CF541F">
        <w:rPr>
          <w:rFonts w:asciiTheme="minorHAnsi" w:hAnsiTheme="minorHAnsi" w:cstheme="minorHAnsi"/>
        </w:rPr>
        <w:t xml:space="preserve">Výstupy Komise VODA-SUCHO jsou dostupné na webu: </w:t>
      </w:r>
      <w:hyperlink r:id="rId14" w:history="1">
        <w:r w:rsidRPr="00CF541F">
          <w:rPr>
            <w:rStyle w:val="Hypertextovodkaz"/>
            <w:rFonts w:asciiTheme="minorHAnsi" w:hAnsiTheme="minorHAnsi" w:cstheme="minorHAnsi"/>
          </w:rPr>
          <w:t>www.suchovkrajine.cz</w:t>
        </w:r>
      </w:hyperlink>
      <w:r w:rsidRPr="00CF541F">
        <w:rPr>
          <w:rFonts w:asciiTheme="minorHAnsi" w:hAnsiTheme="minorHAnsi" w:cstheme="minorHAnsi"/>
        </w:rPr>
        <w:t>.</w:t>
      </w:r>
      <w:r w:rsidR="00907DA4">
        <w:rPr>
          <w:rFonts w:asciiTheme="minorHAnsi" w:hAnsiTheme="minorHAnsi" w:cstheme="minorHAnsi"/>
        </w:rPr>
        <w:t xml:space="preserve"> Do řešení problematiky sucha je zapojena celá </w:t>
      </w:r>
      <w:r w:rsidR="00907DA4">
        <w:rPr>
          <w:rFonts w:asciiTheme="minorHAnsi" w:hAnsiTheme="minorHAnsi" w:cstheme="minorHAnsi"/>
        </w:rPr>
        <w:lastRenderedPageBreak/>
        <w:t xml:space="preserve">řada státních i nestátních subjektů, celkem jich je v Komisi VODA-SUCHO zastoupeno téměř </w:t>
      </w:r>
      <w:r w:rsidR="00A836FC">
        <w:rPr>
          <w:rFonts w:asciiTheme="minorHAnsi" w:hAnsiTheme="minorHAnsi" w:cstheme="minorHAnsi"/>
        </w:rPr>
        <w:t>čtyřicet</w:t>
      </w:r>
      <w:r w:rsidR="00907DA4">
        <w:rPr>
          <w:rFonts w:asciiTheme="minorHAnsi" w:hAnsiTheme="minorHAnsi" w:cstheme="minorHAnsi"/>
        </w:rPr>
        <w:t xml:space="preserve">. </w:t>
      </w:r>
      <w:r w:rsidR="00517C4D" w:rsidRPr="001E1A62">
        <w:t>Gesce vody</w:t>
      </w:r>
      <w:r w:rsidR="008F7746">
        <w:t xml:space="preserve"> a</w:t>
      </w:r>
      <w:r w:rsidR="00517C4D">
        <w:t xml:space="preserve"> tedy i sucha</w:t>
      </w:r>
      <w:r w:rsidR="00517C4D" w:rsidRPr="001E1A62">
        <w:t xml:space="preserve"> je </w:t>
      </w:r>
      <w:r w:rsidR="00517C4D">
        <w:t xml:space="preserve">značně </w:t>
      </w:r>
      <w:r w:rsidR="00517C4D" w:rsidRPr="001E1A62">
        <w:t>roztříštěná</w:t>
      </w:r>
      <w:r w:rsidR="00517C4D">
        <w:t>.</w:t>
      </w:r>
    </w:p>
    <w:p w14:paraId="290B2891" w14:textId="77777777" w:rsidR="0084391B" w:rsidRDefault="0084391B" w:rsidP="00C15B17">
      <w:pPr>
        <w:tabs>
          <w:tab w:val="left" w:pos="360"/>
        </w:tabs>
        <w:spacing w:before="0"/>
        <w:rPr>
          <w:rFonts w:asciiTheme="minorHAnsi" w:hAnsiTheme="minorHAnsi" w:cstheme="minorHAnsi"/>
        </w:rPr>
      </w:pPr>
    </w:p>
    <w:p w14:paraId="6E7FF3F8" w14:textId="24BE7DE1" w:rsidR="00BD6545" w:rsidRDefault="00907DA4" w:rsidP="00C15B17">
      <w:pPr>
        <w:tabs>
          <w:tab w:val="left" w:pos="360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 dosahování cílů v</w:t>
      </w:r>
      <w:r w:rsidR="00183E1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oblasti</w:t>
      </w:r>
      <w:r w:rsidR="00183E13">
        <w:rPr>
          <w:rFonts w:asciiTheme="minorHAnsi" w:hAnsiTheme="minorHAnsi" w:cstheme="minorHAnsi"/>
        </w:rPr>
        <w:t xml:space="preserve"> zmírnění negativních dopadů</w:t>
      </w:r>
      <w:r>
        <w:rPr>
          <w:rFonts w:asciiTheme="minorHAnsi" w:hAnsiTheme="minorHAnsi" w:cstheme="minorHAnsi"/>
        </w:rPr>
        <w:t xml:space="preserve"> sucha</w:t>
      </w:r>
      <w:r w:rsidR="00183E13">
        <w:rPr>
          <w:rFonts w:asciiTheme="minorHAnsi" w:hAnsiTheme="minorHAnsi" w:cstheme="minorHAnsi"/>
        </w:rPr>
        <w:t xml:space="preserve"> a nedostatku vody</w:t>
      </w:r>
      <w:r>
        <w:rPr>
          <w:rFonts w:asciiTheme="minorHAnsi" w:hAnsiTheme="minorHAnsi" w:cstheme="minorHAnsi"/>
        </w:rPr>
        <w:t xml:space="preserve"> je potřebná spolupráce všech zapojených subjektů. Strategické rozhodování v oblasti řešení problematiky sucha a nedostatku vody je vzhledem k množství zapojených subjektů složité a často také velmi pomalé. Příkladem může být oblast výstavby přehradních nádrží</w:t>
      </w:r>
      <w:r w:rsidR="00D2706D">
        <w:rPr>
          <w:rFonts w:asciiTheme="minorHAnsi" w:hAnsiTheme="minorHAnsi" w:cstheme="minorHAnsi"/>
        </w:rPr>
        <w:t>, kdy v posledních 25</w:t>
      </w:r>
      <w:r w:rsidR="006A6BF1">
        <w:rPr>
          <w:rFonts w:asciiTheme="minorHAnsi" w:hAnsiTheme="minorHAnsi" w:cstheme="minorHAnsi"/>
        </w:rPr>
        <w:t> </w:t>
      </w:r>
      <w:r w:rsidR="00D2706D">
        <w:rPr>
          <w:rFonts w:asciiTheme="minorHAnsi" w:hAnsiTheme="minorHAnsi" w:cstheme="minorHAnsi"/>
        </w:rPr>
        <w:t>letech nebyla v ČR postavena žádná nová přehradní nádrž.</w:t>
      </w:r>
    </w:p>
    <w:p w14:paraId="3AEFD809" w14:textId="77777777" w:rsidR="0084391B" w:rsidRDefault="0084391B" w:rsidP="00C15B17">
      <w:pPr>
        <w:tabs>
          <w:tab w:val="left" w:pos="360"/>
        </w:tabs>
        <w:spacing w:before="0"/>
        <w:rPr>
          <w:rFonts w:asciiTheme="minorHAnsi" w:hAnsiTheme="minorHAnsi" w:cstheme="minorHAnsi"/>
        </w:rPr>
      </w:pPr>
    </w:p>
    <w:p w14:paraId="7F07514D" w14:textId="0123F4C6" w:rsidR="00BD6545" w:rsidRDefault="00654074" w:rsidP="00C15B17">
      <w:pPr>
        <w:tabs>
          <w:tab w:val="left" w:pos="360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D6545" w:rsidRPr="00CF541F">
        <w:rPr>
          <w:rFonts w:asciiTheme="minorHAnsi" w:hAnsiTheme="minorHAnsi" w:cstheme="minorHAnsi"/>
        </w:rPr>
        <w:t xml:space="preserve">ýstupem činnosti Komise VODA-SUCHO byl materiál s názvem </w:t>
      </w:r>
      <w:r w:rsidR="00BD6545" w:rsidRPr="00CF541F">
        <w:rPr>
          <w:rFonts w:asciiTheme="minorHAnsi" w:hAnsiTheme="minorHAnsi" w:cstheme="minorHAnsi"/>
          <w:i/>
        </w:rPr>
        <w:t>Příprava realizace opatření pro zmírnění negativních dopadů sucha a nedostatku vody</w:t>
      </w:r>
      <w:r w:rsidR="00BD6545" w:rsidRPr="00CF541F">
        <w:rPr>
          <w:rFonts w:asciiTheme="minorHAnsi" w:hAnsiTheme="minorHAnsi" w:cstheme="minorHAnsi"/>
        </w:rPr>
        <w:t xml:space="preserve">, který </w:t>
      </w:r>
      <w:r w:rsidR="00083C50">
        <w:rPr>
          <w:rFonts w:asciiTheme="minorHAnsi" w:hAnsiTheme="minorHAnsi" w:cstheme="minorHAnsi"/>
        </w:rPr>
        <w:t xml:space="preserve">schválila </w:t>
      </w:r>
      <w:r w:rsidR="000F55DF">
        <w:rPr>
          <w:rFonts w:asciiTheme="minorHAnsi" w:hAnsiTheme="minorHAnsi" w:cstheme="minorHAnsi"/>
        </w:rPr>
        <w:t>v</w:t>
      </w:r>
      <w:r w:rsidR="00BD6545" w:rsidRPr="00CF541F">
        <w:rPr>
          <w:rFonts w:asciiTheme="minorHAnsi" w:hAnsiTheme="minorHAnsi" w:cstheme="minorHAnsi"/>
        </w:rPr>
        <w:t xml:space="preserve">láda ČR </w:t>
      </w:r>
      <w:r w:rsidR="00083C50">
        <w:rPr>
          <w:rFonts w:asciiTheme="minorHAnsi" w:hAnsiTheme="minorHAnsi" w:cstheme="minorHAnsi"/>
        </w:rPr>
        <w:t xml:space="preserve">usnesením ze </w:t>
      </w:r>
      <w:r w:rsidR="00BD6545" w:rsidRPr="00CF541F">
        <w:rPr>
          <w:rFonts w:asciiTheme="minorHAnsi" w:hAnsiTheme="minorHAnsi" w:cstheme="minorHAnsi"/>
        </w:rPr>
        <w:t>dne 29.</w:t>
      </w:r>
      <w:r>
        <w:rPr>
          <w:rFonts w:asciiTheme="minorHAnsi" w:hAnsiTheme="minorHAnsi" w:cstheme="minorHAnsi"/>
        </w:rPr>
        <w:t> </w:t>
      </w:r>
      <w:r w:rsidR="00BD6545" w:rsidRPr="00CF541F">
        <w:rPr>
          <w:rFonts w:asciiTheme="minorHAnsi" w:hAnsiTheme="minorHAnsi" w:cstheme="minorHAnsi"/>
        </w:rPr>
        <w:t>července 2015 č</w:t>
      </w:r>
      <w:r w:rsidR="00567045">
        <w:rPr>
          <w:rFonts w:asciiTheme="minorHAnsi" w:hAnsiTheme="minorHAnsi" w:cstheme="minorHAnsi"/>
        </w:rPr>
        <w:t>. 620</w:t>
      </w:r>
      <w:r w:rsidR="00BD6545" w:rsidRPr="00CF541F">
        <w:rPr>
          <w:rFonts w:asciiTheme="minorHAnsi" w:hAnsiTheme="minorHAnsi" w:cstheme="minorHAnsi"/>
        </w:rPr>
        <w:t>.</w:t>
      </w:r>
      <w:r w:rsidR="009F7EFB">
        <w:rPr>
          <w:rFonts w:asciiTheme="minorHAnsi" w:hAnsiTheme="minorHAnsi" w:cstheme="minorHAnsi"/>
        </w:rPr>
        <w:t xml:space="preserve"> </w:t>
      </w:r>
      <w:r w:rsidR="00BD6545">
        <w:rPr>
          <w:rFonts w:asciiTheme="minorHAnsi" w:hAnsiTheme="minorHAnsi" w:cstheme="minorHAnsi"/>
        </w:rPr>
        <w:t xml:space="preserve">Dalším výstupem byla </w:t>
      </w:r>
      <w:r w:rsidR="00BD6545" w:rsidRPr="00111C1A">
        <w:rPr>
          <w:rFonts w:asciiTheme="minorHAnsi" w:hAnsiTheme="minorHAnsi" w:cstheme="minorHAnsi"/>
          <w:i/>
        </w:rPr>
        <w:t>Koncepce ochrany před následky sucha pro území České republiky</w:t>
      </w:r>
      <w:r w:rsidR="00BD6545" w:rsidRPr="00CF541F">
        <w:rPr>
          <w:rFonts w:asciiTheme="minorHAnsi" w:hAnsiTheme="minorHAnsi" w:cstheme="minorHAnsi"/>
        </w:rPr>
        <w:t xml:space="preserve">. Koncepce byla přijata usnesením vlády ČR </w:t>
      </w:r>
      <w:r w:rsidR="00E952A2">
        <w:rPr>
          <w:rFonts w:asciiTheme="minorHAnsi" w:hAnsiTheme="minorHAnsi" w:cstheme="minorHAnsi"/>
        </w:rPr>
        <w:t>ze dne 24. července 2017</w:t>
      </w:r>
      <w:r w:rsidR="00F37C4F">
        <w:rPr>
          <w:rFonts w:asciiTheme="minorHAnsi" w:hAnsiTheme="minorHAnsi" w:cstheme="minorHAnsi"/>
        </w:rPr>
        <w:t xml:space="preserve"> </w:t>
      </w:r>
      <w:r w:rsidR="00F37C4F" w:rsidRPr="00CF541F">
        <w:rPr>
          <w:rFonts w:asciiTheme="minorHAnsi" w:hAnsiTheme="minorHAnsi" w:cstheme="minorHAnsi"/>
        </w:rPr>
        <w:t>č.</w:t>
      </w:r>
      <w:r w:rsidR="00F37C4F">
        <w:rPr>
          <w:rFonts w:asciiTheme="minorHAnsi" w:hAnsiTheme="minorHAnsi" w:cstheme="minorHAnsi"/>
        </w:rPr>
        <w:t xml:space="preserve"> 528</w:t>
      </w:r>
      <w:r w:rsidR="0084391B">
        <w:rPr>
          <w:rFonts w:asciiTheme="minorHAnsi" w:hAnsiTheme="minorHAnsi" w:cstheme="minorHAnsi"/>
        </w:rPr>
        <w:t>.</w:t>
      </w:r>
    </w:p>
    <w:p w14:paraId="3AB475B1" w14:textId="77777777" w:rsidR="0084391B" w:rsidRDefault="0084391B" w:rsidP="00C15B17">
      <w:pPr>
        <w:tabs>
          <w:tab w:val="left" w:pos="360"/>
        </w:tabs>
        <w:spacing w:before="0"/>
        <w:rPr>
          <w:rFonts w:asciiTheme="minorHAnsi" w:hAnsiTheme="minorHAnsi" w:cstheme="minorHAnsi"/>
        </w:rPr>
      </w:pPr>
    </w:p>
    <w:p w14:paraId="1420E696" w14:textId="70071FA0" w:rsidR="00BD6545" w:rsidRDefault="00BD6545" w:rsidP="00C15B17">
      <w:pPr>
        <w:spacing w:before="0"/>
        <w:rPr>
          <w:rFonts w:asciiTheme="minorHAnsi" w:hAnsiTheme="minorHAnsi" w:cstheme="minorHAnsi"/>
          <w:b/>
        </w:rPr>
      </w:pPr>
      <w:r w:rsidRPr="0057748C">
        <w:rPr>
          <w:rFonts w:asciiTheme="minorHAnsi" w:hAnsiTheme="minorHAnsi" w:cstheme="minorHAnsi"/>
          <w:b/>
        </w:rPr>
        <w:t>Kompetence v oblasti vodního hospodářství j</w:t>
      </w:r>
      <w:r w:rsidR="00111C1A">
        <w:rPr>
          <w:rFonts w:asciiTheme="minorHAnsi" w:hAnsiTheme="minorHAnsi" w:cstheme="minorHAnsi"/>
          <w:b/>
        </w:rPr>
        <w:t>sou</w:t>
      </w:r>
      <w:r w:rsidRPr="0057748C">
        <w:rPr>
          <w:rFonts w:asciiTheme="minorHAnsi" w:hAnsiTheme="minorHAnsi" w:cstheme="minorHAnsi"/>
          <w:b/>
        </w:rPr>
        <w:t xml:space="preserve"> rozdělen</w:t>
      </w:r>
      <w:r w:rsidR="00111C1A">
        <w:rPr>
          <w:rFonts w:asciiTheme="minorHAnsi" w:hAnsiTheme="minorHAnsi" w:cstheme="minorHAnsi"/>
          <w:b/>
        </w:rPr>
        <w:t>y</w:t>
      </w:r>
      <w:r w:rsidRPr="0057748C">
        <w:rPr>
          <w:rFonts w:asciiTheme="minorHAnsi" w:hAnsiTheme="minorHAnsi" w:cstheme="minorHAnsi"/>
          <w:b/>
        </w:rPr>
        <w:t xml:space="preserve"> mezi celou řadu subjektů, přičemž nejvýznamnější role přísluší Ministerstvu zemědělství a Ministerstvu životního prostředí. Významnou roli</w:t>
      </w:r>
      <w:r w:rsidR="00907DA4">
        <w:rPr>
          <w:rFonts w:asciiTheme="minorHAnsi" w:hAnsiTheme="minorHAnsi" w:cstheme="minorHAnsi"/>
          <w:b/>
        </w:rPr>
        <w:t xml:space="preserve"> v řešení problematiky sucha</w:t>
      </w:r>
      <w:r w:rsidRPr="0057748C">
        <w:rPr>
          <w:rFonts w:asciiTheme="minorHAnsi" w:hAnsiTheme="minorHAnsi" w:cstheme="minorHAnsi"/>
          <w:b/>
        </w:rPr>
        <w:t xml:space="preserve"> hraje meziresortní Komise</w:t>
      </w:r>
      <w:r w:rsidR="00ED7A44">
        <w:rPr>
          <w:rFonts w:asciiTheme="minorHAnsi" w:hAnsiTheme="minorHAnsi" w:cstheme="minorHAnsi"/>
          <w:b/>
        </w:rPr>
        <w:br/>
      </w:r>
      <w:r w:rsidRPr="0057748C">
        <w:rPr>
          <w:rFonts w:asciiTheme="minorHAnsi" w:hAnsiTheme="minorHAnsi" w:cstheme="minorHAnsi"/>
          <w:b/>
        </w:rPr>
        <w:t xml:space="preserve">VODA-SUCHO. </w:t>
      </w:r>
    </w:p>
    <w:p w14:paraId="7C257269" w14:textId="77777777" w:rsidR="00A64389" w:rsidRDefault="00A64389" w:rsidP="00C15B17">
      <w:pPr>
        <w:spacing w:before="0"/>
        <w:rPr>
          <w:rFonts w:asciiTheme="minorHAnsi" w:hAnsiTheme="minorHAnsi" w:cstheme="minorHAnsi"/>
          <w:b/>
        </w:rPr>
      </w:pPr>
    </w:p>
    <w:p w14:paraId="622A20AD" w14:textId="0BCCB8C1" w:rsidR="00BD6545" w:rsidRPr="0084391B" w:rsidRDefault="0084391B" w:rsidP="0084391B">
      <w:pPr>
        <w:spacing w:before="0"/>
        <w:outlineLvl w:val="0"/>
        <w:rPr>
          <w:b/>
        </w:rPr>
      </w:pPr>
      <w:bookmarkStart w:id="3" w:name="_Toc10442488"/>
      <w:r>
        <w:rPr>
          <w:b/>
        </w:rPr>
        <w:t xml:space="preserve">2. </w:t>
      </w:r>
      <w:r w:rsidR="00AD7E3F" w:rsidRPr="0084391B">
        <w:rPr>
          <w:b/>
        </w:rPr>
        <w:t>Formální p</w:t>
      </w:r>
      <w:r w:rsidR="00BD6545" w:rsidRPr="0084391B">
        <w:rPr>
          <w:b/>
        </w:rPr>
        <w:t>lnění úkolů</w:t>
      </w:r>
      <w:bookmarkEnd w:id="3"/>
      <w:r w:rsidR="006F1B50" w:rsidRPr="0084391B">
        <w:rPr>
          <w:b/>
        </w:rPr>
        <w:t xml:space="preserve"> </w:t>
      </w:r>
      <w:r w:rsidR="00AD7E3F" w:rsidRPr="0084391B">
        <w:rPr>
          <w:b/>
        </w:rPr>
        <w:t xml:space="preserve">uložených vládou ČR </w:t>
      </w:r>
      <w:r w:rsidR="006F1B50" w:rsidRPr="0084391B">
        <w:rPr>
          <w:rFonts w:asciiTheme="minorHAnsi" w:hAnsiTheme="minorHAnsi" w:cstheme="minorHAnsi"/>
          <w:b/>
        </w:rPr>
        <w:t xml:space="preserve">vyplývající z usnesení vlády </w:t>
      </w:r>
      <w:r w:rsidR="008944A2">
        <w:rPr>
          <w:rFonts w:asciiTheme="minorHAnsi" w:hAnsiTheme="minorHAnsi" w:cstheme="minorHAnsi"/>
          <w:b/>
        </w:rPr>
        <w:t xml:space="preserve">ze dne 29. července 2015 </w:t>
      </w:r>
      <w:r w:rsidR="006F1B50" w:rsidRPr="0084391B">
        <w:rPr>
          <w:rFonts w:asciiTheme="minorHAnsi" w:hAnsiTheme="minorHAnsi" w:cstheme="minorHAnsi"/>
          <w:b/>
        </w:rPr>
        <w:t>č. 620</w:t>
      </w:r>
    </w:p>
    <w:p w14:paraId="3D446A7F" w14:textId="77777777" w:rsidR="00DE37DD" w:rsidRDefault="00DE37DD" w:rsidP="00C15B17">
      <w:pPr>
        <w:spacing w:before="0"/>
      </w:pPr>
    </w:p>
    <w:p w14:paraId="3EF482EA" w14:textId="2A11B53E" w:rsidR="00F054B8" w:rsidRDefault="00F054B8" w:rsidP="00C15B17">
      <w:pPr>
        <w:spacing w:before="0"/>
      </w:pPr>
      <w:r>
        <w:t>Ministerstva jsou povinna plnit úkoly uložené usneseními vlády a vykazovat stav jejich plnění.</w:t>
      </w:r>
    </w:p>
    <w:p w14:paraId="0462E1C5" w14:textId="77777777" w:rsidR="0084391B" w:rsidRDefault="0084391B" w:rsidP="00C15B17">
      <w:pPr>
        <w:spacing w:before="0"/>
      </w:pPr>
    </w:p>
    <w:p w14:paraId="70175D80" w14:textId="26346DF6" w:rsidR="00BD6545" w:rsidRDefault="006F1B50" w:rsidP="00C15B17">
      <w:pPr>
        <w:spacing w:before="0"/>
        <w:rPr>
          <w:rFonts w:asciiTheme="minorHAnsi" w:hAnsiTheme="minorHAnsi" w:cstheme="minorHAnsi"/>
          <w:lang w:eastAsia="cs-CZ"/>
        </w:rPr>
      </w:pPr>
      <w:r w:rsidRPr="008555C7">
        <w:rPr>
          <w:rFonts w:asciiTheme="minorHAnsi" w:hAnsiTheme="minorHAnsi" w:cstheme="minorHAnsi"/>
          <w:lang w:eastAsia="cs-CZ"/>
        </w:rPr>
        <w:t xml:space="preserve">Materiál </w:t>
      </w:r>
      <w:r>
        <w:rPr>
          <w:rFonts w:asciiTheme="minorHAnsi" w:hAnsiTheme="minorHAnsi" w:cstheme="minorHAnsi"/>
          <w:lang w:eastAsia="cs-CZ"/>
        </w:rPr>
        <w:t xml:space="preserve">k usnesení vlády </w:t>
      </w:r>
      <w:r w:rsidR="008944A2">
        <w:rPr>
          <w:rFonts w:asciiTheme="minorHAnsi" w:hAnsiTheme="minorHAnsi" w:cstheme="minorHAnsi"/>
          <w:lang w:eastAsia="cs-CZ"/>
        </w:rPr>
        <w:t xml:space="preserve">ze dne 29. července 2015 </w:t>
      </w:r>
      <w:r>
        <w:rPr>
          <w:rFonts w:asciiTheme="minorHAnsi" w:hAnsiTheme="minorHAnsi" w:cstheme="minorHAnsi"/>
          <w:lang w:eastAsia="cs-CZ"/>
        </w:rPr>
        <w:t>č.  </w:t>
      </w:r>
      <w:r w:rsidRPr="008555C7">
        <w:rPr>
          <w:rFonts w:asciiTheme="minorHAnsi" w:hAnsiTheme="minorHAnsi" w:cstheme="minorHAnsi"/>
          <w:lang w:eastAsia="cs-CZ"/>
        </w:rPr>
        <w:t>620</w:t>
      </w:r>
      <w:r w:rsidR="005F4276">
        <w:rPr>
          <w:rFonts w:asciiTheme="minorHAnsi" w:hAnsiTheme="minorHAnsi" w:cstheme="minorHAnsi"/>
          <w:lang w:eastAsia="cs-CZ"/>
        </w:rPr>
        <w:t xml:space="preserve"> </w:t>
      </w:r>
      <w:r w:rsidR="005F4276" w:rsidRPr="005F4276">
        <w:rPr>
          <w:rFonts w:asciiTheme="minorHAnsi" w:hAnsiTheme="minorHAnsi" w:cstheme="minorHAnsi"/>
          <w:i/>
          <w:lang w:eastAsia="cs-CZ"/>
        </w:rPr>
        <w:t>Příprava realizace opatření pro zmírnění negativních dopadů sucha a nedostatku vody</w:t>
      </w:r>
      <w:r w:rsidRPr="00CF541F">
        <w:rPr>
          <w:rFonts w:asciiTheme="minorHAnsi" w:hAnsiTheme="minorHAnsi" w:cstheme="minorHAnsi"/>
          <w:lang w:eastAsia="cs-CZ"/>
        </w:rPr>
        <w:t xml:space="preserve"> vznikl jako výstup meziresortní Komise </w:t>
      </w:r>
      <w:r w:rsidRPr="00CF541F">
        <w:rPr>
          <w:rFonts w:asciiTheme="minorHAnsi" w:hAnsiTheme="minorHAnsi" w:cstheme="minorHAnsi"/>
        </w:rPr>
        <w:t>VODA-SUCHO</w:t>
      </w:r>
      <w:r w:rsidRPr="00CF541F">
        <w:rPr>
          <w:rFonts w:asciiTheme="minorHAnsi" w:hAnsiTheme="minorHAnsi" w:cstheme="minorHAnsi"/>
          <w:lang w:eastAsia="cs-CZ"/>
        </w:rPr>
        <w:t xml:space="preserve">. </w:t>
      </w:r>
      <w:r w:rsidR="00BD6545" w:rsidRPr="00CF541F">
        <w:rPr>
          <w:rFonts w:asciiTheme="minorHAnsi" w:hAnsiTheme="minorHAnsi" w:cstheme="minorHAnsi"/>
          <w:lang w:eastAsia="cs-CZ"/>
        </w:rPr>
        <w:t xml:space="preserve">Tento dokument obsahuje 49 úkolů, jejichž plnění mělo zajistit samostatně MŽP nebo </w:t>
      </w:r>
      <w:proofErr w:type="spellStart"/>
      <w:r w:rsidR="00BD6545" w:rsidRPr="00CF541F">
        <w:rPr>
          <w:rFonts w:asciiTheme="minorHAnsi" w:hAnsiTheme="minorHAnsi" w:cstheme="minorHAnsi"/>
          <w:lang w:eastAsia="cs-CZ"/>
        </w:rPr>
        <w:t>MZe</w:t>
      </w:r>
      <w:proofErr w:type="spellEnd"/>
      <w:r w:rsidR="00BD6545" w:rsidRPr="00CF541F">
        <w:rPr>
          <w:rFonts w:asciiTheme="minorHAnsi" w:hAnsiTheme="minorHAnsi" w:cstheme="minorHAnsi"/>
          <w:lang w:eastAsia="cs-CZ"/>
        </w:rPr>
        <w:t>, MŽP ve spolupráci s </w:t>
      </w:r>
      <w:proofErr w:type="spellStart"/>
      <w:proofErr w:type="gramStart"/>
      <w:r w:rsidR="00BD6545" w:rsidRPr="00CF541F">
        <w:rPr>
          <w:rFonts w:asciiTheme="minorHAnsi" w:hAnsiTheme="minorHAnsi" w:cstheme="minorHAnsi"/>
          <w:lang w:eastAsia="cs-CZ"/>
        </w:rPr>
        <w:t>MZe</w:t>
      </w:r>
      <w:proofErr w:type="spellEnd"/>
      <w:proofErr w:type="gramEnd"/>
      <w:r w:rsidR="00BD6545" w:rsidRPr="00CF541F">
        <w:rPr>
          <w:rFonts w:asciiTheme="minorHAnsi" w:hAnsiTheme="minorHAnsi" w:cstheme="minorHAnsi"/>
          <w:lang w:eastAsia="cs-CZ"/>
        </w:rPr>
        <w:t xml:space="preserve">, případně v součinnosti s dalšími resorty. </w:t>
      </w:r>
    </w:p>
    <w:p w14:paraId="079F9592" w14:textId="77777777" w:rsidR="0084391B" w:rsidRDefault="0084391B" w:rsidP="00C15B17">
      <w:pPr>
        <w:spacing w:before="0"/>
        <w:rPr>
          <w:rFonts w:asciiTheme="minorHAnsi" w:hAnsiTheme="minorHAnsi" w:cstheme="minorHAnsi"/>
          <w:lang w:eastAsia="cs-CZ"/>
        </w:rPr>
      </w:pPr>
    </w:p>
    <w:p w14:paraId="3DC62288" w14:textId="022A686F" w:rsidR="00BD6545" w:rsidRDefault="00BD6545" w:rsidP="00C15B17">
      <w:pPr>
        <w:spacing w:before="0"/>
        <w:rPr>
          <w:rFonts w:asciiTheme="minorHAnsi" w:hAnsiTheme="minorHAnsi" w:cstheme="minorHAnsi"/>
          <w:lang w:eastAsia="cs-CZ"/>
        </w:rPr>
      </w:pPr>
      <w:r w:rsidRPr="00DD5C9F">
        <w:rPr>
          <w:rFonts w:asciiTheme="minorHAnsi" w:hAnsiTheme="minorHAnsi" w:cstheme="minorHAnsi"/>
          <w:lang w:eastAsia="cs-CZ"/>
        </w:rPr>
        <w:t>NKÚ</w:t>
      </w:r>
      <w:r>
        <w:rPr>
          <w:rFonts w:asciiTheme="minorHAnsi" w:hAnsiTheme="minorHAnsi" w:cstheme="minorHAnsi"/>
          <w:lang w:eastAsia="cs-CZ"/>
        </w:rPr>
        <w:t xml:space="preserve"> vyhodnotil</w:t>
      </w:r>
      <w:r w:rsidRPr="00DD5C9F">
        <w:rPr>
          <w:rFonts w:asciiTheme="minorHAnsi" w:hAnsiTheme="minorHAnsi" w:cstheme="minorHAnsi"/>
          <w:lang w:eastAsia="cs-CZ"/>
        </w:rPr>
        <w:t xml:space="preserve"> stav plnění jednotlivých úkolů </w:t>
      </w:r>
      <w:r>
        <w:rPr>
          <w:rFonts w:asciiTheme="minorHAnsi" w:hAnsiTheme="minorHAnsi" w:cstheme="minorHAnsi"/>
          <w:lang w:eastAsia="cs-CZ"/>
        </w:rPr>
        <w:t>z</w:t>
      </w:r>
      <w:r w:rsidR="00567045">
        <w:rPr>
          <w:rFonts w:asciiTheme="minorHAnsi" w:hAnsiTheme="minorHAnsi" w:cstheme="minorHAnsi"/>
          <w:lang w:eastAsia="cs-CZ"/>
        </w:rPr>
        <w:t> </w:t>
      </w:r>
      <w:r w:rsidR="00D30EA1">
        <w:rPr>
          <w:rFonts w:asciiTheme="minorHAnsi" w:hAnsiTheme="minorHAnsi" w:cstheme="minorHAnsi"/>
          <w:lang w:eastAsia="cs-CZ"/>
        </w:rPr>
        <w:t>usnesení</w:t>
      </w:r>
      <w:r w:rsidR="00567045">
        <w:rPr>
          <w:rFonts w:asciiTheme="minorHAnsi" w:hAnsiTheme="minorHAnsi" w:cstheme="minorHAnsi"/>
          <w:lang w:eastAsia="cs-CZ"/>
        </w:rPr>
        <w:t xml:space="preserve"> vlády </w:t>
      </w:r>
      <w:r w:rsidR="008944A2">
        <w:rPr>
          <w:rFonts w:asciiTheme="minorHAnsi" w:hAnsiTheme="minorHAnsi" w:cstheme="minorHAnsi"/>
          <w:lang w:eastAsia="cs-CZ"/>
        </w:rPr>
        <w:t xml:space="preserve">ze dne 29. července </w:t>
      </w:r>
      <w:r w:rsidR="00567045">
        <w:rPr>
          <w:rFonts w:asciiTheme="minorHAnsi" w:hAnsiTheme="minorHAnsi" w:cstheme="minorHAnsi"/>
          <w:lang w:eastAsia="cs-CZ"/>
        </w:rPr>
        <w:t>č.</w:t>
      </w:r>
      <w:r w:rsidR="008944A2">
        <w:rPr>
          <w:rFonts w:asciiTheme="minorHAnsi" w:hAnsiTheme="minorHAnsi" w:cstheme="minorHAnsi"/>
          <w:lang w:eastAsia="cs-CZ"/>
        </w:rPr>
        <w:t> </w:t>
      </w:r>
      <w:r>
        <w:rPr>
          <w:rFonts w:asciiTheme="minorHAnsi" w:hAnsiTheme="minorHAnsi" w:cstheme="minorHAnsi"/>
          <w:lang w:eastAsia="cs-CZ"/>
        </w:rPr>
        <w:t xml:space="preserve">620/2015 </w:t>
      </w:r>
      <w:r w:rsidRPr="00DD5C9F">
        <w:rPr>
          <w:rFonts w:asciiTheme="minorHAnsi" w:hAnsiTheme="minorHAnsi" w:cstheme="minorHAnsi"/>
          <w:lang w:eastAsia="cs-CZ"/>
        </w:rPr>
        <w:t xml:space="preserve">na základě dokumentu </w:t>
      </w:r>
      <w:r w:rsidRPr="00DD5C9F">
        <w:rPr>
          <w:rFonts w:asciiTheme="minorHAnsi" w:hAnsiTheme="minorHAnsi" w:cstheme="minorHAnsi"/>
          <w:i/>
          <w:lang w:eastAsia="cs-CZ"/>
        </w:rPr>
        <w:t>Informace o stavu plnění opatření pro zmír</w:t>
      </w:r>
      <w:r w:rsidR="003121E4">
        <w:rPr>
          <w:rFonts w:asciiTheme="minorHAnsi" w:hAnsiTheme="minorHAnsi" w:cstheme="minorHAnsi"/>
          <w:i/>
          <w:lang w:eastAsia="cs-CZ"/>
        </w:rPr>
        <w:t>nění negativních dopadů sucha a </w:t>
      </w:r>
      <w:r w:rsidRPr="00DD5C9F">
        <w:rPr>
          <w:rFonts w:asciiTheme="minorHAnsi" w:hAnsiTheme="minorHAnsi" w:cstheme="minorHAnsi"/>
          <w:i/>
          <w:lang w:eastAsia="cs-CZ"/>
        </w:rPr>
        <w:t>nedostatku vody</w:t>
      </w:r>
      <w:r w:rsidRPr="00DD5C9F">
        <w:rPr>
          <w:rFonts w:asciiTheme="minorHAnsi" w:hAnsiTheme="minorHAnsi" w:cstheme="minorHAnsi"/>
          <w:lang w:eastAsia="cs-CZ"/>
        </w:rPr>
        <w:t>, který projednala vláda</w:t>
      </w:r>
      <w:r w:rsidR="000F55DF">
        <w:rPr>
          <w:rFonts w:asciiTheme="minorHAnsi" w:hAnsiTheme="minorHAnsi" w:cstheme="minorHAnsi"/>
          <w:lang w:eastAsia="cs-CZ"/>
        </w:rPr>
        <w:t xml:space="preserve"> ČR</w:t>
      </w:r>
      <w:r w:rsidRPr="00DD5C9F">
        <w:rPr>
          <w:rFonts w:asciiTheme="minorHAnsi" w:hAnsiTheme="minorHAnsi" w:cstheme="minorHAnsi"/>
          <w:lang w:eastAsia="cs-CZ"/>
        </w:rPr>
        <w:t xml:space="preserve"> dne 9. 1. 2017, včetně příloh a</w:t>
      </w:r>
      <w:r w:rsidR="002B4B01">
        <w:rPr>
          <w:rFonts w:asciiTheme="minorHAnsi" w:hAnsiTheme="minorHAnsi" w:cstheme="minorHAnsi"/>
          <w:lang w:eastAsia="cs-CZ"/>
        </w:rPr>
        <w:t> </w:t>
      </w:r>
      <w:r w:rsidRPr="00DD5C9F">
        <w:rPr>
          <w:rFonts w:asciiTheme="minorHAnsi" w:hAnsiTheme="minorHAnsi" w:cstheme="minorHAnsi"/>
          <w:lang w:eastAsia="cs-CZ"/>
        </w:rPr>
        <w:t xml:space="preserve">dalších dodatečných informací </w:t>
      </w:r>
      <w:r>
        <w:rPr>
          <w:rFonts w:asciiTheme="minorHAnsi" w:hAnsiTheme="minorHAnsi" w:cstheme="minorHAnsi"/>
          <w:lang w:eastAsia="cs-CZ"/>
        </w:rPr>
        <w:t>resortů</w:t>
      </w:r>
      <w:r w:rsidRPr="00DD5C9F">
        <w:rPr>
          <w:rFonts w:asciiTheme="minorHAnsi" w:hAnsiTheme="minorHAnsi" w:cstheme="minorHAnsi"/>
          <w:lang w:eastAsia="cs-CZ"/>
        </w:rPr>
        <w:t xml:space="preserve">. </w:t>
      </w:r>
    </w:p>
    <w:p w14:paraId="0CDED8EB" w14:textId="77777777" w:rsidR="006C7174" w:rsidRDefault="006C7174" w:rsidP="00C15B17">
      <w:pPr>
        <w:spacing w:before="0"/>
        <w:rPr>
          <w:rFonts w:asciiTheme="minorHAnsi" w:hAnsiTheme="minorHAnsi" w:cstheme="minorHAnsi"/>
          <w:lang w:eastAsia="cs-CZ"/>
        </w:rPr>
      </w:pPr>
    </w:p>
    <w:p w14:paraId="0922943F" w14:textId="5D2EA754" w:rsidR="00BD6545" w:rsidRPr="0084391B" w:rsidRDefault="0084391B" w:rsidP="0084391B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2.1 </w:t>
      </w:r>
      <w:r w:rsidR="00BD6545" w:rsidRPr="0084391B">
        <w:rPr>
          <w:rFonts w:asciiTheme="minorHAnsi" w:hAnsiTheme="minorHAnsi" w:cstheme="minorHAnsi"/>
          <w:b/>
        </w:rPr>
        <w:t xml:space="preserve">Plnění úkolů ze strany </w:t>
      </w:r>
      <w:proofErr w:type="spellStart"/>
      <w:r w:rsidR="00BD6545" w:rsidRPr="0084391B">
        <w:rPr>
          <w:rFonts w:asciiTheme="minorHAnsi" w:hAnsiTheme="minorHAnsi" w:cstheme="minorHAnsi"/>
          <w:b/>
        </w:rPr>
        <w:t>MZe</w:t>
      </w:r>
      <w:proofErr w:type="spellEnd"/>
    </w:p>
    <w:p w14:paraId="16EEECE3" w14:textId="77777777" w:rsidR="0084391B" w:rsidRDefault="0084391B" w:rsidP="0084391B">
      <w:pPr>
        <w:keepNext/>
        <w:spacing w:before="0"/>
        <w:rPr>
          <w:szCs w:val="22"/>
        </w:rPr>
      </w:pPr>
    </w:p>
    <w:p w14:paraId="0E9DE285" w14:textId="20C73FFF" w:rsidR="00BD6545" w:rsidRDefault="00BD6545" w:rsidP="00C15B17">
      <w:pPr>
        <w:spacing w:before="0"/>
        <w:rPr>
          <w:szCs w:val="22"/>
        </w:rPr>
      </w:pPr>
      <w:proofErr w:type="spellStart"/>
      <w:r w:rsidRPr="00B758EF">
        <w:rPr>
          <w:szCs w:val="22"/>
        </w:rPr>
        <w:t>MZe</w:t>
      </w:r>
      <w:proofErr w:type="spellEnd"/>
      <w:r w:rsidRPr="00B758EF">
        <w:rPr>
          <w:szCs w:val="22"/>
        </w:rPr>
        <w:t xml:space="preserve"> mělo zajistit plnění celkem 45 úkolů, z toho ve 35 případech ve spolupráci s jiným resortem. </w:t>
      </w:r>
      <w:r w:rsidR="00B758EF">
        <w:rPr>
          <w:szCs w:val="22"/>
        </w:rPr>
        <w:t xml:space="preserve">NKÚ </w:t>
      </w:r>
      <w:r w:rsidRPr="00B758EF">
        <w:rPr>
          <w:szCs w:val="22"/>
        </w:rPr>
        <w:t>vyhodnotil 25 úkol</w:t>
      </w:r>
      <w:r w:rsidR="00177172">
        <w:rPr>
          <w:szCs w:val="22"/>
        </w:rPr>
        <w:t>ů</w:t>
      </w:r>
      <w:r w:rsidRPr="00B758EF">
        <w:rPr>
          <w:szCs w:val="22"/>
        </w:rPr>
        <w:t xml:space="preserve"> jako splněné, </w:t>
      </w:r>
      <w:r w:rsidRPr="00B758EF">
        <w:rPr>
          <w:color w:val="000000" w:themeColor="text1"/>
          <w:szCs w:val="22"/>
        </w:rPr>
        <w:t>jedenáct úkolů jako částečně splněné a čtyři úkoly jako nesplněné</w:t>
      </w:r>
      <w:r w:rsidRPr="00B758EF">
        <w:rPr>
          <w:szCs w:val="22"/>
        </w:rPr>
        <w:t>. Pět úkolů NKÚ</w:t>
      </w:r>
      <w:r w:rsidR="00485FFF">
        <w:rPr>
          <w:szCs w:val="22"/>
        </w:rPr>
        <w:t xml:space="preserve"> v rámci resortu </w:t>
      </w:r>
      <w:proofErr w:type="spellStart"/>
      <w:r w:rsidR="00485FFF">
        <w:rPr>
          <w:szCs w:val="22"/>
        </w:rPr>
        <w:t>MZe</w:t>
      </w:r>
      <w:proofErr w:type="spellEnd"/>
      <w:r w:rsidRPr="00B758EF">
        <w:rPr>
          <w:szCs w:val="22"/>
        </w:rPr>
        <w:t xml:space="preserve"> nehodnotil, neboť </w:t>
      </w:r>
      <w:proofErr w:type="spellStart"/>
      <w:r w:rsidRPr="00B758EF">
        <w:rPr>
          <w:szCs w:val="22"/>
        </w:rPr>
        <w:t>MZe</w:t>
      </w:r>
      <w:proofErr w:type="spellEnd"/>
      <w:r w:rsidRPr="00B758EF">
        <w:rPr>
          <w:szCs w:val="22"/>
        </w:rPr>
        <w:t xml:space="preserve"> se na jejich realizaci podílelo pouze okrajově.</w:t>
      </w:r>
    </w:p>
    <w:p w14:paraId="43E88332" w14:textId="77777777" w:rsidR="006C7174" w:rsidRPr="00B758EF" w:rsidRDefault="006C7174" w:rsidP="00C15B17">
      <w:pPr>
        <w:spacing w:before="0"/>
        <w:rPr>
          <w:szCs w:val="22"/>
        </w:rPr>
      </w:pPr>
    </w:p>
    <w:p w14:paraId="2FA966BB" w14:textId="38000877" w:rsidR="00BD6545" w:rsidRPr="0084391B" w:rsidRDefault="0084391B" w:rsidP="0084391B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2.2 </w:t>
      </w:r>
      <w:r w:rsidR="00BD6545" w:rsidRPr="0084391B">
        <w:rPr>
          <w:rFonts w:asciiTheme="minorHAnsi" w:hAnsiTheme="minorHAnsi" w:cstheme="minorHAnsi"/>
          <w:b/>
        </w:rPr>
        <w:t>Plnění úkolů ze strany MŽP</w:t>
      </w:r>
    </w:p>
    <w:p w14:paraId="2047EAA6" w14:textId="77777777" w:rsidR="0044441C" w:rsidRDefault="0044441C" w:rsidP="0084391B">
      <w:pPr>
        <w:keepNext/>
        <w:spacing w:before="0"/>
        <w:rPr>
          <w:rFonts w:asciiTheme="minorHAnsi" w:hAnsiTheme="minorHAnsi" w:cstheme="minorHAnsi"/>
          <w:szCs w:val="22"/>
        </w:rPr>
      </w:pPr>
    </w:p>
    <w:p w14:paraId="10D6D6EC" w14:textId="44DE53F6" w:rsidR="00BD6545" w:rsidRDefault="00BD6545" w:rsidP="00C15B17">
      <w:pPr>
        <w:spacing w:before="0"/>
        <w:rPr>
          <w:rFonts w:asciiTheme="minorHAnsi" w:hAnsiTheme="minorHAnsi" w:cstheme="minorHAnsi"/>
          <w:szCs w:val="22"/>
        </w:rPr>
      </w:pPr>
      <w:r w:rsidRPr="00B758EF">
        <w:rPr>
          <w:rFonts w:asciiTheme="minorHAnsi" w:hAnsiTheme="minorHAnsi" w:cstheme="minorHAnsi"/>
          <w:szCs w:val="22"/>
        </w:rPr>
        <w:t>MŽP se podílelo na plnění celkem 37 úkolů</w:t>
      </w:r>
      <w:r w:rsidR="00705EAA">
        <w:rPr>
          <w:rFonts w:asciiTheme="minorHAnsi" w:hAnsiTheme="minorHAnsi" w:cstheme="minorHAnsi"/>
          <w:szCs w:val="22"/>
        </w:rPr>
        <w:t>,</w:t>
      </w:r>
      <w:r w:rsidR="00705EAA" w:rsidRPr="00705EAA">
        <w:rPr>
          <w:szCs w:val="22"/>
        </w:rPr>
        <w:t xml:space="preserve"> </w:t>
      </w:r>
      <w:r w:rsidR="00705EAA" w:rsidRPr="00B758EF">
        <w:rPr>
          <w:szCs w:val="22"/>
        </w:rPr>
        <w:t>z toho ve 35 případech ve spolupráci s jiným resortem</w:t>
      </w:r>
      <w:r w:rsidRPr="00B758EF">
        <w:rPr>
          <w:rFonts w:asciiTheme="minorHAnsi" w:hAnsiTheme="minorHAnsi" w:cstheme="minorHAnsi"/>
          <w:szCs w:val="22"/>
        </w:rPr>
        <w:t xml:space="preserve">. </w:t>
      </w:r>
      <w:r w:rsidR="00B758EF">
        <w:rPr>
          <w:rFonts w:asciiTheme="minorHAnsi" w:hAnsiTheme="minorHAnsi" w:cstheme="minorHAnsi"/>
          <w:szCs w:val="22"/>
        </w:rPr>
        <w:t xml:space="preserve">NKÚ </w:t>
      </w:r>
      <w:r w:rsidRPr="00B758EF">
        <w:rPr>
          <w:rFonts w:asciiTheme="minorHAnsi" w:hAnsiTheme="minorHAnsi" w:cstheme="minorHAnsi"/>
          <w:szCs w:val="22"/>
        </w:rPr>
        <w:t xml:space="preserve">vyhodnotil 22 úkolů jako splněné, tři úkoly jako částečně splněné a čtyři úkoly </w:t>
      </w:r>
      <w:r w:rsidRPr="00B758EF">
        <w:rPr>
          <w:rFonts w:asciiTheme="minorHAnsi" w:hAnsiTheme="minorHAnsi" w:cstheme="minorHAnsi"/>
          <w:szCs w:val="22"/>
        </w:rPr>
        <w:lastRenderedPageBreak/>
        <w:t>jako nesplněné. Osm úkolů NKÚ</w:t>
      </w:r>
      <w:r w:rsidR="00485FFF">
        <w:rPr>
          <w:rFonts w:asciiTheme="minorHAnsi" w:hAnsiTheme="minorHAnsi" w:cstheme="minorHAnsi"/>
          <w:szCs w:val="22"/>
        </w:rPr>
        <w:t xml:space="preserve"> v rámci resortu MŽP</w:t>
      </w:r>
      <w:r w:rsidRPr="00B758EF">
        <w:rPr>
          <w:rFonts w:asciiTheme="minorHAnsi" w:hAnsiTheme="minorHAnsi" w:cstheme="minorHAnsi"/>
          <w:szCs w:val="22"/>
        </w:rPr>
        <w:t xml:space="preserve"> nehodnotil, neboť MŽP se na jejich rea</w:t>
      </w:r>
      <w:r w:rsidR="0044441C">
        <w:rPr>
          <w:rFonts w:asciiTheme="minorHAnsi" w:hAnsiTheme="minorHAnsi" w:cstheme="minorHAnsi"/>
          <w:szCs w:val="22"/>
        </w:rPr>
        <w:t>lizaci podílelo pouze okrajově.</w:t>
      </w:r>
    </w:p>
    <w:p w14:paraId="00BA0DED" w14:textId="77777777" w:rsidR="0044441C" w:rsidRPr="00B758EF" w:rsidRDefault="0044441C" w:rsidP="00C15B17">
      <w:pPr>
        <w:spacing w:before="0"/>
        <w:rPr>
          <w:rFonts w:asciiTheme="minorHAnsi" w:hAnsiTheme="minorHAnsi" w:cstheme="minorHAnsi"/>
          <w:szCs w:val="22"/>
        </w:rPr>
      </w:pPr>
    </w:p>
    <w:p w14:paraId="0CF493CF" w14:textId="2C13115C" w:rsidR="00B758EF" w:rsidRPr="00861413" w:rsidRDefault="00B758EF" w:rsidP="00C15B17">
      <w:pPr>
        <w:spacing w:before="0"/>
        <w:rPr>
          <w:b/>
          <w:bCs/>
          <w:szCs w:val="22"/>
        </w:rPr>
      </w:pPr>
      <w:r w:rsidRPr="00861413">
        <w:rPr>
          <w:b/>
          <w:szCs w:val="22"/>
        </w:rPr>
        <w:t>Pro oba resorty platí, že předmětem celé řady úkolů bylo vypracovat návrh, analýzu, zhodnotit potenciál apod. Uvedení návrhů do praxe již nebylo předmětem těchto úkolů. Příkladem úkol</w:t>
      </w:r>
      <w:r w:rsidR="00487F9B">
        <w:rPr>
          <w:b/>
          <w:szCs w:val="22"/>
        </w:rPr>
        <w:t>ů</w:t>
      </w:r>
      <w:r w:rsidRPr="00861413">
        <w:rPr>
          <w:b/>
          <w:szCs w:val="22"/>
        </w:rPr>
        <w:t>, kter</w:t>
      </w:r>
      <w:r w:rsidR="00487F9B">
        <w:rPr>
          <w:b/>
          <w:szCs w:val="22"/>
        </w:rPr>
        <w:t>é</w:t>
      </w:r>
      <w:r w:rsidRPr="00861413">
        <w:rPr>
          <w:b/>
          <w:szCs w:val="22"/>
        </w:rPr>
        <w:t xml:space="preserve"> byl</w:t>
      </w:r>
      <w:r w:rsidR="00487F9B">
        <w:rPr>
          <w:b/>
          <w:szCs w:val="22"/>
        </w:rPr>
        <w:t>y</w:t>
      </w:r>
      <w:r w:rsidR="00E35B65">
        <w:rPr>
          <w:b/>
          <w:szCs w:val="22"/>
        </w:rPr>
        <w:t xml:space="preserve"> formálně</w:t>
      </w:r>
      <w:r w:rsidRPr="00861413">
        <w:rPr>
          <w:b/>
          <w:szCs w:val="22"/>
        </w:rPr>
        <w:t xml:space="preserve"> splněn</w:t>
      </w:r>
      <w:r w:rsidR="00487F9B">
        <w:rPr>
          <w:b/>
          <w:szCs w:val="22"/>
        </w:rPr>
        <w:t>y</w:t>
      </w:r>
      <w:r w:rsidRPr="00861413">
        <w:rPr>
          <w:b/>
          <w:szCs w:val="22"/>
        </w:rPr>
        <w:t>, ale</w:t>
      </w:r>
      <w:r w:rsidR="008E7A19">
        <w:rPr>
          <w:b/>
          <w:szCs w:val="22"/>
        </w:rPr>
        <w:t xml:space="preserve"> přesto</w:t>
      </w:r>
      <w:r w:rsidRPr="00861413">
        <w:rPr>
          <w:b/>
          <w:szCs w:val="22"/>
        </w:rPr>
        <w:t xml:space="preserve"> nedošlo k</w:t>
      </w:r>
      <w:r w:rsidR="00E35B65">
        <w:rPr>
          <w:b/>
          <w:szCs w:val="22"/>
        </w:rPr>
        <w:t> </w:t>
      </w:r>
      <w:r w:rsidRPr="00861413">
        <w:rPr>
          <w:b/>
          <w:szCs w:val="22"/>
        </w:rPr>
        <w:t>žádným</w:t>
      </w:r>
      <w:r w:rsidR="00E35B65">
        <w:rPr>
          <w:b/>
          <w:szCs w:val="22"/>
        </w:rPr>
        <w:t xml:space="preserve"> reálným</w:t>
      </w:r>
      <w:r w:rsidRPr="00861413">
        <w:rPr>
          <w:b/>
          <w:szCs w:val="22"/>
        </w:rPr>
        <w:t xml:space="preserve"> změnám, j</w:t>
      </w:r>
      <w:r w:rsidR="00487F9B">
        <w:rPr>
          <w:b/>
          <w:szCs w:val="22"/>
        </w:rPr>
        <w:t>sou</w:t>
      </w:r>
      <w:r w:rsidRPr="00861413">
        <w:rPr>
          <w:b/>
          <w:szCs w:val="22"/>
        </w:rPr>
        <w:t xml:space="preserve"> například úkol</w:t>
      </w:r>
      <w:r w:rsidR="00487F9B">
        <w:rPr>
          <w:b/>
          <w:szCs w:val="22"/>
        </w:rPr>
        <w:t>y</w:t>
      </w:r>
      <w:r w:rsidRPr="00861413">
        <w:rPr>
          <w:b/>
          <w:szCs w:val="22"/>
        </w:rPr>
        <w:t>, v </w:t>
      </w:r>
      <w:r w:rsidR="002B4B01">
        <w:rPr>
          <w:b/>
          <w:szCs w:val="22"/>
        </w:rPr>
        <w:t xml:space="preserve">jejichž </w:t>
      </w:r>
      <w:r w:rsidRPr="00861413">
        <w:rPr>
          <w:b/>
          <w:szCs w:val="22"/>
        </w:rPr>
        <w:t>rámci byl připraven návrh novely vodního zákona týkající se racionálního nastavení ceny odběrů surové vody z podzemních a</w:t>
      </w:r>
      <w:r w:rsidR="002B4B01">
        <w:rPr>
          <w:b/>
          <w:szCs w:val="22"/>
        </w:rPr>
        <w:t> </w:t>
      </w:r>
      <w:r w:rsidRPr="00861413">
        <w:rPr>
          <w:b/>
          <w:szCs w:val="22"/>
        </w:rPr>
        <w:t>povrchových zdrojů</w:t>
      </w:r>
      <w:r w:rsidR="00DE53B3">
        <w:rPr>
          <w:rStyle w:val="Znakapoznpodarou"/>
          <w:b/>
          <w:szCs w:val="22"/>
        </w:rPr>
        <w:footnoteReference w:id="7"/>
      </w:r>
      <w:r w:rsidRPr="00861413">
        <w:rPr>
          <w:b/>
          <w:szCs w:val="22"/>
        </w:rPr>
        <w:t>. Dalším příkladem úkolu, který</w:t>
      </w:r>
      <w:r w:rsidR="000B3B80">
        <w:rPr>
          <w:b/>
          <w:szCs w:val="22"/>
        </w:rPr>
        <w:t xml:space="preserve"> sice</w:t>
      </w:r>
      <w:r w:rsidRPr="00861413">
        <w:rPr>
          <w:b/>
          <w:szCs w:val="22"/>
        </w:rPr>
        <w:t xml:space="preserve"> byl splněn – neboť byl vypracován návrh, ale následně nebyl realizován</w:t>
      </w:r>
      <w:r w:rsidR="00861413">
        <w:rPr>
          <w:b/>
          <w:szCs w:val="22"/>
        </w:rPr>
        <w:t>,</w:t>
      </w:r>
      <w:r w:rsidRPr="00861413">
        <w:rPr>
          <w:b/>
          <w:szCs w:val="22"/>
        </w:rPr>
        <w:t xml:space="preserve"> je úkol </w:t>
      </w:r>
      <w:r w:rsidR="00487F9B">
        <w:rPr>
          <w:b/>
          <w:szCs w:val="22"/>
        </w:rPr>
        <w:t>týkající se lokalit pro akumulaci povrchových vod</w:t>
      </w:r>
      <w:r w:rsidR="00DE53B3">
        <w:rPr>
          <w:rStyle w:val="Znakapoznpodarou"/>
          <w:b/>
          <w:szCs w:val="22"/>
        </w:rPr>
        <w:footnoteReference w:id="8"/>
      </w:r>
      <w:r w:rsidR="00E35B65">
        <w:rPr>
          <w:b/>
          <w:szCs w:val="22"/>
        </w:rPr>
        <w:t>. Dále to byl například</w:t>
      </w:r>
      <w:r w:rsidR="00861413">
        <w:rPr>
          <w:b/>
          <w:szCs w:val="22"/>
        </w:rPr>
        <w:t xml:space="preserve"> úkol</w:t>
      </w:r>
      <w:r w:rsidR="0044441C">
        <w:rPr>
          <w:b/>
          <w:szCs w:val="22"/>
        </w:rPr>
        <w:t xml:space="preserve"> </w:t>
      </w:r>
      <w:r w:rsidR="00487F9B">
        <w:rPr>
          <w:b/>
          <w:szCs w:val="22"/>
        </w:rPr>
        <w:t xml:space="preserve">týkající se </w:t>
      </w:r>
      <w:r w:rsidRPr="00861413">
        <w:rPr>
          <w:b/>
          <w:szCs w:val="22"/>
        </w:rPr>
        <w:t>fond</w:t>
      </w:r>
      <w:r w:rsidR="00487F9B">
        <w:rPr>
          <w:b/>
          <w:szCs w:val="22"/>
        </w:rPr>
        <w:t>u těžko pojistitelných rizik</w:t>
      </w:r>
      <w:r w:rsidR="00E35B65">
        <w:rPr>
          <w:b/>
          <w:szCs w:val="22"/>
        </w:rPr>
        <w:t xml:space="preserve">, který </w:t>
      </w:r>
      <w:proofErr w:type="spellStart"/>
      <w:r w:rsidR="00E35B65">
        <w:rPr>
          <w:b/>
          <w:szCs w:val="22"/>
        </w:rPr>
        <w:t>MZe</w:t>
      </w:r>
      <w:proofErr w:type="spellEnd"/>
      <w:r w:rsidR="00E35B65">
        <w:rPr>
          <w:b/>
          <w:szCs w:val="22"/>
        </w:rPr>
        <w:t xml:space="preserve"> stále nezřídilo</w:t>
      </w:r>
      <w:r w:rsidR="00DE53B3">
        <w:rPr>
          <w:rStyle w:val="Znakapoznpodarou"/>
          <w:b/>
          <w:szCs w:val="22"/>
        </w:rPr>
        <w:footnoteReference w:id="9"/>
      </w:r>
      <w:r w:rsidRPr="00861413">
        <w:rPr>
          <w:b/>
          <w:szCs w:val="22"/>
        </w:rPr>
        <w:t>.</w:t>
      </w:r>
    </w:p>
    <w:p w14:paraId="273073E9" w14:textId="77777777" w:rsidR="00BD6545" w:rsidRPr="00B758EF" w:rsidRDefault="00BD6545" w:rsidP="00C15B17">
      <w:pPr>
        <w:spacing w:before="0"/>
      </w:pPr>
    </w:p>
    <w:p w14:paraId="08DB892A" w14:textId="310E2451" w:rsidR="00BD6545" w:rsidRPr="0044441C" w:rsidRDefault="0044441C" w:rsidP="0044441C">
      <w:pPr>
        <w:spacing w:before="0"/>
        <w:outlineLvl w:val="0"/>
        <w:rPr>
          <w:b/>
        </w:rPr>
      </w:pPr>
      <w:r>
        <w:rPr>
          <w:b/>
        </w:rPr>
        <w:t xml:space="preserve">3. </w:t>
      </w:r>
      <w:r w:rsidR="00AD7E3F" w:rsidRPr="0044441C">
        <w:rPr>
          <w:b/>
        </w:rPr>
        <w:t>Nedostatky k</w:t>
      </w:r>
      <w:r w:rsidR="00BD6545" w:rsidRPr="0044441C">
        <w:rPr>
          <w:b/>
        </w:rPr>
        <w:t xml:space="preserve">oncepce </w:t>
      </w:r>
    </w:p>
    <w:p w14:paraId="21DA5198" w14:textId="77777777" w:rsidR="0044441C" w:rsidRDefault="0044441C" w:rsidP="00C15B17">
      <w:pPr>
        <w:spacing w:before="0"/>
      </w:pPr>
    </w:p>
    <w:p w14:paraId="1F75249B" w14:textId="119E7692" w:rsidR="006F1B50" w:rsidRDefault="00963EF1" w:rsidP="00C15B17">
      <w:pPr>
        <w:spacing w:before="0"/>
      </w:pPr>
      <w:r>
        <w:t xml:space="preserve">Koncepce jsou schválené postupy k dosažení cíle v dané oblasti. </w:t>
      </w:r>
      <w:r w:rsidR="00F054B8">
        <w:t>Strategie jsou dlouhodobé plány činností zaměřené na dosažení vytyčeného cíle. Výsledkem plnění</w:t>
      </w:r>
      <w:r>
        <w:t xml:space="preserve"> koncepcí a</w:t>
      </w:r>
      <w:r w:rsidR="00F054B8">
        <w:t xml:space="preserve"> strategií </w:t>
      </w:r>
      <w:r w:rsidR="006C7174">
        <w:t>má</w:t>
      </w:r>
      <w:r w:rsidR="00F054B8">
        <w:t xml:space="preserve"> být zlepšení stavu. K dosahování cílů přispívá jejich stanovení jako SMART – tedy konkrétní, měřitelné, dosažitelné, realistické, časově ohraničené. Absence těchto náležitostí </w:t>
      </w:r>
      <w:r w:rsidR="00177172">
        <w:t>negativní</w:t>
      </w:r>
      <w:r w:rsidR="00F054B8">
        <w:t>m způsobem ovlivňuje účinné řízení a vyhodnocování opatření.</w:t>
      </w:r>
    </w:p>
    <w:p w14:paraId="07378134" w14:textId="77777777" w:rsidR="0044441C" w:rsidRPr="00995FAA" w:rsidRDefault="0044441C" w:rsidP="00C15B17">
      <w:pPr>
        <w:spacing w:before="0"/>
      </w:pPr>
    </w:p>
    <w:p w14:paraId="6C0A23B9" w14:textId="318F5B5F" w:rsidR="006F1B50" w:rsidRDefault="006F1B50" w:rsidP="00C15B17">
      <w:pPr>
        <w:spacing w:before="0"/>
        <w:rPr>
          <w:rFonts w:asciiTheme="minorHAnsi" w:hAnsiTheme="minorHAnsi" w:cstheme="minorHAnsi"/>
        </w:rPr>
      </w:pPr>
      <w:r w:rsidRPr="00DD5C9F">
        <w:rPr>
          <w:rFonts w:asciiTheme="minorHAnsi" w:hAnsiTheme="minorHAnsi" w:cstheme="minorHAnsi"/>
        </w:rPr>
        <w:t>K</w:t>
      </w:r>
      <w:r w:rsidR="00F37C4F">
        <w:rPr>
          <w:rFonts w:asciiTheme="minorHAnsi" w:hAnsiTheme="minorHAnsi" w:cstheme="minorHAnsi"/>
        </w:rPr>
        <w:t xml:space="preserve"> řešení </w:t>
      </w:r>
      <w:r w:rsidRPr="00DD5C9F">
        <w:rPr>
          <w:rFonts w:asciiTheme="minorHAnsi" w:hAnsiTheme="minorHAnsi" w:cstheme="minorHAnsi"/>
        </w:rPr>
        <w:t>problemati</w:t>
      </w:r>
      <w:r w:rsidR="00F37C4F">
        <w:rPr>
          <w:rFonts w:asciiTheme="minorHAnsi" w:hAnsiTheme="minorHAnsi" w:cstheme="minorHAnsi"/>
        </w:rPr>
        <w:t>ky sucha a nedostatku vody</w:t>
      </w:r>
      <w:r w:rsidRPr="00DD5C9F">
        <w:rPr>
          <w:rFonts w:asciiTheme="minorHAnsi" w:hAnsiTheme="minorHAnsi" w:cstheme="minorHAnsi"/>
        </w:rPr>
        <w:t xml:space="preserve"> se váž</w:t>
      </w:r>
      <w:r w:rsidR="00995FAA">
        <w:rPr>
          <w:rFonts w:asciiTheme="minorHAnsi" w:hAnsiTheme="minorHAnsi" w:cstheme="minorHAnsi"/>
        </w:rPr>
        <w:t>e</w:t>
      </w:r>
      <w:r w:rsidRPr="00DD5C9F">
        <w:rPr>
          <w:rFonts w:asciiTheme="minorHAnsi" w:hAnsiTheme="minorHAnsi" w:cstheme="minorHAnsi"/>
        </w:rPr>
        <w:t xml:space="preserve"> </w:t>
      </w:r>
      <w:r w:rsidR="00F37C4F">
        <w:rPr>
          <w:rFonts w:asciiTheme="minorHAnsi" w:hAnsiTheme="minorHAnsi" w:cstheme="minorHAnsi"/>
        </w:rPr>
        <w:t>mnoho</w:t>
      </w:r>
      <w:r w:rsidRPr="00DD5C9F">
        <w:rPr>
          <w:rFonts w:asciiTheme="minorHAnsi" w:hAnsiTheme="minorHAnsi" w:cstheme="minorHAnsi"/>
        </w:rPr>
        <w:t xml:space="preserve"> </w:t>
      </w:r>
      <w:r w:rsidR="00F37C4F">
        <w:rPr>
          <w:rFonts w:asciiTheme="minorHAnsi" w:hAnsiTheme="minorHAnsi" w:cstheme="minorHAnsi"/>
        </w:rPr>
        <w:t xml:space="preserve">strategických a koncepčních dokumentů. </w:t>
      </w:r>
      <w:r w:rsidR="00995FAA">
        <w:rPr>
          <w:rFonts w:asciiTheme="minorHAnsi" w:hAnsiTheme="minorHAnsi" w:cstheme="minorHAnsi"/>
        </w:rPr>
        <w:t>Ne u všech je</w:t>
      </w:r>
      <w:r w:rsidRPr="00DD5C9F">
        <w:rPr>
          <w:rFonts w:asciiTheme="minorHAnsi" w:hAnsiTheme="minorHAnsi" w:cstheme="minorHAnsi"/>
        </w:rPr>
        <w:t xml:space="preserve"> problematika sucha a nedostatku vody jejich hlavním tématem.</w:t>
      </w:r>
    </w:p>
    <w:p w14:paraId="63B10C3F" w14:textId="77777777" w:rsidR="0044441C" w:rsidRPr="00DD5C9F" w:rsidRDefault="0044441C" w:rsidP="00C15B17">
      <w:pPr>
        <w:spacing w:before="0"/>
        <w:rPr>
          <w:rFonts w:asciiTheme="minorHAnsi" w:hAnsiTheme="minorHAnsi" w:cstheme="minorHAnsi"/>
          <w:u w:val="single"/>
        </w:rPr>
      </w:pPr>
    </w:p>
    <w:p w14:paraId="5C09731B" w14:textId="435611E9" w:rsidR="006F1B50" w:rsidRDefault="006F1B50" w:rsidP="00C15B17">
      <w:pPr>
        <w:spacing w:before="0"/>
        <w:rPr>
          <w:rFonts w:asciiTheme="minorHAnsi" w:hAnsiTheme="minorHAnsi" w:cstheme="minorHAnsi"/>
        </w:rPr>
      </w:pPr>
      <w:r w:rsidRPr="009D3796">
        <w:rPr>
          <w:rFonts w:asciiTheme="minorHAnsi" w:hAnsiTheme="minorHAnsi" w:cstheme="minorHAnsi"/>
        </w:rPr>
        <w:t xml:space="preserve">Dokument </w:t>
      </w:r>
      <w:r w:rsidRPr="00425DEB">
        <w:rPr>
          <w:rFonts w:asciiTheme="minorHAnsi" w:hAnsiTheme="minorHAnsi" w:cstheme="minorHAnsi"/>
          <w:i/>
        </w:rPr>
        <w:t>Příprava realizace opatření pro zmírnění negativních dopadů sucha a nedostatku vody</w:t>
      </w:r>
      <w:r w:rsidRPr="009D3796">
        <w:rPr>
          <w:rFonts w:asciiTheme="minorHAnsi" w:hAnsiTheme="minorHAnsi" w:cstheme="minorHAnsi"/>
        </w:rPr>
        <w:t xml:space="preserve"> přijala vláda</w:t>
      </w:r>
      <w:r w:rsidR="00F37C4F">
        <w:rPr>
          <w:rFonts w:asciiTheme="minorHAnsi" w:hAnsiTheme="minorHAnsi" w:cstheme="minorHAnsi"/>
        </w:rPr>
        <w:t xml:space="preserve"> ČR</w:t>
      </w:r>
      <w:r w:rsidRPr="009D3796">
        <w:rPr>
          <w:rFonts w:asciiTheme="minorHAnsi" w:hAnsiTheme="minorHAnsi" w:cstheme="minorHAnsi"/>
        </w:rPr>
        <w:t xml:space="preserve"> svým usnesením </w:t>
      </w:r>
      <w:r w:rsidR="00083C50">
        <w:rPr>
          <w:rFonts w:asciiTheme="minorHAnsi" w:hAnsiTheme="minorHAnsi" w:cstheme="minorHAnsi"/>
        </w:rPr>
        <w:t xml:space="preserve">ze </w:t>
      </w:r>
      <w:r w:rsidRPr="009D3796">
        <w:rPr>
          <w:rFonts w:asciiTheme="minorHAnsi" w:hAnsiTheme="minorHAnsi" w:cstheme="minorHAnsi"/>
        </w:rPr>
        <w:t xml:space="preserve">dne 29. července 2015 č. 620. Tento dokument </w:t>
      </w:r>
      <w:r w:rsidR="005650C5">
        <w:rPr>
          <w:rFonts w:asciiTheme="minorHAnsi" w:hAnsiTheme="minorHAnsi" w:cstheme="minorHAnsi"/>
        </w:rPr>
        <w:t>ukládá</w:t>
      </w:r>
      <w:r w:rsidRPr="009D3796">
        <w:rPr>
          <w:rFonts w:asciiTheme="minorHAnsi" w:hAnsiTheme="minorHAnsi" w:cstheme="minorHAnsi"/>
        </w:rPr>
        <w:t xml:space="preserve"> ministrům životního prostředí, zemědělství, průmyslu a obchod</w:t>
      </w:r>
      <w:r w:rsidR="002E359F">
        <w:rPr>
          <w:rFonts w:asciiTheme="minorHAnsi" w:hAnsiTheme="minorHAnsi" w:cstheme="minorHAnsi"/>
        </w:rPr>
        <w:t>u, financí, pro místní rozvoj a </w:t>
      </w:r>
      <w:r w:rsidRPr="009D3796">
        <w:rPr>
          <w:rFonts w:asciiTheme="minorHAnsi" w:hAnsiTheme="minorHAnsi" w:cstheme="minorHAnsi"/>
        </w:rPr>
        <w:t>vedoucímu úřadu vlády realizovat opatření uvedená v dokumentu a dále ministrům zemědělství a životního prostředí zpracovat a předložit vládě</w:t>
      </w:r>
      <w:r w:rsidR="005650C5">
        <w:rPr>
          <w:rFonts w:asciiTheme="minorHAnsi" w:hAnsiTheme="minorHAnsi" w:cstheme="minorHAnsi"/>
        </w:rPr>
        <w:t xml:space="preserve"> ČR</w:t>
      </w:r>
      <w:r w:rsidRPr="009D3796">
        <w:rPr>
          <w:rFonts w:asciiTheme="minorHAnsi" w:hAnsiTheme="minorHAnsi" w:cstheme="minorHAnsi"/>
        </w:rPr>
        <w:t xml:space="preserve"> informaci o plnění opatření (do konce roku 2016) a vytvořit </w:t>
      </w:r>
      <w:r w:rsidR="00F01CE6">
        <w:rPr>
          <w:rFonts w:asciiTheme="minorHAnsi" w:hAnsiTheme="minorHAnsi" w:cstheme="minorHAnsi"/>
        </w:rPr>
        <w:t>k</w:t>
      </w:r>
      <w:r w:rsidRPr="009D3796">
        <w:rPr>
          <w:rFonts w:asciiTheme="minorHAnsi" w:hAnsiTheme="minorHAnsi" w:cstheme="minorHAnsi"/>
        </w:rPr>
        <w:t>oncepci ochrany před násle</w:t>
      </w:r>
      <w:r w:rsidR="0044441C">
        <w:rPr>
          <w:rFonts w:asciiTheme="minorHAnsi" w:hAnsiTheme="minorHAnsi" w:cstheme="minorHAnsi"/>
        </w:rPr>
        <w:t>dky sucha (do 30. června 2017).</w:t>
      </w:r>
    </w:p>
    <w:p w14:paraId="7383DBAB" w14:textId="77777777" w:rsidR="0044441C" w:rsidRPr="009D3796" w:rsidRDefault="0044441C" w:rsidP="00C15B17">
      <w:pPr>
        <w:spacing w:before="0"/>
        <w:rPr>
          <w:rFonts w:asciiTheme="minorHAnsi" w:hAnsiTheme="minorHAnsi" w:cstheme="minorHAnsi"/>
        </w:rPr>
      </w:pPr>
    </w:p>
    <w:p w14:paraId="50DFC922" w14:textId="52F66CEC" w:rsidR="005F091A" w:rsidRDefault="006F1B50" w:rsidP="00C15B17">
      <w:pPr>
        <w:spacing w:before="0"/>
        <w:rPr>
          <w:rFonts w:asciiTheme="minorHAnsi" w:hAnsiTheme="minorHAnsi" w:cstheme="minorHAnsi"/>
        </w:rPr>
      </w:pPr>
      <w:r w:rsidRPr="009D3796">
        <w:rPr>
          <w:rFonts w:asciiTheme="minorHAnsi" w:hAnsiTheme="minorHAnsi" w:cstheme="minorHAnsi"/>
        </w:rPr>
        <w:lastRenderedPageBreak/>
        <w:t>Usnesením vlády ze dne 24. července 2017</w:t>
      </w:r>
      <w:r w:rsidRPr="005B6434">
        <w:rPr>
          <w:rFonts w:asciiTheme="minorHAnsi" w:hAnsiTheme="minorHAnsi" w:cstheme="minorHAnsi"/>
        </w:rPr>
        <w:t xml:space="preserve"> </w:t>
      </w:r>
      <w:r w:rsidRPr="009D3796">
        <w:rPr>
          <w:rFonts w:asciiTheme="minorHAnsi" w:hAnsiTheme="minorHAnsi" w:cstheme="minorHAnsi"/>
        </w:rPr>
        <w:t xml:space="preserve">č. 528 byla schválena </w:t>
      </w:r>
      <w:r w:rsidRPr="005650C5">
        <w:rPr>
          <w:rFonts w:asciiTheme="minorHAnsi" w:hAnsiTheme="minorHAnsi" w:cstheme="minorHAnsi"/>
          <w:i/>
        </w:rPr>
        <w:t>Koncepce ochrany před následky sucha pro území České republiky</w:t>
      </w:r>
      <w:r w:rsidRPr="009D3796">
        <w:rPr>
          <w:rFonts w:asciiTheme="minorHAnsi" w:hAnsiTheme="minorHAnsi" w:cstheme="minorHAnsi"/>
        </w:rPr>
        <w:t xml:space="preserve">. </w:t>
      </w:r>
      <w:r w:rsidRPr="00DD5C9F">
        <w:rPr>
          <w:rFonts w:asciiTheme="minorHAnsi" w:hAnsiTheme="minorHAnsi" w:cstheme="minorHAnsi"/>
        </w:rPr>
        <w:t xml:space="preserve">Vypracování Koncepce bylo jedním z úkolů usnesení vlády </w:t>
      </w:r>
      <w:r w:rsidR="00F01CE6">
        <w:rPr>
          <w:rFonts w:asciiTheme="minorHAnsi" w:hAnsiTheme="minorHAnsi" w:cstheme="minorHAnsi"/>
        </w:rPr>
        <w:t xml:space="preserve">ze </w:t>
      </w:r>
      <w:r w:rsidR="00F01CE6" w:rsidRPr="009D3796">
        <w:rPr>
          <w:rFonts w:asciiTheme="minorHAnsi" w:hAnsiTheme="minorHAnsi" w:cstheme="minorHAnsi"/>
        </w:rPr>
        <w:t xml:space="preserve">dne 29. července 2015 </w:t>
      </w:r>
      <w:r w:rsidRPr="00DD5C9F">
        <w:rPr>
          <w:rFonts w:asciiTheme="minorHAnsi" w:hAnsiTheme="minorHAnsi" w:cstheme="minorHAnsi"/>
        </w:rPr>
        <w:t>č. 620. V dokumentu jsou definovány tři základní strategické cíle. Tyto cíle mají být naplňovány prostřednictvím pěti tematických pilířů</w:t>
      </w:r>
      <w:r>
        <w:rPr>
          <w:rFonts w:asciiTheme="minorHAnsi" w:hAnsiTheme="minorHAnsi" w:cstheme="minorHAnsi"/>
        </w:rPr>
        <w:t xml:space="preserve"> a 30 konkrétních opatření</w:t>
      </w:r>
      <w:r w:rsidR="001177BE">
        <w:rPr>
          <w:rFonts w:asciiTheme="minorHAnsi" w:hAnsiTheme="minorHAnsi" w:cstheme="minorHAnsi"/>
        </w:rPr>
        <w:t xml:space="preserve"> (viz schéma č. 1)</w:t>
      </w:r>
      <w:r w:rsidRPr="00DD5C9F">
        <w:rPr>
          <w:rFonts w:asciiTheme="minorHAnsi" w:hAnsiTheme="minorHAnsi" w:cstheme="minorHAnsi"/>
        </w:rPr>
        <w:t xml:space="preserve">. Schválená Koncepce obsahuje přehledy dotačních </w:t>
      </w:r>
      <w:r w:rsidR="002B5612">
        <w:rPr>
          <w:rFonts w:asciiTheme="minorHAnsi" w:hAnsiTheme="minorHAnsi" w:cstheme="minorHAnsi"/>
        </w:rPr>
        <w:t>programů</w:t>
      </w:r>
      <w:r w:rsidRPr="00DD5C9F">
        <w:rPr>
          <w:rFonts w:asciiTheme="minorHAnsi" w:hAnsiTheme="minorHAnsi" w:cstheme="minorHAnsi"/>
        </w:rPr>
        <w:t xml:space="preserve"> v gesci </w:t>
      </w:r>
      <w:proofErr w:type="spellStart"/>
      <w:r w:rsidRPr="00DD5C9F">
        <w:rPr>
          <w:rFonts w:asciiTheme="minorHAnsi" w:hAnsiTheme="minorHAnsi" w:cstheme="minorHAnsi"/>
        </w:rPr>
        <w:t>MZe</w:t>
      </w:r>
      <w:proofErr w:type="spellEnd"/>
      <w:r w:rsidRPr="00DD5C9F">
        <w:rPr>
          <w:rFonts w:asciiTheme="minorHAnsi" w:hAnsiTheme="minorHAnsi" w:cstheme="minorHAnsi"/>
        </w:rPr>
        <w:t xml:space="preserve"> i MŽP pro financování opatření na zmírnění negativních dopadů sucha.</w:t>
      </w:r>
      <w:r>
        <w:rPr>
          <w:rFonts w:asciiTheme="minorHAnsi" w:hAnsiTheme="minorHAnsi" w:cstheme="minorHAnsi"/>
        </w:rPr>
        <w:t xml:space="preserve"> </w:t>
      </w:r>
      <w:r w:rsidR="005F091A" w:rsidRPr="00CF541F">
        <w:rPr>
          <w:rFonts w:asciiTheme="minorHAnsi" w:hAnsiTheme="minorHAnsi" w:cstheme="minorHAnsi"/>
        </w:rPr>
        <w:t>Vláda</w:t>
      </w:r>
      <w:r w:rsidR="005F091A">
        <w:rPr>
          <w:rFonts w:asciiTheme="minorHAnsi" w:hAnsiTheme="minorHAnsi" w:cstheme="minorHAnsi"/>
        </w:rPr>
        <w:t xml:space="preserve"> ČR</w:t>
      </w:r>
      <w:r w:rsidR="000853B1">
        <w:rPr>
          <w:rFonts w:asciiTheme="minorHAnsi" w:hAnsiTheme="minorHAnsi" w:cstheme="minorHAnsi"/>
        </w:rPr>
        <w:t xml:space="preserve"> shora citovaným</w:t>
      </w:r>
      <w:r w:rsidR="005F091A" w:rsidRPr="00CF541F">
        <w:rPr>
          <w:rFonts w:asciiTheme="minorHAnsi" w:hAnsiTheme="minorHAnsi" w:cstheme="minorHAnsi"/>
        </w:rPr>
        <w:t xml:space="preserve"> usnesením uložila ministru zemědělství a ministru životního prostředí respektovat a prosazovat tuto Koncepci a zasadit se o realizování opatření k omezení nás</w:t>
      </w:r>
      <w:r w:rsidR="00F10CD0">
        <w:rPr>
          <w:rFonts w:asciiTheme="minorHAnsi" w:hAnsiTheme="minorHAnsi" w:cstheme="minorHAnsi"/>
        </w:rPr>
        <w:t>ledků sucha a </w:t>
      </w:r>
      <w:r w:rsidR="002E359F">
        <w:rPr>
          <w:rFonts w:asciiTheme="minorHAnsi" w:hAnsiTheme="minorHAnsi" w:cstheme="minorHAnsi"/>
        </w:rPr>
        <w:t>nedostatku vody a </w:t>
      </w:r>
      <w:r w:rsidR="005F091A" w:rsidRPr="00CF541F">
        <w:rPr>
          <w:rFonts w:asciiTheme="minorHAnsi" w:hAnsiTheme="minorHAnsi" w:cstheme="minorHAnsi"/>
        </w:rPr>
        <w:t xml:space="preserve">k tomu zabezpečovat potřebné finanční zdroje, a to přednostně z Evropských fondů. </w:t>
      </w:r>
    </w:p>
    <w:p w14:paraId="5E793B5F" w14:textId="6D93C030" w:rsidR="00DE53B3" w:rsidRDefault="00DE53B3" w:rsidP="00C15B17">
      <w:pPr>
        <w:spacing w:before="0"/>
        <w:rPr>
          <w:rFonts w:asciiTheme="minorHAnsi" w:hAnsiTheme="minorHAnsi" w:cstheme="minorHAnsi"/>
        </w:rPr>
      </w:pPr>
    </w:p>
    <w:p w14:paraId="2BD89D75" w14:textId="399848BB" w:rsidR="001177BE" w:rsidRPr="00505118" w:rsidRDefault="001177BE" w:rsidP="00576490">
      <w:pPr>
        <w:keepNext/>
        <w:ind w:left="1304" w:hanging="1304"/>
        <w:rPr>
          <w:b/>
        </w:rPr>
      </w:pPr>
      <w:r w:rsidRPr="00505118">
        <w:rPr>
          <w:b/>
        </w:rPr>
        <w:t>Schéma č. 1</w:t>
      </w:r>
      <w:r w:rsidR="00576490">
        <w:rPr>
          <w:b/>
        </w:rPr>
        <w:t>:</w:t>
      </w:r>
      <w:r w:rsidRPr="00505118">
        <w:rPr>
          <w:b/>
        </w:rPr>
        <w:t xml:space="preserve"> Strategické cíle a tematické pilíře Koncepce ochrany před následky sucha pro území ČR</w:t>
      </w:r>
    </w:p>
    <w:p w14:paraId="603ED58A" w14:textId="22E21D8B" w:rsidR="004549A5" w:rsidRDefault="003B1159" w:rsidP="00C10864">
      <w:pPr>
        <w:keepNext/>
      </w:pPr>
      <w:r>
        <w:rPr>
          <w:noProof/>
          <w:lang w:eastAsia="cs-CZ"/>
        </w:rPr>
        <w:drawing>
          <wp:inline distT="0" distB="0" distL="0" distR="0" wp14:anchorId="57942580" wp14:editId="6D9DE3A1">
            <wp:extent cx="5759450" cy="360981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0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37A8" w14:textId="03FF96AA" w:rsidR="001177BE" w:rsidRPr="007D6654" w:rsidRDefault="001177BE" w:rsidP="007D6654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7D6654">
        <w:rPr>
          <w:rFonts w:asciiTheme="minorHAnsi" w:hAnsiTheme="minorHAnsi" w:cstheme="minorHAnsi"/>
          <w:b/>
          <w:sz w:val="20"/>
          <w:szCs w:val="20"/>
        </w:rPr>
        <w:t>Zdroj:</w:t>
      </w:r>
      <w:r w:rsidRPr="007D6654">
        <w:rPr>
          <w:rFonts w:asciiTheme="minorHAnsi" w:hAnsiTheme="minorHAnsi" w:cstheme="minorHAnsi"/>
          <w:sz w:val="20"/>
          <w:szCs w:val="20"/>
        </w:rPr>
        <w:t xml:space="preserve"> </w:t>
      </w:r>
      <w:r w:rsidR="00576490">
        <w:rPr>
          <w:rFonts w:asciiTheme="minorHAnsi" w:hAnsiTheme="minorHAnsi" w:cstheme="minorHAnsi"/>
          <w:sz w:val="20"/>
          <w:szCs w:val="20"/>
        </w:rPr>
        <w:t>vy</w:t>
      </w:r>
      <w:r w:rsidRPr="007D6654">
        <w:rPr>
          <w:rFonts w:asciiTheme="minorHAnsi" w:hAnsiTheme="minorHAnsi" w:cstheme="minorHAnsi"/>
          <w:sz w:val="20"/>
          <w:szCs w:val="20"/>
        </w:rPr>
        <w:t>pracov</w:t>
      </w:r>
      <w:r w:rsidR="00576490">
        <w:rPr>
          <w:rFonts w:asciiTheme="minorHAnsi" w:hAnsiTheme="minorHAnsi" w:cstheme="minorHAnsi"/>
          <w:sz w:val="20"/>
          <w:szCs w:val="20"/>
        </w:rPr>
        <w:t>al</w:t>
      </w:r>
      <w:r w:rsidRPr="007D6654">
        <w:rPr>
          <w:rFonts w:asciiTheme="minorHAnsi" w:hAnsiTheme="minorHAnsi" w:cstheme="minorHAnsi"/>
          <w:sz w:val="20"/>
          <w:szCs w:val="20"/>
        </w:rPr>
        <w:t xml:space="preserve"> NKÚ na základě </w:t>
      </w:r>
      <w:r w:rsidRPr="00AD2453">
        <w:rPr>
          <w:rFonts w:asciiTheme="minorHAnsi" w:hAnsiTheme="minorHAnsi" w:cstheme="minorHAnsi"/>
          <w:i/>
          <w:sz w:val="20"/>
          <w:szCs w:val="20"/>
        </w:rPr>
        <w:t>Koncepce ochrany před následky sucha pro území ČR</w:t>
      </w:r>
      <w:r w:rsidR="00056EF5" w:rsidRPr="007D6654">
        <w:rPr>
          <w:rFonts w:asciiTheme="minorHAnsi" w:hAnsiTheme="minorHAnsi" w:cstheme="minorHAnsi"/>
          <w:sz w:val="20"/>
          <w:szCs w:val="20"/>
        </w:rPr>
        <w:t>.</w:t>
      </w:r>
    </w:p>
    <w:p w14:paraId="79E140AB" w14:textId="77777777" w:rsidR="007D6654" w:rsidRPr="007D6654" w:rsidRDefault="007D6654" w:rsidP="007D6654">
      <w:pPr>
        <w:spacing w:before="0"/>
        <w:rPr>
          <w:rFonts w:asciiTheme="minorHAnsi" w:hAnsiTheme="minorHAnsi" w:cstheme="minorHAnsi"/>
        </w:rPr>
      </w:pPr>
    </w:p>
    <w:p w14:paraId="50F123B4" w14:textId="0BDF9716" w:rsidR="00BD6545" w:rsidRDefault="00BD6545" w:rsidP="007D6654">
      <w:pPr>
        <w:spacing w:before="0"/>
        <w:rPr>
          <w:rFonts w:asciiTheme="minorHAnsi" w:hAnsiTheme="minorHAnsi" w:cstheme="minorHAnsi"/>
          <w:b/>
        </w:rPr>
      </w:pPr>
      <w:proofErr w:type="spellStart"/>
      <w:r w:rsidRPr="00EB3806">
        <w:rPr>
          <w:rFonts w:asciiTheme="minorHAnsi" w:hAnsiTheme="minorHAnsi" w:cstheme="minorHAnsi"/>
          <w:b/>
        </w:rPr>
        <w:t>MZe</w:t>
      </w:r>
      <w:proofErr w:type="spellEnd"/>
      <w:r w:rsidRPr="00EB3806">
        <w:rPr>
          <w:rFonts w:asciiTheme="minorHAnsi" w:hAnsiTheme="minorHAnsi" w:cstheme="minorHAnsi"/>
          <w:b/>
        </w:rPr>
        <w:t xml:space="preserve"> v </w:t>
      </w:r>
      <w:r w:rsidR="00576490">
        <w:rPr>
          <w:rFonts w:asciiTheme="minorHAnsi" w:hAnsiTheme="minorHAnsi" w:cstheme="minorHAnsi"/>
          <w:b/>
        </w:rPr>
        <w:t>p</w:t>
      </w:r>
      <w:r w:rsidRPr="00EB3806">
        <w:rPr>
          <w:rFonts w:asciiTheme="minorHAnsi" w:hAnsiTheme="minorHAnsi" w:cstheme="minorHAnsi"/>
          <w:b/>
        </w:rPr>
        <w:t xml:space="preserve">říloze 14 Koncepce v tabulce </w:t>
      </w:r>
      <w:r w:rsidRPr="00EB3806">
        <w:rPr>
          <w:rFonts w:asciiTheme="minorHAnsi" w:hAnsiTheme="minorHAnsi" w:cstheme="minorHAnsi"/>
          <w:b/>
          <w:i/>
        </w:rPr>
        <w:t>Přehled dotačních titulů v gesci Ministerstva zemědělství financujících opatření na zmírnění negativních dopadů sucha</w:t>
      </w:r>
      <w:r w:rsidRPr="00EB3806">
        <w:rPr>
          <w:rFonts w:asciiTheme="minorHAnsi" w:hAnsiTheme="minorHAnsi" w:cstheme="minorHAnsi"/>
          <w:b/>
        </w:rPr>
        <w:t xml:space="preserve"> uvedlo pouze národní prostředky a vlastní zdroje potenciálních příjemců dotací. </w:t>
      </w:r>
      <w:proofErr w:type="spellStart"/>
      <w:r w:rsidRPr="00EB3806">
        <w:rPr>
          <w:rFonts w:asciiTheme="minorHAnsi" w:hAnsiTheme="minorHAnsi" w:cstheme="minorHAnsi"/>
          <w:b/>
        </w:rPr>
        <w:t>MZe</w:t>
      </w:r>
      <w:proofErr w:type="spellEnd"/>
      <w:r w:rsidRPr="00EB3806">
        <w:rPr>
          <w:rFonts w:asciiTheme="minorHAnsi" w:hAnsiTheme="minorHAnsi" w:cstheme="minorHAnsi"/>
          <w:b/>
        </w:rPr>
        <w:t xml:space="preserve"> v Koncepci neuvedlo finanční zdroje z Evropských fondů. </w:t>
      </w:r>
      <w:proofErr w:type="spellStart"/>
      <w:r w:rsidR="00576490">
        <w:rPr>
          <w:rFonts w:asciiTheme="minorHAnsi" w:hAnsiTheme="minorHAnsi" w:cstheme="minorHAnsi"/>
          <w:b/>
        </w:rPr>
        <w:t>MZe</w:t>
      </w:r>
      <w:proofErr w:type="spellEnd"/>
      <w:r w:rsidR="00576490">
        <w:rPr>
          <w:rFonts w:asciiTheme="minorHAnsi" w:hAnsiTheme="minorHAnsi" w:cstheme="minorHAnsi"/>
          <w:b/>
        </w:rPr>
        <w:t xml:space="preserve"> t</w:t>
      </w:r>
      <w:r w:rsidRPr="00EB3806">
        <w:rPr>
          <w:rFonts w:asciiTheme="minorHAnsi" w:hAnsiTheme="minorHAnsi" w:cstheme="minorHAnsi"/>
          <w:b/>
        </w:rPr>
        <w:t>yto prostředky</w:t>
      </w:r>
      <w:r w:rsidR="00EB3806">
        <w:rPr>
          <w:rFonts w:asciiTheme="minorHAnsi" w:hAnsiTheme="minorHAnsi" w:cstheme="minorHAnsi"/>
          <w:b/>
        </w:rPr>
        <w:t xml:space="preserve"> </w:t>
      </w:r>
      <w:r w:rsidR="00963EF1">
        <w:rPr>
          <w:rFonts w:asciiTheme="minorHAnsi" w:hAnsiTheme="minorHAnsi" w:cstheme="minorHAnsi"/>
          <w:b/>
        </w:rPr>
        <w:t>v materiálech pro vládu ČR</w:t>
      </w:r>
      <w:r w:rsidRPr="00EB3806">
        <w:rPr>
          <w:rFonts w:asciiTheme="minorHAnsi" w:hAnsiTheme="minorHAnsi" w:cstheme="minorHAnsi"/>
          <w:b/>
        </w:rPr>
        <w:t xml:space="preserve"> vykazuje nad rámec Koncepce.</w:t>
      </w:r>
    </w:p>
    <w:p w14:paraId="31A8DED0" w14:textId="77777777" w:rsidR="007D6654" w:rsidRPr="00EB3806" w:rsidRDefault="007D6654" w:rsidP="007D6654">
      <w:pPr>
        <w:spacing w:before="0"/>
        <w:rPr>
          <w:rFonts w:asciiTheme="minorHAnsi" w:hAnsiTheme="minorHAnsi" w:cstheme="minorHAnsi"/>
          <w:b/>
        </w:rPr>
      </w:pPr>
    </w:p>
    <w:p w14:paraId="412E77ED" w14:textId="41FF853F" w:rsidR="00BD6545" w:rsidRDefault="00BD6545" w:rsidP="007D6654">
      <w:pPr>
        <w:spacing w:before="0"/>
        <w:rPr>
          <w:rFonts w:asciiTheme="minorHAnsi" w:hAnsiTheme="minorHAnsi" w:cstheme="minorHAnsi"/>
          <w:b/>
        </w:rPr>
      </w:pPr>
      <w:r w:rsidRPr="00EB3806">
        <w:rPr>
          <w:rFonts w:asciiTheme="minorHAnsi" w:hAnsiTheme="minorHAnsi" w:cstheme="minorHAnsi"/>
          <w:b/>
        </w:rPr>
        <w:t xml:space="preserve">V Koncepci je uvedeno celkem 30 opatření, ale u jednotlivých opatření nejsou stanoveny cíle, které by byly konkrétní, měřitelné, realistické a termínované. V samotném textu Koncepce není </w:t>
      </w:r>
      <w:r w:rsidR="00576490">
        <w:rPr>
          <w:rFonts w:asciiTheme="minorHAnsi" w:hAnsiTheme="minorHAnsi" w:cstheme="minorHAnsi"/>
          <w:b/>
        </w:rPr>
        <w:t xml:space="preserve">ani </w:t>
      </w:r>
      <w:r w:rsidRPr="00EB3806">
        <w:rPr>
          <w:rFonts w:asciiTheme="minorHAnsi" w:hAnsiTheme="minorHAnsi" w:cstheme="minorHAnsi"/>
          <w:b/>
        </w:rPr>
        <w:t>uvedeno, kdo za realizaci jedn</w:t>
      </w:r>
      <w:r w:rsidR="00B758EF" w:rsidRPr="00EB3806">
        <w:rPr>
          <w:rFonts w:asciiTheme="minorHAnsi" w:hAnsiTheme="minorHAnsi" w:cstheme="minorHAnsi"/>
          <w:b/>
        </w:rPr>
        <w:t>otlivých opatření odpovídá.</w:t>
      </w:r>
    </w:p>
    <w:p w14:paraId="367F7F7C" w14:textId="77777777" w:rsidR="007D6654" w:rsidRPr="00EB3806" w:rsidRDefault="007D6654" w:rsidP="007D6654">
      <w:pPr>
        <w:spacing w:before="0"/>
        <w:rPr>
          <w:rFonts w:asciiTheme="minorHAnsi" w:hAnsiTheme="minorHAnsi" w:cstheme="minorHAnsi"/>
          <w:b/>
        </w:rPr>
      </w:pPr>
    </w:p>
    <w:p w14:paraId="191E46DC" w14:textId="1431D679" w:rsidR="00BD6545" w:rsidRPr="00EB3806" w:rsidRDefault="00177172" w:rsidP="007D6654">
      <w:pPr>
        <w:spacing w:befor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BD6545" w:rsidRPr="00EB3806">
        <w:rPr>
          <w:rFonts w:asciiTheme="minorHAnsi" w:hAnsiTheme="minorHAnsi" w:cstheme="minorHAnsi"/>
          <w:b/>
        </w:rPr>
        <w:t>inimálně jedno opatření Koncepce se do roku 2022</w:t>
      </w:r>
      <w:r w:rsidR="00EB3806" w:rsidRPr="00B40F19">
        <w:rPr>
          <w:rFonts w:asciiTheme="minorHAnsi" w:hAnsiTheme="minorHAnsi" w:cstheme="minorHAnsi"/>
          <w:color w:val="000000" w:themeColor="text1"/>
        </w:rPr>
        <w:t xml:space="preserve"> </w:t>
      </w:r>
      <w:r w:rsidR="00BD6545" w:rsidRPr="00EB3806">
        <w:rPr>
          <w:rFonts w:asciiTheme="minorHAnsi" w:hAnsiTheme="minorHAnsi" w:cstheme="minorHAnsi"/>
          <w:b/>
        </w:rPr>
        <w:t>nepodaří realizovat</w:t>
      </w:r>
      <w:r w:rsidR="00906B5E">
        <w:rPr>
          <w:rFonts w:asciiTheme="minorHAnsi" w:hAnsiTheme="minorHAnsi" w:cstheme="minorHAnsi"/>
          <w:b/>
        </w:rPr>
        <w:t xml:space="preserve">. Jde o </w:t>
      </w:r>
      <w:r w:rsidR="00BD6545" w:rsidRPr="00906B5E">
        <w:rPr>
          <w:rFonts w:asciiTheme="minorHAnsi" w:hAnsiTheme="minorHAnsi" w:cstheme="minorHAnsi"/>
          <w:b/>
        </w:rPr>
        <w:t xml:space="preserve">opatření </w:t>
      </w:r>
      <w:r w:rsidR="00906B5E">
        <w:rPr>
          <w:rFonts w:asciiTheme="minorHAnsi" w:hAnsiTheme="minorHAnsi" w:cstheme="minorHAnsi"/>
          <w:b/>
        </w:rPr>
        <w:t>„</w:t>
      </w:r>
      <w:r w:rsidR="00EB3806" w:rsidRPr="00906B5E">
        <w:rPr>
          <w:rFonts w:asciiTheme="minorHAnsi" w:hAnsiTheme="minorHAnsi" w:cstheme="minorHAnsi"/>
          <w:b/>
          <w:i/>
        </w:rPr>
        <w:t xml:space="preserve">změna </w:t>
      </w:r>
      <w:r w:rsidR="00BD6545" w:rsidRPr="00906B5E">
        <w:rPr>
          <w:rFonts w:asciiTheme="minorHAnsi" w:hAnsiTheme="minorHAnsi" w:cstheme="minorHAnsi"/>
          <w:b/>
          <w:i/>
        </w:rPr>
        <w:t>zemědělské politiky v oblasti pěstování energetických plodin</w:t>
      </w:r>
      <w:r w:rsidR="00906B5E">
        <w:rPr>
          <w:rFonts w:asciiTheme="minorHAnsi" w:hAnsiTheme="minorHAnsi" w:cstheme="minorHAnsi"/>
          <w:b/>
          <w:i/>
        </w:rPr>
        <w:t>“</w:t>
      </w:r>
      <w:r w:rsidR="00906B5E" w:rsidRPr="00906B5E">
        <w:rPr>
          <w:rFonts w:asciiTheme="minorHAnsi" w:hAnsiTheme="minorHAnsi" w:cstheme="minorHAnsi"/>
          <w:b/>
        </w:rPr>
        <w:t>. D</w:t>
      </w:r>
      <w:r w:rsidR="00BD6545" w:rsidRPr="00EB3806">
        <w:rPr>
          <w:rFonts w:asciiTheme="minorHAnsi" w:hAnsiTheme="minorHAnsi" w:cstheme="minorHAnsi"/>
          <w:b/>
        </w:rPr>
        <w:t>alší opatření</w:t>
      </w:r>
      <w:r w:rsidR="00906B5E">
        <w:rPr>
          <w:rFonts w:asciiTheme="minorHAnsi" w:hAnsiTheme="minorHAnsi" w:cstheme="minorHAnsi"/>
          <w:b/>
        </w:rPr>
        <w:t xml:space="preserve">, jako </w:t>
      </w:r>
      <w:r w:rsidR="00906B5E" w:rsidRPr="00906B5E">
        <w:rPr>
          <w:rFonts w:asciiTheme="minorHAnsi" w:hAnsiTheme="minorHAnsi" w:cstheme="minorHAnsi"/>
          <w:b/>
        </w:rPr>
        <w:lastRenderedPageBreak/>
        <w:t xml:space="preserve">například opatření </w:t>
      </w:r>
      <w:r w:rsidR="00906B5E">
        <w:rPr>
          <w:rFonts w:asciiTheme="minorHAnsi" w:hAnsiTheme="minorHAnsi" w:cstheme="minorHAnsi"/>
          <w:b/>
        </w:rPr>
        <w:t>„</w:t>
      </w:r>
      <w:r w:rsidR="00906B5E" w:rsidRPr="00906B5E">
        <w:rPr>
          <w:rFonts w:asciiTheme="minorHAnsi" w:hAnsiTheme="minorHAnsi" w:cstheme="minorHAnsi"/>
          <w:b/>
          <w:i/>
        </w:rPr>
        <w:t>nové víceúčelové přehradní nádrže</w:t>
      </w:r>
      <w:r w:rsidR="00906B5E">
        <w:rPr>
          <w:rFonts w:asciiTheme="minorHAnsi" w:hAnsiTheme="minorHAnsi" w:cstheme="minorHAnsi"/>
          <w:b/>
          <w:i/>
        </w:rPr>
        <w:t>“</w:t>
      </w:r>
      <w:r w:rsidR="00906B5E">
        <w:rPr>
          <w:rFonts w:asciiTheme="minorHAnsi" w:hAnsiTheme="minorHAnsi" w:cstheme="minorHAnsi"/>
          <w:b/>
        </w:rPr>
        <w:t xml:space="preserve"> </w:t>
      </w:r>
      <w:r w:rsidR="00BD6545" w:rsidRPr="00EB3806">
        <w:rPr>
          <w:rFonts w:asciiTheme="minorHAnsi" w:hAnsiTheme="minorHAnsi" w:cstheme="minorHAnsi"/>
          <w:b/>
        </w:rPr>
        <w:t>potřebují pro svou realizac</w:t>
      </w:r>
      <w:r w:rsidR="00906B5E">
        <w:rPr>
          <w:rFonts w:asciiTheme="minorHAnsi" w:hAnsiTheme="minorHAnsi" w:cstheme="minorHAnsi"/>
          <w:b/>
        </w:rPr>
        <w:t>i výrazně delší časový horizont</w:t>
      </w:r>
      <w:r w:rsidR="00BD6545" w:rsidRPr="00EB3806">
        <w:rPr>
          <w:rFonts w:asciiTheme="minorHAnsi" w:hAnsiTheme="minorHAnsi" w:cstheme="minorHAnsi"/>
          <w:b/>
        </w:rPr>
        <w:t>.</w:t>
      </w:r>
    </w:p>
    <w:p w14:paraId="67AF165C" w14:textId="77777777" w:rsidR="007D6654" w:rsidRPr="007D6654" w:rsidRDefault="007D6654" w:rsidP="007D6654">
      <w:pPr>
        <w:spacing w:before="0"/>
        <w:rPr>
          <w:rFonts w:asciiTheme="minorHAnsi" w:hAnsiTheme="minorHAnsi" w:cstheme="minorHAnsi"/>
        </w:rPr>
      </w:pPr>
    </w:p>
    <w:p w14:paraId="0EAAAE2E" w14:textId="70A3FC0B" w:rsidR="00BD6545" w:rsidRPr="007D6654" w:rsidRDefault="00BD6545" w:rsidP="007D6654">
      <w:pPr>
        <w:keepNext/>
        <w:spacing w:before="0"/>
        <w:jc w:val="left"/>
        <w:rPr>
          <w:b/>
        </w:rPr>
      </w:pPr>
      <w:r w:rsidRPr="007D6654">
        <w:rPr>
          <w:rFonts w:asciiTheme="minorHAnsi" w:hAnsiTheme="minorHAnsi" w:cstheme="minorHAnsi"/>
          <w:b/>
        </w:rPr>
        <w:t>Opatření Koncepce „</w:t>
      </w:r>
      <w:r w:rsidR="004F3886">
        <w:rPr>
          <w:rFonts w:asciiTheme="minorHAnsi" w:hAnsiTheme="minorHAnsi" w:cstheme="minorHAnsi"/>
          <w:b/>
          <w:i/>
        </w:rPr>
        <w:t>z</w:t>
      </w:r>
      <w:r w:rsidRPr="007D6654">
        <w:rPr>
          <w:rFonts w:asciiTheme="minorHAnsi" w:hAnsiTheme="minorHAnsi" w:cstheme="minorHAnsi"/>
          <w:b/>
          <w:i/>
        </w:rPr>
        <w:t>měna zemědělské politiky v oblasti podpory pěstování energetických plodin“</w:t>
      </w:r>
    </w:p>
    <w:p w14:paraId="799FBBFF" w14:textId="77777777" w:rsidR="007D6654" w:rsidRPr="007D6654" w:rsidRDefault="007D6654" w:rsidP="007D6654">
      <w:pPr>
        <w:keepNext/>
        <w:spacing w:before="0"/>
        <w:rPr>
          <w:rFonts w:asciiTheme="minorHAnsi" w:hAnsiTheme="minorHAnsi" w:cstheme="minorHAnsi"/>
        </w:rPr>
      </w:pPr>
    </w:p>
    <w:p w14:paraId="44E8C2A6" w14:textId="657D61F1" w:rsidR="00BD6545" w:rsidRDefault="00BD6545" w:rsidP="007D6654">
      <w:p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Jedním z </w:t>
      </w:r>
      <w:r w:rsidR="00963EF1">
        <w:rPr>
          <w:rFonts w:asciiTheme="minorHAnsi" w:hAnsiTheme="minorHAnsi" w:cstheme="minorHAnsi"/>
        </w:rPr>
        <w:t>opatření</w:t>
      </w:r>
      <w:r>
        <w:rPr>
          <w:rFonts w:asciiTheme="minorHAnsi" w:hAnsiTheme="minorHAnsi" w:cstheme="minorHAnsi"/>
        </w:rPr>
        <w:t xml:space="preserve"> dle Koncepce je „</w:t>
      </w:r>
      <w:r w:rsidR="004F3886">
        <w:rPr>
          <w:rFonts w:asciiTheme="minorHAnsi" w:hAnsiTheme="minorHAnsi" w:cstheme="minorHAnsi"/>
          <w:i/>
        </w:rPr>
        <w:t>z</w:t>
      </w:r>
      <w:r w:rsidRPr="00BB38B6">
        <w:rPr>
          <w:rFonts w:asciiTheme="minorHAnsi" w:hAnsiTheme="minorHAnsi" w:cstheme="minorHAnsi"/>
          <w:i/>
        </w:rPr>
        <w:t>měna zemědělské politiky v oblasti podpory pěstování energetických plodin</w:t>
      </w:r>
      <w:r>
        <w:rPr>
          <w:rFonts w:asciiTheme="minorHAnsi" w:hAnsiTheme="minorHAnsi" w:cstheme="minorHAnsi"/>
        </w:rPr>
        <w:t>“.</w:t>
      </w:r>
    </w:p>
    <w:p w14:paraId="4446A554" w14:textId="77777777" w:rsidR="007D6654" w:rsidRDefault="007D6654" w:rsidP="007D6654">
      <w:pPr>
        <w:spacing w:before="0"/>
        <w:rPr>
          <w:rFonts w:asciiTheme="minorHAnsi" w:hAnsiTheme="minorHAnsi" w:cstheme="minorHAnsi"/>
        </w:rPr>
      </w:pPr>
    </w:p>
    <w:p w14:paraId="793BE12F" w14:textId="46BAD537" w:rsidR="00BD6545" w:rsidRDefault="00BD6545" w:rsidP="007D6654">
      <w:pPr>
        <w:spacing w:before="0"/>
        <w:rPr>
          <w:rFonts w:asciiTheme="minorHAnsi" w:hAnsiTheme="minorHAnsi" w:cstheme="minorHAnsi"/>
        </w:rPr>
      </w:pPr>
      <w:r w:rsidRPr="00E952A2">
        <w:rPr>
          <w:rFonts w:asciiTheme="minorHAnsi" w:hAnsiTheme="minorHAnsi" w:cstheme="minorHAnsi"/>
        </w:rPr>
        <w:t>Kontrolou bylo ověřeno, že strategick</w:t>
      </w:r>
      <w:r w:rsidR="00E952A2" w:rsidRPr="00E952A2">
        <w:rPr>
          <w:rFonts w:asciiTheme="minorHAnsi" w:hAnsiTheme="minorHAnsi" w:cstheme="minorHAnsi"/>
        </w:rPr>
        <w:t>é</w:t>
      </w:r>
      <w:r w:rsidRPr="00E952A2">
        <w:rPr>
          <w:rFonts w:asciiTheme="minorHAnsi" w:hAnsiTheme="minorHAnsi" w:cstheme="minorHAnsi"/>
        </w:rPr>
        <w:t xml:space="preserve"> dokument</w:t>
      </w:r>
      <w:r w:rsidR="00E952A2" w:rsidRPr="00E952A2">
        <w:rPr>
          <w:rFonts w:asciiTheme="minorHAnsi" w:hAnsiTheme="minorHAnsi" w:cstheme="minorHAnsi"/>
        </w:rPr>
        <w:t>y zamě</w:t>
      </w:r>
      <w:r w:rsidR="00056EF5">
        <w:rPr>
          <w:rFonts w:asciiTheme="minorHAnsi" w:hAnsiTheme="minorHAnsi" w:cstheme="minorHAnsi"/>
        </w:rPr>
        <w:t>řené na energetickou politiku a </w:t>
      </w:r>
      <w:r w:rsidR="00E952A2" w:rsidRPr="00E952A2">
        <w:rPr>
          <w:rFonts w:asciiTheme="minorHAnsi" w:hAnsiTheme="minorHAnsi" w:cstheme="minorHAnsi"/>
        </w:rPr>
        <w:t>biopaliva</w:t>
      </w:r>
      <w:r w:rsidRPr="00E952A2">
        <w:rPr>
          <w:rFonts w:asciiTheme="minorHAnsi" w:hAnsiTheme="minorHAnsi" w:cstheme="minorHAnsi"/>
        </w:rPr>
        <w:t xml:space="preserve"> nadále počít</w:t>
      </w:r>
      <w:r w:rsidR="00E952A2" w:rsidRPr="00E952A2">
        <w:rPr>
          <w:rFonts w:asciiTheme="minorHAnsi" w:hAnsiTheme="minorHAnsi" w:cstheme="minorHAnsi"/>
        </w:rPr>
        <w:t>ají</w:t>
      </w:r>
      <w:r w:rsidRPr="00E952A2">
        <w:rPr>
          <w:rFonts w:asciiTheme="minorHAnsi" w:hAnsiTheme="minorHAnsi" w:cstheme="minorHAnsi"/>
        </w:rPr>
        <w:t xml:space="preserve"> s využitím technickýc</w:t>
      </w:r>
      <w:r w:rsidR="00E952A2" w:rsidRPr="00E952A2">
        <w:rPr>
          <w:rFonts w:asciiTheme="minorHAnsi" w:hAnsiTheme="minorHAnsi" w:cstheme="minorHAnsi"/>
        </w:rPr>
        <w:t>h plodin pro energetické účely</w:t>
      </w:r>
      <w:r w:rsidRPr="00E952A2">
        <w:rPr>
          <w:rFonts w:asciiTheme="minorHAnsi" w:hAnsiTheme="minorHAnsi" w:cstheme="minorHAnsi"/>
        </w:rPr>
        <w:t>. Naproti tomu opatření uvedené v Koncepci říká, že je třeba „</w:t>
      </w:r>
      <w:r w:rsidR="004F3886">
        <w:rPr>
          <w:rFonts w:asciiTheme="minorHAnsi" w:hAnsiTheme="minorHAnsi" w:cstheme="minorHAnsi"/>
        </w:rPr>
        <w:t xml:space="preserve">… </w:t>
      </w:r>
      <w:r w:rsidRPr="00E952A2">
        <w:rPr>
          <w:rFonts w:asciiTheme="minorHAnsi" w:hAnsiTheme="minorHAnsi" w:cstheme="minorHAnsi"/>
          <w:i/>
        </w:rPr>
        <w:t>zásadním způsobem přehodnotit stávající podporu produkce biopaliv a podporu pěstování zemědělských plodin pro energetické využití ... Cílem uvedeného opatření je omezit zatížení půdy a následně vodních zdrojů nadměrnou erozí a chemickým znečištěním v souvislosti s pěstováním zemědělských plodin pro energetické využití</w:t>
      </w:r>
      <w:r w:rsidRPr="00B50D1E">
        <w:rPr>
          <w:rFonts w:asciiTheme="minorHAnsi" w:hAnsiTheme="minorHAnsi" w:cstheme="minorHAnsi"/>
        </w:rPr>
        <w:t>“</w:t>
      </w:r>
      <w:r w:rsidRPr="00E952A2">
        <w:rPr>
          <w:rFonts w:asciiTheme="minorHAnsi" w:hAnsiTheme="minorHAnsi" w:cstheme="minorHAnsi"/>
        </w:rPr>
        <w:t xml:space="preserve">. </w:t>
      </w:r>
    </w:p>
    <w:p w14:paraId="255F8404" w14:textId="77777777" w:rsidR="007D6654" w:rsidRPr="00E952A2" w:rsidRDefault="007D6654" w:rsidP="007D6654">
      <w:pPr>
        <w:spacing w:before="0"/>
        <w:rPr>
          <w:rFonts w:asciiTheme="minorHAnsi" w:hAnsiTheme="minorHAnsi" w:cstheme="minorHAnsi"/>
        </w:rPr>
      </w:pPr>
    </w:p>
    <w:p w14:paraId="093AB3C0" w14:textId="162335BE" w:rsidR="00BD6545" w:rsidRPr="00EB3806" w:rsidRDefault="005A6451" w:rsidP="004F3886">
      <w:p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EB3806">
        <w:rPr>
          <w:rFonts w:asciiTheme="minorHAnsi" w:hAnsiTheme="minorHAnsi" w:cstheme="minorHAnsi"/>
          <w:b/>
          <w:color w:val="000000" w:themeColor="text1"/>
        </w:rPr>
        <w:t>O</w:t>
      </w:r>
      <w:r w:rsidR="00BD6545" w:rsidRPr="00EB3806">
        <w:rPr>
          <w:rFonts w:asciiTheme="minorHAnsi" w:hAnsiTheme="minorHAnsi" w:cstheme="minorHAnsi"/>
          <w:b/>
          <w:color w:val="000000" w:themeColor="text1"/>
        </w:rPr>
        <w:t>patření „</w:t>
      </w:r>
      <w:r w:rsidR="004F3886">
        <w:rPr>
          <w:rFonts w:asciiTheme="minorHAnsi" w:hAnsiTheme="minorHAnsi" w:cstheme="minorHAnsi"/>
          <w:b/>
          <w:i/>
          <w:color w:val="000000" w:themeColor="text1"/>
        </w:rPr>
        <w:t>z</w:t>
      </w:r>
      <w:r w:rsidR="00BD6545" w:rsidRPr="00487F9B">
        <w:rPr>
          <w:rFonts w:asciiTheme="minorHAnsi" w:hAnsiTheme="minorHAnsi" w:cstheme="minorHAnsi"/>
          <w:b/>
          <w:i/>
          <w:color w:val="000000" w:themeColor="text1"/>
        </w:rPr>
        <w:t>měna zemědělské politiky v oblasti podpory pěstování energetických plodin</w:t>
      </w:r>
      <w:r w:rsidR="00BD6545" w:rsidRPr="00EB3806">
        <w:rPr>
          <w:rFonts w:asciiTheme="minorHAnsi" w:hAnsiTheme="minorHAnsi" w:cstheme="minorHAnsi"/>
          <w:b/>
          <w:color w:val="000000" w:themeColor="text1"/>
        </w:rPr>
        <w:t>“ se</w:t>
      </w:r>
      <w:r w:rsidR="00E952A2">
        <w:rPr>
          <w:rFonts w:asciiTheme="minorHAnsi" w:hAnsiTheme="minorHAnsi" w:cstheme="minorHAnsi"/>
          <w:b/>
          <w:color w:val="000000" w:themeColor="text1"/>
        </w:rPr>
        <w:t xml:space="preserve"> zřejmě</w:t>
      </w:r>
      <w:r w:rsidR="00BD6545" w:rsidRPr="00EB3806">
        <w:rPr>
          <w:rFonts w:asciiTheme="minorHAnsi" w:hAnsiTheme="minorHAnsi" w:cstheme="minorHAnsi"/>
          <w:b/>
          <w:color w:val="000000" w:themeColor="text1"/>
        </w:rPr>
        <w:t xml:space="preserve"> do roku 2022</w:t>
      </w:r>
      <w:r w:rsidR="00EB380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B3806" w:rsidRPr="00EB3806">
        <w:rPr>
          <w:rFonts w:asciiTheme="minorHAnsi" w:hAnsiTheme="minorHAnsi" w:cstheme="minorHAnsi"/>
          <w:b/>
          <w:color w:val="000000" w:themeColor="text1"/>
        </w:rPr>
        <w:t>za stávající situace</w:t>
      </w:r>
      <w:r w:rsidR="00BD6545" w:rsidRPr="00EB3806">
        <w:rPr>
          <w:rFonts w:asciiTheme="minorHAnsi" w:hAnsiTheme="minorHAnsi" w:cstheme="minorHAnsi"/>
          <w:b/>
          <w:color w:val="000000" w:themeColor="text1"/>
        </w:rPr>
        <w:t xml:space="preserve"> nepodaří naplnit. </w:t>
      </w:r>
    </w:p>
    <w:p w14:paraId="25188029" w14:textId="77777777" w:rsidR="007D6654" w:rsidRDefault="007D6654" w:rsidP="007D6654">
      <w:pPr>
        <w:spacing w:before="0"/>
        <w:rPr>
          <w:rFonts w:asciiTheme="minorHAnsi" w:hAnsiTheme="minorHAnsi" w:cstheme="minorHAnsi"/>
        </w:rPr>
      </w:pPr>
    </w:p>
    <w:p w14:paraId="420F64D3" w14:textId="0FF316B0" w:rsidR="00103D44" w:rsidRDefault="00BD6545" w:rsidP="007D6654">
      <w:p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 ověřil</w:t>
      </w:r>
      <w:r w:rsidRPr="00CF541F">
        <w:rPr>
          <w:rFonts w:asciiTheme="minorHAnsi" w:hAnsiTheme="minorHAnsi" w:cstheme="minorHAnsi"/>
        </w:rPr>
        <w:t xml:space="preserve"> na datech </w:t>
      </w:r>
      <w:r>
        <w:rPr>
          <w:rFonts w:asciiTheme="minorHAnsi" w:hAnsiTheme="minorHAnsi" w:cstheme="minorHAnsi"/>
        </w:rPr>
        <w:t>Českého statistického úřadu</w:t>
      </w:r>
      <w:r w:rsidRPr="00CF541F">
        <w:rPr>
          <w:rFonts w:asciiTheme="minorHAnsi" w:hAnsiTheme="minorHAnsi" w:cstheme="minorHAnsi"/>
        </w:rPr>
        <w:t xml:space="preserve"> vývoj využití osevních ploch pro některé technické plodiny, konkrétně pro řepku a kukuřici (součet ploch kukuřice na zrno a kukuřice na siláž)</w:t>
      </w:r>
      <w:r w:rsidR="004F3886">
        <w:rPr>
          <w:rFonts w:asciiTheme="minorHAnsi" w:hAnsiTheme="minorHAnsi" w:cstheme="minorHAnsi"/>
        </w:rPr>
        <w:t>,</w:t>
      </w:r>
      <w:r w:rsidRPr="00CF541F">
        <w:rPr>
          <w:rFonts w:asciiTheme="minorHAnsi" w:hAnsiTheme="minorHAnsi" w:cstheme="minorHAnsi"/>
        </w:rPr>
        <w:t xml:space="preserve"> a pro srovnání také vývoj osevních ploch</w:t>
      </w:r>
      <w:r w:rsidR="00DC54A9">
        <w:rPr>
          <w:rFonts w:asciiTheme="minorHAnsi" w:hAnsiTheme="minorHAnsi" w:cstheme="minorHAnsi"/>
        </w:rPr>
        <w:t xml:space="preserve"> pšenice,</w:t>
      </w:r>
      <w:r w:rsidRPr="00CF541F">
        <w:rPr>
          <w:rFonts w:asciiTheme="minorHAnsi" w:hAnsiTheme="minorHAnsi" w:cstheme="minorHAnsi"/>
        </w:rPr>
        <w:t xml:space="preserve"> ječmene</w:t>
      </w:r>
      <w:r w:rsidR="00DC54A9">
        <w:rPr>
          <w:rFonts w:asciiTheme="minorHAnsi" w:hAnsiTheme="minorHAnsi" w:cstheme="minorHAnsi"/>
        </w:rPr>
        <w:t>, víceletých pícnin a</w:t>
      </w:r>
      <w:r>
        <w:rPr>
          <w:rFonts w:asciiTheme="minorHAnsi" w:hAnsiTheme="minorHAnsi" w:cstheme="minorHAnsi"/>
        </w:rPr>
        <w:t> </w:t>
      </w:r>
      <w:r w:rsidR="00DC54A9">
        <w:rPr>
          <w:rFonts w:asciiTheme="minorHAnsi" w:hAnsiTheme="minorHAnsi" w:cstheme="minorHAnsi"/>
        </w:rPr>
        <w:t>brambor</w:t>
      </w:r>
      <w:r w:rsidRPr="00CF541F">
        <w:rPr>
          <w:rFonts w:asciiTheme="minorHAnsi" w:hAnsiTheme="minorHAnsi" w:cstheme="minorHAnsi"/>
        </w:rPr>
        <w:t>, viz graf č</w:t>
      </w:r>
      <w:r w:rsidRPr="00E0268F">
        <w:rPr>
          <w:rFonts w:asciiTheme="minorHAnsi" w:hAnsiTheme="minorHAnsi" w:cstheme="minorHAnsi"/>
        </w:rPr>
        <w:t>. 2.</w:t>
      </w:r>
    </w:p>
    <w:p w14:paraId="0A75FC8F" w14:textId="77777777" w:rsidR="00A64389" w:rsidRDefault="00A64389" w:rsidP="007D6654">
      <w:pPr>
        <w:spacing w:before="0"/>
        <w:rPr>
          <w:rFonts w:asciiTheme="minorHAnsi" w:hAnsiTheme="minorHAnsi" w:cstheme="minorHAnsi"/>
        </w:rPr>
      </w:pPr>
    </w:p>
    <w:p w14:paraId="3DE82F52" w14:textId="0403658C" w:rsidR="00BD6545" w:rsidRPr="00505118" w:rsidRDefault="001177BE" w:rsidP="007D6654">
      <w:pPr>
        <w:keepNext/>
        <w:spacing w:before="0"/>
        <w:rPr>
          <w:rFonts w:asciiTheme="minorHAnsi" w:hAnsiTheme="minorHAnsi" w:cstheme="minorHAnsi"/>
          <w:b/>
        </w:rPr>
      </w:pPr>
      <w:r w:rsidRPr="00505118">
        <w:rPr>
          <w:rFonts w:asciiTheme="minorHAnsi" w:hAnsiTheme="minorHAnsi" w:cstheme="minorHAnsi"/>
          <w:b/>
        </w:rPr>
        <w:t>G</w:t>
      </w:r>
      <w:r w:rsidR="00BD6545" w:rsidRPr="00505118">
        <w:rPr>
          <w:rFonts w:asciiTheme="minorHAnsi" w:hAnsiTheme="minorHAnsi" w:cstheme="minorHAnsi"/>
          <w:b/>
        </w:rPr>
        <w:t>raf č. 2</w:t>
      </w:r>
      <w:r w:rsidR="004F3886">
        <w:rPr>
          <w:rFonts w:asciiTheme="minorHAnsi" w:hAnsiTheme="minorHAnsi" w:cstheme="minorHAnsi"/>
          <w:b/>
        </w:rPr>
        <w:t>:</w:t>
      </w:r>
      <w:r w:rsidR="00BD6545" w:rsidRPr="00505118">
        <w:rPr>
          <w:rFonts w:asciiTheme="minorHAnsi" w:hAnsiTheme="minorHAnsi" w:cstheme="minorHAnsi"/>
          <w:b/>
        </w:rPr>
        <w:t xml:space="preserve"> Vývoj podílu některých plodin na celkové osevní ploše </w:t>
      </w:r>
      <w:r w:rsidR="00BB38B6" w:rsidRPr="00505118">
        <w:rPr>
          <w:rFonts w:asciiTheme="minorHAnsi" w:hAnsiTheme="minorHAnsi" w:cstheme="minorHAnsi"/>
          <w:b/>
        </w:rPr>
        <w:t>v ČR</w:t>
      </w:r>
    </w:p>
    <w:p w14:paraId="5CF88D45" w14:textId="1ACD2D69" w:rsidR="00C06168" w:rsidRDefault="007A1DC5" w:rsidP="00C10864">
      <w:pPr>
        <w:keepNext/>
        <w:rPr>
          <w:rFonts w:asciiTheme="minorHAnsi" w:hAnsiTheme="minorHAnsi" w:cstheme="minorHAnsi"/>
        </w:rPr>
      </w:pPr>
      <w:r>
        <w:rPr>
          <w:noProof/>
          <w:lang w:eastAsia="cs-CZ"/>
        </w:rPr>
        <w:drawing>
          <wp:inline distT="0" distB="0" distL="0" distR="0" wp14:anchorId="4C53C506" wp14:editId="2CA7D12A">
            <wp:extent cx="5724525" cy="3195955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34AA80" w14:textId="7FABCDD1" w:rsidR="00C06168" w:rsidRPr="007D6654" w:rsidRDefault="00C06168" w:rsidP="007D6654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7D6654">
        <w:rPr>
          <w:rFonts w:asciiTheme="minorHAnsi" w:hAnsiTheme="minorHAnsi" w:cstheme="minorHAnsi"/>
          <w:b/>
          <w:sz w:val="20"/>
          <w:szCs w:val="20"/>
        </w:rPr>
        <w:t>Zdroj:</w:t>
      </w:r>
      <w:r w:rsidRPr="007D6654">
        <w:rPr>
          <w:rFonts w:asciiTheme="minorHAnsi" w:hAnsiTheme="minorHAnsi" w:cstheme="minorHAnsi"/>
          <w:sz w:val="20"/>
          <w:szCs w:val="20"/>
        </w:rPr>
        <w:t xml:space="preserve"> </w:t>
      </w:r>
      <w:r w:rsidR="004F3886">
        <w:rPr>
          <w:rFonts w:asciiTheme="minorHAnsi" w:hAnsiTheme="minorHAnsi" w:cstheme="minorHAnsi"/>
          <w:sz w:val="20"/>
          <w:szCs w:val="20"/>
        </w:rPr>
        <w:t>vy</w:t>
      </w:r>
      <w:r w:rsidRPr="007D6654">
        <w:rPr>
          <w:rFonts w:asciiTheme="minorHAnsi" w:hAnsiTheme="minorHAnsi" w:cstheme="minorHAnsi"/>
          <w:sz w:val="20"/>
          <w:szCs w:val="20"/>
        </w:rPr>
        <w:t>pracov</w:t>
      </w:r>
      <w:r w:rsidR="004F3886">
        <w:rPr>
          <w:rFonts w:asciiTheme="minorHAnsi" w:hAnsiTheme="minorHAnsi" w:cstheme="minorHAnsi"/>
          <w:sz w:val="20"/>
          <w:szCs w:val="20"/>
        </w:rPr>
        <w:t>al</w:t>
      </w:r>
      <w:r w:rsidRPr="007D6654">
        <w:rPr>
          <w:rFonts w:asciiTheme="minorHAnsi" w:hAnsiTheme="minorHAnsi" w:cstheme="minorHAnsi"/>
          <w:sz w:val="20"/>
          <w:szCs w:val="20"/>
        </w:rPr>
        <w:t xml:space="preserve"> NKÚ na základě dat ČSÚ.</w:t>
      </w:r>
    </w:p>
    <w:p w14:paraId="0245C5B3" w14:textId="77777777" w:rsidR="007D6654" w:rsidRDefault="007D6654" w:rsidP="007D6654">
      <w:pPr>
        <w:spacing w:before="0"/>
        <w:rPr>
          <w:rFonts w:asciiTheme="minorHAnsi" w:hAnsiTheme="minorHAnsi" w:cstheme="minorHAnsi"/>
        </w:rPr>
      </w:pPr>
    </w:p>
    <w:p w14:paraId="464F5966" w14:textId="0F90D20B" w:rsidR="00BD6545" w:rsidRPr="00342411" w:rsidRDefault="00BD6545" w:rsidP="007D6654">
      <w:pPr>
        <w:spacing w:before="0"/>
        <w:rPr>
          <w:rFonts w:asciiTheme="minorHAnsi" w:hAnsiTheme="minorHAnsi" w:cstheme="minorHAnsi"/>
          <w:b/>
        </w:rPr>
      </w:pPr>
      <w:r w:rsidRPr="00734780">
        <w:rPr>
          <w:rFonts w:asciiTheme="minorHAnsi" w:hAnsiTheme="minorHAnsi" w:cstheme="minorHAnsi"/>
        </w:rPr>
        <w:t xml:space="preserve">Z grafu č. </w:t>
      </w:r>
      <w:r>
        <w:rPr>
          <w:rFonts w:asciiTheme="minorHAnsi" w:hAnsiTheme="minorHAnsi" w:cstheme="minorHAnsi"/>
        </w:rPr>
        <w:t>2</w:t>
      </w:r>
      <w:r w:rsidRPr="00734780">
        <w:rPr>
          <w:rFonts w:asciiTheme="minorHAnsi" w:hAnsiTheme="minorHAnsi" w:cstheme="minorHAnsi"/>
        </w:rPr>
        <w:t xml:space="preserve">  je patrné, že </w:t>
      </w:r>
      <w:r w:rsidR="004F3886" w:rsidRPr="00734780">
        <w:rPr>
          <w:rFonts w:asciiTheme="minorHAnsi" w:hAnsiTheme="minorHAnsi" w:cstheme="minorHAnsi"/>
        </w:rPr>
        <w:t xml:space="preserve">tradičně </w:t>
      </w:r>
      <w:r w:rsidRPr="00734780">
        <w:rPr>
          <w:rFonts w:asciiTheme="minorHAnsi" w:hAnsiTheme="minorHAnsi" w:cstheme="minorHAnsi"/>
        </w:rPr>
        <w:t>nejvíce se v České republice pěstuje pšenice, její</w:t>
      </w:r>
      <w:r w:rsidR="00103D44">
        <w:rPr>
          <w:rFonts w:asciiTheme="minorHAnsi" w:hAnsiTheme="minorHAnsi" w:cstheme="minorHAnsi"/>
        </w:rPr>
        <w:t>ž</w:t>
      </w:r>
      <w:r w:rsidRPr="00734780">
        <w:rPr>
          <w:rFonts w:asciiTheme="minorHAnsi" w:hAnsiTheme="minorHAnsi" w:cstheme="minorHAnsi"/>
        </w:rPr>
        <w:t xml:space="preserve"> podíl činil v roce 1980 cca 24 % celkové osevní plochy, od roku 2004 se podíl pšenice pohybuje v rozmezí </w:t>
      </w:r>
      <w:r w:rsidRPr="00734780">
        <w:rPr>
          <w:rFonts w:asciiTheme="minorHAnsi" w:hAnsiTheme="minorHAnsi" w:cstheme="minorHAnsi"/>
        </w:rPr>
        <w:lastRenderedPageBreak/>
        <w:t>30</w:t>
      </w:r>
      <w:r w:rsidR="00505118">
        <w:rPr>
          <w:rFonts w:asciiTheme="minorHAnsi" w:hAnsiTheme="minorHAnsi" w:cstheme="minorHAnsi"/>
        </w:rPr>
        <w:t>–</w:t>
      </w:r>
      <w:r w:rsidRPr="00734780">
        <w:rPr>
          <w:rFonts w:asciiTheme="minorHAnsi" w:hAnsiTheme="minorHAnsi" w:cstheme="minorHAnsi"/>
        </w:rPr>
        <w:t>34 %. Zhruba od roku 1990 se ovšem prudce zvyšuje podíl řepky na celkové osevní ploše</w:t>
      </w:r>
      <w:r>
        <w:rPr>
          <w:rFonts w:asciiTheme="minorHAnsi" w:hAnsiTheme="minorHAnsi" w:cstheme="minorHAnsi"/>
        </w:rPr>
        <w:t>,</w:t>
      </w:r>
      <w:r w:rsidRPr="00734780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 </w:t>
      </w:r>
      <w:r w:rsidRPr="00734780">
        <w:rPr>
          <w:rFonts w:asciiTheme="minorHAnsi" w:hAnsiTheme="minorHAnsi" w:cstheme="minorHAnsi"/>
        </w:rPr>
        <w:t>tím je spojen pokles některých jiných dříve tradičních plodin</w:t>
      </w:r>
      <w:r w:rsidR="004F3886">
        <w:rPr>
          <w:rFonts w:asciiTheme="minorHAnsi" w:hAnsiTheme="minorHAnsi" w:cstheme="minorHAnsi"/>
        </w:rPr>
        <w:t>,</w:t>
      </w:r>
      <w:r w:rsidRPr="00734780">
        <w:rPr>
          <w:rFonts w:asciiTheme="minorHAnsi" w:hAnsiTheme="minorHAnsi" w:cstheme="minorHAnsi"/>
        </w:rPr>
        <w:t xml:space="preserve"> jako </w:t>
      </w:r>
      <w:r w:rsidR="004F3886">
        <w:rPr>
          <w:rFonts w:asciiTheme="minorHAnsi" w:hAnsiTheme="minorHAnsi" w:cstheme="minorHAnsi"/>
        </w:rPr>
        <w:t>jsou</w:t>
      </w:r>
      <w:r w:rsidRPr="00734780">
        <w:rPr>
          <w:rFonts w:asciiTheme="minorHAnsi" w:hAnsiTheme="minorHAnsi" w:cstheme="minorHAnsi"/>
        </w:rPr>
        <w:t xml:space="preserve"> ječmen </w:t>
      </w:r>
      <w:r w:rsidR="004F3886">
        <w:rPr>
          <w:rFonts w:asciiTheme="minorHAnsi" w:hAnsiTheme="minorHAnsi" w:cstheme="minorHAnsi"/>
        </w:rPr>
        <w:t>a </w:t>
      </w:r>
      <w:r w:rsidRPr="00734780">
        <w:rPr>
          <w:rFonts w:asciiTheme="minorHAnsi" w:hAnsiTheme="minorHAnsi" w:cstheme="minorHAnsi"/>
        </w:rPr>
        <w:t xml:space="preserve">víceleté pícniny. Před rokem 1990 podíl řepky činil </w:t>
      </w:r>
      <w:r w:rsidR="00342411">
        <w:rPr>
          <w:rFonts w:asciiTheme="minorHAnsi" w:hAnsiTheme="minorHAnsi" w:cstheme="minorHAnsi"/>
        </w:rPr>
        <w:t>3,21</w:t>
      </w:r>
      <w:r w:rsidRPr="00734780">
        <w:rPr>
          <w:rFonts w:asciiTheme="minorHAnsi" w:hAnsiTheme="minorHAnsi" w:cstheme="minorHAnsi"/>
        </w:rPr>
        <w:t xml:space="preserve"> %</w:t>
      </w:r>
      <w:r w:rsidR="00342411">
        <w:rPr>
          <w:rFonts w:asciiTheme="minorHAnsi" w:hAnsiTheme="minorHAnsi" w:cstheme="minorHAnsi"/>
        </w:rPr>
        <w:t xml:space="preserve">. </w:t>
      </w:r>
      <w:r w:rsidRPr="00734780">
        <w:rPr>
          <w:rFonts w:asciiTheme="minorHAnsi" w:hAnsiTheme="minorHAnsi" w:cstheme="minorHAnsi"/>
        </w:rPr>
        <w:t>V roce 2018 by</w:t>
      </w:r>
      <w:r w:rsidR="007F6AB1">
        <w:rPr>
          <w:rFonts w:asciiTheme="minorHAnsi" w:hAnsiTheme="minorHAnsi" w:cstheme="minorHAnsi"/>
        </w:rPr>
        <w:t>l tento podíl již ve výši 16,73 </w:t>
      </w:r>
      <w:r w:rsidRPr="00734780">
        <w:rPr>
          <w:rFonts w:asciiTheme="minorHAnsi" w:hAnsiTheme="minorHAnsi" w:cstheme="minorHAnsi"/>
        </w:rPr>
        <w:t xml:space="preserve">%. Další hojně pěstovanou energetickou plodinou </w:t>
      </w:r>
      <w:r w:rsidR="007F6AB1">
        <w:rPr>
          <w:rFonts w:asciiTheme="minorHAnsi" w:hAnsiTheme="minorHAnsi" w:cstheme="minorHAnsi"/>
        </w:rPr>
        <w:t>je kukuřice, jejíž podíl také v </w:t>
      </w:r>
      <w:r w:rsidRPr="00734780">
        <w:rPr>
          <w:rFonts w:asciiTheme="minorHAnsi" w:hAnsiTheme="minorHAnsi" w:cstheme="minorHAnsi"/>
        </w:rPr>
        <w:t xml:space="preserve">posledních letech vzrostl, ale nikoliv tak prudce jako u řepky, v roce 2018 podíl plochy kukuřice (součet na zrno i na siláž) na celkové osevní ploše činil 12,43 %. </w:t>
      </w:r>
      <w:r w:rsidRPr="00342411">
        <w:rPr>
          <w:rFonts w:asciiTheme="minorHAnsi" w:hAnsiTheme="minorHAnsi" w:cstheme="minorHAnsi"/>
          <w:b/>
        </w:rPr>
        <w:t>Součet podílů těchto dvou energetických plodin</w:t>
      </w:r>
      <w:r w:rsidR="00BB38B6" w:rsidRPr="00342411">
        <w:rPr>
          <w:rFonts w:asciiTheme="minorHAnsi" w:hAnsiTheme="minorHAnsi" w:cstheme="minorHAnsi"/>
          <w:b/>
        </w:rPr>
        <w:t xml:space="preserve"> (řepka, kukuřice)</w:t>
      </w:r>
      <w:r w:rsidRPr="00342411">
        <w:rPr>
          <w:rFonts w:asciiTheme="minorHAnsi" w:hAnsiTheme="minorHAnsi" w:cstheme="minorHAnsi"/>
          <w:b/>
        </w:rPr>
        <w:t xml:space="preserve"> v roce 2018 byl 29,17 % z celkové osevní plochy, čímž se energetické plodiny staly velmi hojně zastoupenou skupinou plodin</w:t>
      </w:r>
      <w:r w:rsidR="00103D44" w:rsidRPr="00342411">
        <w:rPr>
          <w:rFonts w:asciiTheme="minorHAnsi" w:hAnsiTheme="minorHAnsi" w:cstheme="minorHAnsi"/>
          <w:b/>
        </w:rPr>
        <w:t xml:space="preserve"> pěstovaných</w:t>
      </w:r>
      <w:r w:rsidR="007F6AB1">
        <w:rPr>
          <w:rFonts w:asciiTheme="minorHAnsi" w:hAnsiTheme="minorHAnsi" w:cstheme="minorHAnsi"/>
          <w:b/>
        </w:rPr>
        <w:t xml:space="preserve"> v </w:t>
      </w:r>
      <w:r w:rsidRPr="00342411">
        <w:rPr>
          <w:rFonts w:asciiTheme="minorHAnsi" w:hAnsiTheme="minorHAnsi" w:cstheme="minorHAnsi"/>
          <w:b/>
        </w:rPr>
        <w:t>ČR.</w:t>
      </w:r>
    </w:p>
    <w:p w14:paraId="19AE178E" w14:textId="7C75BE9C" w:rsidR="005F091A" w:rsidRDefault="005F091A" w:rsidP="007D6654">
      <w:pPr>
        <w:spacing w:before="0"/>
        <w:rPr>
          <w:rFonts w:asciiTheme="minorHAnsi" w:hAnsiTheme="minorHAnsi" w:cstheme="minorHAnsi"/>
        </w:rPr>
      </w:pPr>
    </w:p>
    <w:p w14:paraId="0849A542" w14:textId="0966B6D7" w:rsidR="009D3796" w:rsidRPr="007D6654" w:rsidRDefault="007D6654" w:rsidP="007D6654">
      <w:pPr>
        <w:keepNext/>
        <w:spacing w:before="0"/>
        <w:outlineLvl w:val="0"/>
        <w:rPr>
          <w:b/>
        </w:rPr>
      </w:pPr>
      <w:r>
        <w:rPr>
          <w:b/>
        </w:rPr>
        <w:t xml:space="preserve">4. </w:t>
      </w:r>
      <w:r w:rsidR="009D3796" w:rsidRPr="007D6654">
        <w:rPr>
          <w:b/>
        </w:rPr>
        <w:t>Absence konkrétních a měřitelných cílů</w:t>
      </w:r>
      <w:r w:rsidR="00963EF1" w:rsidRPr="007D6654">
        <w:rPr>
          <w:b/>
        </w:rPr>
        <w:t xml:space="preserve"> a ukazatelů</w:t>
      </w:r>
      <w:r w:rsidR="009D3796" w:rsidRPr="007D6654">
        <w:rPr>
          <w:b/>
        </w:rPr>
        <w:t xml:space="preserve"> pro oblast sucha</w:t>
      </w:r>
    </w:p>
    <w:p w14:paraId="08AAF86C" w14:textId="77777777" w:rsidR="007D6654" w:rsidRDefault="007D6654" w:rsidP="007D6654">
      <w:pPr>
        <w:keepNext/>
        <w:spacing w:before="0"/>
      </w:pPr>
    </w:p>
    <w:p w14:paraId="216F8AF8" w14:textId="0D810F51" w:rsidR="00F054B8" w:rsidRDefault="00F054B8" w:rsidP="00A62E62">
      <w:pPr>
        <w:spacing w:before="0"/>
      </w:pPr>
      <w:r>
        <w:t>Nastavení konkrétních cílů a zároveň měřitelných ukazatelů, s jejichž pomocí lze vyhodnotit míru dosažení cíle, je nezbytné pro správné vyhodnocení úč</w:t>
      </w:r>
      <w:r w:rsidR="00BB38B6">
        <w:t>innosti jednotlivých opatření. N</w:t>
      </w:r>
      <w:r>
        <w:t>esprávné nastavení</w:t>
      </w:r>
      <w:r w:rsidR="004F3886">
        <w:t>,</w:t>
      </w:r>
      <w:r>
        <w:t xml:space="preserve"> nebo dokonce absence</w:t>
      </w:r>
      <w:r w:rsidR="00BB38B6">
        <w:t xml:space="preserve"> cílů a ukazatelů</w:t>
      </w:r>
      <w:r>
        <w:t xml:space="preserve"> </w:t>
      </w:r>
      <w:r w:rsidR="004F3886">
        <w:t>znemožňuje sledování a vyhodnocování</w:t>
      </w:r>
      <w:r>
        <w:t xml:space="preserve">, zda vynaložené peněžní prostředky přinášejí požadovaný efekt. </w:t>
      </w:r>
    </w:p>
    <w:p w14:paraId="4017AB16" w14:textId="77777777" w:rsidR="007D6654" w:rsidRDefault="007D6654" w:rsidP="00A62E62">
      <w:pPr>
        <w:spacing w:before="0"/>
      </w:pPr>
    </w:p>
    <w:p w14:paraId="0C557AF6" w14:textId="54317473" w:rsidR="009D3796" w:rsidRDefault="009D3796" w:rsidP="00A62E62">
      <w:pPr>
        <w:spacing w:before="0"/>
        <w:rPr>
          <w:b/>
        </w:rPr>
      </w:pPr>
      <w:r w:rsidRPr="001E0BBA">
        <w:rPr>
          <w:b/>
        </w:rPr>
        <w:t>Pro</w:t>
      </w:r>
      <w:r w:rsidR="00774FCF">
        <w:rPr>
          <w:b/>
        </w:rPr>
        <w:t xml:space="preserve"> téměř</w:t>
      </w:r>
      <w:r w:rsidRPr="001E0BBA">
        <w:rPr>
          <w:b/>
        </w:rPr>
        <w:t xml:space="preserve"> všechny dotační </w:t>
      </w:r>
      <w:r w:rsidR="002B5612">
        <w:rPr>
          <w:b/>
        </w:rPr>
        <w:t>programy</w:t>
      </w:r>
      <w:r w:rsidRPr="001E0BBA">
        <w:rPr>
          <w:b/>
        </w:rPr>
        <w:t xml:space="preserve"> realizované </w:t>
      </w:r>
      <w:proofErr w:type="spellStart"/>
      <w:r w:rsidRPr="001E0BBA">
        <w:rPr>
          <w:b/>
        </w:rPr>
        <w:t>MZe</w:t>
      </w:r>
      <w:proofErr w:type="spellEnd"/>
      <w:r w:rsidRPr="001E0BBA">
        <w:rPr>
          <w:b/>
        </w:rPr>
        <w:t xml:space="preserve"> a MŽP</w:t>
      </w:r>
      <w:r w:rsidR="00B5602C" w:rsidRPr="001E0BBA">
        <w:rPr>
          <w:b/>
        </w:rPr>
        <w:t xml:space="preserve"> k 31. 12. 2018</w:t>
      </w:r>
      <w:r w:rsidR="001E0BBA" w:rsidRPr="001E0BBA">
        <w:rPr>
          <w:b/>
        </w:rPr>
        <w:t>, které resorty vykazují jako programy realizované z důvodu zmírnění</w:t>
      </w:r>
      <w:r w:rsidR="00B5602C" w:rsidRPr="001E0BBA">
        <w:rPr>
          <w:b/>
        </w:rPr>
        <w:t xml:space="preserve"> </w:t>
      </w:r>
      <w:r w:rsidRPr="001E0BBA">
        <w:rPr>
          <w:b/>
        </w:rPr>
        <w:t>such</w:t>
      </w:r>
      <w:r w:rsidR="001E0BBA" w:rsidRPr="001E0BBA">
        <w:rPr>
          <w:b/>
        </w:rPr>
        <w:t>a</w:t>
      </w:r>
      <w:r w:rsidRPr="001E0BBA">
        <w:rPr>
          <w:b/>
        </w:rPr>
        <w:t xml:space="preserve"> a nedostatk</w:t>
      </w:r>
      <w:r w:rsidR="001E0BBA" w:rsidRPr="001E0BBA">
        <w:rPr>
          <w:b/>
        </w:rPr>
        <w:t>u</w:t>
      </w:r>
      <w:r w:rsidRPr="001E0BBA">
        <w:rPr>
          <w:b/>
        </w:rPr>
        <w:t xml:space="preserve"> vody</w:t>
      </w:r>
      <w:r w:rsidR="00BB38B6">
        <w:rPr>
          <w:b/>
        </w:rPr>
        <w:t>,</w:t>
      </w:r>
      <w:r w:rsidRPr="001E0BBA">
        <w:rPr>
          <w:b/>
        </w:rPr>
        <w:t xml:space="preserve"> platí, že jejich </w:t>
      </w:r>
      <w:r w:rsidR="001F26C3">
        <w:rPr>
          <w:b/>
        </w:rPr>
        <w:t>hlavním</w:t>
      </w:r>
      <w:r w:rsidRPr="001E0BBA">
        <w:rPr>
          <w:b/>
        </w:rPr>
        <w:t xml:space="preserve"> cílem a účelem není řešit problematiku sucha. </w:t>
      </w:r>
      <w:r w:rsidR="007509A1">
        <w:rPr>
          <w:b/>
        </w:rPr>
        <w:t>Tomu odpovídají stanovené cíle a ukazatele</w:t>
      </w:r>
      <w:r w:rsidRPr="001E0BBA">
        <w:rPr>
          <w:b/>
        </w:rPr>
        <w:t>, které slouží k hodnocení nastavených cílů program</w:t>
      </w:r>
      <w:r w:rsidR="004124BA">
        <w:rPr>
          <w:b/>
        </w:rPr>
        <w:t>ů</w:t>
      </w:r>
      <w:r w:rsidRPr="001E0BBA">
        <w:rPr>
          <w:b/>
        </w:rPr>
        <w:t>, nikoli však</w:t>
      </w:r>
      <w:r w:rsidR="007509A1">
        <w:rPr>
          <w:b/>
        </w:rPr>
        <w:t xml:space="preserve"> k hodnocení přínosů v oblasti sucha</w:t>
      </w:r>
      <w:r w:rsidRPr="001E0BBA">
        <w:rPr>
          <w:b/>
        </w:rPr>
        <w:t xml:space="preserve">. Pro oblast sucha vykazované </w:t>
      </w:r>
      <w:r w:rsidR="007509A1">
        <w:rPr>
          <w:b/>
        </w:rPr>
        <w:t>ukazatele</w:t>
      </w:r>
      <w:r w:rsidR="00487F9B">
        <w:rPr>
          <w:b/>
        </w:rPr>
        <w:t xml:space="preserve"> </w:t>
      </w:r>
      <w:r w:rsidRPr="001E0BBA">
        <w:rPr>
          <w:b/>
        </w:rPr>
        <w:t xml:space="preserve">nemají žádnou vypovídající hodnotu. </w:t>
      </w:r>
      <w:r w:rsidR="001E0BBA">
        <w:rPr>
          <w:b/>
        </w:rPr>
        <w:t>Výjimkou je pak několik</w:t>
      </w:r>
      <w:r w:rsidR="007509A1">
        <w:rPr>
          <w:b/>
        </w:rPr>
        <w:t xml:space="preserve"> dotačních</w:t>
      </w:r>
      <w:r w:rsidR="001E0BBA">
        <w:rPr>
          <w:b/>
        </w:rPr>
        <w:t xml:space="preserve"> </w:t>
      </w:r>
      <w:r w:rsidR="002B5612">
        <w:rPr>
          <w:b/>
        </w:rPr>
        <w:t>programů</w:t>
      </w:r>
      <w:r w:rsidR="001E0BBA">
        <w:rPr>
          <w:b/>
        </w:rPr>
        <w:t xml:space="preserve">, kde </w:t>
      </w:r>
      <w:r w:rsidR="007509A1">
        <w:rPr>
          <w:b/>
        </w:rPr>
        <w:t>jsou u</w:t>
      </w:r>
      <w:r w:rsidR="00D870E4">
        <w:rPr>
          <w:b/>
        </w:rPr>
        <w:t>k</w:t>
      </w:r>
      <w:r w:rsidR="007509A1">
        <w:rPr>
          <w:b/>
        </w:rPr>
        <w:t xml:space="preserve">azatele zaměřeny na problematiku </w:t>
      </w:r>
      <w:r w:rsidR="001E0BBA">
        <w:rPr>
          <w:b/>
        </w:rPr>
        <w:t>zadržení vody v krajině, jejichž kladný vliv n</w:t>
      </w:r>
      <w:r w:rsidR="00487F9B">
        <w:rPr>
          <w:b/>
        </w:rPr>
        <w:t>a problematiku sucha</w:t>
      </w:r>
      <w:r w:rsidR="004124BA">
        <w:rPr>
          <w:b/>
        </w:rPr>
        <w:t xml:space="preserve"> ovšem</w:t>
      </w:r>
      <w:r w:rsidR="00487F9B">
        <w:rPr>
          <w:b/>
        </w:rPr>
        <w:t xml:space="preserve"> není </w:t>
      </w:r>
      <w:r w:rsidR="00BB38B6">
        <w:rPr>
          <w:b/>
        </w:rPr>
        <w:t>zcela</w:t>
      </w:r>
      <w:r w:rsidR="00487F9B">
        <w:rPr>
          <w:b/>
        </w:rPr>
        <w:t xml:space="preserve"> jednoznačný</w:t>
      </w:r>
      <w:r w:rsidR="001E0BBA">
        <w:rPr>
          <w:b/>
        </w:rPr>
        <w:t>.</w:t>
      </w:r>
    </w:p>
    <w:p w14:paraId="084D398C" w14:textId="77777777" w:rsidR="004F08CB" w:rsidRPr="007D6654" w:rsidRDefault="004F08CB" w:rsidP="00A62E62">
      <w:pPr>
        <w:spacing w:before="0"/>
      </w:pPr>
    </w:p>
    <w:p w14:paraId="5DBDFF0D" w14:textId="1DBFD374" w:rsidR="00E0268F" w:rsidRPr="007D6654" w:rsidRDefault="007D6654" w:rsidP="007D6654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4.1 </w:t>
      </w:r>
      <w:r w:rsidR="001E0BBA" w:rsidRPr="007D6654">
        <w:rPr>
          <w:rFonts w:asciiTheme="minorHAnsi" w:hAnsiTheme="minorHAnsi" w:cstheme="minorHAnsi"/>
          <w:b/>
        </w:rPr>
        <w:t>D</w:t>
      </w:r>
      <w:r w:rsidR="00E0268F" w:rsidRPr="007D6654">
        <w:rPr>
          <w:rFonts w:asciiTheme="minorHAnsi" w:hAnsiTheme="minorHAnsi" w:cstheme="minorHAnsi"/>
          <w:b/>
        </w:rPr>
        <w:t xml:space="preserve">otační </w:t>
      </w:r>
      <w:r w:rsidR="002B5612" w:rsidRPr="007D6654">
        <w:rPr>
          <w:rFonts w:asciiTheme="minorHAnsi" w:hAnsiTheme="minorHAnsi" w:cstheme="minorHAnsi"/>
          <w:b/>
        </w:rPr>
        <w:t>programy</w:t>
      </w:r>
      <w:r w:rsidR="001E0BBA" w:rsidRPr="007D6654">
        <w:rPr>
          <w:rFonts w:asciiTheme="minorHAnsi" w:hAnsiTheme="minorHAnsi" w:cstheme="minorHAnsi"/>
          <w:b/>
        </w:rPr>
        <w:t xml:space="preserve"> spolufinancované z prostředků EU</w:t>
      </w:r>
    </w:p>
    <w:p w14:paraId="68703DCD" w14:textId="77777777" w:rsidR="007D6654" w:rsidRDefault="007D6654" w:rsidP="007D6654">
      <w:pPr>
        <w:keepNext/>
        <w:spacing w:before="0"/>
        <w:rPr>
          <w:color w:val="auto"/>
        </w:rPr>
      </w:pPr>
    </w:p>
    <w:p w14:paraId="2704D275" w14:textId="33D347B3" w:rsidR="00D2706D" w:rsidRDefault="00D2706D" w:rsidP="00A62E62">
      <w:pPr>
        <w:spacing w:before="0"/>
        <w:rPr>
          <w:color w:val="auto"/>
        </w:rPr>
      </w:pPr>
      <w:proofErr w:type="spellStart"/>
      <w:r>
        <w:rPr>
          <w:color w:val="auto"/>
        </w:rPr>
        <w:t>MZe</w:t>
      </w:r>
      <w:proofErr w:type="spellEnd"/>
      <w:r>
        <w:rPr>
          <w:color w:val="auto"/>
        </w:rPr>
        <w:t xml:space="preserve"> vykázalo v rámci </w:t>
      </w:r>
      <w:r w:rsidR="00370D2B">
        <w:rPr>
          <w:color w:val="auto"/>
        </w:rPr>
        <w:t>zmírňování negativních dopadů sucha</w:t>
      </w:r>
      <w:r>
        <w:rPr>
          <w:color w:val="auto"/>
        </w:rPr>
        <w:t xml:space="preserve"> celkem </w:t>
      </w:r>
      <w:r w:rsidR="006178D3">
        <w:rPr>
          <w:color w:val="auto"/>
        </w:rPr>
        <w:t>osm</w:t>
      </w:r>
      <w:r w:rsidR="00C444B9">
        <w:rPr>
          <w:color w:val="auto"/>
        </w:rPr>
        <w:t xml:space="preserve"> dotačních titulů spolufinancovaných z prostředků EU, z toho </w:t>
      </w:r>
      <w:r w:rsidR="006178D3">
        <w:rPr>
          <w:color w:val="auto"/>
        </w:rPr>
        <w:t>sedm</w:t>
      </w:r>
      <w:r w:rsidR="00C444B9">
        <w:rPr>
          <w:color w:val="auto"/>
        </w:rPr>
        <w:t xml:space="preserve"> v rámci PRV</w:t>
      </w:r>
      <w:r w:rsidR="00885AC6">
        <w:rPr>
          <w:color w:val="auto"/>
        </w:rPr>
        <w:t xml:space="preserve"> 2014–</w:t>
      </w:r>
      <w:r w:rsidR="006178D3">
        <w:rPr>
          <w:color w:val="auto"/>
        </w:rPr>
        <w:t>2020</w:t>
      </w:r>
      <w:r w:rsidR="00C444B9">
        <w:rPr>
          <w:color w:val="auto"/>
        </w:rPr>
        <w:t xml:space="preserve"> a </w:t>
      </w:r>
      <w:r w:rsidR="006178D3">
        <w:rPr>
          <w:color w:val="auto"/>
        </w:rPr>
        <w:t>jeden</w:t>
      </w:r>
      <w:r w:rsidR="00C444B9">
        <w:rPr>
          <w:color w:val="auto"/>
        </w:rPr>
        <w:t xml:space="preserve"> v rámci OPR</w:t>
      </w:r>
      <w:r w:rsidR="00885AC6">
        <w:rPr>
          <w:color w:val="auto"/>
        </w:rPr>
        <w:t xml:space="preserve"> 2014–</w:t>
      </w:r>
      <w:r w:rsidR="006178D3">
        <w:rPr>
          <w:color w:val="auto"/>
        </w:rPr>
        <w:t>2020</w:t>
      </w:r>
      <w:r w:rsidR="00C444B9">
        <w:rPr>
          <w:color w:val="auto"/>
        </w:rPr>
        <w:t xml:space="preserve">. Finančně nejvýznamnější byly podpory vynakládané na </w:t>
      </w:r>
      <w:proofErr w:type="spellStart"/>
      <w:r w:rsidR="00C444B9">
        <w:rPr>
          <w:color w:val="auto"/>
        </w:rPr>
        <w:t>agroenviron</w:t>
      </w:r>
      <w:proofErr w:type="spellEnd"/>
      <w:r w:rsidR="00AD70BE">
        <w:rPr>
          <w:color w:val="auto"/>
        </w:rPr>
        <w:t>-</w:t>
      </w:r>
      <w:r w:rsidR="00AD70BE">
        <w:rPr>
          <w:color w:val="auto"/>
        </w:rPr>
        <w:br/>
      </w:r>
      <w:r w:rsidR="00C444B9">
        <w:rPr>
          <w:color w:val="auto"/>
        </w:rPr>
        <w:t xml:space="preserve">mentálně-klimatická opatření (8,7 </w:t>
      </w:r>
      <w:r w:rsidR="00AD70BE">
        <w:rPr>
          <w:color w:val="auto"/>
        </w:rPr>
        <w:t>mld.</w:t>
      </w:r>
      <w:r w:rsidR="00C444B9">
        <w:rPr>
          <w:color w:val="auto"/>
        </w:rPr>
        <w:t xml:space="preserve"> Kč), platby pro horské oblasti a jiné oblasti s přírodními nebo jinými zvláštními omezeními (7,1 </w:t>
      </w:r>
      <w:r w:rsidR="00AD70BE">
        <w:rPr>
          <w:color w:val="auto"/>
        </w:rPr>
        <w:t>mld.</w:t>
      </w:r>
      <w:r w:rsidR="00C444B9">
        <w:rPr>
          <w:color w:val="auto"/>
        </w:rPr>
        <w:t xml:space="preserve"> Kč) a ekologické zemědělství (3,5 </w:t>
      </w:r>
      <w:r w:rsidR="00AD70BE">
        <w:rPr>
          <w:color w:val="auto"/>
        </w:rPr>
        <w:t>mld.</w:t>
      </w:r>
      <w:r w:rsidR="00C444B9">
        <w:rPr>
          <w:color w:val="auto"/>
        </w:rPr>
        <w:t xml:space="preserve"> Kč). Tyto tzv. zemědělské podpory </w:t>
      </w:r>
      <w:proofErr w:type="spellStart"/>
      <w:r w:rsidR="00C444B9">
        <w:rPr>
          <w:color w:val="auto"/>
        </w:rPr>
        <w:t>MZe</w:t>
      </w:r>
      <w:proofErr w:type="spellEnd"/>
      <w:r w:rsidR="00C444B9">
        <w:rPr>
          <w:color w:val="auto"/>
        </w:rPr>
        <w:t xml:space="preserve"> vykazovalo nad rámec Koncepce, z celkového objemu 26</w:t>
      </w:r>
      <w:r w:rsidR="00A64389">
        <w:rPr>
          <w:color w:val="auto"/>
        </w:rPr>
        <w:t> </w:t>
      </w:r>
      <w:r w:rsidR="00921756">
        <w:rPr>
          <w:color w:val="auto"/>
        </w:rPr>
        <w:t>mld.</w:t>
      </w:r>
      <w:r w:rsidR="00A64389">
        <w:rPr>
          <w:color w:val="auto"/>
        </w:rPr>
        <w:t> </w:t>
      </w:r>
      <w:r w:rsidR="00C444B9">
        <w:rPr>
          <w:color w:val="auto"/>
        </w:rPr>
        <w:t xml:space="preserve">Kč se jednalo o 21,6 </w:t>
      </w:r>
      <w:r w:rsidR="00AD70BE">
        <w:rPr>
          <w:color w:val="auto"/>
        </w:rPr>
        <w:t>mld.</w:t>
      </w:r>
      <w:r w:rsidR="00C444B9">
        <w:rPr>
          <w:color w:val="auto"/>
        </w:rPr>
        <w:t xml:space="preserve"> Kč</w:t>
      </w:r>
      <w:r w:rsidR="00462920">
        <w:rPr>
          <w:color w:val="auto"/>
        </w:rPr>
        <w:t xml:space="preserve">. </w:t>
      </w:r>
      <w:r w:rsidR="00C444B9">
        <w:rPr>
          <w:color w:val="auto"/>
        </w:rPr>
        <w:t>Tyto podpory nebyly primárně určeny ke zmírnění dopadů sucha a nedostatku vody, jejich efekt zejména na zemědělské sucho byl nepřímý</w:t>
      </w:r>
      <w:r w:rsidR="006178D3">
        <w:rPr>
          <w:color w:val="auto"/>
        </w:rPr>
        <w:t>.</w:t>
      </w:r>
    </w:p>
    <w:p w14:paraId="73BEE901" w14:textId="77777777" w:rsidR="00AD70BE" w:rsidRDefault="00AD70BE" w:rsidP="00A62E62">
      <w:pPr>
        <w:spacing w:before="0"/>
        <w:rPr>
          <w:color w:val="auto"/>
        </w:rPr>
      </w:pPr>
    </w:p>
    <w:p w14:paraId="74BF8346" w14:textId="189CC560" w:rsidR="006178D3" w:rsidRDefault="006178D3" w:rsidP="00A62E62">
      <w:pPr>
        <w:spacing w:before="0"/>
        <w:rPr>
          <w:color w:val="auto"/>
        </w:rPr>
      </w:pPr>
      <w:r>
        <w:rPr>
          <w:color w:val="auto"/>
        </w:rPr>
        <w:t xml:space="preserve">MŽP vykázalo v rámci bojem se suchem celkem čtyři specifické cíle </w:t>
      </w:r>
      <w:r w:rsidR="00AD70BE">
        <w:rPr>
          <w:color w:val="auto"/>
        </w:rPr>
        <w:t>o</w:t>
      </w:r>
      <w:r>
        <w:rPr>
          <w:color w:val="auto"/>
        </w:rPr>
        <w:t xml:space="preserve">peračního </w:t>
      </w:r>
      <w:r w:rsidR="00885AC6">
        <w:rPr>
          <w:color w:val="auto"/>
        </w:rPr>
        <w:t xml:space="preserve">programu </w:t>
      </w:r>
      <w:r w:rsidR="00885AC6" w:rsidRPr="00B50D1E">
        <w:rPr>
          <w:i/>
          <w:color w:val="auto"/>
        </w:rPr>
        <w:t>Životní prostředí 2014–</w:t>
      </w:r>
      <w:r w:rsidRPr="00B50D1E">
        <w:rPr>
          <w:i/>
          <w:color w:val="auto"/>
        </w:rPr>
        <w:t>2020</w:t>
      </w:r>
      <w:r>
        <w:rPr>
          <w:color w:val="auto"/>
        </w:rPr>
        <w:t>. Podpory na boj se suchem bylo možné čerpat celkem v deseti aktivitách. Finančně nejvýznamnější aktivit</w:t>
      </w:r>
      <w:r w:rsidR="004F08CB">
        <w:rPr>
          <w:color w:val="auto"/>
        </w:rPr>
        <w:t>y</w:t>
      </w:r>
      <w:r>
        <w:rPr>
          <w:color w:val="auto"/>
        </w:rPr>
        <w:t xml:space="preserve"> 1.2.1</w:t>
      </w:r>
      <w:r w:rsidR="004F08CB">
        <w:rPr>
          <w:color w:val="auto"/>
        </w:rPr>
        <w:t xml:space="preserve"> a 1.2.2</w:t>
      </w:r>
      <w:r>
        <w:rPr>
          <w:color w:val="auto"/>
        </w:rPr>
        <w:t xml:space="preserve"> sloužil</w:t>
      </w:r>
      <w:r w:rsidR="004F08CB">
        <w:rPr>
          <w:color w:val="auto"/>
        </w:rPr>
        <w:t>y</w:t>
      </w:r>
      <w:r>
        <w:rPr>
          <w:color w:val="auto"/>
        </w:rPr>
        <w:t xml:space="preserve"> k podpoře výstavby a</w:t>
      </w:r>
      <w:r w:rsidR="00AD70BE">
        <w:rPr>
          <w:color w:val="auto"/>
        </w:rPr>
        <w:t> </w:t>
      </w:r>
      <w:r>
        <w:rPr>
          <w:color w:val="auto"/>
        </w:rPr>
        <w:t>modernizace úpraven vody a zvyšování kvality zdrojů pitné vody</w:t>
      </w:r>
      <w:r w:rsidR="004F08CB">
        <w:rPr>
          <w:color w:val="auto"/>
        </w:rPr>
        <w:t xml:space="preserve"> a výstavbě vodovodů</w:t>
      </w:r>
      <w:r>
        <w:rPr>
          <w:color w:val="auto"/>
        </w:rPr>
        <w:t xml:space="preserve"> (0,8</w:t>
      </w:r>
      <w:r w:rsidR="004F08CB">
        <w:rPr>
          <w:color w:val="auto"/>
        </w:rPr>
        <w:t> </w:t>
      </w:r>
      <w:r w:rsidR="00AD70BE">
        <w:rPr>
          <w:color w:val="auto"/>
        </w:rPr>
        <w:t>mld. </w:t>
      </w:r>
      <w:r>
        <w:rPr>
          <w:color w:val="auto"/>
        </w:rPr>
        <w:t>Kč).</w:t>
      </w:r>
      <w:r w:rsidR="00370D2B">
        <w:rPr>
          <w:color w:val="auto"/>
        </w:rPr>
        <w:t xml:space="preserve"> </w:t>
      </w:r>
    </w:p>
    <w:p w14:paraId="081948C6" w14:textId="77777777" w:rsidR="007D6654" w:rsidRDefault="007D6654" w:rsidP="00A62E62">
      <w:pPr>
        <w:spacing w:before="0"/>
        <w:rPr>
          <w:color w:val="auto"/>
        </w:rPr>
      </w:pPr>
    </w:p>
    <w:p w14:paraId="14B38F40" w14:textId="0C0DCA5F" w:rsidR="00487F9B" w:rsidRPr="00487F9B" w:rsidRDefault="00487F9B" w:rsidP="00A62E62">
      <w:pPr>
        <w:spacing w:before="0"/>
        <w:rPr>
          <w:color w:val="auto"/>
        </w:rPr>
      </w:pPr>
      <w:r w:rsidRPr="00487F9B">
        <w:rPr>
          <w:color w:val="auto"/>
        </w:rPr>
        <w:t xml:space="preserve">Cíle: </w:t>
      </w:r>
    </w:p>
    <w:p w14:paraId="5CEE8B0F" w14:textId="4F237E51" w:rsidR="00E0268F" w:rsidRPr="00103D44" w:rsidRDefault="00E0268F" w:rsidP="00A62E62">
      <w:pPr>
        <w:spacing w:before="0"/>
        <w:rPr>
          <w:b/>
          <w:color w:val="auto"/>
        </w:rPr>
      </w:pPr>
      <w:proofErr w:type="spellStart"/>
      <w:r w:rsidRPr="00103D44">
        <w:rPr>
          <w:b/>
          <w:color w:val="auto"/>
        </w:rPr>
        <w:t>MZe</w:t>
      </w:r>
      <w:proofErr w:type="spellEnd"/>
      <w:r w:rsidRPr="00103D44">
        <w:rPr>
          <w:b/>
          <w:color w:val="auto"/>
        </w:rPr>
        <w:t xml:space="preserve"> ani MŽP nenastavily problematiku</w:t>
      </w:r>
      <w:r w:rsidR="00B5602C" w:rsidRPr="00103D44">
        <w:rPr>
          <w:b/>
          <w:color w:val="auto"/>
        </w:rPr>
        <w:t xml:space="preserve"> řešení</w:t>
      </w:r>
      <w:r w:rsidRPr="00103D44">
        <w:rPr>
          <w:b/>
          <w:color w:val="auto"/>
        </w:rPr>
        <w:t xml:space="preserve"> negativních následků sucha a nedostatku vody jako </w:t>
      </w:r>
      <w:r w:rsidR="001F26C3">
        <w:rPr>
          <w:b/>
          <w:color w:val="auto"/>
        </w:rPr>
        <w:t>hlavní</w:t>
      </w:r>
      <w:r w:rsidRPr="00103D44">
        <w:rPr>
          <w:b/>
          <w:color w:val="auto"/>
        </w:rPr>
        <w:t xml:space="preserve"> cíl jednotlivých dotačních programů. Snižování negativních následků sucha a nedostatku vody je tak pouze jejich</w:t>
      </w:r>
      <w:r w:rsidR="00B5602C" w:rsidRPr="00103D44">
        <w:rPr>
          <w:b/>
          <w:color w:val="auto"/>
        </w:rPr>
        <w:t xml:space="preserve"> případným</w:t>
      </w:r>
      <w:r w:rsidRPr="00103D44">
        <w:rPr>
          <w:b/>
          <w:color w:val="auto"/>
        </w:rPr>
        <w:t xml:space="preserve"> vedlejším efektem.</w:t>
      </w:r>
    </w:p>
    <w:p w14:paraId="4659A986" w14:textId="71FD476E" w:rsidR="00E0268F" w:rsidRPr="00E0268F" w:rsidRDefault="00E0268F" w:rsidP="00A62E62">
      <w:pPr>
        <w:spacing w:before="0"/>
        <w:rPr>
          <w:color w:val="auto"/>
        </w:rPr>
      </w:pPr>
      <w:r w:rsidRPr="00E0268F">
        <w:rPr>
          <w:color w:val="auto"/>
        </w:rPr>
        <w:lastRenderedPageBreak/>
        <w:t xml:space="preserve">Dotační </w:t>
      </w:r>
      <w:r w:rsidR="002B5612">
        <w:rPr>
          <w:color w:val="auto"/>
        </w:rPr>
        <w:t>programy</w:t>
      </w:r>
      <w:r w:rsidRPr="00E0268F">
        <w:rPr>
          <w:color w:val="auto"/>
        </w:rPr>
        <w:t xml:space="preserve"> spolufinancované z evropských zdrojů (PRV, OPR i OPŽP) jsou</w:t>
      </w:r>
      <w:r w:rsidR="0081208A">
        <w:rPr>
          <w:color w:val="auto"/>
        </w:rPr>
        <w:t xml:space="preserve"> koncipov</w:t>
      </w:r>
      <w:r w:rsidR="00AD70BE">
        <w:rPr>
          <w:color w:val="auto"/>
        </w:rPr>
        <w:t>ány</w:t>
      </w:r>
      <w:r w:rsidR="0081208A">
        <w:rPr>
          <w:color w:val="auto"/>
        </w:rPr>
        <w:t xml:space="preserve"> pro</w:t>
      </w:r>
      <w:r w:rsidR="00AD70BE">
        <w:rPr>
          <w:color w:val="auto"/>
        </w:rPr>
        <w:t xml:space="preserve"> </w:t>
      </w:r>
      <w:r w:rsidR="0081208A">
        <w:rPr>
          <w:color w:val="auto"/>
        </w:rPr>
        <w:t>řešení jiných cílů</w:t>
      </w:r>
      <w:r w:rsidRPr="00E0268F">
        <w:rPr>
          <w:color w:val="auto"/>
        </w:rPr>
        <w:t>, než</w:t>
      </w:r>
      <w:r w:rsidR="007509A1">
        <w:rPr>
          <w:color w:val="auto"/>
        </w:rPr>
        <w:t xml:space="preserve"> je</w:t>
      </w:r>
      <w:r w:rsidRPr="00E0268F">
        <w:rPr>
          <w:color w:val="auto"/>
        </w:rPr>
        <w:t xml:space="preserve"> problematika sucha. Zatímco MŽP na doporučení evaluátora zohlednil</w:t>
      </w:r>
      <w:r w:rsidR="001E0BBA">
        <w:rPr>
          <w:color w:val="auto"/>
        </w:rPr>
        <w:t>o</w:t>
      </w:r>
      <w:r w:rsidRPr="00E0268F">
        <w:rPr>
          <w:color w:val="auto"/>
        </w:rPr>
        <w:t xml:space="preserve"> návrhy Koncepce do OPŽP</w:t>
      </w:r>
      <w:r w:rsidR="007509A1">
        <w:rPr>
          <w:color w:val="auto"/>
        </w:rPr>
        <w:t xml:space="preserve"> v rámci aktualizace programového dokumentu</w:t>
      </w:r>
      <w:r w:rsidRPr="00E0268F">
        <w:rPr>
          <w:color w:val="auto"/>
        </w:rPr>
        <w:t>, PRV ani OPR nebyly</w:t>
      </w:r>
      <w:r w:rsidR="001E0BBA">
        <w:rPr>
          <w:color w:val="auto"/>
        </w:rPr>
        <w:t xml:space="preserve"> </w:t>
      </w:r>
      <w:r w:rsidR="001E0BBA" w:rsidRPr="00E0268F">
        <w:rPr>
          <w:color w:val="auto"/>
        </w:rPr>
        <w:t>cíleně</w:t>
      </w:r>
      <w:r w:rsidR="000B3B80">
        <w:rPr>
          <w:color w:val="auto"/>
        </w:rPr>
        <w:t xml:space="preserve"> ze strany </w:t>
      </w:r>
      <w:proofErr w:type="spellStart"/>
      <w:r w:rsidR="000B3B80">
        <w:rPr>
          <w:color w:val="auto"/>
        </w:rPr>
        <w:t>MZe</w:t>
      </w:r>
      <w:proofErr w:type="spellEnd"/>
      <w:r w:rsidR="001E0BBA" w:rsidRPr="00E0268F">
        <w:rPr>
          <w:color w:val="auto"/>
        </w:rPr>
        <w:t xml:space="preserve"> změněny</w:t>
      </w:r>
      <w:r w:rsidRPr="00E0268F">
        <w:rPr>
          <w:color w:val="auto"/>
        </w:rPr>
        <w:t xml:space="preserve"> ve prospěch zmírnění negativních následků sucha.</w:t>
      </w:r>
    </w:p>
    <w:p w14:paraId="35F2CF37" w14:textId="77777777" w:rsidR="007D6654" w:rsidRDefault="007D6654" w:rsidP="00A62E62">
      <w:pPr>
        <w:spacing w:before="0"/>
        <w:rPr>
          <w:color w:val="auto"/>
        </w:rPr>
      </w:pPr>
    </w:p>
    <w:p w14:paraId="4E177E51" w14:textId="4E733CDD" w:rsidR="00487F9B" w:rsidRDefault="007509A1" w:rsidP="00A62E62">
      <w:pPr>
        <w:spacing w:before="0"/>
        <w:rPr>
          <w:color w:val="auto"/>
        </w:rPr>
      </w:pPr>
      <w:r>
        <w:rPr>
          <w:color w:val="auto"/>
        </w:rPr>
        <w:t>Ukazatele</w:t>
      </w:r>
      <w:r w:rsidR="00487F9B">
        <w:rPr>
          <w:color w:val="auto"/>
        </w:rPr>
        <w:t>:</w:t>
      </w:r>
    </w:p>
    <w:p w14:paraId="78C942CE" w14:textId="47CFD22A" w:rsidR="00E0268F" w:rsidRPr="00E0268F" w:rsidRDefault="007509A1" w:rsidP="00A62E62">
      <w:pPr>
        <w:spacing w:before="0"/>
        <w:rPr>
          <w:color w:val="auto"/>
        </w:rPr>
      </w:pPr>
      <w:r>
        <w:rPr>
          <w:color w:val="auto"/>
        </w:rPr>
        <w:t>Ukazatele</w:t>
      </w:r>
      <w:r w:rsidR="001E0BBA">
        <w:rPr>
          <w:color w:val="auto"/>
        </w:rPr>
        <w:t xml:space="preserve">, které sleduje </w:t>
      </w:r>
      <w:proofErr w:type="spellStart"/>
      <w:r w:rsidR="001E0BBA">
        <w:rPr>
          <w:color w:val="auto"/>
        </w:rPr>
        <w:t>MZe</w:t>
      </w:r>
      <w:proofErr w:type="spellEnd"/>
      <w:r w:rsidR="001E0BBA">
        <w:rPr>
          <w:color w:val="auto"/>
        </w:rPr>
        <w:t xml:space="preserve"> a MŽP,</w:t>
      </w:r>
      <w:r w:rsidR="00E0268F" w:rsidRPr="00E0268F">
        <w:rPr>
          <w:color w:val="auto"/>
        </w:rPr>
        <w:t xml:space="preserve"> nejsou primárně zaměřen</w:t>
      </w:r>
      <w:r w:rsidR="00AD70BE">
        <w:rPr>
          <w:color w:val="auto"/>
        </w:rPr>
        <w:t>y</w:t>
      </w:r>
      <w:r w:rsidR="00E0268F" w:rsidRPr="00E0268F">
        <w:rPr>
          <w:color w:val="auto"/>
        </w:rPr>
        <w:t xml:space="preserve"> na účinnost opatření ve vztahu k suchu, jsou nastaven</w:t>
      </w:r>
      <w:r w:rsidR="00AD70BE">
        <w:rPr>
          <w:color w:val="auto"/>
        </w:rPr>
        <w:t>y</w:t>
      </w:r>
      <w:r w:rsidR="00E0268F" w:rsidRPr="00E0268F">
        <w:rPr>
          <w:color w:val="auto"/>
        </w:rPr>
        <w:t xml:space="preserve"> vzhledem k plnění cílů stanovených v jednotlivých </w:t>
      </w:r>
      <w:r>
        <w:rPr>
          <w:color w:val="auto"/>
        </w:rPr>
        <w:t>p</w:t>
      </w:r>
      <w:r w:rsidR="00E0268F" w:rsidRPr="00E0268F">
        <w:rPr>
          <w:color w:val="auto"/>
        </w:rPr>
        <w:t xml:space="preserve">rogramových dokumentech. </w:t>
      </w:r>
      <w:proofErr w:type="spellStart"/>
      <w:r w:rsidR="00F4432C" w:rsidRPr="00DD0E51">
        <w:rPr>
          <w:b/>
          <w:color w:val="auto"/>
        </w:rPr>
        <w:t>MZe</w:t>
      </w:r>
      <w:proofErr w:type="spellEnd"/>
      <w:r w:rsidR="00F4432C" w:rsidRPr="00DD0E51">
        <w:rPr>
          <w:b/>
          <w:color w:val="auto"/>
        </w:rPr>
        <w:t xml:space="preserve"> a MŽP</w:t>
      </w:r>
      <w:r w:rsidR="00E0268F" w:rsidRPr="00D33F45">
        <w:rPr>
          <w:b/>
          <w:color w:val="auto"/>
        </w:rPr>
        <w:t xml:space="preserve"> tak</w:t>
      </w:r>
      <w:r w:rsidR="00D33F45" w:rsidRPr="00D33F45">
        <w:rPr>
          <w:b/>
          <w:color w:val="auto"/>
        </w:rPr>
        <w:t xml:space="preserve"> tedy</w:t>
      </w:r>
      <w:r w:rsidR="00E0268F" w:rsidRPr="00D33F45">
        <w:rPr>
          <w:b/>
          <w:color w:val="auto"/>
        </w:rPr>
        <w:t xml:space="preserve"> nestanovily specifické ukazatel</w:t>
      </w:r>
      <w:r w:rsidR="00903462" w:rsidRPr="00D33F45">
        <w:rPr>
          <w:b/>
          <w:color w:val="auto"/>
        </w:rPr>
        <w:t>e</w:t>
      </w:r>
      <w:r w:rsidR="00E0268F" w:rsidRPr="00D33F45">
        <w:rPr>
          <w:b/>
          <w:color w:val="auto"/>
        </w:rPr>
        <w:t xml:space="preserve"> se zaměřením na problematiku sucha a nedostatek vody.</w:t>
      </w:r>
    </w:p>
    <w:p w14:paraId="6D6D2D0B" w14:textId="77777777" w:rsidR="00A64389" w:rsidRDefault="00A64389" w:rsidP="00A62E62">
      <w:pPr>
        <w:spacing w:before="0"/>
        <w:rPr>
          <w:color w:val="auto"/>
        </w:rPr>
      </w:pPr>
    </w:p>
    <w:p w14:paraId="4A352642" w14:textId="30F2CB47" w:rsidR="00487F9B" w:rsidRDefault="00D33F45" w:rsidP="00A62E62">
      <w:pPr>
        <w:spacing w:before="0"/>
        <w:rPr>
          <w:color w:val="auto"/>
        </w:rPr>
      </w:pPr>
      <w:r>
        <w:rPr>
          <w:color w:val="auto"/>
        </w:rPr>
        <w:t>Hodnocení plnění cílů</w:t>
      </w:r>
      <w:r w:rsidR="00487F9B">
        <w:rPr>
          <w:color w:val="auto"/>
        </w:rPr>
        <w:t>:</w:t>
      </w:r>
    </w:p>
    <w:p w14:paraId="287513C2" w14:textId="496E37D2" w:rsidR="00E0268F" w:rsidRDefault="00E0268F" w:rsidP="00A62E62">
      <w:pPr>
        <w:spacing w:before="0"/>
        <w:rPr>
          <w:color w:val="auto"/>
        </w:rPr>
      </w:pPr>
      <w:proofErr w:type="spellStart"/>
      <w:r w:rsidRPr="00E0268F">
        <w:rPr>
          <w:color w:val="auto"/>
        </w:rPr>
        <w:t>MZe</w:t>
      </w:r>
      <w:proofErr w:type="spellEnd"/>
      <w:r w:rsidRPr="00E0268F">
        <w:rPr>
          <w:color w:val="auto"/>
        </w:rPr>
        <w:t xml:space="preserve"> ani MŽP neprováděl</w:t>
      </w:r>
      <w:r w:rsidR="00903462">
        <w:rPr>
          <w:color w:val="auto"/>
        </w:rPr>
        <w:t>y</w:t>
      </w:r>
      <w:r w:rsidRPr="00E0268F">
        <w:rPr>
          <w:color w:val="auto"/>
        </w:rPr>
        <w:t xml:space="preserve"> sledování či vyhodnocování kvalitativních přínosů programů zařazených do Koncepce určených na zmírňování negativních následků sucha a nedostatku vody. </w:t>
      </w:r>
    </w:p>
    <w:p w14:paraId="246045B6" w14:textId="77777777" w:rsidR="007D6654" w:rsidRPr="00E0268F" w:rsidRDefault="007D6654" w:rsidP="00A62E62">
      <w:pPr>
        <w:spacing w:before="0"/>
        <w:rPr>
          <w:color w:val="auto"/>
        </w:rPr>
      </w:pPr>
    </w:p>
    <w:p w14:paraId="2E83C7DA" w14:textId="6602AF46" w:rsidR="00E0268F" w:rsidRPr="00103D44" w:rsidRDefault="00E0268F" w:rsidP="00A62E62">
      <w:pPr>
        <w:spacing w:before="0"/>
        <w:rPr>
          <w:b/>
          <w:color w:val="auto"/>
        </w:rPr>
      </w:pPr>
      <w:r w:rsidRPr="00103D44">
        <w:rPr>
          <w:b/>
          <w:color w:val="auto"/>
        </w:rPr>
        <w:t xml:space="preserve">U vynaložených peněžních prostředků tak </w:t>
      </w:r>
      <w:proofErr w:type="spellStart"/>
      <w:r w:rsidRPr="00103D44">
        <w:rPr>
          <w:b/>
          <w:color w:val="auto"/>
        </w:rPr>
        <w:t>MZe</w:t>
      </w:r>
      <w:proofErr w:type="spellEnd"/>
      <w:r w:rsidR="00903462" w:rsidRPr="00103D44">
        <w:rPr>
          <w:b/>
          <w:color w:val="auto"/>
        </w:rPr>
        <w:t xml:space="preserve"> a </w:t>
      </w:r>
      <w:r w:rsidRPr="00103D44">
        <w:rPr>
          <w:b/>
          <w:color w:val="auto"/>
        </w:rPr>
        <w:t>MŽP</w:t>
      </w:r>
      <w:r w:rsidR="00903462" w:rsidRPr="00103D44">
        <w:rPr>
          <w:b/>
          <w:color w:val="auto"/>
        </w:rPr>
        <w:t xml:space="preserve"> zpravidla</w:t>
      </w:r>
      <w:r w:rsidRPr="00103D44">
        <w:rPr>
          <w:b/>
          <w:color w:val="auto"/>
        </w:rPr>
        <w:t xml:space="preserve"> nesled</w:t>
      </w:r>
      <w:r w:rsidR="00903462" w:rsidRPr="00103D44">
        <w:rPr>
          <w:b/>
          <w:color w:val="auto"/>
        </w:rPr>
        <w:t>ovaly</w:t>
      </w:r>
      <w:r w:rsidRPr="00103D44">
        <w:rPr>
          <w:b/>
          <w:color w:val="auto"/>
        </w:rPr>
        <w:t xml:space="preserve"> a dále nevyhodnoc</w:t>
      </w:r>
      <w:r w:rsidR="00903462" w:rsidRPr="00103D44">
        <w:rPr>
          <w:b/>
          <w:color w:val="auto"/>
        </w:rPr>
        <w:t>ovaly</w:t>
      </w:r>
      <w:r w:rsidRPr="00103D44">
        <w:rPr>
          <w:b/>
          <w:color w:val="auto"/>
        </w:rPr>
        <w:t>, zda</w:t>
      </w:r>
      <w:r w:rsidR="00AD70BE">
        <w:rPr>
          <w:b/>
          <w:color w:val="auto"/>
        </w:rPr>
        <w:t xml:space="preserve"> </w:t>
      </w:r>
      <w:r w:rsidRPr="00103D44">
        <w:rPr>
          <w:b/>
          <w:color w:val="auto"/>
        </w:rPr>
        <w:t>podpořené projekty m</w:t>
      </w:r>
      <w:r w:rsidR="00903462" w:rsidRPr="00103D44">
        <w:rPr>
          <w:b/>
          <w:color w:val="auto"/>
        </w:rPr>
        <w:t>ěly</w:t>
      </w:r>
      <w:r w:rsidRPr="00103D44">
        <w:rPr>
          <w:b/>
          <w:color w:val="auto"/>
        </w:rPr>
        <w:t xml:space="preserve"> na zmírnění negativních dopadů sucha a nedostatku vody skutečně pozitivní dopad. </w:t>
      </w:r>
      <w:proofErr w:type="spellStart"/>
      <w:r w:rsidR="00D33F45">
        <w:rPr>
          <w:b/>
          <w:color w:val="auto"/>
        </w:rPr>
        <w:t>MZe</w:t>
      </w:r>
      <w:proofErr w:type="spellEnd"/>
      <w:r w:rsidR="00D33F45">
        <w:rPr>
          <w:b/>
          <w:color w:val="auto"/>
        </w:rPr>
        <w:t xml:space="preserve"> a MŽP</w:t>
      </w:r>
      <w:r w:rsidRPr="00103D44">
        <w:rPr>
          <w:b/>
          <w:color w:val="auto"/>
        </w:rPr>
        <w:t xml:space="preserve"> nestanovily takové kvantifikovatelné a měřitelné cíle, na</w:t>
      </w:r>
      <w:r w:rsidR="007D6654">
        <w:rPr>
          <w:b/>
          <w:color w:val="auto"/>
        </w:rPr>
        <w:t xml:space="preserve"> </w:t>
      </w:r>
      <w:r w:rsidR="00AD70BE">
        <w:rPr>
          <w:b/>
          <w:color w:val="auto"/>
        </w:rPr>
        <w:t xml:space="preserve">jejichž </w:t>
      </w:r>
      <w:r w:rsidRPr="00103D44">
        <w:rPr>
          <w:b/>
          <w:color w:val="auto"/>
        </w:rPr>
        <w:t xml:space="preserve">základě by bylo možno objektivně vyhodnotit míru dopadů realizovaných projektů na oblast sucha a nedostatku vody. </w:t>
      </w:r>
    </w:p>
    <w:p w14:paraId="7308C362" w14:textId="433677E7" w:rsidR="00E0268F" w:rsidRDefault="00E0268F" w:rsidP="00A62E62">
      <w:pPr>
        <w:spacing w:before="0"/>
        <w:rPr>
          <w:color w:val="auto"/>
        </w:rPr>
      </w:pPr>
    </w:p>
    <w:p w14:paraId="3AFEB529" w14:textId="24CA4A4E" w:rsidR="00E0268F" w:rsidRPr="007D6654" w:rsidRDefault="006C7174" w:rsidP="00AD70BE">
      <w:pPr>
        <w:keepNext/>
        <w:spacing w:before="0"/>
        <w:outlineLvl w:val="1"/>
        <w:rPr>
          <w:rFonts w:asciiTheme="minorHAnsi" w:hAnsiTheme="minorHAnsi" w:cstheme="minorHAnsi"/>
          <w:b/>
        </w:rPr>
      </w:pPr>
      <w:r w:rsidRPr="007D6654">
        <w:rPr>
          <w:rFonts w:asciiTheme="minorHAnsi" w:hAnsiTheme="minorHAnsi" w:cstheme="minorHAnsi"/>
          <w:b/>
        </w:rPr>
        <w:t xml:space="preserve">4.2 </w:t>
      </w:r>
      <w:r w:rsidR="00E0268F" w:rsidRPr="007D6654">
        <w:rPr>
          <w:rFonts w:asciiTheme="minorHAnsi" w:hAnsiTheme="minorHAnsi" w:cstheme="minorHAnsi"/>
          <w:b/>
        </w:rPr>
        <w:t>Národní dotace</w:t>
      </w:r>
    </w:p>
    <w:p w14:paraId="3C857583" w14:textId="77777777" w:rsidR="001C27D4" w:rsidRDefault="001C27D4" w:rsidP="00AD70BE">
      <w:pPr>
        <w:keepNext/>
        <w:spacing w:before="0"/>
        <w:rPr>
          <w:color w:val="auto"/>
        </w:rPr>
      </w:pPr>
    </w:p>
    <w:p w14:paraId="789AE6FC" w14:textId="4DA186A3" w:rsidR="006178D3" w:rsidRDefault="006178D3" w:rsidP="00A62E62">
      <w:pPr>
        <w:spacing w:before="0"/>
        <w:rPr>
          <w:color w:val="auto"/>
        </w:rPr>
      </w:pPr>
      <w:proofErr w:type="spellStart"/>
      <w:r>
        <w:rPr>
          <w:color w:val="auto"/>
        </w:rPr>
        <w:t>MZe</w:t>
      </w:r>
      <w:proofErr w:type="spellEnd"/>
      <w:r>
        <w:rPr>
          <w:color w:val="auto"/>
        </w:rPr>
        <w:t xml:space="preserve"> vykázalo v rámci </w:t>
      </w:r>
      <w:r w:rsidR="00183E13">
        <w:rPr>
          <w:color w:val="auto"/>
        </w:rPr>
        <w:t>zmírňování negativních dopadů sucha</w:t>
      </w:r>
      <w:r>
        <w:rPr>
          <w:color w:val="auto"/>
        </w:rPr>
        <w:t xml:space="preserve"> celkem 19 dotačních </w:t>
      </w:r>
      <w:r w:rsidR="00F4432C">
        <w:rPr>
          <w:color w:val="auto"/>
        </w:rPr>
        <w:t>programů</w:t>
      </w:r>
      <w:r>
        <w:rPr>
          <w:color w:val="auto"/>
        </w:rPr>
        <w:t xml:space="preserve"> financovaných z národních zdrojů, z toho </w:t>
      </w:r>
      <w:r w:rsidR="00740142">
        <w:rPr>
          <w:color w:val="auto"/>
        </w:rPr>
        <w:t>pět</w:t>
      </w:r>
      <w:r>
        <w:rPr>
          <w:color w:val="auto"/>
        </w:rPr>
        <w:t xml:space="preserve"> </w:t>
      </w:r>
      <w:r w:rsidR="00F4432C">
        <w:rPr>
          <w:color w:val="auto"/>
        </w:rPr>
        <w:t>programů</w:t>
      </w:r>
      <w:r>
        <w:rPr>
          <w:color w:val="auto"/>
        </w:rPr>
        <w:t xml:space="preserve"> nebylo k 31. 12. 2018 realizováno a</w:t>
      </w:r>
      <w:r w:rsidR="00A62E62">
        <w:rPr>
          <w:color w:val="auto"/>
        </w:rPr>
        <w:t> </w:t>
      </w:r>
      <w:r>
        <w:rPr>
          <w:color w:val="auto"/>
        </w:rPr>
        <w:t xml:space="preserve">bylo zde nulové čerpání. Ze 14 realizovaných dotačních </w:t>
      </w:r>
      <w:r w:rsidR="00F4432C">
        <w:rPr>
          <w:color w:val="auto"/>
        </w:rPr>
        <w:t>programů</w:t>
      </w:r>
      <w:r>
        <w:rPr>
          <w:color w:val="auto"/>
        </w:rPr>
        <w:t xml:space="preserve"> by</w:t>
      </w:r>
      <w:r w:rsidR="00F4432C">
        <w:rPr>
          <w:color w:val="auto"/>
        </w:rPr>
        <w:t xml:space="preserve">la v rámci programového financování finančně nejvýznamnější </w:t>
      </w:r>
      <w:r w:rsidR="00F4432C" w:rsidRPr="00A62CBA">
        <w:rPr>
          <w:i/>
          <w:color w:val="auto"/>
        </w:rPr>
        <w:t>Podpora opatření na drobných vodních tocích a malých vodních nádržích</w:t>
      </w:r>
      <w:r w:rsidR="00F4432C">
        <w:rPr>
          <w:color w:val="auto"/>
        </w:rPr>
        <w:t xml:space="preserve"> (1,1 </w:t>
      </w:r>
      <w:r w:rsidR="00AD70BE">
        <w:rPr>
          <w:color w:val="auto"/>
        </w:rPr>
        <w:t>mld.</w:t>
      </w:r>
      <w:r w:rsidR="00F4432C">
        <w:rPr>
          <w:color w:val="auto"/>
        </w:rPr>
        <w:t xml:space="preserve"> Kč)</w:t>
      </w:r>
      <w:r w:rsidR="008C4E47">
        <w:rPr>
          <w:color w:val="auto"/>
        </w:rPr>
        <w:t xml:space="preserve"> a</w:t>
      </w:r>
      <w:r w:rsidR="00F4432C">
        <w:rPr>
          <w:color w:val="auto"/>
        </w:rPr>
        <w:t xml:space="preserve"> </w:t>
      </w:r>
      <w:r w:rsidR="00F4432C" w:rsidRPr="00A62CBA">
        <w:rPr>
          <w:i/>
          <w:color w:val="auto"/>
        </w:rPr>
        <w:t>Podpora výstavby a technického zhodnocení infrastruktury vodovodů a kanalizací II</w:t>
      </w:r>
      <w:r w:rsidR="00F4432C">
        <w:rPr>
          <w:color w:val="auto"/>
        </w:rPr>
        <w:t xml:space="preserve"> (0,6 </w:t>
      </w:r>
      <w:r w:rsidR="00AD70BE">
        <w:rPr>
          <w:color w:val="auto"/>
        </w:rPr>
        <w:t>mld.</w:t>
      </w:r>
      <w:r w:rsidR="00F4432C">
        <w:rPr>
          <w:color w:val="auto"/>
        </w:rPr>
        <w:t xml:space="preserve"> Kč). Mimo programové financování byla ze státního rozpočtu vynaložena</w:t>
      </w:r>
      <w:r w:rsidR="00370D2B">
        <w:rPr>
          <w:color w:val="auto"/>
        </w:rPr>
        <w:t xml:space="preserve"> i značná část prostředků</w:t>
      </w:r>
      <w:r w:rsidR="00F4432C">
        <w:rPr>
          <w:color w:val="auto"/>
        </w:rPr>
        <w:t xml:space="preserve"> na </w:t>
      </w:r>
      <w:r w:rsidR="004350FB">
        <w:rPr>
          <w:color w:val="auto"/>
        </w:rPr>
        <w:t>z</w:t>
      </w:r>
      <w:r w:rsidR="00F4432C" w:rsidRPr="004350FB">
        <w:rPr>
          <w:color w:val="auto"/>
        </w:rPr>
        <w:t>mírnění škod způsobených suchem na zemědělských plodinách</w:t>
      </w:r>
      <w:r w:rsidR="00F4432C">
        <w:rPr>
          <w:color w:val="auto"/>
        </w:rPr>
        <w:t xml:space="preserve">, a to téměř 2,37 </w:t>
      </w:r>
      <w:r w:rsidR="004350FB">
        <w:rPr>
          <w:color w:val="auto"/>
        </w:rPr>
        <w:t>mld.</w:t>
      </w:r>
      <w:r w:rsidR="00F4432C">
        <w:rPr>
          <w:color w:val="auto"/>
        </w:rPr>
        <w:t xml:space="preserve"> Kč.</w:t>
      </w:r>
    </w:p>
    <w:p w14:paraId="1B3D8AD6" w14:textId="77777777" w:rsidR="00A62E62" w:rsidRDefault="00A62E62" w:rsidP="00A62E62">
      <w:pPr>
        <w:spacing w:before="0"/>
        <w:rPr>
          <w:color w:val="auto"/>
        </w:rPr>
      </w:pPr>
    </w:p>
    <w:p w14:paraId="64353E80" w14:textId="19465AF8" w:rsidR="00F4432C" w:rsidRDefault="00F4432C" w:rsidP="00A62E62">
      <w:pPr>
        <w:spacing w:before="0"/>
        <w:rPr>
          <w:color w:val="auto"/>
        </w:rPr>
      </w:pPr>
      <w:r>
        <w:rPr>
          <w:color w:val="auto"/>
        </w:rPr>
        <w:t xml:space="preserve">MŽP vykázalo v rámci bojem se suchem celkem šest dotačních programů financovaných z národních zdrojů. Finančně nejvýznamnější z nich byl </w:t>
      </w:r>
      <w:r w:rsidRPr="00A62CBA">
        <w:rPr>
          <w:i/>
          <w:color w:val="auto"/>
        </w:rPr>
        <w:t>Program péče o krajinu</w:t>
      </w:r>
      <w:r>
        <w:rPr>
          <w:color w:val="auto"/>
        </w:rPr>
        <w:t xml:space="preserve"> (0,13</w:t>
      </w:r>
      <w:r w:rsidR="004350FB">
        <w:rPr>
          <w:color w:val="auto"/>
        </w:rPr>
        <w:t> mld. </w:t>
      </w:r>
      <w:r>
        <w:rPr>
          <w:color w:val="auto"/>
        </w:rPr>
        <w:t>Kč).</w:t>
      </w:r>
    </w:p>
    <w:p w14:paraId="652A978B" w14:textId="77777777" w:rsidR="00A62E62" w:rsidRDefault="00A62E62" w:rsidP="00A62E62">
      <w:pPr>
        <w:spacing w:before="0"/>
        <w:rPr>
          <w:color w:val="auto"/>
        </w:rPr>
      </w:pPr>
    </w:p>
    <w:p w14:paraId="546E8F1D" w14:textId="5D74CEB3" w:rsidR="00487F9B" w:rsidRDefault="00487F9B" w:rsidP="00A62E62">
      <w:pPr>
        <w:spacing w:before="0"/>
        <w:rPr>
          <w:color w:val="auto"/>
        </w:rPr>
      </w:pPr>
      <w:r>
        <w:rPr>
          <w:color w:val="auto"/>
        </w:rPr>
        <w:t>Cíle:</w:t>
      </w:r>
    </w:p>
    <w:p w14:paraId="5878B35F" w14:textId="3B1C95A4" w:rsidR="00E0268F" w:rsidRPr="0081208A" w:rsidRDefault="00E0268F" w:rsidP="00A62E62">
      <w:pPr>
        <w:spacing w:before="0"/>
        <w:rPr>
          <w:b/>
          <w:color w:val="auto"/>
        </w:rPr>
      </w:pPr>
      <w:r w:rsidRPr="00E0268F">
        <w:rPr>
          <w:color w:val="auto"/>
        </w:rPr>
        <w:t xml:space="preserve">Pro národní dotace stanovily </w:t>
      </w:r>
      <w:proofErr w:type="spellStart"/>
      <w:r w:rsidR="00D33F45">
        <w:rPr>
          <w:color w:val="auto"/>
        </w:rPr>
        <w:t>MZe</w:t>
      </w:r>
      <w:proofErr w:type="spellEnd"/>
      <w:r w:rsidR="00D33F45">
        <w:rPr>
          <w:color w:val="auto"/>
        </w:rPr>
        <w:t xml:space="preserve"> a MŽP</w:t>
      </w:r>
      <w:r w:rsidRPr="00E0268F">
        <w:rPr>
          <w:color w:val="auto"/>
        </w:rPr>
        <w:t xml:space="preserve"> většinou pouze obecné cíle spočívající v</w:t>
      </w:r>
      <w:r w:rsidR="001E0BBA">
        <w:rPr>
          <w:color w:val="auto"/>
        </w:rPr>
        <w:t> </w:t>
      </w:r>
      <w:r w:rsidRPr="00E0268F">
        <w:rPr>
          <w:color w:val="auto"/>
        </w:rPr>
        <w:t xml:space="preserve">plnění povinností vyplývajících </w:t>
      </w:r>
      <w:r w:rsidR="00103D44">
        <w:rPr>
          <w:color w:val="auto"/>
        </w:rPr>
        <w:t>ze strategi</w:t>
      </w:r>
      <w:r w:rsidR="00D33F45">
        <w:rPr>
          <w:color w:val="auto"/>
        </w:rPr>
        <w:t>ckých dokumentů</w:t>
      </w:r>
      <w:r w:rsidR="001E0BBA">
        <w:rPr>
          <w:color w:val="auto"/>
        </w:rPr>
        <w:t xml:space="preserve"> a z</w:t>
      </w:r>
      <w:r w:rsidR="00D33F45">
        <w:rPr>
          <w:color w:val="auto"/>
        </w:rPr>
        <w:t> </w:t>
      </w:r>
      <w:r w:rsidR="001E0BBA">
        <w:rPr>
          <w:color w:val="auto"/>
        </w:rPr>
        <w:t>dokumentací</w:t>
      </w:r>
      <w:r w:rsidR="00D33F45">
        <w:rPr>
          <w:color w:val="auto"/>
        </w:rPr>
        <w:t xml:space="preserve"> dotačních</w:t>
      </w:r>
      <w:r w:rsidR="001E0BBA">
        <w:rPr>
          <w:color w:val="auto"/>
        </w:rPr>
        <w:t xml:space="preserve"> programů</w:t>
      </w:r>
      <w:r w:rsidRPr="00E0268F">
        <w:rPr>
          <w:color w:val="auto"/>
        </w:rPr>
        <w:t xml:space="preserve">. </w:t>
      </w:r>
      <w:r w:rsidRPr="0081208A">
        <w:rPr>
          <w:b/>
          <w:color w:val="auto"/>
        </w:rPr>
        <w:t>Z tohoto důvodu</w:t>
      </w:r>
      <w:r w:rsidR="00534A16" w:rsidRPr="0081208A">
        <w:rPr>
          <w:b/>
          <w:color w:val="auto"/>
        </w:rPr>
        <w:t xml:space="preserve"> </w:t>
      </w:r>
      <w:proofErr w:type="spellStart"/>
      <w:r w:rsidR="00534A16" w:rsidRPr="0081208A">
        <w:rPr>
          <w:b/>
          <w:color w:val="auto"/>
        </w:rPr>
        <w:t>MZe</w:t>
      </w:r>
      <w:proofErr w:type="spellEnd"/>
      <w:r w:rsidR="00534A16" w:rsidRPr="0081208A">
        <w:rPr>
          <w:b/>
          <w:color w:val="auto"/>
        </w:rPr>
        <w:t xml:space="preserve"> a MŽP</w:t>
      </w:r>
      <w:r w:rsidRPr="0081208A">
        <w:rPr>
          <w:b/>
          <w:color w:val="auto"/>
        </w:rPr>
        <w:t xml:space="preserve"> nemoh</w:t>
      </w:r>
      <w:r w:rsidR="008E2788" w:rsidRPr="0081208A">
        <w:rPr>
          <w:b/>
          <w:color w:val="auto"/>
        </w:rPr>
        <w:t>ly</w:t>
      </w:r>
      <w:r w:rsidRPr="0081208A">
        <w:rPr>
          <w:b/>
          <w:color w:val="auto"/>
        </w:rPr>
        <w:t xml:space="preserve"> sledovat a vyhodnocovat efektivnost vynaložených finančních prost</w:t>
      </w:r>
      <w:r w:rsidR="008E2788" w:rsidRPr="0081208A">
        <w:rPr>
          <w:b/>
          <w:color w:val="auto"/>
        </w:rPr>
        <w:t>ředků státního rozpočtu</w:t>
      </w:r>
      <w:r w:rsidRPr="0081208A">
        <w:rPr>
          <w:b/>
          <w:color w:val="auto"/>
        </w:rPr>
        <w:t xml:space="preserve"> ve</w:t>
      </w:r>
      <w:r w:rsidR="004350FB">
        <w:rPr>
          <w:b/>
          <w:color w:val="auto"/>
        </w:rPr>
        <w:t xml:space="preserve"> </w:t>
      </w:r>
      <w:r w:rsidRPr="0081208A">
        <w:rPr>
          <w:b/>
          <w:color w:val="auto"/>
        </w:rPr>
        <w:t>vztahu k suchu a nedostatku vody.</w:t>
      </w:r>
    </w:p>
    <w:p w14:paraId="78CA554B" w14:textId="77777777" w:rsidR="00A62E62" w:rsidRDefault="00A62E62" w:rsidP="00A62E62">
      <w:pPr>
        <w:spacing w:before="0"/>
        <w:rPr>
          <w:color w:val="auto"/>
        </w:rPr>
      </w:pPr>
    </w:p>
    <w:p w14:paraId="6AF369BA" w14:textId="449A9170" w:rsidR="00487F9B" w:rsidRDefault="007509A1" w:rsidP="00A62E62">
      <w:pPr>
        <w:spacing w:before="0"/>
        <w:rPr>
          <w:color w:val="auto"/>
        </w:rPr>
      </w:pPr>
      <w:r>
        <w:rPr>
          <w:color w:val="auto"/>
        </w:rPr>
        <w:t>Ukazatele</w:t>
      </w:r>
      <w:r w:rsidR="00487F9B">
        <w:rPr>
          <w:color w:val="auto"/>
        </w:rPr>
        <w:t>:</w:t>
      </w:r>
    </w:p>
    <w:p w14:paraId="2986164F" w14:textId="73BBD5A8" w:rsidR="00E0268F" w:rsidRPr="00E0268F" w:rsidRDefault="007509A1" w:rsidP="00A62E62">
      <w:pPr>
        <w:spacing w:before="0"/>
        <w:rPr>
          <w:color w:val="auto"/>
        </w:rPr>
      </w:pPr>
      <w:r>
        <w:rPr>
          <w:color w:val="auto"/>
        </w:rPr>
        <w:t>Ukazatele</w:t>
      </w:r>
      <w:r w:rsidR="00E0268F" w:rsidRPr="00E0268F">
        <w:rPr>
          <w:color w:val="auto"/>
        </w:rPr>
        <w:t xml:space="preserve"> </w:t>
      </w:r>
      <w:r w:rsidR="008E2788">
        <w:rPr>
          <w:color w:val="auto"/>
        </w:rPr>
        <w:t>byly stanoveny</w:t>
      </w:r>
      <w:r w:rsidR="00E0268F" w:rsidRPr="00E0268F">
        <w:rPr>
          <w:color w:val="auto"/>
        </w:rPr>
        <w:t xml:space="preserve"> ve vazbě na cíle </w:t>
      </w:r>
      <w:r w:rsidR="008E2788">
        <w:rPr>
          <w:color w:val="auto"/>
        </w:rPr>
        <w:t>programů/</w:t>
      </w:r>
      <w:r w:rsidR="00E0268F" w:rsidRPr="00E0268F">
        <w:rPr>
          <w:color w:val="auto"/>
        </w:rPr>
        <w:t>podprogramů, které</w:t>
      </w:r>
      <w:r w:rsidR="008E2788">
        <w:rPr>
          <w:color w:val="auto"/>
        </w:rPr>
        <w:t xml:space="preserve"> však</w:t>
      </w:r>
      <w:r w:rsidR="00E0268F" w:rsidRPr="00E0268F">
        <w:rPr>
          <w:color w:val="auto"/>
        </w:rPr>
        <w:t xml:space="preserve"> ve většině případů ne</w:t>
      </w:r>
      <w:r w:rsidR="008E2788">
        <w:rPr>
          <w:color w:val="auto"/>
        </w:rPr>
        <w:t>byly stanoveny</w:t>
      </w:r>
      <w:r w:rsidR="00E0268F" w:rsidRPr="00E0268F">
        <w:rPr>
          <w:color w:val="auto"/>
        </w:rPr>
        <w:t xml:space="preserve"> ve vazbě na zmírnění negativních následků sucha a nedostatku vody. </w:t>
      </w:r>
      <w:r w:rsidR="00E0268F" w:rsidRPr="0081208A">
        <w:rPr>
          <w:b/>
          <w:color w:val="auto"/>
        </w:rPr>
        <w:t>Re</w:t>
      </w:r>
      <w:r w:rsidR="00903462" w:rsidRPr="0081208A">
        <w:rPr>
          <w:b/>
          <w:color w:val="auto"/>
        </w:rPr>
        <w:t>s</w:t>
      </w:r>
      <w:r w:rsidR="00E0268F" w:rsidRPr="0081208A">
        <w:rPr>
          <w:b/>
          <w:color w:val="auto"/>
        </w:rPr>
        <w:t xml:space="preserve">orty nestanovily žádné speciální </w:t>
      </w:r>
      <w:r w:rsidRPr="0081208A">
        <w:rPr>
          <w:b/>
          <w:color w:val="auto"/>
        </w:rPr>
        <w:t>ukazatele</w:t>
      </w:r>
      <w:r w:rsidR="00E0268F" w:rsidRPr="0081208A">
        <w:rPr>
          <w:b/>
          <w:color w:val="auto"/>
        </w:rPr>
        <w:t xml:space="preserve"> ve vztahu k problematice sucha a nedostatku vody. </w:t>
      </w:r>
      <w:r w:rsidR="008E2788">
        <w:rPr>
          <w:color w:val="auto"/>
        </w:rPr>
        <w:t>Stanovené</w:t>
      </w:r>
      <w:r w:rsidR="00E0268F" w:rsidRPr="00E0268F">
        <w:rPr>
          <w:color w:val="auto"/>
        </w:rPr>
        <w:t xml:space="preserve"> </w:t>
      </w:r>
      <w:r>
        <w:rPr>
          <w:color w:val="auto"/>
        </w:rPr>
        <w:t>ukazatele</w:t>
      </w:r>
      <w:r w:rsidR="00E0268F" w:rsidRPr="00E0268F">
        <w:rPr>
          <w:color w:val="auto"/>
        </w:rPr>
        <w:t xml:space="preserve"> poskyt</w:t>
      </w:r>
      <w:r w:rsidR="008E2788">
        <w:rPr>
          <w:color w:val="auto"/>
        </w:rPr>
        <w:t>ovaly</w:t>
      </w:r>
      <w:r w:rsidR="00E0268F" w:rsidRPr="00E0268F">
        <w:rPr>
          <w:color w:val="auto"/>
        </w:rPr>
        <w:t xml:space="preserve"> pouze kvantitativní údaje</w:t>
      </w:r>
      <w:r w:rsidR="00141E9C">
        <w:rPr>
          <w:color w:val="auto"/>
        </w:rPr>
        <w:t xml:space="preserve"> </w:t>
      </w:r>
      <w:r w:rsidR="00141E9C">
        <w:rPr>
          <w:color w:val="auto"/>
        </w:rPr>
        <w:lastRenderedPageBreak/>
        <w:t>o </w:t>
      </w:r>
      <w:r w:rsidR="001A5242">
        <w:rPr>
          <w:color w:val="auto"/>
        </w:rPr>
        <w:t xml:space="preserve">realizovaných opatřeních </w:t>
      </w:r>
      <w:r w:rsidR="00E0268F" w:rsidRPr="00E0268F">
        <w:rPr>
          <w:color w:val="auto"/>
        </w:rPr>
        <w:t>a neposkyt</w:t>
      </w:r>
      <w:r w:rsidR="008E2788">
        <w:rPr>
          <w:color w:val="auto"/>
        </w:rPr>
        <w:t>ovaly</w:t>
      </w:r>
      <w:r w:rsidR="00E0268F" w:rsidRPr="00E0268F">
        <w:rPr>
          <w:color w:val="auto"/>
        </w:rPr>
        <w:t xml:space="preserve"> informace kvalitativního a kontextového charakteru k měření a vyhodnocování dopadů </w:t>
      </w:r>
      <w:r w:rsidR="008E2788">
        <w:rPr>
          <w:color w:val="auto"/>
        </w:rPr>
        <w:t xml:space="preserve">na </w:t>
      </w:r>
      <w:r w:rsidR="00E0268F" w:rsidRPr="00E0268F">
        <w:rPr>
          <w:color w:val="auto"/>
        </w:rPr>
        <w:t>such</w:t>
      </w:r>
      <w:r w:rsidR="008E2788">
        <w:rPr>
          <w:color w:val="auto"/>
        </w:rPr>
        <w:t>o</w:t>
      </w:r>
      <w:r w:rsidR="00E0268F" w:rsidRPr="00E0268F">
        <w:rPr>
          <w:color w:val="auto"/>
        </w:rPr>
        <w:t xml:space="preserve"> a nedostat</w:t>
      </w:r>
      <w:r w:rsidR="008E2788">
        <w:rPr>
          <w:color w:val="auto"/>
        </w:rPr>
        <w:t>e</w:t>
      </w:r>
      <w:r w:rsidR="00E0268F" w:rsidRPr="00E0268F">
        <w:rPr>
          <w:color w:val="auto"/>
        </w:rPr>
        <w:t xml:space="preserve">k vody. Kontrolou bylo dále zjištěno, že některé </w:t>
      </w:r>
      <w:r>
        <w:rPr>
          <w:color w:val="auto"/>
        </w:rPr>
        <w:t>ukazatele</w:t>
      </w:r>
      <w:r w:rsidR="00E0268F" w:rsidRPr="00E0268F">
        <w:rPr>
          <w:color w:val="auto"/>
        </w:rPr>
        <w:t xml:space="preserve"> nebyly nastaveny zcela reálně, jelikož hodnoty plnění v některých případech přesahují cílové hodnoty o</w:t>
      </w:r>
      <w:r w:rsidR="005B6434">
        <w:rPr>
          <w:color w:val="auto"/>
        </w:rPr>
        <w:t xml:space="preserve"> stovky až</w:t>
      </w:r>
      <w:r w:rsidR="00E0268F" w:rsidRPr="00E0268F">
        <w:rPr>
          <w:color w:val="auto"/>
        </w:rPr>
        <w:t xml:space="preserve"> tisíce procent. </w:t>
      </w:r>
    </w:p>
    <w:p w14:paraId="1445DDBB" w14:textId="77777777" w:rsidR="00A62E62" w:rsidRDefault="00A62E62" w:rsidP="00A62E62">
      <w:pPr>
        <w:spacing w:before="0"/>
        <w:rPr>
          <w:color w:val="auto"/>
        </w:rPr>
      </w:pPr>
    </w:p>
    <w:p w14:paraId="6D9018F9" w14:textId="5CB7DA7D" w:rsidR="00487F9B" w:rsidRDefault="00D33F45" w:rsidP="00A62E62">
      <w:pPr>
        <w:spacing w:before="0"/>
        <w:rPr>
          <w:color w:val="auto"/>
        </w:rPr>
      </w:pPr>
      <w:r>
        <w:rPr>
          <w:color w:val="auto"/>
        </w:rPr>
        <w:t>Hodnocení plnění cílů</w:t>
      </w:r>
      <w:r w:rsidR="00487F9B">
        <w:rPr>
          <w:color w:val="auto"/>
        </w:rPr>
        <w:t>:</w:t>
      </w:r>
    </w:p>
    <w:p w14:paraId="3B85C5A7" w14:textId="3DA900A0" w:rsidR="00A91D5F" w:rsidRDefault="00E0268F" w:rsidP="00A62E62">
      <w:pPr>
        <w:spacing w:before="0"/>
        <w:rPr>
          <w:color w:val="auto"/>
        </w:rPr>
      </w:pPr>
      <w:r w:rsidRPr="00A91D5F">
        <w:rPr>
          <w:b/>
          <w:color w:val="auto"/>
        </w:rPr>
        <w:t xml:space="preserve">Ve většině případů </w:t>
      </w:r>
      <w:proofErr w:type="spellStart"/>
      <w:r w:rsidRPr="00A91D5F">
        <w:rPr>
          <w:b/>
          <w:color w:val="auto"/>
        </w:rPr>
        <w:t>MZe</w:t>
      </w:r>
      <w:proofErr w:type="spellEnd"/>
      <w:r w:rsidR="00395A2E" w:rsidRPr="00A91D5F">
        <w:rPr>
          <w:b/>
          <w:color w:val="auto"/>
        </w:rPr>
        <w:t xml:space="preserve"> a </w:t>
      </w:r>
      <w:r w:rsidRPr="00A91D5F">
        <w:rPr>
          <w:b/>
          <w:color w:val="auto"/>
        </w:rPr>
        <w:t>MŽP</w:t>
      </w:r>
      <w:r w:rsidR="00395A2E" w:rsidRPr="00A91D5F">
        <w:rPr>
          <w:b/>
          <w:color w:val="auto"/>
        </w:rPr>
        <w:t xml:space="preserve"> neprováděly</w:t>
      </w:r>
      <w:r w:rsidRPr="00A91D5F">
        <w:rPr>
          <w:b/>
          <w:color w:val="auto"/>
        </w:rPr>
        <w:t xml:space="preserve"> hodnocení jednotlivých dotačních programů z hlediska přínosů k řešení problematiky sucha a nedostatku vody.</w:t>
      </w:r>
      <w:r w:rsidRPr="00E0268F">
        <w:rPr>
          <w:color w:val="auto"/>
        </w:rPr>
        <w:t xml:space="preserve"> </w:t>
      </w:r>
      <w:r w:rsidR="00A91D5F">
        <w:rPr>
          <w:color w:val="auto"/>
        </w:rPr>
        <w:t>Hodnocení dotačních programů probíhalo pouze formou souhrnných statistických informací o počtu přijatých žádostí, výši proplacených prostředků apod.</w:t>
      </w:r>
    </w:p>
    <w:p w14:paraId="6A47A1A2" w14:textId="7B5CFA4E" w:rsidR="00A91D5F" w:rsidRDefault="00A91D5F" w:rsidP="00A62E62">
      <w:pPr>
        <w:spacing w:before="0"/>
        <w:rPr>
          <w:color w:val="auto"/>
        </w:rPr>
      </w:pPr>
    </w:p>
    <w:p w14:paraId="4E2E2B68" w14:textId="1021F764" w:rsidR="00BD6545" w:rsidRPr="00A62E62" w:rsidRDefault="00A62E62" w:rsidP="00A62E62">
      <w:pPr>
        <w:keepNext/>
        <w:spacing w:before="0"/>
        <w:outlineLvl w:val="0"/>
        <w:rPr>
          <w:b/>
        </w:rPr>
      </w:pPr>
      <w:r>
        <w:rPr>
          <w:b/>
        </w:rPr>
        <w:t xml:space="preserve">5. </w:t>
      </w:r>
      <w:r w:rsidR="00AD7E3F" w:rsidRPr="00A62E62">
        <w:rPr>
          <w:b/>
        </w:rPr>
        <w:t>Nerealizované nové programy</w:t>
      </w:r>
    </w:p>
    <w:p w14:paraId="75494C27" w14:textId="77777777" w:rsidR="00A62E62" w:rsidRDefault="00A62E62" w:rsidP="00A62E62">
      <w:pPr>
        <w:keepNext/>
        <w:spacing w:before="0"/>
      </w:pPr>
    </w:p>
    <w:p w14:paraId="547BD46A" w14:textId="46F2F866" w:rsidR="00F054B8" w:rsidRDefault="00F054B8" w:rsidP="00A62E62">
      <w:pPr>
        <w:spacing w:before="0"/>
      </w:pPr>
      <w:r>
        <w:t>Je potřeba, aby na měnící se klima reagovaly příslušnou změnou i podporované dotační programy</w:t>
      </w:r>
      <w:r w:rsidR="00DD0E51">
        <w:t>, a to přizpůsobením stávajících programů a realizací nových</w:t>
      </w:r>
      <w:r>
        <w:t xml:space="preserve">. Jen tak je možné </w:t>
      </w:r>
      <w:r w:rsidR="0081208A">
        <w:t>přispět ke</w:t>
      </w:r>
      <w:r>
        <w:t xml:space="preserve"> zmírnění dopadů sucha a nedostatku vody.</w:t>
      </w:r>
    </w:p>
    <w:p w14:paraId="723034F9" w14:textId="77777777" w:rsidR="00A62E62" w:rsidRDefault="00A62E62" w:rsidP="00A62E62">
      <w:pPr>
        <w:spacing w:before="0"/>
      </w:pPr>
    </w:p>
    <w:p w14:paraId="6786158C" w14:textId="0463F4D2" w:rsidR="001D0350" w:rsidRPr="00A62E62" w:rsidRDefault="00A62E62" w:rsidP="00A62E62">
      <w:pPr>
        <w:keepNext/>
        <w:spacing w:before="0"/>
        <w:outlineLvl w:val="1"/>
        <w:rPr>
          <w:rFonts w:asciiTheme="minorHAnsi" w:hAnsiTheme="minorHAnsi" w:cstheme="minorHAnsi"/>
          <w:b/>
        </w:rPr>
      </w:pPr>
      <w:r w:rsidRPr="00A62E62">
        <w:rPr>
          <w:rFonts w:asciiTheme="minorHAnsi" w:hAnsiTheme="minorHAnsi" w:cstheme="minorHAnsi"/>
          <w:b/>
        </w:rPr>
        <w:t xml:space="preserve">5.1 </w:t>
      </w:r>
      <w:r w:rsidR="001D0350" w:rsidRPr="00A62E62">
        <w:rPr>
          <w:rFonts w:asciiTheme="minorHAnsi" w:hAnsiTheme="minorHAnsi" w:cstheme="minorHAnsi"/>
          <w:b/>
        </w:rPr>
        <w:t>M</w:t>
      </w:r>
      <w:r w:rsidR="00A64389" w:rsidRPr="00A62E62">
        <w:rPr>
          <w:rFonts w:asciiTheme="minorHAnsi" w:hAnsiTheme="minorHAnsi" w:cstheme="minorHAnsi"/>
          <w:b/>
        </w:rPr>
        <w:t>inisterstvo z</w:t>
      </w:r>
      <w:r w:rsidR="001D0350" w:rsidRPr="00A62E62">
        <w:rPr>
          <w:rFonts w:asciiTheme="minorHAnsi" w:hAnsiTheme="minorHAnsi" w:cstheme="minorHAnsi"/>
          <w:b/>
        </w:rPr>
        <w:t>e</w:t>
      </w:r>
      <w:r w:rsidR="00A64389" w:rsidRPr="00A62E62">
        <w:rPr>
          <w:rFonts w:asciiTheme="minorHAnsi" w:hAnsiTheme="minorHAnsi" w:cstheme="minorHAnsi"/>
          <w:b/>
        </w:rPr>
        <w:t>mědělství</w:t>
      </w:r>
    </w:p>
    <w:p w14:paraId="7FD7764E" w14:textId="77777777" w:rsidR="00A62E62" w:rsidRPr="00A62E62" w:rsidRDefault="00A62E62" w:rsidP="00A62E62">
      <w:pPr>
        <w:keepNext/>
        <w:spacing w:before="0"/>
        <w:outlineLvl w:val="1"/>
        <w:rPr>
          <w:rFonts w:asciiTheme="minorHAnsi" w:hAnsiTheme="minorHAnsi" w:cstheme="minorHAnsi"/>
        </w:rPr>
      </w:pPr>
    </w:p>
    <w:p w14:paraId="271D46FE" w14:textId="248CDE11" w:rsidR="00443850" w:rsidRDefault="00443850" w:rsidP="00A62E62">
      <w:p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443850">
        <w:rPr>
          <w:rFonts w:asciiTheme="minorHAnsi" w:hAnsiTheme="minorHAnsi" w:cstheme="minorHAnsi"/>
          <w:b/>
          <w:color w:val="000000" w:themeColor="text1"/>
        </w:rPr>
        <w:t xml:space="preserve">Kontrolou bylo zjištěno, že </w:t>
      </w:r>
      <w:proofErr w:type="spellStart"/>
      <w:r w:rsidRPr="00443850">
        <w:rPr>
          <w:rFonts w:asciiTheme="minorHAnsi" w:hAnsiTheme="minorHAnsi" w:cstheme="minorHAnsi"/>
          <w:b/>
          <w:color w:val="000000" w:themeColor="text1"/>
        </w:rPr>
        <w:t>MZe</w:t>
      </w:r>
      <w:proofErr w:type="spellEnd"/>
      <w:r w:rsidRPr="00443850">
        <w:rPr>
          <w:rFonts w:asciiTheme="minorHAnsi" w:hAnsiTheme="minorHAnsi" w:cstheme="minorHAnsi"/>
          <w:b/>
          <w:color w:val="000000" w:themeColor="text1"/>
        </w:rPr>
        <w:t xml:space="preserve"> pokračuje v realizaci stávající</w:t>
      </w:r>
      <w:r w:rsidR="00EA01B0">
        <w:rPr>
          <w:rFonts w:asciiTheme="minorHAnsi" w:hAnsiTheme="minorHAnsi" w:cstheme="minorHAnsi"/>
          <w:b/>
          <w:color w:val="000000" w:themeColor="text1"/>
        </w:rPr>
        <w:t>ch</w:t>
      </w:r>
      <w:r w:rsidRPr="00443850">
        <w:rPr>
          <w:rFonts w:asciiTheme="minorHAnsi" w:hAnsiTheme="minorHAnsi" w:cstheme="minorHAnsi"/>
          <w:b/>
          <w:color w:val="000000" w:themeColor="text1"/>
        </w:rPr>
        <w:t xml:space="preserve"> programů, které mají na </w:t>
      </w:r>
      <w:proofErr w:type="spellStart"/>
      <w:r w:rsidRPr="00443850">
        <w:rPr>
          <w:rFonts w:asciiTheme="minorHAnsi" w:hAnsiTheme="minorHAnsi" w:cstheme="minorHAnsi"/>
          <w:b/>
          <w:color w:val="000000" w:themeColor="text1"/>
        </w:rPr>
        <w:t>MZe</w:t>
      </w:r>
      <w:proofErr w:type="spellEnd"/>
      <w:r w:rsidR="00EA01B0">
        <w:rPr>
          <w:rFonts w:asciiTheme="minorHAnsi" w:hAnsiTheme="minorHAnsi" w:cstheme="minorHAnsi"/>
          <w:b/>
          <w:color w:val="000000" w:themeColor="text1"/>
        </w:rPr>
        <w:t xml:space="preserve"> dlouhodobou</w:t>
      </w:r>
      <w:r w:rsidRPr="00443850">
        <w:rPr>
          <w:rFonts w:asciiTheme="minorHAnsi" w:hAnsiTheme="minorHAnsi" w:cstheme="minorHAnsi"/>
          <w:b/>
          <w:color w:val="000000" w:themeColor="text1"/>
        </w:rPr>
        <w:t xml:space="preserve"> tradici (např. podpora </w:t>
      </w:r>
      <w:r w:rsidR="004350FB">
        <w:rPr>
          <w:rFonts w:asciiTheme="minorHAnsi" w:hAnsiTheme="minorHAnsi" w:cstheme="minorHAnsi"/>
          <w:b/>
          <w:color w:val="000000" w:themeColor="text1"/>
        </w:rPr>
        <w:t xml:space="preserve">budování </w:t>
      </w:r>
      <w:r w:rsidRPr="00443850">
        <w:rPr>
          <w:rFonts w:asciiTheme="minorHAnsi" w:hAnsiTheme="minorHAnsi" w:cstheme="minorHAnsi"/>
          <w:b/>
          <w:color w:val="000000" w:themeColor="text1"/>
        </w:rPr>
        <w:t>vodovodů a kanalizací, rybníků, drobných vodních toků a malých vodních nádrží),</w:t>
      </w:r>
      <w:r w:rsidR="001177BE">
        <w:rPr>
          <w:rFonts w:asciiTheme="minorHAnsi" w:hAnsiTheme="minorHAnsi" w:cstheme="minorHAnsi"/>
          <w:b/>
          <w:color w:val="000000" w:themeColor="text1"/>
        </w:rPr>
        <w:t xml:space="preserve"> jejichž hlavním cílem však není boj se suchem. K</w:t>
      </w:r>
      <w:r w:rsidRPr="00443850">
        <w:rPr>
          <w:rFonts w:asciiTheme="minorHAnsi" w:hAnsiTheme="minorHAnsi" w:cstheme="minorHAnsi"/>
          <w:b/>
          <w:color w:val="000000" w:themeColor="text1"/>
        </w:rPr>
        <w:t xml:space="preserve">dežto programy nové, </w:t>
      </w:r>
      <w:r w:rsidR="001177BE">
        <w:rPr>
          <w:rFonts w:asciiTheme="minorHAnsi" w:hAnsiTheme="minorHAnsi" w:cstheme="minorHAnsi"/>
          <w:b/>
          <w:color w:val="000000" w:themeColor="text1"/>
        </w:rPr>
        <w:t>jejichž cílem je boj se</w:t>
      </w:r>
      <w:r w:rsidRPr="00443850">
        <w:rPr>
          <w:rFonts w:asciiTheme="minorHAnsi" w:hAnsiTheme="minorHAnsi" w:cstheme="minorHAnsi"/>
          <w:b/>
          <w:color w:val="000000" w:themeColor="text1"/>
        </w:rPr>
        <w:t xml:space="preserve"> such</w:t>
      </w:r>
      <w:r w:rsidR="001177BE">
        <w:rPr>
          <w:rFonts w:asciiTheme="minorHAnsi" w:hAnsiTheme="minorHAnsi" w:cstheme="minorHAnsi"/>
          <w:b/>
          <w:color w:val="000000" w:themeColor="text1"/>
        </w:rPr>
        <w:t>em</w:t>
      </w:r>
      <w:r w:rsidRPr="00443850">
        <w:rPr>
          <w:rFonts w:asciiTheme="minorHAnsi" w:hAnsiTheme="minorHAnsi" w:cstheme="minorHAnsi"/>
          <w:b/>
          <w:color w:val="000000" w:themeColor="text1"/>
        </w:rPr>
        <w:t>, k 31. 12. 2018 nezahájilo.</w:t>
      </w:r>
    </w:p>
    <w:p w14:paraId="3417E99E" w14:textId="77777777" w:rsidR="00A62E62" w:rsidRDefault="00A62E62" w:rsidP="00A62E62">
      <w:pPr>
        <w:spacing w:before="0"/>
      </w:pPr>
    </w:p>
    <w:p w14:paraId="4C6DA3FB" w14:textId="6A3947A4" w:rsidR="004C4521" w:rsidRPr="004C4521" w:rsidRDefault="001D0350" w:rsidP="00A62E62">
      <w:pPr>
        <w:spacing w:before="0"/>
        <w:rPr>
          <w:rFonts w:asciiTheme="minorHAnsi" w:hAnsiTheme="minorHAnsi" w:cstheme="minorHAnsi"/>
        </w:rPr>
      </w:pPr>
      <w:r w:rsidRPr="00C17EF7">
        <w:t xml:space="preserve">V příloze 14 Koncepce </w:t>
      </w:r>
      <w:proofErr w:type="spellStart"/>
      <w:r w:rsidRPr="00C17EF7">
        <w:t>MZe</w:t>
      </w:r>
      <w:proofErr w:type="spellEnd"/>
      <w:r w:rsidRPr="00C17EF7">
        <w:t xml:space="preserve"> uvedlo přehled dotačních </w:t>
      </w:r>
      <w:r w:rsidR="002B5612">
        <w:t>programů</w:t>
      </w:r>
      <w:r w:rsidRPr="00C17EF7">
        <w:t xml:space="preserve"> financujících opatření na zmírnění negativních dopadů sucha. Jedná se</w:t>
      </w:r>
      <w:r w:rsidR="00443850">
        <w:t xml:space="preserve"> o</w:t>
      </w:r>
      <w:r w:rsidRPr="00C17EF7">
        <w:t xml:space="preserve"> 15 národních dotačních </w:t>
      </w:r>
      <w:r w:rsidR="002B5612">
        <w:t>programů</w:t>
      </w:r>
      <w:r w:rsidR="005B6434">
        <w:t>, z</w:t>
      </w:r>
      <w:r w:rsidRPr="00C17EF7">
        <w:t> nich</w:t>
      </w:r>
      <w:r w:rsidR="004350FB">
        <w:t>ž</w:t>
      </w:r>
      <w:r w:rsidRPr="00C17EF7">
        <w:t xml:space="preserve"> </w:t>
      </w:r>
      <w:r>
        <w:t xml:space="preserve">pět </w:t>
      </w:r>
      <w:proofErr w:type="spellStart"/>
      <w:r w:rsidR="00534A16">
        <w:t>MZe</w:t>
      </w:r>
      <w:proofErr w:type="spellEnd"/>
      <w:r w:rsidR="00534A16">
        <w:t xml:space="preserve"> </w:t>
      </w:r>
      <w:r>
        <w:t xml:space="preserve">k 31. 12. 2018 </w:t>
      </w:r>
      <w:r w:rsidR="00534A16">
        <w:t>ne</w:t>
      </w:r>
      <w:r>
        <w:t>zaháj</w:t>
      </w:r>
      <w:r w:rsidR="00534A16">
        <w:t>ilo</w:t>
      </w:r>
      <w:r w:rsidRPr="00C17EF7">
        <w:t xml:space="preserve">. </w:t>
      </w:r>
      <w:r w:rsidRPr="001D0350">
        <w:rPr>
          <w:color w:val="000000" w:themeColor="text1"/>
        </w:rPr>
        <w:t xml:space="preserve">Jedná se o dva </w:t>
      </w:r>
      <w:r w:rsidR="00EA01B0">
        <w:rPr>
          <w:color w:val="000000" w:themeColor="text1"/>
        </w:rPr>
        <w:t>programy</w:t>
      </w:r>
      <w:r w:rsidRPr="001D0350">
        <w:rPr>
          <w:color w:val="000000" w:themeColor="text1"/>
        </w:rPr>
        <w:t xml:space="preserve"> na přehrady, a to příprava a realizace přehrad a odstraňování sedimentů, dále program na podporu rekonstrukce, oprav a modernizace hlavních odvodňovacích zařízení, program pro podporu prop</w:t>
      </w:r>
      <w:r w:rsidR="00504BE5">
        <w:rPr>
          <w:color w:val="000000" w:themeColor="text1"/>
        </w:rPr>
        <w:t xml:space="preserve">ojení vodohospodářských soustav. </w:t>
      </w:r>
      <w:r w:rsidR="004C4521" w:rsidRPr="004C4521">
        <w:rPr>
          <w:rFonts w:asciiTheme="minorHAnsi" w:hAnsiTheme="minorHAnsi" w:cstheme="minorHAnsi"/>
          <w:color w:val="000000" w:themeColor="text1"/>
        </w:rPr>
        <w:t>Mezi nezahájené programy</w:t>
      </w:r>
      <w:r w:rsidR="00637F56">
        <w:rPr>
          <w:rFonts w:asciiTheme="minorHAnsi" w:hAnsiTheme="minorHAnsi" w:cstheme="minorHAnsi"/>
          <w:color w:val="000000" w:themeColor="text1"/>
        </w:rPr>
        <w:t xml:space="preserve"> uvedené v</w:t>
      </w:r>
      <w:r w:rsidR="00504BE5">
        <w:rPr>
          <w:rFonts w:asciiTheme="minorHAnsi" w:hAnsiTheme="minorHAnsi" w:cstheme="minorHAnsi"/>
          <w:color w:val="000000" w:themeColor="text1"/>
        </w:rPr>
        <w:t> </w:t>
      </w:r>
      <w:r w:rsidR="00637F56">
        <w:rPr>
          <w:rFonts w:asciiTheme="minorHAnsi" w:hAnsiTheme="minorHAnsi" w:cstheme="minorHAnsi"/>
          <w:color w:val="000000" w:themeColor="text1"/>
        </w:rPr>
        <w:t>Koncepci</w:t>
      </w:r>
      <w:r w:rsidR="00504BE5">
        <w:rPr>
          <w:rFonts w:asciiTheme="minorHAnsi" w:hAnsiTheme="minorHAnsi" w:cstheme="minorHAnsi"/>
          <w:color w:val="000000" w:themeColor="text1"/>
        </w:rPr>
        <w:t xml:space="preserve"> dále</w:t>
      </w:r>
      <w:r w:rsidR="004C4521" w:rsidRPr="004C4521">
        <w:rPr>
          <w:rFonts w:asciiTheme="minorHAnsi" w:hAnsiTheme="minorHAnsi" w:cstheme="minorHAnsi"/>
          <w:color w:val="000000" w:themeColor="text1"/>
        </w:rPr>
        <w:t xml:space="preserve"> patří </w:t>
      </w:r>
      <w:r w:rsidR="004C4521" w:rsidRPr="001E6071">
        <w:rPr>
          <w:rFonts w:asciiTheme="minorHAnsi" w:hAnsiTheme="minorHAnsi" w:cstheme="minorHAnsi"/>
          <w:i/>
          <w:color w:val="000000" w:themeColor="text1"/>
        </w:rPr>
        <w:t>P</w:t>
      </w:r>
      <w:r w:rsidR="004C4521" w:rsidRPr="001E6071">
        <w:rPr>
          <w:rFonts w:asciiTheme="minorHAnsi" w:hAnsiTheme="minorHAnsi" w:cstheme="minorHAnsi"/>
          <w:i/>
        </w:rPr>
        <w:t>rogram na vytvoření nástrojů pro zhodnocení technické, vodohospodářské a ekonomické efektivnosti opatření na ochranu před suchem a nedostatkem vody</w:t>
      </w:r>
      <w:r w:rsidR="004C4521" w:rsidRPr="004C4521">
        <w:rPr>
          <w:rFonts w:asciiTheme="minorHAnsi" w:hAnsiTheme="minorHAnsi" w:cstheme="minorHAnsi"/>
        </w:rPr>
        <w:t xml:space="preserve">, který by měl umožnit, oproti stávajícím dílčím přístupům, výběr optimálních a efektivních opatření k omezení sucha a nedostatku vody a tím cíleně realizovat nejefektivnější opatření. Prodleva </w:t>
      </w:r>
      <w:r w:rsidR="004350FB">
        <w:rPr>
          <w:rFonts w:asciiTheme="minorHAnsi" w:hAnsiTheme="minorHAnsi" w:cstheme="minorHAnsi"/>
        </w:rPr>
        <w:t>realizace</w:t>
      </w:r>
      <w:r w:rsidR="004C4521" w:rsidRPr="004C4521">
        <w:rPr>
          <w:rFonts w:asciiTheme="minorHAnsi" w:hAnsiTheme="minorHAnsi" w:cstheme="minorHAnsi"/>
        </w:rPr>
        <w:t xml:space="preserve"> tohoto programu může mít negativní vliv na efektivitu realizace opatření proti suchu a tím i</w:t>
      </w:r>
      <w:r w:rsidR="004350FB">
        <w:rPr>
          <w:rFonts w:asciiTheme="minorHAnsi" w:hAnsiTheme="minorHAnsi" w:cstheme="minorHAnsi"/>
        </w:rPr>
        <w:t> </w:t>
      </w:r>
      <w:r w:rsidR="004C4521" w:rsidRPr="004C4521">
        <w:rPr>
          <w:rFonts w:asciiTheme="minorHAnsi" w:hAnsiTheme="minorHAnsi" w:cstheme="minorHAnsi"/>
        </w:rPr>
        <w:t>na efektivitu výdajů prostředků státního rozpočtu.</w:t>
      </w:r>
    </w:p>
    <w:p w14:paraId="5EF7233E" w14:textId="77777777" w:rsidR="00A62E62" w:rsidRDefault="00A62E62" w:rsidP="00A62E62">
      <w:pPr>
        <w:spacing w:before="0"/>
        <w:rPr>
          <w:rFonts w:asciiTheme="minorHAnsi" w:hAnsiTheme="minorHAnsi" w:cstheme="minorHAnsi"/>
          <w:lang w:eastAsia="cs-CZ"/>
        </w:rPr>
      </w:pPr>
    </w:p>
    <w:p w14:paraId="4C4DCE7C" w14:textId="335F6F86" w:rsidR="001D0350" w:rsidRPr="00C844CD" w:rsidRDefault="004C4521" w:rsidP="00A62E62">
      <w:p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Realizace neprobíhá </w:t>
      </w:r>
      <w:r w:rsidR="004350FB">
        <w:rPr>
          <w:rFonts w:asciiTheme="minorHAnsi" w:hAnsiTheme="minorHAnsi" w:cstheme="minorHAnsi"/>
          <w:lang w:eastAsia="cs-CZ"/>
        </w:rPr>
        <w:t>ani</w:t>
      </w:r>
      <w:r>
        <w:rPr>
          <w:rFonts w:asciiTheme="minorHAnsi" w:hAnsiTheme="minorHAnsi" w:cstheme="minorHAnsi"/>
          <w:lang w:eastAsia="cs-CZ"/>
        </w:rPr>
        <w:t xml:space="preserve"> u dotačních </w:t>
      </w:r>
      <w:r w:rsidR="006360E7">
        <w:rPr>
          <w:rFonts w:asciiTheme="minorHAnsi" w:hAnsiTheme="minorHAnsi" w:cstheme="minorHAnsi"/>
          <w:lang w:eastAsia="cs-CZ"/>
        </w:rPr>
        <w:t>programů</w:t>
      </w:r>
      <w:r>
        <w:rPr>
          <w:rFonts w:asciiTheme="minorHAnsi" w:hAnsiTheme="minorHAnsi" w:cstheme="minorHAnsi"/>
          <w:lang w:eastAsia="cs-CZ"/>
        </w:rPr>
        <w:t xml:space="preserve"> na přehrady, kde </w:t>
      </w:r>
      <w:r w:rsidR="00F4432C">
        <w:rPr>
          <w:rFonts w:asciiTheme="minorHAnsi" w:hAnsiTheme="minorHAnsi" w:cstheme="minorHAnsi"/>
          <w:lang w:eastAsia="cs-CZ"/>
        </w:rPr>
        <w:t xml:space="preserve">je plánováno ze státního rozpočtu vynaložit </w:t>
      </w:r>
      <w:r w:rsidR="001D0350">
        <w:rPr>
          <w:rFonts w:asciiTheme="minorHAnsi" w:hAnsiTheme="minorHAnsi" w:cstheme="minorHAnsi"/>
          <w:lang w:eastAsia="cs-CZ"/>
        </w:rPr>
        <w:t>p</w:t>
      </w:r>
      <w:r w:rsidR="001D0350" w:rsidRPr="00C844CD">
        <w:rPr>
          <w:rFonts w:asciiTheme="minorHAnsi" w:hAnsiTheme="minorHAnsi" w:cstheme="minorHAnsi"/>
          <w:lang w:eastAsia="cs-CZ"/>
        </w:rPr>
        <w:t>řes půl miliardy</w:t>
      </w:r>
      <w:r w:rsidR="001D0350">
        <w:rPr>
          <w:rFonts w:asciiTheme="minorHAnsi" w:hAnsiTheme="minorHAnsi" w:cstheme="minorHAnsi"/>
          <w:lang w:eastAsia="cs-CZ"/>
        </w:rPr>
        <w:t xml:space="preserve"> </w:t>
      </w:r>
      <w:r w:rsidR="004350FB">
        <w:rPr>
          <w:rFonts w:asciiTheme="minorHAnsi" w:hAnsiTheme="minorHAnsi" w:cstheme="minorHAnsi"/>
          <w:lang w:eastAsia="cs-CZ"/>
        </w:rPr>
        <w:t>korun</w:t>
      </w:r>
      <w:r w:rsidR="001D0350" w:rsidRPr="00C844CD">
        <w:rPr>
          <w:rFonts w:asciiTheme="minorHAnsi" w:hAnsiTheme="minorHAnsi" w:cstheme="minorHAnsi"/>
          <w:lang w:eastAsia="cs-CZ"/>
        </w:rPr>
        <w:t xml:space="preserve"> na přípravu přehrad Senomaty, Šanov a</w:t>
      </w:r>
      <w:r w:rsidR="004350FB">
        <w:rPr>
          <w:rFonts w:asciiTheme="minorHAnsi" w:hAnsiTheme="minorHAnsi" w:cstheme="minorHAnsi"/>
          <w:lang w:eastAsia="cs-CZ"/>
        </w:rPr>
        <w:t> </w:t>
      </w:r>
      <w:r w:rsidR="001D0350" w:rsidRPr="00C844CD">
        <w:rPr>
          <w:rFonts w:asciiTheme="minorHAnsi" w:hAnsiTheme="minorHAnsi" w:cstheme="minorHAnsi"/>
          <w:lang w:eastAsia="cs-CZ"/>
        </w:rPr>
        <w:t xml:space="preserve">Kryry nedaleko Rakovníka. Mimo to </w:t>
      </w:r>
      <w:proofErr w:type="spellStart"/>
      <w:r w:rsidR="001D0350" w:rsidRPr="00C844CD">
        <w:rPr>
          <w:rFonts w:asciiTheme="minorHAnsi" w:hAnsiTheme="minorHAnsi" w:cstheme="minorHAnsi"/>
          <w:lang w:eastAsia="cs-CZ"/>
        </w:rPr>
        <w:t>MZe</w:t>
      </w:r>
      <w:proofErr w:type="spellEnd"/>
      <w:r w:rsidR="001D0350" w:rsidRPr="00C844CD">
        <w:rPr>
          <w:rFonts w:asciiTheme="minorHAnsi" w:hAnsiTheme="minorHAnsi" w:cstheme="minorHAnsi"/>
          <w:lang w:eastAsia="cs-CZ"/>
        </w:rPr>
        <w:t xml:space="preserve"> řeší stavbu</w:t>
      </w:r>
      <w:r w:rsidR="00504BE5">
        <w:rPr>
          <w:rFonts w:asciiTheme="minorHAnsi" w:hAnsiTheme="minorHAnsi" w:cstheme="minorHAnsi"/>
          <w:lang w:eastAsia="cs-CZ"/>
        </w:rPr>
        <w:t xml:space="preserve"> nádrže Vlachovice na Zlínsku. </w:t>
      </w:r>
      <w:r w:rsidR="001D0350" w:rsidRPr="00C844CD">
        <w:rPr>
          <w:rFonts w:asciiTheme="minorHAnsi" w:hAnsiTheme="minorHAnsi" w:cstheme="minorHAnsi"/>
        </w:rPr>
        <w:t>Přehradní nádrže byly v</w:t>
      </w:r>
      <w:r w:rsidR="00A62E62">
        <w:rPr>
          <w:rFonts w:asciiTheme="minorHAnsi" w:hAnsiTheme="minorHAnsi" w:cstheme="minorHAnsi"/>
        </w:rPr>
        <w:t> </w:t>
      </w:r>
      <w:r w:rsidR="001D0350" w:rsidRPr="00C844CD">
        <w:rPr>
          <w:rFonts w:asciiTheme="minorHAnsi" w:hAnsiTheme="minorHAnsi" w:cstheme="minorHAnsi"/>
        </w:rPr>
        <w:t>Čechách a na Moravě budovány již v minulosti, nejedná se tedy o</w:t>
      </w:r>
      <w:r w:rsidR="001D0350">
        <w:rPr>
          <w:rFonts w:asciiTheme="minorHAnsi" w:hAnsiTheme="minorHAnsi" w:cstheme="minorHAnsi"/>
        </w:rPr>
        <w:t> </w:t>
      </w:r>
      <w:r w:rsidR="001D0350" w:rsidRPr="00C844CD">
        <w:rPr>
          <w:rFonts w:asciiTheme="minorHAnsi" w:hAnsiTheme="minorHAnsi" w:cstheme="minorHAnsi"/>
        </w:rPr>
        <w:t>žádný nový záměr. V</w:t>
      </w:r>
      <w:r w:rsidR="00A62E62">
        <w:rPr>
          <w:rFonts w:asciiTheme="minorHAnsi" w:hAnsiTheme="minorHAnsi" w:cstheme="minorHAnsi"/>
        </w:rPr>
        <w:t> </w:t>
      </w:r>
      <w:r w:rsidR="001D0350" w:rsidRPr="00C844CD">
        <w:rPr>
          <w:rFonts w:asciiTheme="minorHAnsi" w:hAnsiTheme="minorHAnsi" w:cstheme="minorHAnsi"/>
        </w:rPr>
        <w:t>posledních 25 letech nebyla postavena žádná nová přehradní nádrž. V současné době v ČR existuje více než 150 vodních nádrží. U 104 přehradních nádrží je</w:t>
      </w:r>
      <w:r w:rsidR="00A62E62">
        <w:rPr>
          <w:rFonts w:asciiTheme="minorHAnsi" w:hAnsiTheme="minorHAnsi" w:cstheme="minorHAnsi"/>
        </w:rPr>
        <w:t xml:space="preserve"> </w:t>
      </w:r>
      <w:r w:rsidR="001D0350">
        <w:rPr>
          <w:rFonts w:asciiTheme="minorHAnsi" w:hAnsiTheme="minorHAnsi" w:cstheme="minorHAnsi"/>
        </w:rPr>
        <w:t>třeba odstranit sedimenty</w:t>
      </w:r>
      <w:r w:rsidR="001D0350" w:rsidRPr="00C844CD">
        <w:rPr>
          <w:rFonts w:asciiTheme="minorHAnsi" w:hAnsiTheme="minorHAnsi" w:cstheme="minorHAnsi"/>
        </w:rPr>
        <w:t xml:space="preserve">. </w:t>
      </w:r>
    </w:p>
    <w:p w14:paraId="454D4219" w14:textId="77777777" w:rsidR="00AD7E3F" w:rsidRDefault="00AD7E3F" w:rsidP="00A62E62">
      <w:pPr>
        <w:spacing w:before="0"/>
        <w:rPr>
          <w:rFonts w:asciiTheme="minorHAnsi" w:hAnsiTheme="minorHAnsi" w:cstheme="minorHAnsi"/>
        </w:rPr>
      </w:pPr>
    </w:p>
    <w:p w14:paraId="382140A8" w14:textId="6BA719E6" w:rsidR="001D0350" w:rsidRPr="008F4F38" w:rsidRDefault="008F4F38" w:rsidP="008F4F38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5.2 </w:t>
      </w:r>
      <w:r w:rsidR="001D0350" w:rsidRPr="008F4F38">
        <w:rPr>
          <w:rFonts w:asciiTheme="minorHAnsi" w:hAnsiTheme="minorHAnsi" w:cstheme="minorHAnsi"/>
          <w:b/>
        </w:rPr>
        <w:t>M</w:t>
      </w:r>
      <w:r w:rsidR="00A64389" w:rsidRPr="008F4F38">
        <w:rPr>
          <w:rFonts w:asciiTheme="minorHAnsi" w:hAnsiTheme="minorHAnsi" w:cstheme="minorHAnsi"/>
          <w:b/>
        </w:rPr>
        <w:t>inisterstvo životního prostředí</w:t>
      </w:r>
    </w:p>
    <w:p w14:paraId="52C33F34" w14:textId="77777777" w:rsidR="00A62E62" w:rsidRDefault="00A62E62" w:rsidP="008F4F38">
      <w:pPr>
        <w:keepNext/>
        <w:spacing w:before="0"/>
      </w:pPr>
    </w:p>
    <w:p w14:paraId="4B0E6430" w14:textId="48F27FB6" w:rsidR="001A5242" w:rsidRPr="000B3B80" w:rsidRDefault="000B3B80" w:rsidP="00A62E62">
      <w:pPr>
        <w:spacing w:before="0"/>
        <w:rPr>
          <w:b/>
        </w:rPr>
      </w:pPr>
      <w:r w:rsidRPr="00504BE5">
        <w:t>V resortu MŽP je novým přístupem k řešení problematiky sucha a nedostatku vody</w:t>
      </w:r>
      <w:r w:rsidR="00342411">
        <w:t xml:space="preserve"> hospodaření se srážkovými vodami</w:t>
      </w:r>
      <w:r w:rsidRPr="00504BE5">
        <w:t>.</w:t>
      </w:r>
      <w:r w:rsidRPr="000B3B80">
        <w:rPr>
          <w:b/>
        </w:rPr>
        <w:t xml:space="preserve"> </w:t>
      </w:r>
      <w:r w:rsidR="00AE628C" w:rsidRPr="000B3B80">
        <w:rPr>
          <w:b/>
        </w:rPr>
        <w:t>V</w:t>
      </w:r>
      <w:r w:rsidR="00EA01B0">
        <w:rPr>
          <w:b/>
        </w:rPr>
        <w:t xml:space="preserve"> rámci</w:t>
      </w:r>
      <w:r w:rsidR="004350FB">
        <w:rPr>
          <w:b/>
        </w:rPr>
        <w:t xml:space="preserve"> </w:t>
      </w:r>
      <w:r w:rsidR="00EA01B0">
        <w:rPr>
          <w:b/>
        </w:rPr>
        <w:t xml:space="preserve">národního dotačního </w:t>
      </w:r>
      <w:r w:rsidR="006360E7">
        <w:rPr>
          <w:b/>
        </w:rPr>
        <w:t>programu</w:t>
      </w:r>
      <w:r w:rsidR="00AE628C" w:rsidRPr="000B3B80">
        <w:rPr>
          <w:b/>
        </w:rPr>
        <w:t xml:space="preserve"> tzv. malé dešťovky</w:t>
      </w:r>
      <w:r w:rsidR="001D0350" w:rsidRPr="000B3B80">
        <w:rPr>
          <w:b/>
        </w:rPr>
        <w:t xml:space="preserve"> </w:t>
      </w:r>
      <w:r w:rsidR="004350FB">
        <w:rPr>
          <w:b/>
        </w:rPr>
        <w:t xml:space="preserve">bylo </w:t>
      </w:r>
      <w:r w:rsidR="001D0350" w:rsidRPr="000B3B80">
        <w:rPr>
          <w:b/>
        </w:rPr>
        <w:t>v období let 2016</w:t>
      </w:r>
      <w:r w:rsidR="00141E9C">
        <w:rPr>
          <w:b/>
        </w:rPr>
        <w:t>–</w:t>
      </w:r>
      <w:r w:rsidR="001D0350" w:rsidRPr="000B3B80">
        <w:rPr>
          <w:b/>
        </w:rPr>
        <w:t>2018</w:t>
      </w:r>
      <w:r w:rsidR="001A5242" w:rsidRPr="000B3B80">
        <w:rPr>
          <w:b/>
        </w:rPr>
        <w:t xml:space="preserve"> </w:t>
      </w:r>
      <w:r w:rsidR="001D0350" w:rsidRPr="000B3B80">
        <w:rPr>
          <w:b/>
        </w:rPr>
        <w:t>vyčerp</w:t>
      </w:r>
      <w:r w:rsidR="004350FB">
        <w:rPr>
          <w:b/>
        </w:rPr>
        <w:t>áno</w:t>
      </w:r>
      <w:r w:rsidR="001D0350" w:rsidRPr="000B3B80">
        <w:rPr>
          <w:b/>
        </w:rPr>
        <w:t xml:space="preserve"> </w:t>
      </w:r>
      <w:r w:rsidR="001A5242" w:rsidRPr="000B3B80">
        <w:rPr>
          <w:b/>
        </w:rPr>
        <w:t>42</w:t>
      </w:r>
      <w:r w:rsidR="001D0350" w:rsidRPr="000B3B80">
        <w:rPr>
          <w:b/>
        </w:rPr>
        <w:t xml:space="preserve"> m</w:t>
      </w:r>
      <w:r w:rsidR="0052487D">
        <w:rPr>
          <w:b/>
        </w:rPr>
        <w:t>il.</w:t>
      </w:r>
      <w:r w:rsidR="001D0350" w:rsidRPr="000B3B80">
        <w:rPr>
          <w:b/>
        </w:rPr>
        <w:t xml:space="preserve"> Kč.</w:t>
      </w:r>
      <w:r w:rsidR="001A5242" w:rsidRPr="000B3B80">
        <w:rPr>
          <w:b/>
        </w:rPr>
        <w:t xml:space="preserve"> </w:t>
      </w:r>
      <w:r w:rsidR="00141E9C">
        <w:rPr>
          <w:b/>
        </w:rPr>
        <w:t>MŽP u tohoto i </w:t>
      </w:r>
      <w:r w:rsidRPr="000B3B80">
        <w:rPr>
          <w:b/>
        </w:rPr>
        <w:t xml:space="preserve">jiných programů nenastavilo výchozí a cílové hodnoty </w:t>
      </w:r>
      <w:r w:rsidR="007509A1">
        <w:rPr>
          <w:b/>
        </w:rPr>
        <w:t>ukazatelů</w:t>
      </w:r>
      <w:r w:rsidRPr="000B3B80">
        <w:rPr>
          <w:b/>
        </w:rPr>
        <w:t>.</w:t>
      </w:r>
    </w:p>
    <w:p w14:paraId="577FF229" w14:textId="77777777" w:rsidR="00A62E62" w:rsidRDefault="00A62E62" w:rsidP="00A62E62">
      <w:pPr>
        <w:spacing w:before="0"/>
      </w:pPr>
    </w:p>
    <w:p w14:paraId="6FB5BE4F" w14:textId="1AE45A3B" w:rsidR="00AE628C" w:rsidRDefault="00AE628C" w:rsidP="00A62E62">
      <w:pPr>
        <w:spacing w:before="0"/>
        <w:rPr>
          <w:b/>
        </w:rPr>
      </w:pPr>
      <w:r w:rsidRPr="00504BE5">
        <w:t>V rámci stávajících podpor z OPŽP lze nově podpořit též projekty na hospodaření se srážkovou vodou, tzv. velkou dešťovku.</w:t>
      </w:r>
      <w:r>
        <w:rPr>
          <w:b/>
        </w:rPr>
        <w:t xml:space="preserve"> U těchto projektů nebylo MŽP schopné vyčíslit výši čerpání, protože to neumožňoval systém vykazování prostředků</w:t>
      </w:r>
      <w:r w:rsidR="00E22A00">
        <w:rPr>
          <w:b/>
        </w:rPr>
        <w:t xml:space="preserve"> (maximálně se jednalo</w:t>
      </w:r>
      <w:r w:rsidR="0009530B">
        <w:rPr>
          <w:b/>
        </w:rPr>
        <w:br/>
      </w:r>
      <w:r w:rsidR="00E22A00">
        <w:rPr>
          <w:b/>
        </w:rPr>
        <w:t>o cca 10 </w:t>
      </w:r>
      <w:r>
        <w:rPr>
          <w:b/>
        </w:rPr>
        <w:t>m</w:t>
      </w:r>
      <w:r w:rsidR="0052487D">
        <w:rPr>
          <w:b/>
        </w:rPr>
        <w:t>il.</w:t>
      </w:r>
      <w:r>
        <w:rPr>
          <w:b/>
        </w:rPr>
        <w:t xml:space="preserve"> </w:t>
      </w:r>
      <w:r w:rsidR="001D57E2">
        <w:rPr>
          <w:b/>
        </w:rPr>
        <w:t>Kč</w:t>
      </w:r>
      <w:r>
        <w:rPr>
          <w:b/>
        </w:rPr>
        <w:t>).</w:t>
      </w:r>
    </w:p>
    <w:p w14:paraId="129213FF" w14:textId="77777777" w:rsidR="00A62E62" w:rsidRPr="00A62E62" w:rsidRDefault="00A62E62" w:rsidP="00A62E62">
      <w:pPr>
        <w:spacing w:before="0"/>
      </w:pPr>
    </w:p>
    <w:p w14:paraId="24EE9FFA" w14:textId="695426B4" w:rsidR="001D0350" w:rsidRDefault="00684915" w:rsidP="00A62E62">
      <w:pPr>
        <w:spacing w:before="0"/>
        <w:rPr>
          <w:b/>
        </w:rPr>
      </w:pPr>
      <w:r>
        <w:rPr>
          <w:b/>
        </w:rPr>
        <w:t xml:space="preserve">Marginální čerpání probíhalo také u národních dotačních </w:t>
      </w:r>
      <w:r w:rsidR="006360E7">
        <w:rPr>
          <w:b/>
        </w:rPr>
        <w:t>programů</w:t>
      </w:r>
      <w:r>
        <w:rPr>
          <w:b/>
        </w:rPr>
        <w:t xml:space="preserve"> MŽP, kde například na environmentální vzdělávání, výchovu, osvětu a poradenství bylo vynaloženo pouze</w:t>
      </w:r>
      <w:r w:rsidR="0009530B">
        <w:rPr>
          <w:b/>
        </w:rPr>
        <w:br/>
      </w:r>
      <w:r>
        <w:rPr>
          <w:b/>
        </w:rPr>
        <w:t>294 tis</w:t>
      </w:r>
      <w:r w:rsidR="00C2750A">
        <w:rPr>
          <w:b/>
        </w:rPr>
        <w:t>.</w:t>
      </w:r>
      <w:r>
        <w:rPr>
          <w:b/>
        </w:rPr>
        <w:t xml:space="preserve"> Kč.</w:t>
      </w:r>
    </w:p>
    <w:p w14:paraId="0625A6B5" w14:textId="5477399F" w:rsidR="00FB64A7" w:rsidRDefault="00FB64A7" w:rsidP="00A62E62">
      <w:pPr>
        <w:spacing w:before="0"/>
        <w:rPr>
          <w:b/>
        </w:rPr>
      </w:pPr>
    </w:p>
    <w:p w14:paraId="5C441B95" w14:textId="1C1D54D3" w:rsidR="00BD6545" w:rsidRPr="00146B6A" w:rsidRDefault="00146B6A" w:rsidP="00146B6A">
      <w:pPr>
        <w:keepNext/>
        <w:spacing w:before="0"/>
        <w:outlineLvl w:val="0"/>
        <w:rPr>
          <w:b/>
        </w:rPr>
      </w:pPr>
      <w:r>
        <w:rPr>
          <w:b/>
        </w:rPr>
        <w:t xml:space="preserve">6. </w:t>
      </w:r>
      <w:r w:rsidR="00AD7E3F" w:rsidRPr="00146B6A">
        <w:rPr>
          <w:b/>
        </w:rPr>
        <w:t>Miliardové chyby ve výkaznictví</w:t>
      </w:r>
    </w:p>
    <w:p w14:paraId="7AAF115B" w14:textId="77777777" w:rsidR="00146B6A" w:rsidRDefault="00146B6A" w:rsidP="00146B6A">
      <w:pPr>
        <w:keepNext/>
        <w:spacing w:before="0"/>
      </w:pPr>
    </w:p>
    <w:p w14:paraId="57F6F36A" w14:textId="499F2DDB" w:rsidR="00F054B8" w:rsidRDefault="00F054B8" w:rsidP="00146B6A">
      <w:pPr>
        <w:spacing w:before="0"/>
      </w:pPr>
      <w:r>
        <w:t xml:space="preserve">Výkaznictví má představovat reálný obraz stavu použití veřejných prostředků a je základem pro správné řízení a rozhodování. Nepřesné informace ve výkaznictví vedou k chybným </w:t>
      </w:r>
      <w:r w:rsidR="006C7174">
        <w:t xml:space="preserve">závěrům a </w:t>
      </w:r>
      <w:r>
        <w:t>řešením.</w:t>
      </w:r>
    </w:p>
    <w:p w14:paraId="0772E6CD" w14:textId="77777777" w:rsidR="008C4E47" w:rsidRDefault="008C4E47" w:rsidP="00146B6A">
      <w:pPr>
        <w:spacing w:before="0"/>
        <w:outlineLvl w:val="1"/>
        <w:rPr>
          <w:rFonts w:asciiTheme="minorHAnsi" w:hAnsiTheme="minorHAnsi" w:cstheme="minorHAnsi"/>
        </w:rPr>
      </w:pPr>
    </w:p>
    <w:p w14:paraId="2CCC6F74" w14:textId="260B90C8" w:rsidR="00BF6822" w:rsidRPr="00146B6A" w:rsidRDefault="00FB64A7" w:rsidP="00146B6A">
      <w:pPr>
        <w:keepNext/>
        <w:spacing w:before="0"/>
        <w:outlineLvl w:val="1"/>
        <w:rPr>
          <w:rFonts w:asciiTheme="minorHAnsi" w:hAnsiTheme="minorHAnsi" w:cstheme="minorHAnsi"/>
          <w:b/>
        </w:rPr>
      </w:pPr>
      <w:r w:rsidRPr="00146B6A">
        <w:rPr>
          <w:rFonts w:asciiTheme="minorHAnsi" w:hAnsiTheme="minorHAnsi" w:cstheme="minorHAnsi"/>
          <w:b/>
        </w:rPr>
        <w:t xml:space="preserve">6.1 </w:t>
      </w:r>
      <w:r w:rsidR="00BF6822" w:rsidRPr="00146B6A">
        <w:rPr>
          <w:rFonts w:asciiTheme="minorHAnsi" w:hAnsiTheme="minorHAnsi" w:cstheme="minorHAnsi"/>
          <w:b/>
        </w:rPr>
        <w:t>Chybně vykázaná výše prostředků</w:t>
      </w:r>
    </w:p>
    <w:p w14:paraId="07FC79BC" w14:textId="77777777" w:rsidR="00146B6A" w:rsidRDefault="00146B6A" w:rsidP="00146B6A">
      <w:pPr>
        <w:keepNext/>
        <w:spacing w:before="0"/>
        <w:rPr>
          <w:rFonts w:asciiTheme="minorHAnsi" w:hAnsiTheme="minorHAnsi" w:cstheme="minorHAnsi"/>
        </w:rPr>
      </w:pPr>
    </w:p>
    <w:p w14:paraId="46C14780" w14:textId="622F61B5" w:rsidR="00BF6822" w:rsidRDefault="00BF6822" w:rsidP="00146B6A">
      <w:pPr>
        <w:spacing w:before="0"/>
        <w:rPr>
          <w:rFonts w:asciiTheme="minorHAnsi" w:hAnsiTheme="minorHAnsi" w:cstheme="minorHAnsi"/>
        </w:rPr>
      </w:pPr>
      <w:proofErr w:type="spellStart"/>
      <w:r w:rsidRPr="00F17264">
        <w:rPr>
          <w:rFonts w:asciiTheme="minorHAnsi" w:hAnsiTheme="minorHAnsi" w:cstheme="minorHAnsi"/>
        </w:rPr>
        <w:t>MZe</w:t>
      </w:r>
      <w:proofErr w:type="spellEnd"/>
      <w:r w:rsidRPr="00F17264">
        <w:rPr>
          <w:rFonts w:asciiTheme="minorHAnsi" w:hAnsiTheme="minorHAnsi" w:cstheme="minorHAnsi"/>
        </w:rPr>
        <w:t xml:space="preserve"> vykázalo celkový poskytnutý objem financí v dotačních programech a podporách Ministerstva zemědělství v letech 2016</w:t>
      </w:r>
      <w:r w:rsidR="00141E9C">
        <w:rPr>
          <w:rFonts w:asciiTheme="minorHAnsi" w:hAnsiTheme="minorHAnsi" w:cstheme="minorHAnsi"/>
        </w:rPr>
        <w:t>–</w:t>
      </w:r>
      <w:r w:rsidRPr="00F17264">
        <w:rPr>
          <w:rFonts w:asciiTheme="minorHAnsi" w:hAnsiTheme="minorHAnsi" w:cstheme="minorHAnsi"/>
        </w:rPr>
        <w:t xml:space="preserve">2017 (v několika případech zahrnut i rok 2018 do srpna) pro omezení následků sucha a nedostatku vody v celkové výši 29 036,7 </w:t>
      </w:r>
      <w:r w:rsidR="005E5037">
        <w:rPr>
          <w:rFonts w:asciiTheme="minorHAnsi" w:hAnsiTheme="minorHAnsi" w:cstheme="minorHAnsi"/>
        </w:rPr>
        <w:t>mil.</w:t>
      </w:r>
      <w:r w:rsidRPr="00F17264">
        <w:rPr>
          <w:rFonts w:asciiTheme="minorHAnsi" w:hAnsiTheme="minorHAnsi" w:cstheme="minorHAnsi"/>
        </w:rPr>
        <w:t xml:space="preserve"> Kč, z toho 21 599,5 </w:t>
      </w:r>
      <w:r w:rsidR="005E5037">
        <w:rPr>
          <w:rFonts w:asciiTheme="minorHAnsi" w:hAnsiTheme="minorHAnsi" w:cstheme="minorHAnsi"/>
        </w:rPr>
        <w:t>mil.</w:t>
      </w:r>
      <w:r w:rsidRPr="00F17264">
        <w:rPr>
          <w:rFonts w:asciiTheme="minorHAnsi" w:hAnsiTheme="minorHAnsi" w:cstheme="minorHAnsi"/>
        </w:rPr>
        <w:t xml:space="preserve"> Kč podpory financované z EU. </w:t>
      </w:r>
    </w:p>
    <w:p w14:paraId="55692B20" w14:textId="77777777" w:rsidR="00146B6A" w:rsidRPr="00F17264" w:rsidRDefault="00146B6A" w:rsidP="00146B6A">
      <w:pPr>
        <w:spacing w:before="0"/>
        <w:rPr>
          <w:rFonts w:asciiTheme="minorHAnsi" w:hAnsiTheme="minorHAnsi" w:cstheme="minorHAnsi"/>
        </w:rPr>
      </w:pPr>
    </w:p>
    <w:p w14:paraId="7FE0E0AC" w14:textId="73517B34" w:rsidR="00BF6822" w:rsidRDefault="00BF6822" w:rsidP="00146B6A">
      <w:pPr>
        <w:spacing w:before="0"/>
        <w:rPr>
          <w:rFonts w:asciiTheme="minorHAnsi" w:hAnsiTheme="minorHAnsi" w:cstheme="minorHAnsi"/>
          <w:b/>
        </w:rPr>
      </w:pPr>
      <w:r w:rsidRPr="00534A16">
        <w:rPr>
          <w:rFonts w:asciiTheme="minorHAnsi" w:hAnsiTheme="minorHAnsi" w:cstheme="minorHAnsi"/>
          <w:b/>
        </w:rPr>
        <w:t xml:space="preserve">Kontrolou bylo zjištěno, že správná částka činila 25 973,66 mil. Kč. Rozdíl mezi vykázanými a skutečně vynaloženými prostředky činil 3 063,04 mil. Kč. </w:t>
      </w:r>
    </w:p>
    <w:p w14:paraId="3B70405E" w14:textId="77777777" w:rsidR="00146B6A" w:rsidRPr="00146B6A" w:rsidRDefault="00146B6A" w:rsidP="00146B6A">
      <w:pPr>
        <w:spacing w:before="0"/>
        <w:rPr>
          <w:rFonts w:asciiTheme="minorHAnsi" w:hAnsiTheme="minorHAnsi" w:cstheme="minorHAnsi"/>
        </w:rPr>
      </w:pPr>
    </w:p>
    <w:p w14:paraId="4A5517BD" w14:textId="3BE4B585" w:rsidR="00BF6822" w:rsidRPr="00534A16" w:rsidRDefault="00BF6822" w:rsidP="00146B6A">
      <w:pPr>
        <w:spacing w:before="0"/>
        <w:rPr>
          <w:rFonts w:asciiTheme="minorHAnsi" w:hAnsiTheme="minorHAnsi" w:cstheme="minorHAnsi"/>
          <w:b/>
        </w:rPr>
      </w:pPr>
      <w:proofErr w:type="spellStart"/>
      <w:r w:rsidRPr="00534A16">
        <w:rPr>
          <w:rFonts w:asciiTheme="minorHAnsi" w:hAnsiTheme="minorHAnsi" w:cstheme="minorHAnsi"/>
          <w:b/>
        </w:rPr>
        <w:t>MZe</w:t>
      </w:r>
      <w:proofErr w:type="spellEnd"/>
      <w:r w:rsidRPr="00534A16">
        <w:rPr>
          <w:rFonts w:asciiTheme="minorHAnsi" w:hAnsiTheme="minorHAnsi" w:cstheme="minorHAnsi"/>
          <w:b/>
        </w:rPr>
        <w:t xml:space="preserve"> v</w:t>
      </w:r>
      <w:r w:rsidR="005A7950">
        <w:rPr>
          <w:rFonts w:asciiTheme="minorHAnsi" w:hAnsiTheme="minorHAnsi" w:cstheme="minorHAnsi"/>
          <w:b/>
        </w:rPr>
        <w:t> </w:t>
      </w:r>
      <w:r w:rsidR="00F17264">
        <w:rPr>
          <w:rFonts w:asciiTheme="minorHAnsi" w:hAnsiTheme="minorHAnsi" w:cstheme="minorHAnsi"/>
          <w:b/>
        </w:rPr>
        <w:t>„</w:t>
      </w:r>
      <w:r w:rsidR="005E5037">
        <w:rPr>
          <w:rFonts w:asciiTheme="minorHAnsi" w:hAnsiTheme="minorHAnsi" w:cstheme="minorHAnsi"/>
          <w:b/>
          <w:i/>
        </w:rPr>
        <w:t>i</w:t>
      </w:r>
      <w:r w:rsidRPr="005A7950">
        <w:rPr>
          <w:rFonts w:asciiTheme="minorHAnsi" w:hAnsiTheme="minorHAnsi" w:cstheme="minorHAnsi"/>
          <w:b/>
          <w:i/>
        </w:rPr>
        <w:t>nformaci</w:t>
      </w:r>
      <w:r w:rsidR="005A7950" w:rsidRPr="005A7950">
        <w:rPr>
          <w:rFonts w:asciiTheme="minorHAnsi" w:hAnsiTheme="minorHAnsi" w:cstheme="minorHAnsi"/>
          <w:b/>
          <w:i/>
        </w:rPr>
        <w:t xml:space="preserve"> o průběhu naplňování programů k omezení následků sucha a nedostatku vody v České republice v gesci Ministerstva zemědělství</w:t>
      </w:r>
      <w:r w:rsidR="00F17264">
        <w:rPr>
          <w:rFonts w:asciiTheme="minorHAnsi" w:hAnsiTheme="minorHAnsi" w:cstheme="minorHAnsi"/>
          <w:b/>
          <w:i/>
        </w:rPr>
        <w:t>“</w:t>
      </w:r>
      <w:r w:rsidR="00F13E91">
        <w:rPr>
          <w:rFonts w:asciiTheme="minorHAnsi" w:hAnsiTheme="minorHAnsi" w:cstheme="minorHAnsi"/>
          <w:b/>
          <w:i/>
        </w:rPr>
        <w:t xml:space="preserve"> </w:t>
      </w:r>
      <w:r w:rsidR="00F13E91" w:rsidRPr="00F13E91">
        <w:rPr>
          <w:rFonts w:asciiTheme="minorHAnsi" w:hAnsiTheme="minorHAnsi" w:cstheme="minorHAnsi"/>
        </w:rPr>
        <w:t>(dále též „Informace“)</w:t>
      </w:r>
      <w:r w:rsidRPr="00534A16">
        <w:rPr>
          <w:rFonts w:asciiTheme="minorHAnsi" w:hAnsiTheme="minorHAnsi" w:cstheme="minorHAnsi"/>
          <w:b/>
        </w:rPr>
        <w:t xml:space="preserve"> předložené </w:t>
      </w:r>
      <w:r>
        <w:rPr>
          <w:rFonts w:asciiTheme="minorHAnsi" w:hAnsiTheme="minorHAnsi" w:cstheme="minorHAnsi"/>
          <w:b/>
        </w:rPr>
        <w:t>v</w:t>
      </w:r>
      <w:r w:rsidRPr="00534A16">
        <w:rPr>
          <w:rFonts w:asciiTheme="minorHAnsi" w:hAnsiTheme="minorHAnsi" w:cstheme="minorHAnsi"/>
          <w:b/>
        </w:rPr>
        <w:t>ládě ČR</w:t>
      </w:r>
      <w:r w:rsidR="005A7950">
        <w:rPr>
          <w:rFonts w:asciiTheme="minorHAnsi" w:hAnsiTheme="minorHAnsi" w:cstheme="minorHAnsi"/>
          <w:b/>
        </w:rPr>
        <w:t xml:space="preserve"> (projednané vládou ČR dne 7. 1. 2019</w:t>
      </w:r>
      <w:r w:rsidR="00D870E4">
        <w:rPr>
          <w:rFonts w:asciiTheme="minorHAnsi" w:hAnsiTheme="minorHAnsi" w:cstheme="minorHAnsi"/>
          <w:b/>
        </w:rPr>
        <w:t xml:space="preserve"> a vzaté na vědomí usnesením vlády ČR </w:t>
      </w:r>
      <w:r w:rsidR="005E5037">
        <w:rPr>
          <w:rFonts w:asciiTheme="minorHAnsi" w:hAnsiTheme="minorHAnsi" w:cstheme="minorHAnsi"/>
          <w:b/>
        </w:rPr>
        <w:t xml:space="preserve">ze dne 7. ledna 2019 </w:t>
      </w:r>
      <w:r w:rsidR="00D870E4">
        <w:rPr>
          <w:rFonts w:asciiTheme="minorHAnsi" w:hAnsiTheme="minorHAnsi" w:cstheme="minorHAnsi"/>
          <w:b/>
        </w:rPr>
        <w:t>č. 7</w:t>
      </w:r>
      <w:r w:rsidR="005A7950">
        <w:rPr>
          <w:rFonts w:asciiTheme="minorHAnsi" w:hAnsiTheme="minorHAnsi" w:cstheme="minorHAnsi"/>
          <w:b/>
        </w:rPr>
        <w:t xml:space="preserve">) </w:t>
      </w:r>
      <w:r w:rsidRPr="00534A16">
        <w:rPr>
          <w:rFonts w:asciiTheme="minorHAnsi" w:hAnsiTheme="minorHAnsi" w:cstheme="minorHAnsi"/>
          <w:b/>
        </w:rPr>
        <w:t>ve vykázaných objemech finančních prostředků uvedlo nesprávné údaje.</w:t>
      </w:r>
    </w:p>
    <w:p w14:paraId="7718B3C5" w14:textId="77777777" w:rsidR="00146B6A" w:rsidRDefault="00146B6A" w:rsidP="00146B6A">
      <w:pPr>
        <w:spacing w:before="0"/>
        <w:rPr>
          <w:rFonts w:asciiTheme="minorHAnsi" w:hAnsiTheme="minorHAnsi" w:cstheme="minorHAnsi"/>
        </w:rPr>
      </w:pPr>
    </w:p>
    <w:p w14:paraId="3D7C7DAF" w14:textId="49D1222B" w:rsidR="00BF6822" w:rsidRPr="00C844CD" w:rsidRDefault="00BF6822" w:rsidP="00146B6A">
      <w:pPr>
        <w:spacing w:before="0"/>
        <w:rPr>
          <w:rFonts w:asciiTheme="minorHAnsi" w:hAnsiTheme="minorHAnsi" w:cstheme="minorHAnsi"/>
        </w:rPr>
      </w:pPr>
      <w:r w:rsidRPr="00C844CD">
        <w:rPr>
          <w:rFonts w:asciiTheme="minorHAnsi" w:hAnsiTheme="minorHAnsi" w:cstheme="minorHAnsi"/>
        </w:rPr>
        <w:t>Rozdíly byly způsobeny zejména následujícími skutečnostmi:</w:t>
      </w:r>
    </w:p>
    <w:p w14:paraId="6BEE7C1C" w14:textId="28CFADF8" w:rsidR="00BF6822" w:rsidRDefault="00BF6822" w:rsidP="00146B6A">
      <w:pPr>
        <w:pStyle w:val="Odstavecseseznamem"/>
        <w:numPr>
          <w:ilvl w:val="0"/>
          <w:numId w:val="33"/>
        </w:numPr>
        <w:spacing w:before="0"/>
        <w:ind w:left="284" w:hanging="284"/>
        <w:contextualSpacing w:val="0"/>
        <w:rPr>
          <w:rFonts w:asciiTheme="minorHAnsi" w:hAnsiTheme="minorHAnsi" w:cstheme="minorHAnsi"/>
        </w:rPr>
      </w:pPr>
      <w:r w:rsidRPr="00FA6450">
        <w:rPr>
          <w:rFonts w:asciiTheme="minorHAnsi" w:hAnsiTheme="minorHAnsi" w:cstheme="minorHAnsi"/>
        </w:rPr>
        <w:t xml:space="preserve">U dotačního </w:t>
      </w:r>
      <w:r w:rsidR="006360E7">
        <w:rPr>
          <w:rFonts w:asciiTheme="minorHAnsi" w:hAnsiTheme="minorHAnsi" w:cstheme="minorHAnsi"/>
        </w:rPr>
        <w:t>programu</w:t>
      </w:r>
      <w:r w:rsidRPr="00FA6450">
        <w:rPr>
          <w:rFonts w:asciiTheme="minorHAnsi" w:hAnsiTheme="minorHAnsi" w:cstheme="minorHAnsi"/>
        </w:rPr>
        <w:t xml:space="preserve"> 129 280</w:t>
      </w:r>
      <w:r w:rsidR="00DB2133">
        <w:rPr>
          <w:rFonts w:asciiTheme="minorHAnsi" w:hAnsiTheme="minorHAnsi" w:cstheme="minorHAnsi"/>
        </w:rPr>
        <w:t> –</w:t>
      </w:r>
      <w:r w:rsidRPr="00FA6450">
        <w:rPr>
          <w:rFonts w:asciiTheme="minorHAnsi" w:hAnsiTheme="minorHAnsi" w:cstheme="minorHAnsi"/>
        </w:rPr>
        <w:t xml:space="preserve"> </w:t>
      </w:r>
      <w:r w:rsidRPr="00C2750A">
        <w:rPr>
          <w:rFonts w:asciiTheme="minorHAnsi" w:hAnsiTheme="minorHAnsi" w:cstheme="minorHAnsi"/>
          <w:i/>
        </w:rPr>
        <w:t>Podpora retence vody v krajině – rybníky a vodní nádrže</w:t>
      </w:r>
      <w:r w:rsidRPr="00FA6450">
        <w:rPr>
          <w:rFonts w:asciiTheme="minorHAnsi" w:hAnsiTheme="minorHAnsi" w:cstheme="minorHAnsi"/>
        </w:rPr>
        <w:t xml:space="preserve"> </w:t>
      </w:r>
      <w:r w:rsidR="00501E78" w:rsidRPr="00FA6450">
        <w:rPr>
          <w:rFonts w:asciiTheme="minorHAnsi" w:hAnsiTheme="minorHAnsi" w:cstheme="minorHAnsi"/>
        </w:rPr>
        <w:t xml:space="preserve">vykázalo </w:t>
      </w:r>
      <w:proofErr w:type="spellStart"/>
      <w:r w:rsidRPr="00FA6450">
        <w:rPr>
          <w:rFonts w:asciiTheme="minorHAnsi" w:hAnsiTheme="minorHAnsi" w:cstheme="minorHAnsi"/>
        </w:rPr>
        <w:t>MZe</w:t>
      </w:r>
      <w:proofErr w:type="spellEnd"/>
      <w:r>
        <w:rPr>
          <w:rFonts w:asciiTheme="minorHAnsi" w:hAnsiTheme="minorHAnsi" w:cstheme="minorHAnsi"/>
        </w:rPr>
        <w:t xml:space="preserve"> v Informaci</w:t>
      </w:r>
      <w:r w:rsidRPr="00FA6450">
        <w:rPr>
          <w:rFonts w:asciiTheme="minorHAnsi" w:hAnsiTheme="minorHAnsi" w:cstheme="minorHAnsi"/>
        </w:rPr>
        <w:t xml:space="preserve"> částku 450 mil. Kč, ačkoli ke konci roku 2017 bylo vyplaceno 31</w:t>
      </w:r>
      <w:r w:rsidR="00C10864">
        <w:rPr>
          <w:rFonts w:asciiTheme="minorHAnsi" w:hAnsiTheme="minorHAnsi" w:cstheme="minorHAnsi"/>
        </w:rPr>
        <w:t> </w:t>
      </w:r>
      <w:r w:rsidRPr="00FA6450">
        <w:rPr>
          <w:rFonts w:asciiTheme="minorHAnsi" w:hAnsiTheme="minorHAnsi" w:cstheme="minorHAnsi"/>
        </w:rPr>
        <w:t>mil. Kč</w:t>
      </w:r>
      <w:r w:rsidR="00DB2133">
        <w:rPr>
          <w:rFonts w:asciiTheme="minorHAnsi" w:hAnsiTheme="minorHAnsi" w:cstheme="minorHAnsi"/>
        </w:rPr>
        <w:t>.</w:t>
      </w:r>
      <w:r w:rsidRPr="00FA6450">
        <w:rPr>
          <w:rFonts w:asciiTheme="minorHAnsi" w:hAnsiTheme="minorHAnsi" w:cstheme="minorHAnsi"/>
        </w:rPr>
        <w:t xml:space="preserve"> (</w:t>
      </w:r>
      <w:r w:rsidR="00DB2133">
        <w:rPr>
          <w:rFonts w:asciiTheme="minorHAnsi" w:hAnsiTheme="minorHAnsi" w:cstheme="minorHAnsi"/>
        </w:rPr>
        <w:t>R</w:t>
      </w:r>
      <w:r w:rsidRPr="00FA6450">
        <w:rPr>
          <w:rFonts w:asciiTheme="minorHAnsi" w:hAnsiTheme="minorHAnsi" w:cstheme="minorHAnsi"/>
        </w:rPr>
        <w:t>ok 2018 nebyl dle Informace součástí vykazovaných prostředků</w:t>
      </w:r>
      <w:r w:rsidR="00DB2133">
        <w:rPr>
          <w:rFonts w:asciiTheme="minorHAnsi" w:hAnsiTheme="minorHAnsi" w:cstheme="minorHAnsi"/>
        </w:rPr>
        <w:t>.</w:t>
      </w:r>
      <w:r w:rsidRPr="00FA6450">
        <w:rPr>
          <w:rFonts w:asciiTheme="minorHAnsi" w:hAnsiTheme="minorHAnsi" w:cstheme="minorHAnsi"/>
        </w:rPr>
        <w:t xml:space="preserve">) </w:t>
      </w:r>
    </w:p>
    <w:p w14:paraId="371C40B3" w14:textId="60E1BA6F" w:rsidR="00BF6822" w:rsidRDefault="00BF6822" w:rsidP="00146B6A">
      <w:pPr>
        <w:pStyle w:val="Odstavecseseznamem"/>
        <w:numPr>
          <w:ilvl w:val="0"/>
          <w:numId w:val="33"/>
        </w:numPr>
        <w:spacing w:before="0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dotačního </w:t>
      </w:r>
      <w:r w:rsidR="006360E7">
        <w:rPr>
          <w:rFonts w:asciiTheme="minorHAnsi" w:hAnsiTheme="minorHAnsi" w:cstheme="minorHAnsi"/>
        </w:rPr>
        <w:t>programu</w:t>
      </w:r>
      <w:r>
        <w:rPr>
          <w:rFonts w:asciiTheme="minorHAnsi" w:hAnsiTheme="minorHAnsi" w:cstheme="minorHAnsi"/>
        </w:rPr>
        <w:t xml:space="preserve"> 129 300</w:t>
      </w:r>
      <w:r w:rsidR="00DB2133">
        <w:rPr>
          <w:rFonts w:asciiTheme="minorHAnsi" w:hAnsiTheme="minorHAnsi" w:cstheme="minorHAnsi"/>
        </w:rPr>
        <w:t> –</w:t>
      </w:r>
      <w:r>
        <w:rPr>
          <w:rFonts w:asciiTheme="minorHAnsi" w:hAnsiTheme="minorHAnsi" w:cstheme="minorHAnsi"/>
        </w:rPr>
        <w:t xml:space="preserve"> </w:t>
      </w:r>
      <w:r w:rsidRPr="00C2750A">
        <w:rPr>
          <w:rFonts w:asciiTheme="minorHAnsi" w:hAnsiTheme="minorHAnsi" w:cstheme="minorHAnsi"/>
          <w:i/>
        </w:rPr>
        <w:t>Podpora výstavby a technického zhodnocení infrastruktury vodovodů a kanalizací II</w:t>
      </w:r>
      <w:r>
        <w:rPr>
          <w:rFonts w:asciiTheme="minorHAnsi" w:hAnsiTheme="minorHAnsi" w:cstheme="minorHAnsi"/>
        </w:rPr>
        <w:t xml:space="preserve"> </w:t>
      </w:r>
      <w:r w:rsidR="00501E78" w:rsidRPr="00FA6450">
        <w:rPr>
          <w:rFonts w:asciiTheme="minorHAnsi" w:hAnsiTheme="minorHAnsi" w:cstheme="minorHAnsi"/>
        </w:rPr>
        <w:t xml:space="preserve">vykázalo </w:t>
      </w:r>
      <w:proofErr w:type="spellStart"/>
      <w:r>
        <w:rPr>
          <w:rFonts w:asciiTheme="minorHAnsi" w:hAnsiTheme="minorHAnsi" w:cstheme="minorHAnsi"/>
        </w:rPr>
        <w:t>MZe</w:t>
      </w:r>
      <w:proofErr w:type="spellEnd"/>
      <w:r>
        <w:rPr>
          <w:rFonts w:asciiTheme="minorHAnsi" w:hAnsiTheme="minorHAnsi" w:cstheme="minorHAnsi"/>
        </w:rPr>
        <w:t xml:space="preserve"> v Informaci částku 803,</w:t>
      </w:r>
      <w:r w:rsidR="00F4432C">
        <w:rPr>
          <w:rFonts w:asciiTheme="minorHAnsi" w:hAnsiTheme="minorHAnsi" w:cstheme="minorHAnsi"/>
        </w:rPr>
        <w:t>68</w:t>
      </w:r>
      <w:r>
        <w:rPr>
          <w:rFonts w:asciiTheme="minorHAnsi" w:hAnsiTheme="minorHAnsi" w:cstheme="minorHAnsi"/>
        </w:rPr>
        <w:t xml:space="preserve"> mil. Kč, ačkoli bylo vyplaceno (k 15. 8. 2018) 589,268 mil. Kč. </w:t>
      </w:r>
    </w:p>
    <w:p w14:paraId="51EAD6B0" w14:textId="1D326381" w:rsidR="00BF6822" w:rsidRDefault="00BF6822" w:rsidP="00146B6A">
      <w:pPr>
        <w:pStyle w:val="Odstavecseseznamem"/>
        <w:numPr>
          <w:ilvl w:val="0"/>
          <w:numId w:val="33"/>
        </w:numPr>
        <w:spacing w:before="0"/>
        <w:ind w:left="284" w:hanging="284"/>
        <w:contextualSpacing w:val="0"/>
        <w:rPr>
          <w:rFonts w:asciiTheme="minorHAnsi" w:hAnsiTheme="minorHAnsi" w:cstheme="minorHAnsi"/>
        </w:rPr>
      </w:pPr>
      <w:r w:rsidRPr="00FA6450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z</w:t>
      </w:r>
      <w:r w:rsidRPr="00FA6450">
        <w:rPr>
          <w:rFonts w:asciiTheme="minorHAnsi" w:hAnsiTheme="minorHAnsi" w:cstheme="minorHAnsi"/>
        </w:rPr>
        <w:t xml:space="preserve">mírnění škod způsobených suchem na zemědělských plodinách </w:t>
      </w:r>
      <w:proofErr w:type="spellStart"/>
      <w:r w:rsidRPr="00FA6450">
        <w:rPr>
          <w:rFonts w:asciiTheme="minorHAnsi" w:hAnsiTheme="minorHAnsi" w:cstheme="minorHAnsi"/>
        </w:rPr>
        <w:t>MZe</w:t>
      </w:r>
      <w:proofErr w:type="spellEnd"/>
      <w:r>
        <w:rPr>
          <w:rFonts w:asciiTheme="minorHAnsi" w:hAnsiTheme="minorHAnsi" w:cstheme="minorHAnsi"/>
        </w:rPr>
        <w:t xml:space="preserve"> v Informaci</w:t>
      </w:r>
      <w:r w:rsidRPr="00FA6450">
        <w:rPr>
          <w:rFonts w:asciiTheme="minorHAnsi" w:hAnsiTheme="minorHAnsi" w:cstheme="minorHAnsi"/>
        </w:rPr>
        <w:t xml:space="preserve"> vykázalo částku 4 120 mil. Kč, ačkoli </w:t>
      </w:r>
      <w:proofErr w:type="spellStart"/>
      <w:r w:rsidRPr="00FA6450">
        <w:rPr>
          <w:rFonts w:asciiTheme="minorHAnsi" w:hAnsiTheme="minorHAnsi" w:cstheme="minorHAnsi"/>
        </w:rPr>
        <w:t>MZe</w:t>
      </w:r>
      <w:proofErr w:type="spellEnd"/>
      <w:r w:rsidRPr="00FA6450">
        <w:rPr>
          <w:rFonts w:asciiTheme="minorHAnsi" w:hAnsiTheme="minorHAnsi" w:cstheme="minorHAnsi"/>
        </w:rPr>
        <w:t xml:space="preserve"> za škody </w:t>
      </w:r>
      <w:r w:rsidR="000B3B80">
        <w:rPr>
          <w:rFonts w:asciiTheme="minorHAnsi" w:hAnsiTheme="minorHAnsi" w:cstheme="minorHAnsi"/>
        </w:rPr>
        <w:t>vzniklé v roce 2015 a 2017</w:t>
      </w:r>
      <w:r w:rsidRPr="00FA6450">
        <w:rPr>
          <w:rFonts w:asciiTheme="minorHAnsi" w:hAnsiTheme="minorHAnsi" w:cstheme="minorHAnsi"/>
        </w:rPr>
        <w:t xml:space="preserve"> vyplatilo </w:t>
      </w:r>
      <w:r w:rsidRPr="00FA6450">
        <w:rPr>
          <w:rFonts w:asciiTheme="minorHAnsi" w:hAnsiTheme="minorHAnsi" w:cstheme="minorHAnsi"/>
        </w:rPr>
        <w:lastRenderedPageBreak/>
        <w:t>2</w:t>
      </w:r>
      <w:r w:rsidR="00C10864">
        <w:rPr>
          <w:rFonts w:asciiTheme="minorHAnsi" w:hAnsiTheme="minorHAnsi" w:cstheme="minorHAnsi"/>
        </w:rPr>
        <w:t> </w:t>
      </w:r>
      <w:r w:rsidRPr="00FA6450">
        <w:rPr>
          <w:rFonts w:asciiTheme="minorHAnsi" w:hAnsiTheme="minorHAnsi" w:cstheme="minorHAnsi"/>
        </w:rPr>
        <w:t>367</w:t>
      </w:r>
      <w:r w:rsidR="00C10864">
        <w:rPr>
          <w:rFonts w:asciiTheme="minorHAnsi" w:hAnsiTheme="minorHAnsi" w:cstheme="minorHAnsi"/>
        </w:rPr>
        <w:t> </w:t>
      </w:r>
      <w:r w:rsidRPr="00FA6450">
        <w:rPr>
          <w:rFonts w:asciiTheme="minorHAnsi" w:hAnsiTheme="minorHAnsi" w:cstheme="minorHAnsi"/>
        </w:rPr>
        <w:t>mil.</w:t>
      </w:r>
      <w:r w:rsidR="00C10864">
        <w:rPr>
          <w:rFonts w:asciiTheme="minorHAnsi" w:hAnsiTheme="minorHAnsi" w:cstheme="minorHAnsi"/>
        </w:rPr>
        <w:t> </w:t>
      </w:r>
      <w:r w:rsidRPr="00FA6450">
        <w:rPr>
          <w:rFonts w:asciiTheme="minorHAnsi" w:hAnsiTheme="minorHAnsi" w:cstheme="minorHAnsi"/>
        </w:rPr>
        <w:t xml:space="preserve">Kč. Nesprávně byl započten i alokovaný, avšak neproplacený objem finančních prostředků pro rok 2016 ve výši 1 750 mil. Kč </w:t>
      </w:r>
    </w:p>
    <w:p w14:paraId="393AF89A" w14:textId="2FA4FA48" w:rsidR="00BF6822" w:rsidRDefault="00BF6822" w:rsidP="00146B6A">
      <w:pPr>
        <w:pStyle w:val="Odstavecseseznamem"/>
        <w:numPr>
          <w:ilvl w:val="0"/>
          <w:numId w:val="33"/>
        </w:numPr>
        <w:spacing w:before="0"/>
        <w:ind w:left="284" w:hanging="284"/>
        <w:contextualSpacing w:val="0"/>
        <w:rPr>
          <w:rFonts w:asciiTheme="minorHAnsi" w:hAnsiTheme="minorHAnsi" w:cstheme="minorHAnsi"/>
        </w:rPr>
      </w:pPr>
      <w:r w:rsidRPr="00FA6450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p</w:t>
      </w:r>
      <w:r w:rsidRPr="00FA6450">
        <w:rPr>
          <w:rFonts w:asciiTheme="minorHAnsi" w:hAnsiTheme="minorHAnsi" w:cstheme="minorHAnsi"/>
        </w:rPr>
        <w:t xml:space="preserve">ozemkových úprav z PRV </w:t>
      </w:r>
      <w:r w:rsidR="00501E78" w:rsidRPr="00FA6450">
        <w:rPr>
          <w:rFonts w:asciiTheme="minorHAnsi" w:hAnsiTheme="minorHAnsi" w:cstheme="minorHAnsi"/>
        </w:rPr>
        <w:t xml:space="preserve">vykázalo </w:t>
      </w:r>
      <w:proofErr w:type="spellStart"/>
      <w:r w:rsidRPr="00FA6450">
        <w:rPr>
          <w:rFonts w:asciiTheme="minorHAnsi" w:hAnsiTheme="minorHAnsi" w:cstheme="minorHAnsi"/>
        </w:rPr>
        <w:t>MZe</w:t>
      </w:r>
      <w:proofErr w:type="spellEnd"/>
      <w:r>
        <w:rPr>
          <w:rFonts w:asciiTheme="minorHAnsi" w:hAnsiTheme="minorHAnsi" w:cstheme="minorHAnsi"/>
        </w:rPr>
        <w:t xml:space="preserve"> v Informaci </w:t>
      </w:r>
      <w:r w:rsidRPr="00FA6450">
        <w:rPr>
          <w:rFonts w:asciiTheme="minorHAnsi" w:hAnsiTheme="minorHAnsi" w:cstheme="minorHAnsi"/>
        </w:rPr>
        <w:t>částku 727 mil. Kč, ačkoli projekty týkající</w:t>
      </w:r>
      <w:r>
        <w:rPr>
          <w:rFonts w:asciiTheme="minorHAnsi" w:hAnsiTheme="minorHAnsi" w:cstheme="minorHAnsi"/>
        </w:rPr>
        <w:t xml:space="preserve"> se</w:t>
      </w:r>
      <w:r w:rsidRPr="00FA6450">
        <w:rPr>
          <w:rFonts w:asciiTheme="minorHAnsi" w:hAnsiTheme="minorHAnsi" w:cstheme="minorHAnsi"/>
        </w:rPr>
        <w:t xml:space="preserve"> sucha měly</w:t>
      </w:r>
      <w:r>
        <w:rPr>
          <w:rFonts w:asciiTheme="minorHAnsi" w:hAnsiTheme="minorHAnsi" w:cstheme="minorHAnsi"/>
        </w:rPr>
        <w:t xml:space="preserve"> </w:t>
      </w:r>
      <w:r w:rsidRPr="00FA6450">
        <w:rPr>
          <w:rFonts w:asciiTheme="minorHAnsi" w:hAnsiTheme="minorHAnsi" w:cstheme="minorHAnsi"/>
        </w:rPr>
        <w:t xml:space="preserve">výši dotace 31 mil. Kč. </w:t>
      </w:r>
    </w:p>
    <w:p w14:paraId="265FFD8B" w14:textId="77777777" w:rsidR="00BF6822" w:rsidRPr="00FA6450" w:rsidRDefault="00BF6822" w:rsidP="00146B6A">
      <w:pPr>
        <w:pStyle w:val="Odstavecseseznamem"/>
        <w:numPr>
          <w:ilvl w:val="0"/>
          <w:numId w:val="33"/>
        </w:numPr>
        <w:spacing w:before="0"/>
        <w:ind w:left="284" w:hanging="284"/>
        <w:contextualSpacing w:val="0"/>
        <w:rPr>
          <w:rFonts w:asciiTheme="minorHAnsi" w:hAnsiTheme="minorHAnsi" w:cstheme="minorHAnsi"/>
        </w:rPr>
      </w:pPr>
      <w:r w:rsidRPr="00FA6450">
        <w:rPr>
          <w:rFonts w:asciiTheme="minorHAnsi" w:hAnsiTheme="minorHAnsi" w:cstheme="minorHAnsi"/>
        </w:rPr>
        <w:t xml:space="preserve">Další rozdíl byl u lesnických podpor z PRV, kdy </w:t>
      </w:r>
      <w:proofErr w:type="spellStart"/>
      <w:r>
        <w:rPr>
          <w:rFonts w:asciiTheme="minorHAnsi" w:hAnsiTheme="minorHAnsi" w:cstheme="minorHAnsi"/>
        </w:rPr>
        <w:t>MZe</w:t>
      </w:r>
      <w:proofErr w:type="spellEnd"/>
      <w:r>
        <w:rPr>
          <w:rFonts w:asciiTheme="minorHAnsi" w:hAnsiTheme="minorHAnsi" w:cstheme="minorHAnsi"/>
        </w:rPr>
        <w:t xml:space="preserve"> v Informaci vykázalo</w:t>
      </w:r>
      <w:r w:rsidRPr="00FA6450">
        <w:rPr>
          <w:rFonts w:asciiTheme="minorHAnsi" w:hAnsiTheme="minorHAnsi" w:cstheme="minorHAnsi"/>
        </w:rPr>
        <w:t xml:space="preserve"> 11</w:t>
      </w:r>
      <w:r>
        <w:rPr>
          <w:rFonts w:asciiTheme="minorHAnsi" w:hAnsiTheme="minorHAnsi" w:cstheme="minorHAnsi"/>
        </w:rPr>
        <w:t>0,7</w:t>
      </w:r>
      <w:r w:rsidRPr="00FA6450">
        <w:rPr>
          <w:rFonts w:asciiTheme="minorHAnsi" w:hAnsiTheme="minorHAnsi" w:cstheme="minorHAnsi"/>
        </w:rPr>
        <w:t xml:space="preserve"> mil. Kč, </w:t>
      </w:r>
      <w:r>
        <w:rPr>
          <w:rFonts w:asciiTheme="minorHAnsi" w:hAnsiTheme="minorHAnsi" w:cstheme="minorHAnsi"/>
        </w:rPr>
        <w:t>ale správně mělo být 74 mil. Kč.</w:t>
      </w:r>
    </w:p>
    <w:p w14:paraId="4B8E8FEB" w14:textId="0AD41894" w:rsidR="00BF6822" w:rsidRDefault="00BF6822" w:rsidP="00146B6A">
      <w:pPr>
        <w:pStyle w:val="Odstavecseseznamem"/>
        <w:numPr>
          <w:ilvl w:val="0"/>
          <w:numId w:val="33"/>
        </w:numPr>
        <w:spacing w:before="0"/>
        <w:ind w:left="284" w:hanging="284"/>
        <w:contextualSpacing w:val="0"/>
        <w:rPr>
          <w:rFonts w:asciiTheme="minorHAnsi" w:hAnsiTheme="minorHAnsi" w:cstheme="minorHAnsi"/>
        </w:rPr>
      </w:pPr>
      <w:proofErr w:type="spellStart"/>
      <w:r w:rsidRPr="00B57386">
        <w:rPr>
          <w:rFonts w:asciiTheme="minorHAnsi" w:hAnsiTheme="minorHAnsi" w:cstheme="minorHAnsi"/>
        </w:rPr>
        <w:t>MZe</w:t>
      </w:r>
      <w:proofErr w:type="spellEnd"/>
      <w:r w:rsidRPr="00B57386">
        <w:rPr>
          <w:rFonts w:asciiTheme="minorHAnsi" w:hAnsiTheme="minorHAnsi" w:cstheme="minorHAnsi"/>
        </w:rPr>
        <w:t xml:space="preserve"> u podpor z</w:t>
      </w:r>
      <w:r w:rsidR="00F13E91">
        <w:rPr>
          <w:rFonts w:asciiTheme="minorHAnsi" w:hAnsiTheme="minorHAnsi" w:cstheme="minorHAnsi"/>
        </w:rPr>
        <w:t> </w:t>
      </w:r>
      <w:r w:rsidRPr="00B57386">
        <w:rPr>
          <w:rFonts w:asciiTheme="minorHAnsi" w:hAnsiTheme="minorHAnsi" w:cstheme="minorHAnsi"/>
        </w:rPr>
        <w:t>N</w:t>
      </w:r>
      <w:r w:rsidR="00F13E91">
        <w:rPr>
          <w:rFonts w:asciiTheme="minorHAnsi" w:hAnsiTheme="minorHAnsi" w:cstheme="minorHAnsi"/>
        </w:rPr>
        <w:t>árodní agentury pro zemědělský výzkum</w:t>
      </w:r>
      <w:r w:rsidRPr="00B57386">
        <w:rPr>
          <w:rFonts w:asciiTheme="minorHAnsi" w:hAnsiTheme="minorHAnsi" w:cstheme="minorHAnsi"/>
        </w:rPr>
        <w:t xml:space="preserve"> vykázalo v</w:t>
      </w:r>
      <w:r w:rsidR="00F13E91">
        <w:rPr>
          <w:rFonts w:asciiTheme="minorHAnsi" w:hAnsiTheme="minorHAnsi" w:cstheme="minorHAnsi"/>
        </w:rPr>
        <w:t> </w:t>
      </w:r>
      <w:r w:rsidRPr="00B57386">
        <w:rPr>
          <w:rFonts w:asciiTheme="minorHAnsi" w:hAnsiTheme="minorHAnsi" w:cstheme="minorHAnsi"/>
        </w:rPr>
        <w:t>Informaci místo skutečně vyplacené částky 79,378 mil. Kč částku</w:t>
      </w:r>
      <w:r w:rsidR="00A43FF8">
        <w:rPr>
          <w:rFonts w:asciiTheme="minorHAnsi" w:hAnsiTheme="minorHAnsi" w:cstheme="minorHAnsi"/>
        </w:rPr>
        <w:t xml:space="preserve"> 139,11 mil. Kč v textové části Informace a</w:t>
      </w:r>
      <w:r w:rsidR="00C10864">
        <w:rPr>
          <w:rFonts w:asciiTheme="minorHAnsi" w:hAnsiTheme="minorHAnsi" w:cstheme="minorHAnsi"/>
        </w:rPr>
        <w:t> </w:t>
      </w:r>
      <w:r w:rsidR="00A43FF8">
        <w:rPr>
          <w:rFonts w:asciiTheme="minorHAnsi" w:hAnsiTheme="minorHAnsi" w:cstheme="minorHAnsi"/>
        </w:rPr>
        <w:t>do celkového objemu vyplacených částek započetlo pouze část</w:t>
      </w:r>
      <w:r w:rsidR="001E774E">
        <w:rPr>
          <w:rFonts w:asciiTheme="minorHAnsi" w:hAnsiTheme="minorHAnsi" w:cstheme="minorHAnsi"/>
        </w:rPr>
        <w:t>ku</w:t>
      </w:r>
      <w:r w:rsidRPr="00B57386">
        <w:rPr>
          <w:rFonts w:asciiTheme="minorHAnsi" w:hAnsiTheme="minorHAnsi" w:cstheme="minorHAnsi"/>
        </w:rPr>
        <w:t xml:space="preserve"> 12 mil. Kč</w:t>
      </w:r>
      <w:r w:rsidR="00A43FF8">
        <w:rPr>
          <w:rFonts w:asciiTheme="minorHAnsi" w:hAnsiTheme="minorHAnsi" w:cstheme="minorHAnsi"/>
        </w:rPr>
        <w:t xml:space="preserve"> (v souhrnné finanční tabulce č. 17 v Informaci).</w:t>
      </w:r>
    </w:p>
    <w:p w14:paraId="7DCDF929" w14:textId="07154F74" w:rsidR="00F13E91" w:rsidRDefault="00F13E91" w:rsidP="00146B6A">
      <w:pPr>
        <w:spacing w:before="0"/>
        <w:rPr>
          <w:rFonts w:asciiTheme="minorHAnsi" w:hAnsiTheme="minorHAnsi" w:cstheme="minorHAnsi"/>
        </w:rPr>
      </w:pPr>
    </w:p>
    <w:p w14:paraId="39D9606D" w14:textId="28EF1573" w:rsidR="00BF6822" w:rsidRPr="00146B6A" w:rsidRDefault="00146B6A" w:rsidP="008F4F38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6.2 </w:t>
      </w:r>
      <w:r w:rsidR="00BF6822" w:rsidRPr="00146B6A">
        <w:rPr>
          <w:rFonts w:asciiTheme="minorHAnsi" w:hAnsiTheme="minorHAnsi" w:cstheme="minorHAnsi"/>
          <w:b/>
        </w:rPr>
        <w:t>Prostředk</w:t>
      </w:r>
      <w:r w:rsidR="00FB64A7" w:rsidRPr="00146B6A">
        <w:rPr>
          <w:rFonts w:asciiTheme="minorHAnsi" w:hAnsiTheme="minorHAnsi" w:cstheme="minorHAnsi"/>
          <w:b/>
        </w:rPr>
        <w:t>y vykazované nad rámec Koncepce</w:t>
      </w:r>
    </w:p>
    <w:p w14:paraId="78DBE2E2" w14:textId="77777777" w:rsidR="00146B6A" w:rsidRDefault="00146B6A" w:rsidP="008F4F38">
      <w:pPr>
        <w:keepNext/>
        <w:spacing w:before="0"/>
      </w:pPr>
    </w:p>
    <w:p w14:paraId="12A3D06B" w14:textId="6639546C" w:rsidR="00BE03F6" w:rsidRDefault="00BE03F6" w:rsidP="00146B6A">
      <w:pPr>
        <w:spacing w:before="0"/>
      </w:pPr>
      <w:proofErr w:type="spellStart"/>
      <w:r w:rsidRPr="001E1A62">
        <w:t>MZe</w:t>
      </w:r>
      <w:proofErr w:type="spellEnd"/>
      <w:r w:rsidRPr="001E1A62">
        <w:t xml:space="preserve"> vykázalo</w:t>
      </w:r>
      <w:r>
        <w:t xml:space="preserve"> cca 3</w:t>
      </w:r>
      <w:r w:rsidR="00501E78">
        <w:t> mld. </w:t>
      </w:r>
      <w:r>
        <w:t>Kč</w:t>
      </w:r>
      <w:r w:rsidRPr="001E1A62">
        <w:t xml:space="preserve"> na dotační programy podle Koncepce. </w:t>
      </w:r>
      <w:proofErr w:type="spellStart"/>
      <w:r w:rsidR="00BF6822" w:rsidRPr="00A15E08">
        <w:rPr>
          <w:rFonts w:asciiTheme="minorHAnsi" w:hAnsiTheme="minorHAnsi" w:cstheme="minorHAnsi"/>
          <w:bCs/>
          <w:iCs/>
        </w:rPr>
        <w:t>MZe</w:t>
      </w:r>
      <w:proofErr w:type="spellEnd"/>
      <w:r w:rsidR="00BF6822" w:rsidRPr="00A15E08">
        <w:rPr>
          <w:rFonts w:asciiTheme="minorHAnsi" w:hAnsiTheme="minorHAnsi" w:cstheme="minorHAnsi"/>
          <w:bCs/>
          <w:iCs/>
        </w:rPr>
        <w:t xml:space="preserve"> v </w:t>
      </w:r>
      <w:r w:rsidR="00141E9C">
        <w:rPr>
          <w:rFonts w:asciiTheme="minorHAnsi" w:hAnsiTheme="minorHAnsi" w:cstheme="minorHAnsi"/>
          <w:bCs/>
          <w:i/>
          <w:iCs/>
        </w:rPr>
        <w:t>Informaci o </w:t>
      </w:r>
      <w:r w:rsidR="00BF6822" w:rsidRPr="00534A16">
        <w:rPr>
          <w:rFonts w:asciiTheme="minorHAnsi" w:hAnsiTheme="minorHAnsi" w:cstheme="minorHAnsi"/>
          <w:bCs/>
          <w:i/>
          <w:iCs/>
        </w:rPr>
        <w:t>průběhu naplňování programů k omezení následků sucha a nedostatku vody v České republice v gesci Ministerstva zemědělství</w:t>
      </w:r>
      <w:r w:rsidR="00BF6822">
        <w:rPr>
          <w:rFonts w:asciiTheme="minorHAnsi" w:hAnsiTheme="minorHAnsi" w:cstheme="minorHAnsi"/>
          <w:bCs/>
          <w:iCs/>
        </w:rPr>
        <w:t xml:space="preserve"> </w:t>
      </w:r>
      <w:r w:rsidR="00BF6822" w:rsidRPr="00A15E08">
        <w:rPr>
          <w:rFonts w:asciiTheme="minorHAnsi" w:hAnsiTheme="minorHAnsi" w:cstheme="minorHAnsi"/>
          <w:bCs/>
          <w:iCs/>
        </w:rPr>
        <w:t>vykázalo další programy nad rámec přílohy 14 Koncepce.</w:t>
      </w:r>
      <w:r w:rsidR="00BF6822">
        <w:rPr>
          <w:rFonts w:asciiTheme="minorHAnsi" w:hAnsiTheme="minorHAnsi" w:cstheme="minorHAnsi"/>
          <w:bCs/>
          <w:iCs/>
        </w:rPr>
        <w:t xml:space="preserve"> Dalších </w:t>
      </w:r>
      <w:r w:rsidRPr="001E1A62">
        <w:t>21</w:t>
      </w:r>
      <w:r w:rsidR="00501E78">
        <w:t> mld. </w:t>
      </w:r>
      <w:r w:rsidRPr="001E1A62">
        <w:t>Kč tvořily zemědělské podpory dle PRV (například pla</w:t>
      </w:r>
      <w:r w:rsidR="00BD25DD">
        <w:t>tby na ekologické zemědělství a </w:t>
      </w:r>
      <w:r w:rsidRPr="001E1A62">
        <w:t>méně úrodné plochy), které cíleně nepřispívaly ke zmír</w:t>
      </w:r>
      <w:r w:rsidR="00BD25DD">
        <w:t>nění negativních dopadů sucha a </w:t>
      </w:r>
      <w:r w:rsidRPr="001E1A62">
        <w:t xml:space="preserve">nedostatku vody. </w:t>
      </w:r>
      <w:proofErr w:type="spellStart"/>
      <w:r w:rsidRPr="001E1A62">
        <w:t>MZe</w:t>
      </w:r>
      <w:proofErr w:type="spellEnd"/>
      <w:r w:rsidRPr="001E1A62">
        <w:t xml:space="preserve"> u těchto dotací nesledovalo skutečné efekty a reálné dopady pro oblast sucha. Další cca 2,4</w:t>
      </w:r>
      <w:r w:rsidR="00501E78">
        <w:t> mld. </w:t>
      </w:r>
      <w:r w:rsidRPr="001E1A62">
        <w:t xml:space="preserve">Kč byly vynaloženy na náhrady škod způsobených zemědělcům suchem. </w:t>
      </w:r>
    </w:p>
    <w:p w14:paraId="47E14151" w14:textId="77777777" w:rsidR="00146B6A" w:rsidRDefault="00146B6A" w:rsidP="00146B6A">
      <w:pPr>
        <w:spacing w:before="0"/>
        <w:rPr>
          <w:rFonts w:asciiTheme="minorHAnsi" w:hAnsiTheme="minorHAnsi" w:cstheme="minorHAnsi"/>
        </w:rPr>
      </w:pPr>
    </w:p>
    <w:p w14:paraId="05E97078" w14:textId="1C28FAC0" w:rsidR="00036F54" w:rsidRDefault="00BD6545" w:rsidP="00146B6A">
      <w:pPr>
        <w:spacing w:before="0"/>
        <w:rPr>
          <w:rFonts w:asciiTheme="minorHAnsi" w:hAnsiTheme="minorHAnsi" w:cstheme="minorHAnsi"/>
        </w:rPr>
      </w:pPr>
      <w:r w:rsidRPr="009A12F6">
        <w:rPr>
          <w:rFonts w:asciiTheme="minorHAnsi" w:hAnsiTheme="minorHAnsi" w:cstheme="minorHAnsi"/>
        </w:rPr>
        <w:t>Z kontroly vypl</w:t>
      </w:r>
      <w:r w:rsidR="00F325FC" w:rsidRPr="009A12F6">
        <w:rPr>
          <w:rFonts w:asciiTheme="minorHAnsi" w:hAnsiTheme="minorHAnsi" w:cstheme="minorHAnsi"/>
        </w:rPr>
        <w:t>y</w:t>
      </w:r>
      <w:r w:rsidRPr="009A12F6">
        <w:rPr>
          <w:rFonts w:asciiTheme="minorHAnsi" w:hAnsiTheme="minorHAnsi" w:cstheme="minorHAnsi"/>
        </w:rPr>
        <w:t xml:space="preserve">nulo, že dotační programy uvedené v Koncepci (příloha 14 Koncepce) jsou dle názoru </w:t>
      </w:r>
      <w:proofErr w:type="spellStart"/>
      <w:r w:rsidRPr="009A12F6">
        <w:rPr>
          <w:rFonts w:asciiTheme="minorHAnsi" w:hAnsiTheme="minorHAnsi" w:cstheme="minorHAnsi"/>
        </w:rPr>
        <w:t>MZe</w:t>
      </w:r>
      <w:proofErr w:type="spellEnd"/>
      <w:r w:rsidRPr="009A12F6">
        <w:rPr>
          <w:rFonts w:asciiTheme="minorHAnsi" w:hAnsiTheme="minorHAnsi" w:cstheme="minorHAnsi"/>
        </w:rPr>
        <w:t xml:space="preserve"> dotační </w:t>
      </w:r>
      <w:r w:rsidR="006360E7">
        <w:rPr>
          <w:rFonts w:asciiTheme="minorHAnsi" w:hAnsiTheme="minorHAnsi" w:cstheme="minorHAnsi"/>
        </w:rPr>
        <w:t>programy</w:t>
      </w:r>
      <w:r w:rsidRPr="009A12F6">
        <w:rPr>
          <w:rFonts w:asciiTheme="minorHAnsi" w:hAnsiTheme="minorHAnsi" w:cstheme="minorHAnsi"/>
        </w:rPr>
        <w:t xml:space="preserve"> cíleně zaměřené na problematiku sucha a nedostatku vody. </w:t>
      </w:r>
      <w:r w:rsidR="006360E7">
        <w:rPr>
          <w:rFonts w:asciiTheme="minorHAnsi" w:hAnsiTheme="minorHAnsi" w:cstheme="minorHAnsi"/>
        </w:rPr>
        <w:t>Programy</w:t>
      </w:r>
      <w:r w:rsidRPr="009A12F6">
        <w:rPr>
          <w:rFonts w:asciiTheme="minorHAnsi" w:hAnsiTheme="minorHAnsi" w:cstheme="minorHAnsi"/>
        </w:rPr>
        <w:t xml:space="preserve"> uvádě</w:t>
      </w:r>
      <w:r w:rsidR="006360E7">
        <w:rPr>
          <w:rFonts w:asciiTheme="minorHAnsi" w:hAnsiTheme="minorHAnsi" w:cstheme="minorHAnsi"/>
        </w:rPr>
        <w:t>né nad rámec Koncepce jsou pak programy</w:t>
      </w:r>
      <w:r w:rsidRPr="009A12F6">
        <w:rPr>
          <w:rFonts w:asciiTheme="minorHAnsi" w:hAnsiTheme="minorHAnsi" w:cstheme="minorHAnsi"/>
        </w:rPr>
        <w:t xml:space="preserve">, které mají jiné cíle a priority, ale k řešení problematiky sucha také přispívají nebo s ní souvisejí. Vyhodnocovat u těchto </w:t>
      </w:r>
      <w:r w:rsidR="006360E7">
        <w:rPr>
          <w:rFonts w:asciiTheme="minorHAnsi" w:hAnsiTheme="minorHAnsi" w:cstheme="minorHAnsi"/>
        </w:rPr>
        <w:t>programů</w:t>
      </w:r>
      <w:r w:rsidRPr="009A12F6">
        <w:rPr>
          <w:rFonts w:asciiTheme="minorHAnsi" w:hAnsiTheme="minorHAnsi" w:cstheme="minorHAnsi"/>
        </w:rPr>
        <w:t xml:space="preserve"> účinky pro oblast sucha je velmi obtížné</w:t>
      </w:r>
      <w:r w:rsidR="008C502D">
        <w:rPr>
          <w:rFonts w:asciiTheme="minorHAnsi" w:hAnsiTheme="minorHAnsi" w:cstheme="minorHAnsi"/>
        </w:rPr>
        <w:t>,</w:t>
      </w:r>
      <w:r w:rsidRPr="009A12F6">
        <w:rPr>
          <w:rFonts w:asciiTheme="minorHAnsi" w:hAnsiTheme="minorHAnsi" w:cstheme="minorHAnsi"/>
        </w:rPr>
        <w:t xml:space="preserve"> a to zejména z důvodu, že jejich cíle jsou jiné</w:t>
      </w:r>
      <w:r w:rsidR="008C502D">
        <w:rPr>
          <w:rFonts w:asciiTheme="minorHAnsi" w:hAnsiTheme="minorHAnsi" w:cstheme="minorHAnsi"/>
        </w:rPr>
        <w:t>,</w:t>
      </w:r>
      <w:r w:rsidRPr="009A12F6">
        <w:rPr>
          <w:rFonts w:asciiTheme="minorHAnsi" w:hAnsiTheme="minorHAnsi" w:cstheme="minorHAnsi"/>
        </w:rPr>
        <w:t xml:space="preserve"> a těmto cílům také odpovídá nastavení</w:t>
      </w:r>
      <w:r w:rsidR="007509A1">
        <w:rPr>
          <w:rFonts w:asciiTheme="minorHAnsi" w:hAnsiTheme="minorHAnsi" w:cstheme="minorHAnsi"/>
        </w:rPr>
        <w:t xml:space="preserve"> ukazatelů</w:t>
      </w:r>
      <w:r w:rsidRPr="009A12F6">
        <w:rPr>
          <w:rFonts w:asciiTheme="minorHAnsi" w:hAnsiTheme="minorHAnsi" w:cstheme="minorHAnsi"/>
        </w:rPr>
        <w:t xml:space="preserve">, které slouží pro měření jiných efektů, než je dopad na sucho. </w:t>
      </w:r>
    </w:p>
    <w:p w14:paraId="1D5A9E7B" w14:textId="77777777" w:rsidR="00F054B8" w:rsidRPr="00146B6A" w:rsidRDefault="00F054B8" w:rsidP="00146B6A">
      <w:pPr>
        <w:spacing w:before="0"/>
      </w:pPr>
    </w:p>
    <w:p w14:paraId="72857C23" w14:textId="34F0D0ED" w:rsidR="00BD6545" w:rsidRPr="00146B6A" w:rsidRDefault="00146B6A" w:rsidP="00146B6A">
      <w:pPr>
        <w:keepNext/>
        <w:spacing w:before="0"/>
        <w:outlineLvl w:val="0"/>
        <w:rPr>
          <w:b/>
        </w:rPr>
      </w:pPr>
      <w:r>
        <w:rPr>
          <w:b/>
        </w:rPr>
        <w:t xml:space="preserve">7. </w:t>
      </w:r>
      <w:r w:rsidR="00AD7E3F" w:rsidRPr="00146B6A">
        <w:rPr>
          <w:b/>
        </w:rPr>
        <w:t>Rozpory mezi</w:t>
      </w:r>
      <w:r w:rsidR="00BD6545" w:rsidRPr="00146B6A">
        <w:rPr>
          <w:b/>
        </w:rPr>
        <w:t xml:space="preserve"> </w:t>
      </w:r>
      <w:proofErr w:type="spellStart"/>
      <w:proofErr w:type="gramStart"/>
      <w:r w:rsidR="00BD6545" w:rsidRPr="00146B6A">
        <w:rPr>
          <w:b/>
        </w:rPr>
        <w:t>MZe</w:t>
      </w:r>
      <w:proofErr w:type="spellEnd"/>
      <w:proofErr w:type="gramEnd"/>
      <w:r w:rsidR="00BD6545" w:rsidRPr="00146B6A">
        <w:rPr>
          <w:b/>
        </w:rPr>
        <w:t xml:space="preserve"> a MŽP</w:t>
      </w:r>
    </w:p>
    <w:p w14:paraId="71D459E0" w14:textId="77777777" w:rsidR="00146B6A" w:rsidRDefault="00146B6A" w:rsidP="00146B6A">
      <w:pPr>
        <w:keepNext/>
        <w:spacing w:before="0"/>
      </w:pPr>
    </w:p>
    <w:p w14:paraId="15141AB3" w14:textId="4DB542A8" w:rsidR="00F054B8" w:rsidRDefault="00F054B8" w:rsidP="00146B6A">
      <w:pPr>
        <w:spacing w:before="0"/>
      </w:pPr>
      <w:r>
        <w:t>Sucho je rozsáhlá problematika zasahující do působnosti mnoha subjektů. Řešení této problematiky vyžaduje spolupráci zejména hlavních zainte</w:t>
      </w:r>
      <w:r w:rsidR="00141E9C">
        <w:t xml:space="preserve">resovaných subjektů, a to </w:t>
      </w:r>
      <w:proofErr w:type="spellStart"/>
      <w:r w:rsidR="00141E9C">
        <w:t>MZe</w:t>
      </w:r>
      <w:proofErr w:type="spellEnd"/>
      <w:r w:rsidR="00141E9C">
        <w:t xml:space="preserve"> a </w:t>
      </w:r>
      <w:r>
        <w:t xml:space="preserve">MŽP. Bez </w:t>
      </w:r>
      <w:r w:rsidR="007D247D">
        <w:t xml:space="preserve">jejich </w:t>
      </w:r>
      <w:r>
        <w:t>spolupráce nelze dosáhnout stanovených cílů.</w:t>
      </w:r>
    </w:p>
    <w:p w14:paraId="71B8A3A8" w14:textId="77777777" w:rsidR="00146B6A" w:rsidRDefault="00146B6A" w:rsidP="00146B6A">
      <w:pPr>
        <w:spacing w:before="0"/>
      </w:pPr>
    </w:p>
    <w:p w14:paraId="7ACF9A55" w14:textId="262D3CD0" w:rsidR="00392D9F" w:rsidRPr="00534A16" w:rsidRDefault="00392D9F" w:rsidP="00146B6A">
      <w:pPr>
        <w:spacing w:before="0"/>
        <w:rPr>
          <w:b/>
        </w:rPr>
      </w:pPr>
      <w:r w:rsidRPr="00534A16">
        <w:rPr>
          <w:b/>
        </w:rPr>
        <w:t xml:space="preserve">Spolupráce </w:t>
      </w:r>
      <w:proofErr w:type="spellStart"/>
      <w:r w:rsidRPr="00534A16">
        <w:rPr>
          <w:b/>
        </w:rPr>
        <w:t>MZe</w:t>
      </w:r>
      <w:proofErr w:type="spellEnd"/>
      <w:r w:rsidRPr="00534A16">
        <w:rPr>
          <w:b/>
        </w:rPr>
        <w:t xml:space="preserve"> a MŽP v oblasti sucha nebyla optimální. To dokazuje mj. ne</w:t>
      </w:r>
      <w:r w:rsidR="002E5108">
        <w:rPr>
          <w:b/>
        </w:rPr>
        <w:t>shoda na připravovaném návrhu</w:t>
      </w:r>
      <w:r w:rsidR="00B1734A">
        <w:rPr>
          <w:b/>
        </w:rPr>
        <w:t xml:space="preserve"> </w:t>
      </w:r>
      <w:r w:rsidRPr="00534A16">
        <w:rPr>
          <w:b/>
        </w:rPr>
        <w:t>protierozní vyhlášky, která je klíčová pro zlepšení hospodaření na zemědělské půdě a posílení její schopnosti zadržet vodu. Další</w:t>
      </w:r>
      <w:r w:rsidR="00534A16">
        <w:rPr>
          <w:b/>
        </w:rPr>
        <w:t>m</w:t>
      </w:r>
      <w:r w:rsidRPr="00534A16">
        <w:rPr>
          <w:b/>
        </w:rPr>
        <w:t xml:space="preserve"> příkladem je realizace protichůdných dotačních </w:t>
      </w:r>
      <w:r w:rsidR="006360E7">
        <w:rPr>
          <w:b/>
        </w:rPr>
        <w:t>programů</w:t>
      </w:r>
      <w:r w:rsidRPr="00534A16">
        <w:rPr>
          <w:b/>
        </w:rPr>
        <w:t xml:space="preserve">. Z peněz resortu </w:t>
      </w:r>
      <w:proofErr w:type="spellStart"/>
      <w:r w:rsidRPr="00534A16">
        <w:rPr>
          <w:b/>
        </w:rPr>
        <w:t>MZe</w:t>
      </w:r>
      <w:proofErr w:type="spellEnd"/>
      <w:r w:rsidRPr="00534A16">
        <w:rPr>
          <w:b/>
        </w:rPr>
        <w:t xml:space="preserve"> dochází k technickým úpravám koryt drobných vodních toků, bez požadavku na přírodě blízký stav. Z dotačního programu MŽP pak naopak dochází k odstraňování nevhodných technických úprav a navracení koryt </w:t>
      </w:r>
      <w:r w:rsidR="002039B6">
        <w:rPr>
          <w:b/>
        </w:rPr>
        <w:t xml:space="preserve">vodních toků </w:t>
      </w:r>
      <w:r w:rsidRPr="00534A16">
        <w:rPr>
          <w:b/>
        </w:rPr>
        <w:t xml:space="preserve">přírodě blízkému stavu. Rovněž v oblasti dotací na vodovody a kanalizace mezi </w:t>
      </w:r>
      <w:proofErr w:type="spellStart"/>
      <w:proofErr w:type="gramStart"/>
      <w:r w:rsidRPr="00534A16">
        <w:rPr>
          <w:b/>
        </w:rPr>
        <w:t>MZe</w:t>
      </w:r>
      <w:proofErr w:type="spellEnd"/>
      <w:proofErr w:type="gramEnd"/>
      <w:r w:rsidRPr="00534A16">
        <w:rPr>
          <w:b/>
        </w:rPr>
        <w:t xml:space="preserve"> a MŽP nepanovala shoda. Tyto dotace poskytovalo </w:t>
      </w:r>
      <w:proofErr w:type="spellStart"/>
      <w:r w:rsidRPr="00534A16">
        <w:rPr>
          <w:b/>
        </w:rPr>
        <w:t>MZe</w:t>
      </w:r>
      <w:proofErr w:type="spellEnd"/>
      <w:r w:rsidRPr="00534A16">
        <w:rPr>
          <w:b/>
        </w:rPr>
        <w:t xml:space="preserve"> i MŽP. </w:t>
      </w:r>
      <w:r w:rsidR="005A7950">
        <w:rPr>
          <w:b/>
        </w:rPr>
        <w:t>Podporu</w:t>
      </w:r>
      <w:r w:rsidRPr="00534A16">
        <w:rPr>
          <w:b/>
        </w:rPr>
        <w:t xml:space="preserve"> kanalizací </w:t>
      </w:r>
      <w:proofErr w:type="spellStart"/>
      <w:r w:rsidRPr="00534A16">
        <w:rPr>
          <w:b/>
        </w:rPr>
        <w:t>MZe</w:t>
      </w:r>
      <w:proofErr w:type="spellEnd"/>
      <w:r w:rsidRPr="00534A16">
        <w:rPr>
          <w:b/>
        </w:rPr>
        <w:t xml:space="preserve"> do oblasti boje se suchem zařadilo, MŽP nikoli. </w:t>
      </w:r>
    </w:p>
    <w:p w14:paraId="354C6716" w14:textId="5EF460D7" w:rsidR="009A12F6" w:rsidRDefault="009A12F6" w:rsidP="00146B6A">
      <w:pPr>
        <w:spacing w:before="0"/>
      </w:pPr>
    </w:p>
    <w:p w14:paraId="05F837D0" w14:textId="15E8CBEA" w:rsidR="00BD6545" w:rsidRPr="00146B6A" w:rsidRDefault="00146B6A" w:rsidP="00146B6A">
      <w:pPr>
        <w:keepNext/>
        <w:spacing w:before="0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7.1 </w:t>
      </w:r>
      <w:r w:rsidR="00BD6545" w:rsidRPr="00146B6A">
        <w:rPr>
          <w:rFonts w:asciiTheme="minorHAnsi" w:hAnsiTheme="minorHAnsi" w:cstheme="minorHAnsi"/>
          <w:b/>
        </w:rPr>
        <w:t>Nepřijetí protierozní vyhlášky</w:t>
      </w:r>
    </w:p>
    <w:p w14:paraId="656BFB57" w14:textId="77777777" w:rsidR="00146B6A" w:rsidRDefault="00146B6A" w:rsidP="00146B6A">
      <w:pPr>
        <w:keepNext/>
        <w:spacing w:before="0"/>
        <w:rPr>
          <w:rFonts w:asciiTheme="minorHAnsi" w:hAnsiTheme="minorHAnsi" w:cstheme="minorHAnsi"/>
        </w:rPr>
      </w:pPr>
    </w:p>
    <w:p w14:paraId="1E81EC06" w14:textId="6B8AC7B2" w:rsidR="00BD6545" w:rsidRDefault="00BD6545" w:rsidP="00146B6A">
      <w:pPr>
        <w:spacing w:before="0"/>
        <w:rPr>
          <w:rFonts w:asciiTheme="minorHAnsi" w:hAnsiTheme="minorHAnsi" w:cstheme="minorHAnsi"/>
        </w:rPr>
      </w:pPr>
      <w:r w:rsidRPr="008F6FAC">
        <w:rPr>
          <w:rFonts w:asciiTheme="minorHAnsi" w:hAnsiTheme="minorHAnsi" w:cstheme="minorHAnsi"/>
        </w:rPr>
        <w:t xml:space="preserve">MŽP vykonává funkci ústředního orgánu státní správy </w:t>
      </w:r>
      <w:r w:rsidR="00A43FF8">
        <w:rPr>
          <w:rFonts w:asciiTheme="minorHAnsi" w:hAnsiTheme="minorHAnsi" w:cstheme="minorHAnsi"/>
        </w:rPr>
        <w:t>pro</w:t>
      </w:r>
      <w:r w:rsidRPr="008F6FAC">
        <w:rPr>
          <w:rFonts w:asciiTheme="minorHAnsi" w:hAnsiTheme="minorHAnsi" w:cstheme="minorHAnsi"/>
        </w:rPr>
        <w:t xml:space="preserve"> ochran</w:t>
      </w:r>
      <w:r w:rsidR="00A43FF8">
        <w:rPr>
          <w:rFonts w:asciiTheme="minorHAnsi" w:hAnsiTheme="minorHAnsi" w:cstheme="minorHAnsi"/>
        </w:rPr>
        <w:t>u</w:t>
      </w:r>
      <w:r w:rsidRPr="008F6FAC">
        <w:rPr>
          <w:rFonts w:asciiTheme="minorHAnsi" w:hAnsiTheme="minorHAnsi" w:cstheme="minorHAnsi"/>
        </w:rPr>
        <w:t xml:space="preserve"> zemědělského půdního fondu podle zákona č. 334/1992 Sb., o ochraně zemědělského půdního fondu.</w:t>
      </w:r>
    </w:p>
    <w:p w14:paraId="461BF039" w14:textId="77777777" w:rsidR="00146B6A" w:rsidRPr="008F6FAC" w:rsidRDefault="00146B6A" w:rsidP="00146B6A">
      <w:pPr>
        <w:spacing w:before="0"/>
        <w:rPr>
          <w:rFonts w:asciiTheme="minorHAnsi" w:hAnsiTheme="minorHAnsi" w:cstheme="minorHAnsi"/>
        </w:rPr>
      </w:pPr>
    </w:p>
    <w:p w14:paraId="79486443" w14:textId="6E7DA7CF" w:rsidR="00BD6545" w:rsidRDefault="005A7950" w:rsidP="00146B6A">
      <w:p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</w:t>
      </w:r>
      <w:r w:rsidR="00BD6545" w:rsidRPr="008F6FAC">
        <w:rPr>
          <w:rFonts w:asciiTheme="minorHAnsi" w:hAnsiTheme="minorHAnsi" w:cstheme="minorHAnsi"/>
        </w:rPr>
        <w:t xml:space="preserve">kol </w:t>
      </w:r>
      <w:r w:rsidRPr="005A7950">
        <w:rPr>
          <w:rFonts w:asciiTheme="minorHAnsi" w:hAnsiTheme="minorHAnsi" w:cstheme="minorHAnsi"/>
        </w:rPr>
        <w:t>p</w:t>
      </w:r>
      <w:r w:rsidR="00BD6545" w:rsidRPr="005A7950">
        <w:rPr>
          <w:rFonts w:asciiTheme="minorHAnsi" w:hAnsiTheme="minorHAnsi" w:cstheme="minorHAnsi"/>
        </w:rPr>
        <w:t>řipravit a uvést do praxe protierozní vyhlášku jako komplexní nástroj kvalitativní ochrany půdy</w:t>
      </w:r>
      <w:r>
        <w:rPr>
          <w:rFonts w:asciiTheme="minorHAnsi" w:hAnsiTheme="minorHAnsi" w:cstheme="minorHAnsi"/>
        </w:rPr>
        <w:t xml:space="preserve"> je uveden ve strategických materiálech týkajících se sucha a nedostatku vody</w:t>
      </w:r>
      <w:r w:rsidR="002E5108" w:rsidRPr="005A7950">
        <w:rPr>
          <w:rFonts w:asciiTheme="minorHAnsi" w:hAnsiTheme="minorHAnsi" w:cstheme="minorHAnsi"/>
        </w:rPr>
        <w:t>.</w:t>
      </w:r>
      <w:r w:rsidR="00BD6545" w:rsidRPr="008F6FAC">
        <w:rPr>
          <w:rFonts w:asciiTheme="minorHAnsi" w:hAnsiTheme="minorHAnsi" w:cstheme="minorHAnsi"/>
        </w:rPr>
        <w:t xml:space="preserve"> </w:t>
      </w:r>
      <w:r w:rsidR="002E5108">
        <w:rPr>
          <w:rFonts w:asciiTheme="minorHAnsi" w:hAnsiTheme="minorHAnsi" w:cstheme="minorHAnsi"/>
        </w:rPr>
        <w:t>G</w:t>
      </w:r>
      <w:r w:rsidR="00BD6545" w:rsidRPr="008F6FAC">
        <w:rPr>
          <w:rFonts w:asciiTheme="minorHAnsi" w:hAnsiTheme="minorHAnsi" w:cstheme="minorHAnsi"/>
        </w:rPr>
        <w:t xml:space="preserve">estorem úkolu je MŽP, </w:t>
      </w:r>
      <w:proofErr w:type="spellStart"/>
      <w:r w:rsidR="00BD6545" w:rsidRPr="008F6FAC">
        <w:rPr>
          <w:rFonts w:asciiTheme="minorHAnsi" w:hAnsiTheme="minorHAnsi" w:cstheme="minorHAnsi"/>
        </w:rPr>
        <w:t>spolugestorem</w:t>
      </w:r>
      <w:proofErr w:type="spellEnd"/>
      <w:r w:rsidR="00BD6545" w:rsidRPr="008F6FAC">
        <w:rPr>
          <w:rFonts w:asciiTheme="minorHAnsi" w:hAnsiTheme="minorHAnsi" w:cstheme="minorHAnsi"/>
        </w:rPr>
        <w:t xml:space="preserve"> </w:t>
      </w:r>
      <w:r w:rsidR="007D247D">
        <w:rPr>
          <w:rFonts w:asciiTheme="minorHAnsi" w:hAnsiTheme="minorHAnsi" w:cstheme="minorHAnsi"/>
        </w:rPr>
        <w:t xml:space="preserve">je </w:t>
      </w:r>
      <w:proofErr w:type="spellStart"/>
      <w:r w:rsidR="00BD6545" w:rsidRPr="008F6FAC">
        <w:rPr>
          <w:rFonts w:asciiTheme="minorHAnsi" w:hAnsiTheme="minorHAnsi" w:cstheme="minorHAnsi"/>
        </w:rPr>
        <w:t>MZe</w:t>
      </w:r>
      <w:proofErr w:type="spellEnd"/>
      <w:r w:rsidR="00BD6545" w:rsidRPr="008F6FAC">
        <w:rPr>
          <w:rFonts w:asciiTheme="minorHAnsi" w:hAnsiTheme="minorHAnsi" w:cstheme="minorHAnsi"/>
        </w:rPr>
        <w:t xml:space="preserve">. Jako kontrolní termín byl stanoven rok 2017. </w:t>
      </w:r>
    </w:p>
    <w:p w14:paraId="0C24B3EB" w14:textId="77777777" w:rsidR="00146B6A" w:rsidRPr="008F6FAC" w:rsidRDefault="00146B6A" w:rsidP="00146B6A">
      <w:pPr>
        <w:spacing w:before="0"/>
        <w:rPr>
          <w:rFonts w:asciiTheme="minorHAnsi" w:hAnsiTheme="minorHAnsi" w:cstheme="minorHAnsi"/>
        </w:rPr>
      </w:pPr>
    </w:p>
    <w:p w14:paraId="693B667B" w14:textId="1C0AB274" w:rsidR="00BD6545" w:rsidRPr="00534A16" w:rsidRDefault="00BD6545" w:rsidP="00146B6A">
      <w:pPr>
        <w:spacing w:before="0"/>
        <w:rPr>
          <w:rFonts w:asciiTheme="minorHAnsi" w:hAnsiTheme="minorHAnsi" w:cstheme="minorHAnsi"/>
          <w:b/>
        </w:rPr>
      </w:pPr>
      <w:r w:rsidRPr="00534A16">
        <w:rPr>
          <w:rFonts w:asciiTheme="minorHAnsi" w:hAnsiTheme="minorHAnsi" w:cstheme="minorHAnsi"/>
          <w:b/>
        </w:rPr>
        <w:t xml:space="preserve">MŽP označilo brzké vydání protierozní vyhlášky </w:t>
      </w:r>
      <w:r w:rsidR="002039B6">
        <w:rPr>
          <w:rFonts w:asciiTheme="minorHAnsi" w:hAnsiTheme="minorHAnsi" w:cstheme="minorHAnsi"/>
          <w:b/>
        </w:rPr>
        <w:t>z</w:t>
      </w:r>
      <w:r w:rsidRPr="00534A16">
        <w:rPr>
          <w:rFonts w:asciiTheme="minorHAnsi" w:hAnsiTheme="minorHAnsi" w:cstheme="minorHAnsi"/>
          <w:b/>
        </w:rPr>
        <w:t>a klíčové pro zlepšení hospodaření na</w:t>
      </w:r>
      <w:r w:rsidR="007D247D">
        <w:rPr>
          <w:rFonts w:asciiTheme="minorHAnsi" w:hAnsiTheme="minorHAnsi" w:cstheme="minorHAnsi"/>
          <w:b/>
        </w:rPr>
        <w:t xml:space="preserve"> </w:t>
      </w:r>
      <w:r w:rsidRPr="00534A16">
        <w:rPr>
          <w:rFonts w:asciiTheme="minorHAnsi" w:hAnsiTheme="minorHAnsi" w:cstheme="minorHAnsi"/>
          <w:b/>
        </w:rPr>
        <w:t xml:space="preserve">zemědělské půdě a posílení její schopnosti zadržet vodu. </w:t>
      </w:r>
    </w:p>
    <w:p w14:paraId="1D6B83BE" w14:textId="77777777" w:rsidR="00146B6A" w:rsidRDefault="00146B6A" w:rsidP="00146B6A">
      <w:pPr>
        <w:spacing w:before="0"/>
        <w:rPr>
          <w:rFonts w:asciiTheme="minorHAnsi" w:hAnsiTheme="minorHAnsi" w:cstheme="minorHAnsi"/>
        </w:rPr>
      </w:pPr>
    </w:p>
    <w:p w14:paraId="26D77E89" w14:textId="77DABAB2" w:rsidR="00BD6545" w:rsidRDefault="00BD6545" w:rsidP="007D247D">
      <w:pPr>
        <w:keepNext/>
        <w:spacing w:before="0"/>
        <w:rPr>
          <w:rFonts w:asciiTheme="minorHAnsi" w:hAnsiTheme="minorHAnsi" w:cstheme="minorHAnsi"/>
        </w:rPr>
      </w:pPr>
      <w:r w:rsidRPr="008F6FAC">
        <w:rPr>
          <w:rFonts w:asciiTheme="minorHAnsi" w:hAnsiTheme="minorHAnsi" w:cstheme="minorHAnsi"/>
        </w:rPr>
        <w:t xml:space="preserve">V červnu 2017 MŽP předložilo návrh protierozní vyhlášky do meziresortního připomínkového řízení. Základem návrhu bylo využití tzv. protierozní kalkulačky. Po meziresortním připomínkovém řízení byl návrh pozastaven. </w:t>
      </w:r>
      <w:proofErr w:type="spellStart"/>
      <w:r w:rsidRPr="008F6FAC">
        <w:rPr>
          <w:rFonts w:asciiTheme="minorHAnsi" w:hAnsiTheme="minorHAnsi" w:cstheme="minorHAnsi"/>
        </w:rPr>
        <w:t>MZe</w:t>
      </w:r>
      <w:proofErr w:type="spellEnd"/>
      <w:r w:rsidRPr="008F6FAC">
        <w:rPr>
          <w:rFonts w:asciiTheme="minorHAnsi" w:hAnsiTheme="minorHAnsi" w:cstheme="minorHAnsi"/>
        </w:rPr>
        <w:t xml:space="preserve"> v říjnu roku 2018 předložilo vlastní návrh protierozní vyhlášky, který byl založen na pravidlech podmíněnosti a na monitoringu erozních událostí. Návrh </w:t>
      </w:r>
      <w:proofErr w:type="spellStart"/>
      <w:r w:rsidRPr="008F6FAC">
        <w:rPr>
          <w:rFonts w:asciiTheme="minorHAnsi" w:hAnsiTheme="minorHAnsi" w:cstheme="minorHAnsi"/>
        </w:rPr>
        <w:t>MZe</w:t>
      </w:r>
      <w:proofErr w:type="spellEnd"/>
      <w:r w:rsidRPr="008F6FAC">
        <w:rPr>
          <w:rFonts w:asciiTheme="minorHAnsi" w:hAnsiTheme="minorHAnsi" w:cstheme="minorHAnsi"/>
        </w:rPr>
        <w:t xml:space="preserve"> byl ze strany MŽP vyhodnocen jako neakceptovatelný.</w:t>
      </w:r>
    </w:p>
    <w:p w14:paraId="1D392EFC" w14:textId="77777777" w:rsidR="00146B6A" w:rsidRPr="008F6FAC" w:rsidRDefault="00146B6A" w:rsidP="007D247D">
      <w:pPr>
        <w:keepNext/>
        <w:spacing w:before="0"/>
        <w:rPr>
          <w:rFonts w:asciiTheme="minorHAnsi" w:hAnsiTheme="minorHAnsi" w:cstheme="minorHAnsi"/>
        </w:rPr>
      </w:pPr>
    </w:p>
    <w:p w14:paraId="341E1F4B" w14:textId="6EC598C7" w:rsidR="00BD6545" w:rsidRDefault="00BD6545" w:rsidP="00146B6A">
      <w:pPr>
        <w:spacing w:before="0"/>
        <w:rPr>
          <w:rFonts w:asciiTheme="minorHAnsi" w:hAnsiTheme="minorHAnsi" w:cstheme="minorHAnsi"/>
          <w:b/>
        </w:rPr>
      </w:pPr>
      <w:r w:rsidRPr="00534A16">
        <w:rPr>
          <w:rFonts w:asciiTheme="minorHAnsi" w:hAnsiTheme="minorHAnsi" w:cstheme="minorHAnsi"/>
          <w:b/>
        </w:rPr>
        <w:t xml:space="preserve">Do </w:t>
      </w:r>
      <w:r w:rsidR="00AD7E3F">
        <w:rPr>
          <w:rFonts w:asciiTheme="minorHAnsi" w:hAnsiTheme="minorHAnsi" w:cstheme="minorHAnsi"/>
          <w:b/>
        </w:rPr>
        <w:t>ukončení kontroly</w:t>
      </w:r>
      <w:r w:rsidRPr="00534A16">
        <w:rPr>
          <w:rFonts w:asciiTheme="minorHAnsi" w:hAnsiTheme="minorHAnsi" w:cstheme="minorHAnsi"/>
          <w:b/>
        </w:rPr>
        <w:t xml:space="preserve"> nebyla tzv. protierozní vyhlášk</w:t>
      </w:r>
      <w:r w:rsidR="00AE2FA9">
        <w:rPr>
          <w:rFonts w:asciiTheme="minorHAnsi" w:hAnsiTheme="minorHAnsi" w:cstheme="minorHAnsi"/>
          <w:b/>
        </w:rPr>
        <w:t>a</w:t>
      </w:r>
      <w:r w:rsidRPr="00534A16">
        <w:rPr>
          <w:rFonts w:asciiTheme="minorHAnsi" w:hAnsiTheme="minorHAnsi" w:cstheme="minorHAnsi"/>
          <w:b/>
        </w:rPr>
        <w:t xml:space="preserve"> schválena.</w:t>
      </w:r>
    </w:p>
    <w:p w14:paraId="61CDDB02" w14:textId="33BAD1C9" w:rsidR="00705EAA" w:rsidRPr="00534A16" w:rsidRDefault="00705EAA" w:rsidP="00146B6A">
      <w:pPr>
        <w:spacing w:before="0"/>
        <w:rPr>
          <w:rFonts w:asciiTheme="minorHAnsi" w:hAnsiTheme="minorHAnsi" w:cstheme="minorHAnsi"/>
          <w:b/>
        </w:rPr>
      </w:pPr>
    </w:p>
    <w:p w14:paraId="02A34BB4" w14:textId="25F7D384" w:rsidR="00BD6545" w:rsidRPr="00A95AC0" w:rsidRDefault="00A95AC0" w:rsidP="00A95AC0">
      <w:pPr>
        <w:keepNext/>
        <w:spacing w:before="0"/>
        <w:jc w:val="left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7.2 </w:t>
      </w:r>
      <w:r w:rsidR="00BD6545" w:rsidRPr="00A95AC0">
        <w:rPr>
          <w:rFonts w:asciiTheme="minorHAnsi" w:hAnsiTheme="minorHAnsi" w:cstheme="minorHAnsi"/>
          <w:b/>
        </w:rPr>
        <w:t xml:space="preserve">Protichůdné dotační </w:t>
      </w:r>
      <w:r w:rsidR="006360E7" w:rsidRPr="00A95AC0">
        <w:rPr>
          <w:rFonts w:asciiTheme="minorHAnsi" w:hAnsiTheme="minorHAnsi" w:cstheme="minorHAnsi"/>
          <w:b/>
        </w:rPr>
        <w:t>programy</w:t>
      </w:r>
      <w:r w:rsidR="00BD6545" w:rsidRPr="00A95AC0">
        <w:rPr>
          <w:rFonts w:asciiTheme="minorHAnsi" w:hAnsiTheme="minorHAnsi" w:cstheme="minorHAnsi"/>
          <w:b/>
        </w:rPr>
        <w:t xml:space="preserve"> </w:t>
      </w:r>
    </w:p>
    <w:p w14:paraId="181577ED" w14:textId="77777777" w:rsidR="00A95AC0" w:rsidRPr="00A95AC0" w:rsidRDefault="00A95AC0" w:rsidP="00A95AC0">
      <w:pPr>
        <w:keepNext/>
        <w:spacing w:before="0"/>
      </w:pPr>
    </w:p>
    <w:p w14:paraId="4D9BE87E" w14:textId="1024CAAE" w:rsidR="00BD6545" w:rsidRPr="00534A16" w:rsidRDefault="00392D9F" w:rsidP="00A95AC0">
      <w:pPr>
        <w:spacing w:before="0"/>
        <w:rPr>
          <w:b/>
          <w:u w:val="single"/>
        </w:rPr>
      </w:pPr>
      <w:r w:rsidRPr="00534A16">
        <w:rPr>
          <w:b/>
        </w:rPr>
        <w:t>Z</w:t>
      </w:r>
      <w:r w:rsidR="004601AF">
        <w:rPr>
          <w:b/>
        </w:rPr>
        <w:t> dotačního programu</w:t>
      </w:r>
      <w:r w:rsidRPr="00534A16">
        <w:rPr>
          <w:b/>
        </w:rPr>
        <w:t xml:space="preserve"> </w:t>
      </w:r>
      <w:proofErr w:type="spellStart"/>
      <w:r w:rsidRPr="00534A16">
        <w:rPr>
          <w:b/>
        </w:rPr>
        <w:t>MZe</w:t>
      </w:r>
      <w:proofErr w:type="spellEnd"/>
      <w:r w:rsidRPr="00534A16">
        <w:rPr>
          <w:b/>
        </w:rPr>
        <w:t xml:space="preserve"> dochází k technickým úpra</w:t>
      </w:r>
      <w:r w:rsidR="00684915">
        <w:rPr>
          <w:b/>
        </w:rPr>
        <w:t>vám koryt drobných vodních toků. Z dotačního programu MŽP jsou realizovány úpravy, které jsou v souladu s požadavky na přírodě blízký stav</w:t>
      </w:r>
      <w:r w:rsidR="007D247D">
        <w:rPr>
          <w:b/>
        </w:rPr>
        <w:t>,</w:t>
      </w:r>
      <w:r w:rsidR="00684915">
        <w:rPr>
          <w:b/>
        </w:rPr>
        <w:t xml:space="preserve"> a</w:t>
      </w:r>
      <w:r w:rsidRPr="00534A16">
        <w:rPr>
          <w:b/>
        </w:rPr>
        <w:t xml:space="preserve"> dochází k odstraňová</w:t>
      </w:r>
      <w:r w:rsidR="00684915">
        <w:rPr>
          <w:b/>
        </w:rPr>
        <w:t>ní nevhodných technických úprav</w:t>
      </w:r>
      <w:r w:rsidRPr="00534A16">
        <w:rPr>
          <w:b/>
        </w:rPr>
        <w:t>.</w:t>
      </w:r>
    </w:p>
    <w:p w14:paraId="5E07FD3C" w14:textId="77777777" w:rsidR="00216437" w:rsidRDefault="00216437" w:rsidP="00A95AC0">
      <w:pPr>
        <w:spacing w:before="0"/>
        <w:rPr>
          <w:rFonts w:asciiTheme="minorHAnsi" w:hAnsiTheme="minorHAnsi" w:cstheme="minorHAnsi"/>
        </w:rPr>
      </w:pPr>
    </w:p>
    <w:p w14:paraId="50A51E1A" w14:textId="162EA52C" w:rsidR="00BD6545" w:rsidRPr="00C2750A" w:rsidRDefault="00BD6545" w:rsidP="00A95AC0">
      <w:pPr>
        <w:spacing w:before="0"/>
        <w:rPr>
          <w:rFonts w:asciiTheme="minorHAnsi" w:hAnsiTheme="minorHAnsi" w:cstheme="minorHAnsi"/>
        </w:rPr>
      </w:pPr>
      <w:r w:rsidRPr="00392D9F">
        <w:rPr>
          <w:rFonts w:asciiTheme="minorHAnsi" w:hAnsiTheme="minorHAnsi" w:cstheme="minorHAnsi"/>
        </w:rPr>
        <w:t>Dle Koncepce je při správě vodních toků:</w:t>
      </w:r>
      <w:r w:rsidR="00A95AC0">
        <w:rPr>
          <w:rFonts w:asciiTheme="minorHAnsi" w:hAnsiTheme="minorHAnsi" w:cstheme="minorHAnsi"/>
        </w:rPr>
        <w:t xml:space="preserve"> </w:t>
      </w:r>
      <w:r w:rsidRPr="00C2750A">
        <w:rPr>
          <w:rFonts w:asciiTheme="minorHAnsi" w:hAnsiTheme="minorHAnsi" w:cstheme="minorHAnsi"/>
        </w:rPr>
        <w:t>„…</w:t>
      </w:r>
      <w:r w:rsidRPr="00856877">
        <w:rPr>
          <w:rFonts w:asciiTheme="minorHAnsi" w:hAnsiTheme="minorHAnsi" w:cstheme="minorHAnsi"/>
          <w:i/>
        </w:rPr>
        <w:t xml:space="preserve"> třeba upřednostňovat cíle ochrany vodních útvarů za účelem dosažení jejich dobrého ekologického stavu před důslednou obnovou technických úprav v korytech vodních toků, pokud již neslouží svému významu a nejedná se o nadřazený veřejný zájem. Zlepšení v této oblasti je možné dosáhnout pomocí následujících opatření. Úseky vodních toků s již nevyhovujícími technickými úpravami, které vyžadují zlepšení ekologického stavu, je třeba rozdělit na ty, které budou vyžadovat řešení v podobě komplexní revitalizace, a</w:t>
      </w:r>
      <w:r w:rsidR="00A95AC0">
        <w:rPr>
          <w:rFonts w:asciiTheme="minorHAnsi" w:hAnsiTheme="minorHAnsi" w:cstheme="minorHAnsi"/>
          <w:i/>
        </w:rPr>
        <w:t> </w:t>
      </w:r>
      <w:r w:rsidRPr="00856877">
        <w:rPr>
          <w:rFonts w:asciiTheme="minorHAnsi" w:hAnsiTheme="minorHAnsi" w:cstheme="minorHAnsi"/>
          <w:i/>
        </w:rPr>
        <w:t xml:space="preserve">na úseky, u nichž postačí využívat a doplňkovými opatřeními podporovat samovolnou </w:t>
      </w:r>
      <w:proofErr w:type="spellStart"/>
      <w:r w:rsidRPr="00856877">
        <w:rPr>
          <w:rFonts w:asciiTheme="minorHAnsi" w:hAnsiTheme="minorHAnsi" w:cstheme="minorHAnsi"/>
          <w:i/>
        </w:rPr>
        <w:t>renaturaci</w:t>
      </w:r>
      <w:proofErr w:type="spellEnd"/>
      <w:r w:rsidRPr="00856877">
        <w:rPr>
          <w:rFonts w:asciiTheme="minorHAnsi" w:hAnsiTheme="minorHAnsi" w:cstheme="minorHAnsi"/>
          <w:i/>
        </w:rPr>
        <w:t>. Z uvedených důvodů je třeba podpořit orientaci správy vodních toků na opatření ke zlepšení ekologického stavu vodních toků</w:t>
      </w:r>
      <w:r w:rsidRPr="00C2750A">
        <w:rPr>
          <w:rFonts w:asciiTheme="minorHAnsi" w:hAnsiTheme="minorHAnsi" w:cstheme="minorHAnsi"/>
        </w:rPr>
        <w:t>.“</w:t>
      </w:r>
    </w:p>
    <w:p w14:paraId="0B1E3E3E" w14:textId="77777777" w:rsidR="00A95AC0" w:rsidRDefault="00A95AC0" w:rsidP="00A95AC0">
      <w:pPr>
        <w:spacing w:before="0"/>
        <w:rPr>
          <w:rFonts w:asciiTheme="minorHAnsi" w:hAnsiTheme="minorHAnsi" w:cstheme="minorHAnsi"/>
        </w:rPr>
      </w:pPr>
    </w:p>
    <w:p w14:paraId="6980A62E" w14:textId="25B224C6" w:rsidR="00BD6545" w:rsidRDefault="00BD6545" w:rsidP="00A95AC0">
      <w:pPr>
        <w:spacing w:before="0"/>
        <w:rPr>
          <w:rFonts w:asciiTheme="minorHAnsi" w:hAnsiTheme="minorHAnsi" w:cstheme="minorHAnsi"/>
        </w:rPr>
      </w:pPr>
      <w:r w:rsidRPr="00392D9F">
        <w:rPr>
          <w:rFonts w:asciiTheme="minorHAnsi" w:hAnsiTheme="minorHAnsi" w:cstheme="minorHAnsi"/>
        </w:rPr>
        <w:t>Ekologicky orientovaná správa vodních toků by měla být zaměřen</w:t>
      </w:r>
      <w:r w:rsidR="007D247D">
        <w:rPr>
          <w:rFonts w:asciiTheme="minorHAnsi" w:hAnsiTheme="minorHAnsi" w:cstheme="minorHAnsi"/>
        </w:rPr>
        <w:t>a</w:t>
      </w:r>
      <w:r w:rsidRPr="00392D9F">
        <w:rPr>
          <w:rFonts w:asciiTheme="minorHAnsi" w:hAnsiTheme="minorHAnsi" w:cstheme="minorHAnsi"/>
        </w:rPr>
        <w:t xml:space="preserve"> na minimalizaci činností poškozujících ekologický stav vodních toků a k maximálnímu využití schopnosti samovolné </w:t>
      </w:r>
      <w:proofErr w:type="spellStart"/>
      <w:r w:rsidRPr="00392D9F">
        <w:rPr>
          <w:rFonts w:asciiTheme="minorHAnsi" w:hAnsiTheme="minorHAnsi" w:cstheme="minorHAnsi"/>
        </w:rPr>
        <w:t>renaturace</w:t>
      </w:r>
      <w:proofErr w:type="spellEnd"/>
      <w:r w:rsidRPr="00392D9F">
        <w:rPr>
          <w:rFonts w:asciiTheme="minorHAnsi" w:hAnsiTheme="minorHAnsi" w:cstheme="minorHAnsi"/>
        </w:rPr>
        <w:t xml:space="preserve"> jako nástroje k obnovení jejich přirozených vlastností a funkcí</w:t>
      </w:r>
      <w:r w:rsidR="00392D9F">
        <w:rPr>
          <w:rFonts w:asciiTheme="minorHAnsi" w:hAnsiTheme="minorHAnsi" w:cstheme="minorHAnsi"/>
        </w:rPr>
        <w:t>.</w:t>
      </w:r>
    </w:p>
    <w:p w14:paraId="13F1754C" w14:textId="77777777" w:rsidR="00A95AC0" w:rsidRDefault="00A95AC0" w:rsidP="00A95AC0">
      <w:pPr>
        <w:spacing w:before="0"/>
        <w:rPr>
          <w:rFonts w:asciiTheme="minorHAnsi" w:hAnsiTheme="minorHAnsi" w:cstheme="minorHAnsi"/>
        </w:rPr>
      </w:pPr>
    </w:p>
    <w:p w14:paraId="1D9D14F6" w14:textId="2960C8B8" w:rsidR="00392D9F" w:rsidRDefault="00392D9F" w:rsidP="00A95AC0">
      <w:pPr>
        <w:pStyle w:val="KP-normlntext"/>
        <w:spacing w:before="0" w:after="0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392D9F">
        <w:rPr>
          <w:rFonts w:asciiTheme="minorHAnsi" w:hAnsiTheme="minorHAnsi" w:cstheme="minorHAnsi"/>
          <w:sz w:val="24"/>
          <w:szCs w:val="24"/>
        </w:rPr>
        <w:t>MZe</w:t>
      </w:r>
      <w:proofErr w:type="spellEnd"/>
      <w:r w:rsidRPr="00392D9F">
        <w:rPr>
          <w:rFonts w:asciiTheme="minorHAnsi" w:hAnsiTheme="minorHAnsi" w:cstheme="minorHAnsi"/>
          <w:sz w:val="24"/>
          <w:szCs w:val="24"/>
        </w:rPr>
        <w:t xml:space="preserve"> podporuje program </w:t>
      </w:r>
      <w:r w:rsidRPr="007E7B92">
        <w:rPr>
          <w:rFonts w:asciiTheme="minorHAnsi" w:hAnsiTheme="minorHAnsi" w:cstheme="minorHAnsi"/>
          <w:i/>
          <w:sz w:val="24"/>
          <w:szCs w:val="24"/>
        </w:rPr>
        <w:t>Podpora opatření na drobných vodních tocích a malých vodních nádržích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2039B6">
        <w:rPr>
          <w:rFonts w:asciiTheme="minorHAnsi" w:hAnsiTheme="minorHAnsi" w:cstheme="minorHAnsi"/>
          <w:sz w:val="24"/>
          <w:szCs w:val="24"/>
        </w:rPr>
        <w:t>Jeden z</w:t>
      </w:r>
      <w:r w:rsidR="007E7B92" w:rsidRPr="002039B6">
        <w:rPr>
          <w:rFonts w:asciiTheme="minorHAnsi" w:hAnsiTheme="minorHAnsi" w:cstheme="minorHAnsi"/>
          <w:sz w:val="24"/>
          <w:szCs w:val="24"/>
        </w:rPr>
        <w:t> </w:t>
      </w:r>
      <w:r w:rsidRPr="002039B6">
        <w:rPr>
          <w:rFonts w:asciiTheme="minorHAnsi" w:hAnsiTheme="minorHAnsi" w:cstheme="minorHAnsi"/>
          <w:sz w:val="24"/>
          <w:szCs w:val="24"/>
        </w:rPr>
        <w:t>parametrů</w:t>
      </w:r>
      <w:r w:rsidR="007E7B92" w:rsidRPr="002039B6">
        <w:rPr>
          <w:rFonts w:asciiTheme="minorHAnsi" w:hAnsiTheme="minorHAnsi" w:cstheme="minorHAnsi"/>
          <w:sz w:val="24"/>
          <w:szCs w:val="24"/>
        </w:rPr>
        <w:t xml:space="preserve"> tohoto</w:t>
      </w:r>
      <w:r w:rsidRPr="002039B6">
        <w:rPr>
          <w:rFonts w:asciiTheme="minorHAnsi" w:hAnsiTheme="minorHAnsi" w:cstheme="minorHAnsi"/>
          <w:sz w:val="24"/>
          <w:szCs w:val="24"/>
        </w:rPr>
        <w:t xml:space="preserve"> programu</w:t>
      </w:r>
      <w:r w:rsidRPr="00856877">
        <w:rPr>
          <w:rFonts w:asciiTheme="minorHAnsi" w:hAnsiTheme="minorHAnsi" w:cstheme="minorHAnsi"/>
        </w:rPr>
        <w:t xml:space="preserve"> </w:t>
      </w:r>
      <w:r w:rsidRPr="00534A16">
        <w:rPr>
          <w:rFonts w:asciiTheme="minorHAnsi" w:hAnsiTheme="minorHAnsi" w:cstheme="minorHAnsi"/>
          <w:sz w:val="24"/>
          <w:szCs w:val="24"/>
        </w:rPr>
        <w:t xml:space="preserve">je </w:t>
      </w:r>
      <w:r w:rsidR="002039B6">
        <w:rPr>
          <w:rFonts w:asciiTheme="minorHAnsi" w:hAnsiTheme="minorHAnsi" w:cstheme="minorHAnsi"/>
          <w:sz w:val="24"/>
          <w:szCs w:val="24"/>
        </w:rPr>
        <w:t>„</w:t>
      </w:r>
      <w:r w:rsidR="007D247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v</w:t>
      </w:r>
      <w:r w:rsidRPr="00534A1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ybudování, rekonstrukce/oprava opevnění koryt vodních toků</w:t>
      </w:r>
      <w:r w:rsidR="002039B6" w:rsidRPr="00C2750A"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Pr="00534A16">
        <w:rPr>
          <w:rFonts w:asciiTheme="minorHAnsi" w:hAnsiTheme="minorHAnsi" w:cstheme="minorHAnsi"/>
          <w:color w:val="000000" w:themeColor="text1"/>
          <w:sz w:val="24"/>
          <w:szCs w:val="24"/>
        </w:rPr>
        <w:t>, s cílovou hodnotou 530 000 m</w:t>
      </w:r>
      <w:r w:rsidRPr="00534A1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534A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5496947" w14:textId="017FF95C" w:rsidR="00A95AC0" w:rsidRDefault="00A95AC0" w:rsidP="00A95AC0">
      <w:pPr>
        <w:pStyle w:val="KP-normlntext"/>
        <w:spacing w:before="0" w:after="0"/>
        <w:ind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F3E786" w14:textId="7F23BC45" w:rsidR="00BD6545" w:rsidRDefault="00BD6545" w:rsidP="00A95AC0">
      <w:pPr>
        <w:spacing w:before="0"/>
        <w:rPr>
          <w:rFonts w:asciiTheme="minorHAnsi" w:hAnsiTheme="minorHAnsi" w:cstheme="minorHAnsi"/>
        </w:rPr>
      </w:pPr>
      <w:r w:rsidRPr="00392D9F">
        <w:rPr>
          <w:rFonts w:asciiTheme="minorHAnsi" w:hAnsiTheme="minorHAnsi" w:cstheme="minorHAnsi"/>
        </w:rPr>
        <w:t xml:space="preserve">OPŽP řeší revitalizace či </w:t>
      </w:r>
      <w:proofErr w:type="spellStart"/>
      <w:r w:rsidRPr="00392D9F">
        <w:rPr>
          <w:rFonts w:asciiTheme="minorHAnsi" w:hAnsiTheme="minorHAnsi" w:cstheme="minorHAnsi"/>
        </w:rPr>
        <w:t>renaturace</w:t>
      </w:r>
      <w:proofErr w:type="spellEnd"/>
      <w:r w:rsidRPr="00392D9F">
        <w:rPr>
          <w:rFonts w:asciiTheme="minorHAnsi" w:hAnsiTheme="minorHAnsi" w:cstheme="minorHAnsi"/>
        </w:rPr>
        <w:t xml:space="preserve"> vodních toků</w:t>
      </w:r>
      <w:r w:rsidR="00141E9C">
        <w:rPr>
          <w:rFonts w:asciiTheme="minorHAnsi" w:hAnsiTheme="minorHAnsi" w:cstheme="minorHAnsi"/>
        </w:rPr>
        <w:t xml:space="preserve"> pro programové období 2014–</w:t>
      </w:r>
      <w:r w:rsidR="00435FB0">
        <w:rPr>
          <w:rFonts w:asciiTheme="minorHAnsi" w:hAnsiTheme="minorHAnsi" w:cstheme="minorHAnsi"/>
        </w:rPr>
        <w:t>2020</w:t>
      </w:r>
      <w:r w:rsidRPr="00392D9F">
        <w:rPr>
          <w:rFonts w:asciiTheme="minorHAnsi" w:hAnsiTheme="minorHAnsi" w:cstheme="minorHAnsi"/>
        </w:rPr>
        <w:t xml:space="preserve"> ve </w:t>
      </w:r>
      <w:r w:rsidR="00025B14">
        <w:rPr>
          <w:rFonts w:asciiTheme="minorHAnsi" w:hAnsiTheme="minorHAnsi" w:cstheme="minorHAnsi"/>
        </w:rPr>
        <w:t>specifickém cíli 1.3 a 4.3</w:t>
      </w:r>
      <w:r w:rsidRPr="00392D9F">
        <w:rPr>
          <w:rFonts w:asciiTheme="minorHAnsi" w:hAnsiTheme="minorHAnsi" w:cstheme="minorHAnsi"/>
        </w:rPr>
        <w:t xml:space="preserve">. Dle cílové hodnoty </w:t>
      </w:r>
      <w:r w:rsidR="007509A1">
        <w:rPr>
          <w:rFonts w:asciiTheme="minorHAnsi" w:hAnsiTheme="minorHAnsi" w:cstheme="minorHAnsi"/>
        </w:rPr>
        <w:t>ukazatele</w:t>
      </w:r>
      <w:r w:rsidRPr="00392D9F">
        <w:rPr>
          <w:rFonts w:asciiTheme="minorHAnsi" w:hAnsiTheme="minorHAnsi" w:cstheme="minorHAnsi"/>
        </w:rPr>
        <w:t xml:space="preserve"> </w:t>
      </w:r>
      <w:r w:rsidR="00435FB0">
        <w:rPr>
          <w:rFonts w:asciiTheme="minorHAnsi" w:hAnsiTheme="minorHAnsi" w:cstheme="minorHAnsi"/>
        </w:rPr>
        <w:t>„</w:t>
      </w:r>
      <w:r w:rsidR="007D247D">
        <w:rPr>
          <w:rFonts w:asciiTheme="minorHAnsi" w:hAnsiTheme="minorHAnsi" w:cstheme="minorHAnsi"/>
          <w:i/>
        </w:rPr>
        <w:t>d</w:t>
      </w:r>
      <w:r w:rsidRPr="00392D9F">
        <w:rPr>
          <w:rFonts w:asciiTheme="minorHAnsi" w:hAnsiTheme="minorHAnsi" w:cstheme="minorHAnsi"/>
          <w:i/>
        </w:rPr>
        <w:t>élka řešených kilometrů</w:t>
      </w:r>
      <w:r w:rsidRPr="007D247D">
        <w:rPr>
          <w:rFonts w:asciiTheme="minorHAnsi" w:hAnsiTheme="minorHAnsi" w:cstheme="minorHAnsi"/>
          <w:i/>
        </w:rPr>
        <w:t xml:space="preserve"> toků</w:t>
      </w:r>
      <w:r w:rsidR="007D247D">
        <w:rPr>
          <w:rFonts w:asciiTheme="minorHAnsi" w:hAnsiTheme="minorHAnsi" w:cstheme="minorHAnsi"/>
        </w:rPr>
        <w:t>“</w:t>
      </w:r>
      <w:r w:rsidRPr="00392D9F">
        <w:rPr>
          <w:rFonts w:asciiTheme="minorHAnsi" w:hAnsiTheme="minorHAnsi" w:cstheme="minorHAnsi"/>
        </w:rPr>
        <w:t xml:space="preserve"> MŽP plán</w:t>
      </w:r>
      <w:r w:rsidR="00435FB0">
        <w:rPr>
          <w:rFonts w:asciiTheme="minorHAnsi" w:hAnsiTheme="minorHAnsi" w:cstheme="minorHAnsi"/>
        </w:rPr>
        <w:t>ovalo</w:t>
      </w:r>
      <w:r w:rsidRPr="00392D9F">
        <w:rPr>
          <w:rFonts w:asciiTheme="minorHAnsi" w:hAnsiTheme="minorHAnsi" w:cstheme="minorHAnsi"/>
        </w:rPr>
        <w:t xml:space="preserve"> podpořit revitalizaci řek v rozsahu 236 km. Dle </w:t>
      </w:r>
      <w:r w:rsidR="004601AF">
        <w:rPr>
          <w:rFonts w:asciiTheme="minorHAnsi" w:hAnsiTheme="minorHAnsi" w:cstheme="minorHAnsi"/>
        </w:rPr>
        <w:t>informace o</w:t>
      </w:r>
      <w:r w:rsidRPr="00392D9F">
        <w:rPr>
          <w:rFonts w:asciiTheme="minorHAnsi" w:hAnsiTheme="minorHAnsi" w:cstheme="minorHAnsi"/>
        </w:rPr>
        <w:t xml:space="preserve"> plnění </w:t>
      </w:r>
      <w:r w:rsidR="007509A1">
        <w:rPr>
          <w:rFonts w:asciiTheme="minorHAnsi" w:hAnsiTheme="minorHAnsi" w:cstheme="minorHAnsi"/>
        </w:rPr>
        <w:t xml:space="preserve">ukazatelů </w:t>
      </w:r>
      <w:r w:rsidRPr="00392D9F">
        <w:rPr>
          <w:rFonts w:asciiTheme="minorHAnsi" w:hAnsiTheme="minorHAnsi" w:cstheme="minorHAnsi"/>
        </w:rPr>
        <w:t xml:space="preserve">ke dni </w:t>
      </w:r>
      <w:r w:rsidRPr="00392D9F">
        <w:rPr>
          <w:rFonts w:asciiTheme="minorHAnsi" w:hAnsiTheme="minorHAnsi" w:cstheme="minorHAnsi"/>
        </w:rPr>
        <w:lastRenderedPageBreak/>
        <w:t>11.</w:t>
      </w:r>
      <w:r w:rsidR="00435FB0">
        <w:rPr>
          <w:rFonts w:asciiTheme="minorHAnsi" w:hAnsiTheme="minorHAnsi" w:cstheme="minorHAnsi"/>
        </w:rPr>
        <w:t> </w:t>
      </w:r>
      <w:r w:rsidRPr="00392D9F">
        <w:rPr>
          <w:rFonts w:asciiTheme="minorHAnsi" w:hAnsiTheme="minorHAnsi" w:cstheme="minorHAnsi"/>
        </w:rPr>
        <w:t>3.</w:t>
      </w:r>
      <w:r w:rsidR="007D247D">
        <w:rPr>
          <w:rFonts w:asciiTheme="minorHAnsi" w:hAnsiTheme="minorHAnsi" w:cstheme="minorHAnsi"/>
        </w:rPr>
        <w:t> </w:t>
      </w:r>
      <w:r w:rsidRPr="00392D9F">
        <w:rPr>
          <w:rFonts w:asciiTheme="minorHAnsi" w:hAnsiTheme="minorHAnsi" w:cstheme="minorHAnsi"/>
        </w:rPr>
        <w:t xml:space="preserve">2019 bylo zrealizováno pouze 0,23 km vodních toků. Dle cílové hodnoty </w:t>
      </w:r>
      <w:r w:rsidR="007509A1">
        <w:rPr>
          <w:rFonts w:asciiTheme="minorHAnsi" w:hAnsiTheme="minorHAnsi" w:cstheme="minorHAnsi"/>
        </w:rPr>
        <w:t>ukazatele</w:t>
      </w:r>
      <w:r w:rsidRPr="00392D9F">
        <w:rPr>
          <w:rFonts w:asciiTheme="minorHAnsi" w:hAnsiTheme="minorHAnsi" w:cstheme="minorHAnsi"/>
        </w:rPr>
        <w:t xml:space="preserve"> </w:t>
      </w:r>
      <w:r w:rsidR="00435FB0">
        <w:rPr>
          <w:rFonts w:asciiTheme="minorHAnsi" w:hAnsiTheme="minorHAnsi" w:cstheme="minorHAnsi"/>
        </w:rPr>
        <w:t>„</w:t>
      </w:r>
      <w:r w:rsidR="007D247D">
        <w:rPr>
          <w:rFonts w:asciiTheme="minorHAnsi" w:hAnsiTheme="minorHAnsi" w:cstheme="minorHAnsi"/>
          <w:i/>
        </w:rPr>
        <w:t>d</w:t>
      </w:r>
      <w:r w:rsidRPr="00392D9F">
        <w:rPr>
          <w:rFonts w:asciiTheme="minorHAnsi" w:hAnsiTheme="minorHAnsi" w:cstheme="minorHAnsi"/>
          <w:i/>
        </w:rPr>
        <w:t>élka revitalizovaných vodních toků</w:t>
      </w:r>
      <w:r w:rsidR="00435FB0" w:rsidRPr="00C2750A">
        <w:rPr>
          <w:rFonts w:asciiTheme="minorHAnsi" w:hAnsiTheme="minorHAnsi" w:cstheme="minorHAnsi"/>
        </w:rPr>
        <w:t>“</w:t>
      </w:r>
      <w:r w:rsidRPr="007D247D">
        <w:rPr>
          <w:rFonts w:asciiTheme="minorHAnsi" w:hAnsiTheme="minorHAnsi" w:cstheme="minorHAnsi"/>
        </w:rPr>
        <w:t xml:space="preserve"> </w:t>
      </w:r>
      <w:r w:rsidRPr="00392D9F">
        <w:rPr>
          <w:rFonts w:asciiTheme="minorHAnsi" w:hAnsiTheme="minorHAnsi" w:cstheme="minorHAnsi"/>
        </w:rPr>
        <w:t>MŽP plán</w:t>
      </w:r>
      <w:r w:rsidR="00435FB0">
        <w:rPr>
          <w:rFonts w:asciiTheme="minorHAnsi" w:hAnsiTheme="minorHAnsi" w:cstheme="minorHAnsi"/>
        </w:rPr>
        <w:t>ovalo</w:t>
      </w:r>
      <w:r w:rsidRPr="00392D9F">
        <w:rPr>
          <w:rFonts w:asciiTheme="minorHAnsi" w:hAnsiTheme="minorHAnsi" w:cstheme="minorHAnsi"/>
        </w:rPr>
        <w:t xml:space="preserve"> podpořit</w:t>
      </w:r>
      <w:r w:rsidR="00141E9C">
        <w:rPr>
          <w:rFonts w:asciiTheme="minorHAnsi" w:hAnsiTheme="minorHAnsi" w:cstheme="minorHAnsi"/>
        </w:rPr>
        <w:t xml:space="preserve"> revitalizaci řek v rozsahu </w:t>
      </w:r>
      <w:r w:rsidR="00141E9C" w:rsidRPr="00141E9C">
        <w:t>202</w:t>
      </w:r>
      <w:r w:rsidR="00141E9C">
        <w:t> </w:t>
      </w:r>
      <w:r w:rsidRPr="00141E9C">
        <w:t>km</w:t>
      </w:r>
      <w:r w:rsidRPr="00392D9F">
        <w:rPr>
          <w:rFonts w:asciiTheme="minorHAnsi" w:hAnsiTheme="minorHAnsi" w:cstheme="minorHAnsi"/>
        </w:rPr>
        <w:t xml:space="preserve">. Dle </w:t>
      </w:r>
      <w:r w:rsidR="004601AF">
        <w:rPr>
          <w:rFonts w:asciiTheme="minorHAnsi" w:hAnsiTheme="minorHAnsi" w:cstheme="minorHAnsi"/>
        </w:rPr>
        <w:t>informace o</w:t>
      </w:r>
      <w:r w:rsidRPr="00392D9F">
        <w:rPr>
          <w:rFonts w:asciiTheme="minorHAnsi" w:hAnsiTheme="minorHAnsi" w:cstheme="minorHAnsi"/>
        </w:rPr>
        <w:t xml:space="preserve"> plnění </w:t>
      </w:r>
      <w:r w:rsidR="007509A1">
        <w:rPr>
          <w:rFonts w:asciiTheme="minorHAnsi" w:hAnsiTheme="minorHAnsi" w:cstheme="minorHAnsi"/>
        </w:rPr>
        <w:t>ukazatelů ke dni 11. </w:t>
      </w:r>
      <w:r w:rsidRPr="00392D9F">
        <w:rPr>
          <w:rFonts w:asciiTheme="minorHAnsi" w:hAnsiTheme="minorHAnsi" w:cstheme="minorHAnsi"/>
        </w:rPr>
        <w:t>3. 2019 bylo zrealizováno 7,9 km vodních toků.</w:t>
      </w:r>
    </w:p>
    <w:p w14:paraId="328C918C" w14:textId="77777777" w:rsidR="00A95AC0" w:rsidRDefault="00A95AC0" w:rsidP="00A95AC0">
      <w:pPr>
        <w:spacing w:before="0"/>
        <w:rPr>
          <w:rFonts w:asciiTheme="minorHAnsi" w:hAnsiTheme="minorHAnsi" w:cstheme="minorHAnsi"/>
        </w:rPr>
      </w:pPr>
    </w:p>
    <w:p w14:paraId="1994285D" w14:textId="620303A3" w:rsidR="00534A16" w:rsidRPr="00534A16" w:rsidRDefault="00534A16" w:rsidP="00A95AC0">
      <w:pPr>
        <w:pStyle w:val="KP-normlntext"/>
        <w:spacing w:before="0" w:after="0"/>
        <w:ind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proofErr w:type="spellStart"/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MZe</w:t>
      </w:r>
      <w:proofErr w:type="spellEnd"/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 prostředků dotačního programu plánuje poskytnout finanční prostředky na 530</w:t>
      </w:r>
      <w:r w:rsidR="00025B1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000</w:t>
      </w:r>
      <w:r w:rsidR="00025B1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>2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25B1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technicky upravených vodních koryt.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MŽP</w:t>
      </w:r>
      <w:r w:rsidR="007E7B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naopak 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podporuje revitalizace, kde se </w:t>
      </w:r>
      <w:r w:rsidR="00025B1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technické (umělé) 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úpravy vodních koryt ruší</w:t>
      </w:r>
      <w:r w:rsidR="007E7B9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neboť u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měle upravená koryta </w:t>
      </w:r>
      <w:r w:rsidR="007D247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urychlují</w:t>
      </w:r>
      <w:r w:rsidRPr="00534A1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odtok vody z krajiny.</w:t>
      </w:r>
    </w:p>
    <w:p w14:paraId="5E05C73C" w14:textId="0C3AE7CC" w:rsidR="00BD6545" w:rsidRDefault="00BD6545" w:rsidP="00A95AC0">
      <w:pPr>
        <w:spacing w:before="0"/>
        <w:rPr>
          <w:u w:val="single"/>
        </w:rPr>
      </w:pPr>
    </w:p>
    <w:p w14:paraId="422199FA" w14:textId="3A3C9CCF" w:rsidR="00BD6545" w:rsidRPr="00A95AC0" w:rsidRDefault="00A95AC0" w:rsidP="00A95AC0">
      <w:pPr>
        <w:keepNext/>
        <w:spacing w:before="0"/>
        <w:ind w:left="397" w:hanging="397"/>
        <w:jc w:val="left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7.3 </w:t>
      </w:r>
      <w:r>
        <w:rPr>
          <w:rFonts w:asciiTheme="minorHAnsi" w:hAnsiTheme="minorHAnsi" w:cstheme="minorHAnsi"/>
          <w:b/>
        </w:rPr>
        <w:tab/>
      </w:r>
      <w:r w:rsidR="00BD6545" w:rsidRPr="00A95AC0">
        <w:rPr>
          <w:rFonts w:asciiTheme="minorHAnsi" w:hAnsiTheme="minorHAnsi" w:cstheme="minorHAnsi"/>
          <w:b/>
        </w:rPr>
        <w:t xml:space="preserve">Zařazení kanalizací </w:t>
      </w:r>
      <w:r w:rsidR="00435FB0" w:rsidRPr="00A95AC0">
        <w:rPr>
          <w:rFonts w:asciiTheme="minorHAnsi" w:hAnsiTheme="minorHAnsi" w:cstheme="minorHAnsi"/>
          <w:b/>
        </w:rPr>
        <w:t>mezi</w:t>
      </w:r>
      <w:r w:rsidR="007D247D">
        <w:rPr>
          <w:rFonts w:asciiTheme="minorHAnsi" w:hAnsiTheme="minorHAnsi" w:cstheme="minorHAnsi"/>
          <w:b/>
        </w:rPr>
        <w:t xml:space="preserve"> </w:t>
      </w:r>
      <w:r w:rsidR="00BD6545" w:rsidRPr="00A95AC0">
        <w:rPr>
          <w:rFonts w:asciiTheme="minorHAnsi" w:hAnsiTheme="minorHAnsi" w:cstheme="minorHAnsi"/>
          <w:b/>
        </w:rPr>
        <w:t>projekt</w:t>
      </w:r>
      <w:r w:rsidR="00435FB0" w:rsidRPr="00A95AC0">
        <w:rPr>
          <w:rFonts w:asciiTheme="minorHAnsi" w:hAnsiTheme="minorHAnsi" w:cstheme="minorHAnsi"/>
          <w:b/>
        </w:rPr>
        <w:t>y</w:t>
      </w:r>
      <w:r w:rsidR="00BD6545" w:rsidRPr="00A95AC0">
        <w:rPr>
          <w:rFonts w:asciiTheme="minorHAnsi" w:hAnsiTheme="minorHAnsi" w:cstheme="minorHAnsi"/>
          <w:b/>
        </w:rPr>
        <w:t xml:space="preserve"> přispívající ke zmírňování negativních následků such</w:t>
      </w:r>
      <w:r w:rsidR="000F55DF" w:rsidRPr="00A95AC0">
        <w:rPr>
          <w:rFonts w:asciiTheme="minorHAnsi" w:hAnsiTheme="minorHAnsi" w:cstheme="minorHAnsi"/>
          <w:b/>
        </w:rPr>
        <w:t>a</w:t>
      </w:r>
      <w:r w:rsidR="00BD6545" w:rsidRPr="00A95AC0">
        <w:rPr>
          <w:rFonts w:asciiTheme="minorHAnsi" w:hAnsiTheme="minorHAnsi" w:cstheme="minorHAnsi"/>
          <w:b/>
        </w:rPr>
        <w:t xml:space="preserve"> a nedostatku vody</w:t>
      </w:r>
    </w:p>
    <w:p w14:paraId="31A54BDC" w14:textId="77777777" w:rsidR="00A95AC0" w:rsidRDefault="00A95AC0" w:rsidP="00A95AC0">
      <w:pPr>
        <w:keepNext/>
        <w:spacing w:before="0"/>
        <w:rPr>
          <w:rFonts w:asciiTheme="minorHAnsi" w:hAnsiTheme="minorHAnsi" w:cstheme="minorHAnsi"/>
        </w:rPr>
      </w:pPr>
    </w:p>
    <w:p w14:paraId="1E1CF1BA" w14:textId="1F592C68" w:rsidR="00BD6545" w:rsidRPr="0024112D" w:rsidRDefault="00BD6545" w:rsidP="00A95AC0">
      <w:pPr>
        <w:spacing w:before="0"/>
        <w:rPr>
          <w:rFonts w:asciiTheme="minorHAnsi" w:hAnsiTheme="minorHAnsi" w:cstheme="minorHAnsi"/>
        </w:rPr>
      </w:pPr>
      <w:proofErr w:type="spellStart"/>
      <w:r w:rsidRPr="0024112D">
        <w:rPr>
          <w:rFonts w:asciiTheme="minorHAnsi" w:hAnsiTheme="minorHAnsi" w:cstheme="minorHAnsi"/>
        </w:rPr>
        <w:t>MZe</w:t>
      </w:r>
      <w:proofErr w:type="spellEnd"/>
      <w:r w:rsidRPr="0024112D">
        <w:rPr>
          <w:rFonts w:asciiTheme="minorHAnsi" w:hAnsiTheme="minorHAnsi" w:cstheme="minorHAnsi"/>
        </w:rPr>
        <w:t xml:space="preserve"> administruje národní </w:t>
      </w:r>
      <w:r w:rsidR="00C85397" w:rsidRPr="00C85397">
        <w:rPr>
          <w:rFonts w:asciiTheme="minorHAnsi" w:hAnsiTheme="minorHAnsi" w:cstheme="minorHAnsi"/>
        </w:rPr>
        <w:t>d</w:t>
      </w:r>
      <w:r w:rsidRPr="00C85397">
        <w:rPr>
          <w:rFonts w:asciiTheme="minorHAnsi" w:hAnsiTheme="minorHAnsi" w:cstheme="minorHAnsi"/>
        </w:rPr>
        <w:t>otační program</w:t>
      </w:r>
      <w:r w:rsidRPr="0024112D">
        <w:rPr>
          <w:rFonts w:asciiTheme="minorHAnsi" w:hAnsiTheme="minorHAnsi" w:cstheme="minorHAnsi"/>
          <w:i/>
        </w:rPr>
        <w:t xml:space="preserve"> Podpora výstavby a technického zhodnocení infrastruktury vodovodů a kanalizací II</w:t>
      </w:r>
      <w:r w:rsidRPr="0024112D">
        <w:rPr>
          <w:rFonts w:asciiTheme="minorHAnsi" w:hAnsiTheme="minorHAnsi" w:cstheme="minorHAnsi"/>
        </w:rPr>
        <w:t>. Ten uvedlo v </w:t>
      </w:r>
      <w:r w:rsidR="007D247D">
        <w:rPr>
          <w:rFonts w:asciiTheme="minorHAnsi" w:hAnsiTheme="minorHAnsi" w:cstheme="minorHAnsi"/>
        </w:rPr>
        <w:t>p</w:t>
      </w:r>
      <w:r w:rsidRPr="0024112D">
        <w:rPr>
          <w:rFonts w:asciiTheme="minorHAnsi" w:hAnsiTheme="minorHAnsi" w:cstheme="minorHAnsi"/>
        </w:rPr>
        <w:t>říloze 14 Koncepce jako zdroj finančních prostředků pro zmírnění negativních následků sucha a nedostatku vody.</w:t>
      </w:r>
    </w:p>
    <w:p w14:paraId="4B6F88D4" w14:textId="77777777" w:rsidR="00A95AC0" w:rsidRDefault="00A95AC0" w:rsidP="00A95AC0">
      <w:pPr>
        <w:spacing w:before="0"/>
        <w:rPr>
          <w:rFonts w:asciiTheme="minorHAnsi" w:hAnsiTheme="minorHAnsi" w:cstheme="minorHAnsi"/>
        </w:rPr>
      </w:pPr>
    </w:p>
    <w:p w14:paraId="5772213E" w14:textId="3B095152" w:rsidR="00BD6545" w:rsidRPr="0024112D" w:rsidRDefault="00BD6545" w:rsidP="00A95AC0">
      <w:pPr>
        <w:spacing w:before="0"/>
        <w:rPr>
          <w:rFonts w:asciiTheme="minorHAnsi" w:hAnsiTheme="minorHAnsi" w:cstheme="minorHAnsi"/>
        </w:rPr>
      </w:pPr>
      <w:r w:rsidRPr="0024112D">
        <w:rPr>
          <w:rFonts w:asciiTheme="minorHAnsi" w:hAnsiTheme="minorHAnsi" w:cstheme="minorHAnsi"/>
        </w:rPr>
        <w:t xml:space="preserve">MŽP prostřednictvím SFŽP administruje OPŽP, konkrétně </w:t>
      </w:r>
      <w:r w:rsidR="00025B14">
        <w:rPr>
          <w:rFonts w:asciiTheme="minorHAnsi" w:hAnsiTheme="minorHAnsi" w:cstheme="minorHAnsi"/>
        </w:rPr>
        <w:t xml:space="preserve">specifický cíl </w:t>
      </w:r>
      <w:r w:rsidRPr="0024112D">
        <w:rPr>
          <w:rFonts w:asciiTheme="minorHAnsi" w:hAnsiTheme="minorHAnsi" w:cstheme="minorHAnsi"/>
        </w:rPr>
        <w:t>1.1 „</w:t>
      </w:r>
      <w:r w:rsidR="00772E08">
        <w:rPr>
          <w:rFonts w:asciiTheme="minorHAnsi" w:hAnsiTheme="minorHAnsi" w:cstheme="minorHAnsi"/>
          <w:i/>
        </w:rPr>
        <w:t>s</w:t>
      </w:r>
      <w:r w:rsidRPr="0024112D">
        <w:rPr>
          <w:rFonts w:asciiTheme="minorHAnsi" w:hAnsiTheme="minorHAnsi" w:cstheme="minorHAnsi"/>
          <w:i/>
        </w:rPr>
        <w:t>nížit množství vypouštěného znečištění do povrchových i podzemních vod z komunálních zdrojů a vnos znečišťujících látek do povrchových a podzemních vod</w:t>
      </w:r>
      <w:r w:rsidRPr="00C2750A">
        <w:rPr>
          <w:rFonts w:asciiTheme="minorHAnsi" w:hAnsiTheme="minorHAnsi" w:cstheme="minorHAnsi"/>
        </w:rPr>
        <w:t>“</w:t>
      </w:r>
      <w:r w:rsidRPr="0024112D">
        <w:rPr>
          <w:rFonts w:asciiTheme="minorHAnsi" w:hAnsiTheme="minorHAnsi" w:cstheme="minorHAnsi"/>
          <w:i/>
        </w:rPr>
        <w:t xml:space="preserve">. </w:t>
      </w:r>
      <w:r w:rsidRPr="0024112D">
        <w:rPr>
          <w:rFonts w:asciiTheme="minorHAnsi" w:hAnsiTheme="minorHAnsi" w:cstheme="minorHAnsi"/>
        </w:rPr>
        <w:t>V příloze 15 Koncepce však tyto zdroje MŽP jako finanční prostředky pro zmírnění negativních následků sucha a nedostatku vody neuvádí.</w:t>
      </w:r>
    </w:p>
    <w:p w14:paraId="34966018" w14:textId="77777777" w:rsidR="00A95AC0" w:rsidRDefault="00A95AC0" w:rsidP="00A95AC0">
      <w:pPr>
        <w:spacing w:before="0"/>
        <w:rPr>
          <w:rFonts w:asciiTheme="minorHAnsi" w:hAnsiTheme="minorHAnsi" w:cstheme="minorHAnsi"/>
        </w:rPr>
      </w:pPr>
    </w:p>
    <w:p w14:paraId="631A3F14" w14:textId="62FE9D49" w:rsidR="00BD6545" w:rsidRDefault="00392D9F" w:rsidP="00A95AC0">
      <w:pPr>
        <w:spacing w:before="0"/>
        <w:rPr>
          <w:rFonts w:asciiTheme="minorHAnsi" w:eastAsia="Calibri" w:hAnsiTheme="minorHAnsi" w:cstheme="minorHAnsi"/>
          <w:i/>
        </w:rPr>
      </w:pPr>
      <w:r>
        <w:rPr>
          <w:rFonts w:asciiTheme="minorHAnsi" w:hAnsiTheme="minorHAnsi" w:cstheme="minorHAnsi"/>
        </w:rPr>
        <w:t>Dle vyjádření MŽP</w:t>
      </w:r>
      <w:r w:rsidR="007E7B92">
        <w:rPr>
          <w:rFonts w:asciiTheme="minorHAnsi" w:hAnsiTheme="minorHAnsi" w:cstheme="minorHAnsi"/>
        </w:rPr>
        <w:t xml:space="preserve"> jsou </w:t>
      </w:r>
      <w:r w:rsidR="00772E08">
        <w:rPr>
          <w:rFonts w:asciiTheme="minorHAnsi" w:hAnsiTheme="minorHAnsi" w:cstheme="minorHAnsi"/>
        </w:rPr>
        <w:t xml:space="preserve">„… </w:t>
      </w:r>
      <w:r w:rsidR="007E7B92" w:rsidRPr="00435FB0">
        <w:rPr>
          <w:rFonts w:asciiTheme="minorHAnsi" w:hAnsiTheme="minorHAnsi" w:cstheme="minorHAnsi"/>
          <w:i/>
        </w:rPr>
        <w:t>p</w:t>
      </w:r>
      <w:r w:rsidR="00BD6545" w:rsidRPr="00435FB0">
        <w:rPr>
          <w:rFonts w:asciiTheme="minorHAnsi" w:hAnsiTheme="minorHAnsi" w:cstheme="minorHAnsi"/>
          <w:i/>
        </w:rPr>
        <w:t>odporované aktivity v rámci specifického cíle 1.1 zaměřeny primárně na snižování množství vypouštěného znečištění do povrchových i podzemních vod z</w:t>
      </w:r>
      <w:r w:rsidR="007E7B92" w:rsidRPr="00435FB0">
        <w:rPr>
          <w:rFonts w:asciiTheme="minorHAnsi" w:hAnsiTheme="minorHAnsi" w:cstheme="minorHAnsi"/>
          <w:i/>
        </w:rPr>
        <w:t> </w:t>
      </w:r>
      <w:r w:rsidR="00BD6545" w:rsidRPr="00435FB0">
        <w:rPr>
          <w:rFonts w:asciiTheme="minorHAnsi" w:hAnsiTheme="minorHAnsi" w:cstheme="minorHAnsi"/>
          <w:i/>
        </w:rPr>
        <w:t>komunálních zdrojů. Tato opatření nemají prokazatelný efekt na zmírnění negativních dopadů sucha, a proto nebyla zahrnuta do Koncepce ochrany před následky sucha pro území České republiky</w:t>
      </w:r>
      <w:r w:rsidR="00772E08">
        <w:rPr>
          <w:rFonts w:asciiTheme="minorHAnsi" w:hAnsiTheme="minorHAnsi" w:cstheme="minorHAnsi"/>
        </w:rPr>
        <w:t>“</w:t>
      </w:r>
      <w:r w:rsidR="00BD6545" w:rsidRPr="00435FB0">
        <w:rPr>
          <w:rFonts w:asciiTheme="minorHAnsi" w:eastAsia="Calibri" w:hAnsiTheme="minorHAnsi" w:cstheme="minorHAnsi"/>
          <w:i/>
        </w:rPr>
        <w:t>.</w:t>
      </w:r>
    </w:p>
    <w:p w14:paraId="10F43038" w14:textId="77777777" w:rsidR="00A95AC0" w:rsidRPr="00A95AC0" w:rsidRDefault="00A95AC0" w:rsidP="00A95AC0">
      <w:pPr>
        <w:spacing w:before="0"/>
        <w:rPr>
          <w:rFonts w:asciiTheme="minorHAnsi" w:eastAsia="Calibri" w:hAnsiTheme="minorHAnsi" w:cstheme="minorHAnsi"/>
        </w:rPr>
      </w:pPr>
    </w:p>
    <w:p w14:paraId="00F2C267" w14:textId="323099BB" w:rsidR="00BD6545" w:rsidRDefault="00BD6545" w:rsidP="00A95AC0">
      <w:p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0F55DF">
        <w:rPr>
          <w:rFonts w:asciiTheme="minorHAnsi" w:hAnsiTheme="minorHAnsi" w:cstheme="minorHAnsi"/>
          <w:b/>
        </w:rPr>
        <w:t xml:space="preserve">Kontrolou bylo zjištěno, že </w:t>
      </w:r>
      <w:proofErr w:type="spellStart"/>
      <w:r w:rsidRPr="000F55DF">
        <w:rPr>
          <w:rFonts w:asciiTheme="minorHAnsi" w:hAnsiTheme="minorHAnsi" w:cstheme="minorHAnsi"/>
          <w:b/>
        </w:rPr>
        <w:t>MZe</w:t>
      </w:r>
      <w:proofErr w:type="spellEnd"/>
      <w:r w:rsidRPr="000F55DF">
        <w:rPr>
          <w:rFonts w:asciiTheme="minorHAnsi" w:hAnsiTheme="minorHAnsi" w:cstheme="minorHAnsi"/>
          <w:b/>
        </w:rPr>
        <w:t xml:space="preserve"> a MŽP vynakládají finanční prostředky mj. na </w:t>
      </w:r>
      <w:r w:rsidR="00772E08">
        <w:rPr>
          <w:rFonts w:asciiTheme="minorHAnsi" w:hAnsiTheme="minorHAnsi" w:cstheme="minorHAnsi"/>
          <w:b/>
        </w:rPr>
        <w:t>budování</w:t>
      </w:r>
      <w:r w:rsidRPr="000F55DF">
        <w:rPr>
          <w:rFonts w:asciiTheme="minorHAnsi" w:hAnsiTheme="minorHAnsi" w:cstheme="minorHAnsi"/>
          <w:b/>
        </w:rPr>
        <w:t xml:space="preserve"> kanalizací. Zatímco </w:t>
      </w:r>
      <w:proofErr w:type="spellStart"/>
      <w:r w:rsidRPr="000F55DF">
        <w:rPr>
          <w:rFonts w:asciiTheme="minorHAnsi" w:hAnsiTheme="minorHAnsi" w:cstheme="minorHAnsi"/>
          <w:b/>
        </w:rPr>
        <w:t>MZe</w:t>
      </w:r>
      <w:proofErr w:type="spellEnd"/>
      <w:r w:rsidRPr="000F55DF">
        <w:rPr>
          <w:rFonts w:asciiTheme="minorHAnsi" w:hAnsiTheme="minorHAnsi" w:cstheme="minorHAnsi"/>
          <w:b/>
        </w:rPr>
        <w:t xml:space="preserve"> tyto prostředky vykazuje v rámci Koncepce jako finanční zdroje pro</w:t>
      </w:r>
      <w:r w:rsidR="00772E08">
        <w:rPr>
          <w:rFonts w:asciiTheme="minorHAnsi" w:hAnsiTheme="minorHAnsi" w:cstheme="minorHAnsi"/>
          <w:b/>
        </w:rPr>
        <w:t xml:space="preserve"> </w:t>
      </w:r>
      <w:r w:rsidRPr="000F55DF">
        <w:rPr>
          <w:rFonts w:asciiTheme="minorHAnsi" w:hAnsiTheme="minorHAnsi" w:cstheme="minorHAnsi"/>
          <w:b/>
        </w:rPr>
        <w:t xml:space="preserve">zmírnění negativních následků sucha a nedostatku vody, MŽP takto vynaložené zdroje v Koncepci neuvádí. </w:t>
      </w:r>
      <w:r w:rsidRPr="000F55DF">
        <w:rPr>
          <w:rFonts w:asciiTheme="minorHAnsi" w:hAnsiTheme="minorHAnsi" w:cstheme="minorHAnsi"/>
          <w:b/>
          <w:color w:val="000000" w:themeColor="text1"/>
        </w:rPr>
        <w:t xml:space="preserve">V oblasti zahrnutí finančních prostředků vynaložených </w:t>
      </w:r>
      <w:r w:rsidR="00435FB0">
        <w:rPr>
          <w:rFonts w:asciiTheme="minorHAnsi" w:hAnsiTheme="minorHAnsi" w:cstheme="minorHAnsi"/>
          <w:b/>
          <w:color w:val="000000" w:themeColor="text1"/>
        </w:rPr>
        <w:t>na</w:t>
      </w:r>
      <w:r w:rsidRPr="000F55D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72E08">
        <w:rPr>
          <w:rFonts w:asciiTheme="minorHAnsi" w:hAnsiTheme="minorHAnsi" w:cstheme="minorHAnsi"/>
          <w:b/>
          <w:color w:val="000000" w:themeColor="text1"/>
        </w:rPr>
        <w:t>vybudování</w:t>
      </w:r>
      <w:r w:rsidRPr="000F55DF">
        <w:rPr>
          <w:rFonts w:asciiTheme="minorHAnsi" w:hAnsiTheme="minorHAnsi" w:cstheme="minorHAnsi"/>
          <w:b/>
          <w:color w:val="000000" w:themeColor="text1"/>
        </w:rPr>
        <w:t xml:space="preserve"> a technické zhodnocení kanalizací nepanuje mezi </w:t>
      </w:r>
      <w:proofErr w:type="spellStart"/>
      <w:proofErr w:type="gramStart"/>
      <w:r w:rsidRPr="000F55DF">
        <w:rPr>
          <w:rFonts w:asciiTheme="minorHAnsi" w:hAnsiTheme="minorHAnsi" w:cstheme="minorHAnsi"/>
          <w:b/>
          <w:color w:val="000000" w:themeColor="text1"/>
        </w:rPr>
        <w:t>MZe</w:t>
      </w:r>
      <w:proofErr w:type="spellEnd"/>
      <w:proofErr w:type="gramEnd"/>
      <w:r w:rsidRPr="000F55DF">
        <w:rPr>
          <w:rFonts w:asciiTheme="minorHAnsi" w:hAnsiTheme="minorHAnsi" w:cstheme="minorHAnsi"/>
          <w:b/>
          <w:color w:val="000000" w:themeColor="text1"/>
        </w:rPr>
        <w:t xml:space="preserve"> a MŽP shoda.</w:t>
      </w:r>
    </w:p>
    <w:p w14:paraId="10059CF8" w14:textId="77777777" w:rsidR="00F054B8" w:rsidRPr="000F55DF" w:rsidRDefault="00F054B8" w:rsidP="00A95AC0">
      <w:pPr>
        <w:spacing w:before="0"/>
        <w:rPr>
          <w:b/>
          <w:u w:val="single"/>
        </w:rPr>
      </w:pPr>
    </w:p>
    <w:p w14:paraId="5789EBE4" w14:textId="4318F971" w:rsidR="00BD6545" w:rsidRPr="00EC1E9E" w:rsidRDefault="00EC1E9E" w:rsidP="008F4F38">
      <w:pPr>
        <w:keepNext/>
        <w:spacing w:before="0"/>
        <w:outlineLvl w:val="0"/>
        <w:rPr>
          <w:b/>
        </w:rPr>
      </w:pPr>
      <w:r>
        <w:rPr>
          <w:b/>
        </w:rPr>
        <w:t xml:space="preserve">8. </w:t>
      </w:r>
      <w:r w:rsidR="00AD7E3F" w:rsidRPr="00EC1E9E">
        <w:rPr>
          <w:b/>
        </w:rPr>
        <w:t>Rostoucí š</w:t>
      </w:r>
      <w:r w:rsidR="00BD6545" w:rsidRPr="00EC1E9E">
        <w:rPr>
          <w:b/>
        </w:rPr>
        <w:t>kody způsobené suchem a jejich</w:t>
      </w:r>
      <w:r w:rsidR="00C85397" w:rsidRPr="00EC1E9E">
        <w:rPr>
          <w:b/>
        </w:rPr>
        <w:t xml:space="preserve"> finanční</w:t>
      </w:r>
      <w:r w:rsidR="00BD6545" w:rsidRPr="00EC1E9E">
        <w:rPr>
          <w:b/>
        </w:rPr>
        <w:t xml:space="preserve"> náhrady</w:t>
      </w:r>
    </w:p>
    <w:p w14:paraId="579F3E92" w14:textId="77777777" w:rsidR="00EC1E9E" w:rsidRDefault="00EC1E9E" w:rsidP="008F4F38">
      <w:pPr>
        <w:keepNext/>
        <w:spacing w:before="0"/>
      </w:pPr>
    </w:p>
    <w:p w14:paraId="4607D081" w14:textId="402FC3FF" w:rsidR="00F054B8" w:rsidRDefault="00F054B8" w:rsidP="00EC1E9E">
      <w:pPr>
        <w:spacing w:before="0"/>
      </w:pPr>
      <w:r>
        <w:t>Náhrady za škody způsobené suchem nejsou aktivním</w:t>
      </w:r>
      <w:r w:rsidR="00A43FF8">
        <w:t xml:space="preserve"> nástrojem pro</w:t>
      </w:r>
      <w:r>
        <w:t xml:space="preserve"> boj se suchem. Tím jsou investiční dotační programy, jejichž prostřednictvím by mělo docházet k prevenci negativních následků sucha a nedostatku vody. Rostoucí náhrady za škody poukazují na neefektivnost preventivních opatření.</w:t>
      </w:r>
    </w:p>
    <w:p w14:paraId="037EE109" w14:textId="77777777" w:rsidR="00EC1E9E" w:rsidRDefault="00EC1E9E" w:rsidP="00EC1E9E">
      <w:pPr>
        <w:spacing w:before="0"/>
      </w:pPr>
    </w:p>
    <w:p w14:paraId="54D7B0C9" w14:textId="5B726E0F" w:rsidR="00A71A5C" w:rsidRDefault="00BD6545" w:rsidP="00EC1E9E">
      <w:pPr>
        <w:spacing w:before="0"/>
        <w:rPr>
          <w:rFonts w:asciiTheme="minorHAnsi" w:hAnsiTheme="minorHAnsi" w:cstheme="minorHAnsi"/>
        </w:rPr>
      </w:pPr>
      <w:r w:rsidRPr="00A15E08">
        <w:rPr>
          <w:rFonts w:asciiTheme="minorHAnsi" w:hAnsiTheme="minorHAnsi" w:cstheme="minorHAnsi"/>
        </w:rPr>
        <w:t xml:space="preserve">Po výskytu mimořádné události rozhoduje o spuštění programu na náhradu vzniklých škod </w:t>
      </w:r>
      <w:r w:rsidR="000F55DF">
        <w:rPr>
          <w:rFonts w:asciiTheme="minorHAnsi" w:hAnsiTheme="minorHAnsi" w:cstheme="minorHAnsi"/>
        </w:rPr>
        <w:t>v</w:t>
      </w:r>
      <w:r w:rsidRPr="00A15E08">
        <w:rPr>
          <w:rFonts w:asciiTheme="minorHAnsi" w:hAnsiTheme="minorHAnsi" w:cstheme="minorHAnsi"/>
        </w:rPr>
        <w:t>láda ČR, a to včetně přidělení příslušných finančních prostředků. Vláda ČR rozhodla, že</w:t>
      </w:r>
      <w:r w:rsidR="00A95AC0">
        <w:rPr>
          <w:rFonts w:asciiTheme="minorHAnsi" w:hAnsiTheme="minorHAnsi" w:cstheme="minorHAnsi"/>
        </w:rPr>
        <w:t xml:space="preserve"> </w:t>
      </w:r>
      <w:r w:rsidRPr="00A15E08">
        <w:rPr>
          <w:rFonts w:asciiTheme="minorHAnsi" w:hAnsiTheme="minorHAnsi" w:cstheme="minorHAnsi"/>
        </w:rPr>
        <w:t xml:space="preserve">budou kompenzovány škody způsobené suchem v letech 2015, 2017 a 2018. Kompenzace za sucho jsou vypláceny z </w:t>
      </w:r>
      <w:r w:rsidRPr="00036F54">
        <w:rPr>
          <w:rFonts w:asciiTheme="minorHAnsi" w:hAnsiTheme="minorHAnsi" w:cstheme="minorHAnsi"/>
          <w:i/>
        </w:rPr>
        <w:t>Rámcového programu řešení rizik a krizí v</w:t>
      </w:r>
      <w:r w:rsidR="00435FB0">
        <w:rPr>
          <w:rFonts w:asciiTheme="minorHAnsi" w:hAnsiTheme="minorHAnsi" w:cstheme="minorHAnsi"/>
          <w:i/>
        </w:rPr>
        <w:t> </w:t>
      </w:r>
      <w:r w:rsidRPr="00036F54">
        <w:rPr>
          <w:rFonts w:asciiTheme="minorHAnsi" w:hAnsiTheme="minorHAnsi" w:cstheme="minorHAnsi"/>
          <w:i/>
        </w:rPr>
        <w:t>zemědělství</w:t>
      </w:r>
      <w:r w:rsidRPr="00A15E08">
        <w:rPr>
          <w:rFonts w:asciiTheme="minorHAnsi" w:hAnsiTheme="minorHAnsi" w:cstheme="minorHAnsi"/>
        </w:rPr>
        <w:t>.</w:t>
      </w:r>
      <w:r w:rsidR="00A95AC0">
        <w:rPr>
          <w:rFonts w:asciiTheme="minorHAnsi" w:hAnsiTheme="minorHAnsi" w:cstheme="minorHAnsi"/>
        </w:rPr>
        <w:t xml:space="preserve"> </w:t>
      </w:r>
      <w:r w:rsidRPr="00A15E08">
        <w:rPr>
          <w:rFonts w:asciiTheme="minorHAnsi" w:hAnsiTheme="minorHAnsi" w:cstheme="minorHAnsi"/>
        </w:rPr>
        <w:t xml:space="preserve">Jedná se o národní dotace, které jsou plně hrazeny ze státního rozpočtu. Celkový rozpočet </w:t>
      </w:r>
      <w:r w:rsidR="00772E08">
        <w:rPr>
          <w:rFonts w:asciiTheme="minorHAnsi" w:hAnsiTheme="minorHAnsi" w:cstheme="minorHAnsi"/>
        </w:rPr>
        <w:t>r</w:t>
      </w:r>
      <w:r w:rsidRPr="00A15E08">
        <w:rPr>
          <w:rFonts w:asciiTheme="minorHAnsi" w:hAnsiTheme="minorHAnsi" w:cstheme="minorHAnsi"/>
        </w:rPr>
        <w:t>ámcového programu činí cca 7</w:t>
      </w:r>
      <w:r w:rsidR="00772E08">
        <w:rPr>
          <w:rFonts w:asciiTheme="minorHAnsi" w:hAnsiTheme="minorHAnsi" w:cstheme="minorHAnsi"/>
        </w:rPr>
        <w:t> mld. </w:t>
      </w:r>
      <w:r w:rsidRPr="00A15E08">
        <w:rPr>
          <w:rFonts w:asciiTheme="minorHAnsi" w:hAnsiTheme="minorHAnsi" w:cstheme="minorHAnsi"/>
        </w:rPr>
        <w:t xml:space="preserve">Kč, přičemž </w:t>
      </w:r>
      <w:r w:rsidR="00C85397">
        <w:rPr>
          <w:rFonts w:asciiTheme="minorHAnsi" w:hAnsiTheme="minorHAnsi" w:cstheme="minorHAnsi"/>
        </w:rPr>
        <w:t xml:space="preserve">odhad </w:t>
      </w:r>
      <w:r w:rsidRPr="00A15E08">
        <w:rPr>
          <w:rFonts w:asciiTheme="minorHAnsi" w:hAnsiTheme="minorHAnsi" w:cstheme="minorHAnsi"/>
        </w:rPr>
        <w:t>roční</w:t>
      </w:r>
      <w:r w:rsidR="00C85397">
        <w:rPr>
          <w:rFonts w:asciiTheme="minorHAnsi" w:hAnsiTheme="minorHAnsi" w:cstheme="minorHAnsi"/>
        </w:rPr>
        <w:t>ho</w:t>
      </w:r>
      <w:r w:rsidRPr="00A15E08">
        <w:rPr>
          <w:rFonts w:asciiTheme="minorHAnsi" w:hAnsiTheme="minorHAnsi" w:cstheme="minorHAnsi"/>
        </w:rPr>
        <w:t xml:space="preserve"> rozpočt</w:t>
      </w:r>
      <w:r w:rsidR="00C85397">
        <w:rPr>
          <w:rFonts w:asciiTheme="minorHAnsi" w:hAnsiTheme="minorHAnsi" w:cstheme="minorHAnsi"/>
        </w:rPr>
        <w:t>u</w:t>
      </w:r>
      <w:r w:rsidR="00792459">
        <w:rPr>
          <w:rFonts w:asciiTheme="minorHAnsi" w:hAnsiTheme="minorHAnsi" w:cstheme="minorHAnsi"/>
        </w:rPr>
        <w:t xml:space="preserve"> (dle </w:t>
      </w:r>
      <w:r w:rsidR="00435FB0">
        <w:rPr>
          <w:rFonts w:asciiTheme="minorHAnsi" w:hAnsiTheme="minorHAnsi" w:cstheme="minorHAnsi"/>
        </w:rPr>
        <w:t>„</w:t>
      </w:r>
      <w:r w:rsidR="00772E08">
        <w:rPr>
          <w:rFonts w:asciiTheme="minorHAnsi" w:hAnsiTheme="minorHAnsi" w:cstheme="minorHAnsi"/>
          <w:i/>
        </w:rPr>
        <w:t>i</w:t>
      </w:r>
      <w:r w:rsidR="00792459" w:rsidRPr="00435FB0">
        <w:rPr>
          <w:rFonts w:asciiTheme="minorHAnsi" w:hAnsiTheme="minorHAnsi" w:cstheme="minorHAnsi"/>
          <w:i/>
        </w:rPr>
        <w:t xml:space="preserve">nformace o průběhu naplňování </w:t>
      </w:r>
      <w:r w:rsidR="00792459" w:rsidRPr="00435FB0">
        <w:rPr>
          <w:rFonts w:asciiTheme="minorHAnsi" w:hAnsiTheme="minorHAnsi" w:cstheme="minorHAnsi"/>
          <w:i/>
        </w:rPr>
        <w:lastRenderedPageBreak/>
        <w:t>programů k omezení následků sucha a nedostatku vody v České republice v gesci Ministerstva zemědělství</w:t>
      </w:r>
      <w:r w:rsidR="00435FB0">
        <w:rPr>
          <w:rFonts w:asciiTheme="minorHAnsi" w:hAnsiTheme="minorHAnsi" w:cstheme="minorHAnsi"/>
        </w:rPr>
        <w:t>“</w:t>
      </w:r>
      <w:r w:rsidR="00792459">
        <w:rPr>
          <w:rFonts w:asciiTheme="minorHAnsi" w:hAnsiTheme="minorHAnsi" w:cstheme="minorHAnsi"/>
        </w:rPr>
        <w:t>)</w:t>
      </w:r>
      <w:r w:rsidRPr="00A15E08">
        <w:rPr>
          <w:rFonts w:asciiTheme="minorHAnsi" w:hAnsiTheme="minorHAnsi" w:cstheme="minorHAnsi"/>
        </w:rPr>
        <w:t xml:space="preserve"> </w:t>
      </w:r>
      <w:r w:rsidR="00C85397">
        <w:rPr>
          <w:rFonts w:asciiTheme="minorHAnsi" w:hAnsiTheme="minorHAnsi" w:cstheme="minorHAnsi"/>
        </w:rPr>
        <w:t>činí</w:t>
      </w:r>
      <w:r w:rsidRPr="00A15E08">
        <w:rPr>
          <w:rFonts w:asciiTheme="minorHAnsi" w:hAnsiTheme="minorHAnsi" w:cstheme="minorHAnsi"/>
        </w:rPr>
        <w:t xml:space="preserve"> 1,75</w:t>
      </w:r>
      <w:r w:rsidR="00772E08">
        <w:rPr>
          <w:rFonts w:asciiTheme="minorHAnsi" w:hAnsiTheme="minorHAnsi" w:cstheme="minorHAnsi"/>
        </w:rPr>
        <w:t> mld. </w:t>
      </w:r>
      <w:r w:rsidRPr="00A15E08">
        <w:rPr>
          <w:rFonts w:asciiTheme="minorHAnsi" w:hAnsiTheme="minorHAnsi" w:cstheme="minorHAnsi"/>
        </w:rPr>
        <w:t>Kč.</w:t>
      </w:r>
      <w:r w:rsidR="00A71A5C">
        <w:rPr>
          <w:rFonts w:asciiTheme="minorHAnsi" w:hAnsiTheme="minorHAnsi" w:cstheme="minorHAnsi"/>
        </w:rPr>
        <w:t xml:space="preserve"> Kontrolou byly ověřeny </w:t>
      </w:r>
      <w:r w:rsidR="00A71A5C" w:rsidRPr="008761D7">
        <w:rPr>
          <w:rFonts w:asciiTheme="minorHAnsi" w:hAnsiTheme="minorHAnsi" w:cstheme="minorHAnsi"/>
        </w:rPr>
        <w:t>kompenzac</w:t>
      </w:r>
      <w:r w:rsidR="00A71A5C">
        <w:rPr>
          <w:rFonts w:asciiTheme="minorHAnsi" w:hAnsiTheme="minorHAnsi" w:cstheme="minorHAnsi"/>
        </w:rPr>
        <w:t>e za</w:t>
      </w:r>
      <w:r w:rsidR="00435FB0">
        <w:rPr>
          <w:rFonts w:asciiTheme="minorHAnsi" w:hAnsiTheme="minorHAnsi" w:cstheme="minorHAnsi"/>
        </w:rPr>
        <w:t xml:space="preserve"> škody způsobené</w:t>
      </w:r>
      <w:r w:rsidR="00A95AC0">
        <w:rPr>
          <w:rFonts w:asciiTheme="minorHAnsi" w:hAnsiTheme="minorHAnsi" w:cstheme="minorHAnsi"/>
        </w:rPr>
        <w:t xml:space="preserve"> </w:t>
      </w:r>
      <w:r w:rsidR="00435FB0">
        <w:rPr>
          <w:rFonts w:asciiTheme="minorHAnsi" w:hAnsiTheme="minorHAnsi" w:cstheme="minorHAnsi"/>
        </w:rPr>
        <w:t>suchem</w:t>
      </w:r>
      <w:r w:rsidR="00A71A5C">
        <w:rPr>
          <w:rFonts w:asciiTheme="minorHAnsi" w:hAnsiTheme="minorHAnsi" w:cstheme="minorHAnsi"/>
        </w:rPr>
        <w:t xml:space="preserve"> v letech 2015 a 2017.</w:t>
      </w:r>
      <w:r w:rsidR="00A71A5C" w:rsidRPr="0096705A">
        <w:rPr>
          <w:rFonts w:asciiTheme="minorHAnsi" w:hAnsiTheme="minorHAnsi" w:cstheme="minorHAnsi"/>
        </w:rPr>
        <w:t xml:space="preserve"> </w:t>
      </w:r>
    </w:p>
    <w:p w14:paraId="0984B781" w14:textId="21D397BE" w:rsidR="00B73BA5" w:rsidRDefault="00B73BA5" w:rsidP="00EC1E9E">
      <w:pPr>
        <w:spacing w:before="0"/>
        <w:jc w:val="left"/>
        <w:rPr>
          <w:rFonts w:asciiTheme="minorHAnsi" w:hAnsiTheme="minorHAnsi" w:cstheme="minorHAnsi"/>
        </w:rPr>
      </w:pPr>
    </w:p>
    <w:p w14:paraId="3B216048" w14:textId="3AF3AEE3" w:rsidR="00BD6545" w:rsidRPr="00B73BA5" w:rsidRDefault="00BD6545" w:rsidP="00486786">
      <w:pPr>
        <w:keepNext/>
        <w:spacing w:before="0" w:after="40"/>
        <w:ind w:left="1418" w:hanging="1418"/>
        <w:rPr>
          <w:rFonts w:asciiTheme="minorHAnsi" w:hAnsiTheme="minorHAnsi" w:cstheme="minorHAnsi"/>
          <w:b/>
        </w:rPr>
      </w:pPr>
      <w:r w:rsidRPr="00B73BA5">
        <w:rPr>
          <w:rFonts w:asciiTheme="minorHAnsi" w:hAnsiTheme="minorHAnsi" w:cstheme="minorHAnsi"/>
          <w:b/>
        </w:rPr>
        <w:t>Tabulka</w:t>
      </w:r>
      <w:r w:rsidR="001E774E">
        <w:rPr>
          <w:rFonts w:asciiTheme="minorHAnsi" w:hAnsiTheme="minorHAnsi" w:cstheme="minorHAnsi"/>
          <w:b/>
        </w:rPr>
        <w:t xml:space="preserve"> č. 1</w:t>
      </w:r>
      <w:r w:rsidR="008A06DF">
        <w:rPr>
          <w:rFonts w:asciiTheme="minorHAnsi" w:hAnsiTheme="minorHAnsi" w:cstheme="minorHAnsi"/>
          <w:b/>
        </w:rPr>
        <w:t>:</w:t>
      </w:r>
      <w:r w:rsidRPr="00B73BA5">
        <w:rPr>
          <w:rFonts w:asciiTheme="minorHAnsi" w:hAnsiTheme="minorHAnsi" w:cstheme="minorHAnsi"/>
          <w:b/>
        </w:rPr>
        <w:t xml:space="preserve"> </w:t>
      </w:r>
      <w:r w:rsidR="00C10864">
        <w:rPr>
          <w:rFonts w:asciiTheme="minorHAnsi" w:hAnsiTheme="minorHAnsi" w:cstheme="minorHAnsi"/>
          <w:b/>
        </w:rPr>
        <w:tab/>
      </w:r>
      <w:r w:rsidRPr="00B73BA5">
        <w:rPr>
          <w:rFonts w:asciiTheme="minorHAnsi" w:hAnsiTheme="minorHAnsi" w:cstheme="minorHAnsi"/>
          <w:b/>
        </w:rPr>
        <w:t>Přehled o proplacených náhradách dle skupin plodin a druhů školek</w:t>
      </w:r>
      <w:r w:rsidR="00C10864">
        <w:rPr>
          <w:rFonts w:asciiTheme="minorHAnsi" w:hAnsiTheme="minorHAnsi" w:cstheme="minorHAnsi"/>
          <w:b/>
        </w:rPr>
        <w:t xml:space="preserve"> </w:t>
      </w:r>
      <w:r w:rsidR="00C10864">
        <w:rPr>
          <w:rFonts w:asciiTheme="minorHAnsi" w:hAnsiTheme="minorHAnsi" w:cstheme="minorHAnsi"/>
          <w:b/>
        </w:rPr>
        <w:br/>
      </w:r>
      <w:r w:rsidRPr="00B73BA5">
        <w:rPr>
          <w:rFonts w:asciiTheme="minorHAnsi" w:hAnsiTheme="minorHAnsi" w:cstheme="minorHAnsi"/>
          <w:b/>
        </w:rPr>
        <w:t>(stav k 16. 4. 2019)</w:t>
      </w:r>
    </w:p>
    <w:tbl>
      <w:tblPr>
        <w:tblW w:w="901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6"/>
        <w:gridCol w:w="2126"/>
      </w:tblGrid>
      <w:tr w:rsidR="00013CCD" w:rsidRPr="004B40FB" w14:paraId="749B0CD8" w14:textId="77777777" w:rsidTr="003C33FD">
        <w:trPr>
          <w:trHeight w:val="283"/>
          <w:jc w:val="center"/>
        </w:trPr>
        <w:tc>
          <w:tcPr>
            <w:tcW w:w="6886" w:type="dxa"/>
            <w:vMerge w:val="restart"/>
            <w:shd w:val="clear" w:color="auto" w:fill="E5F1FF"/>
            <w:vAlign w:val="center"/>
            <w:hideMark/>
          </w:tcPr>
          <w:p w14:paraId="1F791AFA" w14:textId="77777777" w:rsidR="00013CCD" w:rsidRPr="004B40FB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Typ náhrady škod</w:t>
            </w:r>
          </w:p>
        </w:tc>
        <w:tc>
          <w:tcPr>
            <w:tcW w:w="2126" w:type="dxa"/>
            <w:vMerge w:val="restart"/>
            <w:shd w:val="clear" w:color="auto" w:fill="E5F1FF"/>
            <w:vAlign w:val="center"/>
            <w:hideMark/>
          </w:tcPr>
          <w:p w14:paraId="040CA824" w14:textId="53CF34E8" w:rsidR="00013CCD" w:rsidRPr="004B40FB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Celkem vyplaceno </w:t>
            </w:r>
            <w:r w:rsidR="00DE37D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br/>
            </w:r>
            <w:r w:rsidRPr="004B40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(</w:t>
            </w:r>
            <w:r w:rsidR="008A06D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v </w:t>
            </w:r>
            <w:r w:rsidRPr="004B40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mil. Kč)</w:t>
            </w:r>
          </w:p>
        </w:tc>
      </w:tr>
      <w:tr w:rsidR="00013CCD" w:rsidRPr="007F1D4A" w14:paraId="684A48FD" w14:textId="77777777" w:rsidTr="003C33FD">
        <w:trPr>
          <w:trHeight w:val="293"/>
          <w:jc w:val="center"/>
        </w:trPr>
        <w:tc>
          <w:tcPr>
            <w:tcW w:w="6886" w:type="dxa"/>
            <w:vMerge/>
            <w:shd w:val="clear" w:color="auto" w:fill="E5F1FF"/>
            <w:vAlign w:val="center"/>
            <w:hideMark/>
          </w:tcPr>
          <w:p w14:paraId="7B48BB44" w14:textId="77777777" w:rsidR="00013CCD" w:rsidRPr="007F1D4A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126" w:type="dxa"/>
            <w:vMerge/>
            <w:shd w:val="clear" w:color="auto" w:fill="E5F1FF"/>
            <w:vAlign w:val="center"/>
            <w:hideMark/>
          </w:tcPr>
          <w:p w14:paraId="30452933" w14:textId="77777777" w:rsidR="00013CCD" w:rsidRPr="007F1D4A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013CCD" w:rsidRPr="004B40FB" w14:paraId="7BE95E29" w14:textId="77777777" w:rsidTr="003C33FD">
        <w:trPr>
          <w:trHeight w:val="283"/>
          <w:jc w:val="center"/>
        </w:trPr>
        <w:tc>
          <w:tcPr>
            <w:tcW w:w="9012" w:type="dxa"/>
            <w:gridSpan w:val="2"/>
            <w:shd w:val="clear" w:color="auto" w:fill="auto"/>
            <w:noWrap/>
            <w:vAlign w:val="center"/>
            <w:hideMark/>
          </w:tcPr>
          <w:p w14:paraId="04DF0C59" w14:textId="77777777" w:rsidR="00013CCD" w:rsidRPr="004B40FB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Náhrady škody způsobené suchem v roce 2015</w:t>
            </w:r>
          </w:p>
        </w:tc>
      </w:tr>
      <w:tr w:rsidR="00013CCD" w:rsidRPr="004B40FB" w14:paraId="667AFBF5" w14:textId="77777777" w:rsidTr="008A06DF">
        <w:trPr>
          <w:trHeight w:val="283"/>
          <w:jc w:val="center"/>
        </w:trPr>
        <w:tc>
          <w:tcPr>
            <w:tcW w:w="6886" w:type="dxa"/>
            <w:shd w:val="clear" w:color="auto" w:fill="auto"/>
            <w:noWrap/>
            <w:vAlign w:val="center"/>
          </w:tcPr>
          <w:p w14:paraId="42CE5510" w14:textId="77777777" w:rsidR="00013CCD" w:rsidRPr="004B40FB" w:rsidRDefault="00013CCD" w:rsidP="00486786">
            <w:pPr>
              <w:keepNext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Zemědělské plodiny – tržní plodiny, ovocné a okrasné školky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0A21E8F" w14:textId="77777777" w:rsidR="00013CCD" w:rsidRPr="004B40FB" w:rsidRDefault="00013CCD" w:rsidP="00486786">
            <w:pPr>
              <w:keepNext/>
              <w:spacing w:before="0"/>
              <w:ind w:right="5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</w:rPr>
              <w:t>119,86</w:t>
            </w:r>
          </w:p>
        </w:tc>
      </w:tr>
      <w:tr w:rsidR="00013CCD" w:rsidRPr="004B40FB" w14:paraId="385465EB" w14:textId="77777777" w:rsidTr="008A06DF">
        <w:trPr>
          <w:trHeight w:val="283"/>
          <w:jc w:val="center"/>
        </w:trPr>
        <w:tc>
          <w:tcPr>
            <w:tcW w:w="6886" w:type="dxa"/>
            <w:shd w:val="clear" w:color="auto" w:fill="auto"/>
            <w:noWrap/>
            <w:vAlign w:val="center"/>
          </w:tcPr>
          <w:p w14:paraId="1720E60F" w14:textId="77777777" w:rsidR="00013CCD" w:rsidRPr="004B40FB" w:rsidRDefault="00013CCD" w:rsidP="00486786">
            <w:pPr>
              <w:keepNext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Zemědělské plodiny – krmné plodiny (kukuřice a TTP)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269CA6" w14:textId="77777777" w:rsidR="00013CCD" w:rsidRPr="004B40FB" w:rsidRDefault="00013CCD" w:rsidP="00486786">
            <w:pPr>
              <w:keepNext/>
              <w:spacing w:before="0"/>
              <w:ind w:right="5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</w:rPr>
              <w:t>1 045,86</w:t>
            </w:r>
          </w:p>
        </w:tc>
      </w:tr>
      <w:tr w:rsidR="00013CCD" w:rsidRPr="004B40FB" w14:paraId="423A31B7" w14:textId="77777777" w:rsidTr="008A06DF">
        <w:trPr>
          <w:trHeight w:val="283"/>
          <w:jc w:val="center"/>
        </w:trPr>
        <w:tc>
          <w:tcPr>
            <w:tcW w:w="6886" w:type="dxa"/>
            <w:shd w:val="clear" w:color="auto" w:fill="auto"/>
            <w:noWrap/>
            <w:vAlign w:val="center"/>
          </w:tcPr>
          <w:p w14:paraId="18D6CB81" w14:textId="77777777" w:rsidR="00013CCD" w:rsidRPr="004B40FB" w:rsidRDefault="00013CCD" w:rsidP="00486786">
            <w:pPr>
              <w:keepNext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Lesní školky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349D342" w14:textId="77777777" w:rsidR="00013CCD" w:rsidRPr="004B40FB" w:rsidRDefault="00013CCD" w:rsidP="00486786">
            <w:pPr>
              <w:keepNext/>
              <w:spacing w:before="0"/>
              <w:ind w:right="5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</w:rPr>
              <w:t>28,15</w:t>
            </w:r>
          </w:p>
        </w:tc>
      </w:tr>
      <w:tr w:rsidR="00013CCD" w:rsidRPr="004B40FB" w14:paraId="7774FF8A" w14:textId="77777777" w:rsidTr="008A06DF">
        <w:trPr>
          <w:trHeight w:val="283"/>
          <w:jc w:val="center"/>
        </w:trPr>
        <w:tc>
          <w:tcPr>
            <w:tcW w:w="9012" w:type="dxa"/>
            <w:gridSpan w:val="2"/>
            <w:shd w:val="clear" w:color="auto" w:fill="auto"/>
            <w:noWrap/>
            <w:vAlign w:val="center"/>
          </w:tcPr>
          <w:p w14:paraId="4D920FCD" w14:textId="77777777" w:rsidR="00013CCD" w:rsidRPr="004B40FB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Náhrady za škody způsobené suchem v roce 2017</w:t>
            </w:r>
          </w:p>
        </w:tc>
      </w:tr>
      <w:tr w:rsidR="00013CCD" w:rsidRPr="004B40FB" w14:paraId="3A9B966C" w14:textId="77777777" w:rsidTr="008A06DF">
        <w:trPr>
          <w:trHeight w:val="283"/>
          <w:jc w:val="center"/>
        </w:trPr>
        <w:tc>
          <w:tcPr>
            <w:tcW w:w="6886" w:type="dxa"/>
            <w:shd w:val="clear" w:color="auto" w:fill="auto"/>
            <w:noWrap/>
            <w:vAlign w:val="center"/>
          </w:tcPr>
          <w:p w14:paraId="5E7C49B1" w14:textId="77777777" w:rsidR="00013CCD" w:rsidRPr="004B40FB" w:rsidRDefault="00013CCD" w:rsidP="00486786">
            <w:pPr>
              <w:keepNext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Zemědělské plodiny – tržní plodiny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123EF2E" w14:textId="77777777" w:rsidR="00013CCD" w:rsidRPr="004B40FB" w:rsidRDefault="00013CCD" w:rsidP="00486786">
            <w:pPr>
              <w:keepNext/>
              <w:spacing w:before="0"/>
              <w:ind w:right="5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</w:rPr>
              <w:t>1 017,76</w:t>
            </w:r>
          </w:p>
        </w:tc>
      </w:tr>
      <w:tr w:rsidR="00013CCD" w:rsidRPr="004B40FB" w14:paraId="6E8498AE" w14:textId="77777777" w:rsidTr="008A06DF">
        <w:trPr>
          <w:trHeight w:val="283"/>
          <w:jc w:val="center"/>
        </w:trPr>
        <w:tc>
          <w:tcPr>
            <w:tcW w:w="6886" w:type="dxa"/>
            <w:shd w:val="clear" w:color="auto" w:fill="auto"/>
            <w:noWrap/>
            <w:vAlign w:val="center"/>
          </w:tcPr>
          <w:p w14:paraId="7DE6777C" w14:textId="77777777" w:rsidR="00013CCD" w:rsidRPr="004B40FB" w:rsidRDefault="00013CCD" w:rsidP="00486786">
            <w:pPr>
              <w:keepNext/>
              <w:spacing w:before="0"/>
              <w:jc w:val="left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Zemědělské plodiny – krmné plodiny (kukuřice a TTP)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82D07A" w14:textId="77777777" w:rsidR="00013CCD" w:rsidRPr="004B40FB" w:rsidRDefault="00013CCD" w:rsidP="00486786">
            <w:pPr>
              <w:keepNext/>
              <w:spacing w:before="0"/>
              <w:ind w:right="59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sz w:val="20"/>
                <w:szCs w:val="20"/>
              </w:rPr>
              <w:t>155,15</w:t>
            </w:r>
          </w:p>
        </w:tc>
      </w:tr>
      <w:tr w:rsidR="00013CCD" w:rsidRPr="004B40FB" w14:paraId="0C6AF948" w14:textId="77777777" w:rsidTr="008A06DF">
        <w:trPr>
          <w:trHeight w:val="283"/>
          <w:jc w:val="center"/>
        </w:trPr>
        <w:tc>
          <w:tcPr>
            <w:tcW w:w="6886" w:type="dxa"/>
            <w:shd w:val="clear" w:color="auto" w:fill="auto"/>
            <w:noWrap/>
            <w:vAlign w:val="center"/>
          </w:tcPr>
          <w:p w14:paraId="6FE24C89" w14:textId="77777777" w:rsidR="00013CCD" w:rsidRPr="004B40FB" w:rsidRDefault="00013CCD" w:rsidP="00486786">
            <w:pPr>
              <w:keepNext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4B40F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NÁHRADY CELKEM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79F1163" w14:textId="77777777" w:rsidR="00013CCD" w:rsidRPr="004B40FB" w:rsidRDefault="00013CCD" w:rsidP="00486786">
            <w:pPr>
              <w:keepNext/>
              <w:spacing w:before="0"/>
              <w:ind w:right="59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40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2 366,78</w:t>
            </w:r>
          </w:p>
        </w:tc>
      </w:tr>
    </w:tbl>
    <w:p w14:paraId="50752BA9" w14:textId="62AD21CA" w:rsidR="00BD6545" w:rsidRPr="00DE37DD" w:rsidRDefault="00025B14" w:rsidP="00DE37DD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DE37DD">
        <w:rPr>
          <w:rFonts w:asciiTheme="minorHAnsi" w:hAnsiTheme="minorHAnsi" w:cstheme="minorHAnsi"/>
          <w:b/>
          <w:sz w:val="20"/>
          <w:szCs w:val="20"/>
        </w:rPr>
        <w:t>Zdroj:</w:t>
      </w:r>
      <w:r w:rsidRPr="00DE37DD">
        <w:rPr>
          <w:rFonts w:asciiTheme="minorHAnsi" w:hAnsiTheme="minorHAnsi" w:cstheme="minorHAnsi"/>
          <w:sz w:val="20"/>
          <w:szCs w:val="20"/>
        </w:rPr>
        <w:t xml:space="preserve"> </w:t>
      </w:r>
      <w:r w:rsidR="008A06DF">
        <w:rPr>
          <w:rFonts w:asciiTheme="minorHAnsi" w:hAnsiTheme="minorHAnsi" w:cstheme="minorHAnsi"/>
          <w:sz w:val="20"/>
          <w:szCs w:val="20"/>
        </w:rPr>
        <w:t>vy</w:t>
      </w:r>
      <w:r w:rsidR="00BD6545" w:rsidRPr="00DE37DD">
        <w:rPr>
          <w:rFonts w:asciiTheme="minorHAnsi" w:hAnsiTheme="minorHAnsi" w:cstheme="minorHAnsi"/>
          <w:sz w:val="20"/>
          <w:szCs w:val="20"/>
        </w:rPr>
        <w:t xml:space="preserve">pracováno skupinou kontrolujících NKÚ na základě sdělení </w:t>
      </w:r>
      <w:proofErr w:type="spellStart"/>
      <w:r w:rsidR="00BD6545" w:rsidRPr="00DE37DD">
        <w:rPr>
          <w:rFonts w:asciiTheme="minorHAnsi" w:hAnsiTheme="minorHAnsi" w:cstheme="minorHAnsi"/>
          <w:sz w:val="20"/>
          <w:szCs w:val="20"/>
        </w:rPr>
        <w:t>MZe</w:t>
      </w:r>
      <w:proofErr w:type="spellEnd"/>
      <w:r w:rsidR="00BD6545" w:rsidRPr="00DE37DD">
        <w:rPr>
          <w:rFonts w:asciiTheme="minorHAnsi" w:hAnsiTheme="minorHAnsi" w:cstheme="minorHAnsi"/>
          <w:sz w:val="20"/>
          <w:szCs w:val="20"/>
        </w:rPr>
        <w:t xml:space="preserve"> ze dne 16. 4. 2019</w:t>
      </w:r>
      <w:r w:rsidR="00D665B6" w:rsidRPr="00DE37DD">
        <w:rPr>
          <w:rFonts w:asciiTheme="minorHAnsi" w:hAnsiTheme="minorHAnsi" w:cstheme="minorHAnsi"/>
          <w:sz w:val="20"/>
          <w:szCs w:val="20"/>
        </w:rPr>
        <w:t>.</w:t>
      </w:r>
    </w:p>
    <w:p w14:paraId="0B719334" w14:textId="77777777" w:rsidR="00DE37DD" w:rsidRPr="00DE37DD" w:rsidRDefault="00DE37DD" w:rsidP="00DE37DD">
      <w:pPr>
        <w:spacing w:before="0"/>
        <w:rPr>
          <w:rFonts w:cs="Arial"/>
        </w:rPr>
      </w:pPr>
    </w:p>
    <w:p w14:paraId="3D8C1B15" w14:textId="5E5DA4B9" w:rsidR="00196E48" w:rsidRDefault="00C85397" w:rsidP="00DE37DD">
      <w:pPr>
        <w:spacing w:before="0"/>
        <w:rPr>
          <w:b/>
        </w:rPr>
      </w:pPr>
      <w:r>
        <w:rPr>
          <w:rFonts w:cs="Arial"/>
          <w:b/>
        </w:rPr>
        <w:t>Na náhrady škod způsobených suchem v letech 2015 a 2017</w:t>
      </w:r>
      <w:r w:rsidR="00A43FF8">
        <w:rPr>
          <w:rFonts w:cs="Arial"/>
          <w:b/>
        </w:rPr>
        <w:t>, které nejsou aktivním bojem se suchem</w:t>
      </w:r>
      <w:r w:rsidR="00462920">
        <w:rPr>
          <w:rFonts w:cs="Arial"/>
          <w:b/>
        </w:rPr>
        <w:t>, ale pouze finančním příspěvkem na překonání nepříznivého období</w:t>
      </w:r>
      <w:r w:rsidR="00A43FF8">
        <w:rPr>
          <w:rFonts w:cs="Arial"/>
          <w:b/>
        </w:rPr>
        <w:t>,</w:t>
      </w:r>
      <w:r>
        <w:rPr>
          <w:rFonts w:cs="Arial"/>
          <w:b/>
        </w:rPr>
        <w:t xml:space="preserve"> vyplati</w:t>
      </w:r>
      <w:r w:rsidR="00D665B6">
        <w:rPr>
          <w:rFonts w:cs="Arial"/>
          <w:b/>
        </w:rPr>
        <w:t xml:space="preserve">lo </w:t>
      </w:r>
      <w:proofErr w:type="spellStart"/>
      <w:r w:rsidR="00D665B6">
        <w:rPr>
          <w:rFonts w:cs="Arial"/>
          <w:b/>
        </w:rPr>
        <w:t>MZe</w:t>
      </w:r>
      <w:proofErr w:type="spellEnd"/>
      <w:r w:rsidR="00D665B6">
        <w:rPr>
          <w:rFonts w:cs="Arial"/>
          <w:b/>
        </w:rPr>
        <w:t xml:space="preserve"> zemědělcům v období 2016–</w:t>
      </w:r>
      <w:r>
        <w:rPr>
          <w:rFonts w:cs="Arial"/>
          <w:b/>
        </w:rPr>
        <w:t>2018 téměř 2,4</w:t>
      </w:r>
      <w:r w:rsidR="00772E08">
        <w:rPr>
          <w:rFonts w:cs="Arial"/>
          <w:b/>
        </w:rPr>
        <w:t> mld. </w:t>
      </w:r>
      <w:r>
        <w:rPr>
          <w:rFonts w:cs="Arial"/>
          <w:b/>
        </w:rPr>
        <w:t>Kč.</w:t>
      </w:r>
      <w:r w:rsidR="00196E48" w:rsidRPr="00036F54">
        <w:rPr>
          <w:rFonts w:cs="Arial"/>
          <w:b/>
        </w:rPr>
        <w:t xml:space="preserve"> </w:t>
      </w:r>
      <w:r w:rsidR="00550CB0">
        <w:rPr>
          <w:rFonts w:cs="Arial"/>
          <w:b/>
        </w:rPr>
        <w:t>N</w:t>
      </w:r>
      <w:r w:rsidR="00196E48" w:rsidRPr="00036F54">
        <w:rPr>
          <w:rFonts w:cs="Arial"/>
          <w:b/>
        </w:rPr>
        <w:t>a</w:t>
      </w:r>
      <w:r w:rsidR="00550CB0">
        <w:rPr>
          <w:rFonts w:cs="Arial"/>
          <w:b/>
        </w:rPr>
        <w:t xml:space="preserve"> realizaci</w:t>
      </w:r>
      <w:r w:rsidR="00196E48" w:rsidRPr="00036F54">
        <w:rPr>
          <w:rFonts w:cs="Arial"/>
          <w:b/>
        </w:rPr>
        <w:t xml:space="preserve"> investiční</w:t>
      </w:r>
      <w:r w:rsidR="00550CB0">
        <w:rPr>
          <w:rFonts w:cs="Arial"/>
          <w:b/>
        </w:rPr>
        <w:t>ch</w:t>
      </w:r>
      <w:r w:rsidR="00196E48" w:rsidRPr="00036F54">
        <w:rPr>
          <w:rFonts w:cs="Arial"/>
          <w:b/>
        </w:rPr>
        <w:t xml:space="preserve"> dotační</w:t>
      </w:r>
      <w:r w:rsidR="00550CB0">
        <w:rPr>
          <w:rFonts w:cs="Arial"/>
          <w:b/>
        </w:rPr>
        <w:t>ch</w:t>
      </w:r>
      <w:r w:rsidR="00196E48" w:rsidRPr="00036F54">
        <w:rPr>
          <w:rFonts w:cs="Arial"/>
          <w:b/>
        </w:rPr>
        <w:t xml:space="preserve"> program</w:t>
      </w:r>
      <w:r w:rsidR="00550CB0">
        <w:rPr>
          <w:rFonts w:cs="Arial"/>
          <w:b/>
        </w:rPr>
        <w:t>ů</w:t>
      </w:r>
      <w:r w:rsidR="00196E48" w:rsidRPr="00036F54">
        <w:rPr>
          <w:rFonts w:cs="Arial"/>
          <w:b/>
        </w:rPr>
        <w:t xml:space="preserve"> na zmírnění negativní</w:t>
      </w:r>
      <w:r w:rsidR="00550CB0">
        <w:rPr>
          <w:rFonts w:cs="Arial"/>
          <w:b/>
        </w:rPr>
        <w:t>ch</w:t>
      </w:r>
      <w:r w:rsidR="00196E48" w:rsidRPr="00036F54">
        <w:rPr>
          <w:rFonts w:cs="Arial"/>
          <w:b/>
        </w:rPr>
        <w:t xml:space="preserve"> dopadů sucha v</w:t>
      </w:r>
      <w:r w:rsidR="001110CB" w:rsidRPr="00036F54">
        <w:rPr>
          <w:rFonts w:cs="Arial"/>
          <w:b/>
        </w:rPr>
        <w:t> </w:t>
      </w:r>
      <w:r w:rsidR="00D665B6">
        <w:rPr>
          <w:rFonts w:cs="Arial"/>
          <w:b/>
        </w:rPr>
        <w:t>období let 2016–</w:t>
      </w:r>
      <w:r w:rsidR="00196E48" w:rsidRPr="00036F54">
        <w:rPr>
          <w:rFonts w:cs="Arial"/>
          <w:b/>
        </w:rPr>
        <w:t>2018</w:t>
      </w:r>
      <w:r w:rsidR="00A43FF8">
        <w:rPr>
          <w:rFonts w:cs="Arial"/>
          <w:b/>
        </w:rPr>
        <w:t>, která lze považovat za preventivní opatření v boji se suchem,</w:t>
      </w:r>
      <w:r w:rsidR="00196E48" w:rsidRPr="00036F54">
        <w:rPr>
          <w:rFonts w:cs="Arial"/>
          <w:b/>
        </w:rPr>
        <w:t xml:space="preserve"> </w:t>
      </w:r>
      <w:proofErr w:type="spellStart"/>
      <w:r w:rsidR="00196E48" w:rsidRPr="00036F54">
        <w:rPr>
          <w:rFonts w:cs="Arial"/>
          <w:b/>
        </w:rPr>
        <w:t>MZe</w:t>
      </w:r>
      <w:proofErr w:type="spellEnd"/>
      <w:r w:rsidR="00196E48" w:rsidRPr="00036F54">
        <w:rPr>
          <w:rFonts w:cs="Arial"/>
          <w:b/>
        </w:rPr>
        <w:t xml:space="preserve"> vynaložilo </w:t>
      </w:r>
      <w:r w:rsidR="00D665B6">
        <w:rPr>
          <w:rFonts w:cs="Arial"/>
          <w:b/>
          <w:bCs/>
        </w:rPr>
        <w:t>2,9 </w:t>
      </w:r>
      <w:r w:rsidR="00772E08">
        <w:rPr>
          <w:rFonts w:cs="Arial"/>
          <w:b/>
          <w:bCs/>
        </w:rPr>
        <w:t>mld</w:t>
      </w:r>
      <w:r w:rsidR="00196E48" w:rsidRPr="00036F54">
        <w:rPr>
          <w:rFonts w:cs="Arial"/>
          <w:b/>
          <w:bCs/>
        </w:rPr>
        <w:t>.</w:t>
      </w:r>
      <w:r w:rsidR="00772E08">
        <w:rPr>
          <w:rFonts w:cs="Arial"/>
          <w:b/>
          <w:bCs/>
        </w:rPr>
        <w:t> </w:t>
      </w:r>
      <w:r w:rsidR="00196E48" w:rsidRPr="00036F54">
        <w:rPr>
          <w:rFonts w:cs="Arial"/>
          <w:b/>
          <w:bCs/>
        </w:rPr>
        <w:t>Kč</w:t>
      </w:r>
      <w:r w:rsidR="00196E48" w:rsidRPr="00036F54">
        <w:rPr>
          <w:rFonts w:cs="Arial"/>
          <w:b/>
        </w:rPr>
        <w:t>.</w:t>
      </w:r>
      <w:r w:rsidR="005F091A">
        <w:rPr>
          <w:b/>
        </w:rPr>
        <w:t xml:space="preserve"> Z tohoto porovnání je zřejmé</w:t>
      </w:r>
      <w:r w:rsidR="001110CB" w:rsidRPr="00036F54">
        <w:rPr>
          <w:b/>
        </w:rPr>
        <w:t>, že prostředky</w:t>
      </w:r>
      <w:r w:rsidR="00550CB0">
        <w:rPr>
          <w:b/>
        </w:rPr>
        <w:t xml:space="preserve"> vyplacené</w:t>
      </w:r>
      <w:r w:rsidR="001110CB" w:rsidRPr="00036F54">
        <w:rPr>
          <w:b/>
        </w:rPr>
        <w:t xml:space="preserve"> na národní investiční dotační programy </w:t>
      </w:r>
      <w:proofErr w:type="spellStart"/>
      <w:r w:rsidR="001110CB" w:rsidRPr="00036F54">
        <w:rPr>
          <w:b/>
        </w:rPr>
        <w:t>MZe</w:t>
      </w:r>
      <w:proofErr w:type="spellEnd"/>
      <w:r w:rsidR="001110CB" w:rsidRPr="00036F54">
        <w:rPr>
          <w:b/>
        </w:rPr>
        <w:t xml:space="preserve"> a</w:t>
      </w:r>
      <w:r w:rsidR="00550CB0">
        <w:rPr>
          <w:b/>
        </w:rPr>
        <w:t xml:space="preserve"> na</w:t>
      </w:r>
      <w:r w:rsidR="001110CB" w:rsidRPr="00036F54">
        <w:rPr>
          <w:b/>
        </w:rPr>
        <w:t xml:space="preserve"> náhrad</w:t>
      </w:r>
      <w:r w:rsidR="00550CB0">
        <w:rPr>
          <w:b/>
        </w:rPr>
        <w:t>y</w:t>
      </w:r>
      <w:r w:rsidR="00D665B6">
        <w:rPr>
          <w:b/>
        </w:rPr>
        <w:t xml:space="preserve"> škod v letech 2016–</w:t>
      </w:r>
      <w:r w:rsidR="001110CB" w:rsidRPr="00036F54">
        <w:rPr>
          <w:b/>
        </w:rPr>
        <w:t>2018</w:t>
      </w:r>
      <w:r w:rsidR="00550CB0">
        <w:rPr>
          <w:b/>
        </w:rPr>
        <w:t xml:space="preserve"> byly</w:t>
      </w:r>
      <w:r w:rsidR="001110CB" w:rsidRPr="00036F54">
        <w:rPr>
          <w:b/>
        </w:rPr>
        <w:t xml:space="preserve"> </w:t>
      </w:r>
      <w:r w:rsidR="00772E08">
        <w:rPr>
          <w:b/>
        </w:rPr>
        <w:t>v</w:t>
      </w:r>
      <w:r w:rsidR="001110CB" w:rsidRPr="00036F54">
        <w:rPr>
          <w:b/>
        </w:rPr>
        <w:t xml:space="preserve"> obdobné výši.</w:t>
      </w:r>
      <w:r w:rsidR="00A43FF8">
        <w:rPr>
          <w:b/>
        </w:rPr>
        <w:t xml:space="preserve"> Rostoucí náhrady škod </w:t>
      </w:r>
      <w:r w:rsidR="00370D2B">
        <w:rPr>
          <w:b/>
        </w:rPr>
        <w:t>tedy</w:t>
      </w:r>
      <w:r w:rsidR="00A43FF8">
        <w:rPr>
          <w:b/>
        </w:rPr>
        <w:t xml:space="preserve"> poukazují na to, že realizovaná preventivní opatření v boji se suchem nejsou dostatečn</w:t>
      </w:r>
      <w:r w:rsidR="00DD0E51">
        <w:rPr>
          <w:b/>
        </w:rPr>
        <w:t>ě účinn</w:t>
      </w:r>
      <w:r w:rsidR="00A43FF8">
        <w:rPr>
          <w:b/>
        </w:rPr>
        <w:t>á.</w:t>
      </w:r>
    </w:p>
    <w:p w14:paraId="4BB31909" w14:textId="3555FD20" w:rsidR="00705EAA" w:rsidRDefault="00705EAA" w:rsidP="00DE37DD">
      <w:pPr>
        <w:spacing w:before="0"/>
        <w:rPr>
          <w:b/>
        </w:rPr>
      </w:pPr>
    </w:p>
    <w:p w14:paraId="3EDC9582" w14:textId="6FDCC950" w:rsidR="00705EAA" w:rsidRDefault="00705EAA" w:rsidP="00DE37DD">
      <w:pPr>
        <w:spacing w:before="0"/>
        <w:rPr>
          <w:b/>
        </w:rPr>
      </w:pPr>
    </w:p>
    <w:p w14:paraId="03059132" w14:textId="77777777" w:rsidR="00342411" w:rsidRPr="00C2750A" w:rsidRDefault="00342411" w:rsidP="008F4F38">
      <w:pPr>
        <w:spacing w:before="0" w:after="60"/>
        <w:rPr>
          <w:b/>
        </w:rPr>
      </w:pPr>
      <w:r w:rsidRPr="00C2750A">
        <w:rPr>
          <w:b/>
        </w:rPr>
        <w:t>Seznam zkratek</w:t>
      </w:r>
    </w:p>
    <w:p w14:paraId="6D3F8D4C" w14:textId="26758B33" w:rsidR="00F550A4" w:rsidRPr="00F73F72" w:rsidRDefault="00F550A4" w:rsidP="008F4F38">
      <w:pPr>
        <w:tabs>
          <w:tab w:val="left" w:pos="1665"/>
        </w:tabs>
        <w:spacing w:before="0" w:after="60"/>
        <w:jc w:val="left"/>
      </w:pPr>
      <w:r w:rsidRPr="00F73F72">
        <w:t>Koncepce</w:t>
      </w:r>
      <w:r w:rsidRPr="00F73F72">
        <w:tab/>
      </w:r>
      <w:proofErr w:type="spellStart"/>
      <w:r w:rsidRPr="00C2750A">
        <w:rPr>
          <w:i/>
        </w:rPr>
        <w:t>Koncepce</w:t>
      </w:r>
      <w:proofErr w:type="spellEnd"/>
      <w:r w:rsidRPr="00C2750A">
        <w:rPr>
          <w:i/>
        </w:rPr>
        <w:t xml:space="preserve"> ochrany před následky sucha pro území Č</w:t>
      </w:r>
      <w:r w:rsidR="00112D47">
        <w:rPr>
          <w:i/>
        </w:rPr>
        <w:t>eské republiky</w:t>
      </w:r>
    </w:p>
    <w:p w14:paraId="3A1C90C0" w14:textId="51AC054E" w:rsidR="00F550A4" w:rsidRPr="00F73F72" w:rsidRDefault="00F550A4" w:rsidP="008F4F38">
      <w:pPr>
        <w:tabs>
          <w:tab w:val="left" w:pos="1665"/>
        </w:tabs>
        <w:spacing w:before="0" w:after="60"/>
        <w:jc w:val="left"/>
      </w:pPr>
      <w:r>
        <w:t>LAPV</w:t>
      </w:r>
      <w:r w:rsidRPr="00F73F72">
        <w:tab/>
      </w:r>
      <w:r w:rsidR="006873A2">
        <w:t>l</w:t>
      </w:r>
      <w:r>
        <w:t>okality pro akumulaci povrchových vod</w:t>
      </w:r>
    </w:p>
    <w:p w14:paraId="74E9DE34" w14:textId="77777777" w:rsidR="00F550A4" w:rsidRDefault="00F550A4" w:rsidP="008F4F38">
      <w:pPr>
        <w:tabs>
          <w:tab w:val="left" w:pos="1665"/>
        </w:tabs>
        <w:spacing w:before="0" w:after="60"/>
        <w:jc w:val="left"/>
      </w:pPr>
      <w:proofErr w:type="spellStart"/>
      <w:r>
        <w:t>MZe</w:t>
      </w:r>
      <w:proofErr w:type="spellEnd"/>
      <w:r>
        <w:tab/>
        <w:t>Ministerstvo zemědělství</w:t>
      </w:r>
    </w:p>
    <w:p w14:paraId="4AFE6388" w14:textId="77777777" w:rsidR="00F550A4" w:rsidRDefault="00F550A4" w:rsidP="008F4F38">
      <w:pPr>
        <w:tabs>
          <w:tab w:val="left" w:pos="1665"/>
        </w:tabs>
        <w:spacing w:before="0" w:after="60"/>
        <w:jc w:val="left"/>
      </w:pPr>
      <w:r>
        <w:t>MŽP</w:t>
      </w:r>
      <w:r>
        <w:tab/>
        <w:t>Ministerstvo životního prostředí</w:t>
      </w:r>
    </w:p>
    <w:p w14:paraId="1C3D2EF3" w14:textId="57D56087" w:rsidR="00F550A4" w:rsidRDefault="00F550A4" w:rsidP="008F4F38">
      <w:pPr>
        <w:tabs>
          <w:tab w:val="left" w:pos="1665"/>
        </w:tabs>
        <w:spacing w:before="0" w:after="60"/>
        <w:jc w:val="left"/>
      </w:pPr>
      <w:r>
        <w:t>OPR</w:t>
      </w:r>
      <w:r>
        <w:tab/>
      </w:r>
      <w:r w:rsidR="006873A2">
        <w:t>o</w:t>
      </w:r>
      <w:r>
        <w:t xml:space="preserve">perační program </w:t>
      </w:r>
      <w:r w:rsidRPr="00C2750A">
        <w:rPr>
          <w:i/>
        </w:rPr>
        <w:t>Rybářství 2014</w:t>
      </w:r>
      <w:r w:rsidR="008A06DF" w:rsidRPr="00C2750A">
        <w:rPr>
          <w:i/>
        </w:rPr>
        <w:t>–</w:t>
      </w:r>
      <w:r w:rsidRPr="00C2750A">
        <w:rPr>
          <w:i/>
        </w:rPr>
        <w:t>2020</w:t>
      </w:r>
    </w:p>
    <w:p w14:paraId="723EF23F" w14:textId="313BE663" w:rsidR="00F550A4" w:rsidRDefault="00F550A4" w:rsidP="008F4F38">
      <w:pPr>
        <w:tabs>
          <w:tab w:val="left" w:pos="1665"/>
        </w:tabs>
        <w:spacing w:before="0" w:after="60"/>
        <w:jc w:val="left"/>
      </w:pPr>
      <w:r>
        <w:t>OPŽP</w:t>
      </w:r>
      <w:r>
        <w:tab/>
      </w:r>
      <w:r w:rsidR="006873A2">
        <w:t>o</w:t>
      </w:r>
      <w:r>
        <w:t xml:space="preserve">perační program </w:t>
      </w:r>
      <w:r w:rsidRPr="00C2750A">
        <w:rPr>
          <w:i/>
        </w:rPr>
        <w:t>Životní prostředí 2014</w:t>
      </w:r>
      <w:r w:rsidR="008A06DF" w:rsidRPr="00C2750A">
        <w:rPr>
          <w:i/>
        </w:rPr>
        <w:t>–</w:t>
      </w:r>
      <w:r w:rsidRPr="00C2750A">
        <w:rPr>
          <w:i/>
        </w:rPr>
        <w:t>2020</w:t>
      </w:r>
    </w:p>
    <w:p w14:paraId="73E05026" w14:textId="07B6059B" w:rsidR="00F550A4" w:rsidRPr="00342411" w:rsidRDefault="00F550A4" w:rsidP="008F4F38">
      <w:pPr>
        <w:tabs>
          <w:tab w:val="left" w:pos="1665"/>
        </w:tabs>
        <w:spacing w:before="0" w:after="60"/>
        <w:jc w:val="left"/>
      </w:pPr>
      <w:r>
        <w:t>PRV</w:t>
      </w:r>
      <w:r>
        <w:tab/>
      </w:r>
      <w:r w:rsidRPr="00C2750A">
        <w:rPr>
          <w:i/>
        </w:rPr>
        <w:t>Program rozvoje venkova na období 2014</w:t>
      </w:r>
      <w:r w:rsidR="008A06DF" w:rsidRPr="00C2750A">
        <w:rPr>
          <w:i/>
        </w:rPr>
        <w:t>–</w:t>
      </w:r>
      <w:r w:rsidRPr="00C2750A">
        <w:rPr>
          <w:i/>
        </w:rPr>
        <w:t>2020</w:t>
      </w:r>
    </w:p>
    <w:p w14:paraId="7F6FA5FB" w14:textId="77777777" w:rsidR="00F550A4" w:rsidRDefault="00F550A4" w:rsidP="008F4F38">
      <w:pPr>
        <w:tabs>
          <w:tab w:val="left" w:pos="1665"/>
        </w:tabs>
        <w:spacing w:before="0" w:after="60"/>
        <w:jc w:val="left"/>
      </w:pPr>
      <w:r>
        <w:t>SFŽP</w:t>
      </w:r>
      <w:r>
        <w:tab/>
        <w:t>Státní fond životního prostředí</w:t>
      </w:r>
    </w:p>
    <w:p w14:paraId="02271F3B" w14:textId="68810112" w:rsidR="003C33FD" w:rsidRDefault="00F550A4" w:rsidP="008F4F38">
      <w:pPr>
        <w:tabs>
          <w:tab w:val="left" w:pos="1665"/>
        </w:tabs>
        <w:spacing w:before="0" w:after="60"/>
        <w:jc w:val="left"/>
      </w:pPr>
      <w:r>
        <w:t>TTP</w:t>
      </w:r>
      <w:r>
        <w:tab/>
      </w:r>
      <w:r w:rsidR="006873A2">
        <w:t>t</w:t>
      </w:r>
      <w:r>
        <w:t>rvalý travní porost</w:t>
      </w:r>
    </w:p>
    <w:p w14:paraId="479C1228" w14:textId="1C123926" w:rsidR="00E766AB" w:rsidRDefault="00E766AB" w:rsidP="003C33FD">
      <w:pPr>
        <w:tabs>
          <w:tab w:val="left" w:pos="1665"/>
        </w:tabs>
        <w:jc w:val="left"/>
        <w:rPr>
          <w:rFonts w:asciiTheme="minorHAnsi" w:hAnsiTheme="minorHAnsi" w:cstheme="minorHAnsi"/>
          <w:lang w:eastAsia="cs-CZ"/>
        </w:rPr>
        <w:sectPr w:rsidR="00E766AB" w:rsidSect="009E560F">
          <w:footerReference w:type="default" r:id="rId17"/>
          <w:footerReference w:type="first" r:id="rId1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br w:type="page"/>
      </w:r>
    </w:p>
    <w:p w14:paraId="6B36FF37" w14:textId="77777777" w:rsidR="00F550A4" w:rsidRPr="00C2750A" w:rsidRDefault="00740142" w:rsidP="00F550A4">
      <w:pPr>
        <w:keepNext/>
        <w:spacing w:before="0"/>
        <w:jc w:val="right"/>
        <w:rPr>
          <w:rFonts w:asciiTheme="minorHAnsi" w:hAnsiTheme="minorHAnsi" w:cstheme="minorHAnsi"/>
          <w:b/>
          <w:color w:val="auto"/>
          <w:szCs w:val="22"/>
        </w:rPr>
      </w:pPr>
      <w:r w:rsidRPr="00C2750A">
        <w:rPr>
          <w:rFonts w:asciiTheme="minorHAnsi" w:hAnsiTheme="minorHAnsi" w:cstheme="minorHAnsi"/>
          <w:b/>
          <w:color w:val="auto"/>
          <w:szCs w:val="22"/>
        </w:rPr>
        <w:lastRenderedPageBreak/>
        <w:t>Příloha</w:t>
      </w:r>
      <w:r w:rsidR="00CC0717" w:rsidRPr="00C2750A">
        <w:rPr>
          <w:rFonts w:asciiTheme="minorHAnsi" w:hAnsiTheme="minorHAnsi" w:cstheme="minorHAnsi"/>
          <w:b/>
          <w:color w:val="auto"/>
          <w:szCs w:val="22"/>
        </w:rPr>
        <w:t xml:space="preserve"> č. 1</w:t>
      </w:r>
    </w:p>
    <w:p w14:paraId="152154C2" w14:textId="3635D831" w:rsidR="00740142" w:rsidRPr="00F550A4" w:rsidRDefault="00740142" w:rsidP="00E736A6">
      <w:pPr>
        <w:keepNext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F550A4">
        <w:rPr>
          <w:rFonts w:asciiTheme="minorHAnsi" w:hAnsiTheme="minorHAnsi" w:cstheme="minorHAnsi"/>
          <w:b/>
          <w:color w:val="auto"/>
          <w:szCs w:val="22"/>
        </w:rPr>
        <w:t xml:space="preserve">Celkový objem finančních prostředků poskytnutých v dotačních titulech a podporách Ministerstva zemědělství v letech 2016–2017 </w:t>
      </w:r>
      <w:r w:rsidR="00F550A4" w:rsidRPr="00F550A4">
        <w:rPr>
          <w:rFonts w:asciiTheme="minorHAnsi" w:hAnsiTheme="minorHAnsi" w:cstheme="minorHAnsi"/>
          <w:b/>
          <w:color w:val="auto"/>
          <w:szCs w:val="22"/>
        </w:rPr>
        <w:br/>
      </w:r>
      <w:r w:rsidRPr="00F550A4">
        <w:rPr>
          <w:rFonts w:asciiTheme="minorHAnsi" w:hAnsiTheme="minorHAnsi" w:cstheme="minorHAnsi"/>
          <w:b/>
          <w:color w:val="auto"/>
          <w:szCs w:val="22"/>
        </w:rPr>
        <w:t>(v několika případech zahrnut i rok 2018 do srpna) pro</w:t>
      </w:r>
      <w:r w:rsidR="0022397E">
        <w:rPr>
          <w:rFonts w:asciiTheme="minorHAnsi" w:hAnsiTheme="minorHAnsi" w:cstheme="minorHAnsi"/>
          <w:b/>
          <w:color w:val="auto"/>
          <w:szCs w:val="22"/>
        </w:rPr>
        <w:t xml:space="preserve"> </w:t>
      </w:r>
      <w:r w:rsidRPr="00F550A4">
        <w:rPr>
          <w:rFonts w:asciiTheme="minorHAnsi" w:hAnsiTheme="minorHAnsi" w:cstheme="minorHAnsi"/>
          <w:b/>
          <w:color w:val="auto"/>
          <w:szCs w:val="22"/>
        </w:rPr>
        <w:t>zmírnění negativních dopadů sucha a nedostatku vody</w:t>
      </w:r>
    </w:p>
    <w:p w14:paraId="185ED693" w14:textId="77777777" w:rsidR="00F550A4" w:rsidRPr="00F550A4" w:rsidRDefault="00F550A4" w:rsidP="00F550A4">
      <w:pPr>
        <w:keepNext/>
        <w:spacing w:before="0"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tbl>
      <w:tblPr>
        <w:tblW w:w="139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7"/>
        <w:gridCol w:w="1791"/>
        <w:gridCol w:w="1417"/>
        <w:gridCol w:w="1418"/>
        <w:gridCol w:w="1701"/>
      </w:tblGrid>
      <w:tr w:rsidR="00F550A4" w:rsidRPr="00E766AB" w14:paraId="12F4DA69" w14:textId="77777777" w:rsidTr="00E736A6">
        <w:trPr>
          <w:trHeight w:val="106"/>
          <w:jc w:val="center"/>
        </w:trPr>
        <w:tc>
          <w:tcPr>
            <w:tcW w:w="7627" w:type="dxa"/>
            <w:vMerge w:val="restart"/>
            <w:shd w:val="clear" w:color="auto" w:fill="E5F1FF"/>
            <w:noWrap/>
            <w:vAlign w:val="center"/>
          </w:tcPr>
          <w:p w14:paraId="3ABD4083" w14:textId="41D84CEA" w:rsidR="00F550A4" w:rsidRPr="00E766AB" w:rsidRDefault="00F550A4" w:rsidP="00F550A4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Dotační titul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y</w:t>
            </w:r>
          </w:p>
        </w:tc>
        <w:tc>
          <w:tcPr>
            <w:tcW w:w="1791" w:type="dxa"/>
            <w:vMerge w:val="restart"/>
            <w:shd w:val="clear" w:color="auto" w:fill="E5F1FF"/>
            <w:vAlign w:val="center"/>
          </w:tcPr>
          <w:p w14:paraId="0960B79C" w14:textId="2C58BA19" w:rsidR="00F550A4" w:rsidRPr="00E766AB" w:rsidRDefault="00F550A4" w:rsidP="0022397E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Předpokládaná alokace 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uvedená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v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příloze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14 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Koncepc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e 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(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v 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mil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. Kč)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000000" w:fill="DDEBF7"/>
            <w:vAlign w:val="center"/>
          </w:tcPr>
          <w:p w14:paraId="5E70A33A" w14:textId="77777777" w:rsidR="00F550A4" w:rsidRPr="00E766AB" w:rsidRDefault="00F550A4" w:rsidP="00F550A4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Hodnoty vykázané </w:t>
            </w:r>
            <w:proofErr w:type="spellStart"/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MZe</w:t>
            </w:r>
            <w:proofErr w:type="spellEnd"/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v Informaci</w:t>
            </w:r>
          </w:p>
        </w:tc>
        <w:tc>
          <w:tcPr>
            <w:tcW w:w="1701" w:type="dxa"/>
            <w:vMerge w:val="restart"/>
            <w:shd w:val="clear" w:color="auto" w:fill="E5F1FF"/>
            <w:vAlign w:val="center"/>
          </w:tcPr>
          <w:p w14:paraId="2232D3D2" w14:textId="00802BCE" w:rsidR="00F550A4" w:rsidRPr="00E766AB" w:rsidRDefault="00F550A4" w:rsidP="00F550A4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Vyplacené prostředky - hodnoty zjištěné 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kontrolou NKÚ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(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 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mil. Kč)</w:t>
            </w:r>
          </w:p>
        </w:tc>
      </w:tr>
      <w:tr w:rsidR="00F550A4" w:rsidRPr="00E766AB" w14:paraId="07A040ED" w14:textId="77777777" w:rsidTr="00E736A6">
        <w:trPr>
          <w:trHeight w:val="551"/>
          <w:jc w:val="center"/>
        </w:trPr>
        <w:tc>
          <w:tcPr>
            <w:tcW w:w="7627" w:type="dxa"/>
            <w:vMerge/>
            <w:shd w:val="clear" w:color="auto" w:fill="E5F1FF"/>
            <w:noWrap/>
            <w:vAlign w:val="center"/>
            <w:hideMark/>
          </w:tcPr>
          <w:p w14:paraId="566BADAF" w14:textId="318E7982" w:rsidR="00F550A4" w:rsidRPr="00E766AB" w:rsidRDefault="00F550A4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1" w:type="dxa"/>
            <w:vMerge/>
            <w:shd w:val="clear" w:color="auto" w:fill="E5F1FF"/>
            <w:vAlign w:val="center"/>
            <w:hideMark/>
          </w:tcPr>
          <w:p w14:paraId="7BF2ED9C" w14:textId="77777777" w:rsidR="00F550A4" w:rsidRPr="00E766AB" w:rsidRDefault="00F550A4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E5F1FF"/>
            <w:vAlign w:val="center"/>
            <w:hideMark/>
          </w:tcPr>
          <w:p w14:paraId="31926E1D" w14:textId="378B8EC9" w:rsidR="00F550A4" w:rsidRPr="00E766AB" w:rsidRDefault="00F550A4" w:rsidP="008F4F38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Vykázáno </w:t>
            </w:r>
            <w:proofErr w:type="spellStart"/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MZe</w:t>
            </w:r>
            <w:proofErr w:type="spellEnd"/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v Informaci v textu a</w:t>
            </w:r>
            <w:r w:rsidR="008F4F3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tabulkách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(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 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mil. Kč)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E5F1FF"/>
            <w:vAlign w:val="center"/>
            <w:hideMark/>
          </w:tcPr>
          <w:p w14:paraId="59970C80" w14:textId="2CFE9D7A" w:rsidR="00F550A4" w:rsidRPr="00E766AB" w:rsidRDefault="00F550A4" w:rsidP="00F550A4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Sumarizace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v tabulce č. 17 Informace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(</w:t>
            </w:r>
            <w:r w:rsidR="0022397E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 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mil. Kč)</w:t>
            </w:r>
          </w:p>
        </w:tc>
        <w:tc>
          <w:tcPr>
            <w:tcW w:w="1701" w:type="dxa"/>
            <w:vMerge/>
            <w:shd w:val="clear" w:color="auto" w:fill="E5F1FF"/>
            <w:vAlign w:val="center"/>
            <w:hideMark/>
          </w:tcPr>
          <w:p w14:paraId="12C76CA9" w14:textId="77777777" w:rsidR="00F550A4" w:rsidRPr="00E766AB" w:rsidRDefault="00F550A4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740142" w:rsidRPr="00E766AB" w14:paraId="3041EFCF" w14:textId="77777777" w:rsidTr="00E736A6">
        <w:trPr>
          <w:trHeight w:val="145"/>
          <w:jc w:val="center"/>
        </w:trPr>
        <w:tc>
          <w:tcPr>
            <w:tcW w:w="1395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29E77A0C" w14:textId="2291A997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Dotační tituly uvedené v Koncepci v příloze 14</w:t>
            </w:r>
          </w:p>
        </w:tc>
      </w:tr>
      <w:tr w:rsidR="00740142" w:rsidRPr="00E766AB" w14:paraId="3CA4F421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6C999CAE" w14:textId="4923D4D4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129 280 </w:t>
            </w:r>
            <w:r w:rsidR="000D0867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Podpora retence vody v krajině – rybníky a vodní nádrže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5C1CC029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04D5F6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450,50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2911BE1" w14:textId="77777777" w:rsidR="00740142" w:rsidRPr="008F4F38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bCs/>
                <w:color w:val="auto"/>
                <w:sz w:val="14"/>
                <w:szCs w:val="14"/>
              </w:rPr>
            </w:pPr>
            <w:r w:rsidRPr="008F4F38">
              <w:rPr>
                <w:rFonts w:asciiTheme="minorHAnsi" w:hAnsiTheme="minorHAnsi" w:cstheme="minorHAnsi"/>
                <w:bCs/>
                <w:color w:val="auto"/>
                <w:sz w:val="14"/>
                <w:szCs w:val="14"/>
              </w:rPr>
              <w:t>2 938,10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75496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31,00</w:t>
            </w:r>
          </w:p>
        </w:tc>
      </w:tr>
      <w:tr w:rsidR="00740142" w:rsidRPr="00E766AB" w14:paraId="06ECB1DB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1F367693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Realizace vodního díla Skalička v povodí Bečvy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076F9E0D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0F187C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350,00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E2B3CFD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F9DFD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350,00</w:t>
            </w:r>
          </w:p>
        </w:tc>
      </w:tr>
      <w:tr w:rsidR="00740142" w:rsidRPr="00E766AB" w14:paraId="733BF96F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416FC1DA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Příprava a realizace přehradních nádrží v regionech postihovaných suchem a nedostatkem vodních zdrojů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776C90DF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EC28F" w14:textId="7EA8B416" w:rsidR="00740142" w:rsidRPr="0011481D" w:rsidRDefault="0022397E" w:rsidP="008F4F38">
            <w:pPr>
              <w:spacing w:before="0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V</w:t>
            </w:r>
            <w:r w:rsidR="00740142"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přípravě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A7AB20E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D8F37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</w:tr>
      <w:tr w:rsidR="00740142" w:rsidRPr="00E766AB" w14:paraId="2F0841A9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5EDD09F7" w14:textId="29119F7D" w:rsidR="00740142" w:rsidRPr="00E766AB" w:rsidRDefault="00740142" w:rsidP="0022397E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129 290 </w:t>
            </w:r>
            <w:r w:rsidR="0022397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Podpora opatření na drobných vodních tocích a malých vodních nádržích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60D41F45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1 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60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C09267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1 122,00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ABD4852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C2F88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1 122,00</w:t>
            </w:r>
          </w:p>
        </w:tc>
      </w:tr>
      <w:tr w:rsidR="00740142" w:rsidRPr="00E766AB" w14:paraId="1B9F12A8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6ACBAE48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Podpora výsadby melioračních a zpevňujících dřevin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22EA01B6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1 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5058D8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14,40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36D1303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F2AF1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14,40</w:t>
            </w:r>
          </w:p>
        </w:tc>
      </w:tr>
      <w:tr w:rsidR="00740142" w:rsidRPr="00E766AB" w14:paraId="2D0CD329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409B65DD" w14:textId="24203CAD" w:rsidR="00740142" w:rsidRPr="00E766AB" w:rsidRDefault="00740142" w:rsidP="0022397E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129 310 </w:t>
            </w:r>
            <w:r w:rsidR="0022397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Podpora konkurenceschopnosti agropotravinářského komplexu – závlahy II. etapa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249F96EB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1 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D81BA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61,00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9167392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C67F5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61,00</w:t>
            </w:r>
          </w:p>
        </w:tc>
      </w:tr>
      <w:tr w:rsidR="00740142" w:rsidRPr="00E766AB" w14:paraId="085E04C5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600D855D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Odstraňování sedimentů z přehradních nádrží, výstavba přehradních nádrží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01C226D7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1 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58C8B8" w14:textId="03C49085" w:rsidR="00740142" w:rsidRPr="0011481D" w:rsidRDefault="0022397E" w:rsidP="008F4F38">
            <w:pPr>
              <w:spacing w:before="0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V</w:t>
            </w:r>
            <w:r w:rsidR="00740142"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přípravě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91900AE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BE8C8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</w:tr>
      <w:tr w:rsidR="00740142" w:rsidRPr="00E766AB" w14:paraId="7D0421DA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19E9B151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Program na podporu rekonstrukce, oprav a modernizace hlavních odvodňovacích zařízení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3544294C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F11D48" w14:textId="26E8DF5D" w:rsidR="00740142" w:rsidRPr="0011481D" w:rsidRDefault="0022397E" w:rsidP="008F4F38">
            <w:pPr>
              <w:spacing w:before="0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N</w:t>
            </w:r>
            <w:r w:rsidR="00740142"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ezahájen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6FD105F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9F5B5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</w:tr>
      <w:tr w:rsidR="00740142" w:rsidRPr="00E766AB" w14:paraId="2B4A6C4D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2293A733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Program pro podporu propojení vodohospodářských soustav k zabezpečenosti vodních zdrojů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158224E0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CD5495" w14:textId="4ECDAA3B" w:rsidR="00740142" w:rsidRPr="0011481D" w:rsidRDefault="0022397E" w:rsidP="008F4F38">
            <w:pPr>
              <w:spacing w:before="0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V</w:t>
            </w:r>
            <w:r w:rsidR="00740142"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přípravě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C329C3E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0AE46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</w:tr>
      <w:tr w:rsidR="00740142" w:rsidRPr="00E766AB" w14:paraId="4E147FE5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61299AA4" w14:textId="43088328" w:rsidR="00740142" w:rsidRPr="00E766AB" w:rsidRDefault="00740142" w:rsidP="0022397E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129 300 </w:t>
            </w:r>
            <w:r w:rsidR="0022397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Podpora výstavby a technického zhodnocení infrastruktury vodovodů a kanalizací II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141E6929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4 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80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B50CBA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803,68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5B63CAC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26B20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589,27</w:t>
            </w:r>
          </w:p>
        </w:tc>
      </w:tr>
      <w:tr w:rsidR="00740142" w:rsidRPr="00E766AB" w14:paraId="4955DE85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037B42CC" w14:textId="661B6DA7" w:rsidR="00740142" w:rsidRPr="00E766AB" w:rsidRDefault="00740142" w:rsidP="0022397E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proofErr w:type="gramStart"/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I.I </w:t>
            </w:r>
            <w:r w:rsidR="0022397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Podpora</w:t>
            </w:r>
            <w:proofErr w:type="gramEnd"/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vybudování kapkové závlahy v ovocných sadech, chmelnicích, vinicích a ve školkách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2ABE2DFB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F6AD8E" w14:textId="77777777" w:rsidR="00740142" w:rsidRPr="0011481D" w:rsidRDefault="00740142" w:rsidP="008F4F38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80,92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E6D0357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609E1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76,02</w:t>
            </w:r>
          </w:p>
        </w:tc>
      </w:tr>
      <w:tr w:rsidR="00740142" w:rsidRPr="00E766AB" w14:paraId="669E6709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7E466FBA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Program na vytvoření nástrojů pro zhodnocení technické, vodohospodářské a ekonomické efektivnosti opatření na ochranu před suchem a nedostatkem vody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6F39237C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40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13420E" w14:textId="454A96F4" w:rsidR="00740142" w:rsidRPr="0011481D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V</w:t>
            </w:r>
            <w:r w:rsidR="00740142"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přípravě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3DA1696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149F1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0,00</w:t>
            </w:r>
          </w:p>
        </w:tc>
      </w:tr>
      <w:tr w:rsidR="00740142" w:rsidRPr="00E766AB" w14:paraId="403881FE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65E39EDB" w14:textId="35197CFA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Náhrady z lesního zákona </w:t>
            </w:r>
            <w:r w:rsidR="000D0867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</w:t>
            </w:r>
            <w:r w:rsidR="000D0867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o</w:t>
            </w:r>
            <w:r w:rsidRPr="00E766A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patření meliorací a hrazení bystřin v lesích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6852288C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25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EA7FC4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56,10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934542C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E1140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56,10</w:t>
            </w:r>
          </w:p>
        </w:tc>
      </w:tr>
      <w:tr w:rsidR="00740142" w:rsidRPr="00E766AB" w14:paraId="6C038AEE" w14:textId="77777777" w:rsidTr="00E736A6">
        <w:trPr>
          <w:trHeight w:val="165"/>
          <w:jc w:val="center"/>
        </w:trPr>
        <w:tc>
          <w:tcPr>
            <w:tcW w:w="1395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52DFBA86" w14:textId="77777777" w:rsidR="00740142" w:rsidRPr="0011481D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  <w:t xml:space="preserve">Dotační podpory z kapitoly </w:t>
            </w:r>
            <w:proofErr w:type="spellStart"/>
            <w:r w:rsidRPr="0011481D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  <w:t>MZe</w:t>
            </w:r>
            <w:proofErr w:type="spellEnd"/>
            <w:r w:rsidRPr="0011481D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  <w:t xml:space="preserve"> (mimo programové financování)</w:t>
            </w:r>
          </w:p>
        </w:tc>
      </w:tr>
      <w:tr w:rsidR="00740142" w:rsidRPr="00E766AB" w14:paraId="2C94D213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5EF5CE03" w14:textId="772F6FD8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Podpora ekologických a k přírodě šetrných technologií při hospodaření v lesích*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16ED252E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60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B81241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68,62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AA11877" w14:textId="77777777" w:rsidR="00740142" w:rsidRPr="008F4F38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bCs/>
                <w:color w:val="auto"/>
                <w:sz w:val="14"/>
                <w:szCs w:val="14"/>
              </w:rPr>
            </w:pPr>
            <w:r w:rsidRPr="008F4F38">
              <w:rPr>
                <w:rFonts w:asciiTheme="minorHAnsi" w:hAnsiTheme="minorHAnsi" w:cstheme="minorHAnsi"/>
                <w:bCs/>
                <w:color w:val="auto"/>
                <w:sz w:val="14"/>
                <w:szCs w:val="14"/>
              </w:rPr>
              <w:t>4 499,10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44054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68,60</w:t>
            </w:r>
          </w:p>
        </w:tc>
      </w:tr>
      <w:tr w:rsidR="00740142" w:rsidRPr="00E766AB" w14:paraId="5362F6A3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644BEA88" w14:textId="1E3782B8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Obnova lesů postižených imisemi*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4F71561F" w14:textId="77777777" w:rsidR="00740142" w:rsidRPr="00E766AB" w:rsidRDefault="00740142" w:rsidP="003D5052">
            <w:pPr>
              <w:spacing w:before="0"/>
              <w:ind w:right="571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01C09F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7,61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0477A0A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1A927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7,90</w:t>
            </w:r>
          </w:p>
        </w:tc>
      </w:tr>
      <w:tr w:rsidR="00740142" w:rsidRPr="00E766AB" w14:paraId="2C37A4DE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169CB145" w14:textId="529E99CB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 xml:space="preserve">Obnova, zajištění a výchova porostů do 40 let věku </w:t>
            </w:r>
            <w:r w:rsidR="000D0867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 xml:space="preserve"> meliorační a zpevňující dřeviny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144966AE" w14:textId="297EEF7E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F4E70B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267,10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45075EC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8D246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266,40</w:t>
            </w:r>
          </w:p>
        </w:tc>
      </w:tr>
      <w:tr w:rsidR="00740142" w:rsidRPr="00E766AB" w14:paraId="7A9C795C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6DBC9F87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Zajištění hasičské letecké služby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7840F7CC" w14:textId="05B67A16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6F53C1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23,94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CECFCB1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6C33B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17,73</w:t>
            </w:r>
          </w:p>
        </w:tc>
      </w:tr>
      <w:tr w:rsidR="00740142" w:rsidRPr="00E766AB" w14:paraId="1E3F837F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5FE8B0D6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 xml:space="preserve">Zmírnění škod způsobených suchem na zemědělských plodinách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7CD4E9AA" w14:textId="44765224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51C7E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4 120,00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7F2B975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1935E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2 366,78</w:t>
            </w:r>
          </w:p>
        </w:tc>
      </w:tr>
      <w:tr w:rsidR="00740142" w:rsidRPr="00E766AB" w14:paraId="42AD359B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05A46CD7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Podpory z Národní agentury zemědělského výzkumu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0FF03572" w14:textId="0A3A191B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3F18E1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139,11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8AA27A2" w14:textId="77777777" w:rsidR="00740142" w:rsidRPr="0011481D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F5F06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79,38</w:t>
            </w:r>
          </w:p>
        </w:tc>
      </w:tr>
      <w:tr w:rsidR="00740142" w:rsidRPr="00E766AB" w14:paraId="33494829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E5F1FF"/>
            <w:noWrap/>
            <w:vAlign w:val="center"/>
            <w:hideMark/>
          </w:tcPr>
          <w:p w14:paraId="09EE5FA4" w14:textId="77777777" w:rsidR="00740142" w:rsidRPr="00E766AB" w:rsidRDefault="00740142" w:rsidP="003D505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Podpory poskytnuté z národních zdrojů</w:t>
            </w:r>
          </w:p>
        </w:tc>
        <w:tc>
          <w:tcPr>
            <w:tcW w:w="1791" w:type="dxa"/>
            <w:shd w:val="clear" w:color="auto" w:fill="E5F1FF"/>
            <w:noWrap/>
            <w:vAlign w:val="center"/>
            <w:hideMark/>
          </w:tcPr>
          <w:p w14:paraId="18D7D260" w14:textId="77777777" w:rsidR="00740142" w:rsidRPr="00E766AB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14,2 mld. Kč dotace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2AAE5E67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  <w:t>7 564,98</w:t>
            </w:r>
          </w:p>
        </w:tc>
        <w:tc>
          <w:tcPr>
            <w:tcW w:w="1418" w:type="dxa"/>
            <w:shd w:val="clear" w:color="auto" w:fill="E5F1FF"/>
            <w:noWrap/>
            <w:vAlign w:val="center"/>
            <w:hideMark/>
          </w:tcPr>
          <w:p w14:paraId="7E6871BA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  <w:t>7 437,20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07DFE462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5 106,58</w:t>
            </w:r>
          </w:p>
        </w:tc>
      </w:tr>
      <w:tr w:rsidR="00740142" w:rsidRPr="00E766AB" w14:paraId="5A9CDEA6" w14:textId="77777777" w:rsidTr="00E736A6">
        <w:trPr>
          <w:trHeight w:val="165"/>
          <w:jc w:val="center"/>
        </w:trPr>
        <w:tc>
          <w:tcPr>
            <w:tcW w:w="13954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1D622E74" w14:textId="77777777" w:rsidR="00740142" w:rsidRPr="0011481D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</w:rPr>
              <w:t>Podpory financované z EU</w:t>
            </w:r>
          </w:p>
        </w:tc>
      </w:tr>
      <w:tr w:rsidR="00740142" w:rsidRPr="00E766AB" w14:paraId="3A3FF1E8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4F165D39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Agroenvironmentálně</w:t>
            </w:r>
            <w:proofErr w:type="spellEnd"/>
            <w:r w:rsidRPr="00E766AB">
              <w:rPr>
                <w:rFonts w:asciiTheme="minorHAnsi" w:hAnsiTheme="minorHAnsi" w:cstheme="minorHAnsi"/>
                <w:sz w:val="14"/>
                <w:szCs w:val="14"/>
              </w:rPr>
              <w:t xml:space="preserve">-klimatická opatření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28032229" w14:textId="71E1D51B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423931" w14:textId="2D2E7CAE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8 </w:t>
            </w:r>
            <w:r w:rsidR="0022397E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731,19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698CC6A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20 732,50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6E084" w14:textId="2E8F00FF" w:rsidR="00740142" w:rsidRPr="00E766AB" w:rsidRDefault="00740142" w:rsidP="0022397E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8 731,19</w:t>
            </w:r>
          </w:p>
        </w:tc>
      </w:tr>
      <w:tr w:rsidR="00740142" w:rsidRPr="00E766AB" w14:paraId="22D00454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noWrap/>
            <w:vAlign w:val="center"/>
            <w:hideMark/>
          </w:tcPr>
          <w:p w14:paraId="423035D6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Ekologické zemědělství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4E8E2370" w14:textId="7FB964C4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F27194" w14:textId="6B120B03" w:rsidR="00740142" w:rsidRPr="0011481D" w:rsidRDefault="00740142" w:rsidP="0022397E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3 502,20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8FC1834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949C7" w14:textId="02B6E888" w:rsidR="00740142" w:rsidRPr="00E766AB" w:rsidRDefault="00740142" w:rsidP="0022397E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3 502,20</w:t>
            </w:r>
          </w:p>
        </w:tc>
      </w:tr>
      <w:tr w:rsidR="00740142" w:rsidRPr="00E766AB" w14:paraId="56449833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2142C45D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Platby pro horské oblasti a jiné oblasti s přírodními nebo jinými zvláštními omezeními (ANC)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1973DFF5" w14:textId="065BAC11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636803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7 133,34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99A02CC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A1F6E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7 133,34</w:t>
            </w:r>
          </w:p>
        </w:tc>
      </w:tr>
      <w:tr w:rsidR="00740142" w:rsidRPr="00E766AB" w14:paraId="3A878308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208FC32E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Zalesnění zemědělské půdy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463F8FB5" w14:textId="05E4BB35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8DDFC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5,86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AE8CE1C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7DF8A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5,86</w:t>
            </w:r>
          </w:p>
        </w:tc>
      </w:tr>
      <w:tr w:rsidR="00740142" w:rsidRPr="00E766AB" w14:paraId="300BAA65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7BBA91D6" w14:textId="32EE881E" w:rsidR="00740142" w:rsidRPr="00E766AB" w:rsidRDefault="00740142" w:rsidP="000D0867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Staré závazky z PRV 2007</w:t>
            </w:r>
            <w:r w:rsidR="000D0867">
              <w:rPr>
                <w:rFonts w:asciiTheme="minorHAnsi" w:hAnsiTheme="minorHAnsi" w:cstheme="minorHAnsi"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2013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3F79A6F8" w14:textId="03E8B2A8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07450C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1 359,89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6F0A5BD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32F55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1 359,89</w:t>
            </w:r>
          </w:p>
        </w:tc>
      </w:tr>
      <w:tr w:rsidR="00740142" w:rsidRPr="00E766AB" w14:paraId="772EDC9A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4A94A85A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Zavádění preventivních opatření v lesích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440B5F5C" w14:textId="111A7CA6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561E06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25,00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9CA783D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110,70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38E83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25,00</w:t>
            </w:r>
          </w:p>
        </w:tc>
      </w:tr>
      <w:tr w:rsidR="00740142" w:rsidRPr="00E766AB" w14:paraId="5636C677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5BD1F5CE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Obnova lesních porostů po kalamitách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20CFD567" w14:textId="402CA6D3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3A83AB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49,00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FDA1A40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DEF01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49,00</w:t>
            </w:r>
          </w:p>
        </w:tc>
      </w:tr>
      <w:tr w:rsidR="00740142" w:rsidRPr="00E766AB" w14:paraId="11044E12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0E68998D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Pozemkové úpravy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5DD7734A" w14:textId="0C08C12D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6EB926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727,00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C1A36D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727,00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73E0D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31,30</w:t>
            </w:r>
          </w:p>
        </w:tc>
      </w:tr>
      <w:tr w:rsidR="00740142" w:rsidRPr="00E766AB" w14:paraId="15D9C923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auto"/>
            <w:vAlign w:val="center"/>
            <w:hideMark/>
          </w:tcPr>
          <w:p w14:paraId="6D33B7BE" w14:textId="77777777" w:rsidR="00740142" w:rsidRPr="00E766AB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Operační program Rybářství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14:paraId="741CDE7E" w14:textId="46E78AA1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908C53" w14:textId="77777777" w:rsidR="00740142" w:rsidRPr="0011481D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29,30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640C11" w14:textId="77777777" w:rsidR="00740142" w:rsidRPr="0011481D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11481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29,30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FBFB1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sz w:val="14"/>
                <w:szCs w:val="14"/>
              </w:rPr>
              <w:t>29,30</w:t>
            </w:r>
          </w:p>
        </w:tc>
      </w:tr>
      <w:tr w:rsidR="00740142" w:rsidRPr="00E766AB" w14:paraId="0D3AA607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E5F1FF"/>
            <w:vAlign w:val="center"/>
            <w:hideMark/>
          </w:tcPr>
          <w:p w14:paraId="5F06037A" w14:textId="77777777" w:rsidR="00740142" w:rsidRPr="00E766AB" w:rsidRDefault="00740142" w:rsidP="003D505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Podpory financované z EU</w:t>
            </w:r>
          </w:p>
        </w:tc>
        <w:tc>
          <w:tcPr>
            <w:tcW w:w="1791" w:type="dxa"/>
            <w:shd w:val="clear" w:color="auto" w:fill="E5F1FF"/>
            <w:noWrap/>
            <w:vAlign w:val="center"/>
            <w:hideMark/>
          </w:tcPr>
          <w:p w14:paraId="04C04F44" w14:textId="3BBE0D91" w:rsidR="00740142" w:rsidRPr="00E766AB" w:rsidRDefault="0022397E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</w:t>
            </w:r>
            <w:r w:rsidR="00740142"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euvedeno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60ADA56A" w14:textId="77777777" w:rsidR="00740142" w:rsidRPr="00E766AB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21 562,78</w:t>
            </w:r>
          </w:p>
        </w:tc>
        <w:tc>
          <w:tcPr>
            <w:tcW w:w="1418" w:type="dxa"/>
            <w:shd w:val="clear" w:color="auto" w:fill="E5F1FF"/>
            <w:noWrap/>
            <w:vAlign w:val="center"/>
            <w:hideMark/>
          </w:tcPr>
          <w:p w14:paraId="00AFB8D1" w14:textId="77777777" w:rsidR="00740142" w:rsidRPr="00E766AB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21 599,50</w:t>
            </w:r>
          </w:p>
        </w:tc>
        <w:tc>
          <w:tcPr>
            <w:tcW w:w="1701" w:type="dxa"/>
            <w:shd w:val="clear" w:color="auto" w:fill="E5F1FF"/>
            <w:noWrap/>
            <w:vAlign w:val="center"/>
            <w:hideMark/>
          </w:tcPr>
          <w:p w14:paraId="7051CD37" w14:textId="77777777" w:rsidR="00740142" w:rsidRPr="00E766AB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20 867,08</w:t>
            </w:r>
          </w:p>
        </w:tc>
      </w:tr>
      <w:tr w:rsidR="00740142" w:rsidRPr="00EC253A" w14:paraId="3EC4780F" w14:textId="77777777" w:rsidTr="00E736A6">
        <w:trPr>
          <w:trHeight w:val="165"/>
          <w:jc w:val="center"/>
        </w:trPr>
        <w:tc>
          <w:tcPr>
            <w:tcW w:w="7627" w:type="dxa"/>
            <w:shd w:val="clear" w:color="auto" w:fill="F2F2F2" w:themeFill="background1" w:themeFillShade="F2"/>
            <w:vAlign w:val="center"/>
            <w:hideMark/>
          </w:tcPr>
          <w:p w14:paraId="1E0020E7" w14:textId="77777777" w:rsidR="00740142" w:rsidRPr="00EC253A" w:rsidRDefault="00740142" w:rsidP="003D5052">
            <w:pPr>
              <w:spacing w:before="0"/>
              <w:jc w:val="left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  <w:r w:rsidRPr="00EC253A"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791" w:type="dxa"/>
            <w:shd w:val="clear" w:color="auto" w:fill="F2F2F2" w:themeFill="background1" w:themeFillShade="F2"/>
            <w:noWrap/>
            <w:vAlign w:val="center"/>
            <w:hideMark/>
          </w:tcPr>
          <w:p w14:paraId="05FB06E7" w14:textId="77777777" w:rsidR="00740142" w:rsidRPr="00EC253A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A447C40" w14:textId="77777777" w:rsidR="00740142" w:rsidRPr="00EC253A" w:rsidRDefault="00740142" w:rsidP="003D5052">
            <w:pPr>
              <w:spacing w:before="0"/>
              <w:ind w:right="422"/>
              <w:jc w:val="right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  <w:r w:rsidRPr="00EC253A"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  <w:t>29 127,76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005F5CCD" w14:textId="77777777" w:rsidR="00740142" w:rsidRPr="00EC253A" w:rsidRDefault="00740142" w:rsidP="008F4F38">
            <w:pPr>
              <w:spacing w:before="0"/>
              <w:ind w:right="288"/>
              <w:jc w:val="right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  <w:r w:rsidRPr="00EC253A"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  <w:t>29 036,70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6577C4C4" w14:textId="77777777" w:rsidR="00740142" w:rsidRPr="00EC253A" w:rsidRDefault="00740142" w:rsidP="003D5052">
            <w:pPr>
              <w:spacing w:before="0"/>
              <w:ind w:right="566"/>
              <w:jc w:val="right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  <w:r w:rsidRPr="00EC253A"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  <w:t>25 973,66</w:t>
            </w:r>
          </w:p>
        </w:tc>
      </w:tr>
    </w:tbl>
    <w:p w14:paraId="712DF6BC" w14:textId="037F525F" w:rsidR="00F550A4" w:rsidRPr="003D5052" w:rsidRDefault="00740142" w:rsidP="00571A9F">
      <w:pPr>
        <w:tabs>
          <w:tab w:val="left" w:pos="1418"/>
        </w:tabs>
        <w:spacing w:before="40"/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</w:pPr>
      <w:r w:rsidRPr="003D5052">
        <w:rPr>
          <w:rFonts w:asciiTheme="minorHAnsi" w:hAnsiTheme="minorHAnsi" w:cstheme="minorHAnsi"/>
          <w:b/>
          <w:color w:val="auto"/>
          <w:sz w:val="20"/>
          <w:szCs w:val="20"/>
        </w:rPr>
        <w:t>Zdroj:</w:t>
      </w:r>
      <w:r w:rsidRPr="003D505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D0867">
        <w:rPr>
          <w:rFonts w:asciiTheme="minorHAnsi" w:hAnsiTheme="minorHAnsi" w:cstheme="minorHAnsi"/>
          <w:color w:val="auto"/>
          <w:sz w:val="20"/>
          <w:szCs w:val="20"/>
        </w:rPr>
        <w:t>vypracoval</w:t>
      </w:r>
      <w:r w:rsidRPr="003D5052">
        <w:rPr>
          <w:rFonts w:asciiTheme="minorHAnsi" w:hAnsiTheme="minorHAnsi" w:cstheme="minorHAnsi"/>
          <w:color w:val="auto"/>
          <w:sz w:val="20"/>
          <w:szCs w:val="20"/>
        </w:rPr>
        <w:t xml:space="preserve"> NKÚ na základě Koncepce, Informace a informací </w:t>
      </w:r>
      <w:proofErr w:type="spellStart"/>
      <w:r w:rsidRPr="003D5052">
        <w:rPr>
          <w:rFonts w:asciiTheme="minorHAnsi" w:hAnsiTheme="minorHAnsi" w:cstheme="minorHAnsi"/>
          <w:color w:val="auto"/>
          <w:sz w:val="20"/>
          <w:szCs w:val="20"/>
        </w:rPr>
        <w:t>MZe</w:t>
      </w:r>
      <w:proofErr w:type="spellEnd"/>
      <w:r w:rsidR="000D0867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.</w:t>
      </w:r>
      <w:r w:rsidRPr="003D5052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 xml:space="preserve">  </w:t>
      </w:r>
    </w:p>
    <w:p w14:paraId="095AFE9C" w14:textId="5EA97F95" w:rsidR="00740142" w:rsidRPr="00EC253A" w:rsidRDefault="00740142" w:rsidP="00EC253A">
      <w:pPr>
        <w:tabs>
          <w:tab w:val="left" w:pos="1418"/>
        </w:tabs>
        <w:spacing w:before="0"/>
        <w:rPr>
          <w:rFonts w:asciiTheme="minorHAnsi" w:hAnsiTheme="minorHAnsi" w:cstheme="minorHAnsi"/>
          <w:i/>
          <w:color w:val="auto"/>
          <w:sz w:val="20"/>
          <w:szCs w:val="20"/>
        </w:rPr>
        <w:sectPr w:rsidR="00740142" w:rsidRPr="00EC253A" w:rsidSect="00F550A4">
          <w:footerReference w:type="default" r:id="rId19"/>
          <w:footerReference w:type="first" r:id="rId20"/>
          <w:pgSz w:w="16838" w:h="11906" w:orient="landscape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D5052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 xml:space="preserve">* Dotační tituly uvedené v </w:t>
      </w:r>
      <w:r w:rsidR="000D0867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p</w:t>
      </w:r>
      <w:r w:rsidRPr="003D5052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říloze č. 14 Koncepc</w:t>
      </w:r>
      <w:r w:rsidR="00EC253A" w:rsidRPr="003D5052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e</w:t>
      </w:r>
      <w:r w:rsidR="00C4504F" w:rsidRPr="003D5052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.</w:t>
      </w:r>
    </w:p>
    <w:p w14:paraId="3448D840" w14:textId="77777777" w:rsidR="00F550A4" w:rsidRPr="003E7C81" w:rsidRDefault="00740142" w:rsidP="00F550A4">
      <w:pPr>
        <w:spacing w:before="0" w:after="120"/>
        <w:jc w:val="right"/>
        <w:rPr>
          <w:rFonts w:asciiTheme="minorHAnsi" w:hAnsiTheme="minorHAnsi" w:cstheme="minorHAnsi"/>
          <w:b/>
          <w:lang w:eastAsia="cs-CZ"/>
        </w:rPr>
      </w:pPr>
      <w:r w:rsidRPr="003E7C81">
        <w:rPr>
          <w:rFonts w:asciiTheme="minorHAnsi" w:hAnsiTheme="minorHAnsi" w:cstheme="minorHAnsi"/>
          <w:b/>
          <w:lang w:eastAsia="cs-CZ"/>
        </w:rPr>
        <w:lastRenderedPageBreak/>
        <w:t>Příloha č. 2</w:t>
      </w:r>
    </w:p>
    <w:p w14:paraId="02E66DA2" w14:textId="0CDE189A" w:rsidR="00740142" w:rsidRPr="00F550A4" w:rsidRDefault="00740142" w:rsidP="00571A9F">
      <w:pPr>
        <w:spacing w:before="240" w:after="120"/>
        <w:jc w:val="center"/>
        <w:rPr>
          <w:rFonts w:asciiTheme="minorHAnsi" w:hAnsiTheme="minorHAnsi" w:cstheme="minorHAnsi"/>
          <w:b/>
          <w:sz w:val="28"/>
          <w:lang w:eastAsia="cs-CZ"/>
        </w:rPr>
      </w:pPr>
      <w:r w:rsidRPr="00F550A4">
        <w:rPr>
          <w:rFonts w:asciiTheme="minorHAnsi" w:hAnsiTheme="minorHAnsi" w:cstheme="minorHAnsi"/>
          <w:b/>
          <w:color w:val="auto"/>
          <w:szCs w:val="22"/>
        </w:rPr>
        <w:t>Celkový objem finančních prostředků poskytnutých v dotačních titulech Ministerstva živo</w:t>
      </w:r>
      <w:r w:rsidR="00C4504F" w:rsidRPr="00F550A4">
        <w:rPr>
          <w:rFonts w:asciiTheme="minorHAnsi" w:hAnsiTheme="minorHAnsi" w:cstheme="minorHAnsi"/>
          <w:b/>
          <w:color w:val="auto"/>
          <w:szCs w:val="22"/>
        </w:rPr>
        <w:t>tního prostředí v letech 2015–</w:t>
      </w:r>
      <w:r w:rsidRPr="00F550A4">
        <w:rPr>
          <w:rFonts w:asciiTheme="minorHAnsi" w:hAnsiTheme="minorHAnsi" w:cstheme="minorHAnsi"/>
          <w:b/>
          <w:color w:val="auto"/>
          <w:szCs w:val="22"/>
        </w:rPr>
        <w:t xml:space="preserve">2018 </w:t>
      </w:r>
      <w:r w:rsidR="00F550A4">
        <w:rPr>
          <w:rFonts w:asciiTheme="minorHAnsi" w:hAnsiTheme="minorHAnsi" w:cstheme="minorHAnsi"/>
          <w:b/>
          <w:color w:val="auto"/>
          <w:szCs w:val="22"/>
        </w:rPr>
        <w:br/>
      </w:r>
      <w:r w:rsidRPr="00F550A4">
        <w:rPr>
          <w:rFonts w:asciiTheme="minorHAnsi" w:hAnsiTheme="minorHAnsi" w:cstheme="minorHAnsi"/>
          <w:b/>
          <w:color w:val="auto"/>
          <w:szCs w:val="22"/>
        </w:rPr>
        <w:t>pro zmírnění negativních dopadů sucha a nedostatku vody</w:t>
      </w:r>
    </w:p>
    <w:tbl>
      <w:tblPr>
        <w:tblW w:w="140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799"/>
        <w:gridCol w:w="6809"/>
        <w:gridCol w:w="1696"/>
        <w:gridCol w:w="1701"/>
        <w:gridCol w:w="1701"/>
      </w:tblGrid>
      <w:tr w:rsidR="00740142" w:rsidRPr="00CD4326" w14:paraId="49EE3A10" w14:textId="77777777" w:rsidTr="000D0867">
        <w:trPr>
          <w:trHeight w:val="283"/>
        </w:trPr>
        <w:tc>
          <w:tcPr>
            <w:tcW w:w="8926" w:type="dxa"/>
            <w:gridSpan w:val="3"/>
            <w:vMerge w:val="restart"/>
            <w:shd w:val="clear" w:color="000000" w:fill="E5F1FF"/>
            <w:vAlign w:val="center"/>
            <w:hideMark/>
          </w:tcPr>
          <w:p w14:paraId="5D0893DA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Dotační tituly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uvedené v příloze 15 Koncepce</w:t>
            </w:r>
          </w:p>
        </w:tc>
        <w:tc>
          <w:tcPr>
            <w:tcW w:w="5098" w:type="dxa"/>
            <w:gridSpan w:val="3"/>
            <w:shd w:val="clear" w:color="000000" w:fill="E5F1FF"/>
            <w:vAlign w:val="center"/>
            <w:hideMark/>
          </w:tcPr>
          <w:p w14:paraId="2D1CEE49" w14:textId="455E80E5" w:rsidR="00740142" w:rsidRPr="00CD4326" w:rsidRDefault="00740142" w:rsidP="000D0867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O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bdobí 2014–2020</w:t>
            </w:r>
          </w:p>
        </w:tc>
      </w:tr>
      <w:tr w:rsidR="00740142" w:rsidRPr="00CD4326" w14:paraId="1F2B260A" w14:textId="77777777" w:rsidTr="000D0867">
        <w:trPr>
          <w:trHeight w:val="397"/>
        </w:trPr>
        <w:tc>
          <w:tcPr>
            <w:tcW w:w="8926" w:type="dxa"/>
            <w:gridSpan w:val="3"/>
            <w:vMerge/>
            <w:vAlign w:val="center"/>
            <w:hideMark/>
          </w:tcPr>
          <w:p w14:paraId="533665F5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696" w:type="dxa"/>
            <w:shd w:val="clear" w:color="000000" w:fill="E5F1FF"/>
            <w:vAlign w:val="center"/>
            <w:hideMark/>
          </w:tcPr>
          <w:p w14:paraId="68F2424A" w14:textId="5B0925FF" w:rsidR="00740142" w:rsidRPr="00CD4326" w:rsidRDefault="00740142" w:rsidP="00571A9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Max. výše podpory uvedená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 v</w:t>
            </w:r>
            <w:r w:rsidR="00571A9F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Koncepci</w:t>
            </w:r>
          </w:p>
        </w:tc>
        <w:tc>
          <w:tcPr>
            <w:tcW w:w="1701" w:type="dxa"/>
            <w:shd w:val="clear" w:color="000000" w:fill="E5F1FF"/>
            <w:vAlign w:val="center"/>
            <w:hideMark/>
          </w:tcPr>
          <w:p w14:paraId="30E60C5E" w14:textId="6F2EF93D" w:rsidR="00740142" w:rsidRPr="00CD4326" w:rsidRDefault="00740142" w:rsidP="000D0867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Předpokládaná alokace 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uvedená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v příloze 15 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Koncepc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e (</w:t>
            </w:r>
            <w:r w:rsidR="000D0867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v 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mil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. Kč)</w:t>
            </w:r>
          </w:p>
        </w:tc>
        <w:tc>
          <w:tcPr>
            <w:tcW w:w="1701" w:type="dxa"/>
            <w:shd w:val="clear" w:color="000000" w:fill="E5F1FF"/>
            <w:vAlign w:val="center"/>
            <w:hideMark/>
          </w:tcPr>
          <w:p w14:paraId="047532D1" w14:textId="502CE00C" w:rsidR="00740142" w:rsidRPr="00CD4326" w:rsidRDefault="00740142" w:rsidP="000D0867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Vyplacené prostředky </w:t>
            </w:r>
            <w:r w:rsidR="000D086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–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hodnoty zjištěné kontrolou NKÚ</w:t>
            </w:r>
            <w:r w:rsidR="00571A9F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(</w:t>
            </w:r>
            <w:r w:rsidR="000D086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 </w:t>
            </w:r>
            <w:r w:rsidRPr="00E766A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mil. Kč)</w:t>
            </w:r>
          </w:p>
        </w:tc>
      </w:tr>
      <w:tr w:rsidR="00E736A6" w:rsidRPr="00CD4326" w14:paraId="24841E32" w14:textId="77777777" w:rsidTr="00235274">
        <w:trPr>
          <w:cantSplit/>
          <w:trHeight w:val="283"/>
        </w:trPr>
        <w:tc>
          <w:tcPr>
            <w:tcW w:w="318" w:type="dxa"/>
            <w:vMerge w:val="restart"/>
            <w:shd w:val="clear" w:color="000000" w:fill="E5F1FF"/>
            <w:textDirection w:val="btLr"/>
            <w:vAlign w:val="center"/>
            <w:hideMark/>
          </w:tcPr>
          <w:p w14:paraId="555F0441" w14:textId="4A5ED7A5" w:rsidR="00E736A6" w:rsidRPr="002E6B75" w:rsidRDefault="00E736A6" w:rsidP="002E6B7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2E6B75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OP Životní prostředí 2014–2020 </w:t>
            </w:r>
          </w:p>
        </w:tc>
        <w:tc>
          <w:tcPr>
            <w:tcW w:w="8608" w:type="dxa"/>
            <w:gridSpan w:val="2"/>
            <w:shd w:val="clear" w:color="000000" w:fill="F2F2F2"/>
            <w:vAlign w:val="center"/>
            <w:hideMark/>
          </w:tcPr>
          <w:p w14:paraId="78AF7743" w14:textId="6CD7410F" w:rsidR="00E736A6" w:rsidRPr="00CD4326" w:rsidRDefault="00E736A6" w:rsidP="002E6B75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PRIORITNÍ OSA 1 </w:t>
            </w:r>
            <w:r w:rsidR="002E6B75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– 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ZLEPŠOVÁNÍ KVALITY VODY A SNIŽOVÁNÍ RIZIKA POVODNÍ</w:t>
            </w:r>
          </w:p>
        </w:tc>
        <w:tc>
          <w:tcPr>
            <w:tcW w:w="1696" w:type="dxa"/>
            <w:shd w:val="clear" w:color="000000" w:fill="F2F2F2"/>
            <w:vAlign w:val="center"/>
            <w:hideMark/>
          </w:tcPr>
          <w:p w14:paraId="7E7F49A9" w14:textId="77777777" w:rsidR="00E736A6" w:rsidRPr="00CD4326" w:rsidRDefault="00E736A6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7439D034" w14:textId="77777777" w:rsidR="00E736A6" w:rsidRPr="00CD4326" w:rsidRDefault="00E736A6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701" w:type="dxa"/>
            <w:shd w:val="clear" w:color="000000" w:fill="F2F2F2"/>
            <w:noWrap/>
            <w:vAlign w:val="bottom"/>
            <w:hideMark/>
          </w:tcPr>
          <w:p w14:paraId="68F545D0" w14:textId="77777777" w:rsidR="00E736A6" w:rsidRPr="00CD4326" w:rsidRDefault="00E736A6" w:rsidP="0074014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</w:p>
        </w:tc>
      </w:tr>
      <w:tr w:rsidR="00740142" w:rsidRPr="00CD4326" w14:paraId="5331C419" w14:textId="77777777" w:rsidTr="00235274">
        <w:trPr>
          <w:trHeight w:hRule="exact" w:val="20"/>
        </w:trPr>
        <w:tc>
          <w:tcPr>
            <w:tcW w:w="318" w:type="dxa"/>
            <w:vMerge/>
            <w:vAlign w:val="center"/>
            <w:hideMark/>
          </w:tcPr>
          <w:p w14:paraId="7B8731A3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  <w:hideMark/>
          </w:tcPr>
          <w:p w14:paraId="0C883361" w14:textId="3E47AD13" w:rsidR="00740142" w:rsidRPr="00CD4326" w:rsidRDefault="00740142" w:rsidP="002E6B7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SPECIFICKÝ CÍL 1.2 – Zajistit dodávky pitné vody v odpovídající jakosti a</w:t>
            </w:r>
            <w:r w:rsidR="002E6B75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množství</w:t>
            </w:r>
          </w:p>
        </w:tc>
        <w:tc>
          <w:tcPr>
            <w:tcW w:w="6809" w:type="dxa"/>
            <w:vMerge w:val="restart"/>
            <w:shd w:val="clear" w:color="auto" w:fill="auto"/>
            <w:vAlign w:val="center"/>
            <w:hideMark/>
          </w:tcPr>
          <w:p w14:paraId="6027B8C6" w14:textId="238F31A2" w:rsidR="00740142" w:rsidRPr="00CD4326" w:rsidRDefault="00740142" w:rsidP="002E6B75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Výstavba a modernizace úpraven vody a zvyšování kvality zdrojů pitné vody, včetně výstavby a modernizace systémů pro ochranu zdrojů pitné vody v jejich bezprostřední blízkosti, sloužících veřejné potřebě (Aktivita 1.2.1)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6EE86808" w14:textId="2EFF81E5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63,75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4EBEE85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3 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A2A48A5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779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,28</w:t>
            </w:r>
          </w:p>
        </w:tc>
      </w:tr>
      <w:tr w:rsidR="00740142" w:rsidRPr="00CD4326" w14:paraId="7DC34746" w14:textId="77777777" w:rsidTr="00235274">
        <w:trPr>
          <w:trHeight w:val="293"/>
        </w:trPr>
        <w:tc>
          <w:tcPr>
            <w:tcW w:w="318" w:type="dxa"/>
            <w:vMerge/>
            <w:vAlign w:val="center"/>
            <w:hideMark/>
          </w:tcPr>
          <w:p w14:paraId="373CCAF9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32438EC5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vMerge/>
            <w:vAlign w:val="center"/>
            <w:hideMark/>
          </w:tcPr>
          <w:p w14:paraId="64C8ED03" w14:textId="77777777" w:rsidR="00740142" w:rsidRPr="00CD4326" w:rsidRDefault="00740142" w:rsidP="00571A9F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0B3976F1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694AFC7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1282FED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6A4B2F70" w14:textId="77777777" w:rsidTr="00235274">
        <w:trPr>
          <w:trHeight w:val="82"/>
        </w:trPr>
        <w:tc>
          <w:tcPr>
            <w:tcW w:w="318" w:type="dxa"/>
            <w:vMerge/>
            <w:vAlign w:val="center"/>
            <w:hideMark/>
          </w:tcPr>
          <w:p w14:paraId="479240C4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50CB79A4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9066BA3" w14:textId="553AB334" w:rsidR="00740142" w:rsidRPr="00CD4326" w:rsidRDefault="00740142" w:rsidP="002E6B75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Výstavba a dostavba přivaděčů a rozvodných sítí pitné vody včetně souvisejících objektů sloužících veřejné potřebě (Aktivita 1.2.2)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765C04A2" w14:textId="3804EE23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63,75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14:paraId="432AB270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0C48A1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2F6BFFB6" w14:textId="77777777" w:rsidTr="00235274">
        <w:trPr>
          <w:trHeight w:hRule="exact" w:val="20"/>
        </w:trPr>
        <w:tc>
          <w:tcPr>
            <w:tcW w:w="318" w:type="dxa"/>
            <w:vMerge/>
            <w:vAlign w:val="center"/>
            <w:hideMark/>
          </w:tcPr>
          <w:p w14:paraId="6167CB8E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  <w:hideMark/>
          </w:tcPr>
          <w:p w14:paraId="65F8E7B1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SPECIFICKÝ CÍL 1.3 – Zajistit povodňovou ochranu </w:t>
            </w:r>
            <w:proofErr w:type="spellStart"/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intravilánu</w:t>
            </w:r>
            <w:proofErr w:type="spellEnd"/>
          </w:p>
        </w:tc>
        <w:tc>
          <w:tcPr>
            <w:tcW w:w="6809" w:type="dxa"/>
            <w:vMerge w:val="restart"/>
            <w:shd w:val="clear" w:color="auto" w:fill="auto"/>
            <w:vAlign w:val="center"/>
            <w:hideMark/>
          </w:tcPr>
          <w:p w14:paraId="18DD5ABA" w14:textId="03B02CCD" w:rsidR="00740142" w:rsidRPr="00CD4326" w:rsidRDefault="00740142" w:rsidP="002E6B75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proofErr w:type="spellStart"/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Zprůtočnění</w:t>
            </w:r>
            <w:proofErr w:type="spellEnd"/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nebo zvýšení retenčního potenciálu koryt vodních toků a přilehlých niv, zlepšení přirozených rozlivů </w:t>
            </w:r>
            <w:r w:rsidR="002E6B75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br/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(Aktivita 1.3.1)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EEE5AD9" w14:textId="26DFCE0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85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9202966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5 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3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1E0FD8F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41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12</w:t>
            </w:r>
          </w:p>
        </w:tc>
      </w:tr>
      <w:tr w:rsidR="00740142" w:rsidRPr="00CD4326" w14:paraId="25654F9F" w14:textId="77777777" w:rsidTr="00235274">
        <w:trPr>
          <w:trHeight w:val="293"/>
        </w:trPr>
        <w:tc>
          <w:tcPr>
            <w:tcW w:w="318" w:type="dxa"/>
            <w:vMerge/>
            <w:vAlign w:val="center"/>
            <w:hideMark/>
          </w:tcPr>
          <w:p w14:paraId="5D3DBBC4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24592619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vMerge/>
            <w:vAlign w:val="center"/>
            <w:hideMark/>
          </w:tcPr>
          <w:p w14:paraId="0B174309" w14:textId="77777777" w:rsidR="00740142" w:rsidRPr="00CD4326" w:rsidRDefault="00740142" w:rsidP="00571A9F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14:paraId="16735B5B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284768B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C48D16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1DABD9C3" w14:textId="77777777" w:rsidTr="00235274">
        <w:trPr>
          <w:trHeight w:val="121"/>
        </w:trPr>
        <w:tc>
          <w:tcPr>
            <w:tcW w:w="318" w:type="dxa"/>
            <w:vMerge/>
            <w:vAlign w:val="center"/>
            <w:hideMark/>
          </w:tcPr>
          <w:p w14:paraId="3AAC5D4E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01844B50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B49E499" w14:textId="387B5FE4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Hospodaření se srážkovými vodami v </w:t>
            </w:r>
            <w:proofErr w:type="spellStart"/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intravilánu</w:t>
            </w:r>
            <w:proofErr w:type="spellEnd"/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a jejich další využití namísto jejich urychleného odvádění kanalizací (Aktivita 1.3.2)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6CD3A5AF" w14:textId="6A08843B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85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14:paraId="0E8829A8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B2C7E8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E736A6" w:rsidRPr="00CD4326" w14:paraId="40ED64B6" w14:textId="77777777" w:rsidTr="000D0867">
        <w:trPr>
          <w:trHeight w:val="283"/>
        </w:trPr>
        <w:tc>
          <w:tcPr>
            <w:tcW w:w="318" w:type="dxa"/>
            <w:vMerge/>
            <w:vAlign w:val="center"/>
            <w:hideMark/>
          </w:tcPr>
          <w:p w14:paraId="64CDD672" w14:textId="77777777" w:rsidR="00E736A6" w:rsidRPr="00CD4326" w:rsidRDefault="00E736A6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8608" w:type="dxa"/>
            <w:gridSpan w:val="2"/>
            <w:shd w:val="clear" w:color="000000" w:fill="F2F2F2"/>
            <w:vAlign w:val="center"/>
            <w:hideMark/>
          </w:tcPr>
          <w:p w14:paraId="2D19C7A4" w14:textId="415C13BA" w:rsidR="00E736A6" w:rsidRPr="00CD4326" w:rsidRDefault="00E736A6" w:rsidP="00571A9F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PRIORITNÍ OSA 4 – OCHRANA A PÉČE O PŘÍRODU A KRAJINU</w:t>
            </w:r>
          </w:p>
        </w:tc>
        <w:tc>
          <w:tcPr>
            <w:tcW w:w="1696" w:type="dxa"/>
            <w:shd w:val="clear" w:color="000000" w:fill="F2F2F2"/>
            <w:vAlign w:val="center"/>
            <w:hideMark/>
          </w:tcPr>
          <w:p w14:paraId="510CA35D" w14:textId="77777777" w:rsidR="00E736A6" w:rsidRPr="00CD4326" w:rsidRDefault="00E736A6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6CE3F6E2" w14:textId="77777777" w:rsidR="00E736A6" w:rsidRPr="00CD4326" w:rsidRDefault="00E736A6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701" w:type="dxa"/>
            <w:shd w:val="clear" w:color="000000" w:fill="F2F2F2"/>
            <w:noWrap/>
            <w:vAlign w:val="center"/>
            <w:hideMark/>
          </w:tcPr>
          <w:p w14:paraId="00831C9D" w14:textId="77777777" w:rsidR="00E736A6" w:rsidRPr="00CD4326" w:rsidRDefault="00E736A6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7573786B" w14:textId="77777777" w:rsidTr="00235274">
        <w:trPr>
          <w:trHeight w:val="185"/>
        </w:trPr>
        <w:tc>
          <w:tcPr>
            <w:tcW w:w="318" w:type="dxa"/>
            <w:vMerge/>
            <w:vAlign w:val="center"/>
            <w:hideMark/>
          </w:tcPr>
          <w:p w14:paraId="6E3D845D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  <w:hideMark/>
          </w:tcPr>
          <w:p w14:paraId="490BDED1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SPECIFICKÝ CÍL 4.3 – Zlepšit přirozené funkce krajiny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676FDBA7" w14:textId="41662210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Zprůchodnění migračních bariér pro vodní a suchozemské živočichy a opatření k omezování úmrtnosti živočichů spojené s rozvojem technické infrastruktury (Aktivita 4.3.1)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494A8CCE" w14:textId="110271B8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75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C088D55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4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F22CF31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512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,22</w:t>
            </w:r>
          </w:p>
        </w:tc>
      </w:tr>
      <w:tr w:rsidR="00740142" w:rsidRPr="00CD4326" w14:paraId="5A1B619E" w14:textId="77777777" w:rsidTr="00235274">
        <w:trPr>
          <w:trHeight w:val="227"/>
        </w:trPr>
        <w:tc>
          <w:tcPr>
            <w:tcW w:w="318" w:type="dxa"/>
            <w:vMerge/>
            <w:vAlign w:val="center"/>
            <w:hideMark/>
          </w:tcPr>
          <w:p w14:paraId="69DF972E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41B7B8B8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0365218" w14:textId="79CC96CD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Vytváření, regenerace či posílení funkčnosti krajinných prvků a struktur (Aktivita 4.3.2)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7EF84818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80</w:t>
            </w:r>
            <w:r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až 100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%</w:t>
            </w:r>
          </w:p>
        </w:tc>
        <w:tc>
          <w:tcPr>
            <w:tcW w:w="1701" w:type="dxa"/>
            <w:vMerge/>
            <w:vAlign w:val="center"/>
            <w:hideMark/>
          </w:tcPr>
          <w:p w14:paraId="15F2B7B5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7E5F51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54BB696F" w14:textId="77777777" w:rsidTr="00235274">
        <w:trPr>
          <w:trHeight w:val="189"/>
        </w:trPr>
        <w:tc>
          <w:tcPr>
            <w:tcW w:w="318" w:type="dxa"/>
            <w:vMerge/>
            <w:vAlign w:val="center"/>
            <w:hideMark/>
          </w:tcPr>
          <w:p w14:paraId="677CD744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3B5B48FC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80BB9FF" w14:textId="19AAFCAC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Revitalizace a podpora samovolné </w:t>
            </w:r>
            <w:proofErr w:type="spellStart"/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renaturace</w:t>
            </w:r>
            <w:proofErr w:type="spellEnd"/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vodních toků a niv, obnova ekostabilizačních funkcí vodních a na vodu vázaných ekosystémů (Aktivita 4.3.3)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34EB4C4C" w14:textId="32D3EB34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100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14:paraId="41DABF39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FE6CFB6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44DAFB97" w14:textId="77777777" w:rsidTr="00235274">
        <w:trPr>
          <w:trHeight w:val="340"/>
        </w:trPr>
        <w:tc>
          <w:tcPr>
            <w:tcW w:w="318" w:type="dxa"/>
            <w:vMerge/>
            <w:vAlign w:val="center"/>
            <w:hideMark/>
          </w:tcPr>
          <w:p w14:paraId="34C8ABF4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1179874F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E48A91A" w14:textId="63FC9BF0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Zlepšování druhové, věkové a prostorové struktury lesů (s výjimkou lesů ve vlastnictví státu) zařízených LHP mimo ZCHÚ a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území soustavy Natura 2000 (Aktivita 4.3.4)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448C4E9E" w14:textId="509AAABF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75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14:paraId="55B0ED1F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F85A369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3A4FA867" w14:textId="77777777" w:rsidTr="00235274">
        <w:trPr>
          <w:trHeight w:val="60"/>
        </w:trPr>
        <w:tc>
          <w:tcPr>
            <w:tcW w:w="318" w:type="dxa"/>
            <w:vMerge/>
            <w:vAlign w:val="center"/>
            <w:hideMark/>
          </w:tcPr>
          <w:p w14:paraId="1FF2A0DB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3A11B299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53FD6488" w14:textId="690CFA99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Realizace přírodě blízkých opatření vyplývajících z komplexních studií cílených na zpomalení povrchového odtoku vody, protierozní ochranu a adaptaci na změnu klimatu (Aktivita 4.3.5)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3B06A427" w14:textId="32762F46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75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14:paraId="08D4317B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F7AEFD5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</w:tr>
      <w:tr w:rsidR="00740142" w:rsidRPr="00CD4326" w14:paraId="1BAAD964" w14:textId="77777777" w:rsidTr="000D0867">
        <w:trPr>
          <w:trHeight w:val="351"/>
        </w:trPr>
        <w:tc>
          <w:tcPr>
            <w:tcW w:w="318" w:type="dxa"/>
            <w:vMerge/>
            <w:vAlign w:val="center"/>
            <w:hideMark/>
          </w:tcPr>
          <w:p w14:paraId="1CFC5215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16E5C13B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SPECIFICKÝ CÍL 4.4 – Zlepšit kvalitu prostředí v sídlech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732A07F" w14:textId="7F95E522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Revitalizace funkčních ploch a prvků sídelní zeleně (Aktivita 4.4.1)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3C43D41F" w14:textId="09D7BD63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60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2D74A5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1 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9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08714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91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76</w:t>
            </w:r>
          </w:p>
        </w:tc>
      </w:tr>
      <w:tr w:rsidR="00740142" w:rsidRPr="00CD4326" w14:paraId="4E17A0C4" w14:textId="77777777" w:rsidTr="00235274">
        <w:trPr>
          <w:trHeight w:val="277"/>
        </w:trPr>
        <w:tc>
          <w:tcPr>
            <w:tcW w:w="318" w:type="dxa"/>
            <w:vMerge w:val="restart"/>
            <w:shd w:val="clear" w:color="auto" w:fill="E5F1FF"/>
            <w:textDirection w:val="btLr"/>
            <w:vAlign w:val="center"/>
            <w:hideMark/>
          </w:tcPr>
          <w:p w14:paraId="0462A3FA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 xml:space="preserve">NÁRODNÍ PROGRAMY 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  <w:hideMark/>
          </w:tcPr>
          <w:p w14:paraId="57396EB5" w14:textId="77777777" w:rsidR="00740142" w:rsidRPr="00CD4326" w:rsidRDefault="00740142" w:rsidP="002E6B75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Národní program Životní prostředí – program Státního fondu životního prostředí ČR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5158FB22" w14:textId="754D21A3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„Dešťovka“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–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h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ospodaření s dešťovou vodou v domácnostech (zachytávání srážkové vody pro zálivku zahrady, akumulace srážkové vody pro splachování WC a zálivku zahrady, využití šedé či přečištěné odpadní vody pro zálivku, splachování WC, odpojení srážkové vody od kanalizace)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5DA717F9" w14:textId="65671B9A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50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 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4F9661" w14:textId="4ADF6CAC" w:rsidR="00740142" w:rsidRPr="00CD4326" w:rsidRDefault="00740142" w:rsidP="0022397E">
            <w:pPr>
              <w:spacing w:before="0"/>
              <w:ind w:right="425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8E8CB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42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,14</w:t>
            </w:r>
          </w:p>
        </w:tc>
      </w:tr>
      <w:tr w:rsidR="00740142" w:rsidRPr="00CD4326" w14:paraId="6F936FEA" w14:textId="77777777" w:rsidTr="00235274">
        <w:trPr>
          <w:trHeight w:val="467"/>
        </w:trPr>
        <w:tc>
          <w:tcPr>
            <w:tcW w:w="318" w:type="dxa"/>
            <w:vMerge/>
            <w:shd w:val="clear" w:color="auto" w:fill="E5F1FF"/>
            <w:vAlign w:val="center"/>
            <w:hideMark/>
          </w:tcPr>
          <w:p w14:paraId="7B7F6421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61313987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878CD7B" w14:textId="7008E63F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„Průzkum, posílení a budování zdrojů pitné vody“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–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p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růzkum, posílení a budování zdrojů pitné vody. (průzkumné vrty řešící zdroje pitné vody v obcích, včetně jejich napojení na vodovodní řady)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0D6FAE92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60-80 %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88C413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3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6C6BF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116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,14</w:t>
            </w:r>
          </w:p>
        </w:tc>
      </w:tr>
      <w:tr w:rsidR="00740142" w:rsidRPr="00CD4326" w14:paraId="670FD5F2" w14:textId="77777777" w:rsidTr="00235274">
        <w:trPr>
          <w:trHeight w:val="417"/>
        </w:trPr>
        <w:tc>
          <w:tcPr>
            <w:tcW w:w="318" w:type="dxa"/>
            <w:vMerge/>
            <w:shd w:val="clear" w:color="auto" w:fill="E5F1FF"/>
            <w:vAlign w:val="center"/>
            <w:hideMark/>
          </w:tcPr>
          <w:p w14:paraId="06395EBF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61F466E1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81BA6FE" w14:textId="2147BC9D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„Podpora sídelní zeleně“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–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p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odpora obnovy a zhodnocení přírodních ploch, včetně doprovodných vodních prvků, ve městech, obcích a jejich okolí (pravidelně vyhlašovan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é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výzvy)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57E255A2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80 %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FC0F54" w14:textId="08A7B81D" w:rsidR="00740142" w:rsidRPr="00CD4326" w:rsidRDefault="00740142" w:rsidP="0022397E">
            <w:pPr>
              <w:spacing w:before="0"/>
              <w:ind w:right="425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4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4DD71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33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3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3</w:t>
            </w:r>
          </w:p>
        </w:tc>
      </w:tr>
      <w:tr w:rsidR="00740142" w:rsidRPr="00CD4326" w14:paraId="6DEB7B2E" w14:textId="77777777" w:rsidTr="00235274">
        <w:trPr>
          <w:trHeight w:hRule="exact" w:val="251"/>
        </w:trPr>
        <w:tc>
          <w:tcPr>
            <w:tcW w:w="318" w:type="dxa"/>
            <w:vMerge/>
            <w:shd w:val="clear" w:color="auto" w:fill="E5F1FF"/>
            <w:vAlign w:val="center"/>
            <w:hideMark/>
          </w:tcPr>
          <w:p w14:paraId="658F90F6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4FB90FD3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9A0DF0F" w14:textId="77777777" w:rsidR="00740142" w:rsidRPr="00CD4326" w:rsidRDefault="00740142" w:rsidP="00571A9F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Výzvy v rámci podoblasti podpory „Environmentální vzdělávání, výchova a osvěta“ (pravidelně vyhlašované výzvy)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7B99E7E9" w14:textId="77777777" w:rsidR="00740142" w:rsidRPr="00CD4326" w:rsidRDefault="00740142" w:rsidP="00235274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Liší se dle konkrétní výzvy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62CEF4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Liší se dle konkrétní výzvy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A437B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,18</w:t>
            </w:r>
          </w:p>
        </w:tc>
      </w:tr>
      <w:tr w:rsidR="00740142" w:rsidRPr="00CD4326" w14:paraId="67D31BF7" w14:textId="77777777" w:rsidTr="00235274">
        <w:trPr>
          <w:trHeight w:val="116"/>
        </w:trPr>
        <w:tc>
          <w:tcPr>
            <w:tcW w:w="318" w:type="dxa"/>
            <w:vMerge/>
            <w:shd w:val="clear" w:color="auto" w:fill="E5F1FF"/>
            <w:vAlign w:val="center"/>
            <w:hideMark/>
          </w:tcPr>
          <w:p w14:paraId="7DE18812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  <w:hideMark/>
          </w:tcPr>
          <w:p w14:paraId="502E1E30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  <w:t>MŽP – programy v gesci MŽP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448F6D3" w14:textId="56E2B609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„Program péče o krajinu“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–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obnova a tvorba krajinných prvků a péče o ně (např. remíz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k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y, meze, tůně, mokřady, prvky ÚSES) pro drobná opatření do 250 tis. Kč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4E31B8E5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8F0487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D98FD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133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57</w:t>
            </w:r>
          </w:p>
        </w:tc>
      </w:tr>
      <w:tr w:rsidR="00740142" w:rsidRPr="00CD4326" w14:paraId="34DC297F" w14:textId="77777777" w:rsidTr="000D0867">
        <w:trPr>
          <w:trHeight w:val="283"/>
        </w:trPr>
        <w:tc>
          <w:tcPr>
            <w:tcW w:w="318" w:type="dxa"/>
            <w:vMerge/>
            <w:shd w:val="clear" w:color="auto" w:fill="E5F1FF"/>
            <w:vAlign w:val="center"/>
            <w:hideMark/>
          </w:tcPr>
          <w:p w14:paraId="28E4CED0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799" w:type="dxa"/>
            <w:vMerge/>
            <w:vAlign w:val="center"/>
            <w:hideMark/>
          </w:tcPr>
          <w:p w14:paraId="6CDED39B" w14:textId="77777777" w:rsidR="00740142" w:rsidRPr="00CD4326" w:rsidRDefault="00740142" w:rsidP="0074014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3B68DD8A" w14:textId="723FC9C9" w:rsidR="00740142" w:rsidRPr="00CD4326" w:rsidRDefault="00740142" w:rsidP="00235274">
            <w:pPr>
              <w:spacing w:before="0"/>
              <w:jc w:val="lef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„Podpora obnovy přirozených funkcí krajiny“ – ISPROFIN č. 115 160 </w:t>
            </w:r>
            <w:r w:rsidR="00235274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–</w:t>
            </w: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 xml:space="preserve"> adaptační opatření na změnu klimatu pro lesní, nelesní a vodní ekosystémy (např. dosadby původních dřevin, protierozní opatření, obnova malých vodních nádrží) pro drobná opatření do 250 tis. Kč (v případě vodních ekosystémů do 1 mil. Kč)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14:paraId="4107D744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DA2743" w14:textId="77777777" w:rsidR="00740142" w:rsidRPr="00CD4326" w:rsidRDefault="00740142" w:rsidP="00E736A6">
            <w:pPr>
              <w:spacing w:before="0"/>
              <w:ind w:right="504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13432" w14:textId="77777777" w:rsidR="00740142" w:rsidRPr="00CD4326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  <w:r w:rsidRPr="00CD4326"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59</w:t>
            </w:r>
            <w:r>
              <w:rPr>
                <w:rFonts w:asciiTheme="minorHAnsi" w:hAnsiTheme="minorHAnsi" w:cstheme="minorHAnsi"/>
                <w:sz w:val="14"/>
                <w:szCs w:val="14"/>
                <w:lang w:eastAsia="cs-CZ"/>
              </w:rPr>
              <w:t>,55</w:t>
            </w:r>
          </w:p>
        </w:tc>
      </w:tr>
      <w:tr w:rsidR="00740142" w:rsidRPr="00CD4326" w14:paraId="14E083D3" w14:textId="77777777" w:rsidTr="00235274">
        <w:trPr>
          <w:trHeight w:val="227"/>
        </w:trPr>
        <w:tc>
          <w:tcPr>
            <w:tcW w:w="8926" w:type="dxa"/>
            <w:gridSpan w:val="3"/>
            <w:shd w:val="clear" w:color="auto" w:fill="F2F2F2" w:themeFill="background1" w:themeFillShade="F2"/>
            <w:vAlign w:val="center"/>
          </w:tcPr>
          <w:p w14:paraId="7D30C3FA" w14:textId="77777777" w:rsidR="00740142" w:rsidRPr="00330C92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  <w:r w:rsidRPr="00330C92"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  <w:t>CELKEM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2DB3BAA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8CCDB0" w14:textId="77777777" w:rsidR="00740142" w:rsidRPr="00CD4326" w:rsidRDefault="00740142" w:rsidP="00740142">
            <w:pPr>
              <w:spacing w:before="0"/>
              <w:jc w:val="center"/>
              <w:rPr>
                <w:rFonts w:asciiTheme="minorHAnsi" w:hAnsiTheme="minorHAnsi" w:cstheme="minorHAnsi"/>
                <w:sz w:val="14"/>
                <w:szCs w:val="14"/>
                <w:lang w:eastAsia="cs-CZ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17BBA61E" w14:textId="77777777" w:rsidR="00740142" w:rsidRPr="00330C92" w:rsidRDefault="00740142" w:rsidP="00E736A6">
            <w:pPr>
              <w:spacing w:before="0"/>
              <w:ind w:right="499"/>
              <w:jc w:val="right"/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</w:pPr>
            <w:r w:rsidRPr="00330C92">
              <w:rPr>
                <w:rFonts w:asciiTheme="minorHAnsi" w:hAnsiTheme="minorHAnsi" w:cstheme="minorHAnsi"/>
                <w:b/>
                <w:sz w:val="14"/>
                <w:szCs w:val="14"/>
                <w:lang w:eastAsia="cs-CZ"/>
              </w:rPr>
              <w:t>1 810,29</w:t>
            </w:r>
          </w:p>
        </w:tc>
      </w:tr>
    </w:tbl>
    <w:p w14:paraId="4022385B" w14:textId="66221CE0" w:rsidR="00F550A4" w:rsidRPr="002E6B75" w:rsidRDefault="00740142" w:rsidP="00571A9F">
      <w:pPr>
        <w:spacing w:before="40"/>
        <w:rPr>
          <w:rFonts w:asciiTheme="minorHAnsi" w:hAnsiTheme="minorHAnsi" w:cstheme="minorHAnsi"/>
          <w:sz w:val="20"/>
          <w:lang w:eastAsia="cs-CZ"/>
        </w:rPr>
      </w:pPr>
      <w:r w:rsidRPr="002E6B75">
        <w:rPr>
          <w:rFonts w:asciiTheme="minorHAnsi" w:hAnsiTheme="minorHAnsi" w:cstheme="minorHAnsi"/>
          <w:b/>
          <w:sz w:val="20"/>
          <w:lang w:eastAsia="cs-CZ"/>
        </w:rPr>
        <w:t>Zdroj:</w:t>
      </w:r>
      <w:r w:rsidRPr="002E6B75">
        <w:rPr>
          <w:rFonts w:asciiTheme="minorHAnsi" w:hAnsiTheme="minorHAnsi" w:cstheme="minorHAnsi"/>
          <w:sz w:val="20"/>
          <w:lang w:eastAsia="cs-CZ"/>
        </w:rPr>
        <w:t xml:space="preserve"> </w:t>
      </w:r>
      <w:r w:rsidR="002E6B75">
        <w:rPr>
          <w:rFonts w:asciiTheme="minorHAnsi" w:hAnsiTheme="minorHAnsi" w:cstheme="minorHAnsi"/>
          <w:sz w:val="20"/>
          <w:lang w:eastAsia="cs-CZ"/>
        </w:rPr>
        <w:t>vypracoval</w:t>
      </w:r>
      <w:r w:rsidRPr="002E6B75">
        <w:rPr>
          <w:rFonts w:asciiTheme="minorHAnsi" w:hAnsiTheme="minorHAnsi" w:cstheme="minorHAnsi"/>
          <w:sz w:val="20"/>
          <w:lang w:eastAsia="cs-CZ"/>
        </w:rPr>
        <w:t xml:space="preserve"> NKÚ na základě Koncepce a informací MŽP</w:t>
      </w:r>
      <w:r w:rsidR="002E6B75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.</w:t>
      </w:r>
      <w:r w:rsidRPr="002E6B75">
        <w:rPr>
          <w:rFonts w:asciiTheme="minorHAnsi" w:hAnsiTheme="minorHAnsi" w:cstheme="minorHAnsi"/>
          <w:sz w:val="20"/>
          <w:lang w:eastAsia="cs-CZ"/>
        </w:rPr>
        <w:t xml:space="preserve"> </w:t>
      </w:r>
    </w:p>
    <w:p w14:paraId="042DEE9A" w14:textId="395C762B" w:rsidR="00740142" w:rsidRPr="002E6B75" w:rsidRDefault="00740142" w:rsidP="00740142">
      <w:pPr>
        <w:spacing w:before="360" w:after="160"/>
        <w:contextualSpacing/>
        <w:rPr>
          <w:rFonts w:asciiTheme="minorHAnsi" w:hAnsiTheme="minorHAnsi" w:cstheme="minorHAnsi"/>
          <w:sz w:val="20"/>
          <w:lang w:eastAsia="cs-CZ"/>
        </w:rPr>
      </w:pPr>
      <w:r w:rsidRPr="002E6B75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*</w:t>
      </w:r>
      <w:r w:rsidR="00B65A01" w:rsidRPr="002E6B75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 xml:space="preserve"> </w:t>
      </w:r>
      <w:r w:rsidRPr="002E6B75">
        <w:rPr>
          <w:rFonts w:asciiTheme="minorHAnsi" w:hAnsiTheme="minorHAnsi" w:cstheme="minorHAnsi"/>
          <w:color w:val="auto"/>
          <w:sz w:val="20"/>
          <w:szCs w:val="20"/>
          <w:shd w:val="clear" w:color="auto" w:fill="FFFFFF" w:themeFill="background1"/>
        </w:rPr>
        <w:t>Jedná se o alokaci na první výzvu. Alokace bude navýšena.</w:t>
      </w:r>
    </w:p>
    <w:p w14:paraId="229E8CC2" w14:textId="77777777" w:rsidR="00EC253A" w:rsidRDefault="00EC253A" w:rsidP="00211B4C">
      <w:pPr>
        <w:pStyle w:val="Default"/>
        <w:shd w:val="clear" w:color="auto" w:fill="FFFFFF" w:themeFill="background1"/>
        <w:spacing w:before="240"/>
        <w:jc w:val="both"/>
        <w:rPr>
          <w:rFonts w:asciiTheme="minorHAnsi" w:hAnsiTheme="minorHAnsi" w:cstheme="minorHAnsi"/>
        </w:rPr>
        <w:sectPr w:rsidR="00EC253A" w:rsidSect="00F550A4">
          <w:headerReference w:type="first" r:id="rId21"/>
          <w:pgSz w:w="16838" w:h="11906" w:orient="landscape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14970CBF" w14:textId="77777777" w:rsidR="00CE75B4" w:rsidRPr="00C56A2F" w:rsidRDefault="0001637C" w:rsidP="00CE75B4">
      <w:pPr>
        <w:pStyle w:val="Default"/>
        <w:shd w:val="clear" w:color="auto" w:fill="FFFFFF" w:themeFill="background1"/>
        <w:spacing w:before="240"/>
        <w:jc w:val="right"/>
        <w:rPr>
          <w:rFonts w:asciiTheme="minorHAnsi" w:hAnsiTheme="minorHAnsi" w:cstheme="minorHAnsi"/>
          <w:b/>
        </w:rPr>
      </w:pPr>
      <w:r w:rsidRPr="00C56A2F">
        <w:rPr>
          <w:rFonts w:asciiTheme="minorHAnsi" w:hAnsiTheme="minorHAnsi" w:cstheme="minorHAnsi"/>
          <w:b/>
        </w:rPr>
        <w:lastRenderedPageBreak/>
        <w:t>Příloha č. 3</w:t>
      </w:r>
    </w:p>
    <w:p w14:paraId="0A8B3F29" w14:textId="4C796790" w:rsidR="0001637C" w:rsidRPr="00CE75B4" w:rsidRDefault="005A56A4" w:rsidP="00211B4C">
      <w:pPr>
        <w:pStyle w:val="Default"/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013CCD" w:rsidRPr="00CE75B4">
        <w:rPr>
          <w:rFonts w:asciiTheme="minorHAnsi" w:hAnsiTheme="minorHAnsi" w:cstheme="minorHAnsi"/>
          <w:b/>
        </w:rPr>
        <w:t>atová analýza ke kontrolnímu závěru</w:t>
      </w:r>
    </w:p>
    <w:p w14:paraId="082F2C56" w14:textId="104900C2" w:rsidR="00013CCD" w:rsidRPr="009309D0" w:rsidRDefault="00013CCD" w:rsidP="00013CCD">
      <w:r w:rsidRPr="009309D0">
        <w:t>NKÚ provedl analýzu dat týkajících se sucha a nedostatku vody. Data pro anal</w:t>
      </w:r>
      <w:r w:rsidR="00B307B4">
        <w:t xml:space="preserve">ýzu poskytl projekt </w:t>
      </w:r>
      <w:proofErr w:type="spellStart"/>
      <w:r w:rsidR="00B307B4">
        <w:t>Intersucho</w:t>
      </w:r>
      <w:proofErr w:type="spellEnd"/>
      <w:r w:rsidR="00B307B4">
        <w:t xml:space="preserve"> –</w:t>
      </w:r>
      <w:r w:rsidRPr="009309D0">
        <w:t xml:space="preserve"> </w:t>
      </w:r>
      <w:hyperlink r:id="rId22" w:history="1">
        <w:r w:rsidRPr="009309D0">
          <w:rPr>
            <w:rStyle w:val="Hypertextovodkaz"/>
          </w:rPr>
          <w:t>www.intersucho.cz/cz/</w:t>
        </w:r>
      </w:hyperlink>
      <w:r w:rsidRPr="009309D0">
        <w:t xml:space="preserve">. </w:t>
      </w:r>
    </w:p>
    <w:p w14:paraId="14C48BE7" w14:textId="6AF1E8A1" w:rsidR="00013CCD" w:rsidRPr="00B306C9" w:rsidRDefault="00013CCD" w:rsidP="00013CCD">
      <w:pPr>
        <w:rPr>
          <w:rFonts w:cstheme="minorHAnsi"/>
          <w:color w:val="111111"/>
        </w:rPr>
      </w:pPr>
      <w:r w:rsidRPr="00A461F6">
        <w:rPr>
          <w:rStyle w:val="Siln"/>
          <w:rFonts w:cstheme="minorHAnsi"/>
          <w:color w:val="111111"/>
          <w:bdr w:val="none" w:sz="0" w:space="0" w:color="auto" w:frame="1"/>
        </w:rPr>
        <w:t xml:space="preserve">Projekt </w:t>
      </w:r>
      <w:proofErr w:type="spellStart"/>
      <w:r w:rsidRPr="00A461F6">
        <w:rPr>
          <w:rStyle w:val="Siln"/>
          <w:rFonts w:cstheme="minorHAnsi"/>
          <w:color w:val="111111"/>
          <w:bdr w:val="none" w:sz="0" w:space="0" w:color="auto" w:frame="1"/>
        </w:rPr>
        <w:t>Intersucho</w:t>
      </w:r>
      <w:proofErr w:type="spellEnd"/>
      <w:r w:rsidRPr="00A461F6">
        <w:rPr>
          <w:rStyle w:val="Siln"/>
          <w:rFonts w:cstheme="minorHAnsi"/>
          <w:color w:val="111111"/>
          <w:bdr w:val="none" w:sz="0" w:space="0" w:color="auto" w:frame="1"/>
        </w:rPr>
        <w:t xml:space="preserve"> již sedmým rokem sleduje stav sucha a jeho dopadů v České republice</w:t>
      </w:r>
      <w:r>
        <w:rPr>
          <w:rStyle w:val="Siln"/>
          <w:rFonts w:cstheme="minorHAnsi"/>
          <w:color w:val="111111"/>
          <w:bdr w:val="none" w:sz="0" w:space="0" w:color="auto" w:frame="1"/>
        </w:rPr>
        <w:t>,</w:t>
      </w:r>
      <w:r w:rsidRPr="00B306C9">
        <w:rPr>
          <w:rStyle w:val="Siln"/>
          <w:rFonts w:cstheme="minorHAnsi"/>
          <w:color w:val="111111"/>
          <w:bdr w:val="none" w:sz="0" w:space="0" w:color="auto" w:frame="1"/>
        </w:rPr>
        <w:t xml:space="preserve"> </w:t>
      </w:r>
      <w:r w:rsidR="00B307B4">
        <w:rPr>
          <w:rFonts w:cstheme="minorHAnsi"/>
          <w:lang w:eastAsia="cs-CZ"/>
        </w:rPr>
        <w:t>a </w:t>
      </w:r>
      <w:r w:rsidRPr="009E0C0B">
        <w:rPr>
          <w:rFonts w:cstheme="minorHAnsi"/>
          <w:lang w:eastAsia="cs-CZ"/>
        </w:rPr>
        <w:t xml:space="preserve">to zejména díky spolupráci řady vědců a odborných pracovníků, kteří v době vzniku projektu navázali na více než </w:t>
      </w:r>
      <w:r>
        <w:rPr>
          <w:rFonts w:cstheme="minorHAnsi"/>
          <w:lang w:eastAsia="cs-CZ"/>
        </w:rPr>
        <w:t>deset</w:t>
      </w:r>
      <w:r w:rsidR="002E6B75">
        <w:rPr>
          <w:rFonts w:cstheme="minorHAnsi"/>
          <w:lang w:eastAsia="cs-CZ"/>
        </w:rPr>
        <w:t xml:space="preserve"> </w:t>
      </w:r>
      <w:r w:rsidRPr="009E0C0B">
        <w:rPr>
          <w:rFonts w:cstheme="minorHAnsi"/>
          <w:lang w:eastAsia="cs-CZ"/>
        </w:rPr>
        <w:t>let</w:t>
      </w:r>
      <w:r w:rsidR="002E6B75">
        <w:rPr>
          <w:rFonts w:cstheme="minorHAnsi"/>
          <w:lang w:eastAsia="cs-CZ"/>
        </w:rPr>
        <w:t xml:space="preserve"> probíhající</w:t>
      </w:r>
      <w:r w:rsidRPr="009E0C0B">
        <w:rPr>
          <w:rFonts w:cstheme="minorHAnsi"/>
          <w:lang w:eastAsia="cs-CZ"/>
        </w:rPr>
        <w:t xml:space="preserve"> výzkum v oblasti mon</w:t>
      </w:r>
      <w:r w:rsidR="00C56A2F">
        <w:rPr>
          <w:rFonts w:cstheme="minorHAnsi"/>
          <w:lang w:eastAsia="cs-CZ"/>
        </w:rPr>
        <w:t>itoringu a klimatologie sucha v </w:t>
      </w:r>
      <w:r w:rsidRPr="009E0C0B">
        <w:rPr>
          <w:rFonts w:cstheme="minorHAnsi"/>
          <w:lang w:eastAsia="cs-CZ"/>
        </w:rPr>
        <w:t>ČR, Evropě a USA. Projekt spolupracuje a je podporován řadou institucí, agentur a komisí.</w:t>
      </w:r>
    </w:p>
    <w:p w14:paraId="5337DA49" w14:textId="2BFB6C86" w:rsidR="00013CCD" w:rsidRDefault="00013CCD" w:rsidP="00013CCD">
      <w:pPr>
        <w:rPr>
          <w:rFonts w:cstheme="minorHAnsi"/>
          <w:color w:val="111111"/>
        </w:rPr>
      </w:pPr>
      <w:r w:rsidRPr="00B306C9">
        <w:rPr>
          <w:rFonts w:cstheme="minorHAnsi"/>
          <w:color w:val="111111"/>
        </w:rPr>
        <w:t>Jde o mezioborový projekt, na jeho</w:t>
      </w:r>
      <w:r>
        <w:rPr>
          <w:rFonts w:cstheme="minorHAnsi"/>
          <w:color w:val="111111"/>
        </w:rPr>
        <w:t>ž</w:t>
      </w:r>
      <w:r w:rsidRPr="00B306C9">
        <w:rPr>
          <w:rFonts w:cstheme="minorHAnsi"/>
          <w:color w:val="111111"/>
        </w:rPr>
        <w:t xml:space="preserve"> řešení se podílejí meteorologové, odborníci na fyziku atmosféry, klimatologové, agroklimatologové, dendrochronologové, </w:t>
      </w:r>
      <w:proofErr w:type="spellStart"/>
      <w:r w:rsidRPr="00B306C9">
        <w:rPr>
          <w:rFonts w:cstheme="minorHAnsi"/>
          <w:color w:val="111111"/>
        </w:rPr>
        <w:t>ekofyziologové</w:t>
      </w:r>
      <w:proofErr w:type="spellEnd"/>
      <w:r w:rsidRPr="00B306C9">
        <w:rPr>
          <w:rFonts w:cstheme="minorHAnsi"/>
          <w:color w:val="111111"/>
        </w:rPr>
        <w:t xml:space="preserve">, experti na lesnictví i specialisté na využití </w:t>
      </w:r>
      <w:r w:rsidR="001E774E">
        <w:rPr>
          <w:rFonts w:cstheme="minorHAnsi"/>
          <w:color w:val="111111"/>
        </w:rPr>
        <w:t>geografického informačního systému</w:t>
      </w:r>
      <w:r w:rsidRPr="00B306C9">
        <w:rPr>
          <w:rFonts w:cstheme="minorHAnsi"/>
          <w:color w:val="111111"/>
        </w:rPr>
        <w:t xml:space="preserve">. </w:t>
      </w:r>
    </w:p>
    <w:p w14:paraId="20BDF34B" w14:textId="3AA0F53C" w:rsidR="00013CCD" w:rsidRPr="00F31D26" w:rsidRDefault="00013CCD" w:rsidP="00013CCD">
      <w:pPr>
        <w:rPr>
          <w:rFonts w:cstheme="minorHAnsi"/>
          <w:lang w:eastAsia="cs-CZ"/>
        </w:rPr>
      </w:pPr>
      <w:r w:rsidRPr="00F31D26">
        <w:rPr>
          <w:rFonts w:cstheme="minorHAnsi"/>
          <w:lang w:eastAsia="cs-CZ"/>
        </w:rPr>
        <w:t xml:space="preserve">Hlavními provozovateli portálu </w:t>
      </w:r>
      <w:proofErr w:type="spellStart"/>
      <w:r w:rsidRPr="00F31D26">
        <w:rPr>
          <w:rFonts w:cstheme="minorHAnsi"/>
          <w:lang w:eastAsia="cs-CZ"/>
        </w:rPr>
        <w:t>Intersucho</w:t>
      </w:r>
      <w:proofErr w:type="spellEnd"/>
      <w:r w:rsidRPr="00F31D26">
        <w:rPr>
          <w:rFonts w:cstheme="minorHAnsi"/>
          <w:lang w:eastAsia="cs-CZ"/>
        </w:rPr>
        <w:t xml:space="preserve"> jsou tři instituce, na </w:t>
      </w:r>
      <w:r w:rsidR="002E6B75">
        <w:rPr>
          <w:rFonts w:cstheme="minorHAnsi"/>
          <w:lang w:eastAsia="cs-CZ"/>
        </w:rPr>
        <w:t>nichž</w:t>
      </w:r>
      <w:r w:rsidRPr="00F31D26">
        <w:rPr>
          <w:rFonts w:cstheme="minorHAnsi"/>
          <w:lang w:eastAsia="cs-CZ"/>
        </w:rPr>
        <w:t xml:space="preserve"> probíhají stěžejní výzkumné práce a zároveň je zajišťována operativa celého webu. Jedná se o spolupráci Ústavu výzkumu globální změny Akademie </w:t>
      </w:r>
      <w:r>
        <w:rPr>
          <w:rFonts w:cstheme="minorHAnsi"/>
          <w:lang w:eastAsia="cs-CZ"/>
        </w:rPr>
        <w:t>v</w:t>
      </w:r>
      <w:r w:rsidRPr="00F31D26">
        <w:rPr>
          <w:rFonts w:cstheme="minorHAnsi"/>
          <w:lang w:eastAsia="cs-CZ"/>
        </w:rPr>
        <w:t>ěd České republiky (</w:t>
      </w:r>
      <w:proofErr w:type="spellStart"/>
      <w:r w:rsidRPr="00F31D26">
        <w:rPr>
          <w:rFonts w:cstheme="minorHAnsi"/>
          <w:lang w:eastAsia="cs-CZ"/>
        </w:rPr>
        <w:t>CzechGlobe</w:t>
      </w:r>
      <w:proofErr w:type="spellEnd"/>
      <w:r w:rsidRPr="00F31D26">
        <w:rPr>
          <w:rFonts w:cstheme="minorHAnsi"/>
          <w:lang w:eastAsia="cs-CZ"/>
        </w:rPr>
        <w:t>), Mendelovy univerzity v Brně a Státního pozemkového úřadu.</w:t>
      </w:r>
    </w:p>
    <w:p w14:paraId="322B56BE" w14:textId="77777777" w:rsidR="00013CCD" w:rsidRDefault="00013CCD" w:rsidP="00013CCD">
      <w:pPr>
        <w:rPr>
          <w:rFonts w:cstheme="minorHAnsi"/>
          <w:color w:val="111111"/>
        </w:rPr>
      </w:pPr>
      <w:r w:rsidRPr="009309D0">
        <w:rPr>
          <w:rFonts w:cstheme="minorHAnsi"/>
        </w:rPr>
        <w:t>Zpracovaná data se týkají let 2015–2019. Data jsou sbírána v rámci</w:t>
      </w:r>
      <w:r w:rsidRPr="009309D0">
        <w:rPr>
          <w:rFonts w:cstheme="minorHAnsi"/>
          <w:color w:val="111111"/>
        </w:rPr>
        <w:t xml:space="preserve"> sítě expertů-respondentů, kteří v reálném čase sdílejí svá pozorování z místa své působnosti. </w:t>
      </w:r>
    </w:p>
    <w:p w14:paraId="0D5D0D62" w14:textId="13D7C8A1" w:rsidR="00946EED" w:rsidRPr="005A56A4" w:rsidRDefault="00013CCD" w:rsidP="00C56A2F">
      <w:pPr>
        <w:rPr>
          <w:rFonts w:asciiTheme="minorHAnsi" w:hAnsiTheme="minorHAnsi" w:cstheme="minorHAnsi"/>
        </w:rPr>
      </w:pPr>
      <w:r>
        <w:rPr>
          <w:rFonts w:cstheme="minorHAnsi"/>
          <w:color w:val="111111"/>
        </w:rPr>
        <w:t>Datová analýza je dostupná na</w:t>
      </w:r>
      <w:r w:rsidR="002E6B75">
        <w:rPr>
          <w:rFonts w:cstheme="minorHAnsi"/>
          <w:color w:val="111111"/>
        </w:rPr>
        <w:t xml:space="preserve"> adrese</w:t>
      </w:r>
      <w:r>
        <w:rPr>
          <w:rFonts w:cstheme="minorHAnsi"/>
          <w:color w:val="111111"/>
        </w:rPr>
        <w:t>:</w:t>
      </w:r>
      <w:r w:rsidR="002E6B75">
        <w:rPr>
          <w:rFonts w:cstheme="minorHAnsi"/>
          <w:color w:val="111111"/>
        </w:rPr>
        <w:t xml:space="preserve"> </w:t>
      </w:r>
      <w:hyperlink r:id="rId23" w:history="1">
        <w:r w:rsidR="00D21E42" w:rsidRPr="0098104D">
          <w:rPr>
            <w:rStyle w:val="Hypertextovodkaz"/>
            <w:rFonts w:asciiTheme="minorHAnsi" w:hAnsiTheme="minorHAnsi" w:cstheme="minorHAnsi"/>
          </w:rPr>
          <w:t>https://www.nku.cz/scripts/detail.php?id=10704</w:t>
        </w:r>
      </w:hyperlink>
      <w:r w:rsidR="005A56A4" w:rsidRPr="00D0095F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  <w:sectPr w:rsidR="00946EED" w:rsidRPr="005A56A4" w:rsidSect="00EC253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C919" w14:textId="77777777" w:rsidR="00CD158C" w:rsidRDefault="00CD158C">
      <w:pPr>
        <w:spacing w:before="0"/>
      </w:pPr>
      <w:r>
        <w:separator/>
      </w:r>
    </w:p>
  </w:endnote>
  <w:endnote w:type="continuationSeparator" w:id="0">
    <w:p w14:paraId="17CABB1C" w14:textId="77777777" w:rsidR="00CD158C" w:rsidRDefault="00CD15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749576"/>
      <w:docPartObj>
        <w:docPartGallery w:val="Page Numbers (Bottom of Page)"/>
        <w:docPartUnique/>
      </w:docPartObj>
    </w:sdtPr>
    <w:sdtEndPr/>
    <w:sdtContent>
      <w:p w14:paraId="2756D5B9" w14:textId="010A9FF1" w:rsidR="00CD158C" w:rsidRPr="001548CB" w:rsidRDefault="00CD158C" w:rsidP="00C108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E48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E5579" w14:textId="47BCCEB2" w:rsidR="00CD158C" w:rsidRPr="00050B20" w:rsidRDefault="00CD158C" w:rsidP="00050B20">
    <w:pPr>
      <w:pStyle w:val="Zpat"/>
      <w:jc w:val="center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90137"/>
      <w:docPartObj>
        <w:docPartGallery w:val="Page Numbers (Bottom of Page)"/>
        <w:docPartUnique/>
      </w:docPartObj>
    </w:sdtPr>
    <w:sdtEndPr/>
    <w:sdtContent>
      <w:p w14:paraId="5B2AEBC5" w14:textId="0A1ED575" w:rsidR="00CD158C" w:rsidRDefault="00CD15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18A3C8D3" w14:textId="77777777" w:rsidR="00CD158C" w:rsidRPr="001548CB" w:rsidRDefault="00CD158C" w:rsidP="004F24F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629996"/>
      <w:docPartObj>
        <w:docPartGallery w:val="Page Numbers (Bottom of Page)"/>
        <w:docPartUnique/>
      </w:docPartObj>
    </w:sdtPr>
    <w:sdtEndPr/>
    <w:sdtContent>
      <w:p w14:paraId="5848BFD1" w14:textId="787A3375" w:rsidR="00CD158C" w:rsidRDefault="00CD158C" w:rsidP="00F550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E48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7886" w14:textId="77777777" w:rsidR="00CD158C" w:rsidRDefault="00CD158C" w:rsidP="004F24F4">
      <w:r>
        <w:separator/>
      </w:r>
    </w:p>
  </w:footnote>
  <w:footnote w:type="continuationSeparator" w:id="0">
    <w:p w14:paraId="2E1F9674" w14:textId="77777777" w:rsidR="00CD158C" w:rsidRDefault="00CD158C" w:rsidP="004F24F4">
      <w:r>
        <w:continuationSeparator/>
      </w:r>
    </w:p>
  </w:footnote>
  <w:footnote w:id="1">
    <w:p w14:paraId="1B270010" w14:textId="291CC833" w:rsidR="00CD158C" w:rsidRPr="00AF3CE8" w:rsidRDefault="00CD158C" w:rsidP="00AF3CE8">
      <w:pPr>
        <w:pStyle w:val="Textpoznpodarou"/>
        <w:ind w:left="284" w:hanging="284"/>
      </w:pPr>
      <w:r w:rsidRPr="00AF3CE8">
        <w:rPr>
          <w:rStyle w:val="Znakapoznpodarou"/>
        </w:rPr>
        <w:footnoteRef/>
      </w:r>
      <w:r w:rsidRPr="00AF3CE8">
        <w:t xml:space="preserve"> </w:t>
      </w:r>
      <w:r>
        <w:tab/>
      </w:r>
      <w:r w:rsidRPr="00AF3CE8">
        <w:t>Zákon č. 254/2001 Sb., o vodách a o změně některých zákonů (vodní zákon).</w:t>
      </w:r>
    </w:p>
  </w:footnote>
  <w:footnote w:id="2">
    <w:p w14:paraId="38870DC6" w14:textId="5FB85D36" w:rsidR="00CD158C" w:rsidRPr="00AF3CE8" w:rsidRDefault="00CD158C" w:rsidP="00AF3CE8">
      <w:pPr>
        <w:pStyle w:val="Textpoznpodarou"/>
        <w:ind w:left="284" w:hanging="284"/>
      </w:pPr>
      <w:r w:rsidRPr="00AF3CE8">
        <w:rPr>
          <w:rStyle w:val="Znakapoznpodarou"/>
        </w:rPr>
        <w:footnoteRef/>
      </w:r>
      <w:r w:rsidRPr="00AF3CE8">
        <w:t xml:space="preserve"> </w:t>
      </w:r>
      <w:r>
        <w:tab/>
      </w:r>
      <w:r w:rsidRPr="00AF3CE8">
        <w:t>Ustanovení § 15 zákona č. 2/1969 Sb., o zřízení ministerstev a jiných ústředních orgánů státní správy České republiky.</w:t>
      </w:r>
    </w:p>
  </w:footnote>
  <w:footnote w:id="3">
    <w:p w14:paraId="1BD7BEEF" w14:textId="31E63C1A" w:rsidR="00CD158C" w:rsidRPr="00AF3CE8" w:rsidRDefault="00CD158C" w:rsidP="00AF3CE8">
      <w:pPr>
        <w:pStyle w:val="Textpoznpodarou"/>
        <w:ind w:left="284" w:hanging="284"/>
      </w:pPr>
      <w:r w:rsidRPr="00AF3CE8">
        <w:rPr>
          <w:rStyle w:val="Znakapoznpodarou"/>
        </w:rPr>
        <w:footnoteRef/>
      </w:r>
      <w:r w:rsidRPr="00AF3CE8">
        <w:t xml:space="preserve"> </w:t>
      </w:r>
      <w:r>
        <w:tab/>
      </w:r>
      <w:r w:rsidRPr="00AF3CE8">
        <w:t>Zákon č. 252/1997 Sb., o zemědělství.</w:t>
      </w:r>
    </w:p>
  </w:footnote>
  <w:footnote w:id="4">
    <w:p w14:paraId="44EC4385" w14:textId="4321DA58" w:rsidR="00CD158C" w:rsidRPr="00AF3CE8" w:rsidRDefault="00CD158C" w:rsidP="00AF3CE8">
      <w:pPr>
        <w:pStyle w:val="Textpoznpodarou"/>
        <w:ind w:left="284" w:hanging="284"/>
      </w:pPr>
      <w:r w:rsidRPr="00AF3CE8">
        <w:rPr>
          <w:rStyle w:val="Znakapoznpodarou"/>
        </w:rPr>
        <w:footnoteRef/>
      </w:r>
      <w:r w:rsidRPr="00AF3CE8">
        <w:t xml:space="preserve"> </w:t>
      </w:r>
      <w:r>
        <w:tab/>
      </w:r>
      <w:r w:rsidRPr="00AF3CE8">
        <w:t>Zákon č. 289/1995 Sb., o lesích a o změně a doplnění některých zákonů (lesní zákon).</w:t>
      </w:r>
    </w:p>
  </w:footnote>
  <w:footnote w:id="5">
    <w:p w14:paraId="73079E9F" w14:textId="60ED6BDB" w:rsidR="00CD158C" w:rsidRPr="00AF3CE8" w:rsidRDefault="00CD158C" w:rsidP="00AF3CE8">
      <w:pPr>
        <w:pStyle w:val="Textpoznpodarou"/>
        <w:ind w:left="284" w:hanging="284"/>
      </w:pPr>
      <w:r w:rsidRPr="00AF3CE8">
        <w:rPr>
          <w:rStyle w:val="Znakapoznpodarou"/>
        </w:rPr>
        <w:footnoteRef/>
      </w:r>
      <w:r w:rsidRPr="00AF3CE8">
        <w:t xml:space="preserve"> </w:t>
      </w:r>
      <w:r>
        <w:tab/>
      </w:r>
      <w:r w:rsidRPr="00AF3CE8">
        <w:t>Ustanovení § 19 zákona č. 2/1969 Sb., o zřízení ministerstev a jiných ústředních orgánů státní správy České republiky.</w:t>
      </w:r>
    </w:p>
  </w:footnote>
  <w:footnote w:id="6">
    <w:p w14:paraId="5C9906BE" w14:textId="0B18BFE0" w:rsidR="00CD158C" w:rsidRPr="000853B1" w:rsidRDefault="00CD158C" w:rsidP="0084391B">
      <w:pPr>
        <w:pStyle w:val="Textpoznpodarou"/>
        <w:ind w:left="284" w:hanging="284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853B1">
        <w:rPr>
          <w:sz w:val="18"/>
          <w:szCs w:val="18"/>
        </w:rPr>
        <w:t>Zákon č. 334/1992 Sb., o ochraně zemědělského půdního fondu.</w:t>
      </w:r>
    </w:p>
  </w:footnote>
  <w:footnote w:id="7">
    <w:p w14:paraId="3A1AE327" w14:textId="752563C3" w:rsidR="00CD158C" w:rsidRDefault="00CD158C" w:rsidP="00DE37D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cenu surové vody pro velké odběratele (vodohospodářské společnosti, velké podniky apod.), kteří odebírají více než 6 000 m</w:t>
      </w:r>
      <w:r w:rsidRPr="002E7BD5">
        <w:rPr>
          <w:vertAlign w:val="superscript"/>
        </w:rPr>
        <w:t>3</w:t>
      </w:r>
      <w:r>
        <w:t xml:space="preserve"> za rok. Cena surové vody z podzemních zdrojů je v současné době dvakrát až třikrát nižší než cena surové vody z povrchových zdrojů (ceny surové povrchové vody jsou různé pro různá povodí). Cena podzemní surové vody je uvedena v příloze vodního zákona a nemění se, cena surové povrchové vody pravidelně roste. Racionálnější nastavení poměru mezi povrchovou a podzemní vodou by přispělo k vyšší ochraně vzácných podzemních zdrojů vody. V souladu s úkolem stanoveným v materiálu k usnesení vlády </w:t>
      </w:r>
      <w:r w:rsidRPr="00AC2551">
        <w:t xml:space="preserve">ze dne 29. července 2015 </w:t>
      </w:r>
      <w:r>
        <w:t xml:space="preserve">č. 620 byl vypracován návrh změny </w:t>
      </w:r>
      <w:r w:rsidR="00D0095F">
        <w:t>zákona, ten však nebyl přijat a </w:t>
      </w:r>
      <w:r>
        <w:t>nerovnováha mezi cenou surové povrchové vody a surové podzemní vody dále roste.</w:t>
      </w:r>
    </w:p>
  </w:footnote>
  <w:footnote w:id="8">
    <w:p w14:paraId="6336CEC2" w14:textId="51EA54D6" w:rsidR="00CD158C" w:rsidRPr="004F08CB" w:rsidRDefault="00CD158C" w:rsidP="007D6654">
      <w:pPr>
        <w:pStyle w:val="Textpoznpodarou"/>
        <w:ind w:left="284" w:hanging="284"/>
        <w:rPr>
          <w:color w:val="000000" w:themeColor="text1"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Generel lokalit pro akumulaci povrchových vod stanoví lokality, kde by v budoucnu mohla být vybudována vodní díla (přehrady). Zajištění dostatku vodu pro obyvatele patří k hlavním důvodům přípravy a budování vodních děl. </w:t>
      </w:r>
      <w:r w:rsidRPr="004F08CB">
        <w:rPr>
          <w:color w:val="000000" w:themeColor="text1"/>
        </w:rPr>
        <w:t xml:space="preserve">Revize generelu lokalit pro akumulaci povrchových vod sice byla připravena, avšak po projednání navržené revize se </w:t>
      </w:r>
      <w:proofErr w:type="spellStart"/>
      <w:r w:rsidRPr="004F08CB">
        <w:rPr>
          <w:color w:val="000000" w:themeColor="text1"/>
        </w:rPr>
        <w:t>MZe</w:t>
      </w:r>
      <w:proofErr w:type="spellEnd"/>
      <w:r w:rsidRPr="004F08CB">
        <w:rPr>
          <w:color w:val="000000" w:themeColor="text1"/>
        </w:rPr>
        <w:t xml:space="preserve"> a MŽP domluvily, že změnu neprovedou.</w:t>
      </w:r>
    </w:p>
  </w:footnote>
  <w:footnote w:id="9">
    <w:p w14:paraId="0EB29D78" w14:textId="0E5D149C" w:rsidR="00CD158C" w:rsidRDefault="00CD158C" w:rsidP="007D6654">
      <w:pPr>
        <w:pStyle w:val="Textpoznpodarou"/>
        <w:ind w:left="284" w:hanging="284"/>
      </w:pPr>
      <w:r w:rsidRPr="004F08CB">
        <w:rPr>
          <w:rStyle w:val="Znakapoznpodarou"/>
          <w:color w:val="000000" w:themeColor="text1"/>
        </w:rPr>
        <w:footnoteRef/>
      </w:r>
      <w:r w:rsidRPr="004F08CB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4F08CB">
        <w:rPr>
          <w:color w:val="000000" w:themeColor="text1"/>
        </w:rPr>
        <w:t>Z </w:t>
      </w:r>
      <w:r>
        <w:rPr>
          <w:color w:val="000000" w:themeColor="text1"/>
        </w:rPr>
        <w:t>f</w:t>
      </w:r>
      <w:r w:rsidRPr="004F08CB">
        <w:rPr>
          <w:color w:val="000000" w:themeColor="text1"/>
        </w:rPr>
        <w:t>ondu těžko pojistitelných rizik by měly být vypláceny náhrady zemědělcům za škody způsobené přírodními vlivy, suchem (případně také mrazem a jinými obtížně pojistitelnými rizikovými faktory), do fondu by pravidelně přispíval stát, ale také zemědělci. Tento fond by tedy snížil zatížení státního rozpočtu v době extrémně nepříznivých let, kdy stát vyplácí náhrady za sucho. V souladu s úkolem stanoveným v</w:t>
      </w:r>
      <w:r>
        <w:rPr>
          <w:color w:val="000000" w:themeColor="text1"/>
        </w:rPr>
        <w:t> </w:t>
      </w:r>
      <w:r w:rsidRPr="004F08CB">
        <w:rPr>
          <w:color w:val="000000" w:themeColor="text1"/>
        </w:rPr>
        <w:t>materiálu</w:t>
      </w:r>
      <w:r>
        <w:rPr>
          <w:color w:val="000000" w:themeColor="text1"/>
        </w:rPr>
        <w:t xml:space="preserve"> k usnesení vlády </w:t>
      </w:r>
      <w:r w:rsidRPr="00AC2551">
        <w:t xml:space="preserve">ze dne 29. července 2015 </w:t>
      </w:r>
      <w:r>
        <w:rPr>
          <w:color w:val="000000" w:themeColor="text1"/>
        </w:rPr>
        <w:t>č.</w:t>
      </w:r>
      <w:r w:rsidRPr="004F08CB">
        <w:rPr>
          <w:color w:val="000000" w:themeColor="text1"/>
        </w:rPr>
        <w:t xml:space="preserve"> 620 byl vypracován návrh </w:t>
      </w:r>
      <w:r>
        <w:rPr>
          <w:color w:val="000000" w:themeColor="text1"/>
        </w:rPr>
        <w:t>f</w:t>
      </w:r>
      <w:r w:rsidRPr="004F08CB">
        <w:rPr>
          <w:color w:val="000000" w:themeColor="text1"/>
        </w:rPr>
        <w:t>ondu těžko pojistitelných rizik, tento návrh však nebyl přijat.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D62F" w14:textId="77777777" w:rsidR="00CD158C" w:rsidRPr="00F550A4" w:rsidRDefault="00CD158C">
    <w:pPr>
      <w:pStyle w:val="Zhlav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8D1"/>
    <w:multiLevelType w:val="multilevel"/>
    <w:tmpl w:val="865C13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823B4"/>
    <w:multiLevelType w:val="hybridMultilevel"/>
    <w:tmpl w:val="1BA4D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14E5"/>
    <w:multiLevelType w:val="hybridMultilevel"/>
    <w:tmpl w:val="73F8788E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7BDC"/>
    <w:multiLevelType w:val="multilevel"/>
    <w:tmpl w:val="F3B065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323282"/>
    <w:multiLevelType w:val="hybridMultilevel"/>
    <w:tmpl w:val="A32A1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5871"/>
    <w:multiLevelType w:val="multilevel"/>
    <w:tmpl w:val="81449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D637B"/>
    <w:multiLevelType w:val="hybridMultilevel"/>
    <w:tmpl w:val="73342230"/>
    <w:lvl w:ilvl="0" w:tplc="C148613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0C8"/>
    <w:multiLevelType w:val="multilevel"/>
    <w:tmpl w:val="6106A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FD3AA2"/>
    <w:multiLevelType w:val="hybridMultilevel"/>
    <w:tmpl w:val="378A0728"/>
    <w:lvl w:ilvl="0" w:tplc="E3DE45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3A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FA1911"/>
    <w:multiLevelType w:val="hybridMultilevel"/>
    <w:tmpl w:val="F68E3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71B5E"/>
    <w:multiLevelType w:val="multilevel"/>
    <w:tmpl w:val="AC8E59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2825A7"/>
    <w:multiLevelType w:val="hybridMultilevel"/>
    <w:tmpl w:val="8092C1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280F59"/>
    <w:multiLevelType w:val="hybridMultilevel"/>
    <w:tmpl w:val="D7A69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0DD2"/>
    <w:multiLevelType w:val="multilevel"/>
    <w:tmpl w:val="0405001F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-3536" w:hanging="432"/>
      </w:pPr>
    </w:lvl>
    <w:lvl w:ilvl="2">
      <w:start w:val="1"/>
      <w:numFmt w:val="decimal"/>
      <w:lvlText w:val="%1.%2.%3."/>
      <w:lvlJc w:val="left"/>
      <w:pPr>
        <w:ind w:left="-5013" w:hanging="504"/>
      </w:pPr>
    </w:lvl>
    <w:lvl w:ilvl="3">
      <w:start w:val="1"/>
      <w:numFmt w:val="decimal"/>
      <w:lvlText w:val="%1.%2.%3.%4."/>
      <w:lvlJc w:val="left"/>
      <w:pPr>
        <w:ind w:left="-4509" w:hanging="648"/>
      </w:pPr>
    </w:lvl>
    <w:lvl w:ilvl="4">
      <w:start w:val="1"/>
      <w:numFmt w:val="decimal"/>
      <w:lvlText w:val="%1.%2.%3.%4.%5."/>
      <w:lvlJc w:val="left"/>
      <w:pPr>
        <w:ind w:left="-4005" w:hanging="792"/>
      </w:pPr>
    </w:lvl>
    <w:lvl w:ilvl="5">
      <w:start w:val="1"/>
      <w:numFmt w:val="decimal"/>
      <w:lvlText w:val="%1.%2.%3.%4.%5.%6."/>
      <w:lvlJc w:val="left"/>
      <w:pPr>
        <w:ind w:left="-3501" w:hanging="936"/>
      </w:pPr>
    </w:lvl>
    <w:lvl w:ilvl="6">
      <w:start w:val="1"/>
      <w:numFmt w:val="decimal"/>
      <w:lvlText w:val="%1.%2.%3.%4.%5.%6.%7."/>
      <w:lvlJc w:val="left"/>
      <w:pPr>
        <w:ind w:left="-2997" w:hanging="1080"/>
      </w:pPr>
    </w:lvl>
    <w:lvl w:ilvl="7">
      <w:start w:val="1"/>
      <w:numFmt w:val="decimal"/>
      <w:lvlText w:val="%1.%2.%3.%4.%5.%6.%7.%8."/>
      <w:lvlJc w:val="left"/>
      <w:pPr>
        <w:ind w:left="-2493" w:hanging="1224"/>
      </w:pPr>
    </w:lvl>
    <w:lvl w:ilvl="8">
      <w:start w:val="1"/>
      <w:numFmt w:val="decimal"/>
      <w:lvlText w:val="%1.%2.%3.%4.%5.%6.%7.%8.%9."/>
      <w:lvlJc w:val="left"/>
      <w:pPr>
        <w:ind w:left="-1917" w:hanging="1440"/>
      </w:pPr>
    </w:lvl>
  </w:abstractNum>
  <w:abstractNum w:abstractNumId="15" w15:restartNumberingAfterBreak="0">
    <w:nsid w:val="36A92484"/>
    <w:multiLevelType w:val="multilevel"/>
    <w:tmpl w:val="AC8E59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0B20E7"/>
    <w:multiLevelType w:val="hybridMultilevel"/>
    <w:tmpl w:val="EFCE3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82D54"/>
    <w:multiLevelType w:val="hybridMultilevel"/>
    <w:tmpl w:val="DF3C803E"/>
    <w:lvl w:ilvl="0" w:tplc="C3260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C57EB"/>
    <w:multiLevelType w:val="hybridMultilevel"/>
    <w:tmpl w:val="4594C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D7311"/>
    <w:multiLevelType w:val="hybridMultilevel"/>
    <w:tmpl w:val="4EE07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2054F"/>
    <w:multiLevelType w:val="multilevel"/>
    <w:tmpl w:val="D174EC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8D1CAF"/>
    <w:multiLevelType w:val="hybridMultilevel"/>
    <w:tmpl w:val="1EA8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F6937"/>
    <w:multiLevelType w:val="multilevel"/>
    <w:tmpl w:val="80C0D4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9A25D1"/>
    <w:multiLevelType w:val="hybridMultilevel"/>
    <w:tmpl w:val="73A88B9C"/>
    <w:lvl w:ilvl="0" w:tplc="E65050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713D5"/>
    <w:multiLevelType w:val="hybridMultilevel"/>
    <w:tmpl w:val="378A0728"/>
    <w:lvl w:ilvl="0" w:tplc="E3DE45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E1B37"/>
    <w:multiLevelType w:val="hybridMultilevel"/>
    <w:tmpl w:val="6602C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65479"/>
    <w:multiLevelType w:val="hybridMultilevel"/>
    <w:tmpl w:val="DFCE9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E4136"/>
    <w:multiLevelType w:val="multilevel"/>
    <w:tmpl w:val="BA44371E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DB96899"/>
    <w:multiLevelType w:val="hybridMultilevel"/>
    <w:tmpl w:val="2BD05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4"/>
  </w:num>
  <w:num w:numId="5">
    <w:abstractNumId w:val="18"/>
  </w:num>
  <w:num w:numId="6">
    <w:abstractNumId w:val="12"/>
  </w:num>
  <w:num w:numId="7">
    <w:abstractNumId w:val="9"/>
  </w:num>
  <w:num w:numId="8">
    <w:abstractNumId w:val="14"/>
  </w:num>
  <w:num w:numId="9">
    <w:abstractNumId w:val="21"/>
  </w:num>
  <w:num w:numId="10">
    <w:abstractNumId w:val="26"/>
  </w:num>
  <w:num w:numId="11">
    <w:abstractNumId w:val="17"/>
  </w:num>
  <w:num w:numId="12">
    <w:abstractNumId w:val="6"/>
  </w:num>
  <w:num w:numId="13">
    <w:abstractNumId w:val="25"/>
  </w:num>
  <w:num w:numId="14">
    <w:abstractNumId w:val="0"/>
  </w:num>
  <w:num w:numId="15">
    <w:abstractNumId w:val="7"/>
  </w:num>
  <w:num w:numId="16">
    <w:abstractNumId w:val="8"/>
  </w:num>
  <w:num w:numId="17">
    <w:abstractNumId w:val="3"/>
  </w:num>
  <w:num w:numId="18">
    <w:abstractNumId w:val="5"/>
  </w:num>
  <w:num w:numId="19">
    <w:abstractNumId w:val="19"/>
  </w:num>
  <w:num w:numId="20">
    <w:abstractNumId w:val="1"/>
  </w:num>
  <w:num w:numId="21">
    <w:abstractNumId w:val="20"/>
  </w:num>
  <w:num w:numId="22">
    <w:abstractNumId w:val="22"/>
  </w:num>
  <w:num w:numId="23">
    <w:abstractNumId w:val="11"/>
  </w:num>
  <w:num w:numId="24">
    <w:abstractNumId w:val="27"/>
  </w:num>
  <w:num w:numId="25">
    <w:abstractNumId w:val="27"/>
  </w:num>
  <w:num w:numId="26">
    <w:abstractNumId w:val="27"/>
  </w:num>
  <w:num w:numId="27">
    <w:abstractNumId w:val="27"/>
  </w:num>
  <w:num w:numId="28">
    <w:abstractNumId w:val="27"/>
  </w:num>
  <w:num w:numId="29">
    <w:abstractNumId w:val="27"/>
  </w:num>
  <w:num w:numId="30">
    <w:abstractNumId w:val="27"/>
  </w:num>
  <w:num w:numId="31">
    <w:abstractNumId w:val="10"/>
  </w:num>
  <w:num w:numId="32">
    <w:abstractNumId w:val="13"/>
  </w:num>
  <w:num w:numId="33">
    <w:abstractNumId w:val="2"/>
  </w:num>
  <w:num w:numId="34">
    <w:abstractNumId w:val="15"/>
  </w:num>
  <w:num w:numId="35">
    <w:abstractNumId w:val="16"/>
  </w:num>
  <w:num w:numId="36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BC"/>
    <w:rsid w:val="0000235C"/>
    <w:rsid w:val="00002481"/>
    <w:rsid w:val="00003486"/>
    <w:rsid w:val="00013CCD"/>
    <w:rsid w:val="00014B71"/>
    <w:rsid w:val="0001637C"/>
    <w:rsid w:val="000204B5"/>
    <w:rsid w:val="000208F9"/>
    <w:rsid w:val="00025B14"/>
    <w:rsid w:val="000341CB"/>
    <w:rsid w:val="00034BEC"/>
    <w:rsid w:val="00035345"/>
    <w:rsid w:val="00036F54"/>
    <w:rsid w:val="00040099"/>
    <w:rsid w:val="00043624"/>
    <w:rsid w:val="00043A2D"/>
    <w:rsid w:val="00045102"/>
    <w:rsid w:val="00050B20"/>
    <w:rsid w:val="00054728"/>
    <w:rsid w:val="00056EF5"/>
    <w:rsid w:val="00060BA1"/>
    <w:rsid w:val="00074B23"/>
    <w:rsid w:val="00077ADC"/>
    <w:rsid w:val="00080062"/>
    <w:rsid w:val="00081FD8"/>
    <w:rsid w:val="0008286C"/>
    <w:rsid w:val="00082ED9"/>
    <w:rsid w:val="000835E5"/>
    <w:rsid w:val="00083C50"/>
    <w:rsid w:val="000853B1"/>
    <w:rsid w:val="000947FB"/>
    <w:rsid w:val="0009530B"/>
    <w:rsid w:val="00097727"/>
    <w:rsid w:val="000A00A8"/>
    <w:rsid w:val="000A19FD"/>
    <w:rsid w:val="000A279D"/>
    <w:rsid w:val="000A378E"/>
    <w:rsid w:val="000B3B80"/>
    <w:rsid w:val="000B5CC2"/>
    <w:rsid w:val="000B7961"/>
    <w:rsid w:val="000C0952"/>
    <w:rsid w:val="000C5E8F"/>
    <w:rsid w:val="000D04D6"/>
    <w:rsid w:val="000D0867"/>
    <w:rsid w:val="000D11A4"/>
    <w:rsid w:val="000D4B19"/>
    <w:rsid w:val="000E74B2"/>
    <w:rsid w:val="000F0C7D"/>
    <w:rsid w:val="000F3BD8"/>
    <w:rsid w:val="000F5457"/>
    <w:rsid w:val="000F55DF"/>
    <w:rsid w:val="000F7EFA"/>
    <w:rsid w:val="00103D44"/>
    <w:rsid w:val="001073FB"/>
    <w:rsid w:val="00107C9E"/>
    <w:rsid w:val="001110CB"/>
    <w:rsid w:val="00111C1A"/>
    <w:rsid w:val="00112D47"/>
    <w:rsid w:val="001177BE"/>
    <w:rsid w:val="00123F07"/>
    <w:rsid w:val="0013011A"/>
    <w:rsid w:val="00131812"/>
    <w:rsid w:val="00133772"/>
    <w:rsid w:val="00141E9C"/>
    <w:rsid w:val="001431BF"/>
    <w:rsid w:val="00146B6A"/>
    <w:rsid w:val="00155AB2"/>
    <w:rsid w:val="00160549"/>
    <w:rsid w:val="00164DD3"/>
    <w:rsid w:val="00166AEF"/>
    <w:rsid w:val="00167CEE"/>
    <w:rsid w:val="00173FEE"/>
    <w:rsid w:val="00177172"/>
    <w:rsid w:val="001838A0"/>
    <w:rsid w:val="00183E13"/>
    <w:rsid w:val="00184BE3"/>
    <w:rsid w:val="00186AF1"/>
    <w:rsid w:val="00196E48"/>
    <w:rsid w:val="001A237E"/>
    <w:rsid w:val="001A41A7"/>
    <w:rsid w:val="001A5242"/>
    <w:rsid w:val="001B051B"/>
    <w:rsid w:val="001B1180"/>
    <w:rsid w:val="001B1587"/>
    <w:rsid w:val="001C27D4"/>
    <w:rsid w:val="001C6BC0"/>
    <w:rsid w:val="001C76CE"/>
    <w:rsid w:val="001D0350"/>
    <w:rsid w:val="001D1E66"/>
    <w:rsid w:val="001D50A3"/>
    <w:rsid w:val="001D57E2"/>
    <w:rsid w:val="001D62F8"/>
    <w:rsid w:val="001D6886"/>
    <w:rsid w:val="001D70B8"/>
    <w:rsid w:val="001E0BBA"/>
    <w:rsid w:val="001E19B9"/>
    <w:rsid w:val="001E6071"/>
    <w:rsid w:val="001E774E"/>
    <w:rsid w:val="001F26C3"/>
    <w:rsid w:val="001F3CB6"/>
    <w:rsid w:val="001F55C1"/>
    <w:rsid w:val="00200E9F"/>
    <w:rsid w:val="002039B6"/>
    <w:rsid w:val="00204A1D"/>
    <w:rsid w:val="00211B4C"/>
    <w:rsid w:val="00216437"/>
    <w:rsid w:val="002210C5"/>
    <w:rsid w:val="002235EC"/>
    <w:rsid w:val="0022397E"/>
    <w:rsid w:val="0022460C"/>
    <w:rsid w:val="00224DBA"/>
    <w:rsid w:val="00232DF5"/>
    <w:rsid w:val="00235274"/>
    <w:rsid w:val="00236219"/>
    <w:rsid w:val="002408E7"/>
    <w:rsid w:val="00242FA8"/>
    <w:rsid w:val="00262449"/>
    <w:rsid w:val="002630CA"/>
    <w:rsid w:val="00263260"/>
    <w:rsid w:val="00264856"/>
    <w:rsid w:val="00270079"/>
    <w:rsid w:val="0027466B"/>
    <w:rsid w:val="00275306"/>
    <w:rsid w:val="0028114D"/>
    <w:rsid w:val="002814A8"/>
    <w:rsid w:val="00284DD9"/>
    <w:rsid w:val="0029427A"/>
    <w:rsid w:val="002943B5"/>
    <w:rsid w:val="002978B2"/>
    <w:rsid w:val="002A32F6"/>
    <w:rsid w:val="002A33FF"/>
    <w:rsid w:val="002A352B"/>
    <w:rsid w:val="002A7604"/>
    <w:rsid w:val="002B4B01"/>
    <w:rsid w:val="002B4D7F"/>
    <w:rsid w:val="002B5612"/>
    <w:rsid w:val="002C0271"/>
    <w:rsid w:val="002C1EF4"/>
    <w:rsid w:val="002C6BB9"/>
    <w:rsid w:val="002D3AF7"/>
    <w:rsid w:val="002D606F"/>
    <w:rsid w:val="002E359F"/>
    <w:rsid w:val="002E5108"/>
    <w:rsid w:val="002E6B75"/>
    <w:rsid w:val="002F14E3"/>
    <w:rsid w:val="002F4B1F"/>
    <w:rsid w:val="00301A7F"/>
    <w:rsid w:val="00302DF9"/>
    <w:rsid w:val="003121E4"/>
    <w:rsid w:val="00313551"/>
    <w:rsid w:val="003137CD"/>
    <w:rsid w:val="00323B63"/>
    <w:rsid w:val="00335811"/>
    <w:rsid w:val="00342411"/>
    <w:rsid w:val="0034547D"/>
    <w:rsid w:val="0035425C"/>
    <w:rsid w:val="003605BC"/>
    <w:rsid w:val="00366823"/>
    <w:rsid w:val="003671CC"/>
    <w:rsid w:val="00370D2B"/>
    <w:rsid w:val="003732E1"/>
    <w:rsid w:val="0037473F"/>
    <w:rsid w:val="003749BF"/>
    <w:rsid w:val="0037671A"/>
    <w:rsid w:val="0038393C"/>
    <w:rsid w:val="00392D9F"/>
    <w:rsid w:val="0039478D"/>
    <w:rsid w:val="00395A2E"/>
    <w:rsid w:val="0039645E"/>
    <w:rsid w:val="003A0B37"/>
    <w:rsid w:val="003A6577"/>
    <w:rsid w:val="003B1159"/>
    <w:rsid w:val="003B5311"/>
    <w:rsid w:val="003B5781"/>
    <w:rsid w:val="003B5FB8"/>
    <w:rsid w:val="003C27D4"/>
    <w:rsid w:val="003C27E2"/>
    <w:rsid w:val="003C2D25"/>
    <w:rsid w:val="003C33FD"/>
    <w:rsid w:val="003C4E9E"/>
    <w:rsid w:val="003C5DFC"/>
    <w:rsid w:val="003D5052"/>
    <w:rsid w:val="003E150D"/>
    <w:rsid w:val="003E69D6"/>
    <w:rsid w:val="003E7C81"/>
    <w:rsid w:val="003F32B0"/>
    <w:rsid w:val="003F37E1"/>
    <w:rsid w:val="0040548C"/>
    <w:rsid w:val="00410DF4"/>
    <w:rsid w:val="004124BA"/>
    <w:rsid w:val="00412E76"/>
    <w:rsid w:val="00413FE2"/>
    <w:rsid w:val="00413FFD"/>
    <w:rsid w:val="00425BC7"/>
    <w:rsid w:val="00425DEB"/>
    <w:rsid w:val="00434D4A"/>
    <w:rsid w:val="004350FB"/>
    <w:rsid w:val="00435FB0"/>
    <w:rsid w:val="0044037C"/>
    <w:rsid w:val="00443850"/>
    <w:rsid w:val="0044441C"/>
    <w:rsid w:val="004549A5"/>
    <w:rsid w:val="0045600B"/>
    <w:rsid w:val="004601AF"/>
    <w:rsid w:val="00462920"/>
    <w:rsid w:val="004706F1"/>
    <w:rsid w:val="00472A7E"/>
    <w:rsid w:val="00473305"/>
    <w:rsid w:val="00474C28"/>
    <w:rsid w:val="00474E76"/>
    <w:rsid w:val="004762E2"/>
    <w:rsid w:val="00483D3F"/>
    <w:rsid w:val="00485FFF"/>
    <w:rsid w:val="00486786"/>
    <w:rsid w:val="00487F9B"/>
    <w:rsid w:val="00490EA3"/>
    <w:rsid w:val="00492099"/>
    <w:rsid w:val="00492723"/>
    <w:rsid w:val="00493A08"/>
    <w:rsid w:val="004A0C3B"/>
    <w:rsid w:val="004A2124"/>
    <w:rsid w:val="004B5D67"/>
    <w:rsid w:val="004C4521"/>
    <w:rsid w:val="004D1538"/>
    <w:rsid w:val="004D7B6E"/>
    <w:rsid w:val="004E1D26"/>
    <w:rsid w:val="004E75F7"/>
    <w:rsid w:val="004F08CB"/>
    <w:rsid w:val="004F1E9C"/>
    <w:rsid w:val="004F24F4"/>
    <w:rsid w:val="004F3886"/>
    <w:rsid w:val="00501E78"/>
    <w:rsid w:val="005025BC"/>
    <w:rsid w:val="00504BE5"/>
    <w:rsid w:val="00505118"/>
    <w:rsid w:val="00510F1F"/>
    <w:rsid w:val="00517C4D"/>
    <w:rsid w:val="0052487D"/>
    <w:rsid w:val="00524F9F"/>
    <w:rsid w:val="005250CF"/>
    <w:rsid w:val="00534A16"/>
    <w:rsid w:val="005354A2"/>
    <w:rsid w:val="00540DE2"/>
    <w:rsid w:val="005454D5"/>
    <w:rsid w:val="00550CB0"/>
    <w:rsid w:val="00552395"/>
    <w:rsid w:val="00557A73"/>
    <w:rsid w:val="00557B61"/>
    <w:rsid w:val="005616A2"/>
    <w:rsid w:val="00563F14"/>
    <w:rsid w:val="005650C5"/>
    <w:rsid w:val="00565F2B"/>
    <w:rsid w:val="00567045"/>
    <w:rsid w:val="00567C98"/>
    <w:rsid w:val="00571565"/>
    <w:rsid w:val="00571A9F"/>
    <w:rsid w:val="00573CBE"/>
    <w:rsid w:val="00576490"/>
    <w:rsid w:val="0057733C"/>
    <w:rsid w:val="0057748C"/>
    <w:rsid w:val="005950C1"/>
    <w:rsid w:val="005A5160"/>
    <w:rsid w:val="005A56A4"/>
    <w:rsid w:val="005A57ED"/>
    <w:rsid w:val="005A6451"/>
    <w:rsid w:val="005A7950"/>
    <w:rsid w:val="005B4E65"/>
    <w:rsid w:val="005B5DEB"/>
    <w:rsid w:val="005B6434"/>
    <w:rsid w:val="005C6044"/>
    <w:rsid w:val="005C6DA7"/>
    <w:rsid w:val="005E40AD"/>
    <w:rsid w:val="005E5037"/>
    <w:rsid w:val="005F064A"/>
    <w:rsid w:val="005F091A"/>
    <w:rsid w:val="005F4276"/>
    <w:rsid w:val="005F4CCC"/>
    <w:rsid w:val="005F629C"/>
    <w:rsid w:val="006016FF"/>
    <w:rsid w:val="00601DAF"/>
    <w:rsid w:val="006038A8"/>
    <w:rsid w:val="00603D75"/>
    <w:rsid w:val="006068E9"/>
    <w:rsid w:val="006115AC"/>
    <w:rsid w:val="006169C2"/>
    <w:rsid w:val="006178D3"/>
    <w:rsid w:val="00617FAB"/>
    <w:rsid w:val="00621335"/>
    <w:rsid w:val="00622A55"/>
    <w:rsid w:val="00623D05"/>
    <w:rsid w:val="006246A9"/>
    <w:rsid w:val="00624BD7"/>
    <w:rsid w:val="00631C0D"/>
    <w:rsid w:val="006360E7"/>
    <w:rsid w:val="00637F56"/>
    <w:rsid w:val="00643A33"/>
    <w:rsid w:val="006441E1"/>
    <w:rsid w:val="00644895"/>
    <w:rsid w:val="00645592"/>
    <w:rsid w:val="0064641F"/>
    <w:rsid w:val="00646D97"/>
    <w:rsid w:val="00650A93"/>
    <w:rsid w:val="00654074"/>
    <w:rsid w:val="00665289"/>
    <w:rsid w:val="00665C11"/>
    <w:rsid w:val="0067034A"/>
    <w:rsid w:val="00684915"/>
    <w:rsid w:val="006853A7"/>
    <w:rsid w:val="006873A2"/>
    <w:rsid w:val="00693C99"/>
    <w:rsid w:val="0069426D"/>
    <w:rsid w:val="00697859"/>
    <w:rsid w:val="006A0816"/>
    <w:rsid w:val="006A3C39"/>
    <w:rsid w:val="006A4606"/>
    <w:rsid w:val="006A6BF1"/>
    <w:rsid w:val="006A7427"/>
    <w:rsid w:val="006A7DC6"/>
    <w:rsid w:val="006B0BFA"/>
    <w:rsid w:val="006B5C90"/>
    <w:rsid w:val="006B5D53"/>
    <w:rsid w:val="006C2DF7"/>
    <w:rsid w:val="006C7174"/>
    <w:rsid w:val="006C7CEA"/>
    <w:rsid w:val="006D07DB"/>
    <w:rsid w:val="006D6119"/>
    <w:rsid w:val="006E1083"/>
    <w:rsid w:val="006E12B0"/>
    <w:rsid w:val="006E2C20"/>
    <w:rsid w:val="006E474C"/>
    <w:rsid w:val="006F1236"/>
    <w:rsid w:val="006F1941"/>
    <w:rsid w:val="006F1B50"/>
    <w:rsid w:val="006F3C0D"/>
    <w:rsid w:val="00702129"/>
    <w:rsid w:val="00705EAA"/>
    <w:rsid w:val="00706DDB"/>
    <w:rsid w:val="00714F15"/>
    <w:rsid w:val="00715787"/>
    <w:rsid w:val="00717DE1"/>
    <w:rsid w:val="00720A89"/>
    <w:rsid w:val="00732009"/>
    <w:rsid w:val="00740142"/>
    <w:rsid w:val="007414E1"/>
    <w:rsid w:val="007418EB"/>
    <w:rsid w:val="00743E0C"/>
    <w:rsid w:val="00745A0C"/>
    <w:rsid w:val="007509A1"/>
    <w:rsid w:val="00764ED3"/>
    <w:rsid w:val="00772E08"/>
    <w:rsid w:val="00774155"/>
    <w:rsid w:val="007747E2"/>
    <w:rsid w:val="00774FCF"/>
    <w:rsid w:val="00783E6C"/>
    <w:rsid w:val="00785515"/>
    <w:rsid w:val="00792459"/>
    <w:rsid w:val="007933DE"/>
    <w:rsid w:val="00793D08"/>
    <w:rsid w:val="00796725"/>
    <w:rsid w:val="007A0496"/>
    <w:rsid w:val="007A0987"/>
    <w:rsid w:val="007A1DC5"/>
    <w:rsid w:val="007A3AF0"/>
    <w:rsid w:val="007A6A3B"/>
    <w:rsid w:val="007B1B0A"/>
    <w:rsid w:val="007C2E96"/>
    <w:rsid w:val="007D077E"/>
    <w:rsid w:val="007D17FD"/>
    <w:rsid w:val="007D247D"/>
    <w:rsid w:val="007D4188"/>
    <w:rsid w:val="007D5A6C"/>
    <w:rsid w:val="007D6654"/>
    <w:rsid w:val="007E09A2"/>
    <w:rsid w:val="007E500B"/>
    <w:rsid w:val="007E6C49"/>
    <w:rsid w:val="007E726C"/>
    <w:rsid w:val="007E7486"/>
    <w:rsid w:val="007E7B92"/>
    <w:rsid w:val="007F0269"/>
    <w:rsid w:val="007F1D4A"/>
    <w:rsid w:val="007F33E8"/>
    <w:rsid w:val="007F6AB1"/>
    <w:rsid w:val="0080305F"/>
    <w:rsid w:val="00810CD9"/>
    <w:rsid w:val="00810D3F"/>
    <w:rsid w:val="00810E25"/>
    <w:rsid w:val="0081208A"/>
    <w:rsid w:val="00817AC5"/>
    <w:rsid w:val="00820E30"/>
    <w:rsid w:val="00821590"/>
    <w:rsid w:val="0083176E"/>
    <w:rsid w:val="0083787F"/>
    <w:rsid w:val="0084391B"/>
    <w:rsid w:val="0084430B"/>
    <w:rsid w:val="00845782"/>
    <w:rsid w:val="00856877"/>
    <w:rsid w:val="00861413"/>
    <w:rsid w:val="00861D20"/>
    <w:rsid w:val="00870825"/>
    <w:rsid w:val="00876251"/>
    <w:rsid w:val="00880EA9"/>
    <w:rsid w:val="00883A2C"/>
    <w:rsid w:val="008842E0"/>
    <w:rsid w:val="00885AC6"/>
    <w:rsid w:val="008941A3"/>
    <w:rsid w:val="008944A2"/>
    <w:rsid w:val="00896910"/>
    <w:rsid w:val="008A06DF"/>
    <w:rsid w:val="008A71D6"/>
    <w:rsid w:val="008C0372"/>
    <w:rsid w:val="008C4E47"/>
    <w:rsid w:val="008C502D"/>
    <w:rsid w:val="008D3D29"/>
    <w:rsid w:val="008D6FE3"/>
    <w:rsid w:val="008D7670"/>
    <w:rsid w:val="008E1C29"/>
    <w:rsid w:val="008E2788"/>
    <w:rsid w:val="008E67E6"/>
    <w:rsid w:val="008E7589"/>
    <w:rsid w:val="008E7A19"/>
    <w:rsid w:val="008E7C51"/>
    <w:rsid w:val="008F0320"/>
    <w:rsid w:val="008F4F38"/>
    <w:rsid w:val="008F7746"/>
    <w:rsid w:val="00903462"/>
    <w:rsid w:val="00906B5E"/>
    <w:rsid w:val="00907DA4"/>
    <w:rsid w:val="00914152"/>
    <w:rsid w:val="00921756"/>
    <w:rsid w:val="00927489"/>
    <w:rsid w:val="00930C8D"/>
    <w:rsid w:val="009339B6"/>
    <w:rsid w:val="00934EA4"/>
    <w:rsid w:val="009355ED"/>
    <w:rsid w:val="00937A62"/>
    <w:rsid w:val="00941745"/>
    <w:rsid w:val="00946D07"/>
    <w:rsid w:val="00946EED"/>
    <w:rsid w:val="0095684B"/>
    <w:rsid w:val="009600C7"/>
    <w:rsid w:val="00963EF1"/>
    <w:rsid w:val="00966CAA"/>
    <w:rsid w:val="00967E3D"/>
    <w:rsid w:val="00971D02"/>
    <w:rsid w:val="00972181"/>
    <w:rsid w:val="00994DE8"/>
    <w:rsid w:val="00995FAA"/>
    <w:rsid w:val="00996F5D"/>
    <w:rsid w:val="009A0A54"/>
    <w:rsid w:val="009A12F6"/>
    <w:rsid w:val="009B70CC"/>
    <w:rsid w:val="009B7CCD"/>
    <w:rsid w:val="009C09F3"/>
    <w:rsid w:val="009C0AC2"/>
    <w:rsid w:val="009C4A35"/>
    <w:rsid w:val="009D25BF"/>
    <w:rsid w:val="009D3742"/>
    <w:rsid w:val="009D3796"/>
    <w:rsid w:val="009E1089"/>
    <w:rsid w:val="009E560F"/>
    <w:rsid w:val="009F7EFB"/>
    <w:rsid w:val="00A010A7"/>
    <w:rsid w:val="00A1053A"/>
    <w:rsid w:val="00A1159F"/>
    <w:rsid w:val="00A14D45"/>
    <w:rsid w:val="00A16DDE"/>
    <w:rsid w:val="00A207EF"/>
    <w:rsid w:val="00A32BE9"/>
    <w:rsid w:val="00A33B1C"/>
    <w:rsid w:val="00A43FF8"/>
    <w:rsid w:val="00A44D15"/>
    <w:rsid w:val="00A45068"/>
    <w:rsid w:val="00A46264"/>
    <w:rsid w:val="00A54489"/>
    <w:rsid w:val="00A55042"/>
    <w:rsid w:val="00A615A4"/>
    <w:rsid w:val="00A62CBA"/>
    <w:rsid w:val="00A62E62"/>
    <w:rsid w:val="00A64389"/>
    <w:rsid w:val="00A71A5C"/>
    <w:rsid w:val="00A72D37"/>
    <w:rsid w:val="00A7526C"/>
    <w:rsid w:val="00A76C37"/>
    <w:rsid w:val="00A77D3F"/>
    <w:rsid w:val="00A836FC"/>
    <w:rsid w:val="00A91D5F"/>
    <w:rsid w:val="00A923F9"/>
    <w:rsid w:val="00A95AC0"/>
    <w:rsid w:val="00A95E1B"/>
    <w:rsid w:val="00AA301F"/>
    <w:rsid w:val="00AB485F"/>
    <w:rsid w:val="00AC1EBC"/>
    <w:rsid w:val="00AC2551"/>
    <w:rsid w:val="00AD164D"/>
    <w:rsid w:val="00AD2453"/>
    <w:rsid w:val="00AD70BE"/>
    <w:rsid w:val="00AD78F3"/>
    <w:rsid w:val="00AD7E3F"/>
    <w:rsid w:val="00AE2FA9"/>
    <w:rsid w:val="00AE628C"/>
    <w:rsid w:val="00AE6F38"/>
    <w:rsid w:val="00AF3CE8"/>
    <w:rsid w:val="00B06CDC"/>
    <w:rsid w:val="00B1734A"/>
    <w:rsid w:val="00B20F43"/>
    <w:rsid w:val="00B24888"/>
    <w:rsid w:val="00B26FBD"/>
    <w:rsid w:val="00B27F95"/>
    <w:rsid w:val="00B307B4"/>
    <w:rsid w:val="00B32114"/>
    <w:rsid w:val="00B34086"/>
    <w:rsid w:val="00B35CFA"/>
    <w:rsid w:val="00B37400"/>
    <w:rsid w:val="00B37660"/>
    <w:rsid w:val="00B405A2"/>
    <w:rsid w:val="00B40F19"/>
    <w:rsid w:val="00B41BE0"/>
    <w:rsid w:val="00B42307"/>
    <w:rsid w:val="00B45BBC"/>
    <w:rsid w:val="00B46871"/>
    <w:rsid w:val="00B50D1E"/>
    <w:rsid w:val="00B5602C"/>
    <w:rsid w:val="00B63CC8"/>
    <w:rsid w:val="00B65A01"/>
    <w:rsid w:val="00B73BA5"/>
    <w:rsid w:val="00B758EF"/>
    <w:rsid w:val="00B75D7D"/>
    <w:rsid w:val="00B7671D"/>
    <w:rsid w:val="00B76F0C"/>
    <w:rsid w:val="00B82A93"/>
    <w:rsid w:val="00B86DE3"/>
    <w:rsid w:val="00B9564A"/>
    <w:rsid w:val="00BA02F2"/>
    <w:rsid w:val="00BA28A9"/>
    <w:rsid w:val="00BA2D1D"/>
    <w:rsid w:val="00BA4DAA"/>
    <w:rsid w:val="00BA4FB0"/>
    <w:rsid w:val="00BB1BB1"/>
    <w:rsid w:val="00BB38B6"/>
    <w:rsid w:val="00BB3A3A"/>
    <w:rsid w:val="00BB4CF1"/>
    <w:rsid w:val="00BB5DEA"/>
    <w:rsid w:val="00BC652C"/>
    <w:rsid w:val="00BD25DD"/>
    <w:rsid w:val="00BD6545"/>
    <w:rsid w:val="00BD76EF"/>
    <w:rsid w:val="00BE03F6"/>
    <w:rsid w:val="00BF2107"/>
    <w:rsid w:val="00BF3161"/>
    <w:rsid w:val="00BF3F82"/>
    <w:rsid w:val="00BF6822"/>
    <w:rsid w:val="00C00788"/>
    <w:rsid w:val="00C00D3B"/>
    <w:rsid w:val="00C0422F"/>
    <w:rsid w:val="00C04D72"/>
    <w:rsid w:val="00C06168"/>
    <w:rsid w:val="00C10864"/>
    <w:rsid w:val="00C12362"/>
    <w:rsid w:val="00C130BA"/>
    <w:rsid w:val="00C15B17"/>
    <w:rsid w:val="00C24C27"/>
    <w:rsid w:val="00C2750A"/>
    <w:rsid w:val="00C40C43"/>
    <w:rsid w:val="00C444B9"/>
    <w:rsid w:val="00C4504F"/>
    <w:rsid w:val="00C45E35"/>
    <w:rsid w:val="00C50CB4"/>
    <w:rsid w:val="00C56104"/>
    <w:rsid w:val="00C56A2F"/>
    <w:rsid w:val="00C60BE4"/>
    <w:rsid w:val="00C644F5"/>
    <w:rsid w:val="00C66FF9"/>
    <w:rsid w:val="00C70C9F"/>
    <w:rsid w:val="00C70E61"/>
    <w:rsid w:val="00C72DEC"/>
    <w:rsid w:val="00C7428C"/>
    <w:rsid w:val="00C7470A"/>
    <w:rsid w:val="00C75ECF"/>
    <w:rsid w:val="00C76326"/>
    <w:rsid w:val="00C77473"/>
    <w:rsid w:val="00C82631"/>
    <w:rsid w:val="00C82CFE"/>
    <w:rsid w:val="00C85397"/>
    <w:rsid w:val="00C87142"/>
    <w:rsid w:val="00C90E84"/>
    <w:rsid w:val="00C91EF2"/>
    <w:rsid w:val="00C95B1E"/>
    <w:rsid w:val="00C963E2"/>
    <w:rsid w:val="00CA2139"/>
    <w:rsid w:val="00CB0ED9"/>
    <w:rsid w:val="00CC019A"/>
    <w:rsid w:val="00CC0717"/>
    <w:rsid w:val="00CD092A"/>
    <w:rsid w:val="00CD0FE0"/>
    <w:rsid w:val="00CD158C"/>
    <w:rsid w:val="00CE2118"/>
    <w:rsid w:val="00CE5281"/>
    <w:rsid w:val="00CE6CD2"/>
    <w:rsid w:val="00CE75B4"/>
    <w:rsid w:val="00CE7CFC"/>
    <w:rsid w:val="00CF3BBD"/>
    <w:rsid w:val="00CF443B"/>
    <w:rsid w:val="00D00321"/>
    <w:rsid w:val="00D0095F"/>
    <w:rsid w:val="00D03CD2"/>
    <w:rsid w:val="00D06887"/>
    <w:rsid w:val="00D12A8A"/>
    <w:rsid w:val="00D13F5E"/>
    <w:rsid w:val="00D16A9A"/>
    <w:rsid w:val="00D16DAB"/>
    <w:rsid w:val="00D2068A"/>
    <w:rsid w:val="00D21E42"/>
    <w:rsid w:val="00D226E1"/>
    <w:rsid w:val="00D25CEA"/>
    <w:rsid w:val="00D2706D"/>
    <w:rsid w:val="00D30EA1"/>
    <w:rsid w:val="00D32A7D"/>
    <w:rsid w:val="00D338CF"/>
    <w:rsid w:val="00D33F45"/>
    <w:rsid w:val="00D36097"/>
    <w:rsid w:val="00D478F3"/>
    <w:rsid w:val="00D524C0"/>
    <w:rsid w:val="00D53AA8"/>
    <w:rsid w:val="00D53D7C"/>
    <w:rsid w:val="00D53E4A"/>
    <w:rsid w:val="00D60086"/>
    <w:rsid w:val="00D64A5E"/>
    <w:rsid w:val="00D665B6"/>
    <w:rsid w:val="00D708DF"/>
    <w:rsid w:val="00D74D81"/>
    <w:rsid w:val="00D76808"/>
    <w:rsid w:val="00D84B7A"/>
    <w:rsid w:val="00D86DAB"/>
    <w:rsid w:val="00D870E4"/>
    <w:rsid w:val="00D91D0B"/>
    <w:rsid w:val="00DA53A6"/>
    <w:rsid w:val="00DB0723"/>
    <w:rsid w:val="00DB2133"/>
    <w:rsid w:val="00DB6E48"/>
    <w:rsid w:val="00DC3316"/>
    <w:rsid w:val="00DC426C"/>
    <w:rsid w:val="00DC54A9"/>
    <w:rsid w:val="00DC732F"/>
    <w:rsid w:val="00DD02F8"/>
    <w:rsid w:val="00DD0E51"/>
    <w:rsid w:val="00DD5878"/>
    <w:rsid w:val="00DD58B3"/>
    <w:rsid w:val="00DE37DD"/>
    <w:rsid w:val="00DE53B3"/>
    <w:rsid w:val="00DE5820"/>
    <w:rsid w:val="00DE627E"/>
    <w:rsid w:val="00DF4A5A"/>
    <w:rsid w:val="00E0268F"/>
    <w:rsid w:val="00E048E5"/>
    <w:rsid w:val="00E06260"/>
    <w:rsid w:val="00E073C6"/>
    <w:rsid w:val="00E07A60"/>
    <w:rsid w:val="00E1091A"/>
    <w:rsid w:val="00E20949"/>
    <w:rsid w:val="00E22A00"/>
    <w:rsid w:val="00E27078"/>
    <w:rsid w:val="00E32818"/>
    <w:rsid w:val="00E337DB"/>
    <w:rsid w:val="00E34AB7"/>
    <w:rsid w:val="00E35B65"/>
    <w:rsid w:val="00E368FD"/>
    <w:rsid w:val="00E4366E"/>
    <w:rsid w:val="00E4469E"/>
    <w:rsid w:val="00E446A4"/>
    <w:rsid w:val="00E46A53"/>
    <w:rsid w:val="00E54830"/>
    <w:rsid w:val="00E55AD3"/>
    <w:rsid w:val="00E6159B"/>
    <w:rsid w:val="00E65499"/>
    <w:rsid w:val="00E66BFD"/>
    <w:rsid w:val="00E72FD2"/>
    <w:rsid w:val="00E736A6"/>
    <w:rsid w:val="00E766AB"/>
    <w:rsid w:val="00E8428E"/>
    <w:rsid w:val="00E94616"/>
    <w:rsid w:val="00E952A2"/>
    <w:rsid w:val="00E9564B"/>
    <w:rsid w:val="00EA01B0"/>
    <w:rsid w:val="00EA2856"/>
    <w:rsid w:val="00EB3806"/>
    <w:rsid w:val="00EB620D"/>
    <w:rsid w:val="00EC000B"/>
    <w:rsid w:val="00EC05C5"/>
    <w:rsid w:val="00EC1920"/>
    <w:rsid w:val="00EC1E9E"/>
    <w:rsid w:val="00EC1FFB"/>
    <w:rsid w:val="00EC253A"/>
    <w:rsid w:val="00EC4C85"/>
    <w:rsid w:val="00ED1B90"/>
    <w:rsid w:val="00ED5925"/>
    <w:rsid w:val="00ED613A"/>
    <w:rsid w:val="00ED685F"/>
    <w:rsid w:val="00ED7A44"/>
    <w:rsid w:val="00EE2BDB"/>
    <w:rsid w:val="00EF1903"/>
    <w:rsid w:val="00EF7A14"/>
    <w:rsid w:val="00F01CE6"/>
    <w:rsid w:val="00F02380"/>
    <w:rsid w:val="00F04B56"/>
    <w:rsid w:val="00F054B8"/>
    <w:rsid w:val="00F056CB"/>
    <w:rsid w:val="00F05EBC"/>
    <w:rsid w:val="00F0790C"/>
    <w:rsid w:val="00F10CD0"/>
    <w:rsid w:val="00F12BC2"/>
    <w:rsid w:val="00F13290"/>
    <w:rsid w:val="00F13E91"/>
    <w:rsid w:val="00F14F7C"/>
    <w:rsid w:val="00F17264"/>
    <w:rsid w:val="00F17863"/>
    <w:rsid w:val="00F25806"/>
    <w:rsid w:val="00F309FA"/>
    <w:rsid w:val="00F325FC"/>
    <w:rsid w:val="00F369A4"/>
    <w:rsid w:val="00F37C4F"/>
    <w:rsid w:val="00F41854"/>
    <w:rsid w:val="00F4391F"/>
    <w:rsid w:val="00F4432C"/>
    <w:rsid w:val="00F44901"/>
    <w:rsid w:val="00F47FBB"/>
    <w:rsid w:val="00F509E5"/>
    <w:rsid w:val="00F550A4"/>
    <w:rsid w:val="00F709FF"/>
    <w:rsid w:val="00F726BB"/>
    <w:rsid w:val="00F73F72"/>
    <w:rsid w:val="00F741D9"/>
    <w:rsid w:val="00F76587"/>
    <w:rsid w:val="00F824B3"/>
    <w:rsid w:val="00FA2A99"/>
    <w:rsid w:val="00FA3006"/>
    <w:rsid w:val="00FB64A7"/>
    <w:rsid w:val="00FC378C"/>
    <w:rsid w:val="00FC43C7"/>
    <w:rsid w:val="00FC60B5"/>
    <w:rsid w:val="00FC6D74"/>
    <w:rsid w:val="00FC7999"/>
    <w:rsid w:val="00FD76E6"/>
    <w:rsid w:val="00FE100E"/>
    <w:rsid w:val="00FE5AF6"/>
    <w:rsid w:val="00FE72FD"/>
    <w:rsid w:val="00FF0959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E84F254"/>
  <w15:docId w15:val="{63606A11-D4EC-4A1A-8380-4E7E05A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660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AB0657"/>
    <w:pPr>
      <w:numPr>
        <w:numId w:val="1"/>
      </w:numPr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rsid w:val="00EE20B8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EE20B8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</w:pPr>
  </w:style>
  <w:style w:type="paragraph" w:styleId="Zkladntext3">
    <w:name w:val="Body Text 3"/>
    <w:basedOn w:val="Normln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link w:val="ZhlavChar"/>
    <w:uiPriority w:val="99"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Nad,Nadpis pro KZ,odrážky,List Paragraph_0,List Paragraph_1,List Paragraph_2,Odstavec se seznamem1,Odstavec se seznamem2,můj Nadpis 2,List Paragraph,Odstavec cíl se seznamem,Odstavec_muj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uiPriority w:val="99"/>
    <w:semiHidden/>
    <w:unhideWhenUsed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Nad Char,Nadpis pro KZ Char,odrážky Char,List Paragraph_0 Char,List Paragraph_1 Char,List Paragraph_2 Char,Odstavec se seznamem1 Char,Odstavec se seznamem2 Char,můj Nadpis 2 Char,List Paragraph Char,Odstavec_muj Char"/>
    <w:link w:val="Odstavecseseznamem"/>
    <w:uiPriority w:val="34"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P-normlntext">
    <w:name w:val="KP-normální text"/>
    <w:basedOn w:val="Normln"/>
    <w:link w:val="KP-normlntextChar"/>
    <w:qFormat/>
    <w:rsid w:val="00AA56EB"/>
    <w:pPr>
      <w:spacing w:after="120"/>
      <w:ind w:firstLine="720"/>
    </w:pPr>
    <w:rPr>
      <w:rFonts w:ascii="Arial" w:hAnsi="Arial" w:cs="Arial"/>
      <w:sz w:val="22"/>
      <w:szCs w:val="22"/>
    </w:rPr>
  </w:style>
  <w:style w:type="character" w:customStyle="1" w:styleId="KP-normlntextChar">
    <w:name w:val="KP-normální text Char"/>
    <w:link w:val="KP-normlntext"/>
    <w:rsid w:val="00AA56EB"/>
    <w:rPr>
      <w:rFonts w:ascii="Arial" w:hAnsi="Arial" w:cs="Arial"/>
      <w:color w:val="000000"/>
      <w:sz w:val="22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46EED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Standardnpsmoodstavce"/>
    <w:rsid w:val="00BD6545"/>
  </w:style>
  <w:style w:type="paragraph" w:styleId="Revize">
    <w:name w:val="Revision"/>
    <w:hidden/>
    <w:uiPriority w:val="99"/>
    <w:semiHidden/>
    <w:rsid w:val="00740142"/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www.nku.cz/scripts/detail.php?id=1070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uchovkrajine.cz" TargetMode="External"/><Relationship Id="rId22" Type="http://schemas.openxmlformats.org/officeDocument/2006/relationships/hyperlink" Target="http://www.intersucho.cz/cz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CHRUDIMSKY\My%20Tableau%20Repository\_Vizzes\2019-07%20KA%2018_27%20InterSucho_v2\Ostatni\Deficit%20p&#367;dn&#237;%20vl&#225;hy_&#268;R_Graf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RACHOVA\AppData\Local\Microsoft\Windows\INetCache\Content.Outlook\VDAUCMMS\KZ-sucho-&#345;epk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10392000199299"/>
          <c:y val="0.1019197569244792"/>
          <c:w val="0.86844490824189147"/>
          <c:h val="0.77762861274993689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'2015-18-Intenzita'!$K$2:$K$42</c:f>
              <c:numCache>
                <c:formatCode>0.00</c:formatCode>
                <c:ptCount val="41"/>
                <c:pt idx="0">
                  <c:v>50.107211354999997</c:v>
                </c:pt>
                <c:pt idx="1">
                  <c:v>26.379960379</c:v>
                </c:pt>
                <c:pt idx="2">
                  <c:v>17.064824097999999</c:v>
                </c:pt>
                <c:pt idx="3">
                  <c:v>9.3676286080000004</c:v>
                </c:pt>
                <c:pt idx="4">
                  <c:v>6.8984352490000003</c:v>
                </c:pt>
                <c:pt idx="6">
                  <c:v>0.45305337099999998</c:v>
                </c:pt>
                <c:pt idx="7">
                  <c:v>3.1464234310000001</c:v>
                </c:pt>
                <c:pt idx="12">
                  <c:v>3.8504534650000002</c:v>
                </c:pt>
                <c:pt idx="26">
                  <c:v>11.497369616</c:v>
                </c:pt>
                <c:pt idx="27">
                  <c:v>14.052200595</c:v>
                </c:pt>
                <c:pt idx="28">
                  <c:v>4.8265336760000004</c:v>
                </c:pt>
                <c:pt idx="29">
                  <c:v>4.1568377200000004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8-4DED-B98C-2483254C01F8}"/>
            </c:ext>
          </c:extLst>
        </c:ser>
        <c:ser>
          <c:idx val="0"/>
          <c:order val="1"/>
          <c:tx>
            <c:strRef>
              <c:f>'2015-18-Intenzita'!$D$1</c:f>
              <c:strCache>
                <c:ptCount val="1"/>
                <c:pt idx="0">
                  <c:v>Month of Období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'2015-18-Intenzita'!$D$2:$D$42</c:f>
              <c:strCache>
                <c:ptCount val="41"/>
                <c:pt idx="0">
                  <c:v>08.2015</c:v>
                </c:pt>
                <c:pt idx="1">
                  <c:v>09.2015</c:v>
                </c:pt>
                <c:pt idx="2">
                  <c:v>10.2015</c:v>
                </c:pt>
                <c:pt idx="3">
                  <c:v>11.2015</c:v>
                </c:pt>
                <c:pt idx="4">
                  <c:v>12.2015</c:v>
                </c:pt>
                <c:pt idx="5">
                  <c:v>01.2016</c:v>
                </c:pt>
                <c:pt idx="6">
                  <c:v>02.2016</c:v>
                </c:pt>
                <c:pt idx="7">
                  <c:v>03.2016</c:v>
                </c:pt>
                <c:pt idx="8">
                  <c:v>04.2016</c:v>
                </c:pt>
                <c:pt idx="9">
                  <c:v>05.2016</c:v>
                </c:pt>
                <c:pt idx="10">
                  <c:v>06.2016</c:v>
                </c:pt>
                <c:pt idx="11">
                  <c:v>07.2016</c:v>
                </c:pt>
                <c:pt idx="12">
                  <c:v>08.2016</c:v>
                </c:pt>
                <c:pt idx="13">
                  <c:v>09.2016</c:v>
                </c:pt>
                <c:pt idx="14">
                  <c:v>10.2016</c:v>
                </c:pt>
                <c:pt idx="15">
                  <c:v>11.2016</c:v>
                </c:pt>
                <c:pt idx="16">
                  <c:v>12.2016</c:v>
                </c:pt>
                <c:pt idx="17">
                  <c:v>01.2017</c:v>
                </c:pt>
                <c:pt idx="18">
                  <c:v>02.2017</c:v>
                </c:pt>
                <c:pt idx="19">
                  <c:v>03.2017</c:v>
                </c:pt>
                <c:pt idx="20">
                  <c:v>04.2017</c:v>
                </c:pt>
                <c:pt idx="21">
                  <c:v>05.2017</c:v>
                </c:pt>
                <c:pt idx="22">
                  <c:v>06.2017</c:v>
                </c:pt>
                <c:pt idx="23">
                  <c:v>07.2017</c:v>
                </c:pt>
                <c:pt idx="24">
                  <c:v>08.2017</c:v>
                </c:pt>
                <c:pt idx="25">
                  <c:v>09.2017</c:v>
                </c:pt>
                <c:pt idx="26">
                  <c:v>10.2017</c:v>
                </c:pt>
                <c:pt idx="27">
                  <c:v>11.2017</c:v>
                </c:pt>
                <c:pt idx="28">
                  <c:v>12.2017</c:v>
                </c:pt>
                <c:pt idx="29">
                  <c:v>01.2018</c:v>
                </c:pt>
                <c:pt idx="30">
                  <c:v>02.2018</c:v>
                </c:pt>
                <c:pt idx="31">
                  <c:v>03.2018</c:v>
                </c:pt>
                <c:pt idx="32">
                  <c:v>04.2018</c:v>
                </c:pt>
                <c:pt idx="33">
                  <c:v>05.2018</c:v>
                </c:pt>
                <c:pt idx="34">
                  <c:v>06.2018</c:v>
                </c:pt>
                <c:pt idx="35">
                  <c:v>07.2018</c:v>
                </c:pt>
                <c:pt idx="36">
                  <c:v>08.2018</c:v>
                </c:pt>
                <c:pt idx="37">
                  <c:v>09.2018</c:v>
                </c:pt>
                <c:pt idx="38">
                  <c:v>10.2018</c:v>
                </c:pt>
                <c:pt idx="39">
                  <c:v>11.2018</c:v>
                </c:pt>
                <c:pt idx="40">
                  <c:v>12.2018</c:v>
                </c:pt>
              </c:strCache>
            </c:strRef>
          </c:cat>
          <c:val>
            <c:numRef>
              <c:f>'2015-18-Intenzita'!$J$2:$J$42</c:f>
              <c:numCache>
                <c:formatCode>General</c:formatCode>
                <c:ptCount val="41"/>
                <c:pt idx="5" formatCode="0.00">
                  <c:v>-4.6332891800000002</c:v>
                </c:pt>
                <c:pt idx="8" formatCode="0.00">
                  <c:v>-2.0846137159999998</c:v>
                </c:pt>
                <c:pt idx="9" formatCode="0.00">
                  <c:v>-10.174871794</c:v>
                </c:pt>
                <c:pt idx="10" formatCode="0.00">
                  <c:v>-8.1112112849999995</c:v>
                </c:pt>
                <c:pt idx="11" formatCode="0.00">
                  <c:v>-4.559548597</c:v>
                </c:pt>
                <c:pt idx="13" formatCode="0.00">
                  <c:v>-18.690764912999999</c:v>
                </c:pt>
                <c:pt idx="14" formatCode="0.00">
                  <c:v>-4.6269373590000002</c:v>
                </c:pt>
                <c:pt idx="15" formatCode="0.00">
                  <c:v>-6.126346378</c:v>
                </c:pt>
                <c:pt idx="16" formatCode="0.00">
                  <c:v>-12.638679607</c:v>
                </c:pt>
                <c:pt idx="17" formatCode="0.00">
                  <c:v>-18.053043502000001</c:v>
                </c:pt>
                <c:pt idx="18" formatCode="0.00">
                  <c:v>-19.834713797999999</c:v>
                </c:pt>
                <c:pt idx="19" formatCode="0.00">
                  <c:v>-12.641152749</c:v>
                </c:pt>
                <c:pt idx="20" formatCode="0.00">
                  <c:v>-8.3615493460000003</c:v>
                </c:pt>
                <c:pt idx="21" formatCode="0.00">
                  <c:v>-6.6528325019999999</c:v>
                </c:pt>
                <c:pt idx="22" formatCode="0.00">
                  <c:v>-29.565109721999999</c:v>
                </c:pt>
                <c:pt idx="23" formatCode="0.00">
                  <c:v>-21.398073825000001</c:v>
                </c:pt>
                <c:pt idx="24" formatCode="0.00">
                  <c:v>-14.547827187999999</c:v>
                </c:pt>
                <c:pt idx="25" formatCode="0.00">
                  <c:v>-4.2176835019999999</c:v>
                </c:pt>
                <c:pt idx="30" formatCode="0.00">
                  <c:v>-3.5399134019999998</c:v>
                </c:pt>
                <c:pt idx="31" formatCode="0.00">
                  <c:v>-9.8640638460000005</c:v>
                </c:pt>
                <c:pt idx="32" formatCode="0.00">
                  <c:v>-16.110157808</c:v>
                </c:pt>
                <c:pt idx="33" formatCode="0.00">
                  <c:v>-28.914328215000001</c:v>
                </c:pt>
                <c:pt idx="34" formatCode="0.00">
                  <c:v>-29.891799854999999</c:v>
                </c:pt>
                <c:pt idx="35" formatCode="0.00">
                  <c:v>-38.220690847</c:v>
                </c:pt>
                <c:pt idx="36" formatCode="0.00">
                  <c:v>-47.381378206000001</c:v>
                </c:pt>
                <c:pt idx="37" formatCode="0.00">
                  <c:v>-31.857924193999999</c:v>
                </c:pt>
                <c:pt idx="38" formatCode="0.00">
                  <c:v>-39.375882292999997</c:v>
                </c:pt>
                <c:pt idx="39" formatCode="0.00">
                  <c:v>-42.088268564000003</c:v>
                </c:pt>
                <c:pt idx="40" formatCode="0.00">
                  <c:v>-32.793943736000003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B8-4DED-B98C-2483254C01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48529408"/>
        <c:axId val="48530944"/>
      </c:barChart>
      <c:catAx>
        <c:axId val="48529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530944"/>
        <c:crossesAt val="0"/>
        <c:auto val="1"/>
        <c:lblAlgn val="ctr"/>
        <c:lblOffset val="100"/>
        <c:noMultiLvlLbl val="0"/>
      </c:catAx>
      <c:valAx>
        <c:axId val="4853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Hodnota v mm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8529408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[1]List4!$C$2</c:f>
              <c:strCache>
                <c:ptCount val="1"/>
                <c:pt idx="0">
                  <c:v>     Řepka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numRef>
              <c:f>[1]List2!$B$3:$B$20</c:f>
              <c:numCache>
                <c:formatCode>General</c:formatCode>
                <c:ptCount val="18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[1]List4!$C$3:$C$20</c:f>
              <c:numCache>
                <c:formatCode>General</c:formatCode>
                <c:ptCount val="18"/>
                <c:pt idx="0">
                  <c:v>1.9287299443521987E-2</c:v>
                </c:pt>
                <c:pt idx="1">
                  <c:v>3.2131821729564046E-2</c:v>
                </c:pt>
                <c:pt idx="2">
                  <c:v>0.10770769962166006</c:v>
                </c:pt>
                <c:pt idx="3">
                  <c:v>0.11613345001226749</c:v>
                </c:pt>
                <c:pt idx="4">
                  <c:v>0.11653556540678886</c:v>
                </c:pt>
                <c:pt idx="5">
                  <c:v>9.7606695044446329E-2</c:v>
                </c:pt>
                <c:pt idx="6">
                  <c:v>9.7332150245102736E-2</c:v>
                </c:pt>
                <c:pt idx="7">
                  <c:v>0.10051617467084092</c:v>
                </c:pt>
                <c:pt idx="8">
                  <c:v>0.11302465869505264</c:v>
                </c:pt>
                <c:pt idx="9">
                  <c:v>0.1304779067238338</c:v>
                </c:pt>
                <c:pt idx="10">
                  <c:v>0.13895514103602499</c:v>
                </c:pt>
                <c:pt idx="11">
                  <c:v>0.16177951298981375</c:v>
                </c:pt>
                <c:pt idx="12">
                  <c:v>0.16908409456243406</c:v>
                </c:pt>
                <c:pt idx="13">
                  <c:v>0.15769345659972386</c:v>
                </c:pt>
                <c:pt idx="14">
                  <c:v>0.14900732180495518</c:v>
                </c:pt>
                <c:pt idx="15">
                  <c:v>0.1595026311498593</c:v>
                </c:pt>
                <c:pt idx="16">
                  <c:v>0.15952032845404171</c:v>
                </c:pt>
                <c:pt idx="17">
                  <c:v>0.16733513709191397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31-4009-945E-CFAF60D1C7F9}"/>
            </c:ext>
          </c:extLst>
        </c:ser>
        <c:ser>
          <c:idx val="2"/>
          <c:order val="1"/>
          <c:tx>
            <c:strRef>
              <c:f>[1]List4!$D$2</c:f>
              <c:strCache>
                <c:ptCount val="1"/>
                <c:pt idx="0">
                  <c:v>Kukuřice celkem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[1]List2!$B$3:$B$20</c:f>
              <c:numCache>
                <c:formatCode>General</c:formatCode>
                <c:ptCount val="18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[1]List4!$D$3:$D$20</c:f>
              <c:numCache>
                <c:formatCode>General</c:formatCode>
                <c:ptCount val="18"/>
                <c:pt idx="0">
                  <c:v>9.2314828573245591E-2</c:v>
                </c:pt>
                <c:pt idx="1">
                  <c:v>0.13037934088523778</c:v>
                </c:pt>
                <c:pt idx="2">
                  <c:v>8.9957703263364067E-2</c:v>
                </c:pt>
                <c:pt idx="3">
                  <c:v>9.4437040454359383E-2</c:v>
                </c:pt>
                <c:pt idx="4">
                  <c:v>0.10769078021485506</c:v>
                </c:pt>
                <c:pt idx="5">
                  <c:v>0.11381226217119318</c:v>
                </c:pt>
                <c:pt idx="6">
                  <c:v>0.11384012195372696</c:v>
                </c:pt>
                <c:pt idx="7">
                  <c:v>0.10931504393862528</c:v>
                </c:pt>
                <c:pt idx="8">
                  <c:v>0.10654810535367934</c:v>
                </c:pt>
                <c:pt idx="9">
                  <c:v>0.10573130506026107</c:v>
                </c:pt>
                <c:pt idx="10">
                  <c:v>0.1119959906713523</c:v>
                </c:pt>
                <c:pt idx="11">
                  <c:v>0.13078880553191338</c:v>
                </c:pt>
                <c:pt idx="12">
                  <c:v>0.13351919385943004</c:v>
                </c:pt>
                <c:pt idx="13">
                  <c:v>0.13609781076838515</c:v>
                </c:pt>
                <c:pt idx="14">
                  <c:v>0.13222057666023884</c:v>
                </c:pt>
                <c:pt idx="15">
                  <c:v>0.13020357364145155</c:v>
                </c:pt>
                <c:pt idx="16">
                  <c:v>0.12510677128961009</c:v>
                </c:pt>
                <c:pt idx="17">
                  <c:v>0.12432460894430346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31-4009-945E-CFAF60D1C7F9}"/>
            </c:ext>
          </c:extLst>
        </c:ser>
        <c:ser>
          <c:idx val="3"/>
          <c:order val="2"/>
          <c:tx>
            <c:strRef>
              <c:f>[1]List4!$E$2</c:f>
              <c:strCache>
                <c:ptCount val="1"/>
                <c:pt idx="0">
                  <c:v>Ječmen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4595"/>
              </a:solidFill>
              <a:ln w="9525">
                <a:noFill/>
              </a:ln>
              <a:effectLst/>
            </c:spPr>
          </c:marker>
          <c:cat>
            <c:numRef>
              <c:f>[1]List2!$B$3:$B$20</c:f>
              <c:numCache>
                <c:formatCode>General</c:formatCode>
                <c:ptCount val="18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[1]List4!$E$3:$E$20</c:f>
              <c:numCache>
                <c:formatCode>General</c:formatCode>
                <c:ptCount val="18"/>
                <c:pt idx="0">
                  <c:v>0.20494533928943337</c:v>
                </c:pt>
                <c:pt idx="1">
                  <c:v>0.16890744407686667</c:v>
                </c:pt>
                <c:pt idx="2">
                  <c:v>0.1643342104322239</c:v>
                </c:pt>
                <c:pt idx="3">
                  <c:v>0.16802036504127241</c:v>
                </c:pt>
                <c:pt idx="4">
                  <c:v>0.18170345759212539</c:v>
                </c:pt>
                <c:pt idx="5">
                  <c:v>0.21389690654078999</c:v>
                </c:pt>
                <c:pt idx="6">
                  <c:v>0.17593628834819186</c:v>
                </c:pt>
                <c:pt idx="7">
                  <c:v>0.19621917350567603</c:v>
                </c:pt>
                <c:pt idx="8">
                  <c:v>0.20425734763279349</c:v>
                </c:pt>
                <c:pt idx="9">
                  <c:v>0.19275486495059307</c:v>
                </c:pt>
                <c:pt idx="10">
                  <c:v>0.18780222390496998</c:v>
                </c:pt>
                <c:pt idx="11">
                  <c:v>0.15412444977382564</c:v>
                </c:pt>
                <c:pt idx="12">
                  <c:v>0.14089746860242092</c:v>
                </c:pt>
                <c:pt idx="13">
                  <c:v>0.14198478376448795</c:v>
                </c:pt>
                <c:pt idx="14">
                  <c:v>0.14891186571814888</c:v>
                </c:pt>
                <c:pt idx="15">
                  <c:v>0.13220152860172732</c:v>
                </c:pt>
                <c:pt idx="16">
                  <c:v>0.13259204195776264</c:v>
                </c:pt>
                <c:pt idx="17">
                  <c:v>0.13195125849295197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31-4009-945E-CFAF60D1C7F9}"/>
            </c:ext>
          </c:extLst>
        </c:ser>
        <c:ser>
          <c:idx val="4"/>
          <c:order val="3"/>
          <c:tx>
            <c:strRef>
              <c:f>[1]List4!$F$2</c:f>
              <c:strCache>
                <c:ptCount val="1"/>
                <c:pt idx="0">
                  <c:v>Brambory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numRef>
              <c:f>[1]List2!$B$3:$B$20</c:f>
              <c:numCache>
                <c:formatCode>General</c:formatCode>
                <c:ptCount val="18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[1]List4!$F$3:$F$20</c:f>
              <c:numCache>
                <c:formatCode>General</c:formatCode>
                <c:ptCount val="18"/>
                <c:pt idx="0">
                  <c:v>3.9195185047098541E-2</c:v>
                </c:pt>
                <c:pt idx="1">
                  <c:v>3.3526518031539949E-2</c:v>
                </c:pt>
                <c:pt idx="2">
                  <c:v>2.2921547101799531E-2</c:v>
                </c:pt>
                <c:pt idx="3">
                  <c:v>1.8323947383785386E-2</c:v>
                </c:pt>
                <c:pt idx="4">
                  <c:v>1.426293082582381E-2</c:v>
                </c:pt>
                <c:pt idx="5">
                  <c:v>1.3995302494379115E-2</c:v>
                </c:pt>
                <c:pt idx="6">
                  <c:v>1.3494837558845568E-2</c:v>
                </c:pt>
                <c:pt idx="7">
                  <c:v>1.3571885296652958E-2</c:v>
                </c:pt>
                <c:pt idx="8">
                  <c:v>1.1611775722963119E-2</c:v>
                </c:pt>
                <c:pt idx="9">
                  <c:v>1.233481496511697E-2</c:v>
                </c:pt>
                <c:pt idx="10">
                  <c:v>1.159682995781478E-2</c:v>
                </c:pt>
                <c:pt idx="11">
                  <c:v>9.534635428469454E-3</c:v>
                </c:pt>
                <c:pt idx="12">
                  <c:v>9.3684263418790294E-3</c:v>
                </c:pt>
                <c:pt idx="13">
                  <c:v>9.7186618012502415E-3</c:v>
                </c:pt>
                <c:pt idx="14">
                  <c:v>9.2292257516025412E-3</c:v>
                </c:pt>
                <c:pt idx="15">
                  <c:v>9.5030252478318176E-3</c:v>
                </c:pt>
                <c:pt idx="16">
                  <c:v>9.4751518459371825E-3</c:v>
                </c:pt>
                <c:pt idx="17">
                  <c:v>9.300896593909605E-3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131-4009-945E-CFAF60D1C7F9}"/>
            </c:ext>
          </c:extLst>
        </c:ser>
        <c:ser>
          <c:idx val="5"/>
          <c:order val="4"/>
          <c:tx>
            <c:strRef>
              <c:f>[1]List4!$G$2</c:f>
              <c:strCache>
                <c:ptCount val="1"/>
                <c:pt idx="0">
                  <c:v>Víceleté pícniny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50000"/>
                </a:schemeClr>
              </a:solidFill>
              <a:ln w="9525">
                <a:solidFill>
                  <a:schemeClr val="accent6">
                    <a:lumMod val="50000"/>
                  </a:schemeClr>
                </a:solidFill>
              </a:ln>
              <a:effectLst/>
            </c:spPr>
          </c:marker>
          <c:cat>
            <c:numRef>
              <c:f>[1]List2!$B$3:$B$20</c:f>
              <c:numCache>
                <c:formatCode>General</c:formatCode>
                <c:ptCount val="18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[1]List4!$G$3:$G$20</c:f>
              <c:numCache>
                <c:formatCode>General</c:formatCode>
                <c:ptCount val="18"/>
                <c:pt idx="0">
                  <c:v>0.16989714063193695</c:v>
                </c:pt>
                <c:pt idx="1">
                  <c:v>0.15450526343465212</c:v>
                </c:pt>
                <c:pt idx="2">
                  <c:v>0.1380563364987466</c:v>
                </c:pt>
                <c:pt idx="3">
                  <c:v>0.12671453742798547</c:v>
                </c:pt>
                <c:pt idx="4">
                  <c:v>9.6317855172073266E-2</c:v>
                </c:pt>
                <c:pt idx="5">
                  <c:v>9.5005966636378836E-2</c:v>
                </c:pt>
                <c:pt idx="6">
                  <c:v>8.3456975376765191E-2</c:v>
                </c:pt>
                <c:pt idx="7">
                  <c:v>8.3117933382194059E-2</c:v>
                </c:pt>
                <c:pt idx="8">
                  <c:v>8.2230399181301816E-2</c:v>
                </c:pt>
                <c:pt idx="9">
                  <c:v>7.9563474492138075E-2</c:v>
                </c:pt>
                <c:pt idx="10">
                  <c:v>7.3286262992988863E-2</c:v>
                </c:pt>
                <c:pt idx="11">
                  <c:v>6.9869880207318963E-2</c:v>
                </c:pt>
                <c:pt idx="12">
                  <c:v>6.9168399200126574E-2</c:v>
                </c:pt>
                <c:pt idx="13">
                  <c:v>6.8385706134981253E-2</c:v>
                </c:pt>
                <c:pt idx="14">
                  <c:v>7.2177208719482591E-2</c:v>
                </c:pt>
                <c:pt idx="15">
                  <c:v>7.4656584609624294E-2</c:v>
                </c:pt>
                <c:pt idx="16">
                  <c:v>7.6675546565909386E-2</c:v>
                </c:pt>
                <c:pt idx="17">
                  <c:v>7.850633962663417E-2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131-4009-945E-CFAF60D1C7F9}"/>
            </c:ext>
          </c:extLst>
        </c:ser>
        <c:ser>
          <c:idx val="6"/>
          <c:order val="5"/>
          <c:tx>
            <c:strRef>
              <c:f>[1]List4!$H$2</c:f>
              <c:strCache>
                <c:ptCount val="1"/>
                <c:pt idx="0">
                  <c:v>Pšenice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[1]List2!$B$3:$B$20</c:f>
              <c:numCache>
                <c:formatCode>General</c:formatCode>
                <c:ptCount val="18"/>
                <c:pt idx="0">
                  <c:v>1980</c:v>
                </c:pt>
                <c:pt idx="1">
                  <c:v>1990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[1]List4!$H$3:$H$20</c:f>
              <c:numCache>
                <c:formatCode>General</c:formatCode>
                <c:ptCount val="18"/>
                <c:pt idx="0">
                  <c:v>0.23696414916853811</c:v>
                </c:pt>
                <c:pt idx="1">
                  <c:v>0.25162712020894151</c:v>
                </c:pt>
                <c:pt idx="2">
                  <c:v>0.32202959447308516</c:v>
                </c:pt>
                <c:pt idx="3">
                  <c:v>0.31292959407272813</c:v>
                </c:pt>
                <c:pt idx="4">
                  <c:v>0.3160110816899796</c:v>
                </c:pt>
                <c:pt idx="5">
                  <c:v>0.25218151939962985</c:v>
                </c:pt>
                <c:pt idx="6">
                  <c:v>0.32380015924521738</c:v>
                </c:pt>
                <c:pt idx="7">
                  <c:v>0.30868177713083644</c:v>
                </c:pt>
                <c:pt idx="8">
                  <c:v>0.30224824829720492</c:v>
                </c:pt>
                <c:pt idx="9">
                  <c:v>0.31346311296849944</c:v>
                </c:pt>
                <c:pt idx="10">
                  <c:v>0.3123551713105347</c:v>
                </c:pt>
                <c:pt idx="11">
                  <c:v>0.32869593964358335</c:v>
                </c:pt>
                <c:pt idx="12">
                  <c:v>0.33484813283532494</c:v>
                </c:pt>
                <c:pt idx="13">
                  <c:v>0.33861607062204513</c:v>
                </c:pt>
                <c:pt idx="14">
                  <c:v>0.33767311965222307</c:v>
                </c:pt>
                <c:pt idx="15">
                  <c:v>0.34081174214219173</c:v>
                </c:pt>
                <c:pt idx="16">
                  <c:v>0.33665664114103611</c:v>
                </c:pt>
                <c:pt idx="17">
                  <c:v>0.33308019013180862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131-4009-945E-CFAF60D1C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041295"/>
        <c:axId val="896040047"/>
      </c:lineChart>
      <c:dateAx>
        <c:axId val="89604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96040047"/>
        <c:crosses val="autoZero"/>
        <c:auto val="0"/>
        <c:lblOffset val="100"/>
        <c:baseTimeUnit val="days"/>
      </c:dateAx>
      <c:valAx>
        <c:axId val="896040047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I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96041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B6FE85-42A8-4CC7-92BB-0B4EE8D8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EEBC8-6C84-4482-819F-9B61FE15D75C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846B64-3217-46A8-846F-F1B9A724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556AEB47.dotm</Template>
  <TotalTime>5</TotalTime>
  <Pages>24</Pages>
  <Words>8543</Words>
  <Characters>50480</Characters>
  <Application>Microsoft Office Word</Application>
  <DocSecurity>0</DocSecurity>
  <Lines>420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18/27 - Opatření realizovaná v resortech zemědělství a životního prostředí z důvodu zmírnění dopadů sucha a nedostatku vody</vt:lpstr>
    </vt:vector>
  </TitlesOfParts>
  <Company>NKU</Company>
  <LinksUpToDate>false</LinksUpToDate>
  <CharactersWithSpaces>58906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18/27 - Opatření realizovaná v resortech zemědělství a životního prostředí z důvodu zmírnění dopadů sucha a nedostatku vody</dc:title>
  <dc:creator>Nejvyšší kontrolní úřad</dc:creator>
  <cp:keywords>kontrolní závěr; boj se suchem;</cp:keywords>
  <cp:lastModifiedBy>KOKRDA Daniel</cp:lastModifiedBy>
  <cp:revision>3</cp:revision>
  <cp:lastPrinted>2019-10-03T13:49:00Z</cp:lastPrinted>
  <dcterms:created xsi:type="dcterms:W3CDTF">2019-10-10T08:00:00Z</dcterms:created>
  <dcterms:modified xsi:type="dcterms:W3CDTF">2019-10-10T08:03:00Z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17/26-NKU30/311/18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ContentType">
    <vt:lpwstr>Dokument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19.4.2018</vt:lpwstr>
  </property>
  <property fmtid="{D5CDD505-2E9C-101B-9397-08002B2CF9AE}" pid="12" name="DisplayName_SpisovyUzel_PoziceZodpo_Pisemnost">
    <vt:lpwstr>Členové Úřadu</vt:lpwstr>
  </property>
  <property fmtid="{D5CDD505-2E9C-101B-9397-08002B2CF9AE}" pid="13" name="DisplayName_UserPoriz_Pisemnost">
    <vt:lpwstr>Bc. Jana Pokorná</vt:lpwstr>
  </property>
  <property fmtid="{D5CDD505-2E9C-101B-9397-08002B2CF9AE}" pid="14" name="EC_Pisemnost">
    <vt:lpwstr>18-5057/NKU</vt:lpwstr>
  </property>
  <property fmtid="{D5CDD505-2E9C-101B-9397-08002B2CF9AE}" pid="15" name="Key_BarCode_Pisemnost">
    <vt:lpwstr>*B000311673*</vt:lpwstr>
  </property>
  <property fmtid="{D5CDD505-2E9C-101B-9397-08002B2CF9AE}" pid="16" name="KRukam">
    <vt:lpwstr>{KRukam}</vt:lpwstr>
  </property>
  <property fmtid="{D5CDD505-2E9C-101B-9397-08002B2CF9AE}" pid="17" name="NameAddress_Contact_SpisovyUzel_PoziceZodpo_Pisemnost">
    <vt:lpwstr>ADRESÁT SU...</vt:lpwstr>
  </property>
  <property fmtid="{D5CDD505-2E9C-101B-9397-08002B2CF9AE}" pid="18" name="Odkaz">
    <vt:lpwstr>ODKAZ</vt:lpwstr>
  </property>
  <property fmtid="{D5CDD505-2E9C-101B-9397-08002B2CF9AE}" pid="19" name="Password_PisemnostTypZpristupneniInformaciZOSZ_Pisemnost">
    <vt:lpwstr>ZOSZ_Password</vt:lpwstr>
  </property>
  <property fmtid="{D5CDD505-2E9C-101B-9397-08002B2CF9AE}" pid="20" name="PocetListuDokumentu_Pisemnost">
    <vt:lpwstr>1</vt:lpwstr>
  </property>
  <property fmtid="{D5CDD505-2E9C-101B-9397-08002B2CF9AE}" pid="21" name="PocetListu_Pisemnost">
    <vt:lpwstr>1</vt:lpwstr>
  </property>
  <property fmtid="{D5CDD505-2E9C-101B-9397-08002B2CF9AE}" pid="22" name="PocetPriloh_Pisemnost">
    <vt:lpwstr>0</vt:lpwstr>
  </property>
  <property fmtid="{D5CDD505-2E9C-101B-9397-08002B2CF9AE}" pid="23" name="Podpis">
    <vt:lpwstr/>
  </property>
  <property fmtid="{D5CDD505-2E9C-101B-9397-08002B2CF9AE}" pid="24" name="PostalAddress_Contact_SpisovyUzel_PoziceZodpo_Pisemnost">
    <vt:lpwstr>ADRESA SU...</vt:lpwstr>
  </property>
  <property fmtid="{D5CDD505-2E9C-101B-9397-08002B2CF9AE}" pid="25" name="RC">
    <vt:lpwstr/>
  </property>
  <property fmtid="{D5CDD505-2E9C-101B-9397-08002B2CF9AE}" pid="26" name="SkartacniZnakLhuta_PisemnostZnak">
    <vt:lpwstr>?/?</vt:lpwstr>
  </property>
  <property fmtid="{D5CDD505-2E9C-101B-9397-08002B2CF9AE}" pid="27" name="SmlouvaCislo">
    <vt:lpwstr>ČÍSLO SMLOUVY</vt:lpwstr>
  </property>
  <property fmtid="{D5CDD505-2E9C-101B-9397-08002B2CF9AE}" pid="28" name="SZ_Spis_Pisemnost">
    <vt:lpwstr>17/26</vt:lpwstr>
  </property>
  <property fmtid="{D5CDD505-2E9C-101B-9397-08002B2CF9AE}" pid="29" name="TEST">
    <vt:lpwstr>testovací pole</vt:lpwstr>
  </property>
  <property fmtid="{D5CDD505-2E9C-101B-9397-08002B2CF9AE}" pid="30" name="TypPrilohy_Pisemnost">
    <vt:lpwstr>TYP PŘÍLOHY</vt:lpwstr>
  </property>
  <property fmtid="{D5CDD505-2E9C-101B-9397-08002B2CF9AE}" pid="31" name="UserName_PisemnostTypZpristupneniInformaciZOSZ_Pisemnost">
    <vt:lpwstr>ZOSZ_UserName</vt:lpwstr>
  </property>
  <property fmtid="{D5CDD505-2E9C-101B-9397-08002B2CF9AE}" pid="32" name="Vec_Pisemnost">
    <vt:lpwstr>Návrh kontrolního závěru 17/26 do připomínek</vt:lpwstr>
  </property>
  <property fmtid="{D5CDD505-2E9C-101B-9397-08002B2CF9AE}" pid="33" name="Zkratka_SpisovyUzel_PoziceZodpo_Pisemnost">
    <vt:lpwstr>30</vt:lpwstr>
  </property>
</Properties>
</file>