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0F088" w14:textId="77777777" w:rsidR="002E1E39" w:rsidRDefault="00EC3A0D" w:rsidP="009F0524">
      <w:pPr>
        <w:tabs>
          <w:tab w:val="left" w:pos="1695"/>
        </w:tabs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85FD7AD" wp14:editId="1D75C180">
            <wp:simplePos x="0" y="0"/>
            <wp:positionH relativeFrom="margin">
              <wp:posOffset>2480945</wp:posOffset>
            </wp:positionH>
            <wp:positionV relativeFrom="paragraph">
              <wp:posOffset>39370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6CFC41" w14:textId="77777777" w:rsidR="000D72DE" w:rsidRDefault="000D72DE" w:rsidP="009F0524">
      <w:pPr>
        <w:tabs>
          <w:tab w:val="left" w:pos="1695"/>
        </w:tabs>
        <w:spacing w:after="0"/>
        <w:jc w:val="center"/>
      </w:pPr>
    </w:p>
    <w:p w14:paraId="211639DC" w14:textId="77777777" w:rsidR="00EC3A0D" w:rsidRDefault="00EC3A0D" w:rsidP="009F0524">
      <w:pPr>
        <w:spacing w:after="0"/>
        <w:jc w:val="center"/>
      </w:pPr>
    </w:p>
    <w:p w14:paraId="6CB66424" w14:textId="77777777" w:rsidR="00EC3A0D" w:rsidRPr="00EC3A0D" w:rsidRDefault="00EC3A0D" w:rsidP="00EC3A0D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2C2CB443" w14:textId="77777777" w:rsidR="00EC3A0D" w:rsidRPr="00EC3A0D" w:rsidRDefault="000226B9" w:rsidP="00EC3A0D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t>18</w:t>
      </w:r>
      <w:r w:rsidR="00EC3A0D" w:rsidRPr="00EC3A0D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25</w:t>
      </w:r>
    </w:p>
    <w:p w14:paraId="4A0C397E" w14:textId="77777777" w:rsidR="00EC3A0D" w:rsidRPr="00EC3A0D" w:rsidRDefault="000226B9" w:rsidP="00EC3A0D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t>Účetní závěrka Městského soudu v Praze za rok 2017</w:t>
      </w:r>
    </w:p>
    <w:p w14:paraId="520677BB" w14:textId="22F17B58" w:rsidR="00EC3A0D" w:rsidRDefault="00EC3A0D" w:rsidP="009F0524">
      <w:pPr>
        <w:spacing w:after="0"/>
        <w:jc w:val="both"/>
        <w:rPr>
          <w:rFonts w:asciiTheme="minorHAnsi" w:eastAsiaTheme="minorHAnsi" w:hAnsiTheme="minorHAnsi" w:cstheme="minorHAnsi"/>
          <w:szCs w:val="28"/>
        </w:rPr>
      </w:pPr>
    </w:p>
    <w:p w14:paraId="25159332" w14:textId="77777777" w:rsidR="009F0524" w:rsidRPr="00BA0877" w:rsidRDefault="009F0524" w:rsidP="009F0524">
      <w:pPr>
        <w:spacing w:after="0"/>
        <w:jc w:val="both"/>
        <w:rPr>
          <w:rFonts w:asciiTheme="minorHAnsi" w:eastAsiaTheme="minorHAnsi" w:hAnsiTheme="minorHAnsi" w:cstheme="minorHAnsi"/>
          <w:szCs w:val="28"/>
        </w:rPr>
      </w:pPr>
    </w:p>
    <w:p w14:paraId="5D2C1C6B" w14:textId="77777777" w:rsidR="00EC3A0D" w:rsidRPr="00F57E70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F57E70">
        <w:rPr>
          <w:rFonts w:asciiTheme="minorHAnsi" w:eastAsiaTheme="minorHAnsi" w:hAnsiTheme="minorHAnsi" w:cstheme="minorHAnsi"/>
        </w:rPr>
        <w:t xml:space="preserve">Kontrolní akce byla zařazena do plánu kontrolní činnosti Nejvyššího kontrolního úřadu (dále </w:t>
      </w:r>
      <w:r w:rsidR="00EA44A3" w:rsidRPr="00F57E70">
        <w:rPr>
          <w:rFonts w:asciiTheme="minorHAnsi" w:eastAsiaTheme="minorHAnsi" w:hAnsiTheme="minorHAnsi" w:cstheme="minorHAnsi"/>
        </w:rPr>
        <w:t>také</w:t>
      </w:r>
      <w:r w:rsidRPr="00F57E70">
        <w:rPr>
          <w:rFonts w:asciiTheme="minorHAnsi" w:eastAsiaTheme="minorHAnsi" w:hAnsiTheme="minorHAnsi" w:cstheme="minorHAnsi"/>
        </w:rPr>
        <w:t xml:space="preserve"> „NKÚ“) na rok 201</w:t>
      </w:r>
      <w:r w:rsidR="000226B9" w:rsidRPr="00F57E70">
        <w:rPr>
          <w:rFonts w:asciiTheme="minorHAnsi" w:eastAsiaTheme="minorHAnsi" w:hAnsiTheme="minorHAnsi" w:cstheme="minorHAnsi"/>
        </w:rPr>
        <w:t>8</w:t>
      </w:r>
      <w:r w:rsidRPr="00F57E70">
        <w:rPr>
          <w:rFonts w:asciiTheme="minorHAnsi" w:eastAsiaTheme="minorHAnsi" w:hAnsiTheme="minorHAnsi" w:cstheme="minorHAnsi"/>
        </w:rPr>
        <w:t xml:space="preserve"> pod číslem </w:t>
      </w:r>
      <w:r w:rsidR="0043145D" w:rsidRPr="00F57E70">
        <w:rPr>
          <w:rFonts w:asciiTheme="minorHAnsi" w:eastAsiaTheme="minorHAnsi" w:hAnsiTheme="minorHAnsi" w:cstheme="minorHAnsi"/>
        </w:rPr>
        <w:t>1</w:t>
      </w:r>
      <w:r w:rsidR="000226B9" w:rsidRPr="00F57E70">
        <w:rPr>
          <w:rFonts w:asciiTheme="minorHAnsi" w:eastAsiaTheme="minorHAnsi" w:hAnsiTheme="minorHAnsi" w:cstheme="minorHAnsi"/>
        </w:rPr>
        <w:t>8</w:t>
      </w:r>
      <w:r w:rsidRPr="00F57E70">
        <w:rPr>
          <w:rFonts w:asciiTheme="minorHAnsi" w:eastAsiaTheme="minorHAnsi" w:hAnsiTheme="minorHAnsi" w:cstheme="minorHAnsi"/>
        </w:rPr>
        <w:t>/</w:t>
      </w:r>
      <w:r w:rsidR="000226B9" w:rsidRPr="00F57E70">
        <w:rPr>
          <w:rFonts w:asciiTheme="minorHAnsi" w:eastAsiaTheme="minorHAnsi" w:hAnsiTheme="minorHAnsi" w:cstheme="minorHAnsi"/>
        </w:rPr>
        <w:t>25</w:t>
      </w:r>
      <w:r w:rsidRPr="00F57E70">
        <w:rPr>
          <w:rFonts w:asciiTheme="minorHAnsi" w:eastAsiaTheme="minorHAnsi" w:hAnsiTheme="minorHAnsi" w:cstheme="minorHAnsi"/>
        </w:rPr>
        <w:t xml:space="preserve">. </w:t>
      </w:r>
      <w:r w:rsidR="005F2754" w:rsidRPr="00F57E70">
        <w:rPr>
          <w:rFonts w:asciiTheme="minorHAnsi" w:eastAsiaTheme="minorHAnsi" w:hAnsiTheme="minorHAnsi" w:cstheme="minorHAnsi"/>
        </w:rPr>
        <w:t>Kontrolní akci řídil</w:t>
      </w:r>
      <w:r w:rsidR="004E3929" w:rsidRPr="00F57E70">
        <w:rPr>
          <w:rFonts w:asciiTheme="minorHAnsi" w:eastAsiaTheme="minorHAnsi" w:hAnsiTheme="minorHAnsi" w:cstheme="minorHAnsi"/>
        </w:rPr>
        <w:t>a</w:t>
      </w:r>
      <w:r w:rsidRPr="00F57E70">
        <w:rPr>
          <w:rFonts w:asciiTheme="minorHAnsi" w:eastAsiaTheme="minorHAnsi" w:hAnsiTheme="minorHAnsi" w:cstheme="minorHAnsi"/>
        </w:rPr>
        <w:t xml:space="preserve"> a kontrolní závěr vypracoval</w:t>
      </w:r>
      <w:r w:rsidR="004E3929" w:rsidRPr="00F57E70">
        <w:rPr>
          <w:rFonts w:asciiTheme="minorHAnsi" w:eastAsiaTheme="minorHAnsi" w:hAnsiTheme="minorHAnsi" w:cstheme="minorHAnsi"/>
        </w:rPr>
        <w:t>a</w:t>
      </w:r>
      <w:r w:rsidRPr="00F57E70">
        <w:rPr>
          <w:rFonts w:asciiTheme="minorHAnsi" w:eastAsiaTheme="minorHAnsi" w:hAnsiTheme="minorHAnsi" w:cstheme="minorHAnsi"/>
        </w:rPr>
        <w:t xml:space="preserve"> člen</w:t>
      </w:r>
      <w:r w:rsidR="004E3929" w:rsidRPr="00F57E70">
        <w:rPr>
          <w:rFonts w:asciiTheme="minorHAnsi" w:eastAsiaTheme="minorHAnsi" w:hAnsiTheme="minorHAnsi" w:cstheme="minorHAnsi"/>
        </w:rPr>
        <w:t>ka</w:t>
      </w:r>
      <w:r w:rsidR="005F2754" w:rsidRPr="00F57E70">
        <w:rPr>
          <w:rFonts w:asciiTheme="minorHAnsi" w:eastAsiaTheme="minorHAnsi" w:hAnsiTheme="minorHAnsi" w:cstheme="minorHAnsi"/>
        </w:rPr>
        <w:t xml:space="preserve"> </w:t>
      </w:r>
      <w:r w:rsidRPr="00F57E70">
        <w:rPr>
          <w:rFonts w:asciiTheme="minorHAnsi" w:eastAsiaTheme="minorHAnsi" w:hAnsiTheme="minorHAnsi" w:cstheme="minorHAnsi"/>
        </w:rPr>
        <w:t>NKÚ Ing. Ja</w:t>
      </w:r>
      <w:r w:rsidR="004E3929" w:rsidRPr="00F57E70">
        <w:rPr>
          <w:rFonts w:asciiTheme="minorHAnsi" w:eastAsiaTheme="minorHAnsi" w:hAnsiTheme="minorHAnsi" w:cstheme="minorHAnsi"/>
        </w:rPr>
        <w:t>romíra Steidlová</w:t>
      </w:r>
      <w:r w:rsidRPr="00F57E70">
        <w:rPr>
          <w:rFonts w:asciiTheme="minorHAnsi" w:eastAsiaTheme="minorHAnsi" w:hAnsiTheme="minorHAnsi" w:cstheme="minorHAnsi"/>
        </w:rPr>
        <w:t>.</w:t>
      </w:r>
    </w:p>
    <w:p w14:paraId="004B2CC3" w14:textId="77777777" w:rsidR="00EC3A0D" w:rsidRPr="00F57E70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  <w:bCs/>
        </w:rPr>
      </w:pPr>
      <w:r w:rsidRPr="00F57E70">
        <w:rPr>
          <w:rFonts w:asciiTheme="minorHAnsi" w:eastAsiaTheme="minorHAnsi" w:hAnsiTheme="minorHAnsi" w:cstheme="minorHAnsi"/>
        </w:rPr>
        <w:t xml:space="preserve">Cílem kontroly bylo prověřit, </w:t>
      </w:r>
      <w:r w:rsidRPr="00F57E70">
        <w:rPr>
          <w:rFonts w:asciiTheme="minorHAnsi" w:eastAsiaTheme="minorHAnsi" w:hAnsiTheme="minorHAnsi" w:cstheme="minorHAnsi"/>
          <w:bCs/>
        </w:rPr>
        <w:t xml:space="preserve">zda </w:t>
      </w:r>
      <w:r w:rsidR="00942BD2" w:rsidRPr="00F57E70">
        <w:rPr>
          <w:rFonts w:asciiTheme="minorHAnsi" w:eastAsiaTheme="minorHAnsi" w:hAnsiTheme="minorHAnsi" w:cstheme="minorHAnsi"/>
          <w:bCs/>
        </w:rPr>
        <w:t xml:space="preserve">Městský soud v Praze </w:t>
      </w:r>
      <w:r w:rsidRPr="00F57E70">
        <w:rPr>
          <w:rFonts w:asciiTheme="minorHAnsi" w:eastAsiaTheme="minorHAnsi" w:hAnsiTheme="minorHAnsi" w:cstheme="minorHAnsi"/>
          <w:bCs/>
        </w:rPr>
        <w:t xml:space="preserve">při vedení účetnictví </w:t>
      </w:r>
      <w:r w:rsidR="00942BD2" w:rsidRPr="00F57E70">
        <w:rPr>
          <w:rFonts w:asciiTheme="minorHAnsi" w:eastAsiaTheme="minorHAnsi" w:hAnsiTheme="minorHAnsi" w:cstheme="minorHAnsi"/>
          <w:bCs/>
        </w:rPr>
        <w:t xml:space="preserve">v roce 2017 </w:t>
      </w:r>
      <w:r w:rsidRPr="00F57E70">
        <w:rPr>
          <w:rFonts w:asciiTheme="minorHAnsi" w:eastAsiaTheme="minorHAnsi" w:hAnsiTheme="minorHAnsi" w:cstheme="minorHAnsi"/>
          <w:bCs/>
        </w:rPr>
        <w:t xml:space="preserve">a </w:t>
      </w:r>
      <w:r w:rsidR="00942BD2" w:rsidRPr="00F57E70">
        <w:rPr>
          <w:rFonts w:asciiTheme="minorHAnsi" w:eastAsiaTheme="minorHAnsi" w:hAnsiTheme="minorHAnsi" w:cstheme="minorHAnsi"/>
          <w:bCs/>
        </w:rPr>
        <w:t xml:space="preserve">při </w:t>
      </w:r>
      <w:r w:rsidRPr="00F57E70">
        <w:rPr>
          <w:rFonts w:asciiTheme="minorHAnsi" w:eastAsiaTheme="minorHAnsi" w:hAnsiTheme="minorHAnsi" w:cstheme="minorHAnsi"/>
          <w:bCs/>
        </w:rPr>
        <w:t xml:space="preserve">sestavení účetní závěrky </w:t>
      </w:r>
      <w:r w:rsidR="00942BD2" w:rsidRPr="00F57E70">
        <w:rPr>
          <w:rFonts w:asciiTheme="minorHAnsi" w:eastAsiaTheme="minorHAnsi" w:hAnsiTheme="minorHAnsi" w:cstheme="minorHAnsi"/>
          <w:bCs/>
        </w:rPr>
        <w:t>k 31. 12. 2017 postupoval</w:t>
      </w:r>
      <w:r w:rsidRPr="00F57E70">
        <w:rPr>
          <w:rFonts w:asciiTheme="minorHAnsi" w:eastAsiaTheme="minorHAnsi" w:hAnsiTheme="minorHAnsi" w:cstheme="minorHAnsi"/>
          <w:bCs/>
        </w:rPr>
        <w:t xml:space="preserve"> v souladu s příslušnými právními předpisy.</w:t>
      </w:r>
    </w:p>
    <w:p w14:paraId="5F00D9EE" w14:textId="77777777" w:rsidR="00EC3A0D" w:rsidRPr="00F57E70" w:rsidRDefault="00EC3A0D" w:rsidP="009F0524">
      <w:pPr>
        <w:spacing w:after="0" w:line="259" w:lineRule="auto"/>
        <w:jc w:val="both"/>
        <w:rPr>
          <w:rFonts w:asciiTheme="minorHAnsi" w:eastAsiaTheme="minorHAnsi" w:hAnsiTheme="minorHAnsi" w:cstheme="minorHAnsi"/>
        </w:rPr>
      </w:pPr>
      <w:r w:rsidRPr="00F57E70">
        <w:rPr>
          <w:rFonts w:asciiTheme="minorHAnsi" w:eastAsiaTheme="minorHAnsi" w:hAnsiTheme="minorHAnsi" w:cstheme="minorHAnsi"/>
          <w:b/>
        </w:rPr>
        <w:t>Kontrolovaná osoba:</w:t>
      </w:r>
    </w:p>
    <w:p w14:paraId="3EB555EE" w14:textId="77777777" w:rsidR="00EC3A0D" w:rsidRPr="00EC3A0D" w:rsidRDefault="00942BD2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F57E70">
        <w:rPr>
          <w:rFonts w:asciiTheme="minorHAnsi" w:eastAsiaTheme="minorHAnsi" w:hAnsiTheme="minorHAnsi" w:cstheme="minorHAnsi"/>
        </w:rPr>
        <w:t>Městský soud v Praze</w:t>
      </w:r>
      <w:r w:rsidR="00EC3A0D" w:rsidRPr="00F57E70">
        <w:rPr>
          <w:rFonts w:asciiTheme="minorHAnsi" w:eastAsiaTheme="minorHAnsi" w:hAnsiTheme="minorHAnsi" w:cstheme="minorHAnsi"/>
        </w:rPr>
        <w:t xml:space="preserve"> (dále také „</w:t>
      </w:r>
      <w:r w:rsidRPr="00F57E70">
        <w:rPr>
          <w:rFonts w:asciiTheme="minorHAnsi" w:eastAsiaTheme="minorHAnsi" w:hAnsiTheme="minorHAnsi" w:cstheme="minorHAnsi"/>
        </w:rPr>
        <w:t>MS Praha</w:t>
      </w:r>
      <w:r w:rsidR="00EC3A0D" w:rsidRPr="00F57E70">
        <w:rPr>
          <w:rFonts w:asciiTheme="minorHAnsi" w:eastAsiaTheme="minorHAnsi" w:hAnsiTheme="minorHAnsi" w:cstheme="minorHAnsi"/>
        </w:rPr>
        <w:t>“).</w:t>
      </w:r>
    </w:p>
    <w:p w14:paraId="4DAE64DA" w14:textId="2DC0DADF" w:rsidR="00EC3A0D" w:rsidRPr="00EC3A0D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>Kontrolováno bylo období roku 201</w:t>
      </w:r>
      <w:r w:rsidR="005F2754">
        <w:rPr>
          <w:rFonts w:asciiTheme="minorHAnsi" w:eastAsiaTheme="minorHAnsi" w:hAnsiTheme="minorHAnsi" w:cstheme="minorHAnsi"/>
        </w:rPr>
        <w:t>7</w:t>
      </w:r>
      <w:r w:rsidR="004E3929">
        <w:rPr>
          <w:rFonts w:asciiTheme="minorHAnsi" w:eastAsiaTheme="minorHAnsi" w:hAnsiTheme="minorHAnsi" w:cstheme="minorHAnsi"/>
        </w:rPr>
        <w:t xml:space="preserve"> včetně</w:t>
      </w:r>
      <w:r w:rsidRPr="00EC3A0D">
        <w:rPr>
          <w:rFonts w:asciiTheme="minorHAnsi" w:eastAsiaTheme="minorHAnsi" w:hAnsiTheme="minorHAnsi" w:cstheme="minorHAnsi"/>
        </w:rPr>
        <w:t xml:space="preserve"> související</w:t>
      </w:r>
      <w:r w:rsidR="004E3929">
        <w:rPr>
          <w:rFonts w:asciiTheme="minorHAnsi" w:eastAsiaTheme="minorHAnsi" w:hAnsiTheme="minorHAnsi" w:cstheme="minorHAnsi"/>
        </w:rPr>
        <w:t>ch</w:t>
      </w:r>
      <w:r w:rsidRPr="00EC3A0D">
        <w:rPr>
          <w:rFonts w:asciiTheme="minorHAnsi" w:eastAsiaTheme="minorHAnsi" w:hAnsiTheme="minorHAnsi" w:cstheme="minorHAnsi"/>
        </w:rPr>
        <w:t xml:space="preserve"> skutečnost</w:t>
      </w:r>
      <w:r w:rsidR="004E3929">
        <w:rPr>
          <w:rFonts w:asciiTheme="minorHAnsi" w:eastAsiaTheme="minorHAnsi" w:hAnsiTheme="minorHAnsi" w:cstheme="minorHAnsi"/>
        </w:rPr>
        <w:t>í</w:t>
      </w:r>
      <w:r w:rsidRPr="00EC3A0D">
        <w:rPr>
          <w:rFonts w:asciiTheme="minorHAnsi" w:eastAsiaTheme="minorHAnsi" w:hAnsiTheme="minorHAnsi" w:cstheme="minorHAnsi"/>
        </w:rPr>
        <w:t xml:space="preserve"> </w:t>
      </w:r>
      <w:r w:rsidRPr="00EC3A0D">
        <w:rPr>
          <w:rFonts w:asciiTheme="minorHAnsi" w:eastAsiaTheme="minorHAnsi" w:hAnsiTheme="minorHAnsi" w:cstheme="minorHAnsi"/>
          <w:spacing w:val="-2"/>
        </w:rPr>
        <w:t xml:space="preserve">z let předchozích a </w:t>
      </w:r>
      <w:r w:rsidR="00942BD2">
        <w:rPr>
          <w:rFonts w:asciiTheme="minorHAnsi" w:eastAsiaTheme="minorHAnsi" w:hAnsiTheme="minorHAnsi" w:cstheme="minorHAnsi"/>
          <w:spacing w:val="-2"/>
        </w:rPr>
        <w:t xml:space="preserve">z </w:t>
      </w:r>
      <w:r w:rsidRPr="00EC3A0D">
        <w:rPr>
          <w:rFonts w:asciiTheme="minorHAnsi" w:eastAsiaTheme="minorHAnsi" w:hAnsiTheme="minorHAnsi" w:cstheme="minorHAnsi"/>
          <w:spacing w:val="-2"/>
        </w:rPr>
        <w:t xml:space="preserve">roku </w:t>
      </w:r>
      <w:r w:rsidR="00942BD2">
        <w:rPr>
          <w:rFonts w:asciiTheme="minorHAnsi" w:eastAsiaTheme="minorHAnsi" w:hAnsiTheme="minorHAnsi" w:cstheme="minorHAnsi"/>
          <w:spacing w:val="-2"/>
        </w:rPr>
        <w:t>2018</w:t>
      </w:r>
      <w:r w:rsidR="00C13C92">
        <w:rPr>
          <w:rFonts w:asciiTheme="minorHAnsi" w:eastAsiaTheme="minorHAnsi" w:hAnsiTheme="minorHAnsi" w:cstheme="minorHAnsi"/>
          <w:spacing w:val="-2"/>
        </w:rPr>
        <w:t>,</w:t>
      </w:r>
      <w:r w:rsidR="00942BD2">
        <w:rPr>
          <w:rFonts w:asciiTheme="minorHAnsi" w:eastAsiaTheme="minorHAnsi" w:hAnsiTheme="minorHAnsi" w:cstheme="minorHAnsi"/>
          <w:spacing w:val="-2"/>
        </w:rPr>
        <w:t xml:space="preserve"> popř. 2019</w:t>
      </w:r>
      <w:r w:rsidRPr="00EC3A0D">
        <w:rPr>
          <w:rFonts w:asciiTheme="minorHAnsi" w:eastAsiaTheme="minorHAnsi" w:hAnsiTheme="minorHAnsi" w:cstheme="minorHAnsi"/>
        </w:rPr>
        <w:t>.</w:t>
      </w:r>
    </w:p>
    <w:p w14:paraId="365FCD6C" w14:textId="77777777" w:rsidR="00EC3A0D" w:rsidRPr="00EC3A0D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Kontrola byla prováděna u kontrolované osoby v době </w:t>
      </w:r>
      <w:r w:rsidRPr="007728ED">
        <w:rPr>
          <w:rFonts w:asciiTheme="minorHAnsi" w:eastAsiaTheme="minorHAnsi" w:hAnsiTheme="minorHAnsi" w:cstheme="minorHAnsi"/>
        </w:rPr>
        <w:t xml:space="preserve">od </w:t>
      </w:r>
      <w:r w:rsidR="00942BD2" w:rsidRPr="007728ED">
        <w:rPr>
          <w:rFonts w:asciiTheme="minorHAnsi" w:eastAsiaTheme="minorHAnsi" w:hAnsiTheme="minorHAnsi" w:cstheme="minorHAnsi"/>
        </w:rPr>
        <w:t>listopadu 2018</w:t>
      </w:r>
      <w:r w:rsidRPr="007728ED">
        <w:rPr>
          <w:rFonts w:asciiTheme="minorHAnsi" w:eastAsiaTheme="minorHAnsi" w:hAnsiTheme="minorHAnsi" w:cstheme="minorHAnsi"/>
        </w:rPr>
        <w:t xml:space="preserve"> do </w:t>
      </w:r>
      <w:r w:rsidR="004E3929" w:rsidRPr="007728ED">
        <w:rPr>
          <w:rFonts w:asciiTheme="minorHAnsi" w:eastAsiaTheme="minorHAnsi" w:hAnsiTheme="minorHAnsi" w:cstheme="minorHAnsi"/>
        </w:rPr>
        <w:t>května</w:t>
      </w:r>
      <w:r w:rsidR="005F2754" w:rsidRPr="007728ED">
        <w:rPr>
          <w:rFonts w:asciiTheme="minorHAnsi" w:eastAsiaTheme="minorHAnsi" w:hAnsiTheme="minorHAnsi" w:cstheme="minorHAnsi"/>
        </w:rPr>
        <w:t xml:space="preserve"> 201</w:t>
      </w:r>
      <w:r w:rsidR="00942BD2" w:rsidRPr="007728ED">
        <w:rPr>
          <w:rFonts w:asciiTheme="minorHAnsi" w:eastAsiaTheme="minorHAnsi" w:hAnsiTheme="minorHAnsi" w:cstheme="minorHAnsi"/>
        </w:rPr>
        <w:t>9</w:t>
      </w:r>
      <w:r w:rsidRPr="007728ED">
        <w:rPr>
          <w:rFonts w:asciiTheme="minorHAnsi" w:eastAsiaTheme="minorHAnsi" w:hAnsiTheme="minorHAnsi" w:cstheme="minorHAnsi"/>
        </w:rPr>
        <w:t>.</w:t>
      </w:r>
    </w:p>
    <w:p w14:paraId="519965F7" w14:textId="77777777" w:rsidR="009F0524" w:rsidRDefault="009F0524" w:rsidP="009F0524">
      <w:pPr>
        <w:spacing w:after="0"/>
        <w:jc w:val="both"/>
        <w:rPr>
          <w:rFonts w:asciiTheme="minorHAnsi" w:eastAsiaTheme="minorHAnsi" w:hAnsiTheme="minorHAnsi" w:cstheme="minorHAnsi"/>
          <w:szCs w:val="28"/>
        </w:rPr>
      </w:pPr>
    </w:p>
    <w:p w14:paraId="04E9873B" w14:textId="77777777" w:rsidR="009F0524" w:rsidRPr="00BA0877" w:rsidRDefault="009F0524" w:rsidP="009F0524">
      <w:pPr>
        <w:spacing w:after="0"/>
        <w:jc w:val="both"/>
        <w:rPr>
          <w:rFonts w:asciiTheme="minorHAnsi" w:eastAsiaTheme="minorHAnsi" w:hAnsiTheme="minorHAnsi" w:cstheme="minorHAnsi"/>
          <w:szCs w:val="28"/>
        </w:rPr>
      </w:pPr>
    </w:p>
    <w:p w14:paraId="20667CE4" w14:textId="1E1E346C" w:rsidR="00EC3A0D" w:rsidRPr="00AF6D22" w:rsidRDefault="00EC3A0D" w:rsidP="009F0524">
      <w:pPr>
        <w:spacing w:after="0" w:line="360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EC3A0D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EC3A0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EC3A0D">
        <w:rPr>
          <w:rFonts w:asciiTheme="minorHAnsi" w:eastAsiaTheme="minorHAnsi" w:hAnsiTheme="minorHAnsi" w:cstheme="minorHAnsi"/>
        </w:rPr>
        <w:t xml:space="preserve">   na </w:t>
      </w:r>
      <w:r w:rsidRPr="00AF6D22">
        <w:rPr>
          <w:rFonts w:asciiTheme="minorHAnsi" w:eastAsiaTheme="minorHAnsi" w:hAnsiTheme="minorHAnsi" w:cstheme="minorHAnsi"/>
        </w:rPr>
        <w:t xml:space="preserve">svém </w:t>
      </w:r>
      <w:r w:rsidR="00F2729E">
        <w:rPr>
          <w:rFonts w:asciiTheme="minorHAnsi" w:eastAsiaTheme="minorHAnsi" w:hAnsiTheme="minorHAnsi" w:cstheme="minorHAnsi"/>
        </w:rPr>
        <w:t xml:space="preserve">XI. </w:t>
      </w:r>
      <w:r w:rsidRPr="00AF6D22">
        <w:rPr>
          <w:rFonts w:asciiTheme="minorHAnsi" w:eastAsiaTheme="minorHAnsi" w:hAnsiTheme="minorHAnsi" w:cstheme="minorHAnsi"/>
        </w:rPr>
        <w:t>jednání, které se konalo dne</w:t>
      </w:r>
      <w:r w:rsidR="00243613" w:rsidRPr="00AF6D22">
        <w:rPr>
          <w:rFonts w:asciiTheme="minorHAnsi" w:eastAsiaTheme="minorHAnsi" w:hAnsiTheme="minorHAnsi" w:cstheme="minorHAnsi"/>
        </w:rPr>
        <w:t xml:space="preserve"> </w:t>
      </w:r>
      <w:r w:rsidR="00F2729E">
        <w:rPr>
          <w:rFonts w:asciiTheme="minorHAnsi" w:eastAsiaTheme="minorHAnsi" w:hAnsiTheme="minorHAnsi" w:cstheme="minorHAnsi"/>
        </w:rPr>
        <w:t xml:space="preserve">29. července </w:t>
      </w:r>
      <w:r w:rsidRPr="00AF6D22">
        <w:rPr>
          <w:rFonts w:asciiTheme="minorHAnsi" w:eastAsiaTheme="minorHAnsi" w:hAnsiTheme="minorHAnsi" w:cstheme="minorHAnsi"/>
        </w:rPr>
        <w:t>201</w:t>
      </w:r>
      <w:r w:rsidR="007D3087" w:rsidRPr="00AF6D22">
        <w:rPr>
          <w:rFonts w:asciiTheme="minorHAnsi" w:eastAsiaTheme="minorHAnsi" w:hAnsiTheme="minorHAnsi" w:cstheme="minorHAnsi"/>
        </w:rPr>
        <w:t>9</w:t>
      </w:r>
      <w:r w:rsidRPr="00AF6D22">
        <w:rPr>
          <w:rFonts w:asciiTheme="minorHAnsi" w:eastAsiaTheme="minorHAnsi" w:hAnsiTheme="minorHAnsi" w:cstheme="minorHAnsi"/>
        </w:rPr>
        <w:t>,</w:t>
      </w:r>
    </w:p>
    <w:p w14:paraId="16D1F15A" w14:textId="31ED74BC" w:rsidR="00EC3A0D" w:rsidRPr="00AF6D22" w:rsidRDefault="00EC3A0D" w:rsidP="009F0524">
      <w:pPr>
        <w:spacing w:after="0" w:line="360" w:lineRule="auto"/>
        <w:jc w:val="both"/>
        <w:rPr>
          <w:rFonts w:asciiTheme="minorHAnsi" w:eastAsiaTheme="minorHAnsi" w:hAnsiTheme="minorHAnsi" w:cstheme="minorHAnsi"/>
        </w:rPr>
      </w:pPr>
      <w:r w:rsidRPr="00AF6D22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AF6D22">
        <w:rPr>
          <w:rFonts w:asciiTheme="minorHAnsi" w:eastAsiaTheme="minorHAnsi" w:hAnsiTheme="minorHAnsi" w:cstheme="minorHAnsi"/>
        </w:rPr>
        <w:t xml:space="preserve">   usnesením č. </w:t>
      </w:r>
      <w:r w:rsidR="00AD09F5">
        <w:rPr>
          <w:rFonts w:asciiTheme="minorHAnsi" w:eastAsiaTheme="minorHAnsi" w:hAnsiTheme="minorHAnsi" w:cstheme="minorHAnsi"/>
        </w:rPr>
        <w:t>6</w:t>
      </w:r>
      <w:r w:rsidRPr="00AF6D22">
        <w:rPr>
          <w:rFonts w:asciiTheme="minorHAnsi" w:eastAsiaTheme="minorHAnsi" w:hAnsiTheme="minorHAnsi" w:cstheme="minorHAnsi"/>
        </w:rPr>
        <w:t>/</w:t>
      </w:r>
      <w:r w:rsidR="00F2729E">
        <w:rPr>
          <w:rFonts w:asciiTheme="minorHAnsi" w:eastAsiaTheme="minorHAnsi" w:hAnsiTheme="minorHAnsi" w:cstheme="minorHAnsi"/>
        </w:rPr>
        <w:t>XI</w:t>
      </w:r>
      <w:r w:rsidR="009B1F3A">
        <w:rPr>
          <w:rFonts w:asciiTheme="minorHAnsi" w:eastAsiaTheme="minorHAnsi" w:hAnsiTheme="minorHAnsi" w:cstheme="minorHAnsi"/>
        </w:rPr>
        <w:t>/</w:t>
      </w:r>
      <w:r w:rsidRPr="00AF6D22">
        <w:rPr>
          <w:rFonts w:asciiTheme="minorHAnsi" w:eastAsiaTheme="minorHAnsi" w:hAnsiTheme="minorHAnsi" w:cstheme="minorHAnsi"/>
        </w:rPr>
        <w:t>201</w:t>
      </w:r>
      <w:r w:rsidR="007D3087" w:rsidRPr="00AF6D22">
        <w:rPr>
          <w:rFonts w:asciiTheme="minorHAnsi" w:eastAsiaTheme="minorHAnsi" w:hAnsiTheme="minorHAnsi" w:cstheme="minorHAnsi"/>
        </w:rPr>
        <w:t>9</w:t>
      </w:r>
    </w:p>
    <w:p w14:paraId="0F24B7DB" w14:textId="77777777" w:rsidR="00EC3A0D" w:rsidRDefault="00EC3A0D" w:rsidP="009F0524">
      <w:pPr>
        <w:spacing w:after="0" w:line="360" w:lineRule="auto"/>
        <w:jc w:val="both"/>
        <w:rPr>
          <w:rFonts w:asciiTheme="minorHAnsi" w:eastAsiaTheme="minorHAnsi" w:hAnsiTheme="minorHAnsi" w:cstheme="minorHAnsi"/>
        </w:rPr>
      </w:pPr>
      <w:r w:rsidRPr="00AF6D22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AF6D22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AF6D22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AF6D22">
        <w:rPr>
          <w:rFonts w:asciiTheme="minorHAnsi" w:eastAsiaTheme="minorHAnsi" w:hAnsiTheme="minorHAnsi" w:cstheme="minorHAnsi"/>
        </w:rPr>
        <w:t xml:space="preserve">   v tomto znění:</w:t>
      </w:r>
    </w:p>
    <w:p w14:paraId="43A3322F" w14:textId="77777777" w:rsidR="00942BD2" w:rsidRDefault="00942BD2">
      <w:pPr>
        <w:spacing w:after="160" w:line="259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br w:type="page"/>
      </w:r>
    </w:p>
    <w:p w14:paraId="66C90F10" w14:textId="66715632" w:rsidR="00942BD2" w:rsidRPr="00942BD2" w:rsidRDefault="00942BD2" w:rsidP="00DA547A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42BD2">
        <w:rPr>
          <w:rFonts w:asciiTheme="minorHAnsi" w:eastAsiaTheme="minorHAnsi" w:hAnsiTheme="minorHAnsi" w:cstheme="minorHAnsi"/>
          <w:b/>
          <w:sz w:val="28"/>
          <w:szCs w:val="28"/>
        </w:rPr>
        <w:lastRenderedPageBreak/>
        <w:t>Klíčová fakta</w:t>
      </w:r>
    </w:p>
    <w:p w14:paraId="38DBDE48" w14:textId="77777777" w:rsidR="00DA547A" w:rsidRPr="00DA547A" w:rsidRDefault="00DA547A" w:rsidP="00942BD2">
      <w:pPr>
        <w:spacing w:after="0"/>
      </w:pPr>
    </w:p>
    <w:p w14:paraId="4A53B86C" w14:textId="26355E1C" w:rsidR="00942BD2" w:rsidRPr="00942BD2" w:rsidRDefault="00942BD2" w:rsidP="00942BD2">
      <w:pPr>
        <w:spacing w:after="0"/>
        <w:rPr>
          <w:rFonts w:cs="Calibri"/>
          <w:iCs/>
          <w:szCs w:val="20"/>
        </w:rPr>
      </w:pPr>
      <w:r w:rsidRPr="00942BD2">
        <w:rPr>
          <w:b/>
        </w:rPr>
        <w:t xml:space="preserve">Účetní závěrka </w:t>
      </w:r>
      <w:r>
        <w:rPr>
          <w:b/>
        </w:rPr>
        <w:t>MS Praha</w:t>
      </w:r>
      <w:r w:rsidRPr="00942BD2">
        <w:rPr>
          <w:b/>
        </w:rPr>
        <w:t xml:space="preserve"> k 31. prosinci 2017</w:t>
      </w:r>
      <w:r w:rsidR="009F1965">
        <w:rPr>
          <w:b/>
        </w:rPr>
        <w:t xml:space="preserve"> (dále také „ÚZ“)</w:t>
      </w:r>
    </w:p>
    <w:p w14:paraId="08D6D863" w14:textId="77777777" w:rsidR="00942BD2" w:rsidRPr="00942BD2" w:rsidRDefault="00942BD2" w:rsidP="00942BD2">
      <w:pPr>
        <w:spacing w:after="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835"/>
        <w:gridCol w:w="6236"/>
      </w:tblGrid>
      <w:tr w:rsidR="004E2579" w:rsidRPr="00942BD2" w14:paraId="4A4B2173" w14:textId="77777777" w:rsidTr="004E2579">
        <w:trPr>
          <w:trHeight w:val="964"/>
        </w:trPr>
        <w:tc>
          <w:tcPr>
            <w:tcW w:w="2835" w:type="dxa"/>
          </w:tcPr>
          <w:p w14:paraId="3537F694" w14:textId="5A0C4C92" w:rsidR="00942BD2" w:rsidRPr="00942BD2" w:rsidRDefault="00942BD2" w:rsidP="009F1965">
            <w:pPr>
              <w:spacing w:after="0"/>
            </w:pPr>
            <w:r w:rsidRPr="00942BD2">
              <w:rPr>
                <w:b/>
              </w:rPr>
              <w:t xml:space="preserve">Spolehlivost údajů </w:t>
            </w:r>
            <w:r w:rsidR="00D0424A">
              <w:rPr>
                <w:b/>
              </w:rPr>
              <w:t xml:space="preserve">ÚZ dle zjištění </w:t>
            </w:r>
            <w:r w:rsidR="003C12AB">
              <w:rPr>
                <w:b/>
              </w:rPr>
              <w:t>NKÚ</w:t>
            </w:r>
          </w:p>
        </w:tc>
        <w:tc>
          <w:tcPr>
            <w:tcW w:w="6236" w:type="dxa"/>
          </w:tcPr>
          <w:p w14:paraId="3EFB507A" w14:textId="42D30737" w:rsidR="00942BD2" w:rsidRPr="00942BD2" w:rsidRDefault="00942BD2" w:rsidP="009646D6">
            <w:pPr>
              <w:spacing w:after="0"/>
              <w:jc w:val="both"/>
              <w:rPr>
                <w:rFonts w:cs="Arial"/>
              </w:rPr>
            </w:pPr>
            <w:r w:rsidRPr="00942BD2">
              <w:rPr>
                <w:rFonts w:cs="Arial"/>
              </w:rPr>
              <w:t>Podle názoru NKÚ</w:t>
            </w:r>
            <w:r>
              <w:rPr>
                <w:rFonts w:cs="Arial"/>
              </w:rPr>
              <w:t xml:space="preserve"> účetní závěrka MS Praha sestavená</w:t>
            </w:r>
            <w:r w:rsidR="00C5050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</w:t>
            </w:r>
            <w:r w:rsidR="00C5050E">
              <w:rPr>
                <w:rFonts w:cs="Arial"/>
              </w:rPr>
              <w:t> </w:t>
            </w:r>
            <w:r>
              <w:rPr>
                <w:rFonts w:cs="Arial"/>
              </w:rPr>
              <w:t>31.</w:t>
            </w:r>
            <w:r w:rsidR="00C5050E">
              <w:rPr>
                <w:rFonts w:cs="Arial"/>
              </w:rPr>
              <w:t> </w:t>
            </w:r>
            <w:r w:rsidR="00D0424A">
              <w:rPr>
                <w:rFonts w:cs="Arial"/>
              </w:rPr>
              <w:t>prosinci</w:t>
            </w:r>
            <w:r>
              <w:rPr>
                <w:rFonts w:cs="Arial"/>
              </w:rPr>
              <w:t xml:space="preserve"> 2017 nepodává věrný a poctivý obraz předmětu účetnictví a finanční situace účetní jednotky dle účetních předpisů pro některé vybrané účetní jednotky.</w:t>
            </w:r>
          </w:p>
        </w:tc>
      </w:tr>
    </w:tbl>
    <w:p w14:paraId="3F4F1D68" w14:textId="2B2CB23F" w:rsidR="00942BD2" w:rsidRPr="00942BD2" w:rsidRDefault="00942BD2" w:rsidP="00942BD2">
      <w:pPr>
        <w:tabs>
          <w:tab w:val="left" w:pos="3036"/>
        </w:tabs>
        <w:spacing w:after="0"/>
        <w:ind w:left="113"/>
        <w:rPr>
          <w:rFonts w:cs="Arial"/>
        </w:rPr>
      </w:pPr>
    </w:p>
    <w:tbl>
      <w:tblPr>
        <w:tblW w:w="5004" w:type="pct"/>
        <w:tblInd w:w="-3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004595"/>
        <w:tblLook w:val="04A0" w:firstRow="1" w:lastRow="0" w:firstColumn="1" w:lastColumn="0" w:noHBand="0" w:noVBand="1"/>
      </w:tblPr>
      <w:tblGrid>
        <w:gridCol w:w="4534"/>
        <w:gridCol w:w="4537"/>
      </w:tblGrid>
      <w:tr w:rsidR="00AD5072" w14:paraId="105A4452" w14:textId="77777777" w:rsidTr="00DE3C40">
        <w:trPr>
          <w:trHeight w:val="133"/>
        </w:trPr>
        <w:tc>
          <w:tcPr>
            <w:tcW w:w="249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4595"/>
            <w:vAlign w:val="center"/>
            <w:hideMark/>
          </w:tcPr>
          <w:p w14:paraId="2499D4A7" w14:textId="77777777" w:rsidR="00AD5072" w:rsidRDefault="00AD5072" w:rsidP="004E257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1 049 mil. Kč</w:t>
            </w:r>
          </w:p>
        </w:tc>
        <w:tc>
          <w:tcPr>
            <w:tcW w:w="2501" w:type="pct"/>
            <w:tcBorders>
              <w:top w:val="single" w:sz="2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2" w:space="0" w:color="FFFFFF" w:themeColor="background1"/>
            </w:tcBorders>
            <w:shd w:val="clear" w:color="auto" w:fill="004595"/>
            <w:vAlign w:val="center"/>
            <w:hideMark/>
          </w:tcPr>
          <w:p w14:paraId="3C7FDD51" w14:textId="77777777" w:rsidR="00AD5072" w:rsidRDefault="00AD5072" w:rsidP="004E257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21 mil. Kč</w:t>
            </w:r>
          </w:p>
        </w:tc>
      </w:tr>
      <w:tr w:rsidR="00AD5072" w14:paraId="732195BA" w14:textId="77777777" w:rsidTr="00DE3C40">
        <w:trPr>
          <w:trHeight w:val="332"/>
        </w:trPr>
        <w:tc>
          <w:tcPr>
            <w:tcW w:w="2499" w:type="pct"/>
            <w:tcBorders>
              <w:top w:val="single" w:sz="6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6" w:space="0" w:color="FFFFFF" w:themeColor="background1"/>
            </w:tcBorders>
            <w:shd w:val="clear" w:color="auto" w:fill="004595"/>
            <w:vAlign w:val="center"/>
            <w:hideMark/>
          </w:tcPr>
          <w:p w14:paraId="71FBB3BC" w14:textId="32929058" w:rsidR="00AD5072" w:rsidRDefault="00AD5072" w:rsidP="00DA547A">
            <w:pPr>
              <w:spacing w:before="120" w:line="264" w:lineRule="auto"/>
              <w:jc w:val="center"/>
            </w:pPr>
            <w:r>
              <w:t>Celková částka nesprávností ÚZ, které byly v průběhu kontroly zjištěny</w:t>
            </w:r>
          </w:p>
        </w:tc>
        <w:tc>
          <w:tcPr>
            <w:tcW w:w="250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4595"/>
            <w:vAlign w:val="center"/>
            <w:hideMark/>
          </w:tcPr>
          <w:p w14:paraId="602B2B1B" w14:textId="77777777" w:rsidR="00AD5072" w:rsidRDefault="00AD5072" w:rsidP="00DA547A">
            <w:pPr>
              <w:spacing w:before="120" w:line="264" w:lineRule="auto"/>
              <w:jc w:val="center"/>
            </w:pPr>
            <w:r>
              <w:t>Významnost (</w:t>
            </w:r>
            <w:proofErr w:type="spellStart"/>
            <w:r>
              <w:t>materialita</w:t>
            </w:r>
            <w:proofErr w:type="spellEnd"/>
            <w:r>
              <w:t>), tj. hodnota nesprávností, která byla stanovena pro posouzení spolehlivosti ÚZ</w:t>
            </w:r>
            <w:r>
              <w:rPr>
                <w:vertAlign w:val="superscript"/>
              </w:rPr>
              <w:footnoteReference w:id="1"/>
            </w:r>
          </w:p>
        </w:tc>
      </w:tr>
    </w:tbl>
    <w:p w14:paraId="3643252F" w14:textId="77777777" w:rsidR="00942BD2" w:rsidRPr="00DA547A" w:rsidRDefault="00942BD2" w:rsidP="00942BD2">
      <w:pPr>
        <w:spacing w:after="0"/>
      </w:pPr>
    </w:p>
    <w:p w14:paraId="48F65CE2" w14:textId="0EFAA655" w:rsidR="00942BD2" w:rsidRPr="00942BD2" w:rsidRDefault="00942BD2" w:rsidP="00942BD2">
      <w:pPr>
        <w:rPr>
          <w:b/>
          <w:noProof/>
          <w:lang w:eastAsia="cs-CZ"/>
        </w:rPr>
      </w:pPr>
      <w:r w:rsidRPr="003C12AB">
        <w:rPr>
          <w:b/>
          <w:noProof/>
          <w:lang w:eastAsia="cs-CZ"/>
        </w:rPr>
        <w:t>Spolehlivost ÚZ ve struktuře dle jednotlivých výkazů</w:t>
      </w:r>
    </w:p>
    <w:p w14:paraId="2E5617A7" w14:textId="15986E5D" w:rsidR="00942BD2" w:rsidRPr="00942BD2" w:rsidRDefault="00942BD2" w:rsidP="00942BD2">
      <w:pPr>
        <w:spacing w:after="0"/>
      </w:pPr>
    </w:p>
    <w:p w14:paraId="37D63B6F" w14:textId="335232AA" w:rsidR="00AD70CB" w:rsidRPr="00AD70CB" w:rsidRDefault="00DB3443" w:rsidP="00E76AD5">
      <w:pPr>
        <w:spacing w:after="0"/>
        <w:jc w:val="center"/>
        <w:rPr>
          <w:rFonts w:cs="Calibri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81753C1" wp14:editId="64523502">
            <wp:simplePos x="0" y="0"/>
            <wp:positionH relativeFrom="margin">
              <wp:posOffset>4108450</wp:posOffset>
            </wp:positionH>
            <wp:positionV relativeFrom="margin">
              <wp:posOffset>5009957</wp:posOffset>
            </wp:positionV>
            <wp:extent cx="1604645" cy="466090"/>
            <wp:effectExtent l="0" t="0" r="0" b="0"/>
            <wp:wrapNone/>
            <wp:docPr id="2" name="Obrázek 2" descr="D:\MS Praha\KZ\MZD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D:\MS Praha\KZ\MZD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CB" w:rsidRPr="00AD70CB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AD70CB" w:rsidRPr="00AD70CB">
        <w:rPr>
          <w:rFonts w:cs="Calibri"/>
          <w:color w:val="1F497D"/>
          <w:sz w:val="22"/>
          <w:szCs w:val="22"/>
          <w:lang w:eastAsia="cs-CZ"/>
        </w:rPr>
        <w:instrText xml:space="preserve"> INCLUDEPICTURE "cid:image001.png@01D50CA9.DE01E490" \* MERGEFORMATINET </w:instrText>
      </w:r>
      <w:r w:rsidR="00AD70CB" w:rsidRPr="00AD70CB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685006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685006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685006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495257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495257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495257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255E61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255E61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255E61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31786F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31786F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31786F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843E07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843E07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843E07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9A721F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9A721F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9A721F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C70C27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C70C27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C70C27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3D1FC6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3D1FC6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3D1FC6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0B1D9C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0B1D9C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0B1D9C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FC1529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FC1529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FC1529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7626A5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7626A5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7626A5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103119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103119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103119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7D2517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7D2517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7D2517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8E711F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8E711F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8E711F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217E9D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217E9D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217E9D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50676B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50676B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50676B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F91EE4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F91EE4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F91EE4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A04C73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A04C73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A04C73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B66344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B66344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B66344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ED2E67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ED2E67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ED2E67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277B70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277B70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277B70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0950EF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0950EF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0950EF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EE6639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EE6639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EE6639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7B2E2B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7B2E2B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7B2E2B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CB1B58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CB1B58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CB1B58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EF0793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EF0793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EF0793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AF6D22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AF6D22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AF6D22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F845D6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F845D6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F845D6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BF3C00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BF3C00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BF3C00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E607D8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E607D8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E607D8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9F1965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9F1965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9F1965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4C2CD7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4C2CD7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4C2CD7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EB7065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EB7065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EB7065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704F56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704F56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704F56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AC5AAC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AC5AAC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AC5AAC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6F0935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6F0935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6F0935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CC4107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CC4107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CC4107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2609BD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2609BD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2609BD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21099B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21099B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21099B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426090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426090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426090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C03D00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C03D00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C03D00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47260A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47260A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47260A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4B0EBB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4B0EBB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4B0EBB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E3770E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E3770E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E3770E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735F81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735F81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735F81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2A1CA3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2A1CA3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2A1CA3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9002BF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9002BF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9002BF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AD5072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AD5072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AD5072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6A2A6D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6A2A6D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6A2A6D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5F17B3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5F17B3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5F17B3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8617E1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8617E1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8617E1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1B68EE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1B68EE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1B68EE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875E88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875E88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875E88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6D18A6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6D18A6">
        <w:rPr>
          <w:rFonts w:cs="Calibri"/>
          <w:color w:val="1F497D"/>
          <w:sz w:val="22"/>
          <w:szCs w:val="22"/>
          <w:lang w:eastAsia="cs-CZ"/>
        </w:rPr>
        <w:instrText xml:space="preserve"> INCLUDEPICTURE  "cid:image001.png@01D50CA9.DE01E490" \* MERGEFORMATINET </w:instrText>
      </w:r>
      <w:r w:rsidR="006D18A6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7C7A44">
        <w:rPr>
          <w:rFonts w:cs="Calibri"/>
          <w:color w:val="1F497D"/>
          <w:sz w:val="22"/>
          <w:szCs w:val="22"/>
          <w:lang w:eastAsia="cs-CZ"/>
        </w:rPr>
        <w:fldChar w:fldCharType="begin"/>
      </w:r>
      <w:r w:rsidR="007C7A44">
        <w:rPr>
          <w:rFonts w:cs="Calibri"/>
          <w:color w:val="1F497D"/>
          <w:sz w:val="22"/>
          <w:szCs w:val="22"/>
          <w:lang w:eastAsia="cs-CZ"/>
        </w:rPr>
        <w:instrText xml:space="preserve"> </w:instrText>
      </w:r>
      <w:r w:rsidR="007C7A44">
        <w:rPr>
          <w:rFonts w:cs="Calibri"/>
          <w:color w:val="1F497D"/>
          <w:sz w:val="22"/>
          <w:szCs w:val="22"/>
          <w:lang w:eastAsia="cs-CZ"/>
        </w:rPr>
        <w:instrText>INCLUDEPICTURE  "cid:image001.png@01D50CA9.DE01E490" \* MERGEFORMATINET</w:instrText>
      </w:r>
      <w:r w:rsidR="007C7A44">
        <w:rPr>
          <w:rFonts w:cs="Calibri"/>
          <w:color w:val="1F497D"/>
          <w:sz w:val="22"/>
          <w:szCs w:val="22"/>
          <w:lang w:eastAsia="cs-CZ"/>
        </w:rPr>
        <w:instrText xml:space="preserve"> </w:instrText>
      </w:r>
      <w:r w:rsidR="007C7A44">
        <w:rPr>
          <w:rFonts w:cs="Calibri"/>
          <w:color w:val="1F497D"/>
          <w:sz w:val="22"/>
          <w:szCs w:val="22"/>
          <w:lang w:eastAsia="cs-CZ"/>
        </w:rPr>
        <w:fldChar w:fldCharType="separate"/>
      </w:r>
      <w:r w:rsidR="0098457E">
        <w:rPr>
          <w:rFonts w:cs="Calibri"/>
          <w:color w:val="1F497D"/>
          <w:sz w:val="22"/>
          <w:szCs w:val="22"/>
          <w:lang w:eastAsia="cs-CZ"/>
        </w:rPr>
        <w:pict w14:anchorId="719CF3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55.85pt;height:164.85pt">
            <v:imagedata r:id="rId13" r:href="rId14"/>
          </v:shape>
        </w:pict>
      </w:r>
      <w:r w:rsidR="007C7A44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6D18A6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875E88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1B68EE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8617E1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5F17B3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6A2A6D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AD5072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9002BF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2A1CA3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735F81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E3770E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4B0EBB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47260A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C03D00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426090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21099B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2609BD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CC4107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6F0935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AC5AAC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704F56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EB7065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4C2CD7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9F1965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E607D8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BF3C00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F845D6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AF6D22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EF0793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CB1B58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7B2E2B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EE6639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0950EF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277B70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ED2E67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B66344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A04C73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F91EE4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50676B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217E9D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8E711F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7D2517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103119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7626A5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FC1529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0B1D9C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3D1FC6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C70C27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9A721F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843E07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31786F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255E61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495257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685006">
        <w:rPr>
          <w:rFonts w:cs="Calibri"/>
          <w:color w:val="1F497D"/>
          <w:sz w:val="22"/>
          <w:szCs w:val="22"/>
          <w:lang w:eastAsia="cs-CZ"/>
        </w:rPr>
        <w:fldChar w:fldCharType="end"/>
      </w:r>
      <w:r w:rsidR="00AD70CB" w:rsidRPr="00AD70CB">
        <w:rPr>
          <w:rFonts w:cs="Calibri"/>
          <w:color w:val="1F497D"/>
          <w:sz w:val="22"/>
          <w:szCs w:val="22"/>
          <w:lang w:eastAsia="cs-CZ"/>
        </w:rPr>
        <w:fldChar w:fldCharType="end"/>
      </w:r>
    </w:p>
    <w:p w14:paraId="58AFD60D" w14:textId="19435467" w:rsidR="003C12AB" w:rsidRPr="00942BD2" w:rsidRDefault="003C12AB" w:rsidP="00AD5072">
      <w:pPr>
        <w:spacing w:after="0"/>
        <w:jc w:val="both"/>
        <w:rPr>
          <w:b/>
        </w:rPr>
      </w:pPr>
    </w:p>
    <w:tbl>
      <w:tblPr>
        <w:tblW w:w="907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942BD2" w:rsidRPr="00F07E08" w14:paraId="008CF2CC" w14:textId="77777777" w:rsidTr="000219D6">
        <w:trPr>
          <w:trHeight w:val="964"/>
        </w:trPr>
        <w:tc>
          <w:tcPr>
            <w:tcW w:w="2835" w:type="dxa"/>
          </w:tcPr>
          <w:p w14:paraId="308A756B" w14:textId="1EDEA8D8" w:rsidR="00F845D6" w:rsidRPr="00942BD2" w:rsidRDefault="003C12AB" w:rsidP="009F0524">
            <w:pPr>
              <w:spacing w:before="40" w:after="40"/>
              <w:rPr>
                <w:b/>
              </w:rPr>
            </w:pPr>
            <w:r w:rsidRPr="00942BD2">
              <w:rPr>
                <w:b/>
              </w:rPr>
              <w:t xml:space="preserve">Spolehlivost údajů </w:t>
            </w:r>
            <w:r>
              <w:rPr>
                <w:b/>
              </w:rPr>
              <w:t xml:space="preserve">ÚZ dle </w:t>
            </w:r>
            <w:r w:rsidR="004A44FB">
              <w:rPr>
                <w:b/>
              </w:rPr>
              <w:t>schvalujícího orgánu</w:t>
            </w:r>
            <w:r>
              <w:rPr>
                <w:b/>
              </w:rPr>
              <w:t xml:space="preserve"> </w:t>
            </w:r>
          </w:p>
        </w:tc>
        <w:tc>
          <w:tcPr>
            <w:tcW w:w="6236" w:type="dxa"/>
          </w:tcPr>
          <w:p w14:paraId="2BA1FDA8" w14:textId="36C250AC" w:rsidR="00F07E08" w:rsidRPr="00F07E08" w:rsidRDefault="00D0424A" w:rsidP="009F0524">
            <w:pPr>
              <w:spacing w:before="40" w:after="40"/>
              <w:jc w:val="both"/>
              <w:rPr>
                <w:lang w:eastAsia="cs-CZ"/>
              </w:rPr>
            </w:pPr>
            <w:r w:rsidRPr="00F07E08">
              <w:rPr>
                <w:lang w:eastAsia="cs-CZ"/>
              </w:rPr>
              <w:t>Jedním z podkladů</w:t>
            </w:r>
            <w:r w:rsidR="00BC1479" w:rsidRPr="00F07E08">
              <w:rPr>
                <w:lang w:eastAsia="cs-CZ"/>
              </w:rPr>
              <w:t xml:space="preserve"> pro schvalování ÚZ byla zpráva </w:t>
            </w:r>
            <w:r w:rsidR="00447901" w:rsidRPr="00F07E08">
              <w:rPr>
                <w:lang w:eastAsia="cs-CZ"/>
              </w:rPr>
              <w:t xml:space="preserve">externího </w:t>
            </w:r>
            <w:r w:rsidR="00BC1479" w:rsidRPr="00F07E08">
              <w:rPr>
                <w:lang w:eastAsia="cs-CZ"/>
              </w:rPr>
              <w:t>auditora</w:t>
            </w:r>
            <w:r w:rsidR="00F845D6">
              <w:rPr>
                <w:lang w:eastAsia="cs-CZ"/>
              </w:rPr>
              <w:t>,</w:t>
            </w:r>
            <w:r w:rsidR="00636966">
              <w:rPr>
                <w:lang w:eastAsia="cs-CZ"/>
              </w:rPr>
              <w:t xml:space="preserve"> </w:t>
            </w:r>
            <w:r w:rsidR="00F845D6">
              <w:rPr>
                <w:lang w:eastAsia="cs-CZ"/>
              </w:rPr>
              <w:t>která uvádí, že ÚZ podává věrný a poctivý obraz předmětu účetnictví.</w:t>
            </w:r>
            <w:r w:rsidR="00F845D6" w:rsidRPr="00F07E08">
              <w:rPr>
                <w:lang w:eastAsia="cs-CZ"/>
              </w:rPr>
              <w:t xml:space="preserve"> </w:t>
            </w:r>
            <w:r w:rsidR="00F845D6">
              <w:rPr>
                <w:lang w:eastAsia="cs-CZ"/>
              </w:rPr>
              <w:t>Současně ani žádná z</w:t>
            </w:r>
            <w:r w:rsidR="00447901" w:rsidRPr="00F07E08">
              <w:rPr>
                <w:lang w:eastAsia="cs-CZ"/>
              </w:rPr>
              <w:t>práv</w:t>
            </w:r>
            <w:r w:rsidR="00F845D6">
              <w:rPr>
                <w:lang w:eastAsia="cs-CZ"/>
              </w:rPr>
              <w:t>a</w:t>
            </w:r>
            <w:r w:rsidR="00447901" w:rsidRPr="00F07E08">
              <w:rPr>
                <w:lang w:eastAsia="cs-CZ"/>
              </w:rPr>
              <w:t xml:space="preserve"> interního auditu</w:t>
            </w:r>
            <w:r w:rsidR="00394E0A">
              <w:rPr>
                <w:lang w:eastAsia="cs-CZ"/>
              </w:rPr>
              <w:t xml:space="preserve"> MS Praha</w:t>
            </w:r>
            <w:r w:rsidR="00447901" w:rsidRPr="00F07E08">
              <w:rPr>
                <w:lang w:eastAsia="cs-CZ"/>
              </w:rPr>
              <w:t xml:space="preserve"> neuváděl</w:t>
            </w:r>
            <w:r w:rsidR="00F845D6">
              <w:rPr>
                <w:lang w:eastAsia="cs-CZ"/>
              </w:rPr>
              <w:t>a</w:t>
            </w:r>
            <w:r w:rsidR="00447901" w:rsidRPr="00F07E08">
              <w:rPr>
                <w:lang w:eastAsia="cs-CZ"/>
              </w:rPr>
              <w:t xml:space="preserve"> </w:t>
            </w:r>
            <w:r w:rsidR="00F845D6">
              <w:rPr>
                <w:lang w:eastAsia="cs-CZ"/>
              </w:rPr>
              <w:t xml:space="preserve">žádné </w:t>
            </w:r>
            <w:r w:rsidR="00447901" w:rsidRPr="00F07E08">
              <w:rPr>
                <w:lang w:eastAsia="cs-CZ"/>
              </w:rPr>
              <w:t>zjištění o skutečnostech, které by mohly způsobit neúplnost účetnictví.</w:t>
            </w:r>
            <w:r w:rsidR="00F845D6">
              <w:rPr>
                <w:lang w:eastAsia="cs-CZ"/>
              </w:rPr>
              <w:t xml:space="preserve"> Mi</w:t>
            </w:r>
            <w:r w:rsidR="00F845D6" w:rsidRPr="00F07E08">
              <w:rPr>
                <w:lang w:eastAsia="cs-CZ"/>
              </w:rPr>
              <w:t>nisterstv</w:t>
            </w:r>
            <w:r w:rsidR="00F845D6">
              <w:rPr>
                <w:lang w:eastAsia="cs-CZ"/>
              </w:rPr>
              <w:t>o</w:t>
            </w:r>
            <w:r w:rsidR="00F845D6" w:rsidRPr="00F07E08">
              <w:rPr>
                <w:lang w:eastAsia="cs-CZ"/>
              </w:rPr>
              <w:t xml:space="preserve"> spravedlnosti</w:t>
            </w:r>
            <w:r w:rsidR="00F845D6">
              <w:rPr>
                <w:lang w:eastAsia="cs-CZ"/>
              </w:rPr>
              <w:t>, jako schvalující orgán, tedy ÚZ schválil</w:t>
            </w:r>
            <w:r w:rsidR="000455AF">
              <w:rPr>
                <w:lang w:eastAsia="cs-CZ"/>
              </w:rPr>
              <w:t>o</w:t>
            </w:r>
            <w:r w:rsidR="00F845D6">
              <w:rPr>
                <w:lang w:eastAsia="cs-CZ"/>
              </w:rPr>
              <w:t>.</w:t>
            </w:r>
          </w:p>
        </w:tc>
      </w:tr>
      <w:tr w:rsidR="00942BD2" w:rsidRPr="00942BD2" w14:paraId="1F7F785D" w14:textId="77777777" w:rsidTr="000219D6">
        <w:trPr>
          <w:trHeight w:val="454"/>
        </w:trPr>
        <w:tc>
          <w:tcPr>
            <w:tcW w:w="2835" w:type="dxa"/>
          </w:tcPr>
          <w:p w14:paraId="3A4B2AA4" w14:textId="77777777" w:rsidR="00942BD2" w:rsidRPr="00942BD2" w:rsidRDefault="00942BD2" w:rsidP="009F0524">
            <w:pPr>
              <w:spacing w:before="40" w:after="40"/>
              <w:rPr>
                <w:b/>
              </w:rPr>
            </w:pPr>
            <w:r w:rsidRPr="00942BD2">
              <w:rPr>
                <w:b/>
              </w:rPr>
              <w:t>Porušení rozpočtové kázně</w:t>
            </w:r>
          </w:p>
        </w:tc>
        <w:tc>
          <w:tcPr>
            <w:tcW w:w="6236" w:type="dxa"/>
          </w:tcPr>
          <w:p w14:paraId="1DC16654" w14:textId="748C50A0" w:rsidR="00D0424A" w:rsidRPr="00942BD2" w:rsidRDefault="00F845D6" w:rsidP="009F0524">
            <w:pPr>
              <w:spacing w:before="40" w:after="40"/>
              <w:jc w:val="both"/>
              <w:rPr>
                <w:lang w:eastAsia="cs-CZ"/>
              </w:rPr>
            </w:pPr>
            <w:r>
              <w:t xml:space="preserve">Byly zjištěny výdaje v celkové částce přesahující 26 mil. Kč, které byly realizovány </w:t>
            </w:r>
            <w:r w:rsidR="00D0424A">
              <w:t>v rozporu s právními předpisy</w:t>
            </w:r>
            <w:r w:rsidR="00AA19BE">
              <w:t xml:space="preserve">. Tyto skutečnosti jsou dle </w:t>
            </w:r>
            <w:r w:rsidR="00AA19BE" w:rsidRPr="00AA19BE">
              <w:t>zákona č. 218/2000 Sb., o rozpočtových pravidlech a o změně některých souvisejících zákonů (rozpočtová pravidla)</w:t>
            </w:r>
            <w:r w:rsidR="00AA19BE">
              <w:t>,</w:t>
            </w:r>
            <w:r w:rsidR="00942BD2" w:rsidRPr="00942BD2">
              <w:t xml:space="preserve"> porušení</w:t>
            </w:r>
            <w:r w:rsidR="00AA19BE">
              <w:t>m</w:t>
            </w:r>
            <w:r w:rsidR="00942BD2" w:rsidRPr="00942BD2">
              <w:t xml:space="preserve"> rozpočtové kázně</w:t>
            </w:r>
            <w:r>
              <w:t>.</w:t>
            </w:r>
            <w:r w:rsidR="008F4508">
              <w:t xml:space="preserve"> </w:t>
            </w:r>
            <w:r w:rsidR="00AD09F5">
              <w:t xml:space="preserve">Rozhodující podíl na této částce mělo nedodržení </w:t>
            </w:r>
            <w:r w:rsidR="00735F81">
              <w:t>rozpočtových</w:t>
            </w:r>
            <w:r w:rsidR="00AD09F5">
              <w:t xml:space="preserve"> pravidel při poskytování záloh ke splnění povinnosti uložené zvláštním pr</w:t>
            </w:r>
            <w:r w:rsidR="00BE69F9">
              <w:t>á</w:t>
            </w:r>
            <w:r w:rsidR="00AD09F5">
              <w:t xml:space="preserve">vním předpisem. NKÚ v této </w:t>
            </w:r>
            <w:r w:rsidR="00735F81">
              <w:lastRenderedPageBreak/>
              <w:t>souvislosti</w:t>
            </w:r>
            <w:r w:rsidR="00AD09F5">
              <w:t xml:space="preserve"> doporučuje, aby byla </w:t>
            </w:r>
            <w:r w:rsidR="00735F81">
              <w:t>provedena</w:t>
            </w:r>
            <w:r w:rsidR="00AD09F5">
              <w:t xml:space="preserve"> úprava</w:t>
            </w:r>
            <w:r w:rsidR="00735F81">
              <w:t xml:space="preserve"> rozpočtových pravidel tak, aby respektovala specifika soudních řízení.</w:t>
            </w:r>
          </w:p>
        </w:tc>
      </w:tr>
      <w:tr w:rsidR="00035A4F" w:rsidRPr="00942BD2" w14:paraId="33982FA0" w14:textId="77777777" w:rsidTr="000219D6">
        <w:trPr>
          <w:trHeight w:val="454"/>
        </w:trPr>
        <w:tc>
          <w:tcPr>
            <w:tcW w:w="2835" w:type="dxa"/>
          </w:tcPr>
          <w:p w14:paraId="5A7FBD03" w14:textId="0267A9FC" w:rsidR="00B93337" w:rsidRPr="00942BD2" w:rsidRDefault="00F845D6" w:rsidP="009F0524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Porušení dalších právních předpisů</w:t>
            </w:r>
          </w:p>
        </w:tc>
        <w:tc>
          <w:tcPr>
            <w:tcW w:w="6236" w:type="dxa"/>
          </w:tcPr>
          <w:p w14:paraId="490D3287" w14:textId="503EBAC7" w:rsidR="00862667" w:rsidRDefault="00AD70CB" w:rsidP="009F0524">
            <w:pPr>
              <w:spacing w:before="40" w:after="40"/>
              <w:jc w:val="both"/>
            </w:pPr>
            <w:r>
              <w:t>MS Praha</w:t>
            </w:r>
            <w:r w:rsidR="00F377B9">
              <w:t xml:space="preserve"> nevracel </w:t>
            </w:r>
            <w:r w:rsidR="007C2B08">
              <w:t>v</w:t>
            </w:r>
            <w:r w:rsidR="0083157F">
              <w:t xml:space="preserve"> zákonných lhůtách </w:t>
            </w:r>
            <w:r w:rsidR="00F377B9">
              <w:t>s</w:t>
            </w:r>
            <w:r w:rsidR="0083157F">
              <w:t>oudní</w:t>
            </w:r>
            <w:r w:rsidR="009646D6">
              <w:t xml:space="preserve"> </w:t>
            </w:r>
            <w:r w:rsidR="0083157F">
              <w:t>poplatky</w:t>
            </w:r>
            <w:r w:rsidR="009646D6">
              <w:t xml:space="preserve"> </w:t>
            </w:r>
            <w:r w:rsidR="0083157F">
              <w:t>a</w:t>
            </w:r>
            <w:r w:rsidR="009646D6">
              <w:t> </w:t>
            </w:r>
            <w:r w:rsidR="0083157F">
              <w:t xml:space="preserve">tím se </w:t>
            </w:r>
            <w:r w:rsidR="00F377B9">
              <w:t xml:space="preserve">vystavoval </w:t>
            </w:r>
            <w:r w:rsidR="0083157F">
              <w:t>riziku platby úroků z prodlení z</w:t>
            </w:r>
            <w:r w:rsidR="004F6444">
              <w:t> vratitelného přeplatku.</w:t>
            </w:r>
          </w:p>
          <w:p w14:paraId="02B9F928" w14:textId="0DE8EAE8" w:rsidR="00865C74" w:rsidRPr="00942BD2" w:rsidRDefault="00E529CB" w:rsidP="009F0524">
            <w:pPr>
              <w:spacing w:before="40" w:after="40"/>
              <w:jc w:val="both"/>
            </w:pPr>
            <w:r>
              <w:t>MS Praha v průběhu kontrolovaného období porušoval daňové předpisy tím, že se neregistroval jako plátce daně z přidané hodnoty</w:t>
            </w:r>
            <w:r w:rsidR="006A2A6D">
              <w:t>,</w:t>
            </w:r>
            <w:r>
              <w:t xml:space="preserve"> a také tím, že v řádném termínu nepodal daňové přiznání k dani z nemovitých věcí.</w:t>
            </w:r>
          </w:p>
        </w:tc>
      </w:tr>
      <w:tr w:rsidR="00631E60" w:rsidRPr="00942BD2" w14:paraId="74000E54" w14:textId="77777777" w:rsidTr="000219D6">
        <w:trPr>
          <w:trHeight w:val="454"/>
        </w:trPr>
        <w:tc>
          <w:tcPr>
            <w:tcW w:w="2835" w:type="dxa"/>
          </w:tcPr>
          <w:p w14:paraId="7067DA87" w14:textId="0A9CD4F0" w:rsidR="00631E60" w:rsidRPr="00942BD2" w:rsidRDefault="009F0524" w:rsidP="009F0524">
            <w:pPr>
              <w:spacing w:before="40" w:after="40"/>
              <w:rPr>
                <w:b/>
              </w:rPr>
            </w:pPr>
            <w:r>
              <w:rPr>
                <w:b/>
              </w:rPr>
              <w:t>Vnitřní kontrolní systém</w:t>
            </w:r>
          </w:p>
        </w:tc>
        <w:tc>
          <w:tcPr>
            <w:tcW w:w="6236" w:type="dxa"/>
          </w:tcPr>
          <w:p w14:paraId="5B374FDF" w14:textId="49BFFC8F" w:rsidR="00631E60" w:rsidRPr="00942BD2" w:rsidRDefault="009F0524" w:rsidP="009F0524">
            <w:pPr>
              <w:spacing w:before="40" w:after="40"/>
              <w:jc w:val="both"/>
            </w:pPr>
            <w:r>
              <w:rPr>
                <w:lang w:eastAsia="cs-CZ"/>
              </w:rPr>
              <w:t>Vnitřní kontrolní systém MS Praha nebyl ve výše uvedených oblastech dostatečně účinný.</w:t>
            </w:r>
          </w:p>
        </w:tc>
      </w:tr>
    </w:tbl>
    <w:p w14:paraId="31F00507" w14:textId="77777777" w:rsidR="009F0524" w:rsidRDefault="009F0524" w:rsidP="009F0524">
      <w:pPr>
        <w:spacing w:after="0"/>
        <w:jc w:val="both"/>
        <w:rPr>
          <w:rFonts w:asciiTheme="minorHAnsi" w:eastAsiaTheme="minorHAnsi" w:hAnsiTheme="minorHAnsi" w:cstheme="minorHAnsi"/>
          <w:szCs w:val="28"/>
        </w:rPr>
      </w:pPr>
    </w:p>
    <w:p w14:paraId="5FFD9D9B" w14:textId="77777777" w:rsidR="009F0524" w:rsidRPr="00BA0877" w:rsidRDefault="009F0524" w:rsidP="009F0524">
      <w:pPr>
        <w:spacing w:after="0"/>
        <w:jc w:val="both"/>
        <w:rPr>
          <w:rFonts w:asciiTheme="minorHAnsi" w:eastAsiaTheme="minorHAnsi" w:hAnsiTheme="minorHAnsi" w:cstheme="minorHAnsi"/>
          <w:szCs w:val="28"/>
        </w:rPr>
      </w:pPr>
    </w:p>
    <w:p w14:paraId="0970ADBB" w14:textId="77777777" w:rsidR="00DA547A" w:rsidRDefault="00DA547A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br w:type="page"/>
      </w:r>
    </w:p>
    <w:p w14:paraId="4BF43063" w14:textId="15F8EB89" w:rsidR="0033466E" w:rsidRPr="00946197" w:rsidRDefault="0033466E" w:rsidP="00C854EE">
      <w:pPr>
        <w:pStyle w:val="Nadpis1"/>
      </w:pPr>
      <w:r w:rsidRPr="00946197">
        <w:lastRenderedPageBreak/>
        <w:t>I. Shrnutí a vyhodnocení</w:t>
      </w:r>
    </w:p>
    <w:p w14:paraId="71F11F6D" w14:textId="77777777" w:rsidR="00580947" w:rsidRDefault="0033466E" w:rsidP="00C1317F">
      <w:pPr>
        <w:spacing w:after="0"/>
        <w:jc w:val="both"/>
        <w:rPr>
          <w:rFonts w:asciiTheme="minorHAnsi" w:eastAsiaTheme="minorHAnsi" w:hAnsiTheme="minorHAnsi" w:cstheme="minorHAnsi"/>
        </w:rPr>
      </w:pPr>
      <w:r w:rsidRPr="00C1317F">
        <w:rPr>
          <w:rFonts w:asciiTheme="minorHAnsi" w:eastAsiaTheme="minorHAnsi" w:hAnsiTheme="minorHAnsi" w:cstheme="minorHAnsi"/>
        </w:rPr>
        <w:t>Cílem kontrolní akce č. 1</w:t>
      </w:r>
      <w:r w:rsidR="00E7216C" w:rsidRPr="00C1317F">
        <w:rPr>
          <w:rFonts w:asciiTheme="minorHAnsi" w:eastAsiaTheme="minorHAnsi" w:hAnsiTheme="minorHAnsi" w:cstheme="minorHAnsi"/>
        </w:rPr>
        <w:t>8/25</w:t>
      </w:r>
      <w:r w:rsidR="00B8437D" w:rsidRPr="00C1317F">
        <w:rPr>
          <w:rFonts w:asciiTheme="minorHAnsi" w:eastAsiaTheme="minorHAnsi" w:hAnsiTheme="minorHAnsi" w:cstheme="minorHAnsi"/>
        </w:rPr>
        <w:t xml:space="preserve"> bylo prověřit, zda </w:t>
      </w:r>
      <w:r w:rsidR="00E7216C" w:rsidRPr="00C1317F">
        <w:rPr>
          <w:rFonts w:asciiTheme="minorHAnsi" w:eastAsiaTheme="minorHAnsi" w:hAnsiTheme="minorHAnsi" w:cstheme="minorHAnsi"/>
        </w:rPr>
        <w:t>MS Praha</w:t>
      </w:r>
      <w:r w:rsidRPr="00C1317F">
        <w:rPr>
          <w:rFonts w:asciiTheme="minorHAnsi" w:eastAsiaTheme="minorHAnsi" w:hAnsiTheme="minorHAnsi" w:cstheme="minorHAnsi"/>
        </w:rPr>
        <w:t xml:space="preserve"> při vedení účetnictví v roce 2017 a </w:t>
      </w:r>
      <w:r w:rsidR="00394E0A">
        <w:rPr>
          <w:rFonts w:asciiTheme="minorHAnsi" w:eastAsiaTheme="minorHAnsi" w:hAnsiTheme="minorHAnsi" w:cstheme="minorHAnsi"/>
        </w:rPr>
        <w:t xml:space="preserve">při </w:t>
      </w:r>
      <w:r w:rsidRPr="00C1317F">
        <w:rPr>
          <w:rFonts w:asciiTheme="minorHAnsi" w:eastAsiaTheme="minorHAnsi" w:hAnsiTheme="minorHAnsi" w:cstheme="minorHAnsi"/>
        </w:rPr>
        <w:t xml:space="preserve">sestavení </w:t>
      </w:r>
      <w:r w:rsidR="00394E0A" w:rsidRPr="00F57E70">
        <w:rPr>
          <w:rFonts w:asciiTheme="minorHAnsi" w:eastAsiaTheme="minorHAnsi" w:hAnsiTheme="minorHAnsi" w:cstheme="minorHAnsi"/>
          <w:bCs/>
        </w:rPr>
        <w:t xml:space="preserve">účetní závěrky k 31. 12. 2017 </w:t>
      </w:r>
      <w:r w:rsidR="00E7216C" w:rsidRPr="00C1317F">
        <w:rPr>
          <w:rFonts w:asciiTheme="minorHAnsi" w:eastAsiaTheme="minorHAnsi" w:hAnsiTheme="minorHAnsi" w:cstheme="minorHAnsi"/>
        </w:rPr>
        <w:t>postupoval</w:t>
      </w:r>
      <w:r w:rsidRPr="00C1317F">
        <w:rPr>
          <w:rFonts w:asciiTheme="minorHAnsi" w:eastAsiaTheme="minorHAnsi" w:hAnsiTheme="minorHAnsi" w:cstheme="minorHAnsi"/>
        </w:rPr>
        <w:t xml:space="preserve"> v souladu s příslušnými právními předpisy.</w:t>
      </w:r>
    </w:p>
    <w:p w14:paraId="4A4F9427" w14:textId="77777777" w:rsidR="00C1317F" w:rsidRPr="00C1317F" w:rsidRDefault="00C1317F" w:rsidP="00C1317F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69F38A3C" w14:textId="11C047D3" w:rsidR="00E7216C" w:rsidRPr="00F57E70" w:rsidRDefault="00E7216C" w:rsidP="00C1317F">
      <w:pPr>
        <w:spacing w:after="0"/>
        <w:jc w:val="both"/>
        <w:rPr>
          <w:rFonts w:eastAsiaTheme="minorHAnsi" w:cs="Calibri"/>
          <w:b/>
        </w:rPr>
      </w:pPr>
      <w:r w:rsidRPr="00C1317F">
        <w:rPr>
          <w:rFonts w:eastAsiaTheme="minorHAnsi" w:cs="Calibri"/>
          <w:b/>
        </w:rPr>
        <w:t>NKÚ prověřil průkaznost účetního zpracování, spolehlivost finančních informací na výstupu z účetní jednotky a dodržování vybraných požadavků právních předpisů při hospodaření s </w:t>
      </w:r>
      <w:r w:rsidRPr="00F57E70">
        <w:rPr>
          <w:rFonts w:eastAsiaTheme="minorHAnsi" w:cs="Calibri"/>
          <w:b/>
        </w:rPr>
        <w:t xml:space="preserve">majetkem státu. </w:t>
      </w:r>
      <w:r w:rsidR="00C40D23">
        <w:rPr>
          <w:rFonts w:eastAsiaTheme="minorHAnsi" w:cs="Calibri"/>
          <w:b/>
        </w:rPr>
        <w:t>Dodrž</w:t>
      </w:r>
      <w:r w:rsidR="00834338">
        <w:rPr>
          <w:rFonts w:eastAsiaTheme="minorHAnsi" w:cs="Calibri"/>
          <w:b/>
        </w:rPr>
        <w:t>ová</w:t>
      </w:r>
      <w:r w:rsidR="00C40D23">
        <w:rPr>
          <w:rFonts w:eastAsiaTheme="minorHAnsi" w:cs="Calibri"/>
          <w:b/>
        </w:rPr>
        <w:t>ní</w:t>
      </w:r>
      <w:r w:rsidRPr="00F57E70">
        <w:rPr>
          <w:rFonts w:eastAsiaTheme="minorHAnsi" w:cs="Calibri"/>
          <w:b/>
        </w:rPr>
        <w:t xml:space="preserve"> těchto postupů je základem řádného finančního řízení v souladu se zákonem č. 320/2001 Sb., o finanční kontrole ve veřejné správě a o změně některých zákonů (zákon o finanční kontrole). </w:t>
      </w:r>
    </w:p>
    <w:p w14:paraId="3F0B197B" w14:textId="77777777" w:rsidR="00E7216C" w:rsidRPr="00F57E70" w:rsidRDefault="00E7216C" w:rsidP="00C1317F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27DD5CED" w14:textId="6A00C0B9" w:rsidR="00E7216C" w:rsidRPr="00F57E70" w:rsidRDefault="00E7216C" w:rsidP="00C1317F">
      <w:pPr>
        <w:spacing w:after="0"/>
        <w:jc w:val="both"/>
        <w:rPr>
          <w:rFonts w:asciiTheme="minorHAnsi" w:eastAsiaTheme="minorHAnsi" w:hAnsiTheme="minorHAnsi" w:cstheme="minorHAnsi"/>
        </w:rPr>
      </w:pPr>
      <w:r w:rsidRPr="00F57E70">
        <w:rPr>
          <w:rFonts w:asciiTheme="minorHAnsi" w:eastAsiaTheme="minorHAnsi" w:hAnsiTheme="minorHAnsi" w:cstheme="minorHAnsi"/>
        </w:rPr>
        <w:t>MS Praha jako organizační složka státu (dále také „OSS“) je povinen v souladu se zákonem č.</w:t>
      </w:r>
      <w:r w:rsidR="00E23B56">
        <w:rPr>
          <w:rFonts w:asciiTheme="minorHAnsi" w:eastAsiaTheme="minorHAnsi" w:hAnsiTheme="minorHAnsi" w:cstheme="minorHAnsi"/>
        </w:rPr>
        <w:t> </w:t>
      </w:r>
      <w:r w:rsidRPr="00F57E70">
        <w:rPr>
          <w:rFonts w:asciiTheme="minorHAnsi" w:eastAsiaTheme="minorHAnsi" w:hAnsiTheme="minorHAnsi" w:cstheme="minorHAnsi"/>
        </w:rPr>
        <w:t>563/1991 Sb., o účetnictví, účtovat o stavu a pohybu majetku a jiných aktiv, závazků a jiných pasiv, o nákladech a výnosech a o výsledku hospodaření. Informace, které předkládá v účetní závěrce, musí být spolehlivé, srovnatelné, srozumitelné a posuzují se z hlediska významnosti.</w:t>
      </w:r>
    </w:p>
    <w:p w14:paraId="7242B062" w14:textId="77777777" w:rsidR="00E7216C" w:rsidRPr="00F57E70" w:rsidRDefault="00E7216C" w:rsidP="00C1317F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37599F7" w14:textId="38FB512B" w:rsidR="0033466E" w:rsidRDefault="00BA0877" w:rsidP="00BA0877">
      <w:pPr>
        <w:pStyle w:val="Nadpis2"/>
        <w:numPr>
          <w:ilvl w:val="0"/>
          <w:numId w:val="0"/>
        </w:numPr>
        <w:spacing w:after="0" w:line="240" w:lineRule="auto"/>
        <w:contextualSpacing w:val="0"/>
      </w:pPr>
      <w:r>
        <w:t xml:space="preserve">1. </w:t>
      </w:r>
      <w:r w:rsidR="0033466E" w:rsidRPr="00C1317F">
        <w:t>Vedení účetnictví</w:t>
      </w:r>
      <w:r w:rsidR="00747FFC" w:rsidRPr="00C1317F">
        <w:t xml:space="preserve"> </w:t>
      </w:r>
      <w:r w:rsidR="00E7216C" w:rsidRPr="00C1317F">
        <w:t>MS Praha</w:t>
      </w:r>
      <w:r w:rsidR="005A7D01">
        <w:t xml:space="preserve"> a spolehlivost údajů ÚZ</w:t>
      </w:r>
    </w:p>
    <w:p w14:paraId="0A676416" w14:textId="77777777" w:rsidR="00BA0877" w:rsidRPr="00F57E70" w:rsidRDefault="00BA0877" w:rsidP="00BA0877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B6AB805" w14:textId="77777777" w:rsidR="00C1317F" w:rsidRDefault="005A7D01" w:rsidP="00C1317F">
      <w:pPr>
        <w:spacing w:after="0"/>
        <w:rPr>
          <w:b/>
        </w:rPr>
      </w:pPr>
      <w:r w:rsidRPr="0042165C">
        <w:rPr>
          <w:b/>
        </w:rPr>
        <w:t>1.1 Vedení účetnictví</w:t>
      </w:r>
    </w:p>
    <w:p w14:paraId="5695B3AE" w14:textId="77777777" w:rsidR="00BA0877" w:rsidRPr="00F57E70" w:rsidRDefault="00BA0877" w:rsidP="00BA0877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75B2594C" w14:textId="77777777" w:rsidR="0033466E" w:rsidRDefault="0033466E" w:rsidP="00C1317F">
      <w:pPr>
        <w:spacing w:after="0"/>
        <w:jc w:val="both"/>
      </w:pPr>
      <w:r w:rsidRPr="00C1317F">
        <w:t>V oblasti vedení účetnictví se kontrola zaměřila na jeho správnost, úplnost, průkaznost a srozumitelnost. Prověřila dodržování směrné účtové osnovy a správnost používání účetních metod. U vybraných účetních případů byla provedena kontrola s cílem ověřit systém účtování a vykazování informací o skutečnostech, k</w:t>
      </w:r>
      <w:r w:rsidR="00C1317F">
        <w:t>teré jsou předmětem účetnictví.</w:t>
      </w:r>
    </w:p>
    <w:p w14:paraId="5618A362" w14:textId="77777777" w:rsidR="00C1317F" w:rsidRPr="00C1317F" w:rsidRDefault="00C1317F" w:rsidP="00C1317F">
      <w:pPr>
        <w:spacing w:after="0"/>
        <w:jc w:val="both"/>
      </w:pPr>
    </w:p>
    <w:p w14:paraId="0A40BA4D" w14:textId="77777777" w:rsidR="001468C7" w:rsidRPr="00313C6C" w:rsidRDefault="001468C7" w:rsidP="001468C7">
      <w:pPr>
        <w:spacing w:after="0"/>
        <w:jc w:val="both"/>
        <w:rPr>
          <w:rFonts w:cs="Calibri"/>
        </w:rPr>
      </w:pPr>
      <w:r w:rsidRPr="00C1317F">
        <w:rPr>
          <w:rFonts w:cs="Calibri"/>
          <w:b/>
        </w:rPr>
        <w:t xml:space="preserve">MS Praha nevedl v roce 2017 úplné, průkazné a správné účetnictví </w:t>
      </w:r>
      <w:r w:rsidRPr="00313C6C">
        <w:rPr>
          <w:rFonts w:cs="Calibri"/>
        </w:rPr>
        <w:t>ve smyslu ustanovení § 8 zákona o účetnictví.</w:t>
      </w:r>
    </w:p>
    <w:p w14:paraId="7037CB53" w14:textId="77777777" w:rsidR="001468C7" w:rsidRPr="007E582E" w:rsidRDefault="001468C7" w:rsidP="001468C7">
      <w:pPr>
        <w:spacing w:after="0"/>
        <w:jc w:val="both"/>
        <w:rPr>
          <w:rFonts w:cs="Calibri"/>
          <w:b/>
          <w:highlight w:val="yellow"/>
        </w:rPr>
      </w:pPr>
    </w:p>
    <w:p w14:paraId="27802790" w14:textId="07001662" w:rsidR="001468C7" w:rsidRPr="00C1317F" w:rsidRDefault="001468C7" w:rsidP="001468C7">
      <w:pPr>
        <w:spacing w:after="0"/>
        <w:jc w:val="both"/>
        <w:rPr>
          <w:rFonts w:cs="Calibri"/>
        </w:rPr>
      </w:pPr>
      <w:r w:rsidRPr="00313C6C">
        <w:rPr>
          <w:rFonts w:cs="Calibri"/>
        </w:rPr>
        <w:t>V průběhu kontroly</w:t>
      </w:r>
      <w:r w:rsidRPr="00C1317F">
        <w:rPr>
          <w:rFonts w:cs="Calibri"/>
          <w:b/>
        </w:rPr>
        <w:t xml:space="preserve"> NKÚ zjistil v účetnictví MS Praha nesprávnosti s </w:t>
      </w:r>
      <w:r w:rsidR="00C1317F" w:rsidRPr="00C1317F">
        <w:rPr>
          <w:rFonts w:cs="Calibri"/>
          <w:b/>
        </w:rPr>
        <w:t>rozsáhlým</w:t>
      </w:r>
      <w:r w:rsidRPr="00C1317F">
        <w:rPr>
          <w:rFonts w:cs="Calibri"/>
          <w:b/>
        </w:rPr>
        <w:t xml:space="preserve"> dopadem na</w:t>
      </w:r>
      <w:r w:rsidR="00501703">
        <w:rPr>
          <w:rFonts w:cs="Calibri"/>
          <w:b/>
        </w:rPr>
        <w:t xml:space="preserve"> ÚZ</w:t>
      </w:r>
      <w:r w:rsidR="00176FA9" w:rsidRPr="007B2E2B">
        <w:rPr>
          <w:rFonts w:cs="Calibri"/>
        </w:rPr>
        <w:t>, tzn.</w:t>
      </w:r>
      <w:r w:rsidRPr="00875E88">
        <w:rPr>
          <w:rFonts w:cs="Calibri"/>
        </w:rPr>
        <w:t xml:space="preserve"> </w:t>
      </w:r>
      <w:r w:rsidRPr="00313C6C">
        <w:rPr>
          <w:rFonts w:cs="Calibri"/>
        </w:rPr>
        <w:t xml:space="preserve">na všechny </w:t>
      </w:r>
      <w:r w:rsidR="00C1317F" w:rsidRPr="00313C6C">
        <w:rPr>
          <w:rFonts w:cs="Calibri"/>
        </w:rPr>
        <w:t xml:space="preserve">účetní </w:t>
      </w:r>
      <w:r w:rsidRPr="00313C6C">
        <w:rPr>
          <w:rFonts w:cs="Calibri"/>
        </w:rPr>
        <w:t xml:space="preserve">výkazy s výjimkou přehledu o změnách vlastního kapitálu. </w:t>
      </w:r>
      <w:r w:rsidR="00F07E08">
        <w:rPr>
          <w:rFonts w:cs="Calibri"/>
        </w:rPr>
        <w:t>V</w:t>
      </w:r>
      <w:r w:rsidR="00E23B56">
        <w:rPr>
          <w:rFonts w:cs="Calibri"/>
        </w:rPr>
        <w:t> </w:t>
      </w:r>
      <w:r w:rsidR="00F07E08">
        <w:rPr>
          <w:rFonts w:cs="Calibri"/>
        </w:rPr>
        <w:t>podrobnostech</w:t>
      </w:r>
      <w:r w:rsidR="00C1317F" w:rsidRPr="00C1317F">
        <w:rPr>
          <w:rFonts w:cs="Calibri"/>
        </w:rPr>
        <w:t xml:space="preserve"> </w:t>
      </w:r>
      <w:r w:rsidRPr="00C1317F">
        <w:rPr>
          <w:rFonts w:cs="Calibri"/>
        </w:rPr>
        <w:t xml:space="preserve">viz </w:t>
      </w:r>
      <w:r w:rsidRPr="00501703">
        <w:rPr>
          <w:rFonts w:cs="Calibri"/>
        </w:rPr>
        <w:t xml:space="preserve">část </w:t>
      </w:r>
      <w:proofErr w:type="gramStart"/>
      <w:r w:rsidR="00501703" w:rsidRPr="00501703">
        <w:rPr>
          <w:rFonts w:cs="Calibri"/>
        </w:rPr>
        <w:t>IV.</w:t>
      </w:r>
      <w:r w:rsidR="00BE5351">
        <w:rPr>
          <w:rFonts w:cs="Calibri"/>
        </w:rPr>
        <w:t>1</w:t>
      </w:r>
      <w:r w:rsidR="00FE613A">
        <w:rPr>
          <w:rFonts w:cs="Calibri"/>
        </w:rPr>
        <w:t>.</w:t>
      </w:r>
      <w:r w:rsidRPr="00C1317F">
        <w:rPr>
          <w:rFonts w:cs="Calibri"/>
        </w:rPr>
        <w:t xml:space="preserve"> tohoto</w:t>
      </w:r>
      <w:proofErr w:type="gramEnd"/>
      <w:r w:rsidRPr="00C1317F">
        <w:rPr>
          <w:rFonts w:cs="Calibri"/>
        </w:rPr>
        <w:t xml:space="preserve"> kontrolního závěru.</w:t>
      </w:r>
    </w:p>
    <w:p w14:paraId="7A7A9541" w14:textId="77777777" w:rsidR="006441AE" w:rsidRPr="007E582E" w:rsidRDefault="006441AE" w:rsidP="00C1317F">
      <w:pPr>
        <w:spacing w:after="0"/>
        <w:rPr>
          <w:highlight w:val="yellow"/>
        </w:rPr>
      </w:pPr>
    </w:p>
    <w:p w14:paraId="4BBCC590" w14:textId="77777777" w:rsidR="0033466E" w:rsidRPr="00C1317F" w:rsidRDefault="005A7D01" w:rsidP="00C1317F">
      <w:pPr>
        <w:pStyle w:val="Nadpis2"/>
        <w:numPr>
          <w:ilvl w:val="0"/>
          <w:numId w:val="0"/>
        </w:numPr>
        <w:spacing w:after="0" w:line="240" w:lineRule="auto"/>
        <w:ind w:left="284" w:hanging="284"/>
        <w:contextualSpacing w:val="0"/>
      </w:pPr>
      <w:r>
        <w:t>1.</w:t>
      </w:r>
      <w:r w:rsidR="00A368FC">
        <w:t>2</w:t>
      </w:r>
      <w:r w:rsidR="006C650B" w:rsidRPr="00C1317F">
        <w:t xml:space="preserve"> </w:t>
      </w:r>
      <w:r w:rsidR="0033466E" w:rsidRPr="00C1317F">
        <w:t xml:space="preserve">Spolehlivost údajů </w:t>
      </w:r>
      <w:r w:rsidR="00501703">
        <w:t>ÚZ</w:t>
      </w:r>
    </w:p>
    <w:p w14:paraId="23F41555" w14:textId="77777777" w:rsidR="00C1317F" w:rsidRPr="00C1317F" w:rsidRDefault="00C1317F" w:rsidP="00C1317F">
      <w:pPr>
        <w:spacing w:after="0"/>
        <w:rPr>
          <w:highlight w:val="yellow"/>
        </w:rPr>
      </w:pPr>
    </w:p>
    <w:p w14:paraId="65E3268F" w14:textId="77777777" w:rsidR="0033466E" w:rsidRDefault="0033466E" w:rsidP="00FE613A">
      <w:pPr>
        <w:spacing w:after="0"/>
        <w:jc w:val="both"/>
        <w:rPr>
          <w:rFonts w:asciiTheme="minorHAnsi" w:eastAsiaTheme="minorHAnsi" w:hAnsiTheme="minorHAnsi" w:cstheme="minorHAnsi"/>
        </w:rPr>
      </w:pPr>
      <w:r w:rsidRPr="00FE613A">
        <w:rPr>
          <w:rFonts w:asciiTheme="minorHAnsi" w:eastAsiaTheme="minorHAnsi" w:hAnsiTheme="minorHAnsi" w:cstheme="minorHAnsi"/>
        </w:rPr>
        <w:t xml:space="preserve">Kontrolovány byly činnosti a skutečnosti, které byly předmětem účetnictví </w:t>
      </w:r>
      <w:r w:rsidR="0081744A" w:rsidRPr="00FE613A">
        <w:rPr>
          <w:rFonts w:asciiTheme="minorHAnsi" w:eastAsiaTheme="minorHAnsi" w:hAnsiTheme="minorHAnsi" w:cstheme="minorHAnsi"/>
        </w:rPr>
        <w:t>MS Praha</w:t>
      </w:r>
      <w:r w:rsidRPr="00FE613A">
        <w:rPr>
          <w:rFonts w:asciiTheme="minorHAnsi" w:eastAsiaTheme="minorHAnsi" w:hAnsiTheme="minorHAnsi" w:cstheme="minorHAnsi"/>
        </w:rPr>
        <w:t xml:space="preserve"> a měly vliv na hodnoty kontrolovaných významných konečných zůstatků účtů v </w:t>
      </w:r>
      <w:r w:rsidR="00263125">
        <w:rPr>
          <w:rFonts w:asciiTheme="minorHAnsi" w:eastAsiaTheme="minorHAnsi" w:hAnsiTheme="minorHAnsi" w:cstheme="minorHAnsi"/>
        </w:rPr>
        <w:t>ÚZ</w:t>
      </w:r>
      <w:r w:rsidRPr="00FE613A">
        <w:rPr>
          <w:rFonts w:asciiTheme="minorHAnsi" w:eastAsiaTheme="minorHAnsi" w:hAnsiTheme="minorHAnsi" w:cstheme="minorHAnsi"/>
        </w:rPr>
        <w:t>.</w:t>
      </w:r>
    </w:p>
    <w:p w14:paraId="564B1D21" w14:textId="77777777" w:rsidR="00FE613A" w:rsidRPr="00FE613A" w:rsidRDefault="00FE613A" w:rsidP="00FE613A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AA96B62" w14:textId="5922267C" w:rsidR="00F6106F" w:rsidRDefault="0033466E" w:rsidP="00C16BEA">
      <w:pPr>
        <w:spacing w:after="0"/>
        <w:jc w:val="both"/>
        <w:rPr>
          <w:rFonts w:eastAsia="Calibri" w:cs="Calibri"/>
        </w:rPr>
      </w:pPr>
      <w:r w:rsidRPr="00FE613A">
        <w:rPr>
          <w:rFonts w:eastAsia="Calibri" w:cs="Calibri"/>
        </w:rPr>
        <w:t>Kontrolou bylo zjištěno, že některé informace v </w:t>
      </w:r>
      <w:r w:rsidR="00FE613A" w:rsidRPr="00FE613A">
        <w:rPr>
          <w:rFonts w:eastAsia="Calibri" w:cs="Calibri"/>
        </w:rPr>
        <w:t>ÚZ</w:t>
      </w:r>
      <w:r w:rsidR="00F6106F" w:rsidRPr="00FE613A">
        <w:rPr>
          <w:rFonts w:eastAsia="Calibri" w:cs="Calibri"/>
        </w:rPr>
        <w:t xml:space="preserve"> nevykázal</w:t>
      </w:r>
      <w:r w:rsidRPr="00FE613A">
        <w:rPr>
          <w:rFonts w:eastAsia="Calibri" w:cs="Calibri"/>
        </w:rPr>
        <w:t xml:space="preserve"> </w:t>
      </w:r>
      <w:r w:rsidR="00F6106F" w:rsidRPr="00FE613A">
        <w:rPr>
          <w:rFonts w:eastAsia="Calibri" w:cs="Calibri"/>
        </w:rPr>
        <w:t>MS Praha</w:t>
      </w:r>
      <w:r w:rsidRPr="00FE613A">
        <w:rPr>
          <w:rFonts w:eastAsia="Calibri" w:cs="Calibri"/>
        </w:rPr>
        <w:t xml:space="preserve"> v souladu s právními předpisy upravujícími vedení účetnictví. V údajích za běžné </w:t>
      </w:r>
      <w:r w:rsidR="006C0608" w:rsidRPr="00FE613A">
        <w:rPr>
          <w:rFonts w:eastAsia="Calibri" w:cs="Calibri"/>
        </w:rPr>
        <w:t xml:space="preserve">účetní </w:t>
      </w:r>
      <w:r w:rsidRPr="00FE613A">
        <w:rPr>
          <w:rFonts w:eastAsia="Calibri" w:cs="Calibri"/>
        </w:rPr>
        <w:t>období byly zjištěny</w:t>
      </w:r>
      <w:r w:rsidR="006C0608" w:rsidRPr="00FE613A">
        <w:rPr>
          <w:rFonts w:eastAsia="Calibri" w:cs="Calibri"/>
        </w:rPr>
        <w:t xml:space="preserve"> a</w:t>
      </w:r>
      <w:r w:rsidR="00E23B56">
        <w:rPr>
          <w:rFonts w:eastAsia="Calibri" w:cs="Calibri"/>
        </w:rPr>
        <w:t> </w:t>
      </w:r>
      <w:r w:rsidR="006C0608" w:rsidRPr="00FE613A">
        <w:rPr>
          <w:rFonts w:eastAsia="Calibri" w:cs="Calibri"/>
        </w:rPr>
        <w:t>vyčísleny</w:t>
      </w:r>
      <w:r w:rsidRPr="00FE613A">
        <w:rPr>
          <w:rFonts w:eastAsia="Calibri" w:cs="Calibri"/>
        </w:rPr>
        <w:t xml:space="preserve"> nesprávnosti</w:t>
      </w:r>
      <w:r w:rsidR="00F6106F" w:rsidRPr="00FE613A">
        <w:rPr>
          <w:rFonts w:eastAsia="Calibri" w:cs="Calibri"/>
        </w:rPr>
        <w:t xml:space="preserve"> v celkové</w:t>
      </w:r>
      <w:r w:rsidRPr="00FE613A">
        <w:rPr>
          <w:rFonts w:eastAsia="Calibri" w:cs="Calibri"/>
        </w:rPr>
        <w:t xml:space="preserve"> výši </w:t>
      </w:r>
      <w:r w:rsidR="00F6106F" w:rsidRPr="00FE613A">
        <w:rPr>
          <w:rFonts w:eastAsia="Calibri" w:cs="Calibri"/>
          <w:b/>
        </w:rPr>
        <w:t>1 049</w:t>
      </w:r>
      <w:r w:rsidR="006C0608" w:rsidRPr="00FE613A">
        <w:rPr>
          <w:rFonts w:eastAsia="Calibri" w:cs="Calibri"/>
          <w:b/>
        </w:rPr>
        <w:t xml:space="preserve"> </w:t>
      </w:r>
      <w:r w:rsidR="00FE613A" w:rsidRPr="00FE613A">
        <w:rPr>
          <w:rFonts w:eastAsia="Calibri" w:cs="Calibri"/>
          <w:b/>
        </w:rPr>
        <w:t>mil</w:t>
      </w:r>
      <w:r w:rsidR="006C0608" w:rsidRPr="00FE613A">
        <w:rPr>
          <w:rFonts w:eastAsia="Calibri" w:cs="Calibri"/>
          <w:b/>
        </w:rPr>
        <w:t>.</w:t>
      </w:r>
      <w:r w:rsidRPr="00FE613A">
        <w:rPr>
          <w:rFonts w:eastAsia="Calibri" w:cs="Calibri"/>
          <w:b/>
        </w:rPr>
        <w:t xml:space="preserve"> </w:t>
      </w:r>
      <w:r w:rsidR="006C650B" w:rsidRPr="00FE613A">
        <w:rPr>
          <w:rFonts w:eastAsia="Calibri" w:cs="Calibri"/>
          <w:b/>
        </w:rPr>
        <w:t>Kč</w:t>
      </w:r>
      <w:r w:rsidR="00F07E08">
        <w:rPr>
          <w:rFonts w:eastAsia="Calibri" w:cs="Calibri"/>
          <w:b/>
        </w:rPr>
        <w:t xml:space="preserve">. </w:t>
      </w:r>
      <w:r w:rsidR="00F07E08" w:rsidRPr="00F07E08">
        <w:rPr>
          <w:rFonts w:eastAsia="Calibri" w:cs="Calibri"/>
        </w:rPr>
        <w:t>V podrobnostech</w:t>
      </w:r>
      <w:r w:rsidR="00F6106F" w:rsidRPr="00FE613A">
        <w:rPr>
          <w:rFonts w:eastAsia="Calibri" w:cs="Calibri"/>
        </w:rPr>
        <w:t xml:space="preserve"> </w:t>
      </w:r>
      <w:r w:rsidR="00F6106F" w:rsidRPr="00501703">
        <w:rPr>
          <w:rFonts w:eastAsia="Calibri" w:cs="Calibri"/>
        </w:rPr>
        <w:t xml:space="preserve">viz část </w:t>
      </w:r>
      <w:proofErr w:type="gramStart"/>
      <w:r w:rsidR="00501703" w:rsidRPr="00501703">
        <w:rPr>
          <w:rFonts w:eastAsia="Calibri" w:cs="Calibri"/>
        </w:rPr>
        <w:t>IV</w:t>
      </w:r>
      <w:r w:rsidR="00501703">
        <w:rPr>
          <w:rFonts w:eastAsia="Calibri" w:cs="Calibri"/>
        </w:rPr>
        <w:t>.</w:t>
      </w:r>
      <w:r w:rsidR="00BE5351">
        <w:rPr>
          <w:rFonts w:eastAsia="Calibri" w:cs="Calibri"/>
        </w:rPr>
        <w:t>1</w:t>
      </w:r>
      <w:r w:rsidR="00F6106F" w:rsidRPr="00FE613A">
        <w:rPr>
          <w:rFonts w:eastAsia="Calibri" w:cs="Calibri"/>
        </w:rPr>
        <w:t>. tohoto</w:t>
      </w:r>
      <w:proofErr w:type="gramEnd"/>
      <w:r w:rsidR="00F6106F" w:rsidRPr="00FE613A">
        <w:rPr>
          <w:rFonts w:eastAsia="Calibri" w:cs="Calibri"/>
        </w:rPr>
        <w:t xml:space="preserve"> kontrolního závěru.</w:t>
      </w:r>
    </w:p>
    <w:p w14:paraId="0162D1C4" w14:textId="77777777" w:rsidR="005F17B3" w:rsidRDefault="005F17B3" w:rsidP="005F17B3">
      <w:pPr>
        <w:spacing w:after="0"/>
        <w:jc w:val="both"/>
        <w:rPr>
          <w:rFonts w:cs="Arial"/>
        </w:rPr>
      </w:pPr>
    </w:p>
    <w:p w14:paraId="6137D0EC" w14:textId="37B04C10" w:rsidR="00C16BEA" w:rsidRDefault="00C16BEA" w:rsidP="005F17B3">
      <w:pPr>
        <w:shd w:val="clear" w:color="auto" w:fill="E5F1FF"/>
        <w:spacing w:after="0"/>
        <w:jc w:val="both"/>
        <w:rPr>
          <w:rFonts w:cs="Arial"/>
          <w:b/>
        </w:rPr>
      </w:pPr>
      <w:r w:rsidRPr="00C94DF6">
        <w:rPr>
          <w:rFonts w:cs="Arial"/>
        </w:rPr>
        <w:t>MS Praha</w:t>
      </w:r>
      <w:r w:rsidR="00866ED0">
        <w:rPr>
          <w:rFonts w:cs="Arial"/>
        </w:rPr>
        <w:t xml:space="preserve"> zejména</w:t>
      </w:r>
      <w:r w:rsidRPr="00C94DF6">
        <w:rPr>
          <w:rFonts w:cs="Arial"/>
        </w:rPr>
        <w:t>:</w:t>
      </w:r>
    </w:p>
    <w:p w14:paraId="3556D596" w14:textId="0673ABBC" w:rsidR="00C16BEA" w:rsidRPr="005F17B3" w:rsidRDefault="00C16BEA" w:rsidP="005F17B3">
      <w:pPr>
        <w:pStyle w:val="Odstavecseseznamem"/>
        <w:numPr>
          <w:ilvl w:val="0"/>
          <w:numId w:val="15"/>
        </w:numPr>
        <w:shd w:val="clear" w:color="auto" w:fill="E5F1FF"/>
        <w:spacing w:after="0"/>
        <w:ind w:left="284" w:hanging="284"/>
        <w:contextualSpacing w:val="0"/>
        <w:jc w:val="both"/>
        <w:rPr>
          <w:rFonts w:asciiTheme="minorHAnsi" w:hAnsiTheme="minorHAnsi" w:cs="Arial"/>
        </w:rPr>
      </w:pPr>
      <w:r w:rsidRPr="00F45590">
        <w:rPr>
          <w:rFonts w:asciiTheme="minorHAnsi" w:hAnsiTheme="minorHAnsi" w:cs="Arial"/>
          <w:b/>
        </w:rPr>
        <w:t>vedl nesprávné a neúplné účetnictví v oblasti účtování nákladů z titulu odměn a</w:t>
      </w:r>
      <w:r w:rsidR="00E23B56">
        <w:rPr>
          <w:rFonts w:asciiTheme="minorHAnsi" w:hAnsiTheme="minorHAnsi" w:cs="Arial"/>
          <w:b/>
        </w:rPr>
        <w:t> </w:t>
      </w:r>
      <w:r w:rsidRPr="00F45590">
        <w:rPr>
          <w:rFonts w:asciiTheme="minorHAnsi" w:hAnsiTheme="minorHAnsi" w:cs="Arial"/>
          <w:b/>
        </w:rPr>
        <w:t xml:space="preserve">náhrad výdajů </w:t>
      </w:r>
      <w:r w:rsidRPr="00F45590">
        <w:rPr>
          <w:rFonts w:asciiTheme="minorHAnsi" w:hAnsiTheme="minorHAnsi" w:cs="Arial"/>
        </w:rPr>
        <w:t xml:space="preserve">vyplácených obhájcům, znalcům, tlumočníkům a dalším </w:t>
      </w:r>
      <w:r w:rsidR="00394E0A">
        <w:rPr>
          <w:rFonts w:asciiTheme="minorHAnsi" w:hAnsiTheme="minorHAnsi" w:cs="Arial"/>
        </w:rPr>
        <w:t xml:space="preserve">osobám zúčastněným na </w:t>
      </w:r>
      <w:r w:rsidRPr="00F45590">
        <w:rPr>
          <w:rFonts w:asciiTheme="minorHAnsi" w:hAnsiTheme="minorHAnsi" w:cs="Arial"/>
        </w:rPr>
        <w:t>soudních řízení</w:t>
      </w:r>
      <w:r w:rsidR="004A7472">
        <w:rPr>
          <w:rFonts w:asciiTheme="minorHAnsi" w:hAnsiTheme="minorHAnsi" w:cs="Arial"/>
        </w:rPr>
        <w:t>ch</w:t>
      </w:r>
      <w:r w:rsidRPr="00F45590">
        <w:rPr>
          <w:rFonts w:asciiTheme="minorHAnsi" w:hAnsiTheme="minorHAnsi" w:cs="Arial"/>
        </w:rPr>
        <w:t xml:space="preserve">, když </w:t>
      </w:r>
      <w:r w:rsidRPr="00F45590">
        <w:rPr>
          <w:rFonts w:asciiTheme="minorHAnsi" w:hAnsiTheme="minorHAnsi" w:cs="Arial"/>
          <w:b/>
        </w:rPr>
        <w:t xml:space="preserve">o </w:t>
      </w:r>
      <w:r w:rsidRPr="00F45590">
        <w:rPr>
          <w:rFonts w:asciiTheme="minorHAnsi" w:hAnsiTheme="minorHAnsi" w:cs="Arial"/>
        </w:rPr>
        <w:t>těchto</w:t>
      </w:r>
      <w:r w:rsidRPr="00F45590">
        <w:rPr>
          <w:rFonts w:asciiTheme="minorHAnsi" w:hAnsiTheme="minorHAnsi" w:cs="Arial"/>
          <w:b/>
        </w:rPr>
        <w:t xml:space="preserve"> nákladech účtoval do nesprávného účetního období. </w:t>
      </w:r>
      <w:r w:rsidRPr="00F45590">
        <w:rPr>
          <w:rFonts w:asciiTheme="minorHAnsi" w:hAnsiTheme="minorHAnsi" w:cs="Arial"/>
          <w:b/>
        </w:rPr>
        <w:lastRenderedPageBreak/>
        <w:t>Systémové nedostatky</w:t>
      </w:r>
      <w:r w:rsidRPr="00F45590">
        <w:rPr>
          <w:rFonts w:asciiTheme="minorHAnsi" w:hAnsiTheme="minorHAnsi" w:cs="Arial"/>
        </w:rPr>
        <w:t xml:space="preserve"> v této oblasti, které byly </w:t>
      </w:r>
      <w:r w:rsidRPr="00F45590">
        <w:rPr>
          <w:rFonts w:asciiTheme="minorHAnsi" w:hAnsiTheme="minorHAnsi" w:cs="Arial"/>
          <w:b/>
        </w:rPr>
        <w:t>vyčísleny v</w:t>
      </w:r>
      <w:r>
        <w:rPr>
          <w:rFonts w:asciiTheme="minorHAnsi" w:hAnsiTheme="minorHAnsi" w:cs="Arial"/>
          <w:b/>
        </w:rPr>
        <w:t xml:space="preserve"> minimální </w:t>
      </w:r>
      <w:r w:rsidRPr="00F45590">
        <w:rPr>
          <w:rFonts w:asciiTheme="minorHAnsi" w:hAnsiTheme="minorHAnsi" w:cs="Arial"/>
          <w:b/>
        </w:rPr>
        <w:t xml:space="preserve">částce </w:t>
      </w:r>
      <w:r>
        <w:rPr>
          <w:rFonts w:asciiTheme="minorHAnsi" w:hAnsiTheme="minorHAnsi" w:cs="Arial"/>
          <w:b/>
        </w:rPr>
        <w:t>43</w:t>
      </w:r>
      <w:r w:rsidR="00A368FC">
        <w:rPr>
          <w:rFonts w:asciiTheme="minorHAnsi" w:hAnsiTheme="minorHAnsi" w:cs="Arial"/>
          <w:b/>
        </w:rPr>
        <w:t>,</w:t>
      </w:r>
      <w:r>
        <w:rPr>
          <w:rFonts w:asciiTheme="minorHAnsi" w:hAnsiTheme="minorHAnsi" w:cs="Arial"/>
          <w:b/>
        </w:rPr>
        <w:t>8</w:t>
      </w:r>
      <w:r w:rsidR="00A368FC">
        <w:rPr>
          <w:rFonts w:asciiTheme="minorHAnsi" w:hAnsiTheme="minorHAnsi" w:cs="Arial"/>
          <w:b/>
        </w:rPr>
        <w:t xml:space="preserve"> mil. </w:t>
      </w:r>
      <w:r w:rsidRPr="00F45590">
        <w:rPr>
          <w:rFonts w:asciiTheme="minorHAnsi" w:hAnsiTheme="minorHAnsi" w:cs="Arial"/>
          <w:b/>
        </w:rPr>
        <w:t>Kč</w:t>
      </w:r>
      <w:r w:rsidR="006C7A53">
        <w:rPr>
          <w:rStyle w:val="Znakapoznpodarou"/>
          <w:rFonts w:asciiTheme="minorHAnsi" w:hAnsiTheme="minorHAnsi" w:cs="Arial"/>
          <w:b/>
        </w:rPr>
        <w:footnoteReference w:id="2"/>
      </w:r>
      <w:r w:rsidRPr="00F45590">
        <w:rPr>
          <w:rFonts w:asciiTheme="minorHAnsi" w:hAnsiTheme="minorHAnsi" w:cs="Arial"/>
        </w:rPr>
        <w:t xml:space="preserve">, měly dopad na správnost vykázaných zůstatků </w:t>
      </w:r>
      <w:r w:rsidR="00A368FC">
        <w:rPr>
          <w:rFonts w:asciiTheme="minorHAnsi" w:hAnsiTheme="minorHAnsi" w:cs="Arial"/>
        </w:rPr>
        <w:t>r</w:t>
      </w:r>
      <w:r w:rsidRPr="00F45590">
        <w:rPr>
          <w:rFonts w:asciiTheme="minorHAnsi" w:hAnsiTheme="minorHAnsi" w:cs="Arial"/>
        </w:rPr>
        <w:t xml:space="preserve">ozvahy, tj. zejména účtu 389 – </w:t>
      </w:r>
      <w:r w:rsidRPr="00F45590">
        <w:rPr>
          <w:rFonts w:asciiTheme="minorHAnsi" w:hAnsiTheme="minorHAnsi" w:cs="Arial"/>
          <w:i/>
        </w:rPr>
        <w:t>Dohadné účty pasivní</w:t>
      </w:r>
      <w:r w:rsidRPr="00F45590">
        <w:rPr>
          <w:rFonts w:asciiTheme="minorHAnsi" w:hAnsiTheme="minorHAnsi" w:cs="Arial"/>
        </w:rPr>
        <w:t xml:space="preserve"> a výsledků hospodaření a dále na správnost vykázaného zůstatku </w:t>
      </w:r>
      <w:r>
        <w:rPr>
          <w:rFonts w:asciiTheme="minorHAnsi" w:hAnsiTheme="minorHAnsi" w:cs="Arial"/>
        </w:rPr>
        <w:t xml:space="preserve">účtu </w:t>
      </w:r>
      <w:r w:rsidRPr="00F45590">
        <w:rPr>
          <w:rFonts w:asciiTheme="minorHAnsi" w:hAnsiTheme="minorHAnsi" w:cs="Arial"/>
        </w:rPr>
        <w:t xml:space="preserve">549 – </w:t>
      </w:r>
      <w:r w:rsidRPr="00F45590">
        <w:rPr>
          <w:rFonts w:asciiTheme="minorHAnsi" w:hAnsiTheme="minorHAnsi" w:cs="Arial"/>
          <w:i/>
        </w:rPr>
        <w:t>Ostatní náklady z činnosti</w:t>
      </w:r>
      <w:r w:rsidRPr="00F45590">
        <w:rPr>
          <w:rFonts w:asciiTheme="minorHAnsi" w:hAnsiTheme="minorHAnsi" w:cs="Arial"/>
        </w:rPr>
        <w:t xml:space="preserve"> ve </w:t>
      </w:r>
      <w:r w:rsidR="00A368FC">
        <w:rPr>
          <w:rFonts w:asciiTheme="minorHAnsi" w:hAnsiTheme="minorHAnsi" w:cs="Arial"/>
        </w:rPr>
        <w:t>v</w:t>
      </w:r>
      <w:r w:rsidRPr="00F45590">
        <w:rPr>
          <w:rFonts w:asciiTheme="minorHAnsi" w:hAnsiTheme="minorHAnsi" w:cs="Arial"/>
        </w:rPr>
        <w:t>ýkazu zisku a</w:t>
      </w:r>
      <w:r w:rsidR="00E23B56">
        <w:rPr>
          <w:rFonts w:asciiTheme="minorHAnsi" w:hAnsiTheme="minorHAnsi" w:cs="Arial"/>
        </w:rPr>
        <w:t> </w:t>
      </w:r>
      <w:r w:rsidRPr="00F45590">
        <w:rPr>
          <w:rFonts w:asciiTheme="minorHAnsi" w:hAnsiTheme="minorHAnsi" w:cs="Arial"/>
        </w:rPr>
        <w:t>ztráty</w:t>
      </w:r>
      <w:r w:rsidR="0040337D">
        <w:rPr>
          <w:rFonts w:asciiTheme="minorHAnsi" w:hAnsiTheme="minorHAnsi" w:cs="Arial"/>
        </w:rPr>
        <w:t>;</w:t>
      </w:r>
    </w:p>
    <w:p w14:paraId="5F4CABE3" w14:textId="1E900FDC" w:rsidR="00C16BEA" w:rsidRPr="00A45C56" w:rsidRDefault="00C16BEA" w:rsidP="005F17B3">
      <w:pPr>
        <w:pStyle w:val="Odstavecseseznamem"/>
        <w:numPr>
          <w:ilvl w:val="0"/>
          <w:numId w:val="15"/>
        </w:numPr>
        <w:shd w:val="clear" w:color="auto" w:fill="E5F1FF"/>
        <w:spacing w:after="0"/>
        <w:ind w:left="284" w:hanging="284"/>
        <w:contextualSpacing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vedl nesprávné účetnictví</w:t>
      </w:r>
      <w:r w:rsidRPr="00875E88">
        <w:rPr>
          <w:rFonts w:asciiTheme="minorHAnsi" w:hAnsiTheme="minorHAnsi" w:cs="Arial"/>
          <w:b/>
        </w:rPr>
        <w:t>,</w:t>
      </w:r>
      <w:r w:rsidRPr="00FE1B31">
        <w:rPr>
          <w:rFonts w:asciiTheme="minorHAnsi" w:hAnsiTheme="minorHAnsi" w:cs="Arial"/>
        </w:rPr>
        <w:t xml:space="preserve"> když</w:t>
      </w:r>
      <w:r>
        <w:rPr>
          <w:rFonts w:asciiTheme="minorHAnsi" w:hAnsiTheme="minorHAnsi" w:cs="Arial"/>
          <w:b/>
        </w:rPr>
        <w:t xml:space="preserve"> o vratkách </w:t>
      </w:r>
      <w:r w:rsidRPr="00FE1B31">
        <w:rPr>
          <w:rFonts w:asciiTheme="minorHAnsi" w:hAnsiTheme="minorHAnsi" w:cs="Arial"/>
        </w:rPr>
        <w:t>v minulosti přijatých</w:t>
      </w:r>
      <w:r>
        <w:rPr>
          <w:rFonts w:asciiTheme="minorHAnsi" w:hAnsiTheme="minorHAnsi" w:cs="Arial"/>
          <w:b/>
        </w:rPr>
        <w:t xml:space="preserve"> soudních poplatků účtoval </w:t>
      </w:r>
      <w:r w:rsidR="00C94DF6">
        <w:rPr>
          <w:rFonts w:asciiTheme="minorHAnsi" w:hAnsiTheme="minorHAnsi" w:cs="Arial"/>
          <w:b/>
        </w:rPr>
        <w:t>na</w:t>
      </w:r>
      <w:r>
        <w:rPr>
          <w:rFonts w:asciiTheme="minorHAnsi" w:hAnsiTheme="minorHAnsi" w:cs="Arial"/>
          <w:b/>
        </w:rPr>
        <w:t xml:space="preserve"> účtu 538 – </w:t>
      </w:r>
      <w:r w:rsidRPr="00FE1B31">
        <w:rPr>
          <w:rFonts w:asciiTheme="minorHAnsi" w:hAnsiTheme="minorHAnsi" w:cs="Arial"/>
          <w:b/>
          <w:i/>
        </w:rPr>
        <w:t>Jiné daně a poplatky</w:t>
      </w:r>
      <w:r>
        <w:rPr>
          <w:rFonts w:asciiTheme="minorHAnsi" w:hAnsiTheme="minorHAnsi" w:cs="Arial"/>
          <w:b/>
        </w:rPr>
        <w:t xml:space="preserve">, přestože </w:t>
      </w:r>
      <w:r w:rsidRPr="00FE1B31">
        <w:rPr>
          <w:rFonts w:asciiTheme="minorHAnsi" w:hAnsiTheme="minorHAnsi" w:cs="Arial"/>
        </w:rPr>
        <w:t xml:space="preserve">MS Praha v těchto případech </w:t>
      </w:r>
      <w:r>
        <w:rPr>
          <w:rFonts w:asciiTheme="minorHAnsi" w:hAnsiTheme="minorHAnsi" w:cs="Arial"/>
          <w:b/>
        </w:rPr>
        <w:t xml:space="preserve">nevystupoval v roli poplatníka a nehradil soudní poplatky. </w:t>
      </w:r>
      <w:r w:rsidRPr="001839CA">
        <w:rPr>
          <w:rFonts w:asciiTheme="minorHAnsi" w:hAnsiTheme="minorHAnsi" w:cs="Arial"/>
        </w:rPr>
        <w:t>Tento</w:t>
      </w:r>
      <w:r>
        <w:rPr>
          <w:rFonts w:asciiTheme="minorHAnsi" w:hAnsiTheme="minorHAnsi" w:cs="Arial"/>
          <w:b/>
        </w:rPr>
        <w:t xml:space="preserve"> systémový nedostatek </w:t>
      </w:r>
      <w:r>
        <w:rPr>
          <w:rFonts w:asciiTheme="minorHAnsi" w:hAnsiTheme="minorHAnsi" w:cs="Arial"/>
        </w:rPr>
        <w:t xml:space="preserve">byl vyčíslen </w:t>
      </w:r>
      <w:r w:rsidRPr="00214FCD">
        <w:rPr>
          <w:rFonts w:asciiTheme="minorHAnsi" w:hAnsiTheme="minorHAnsi" w:cs="Arial"/>
          <w:b/>
        </w:rPr>
        <w:t>v částce 39</w:t>
      </w:r>
      <w:r w:rsidR="00A368FC">
        <w:rPr>
          <w:rFonts w:asciiTheme="minorHAnsi" w:hAnsiTheme="minorHAnsi" w:cs="Arial"/>
          <w:b/>
        </w:rPr>
        <w:t>,2 mil.</w:t>
      </w:r>
      <w:r w:rsidRPr="00214FCD">
        <w:rPr>
          <w:rFonts w:asciiTheme="minorHAnsi" w:hAnsiTheme="minorHAnsi" w:cs="Arial"/>
          <w:b/>
        </w:rPr>
        <w:t xml:space="preserve"> Kč</w:t>
      </w:r>
      <w:r>
        <w:rPr>
          <w:rFonts w:asciiTheme="minorHAnsi" w:hAnsiTheme="minorHAnsi" w:cs="Arial"/>
        </w:rPr>
        <w:t xml:space="preserve"> a měl dopad na správnost vykázaných zůstatků </w:t>
      </w:r>
      <w:r w:rsidR="00A368FC">
        <w:rPr>
          <w:rFonts w:asciiTheme="minorHAnsi" w:hAnsiTheme="minorHAnsi" w:cs="Arial"/>
        </w:rPr>
        <w:t>v</w:t>
      </w:r>
      <w:r>
        <w:rPr>
          <w:rFonts w:asciiTheme="minorHAnsi" w:hAnsiTheme="minorHAnsi" w:cs="Arial"/>
        </w:rPr>
        <w:t xml:space="preserve">ýkazu zisku a ztráty, tj. účtu 538 – </w:t>
      </w:r>
      <w:r w:rsidRPr="001839CA">
        <w:rPr>
          <w:rFonts w:asciiTheme="minorHAnsi" w:hAnsiTheme="minorHAnsi" w:cs="Arial"/>
          <w:i/>
        </w:rPr>
        <w:t>Jiné daně a poplatky</w:t>
      </w:r>
      <w:r>
        <w:rPr>
          <w:rFonts w:asciiTheme="minorHAnsi" w:hAnsiTheme="minorHAnsi" w:cs="Arial"/>
        </w:rPr>
        <w:t xml:space="preserve"> a dále účtu 549 – </w:t>
      </w:r>
      <w:r w:rsidRPr="001839CA">
        <w:rPr>
          <w:rFonts w:asciiTheme="minorHAnsi" w:hAnsiTheme="minorHAnsi" w:cs="Arial"/>
          <w:i/>
        </w:rPr>
        <w:t>Ostatní náklady z</w:t>
      </w:r>
      <w:r>
        <w:rPr>
          <w:rFonts w:asciiTheme="minorHAnsi" w:hAnsiTheme="minorHAnsi" w:cs="Arial"/>
          <w:i/>
        </w:rPr>
        <w:t> </w:t>
      </w:r>
      <w:r w:rsidRPr="001839CA">
        <w:rPr>
          <w:rFonts w:asciiTheme="minorHAnsi" w:hAnsiTheme="minorHAnsi" w:cs="Arial"/>
          <w:i/>
        </w:rPr>
        <w:t>činnosti</w:t>
      </w:r>
      <w:r>
        <w:rPr>
          <w:rFonts w:asciiTheme="minorHAnsi" w:hAnsiTheme="minorHAnsi" w:cs="Arial"/>
        </w:rPr>
        <w:t xml:space="preserve">, resp. účtu 607 – </w:t>
      </w:r>
      <w:r w:rsidRPr="001839CA">
        <w:rPr>
          <w:rFonts w:asciiTheme="minorHAnsi" w:hAnsiTheme="minorHAnsi" w:cs="Arial"/>
          <w:i/>
        </w:rPr>
        <w:t>Výnosy ze soudních poplatků</w:t>
      </w:r>
      <w:r w:rsidR="0040337D">
        <w:rPr>
          <w:rFonts w:asciiTheme="minorHAnsi" w:hAnsiTheme="minorHAnsi" w:cs="Arial"/>
        </w:rPr>
        <w:t>;</w:t>
      </w:r>
    </w:p>
    <w:p w14:paraId="1B6B1FD9" w14:textId="17BD261E" w:rsidR="00C16BEA" w:rsidRDefault="00C16BEA" w:rsidP="005F17B3">
      <w:pPr>
        <w:pStyle w:val="Odstavecseseznamem"/>
        <w:numPr>
          <w:ilvl w:val="0"/>
          <w:numId w:val="15"/>
        </w:numPr>
        <w:shd w:val="clear" w:color="auto" w:fill="E5F1FF"/>
        <w:spacing w:after="0"/>
        <w:ind w:left="284" w:hanging="284"/>
        <w:contextualSpacing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vedl nesprávné účetnictví</w:t>
      </w:r>
      <w:r w:rsidRPr="00875E88">
        <w:rPr>
          <w:rFonts w:asciiTheme="minorHAnsi" w:hAnsiTheme="minorHAnsi" w:cs="Arial"/>
          <w:b/>
        </w:rPr>
        <w:t>,</w:t>
      </w:r>
      <w:r w:rsidRPr="001839CA">
        <w:rPr>
          <w:rFonts w:asciiTheme="minorHAnsi" w:hAnsiTheme="minorHAnsi" w:cs="Arial"/>
        </w:rPr>
        <w:t xml:space="preserve"> když</w:t>
      </w:r>
      <w:r>
        <w:rPr>
          <w:rFonts w:asciiTheme="minorHAnsi" w:hAnsiTheme="minorHAnsi" w:cs="Arial"/>
          <w:b/>
        </w:rPr>
        <w:t xml:space="preserve"> o výnosech z </w:t>
      </w:r>
      <w:r w:rsidRPr="001839CA">
        <w:rPr>
          <w:rFonts w:asciiTheme="minorHAnsi" w:hAnsiTheme="minorHAnsi" w:cs="Arial"/>
        </w:rPr>
        <w:t>titulu</w:t>
      </w:r>
      <w:r>
        <w:rPr>
          <w:rFonts w:asciiTheme="minorHAnsi" w:hAnsiTheme="minorHAnsi" w:cs="Arial"/>
          <w:b/>
        </w:rPr>
        <w:t xml:space="preserve"> náhrad vynaložených nákladů za ustanovené advokáty v trestním řízení</w:t>
      </w:r>
      <w:r>
        <w:rPr>
          <w:rFonts w:asciiTheme="minorHAnsi" w:hAnsiTheme="minorHAnsi" w:cs="Arial"/>
        </w:rPr>
        <w:t xml:space="preserve"> </w:t>
      </w:r>
      <w:r w:rsidRPr="00214FCD">
        <w:rPr>
          <w:rFonts w:asciiTheme="minorHAnsi" w:hAnsiTheme="minorHAnsi" w:cs="Arial"/>
          <w:b/>
        </w:rPr>
        <w:t xml:space="preserve">účtoval </w:t>
      </w:r>
      <w:r w:rsidR="00C94DF6">
        <w:rPr>
          <w:rFonts w:asciiTheme="minorHAnsi" w:hAnsiTheme="minorHAnsi" w:cs="Arial"/>
          <w:b/>
        </w:rPr>
        <w:t>na</w:t>
      </w:r>
      <w:r w:rsidRPr="00214FCD">
        <w:rPr>
          <w:rFonts w:asciiTheme="minorHAnsi" w:hAnsiTheme="minorHAnsi" w:cs="Arial"/>
          <w:b/>
        </w:rPr>
        <w:t xml:space="preserve"> účtu 609 – </w:t>
      </w:r>
      <w:r w:rsidRPr="00214FCD">
        <w:rPr>
          <w:rFonts w:asciiTheme="minorHAnsi" w:hAnsiTheme="minorHAnsi" w:cs="Arial"/>
          <w:b/>
          <w:i/>
        </w:rPr>
        <w:t>Jiné výnosy z vlastních výkonů</w:t>
      </w:r>
      <w:r w:rsidRPr="00214FCD">
        <w:rPr>
          <w:rFonts w:asciiTheme="minorHAnsi" w:hAnsiTheme="minorHAnsi" w:cs="Arial"/>
          <w:b/>
        </w:rPr>
        <w:t>, přestože se o vlastní výkony MS Praha nejednalo</w:t>
      </w:r>
      <w:r w:rsidRPr="00875E88">
        <w:rPr>
          <w:rFonts w:asciiTheme="minorHAnsi" w:hAnsiTheme="minorHAnsi" w:cs="Arial"/>
          <w:b/>
        </w:rPr>
        <w:t>.</w:t>
      </w:r>
      <w:r>
        <w:rPr>
          <w:rFonts w:asciiTheme="minorHAnsi" w:hAnsiTheme="minorHAnsi" w:cs="Arial"/>
        </w:rPr>
        <w:t xml:space="preserve"> Tento </w:t>
      </w:r>
      <w:r w:rsidRPr="00214FCD">
        <w:rPr>
          <w:rFonts w:asciiTheme="minorHAnsi" w:hAnsiTheme="minorHAnsi" w:cs="Arial"/>
          <w:b/>
        </w:rPr>
        <w:t>systémový nedostatek</w:t>
      </w:r>
      <w:r>
        <w:rPr>
          <w:rFonts w:asciiTheme="minorHAnsi" w:hAnsiTheme="minorHAnsi" w:cs="Arial"/>
        </w:rPr>
        <w:t xml:space="preserve"> byl vyčíslen </w:t>
      </w:r>
      <w:r w:rsidRPr="00214FCD">
        <w:rPr>
          <w:rFonts w:asciiTheme="minorHAnsi" w:hAnsiTheme="minorHAnsi" w:cs="Arial"/>
          <w:b/>
        </w:rPr>
        <w:t>v částce 18</w:t>
      </w:r>
      <w:r w:rsidR="00A368FC">
        <w:rPr>
          <w:rFonts w:asciiTheme="minorHAnsi" w:hAnsiTheme="minorHAnsi" w:cs="Arial"/>
          <w:b/>
        </w:rPr>
        <w:t>,</w:t>
      </w:r>
      <w:r w:rsidRPr="00214FCD">
        <w:rPr>
          <w:rFonts w:asciiTheme="minorHAnsi" w:hAnsiTheme="minorHAnsi" w:cs="Arial"/>
          <w:b/>
        </w:rPr>
        <w:t>3</w:t>
      </w:r>
      <w:r w:rsidR="00A368FC">
        <w:rPr>
          <w:rFonts w:asciiTheme="minorHAnsi" w:hAnsiTheme="minorHAnsi" w:cs="Arial"/>
          <w:b/>
        </w:rPr>
        <w:t xml:space="preserve"> mil.</w:t>
      </w:r>
      <w:r w:rsidRPr="00214FCD">
        <w:rPr>
          <w:rFonts w:asciiTheme="minorHAnsi" w:hAnsiTheme="minorHAnsi" w:cs="Arial"/>
          <w:b/>
        </w:rPr>
        <w:t xml:space="preserve"> Kč</w:t>
      </w:r>
      <w:r>
        <w:rPr>
          <w:rFonts w:asciiTheme="minorHAnsi" w:hAnsiTheme="minorHAnsi" w:cs="Arial"/>
        </w:rPr>
        <w:t xml:space="preserve"> a měl dopad na správnost vykázaných zůstatků </w:t>
      </w:r>
      <w:r w:rsidR="00A368FC">
        <w:rPr>
          <w:rFonts w:asciiTheme="minorHAnsi" w:hAnsiTheme="minorHAnsi" w:cs="Arial"/>
        </w:rPr>
        <w:t>v</w:t>
      </w:r>
      <w:r>
        <w:rPr>
          <w:rFonts w:asciiTheme="minorHAnsi" w:hAnsiTheme="minorHAnsi" w:cs="Arial"/>
        </w:rPr>
        <w:t xml:space="preserve">ýkazu zisku a ztráty, tj. účtu 609 – </w:t>
      </w:r>
      <w:r w:rsidRPr="00214FCD">
        <w:rPr>
          <w:rFonts w:asciiTheme="minorHAnsi" w:hAnsiTheme="minorHAnsi" w:cs="Arial"/>
          <w:i/>
        </w:rPr>
        <w:t>Jiné výnosy z vlastních výkonů</w:t>
      </w:r>
      <w:r>
        <w:rPr>
          <w:rFonts w:asciiTheme="minorHAnsi" w:hAnsiTheme="minorHAnsi" w:cs="Arial"/>
        </w:rPr>
        <w:t xml:space="preserve"> a účtu 649 – </w:t>
      </w:r>
      <w:r w:rsidRPr="00214FCD">
        <w:rPr>
          <w:rFonts w:asciiTheme="minorHAnsi" w:hAnsiTheme="minorHAnsi" w:cs="Arial"/>
          <w:i/>
        </w:rPr>
        <w:t xml:space="preserve">Ostatní </w:t>
      </w:r>
      <w:r w:rsidR="004A6131">
        <w:rPr>
          <w:rFonts w:asciiTheme="minorHAnsi" w:hAnsiTheme="minorHAnsi" w:cs="Arial"/>
          <w:i/>
        </w:rPr>
        <w:t>výnosy</w:t>
      </w:r>
      <w:r w:rsidR="004A6131" w:rsidRPr="00214FCD">
        <w:rPr>
          <w:rFonts w:asciiTheme="minorHAnsi" w:hAnsiTheme="minorHAnsi" w:cs="Arial"/>
          <w:i/>
        </w:rPr>
        <w:t xml:space="preserve"> </w:t>
      </w:r>
      <w:r w:rsidRPr="00214FCD">
        <w:rPr>
          <w:rFonts w:asciiTheme="minorHAnsi" w:hAnsiTheme="minorHAnsi" w:cs="Arial"/>
          <w:i/>
        </w:rPr>
        <w:t>z činnosti</w:t>
      </w:r>
      <w:r w:rsidR="0040337D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 </w:t>
      </w:r>
    </w:p>
    <w:p w14:paraId="77B18F63" w14:textId="77777777" w:rsidR="00C94DF6" w:rsidRDefault="00C16BEA" w:rsidP="005F17B3">
      <w:pPr>
        <w:pStyle w:val="Odstavecseseznamem"/>
        <w:numPr>
          <w:ilvl w:val="0"/>
          <w:numId w:val="15"/>
        </w:numPr>
        <w:shd w:val="clear" w:color="auto" w:fill="E5F1FF"/>
        <w:spacing w:after="0"/>
        <w:ind w:left="284" w:hanging="284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vedl</w:t>
      </w:r>
      <w:r w:rsidRPr="00107948">
        <w:rPr>
          <w:rFonts w:asciiTheme="minorHAnsi" w:hAnsiTheme="minorHAnsi" w:cs="Arial"/>
          <w:b/>
        </w:rPr>
        <w:t xml:space="preserve"> nesprávné účetnictví v případě </w:t>
      </w:r>
      <w:r w:rsidR="00A368FC">
        <w:rPr>
          <w:rFonts w:asciiTheme="minorHAnsi" w:hAnsiTheme="minorHAnsi" w:cs="Arial"/>
          <w:b/>
        </w:rPr>
        <w:t>p</w:t>
      </w:r>
      <w:r w:rsidRPr="00107948">
        <w:rPr>
          <w:rFonts w:asciiTheme="minorHAnsi" w:hAnsiTheme="minorHAnsi" w:cs="Arial"/>
          <w:b/>
        </w:rPr>
        <w:t>řehledu o peněžních tocích</w:t>
      </w:r>
      <w:r w:rsidRPr="00875E88">
        <w:rPr>
          <w:rFonts w:asciiTheme="minorHAnsi" w:hAnsiTheme="minorHAnsi" w:cs="Arial"/>
          <w:b/>
        </w:rPr>
        <w:t>,</w:t>
      </w:r>
      <w:r w:rsidRPr="00107948">
        <w:rPr>
          <w:rFonts w:asciiTheme="minorHAnsi" w:hAnsiTheme="minorHAnsi" w:cs="Arial"/>
        </w:rPr>
        <w:t xml:space="preserve"> a to zejména tím, že:</w:t>
      </w:r>
    </w:p>
    <w:p w14:paraId="71D6B4B6" w14:textId="77777777" w:rsidR="00C16BEA" w:rsidRPr="00C94DF6" w:rsidRDefault="00C16BEA" w:rsidP="005F17B3">
      <w:pPr>
        <w:pStyle w:val="Odstavecseseznamem"/>
        <w:numPr>
          <w:ilvl w:val="1"/>
          <w:numId w:val="24"/>
        </w:numPr>
        <w:shd w:val="clear" w:color="auto" w:fill="E5F1FF"/>
        <w:spacing w:after="0"/>
        <w:ind w:left="567" w:hanging="283"/>
        <w:contextualSpacing w:val="0"/>
        <w:jc w:val="both"/>
        <w:rPr>
          <w:rFonts w:asciiTheme="minorHAnsi" w:hAnsiTheme="minorHAnsi" w:cs="Arial"/>
        </w:rPr>
      </w:pPr>
      <w:r w:rsidRPr="00C94DF6">
        <w:rPr>
          <w:rFonts w:asciiTheme="minorHAnsi" w:hAnsiTheme="minorHAnsi" w:cs="Arial"/>
          <w:b/>
        </w:rPr>
        <w:t>změnu stavu pohledávek</w:t>
      </w:r>
      <w:r w:rsidRPr="00875E88">
        <w:rPr>
          <w:rFonts w:asciiTheme="minorHAnsi" w:hAnsiTheme="minorHAnsi" w:cs="Arial"/>
          <w:b/>
        </w:rPr>
        <w:t>,</w:t>
      </w:r>
      <w:r w:rsidRPr="00C94DF6">
        <w:rPr>
          <w:rFonts w:asciiTheme="minorHAnsi" w:hAnsiTheme="minorHAnsi" w:cs="Arial"/>
        </w:rPr>
        <w:t xml:space="preserve"> se kterými nebyl spojen peněžní tok a které MS Praha evidoval za osobami mimo vybrané vládní instituce,</w:t>
      </w:r>
      <w:r w:rsidRPr="00C94DF6">
        <w:rPr>
          <w:rFonts w:asciiTheme="minorHAnsi" w:hAnsiTheme="minorHAnsi" w:cs="Arial"/>
          <w:b/>
        </w:rPr>
        <w:t xml:space="preserve"> vykázal jako změnu stavu závazků,</w:t>
      </w:r>
    </w:p>
    <w:p w14:paraId="54DF8BBF" w14:textId="45343F62" w:rsidR="00C16BEA" w:rsidRPr="00F57E70" w:rsidRDefault="00C16BEA" w:rsidP="005F17B3">
      <w:pPr>
        <w:pStyle w:val="Odstavecseseznamem"/>
        <w:numPr>
          <w:ilvl w:val="1"/>
          <w:numId w:val="24"/>
        </w:numPr>
        <w:shd w:val="clear" w:color="auto" w:fill="E5F1FF"/>
        <w:spacing w:after="0"/>
        <w:ind w:left="567" w:hanging="283"/>
        <w:contextualSpacing w:val="0"/>
        <w:jc w:val="both"/>
        <w:rPr>
          <w:rFonts w:asciiTheme="minorHAnsi" w:hAnsiTheme="minorHAnsi" w:cs="Arial"/>
        </w:rPr>
      </w:pPr>
      <w:r w:rsidRPr="00C94DF6">
        <w:rPr>
          <w:rFonts w:asciiTheme="minorHAnsi" w:hAnsiTheme="minorHAnsi" w:cs="Arial"/>
        </w:rPr>
        <w:t>na položce „</w:t>
      </w:r>
      <w:proofErr w:type="gramStart"/>
      <w:r w:rsidRPr="00C94DF6">
        <w:rPr>
          <w:rFonts w:asciiTheme="minorHAnsi" w:hAnsiTheme="minorHAnsi" w:cs="Arial"/>
        </w:rPr>
        <w:t>C</w:t>
      </w:r>
      <w:r w:rsidRPr="00C94DF6">
        <w:rPr>
          <w:rFonts w:asciiTheme="minorHAnsi" w:hAnsiTheme="minorHAnsi" w:cs="Arial"/>
          <w:i/>
        </w:rPr>
        <w:t>.I.</w:t>
      </w:r>
      <w:proofErr w:type="gramEnd"/>
      <w:r w:rsidRPr="00C94DF6">
        <w:rPr>
          <w:rFonts w:asciiTheme="minorHAnsi" w:hAnsiTheme="minorHAnsi" w:cs="Arial"/>
          <w:i/>
        </w:rPr>
        <w:t xml:space="preserve"> Peněžní toky vyplývající ze změny vlastního kapitálu</w:t>
      </w:r>
      <w:r w:rsidRPr="00C94DF6">
        <w:rPr>
          <w:rFonts w:asciiTheme="minorHAnsi" w:hAnsiTheme="minorHAnsi" w:cs="Arial"/>
        </w:rPr>
        <w:t>“</w:t>
      </w:r>
      <w:r w:rsidRPr="00C94DF6">
        <w:rPr>
          <w:rFonts w:asciiTheme="minorHAnsi" w:hAnsiTheme="minorHAnsi" w:cs="Arial"/>
          <w:b/>
        </w:rPr>
        <w:t xml:space="preserve"> vykázal i</w:t>
      </w:r>
      <w:r w:rsidR="00E23B56">
        <w:rPr>
          <w:rFonts w:asciiTheme="minorHAnsi" w:hAnsiTheme="minorHAnsi" w:cs="Arial"/>
          <w:b/>
        </w:rPr>
        <w:t> </w:t>
      </w:r>
      <w:r w:rsidRPr="00C94DF6">
        <w:rPr>
          <w:rFonts w:asciiTheme="minorHAnsi" w:hAnsiTheme="minorHAnsi" w:cs="Arial"/>
          <w:b/>
        </w:rPr>
        <w:t>účetní případy, se kterými nebyl spojen žádný peněžní tok</w:t>
      </w:r>
      <w:r w:rsidR="00183643">
        <w:rPr>
          <w:rFonts w:asciiTheme="minorHAnsi" w:hAnsiTheme="minorHAnsi" w:cs="Arial"/>
          <w:b/>
        </w:rPr>
        <w:t>,</w:t>
      </w:r>
      <w:r w:rsidR="00C94DF6" w:rsidRPr="00C94DF6">
        <w:rPr>
          <w:rFonts w:asciiTheme="minorHAnsi" w:hAnsiTheme="minorHAnsi" w:cs="Arial"/>
          <w:b/>
        </w:rPr>
        <w:t xml:space="preserve"> a </w:t>
      </w:r>
      <w:r w:rsidRPr="00C94DF6">
        <w:rPr>
          <w:rFonts w:asciiTheme="minorHAnsi" w:hAnsiTheme="minorHAnsi" w:cs="Arial"/>
        </w:rPr>
        <w:t>případy,</w:t>
      </w:r>
      <w:r w:rsidRPr="00C94DF6">
        <w:rPr>
          <w:rFonts w:asciiTheme="minorHAnsi" w:hAnsiTheme="minorHAnsi" w:cs="Arial"/>
          <w:b/>
        </w:rPr>
        <w:t xml:space="preserve"> které nesouvisely se zvýšením či snížením stavu vlastního kapitálu dle § 26 </w:t>
      </w:r>
      <w:r w:rsidR="0045710E" w:rsidRPr="0045710E">
        <w:rPr>
          <w:rFonts w:asciiTheme="minorHAnsi" w:hAnsiTheme="minorHAnsi" w:cs="Arial"/>
          <w:b/>
        </w:rPr>
        <w:t>vyhlášk</w:t>
      </w:r>
      <w:r w:rsidR="0045710E">
        <w:rPr>
          <w:rFonts w:asciiTheme="minorHAnsi" w:hAnsiTheme="minorHAnsi" w:cs="Arial"/>
          <w:b/>
        </w:rPr>
        <w:t>y</w:t>
      </w:r>
      <w:r w:rsidR="0045710E" w:rsidRPr="0045710E">
        <w:rPr>
          <w:rFonts w:asciiTheme="minorHAnsi" w:hAnsiTheme="minorHAnsi" w:cs="Arial"/>
          <w:b/>
        </w:rPr>
        <w:t xml:space="preserve"> č. 410/2009 Sb., kterou se provádějí některá ustanovení zákona č.</w:t>
      </w:r>
      <w:r w:rsidR="00E23B56">
        <w:rPr>
          <w:rFonts w:asciiTheme="minorHAnsi" w:hAnsiTheme="minorHAnsi" w:cs="Arial"/>
          <w:b/>
        </w:rPr>
        <w:t> </w:t>
      </w:r>
      <w:r w:rsidR="0045710E" w:rsidRPr="0045710E">
        <w:rPr>
          <w:rFonts w:asciiTheme="minorHAnsi" w:hAnsiTheme="minorHAnsi" w:cs="Arial"/>
          <w:b/>
        </w:rPr>
        <w:t>563/1991</w:t>
      </w:r>
      <w:r w:rsidR="00E23B56">
        <w:rPr>
          <w:rFonts w:asciiTheme="minorHAnsi" w:hAnsiTheme="minorHAnsi" w:cs="Arial"/>
          <w:b/>
        </w:rPr>
        <w:t> </w:t>
      </w:r>
      <w:r w:rsidR="0045710E" w:rsidRPr="0045710E">
        <w:rPr>
          <w:rFonts w:asciiTheme="minorHAnsi" w:hAnsiTheme="minorHAnsi" w:cs="Arial"/>
          <w:b/>
        </w:rPr>
        <w:t xml:space="preserve">Sb., o účetnictví, ve znění pozdějších předpisů, pro některé vybrané účetní </w:t>
      </w:r>
      <w:r w:rsidR="00241259">
        <w:rPr>
          <w:rFonts w:asciiTheme="minorHAnsi" w:hAnsiTheme="minorHAnsi" w:cs="Arial"/>
          <w:b/>
        </w:rPr>
        <w:t>jednotky</w:t>
      </w:r>
      <w:r w:rsidRPr="00875E88">
        <w:rPr>
          <w:rFonts w:asciiTheme="minorHAnsi" w:hAnsiTheme="minorHAnsi" w:cs="Arial"/>
          <w:b/>
        </w:rPr>
        <w:t>,</w:t>
      </w:r>
    </w:p>
    <w:p w14:paraId="69F75D9B" w14:textId="082E0E1D" w:rsidR="001F2897" w:rsidRPr="001F2897" w:rsidRDefault="00C16BEA" w:rsidP="005F17B3">
      <w:pPr>
        <w:pStyle w:val="Odstavecseseznamem"/>
        <w:numPr>
          <w:ilvl w:val="1"/>
          <w:numId w:val="24"/>
        </w:numPr>
        <w:shd w:val="clear" w:color="auto" w:fill="E5F1FF"/>
        <w:spacing w:after="0"/>
        <w:ind w:left="567" w:hanging="283"/>
        <w:contextualSpacing w:val="0"/>
        <w:jc w:val="both"/>
        <w:rPr>
          <w:rFonts w:asciiTheme="minorHAnsi" w:hAnsiTheme="minorHAnsi" w:cs="Arial"/>
        </w:rPr>
      </w:pPr>
      <w:r w:rsidRPr="001F2897">
        <w:rPr>
          <w:rFonts w:asciiTheme="minorHAnsi" w:hAnsiTheme="minorHAnsi" w:cs="Arial"/>
        </w:rPr>
        <w:t>na položce „</w:t>
      </w:r>
      <w:r w:rsidRPr="001F2897">
        <w:rPr>
          <w:rFonts w:asciiTheme="minorHAnsi" w:hAnsiTheme="minorHAnsi" w:cs="Arial"/>
          <w:i/>
        </w:rPr>
        <w:t>R. Stav peněžních prostředků k rozvahovému dni</w:t>
      </w:r>
      <w:r w:rsidRPr="001F2897">
        <w:rPr>
          <w:rFonts w:asciiTheme="minorHAnsi" w:hAnsiTheme="minorHAnsi" w:cs="Arial"/>
        </w:rPr>
        <w:t>“</w:t>
      </w:r>
      <w:r w:rsidRPr="001F2897">
        <w:rPr>
          <w:rFonts w:asciiTheme="minorHAnsi" w:hAnsiTheme="minorHAnsi" w:cs="Arial"/>
          <w:b/>
        </w:rPr>
        <w:t xml:space="preserve"> vykázal stav krátkodobého finančního majetku, který neodpovídal skutečnosti.  </w:t>
      </w:r>
    </w:p>
    <w:p w14:paraId="219DC7CB" w14:textId="4E6C1368" w:rsidR="008750AD" w:rsidRPr="00107948" w:rsidRDefault="00C16BEA" w:rsidP="005F17B3">
      <w:pPr>
        <w:shd w:val="clear" w:color="auto" w:fill="E5F1FF"/>
        <w:spacing w:after="0"/>
        <w:ind w:left="284"/>
        <w:jc w:val="both"/>
        <w:rPr>
          <w:rFonts w:asciiTheme="minorHAnsi" w:hAnsiTheme="minorHAnsi" w:cs="Arial"/>
          <w:b/>
          <w:highlight w:val="yellow"/>
        </w:rPr>
      </w:pPr>
      <w:r w:rsidRPr="00107948">
        <w:rPr>
          <w:rFonts w:asciiTheme="minorHAnsi" w:hAnsiTheme="minorHAnsi" w:cs="Arial"/>
          <w:b/>
        </w:rPr>
        <w:t xml:space="preserve">Jednalo se o systémové nedostatky, které byly způsobeny zejména nesprávně nastavenými algoritmy výpočtu jednotlivých položek </w:t>
      </w:r>
      <w:r w:rsidR="00A368FC">
        <w:rPr>
          <w:rFonts w:asciiTheme="minorHAnsi" w:hAnsiTheme="minorHAnsi" w:cs="Arial"/>
          <w:b/>
        </w:rPr>
        <w:t>p</w:t>
      </w:r>
      <w:r w:rsidRPr="00107948">
        <w:rPr>
          <w:rFonts w:asciiTheme="minorHAnsi" w:hAnsiTheme="minorHAnsi" w:cs="Arial"/>
          <w:b/>
        </w:rPr>
        <w:t>řehledu o peněžních tocích</w:t>
      </w:r>
      <w:r w:rsidR="0040337D">
        <w:rPr>
          <w:rFonts w:asciiTheme="minorHAnsi" w:hAnsiTheme="minorHAnsi" w:cs="Arial"/>
          <w:b/>
        </w:rPr>
        <w:t>;</w:t>
      </w:r>
      <w:r w:rsidRPr="00107948">
        <w:rPr>
          <w:rFonts w:asciiTheme="minorHAnsi" w:hAnsiTheme="minorHAnsi" w:cs="Arial"/>
          <w:b/>
        </w:rPr>
        <w:t xml:space="preserve"> </w:t>
      </w:r>
    </w:p>
    <w:p w14:paraId="7EAA6B4B" w14:textId="02F73A1D" w:rsidR="00C16BEA" w:rsidRPr="008750AD" w:rsidRDefault="00C16BEA" w:rsidP="005F17B3">
      <w:pPr>
        <w:pStyle w:val="Odstavecseseznamem"/>
        <w:numPr>
          <w:ilvl w:val="0"/>
          <w:numId w:val="15"/>
        </w:numPr>
        <w:shd w:val="clear" w:color="auto" w:fill="E5F1FF"/>
        <w:spacing w:after="0"/>
        <w:ind w:left="284" w:hanging="284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vedl</w:t>
      </w:r>
      <w:r w:rsidRPr="00FC21DE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nesprávné a </w:t>
      </w:r>
      <w:r w:rsidRPr="00FC21DE">
        <w:rPr>
          <w:rFonts w:asciiTheme="minorHAnsi" w:hAnsiTheme="minorHAnsi" w:cs="Arial"/>
          <w:b/>
        </w:rPr>
        <w:t>neúplné účetnictví v oblasti podrozvahových účtů, když</w:t>
      </w:r>
      <w:r w:rsidRPr="00FC21DE">
        <w:rPr>
          <w:rFonts w:asciiTheme="minorHAnsi" w:hAnsiTheme="minorHAnsi" w:cs="Arial"/>
        </w:rPr>
        <w:t xml:space="preserve"> na podrozvahových účtech </w:t>
      </w:r>
      <w:r w:rsidRPr="00FC21DE">
        <w:rPr>
          <w:rFonts w:asciiTheme="minorHAnsi" w:hAnsiTheme="minorHAnsi" w:cs="Arial"/>
          <w:b/>
        </w:rPr>
        <w:t>neúčtoval o skutečnostech, které jsou předmětem účetnictví</w:t>
      </w:r>
      <w:r w:rsidRPr="00FC21DE">
        <w:rPr>
          <w:rFonts w:asciiTheme="minorHAnsi" w:hAnsiTheme="minorHAnsi" w:cs="Arial"/>
        </w:rPr>
        <w:t xml:space="preserve"> – o</w:t>
      </w:r>
      <w:r w:rsidR="008750AD">
        <w:rPr>
          <w:rFonts w:asciiTheme="minorHAnsi" w:hAnsiTheme="minorHAnsi" w:cs="Arial"/>
        </w:rPr>
        <w:t> </w:t>
      </w:r>
      <w:r w:rsidRPr="00FC21DE">
        <w:rPr>
          <w:rFonts w:asciiTheme="minorHAnsi" w:hAnsiTheme="minorHAnsi" w:cs="Arial"/>
        </w:rPr>
        <w:t xml:space="preserve">podmíněných pohledávkách a podmíněných závazcích vyplývajících z rozhodovací činnosti MS Praha. Tento </w:t>
      </w:r>
      <w:r w:rsidRPr="00FC21DE">
        <w:rPr>
          <w:rFonts w:asciiTheme="minorHAnsi" w:hAnsiTheme="minorHAnsi" w:cs="Arial"/>
          <w:b/>
        </w:rPr>
        <w:t xml:space="preserve">systémový nedostatek </w:t>
      </w:r>
      <w:r w:rsidR="00133C76">
        <w:rPr>
          <w:rFonts w:asciiTheme="minorHAnsi" w:hAnsiTheme="minorHAnsi" w:cs="Arial"/>
        </w:rPr>
        <w:t>NKÚ</w:t>
      </w:r>
      <w:r>
        <w:rPr>
          <w:rFonts w:asciiTheme="minorHAnsi" w:hAnsiTheme="minorHAnsi" w:cs="Arial"/>
        </w:rPr>
        <w:t xml:space="preserve"> </w:t>
      </w:r>
      <w:r w:rsidRPr="00FC21DE">
        <w:rPr>
          <w:rFonts w:asciiTheme="minorHAnsi" w:hAnsiTheme="minorHAnsi" w:cs="Arial"/>
        </w:rPr>
        <w:t>vyčísl</w:t>
      </w:r>
      <w:r w:rsidR="004A7472">
        <w:rPr>
          <w:rFonts w:asciiTheme="minorHAnsi" w:hAnsiTheme="minorHAnsi" w:cs="Arial"/>
        </w:rPr>
        <w:t>il</w:t>
      </w:r>
      <w:r>
        <w:rPr>
          <w:rFonts w:asciiTheme="minorHAnsi" w:hAnsiTheme="minorHAnsi" w:cs="Arial"/>
        </w:rPr>
        <w:t xml:space="preserve"> jako odhad</w:t>
      </w:r>
      <w:r w:rsidRPr="00FC21DE">
        <w:rPr>
          <w:rFonts w:asciiTheme="minorHAnsi" w:hAnsiTheme="minorHAnsi" w:cs="Arial"/>
          <w:b/>
        </w:rPr>
        <w:t xml:space="preserve"> v</w:t>
      </w:r>
      <w:r>
        <w:rPr>
          <w:rFonts w:asciiTheme="minorHAnsi" w:hAnsiTheme="minorHAnsi" w:cs="Arial"/>
          <w:b/>
        </w:rPr>
        <w:t> </w:t>
      </w:r>
      <w:r w:rsidRPr="00FC21DE">
        <w:rPr>
          <w:rFonts w:asciiTheme="minorHAnsi" w:hAnsiTheme="minorHAnsi" w:cs="Arial"/>
          <w:b/>
        </w:rPr>
        <w:t>částce</w:t>
      </w:r>
      <w:r>
        <w:rPr>
          <w:rFonts w:asciiTheme="minorHAnsi" w:hAnsiTheme="minorHAnsi" w:cs="Arial"/>
          <w:b/>
        </w:rPr>
        <w:t xml:space="preserve"> minimálně 907</w:t>
      </w:r>
      <w:r w:rsidR="00A368FC">
        <w:rPr>
          <w:rFonts w:asciiTheme="minorHAnsi" w:hAnsiTheme="minorHAnsi" w:cs="Arial"/>
          <w:b/>
        </w:rPr>
        <w:t>,7 mil.</w:t>
      </w:r>
      <w:r w:rsidRPr="00FC21DE">
        <w:rPr>
          <w:rFonts w:asciiTheme="minorHAnsi" w:hAnsiTheme="minorHAnsi" w:cs="Arial"/>
          <w:b/>
        </w:rPr>
        <w:t xml:space="preserve"> Kč</w:t>
      </w:r>
      <w:r w:rsidR="006C7A53">
        <w:rPr>
          <w:rStyle w:val="Znakapoznpodarou"/>
          <w:rFonts w:asciiTheme="minorHAnsi" w:hAnsiTheme="minorHAnsi" w:cs="Arial"/>
          <w:b/>
        </w:rPr>
        <w:footnoteReference w:id="3"/>
      </w:r>
      <w:r w:rsidRPr="00FC21DE">
        <w:rPr>
          <w:rFonts w:asciiTheme="minorHAnsi" w:hAnsiTheme="minorHAnsi" w:cs="Arial"/>
          <w:b/>
        </w:rPr>
        <w:t xml:space="preserve"> </w:t>
      </w:r>
      <w:r w:rsidRPr="00FC21DE">
        <w:rPr>
          <w:rFonts w:asciiTheme="minorHAnsi" w:hAnsiTheme="minorHAnsi" w:cs="Arial"/>
        </w:rPr>
        <w:t>a měl dopad na správnost zůstatků podmíněných pohledávek a</w:t>
      </w:r>
      <w:r w:rsidR="008750AD">
        <w:rPr>
          <w:rFonts w:asciiTheme="minorHAnsi" w:hAnsiTheme="minorHAnsi" w:cs="Arial"/>
        </w:rPr>
        <w:t> </w:t>
      </w:r>
      <w:r w:rsidRPr="00FC21DE">
        <w:rPr>
          <w:rFonts w:asciiTheme="minorHAnsi" w:hAnsiTheme="minorHAnsi" w:cs="Arial"/>
        </w:rPr>
        <w:t>podmíněných závazků z rozhodovací či</w:t>
      </w:r>
      <w:r w:rsidR="0028341B">
        <w:rPr>
          <w:rFonts w:asciiTheme="minorHAnsi" w:hAnsiTheme="minorHAnsi" w:cs="Arial"/>
        </w:rPr>
        <w:t>nnosti MS Praha vykazovaných v p</w:t>
      </w:r>
      <w:r w:rsidRPr="00FC21DE">
        <w:rPr>
          <w:rFonts w:asciiTheme="minorHAnsi" w:hAnsiTheme="minorHAnsi" w:cs="Arial"/>
        </w:rPr>
        <w:t>říloze</w:t>
      </w:r>
      <w:r w:rsidR="0028341B">
        <w:rPr>
          <w:rFonts w:asciiTheme="minorHAnsi" w:hAnsiTheme="minorHAnsi" w:cs="Arial"/>
        </w:rPr>
        <w:t xml:space="preserve"> účetní závěrky</w:t>
      </w:r>
      <w:r w:rsidRPr="00FC21DE">
        <w:rPr>
          <w:rFonts w:asciiTheme="minorHAnsi" w:hAnsiTheme="minorHAnsi" w:cs="Arial"/>
        </w:rPr>
        <w:t>.</w:t>
      </w:r>
    </w:p>
    <w:p w14:paraId="4F5209A0" w14:textId="77777777" w:rsidR="005F17B3" w:rsidRPr="005F17B3" w:rsidRDefault="005F17B3" w:rsidP="005F17B3">
      <w:pPr>
        <w:shd w:val="clear" w:color="auto" w:fill="E5F1FF"/>
        <w:spacing w:after="0"/>
        <w:jc w:val="both"/>
        <w:rPr>
          <w:rFonts w:cs="Arial"/>
        </w:rPr>
      </w:pPr>
    </w:p>
    <w:p w14:paraId="23FB4E38" w14:textId="70D24FF3" w:rsidR="00C16BEA" w:rsidRPr="005F17B3" w:rsidRDefault="00C16BEA" w:rsidP="005F17B3">
      <w:pPr>
        <w:shd w:val="clear" w:color="auto" w:fill="E5F1FF"/>
        <w:spacing w:after="0"/>
        <w:jc w:val="both"/>
        <w:rPr>
          <w:rFonts w:cs="Arial"/>
        </w:rPr>
      </w:pPr>
      <w:r w:rsidRPr="00C94DF6">
        <w:rPr>
          <w:rFonts w:cs="Arial"/>
          <w:b/>
        </w:rPr>
        <w:lastRenderedPageBreak/>
        <w:t>Podle názoru Nejvyššího kontrolního úřadu účetní závěrka MS Praha sestavená k 31.</w:t>
      </w:r>
      <w:r w:rsidR="00E23B56">
        <w:rPr>
          <w:rFonts w:cs="Arial"/>
          <w:b/>
        </w:rPr>
        <w:t> </w:t>
      </w:r>
      <w:r w:rsidRPr="00C94DF6">
        <w:rPr>
          <w:rFonts w:cs="Arial"/>
          <w:b/>
        </w:rPr>
        <w:t>prosinci 2017 nepodává věrný a poctivý obraz předmětu účetnictví a finanční situace účetní jednotky dle účetních předpisů pro některé vybrané účetní jednotky</w:t>
      </w:r>
      <w:r w:rsidR="00CA0C60" w:rsidRPr="00DC4C56">
        <w:rPr>
          <w:rStyle w:val="Znakapoznpodarou"/>
          <w:rFonts w:cs="Calibri"/>
          <w:b/>
        </w:rPr>
        <w:footnoteReference w:id="4"/>
      </w:r>
      <w:r w:rsidRPr="00C94DF6">
        <w:rPr>
          <w:rFonts w:cs="Arial"/>
          <w:b/>
        </w:rPr>
        <w:t>.</w:t>
      </w:r>
    </w:p>
    <w:p w14:paraId="5F2235DF" w14:textId="77777777" w:rsidR="005F17B3" w:rsidRPr="005F17B3" w:rsidRDefault="005F17B3" w:rsidP="005F17B3">
      <w:pPr>
        <w:spacing w:after="0"/>
        <w:jc w:val="both"/>
        <w:rPr>
          <w:rFonts w:cs="Arial"/>
          <w:highlight w:val="yellow"/>
        </w:rPr>
      </w:pPr>
    </w:p>
    <w:p w14:paraId="0388A030" w14:textId="6EFA3995" w:rsidR="004D0D5F" w:rsidRDefault="004D0D5F" w:rsidP="004D0D5F">
      <w:pPr>
        <w:spacing w:after="0"/>
        <w:jc w:val="both"/>
        <w:rPr>
          <w:rFonts w:cs="Calibri"/>
          <w:b/>
        </w:rPr>
      </w:pPr>
      <w:r w:rsidRPr="00FE613A">
        <w:rPr>
          <w:rFonts w:eastAsiaTheme="minorHAnsi" w:cs="Calibri"/>
        </w:rPr>
        <w:t xml:space="preserve">Pro posouzení spolehlivosti informací v účetní závěrce byla stanovena významnost neboli </w:t>
      </w:r>
      <w:proofErr w:type="spellStart"/>
      <w:r w:rsidRPr="00FE613A">
        <w:rPr>
          <w:rFonts w:eastAsiaTheme="minorHAnsi" w:cs="Calibri"/>
        </w:rPr>
        <w:t>materialita</w:t>
      </w:r>
      <w:proofErr w:type="spellEnd"/>
      <w:r w:rsidR="00255E61" w:rsidRPr="00FE613A">
        <w:rPr>
          <w:rStyle w:val="Znakapoznpodarou"/>
          <w:rFonts w:eastAsiaTheme="minorHAnsi" w:cs="Calibri"/>
        </w:rPr>
        <w:footnoteReference w:id="5"/>
      </w:r>
      <w:r w:rsidR="00255E61" w:rsidRPr="00FE613A">
        <w:rPr>
          <w:rFonts w:eastAsiaTheme="minorHAnsi" w:cs="Calibri"/>
        </w:rPr>
        <w:t xml:space="preserve"> </w:t>
      </w:r>
      <w:r w:rsidRPr="00FE613A">
        <w:rPr>
          <w:rFonts w:eastAsiaTheme="minorHAnsi" w:cs="Calibri"/>
        </w:rPr>
        <w:t xml:space="preserve">ve výši </w:t>
      </w:r>
      <w:r w:rsidR="00631E60" w:rsidRPr="00FE613A">
        <w:rPr>
          <w:rFonts w:eastAsiaTheme="minorHAnsi" w:cs="Calibri"/>
        </w:rPr>
        <w:t>21</w:t>
      </w:r>
      <w:r w:rsidRPr="00FE613A">
        <w:rPr>
          <w:rFonts w:eastAsiaTheme="minorHAnsi" w:cs="Calibri"/>
        </w:rPr>
        <w:t xml:space="preserve"> mil. Kč</w:t>
      </w:r>
      <w:r w:rsidRPr="00C16BEA">
        <w:rPr>
          <w:rFonts w:eastAsiaTheme="minorHAnsi" w:cs="Calibri"/>
        </w:rPr>
        <w:t xml:space="preserve">. </w:t>
      </w:r>
      <w:r w:rsidRPr="00C16BEA">
        <w:rPr>
          <w:rFonts w:eastAsiaTheme="minorHAnsi" w:cs="Calibri"/>
          <w:b/>
        </w:rPr>
        <w:t>Celková částka</w:t>
      </w:r>
      <w:r w:rsidRPr="00C16BEA">
        <w:rPr>
          <w:rFonts w:cs="Calibri"/>
          <w:b/>
        </w:rPr>
        <w:t xml:space="preserve"> nesprávností,</w:t>
      </w:r>
      <w:r w:rsidRPr="00C16BEA">
        <w:rPr>
          <w:rFonts w:cs="Calibri"/>
        </w:rPr>
        <w:t xml:space="preserve"> které byly v této ÚZ zjištěny a vyčísleny, </w:t>
      </w:r>
      <w:r w:rsidR="00472450" w:rsidRPr="00472450">
        <w:rPr>
          <w:rFonts w:cs="Calibri"/>
          <w:b/>
        </w:rPr>
        <w:t>byla s rozsáhlým dopadem</w:t>
      </w:r>
      <w:r w:rsidR="00472450">
        <w:rPr>
          <w:rFonts w:cs="Calibri"/>
        </w:rPr>
        <w:t xml:space="preserve"> </w:t>
      </w:r>
      <w:r w:rsidRPr="00C16BEA">
        <w:rPr>
          <w:rFonts w:cs="Calibri"/>
          <w:b/>
        </w:rPr>
        <w:t xml:space="preserve">na </w:t>
      </w:r>
      <w:r w:rsidR="00631E60" w:rsidRPr="00C16BEA">
        <w:rPr>
          <w:rFonts w:cs="Calibri"/>
          <w:b/>
        </w:rPr>
        <w:t xml:space="preserve">všechny </w:t>
      </w:r>
      <w:r w:rsidR="00C16BEA">
        <w:rPr>
          <w:rFonts w:cs="Calibri"/>
          <w:b/>
        </w:rPr>
        <w:t xml:space="preserve">účetní </w:t>
      </w:r>
      <w:r w:rsidRPr="00C16BEA">
        <w:rPr>
          <w:rFonts w:cs="Calibri"/>
          <w:b/>
        </w:rPr>
        <w:t>výkazy</w:t>
      </w:r>
      <w:r w:rsidR="00631E60" w:rsidRPr="00C16BEA">
        <w:rPr>
          <w:rFonts w:cs="Calibri"/>
          <w:b/>
        </w:rPr>
        <w:t>,</w:t>
      </w:r>
      <w:r w:rsidRPr="00C16BEA">
        <w:rPr>
          <w:rFonts w:cs="Calibri"/>
          <w:b/>
        </w:rPr>
        <w:t xml:space="preserve"> </w:t>
      </w:r>
      <w:r w:rsidR="00631E60" w:rsidRPr="00C16BEA">
        <w:rPr>
          <w:rFonts w:cs="Calibri"/>
          <w:b/>
        </w:rPr>
        <w:t>s výjimkou přehledu o</w:t>
      </w:r>
      <w:r w:rsidR="00E23B56">
        <w:rPr>
          <w:rFonts w:cs="Calibri"/>
          <w:b/>
        </w:rPr>
        <w:t> </w:t>
      </w:r>
      <w:r w:rsidR="00631E60" w:rsidRPr="00C16BEA">
        <w:rPr>
          <w:rFonts w:cs="Calibri"/>
          <w:b/>
        </w:rPr>
        <w:t>změnách vlastního kapitálu</w:t>
      </w:r>
      <w:r w:rsidRPr="00C16BEA">
        <w:rPr>
          <w:rFonts w:cs="Calibri"/>
          <w:b/>
        </w:rPr>
        <w:t>.</w:t>
      </w:r>
    </w:p>
    <w:p w14:paraId="2B760F1B" w14:textId="77777777" w:rsidR="00ED2E67" w:rsidRDefault="00ED2E67" w:rsidP="004D0D5F">
      <w:pPr>
        <w:spacing w:after="0"/>
        <w:jc w:val="both"/>
        <w:rPr>
          <w:rFonts w:cs="Calibri"/>
          <w:b/>
        </w:rPr>
      </w:pPr>
    </w:p>
    <w:p w14:paraId="6B2E4517" w14:textId="77777777" w:rsidR="00ED2E67" w:rsidRPr="007B2E2B" w:rsidRDefault="00ED2E67" w:rsidP="004D0D5F">
      <w:pPr>
        <w:spacing w:after="0"/>
        <w:jc w:val="both"/>
        <w:rPr>
          <w:rFonts w:cs="Calibri"/>
          <w:b/>
        </w:rPr>
      </w:pPr>
      <w:r w:rsidRPr="007B2E2B">
        <w:rPr>
          <w:rFonts w:cs="Calibri"/>
          <w:b/>
        </w:rPr>
        <w:t>Zveřejněná ÚZ</w:t>
      </w:r>
      <w:r w:rsidRPr="007B2E2B">
        <w:rPr>
          <w:rStyle w:val="Znakapoznpodarou"/>
          <w:rFonts w:cs="Calibri"/>
          <w:b/>
        </w:rPr>
        <w:footnoteReference w:id="6"/>
      </w:r>
      <w:r w:rsidRPr="007B2E2B">
        <w:rPr>
          <w:rFonts w:cs="Calibri"/>
          <w:b/>
        </w:rPr>
        <w:t xml:space="preserve"> tak podle názoru NKÚ obsahuje n</w:t>
      </w:r>
      <w:r w:rsidR="00AB71E7" w:rsidRPr="007B2E2B">
        <w:rPr>
          <w:rFonts w:cs="Calibri"/>
          <w:b/>
        </w:rPr>
        <w:t>espolehlivé informace v rozsahu,</w:t>
      </w:r>
      <w:r w:rsidRPr="007B2E2B">
        <w:rPr>
          <w:rFonts w:cs="Calibri"/>
          <w:b/>
        </w:rPr>
        <w:t xml:space="preserve"> jak je výše uvedeno. </w:t>
      </w:r>
      <w:r w:rsidR="0075205A">
        <w:rPr>
          <w:rFonts w:cs="Calibri"/>
          <w:b/>
        </w:rPr>
        <w:t xml:space="preserve">Přitom </w:t>
      </w:r>
      <w:r w:rsidRPr="007B2E2B">
        <w:rPr>
          <w:rFonts w:cs="Calibri"/>
          <w:b/>
        </w:rPr>
        <w:t>informace</w:t>
      </w:r>
      <w:r w:rsidR="0075205A">
        <w:rPr>
          <w:rFonts w:cs="Calibri"/>
          <w:b/>
        </w:rPr>
        <w:t xml:space="preserve"> z individuálních účetních závěrek</w:t>
      </w:r>
      <w:r w:rsidRPr="007B2E2B">
        <w:rPr>
          <w:rFonts w:cs="Calibri"/>
          <w:b/>
        </w:rPr>
        <w:t xml:space="preserve"> </w:t>
      </w:r>
      <w:r w:rsidR="0075205A">
        <w:rPr>
          <w:rFonts w:cs="Calibri"/>
          <w:b/>
        </w:rPr>
        <w:t>jsou</w:t>
      </w:r>
      <w:r w:rsidRPr="007B2E2B">
        <w:rPr>
          <w:rFonts w:cs="Calibri"/>
          <w:b/>
        </w:rPr>
        <w:t xml:space="preserve"> vstupními údaji do souhrnných účetních výkazů za Českou republiku za rok 2017.</w:t>
      </w:r>
    </w:p>
    <w:p w14:paraId="691D6BBA" w14:textId="77777777" w:rsidR="003B6C27" w:rsidRPr="007B2E2B" w:rsidRDefault="003B6C27" w:rsidP="004D0D5F">
      <w:pPr>
        <w:spacing w:after="0"/>
        <w:jc w:val="both"/>
        <w:rPr>
          <w:rFonts w:cs="Calibri"/>
          <w:b/>
        </w:rPr>
      </w:pPr>
    </w:p>
    <w:p w14:paraId="28BABFD3" w14:textId="77777777" w:rsidR="005F23C9" w:rsidRPr="007B2E2B" w:rsidRDefault="005A7D01" w:rsidP="005F23C9">
      <w:pPr>
        <w:spacing w:after="0"/>
        <w:ind w:left="284" w:hanging="284"/>
        <w:jc w:val="both"/>
        <w:outlineLvl w:val="1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2</w:t>
      </w:r>
      <w:r w:rsidR="00D9433E" w:rsidRPr="008A7242">
        <w:rPr>
          <w:rFonts w:asciiTheme="minorHAnsi" w:eastAsia="Calibri" w:hAnsiTheme="minorHAnsi" w:cstheme="minorHAnsi"/>
          <w:b/>
        </w:rPr>
        <w:t xml:space="preserve">. </w:t>
      </w:r>
      <w:r w:rsidR="005F23C9" w:rsidRPr="007B2E2B">
        <w:rPr>
          <w:rFonts w:asciiTheme="minorHAnsi" w:eastAsia="Calibri" w:hAnsiTheme="minorHAnsi" w:cstheme="minorHAnsi"/>
          <w:b/>
        </w:rPr>
        <w:t>K</w:t>
      </w:r>
      <w:r w:rsidR="00D9433E" w:rsidRPr="007B2E2B">
        <w:rPr>
          <w:rFonts w:asciiTheme="minorHAnsi" w:eastAsia="Calibri" w:hAnsiTheme="minorHAnsi" w:cstheme="minorHAnsi"/>
          <w:b/>
        </w:rPr>
        <w:t>ontrolní systém</w:t>
      </w:r>
    </w:p>
    <w:p w14:paraId="1F5DC1CB" w14:textId="77777777" w:rsidR="005F23C9" w:rsidRPr="0022638B" w:rsidRDefault="005F23C9" w:rsidP="00644153">
      <w:pPr>
        <w:spacing w:after="0"/>
        <w:jc w:val="both"/>
        <w:rPr>
          <w:rFonts w:cs="Calibri"/>
          <w:b/>
        </w:rPr>
      </w:pPr>
    </w:p>
    <w:p w14:paraId="6AE04ECD" w14:textId="77777777" w:rsidR="00AB71E7" w:rsidRPr="007B2E2B" w:rsidRDefault="00615B6A" w:rsidP="00615B6A">
      <w:pPr>
        <w:spacing w:after="0"/>
        <w:jc w:val="both"/>
        <w:rPr>
          <w:rFonts w:cs="Calibri"/>
          <w:b/>
        </w:rPr>
      </w:pPr>
      <w:r w:rsidRPr="007B2E2B">
        <w:rPr>
          <w:rFonts w:cs="Calibri"/>
          <w:b/>
        </w:rPr>
        <w:t>Vnitřní kontrolní systém</w:t>
      </w:r>
      <w:r w:rsidR="00AB71E7" w:rsidRPr="007B2E2B">
        <w:rPr>
          <w:rFonts w:cs="Calibri"/>
          <w:b/>
        </w:rPr>
        <w:t xml:space="preserve"> MS Praha</w:t>
      </w:r>
      <w:r w:rsidRPr="007B2E2B">
        <w:rPr>
          <w:rFonts w:cs="Calibri"/>
          <w:b/>
        </w:rPr>
        <w:t xml:space="preserve"> </w:t>
      </w:r>
      <w:r w:rsidR="00480772">
        <w:rPr>
          <w:rFonts w:cs="Calibri"/>
          <w:b/>
        </w:rPr>
        <w:t>nebyl dostatečně účinný, neboť</w:t>
      </w:r>
      <w:r w:rsidR="003964DF">
        <w:rPr>
          <w:rFonts w:cs="Calibri"/>
          <w:b/>
        </w:rPr>
        <w:t xml:space="preserve"> </w:t>
      </w:r>
      <w:r w:rsidRPr="007B2E2B">
        <w:rPr>
          <w:rFonts w:cs="Calibri"/>
          <w:b/>
        </w:rPr>
        <w:t>nezajišťoval</w:t>
      </w:r>
      <w:r w:rsidR="00AB71E7" w:rsidRPr="007B2E2B">
        <w:rPr>
          <w:rFonts w:cs="Calibri"/>
          <w:b/>
        </w:rPr>
        <w:t xml:space="preserve"> přiměřenou jist</w:t>
      </w:r>
      <w:r w:rsidR="00073303" w:rsidRPr="007B2E2B">
        <w:rPr>
          <w:rFonts w:cs="Calibri"/>
          <w:b/>
        </w:rPr>
        <w:t>otu o tom, že jsou</w:t>
      </w:r>
      <w:r w:rsidR="00AB71E7" w:rsidRPr="007B2E2B">
        <w:rPr>
          <w:rFonts w:cs="Calibri"/>
          <w:b/>
        </w:rPr>
        <w:t>:</w:t>
      </w:r>
    </w:p>
    <w:p w14:paraId="2C177FAA" w14:textId="233153B3" w:rsidR="00AB71E7" w:rsidRPr="007B2E2B" w:rsidRDefault="00615B6A" w:rsidP="008750AD">
      <w:pPr>
        <w:pStyle w:val="Odstavecseseznamem"/>
        <w:numPr>
          <w:ilvl w:val="0"/>
          <w:numId w:val="22"/>
        </w:numPr>
        <w:spacing w:after="0"/>
        <w:ind w:left="284" w:hanging="284"/>
        <w:jc w:val="both"/>
        <w:rPr>
          <w:rFonts w:cs="Calibri"/>
          <w:b/>
        </w:rPr>
      </w:pPr>
      <w:r w:rsidRPr="007B2E2B">
        <w:rPr>
          <w:rFonts w:cs="Calibri"/>
          <w:b/>
        </w:rPr>
        <w:t>dodržov</w:t>
      </w:r>
      <w:r w:rsidR="00073303" w:rsidRPr="007B2E2B">
        <w:rPr>
          <w:rFonts w:cs="Calibri"/>
          <w:b/>
        </w:rPr>
        <w:t>ány</w:t>
      </w:r>
      <w:r w:rsidRPr="007B2E2B">
        <w:rPr>
          <w:rFonts w:cs="Calibri"/>
          <w:b/>
        </w:rPr>
        <w:t xml:space="preserve"> právní předpis</w:t>
      </w:r>
      <w:r w:rsidR="00073303" w:rsidRPr="007B2E2B">
        <w:rPr>
          <w:rFonts w:cs="Calibri"/>
          <w:b/>
        </w:rPr>
        <w:t>y</w:t>
      </w:r>
      <w:r w:rsidR="00AB71E7" w:rsidRPr="007B2E2B">
        <w:rPr>
          <w:rFonts w:cs="Calibri"/>
          <w:b/>
        </w:rPr>
        <w:t xml:space="preserve"> </w:t>
      </w:r>
      <w:r w:rsidR="00E8376B">
        <w:rPr>
          <w:rFonts w:cs="Calibri"/>
          <w:b/>
        </w:rPr>
        <w:t>při</w:t>
      </w:r>
      <w:r w:rsidR="00183643">
        <w:rPr>
          <w:rFonts w:cs="Calibri"/>
          <w:b/>
        </w:rPr>
        <w:t xml:space="preserve"> </w:t>
      </w:r>
      <w:r w:rsidR="006B4560">
        <w:rPr>
          <w:rFonts w:cs="Calibri"/>
          <w:b/>
        </w:rPr>
        <w:t>hospodaření s veřejnými prostředky</w:t>
      </w:r>
      <w:r w:rsidRPr="007B2E2B">
        <w:rPr>
          <w:rFonts w:cs="Calibri"/>
          <w:b/>
        </w:rPr>
        <w:t xml:space="preserve">, </w:t>
      </w:r>
    </w:p>
    <w:p w14:paraId="1C8962BE" w14:textId="2D55FAA1" w:rsidR="00AB71E7" w:rsidRPr="007B2E2B" w:rsidRDefault="00073303" w:rsidP="008750AD">
      <w:pPr>
        <w:pStyle w:val="Odstavecseseznamem"/>
        <w:numPr>
          <w:ilvl w:val="0"/>
          <w:numId w:val="22"/>
        </w:numPr>
        <w:spacing w:after="0"/>
        <w:ind w:left="284" w:hanging="284"/>
        <w:jc w:val="both"/>
        <w:rPr>
          <w:rFonts w:cs="Calibri"/>
          <w:b/>
        </w:rPr>
      </w:pPr>
      <w:r w:rsidRPr="007B2E2B">
        <w:rPr>
          <w:rFonts w:cs="Calibri"/>
          <w:b/>
        </w:rPr>
        <w:t>ochraňovány</w:t>
      </w:r>
      <w:r w:rsidR="00615B6A" w:rsidRPr="007B2E2B">
        <w:rPr>
          <w:rFonts w:cs="Calibri"/>
          <w:b/>
        </w:rPr>
        <w:t xml:space="preserve"> peněžní prostředk</w:t>
      </w:r>
      <w:r w:rsidRPr="007B2E2B">
        <w:rPr>
          <w:rFonts w:cs="Calibri"/>
          <w:b/>
        </w:rPr>
        <w:t>y</w:t>
      </w:r>
      <w:r w:rsidR="00615B6A" w:rsidRPr="007B2E2B">
        <w:rPr>
          <w:rFonts w:cs="Calibri"/>
          <w:b/>
        </w:rPr>
        <w:t xml:space="preserve"> proti rizikům</w:t>
      </w:r>
      <w:r w:rsidR="00480772">
        <w:rPr>
          <w:rFonts w:cs="Calibri"/>
          <w:b/>
        </w:rPr>
        <w:t xml:space="preserve">, </w:t>
      </w:r>
      <w:r w:rsidR="00615B6A" w:rsidRPr="007B2E2B">
        <w:rPr>
          <w:rFonts w:cs="Calibri"/>
          <w:b/>
        </w:rPr>
        <w:t>nesrovnalostem</w:t>
      </w:r>
      <w:r w:rsidR="00480772">
        <w:rPr>
          <w:rFonts w:cs="Calibri"/>
          <w:b/>
        </w:rPr>
        <w:t xml:space="preserve"> nebo jiným nedostatkům</w:t>
      </w:r>
      <w:r w:rsidR="00615B6A" w:rsidRPr="007B2E2B">
        <w:rPr>
          <w:rFonts w:cs="Calibri"/>
          <w:b/>
        </w:rPr>
        <w:t xml:space="preserve"> způsobeným porušením právních předpisů,</w:t>
      </w:r>
    </w:p>
    <w:p w14:paraId="5D9DDF86" w14:textId="77777777" w:rsidR="00AB71E7" w:rsidRPr="007B2E2B" w:rsidRDefault="00073303" w:rsidP="008750AD">
      <w:pPr>
        <w:pStyle w:val="Odstavecseseznamem"/>
        <w:numPr>
          <w:ilvl w:val="0"/>
          <w:numId w:val="22"/>
        </w:numPr>
        <w:spacing w:after="0"/>
        <w:ind w:left="284" w:hanging="284"/>
        <w:jc w:val="both"/>
        <w:rPr>
          <w:rFonts w:cs="Calibri"/>
          <w:b/>
        </w:rPr>
      </w:pPr>
      <w:r w:rsidRPr="007B2E2B">
        <w:rPr>
          <w:rFonts w:cs="Calibri"/>
          <w:b/>
        </w:rPr>
        <w:t xml:space="preserve">podávány </w:t>
      </w:r>
      <w:r w:rsidR="00E8376B">
        <w:rPr>
          <w:rFonts w:cs="Calibri"/>
          <w:b/>
        </w:rPr>
        <w:t xml:space="preserve">včasné a </w:t>
      </w:r>
      <w:r w:rsidR="00AB71E7" w:rsidRPr="007B2E2B">
        <w:rPr>
          <w:rFonts w:cs="Calibri"/>
          <w:b/>
        </w:rPr>
        <w:t xml:space="preserve">spolehlivé </w:t>
      </w:r>
      <w:r w:rsidR="00615B6A" w:rsidRPr="007B2E2B">
        <w:rPr>
          <w:rFonts w:cs="Calibri"/>
          <w:b/>
        </w:rPr>
        <w:t>inform</w:t>
      </w:r>
      <w:r w:rsidRPr="007B2E2B">
        <w:rPr>
          <w:rFonts w:cs="Calibri"/>
          <w:b/>
        </w:rPr>
        <w:t>ace</w:t>
      </w:r>
      <w:r w:rsidR="00615B6A" w:rsidRPr="007B2E2B">
        <w:rPr>
          <w:rFonts w:cs="Calibri"/>
          <w:b/>
        </w:rPr>
        <w:t xml:space="preserve"> vedoucí</w:t>
      </w:r>
      <w:r w:rsidRPr="007B2E2B">
        <w:rPr>
          <w:rFonts w:cs="Calibri"/>
          <w:b/>
        </w:rPr>
        <w:t>mu</w:t>
      </w:r>
      <w:r w:rsidR="00615B6A" w:rsidRPr="007B2E2B">
        <w:rPr>
          <w:rFonts w:cs="Calibri"/>
          <w:b/>
        </w:rPr>
        <w:t xml:space="preserve"> orgánu o prováděných operacích</w:t>
      </w:r>
      <w:r w:rsidR="008C4396" w:rsidRPr="007B2E2B">
        <w:rPr>
          <w:rFonts w:cs="Calibri"/>
          <w:b/>
        </w:rPr>
        <w:t>.</w:t>
      </w:r>
    </w:p>
    <w:p w14:paraId="0C9502FB" w14:textId="77777777" w:rsidR="00AB71E7" w:rsidRPr="007B2E2B" w:rsidRDefault="00AB71E7" w:rsidP="008750AD">
      <w:pPr>
        <w:pStyle w:val="Odstavecseseznamem"/>
        <w:spacing w:after="0"/>
        <w:ind w:left="0"/>
        <w:jc w:val="both"/>
        <w:rPr>
          <w:rFonts w:cs="Calibri"/>
          <w:b/>
        </w:rPr>
      </w:pPr>
    </w:p>
    <w:p w14:paraId="4BA00EDB" w14:textId="77777777" w:rsidR="005F23C9" w:rsidRPr="007B2E2B" w:rsidRDefault="003964DF" w:rsidP="00AB71E7">
      <w:pPr>
        <w:spacing w:after="0"/>
        <w:jc w:val="both"/>
        <w:rPr>
          <w:rFonts w:cs="Calibri"/>
          <w:b/>
        </w:rPr>
      </w:pPr>
      <w:r w:rsidRPr="0042165C">
        <w:rPr>
          <w:rFonts w:cs="Calibri"/>
          <w:b/>
        </w:rPr>
        <w:t>Jde přitom o</w:t>
      </w:r>
      <w:r w:rsidR="008C4396" w:rsidRPr="00E8376B">
        <w:rPr>
          <w:rFonts w:cs="Calibri"/>
          <w:b/>
        </w:rPr>
        <w:t xml:space="preserve"> hlavní cíle</w:t>
      </w:r>
      <w:r w:rsidR="00CA0C60" w:rsidRPr="00E8376B">
        <w:rPr>
          <w:rFonts w:cs="Calibri"/>
          <w:b/>
        </w:rPr>
        <w:t xml:space="preserve"> finanční kontroly podle zákona </w:t>
      </w:r>
      <w:r w:rsidR="00CA0C60" w:rsidRPr="00E7368E">
        <w:rPr>
          <w:rFonts w:cs="Calibri"/>
          <w:b/>
        </w:rPr>
        <w:t>o finanční kontrole</w:t>
      </w:r>
      <w:r w:rsidRPr="0042165C">
        <w:rPr>
          <w:rFonts w:cs="Calibri"/>
          <w:b/>
        </w:rPr>
        <w:t xml:space="preserve">, </w:t>
      </w:r>
      <w:r w:rsidR="00E8376B" w:rsidRPr="0042165C">
        <w:rPr>
          <w:rFonts w:cs="Calibri"/>
          <w:b/>
        </w:rPr>
        <w:t>jež</w:t>
      </w:r>
      <w:r w:rsidRPr="0042165C">
        <w:rPr>
          <w:rFonts w:cs="Calibri"/>
          <w:b/>
        </w:rPr>
        <w:t xml:space="preserve"> </w:t>
      </w:r>
      <w:r w:rsidR="00CA0C60" w:rsidRPr="00E8376B">
        <w:rPr>
          <w:rFonts w:cs="Calibri"/>
          <w:b/>
        </w:rPr>
        <w:t xml:space="preserve">jsou </w:t>
      </w:r>
      <w:r w:rsidRPr="0042165C">
        <w:rPr>
          <w:rFonts w:cs="Calibri"/>
          <w:b/>
        </w:rPr>
        <w:t xml:space="preserve">dle NKÚ přirozeně </w:t>
      </w:r>
      <w:r w:rsidR="00CA0C60" w:rsidRPr="00E8376B">
        <w:rPr>
          <w:rFonts w:cs="Calibri"/>
          <w:b/>
        </w:rPr>
        <w:t xml:space="preserve">i cíli </w:t>
      </w:r>
      <w:r w:rsidR="008C4396" w:rsidRPr="00E7368E">
        <w:rPr>
          <w:rFonts w:cs="Calibri"/>
          <w:b/>
        </w:rPr>
        <w:t>vnitřního kontrolního systému</w:t>
      </w:r>
      <w:r w:rsidR="00CA0C60" w:rsidRPr="002C78CC">
        <w:rPr>
          <w:rFonts w:cs="Calibri"/>
          <w:b/>
        </w:rPr>
        <w:t>, který je její součástí</w:t>
      </w:r>
      <w:r w:rsidR="005F23C9" w:rsidRPr="002C78CC">
        <w:rPr>
          <w:rFonts w:cs="Calibri"/>
          <w:b/>
        </w:rPr>
        <w:t>.</w:t>
      </w:r>
    </w:p>
    <w:p w14:paraId="5666BFD3" w14:textId="77777777" w:rsidR="005F23C9" w:rsidRPr="007B2E2B" w:rsidRDefault="005F23C9" w:rsidP="00615B6A">
      <w:pPr>
        <w:spacing w:after="0"/>
        <w:jc w:val="both"/>
        <w:rPr>
          <w:rFonts w:cs="Calibri"/>
          <w:b/>
        </w:rPr>
      </w:pPr>
    </w:p>
    <w:p w14:paraId="3ED9DA71" w14:textId="77777777" w:rsidR="005F23C9" w:rsidRPr="007B2E2B" w:rsidRDefault="004A7472" w:rsidP="00615B6A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J</w:t>
      </w:r>
      <w:r w:rsidRPr="007B2E2B">
        <w:rPr>
          <w:rFonts w:cs="Calibri"/>
          <w:b/>
        </w:rPr>
        <w:t>ednotlivé kontrolní prvky</w:t>
      </w:r>
      <w:r>
        <w:rPr>
          <w:rFonts w:cs="Calibri"/>
          <w:b/>
        </w:rPr>
        <w:t xml:space="preserve"> </w:t>
      </w:r>
      <w:r w:rsidR="008C4396" w:rsidRPr="007B2E2B">
        <w:rPr>
          <w:rFonts w:cs="Calibri"/>
          <w:b/>
        </w:rPr>
        <w:t>systému</w:t>
      </w:r>
      <w:r w:rsidR="005F23C9" w:rsidRPr="007B2E2B">
        <w:rPr>
          <w:rFonts w:cs="Calibri"/>
          <w:b/>
        </w:rPr>
        <w:t xml:space="preserve"> stanovené</w:t>
      </w:r>
      <w:r w:rsidR="008C4396" w:rsidRPr="007B2E2B">
        <w:rPr>
          <w:rFonts w:cs="Calibri"/>
          <w:b/>
        </w:rPr>
        <w:t>ho</w:t>
      </w:r>
      <w:r w:rsidR="005F23C9" w:rsidRPr="007B2E2B">
        <w:rPr>
          <w:rFonts w:cs="Calibri"/>
          <w:b/>
        </w:rPr>
        <w:t xml:space="preserve"> právními předpisy pro zajištění spolehlivosti informací v účetní závěrce </w:t>
      </w:r>
      <w:r w:rsidRPr="007B2E2B">
        <w:rPr>
          <w:rFonts w:cs="Calibri"/>
          <w:b/>
        </w:rPr>
        <w:t>(inventarizace, interní audit, vnitřní kontrolní systém, schvalování účetní závěrky)</w:t>
      </w:r>
      <w:r>
        <w:rPr>
          <w:rFonts w:cs="Calibri"/>
          <w:b/>
        </w:rPr>
        <w:t xml:space="preserve"> </w:t>
      </w:r>
      <w:r w:rsidR="005F23C9" w:rsidRPr="007B2E2B">
        <w:rPr>
          <w:rFonts w:cs="Calibri"/>
          <w:b/>
        </w:rPr>
        <w:t>nefungovaly</w:t>
      </w:r>
      <w:r w:rsidR="008C4396" w:rsidRPr="007B2E2B">
        <w:rPr>
          <w:rFonts w:cs="Calibri"/>
          <w:b/>
        </w:rPr>
        <w:t xml:space="preserve"> </w:t>
      </w:r>
      <w:r w:rsidR="00ED2E67" w:rsidRPr="007B2E2B">
        <w:rPr>
          <w:rFonts w:cs="Calibri"/>
          <w:b/>
        </w:rPr>
        <w:t>v praxi</w:t>
      </w:r>
      <w:r w:rsidR="005F23C9" w:rsidRPr="007B2E2B">
        <w:rPr>
          <w:rFonts w:cs="Calibri"/>
          <w:b/>
        </w:rPr>
        <w:t xml:space="preserve"> tak, aby</w:t>
      </w:r>
      <w:r>
        <w:rPr>
          <w:rFonts w:cs="Calibri"/>
          <w:b/>
        </w:rPr>
        <w:t xml:space="preserve"> zajistily</w:t>
      </w:r>
      <w:r w:rsidR="005F23C9" w:rsidRPr="007B2E2B">
        <w:rPr>
          <w:rFonts w:cs="Calibri"/>
          <w:b/>
        </w:rPr>
        <w:t xml:space="preserve"> spolehlivost informací v </w:t>
      </w:r>
      <w:r w:rsidR="00B7102F" w:rsidRPr="007B2E2B">
        <w:rPr>
          <w:rFonts w:cs="Calibri"/>
          <w:b/>
        </w:rPr>
        <w:t>ÚZ</w:t>
      </w:r>
      <w:r w:rsidR="00B93337">
        <w:rPr>
          <w:rStyle w:val="Znakapoznpodarou"/>
          <w:rFonts w:cs="Calibri"/>
          <w:b/>
        </w:rPr>
        <w:footnoteReference w:id="7"/>
      </w:r>
      <w:r w:rsidR="005F23C9" w:rsidRPr="007B2E2B">
        <w:rPr>
          <w:rFonts w:cs="Calibri"/>
          <w:b/>
        </w:rPr>
        <w:t>.</w:t>
      </w:r>
    </w:p>
    <w:p w14:paraId="37161E56" w14:textId="77777777" w:rsidR="003B6C27" w:rsidRPr="0022638B" w:rsidRDefault="000624B3" w:rsidP="00644153">
      <w:pPr>
        <w:spacing w:after="0"/>
        <w:jc w:val="both"/>
        <w:rPr>
          <w:rFonts w:cs="Calibri"/>
          <w:b/>
        </w:rPr>
      </w:pPr>
      <w:r w:rsidRPr="0022638B">
        <w:rPr>
          <w:rFonts w:cs="Calibri"/>
          <w:b/>
        </w:rPr>
        <w:lastRenderedPageBreak/>
        <w:t xml:space="preserve">V důsledku </w:t>
      </w:r>
      <w:r w:rsidR="003B6C27" w:rsidRPr="007B2E2B">
        <w:rPr>
          <w:rFonts w:cs="Calibri"/>
          <w:b/>
        </w:rPr>
        <w:t>výše uvedených skutečností</w:t>
      </w:r>
      <w:r w:rsidR="00D44383" w:rsidRPr="007B2E2B">
        <w:rPr>
          <w:rFonts w:cs="Calibri"/>
          <w:b/>
        </w:rPr>
        <w:t xml:space="preserve"> </w:t>
      </w:r>
      <w:r w:rsidR="00D44383" w:rsidRPr="0022638B">
        <w:rPr>
          <w:rFonts w:cs="Calibri"/>
          <w:b/>
        </w:rPr>
        <w:t>nebylo účetnictví MS Praha v roce 2017 úplné</w:t>
      </w:r>
      <w:r w:rsidR="00F07E08" w:rsidRPr="0022638B">
        <w:rPr>
          <w:rFonts w:cs="Calibri"/>
          <w:b/>
        </w:rPr>
        <w:t xml:space="preserve">, </w:t>
      </w:r>
      <w:r w:rsidR="00D44383" w:rsidRPr="008A7242">
        <w:rPr>
          <w:rFonts w:cs="Calibri"/>
          <w:b/>
        </w:rPr>
        <w:t>průkazné</w:t>
      </w:r>
      <w:r w:rsidR="00F07E08" w:rsidRPr="008A7242">
        <w:rPr>
          <w:rFonts w:cs="Calibri"/>
          <w:b/>
        </w:rPr>
        <w:t xml:space="preserve"> a správné a</w:t>
      </w:r>
      <w:r w:rsidR="00D44383" w:rsidRPr="008A7242">
        <w:rPr>
          <w:rFonts w:cs="Calibri"/>
          <w:b/>
        </w:rPr>
        <w:t xml:space="preserve"> informace v ÚZ nebyly spolehlivé</w:t>
      </w:r>
      <w:r w:rsidR="00F07E08" w:rsidRPr="0022638B">
        <w:rPr>
          <w:rFonts w:cs="Calibri"/>
          <w:b/>
        </w:rPr>
        <w:t xml:space="preserve">. </w:t>
      </w:r>
    </w:p>
    <w:p w14:paraId="66969238" w14:textId="77777777" w:rsidR="003B6C27" w:rsidRPr="008A7242" w:rsidRDefault="003B6C27" w:rsidP="00644153">
      <w:pPr>
        <w:spacing w:after="0"/>
        <w:jc w:val="both"/>
        <w:rPr>
          <w:rFonts w:cs="Calibri"/>
          <w:b/>
        </w:rPr>
      </w:pPr>
    </w:p>
    <w:p w14:paraId="39746B66" w14:textId="77777777" w:rsidR="003B6C27" w:rsidRPr="008A7242" w:rsidRDefault="000624B3" w:rsidP="00644153">
      <w:pPr>
        <w:spacing w:after="0"/>
        <w:jc w:val="both"/>
        <w:rPr>
          <w:rFonts w:cs="Calibri"/>
          <w:b/>
        </w:rPr>
      </w:pPr>
      <w:r w:rsidRPr="008A7242">
        <w:rPr>
          <w:rFonts w:cs="Calibri"/>
          <w:b/>
        </w:rPr>
        <w:t>Některé</w:t>
      </w:r>
      <w:r w:rsidR="00615B6A" w:rsidRPr="008A7242">
        <w:rPr>
          <w:rFonts w:cs="Calibri"/>
          <w:b/>
        </w:rPr>
        <w:t xml:space="preserve"> </w:t>
      </w:r>
      <w:r w:rsidR="003B6C27" w:rsidRPr="007B2E2B">
        <w:rPr>
          <w:rFonts w:cs="Calibri"/>
          <w:b/>
        </w:rPr>
        <w:t>realizované operace</w:t>
      </w:r>
      <w:r w:rsidRPr="0022638B">
        <w:rPr>
          <w:rFonts w:cs="Calibri"/>
          <w:b/>
        </w:rPr>
        <w:t xml:space="preserve"> </w:t>
      </w:r>
      <w:r w:rsidR="001941E2">
        <w:rPr>
          <w:rFonts w:cs="Calibri"/>
          <w:b/>
        </w:rPr>
        <w:t>vedly k</w:t>
      </w:r>
      <w:r w:rsidR="00536F96" w:rsidRPr="00536F96">
        <w:rPr>
          <w:rFonts w:cs="Calibri"/>
          <w:b/>
        </w:rPr>
        <w:t xml:space="preserve"> </w:t>
      </w:r>
      <w:r w:rsidR="00D44383" w:rsidRPr="008A7242">
        <w:rPr>
          <w:rFonts w:cs="Calibri"/>
          <w:b/>
        </w:rPr>
        <w:t xml:space="preserve">porušení rozpočtové kázně </w:t>
      </w:r>
      <w:r w:rsidR="001941E2" w:rsidRPr="00536F96">
        <w:rPr>
          <w:rFonts w:cs="Calibri"/>
          <w:b/>
        </w:rPr>
        <w:t>dle</w:t>
      </w:r>
      <w:r w:rsidR="001941E2">
        <w:rPr>
          <w:rFonts w:cs="Calibri"/>
          <w:b/>
        </w:rPr>
        <w:t xml:space="preserve"> </w:t>
      </w:r>
      <w:r w:rsidR="001941E2" w:rsidRPr="00536F96">
        <w:rPr>
          <w:rFonts w:cs="Calibri"/>
          <w:b/>
        </w:rPr>
        <w:t>rozpočtov</w:t>
      </w:r>
      <w:r w:rsidR="001941E2">
        <w:rPr>
          <w:rFonts w:cs="Calibri"/>
          <w:b/>
        </w:rPr>
        <w:t>ých</w:t>
      </w:r>
      <w:r w:rsidR="001941E2" w:rsidRPr="00536F96">
        <w:rPr>
          <w:rFonts w:cs="Calibri"/>
          <w:b/>
        </w:rPr>
        <w:t xml:space="preserve"> pravid</w:t>
      </w:r>
      <w:r w:rsidR="001941E2">
        <w:rPr>
          <w:rFonts w:cs="Calibri"/>
          <w:b/>
        </w:rPr>
        <w:t>e</w:t>
      </w:r>
      <w:r w:rsidR="001941E2" w:rsidRPr="00536F96">
        <w:rPr>
          <w:rFonts w:cs="Calibri"/>
          <w:b/>
        </w:rPr>
        <w:t>l</w:t>
      </w:r>
      <w:r w:rsidR="001941E2" w:rsidRPr="008A7242">
        <w:rPr>
          <w:rFonts w:cs="Calibri"/>
          <w:b/>
        </w:rPr>
        <w:t xml:space="preserve"> </w:t>
      </w:r>
      <w:r w:rsidR="00D44383" w:rsidRPr="008A7242">
        <w:rPr>
          <w:rFonts w:cs="Calibri"/>
          <w:b/>
        </w:rPr>
        <w:t>a</w:t>
      </w:r>
      <w:r w:rsidR="00F07E08" w:rsidRPr="008A7242">
        <w:rPr>
          <w:rFonts w:cs="Calibri"/>
          <w:b/>
        </w:rPr>
        <w:t xml:space="preserve"> </w:t>
      </w:r>
      <w:r w:rsidRPr="008A7242">
        <w:rPr>
          <w:rFonts w:cs="Calibri"/>
          <w:b/>
        </w:rPr>
        <w:t xml:space="preserve">jiné další </w:t>
      </w:r>
      <w:r w:rsidR="00D44383" w:rsidRPr="008A7242">
        <w:rPr>
          <w:rFonts w:cs="Calibri"/>
          <w:b/>
        </w:rPr>
        <w:t xml:space="preserve">významné </w:t>
      </w:r>
      <w:r w:rsidR="003B6C27" w:rsidRPr="007B2E2B">
        <w:rPr>
          <w:rFonts w:cs="Calibri"/>
          <w:b/>
        </w:rPr>
        <w:t>operace</w:t>
      </w:r>
      <w:r w:rsidRPr="0022638B">
        <w:rPr>
          <w:rFonts w:cs="Calibri"/>
          <w:b/>
        </w:rPr>
        <w:t xml:space="preserve"> byly v</w:t>
      </w:r>
      <w:r w:rsidR="00F07E08" w:rsidRPr="0022638B">
        <w:rPr>
          <w:rFonts w:cs="Calibri"/>
          <w:b/>
        </w:rPr>
        <w:t xml:space="preserve"> </w:t>
      </w:r>
      <w:r w:rsidR="004A7472">
        <w:rPr>
          <w:rFonts w:cs="Calibri"/>
          <w:b/>
        </w:rPr>
        <w:t>rozporu</w:t>
      </w:r>
      <w:r w:rsidR="00D44383" w:rsidRPr="008A7242">
        <w:rPr>
          <w:rFonts w:cs="Calibri"/>
          <w:b/>
        </w:rPr>
        <w:t xml:space="preserve"> s právními předpisy.</w:t>
      </w:r>
    </w:p>
    <w:p w14:paraId="424907F7" w14:textId="77777777" w:rsidR="003B6C27" w:rsidRDefault="003B6C27" w:rsidP="00644153">
      <w:pPr>
        <w:spacing w:after="0"/>
        <w:jc w:val="both"/>
        <w:rPr>
          <w:rFonts w:cs="Calibri"/>
          <w:b/>
        </w:rPr>
      </w:pPr>
    </w:p>
    <w:p w14:paraId="06C35564" w14:textId="77777777" w:rsidR="00D44383" w:rsidRDefault="00F07E08" w:rsidP="00644153">
      <w:pPr>
        <w:spacing w:after="0"/>
        <w:jc w:val="both"/>
        <w:rPr>
          <w:rFonts w:cs="Calibri"/>
        </w:rPr>
      </w:pPr>
      <w:r w:rsidRPr="00F07E08">
        <w:rPr>
          <w:rFonts w:cs="Calibri"/>
        </w:rPr>
        <w:t>V podrobnostech</w:t>
      </w:r>
      <w:r w:rsidR="00980B18" w:rsidRPr="00C1317F">
        <w:rPr>
          <w:rFonts w:cs="Calibri"/>
        </w:rPr>
        <w:t xml:space="preserve"> </w:t>
      </w:r>
      <w:r w:rsidR="00980B18" w:rsidRPr="0028341B">
        <w:rPr>
          <w:rFonts w:cs="Calibri"/>
        </w:rPr>
        <w:t xml:space="preserve">viz část </w:t>
      </w:r>
      <w:proofErr w:type="gramStart"/>
      <w:r w:rsidR="0028341B" w:rsidRPr="0028341B">
        <w:rPr>
          <w:rFonts w:cs="Calibri"/>
        </w:rPr>
        <w:t>IV</w:t>
      </w:r>
      <w:r w:rsidR="00980B18" w:rsidRPr="0028341B">
        <w:rPr>
          <w:rFonts w:cs="Calibri"/>
        </w:rPr>
        <w:t>.</w:t>
      </w:r>
      <w:r w:rsidR="00BE5351">
        <w:rPr>
          <w:rFonts w:cs="Calibri"/>
        </w:rPr>
        <w:t>2</w:t>
      </w:r>
      <w:r w:rsidR="0028341B" w:rsidRPr="0028341B">
        <w:rPr>
          <w:rFonts w:cs="Calibri"/>
        </w:rPr>
        <w:t>.</w:t>
      </w:r>
      <w:r w:rsidR="00980B18" w:rsidRPr="0028341B">
        <w:rPr>
          <w:rFonts w:cs="Calibri"/>
        </w:rPr>
        <w:t xml:space="preserve"> tohoto</w:t>
      </w:r>
      <w:proofErr w:type="gramEnd"/>
      <w:r w:rsidR="00980B18" w:rsidRPr="00C1317F">
        <w:rPr>
          <w:rFonts w:cs="Calibri"/>
        </w:rPr>
        <w:t xml:space="preserve"> kontrolního závěru.</w:t>
      </w:r>
    </w:p>
    <w:p w14:paraId="0EAF9BD2" w14:textId="77777777" w:rsidR="006F3F69" w:rsidRPr="007E582E" w:rsidRDefault="006F3F69" w:rsidP="006F3F69">
      <w:pPr>
        <w:spacing w:after="0"/>
        <w:jc w:val="both"/>
        <w:rPr>
          <w:rFonts w:asciiTheme="minorHAnsi" w:hAnsiTheme="minorHAnsi" w:cs="Calibri"/>
          <w:highlight w:val="yellow"/>
        </w:rPr>
      </w:pPr>
    </w:p>
    <w:p w14:paraId="01F98D80" w14:textId="77777777" w:rsidR="00337885" w:rsidRDefault="005A7D01" w:rsidP="00644153">
      <w:pPr>
        <w:pStyle w:val="Nadpis2"/>
        <w:numPr>
          <w:ilvl w:val="0"/>
          <w:numId w:val="0"/>
        </w:numPr>
        <w:spacing w:after="0" w:line="240" w:lineRule="auto"/>
        <w:ind w:left="284" w:hanging="284"/>
        <w:contextualSpacing w:val="0"/>
      </w:pPr>
      <w:r>
        <w:t>3</w:t>
      </w:r>
      <w:r w:rsidR="006C650B" w:rsidRPr="00644153">
        <w:t xml:space="preserve">. </w:t>
      </w:r>
      <w:r w:rsidR="00337885" w:rsidRPr="00644153">
        <w:t>Porušení rozpočtové kázně</w:t>
      </w:r>
    </w:p>
    <w:p w14:paraId="5DB6228B" w14:textId="77777777" w:rsidR="00644153" w:rsidRPr="00644153" w:rsidRDefault="00644153" w:rsidP="00644153">
      <w:pPr>
        <w:spacing w:after="0"/>
      </w:pPr>
    </w:p>
    <w:p w14:paraId="2F580D6F" w14:textId="77777777" w:rsidR="00337885" w:rsidRPr="00644153" w:rsidRDefault="002E4A0F" w:rsidP="008750AD">
      <w:pPr>
        <w:spacing w:after="0"/>
      </w:pPr>
      <w:r w:rsidRPr="00644153">
        <w:t xml:space="preserve">V průběhu kontroly bylo zjištěno, že </w:t>
      </w:r>
      <w:r w:rsidRPr="004B6397">
        <w:rPr>
          <w:b/>
        </w:rPr>
        <w:t>MS Praha</w:t>
      </w:r>
      <w:r w:rsidRPr="00875E88">
        <w:rPr>
          <w:b/>
        </w:rPr>
        <w:t>:</w:t>
      </w:r>
    </w:p>
    <w:p w14:paraId="60082B1F" w14:textId="0CE5F781" w:rsidR="00C44C07" w:rsidRPr="00644153" w:rsidRDefault="00C44C07" w:rsidP="00AD5072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jc w:val="both"/>
      </w:pPr>
      <w:r w:rsidRPr="004B6397">
        <w:rPr>
          <w:b/>
        </w:rPr>
        <w:t>neoprávněně použil</w:t>
      </w:r>
      <w:r w:rsidR="00337885" w:rsidRPr="004B6397">
        <w:rPr>
          <w:b/>
        </w:rPr>
        <w:t xml:space="preserve"> peněžní prostředky</w:t>
      </w:r>
      <w:r w:rsidR="00337885" w:rsidRPr="00644153">
        <w:t xml:space="preserve"> státního rozpočtu</w:t>
      </w:r>
      <w:r w:rsidR="00596B90" w:rsidRPr="00644153">
        <w:t xml:space="preserve"> </w:t>
      </w:r>
      <w:r w:rsidR="00337885" w:rsidRPr="004B6397">
        <w:rPr>
          <w:b/>
        </w:rPr>
        <w:t xml:space="preserve">ve výši </w:t>
      </w:r>
      <w:r w:rsidR="002E4A0F" w:rsidRPr="0042165C">
        <w:rPr>
          <w:b/>
        </w:rPr>
        <w:t>26 </w:t>
      </w:r>
      <w:r w:rsidR="00B52D07" w:rsidRPr="0042165C">
        <w:rPr>
          <w:b/>
        </w:rPr>
        <w:t>mil.</w:t>
      </w:r>
      <w:r w:rsidR="00337885" w:rsidRPr="0042165C">
        <w:rPr>
          <w:b/>
        </w:rPr>
        <w:t xml:space="preserve"> Kč</w:t>
      </w:r>
      <w:r w:rsidR="00337885" w:rsidRPr="00644153">
        <w:t xml:space="preserve"> tím, že </w:t>
      </w:r>
      <w:r w:rsidR="002E4A0F" w:rsidRPr="004B6397">
        <w:rPr>
          <w:b/>
        </w:rPr>
        <w:t>poskytoval</w:t>
      </w:r>
      <w:r w:rsidR="00644153" w:rsidRPr="004B6397">
        <w:rPr>
          <w:b/>
        </w:rPr>
        <w:t xml:space="preserve"> </w:t>
      </w:r>
      <w:r w:rsidR="00644153" w:rsidRPr="00A23ED7">
        <w:rPr>
          <w:b/>
        </w:rPr>
        <w:t xml:space="preserve">zálohy ke splnění povinnosti uložené </w:t>
      </w:r>
      <w:r w:rsidR="00133C76" w:rsidRPr="00A23ED7">
        <w:rPr>
          <w:b/>
        </w:rPr>
        <w:t>zákonem</w:t>
      </w:r>
      <w:r w:rsidR="00133C76" w:rsidRPr="00133C76">
        <w:t xml:space="preserve"> č. 141/1961 Sb., o trestním řízení soudním (trestní řád)</w:t>
      </w:r>
      <w:r w:rsidR="00650078">
        <w:t>,</w:t>
      </w:r>
      <w:r w:rsidR="00133C76">
        <w:t xml:space="preserve"> a</w:t>
      </w:r>
      <w:r w:rsidR="00644153" w:rsidRPr="00644153">
        <w:t xml:space="preserve"> </w:t>
      </w:r>
      <w:r w:rsidR="00133C76" w:rsidRPr="00133C76">
        <w:t>zákonem č. 99/1963 Sb., občanský soudní řád</w:t>
      </w:r>
      <w:r w:rsidR="004A7472">
        <w:t>,</w:t>
      </w:r>
      <w:r w:rsidR="00133C76" w:rsidRPr="00133C76">
        <w:t xml:space="preserve"> </w:t>
      </w:r>
      <w:r w:rsidRPr="004B6397">
        <w:rPr>
          <w:b/>
        </w:rPr>
        <w:t>na dobu delší než 12 měsíců</w:t>
      </w:r>
      <w:r w:rsidRPr="00875E88">
        <w:rPr>
          <w:b/>
        </w:rPr>
        <w:t>,</w:t>
      </w:r>
    </w:p>
    <w:p w14:paraId="346B2F43" w14:textId="77777777" w:rsidR="00644153" w:rsidRDefault="00644153" w:rsidP="00AD5072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jc w:val="both"/>
      </w:pPr>
      <w:r w:rsidRPr="004B6397">
        <w:rPr>
          <w:b/>
        </w:rPr>
        <w:t>neoprávněně použil peněžní prostředky</w:t>
      </w:r>
      <w:r w:rsidRPr="00644153">
        <w:t xml:space="preserve"> státního rozpočtu </w:t>
      </w:r>
      <w:r w:rsidRPr="004B6397">
        <w:rPr>
          <w:b/>
        </w:rPr>
        <w:t>ve výši 30</w:t>
      </w:r>
      <w:r w:rsidR="00B52D07" w:rsidRPr="004B6397">
        <w:rPr>
          <w:b/>
        </w:rPr>
        <w:t>2 tis.</w:t>
      </w:r>
      <w:r w:rsidRPr="004B6397">
        <w:rPr>
          <w:b/>
        </w:rPr>
        <w:t xml:space="preserve"> Kč</w:t>
      </w:r>
      <w:r w:rsidRPr="00644153">
        <w:t xml:space="preserve"> tím, že</w:t>
      </w:r>
      <w:r w:rsidR="00B52D07">
        <w:t xml:space="preserve"> </w:t>
      </w:r>
      <w:r w:rsidR="00B52D07" w:rsidRPr="004B6397">
        <w:rPr>
          <w:b/>
        </w:rPr>
        <w:t>uhradil fakturovanou částku bez právního titulu</w:t>
      </w:r>
      <w:r w:rsidR="00B52D07" w:rsidRPr="00875E88">
        <w:rPr>
          <w:b/>
        </w:rPr>
        <w:t>,</w:t>
      </w:r>
    </w:p>
    <w:p w14:paraId="0F00DF81" w14:textId="3664C87A" w:rsidR="00B52D07" w:rsidRDefault="00B52D07" w:rsidP="00AD5072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jc w:val="both"/>
      </w:pPr>
      <w:r w:rsidRPr="004B6397">
        <w:rPr>
          <w:b/>
        </w:rPr>
        <w:t>neoprávněně použil peněžní prostředky</w:t>
      </w:r>
      <w:r>
        <w:t xml:space="preserve"> státního rozpočtu tím, že přijal a </w:t>
      </w:r>
      <w:r w:rsidRPr="004B6397">
        <w:rPr>
          <w:b/>
        </w:rPr>
        <w:t>uhradil plnění na základě neúčinných smluv</w:t>
      </w:r>
      <w:r w:rsidR="00197B57">
        <w:rPr>
          <w:b/>
        </w:rPr>
        <w:t>,</w:t>
      </w:r>
    </w:p>
    <w:p w14:paraId="2F8B1A40" w14:textId="75C4C138" w:rsidR="002E4A0F" w:rsidRPr="00644153" w:rsidRDefault="00644153" w:rsidP="00AD5072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jc w:val="both"/>
      </w:pPr>
      <w:r w:rsidRPr="004B6397">
        <w:rPr>
          <w:b/>
        </w:rPr>
        <w:t>neprovedl odvod příjmů státního rozpočtu</w:t>
      </w:r>
      <w:r w:rsidRPr="00644153">
        <w:t xml:space="preserve"> </w:t>
      </w:r>
      <w:r w:rsidRPr="004B6397">
        <w:rPr>
          <w:b/>
        </w:rPr>
        <w:t>ve výši 100 tis. Kč</w:t>
      </w:r>
      <w:r w:rsidRPr="00644153">
        <w:t xml:space="preserve"> do státního rozpočtu</w:t>
      </w:r>
      <w:r w:rsidR="003866E5">
        <w:t xml:space="preserve"> </w:t>
      </w:r>
      <w:r w:rsidR="003866E5" w:rsidRPr="003866E5">
        <w:rPr>
          <w:b/>
        </w:rPr>
        <w:t>v zákonném termínu</w:t>
      </w:r>
      <w:r w:rsidR="00B52D07" w:rsidRPr="00875E88">
        <w:rPr>
          <w:b/>
        </w:rPr>
        <w:t>.</w:t>
      </w:r>
    </w:p>
    <w:p w14:paraId="067AE08C" w14:textId="77777777" w:rsidR="00B52D07" w:rsidRDefault="00B52D07" w:rsidP="00B52D07">
      <w:pPr>
        <w:spacing w:after="0"/>
        <w:jc w:val="both"/>
        <w:rPr>
          <w:b/>
          <w:highlight w:val="yellow"/>
        </w:rPr>
      </w:pPr>
    </w:p>
    <w:p w14:paraId="3304FF6D" w14:textId="089BF4F8" w:rsidR="007F2456" w:rsidRDefault="00B52D07" w:rsidP="00B52D07">
      <w:pPr>
        <w:spacing w:after="0"/>
        <w:jc w:val="both"/>
        <w:rPr>
          <w:rFonts w:cs="Calibri"/>
        </w:rPr>
      </w:pPr>
      <w:r w:rsidRPr="004B6397">
        <w:t xml:space="preserve">Dle ustanovení § 44 </w:t>
      </w:r>
      <w:r w:rsidR="0045710E" w:rsidRPr="004B6397">
        <w:t>rozpočtových pravid</w:t>
      </w:r>
      <w:r w:rsidR="00AA19BE">
        <w:t>e</w:t>
      </w:r>
      <w:r w:rsidR="0045710E" w:rsidRPr="004B6397">
        <w:t>l</w:t>
      </w:r>
      <w:r w:rsidRPr="00F57E70">
        <w:t xml:space="preserve"> jsou </w:t>
      </w:r>
      <w:r w:rsidR="00943CBE" w:rsidRPr="00F57E70">
        <w:t>tyto skutečnosti</w:t>
      </w:r>
      <w:r w:rsidR="00943CBE" w:rsidRPr="00F57E70">
        <w:rPr>
          <w:b/>
        </w:rPr>
        <w:t xml:space="preserve"> porušení</w:t>
      </w:r>
      <w:r w:rsidRPr="00F57E70">
        <w:rPr>
          <w:b/>
        </w:rPr>
        <w:t>m</w:t>
      </w:r>
      <w:r w:rsidR="00943CBE" w:rsidRPr="00F57E70">
        <w:rPr>
          <w:b/>
        </w:rPr>
        <w:t xml:space="preserve"> rozpočtové kázně</w:t>
      </w:r>
      <w:r w:rsidRPr="00F57E70">
        <w:rPr>
          <w:b/>
        </w:rPr>
        <w:t>.</w:t>
      </w:r>
      <w:r w:rsidR="00980B18" w:rsidRPr="00F57E70">
        <w:rPr>
          <w:b/>
        </w:rPr>
        <w:t xml:space="preserve"> </w:t>
      </w:r>
      <w:r w:rsidR="00F07E08" w:rsidRPr="00F07E08">
        <w:t>V podrobnostech</w:t>
      </w:r>
      <w:r w:rsidR="00980B18" w:rsidRPr="00F57E70">
        <w:rPr>
          <w:rFonts w:cs="Calibri"/>
        </w:rPr>
        <w:t xml:space="preserve"> viz </w:t>
      </w:r>
      <w:r w:rsidR="00C94DFA" w:rsidRPr="00F57E70">
        <w:rPr>
          <w:rFonts w:cs="Calibri"/>
        </w:rPr>
        <w:t xml:space="preserve">část </w:t>
      </w:r>
      <w:proofErr w:type="gramStart"/>
      <w:r w:rsidR="00C94DFA" w:rsidRPr="00F57E70">
        <w:rPr>
          <w:rFonts w:cs="Calibri"/>
        </w:rPr>
        <w:t>IV</w:t>
      </w:r>
      <w:r w:rsidR="00980B18" w:rsidRPr="00F57E70">
        <w:rPr>
          <w:rFonts w:cs="Calibri"/>
        </w:rPr>
        <w:t>.</w:t>
      </w:r>
      <w:r w:rsidR="00BE5351">
        <w:rPr>
          <w:rFonts w:cs="Calibri"/>
        </w:rPr>
        <w:t>3</w:t>
      </w:r>
      <w:r w:rsidR="00C94DFA" w:rsidRPr="00F57E70">
        <w:rPr>
          <w:rFonts w:cs="Calibri"/>
        </w:rPr>
        <w:t>.</w:t>
      </w:r>
      <w:r w:rsidR="00980B18" w:rsidRPr="00F57E70">
        <w:rPr>
          <w:rFonts w:cs="Calibri"/>
        </w:rPr>
        <w:t xml:space="preserve"> tohoto</w:t>
      </w:r>
      <w:proofErr w:type="gramEnd"/>
      <w:r w:rsidR="00980B18" w:rsidRPr="00F57E70">
        <w:rPr>
          <w:rFonts w:cs="Calibri"/>
        </w:rPr>
        <w:t xml:space="preserve"> kontrolního závěru.</w:t>
      </w:r>
    </w:p>
    <w:p w14:paraId="61C7C4A6" w14:textId="77777777" w:rsidR="00CF2F57" w:rsidRPr="00F57E70" w:rsidRDefault="00CF2F57" w:rsidP="00B52D07">
      <w:pPr>
        <w:spacing w:after="0"/>
        <w:jc w:val="both"/>
      </w:pPr>
    </w:p>
    <w:p w14:paraId="47CFFC28" w14:textId="77777777" w:rsidR="00980B18" w:rsidRPr="00F57E70" w:rsidRDefault="005A7D01" w:rsidP="00B52D07">
      <w:pPr>
        <w:spacing w:after="0"/>
        <w:jc w:val="both"/>
        <w:rPr>
          <w:b/>
        </w:rPr>
      </w:pPr>
      <w:r>
        <w:rPr>
          <w:b/>
        </w:rPr>
        <w:t>4</w:t>
      </w:r>
      <w:r w:rsidR="00980B18" w:rsidRPr="00F57E70">
        <w:rPr>
          <w:b/>
        </w:rPr>
        <w:t>.</w:t>
      </w:r>
      <w:r w:rsidR="00931821">
        <w:rPr>
          <w:b/>
        </w:rPr>
        <w:t xml:space="preserve"> Nedodržování zákonných lhůt a p</w:t>
      </w:r>
      <w:r w:rsidR="00980B18" w:rsidRPr="00F57E70">
        <w:rPr>
          <w:b/>
        </w:rPr>
        <w:t xml:space="preserve">orušování daňových předpisů </w:t>
      </w:r>
    </w:p>
    <w:p w14:paraId="11095AEF" w14:textId="77777777" w:rsidR="00217E9D" w:rsidRPr="008750AD" w:rsidRDefault="00217E9D" w:rsidP="00B52D07">
      <w:pPr>
        <w:spacing w:after="0"/>
        <w:jc w:val="both"/>
        <w:rPr>
          <w:b/>
          <w:color w:val="000000" w:themeColor="text1"/>
        </w:rPr>
      </w:pPr>
    </w:p>
    <w:p w14:paraId="2EF2327B" w14:textId="77777777" w:rsidR="00217E9D" w:rsidRPr="00A23ED7" w:rsidRDefault="00217E9D" w:rsidP="00217E9D">
      <w:pPr>
        <w:spacing w:after="0"/>
        <w:jc w:val="both"/>
        <w:rPr>
          <w:rFonts w:asciiTheme="minorHAnsi" w:eastAsiaTheme="minorHAnsi" w:hAnsiTheme="minorHAnsi" w:cstheme="minorHAnsi"/>
        </w:rPr>
      </w:pPr>
      <w:r w:rsidRPr="00F57E70">
        <w:rPr>
          <w:rFonts w:asciiTheme="minorHAnsi" w:eastAsiaTheme="minorHAnsi" w:hAnsiTheme="minorHAnsi" w:cstheme="minorHAnsi"/>
          <w:b/>
        </w:rPr>
        <w:t>MS Praha nepřeváděl bez zbytečného odkladu</w:t>
      </w:r>
      <w:r w:rsidRPr="00F57E70">
        <w:rPr>
          <w:rFonts w:asciiTheme="minorHAnsi" w:eastAsiaTheme="minorHAnsi" w:hAnsiTheme="minorHAnsi" w:cstheme="minorHAnsi"/>
        </w:rPr>
        <w:t xml:space="preserve"> Úřadu pro zastupování státu ve věcech majetkových (</w:t>
      </w:r>
      <w:r>
        <w:rPr>
          <w:rFonts w:asciiTheme="minorHAnsi" w:eastAsiaTheme="minorHAnsi" w:hAnsiTheme="minorHAnsi" w:cstheme="minorHAnsi"/>
        </w:rPr>
        <w:t xml:space="preserve">dále </w:t>
      </w:r>
      <w:r w:rsidR="00A95BE4">
        <w:rPr>
          <w:rFonts w:asciiTheme="minorHAnsi" w:eastAsiaTheme="minorHAnsi" w:hAnsiTheme="minorHAnsi" w:cstheme="minorHAnsi"/>
        </w:rPr>
        <w:t xml:space="preserve">také </w:t>
      </w:r>
      <w:r>
        <w:rPr>
          <w:rFonts w:asciiTheme="minorHAnsi" w:eastAsiaTheme="minorHAnsi" w:hAnsiTheme="minorHAnsi" w:cstheme="minorHAnsi"/>
        </w:rPr>
        <w:t>„</w:t>
      </w:r>
      <w:r w:rsidRPr="00F57E70">
        <w:rPr>
          <w:rFonts w:asciiTheme="minorHAnsi" w:eastAsiaTheme="minorHAnsi" w:hAnsiTheme="minorHAnsi" w:cstheme="minorHAnsi"/>
        </w:rPr>
        <w:t>ÚZSVM</w:t>
      </w:r>
      <w:r>
        <w:rPr>
          <w:rFonts w:asciiTheme="minorHAnsi" w:eastAsiaTheme="minorHAnsi" w:hAnsiTheme="minorHAnsi" w:cstheme="minorHAnsi"/>
        </w:rPr>
        <w:t>“</w:t>
      </w:r>
      <w:r w:rsidRPr="00F57E70">
        <w:rPr>
          <w:rFonts w:asciiTheme="minorHAnsi" w:eastAsiaTheme="minorHAnsi" w:hAnsiTheme="minorHAnsi" w:cstheme="minorHAnsi"/>
        </w:rPr>
        <w:t xml:space="preserve">) </w:t>
      </w:r>
      <w:r w:rsidRPr="00F57E70">
        <w:rPr>
          <w:rFonts w:asciiTheme="minorHAnsi" w:eastAsiaTheme="minorHAnsi" w:hAnsiTheme="minorHAnsi" w:cstheme="minorHAnsi"/>
          <w:b/>
        </w:rPr>
        <w:t>peněžité záruky</w:t>
      </w:r>
      <w:r w:rsidRPr="00A23ED7">
        <w:rPr>
          <w:rFonts w:asciiTheme="minorHAnsi" w:eastAsiaTheme="minorHAnsi" w:hAnsiTheme="minorHAnsi" w:cstheme="minorHAnsi"/>
          <w:b/>
        </w:rPr>
        <w:t xml:space="preserve">, které na základě rozhodnutí MS Praha připadly státu. </w:t>
      </w:r>
      <w:r w:rsidRPr="00A23ED7">
        <w:rPr>
          <w:rFonts w:asciiTheme="minorHAnsi" w:eastAsiaTheme="minorHAnsi" w:hAnsiTheme="minorHAnsi" w:cstheme="minorHAnsi"/>
        </w:rPr>
        <w:t xml:space="preserve">V podrobnostech viz část </w:t>
      </w:r>
      <w:proofErr w:type="gramStart"/>
      <w:r w:rsidRPr="00A23ED7">
        <w:rPr>
          <w:rFonts w:asciiTheme="minorHAnsi" w:eastAsiaTheme="minorHAnsi" w:hAnsiTheme="minorHAnsi" w:cstheme="minorHAnsi"/>
        </w:rPr>
        <w:t>IV.</w:t>
      </w:r>
      <w:r w:rsidR="00BE5351">
        <w:rPr>
          <w:rFonts w:asciiTheme="minorHAnsi" w:eastAsiaTheme="minorHAnsi" w:hAnsiTheme="minorHAnsi" w:cstheme="minorHAnsi"/>
        </w:rPr>
        <w:t>4</w:t>
      </w:r>
      <w:r w:rsidRPr="00A23ED7">
        <w:rPr>
          <w:rFonts w:asciiTheme="minorHAnsi" w:eastAsiaTheme="minorHAnsi" w:hAnsiTheme="minorHAnsi" w:cstheme="minorHAnsi"/>
        </w:rPr>
        <w:t>.1</w:t>
      </w:r>
      <w:proofErr w:type="gramEnd"/>
      <w:r w:rsidRPr="00A23ED7">
        <w:rPr>
          <w:rFonts w:asciiTheme="minorHAnsi" w:eastAsiaTheme="minorHAnsi" w:hAnsiTheme="minorHAnsi" w:cstheme="minorHAnsi"/>
        </w:rPr>
        <w:t xml:space="preserve"> tohoto kontrolního závěru.</w:t>
      </w:r>
    </w:p>
    <w:p w14:paraId="1C87603E" w14:textId="77777777" w:rsidR="00217E9D" w:rsidRPr="00A23ED7" w:rsidRDefault="00217E9D" w:rsidP="00217E9D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083EFE9" w14:textId="5948644E" w:rsidR="00217E9D" w:rsidRPr="00A23ED7" w:rsidRDefault="00217E9D" w:rsidP="00217E9D">
      <w:pPr>
        <w:spacing w:after="0"/>
        <w:jc w:val="both"/>
        <w:rPr>
          <w:rFonts w:asciiTheme="minorHAnsi" w:eastAsiaTheme="minorHAnsi" w:hAnsiTheme="minorHAnsi" w:cstheme="minorHAnsi"/>
        </w:rPr>
      </w:pPr>
      <w:r w:rsidRPr="00F57E70">
        <w:rPr>
          <w:rFonts w:asciiTheme="minorHAnsi" w:eastAsiaTheme="minorHAnsi" w:hAnsiTheme="minorHAnsi" w:cstheme="minorHAnsi"/>
          <w:b/>
        </w:rPr>
        <w:t>MS Praha nevracel soudní poplatky ve lhůtě</w:t>
      </w:r>
      <w:r w:rsidRPr="00F57E70">
        <w:rPr>
          <w:rFonts w:asciiTheme="minorHAnsi" w:eastAsiaTheme="minorHAnsi" w:hAnsiTheme="minorHAnsi" w:cstheme="minorHAnsi"/>
        </w:rPr>
        <w:t xml:space="preserve"> </w:t>
      </w:r>
      <w:r w:rsidRPr="00A23ED7">
        <w:rPr>
          <w:rFonts w:asciiTheme="minorHAnsi" w:eastAsiaTheme="minorHAnsi" w:hAnsiTheme="minorHAnsi" w:cstheme="minorHAnsi"/>
          <w:b/>
        </w:rPr>
        <w:t>dle zákona</w:t>
      </w:r>
      <w:r w:rsidRPr="00F57E70">
        <w:rPr>
          <w:rFonts w:asciiTheme="minorHAnsi" w:eastAsiaTheme="minorHAnsi" w:hAnsiTheme="minorHAnsi" w:cstheme="minorHAnsi"/>
        </w:rPr>
        <w:t xml:space="preserve"> č. 549/1991 Sb., o soud</w:t>
      </w:r>
      <w:r>
        <w:rPr>
          <w:rFonts w:asciiTheme="minorHAnsi" w:eastAsiaTheme="minorHAnsi" w:hAnsiTheme="minorHAnsi" w:cstheme="minorHAnsi"/>
        </w:rPr>
        <w:t>ních poplatcích</w:t>
      </w:r>
      <w:r w:rsidR="008617E1">
        <w:rPr>
          <w:rFonts w:asciiTheme="minorHAnsi" w:eastAsiaTheme="minorHAnsi" w:hAnsiTheme="minorHAnsi" w:cstheme="minorHAnsi"/>
        </w:rPr>
        <w:t>,</w:t>
      </w:r>
      <w:r w:rsidRPr="00F57E70">
        <w:rPr>
          <w:rFonts w:asciiTheme="minorHAnsi" w:eastAsiaTheme="minorHAnsi" w:hAnsiTheme="minorHAnsi" w:cstheme="minorHAnsi"/>
        </w:rPr>
        <w:t xml:space="preserve"> </w:t>
      </w:r>
      <w:r w:rsidRPr="00A23ED7">
        <w:rPr>
          <w:rFonts w:asciiTheme="minorHAnsi" w:eastAsiaTheme="minorHAnsi" w:hAnsiTheme="minorHAnsi" w:cstheme="minorHAnsi"/>
          <w:b/>
        </w:rPr>
        <w:t xml:space="preserve">a vystavoval se tak riziku platby úroků z vratitelného přeplatku. </w:t>
      </w:r>
      <w:r w:rsidR="00F07E08" w:rsidRPr="00A23ED7">
        <w:rPr>
          <w:rFonts w:asciiTheme="minorHAnsi" w:eastAsiaTheme="minorHAnsi" w:hAnsiTheme="minorHAnsi" w:cstheme="minorHAnsi"/>
        </w:rPr>
        <w:t xml:space="preserve">V podrobnostech </w:t>
      </w:r>
      <w:r w:rsidRPr="00A23ED7">
        <w:rPr>
          <w:rFonts w:asciiTheme="minorHAnsi" w:eastAsiaTheme="minorHAnsi" w:hAnsiTheme="minorHAnsi" w:cstheme="minorHAnsi"/>
        </w:rPr>
        <w:t xml:space="preserve">viz část </w:t>
      </w:r>
      <w:proofErr w:type="gramStart"/>
      <w:r w:rsidRPr="00A23ED7">
        <w:rPr>
          <w:rFonts w:asciiTheme="minorHAnsi" w:eastAsiaTheme="minorHAnsi" w:hAnsiTheme="minorHAnsi" w:cstheme="minorHAnsi"/>
        </w:rPr>
        <w:t>IV.</w:t>
      </w:r>
      <w:r w:rsidR="00BE5351">
        <w:rPr>
          <w:rFonts w:asciiTheme="minorHAnsi" w:eastAsiaTheme="minorHAnsi" w:hAnsiTheme="minorHAnsi" w:cstheme="minorHAnsi"/>
        </w:rPr>
        <w:t>4</w:t>
      </w:r>
      <w:r w:rsidRPr="00A23ED7">
        <w:rPr>
          <w:rFonts w:asciiTheme="minorHAnsi" w:eastAsiaTheme="minorHAnsi" w:hAnsiTheme="minorHAnsi" w:cstheme="minorHAnsi"/>
        </w:rPr>
        <w:t>.2</w:t>
      </w:r>
      <w:proofErr w:type="gramEnd"/>
      <w:r w:rsidRPr="00A23ED7">
        <w:rPr>
          <w:rFonts w:asciiTheme="minorHAnsi" w:eastAsiaTheme="minorHAnsi" w:hAnsiTheme="minorHAnsi" w:cstheme="minorHAnsi"/>
        </w:rPr>
        <w:t xml:space="preserve"> tohoto kontrolního závěru.</w:t>
      </w:r>
    </w:p>
    <w:p w14:paraId="309778C4" w14:textId="77777777" w:rsidR="00217E9D" w:rsidRPr="008750AD" w:rsidRDefault="00217E9D" w:rsidP="00B52D07">
      <w:pPr>
        <w:spacing w:after="0"/>
        <w:jc w:val="both"/>
        <w:rPr>
          <w:color w:val="000000" w:themeColor="text1"/>
        </w:rPr>
      </w:pPr>
    </w:p>
    <w:p w14:paraId="3E00B6BE" w14:textId="17AD924F" w:rsidR="00980B18" w:rsidRPr="00F57E70" w:rsidRDefault="00E1199D" w:rsidP="00B52D07">
      <w:pPr>
        <w:spacing w:after="0"/>
        <w:jc w:val="both"/>
      </w:pPr>
      <w:r w:rsidRPr="00F57E70">
        <w:rPr>
          <w:b/>
        </w:rPr>
        <w:t>MS Praha</w:t>
      </w:r>
      <w:r w:rsidRPr="00F57E70">
        <w:t xml:space="preserve"> nesplnil povinnost vyplývající ze </w:t>
      </w:r>
      <w:r w:rsidR="00F015FD" w:rsidRPr="00F57E70">
        <w:t>zákona č. 235/2004 Sb.</w:t>
      </w:r>
      <w:r w:rsidR="009F1965">
        <w:t>,</w:t>
      </w:r>
      <w:r w:rsidR="00F015FD" w:rsidRPr="00F57E70">
        <w:t xml:space="preserve"> </w:t>
      </w:r>
      <w:r w:rsidR="00241259">
        <w:t>o dani z přidané hodnoty (</w:t>
      </w:r>
      <w:r w:rsidR="009F1965">
        <w:t xml:space="preserve">dále </w:t>
      </w:r>
      <w:r w:rsidR="00394E0A">
        <w:t>také</w:t>
      </w:r>
      <w:r w:rsidR="009F1965">
        <w:t xml:space="preserve"> „</w:t>
      </w:r>
      <w:r w:rsidR="00F015FD" w:rsidRPr="00F57E70">
        <w:t>zákon o DPH</w:t>
      </w:r>
      <w:r w:rsidR="009F1965">
        <w:t>“</w:t>
      </w:r>
      <w:r w:rsidR="00F015FD" w:rsidRPr="00F57E70">
        <w:t>),</w:t>
      </w:r>
      <w:r w:rsidRPr="00F57E70">
        <w:t xml:space="preserve"> když jako osoba povinná k dani </w:t>
      </w:r>
      <w:r w:rsidRPr="00F57E70">
        <w:rPr>
          <w:b/>
        </w:rPr>
        <w:t>nepodal přihlášku k registraci k DPH</w:t>
      </w:r>
      <w:r w:rsidRPr="00875E88">
        <w:rPr>
          <w:b/>
        </w:rPr>
        <w:t>,</w:t>
      </w:r>
      <w:r w:rsidRPr="00F57E70">
        <w:t xml:space="preserve"> přestože překročil výši obratu dle ustanovení § 6 odst. 1 zákona o DPH.</w:t>
      </w:r>
      <w:r w:rsidR="00FD0DF3">
        <w:t xml:space="preserve"> </w:t>
      </w:r>
      <w:r w:rsidR="00F07E08">
        <w:t>V</w:t>
      </w:r>
      <w:r w:rsidR="00E23B56">
        <w:t> </w:t>
      </w:r>
      <w:r w:rsidR="00F07E08">
        <w:t>podrobnostech</w:t>
      </w:r>
      <w:r w:rsidR="00FD0DF3">
        <w:t xml:space="preserve"> viz část </w:t>
      </w:r>
      <w:proofErr w:type="gramStart"/>
      <w:r w:rsidR="00FD0DF3">
        <w:t>IV.</w:t>
      </w:r>
      <w:r w:rsidR="00BE5351">
        <w:t>4</w:t>
      </w:r>
      <w:r w:rsidR="00FD0DF3">
        <w:t>.</w:t>
      </w:r>
      <w:r w:rsidR="006444A8">
        <w:t>3</w:t>
      </w:r>
      <w:proofErr w:type="gramEnd"/>
      <w:r w:rsidR="00FD0DF3">
        <w:t xml:space="preserve"> tohoto </w:t>
      </w:r>
      <w:r w:rsidR="00E9459B">
        <w:t xml:space="preserve">kontrolního </w:t>
      </w:r>
      <w:r w:rsidR="00FD0DF3">
        <w:t>závěru.</w:t>
      </w:r>
    </w:p>
    <w:p w14:paraId="1A779DE4" w14:textId="02EEB669" w:rsidR="00E1199D" w:rsidRPr="00F57E70" w:rsidRDefault="00E1199D" w:rsidP="00B52D07">
      <w:pPr>
        <w:spacing w:after="0"/>
        <w:jc w:val="both"/>
        <w:rPr>
          <w:rFonts w:asciiTheme="minorHAnsi" w:eastAsiaTheme="minorHAnsi" w:hAnsiTheme="minorHAnsi" w:cstheme="minorHAnsi"/>
        </w:rPr>
      </w:pPr>
      <w:r w:rsidRPr="00F57E70">
        <w:rPr>
          <w:rFonts w:asciiTheme="minorHAnsi" w:eastAsiaTheme="minorHAnsi" w:hAnsiTheme="minorHAnsi" w:cstheme="minorHAnsi"/>
          <w:b/>
        </w:rPr>
        <w:lastRenderedPageBreak/>
        <w:t>MS Praha</w:t>
      </w:r>
      <w:r w:rsidRPr="00F57E70">
        <w:rPr>
          <w:rFonts w:asciiTheme="minorHAnsi" w:eastAsiaTheme="minorHAnsi" w:hAnsiTheme="minorHAnsi" w:cstheme="minorHAnsi"/>
        </w:rPr>
        <w:t xml:space="preserve"> </w:t>
      </w:r>
      <w:r w:rsidRPr="00F57E70">
        <w:rPr>
          <w:rFonts w:asciiTheme="minorHAnsi" w:eastAsiaTheme="minorHAnsi" w:hAnsiTheme="minorHAnsi" w:cstheme="minorHAnsi"/>
          <w:b/>
        </w:rPr>
        <w:t>nepodal daňové přiznání k dani z nemovitých věcí v řádném termínu</w:t>
      </w:r>
      <w:r w:rsidR="008617E1">
        <w:rPr>
          <w:rFonts w:asciiTheme="minorHAnsi" w:eastAsiaTheme="minorHAnsi" w:hAnsiTheme="minorHAnsi" w:cstheme="minorHAnsi"/>
          <w:b/>
        </w:rPr>
        <w:t>,</w:t>
      </w:r>
      <w:r w:rsidRPr="00F57E70">
        <w:rPr>
          <w:rFonts w:asciiTheme="minorHAnsi" w:eastAsiaTheme="minorHAnsi" w:hAnsiTheme="minorHAnsi" w:cstheme="minorHAnsi"/>
        </w:rPr>
        <w:t xml:space="preserve"> </w:t>
      </w:r>
      <w:r w:rsidR="008617E1">
        <w:rPr>
          <w:rFonts w:asciiTheme="minorHAnsi" w:eastAsiaTheme="minorHAnsi" w:hAnsiTheme="minorHAnsi" w:cstheme="minorHAnsi"/>
        </w:rPr>
        <w:t>t</w:t>
      </w:r>
      <w:r w:rsidRPr="00F57E70">
        <w:rPr>
          <w:rFonts w:asciiTheme="minorHAnsi" w:eastAsiaTheme="minorHAnsi" w:hAnsiTheme="minorHAnsi" w:cstheme="minorHAnsi"/>
        </w:rPr>
        <w:t>a</w:t>
      </w:r>
      <w:r w:rsidR="008617E1">
        <w:rPr>
          <w:rFonts w:asciiTheme="minorHAnsi" w:eastAsiaTheme="minorHAnsi" w:hAnsiTheme="minorHAnsi" w:cstheme="minorHAnsi"/>
        </w:rPr>
        <w:t>kže</w:t>
      </w:r>
      <w:r w:rsidRPr="00F57E70">
        <w:rPr>
          <w:rFonts w:asciiTheme="minorHAnsi" w:eastAsiaTheme="minorHAnsi" w:hAnsiTheme="minorHAnsi" w:cstheme="minorHAnsi"/>
        </w:rPr>
        <w:t xml:space="preserve"> postupoval v rozporu s ustanovením § 13a </w:t>
      </w:r>
      <w:r w:rsidR="00F015FD" w:rsidRPr="00F57E70">
        <w:rPr>
          <w:rFonts w:asciiTheme="minorHAnsi" w:eastAsiaTheme="minorHAnsi" w:hAnsiTheme="minorHAnsi" w:cstheme="minorHAnsi"/>
        </w:rPr>
        <w:t>zákona č. 338/1992 Sb., o dani z nemovitých věcí</w:t>
      </w:r>
      <w:r w:rsidRPr="00F57E70">
        <w:rPr>
          <w:rFonts w:asciiTheme="minorHAnsi" w:eastAsiaTheme="minorHAnsi" w:hAnsiTheme="minorHAnsi" w:cstheme="minorHAnsi"/>
        </w:rPr>
        <w:t>.</w:t>
      </w:r>
      <w:r w:rsidR="00E9459B">
        <w:rPr>
          <w:rFonts w:asciiTheme="minorHAnsi" w:eastAsiaTheme="minorHAnsi" w:hAnsiTheme="minorHAnsi" w:cstheme="minorHAnsi"/>
        </w:rPr>
        <w:t xml:space="preserve"> </w:t>
      </w:r>
      <w:r w:rsidR="00B26D21">
        <w:rPr>
          <w:rFonts w:asciiTheme="minorHAnsi" w:eastAsiaTheme="minorHAnsi" w:hAnsiTheme="minorHAnsi" w:cstheme="minorHAnsi"/>
        </w:rPr>
        <w:t>V podrobnostech</w:t>
      </w:r>
      <w:r w:rsidR="00E9459B">
        <w:rPr>
          <w:rFonts w:asciiTheme="minorHAnsi" w:eastAsiaTheme="minorHAnsi" w:hAnsiTheme="minorHAnsi" w:cstheme="minorHAnsi"/>
        </w:rPr>
        <w:t xml:space="preserve"> viz část </w:t>
      </w:r>
      <w:proofErr w:type="gramStart"/>
      <w:r w:rsidR="00E9459B">
        <w:rPr>
          <w:rFonts w:asciiTheme="minorHAnsi" w:eastAsiaTheme="minorHAnsi" w:hAnsiTheme="minorHAnsi" w:cstheme="minorHAnsi"/>
        </w:rPr>
        <w:t>IV.</w:t>
      </w:r>
      <w:r w:rsidR="00BE5351">
        <w:rPr>
          <w:rFonts w:asciiTheme="minorHAnsi" w:eastAsiaTheme="minorHAnsi" w:hAnsiTheme="minorHAnsi" w:cstheme="minorHAnsi"/>
        </w:rPr>
        <w:t>4</w:t>
      </w:r>
      <w:r w:rsidR="00E9459B">
        <w:rPr>
          <w:rFonts w:asciiTheme="minorHAnsi" w:eastAsiaTheme="minorHAnsi" w:hAnsiTheme="minorHAnsi" w:cstheme="minorHAnsi"/>
        </w:rPr>
        <w:t>.</w:t>
      </w:r>
      <w:r w:rsidR="006444A8">
        <w:rPr>
          <w:rFonts w:asciiTheme="minorHAnsi" w:eastAsiaTheme="minorHAnsi" w:hAnsiTheme="minorHAnsi" w:cstheme="minorHAnsi"/>
        </w:rPr>
        <w:t>4</w:t>
      </w:r>
      <w:proofErr w:type="gramEnd"/>
      <w:r w:rsidR="00E9459B">
        <w:rPr>
          <w:rFonts w:asciiTheme="minorHAnsi" w:eastAsiaTheme="minorHAnsi" w:hAnsiTheme="minorHAnsi" w:cstheme="minorHAnsi"/>
        </w:rPr>
        <w:t xml:space="preserve"> tohoto kontrolního závěru.</w:t>
      </w:r>
    </w:p>
    <w:p w14:paraId="79F0F1A4" w14:textId="77777777" w:rsidR="00217E9D" w:rsidRDefault="00217E9D" w:rsidP="00B52D07">
      <w:pPr>
        <w:spacing w:after="0"/>
        <w:jc w:val="both"/>
        <w:rPr>
          <w:b/>
        </w:rPr>
      </w:pPr>
    </w:p>
    <w:p w14:paraId="2B731B2A" w14:textId="154BD88F" w:rsidR="00980B18" w:rsidRPr="00980B18" w:rsidRDefault="005A7D01" w:rsidP="00BE3057">
      <w:pPr>
        <w:spacing w:after="0"/>
        <w:ind w:left="284" w:hanging="284"/>
        <w:rPr>
          <w:b/>
        </w:rPr>
      </w:pPr>
      <w:r>
        <w:rPr>
          <w:b/>
        </w:rPr>
        <w:t>5</w:t>
      </w:r>
      <w:r w:rsidR="00162FF7">
        <w:rPr>
          <w:b/>
        </w:rPr>
        <w:t xml:space="preserve">. </w:t>
      </w:r>
      <w:r w:rsidR="00BE3057">
        <w:rPr>
          <w:b/>
        </w:rPr>
        <w:tab/>
      </w:r>
      <w:r w:rsidR="00162FF7">
        <w:rPr>
          <w:b/>
        </w:rPr>
        <w:t xml:space="preserve">Doporučení k úpravě právních předpisů </w:t>
      </w:r>
      <w:r w:rsidR="00866ED0">
        <w:rPr>
          <w:b/>
        </w:rPr>
        <w:t>pro oblast peněžitých záruk a poskytování dlouhodobých záloh</w:t>
      </w:r>
    </w:p>
    <w:p w14:paraId="79E5D406" w14:textId="77777777" w:rsidR="00980B18" w:rsidRPr="00BE3057" w:rsidRDefault="00980B18" w:rsidP="00B52D07">
      <w:pPr>
        <w:spacing w:after="0"/>
        <w:jc w:val="both"/>
        <w:rPr>
          <w:color w:val="000000" w:themeColor="text1"/>
          <w:highlight w:val="yellow"/>
        </w:rPr>
      </w:pPr>
    </w:p>
    <w:p w14:paraId="0103EC1C" w14:textId="24FA234F" w:rsidR="00980B18" w:rsidRPr="00F57E70" w:rsidRDefault="00162FF7" w:rsidP="006E503E">
      <w:pPr>
        <w:spacing w:after="0"/>
        <w:jc w:val="both"/>
      </w:pPr>
      <w:r w:rsidRPr="004B6397">
        <w:rPr>
          <w:b/>
        </w:rPr>
        <w:t>NKÚ doporučuje, aby</w:t>
      </w:r>
      <w:r w:rsidR="006E503E" w:rsidRPr="004B6397">
        <w:rPr>
          <w:b/>
        </w:rPr>
        <w:t xml:space="preserve"> </w:t>
      </w:r>
      <w:r w:rsidRPr="004B6397">
        <w:rPr>
          <w:b/>
        </w:rPr>
        <w:t>peněžitá záruka, která připadá</w:t>
      </w:r>
      <w:r w:rsidRPr="006E503E">
        <w:t xml:space="preserve"> dle </w:t>
      </w:r>
      <w:r w:rsidR="0045710E" w:rsidRPr="00F57E70">
        <w:t>trestní</w:t>
      </w:r>
      <w:r w:rsidR="00133C76">
        <w:t>ho</w:t>
      </w:r>
      <w:r w:rsidR="0045710E" w:rsidRPr="00F57E70">
        <w:t xml:space="preserve"> řád</w:t>
      </w:r>
      <w:r w:rsidR="00133C76">
        <w:t>u</w:t>
      </w:r>
      <w:r w:rsidRPr="00F57E70">
        <w:t xml:space="preserve"> </w:t>
      </w:r>
      <w:r w:rsidRPr="00F57E70">
        <w:rPr>
          <w:b/>
        </w:rPr>
        <w:t>státu</w:t>
      </w:r>
      <w:r w:rsidRPr="00875E88">
        <w:rPr>
          <w:b/>
        </w:rPr>
        <w:t>,</w:t>
      </w:r>
      <w:r w:rsidRPr="00F57E70">
        <w:t xml:space="preserve"> </w:t>
      </w:r>
      <w:r w:rsidRPr="00F57E70">
        <w:rPr>
          <w:b/>
        </w:rPr>
        <w:t>byla v právních předpisech</w:t>
      </w:r>
      <w:r w:rsidR="006E503E" w:rsidRPr="00F57E70">
        <w:t xml:space="preserve"> (v rozpočtových pravidlech</w:t>
      </w:r>
      <w:r w:rsidR="008617E1">
        <w:t>,</w:t>
      </w:r>
      <w:r w:rsidR="006E503E" w:rsidRPr="00F57E70">
        <w:t xml:space="preserve"> popř. přímo v trestním řádu)</w:t>
      </w:r>
      <w:r w:rsidRPr="00F57E70">
        <w:t xml:space="preserve"> </w:t>
      </w:r>
      <w:r w:rsidRPr="00F57E70">
        <w:rPr>
          <w:b/>
        </w:rPr>
        <w:t>označen</w:t>
      </w:r>
      <w:r w:rsidR="006E503E" w:rsidRPr="00F57E70">
        <w:rPr>
          <w:b/>
        </w:rPr>
        <w:t xml:space="preserve">a </w:t>
      </w:r>
      <w:r w:rsidR="00A368FC" w:rsidRPr="00F57E70">
        <w:rPr>
          <w:b/>
        </w:rPr>
        <w:t>jako příjem státního rozpočtu</w:t>
      </w:r>
      <w:r w:rsidR="006444A8">
        <w:rPr>
          <w:b/>
        </w:rPr>
        <w:t>. Vlivem této legislativní úpravy by</w:t>
      </w:r>
      <w:r w:rsidR="00FE02F2">
        <w:rPr>
          <w:b/>
        </w:rPr>
        <w:t xml:space="preserve"> příslušný soud odváděl peněžité záruky, které připadly státu, na příjmový účet státního rozpočtu přímo </w:t>
      </w:r>
      <w:r w:rsidR="00C659E8">
        <w:rPr>
          <w:b/>
        </w:rPr>
        <w:t xml:space="preserve">(tj. nikoliv prostřednictvím ÚZSVM) </w:t>
      </w:r>
      <w:r w:rsidR="00FE02F2">
        <w:rPr>
          <w:b/>
        </w:rPr>
        <w:t>a</w:t>
      </w:r>
      <w:r w:rsidR="006444A8">
        <w:rPr>
          <w:b/>
        </w:rPr>
        <w:t xml:space="preserve"> i na odvod tohoto druhu příjmu do státního rozpočtu </w:t>
      </w:r>
      <w:r w:rsidR="00FE02F2">
        <w:rPr>
          <w:b/>
        </w:rPr>
        <w:t xml:space="preserve">by se </w:t>
      </w:r>
      <w:r w:rsidR="006444A8">
        <w:rPr>
          <w:b/>
        </w:rPr>
        <w:t xml:space="preserve">vztahovaly lhůty a případné </w:t>
      </w:r>
      <w:r w:rsidR="00AE18F9">
        <w:rPr>
          <w:b/>
        </w:rPr>
        <w:t xml:space="preserve">sankce za </w:t>
      </w:r>
      <w:r w:rsidR="006444A8">
        <w:rPr>
          <w:b/>
        </w:rPr>
        <w:t>jejich nedodržení stanovené v rozpočtových pravidlech</w:t>
      </w:r>
      <w:r w:rsidR="00A368FC" w:rsidRPr="00875E88">
        <w:rPr>
          <w:b/>
        </w:rPr>
        <w:t>.</w:t>
      </w:r>
      <w:r w:rsidR="00F07E08">
        <w:t xml:space="preserve"> V podrobnostech viz část </w:t>
      </w:r>
      <w:proofErr w:type="gramStart"/>
      <w:r w:rsidR="00F07E08">
        <w:t>IV.</w:t>
      </w:r>
      <w:r w:rsidR="00BE5351">
        <w:t>4</w:t>
      </w:r>
      <w:r w:rsidR="00F07E08">
        <w:t>.1</w:t>
      </w:r>
      <w:proofErr w:type="gramEnd"/>
      <w:r w:rsidR="00F07E08">
        <w:t xml:space="preserve"> tohoto kontrolního závěru</w:t>
      </w:r>
      <w:r w:rsidR="006444A8">
        <w:t>.</w:t>
      </w:r>
    </w:p>
    <w:p w14:paraId="0E85A074" w14:textId="77777777" w:rsidR="00A368FC" w:rsidRPr="00F57E70" w:rsidRDefault="00A368FC" w:rsidP="006E503E">
      <w:pPr>
        <w:spacing w:after="0"/>
        <w:jc w:val="both"/>
      </w:pPr>
    </w:p>
    <w:p w14:paraId="3AC4CD72" w14:textId="0806DA0E" w:rsidR="009F0524" w:rsidRDefault="00A368FC" w:rsidP="009F0524">
      <w:pPr>
        <w:spacing w:after="0"/>
        <w:jc w:val="both"/>
        <w:rPr>
          <w:rFonts w:asciiTheme="minorHAnsi" w:eastAsiaTheme="minorHAnsi" w:hAnsiTheme="minorHAnsi" w:cstheme="minorHAnsi"/>
          <w:szCs w:val="28"/>
        </w:rPr>
      </w:pPr>
      <w:r w:rsidRPr="0042165C">
        <w:rPr>
          <w:b/>
        </w:rPr>
        <w:t>NKÚ doporučuje, aby právní úprava poskytování</w:t>
      </w:r>
      <w:r w:rsidR="006E503E" w:rsidRPr="0042165C">
        <w:rPr>
          <w:b/>
        </w:rPr>
        <w:t xml:space="preserve"> záloh ke splnění povinnosti uložené</w:t>
      </w:r>
      <w:r w:rsidR="006E503E" w:rsidRPr="0042165C">
        <w:t xml:space="preserve"> </w:t>
      </w:r>
      <w:r w:rsidR="006E503E" w:rsidRPr="0042165C">
        <w:rPr>
          <w:b/>
        </w:rPr>
        <w:t>zvláštním právním předpisem</w:t>
      </w:r>
      <w:r w:rsidR="006E503E" w:rsidRPr="0042165C">
        <w:t xml:space="preserve"> (trestním řádem a </w:t>
      </w:r>
      <w:r w:rsidR="0045710E" w:rsidRPr="0042165C">
        <w:t>občanský</w:t>
      </w:r>
      <w:r w:rsidR="00133C76" w:rsidRPr="0042165C">
        <w:t>m</w:t>
      </w:r>
      <w:r w:rsidR="0045710E" w:rsidRPr="0042165C">
        <w:t xml:space="preserve"> soudní</w:t>
      </w:r>
      <w:r w:rsidR="00133C76" w:rsidRPr="0042165C">
        <w:t>m</w:t>
      </w:r>
      <w:r w:rsidR="0045710E" w:rsidRPr="0042165C">
        <w:t xml:space="preserve"> řád</w:t>
      </w:r>
      <w:r w:rsidR="00133C76" w:rsidRPr="0042165C">
        <w:t>em</w:t>
      </w:r>
      <w:r w:rsidR="0045710E" w:rsidRPr="0042165C">
        <w:t>)</w:t>
      </w:r>
      <w:r w:rsidR="006E503E" w:rsidRPr="0042165C">
        <w:t xml:space="preserve"> </w:t>
      </w:r>
      <w:r w:rsidR="006E503E" w:rsidRPr="0042165C">
        <w:rPr>
          <w:b/>
        </w:rPr>
        <w:t>byla v rozpočtových pravidlech</w:t>
      </w:r>
      <w:r w:rsidR="006E503E" w:rsidRPr="0042165C">
        <w:t xml:space="preserve"> </w:t>
      </w:r>
      <w:r w:rsidR="00A95BE4">
        <w:rPr>
          <w:b/>
        </w:rPr>
        <w:t>upravena</w:t>
      </w:r>
      <w:r w:rsidR="00A95BE4" w:rsidRPr="0042165C">
        <w:rPr>
          <w:b/>
        </w:rPr>
        <w:t xml:space="preserve"> </w:t>
      </w:r>
      <w:r w:rsidR="0060010C" w:rsidRPr="0042165C">
        <w:rPr>
          <w:b/>
        </w:rPr>
        <w:t xml:space="preserve">tak, aby respektovala specifika soudních řízení, </w:t>
      </w:r>
      <w:r w:rsidR="0060010C" w:rsidRPr="0042165C">
        <w:t>kdy poskytnutí zálohy již z povahy věci by nemělo být svázáno časovým omezením, jelikož závisí na časově dopředu neurčitelné skutečnosti, kterou je nabytí právní moci soudního rozhodnutí.</w:t>
      </w:r>
      <w:r w:rsidR="006E503E" w:rsidRPr="0042165C">
        <w:t xml:space="preserve"> </w:t>
      </w:r>
      <w:r w:rsidR="00F07E08" w:rsidRPr="0042165C">
        <w:t xml:space="preserve">V podrobnostech viz část </w:t>
      </w:r>
      <w:proofErr w:type="gramStart"/>
      <w:r w:rsidR="00F07E08" w:rsidRPr="0042165C">
        <w:t>IV.</w:t>
      </w:r>
      <w:r w:rsidR="00BE5351">
        <w:t>3</w:t>
      </w:r>
      <w:r w:rsidR="00F07E08" w:rsidRPr="0042165C">
        <w:t>.1</w:t>
      </w:r>
      <w:proofErr w:type="gramEnd"/>
      <w:r w:rsidR="00F07E08" w:rsidRPr="0042165C">
        <w:t xml:space="preserve"> tohoto kontrolního závěru.</w:t>
      </w:r>
    </w:p>
    <w:p w14:paraId="2B0A749E" w14:textId="3DF2D065" w:rsidR="009F0524" w:rsidRDefault="009F0524" w:rsidP="009F0524">
      <w:pPr>
        <w:spacing w:after="0"/>
        <w:jc w:val="both"/>
        <w:rPr>
          <w:rFonts w:asciiTheme="minorHAnsi" w:eastAsiaTheme="minorHAnsi" w:hAnsiTheme="minorHAnsi" w:cstheme="minorHAnsi"/>
          <w:szCs w:val="28"/>
        </w:rPr>
      </w:pPr>
    </w:p>
    <w:p w14:paraId="2731973F" w14:textId="77777777" w:rsidR="00DA547A" w:rsidRPr="00BA0877" w:rsidRDefault="00DA547A" w:rsidP="009F0524">
      <w:pPr>
        <w:spacing w:after="0"/>
        <w:jc w:val="both"/>
        <w:rPr>
          <w:rFonts w:asciiTheme="minorHAnsi" w:eastAsiaTheme="minorHAnsi" w:hAnsiTheme="minorHAnsi" w:cstheme="minorHAnsi"/>
          <w:szCs w:val="28"/>
        </w:rPr>
      </w:pPr>
    </w:p>
    <w:p w14:paraId="55D94CC8" w14:textId="475B0CA2" w:rsidR="00E91FF5" w:rsidRPr="00F57E70" w:rsidRDefault="00E91FF5" w:rsidP="00E91FF5">
      <w:pPr>
        <w:pStyle w:val="Nadpis1"/>
      </w:pPr>
      <w:r w:rsidRPr="00866ED0">
        <w:t>II. Informace o kontrolované oblasti</w:t>
      </w:r>
    </w:p>
    <w:p w14:paraId="0C638979" w14:textId="1AD88D06" w:rsidR="00231D7F" w:rsidRPr="00946197" w:rsidRDefault="00231D7F" w:rsidP="00946197">
      <w:pPr>
        <w:spacing w:after="0"/>
        <w:jc w:val="both"/>
        <w:rPr>
          <w:rFonts w:asciiTheme="minorHAnsi" w:hAnsiTheme="minorHAnsi" w:cstheme="minorHAnsi"/>
        </w:rPr>
      </w:pPr>
      <w:r w:rsidRPr="00F57E70">
        <w:rPr>
          <w:rFonts w:asciiTheme="minorHAnsi" w:hAnsiTheme="minorHAnsi" w:cstheme="minorHAnsi"/>
        </w:rPr>
        <w:t>Dle zákona č. 6/2002 Sb., o soudech, soudcích, přísedících a státní správě soudů a o změně některých dalších zákonů (zákon o soudech a soudcích)</w:t>
      </w:r>
      <w:r w:rsidR="00A959DB">
        <w:rPr>
          <w:rFonts w:asciiTheme="minorHAnsi" w:hAnsiTheme="minorHAnsi" w:cstheme="minorHAnsi"/>
        </w:rPr>
        <w:t>,</w:t>
      </w:r>
      <w:r w:rsidRPr="00F57E70">
        <w:rPr>
          <w:rFonts w:asciiTheme="minorHAnsi" w:hAnsiTheme="minorHAnsi" w:cstheme="minorHAnsi"/>
        </w:rPr>
        <w:t xml:space="preserve"> MS Praha vykonává působnost krajského soudu v obvodu hlavního města Prahy, rozhoduje</w:t>
      </w:r>
      <w:r w:rsidRPr="00946197">
        <w:rPr>
          <w:rFonts w:asciiTheme="minorHAnsi" w:hAnsiTheme="minorHAnsi" w:cstheme="minorHAnsi"/>
        </w:rPr>
        <w:t xml:space="preserve"> jako soud prvního stupně</w:t>
      </w:r>
      <w:r w:rsidR="009646D6">
        <w:rPr>
          <w:rFonts w:asciiTheme="minorHAnsi" w:hAnsiTheme="minorHAnsi" w:cstheme="minorHAnsi"/>
        </w:rPr>
        <w:t xml:space="preserve"> </w:t>
      </w:r>
      <w:r w:rsidRPr="00946197">
        <w:rPr>
          <w:rFonts w:asciiTheme="minorHAnsi" w:hAnsiTheme="minorHAnsi" w:cstheme="minorHAnsi"/>
        </w:rPr>
        <w:t>ve</w:t>
      </w:r>
      <w:r w:rsidR="008617E1">
        <w:rPr>
          <w:rFonts w:asciiTheme="minorHAnsi" w:hAnsiTheme="minorHAnsi" w:cstheme="minorHAnsi"/>
        </w:rPr>
        <w:t xml:space="preserve"> </w:t>
      </w:r>
      <w:r w:rsidRPr="00946197">
        <w:rPr>
          <w:rFonts w:asciiTheme="minorHAnsi" w:hAnsiTheme="minorHAnsi" w:cstheme="minorHAnsi"/>
        </w:rPr>
        <w:t>věcech veřejných rejstříků právnických a fyzických osob z obvodu MS Praha a Krajského soudu v Praze. Dále je věcně a místně příslušný jako soud prvního stupně ve věcech průmyslového vlastn</w:t>
      </w:r>
      <w:r w:rsidR="00946197" w:rsidRPr="00946197">
        <w:rPr>
          <w:rFonts w:asciiTheme="minorHAnsi" w:hAnsiTheme="minorHAnsi" w:cstheme="minorHAnsi"/>
        </w:rPr>
        <w:t>ictví a ochrany práv k odrůdám.</w:t>
      </w:r>
    </w:p>
    <w:p w14:paraId="619DA140" w14:textId="77777777" w:rsidR="00231D7F" w:rsidRPr="007E582E" w:rsidRDefault="00231D7F" w:rsidP="00946197">
      <w:pPr>
        <w:spacing w:after="0"/>
        <w:ind w:left="705" w:hanging="705"/>
        <w:jc w:val="both"/>
        <w:rPr>
          <w:rFonts w:asciiTheme="minorHAnsi" w:hAnsiTheme="minorHAnsi" w:cstheme="minorHAnsi"/>
          <w:highlight w:val="yellow"/>
        </w:rPr>
      </w:pPr>
    </w:p>
    <w:p w14:paraId="773FFA39" w14:textId="5AC834B8" w:rsidR="00231D7F" w:rsidRDefault="00946197" w:rsidP="00946197">
      <w:pPr>
        <w:spacing w:after="0"/>
        <w:jc w:val="both"/>
        <w:rPr>
          <w:rFonts w:asciiTheme="minorHAnsi" w:hAnsiTheme="minorHAnsi" w:cstheme="minorHAnsi"/>
        </w:rPr>
      </w:pPr>
      <w:r w:rsidRPr="00F57E70">
        <w:rPr>
          <w:rFonts w:asciiTheme="minorHAnsi" w:hAnsiTheme="minorHAnsi" w:cstheme="minorHAnsi"/>
        </w:rPr>
        <w:t xml:space="preserve">Dle zákona č. </w:t>
      </w:r>
      <w:r w:rsidR="00231D7F" w:rsidRPr="00F57E70">
        <w:rPr>
          <w:rFonts w:asciiTheme="minorHAnsi" w:hAnsiTheme="minorHAnsi" w:cstheme="minorHAnsi"/>
        </w:rPr>
        <w:t>219/2000 Sb., o majetku České republiky a jejím vystupování v právních vztazích</w:t>
      </w:r>
      <w:r w:rsidR="00A959DB">
        <w:rPr>
          <w:rFonts w:asciiTheme="minorHAnsi" w:hAnsiTheme="minorHAnsi" w:cstheme="minorHAnsi"/>
        </w:rPr>
        <w:t xml:space="preserve"> </w:t>
      </w:r>
      <w:r w:rsidR="00241259">
        <w:rPr>
          <w:rFonts w:asciiTheme="minorHAnsi" w:hAnsiTheme="minorHAnsi" w:cstheme="minorHAnsi"/>
        </w:rPr>
        <w:t>(</w:t>
      </w:r>
      <w:r w:rsidR="00A959DB">
        <w:rPr>
          <w:rFonts w:asciiTheme="minorHAnsi" w:hAnsiTheme="minorHAnsi" w:cstheme="minorHAnsi"/>
        </w:rPr>
        <w:t xml:space="preserve">dále </w:t>
      </w:r>
      <w:r w:rsidR="00394E0A">
        <w:rPr>
          <w:rFonts w:asciiTheme="minorHAnsi" w:hAnsiTheme="minorHAnsi" w:cstheme="minorHAnsi"/>
        </w:rPr>
        <w:t>také</w:t>
      </w:r>
      <w:r w:rsidR="00A959DB">
        <w:rPr>
          <w:rFonts w:asciiTheme="minorHAnsi" w:hAnsiTheme="minorHAnsi" w:cstheme="minorHAnsi"/>
        </w:rPr>
        <w:t xml:space="preserve"> „</w:t>
      </w:r>
      <w:r w:rsidR="00231D7F" w:rsidRPr="00F57E70">
        <w:rPr>
          <w:rFonts w:asciiTheme="minorHAnsi" w:hAnsiTheme="minorHAnsi" w:cstheme="minorHAnsi"/>
        </w:rPr>
        <w:t>zákon o majetku</w:t>
      </w:r>
      <w:r w:rsidR="008617E1">
        <w:rPr>
          <w:rFonts w:asciiTheme="minorHAnsi" w:hAnsiTheme="minorHAnsi" w:cstheme="minorHAnsi"/>
        </w:rPr>
        <w:t> ČR</w:t>
      </w:r>
      <w:r w:rsidR="00A959DB">
        <w:rPr>
          <w:rFonts w:asciiTheme="minorHAnsi" w:hAnsiTheme="minorHAnsi" w:cstheme="minorHAnsi"/>
        </w:rPr>
        <w:t>“</w:t>
      </w:r>
      <w:r w:rsidR="00231D7F" w:rsidRPr="00F57E70">
        <w:rPr>
          <w:rFonts w:asciiTheme="minorHAnsi" w:hAnsiTheme="minorHAnsi" w:cstheme="minorHAnsi"/>
        </w:rPr>
        <w:t>)</w:t>
      </w:r>
      <w:r w:rsidR="00356B49">
        <w:rPr>
          <w:rFonts w:asciiTheme="minorHAnsi" w:hAnsiTheme="minorHAnsi" w:cstheme="minorHAnsi"/>
        </w:rPr>
        <w:t>,</w:t>
      </w:r>
      <w:r w:rsidR="00231D7F" w:rsidRPr="00F57E70">
        <w:rPr>
          <w:rFonts w:asciiTheme="minorHAnsi" w:hAnsiTheme="minorHAnsi" w:cstheme="minorHAnsi"/>
        </w:rPr>
        <w:t xml:space="preserve"> je MS Praha OSS</w:t>
      </w:r>
      <w:r w:rsidR="00231D7F" w:rsidRPr="00980B18">
        <w:rPr>
          <w:rFonts w:asciiTheme="minorHAnsi" w:hAnsiTheme="minorHAnsi" w:cstheme="minorHAnsi"/>
        </w:rPr>
        <w:t xml:space="preserve"> a dle</w:t>
      </w:r>
      <w:r w:rsidR="00231D7F" w:rsidRPr="00946197">
        <w:rPr>
          <w:rFonts w:asciiTheme="minorHAnsi" w:hAnsiTheme="minorHAnsi" w:cstheme="minorHAnsi"/>
        </w:rPr>
        <w:t xml:space="preserve"> zákona o účetnictví</w:t>
      </w:r>
      <w:r w:rsidR="00980B18">
        <w:rPr>
          <w:rFonts w:asciiTheme="minorHAnsi" w:hAnsiTheme="minorHAnsi" w:cstheme="minorHAnsi"/>
        </w:rPr>
        <w:t xml:space="preserve"> </w:t>
      </w:r>
      <w:r w:rsidR="00231D7F" w:rsidRPr="00946197">
        <w:rPr>
          <w:rFonts w:asciiTheme="minorHAnsi" w:hAnsiTheme="minorHAnsi" w:cstheme="minorHAnsi"/>
        </w:rPr>
        <w:t>vybranou účetní jednotkou</w:t>
      </w:r>
      <w:r w:rsidR="00231D7F" w:rsidRPr="00980B18">
        <w:rPr>
          <w:rFonts w:asciiTheme="minorHAnsi" w:hAnsiTheme="minorHAnsi" w:cstheme="minorHAnsi"/>
        </w:rPr>
        <w:t>. Ministerstvo</w:t>
      </w:r>
      <w:r w:rsidR="00231D7F" w:rsidRPr="00946197">
        <w:rPr>
          <w:rFonts w:asciiTheme="minorHAnsi" w:hAnsiTheme="minorHAnsi" w:cstheme="minorHAnsi"/>
        </w:rPr>
        <w:t xml:space="preserve"> spravedlnosti </w:t>
      </w:r>
      <w:r w:rsidR="004C2CD7">
        <w:rPr>
          <w:rFonts w:asciiTheme="minorHAnsi" w:hAnsiTheme="minorHAnsi" w:cstheme="minorHAnsi"/>
        </w:rPr>
        <w:t>vykonává státní správu</w:t>
      </w:r>
      <w:r w:rsidR="00231D7F" w:rsidRPr="00946197">
        <w:rPr>
          <w:rFonts w:asciiTheme="minorHAnsi" w:hAnsiTheme="minorHAnsi" w:cstheme="minorHAnsi"/>
        </w:rPr>
        <w:t xml:space="preserve"> MS Praha</w:t>
      </w:r>
      <w:r w:rsidR="004C2CD7">
        <w:rPr>
          <w:rFonts w:asciiTheme="minorHAnsi" w:hAnsiTheme="minorHAnsi" w:cstheme="minorHAnsi"/>
        </w:rPr>
        <w:t xml:space="preserve"> a je orgánem schvalujícím účetní závěrku MS Praha</w:t>
      </w:r>
      <w:r w:rsidR="00231D7F" w:rsidRPr="00946197">
        <w:rPr>
          <w:rFonts w:asciiTheme="minorHAnsi" w:hAnsiTheme="minorHAnsi" w:cstheme="minorHAnsi"/>
        </w:rPr>
        <w:t>.</w:t>
      </w:r>
    </w:p>
    <w:p w14:paraId="6C6F6513" w14:textId="77777777" w:rsidR="00946197" w:rsidRPr="00946197" w:rsidRDefault="00946197" w:rsidP="00946197">
      <w:pPr>
        <w:spacing w:after="0"/>
        <w:jc w:val="both"/>
        <w:rPr>
          <w:rFonts w:asciiTheme="minorHAnsi" w:hAnsiTheme="minorHAnsi" w:cstheme="minorHAnsi"/>
        </w:rPr>
      </w:pPr>
    </w:p>
    <w:p w14:paraId="08857A39" w14:textId="77777777" w:rsidR="00E91FF5" w:rsidRPr="00946197" w:rsidRDefault="001866A7" w:rsidP="00980B18">
      <w:pPr>
        <w:spacing w:after="0"/>
        <w:jc w:val="both"/>
        <w:rPr>
          <w:rFonts w:asciiTheme="minorHAnsi" w:hAnsiTheme="minorHAnsi"/>
        </w:rPr>
      </w:pPr>
      <w:r w:rsidRPr="00946197">
        <w:rPr>
          <w:rFonts w:asciiTheme="minorHAnsi" w:hAnsiTheme="minorHAnsi"/>
        </w:rPr>
        <w:t>Přehled základních údajů z</w:t>
      </w:r>
      <w:r w:rsidR="001A210D" w:rsidRPr="00946197">
        <w:rPr>
          <w:rFonts w:asciiTheme="minorHAnsi" w:hAnsiTheme="minorHAnsi"/>
        </w:rPr>
        <w:t> </w:t>
      </w:r>
      <w:r w:rsidR="00946197" w:rsidRPr="00946197">
        <w:rPr>
          <w:rFonts w:asciiTheme="minorHAnsi" w:hAnsiTheme="minorHAnsi"/>
        </w:rPr>
        <w:t>ÚZ</w:t>
      </w:r>
      <w:r w:rsidRPr="00946197">
        <w:rPr>
          <w:rFonts w:asciiTheme="minorHAnsi" w:hAnsiTheme="minorHAnsi"/>
        </w:rPr>
        <w:t xml:space="preserve"> je u</w:t>
      </w:r>
      <w:r w:rsidR="001A210D" w:rsidRPr="00946197">
        <w:rPr>
          <w:rFonts w:asciiTheme="minorHAnsi" w:hAnsiTheme="minorHAnsi"/>
        </w:rPr>
        <w:t>veden v následujících tabulkách:</w:t>
      </w:r>
    </w:p>
    <w:p w14:paraId="03AE9AFA" w14:textId="77777777" w:rsidR="001A210D" w:rsidRPr="007E582E" w:rsidRDefault="001A210D" w:rsidP="00980B18">
      <w:pPr>
        <w:spacing w:after="0"/>
        <w:jc w:val="both"/>
        <w:rPr>
          <w:rFonts w:asciiTheme="minorHAnsi" w:hAnsiTheme="minorHAnsi"/>
          <w:highlight w:val="yellow"/>
        </w:rPr>
      </w:pPr>
    </w:p>
    <w:p w14:paraId="5C7C1A1F" w14:textId="3307C3B3" w:rsidR="00494B0F" w:rsidRPr="00946197" w:rsidRDefault="00494B0F" w:rsidP="00DA547A">
      <w:pPr>
        <w:keepNext/>
        <w:ind w:left="1304" w:hanging="1304"/>
        <w:jc w:val="both"/>
      </w:pPr>
      <w:r w:rsidRPr="00946197">
        <w:rPr>
          <w:b/>
        </w:rPr>
        <w:lastRenderedPageBreak/>
        <w:t xml:space="preserve">Tabulka č. </w:t>
      </w:r>
      <w:r w:rsidR="00FF0E92">
        <w:rPr>
          <w:b/>
        </w:rPr>
        <w:t>1</w:t>
      </w:r>
      <w:r w:rsidRPr="00946197">
        <w:rPr>
          <w:b/>
        </w:rPr>
        <w:t xml:space="preserve">: </w:t>
      </w:r>
      <w:r w:rsidRPr="00946197">
        <w:rPr>
          <w:b/>
        </w:rPr>
        <w:tab/>
        <w:t xml:space="preserve">Údaje </w:t>
      </w:r>
      <w:r w:rsidR="000B3825" w:rsidRPr="00946197">
        <w:rPr>
          <w:b/>
        </w:rPr>
        <w:t>ÚZ</w:t>
      </w:r>
      <w:r w:rsidRPr="00946197">
        <w:rPr>
          <w:b/>
        </w:rPr>
        <w:t xml:space="preserve"> – rozvaha a výkaz zisku a ztráty, údaje za běžné účetní období</w:t>
      </w:r>
    </w:p>
    <w:tbl>
      <w:tblPr>
        <w:tblW w:w="90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4506"/>
      </w:tblGrid>
      <w:tr w:rsidR="00494B0F" w:rsidRPr="007E582E" w14:paraId="1DB41335" w14:textId="77777777" w:rsidTr="00DA547A">
        <w:trPr>
          <w:trHeight w:val="255"/>
          <w:tblHeader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0030509" w14:textId="77777777" w:rsidR="00494B0F" w:rsidRPr="00946197" w:rsidRDefault="00494B0F" w:rsidP="00DA547A">
            <w:pPr>
              <w:keepNext/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46197">
              <w:rPr>
                <w:rFonts w:cs="Arial"/>
                <w:b/>
                <w:bCs/>
                <w:color w:val="000000"/>
                <w:sz w:val="20"/>
                <w:szCs w:val="20"/>
              </w:rPr>
              <w:t>Ukazatel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E4E1B8" w14:textId="5BF2A22A" w:rsidR="00494B0F" w:rsidRPr="00946197" w:rsidRDefault="00494B0F" w:rsidP="00DA547A">
            <w:pPr>
              <w:keepNext/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46197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="00A6339A">
              <w:rPr>
                <w:rFonts w:cs="Arial"/>
                <w:b/>
                <w:bCs/>
                <w:color w:val="000000"/>
                <w:sz w:val="20"/>
                <w:szCs w:val="20"/>
              </w:rPr>
              <w:t>(</w:t>
            </w:r>
            <w:r w:rsidRPr="00946197">
              <w:rPr>
                <w:rFonts w:cs="Arial"/>
                <w:b/>
                <w:bCs/>
                <w:color w:val="000000"/>
                <w:sz w:val="20"/>
                <w:szCs w:val="20"/>
              </w:rPr>
              <w:t>v Kč</w:t>
            </w:r>
            <w:r w:rsidR="00A6339A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4B0F" w:rsidRPr="003709C0" w14:paraId="5D11C730" w14:textId="77777777" w:rsidTr="00DA547A">
        <w:trPr>
          <w:trHeight w:val="255"/>
          <w:jc w:val="center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970C" w14:textId="77777777" w:rsidR="00494B0F" w:rsidRPr="003709C0" w:rsidRDefault="00494B0F" w:rsidP="00DA547A">
            <w:pPr>
              <w:keepNext/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3709C0">
              <w:rPr>
                <w:rFonts w:cs="Arial"/>
                <w:color w:val="000000"/>
                <w:sz w:val="20"/>
                <w:szCs w:val="20"/>
              </w:rPr>
              <w:t>Aktiva netto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6313" w14:textId="77777777" w:rsidR="00494B0F" w:rsidRPr="003709C0" w:rsidRDefault="001A210D" w:rsidP="00DA547A">
            <w:pPr>
              <w:keepNext/>
              <w:spacing w:after="0"/>
              <w:ind w:right="1352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3709C0">
              <w:rPr>
                <w:rFonts w:cs="Arial"/>
                <w:color w:val="000000"/>
                <w:sz w:val="20"/>
                <w:szCs w:val="20"/>
              </w:rPr>
              <w:t>1 051 447 602,92</w:t>
            </w:r>
          </w:p>
        </w:tc>
      </w:tr>
      <w:tr w:rsidR="00494B0F" w:rsidRPr="003709C0" w14:paraId="53E31BFF" w14:textId="77777777" w:rsidTr="00DA547A">
        <w:trPr>
          <w:trHeight w:val="255"/>
          <w:jc w:val="center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5CE0" w14:textId="77777777" w:rsidR="00494B0F" w:rsidRPr="003709C0" w:rsidRDefault="00494B0F" w:rsidP="00DA547A">
            <w:pPr>
              <w:keepNext/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3709C0">
              <w:rPr>
                <w:rFonts w:cs="Arial"/>
                <w:color w:val="000000"/>
                <w:sz w:val="20"/>
                <w:szCs w:val="20"/>
              </w:rPr>
              <w:t>Pasiva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A816" w14:textId="77777777" w:rsidR="00494B0F" w:rsidRPr="003709C0" w:rsidRDefault="001A210D" w:rsidP="00DA547A">
            <w:pPr>
              <w:keepNext/>
              <w:spacing w:after="0"/>
              <w:ind w:right="1352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3709C0">
              <w:rPr>
                <w:rFonts w:cs="Arial"/>
                <w:color w:val="000000"/>
                <w:sz w:val="20"/>
                <w:szCs w:val="20"/>
              </w:rPr>
              <w:t>1 051 447 602,92</w:t>
            </w:r>
          </w:p>
        </w:tc>
      </w:tr>
      <w:tr w:rsidR="00494B0F" w:rsidRPr="003709C0" w14:paraId="2707F881" w14:textId="77777777" w:rsidTr="00DA547A">
        <w:trPr>
          <w:trHeight w:val="255"/>
          <w:jc w:val="center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F4D4" w14:textId="77777777" w:rsidR="00494B0F" w:rsidRPr="003709C0" w:rsidRDefault="00494B0F" w:rsidP="00DA547A">
            <w:pPr>
              <w:keepNext/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3709C0">
              <w:rPr>
                <w:rFonts w:cs="Arial"/>
                <w:color w:val="000000"/>
                <w:sz w:val="20"/>
                <w:szCs w:val="20"/>
              </w:rPr>
              <w:t>Náklady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5822" w14:textId="77777777" w:rsidR="00494B0F" w:rsidRPr="003709C0" w:rsidRDefault="001A210D" w:rsidP="00DA547A">
            <w:pPr>
              <w:keepNext/>
              <w:spacing w:after="0"/>
              <w:ind w:right="1352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3709C0">
              <w:rPr>
                <w:rFonts w:cs="Arial"/>
                <w:color w:val="000000"/>
                <w:sz w:val="20"/>
                <w:szCs w:val="20"/>
              </w:rPr>
              <w:t>1 040 720 513,68</w:t>
            </w:r>
          </w:p>
        </w:tc>
      </w:tr>
      <w:tr w:rsidR="00494B0F" w:rsidRPr="003709C0" w14:paraId="109DED4A" w14:textId="77777777" w:rsidTr="00DA547A">
        <w:trPr>
          <w:trHeight w:val="255"/>
          <w:jc w:val="center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32C5" w14:textId="77777777" w:rsidR="00494B0F" w:rsidRPr="003709C0" w:rsidRDefault="00494B0F" w:rsidP="00DA547A">
            <w:pPr>
              <w:keepNext/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3709C0">
              <w:rPr>
                <w:rFonts w:cs="Arial"/>
                <w:color w:val="000000"/>
                <w:sz w:val="20"/>
                <w:szCs w:val="20"/>
              </w:rPr>
              <w:t>Výnosy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9B77" w14:textId="77777777" w:rsidR="00494B0F" w:rsidRPr="003709C0" w:rsidRDefault="001A210D" w:rsidP="00DA547A">
            <w:pPr>
              <w:keepNext/>
              <w:spacing w:after="0"/>
              <w:ind w:right="1352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3709C0">
              <w:rPr>
                <w:rFonts w:cs="Arial"/>
                <w:color w:val="000000"/>
                <w:sz w:val="20"/>
                <w:szCs w:val="20"/>
              </w:rPr>
              <w:t>240 418 512,41</w:t>
            </w:r>
          </w:p>
        </w:tc>
      </w:tr>
      <w:tr w:rsidR="00494B0F" w:rsidRPr="003709C0" w14:paraId="75D11487" w14:textId="77777777" w:rsidTr="00DA547A">
        <w:trPr>
          <w:trHeight w:val="255"/>
          <w:jc w:val="center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E72F" w14:textId="77777777" w:rsidR="00494B0F" w:rsidRPr="003709C0" w:rsidRDefault="00494B0F" w:rsidP="00DA547A">
            <w:pPr>
              <w:keepNext/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3709C0">
              <w:rPr>
                <w:rFonts w:cs="Arial"/>
                <w:color w:val="000000"/>
                <w:sz w:val="20"/>
                <w:szCs w:val="20"/>
              </w:rPr>
              <w:t>Výsledek hospodaření běžného účetního období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AB7F" w14:textId="1CD7E998" w:rsidR="00494B0F" w:rsidRPr="003709C0" w:rsidRDefault="00A6339A" w:rsidP="00A6339A">
            <w:pPr>
              <w:keepNext/>
              <w:spacing w:after="0"/>
              <w:ind w:right="1352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sym w:font="Symbol" w:char="F02D"/>
            </w:r>
            <w:r w:rsidR="00394D4D" w:rsidRPr="003709C0">
              <w:rPr>
                <w:rFonts w:cs="Arial"/>
                <w:color w:val="000000"/>
                <w:sz w:val="20"/>
                <w:szCs w:val="20"/>
              </w:rPr>
              <w:t>800 302 001,27</w:t>
            </w:r>
          </w:p>
        </w:tc>
      </w:tr>
    </w:tbl>
    <w:p w14:paraId="710D86BC" w14:textId="77777777" w:rsidR="00494B0F" w:rsidRPr="003709C0" w:rsidRDefault="00494B0F" w:rsidP="00DA547A">
      <w:pPr>
        <w:keepNext/>
        <w:spacing w:before="40" w:after="0"/>
        <w:rPr>
          <w:rFonts w:cs="Arial"/>
          <w:sz w:val="20"/>
          <w:szCs w:val="20"/>
        </w:rPr>
      </w:pPr>
      <w:r w:rsidRPr="003709C0">
        <w:rPr>
          <w:rFonts w:cs="Arial"/>
          <w:b/>
          <w:sz w:val="20"/>
          <w:szCs w:val="20"/>
        </w:rPr>
        <w:t>Zdroj:</w:t>
      </w:r>
      <w:r w:rsidRPr="003709C0">
        <w:rPr>
          <w:rFonts w:cs="Arial"/>
          <w:sz w:val="20"/>
          <w:szCs w:val="20"/>
        </w:rPr>
        <w:t xml:space="preserve"> </w:t>
      </w:r>
      <w:r w:rsidR="000B3825" w:rsidRPr="003709C0">
        <w:rPr>
          <w:rFonts w:cs="Arial"/>
          <w:sz w:val="20"/>
          <w:szCs w:val="20"/>
        </w:rPr>
        <w:t>ÚZ</w:t>
      </w:r>
      <w:r w:rsidRPr="003709C0">
        <w:rPr>
          <w:rFonts w:cs="Arial"/>
          <w:sz w:val="20"/>
          <w:szCs w:val="20"/>
        </w:rPr>
        <w:t>.</w:t>
      </w:r>
    </w:p>
    <w:p w14:paraId="2EF6D8B4" w14:textId="77777777" w:rsidR="00494B0F" w:rsidRPr="003709C0" w:rsidRDefault="00494B0F" w:rsidP="00A6339A">
      <w:pPr>
        <w:spacing w:after="0"/>
        <w:ind w:left="567" w:hanging="567"/>
        <w:jc w:val="both"/>
        <w:rPr>
          <w:rFonts w:cs="Arial"/>
          <w:sz w:val="20"/>
          <w:szCs w:val="20"/>
        </w:rPr>
      </w:pPr>
      <w:r w:rsidRPr="003709C0">
        <w:rPr>
          <w:rFonts w:cs="Arial"/>
          <w:b/>
          <w:sz w:val="20"/>
          <w:szCs w:val="20"/>
        </w:rPr>
        <w:t>Pozn.:</w:t>
      </w:r>
      <w:r w:rsidRPr="003709C0">
        <w:rPr>
          <w:rFonts w:cs="Arial"/>
          <w:sz w:val="20"/>
          <w:szCs w:val="20"/>
        </w:rPr>
        <w:t xml:space="preserve"> </w:t>
      </w:r>
      <w:r w:rsidRPr="003709C0">
        <w:rPr>
          <w:rFonts w:cs="Arial"/>
          <w:sz w:val="20"/>
          <w:szCs w:val="20"/>
        </w:rPr>
        <w:tab/>
      </w:r>
      <w:r w:rsidR="003709C0" w:rsidRPr="003709C0">
        <w:rPr>
          <w:rFonts w:cs="Arial"/>
          <w:sz w:val="20"/>
          <w:szCs w:val="20"/>
        </w:rPr>
        <w:t xml:space="preserve">MS Praha vykázal aktiva v hodnotě brutto </w:t>
      </w:r>
      <w:r w:rsidR="00D9673C" w:rsidRPr="003709C0">
        <w:rPr>
          <w:rFonts w:cs="Arial"/>
          <w:sz w:val="20"/>
          <w:szCs w:val="20"/>
        </w:rPr>
        <w:t>ve výši 1 622 225 819,98 Kč</w:t>
      </w:r>
      <w:r w:rsidR="003709C0">
        <w:rPr>
          <w:rFonts w:cs="Arial"/>
          <w:sz w:val="20"/>
          <w:szCs w:val="20"/>
        </w:rPr>
        <w:t xml:space="preserve"> upravené o korekce ve výši 570 778 217,06 K</w:t>
      </w:r>
      <w:r w:rsidR="003709C0">
        <w:rPr>
          <w:rFonts w:cs="Arial"/>
          <w:smallCaps/>
          <w:sz w:val="20"/>
          <w:szCs w:val="20"/>
        </w:rPr>
        <w:t>č</w:t>
      </w:r>
      <w:r w:rsidRPr="003709C0">
        <w:rPr>
          <w:rFonts w:cs="Arial"/>
          <w:sz w:val="20"/>
          <w:szCs w:val="20"/>
        </w:rPr>
        <w:t>.</w:t>
      </w:r>
    </w:p>
    <w:p w14:paraId="4EE4355A" w14:textId="77777777" w:rsidR="00494B0F" w:rsidRPr="007E582E" w:rsidRDefault="00494B0F" w:rsidP="00B92BDD">
      <w:pPr>
        <w:spacing w:after="0"/>
        <w:rPr>
          <w:rFonts w:cs="Arial"/>
          <w:highlight w:val="yellow"/>
        </w:rPr>
      </w:pPr>
    </w:p>
    <w:p w14:paraId="23DF8DDF" w14:textId="4BEB6DE9" w:rsidR="00494B0F" w:rsidRPr="003709C0" w:rsidRDefault="00494B0F" w:rsidP="00A6339A">
      <w:pPr>
        <w:ind w:left="1247" w:hanging="1247"/>
        <w:jc w:val="both"/>
        <w:rPr>
          <w:rFonts w:cs="Arial"/>
          <w:b/>
          <w:spacing w:val="-4"/>
        </w:rPr>
      </w:pPr>
      <w:r w:rsidRPr="003709C0">
        <w:rPr>
          <w:rFonts w:cs="Arial"/>
          <w:b/>
          <w:spacing w:val="-4"/>
        </w:rPr>
        <w:t xml:space="preserve">Tabulka č. </w:t>
      </w:r>
      <w:r w:rsidR="00FF0E92">
        <w:rPr>
          <w:rFonts w:cs="Arial"/>
          <w:b/>
          <w:spacing w:val="-4"/>
        </w:rPr>
        <w:t>2</w:t>
      </w:r>
      <w:r w:rsidRPr="003709C0">
        <w:rPr>
          <w:rFonts w:cs="Arial"/>
          <w:b/>
          <w:spacing w:val="-4"/>
        </w:rPr>
        <w:t xml:space="preserve">: </w:t>
      </w:r>
      <w:r w:rsidRPr="003709C0">
        <w:rPr>
          <w:rFonts w:cs="Arial"/>
          <w:b/>
          <w:spacing w:val="-4"/>
        </w:rPr>
        <w:tab/>
        <w:t xml:space="preserve">Údaje </w:t>
      </w:r>
      <w:r w:rsidR="000B3825" w:rsidRPr="003709C0">
        <w:rPr>
          <w:rFonts w:cs="Arial"/>
          <w:b/>
          <w:spacing w:val="-4"/>
        </w:rPr>
        <w:t>ÚZ</w:t>
      </w:r>
      <w:r w:rsidRPr="003709C0">
        <w:rPr>
          <w:rFonts w:cs="Arial"/>
          <w:b/>
          <w:spacing w:val="-4"/>
        </w:rPr>
        <w:t xml:space="preserve"> – informace o stavu účtů v knize podrozvahových účtů, údaje za běžné účetní období</w:t>
      </w: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5528"/>
        <w:gridCol w:w="2693"/>
      </w:tblGrid>
      <w:tr w:rsidR="00C13585" w:rsidRPr="007E582E" w14:paraId="6064CF1E" w14:textId="77777777" w:rsidTr="00DA547A">
        <w:trPr>
          <w:trHeight w:val="255"/>
          <w:tblHeader/>
          <w:jc w:val="center"/>
        </w:trPr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2526520" w14:textId="77777777" w:rsidR="00C13585" w:rsidRPr="003709C0" w:rsidRDefault="00C13585" w:rsidP="003709C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709C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FE508C" w14:textId="1EC70FB3" w:rsidR="00C13585" w:rsidRPr="003709C0" w:rsidRDefault="00C13585" w:rsidP="003709C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709C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Částka</w:t>
            </w:r>
            <w:r w:rsidR="003709C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633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</w:t>
            </w:r>
            <w:r w:rsidR="003709C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 Kč</w:t>
            </w:r>
            <w:r w:rsidR="00A633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13585" w:rsidRPr="007E582E" w14:paraId="2DA4BF91" w14:textId="77777777" w:rsidTr="00DA547A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A9DF3" w14:textId="77777777" w:rsidR="00C13585" w:rsidRPr="003709C0" w:rsidRDefault="00C13585" w:rsidP="003709C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gramStart"/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P.I.</w:t>
            </w:r>
            <w:r w:rsidR="00732F1E">
              <w:rPr>
                <w:rFonts w:asciiTheme="minorHAnsi" w:eastAsiaTheme="minorHAnsi" w:hAnsiTheme="minorHAnsi" w:cstheme="minorHAnsi"/>
                <w:sz w:val="20"/>
                <w:szCs w:val="20"/>
              </w:rPr>
              <w:t>2.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23E9" w14:textId="77777777" w:rsidR="00C13585" w:rsidRPr="003709C0" w:rsidRDefault="00732F1E" w:rsidP="003709C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Jiný drobný dlouhodobý hmotný majetek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50B3" w14:textId="77777777" w:rsidR="00C13585" w:rsidRPr="003709C0" w:rsidRDefault="00732F1E" w:rsidP="009002BF">
            <w:pPr>
              <w:autoSpaceDE w:val="0"/>
              <w:autoSpaceDN w:val="0"/>
              <w:adjustRightInd w:val="0"/>
              <w:spacing w:after="0"/>
              <w:ind w:right="502"/>
              <w:jc w:val="righ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13 489 515,59</w:t>
            </w:r>
          </w:p>
        </w:tc>
      </w:tr>
      <w:tr w:rsidR="00732F1E" w:rsidRPr="007E582E" w14:paraId="752E1B39" w14:textId="77777777" w:rsidTr="00DA547A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DDAB" w14:textId="77777777" w:rsidR="00732F1E" w:rsidRPr="003709C0" w:rsidRDefault="00732F1E" w:rsidP="003709C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P.I.3.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A13F" w14:textId="77777777" w:rsidR="00732F1E" w:rsidRDefault="00732F1E" w:rsidP="003709C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Vyřazené pohledávky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A33C" w14:textId="77777777" w:rsidR="00732F1E" w:rsidRDefault="00732F1E" w:rsidP="009002BF">
            <w:pPr>
              <w:autoSpaceDE w:val="0"/>
              <w:autoSpaceDN w:val="0"/>
              <w:adjustRightInd w:val="0"/>
              <w:spacing w:after="0"/>
              <w:ind w:right="502"/>
              <w:jc w:val="righ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133 531 372,04</w:t>
            </w:r>
          </w:p>
        </w:tc>
      </w:tr>
      <w:tr w:rsidR="00C13585" w:rsidRPr="007E582E" w14:paraId="0BD1E6DC" w14:textId="77777777" w:rsidTr="00DA547A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3F3D" w14:textId="77777777" w:rsidR="00C13585" w:rsidRPr="003709C0" w:rsidRDefault="00C13585" w:rsidP="003709C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gramStart"/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P.IV</w:t>
            </w:r>
            <w:proofErr w:type="gramEnd"/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BF6E" w14:textId="77777777" w:rsidR="00C13585" w:rsidRPr="003709C0" w:rsidRDefault="00C13585" w:rsidP="003709C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Další podmíněné pohledávky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C89C" w14:textId="77777777" w:rsidR="00C13585" w:rsidRPr="003709C0" w:rsidRDefault="00C13585" w:rsidP="009002BF">
            <w:pPr>
              <w:autoSpaceDE w:val="0"/>
              <w:autoSpaceDN w:val="0"/>
              <w:adjustRightInd w:val="0"/>
              <w:spacing w:after="0"/>
              <w:ind w:right="502"/>
              <w:jc w:val="righ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2 744 622,00</w:t>
            </w:r>
          </w:p>
        </w:tc>
      </w:tr>
      <w:tr w:rsidR="00C13585" w:rsidRPr="007E582E" w14:paraId="1321BC0D" w14:textId="77777777" w:rsidTr="00DA547A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45C4" w14:textId="77777777" w:rsidR="00C13585" w:rsidRPr="003709C0" w:rsidRDefault="00C13585" w:rsidP="003709C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gramStart"/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P.VI</w:t>
            </w:r>
            <w:proofErr w:type="gramEnd"/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1A64" w14:textId="77777777" w:rsidR="00C13585" w:rsidRPr="003709C0" w:rsidRDefault="00C13585" w:rsidP="003709C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Podmíněné závazky z důvodu užívání cizího majetku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2BEC" w14:textId="77777777" w:rsidR="00C13585" w:rsidRPr="003709C0" w:rsidRDefault="00C13585" w:rsidP="009002BF">
            <w:pPr>
              <w:autoSpaceDE w:val="0"/>
              <w:autoSpaceDN w:val="0"/>
              <w:adjustRightInd w:val="0"/>
              <w:spacing w:after="0"/>
              <w:ind w:right="502"/>
              <w:jc w:val="righ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1 260 784,46</w:t>
            </w:r>
          </w:p>
        </w:tc>
      </w:tr>
      <w:tr w:rsidR="00C13585" w:rsidRPr="007E582E" w14:paraId="15BFD117" w14:textId="77777777" w:rsidTr="00DA547A">
        <w:trPr>
          <w:trHeight w:val="25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04DC" w14:textId="77777777" w:rsidR="00C13585" w:rsidRPr="003709C0" w:rsidRDefault="00C13585" w:rsidP="003709C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gramStart"/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P.VII</w:t>
            </w:r>
            <w:proofErr w:type="gramEnd"/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1FFF" w14:textId="77777777" w:rsidR="00C13585" w:rsidRPr="003709C0" w:rsidRDefault="00C13585" w:rsidP="003709C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Další podmíněné závazky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5CB1" w14:textId="77777777" w:rsidR="00C13585" w:rsidRPr="003709C0" w:rsidRDefault="00C13585" w:rsidP="009002BF">
            <w:pPr>
              <w:autoSpaceDE w:val="0"/>
              <w:autoSpaceDN w:val="0"/>
              <w:adjustRightInd w:val="0"/>
              <w:spacing w:after="0"/>
              <w:ind w:right="502"/>
              <w:jc w:val="righ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173 280 522,62</w:t>
            </w:r>
          </w:p>
        </w:tc>
      </w:tr>
      <w:tr w:rsidR="00C13585" w:rsidRPr="007E582E" w14:paraId="3906DA63" w14:textId="77777777" w:rsidTr="00DA547A">
        <w:trPr>
          <w:trHeight w:val="25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0A36" w14:textId="77777777" w:rsidR="00C13585" w:rsidRPr="003709C0" w:rsidRDefault="00C13585" w:rsidP="003709C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gramStart"/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P.VIII</w:t>
            </w:r>
            <w:proofErr w:type="gramEnd"/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  <w:r w:rsidR="00732F1E">
              <w:rPr>
                <w:rFonts w:asciiTheme="minorHAnsi" w:eastAsia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B5EC" w14:textId="77777777" w:rsidR="00C13585" w:rsidRPr="003709C0" w:rsidRDefault="00C13585" w:rsidP="00732F1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Ostatní </w:t>
            </w:r>
            <w:r w:rsidR="00732F1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dlouhodobá </w:t>
            </w:r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podmíněná pasiva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05C2" w14:textId="77777777" w:rsidR="00C13585" w:rsidRPr="003709C0" w:rsidRDefault="00C13585" w:rsidP="009002BF">
            <w:pPr>
              <w:autoSpaceDE w:val="0"/>
              <w:autoSpaceDN w:val="0"/>
              <w:adjustRightInd w:val="0"/>
              <w:spacing w:after="0"/>
              <w:ind w:right="502"/>
              <w:jc w:val="righ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09C0">
              <w:rPr>
                <w:rFonts w:asciiTheme="minorHAnsi" w:eastAsiaTheme="minorHAnsi" w:hAnsiTheme="minorHAnsi" w:cstheme="minorHAnsi"/>
                <w:sz w:val="20"/>
                <w:szCs w:val="20"/>
              </w:rPr>
              <w:t>95 553,90</w:t>
            </w:r>
          </w:p>
        </w:tc>
      </w:tr>
    </w:tbl>
    <w:p w14:paraId="56F4EBEB" w14:textId="77777777" w:rsidR="00494B0F" w:rsidRPr="003709C0" w:rsidRDefault="00494B0F" w:rsidP="00BE3057">
      <w:pPr>
        <w:spacing w:before="40" w:after="0"/>
        <w:rPr>
          <w:sz w:val="20"/>
        </w:rPr>
      </w:pPr>
      <w:r w:rsidRPr="003709C0">
        <w:rPr>
          <w:b/>
          <w:sz w:val="20"/>
        </w:rPr>
        <w:t>Zdroj:</w:t>
      </w:r>
      <w:r w:rsidRPr="003709C0">
        <w:rPr>
          <w:sz w:val="20"/>
        </w:rPr>
        <w:t xml:space="preserve"> </w:t>
      </w:r>
      <w:r w:rsidR="000B3825" w:rsidRPr="003709C0">
        <w:rPr>
          <w:sz w:val="20"/>
        </w:rPr>
        <w:t>ÚZ</w:t>
      </w:r>
      <w:r w:rsidRPr="003709C0">
        <w:rPr>
          <w:sz w:val="20"/>
        </w:rPr>
        <w:t>.</w:t>
      </w:r>
    </w:p>
    <w:p w14:paraId="0D0B7C0D" w14:textId="7E4B587D" w:rsidR="00494B0F" w:rsidRDefault="00494B0F" w:rsidP="00732F1E">
      <w:pPr>
        <w:spacing w:after="0"/>
        <w:rPr>
          <w:highlight w:val="yellow"/>
        </w:rPr>
      </w:pPr>
    </w:p>
    <w:p w14:paraId="2B8EC034" w14:textId="77777777" w:rsidR="00A6339A" w:rsidRDefault="00A6339A" w:rsidP="00732F1E">
      <w:pPr>
        <w:spacing w:after="0"/>
        <w:rPr>
          <w:highlight w:val="yellow"/>
        </w:rPr>
      </w:pPr>
    </w:p>
    <w:p w14:paraId="0CA2C4DC" w14:textId="22292E62" w:rsidR="00732F1E" w:rsidRPr="007E582E" w:rsidRDefault="00732F1E" w:rsidP="00BE3057">
      <w:pPr>
        <w:spacing w:after="0"/>
        <w:ind w:left="567" w:hanging="567"/>
        <w:jc w:val="both"/>
        <w:rPr>
          <w:highlight w:val="yellow"/>
        </w:rPr>
      </w:pPr>
      <w:r>
        <w:rPr>
          <w:b/>
          <w:bCs/>
          <w:sz w:val="20"/>
          <w:szCs w:val="20"/>
        </w:rPr>
        <w:t xml:space="preserve">Pozn.: </w:t>
      </w:r>
      <w:r w:rsidR="00BE3057">
        <w:rPr>
          <w:b/>
          <w:bCs/>
          <w:sz w:val="20"/>
          <w:szCs w:val="20"/>
        </w:rPr>
        <w:tab/>
      </w:r>
      <w:r>
        <w:rPr>
          <w:sz w:val="20"/>
          <w:szCs w:val="20"/>
        </w:rPr>
        <w:t>Všechny právní předpisy uvedené v tomto kontrolním závěru jsou aplikovány ve znění účinném</w:t>
      </w:r>
      <w:r w:rsidR="009646D6">
        <w:rPr>
          <w:sz w:val="20"/>
          <w:szCs w:val="20"/>
        </w:rPr>
        <w:t xml:space="preserve"> </w:t>
      </w:r>
      <w:r>
        <w:rPr>
          <w:sz w:val="20"/>
          <w:szCs w:val="20"/>
        </w:rPr>
        <w:t>pro</w:t>
      </w:r>
      <w:r w:rsidR="00A6339A">
        <w:rPr>
          <w:sz w:val="20"/>
          <w:szCs w:val="20"/>
        </w:rPr>
        <w:t xml:space="preserve"> </w:t>
      </w:r>
      <w:r>
        <w:rPr>
          <w:sz w:val="20"/>
          <w:szCs w:val="20"/>
        </w:rPr>
        <w:t>kontrolované období.</w:t>
      </w:r>
    </w:p>
    <w:p w14:paraId="4309B2D0" w14:textId="77777777" w:rsidR="00DA547A" w:rsidRDefault="00DA547A" w:rsidP="00DA547A">
      <w:pPr>
        <w:spacing w:after="0"/>
        <w:rPr>
          <w:highlight w:val="yellow"/>
        </w:rPr>
      </w:pPr>
    </w:p>
    <w:p w14:paraId="509FD8D8" w14:textId="77777777" w:rsidR="00DA547A" w:rsidRDefault="00DA547A" w:rsidP="00DA547A">
      <w:pPr>
        <w:spacing w:after="0"/>
        <w:rPr>
          <w:highlight w:val="yellow"/>
        </w:rPr>
      </w:pPr>
    </w:p>
    <w:p w14:paraId="14AC1CB2" w14:textId="48582673" w:rsidR="0033466E" w:rsidRPr="00732F1E" w:rsidRDefault="0033466E" w:rsidP="0033466E">
      <w:pPr>
        <w:pStyle w:val="Nadpis1"/>
      </w:pPr>
      <w:r w:rsidRPr="00732F1E">
        <w:t>I</w:t>
      </w:r>
      <w:r w:rsidR="00E91FF5" w:rsidRPr="00732F1E">
        <w:t>I</w:t>
      </w:r>
      <w:r w:rsidRPr="00732F1E">
        <w:t>I. Rozsah kontroly</w:t>
      </w:r>
    </w:p>
    <w:p w14:paraId="29D59116" w14:textId="312F9558" w:rsidR="0029287A" w:rsidRDefault="0029287A" w:rsidP="00732F1E">
      <w:pPr>
        <w:spacing w:after="0"/>
        <w:jc w:val="both"/>
        <w:rPr>
          <w:rFonts w:asciiTheme="minorHAnsi" w:hAnsiTheme="minorHAnsi" w:cstheme="minorHAnsi"/>
        </w:rPr>
      </w:pPr>
      <w:r w:rsidRPr="00732F1E">
        <w:rPr>
          <w:rFonts w:asciiTheme="minorHAnsi" w:hAnsiTheme="minorHAnsi" w:cstheme="minorHAnsi"/>
        </w:rPr>
        <w:t>Kontrolní akce byla kontrolou typu finanční audit a jejím cílem bylo zjistit, zda kontrolovaná osoba při sestavení souhrnných finančních informací, které o svém hospodaření zveřejňuje, a</w:t>
      </w:r>
      <w:r w:rsidR="00E23B56">
        <w:rPr>
          <w:rFonts w:asciiTheme="minorHAnsi" w:hAnsiTheme="minorHAnsi" w:cstheme="minorHAnsi"/>
        </w:rPr>
        <w:t> </w:t>
      </w:r>
      <w:r w:rsidRPr="00732F1E">
        <w:rPr>
          <w:rFonts w:asciiTheme="minorHAnsi" w:hAnsiTheme="minorHAnsi" w:cstheme="minorHAnsi"/>
        </w:rPr>
        <w:t>při provádění jednotlivých transakcí postupovala v souladu s příslušnými právními předpisy.</w:t>
      </w:r>
    </w:p>
    <w:p w14:paraId="012BCA38" w14:textId="77777777" w:rsidR="002F4E8A" w:rsidRPr="00732F1E" w:rsidRDefault="002F4E8A" w:rsidP="00732F1E">
      <w:pPr>
        <w:spacing w:after="0"/>
        <w:jc w:val="both"/>
        <w:rPr>
          <w:rFonts w:asciiTheme="minorHAnsi" w:hAnsiTheme="minorHAnsi" w:cstheme="minorHAnsi"/>
        </w:rPr>
      </w:pPr>
    </w:p>
    <w:p w14:paraId="07F975ED" w14:textId="5424CA37" w:rsidR="0054790C" w:rsidRPr="002C176E" w:rsidRDefault="0054790C" w:rsidP="00732F1E">
      <w:pPr>
        <w:spacing w:after="0"/>
        <w:jc w:val="both"/>
        <w:rPr>
          <w:rFonts w:asciiTheme="minorHAnsi" w:hAnsiTheme="minorHAnsi" w:cstheme="minorHAnsi"/>
        </w:rPr>
      </w:pPr>
      <w:r w:rsidRPr="002C176E">
        <w:rPr>
          <w:rFonts w:asciiTheme="minorHAnsi" w:hAnsiTheme="minorHAnsi" w:cstheme="minorHAnsi"/>
        </w:rPr>
        <w:t xml:space="preserve">Kontrolovaný objem finančních prostředků a majetku představuje hodnotu aktiv, pasiv, nákladů, výnosů a podrozvahových účtů vykázaných v ÚZ a vyčíslených v tabulkách č. </w:t>
      </w:r>
      <w:r w:rsidR="00FF0E92">
        <w:rPr>
          <w:rFonts w:asciiTheme="minorHAnsi" w:hAnsiTheme="minorHAnsi" w:cstheme="minorHAnsi"/>
        </w:rPr>
        <w:t>1</w:t>
      </w:r>
      <w:r w:rsidRPr="002C176E">
        <w:rPr>
          <w:rFonts w:asciiTheme="minorHAnsi" w:hAnsiTheme="minorHAnsi" w:cstheme="minorHAnsi"/>
        </w:rPr>
        <w:t xml:space="preserve"> a </w:t>
      </w:r>
      <w:r w:rsidR="00FF0E92">
        <w:rPr>
          <w:rFonts w:asciiTheme="minorHAnsi" w:hAnsiTheme="minorHAnsi" w:cstheme="minorHAnsi"/>
        </w:rPr>
        <w:t>2</w:t>
      </w:r>
      <w:r w:rsidRPr="002C176E">
        <w:rPr>
          <w:rFonts w:asciiTheme="minorHAnsi" w:hAnsiTheme="minorHAnsi" w:cstheme="minorHAnsi"/>
        </w:rPr>
        <w:t>.</w:t>
      </w:r>
    </w:p>
    <w:p w14:paraId="082DC5B1" w14:textId="77777777" w:rsidR="002F4E8A" w:rsidRPr="007E582E" w:rsidRDefault="002F4E8A" w:rsidP="00732F1E">
      <w:pPr>
        <w:spacing w:after="0"/>
        <w:jc w:val="both"/>
        <w:rPr>
          <w:rFonts w:asciiTheme="minorHAnsi" w:hAnsiTheme="minorHAnsi" w:cstheme="minorHAnsi"/>
          <w:highlight w:val="yellow"/>
        </w:rPr>
      </w:pPr>
    </w:p>
    <w:p w14:paraId="5F05C5F1" w14:textId="77777777" w:rsidR="002F4E8A" w:rsidRDefault="005A689C" w:rsidP="00732F1E">
      <w:pPr>
        <w:spacing w:after="0"/>
        <w:jc w:val="both"/>
        <w:rPr>
          <w:rFonts w:asciiTheme="minorHAnsi" w:hAnsiTheme="minorHAnsi" w:cstheme="minorHAnsi"/>
        </w:rPr>
      </w:pPr>
      <w:r w:rsidRPr="00732F1E">
        <w:rPr>
          <w:rFonts w:asciiTheme="minorHAnsi" w:hAnsiTheme="minorHAnsi" w:cstheme="minorHAnsi"/>
        </w:rPr>
        <w:t>Kontrola se zaměřila na č</w:t>
      </w:r>
      <w:r w:rsidR="0033466E" w:rsidRPr="00732F1E">
        <w:rPr>
          <w:rFonts w:asciiTheme="minorHAnsi" w:hAnsiTheme="minorHAnsi" w:cstheme="minorHAnsi"/>
        </w:rPr>
        <w:t>innosti a skutečnosti, které byly předmětem účetnictví a měly vliv na hodnotu kontrolovaných významných konečných zůstatků účtů v </w:t>
      </w:r>
      <w:r w:rsidR="000B3825" w:rsidRPr="00732F1E">
        <w:rPr>
          <w:rFonts w:asciiTheme="minorHAnsi" w:hAnsiTheme="minorHAnsi" w:cstheme="minorHAnsi"/>
        </w:rPr>
        <w:t>ÚZ</w:t>
      </w:r>
      <w:r w:rsidR="0054790C" w:rsidRPr="00732F1E">
        <w:rPr>
          <w:rFonts w:asciiTheme="minorHAnsi" w:hAnsiTheme="minorHAnsi" w:cstheme="minorHAnsi"/>
        </w:rPr>
        <w:t>.</w:t>
      </w:r>
    </w:p>
    <w:p w14:paraId="7B879E4E" w14:textId="00357CF0" w:rsidR="0033466E" w:rsidRPr="00732F1E" w:rsidRDefault="0033466E" w:rsidP="00732F1E">
      <w:pPr>
        <w:spacing w:after="0"/>
        <w:jc w:val="both"/>
        <w:rPr>
          <w:rFonts w:asciiTheme="minorHAnsi" w:hAnsiTheme="minorHAnsi" w:cstheme="minorHAnsi"/>
          <w:bCs/>
        </w:rPr>
      </w:pPr>
    </w:p>
    <w:p w14:paraId="1CD10023" w14:textId="77777777" w:rsidR="0054790C" w:rsidRDefault="0054790C" w:rsidP="00732F1E">
      <w:pPr>
        <w:spacing w:after="0"/>
        <w:jc w:val="both"/>
        <w:rPr>
          <w:rFonts w:eastAsiaTheme="minorHAnsi" w:cs="Calibri"/>
        </w:rPr>
      </w:pPr>
      <w:r w:rsidRPr="00732F1E">
        <w:rPr>
          <w:rFonts w:eastAsiaTheme="minorHAnsi" w:cs="Calibri"/>
        </w:rPr>
        <w:t>Kontrolována byla také správnost používaných účetních metod a ostatních podmínek vedení účetnictví stanovených právními předpisy a Českými účetními standardy pro některé vybrané účetní jednotky</w:t>
      </w:r>
      <w:r w:rsidRPr="00732F1E">
        <w:rPr>
          <w:rFonts w:eastAsiaTheme="minorHAnsi" w:cs="Calibri"/>
          <w:vertAlign w:val="superscript"/>
        </w:rPr>
        <w:footnoteReference w:id="8"/>
      </w:r>
      <w:r w:rsidRPr="00732F1E">
        <w:rPr>
          <w:rFonts w:eastAsiaTheme="minorHAnsi" w:cs="Calibri"/>
        </w:rPr>
        <w:t>.</w:t>
      </w:r>
    </w:p>
    <w:p w14:paraId="0A5B73EC" w14:textId="77777777" w:rsidR="008465AF" w:rsidRDefault="008465AF" w:rsidP="00732F1E">
      <w:pPr>
        <w:spacing w:after="0"/>
        <w:jc w:val="both"/>
        <w:rPr>
          <w:rFonts w:asciiTheme="minorHAnsi" w:hAnsiTheme="minorHAnsi" w:cstheme="minorHAnsi"/>
        </w:rPr>
      </w:pPr>
      <w:r w:rsidRPr="002F4E8A">
        <w:rPr>
          <w:rFonts w:asciiTheme="minorHAnsi" w:hAnsiTheme="minorHAnsi" w:cstheme="minorHAnsi"/>
        </w:rPr>
        <w:lastRenderedPageBreak/>
        <w:t>Výběr položek účetní závěrky byl proveden se zaměřením na vyhodnocená rizika nesprávnosti vykázaných údajů.</w:t>
      </w:r>
    </w:p>
    <w:p w14:paraId="717ACFAA" w14:textId="77777777" w:rsidR="00B91CD4" w:rsidRPr="002F4E8A" w:rsidRDefault="00B91CD4" w:rsidP="00732F1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F7DB009" w14:textId="20E5337E" w:rsidR="00960425" w:rsidRDefault="00960425" w:rsidP="00732F1E">
      <w:pPr>
        <w:spacing w:after="0"/>
        <w:jc w:val="both"/>
        <w:rPr>
          <w:rFonts w:asciiTheme="minorHAnsi" w:eastAsiaTheme="minorHAnsi" w:hAnsiTheme="minorHAnsi" w:cstheme="minorHAnsi"/>
        </w:rPr>
      </w:pPr>
      <w:r w:rsidRPr="002F4E8A">
        <w:rPr>
          <w:rFonts w:asciiTheme="minorHAnsi" w:eastAsiaTheme="minorHAnsi" w:hAnsiTheme="minorHAnsi" w:cstheme="minorHAnsi"/>
        </w:rPr>
        <w:t xml:space="preserve">U relevantních transakcí byl prověřován soulad s vybranými ustanoveními dalších právních předpisů, a to zejména s ustanoveními </w:t>
      </w:r>
      <w:r w:rsidR="00C4497E">
        <w:rPr>
          <w:rFonts w:asciiTheme="minorHAnsi" w:eastAsiaTheme="minorHAnsi" w:hAnsiTheme="minorHAnsi" w:cstheme="minorHAnsi"/>
        </w:rPr>
        <w:t>rozpočtových pravidel</w:t>
      </w:r>
      <w:r w:rsidRPr="002F4E8A">
        <w:rPr>
          <w:rFonts w:asciiTheme="minorHAnsi" w:eastAsiaTheme="minorHAnsi" w:hAnsiTheme="minorHAnsi" w:cstheme="minorHAnsi"/>
        </w:rPr>
        <w:t>, zákona</w:t>
      </w:r>
      <w:r w:rsidR="00A84CBF">
        <w:rPr>
          <w:rFonts w:asciiTheme="minorHAnsi" w:eastAsiaTheme="minorHAnsi" w:hAnsiTheme="minorHAnsi" w:cstheme="minorHAnsi"/>
        </w:rPr>
        <w:t xml:space="preserve"> </w:t>
      </w:r>
      <w:r w:rsidRPr="002F4E8A">
        <w:rPr>
          <w:rFonts w:asciiTheme="minorHAnsi" w:eastAsiaTheme="minorHAnsi" w:hAnsiTheme="minorHAnsi" w:cstheme="minorHAnsi"/>
        </w:rPr>
        <w:t>o majetku</w:t>
      </w:r>
      <w:r w:rsidR="008617E1">
        <w:rPr>
          <w:rFonts w:asciiTheme="minorHAnsi" w:eastAsiaTheme="minorHAnsi" w:hAnsiTheme="minorHAnsi" w:cstheme="minorHAnsi"/>
        </w:rPr>
        <w:t> ČR</w:t>
      </w:r>
      <w:r w:rsidR="00A84CBF">
        <w:rPr>
          <w:rFonts w:asciiTheme="minorHAnsi" w:eastAsiaTheme="minorHAnsi" w:hAnsiTheme="minorHAnsi" w:cstheme="minorHAnsi"/>
        </w:rPr>
        <w:t xml:space="preserve"> </w:t>
      </w:r>
      <w:r w:rsidRPr="002F4E8A">
        <w:rPr>
          <w:rFonts w:asciiTheme="minorHAnsi" w:eastAsiaTheme="minorHAnsi" w:hAnsiTheme="minorHAnsi" w:cstheme="minorHAnsi"/>
        </w:rPr>
        <w:t>a</w:t>
      </w:r>
      <w:r w:rsidR="008617E1">
        <w:rPr>
          <w:rFonts w:asciiTheme="minorHAnsi" w:eastAsiaTheme="minorHAnsi" w:hAnsiTheme="minorHAnsi" w:cstheme="minorHAnsi"/>
        </w:rPr>
        <w:t> </w:t>
      </w:r>
      <w:r w:rsidRPr="002F4E8A">
        <w:rPr>
          <w:rFonts w:asciiTheme="minorHAnsi" w:eastAsiaTheme="minorHAnsi" w:hAnsiTheme="minorHAnsi" w:cstheme="minorHAnsi"/>
        </w:rPr>
        <w:t>prováděcí vyhlášky k tomuto zákonu č. 62/2001 Sb., o hospodaření organizačních složek státu a státních organizací s majetkem státu.</w:t>
      </w:r>
    </w:p>
    <w:p w14:paraId="63D705BC" w14:textId="77777777" w:rsidR="002F4E8A" w:rsidRPr="002F4E8A" w:rsidRDefault="002F4E8A" w:rsidP="00732F1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4B03ED8A" w14:textId="77777777" w:rsidR="008F46EE" w:rsidRPr="002F4E8A" w:rsidRDefault="008F46EE" w:rsidP="00732F1E">
      <w:pPr>
        <w:spacing w:after="0"/>
        <w:jc w:val="both"/>
        <w:rPr>
          <w:rFonts w:asciiTheme="minorHAnsi" w:eastAsiaTheme="minorHAnsi" w:hAnsiTheme="minorHAnsi" w:cstheme="minorHAnsi"/>
        </w:rPr>
      </w:pPr>
      <w:r w:rsidRPr="002F4E8A">
        <w:rPr>
          <w:rFonts w:asciiTheme="minorHAnsi" w:eastAsiaTheme="minorHAnsi" w:hAnsiTheme="minorHAnsi" w:cstheme="minorHAnsi"/>
        </w:rPr>
        <w:t>V</w:t>
      </w:r>
      <w:r w:rsidR="00E91FF5" w:rsidRPr="002F4E8A">
        <w:rPr>
          <w:rFonts w:asciiTheme="minorHAnsi" w:eastAsiaTheme="minorHAnsi" w:hAnsiTheme="minorHAnsi" w:cstheme="minorHAnsi"/>
        </w:rPr>
        <w:t> </w:t>
      </w:r>
      <w:r w:rsidRPr="002F4E8A">
        <w:rPr>
          <w:rFonts w:asciiTheme="minorHAnsi" w:eastAsiaTheme="minorHAnsi" w:hAnsiTheme="minorHAnsi" w:cstheme="minorHAnsi"/>
        </w:rPr>
        <w:t>případě</w:t>
      </w:r>
      <w:r w:rsidR="00E91FF5" w:rsidRPr="002F4E8A">
        <w:rPr>
          <w:rFonts w:asciiTheme="minorHAnsi" w:eastAsiaTheme="minorHAnsi" w:hAnsiTheme="minorHAnsi" w:cstheme="minorHAnsi"/>
        </w:rPr>
        <w:t xml:space="preserve"> nově</w:t>
      </w:r>
      <w:r w:rsidRPr="002F4E8A">
        <w:rPr>
          <w:rFonts w:asciiTheme="minorHAnsi" w:eastAsiaTheme="minorHAnsi" w:hAnsiTheme="minorHAnsi" w:cstheme="minorHAnsi"/>
        </w:rPr>
        <w:t xml:space="preserve"> uzavřených smluv bylo ověřováno </w:t>
      </w:r>
      <w:r w:rsidR="00E91FF5" w:rsidRPr="002F4E8A">
        <w:rPr>
          <w:rFonts w:asciiTheme="minorHAnsi" w:eastAsiaTheme="minorHAnsi" w:hAnsiTheme="minorHAnsi" w:cstheme="minorHAnsi"/>
        </w:rPr>
        <w:t>jejich uveřejn</w:t>
      </w:r>
      <w:r w:rsidR="00CD2142" w:rsidRPr="002F4E8A">
        <w:rPr>
          <w:rFonts w:asciiTheme="minorHAnsi" w:eastAsiaTheme="minorHAnsi" w:hAnsiTheme="minorHAnsi" w:cstheme="minorHAnsi"/>
        </w:rPr>
        <w:t>ění v registru smluv dle zákona</w:t>
      </w:r>
      <w:r w:rsidR="00A84CBF">
        <w:rPr>
          <w:rFonts w:asciiTheme="minorHAnsi" w:eastAsiaTheme="minorHAnsi" w:hAnsiTheme="minorHAnsi" w:cstheme="minorHAnsi"/>
        </w:rPr>
        <w:t xml:space="preserve"> č. 340/2015 Sb., o zvláštních podmínkách účinnosti některých smluv, uveřejňování těchto smluv</w:t>
      </w:r>
      <w:r w:rsidR="00CD2142" w:rsidRPr="002F4E8A">
        <w:rPr>
          <w:rFonts w:asciiTheme="minorHAnsi" w:eastAsiaTheme="minorHAnsi" w:hAnsiTheme="minorHAnsi" w:cstheme="minorHAnsi"/>
        </w:rPr>
        <w:t xml:space="preserve"> </w:t>
      </w:r>
      <w:r w:rsidR="00A84CBF">
        <w:rPr>
          <w:rFonts w:asciiTheme="minorHAnsi" w:eastAsiaTheme="minorHAnsi" w:hAnsiTheme="minorHAnsi" w:cstheme="minorHAnsi"/>
        </w:rPr>
        <w:t xml:space="preserve">a </w:t>
      </w:r>
      <w:r w:rsidR="00E91FF5" w:rsidRPr="002F4E8A">
        <w:rPr>
          <w:rFonts w:asciiTheme="minorHAnsi" w:eastAsiaTheme="minorHAnsi" w:hAnsiTheme="minorHAnsi" w:cstheme="minorHAnsi"/>
        </w:rPr>
        <w:t xml:space="preserve">o registru </w:t>
      </w:r>
      <w:r w:rsidR="00E91FF5" w:rsidRPr="00F57E70">
        <w:rPr>
          <w:rFonts w:asciiTheme="minorHAnsi" w:eastAsiaTheme="minorHAnsi" w:hAnsiTheme="minorHAnsi" w:cstheme="minorHAnsi"/>
        </w:rPr>
        <w:t>smluv</w:t>
      </w:r>
      <w:r w:rsidR="00A84CBF" w:rsidRPr="00F57E70">
        <w:rPr>
          <w:rFonts w:asciiTheme="minorHAnsi" w:eastAsiaTheme="minorHAnsi" w:hAnsiTheme="minorHAnsi" w:cstheme="minorHAnsi"/>
        </w:rPr>
        <w:t xml:space="preserve"> (zákon o registru smluv)</w:t>
      </w:r>
      <w:r w:rsidR="00E91FF5" w:rsidRPr="00F57E70">
        <w:rPr>
          <w:rFonts w:asciiTheme="minorHAnsi" w:eastAsiaTheme="minorHAnsi" w:hAnsiTheme="minorHAnsi" w:cstheme="minorHAnsi"/>
        </w:rPr>
        <w:t>.</w:t>
      </w:r>
    </w:p>
    <w:p w14:paraId="70BCA4B7" w14:textId="77777777" w:rsidR="002F4E8A" w:rsidRPr="007E582E" w:rsidRDefault="002F4E8A" w:rsidP="00732F1E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2FA10EC1" w14:textId="42698B21" w:rsidR="00BE3057" w:rsidRPr="002F4E8A" w:rsidRDefault="00960425" w:rsidP="00732F1E">
      <w:pPr>
        <w:spacing w:after="0"/>
        <w:jc w:val="both"/>
        <w:rPr>
          <w:rFonts w:asciiTheme="minorHAnsi" w:eastAsiaTheme="minorHAnsi" w:hAnsiTheme="minorHAnsi" w:cstheme="minorHAnsi"/>
        </w:rPr>
      </w:pPr>
      <w:r w:rsidRPr="002F4E8A">
        <w:rPr>
          <w:rFonts w:asciiTheme="minorHAnsi" w:eastAsiaTheme="minorHAnsi" w:hAnsiTheme="minorHAnsi" w:cstheme="minorHAnsi"/>
        </w:rPr>
        <w:t>Prověřován byl i soulad nastavení vnitřního kontrolního systému MS Praha se zákonem o</w:t>
      </w:r>
      <w:r w:rsidR="00E23B56">
        <w:rPr>
          <w:rFonts w:asciiTheme="minorHAnsi" w:eastAsiaTheme="minorHAnsi" w:hAnsiTheme="minorHAnsi" w:cstheme="minorHAnsi"/>
        </w:rPr>
        <w:t> </w:t>
      </w:r>
      <w:r w:rsidRPr="002F4E8A">
        <w:rPr>
          <w:rFonts w:asciiTheme="minorHAnsi" w:eastAsiaTheme="minorHAnsi" w:hAnsiTheme="minorHAnsi" w:cstheme="minorHAnsi"/>
        </w:rPr>
        <w:t>finanční kontrole a jeho prováděcí vyhláškou č. 416/2004 Sb., kterou se provádí zákon č.</w:t>
      </w:r>
      <w:r w:rsidR="00E23B56">
        <w:rPr>
          <w:rFonts w:asciiTheme="minorHAnsi" w:eastAsiaTheme="minorHAnsi" w:hAnsiTheme="minorHAnsi" w:cstheme="minorHAnsi"/>
        </w:rPr>
        <w:t> </w:t>
      </w:r>
      <w:r w:rsidRPr="002F4E8A">
        <w:rPr>
          <w:rFonts w:asciiTheme="minorHAnsi" w:eastAsiaTheme="minorHAnsi" w:hAnsiTheme="minorHAnsi" w:cstheme="minorHAnsi"/>
        </w:rPr>
        <w:t>320/2001 Sb., o finanční kontrole ve veřejné správě a o změně některých zákonů (zákon o</w:t>
      </w:r>
      <w:r w:rsidR="00E23B56">
        <w:rPr>
          <w:rFonts w:asciiTheme="minorHAnsi" w:eastAsiaTheme="minorHAnsi" w:hAnsiTheme="minorHAnsi" w:cstheme="minorHAnsi"/>
        </w:rPr>
        <w:t> </w:t>
      </w:r>
      <w:r w:rsidRPr="002F4E8A">
        <w:rPr>
          <w:rFonts w:asciiTheme="minorHAnsi" w:eastAsiaTheme="minorHAnsi" w:hAnsiTheme="minorHAnsi" w:cstheme="minorHAnsi"/>
        </w:rPr>
        <w:t>finanční kontrole), ve znění zákona č. 309/2002 Sb., zákona č. 320/2002 Sb. a zákona č.</w:t>
      </w:r>
      <w:r w:rsidR="00E23B56">
        <w:rPr>
          <w:rFonts w:asciiTheme="minorHAnsi" w:eastAsiaTheme="minorHAnsi" w:hAnsiTheme="minorHAnsi" w:cstheme="minorHAnsi"/>
        </w:rPr>
        <w:t> </w:t>
      </w:r>
      <w:r w:rsidRPr="002F4E8A">
        <w:rPr>
          <w:rFonts w:asciiTheme="minorHAnsi" w:eastAsiaTheme="minorHAnsi" w:hAnsiTheme="minorHAnsi" w:cstheme="minorHAnsi"/>
        </w:rPr>
        <w:t>123/2003 Sb., a to v rozsahu stanoveného předmětu a cíle kontrolní akce. U vybraných transakcí byla prověřována i funkčnost vnitřního kontrolního systému.</w:t>
      </w:r>
    </w:p>
    <w:p w14:paraId="27E947FE" w14:textId="6F4D15BD" w:rsidR="00BE3057" w:rsidRDefault="00BE3057" w:rsidP="00473E1C">
      <w:pPr>
        <w:spacing w:after="0"/>
        <w:rPr>
          <w:rFonts w:asciiTheme="minorHAnsi" w:eastAsiaTheme="minorHAnsi" w:hAnsiTheme="minorHAnsi" w:cstheme="minorHAnsi"/>
          <w:szCs w:val="28"/>
        </w:rPr>
      </w:pPr>
    </w:p>
    <w:p w14:paraId="7B47F954" w14:textId="77777777" w:rsidR="00473E1C" w:rsidRPr="00473E1C" w:rsidRDefault="00473E1C" w:rsidP="00473E1C">
      <w:pPr>
        <w:spacing w:after="0"/>
        <w:rPr>
          <w:rFonts w:asciiTheme="minorHAnsi" w:eastAsiaTheme="minorHAnsi" w:hAnsiTheme="minorHAnsi" w:cstheme="minorHAnsi"/>
          <w:szCs w:val="28"/>
        </w:rPr>
      </w:pPr>
    </w:p>
    <w:p w14:paraId="086AE8DA" w14:textId="0F9A277B" w:rsidR="0033466E" w:rsidRPr="002F4E8A" w:rsidRDefault="008F4798" w:rsidP="00E82CE8">
      <w:pPr>
        <w:pStyle w:val="Nadpis1"/>
        <w:spacing w:after="0" w:line="240" w:lineRule="auto"/>
      </w:pPr>
      <w:r w:rsidRPr="002F4E8A">
        <w:t>IV</w:t>
      </w:r>
      <w:r w:rsidR="0033466E" w:rsidRPr="002F4E8A">
        <w:t xml:space="preserve">. Podrobné </w:t>
      </w:r>
      <w:r w:rsidRPr="002F4E8A">
        <w:t>skutečnosti</w:t>
      </w:r>
      <w:r w:rsidR="0033466E" w:rsidRPr="002F4E8A">
        <w:t xml:space="preserve"> </w:t>
      </w:r>
      <w:r w:rsidRPr="002F4E8A">
        <w:t>z</w:t>
      </w:r>
      <w:r w:rsidR="0033466E" w:rsidRPr="002F4E8A">
        <w:t>jištěn</w:t>
      </w:r>
      <w:r w:rsidRPr="002F4E8A">
        <w:t>é</w:t>
      </w:r>
      <w:r w:rsidR="0033466E" w:rsidRPr="002F4E8A">
        <w:t xml:space="preserve"> </w:t>
      </w:r>
      <w:r w:rsidRPr="002F4E8A">
        <w:t>kontrolou</w:t>
      </w:r>
    </w:p>
    <w:p w14:paraId="0873984A" w14:textId="77777777" w:rsidR="009E775D" w:rsidRDefault="009E775D" w:rsidP="00E82CE8">
      <w:pPr>
        <w:spacing w:after="0"/>
        <w:jc w:val="both"/>
        <w:rPr>
          <w:highlight w:val="yellow"/>
          <w:lang w:eastAsia="cs-CZ"/>
        </w:rPr>
      </w:pPr>
    </w:p>
    <w:p w14:paraId="55A5FEFC" w14:textId="77777777" w:rsidR="00E82CE8" w:rsidRDefault="00866ED0" w:rsidP="00D63DD7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1</w:t>
      </w:r>
      <w:r w:rsidR="00E82CE8">
        <w:rPr>
          <w:rFonts w:asciiTheme="minorHAnsi" w:eastAsiaTheme="minorHAnsi" w:hAnsiTheme="minorHAnsi" w:cstheme="minorHAnsi"/>
          <w:b/>
        </w:rPr>
        <w:t xml:space="preserve">. Nesprávnosti </w:t>
      </w:r>
      <w:r w:rsidR="006E4932">
        <w:rPr>
          <w:rFonts w:asciiTheme="minorHAnsi" w:eastAsiaTheme="minorHAnsi" w:hAnsiTheme="minorHAnsi" w:cstheme="minorHAnsi"/>
          <w:b/>
        </w:rPr>
        <w:t>zjištěné v účetnictví a v účetní závěrce</w:t>
      </w:r>
    </w:p>
    <w:p w14:paraId="5C33FAE9" w14:textId="77777777" w:rsidR="00CE1822" w:rsidRDefault="00CE1822" w:rsidP="00D63DD7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512DB607" w14:textId="77777777" w:rsidR="00264822" w:rsidRDefault="00866ED0" w:rsidP="00D63DD7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1</w:t>
      </w:r>
      <w:r w:rsidR="004D3724" w:rsidRPr="007B2E2B">
        <w:rPr>
          <w:rFonts w:asciiTheme="minorHAnsi" w:eastAsiaTheme="minorHAnsi" w:hAnsiTheme="minorHAnsi" w:cstheme="minorHAnsi"/>
          <w:b/>
        </w:rPr>
        <w:t>.1</w:t>
      </w:r>
      <w:r w:rsidR="004D3724">
        <w:rPr>
          <w:rFonts w:asciiTheme="minorHAnsi" w:eastAsiaTheme="minorHAnsi" w:hAnsiTheme="minorHAnsi" w:cstheme="minorHAnsi"/>
          <w:b/>
        </w:rPr>
        <w:t xml:space="preserve"> Neúčtování o</w:t>
      </w:r>
      <w:r w:rsidR="00EF7CB3">
        <w:rPr>
          <w:rFonts w:asciiTheme="minorHAnsi" w:eastAsiaTheme="minorHAnsi" w:hAnsiTheme="minorHAnsi" w:cstheme="minorHAnsi"/>
          <w:b/>
        </w:rPr>
        <w:t xml:space="preserve"> některých</w:t>
      </w:r>
      <w:r w:rsidR="004D3724">
        <w:rPr>
          <w:rFonts w:asciiTheme="minorHAnsi" w:eastAsiaTheme="minorHAnsi" w:hAnsiTheme="minorHAnsi" w:cstheme="minorHAnsi"/>
          <w:b/>
        </w:rPr>
        <w:t xml:space="preserve"> nákladech</w:t>
      </w:r>
      <w:r w:rsidR="00EF7CB3">
        <w:rPr>
          <w:rFonts w:asciiTheme="minorHAnsi" w:eastAsiaTheme="minorHAnsi" w:hAnsiTheme="minorHAnsi" w:cstheme="minorHAnsi"/>
          <w:b/>
        </w:rPr>
        <w:t xml:space="preserve"> a závazcích</w:t>
      </w:r>
      <w:r w:rsidR="004D3724">
        <w:rPr>
          <w:rFonts w:asciiTheme="minorHAnsi" w:eastAsiaTheme="minorHAnsi" w:hAnsiTheme="minorHAnsi" w:cstheme="minorHAnsi"/>
          <w:b/>
        </w:rPr>
        <w:t xml:space="preserve"> na akruálním principu</w:t>
      </w:r>
    </w:p>
    <w:p w14:paraId="61AD0E45" w14:textId="77777777" w:rsidR="00EC3392" w:rsidRPr="00D0424A" w:rsidRDefault="00EC3392" w:rsidP="00D63DD7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47096434" w14:textId="23074404" w:rsidR="004D3724" w:rsidRPr="00E014D6" w:rsidRDefault="00AF759F" w:rsidP="00D63DD7">
      <w:pPr>
        <w:spacing w:after="0"/>
        <w:jc w:val="both"/>
        <w:rPr>
          <w:rFonts w:cs="Calibri"/>
        </w:rPr>
      </w:pPr>
      <w:r>
        <w:rPr>
          <w:rFonts w:asciiTheme="minorHAnsi" w:eastAsiaTheme="minorHAnsi" w:hAnsiTheme="minorHAnsi" w:cstheme="minorHAnsi"/>
        </w:rPr>
        <w:t xml:space="preserve">MS Praha ustanovuje obviněnému obhájce, pokud obviněný nemá obhájce vlastního nebo mu ho nezvolila jiná oprávněná osoba. </w:t>
      </w:r>
      <w:r w:rsidR="004C2CD7">
        <w:rPr>
          <w:rFonts w:asciiTheme="minorHAnsi" w:eastAsiaTheme="minorHAnsi" w:hAnsiTheme="minorHAnsi" w:cstheme="minorHAnsi"/>
        </w:rPr>
        <w:t>Soudního řízení se mohou účastnit další osoby na řízení zúčastněné např. znalci, tlumočníci, svědci.</w:t>
      </w:r>
      <w:r w:rsidR="007270E7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Nemá-li obviněný nárok na bezplatnou obhajobu nebo obhajobu za sníženou odměnu, je zásadně povinen státu uhradit tyto náklady. V prvopočátku však náklady </w:t>
      </w:r>
      <w:r w:rsidR="003D0DA2">
        <w:rPr>
          <w:rFonts w:asciiTheme="minorHAnsi" w:eastAsiaTheme="minorHAnsi" w:hAnsiTheme="minorHAnsi" w:cstheme="minorHAnsi"/>
        </w:rPr>
        <w:t>nese MS Praha.</w:t>
      </w:r>
      <w:r w:rsidR="007270E7">
        <w:rPr>
          <w:rFonts w:asciiTheme="minorHAnsi" w:eastAsiaTheme="minorHAnsi" w:hAnsiTheme="minorHAnsi" w:cstheme="minorHAnsi"/>
        </w:rPr>
        <w:t xml:space="preserve"> </w:t>
      </w:r>
      <w:r w:rsidR="0022092E">
        <w:rPr>
          <w:rFonts w:asciiTheme="minorHAnsi" w:eastAsiaTheme="minorHAnsi" w:hAnsiTheme="minorHAnsi" w:cstheme="minorHAnsi"/>
        </w:rPr>
        <w:t xml:space="preserve">MS Praha </w:t>
      </w:r>
      <w:r w:rsidR="00B66344">
        <w:rPr>
          <w:rFonts w:asciiTheme="minorHAnsi" w:eastAsiaTheme="minorHAnsi" w:hAnsiTheme="minorHAnsi" w:cstheme="minorHAnsi"/>
        </w:rPr>
        <w:t xml:space="preserve">může </w:t>
      </w:r>
      <w:r w:rsidR="004C2CD7">
        <w:rPr>
          <w:rFonts w:asciiTheme="minorHAnsi" w:eastAsiaTheme="minorHAnsi" w:hAnsiTheme="minorHAnsi" w:cstheme="minorHAnsi"/>
        </w:rPr>
        <w:t>obhájcům, resp. advokátům</w:t>
      </w:r>
      <w:r w:rsidR="0022092E">
        <w:rPr>
          <w:rFonts w:asciiTheme="minorHAnsi" w:eastAsiaTheme="minorHAnsi" w:hAnsiTheme="minorHAnsi" w:cstheme="minorHAnsi"/>
        </w:rPr>
        <w:t xml:space="preserve"> </w:t>
      </w:r>
      <w:r w:rsidR="00B66344">
        <w:rPr>
          <w:rFonts w:asciiTheme="minorHAnsi" w:eastAsiaTheme="minorHAnsi" w:hAnsiTheme="minorHAnsi" w:cstheme="minorHAnsi"/>
        </w:rPr>
        <w:t xml:space="preserve">poskytovat </w:t>
      </w:r>
      <w:r w:rsidR="0022092E">
        <w:rPr>
          <w:rFonts w:asciiTheme="minorHAnsi" w:eastAsiaTheme="minorHAnsi" w:hAnsiTheme="minorHAnsi" w:cstheme="minorHAnsi"/>
        </w:rPr>
        <w:t>v odůvodněných případech v průběhu řízení zálohy na již vynaložené výdaje a na odměnu za již provedené úkony, a to ve smyslu § 151 odst. 3 trestního řádu nebo § 140 odst.</w:t>
      </w:r>
      <w:r w:rsidR="00356B49">
        <w:rPr>
          <w:rFonts w:asciiTheme="minorHAnsi" w:eastAsiaTheme="minorHAnsi" w:hAnsiTheme="minorHAnsi" w:cstheme="minorHAnsi"/>
        </w:rPr>
        <w:t> </w:t>
      </w:r>
      <w:r w:rsidR="0022092E">
        <w:rPr>
          <w:rFonts w:asciiTheme="minorHAnsi" w:eastAsiaTheme="minorHAnsi" w:hAnsiTheme="minorHAnsi" w:cstheme="minorHAnsi"/>
        </w:rPr>
        <w:t xml:space="preserve">2 občanského soudního řádu. </w:t>
      </w:r>
      <w:r w:rsidR="003D0DA2">
        <w:rPr>
          <w:rFonts w:asciiTheme="minorHAnsi" w:eastAsiaTheme="minorHAnsi" w:hAnsiTheme="minorHAnsi" w:cstheme="minorHAnsi"/>
        </w:rPr>
        <w:t xml:space="preserve">MS Praha účtuje o všech nákladech z titulu odměn a náhrad výdajů jako o nákladech MS Praha, a to ke dni nabytí právní moci usnesení o přiznání odměny a náhrady výdajů. Tento okamžik však není okamžikem jejich skutečného vzniku. Náklady MS Praha vznikají </w:t>
      </w:r>
      <w:r w:rsidR="004C2CD7">
        <w:rPr>
          <w:rFonts w:asciiTheme="minorHAnsi" w:eastAsiaTheme="minorHAnsi" w:hAnsiTheme="minorHAnsi" w:cstheme="minorHAnsi"/>
        </w:rPr>
        <w:t xml:space="preserve">postupně </w:t>
      </w:r>
      <w:r w:rsidR="003D0DA2">
        <w:rPr>
          <w:rFonts w:asciiTheme="minorHAnsi" w:eastAsiaTheme="minorHAnsi" w:hAnsiTheme="minorHAnsi" w:cstheme="minorHAnsi"/>
        </w:rPr>
        <w:t>v průběhu soudního řízení.</w:t>
      </w:r>
      <w:r w:rsidR="00FD27D2">
        <w:rPr>
          <w:rFonts w:asciiTheme="minorHAnsi" w:eastAsiaTheme="minorHAnsi" w:hAnsiTheme="minorHAnsi" w:cstheme="minorHAnsi"/>
        </w:rPr>
        <w:t xml:space="preserve"> </w:t>
      </w:r>
      <w:r w:rsidR="00FD27D2" w:rsidRPr="00BC74A1">
        <w:rPr>
          <w:rFonts w:asciiTheme="minorHAnsi" w:eastAsiaTheme="minorHAnsi" w:hAnsiTheme="minorHAnsi" w:cstheme="minorHAnsi"/>
          <w:b/>
        </w:rPr>
        <w:t>MS Praha</w:t>
      </w:r>
      <w:r w:rsidR="00FD27D2">
        <w:rPr>
          <w:rFonts w:asciiTheme="minorHAnsi" w:eastAsiaTheme="minorHAnsi" w:hAnsiTheme="minorHAnsi" w:cstheme="minorHAnsi"/>
        </w:rPr>
        <w:t xml:space="preserve"> tak účtuje a následně </w:t>
      </w:r>
      <w:r w:rsidR="00FD27D2" w:rsidRPr="00BC74A1">
        <w:rPr>
          <w:rFonts w:asciiTheme="minorHAnsi" w:eastAsiaTheme="minorHAnsi" w:hAnsiTheme="minorHAnsi" w:cstheme="minorHAnsi"/>
          <w:b/>
        </w:rPr>
        <w:t>vykazuje v ÚZ náklady</w:t>
      </w:r>
      <w:r w:rsidR="00FD27D2">
        <w:rPr>
          <w:rFonts w:asciiTheme="minorHAnsi" w:eastAsiaTheme="minorHAnsi" w:hAnsiTheme="minorHAnsi" w:cstheme="minorHAnsi"/>
        </w:rPr>
        <w:t xml:space="preserve"> z titulu odměn a náhrad hotových výdajů obhájcům, soudním znalcům, tlumočníkům a dalším </w:t>
      </w:r>
      <w:r w:rsidR="00E05A5B">
        <w:rPr>
          <w:rFonts w:asciiTheme="minorHAnsi" w:eastAsiaTheme="minorHAnsi" w:hAnsiTheme="minorHAnsi" w:cstheme="minorHAnsi"/>
        </w:rPr>
        <w:t xml:space="preserve">osobám zúčastněným na soudním </w:t>
      </w:r>
      <w:r w:rsidR="00FD27D2">
        <w:rPr>
          <w:rFonts w:asciiTheme="minorHAnsi" w:eastAsiaTheme="minorHAnsi" w:hAnsiTheme="minorHAnsi" w:cstheme="minorHAnsi"/>
        </w:rPr>
        <w:t xml:space="preserve">řízení </w:t>
      </w:r>
      <w:r w:rsidR="00FD27D2" w:rsidRPr="00BC74A1">
        <w:rPr>
          <w:rFonts w:asciiTheme="minorHAnsi" w:eastAsiaTheme="minorHAnsi" w:hAnsiTheme="minorHAnsi" w:cstheme="minorHAnsi"/>
          <w:b/>
        </w:rPr>
        <w:t>nikoliv na základě akruálního principu</w:t>
      </w:r>
      <w:r w:rsidR="00FD27D2">
        <w:rPr>
          <w:rFonts w:asciiTheme="minorHAnsi" w:eastAsiaTheme="minorHAnsi" w:hAnsiTheme="minorHAnsi" w:cstheme="minorHAnsi"/>
        </w:rPr>
        <w:t>, ale spíše na bázi peněžní</w:t>
      </w:r>
      <w:r w:rsidR="00EE6639">
        <w:rPr>
          <w:rFonts w:asciiTheme="minorHAnsi" w:eastAsiaTheme="minorHAnsi" w:hAnsiTheme="minorHAnsi" w:cstheme="minorHAnsi"/>
        </w:rPr>
        <w:t>. Tzn. k účtování nákladů a závazků nedochází na MS Praha v okamžiku jejich vzniku, ale nesprávně až při jejich úhradě</w:t>
      </w:r>
      <w:r w:rsidR="00FD27D2" w:rsidRPr="00FD27D2">
        <w:rPr>
          <w:rFonts w:asciiTheme="minorHAnsi" w:eastAsiaTheme="minorHAnsi" w:hAnsiTheme="minorHAnsi" w:cstheme="minorHAnsi"/>
        </w:rPr>
        <w:t xml:space="preserve">. </w:t>
      </w:r>
      <w:r w:rsidR="00FD27D2" w:rsidRPr="00BC74A1">
        <w:rPr>
          <w:rFonts w:cs="Calibri"/>
          <w:b/>
        </w:rPr>
        <w:t xml:space="preserve">Jedná se o nedostatek systémového charakteru, který má vliv nejen na údaje vykazované v účetní závěrce MS Praha k 31. </w:t>
      </w:r>
      <w:r w:rsidR="00B66344">
        <w:rPr>
          <w:rFonts w:cs="Calibri"/>
          <w:b/>
        </w:rPr>
        <w:t>prosinci</w:t>
      </w:r>
      <w:r w:rsidR="00FD27D2" w:rsidRPr="00BC74A1">
        <w:rPr>
          <w:rFonts w:cs="Calibri"/>
          <w:b/>
        </w:rPr>
        <w:t xml:space="preserve"> 2017, ale i v účetních závěrkách předešlých.</w:t>
      </w:r>
      <w:r w:rsidR="00FD27D2" w:rsidRPr="00FD27D2">
        <w:rPr>
          <w:rFonts w:cs="Calibri"/>
        </w:rPr>
        <w:t xml:space="preserve"> V průběhu soudních řízení vznikají MS Praha </w:t>
      </w:r>
      <w:r w:rsidR="00FD27D2" w:rsidRPr="00BC74A1">
        <w:rPr>
          <w:rFonts w:cs="Calibri"/>
          <w:b/>
        </w:rPr>
        <w:t>náklady a</w:t>
      </w:r>
      <w:r w:rsidR="00FD27D2" w:rsidRPr="00FD27D2">
        <w:rPr>
          <w:rFonts w:cs="Calibri"/>
        </w:rPr>
        <w:t xml:space="preserve"> především </w:t>
      </w:r>
      <w:r w:rsidR="00FD27D2" w:rsidRPr="00BC74A1">
        <w:rPr>
          <w:rFonts w:cs="Calibri"/>
          <w:b/>
        </w:rPr>
        <w:t>závazky</w:t>
      </w:r>
      <w:r w:rsidR="00FD27D2" w:rsidRPr="00875E88">
        <w:rPr>
          <w:rFonts w:cs="Calibri"/>
          <w:b/>
        </w:rPr>
        <w:t>,</w:t>
      </w:r>
      <w:r w:rsidR="00FD27D2" w:rsidRPr="00FD27D2">
        <w:rPr>
          <w:rFonts w:cs="Calibri"/>
        </w:rPr>
        <w:t xml:space="preserve"> které </w:t>
      </w:r>
      <w:r w:rsidR="00FD27D2" w:rsidRPr="00BC74A1">
        <w:rPr>
          <w:rFonts w:cs="Calibri"/>
          <w:b/>
        </w:rPr>
        <w:t>se</w:t>
      </w:r>
      <w:r w:rsidR="00FD27D2" w:rsidRPr="00FD27D2">
        <w:rPr>
          <w:rFonts w:cs="Calibri"/>
        </w:rPr>
        <w:t xml:space="preserve"> vlivem nesprávně nastavených </w:t>
      </w:r>
      <w:r w:rsidR="00FD27D2" w:rsidRPr="00FD27D2">
        <w:rPr>
          <w:rFonts w:cs="Calibri"/>
        </w:rPr>
        <w:lastRenderedPageBreak/>
        <w:t xml:space="preserve">účetních postupů </w:t>
      </w:r>
      <w:r w:rsidR="00FD27D2" w:rsidRPr="00BC74A1">
        <w:rPr>
          <w:rFonts w:cs="Calibri"/>
          <w:b/>
        </w:rPr>
        <w:t>nepromítají do účetních závěrek MS Praha průběžně v okamžiku jejich vzniku</w:t>
      </w:r>
      <w:r w:rsidR="00FD27D2" w:rsidRPr="00875E88">
        <w:rPr>
          <w:rFonts w:cs="Calibri"/>
          <w:b/>
        </w:rPr>
        <w:t>,</w:t>
      </w:r>
      <w:r w:rsidR="00FD27D2" w:rsidRPr="00FD27D2">
        <w:rPr>
          <w:rFonts w:cs="Calibri"/>
        </w:rPr>
        <w:t xml:space="preserve"> čímž tyto účetní závěrky nevypovídají o tom, co se v daném roce (účetním období) skutečně stalo – jaké náklady a závazky a v jaké výši MS Praha vznikly.</w:t>
      </w:r>
      <w:r w:rsidR="0022092E">
        <w:rPr>
          <w:rFonts w:cs="Calibri"/>
        </w:rPr>
        <w:t xml:space="preserve"> MS Praha by měl průběžně účtovat o nákladech a souvisejících závazcích. </w:t>
      </w:r>
      <w:r w:rsidR="005D025D">
        <w:rPr>
          <w:rFonts w:cs="Calibri"/>
        </w:rPr>
        <w:t>Skutečná</w:t>
      </w:r>
      <w:r w:rsidR="0022092E">
        <w:rPr>
          <w:rFonts w:cs="Calibri"/>
        </w:rPr>
        <w:t xml:space="preserve"> výše </w:t>
      </w:r>
      <w:r w:rsidR="005D025D">
        <w:rPr>
          <w:rFonts w:cs="Calibri"/>
        </w:rPr>
        <w:t xml:space="preserve">odměny a náhrady výdajů však může být až do okamžiku pravomocného rozhodnutí </w:t>
      </w:r>
      <w:r w:rsidR="0022092E">
        <w:rPr>
          <w:rFonts w:cs="Calibri"/>
        </w:rPr>
        <w:t>MS Praha</w:t>
      </w:r>
      <w:r w:rsidR="005D025D">
        <w:rPr>
          <w:rFonts w:cs="Calibri"/>
        </w:rPr>
        <w:t xml:space="preserve"> zpochybnitelná</w:t>
      </w:r>
      <w:r w:rsidR="00A959DB">
        <w:rPr>
          <w:rFonts w:cs="Calibri"/>
        </w:rPr>
        <w:t>,</w:t>
      </w:r>
      <w:r w:rsidR="005D025D">
        <w:rPr>
          <w:rFonts w:cs="Calibri"/>
        </w:rPr>
        <w:t xml:space="preserve"> a</w:t>
      </w:r>
      <w:r w:rsidR="00E23B56">
        <w:rPr>
          <w:rFonts w:cs="Calibri"/>
        </w:rPr>
        <w:t> </w:t>
      </w:r>
      <w:r w:rsidR="005D025D">
        <w:rPr>
          <w:rFonts w:cs="Calibri"/>
        </w:rPr>
        <w:t xml:space="preserve">proto by MS Praha měl až do tohoto okamžiku vykazovat související závazek na účtu </w:t>
      </w:r>
      <w:r w:rsidR="00BE3057">
        <w:rPr>
          <w:rFonts w:cs="Calibri"/>
        </w:rPr>
        <w:br/>
      </w:r>
      <w:r w:rsidR="0022092E">
        <w:rPr>
          <w:rFonts w:cs="Calibri"/>
        </w:rPr>
        <w:t xml:space="preserve">389 – </w:t>
      </w:r>
      <w:r w:rsidR="0022092E" w:rsidRPr="0022092E">
        <w:rPr>
          <w:rFonts w:cs="Calibri"/>
          <w:i/>
        </w:rPr>
        <w:t>Dohadné účty pasivní</w:t>
      </w:r>
      <w:r w:rsidR="005D025D">
        <w:rPr>
          <w:rFonts w:cs="Calibri"/>
        </w:rPr>
        <w:t xml:space="preserve">, který je pro tyto případy určen. </w:t>
      </w:r>
      <w:r w:rsidR="005D025D" w:rsidRPr="00814E1A">
        <w:rPr>
          <w:rFonts w:asciiTheme="minorHAnsi" w:hAnsiTheme="minorHAnsi" w:cstheme="minorHAnsi"/>
        </w:rPr>
        <w:t xml:space="preserve">Okamžik nabytí právní moci rozhodnutí MS Praha, kterým je rozhodnuto o výši odměny a náhrady výdajů, je okamžikem, kdy by měl MS Praha již účtovat o skutečné výši závazku prostřednictvím účtu </w:t>
      </w:r>
      <w:r w:rsidR="00BE3057">
        <w:rPr>
          <w:rFonts w:asciiTheme="minorHAnsi" w:hAnsiTheme="minorHAnsi" w:cstheme="minorHAnsi"/>
        </w:rPr>
        <w:br/>
      </w:r>
      <w:r w:rsidR="005D025D" w:rsidRPr="00814E1A">
        <w:rPr>
          <w:rFonts w:asciiTheme="minorHAnsi" w:hAnsiTheme="minorHAnsi" w:cstheme="minorHAnsi"/>
        </w:rPr>
        <w:t xml:space="preserve">321 – </w:t>
      </w:r>
      <w:r w:rsidR="005D025D" w:rsidRPr="00814E1A">
        <w:rPr>
          <w:rFonts w:asciiTheme="minorHAnsi" w:hAnsiTheme="minorHAnsi" w:cstheme="minorHAnsi"/>
          <w:i/>
        </w:rPr>
        <w:t>Dodavatelé</w:t>
      </w:r>
      <w:r w:rsidR="005D025D" w:rsidRPr="00814E1A">
        <w:rPr>
          <w:rFonts w:asciiTheme="minorHAnsi" w:hAnsiTheme="minorHAnsi" w:cstheme="minorHAnsi"/>
        </w:rPr>
        <w:t xml:space="preserve"> a</w:t>
      </w:r>
      <w:r w:rsidR="00E23B56">
        <w:rPr>
          <w:rFonts w:asciiTheme="minorHAnsi" w:hAnsiTheme="minorHAnsi" w:cstheme="minorHAnsi"/>
        </w:rPr>
        <w:t> </w:t>
      </w:r>
      <w:r w:rsidR="005D025D" w:rsidRPr="00814E1A">
        <w:rPr>
          <w:rFonts w:asciiTheme="minorHAnsi" w:hAnsiTheme="minorHAnsi" w:cstheme="minorHAnsi"/>
        </w:rPr>
        <w:t>o</w:t>
      </w:r>
      <w:r w:rsidR="00E23B56">
        <w:rPr>
          <w:rFonts w:asciiTheme="minorHAnsi" w:hAnsiTheme="minorHAnsi" w:cstheme="minorHAnsi"/>
        </w:rPr>
        <w:t> </w:t>
      </w:r>
      <w:r w:rsidR="005D025D" w:rsidRPr="00814E1A">
        <w:rPr>
          <w:rFonts w:asciiTheme="minorHAnsi" w:hAnsiTheme="minorHAnsi" w:cstheme="minorHAnsi"/>
        </w:rPr>
        <w:t xml:space="preserve">zúčtování dohadného účtu pasivního na účtu 389 – </w:t>
      </w:r>
      <w:r w:rsidR="005D025D" w:rsidRPr="00814E1A">
        <w:rPr>
          <w:rFonts w:asciiTheme="minorHAnsi" w:hAnsiTheme="minorHAnsi" w:cstheme="minorHAnsi"/>
          <w:i/>
        </w:rPr>
        <w:t>Dohadné účty pasivní</w:t>
      </w:r>
      <w:r w:rsidR="005D025D" w:rsidRPr="00814E1A">
        <w:rPr>
          <w:rFonts w:asciiTheme="minorHAnsi" w:hAnsiTheme="minorHAnsi" w:cstheme="minorHAnsi"/>
        </w:rPr>
        <w:t xml:space="preserve"> a poskytnuté zálohy, byla-li v daném případě poskytnuta.</w:t>
      </w:r>
      <w:r w:rsidR="005D025D">
        <w:rPr>
          <w:rFonts w:asciiTheme="minorHAnsi" w:hAnsiTheme="minorHAnsi" w:cstheme="minorHAnsi"/>
        </w:rPr>
        <w:t xml:space="preserve"> V důsledku uvedených skutečností </w:t>
      </w:r>
      <w:r w:rsidR="005D025D" w:rsidRPr="00BC74A1">
        <w:rPr>
          <w:rFonts w:asciiTheme="minorHAnsi" w:hAnsiTheme="minorHAnsi" w:cstheme="minorHAnsi"/>
          <w:b/>
        </w:rPr>
        <w:t>MS Praha</w:t>
      </w:r>
      <w:r w:rsidR="005D025D">
        <w:rPr>
          <w:rFonts w:asciiTheme="minorHAnsi" w:hAnsiTheme="minorHAnsi" w:cstheme="minorHAnsi"/>
        </w:rPr>
        <w:t xml:space="preserve"> v rozvaze v údajích za běžné účetní období </w:t>
      </w:r>
      <w:r w:rsidR="005D025D" w:rsidRPr="00BC74A1">
        <w:rPr>
          <w:rFonts w:asciiTheme="minorHAnsi" w:hAnsiTheme="minorHAnsi" w:cstheme="minorHAnsi"/>
          <w:b/>
        </w:rPr>
        <w:t xml:space="preserve">podhodnotil zůstatek účtu </w:t>
      </w:r>
      <w:r w:rsidR="00BE3057">
        <w:rPr>
          <w:rFonts w:asciiTheme="minorHAnsi" w:hAnsiTheme="minorHAnsi" w:cstheme="minorHAnsi"/>
          <w:b/>
        </w:rPr>
        <w:br/>
      </w:r>
      <w:r w:rsidR="005D025D" w:rsidRPr="00BC74A1">
        <w:rPr>
          <w:rFonts w:asciiTheme="minorHAnsi" w:hAnsiTheme="minorHAnsi" w:cstheme="minorHAnsi"/>
          <w:b/>
        </w:rPr>
        <w:t>389</w:t>
      </w:r>
      <w:r w:rsidR="005D025D">
        <w:rPr>
          <w:rFonts w:asciiTheme="minorHAnsi" w:hAnsiTheme="minorHAnsi" w:cstheme="minorHAnsi"/>
        </w:rPr>
        <w:t xml:space="preserve"> – </w:t>
      </w:r>
      <w:r w:rsidR="005D025D" w:rsidRPr="005D025D">
        <w:rPr>
          <w:rFonts w:asciiTheme="minorHAnsi" w:hAnsiTheme="minorHAnsi" w:cstheme="minorHAnsi"/>
          <w:i/>
        </w:rPr>
        <w:t>Dohadné účty pasivní</w:t>
      </w:r>
      <w:r w:rsidR="005D025D">
        <w:rPr>
          <w:rFonts w:asciiTheme="minorHAnsi" w:hAnsiTheme="minorHAnsi" w:cstheme="minorHAnsi"/>
        </w:rPr>
        <w:t xml:space="preserve"> </w:t>
      </w:r>
      <w:r w:rsidR="005D025D" w:rsidRPr="00BC74A1">
        <w:rPr>
          <w:rFonts w:asciiTheme="minorHAnsi" w:hAnsiTheme="minorHAnsi" w:cstheme="minorHAnsi"/>
          <w:b/>
        </w:rPr>
        <w:t>minimálně o 42,6 mil. Kč a nadhodnotil zůstatek účtu 432</w:t>
      </w:r>
      <w:r w:rsidR="005D025D">
        <w:rPr>
          <w:rFonts w:asciiTheme="minorHAnsi" w:hAnsiTheme="minorHAnsi" w:cstheme="minorHAnsi"/>
        </w:rPr>
        <w:t xml:space="preserve"> – </w:t>
      </w:r>
      <w:r w:rsidR="005D025D" w:rsidRPr="005D025D">
        <w:rPr>
          <w:rFonts w:asciiTheme="minorHAnsi" w:hAnsiTheme="minorHAnsi" w:cstheme="minorHAnsi"/>
          <w:i/>
        </w:rPr>
        <w:t>Výsledek hospodaření předcházejících účetních období</w:t>
      </w:r>
      <w:r w:rsidR="005D025D">
        <w:rPr>
          <w:rFonts w:asciiTheme="minorHAnsi" w:hAnsiTheme="minorHAnsi" w:cstheme="minorHAnsi"/>
        </w:rPr>
        <w:t xml:space="preserve"> </w:t>
      </w:r>
      <w:r w:rsidR="005D025D" w:rsidRPr="00BC74A1">
        <w:rPr>
          <w:rFonts w:asciiTheme="minorHAnsi" w:hAnsiTheme="minorHAnsi" w:cstheme="minorHAnsi"/>
          <w:b/>
        </w:rPr>
        <w:t>minimálně o 22,1 mil. Kč a</w:t>
      </w:r>
      <w:r w:rsidR="005D025D">
        <w:rPr>
          <w:rFonts w:asciiTheme="minorHAnsi" w:hAnsiTheme="minorHAnsi" w:cstheme="minorHAnsi"/>
        </w:rPr>
        <w:t xml:space="preserve"> ve výkazu zisku a ztráty v údajích za běžné účetní období </w:t>
      </w:r>
      <w:r w:rsidR="005D025D" w:rsidRPr="00BC74A1">
        <w:rPr>
          <w:rFonts w:asciiTheme="minorHAnsi" w:hAnsiTheme="minorHAnsi" w:cstheme="minorHAnsi"/>
          <w:b/>
        </w:rPr>
        <w:t>podhodnotil zůstatek účtu 549</w:t>
      </w:r>
      <w:r w:rsidR="005D025D">
        <w:rPr>
          <w:rFonts w:asciiTheme="minorHAnsi" w:hAnsiTheme="minorHAnsi" w:cstheme="minorHAnsi"/>
        </w:rPr>
        <w:t xml:space="preserve"> – </w:t>
      </w:r>
      <w:r w:rsidR="005D025D" w:rsidRPr="005D025D">
        <w:rPr>
          <w:rFonts w:asciiTheme="minorHAnsi" w:hAnsiTheme="minorHAnsi" w:cstheme="minorHAnsi"/>
          <w:i/>
        </w:rPr>
        <w:t>Ostatní náklady z činnosti</w:t>
      </w:r>
      <w:r w:rsidR="005D025D">
        <w:rPr>
          <w:rFonts w:asciiTheme="minorHAnsi" w:hAnsiTheme="minorHAnsi" w:cstheme="minorHAnsi"/>
        </w:rPr>
        <w:t xml:space="preserve"> minimálně </w:t>
      </w:r>
      <w:r w:rsidR="005D025D" w:rsidRPr="00BC74A1">
        <w:rPr>
          <w:rFonts w:asciiTheme="minorHAnsi" w:hAnsiTheme="minorHAnsi" w:cstheme="minorHAnsi"/>
          <w:b/>
        </w:rPr>
        <w:t>o 20,4 mil. Kč.</w:t>
      </w:r>
      <w:r w:rsidR="002C029E">
        <w:rPr>
          <w:rFonts w:asciiTheme="minorHAnsi" w:hAnsiTheme="minorHAnsi" w:cstheme="minorHAnsi"/>
        </w:rPr>
        <w:t xml:space="preserve"> NKÚ upozorňuje, že </w:t>
      </w:r>
      <w:r w:rsidR="002C029E" w:rsidRPr="00BC74A1">
        <w:rPr>
          <w:rFonts w:asciiTheme="minorHAnsi" w:hAnsiTheme="minorHAnsi" w:cstheme="minorHAnsi"/>
          <w:b/>
        </w:rPr>
        <w:t>dopad</w:t>
      </w:r>
      <w:r w:rsidR="002C029E">
        <w:rPr>
          <w:rFonts w:asciiTheme="minorHAnsi" w:hAnsiTheme="minorHAnsi" w:cstheme="minorHAnsi"/>
        </w:rPr>
        <w:t xml:space="preserve"> uvedené </w:t>
      </w:r>
      <w:r w:rsidR="002C029E" w:rsidRPr="00BC74A1">
        <w:rPr>
          <w:rFonts w:asciiTheme="minorHAnsi" w:hAnsiTheme="minorHAnsi" w:cstheme="minorHAnsi"/>
          <w:b/>
        </w:rPr>
        <w:t>systémové nesprávnosti na příslušné rozvahové a výsledkové účty ÚZ je vyčíslen jako minimální</w:t>
      </w:r>
      <w:r w:rsidR="002C029E" w:rsidRPr="00875E88">
        <w:rPr>
          <w:rFonts w:asciiTheme="minorHAnsi" w:hAnsiTheme="minorHAnsi" w:cstheme="minorHAnsi"/>
          <w:b/>
        </w:rPr>
        <w:t>,</w:t>
      </w:r>
      <w:r w:rsidR="002C029E">
        <w:rPr>
          <w:rFonts w:asciiTheme="minorHAnsi" w:hAnsiTheme="minorHAnsi" w:cstheme="minorHAnsi"/>
        </w:rPr>
        <w:t xml:space="preserve"> neboť vychází pouze z nevyúčtovaných záloh poskytnutých </w:t>
      </w:r>
      <w:r w:rsidR="00E05A5B">
        <w:rPr>
          <w:rFonts w:asciiTheme="minorHAnsi" w:hAnsiTheme="minorHAnsi" w:cstheme="minorHAnsi"/>
        </w:rPr>
        <w:t xml:space="preserve">osobám zúčastněným na soudním </w:t>
      </w:r>
      <w:r w:rsidR="002C029E">
        <w:rPr>
          <w:rFonts w:asciiTheme="minorHAnsi" w:hAnsiTheme="minorHAnsi" w:cstheme="minorHAnsi"/>
        </w:rPr>
        <w:t>řízení, kte</w:t>
      </w:r>
      <w:r w:rsidR="00E05A5B">
        <w:rPr>
          <w:rFonts w:asciiTheme="minorHAnsi" w:hAnsiTheme="minorHAnsi" w:cstheme="minorHAnsi"/>
        </w:rPr>
        <w:t>ré</w:t>
      </w:r>
      <w:r w:rsidR="002C029E">
        <w:rPr>
          <w:rFonts w:asciiTheme="minorHAnsi" w:hAnsiTheme="minorHAnsi" w:cstheme="minorHAnsi"/>
        </w:rPr>
        <w:t xml:space="preserve"> pro MS Praha vykonával</w:t>
      </w:r>
      <w:r w:rsidR="00E05A5B">
        <w:rPr>
          <w:rFonts w:asciiTheme="minorHAnsi" w:hAnsiTheme="minorHAnsi" w:cstheme="minorHAnsi"/>
        </w:rPr>
        <w:t>y</w:t>
      </w:r>
      <w:r w:rsidR="002C029E">
        <w:rPr>
          <w:rFonts w:asciiTheme="minorHAnsi" w:hAnsiTheme="minorHAnsi" w:cstheme="minorHAnsi"/>
        </w:rPr>
        <w:t xml:space="preserve"> nějakou činnost</w:t>
      </w:r>
      <w:r w:rsidR="002C029E" w:rsidRPr="002C029E">
        <w:rPr>
          <w:rFonts w:cs="Calibri"/>
        </w:rPr>
        <w:t xml:space="preserve">. Ve skutečnosti je podhodnocení </w:t>
      </w:r>
      <w:r w:rsidR="002C029E">
        <w:rPr>
          <w:rFonts w:cs="Calibri"/>
        </w:rPr>
        <w:t xml:space="preserve">zůstatku </w:t>
      </w:r>
      <w:r w:rsidR="002C029E" w:rsidRPr="002C029E">
        <w:rPr>
          <w:rFonts w:cs="Calibri"/>
        </w:rPr>
        <w:t>účtu</w:t>
      </w:r>
      <w:r w:rsidR="002C029E">
        <w:rPr>
          <w:rFonts w:cs="Calibri"/>
        </w:rPr>
        <w:t xml:space="preserve"> 389 – </w:t>
      </w:r>
      <w:r w:rsidR="002C029E" w:rsidRPr="002C029E">
        <w:rPr>
          <w:rFonts w:cs="Calibri"/>
          <w:i/>
        </w:rPr>
        <w:t>Dohadné účty pasivní</w:t>
      </w:r>
      <w:r w:rsidR="002C029E">
        <w:rPr>
          <w:rFonts w:cs="Calibri"/>
        </w:rPr>
        <w:t xml:space="preserve"> </w:t>
      </w:r>
      <w:r w:rsidR="002C029E" w:rsidRPr="002C029E">
        <w:rPr>
          <w:rFonts w:cs="Calibri"/>
        </w:rPr>
        <w:t xml:space="preserve">a </w:t>
      </w:r>
      <w:r w:rsidR="002C029E">
        <w:rPr>
          <w:rFonts w:cs="Calibri"/>
        </w:rPr>
        <w:t xml:space="preserve">zůstatků </w:t>
      </w:r>
      <w:r w:rsidR="002C029E" w:rsidRPr="002C029E">
        <w:rPr>
          <w:rFonts w:cs="Calibri"/>
        </w:rPr>
        <w:t xml:space="preserve">účtů nákladů v jednotlivých letech, resp. nadhodnocení výsledků hospodaření významně vyšší. </w:t>
      </w:r>
    </w:p>
    <w:p w14:paraId="4E55F163" w14:textId="77777777" w:rsidR="00682B39" w:rsidRDefault="00682B39" w:rsidP="00D63DD7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521A3C47" w14:textId="77777777" w:rsidR="00682B39" w:rsidRDefault="00866ED0" w:rsidP="00BE3057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1</w:t>
      </w:r>
      <w:r w:rsidR="00682B39" w:rsidRPr="00D0424A">
        <w:rPr>
          <w:rFonts w:asciiTheme="minorHAnsi" w:eastAsiaTheme="minorHAnsi" w:hAnsiTheme="minorHAnsi" w:cstheme="minorHAnsi"/>
          <w:b/>
        </w:rPr>
        <w:t>.</w:t>
      </w:r>
      <w:r w:rsidR="00682B39">
        <w:rPr>
          <w:rFonts w:asciiTheme="minorHAnsi" w:eastAsiaTheme="minorHAnsi" w:hAnsiTheme="minorHAnsi" w:cstheme="minorHAnsi"/>
          <w:b/>
        </w:rPr>
        <w:t>2</w:t>
      </w:r>
      <w:r w:rsidR="00682B39" w:rsidRPr="00D0424A">
        <w:rPr>
          <w:rFonts w:asciiTheme="minorHAnsi" w:eastAsiaTheme="minorHAnsi" w:hAnsiTheme="minorHAnsi" w:cstheme="minorHAnsi"/>
          <w:b/>
        </w:rPr>
        <w:t xml:space="preserve"> </w:t>
      </w:r>
      <w:r w:rsidR="00682B39">
        <w:rPr>
          <w:rFonts w:asciiTheme="minorHAnsi" w:eastAsiaTheme="minorHAnsi" w:hAnsiTheme="minorHAnsi" w:cstheme="minorHAnsi"/>
          <w:b/>
        </w:rPr>
        <w:t>Nesprávný obsah položek účetní závěrky</w:t>
      </w:r>
    </w:p>
    <w:p w14:paraId="53875D6A" w14:textId="77777777" w:rsidR="00682B39" w:rsidRPr="00D0424A" w:rsidRDefault="00682B39" w:rsidP="00BE3057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0B177B63" w14:textId="5CD0D66C" w:rsidR="00682B39" w:rsidRDefault="00682B39" w:rsidP="00682B39">
      <w:pPr>
        <w:spacing w:after="0"/>
        <w:jc w:val="both"/>
        <w:rPr>
          <w:rFonts w:asciiTheme="minorHAnsi" w:eastAsiaTheme="minorHAnsi" w:hAnsiTheme="minorHAnsi" w:cstheme="minorHAnsi"/>
        </w:rPr>
      </w:pPr>
      <w:r w:rsidRPr="00BC74A1">
        <w:rPr>
          <w:rFonts w:asciiTheme="minorHAnsi" w:eastAsiaTheme="minorHAnsi" w:hAnsiTheme="minorHAnsi" w:cstheme="minorHAnsi"/>
          <w:b/>
        </w:rPr>
        <w:t>MS Praha</w:t>
      </w:r>
      <w:r>
        <w:rPr>
          <w:rFonts w:asciiTheme="minorHAnsi" w:eastAsiaTheme="minorHAnsi" w:hAnsiTheme="minorHAnsi" w:cstheme="minorHAnsi"/>
        </w:rPr>
        <w:t xml:space="preserve"> vrací poplatníkům soudní poplatky, a to v případech vyjmenovaných v § 10 zákona o soudních poplatcích. </w:t>
      </w:r>
      <w:r w:rsidRPr="00D63DD7">
        <w:rPr>
          <w:rFonts w:asciiTheme="minorHAnsi" w:eastAsiaTheme="minorHAnsi" w:hAnsiTheme="minorHAnsi" w:cstheme="minorHAnsi"/>
        </w:rPr>
        <w:t xml:space="preserve">MS Praha </w:t>
      </w:r>
      <w:r w:rsidRPr="00642D26">
        <w:rPr>
          <w:rFonts w:asciiTheme="minorHAnsi" w:eastAsiaTheme="minorHAnsi" w:hAnsiTheme="minorHAnsi" w:cstheme="minorHAnsi"/>
          <w:b/>
        </w:rPr>
        <w:t>účtoval</w:t>
      </w:r>
      <w:r>
        <w:rPr>
          <w:rFonts w:asciiTheme="minorHAnsi" w:eastAsiaTheme="minorHAnsi" w:hAnsiTheme="minorHAnsi" w:cstheme="minorHAnsi"/>
        </w:rPr>
        <w:t xml:space="preserve"> </w:t>
      </w:r>
      <w:r w:rsidRPr="00D63DD7">
        <w:rPr>
          <w:rFonts w:asciiTheme="minorHAnsi" w:eastAsiaTheme="minorHAnsi" w:hAnsiTheme="minorHAnsi" w:cstheme="minorHAnsi"/>
          <w:b/>
        </w:rPr>
        <w:t xml:space="preserve">o </w:t>
      </w:r>
      <w:r w:rsidR="00B75965">
        <w:rPr>
          <w:rFonts w:asciiTheme="minorHAnsi" w:eastAsiaTheme="minorHAnsi" w:hAnsiTheme="minorHAnsi" w:cstheme="minorHAnsi"/>
          <w:b/>
        </w:rPr>
        <w:t xml:space="preserve">těchto </w:t>
      </w:r>
      <w:r w:rsidRPr="00D63DD7">
        <w:rPr>
          <w:rFonts w:asciiTheme="minorHAnsi" w:eastAsiaTheme="minorHAnsi" w:hAnsiTheme="minorHAnsi" w:cstheme="minorHAnsi"/>
          <w:b/>
        </w:rPr>
        <w:t>vratkách</w:t>
      </w:r>
      <w:r w:rsidRPr="00D63DD7">
        <w:rPr>
          <w:rFonts w:asciiTheme="minorHAnsi" w:eastAsiaTheme="minorHAnsi" w:hAnsiTheme="minorHAnsi" w:cstheme="minorHAnsi"/>
        </w:rPr>
        <w:t xml:space="preserve"> v minulosti přijatých </w:t>
      </w:r>
      <w:r w:rsidRPr="00D63DD7">
        <w:rPr>
          <w:rFonts w:asciiTheme="minorHAnsi" w:eastAsiaTheme="minorHAnsi" w:hAnsiTheme="minorHAnsi" w:cstheme="minorHAnsi"/>
          <w:b/>
        </w:rPr>
        <w:t>soudních poplatků</w:t>
      </w:r>
      <w:r w:rsidRPr="00D63DD7">
        <w:rPr>
          <w:rFonts w:asciiTheme="minorHAnsi" w:eastAsiaTheme="minorHAnsi" w:hAnsiTheme="minorHAnsi" w:cstheme="minorHAnsi"/>
        </w:rPr>
        <w:t xml:space="preserve"> </w:t>
      </w:r>
      <w:r w:rsidRPr="00642D26">
        <w:rPr>
          <w:rFonts w:asciiTheme="minorHAnsi" w:eastAsiaTheme="minorHAnsi" w:hAnsiTheme="minorHAnsi" w:cstheme="minorHAnsi"/>
          <w:b/>
        </w:rPr>
        <w:t xml:space="preserve">na nesprávný účet 538 </w:t>
      </w:r>
      <w:r w:rsidRPr="00BC74A1">
        <w:rPr>
          <w:rFonts w:asciiTheme="minorHAnsi" w:eastAsiaTheme="minorHAnsi" w:hAnsiTheme="minorHAnsi" w:cstheme="minorHAnsi"/>
        </w:rPr>
        <w:t xml:space="preserve">– </w:t>
      </w:r>
      <w:r w:rsidRPr="00BC74A1">
        <w:rPr>
          <w:rFonts w:asciiTheme="minorHAnsi" w:eastAsiaTheme="minorHAnsi" w:hAnsiTheme="minorHAnsi" w:cstheme="minorHAnsi"/>
          <w:i/>
        </w:rPr>
        <w:t>Jiné daně a poplatky</w:t>
      </w:r>
      <w:r w:rsidRPr="00BC74A1">
        <w:rPr>
          <w:rFonts w:asciiTheme="minorHAnsi" w:eastAsiaTheme="minorHAnsi" w:hAnsiTheme="minorHAnsi" w:cstheme="minorHAnsi"/>
        </w:rPr>
        <w:t>.</w:t>
      </w:r>
      <w:r>
        <w:rPr>
          <w:rFonts w:asciiTheme="minorHAnsi" w:eastAsiaTheme="minorHAnsi" w:hAnsiTheme="minorHAnsi" w:cstheme="minorHAnsi"/>
        </w:rPr>
        <w:t xml:space="preserve"> </w:t>
      </w:r>
      <w:r w:rsidRPr="00D63DD7">
        <w:rPr>
          <w:rFonts w:asciiTheme="minorHAnsi" w:eastAsiaTheme="minorHAnsi" w:hAnsiTheme="minorHAnsi" w:cstheme="minorHAnsi"/>
        </w:rPr>
        <w:t xml:space="preserve">MS Praha v těchto případech </w:t>
      </w:r>
      <w:r w:rsidRPr="00642D26">
        <w:rPr>
          <w:rFonts w:asciiTheme="minorHAnsi" w:eastAsiaTheme="minorHAnsi" w:hAnsiTheme="minorHAnsi" w:cstheme="minorHAnsi"/>
          <w:b/>
        </w:rPr>
        <w:t>nevystupoval v roli poplatníka a nehradil soudní poplatky</w:t>
      </w:r>
      <w:r w:rsidRPr="00875E88">
        <w:rPr>
          <w:rFonts w:asciiTheme="minorHAnsi" w:eastAsiaTheme="minorHAnsi" w:hAnsiTheme="minorHAnsi" w:cstheme="minorHAnsi"/>
          <w:b/>
        </w:rPr>
        <w:t>.</w:t>
      </w:r>
      <w:r w:rsidRPr="00D63DD7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V důsledku této skutečnosti </w:t>
      </w:r>
      <w:r w:rsidRPr="00BC74A1">
        <w:rPr>
          <w:rFonts w:asciiTheme="minorHAnsi" w:eastAsiaTheme="minorHAnsi" w:hAnsiTheme="minorHAnsi" w:cstheme="minorHAnsi"/>
          <w:b/>
        </w:rPr>
        <w:t>MS Praha</w:t>
      </w:r>
      <w:r w:rsidRPr="00BC74A1">
        <w:rPr>
          <w:rFonts w:asciiTheme="minorHAnsi" w:eastAsiaTheme="minorHAnsi" w:hAnsiTheme="minorHAnsi" w:cstheme="minorHAnsi"/>
        </w:rPr>
        <w:t xml:space="preserve"> </w:t>
      </w:r>
      <w:r w:rsidRPr="00BC74A1">
        <w:rPr>
          <w:rFonts w:eastAsia="Calibri"/>
          <w:lang w:eastAsia="cs-CZ"/>
        </w:rPr>
        <w:t>ve výkazu zisku a ztráty v údajích za běžné účetní období</w:t>
      </w:r>
      <w:r>
        <w:rPr>
          <w:rFonts w:eastAsia="Calibri"/>
          <w:b/>
          <w:lang w:eastAsia="cs-CZ"/>
        </w:rPr>
        <w:t xml:space="preserve"> nadhodnotil zůstatek účtu </w:t>
      </w:r>
      <w:r w:rsidR="00BE3057">
        <w:rPr>
          <w:rFonts w:eastAsia="Calibri"/>
          <w:b/>
          <w:lang w:eastAsia="cs-CZ"/>
        </w:rPr>
        <w:br/>
      </w:r>
      <w:r>
        <w:rPr>
          <w:rFonts w:eastAsia="Calibri"/>
          <w:b/>
          <w:lang w:eastAsia="cs-CZ"/>
        </w:rPr>
        <w:t xml:space="preserve">538 </w:t>
      </w:r>
      <w:r w:rsidRPr="00BC74A1">
        <w:rPr>
          <w:rFonts w:eastAsia="Calibri"/>
          <w:lang w:eastAsia="cs-CZ"/>
        </w:rPr>
        <w:t xml:space="preserve">– </w:t>
      </w:r>
      <w:r w:rsidRPr="00BC74A1">
        <w:rPr>
          <w:rFonts w:eastAsia="Calibri"/>
          <w:i/>
          <w:lang w:eastAsia="cs-CZ"/>
        </w:rPr>
        <w:t>Jiné daně a poplatky</w:t>
      </w:r>
      <w:r>
        <w:rPr>
          <w:rFonts w:eastAsia="Calibri"/>
          <w:b/>
          <w:i/>
          <w:lang w:eastAsia="cs-CZ"/>
        </w:rPr>
        <w:t xml:space="preserve"> </w:t>
      </w:r>
      <w:r>
        <w:rPr>
          <w:rFonts w:eastAsia="Calibri"/>
          <w:b/>
          <w:lang w:eastAsia="cs-CZ"/>
        </w:rPr>
        <w:t xml:space="preserve">o 39,2 mil. Kč; tento systémový nedostatek </w:t>
      </w:r>
      <w:r w:rsidRPr="00642D26">
        <w:rPr>
          <w:rFonts w:eastAsia="Calibri"/>
          <w:lang w:eastAsia="cs-CZ"/>
        </w:rPr>
        <w:t>měl</w:t>
      </w:r>
      <w:r>
        <w:rPr>
          <w:rFonts w:eastAsia="Calibri"/>
          <w:b/>
          <w:lang w:eastAsia="cs-CZ"/>
        </w:rPr>
        <w:t xml:space="preserve"> dále </w:t>
      </w:r>
      <w:r w:rsidRPr="00642D26">
        <w:rPr>
          <w:rFonts w:eastAsia="Calibri"/>
          <w:lang w:eastAsia="cs-CZ"/>
        </w:rPr>
        <w:t>ve výkazu zisku a</w:t>
      </w:r>
      <w:r w:rsidR="00E23B56">
        <w:rPr>
          <w:rFonts w:eastAsia="Calibri"/>
          <w:lang w:eastAsia="cs-CZ"/>
        </w:rPr>
        <w:t> </w:t>
      </w:r>
      <w:r w:rsidRPr="00642D26">
        <w:rPr>
          <w:rFonts w:eastAsia="Calibri"/>
          <w:lang w:eastAsia="cs-CZ"/>
        </w:rPr>
        <w:t>ztráty</w:t>
      </w:r>
      <w:r>
        <w:rPr>
          <w:rFonts w:eastAsia="Calibri"/>
          <w:b/>
          <w:lang w:eastAsia="cs-CZ"/>
        </w:rPr>
        <w:t xml:space="preserve"> dopad na správnost zůstatku účtu 549 </w:t>
      </w:r>
      <w:r w:rsidRPr="00BC74A1">
        <w:rPr>
          <w:rFonts w:eastAsia="Calibri"/>
          <w:lang w:eastAsia="cs-CZ"/>
        </w:rPr>
        <w:t xml:space="preserve">– </w:t>
      </w:r>
      <w:r w:rsidRPr="00BC74A1">
        <w:rPr>
          <w:rFonts w:eastAsia="Calibri"/>
          <w:i/>
          <w:lang w:eastAsia="cs-CZ"/>
        </w:rPr>
        <w:t>Ostatní náklady z činnosti</w:t>
      </w:r>
      <w:r w:rsidRPr="00BC74A1">
        <w:rPr>
          <w:rFonts w:eastAsia="Calibri"/>
          <w:lang w:eastAsia="cs-CZ"/>
        </w:rPr>
        <w:t xml:space="preserve">, </w:t>
      </w:r>
      <w:r>
        <w:rPr>
          <w:rFonts w:eastAsia="Calibri"/>
          <w:b/>
          <w:lang w:eastAsia="cs-CZ"/>
        </w:rPr>
        <w:t xml:space="preserve">resp. zůstatku účtu 607 </w:t>
      </w:r>
      <w:r w:rsidRPr="00BC74A1">
        <w:rPr>
          <w:rFonts w:eastAsia="Calibri"/>
          <w:lang w:eastAsia="cs-CZ"/>
        </w:rPr>
        <w:t xml:space="preserve">– </w:t>
      </w:r>
      <w:r w:rsidRPr="00BC74A1">
        <w:rPr>
          <w:rFonts w:eastAsia="Calibri"/>
          <w:i/>
          <w:lang w:eastAsia="cs-CZ"/>
        </w:rPr>
        <w:t>Výnosy ze soudních poplatků</w:t>
      </w:r>
      <w:r w:rsidR="00B7083D">
        <w:rPr>
          <w:rFonts w:eastAsia="Calibri"/>
          <w:lang w:eastAsia="cs-CZ"/>
        </w:rPr>
        <w:t xml:space="preserve"> </w:t>
      </w:r>
      <w:r w:rsidR="00B7083D" w:rsidRPr="0042165C">
        <w:rPr>
          <w:rFonts w:eastAsia="Calibri"/>
          <w:b/>
          <w:lang w:eastAsia="cs-CZ"/>
        </w:rPr>
        <w:t>o stejnou částku</w:t>
      </w:r>
      <w:r w:rsidR="00B7083D">
        <w:rPr>
          <w:rStyle w:val="Znakapoznpodarou"/>
          <w:rFonts w:eastAsia="Calibri"/>
          <w:lang w:eastAsia="cs-CZ"/>
        </w:rPr>
        <w:footnoteReference w:id="9"/>
      </w:r>
      <w:r w:rsidRPr="00BC74A1">
        <w:rPr>
          <w:rFonts w:eastAsia="Calibri"/>
          <w:lang w:eastAsia="cs-CZ"/>
        </w:rPr>
        <w:t>.</w:t>
      </w:r>
      <w:r>
        <w:rPr>
          <w:rFonts w:asciiTheme="minorHAnsi" w:eastAsiaTheme="minorHAnsi" w:hAnsiTheme="minorHAnsi" w:cstheme="minorHAnsi"/>
        </w:rPr>
        <w:t xml:space="preserve"> </w:t>
      </w:r>
    </w:p>
    <w:p w14:paraId="1EE52A35" w14:textId="77777777" w:rsidR="00B75965" w:rsidRDefault="00B75965" w:rsidP="00682B39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5890F14B" w14:textId="5CA1B38C" w:rsidR="00682B39" w:rsidRDefault="00B75965" w:rsidP="00682B39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 w:rsidRPr="00B75965">
        <w:rPr>
          <w:rFonts w:eastAsia="Calibri"/>
          <w:b/>
          <w:lang w:eastAsia="cs-CZ"/>
        </w:rPr>
        <w:t>MS Praha účtoval nesprávně o</w:t>
      </w:r>
      <w:r w:rsidR="00682B39" w:rsidRPr="00075C06">
        <w:rPr>
          <w:rFonts w:eastAsia="Calibri"/>
          <w:b/>
          <w:lang w:eastAsia="cs-CZ"/>
        </w:rPr>
        <w:t xml:space="preserve"> nákladech </w:t>
      </w:r>
      <w:r w:rsidR="00682B39">
        <w:rPr>
          <w:rFonts w:eastAsia="Calibri"/>
          <w:b/>
          <w:lang w:eastAsia="cs-CZ"/>
        </w:rPr>
        <w:t>z titulu vrácení peněžitých trestů</w:t>
      </w:r>
      <w:r>
        <w:rPr>
          <w:rStyle w:val="Znakapoznpodarou"/>
          <w:rFonts w:eastAsia="Calibri"/>
          <w:b/>
          <w:lang w:eastAsia="cs-CZ"/>
        </w:rPr>
        <w:footnoteReference w:id="10"/>
      </w:r>
      <w:r w:rsidR="00682B39">
        <w:rPr>
          <w:rFonts w:eastAsia="Calibri"/>
          <w:b/>
          <w:lang w:eastAsia="cs-CZ"/>
        </w:rPr>
        <w:t xml:space="preserve"> na účtu </w:t>
      </w:r>
      <w:r w:rsidR="00BE3057">
        <w:rPr>
          <w:rFonts w:eastAsia="Calibri"/>
          <w:b/>
          <w:lang w:eastAsia="cs-CZ"/>
        </w:rPr>
        <w:br/>
      </w:r>
      <w:r w:rsidR="00682B39">
        <w:rPr>
          <w:rFonts w:eastAsia="Calibri"/>
          <w:b/>
          <w:lang w:eastAsia="cs-CZ"/>
        </w:rPr>
        <w:t>542</w:t>
      </w:r>
      <w:r w:rsidR="00682B39">
        <w:rPr>
          <w:rFonts w:eastAsia="Calibri"/>
          <w:lang w:eastAsia="cs-CZ"/>
        </w:rPr>
        <w:t xml:space="preserve"> – </w:t>
      </w:r>
      <w:r w:rsidR="00682B39">
        <w:rPr>
          <w:rFonts w:eastAsia="Calibri"/>
          <w:i/>
          <w:lang w:eastAsia="cs-CZ"/>
        </w:rPr>
        <w:t>Jiné pokuty a penále</w:t>
      </w:r>
      <w:r w:rsidR="00682B39">
        <w:rPr>
          <w:rFonts w:eastAsia="Calibri"/>
          <w:lang w:eastAsia="cs-CZ"/>
        </w:rPr>
        <w:t xml:space="preserve">, přestože se </w:t>
      </w:r>
      <w:r w:rsidR="00682B39" w:rsidRPr="00075C06">
        <w:rPr>
          <w:rFonts w:eastAsia="Calibri"/>
          <w:b/>
          <w:lang w:eastAsia="cs-CZ"/>
        </w:rPr>
        <w:t>o sankční platbu (pokutu či penále) na straně MS Praha nejednalo</w:t>
      </w:r>
      <w:r w:rsidR="00682B39" w:rsidRPr="00875E88">
        <w:rPr>
          <w:rFonts w:eastAsia="Calibri"/>
          <w:b/>
          <w:lang w:eastAsia="cs-CZ"/>
        </w:rPr>
        <w:t>.</w:t>
      </w:r>
      <w:r w:rsidR="00682B39">
        <w:rPr>
          <w:rFonts w:eastAsia="Calibri"/>
          <w:lang w:eastAsia="cs-CZ"/>
        </w:rPr>
        <w:t xml:space="preserve"> V důsledku této skutečnosti </w:t>
      </w:r>
      <w:r w:rsidR="00682B39" w:rsidRPr="00BC74A1">
        <w:rPr>
          <w:rFonts w:eastAsia="Calibri"/>
          <w:b/>
          <w:lang w:eastAsia="cs-CZ"/>
        </w:rPr>
        <w:t>MS Praha</w:t>
      </w:r>
      <w:r w:rsidR="00682B39" w:rsidRPr="00BC74A1">
        <w:rPr>
          <w:rFonts w:eastAsia="Calibri"/>
          <w:lang w:eastAsia="cs-CZ"/>
        </w:rPr>
        <w:t xml:space="preserve"> ve výkazu zisku a ztráty v údajích za běžné účetní období </w:t>
      </w:r>
      <w:r w:rsidR="00682B39">
        <w:rPr>
          <w:rFonts w:eastAsia="Calibri"/>
          <w:b/>
          <w:lang w:eastAsia="cs-CZ"/>
        </w:rPr>
        <w:t xml:space="preserve">nadhodnotil zůstatek účtu 542 </w:t>
      </w:r>
      <w:r w:rsidR="00682B39" w:rsidRPr="00103119">
        <w:rPr>
          <w:rFonts w:eastAsia="Calibri"/>
          <w:lang w:eastAsia="cs-CZ"/>
        </w:rPr>
        <w:t xml:space="preserve">– </w:t>
      </w:r>
      <w:r w:rsidR="00682B39" w:rsidRPr="00103119">
        <w:rPr>
          <w:rFonts w:eastAsia="Calibri"/>
          <w:i/>
          <w:lang w:eastAsia="cs-CZ"/>
        </w:rPr>
        <w:t>Jiné pokuty a penále</w:t>
      </w:r>
      <w:r w:rsidR="00682B39">
        <w:rPr>
          <w:rFonts w:eastAsia="Calibri"/>
          <w:b/>
          <w:lang w:eastAsia="cs-CZ"/>
        </w:rPr>
        <w:t xml:space="preserve"> o 4,3 mil. Kč a</w:t>
      </w:r>
      <w:r w:rsidR="00E23B56">
        <w:rPr>
          <w:rFonts w:eastAsia="Calibri"/>
          <w:b/>
          <w:lang w:eastAsia="cs-CZ"/>
        </w:rPr>
        <w:t> </w:t>
      </w:r>
      <w:r w:rsidR="00682B39">
        <w:rPr>
          <w:rFonts w:eastAsia="Calibri"/>
          <w:b/>
          <w:lang w:eastAsia="cs-CZ"/>
        </w:rPr>
        <w:t xml:space="preserve">podhodnotil zůstatek účtu 549 </w:t>
      </w:r>
      <w:r w:rsidR="00682B39" w:rsidRPr="00103119">
        <w:rPr>
          <w:rFonts w:eastAsia="Calibri"/>
          <w:lang w:eastAsia="cs-CZ"/>
        </w:rPr>
        <w:t xml:space="preserve">– </w:t>
      </w:r>
      <w:r w:rsidR="00682B39" w:rsidRPr="00103119">
        <w:rPr>
          <w:rFonts w:eastAsia="Calibri"/>
          <w:i/>
          <w:lang w:eastAsia="cs-CZ"/>
        </w:rPr>
        <w:t>Ostatní náklady z činnosti</w:t>
      </w:r>
      <w:r w:rsidR="00682B39">
        <w:rPr>
          <w:rFonts w:eastAsia="Calibri"/>
          <w:b/>
          <w:lang w:eastAsia="cs-CZ"/>
        </w:rPr>
        <w:t xml:space="preserve"> o stejnou částku.</w:t>
      </w:r>
    </w:p>
    <w:p w14:paraId="4B85B35F" w14:textId="77777777" w:rsidR="00682B39" w:rsidRDefault="00682B39" w:rsidP="00682B39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633F1748" w14:textId="1C0E712E" w:rsidR="00682B39" w:rsidRDefault="00682B39" w:rsidP="00682B39">
      <w:pPr>
        <w:spacing w:after="0"/>
        <w:jc w:val="both"/>
        <w:rPr>
          <w:rFonts w:eastAsia="Calibri"/>
          <w:b/>
          <w:lang w:eastAsia="cs-CZ"/>
        </w:rPr>
      </w:pPr>
      <w:r w:rsidRPr="00103119">
        <w:rPr>
          <w:rFonts w:eastAsia="Calibri"/>
          <w:b/>
          <w:lang w:eastAsia="cs-CZ"/>
        </w:rPr>
        <w:lastRenderedPageBreak/>
        <w:t>MS Praha</w:t>
      </w:r>
      <w:r>
        <w:rPr>
          <w:rFonts w:eastAsia="Calibri"/>
          <w:lang w:eastAsia="cs-CZ"/>
        </w:rPr>
        <w:t xml:space="preserve"> </w:t>
      </w:r>
      <w:r w:rsidRPr="00C45391">
        <w:rPr>
          <w:rFonts w:eastAsia="Calibri"/>
          <w:b/>
          <w:lang w:eastAsia="cs-CZ"/>
        </w:rPr>
        <w:t>účtoval nesprávně o výnosech</w:t>
      </w:r>
      <w:r>
        <w:rPr>
          <w:rFonts w:eastAsia="Calibri"/>
          <w:b/>
          <w:lang w:eastAsia="cs-CZ"/>
        </w:rPr>
        <w:t xml:space="preserve"> z titulu náhrad vynaložených nákladů za ustanovené obhájce v trestním řízení</w:t>
      </w:r>
      <w:r w:rsidR="00B75965">
        <w:rPr>
          <w:rStyle w:val="Znakapoznpodarou"/>
          <w:rFonts w:eastAsia="Calibri"/>
          <w:b/>
          <w:lang w:eastAsia="cs-CZ"/>
        </w:rPr>
        <w:footnoteReference w:id="11"/>
      </w:r>
      <w:r>
        <w:rPr>
          <w:rFonts w:eastAsia="Calibri"/>
          <w:b/>
          <w:lang w:eastAsia="cs-CZ"/>
        </w:rPr>
        <w:t xml:space="preserve"> na účtu 609</w:t>
      </w:r>
      <w:r>
        <w:rPr>
          <w:rFonts w:eastAsia="Calibri"/>
          <w:lang w:eastAsia="cs-CZ"/>
        </w:rPr>
        <w:t xml:space="preserve"> </w:t>
      </w:r>
      <w:r>
        <w:rPr>
          <w:rFonts w:eastAsia="Calibri"/>
          <w:i/>
          <w:lang w:eastAsia="cs-CZ"/>
        </w:rPr>
        <w:t>– Jiné výnosy z vlastních výkonů</w:t>
      </w:r>
      <w:r>
        <w:rPr>
          <w:rFonts w:eastAsia="Calibri"/>
          <w:lang w:eastAsia="cs-CZ"/>
        </w:rPr>
        <w:t xml:space="preserve">, </w:t>
      </w:r>
      <w:r w:rsidRPr="00C45391">
        <w:rPr>
          <w:rFonts w:eastAsia="Calibri"/>
          <w:b/>
          <w:lang w:eastAsia="cs-CZ"/>
        </w:rPr>
        <w:t>přestože se o výnosy z vlastních výkonů nejednalo.</w:t>
      </w:r>
      <w:r>
        <w:rPr>
          <w:rFonts w:eastAsia="Calibri"/>
          <w:lang w:eastAsia="cs-CZ"/>
        </w:rPr>
        <w:t xml:space="preserve"> V důsledku této skutečnosti </w:t>
      </w:r>
      <w:r w:rsidRPr="00103119">
        <w:rPr>
          <w:rFonts w:eastAsia="Calibri"/>
          <w:b/>
          <w:lang w:eastAsia="cs-CZ"/>
        </w:rPr>
        <w:t>MS Praha</w:t>
      </w:r>
      <w:r>
        <w:rPr>
          <w:rFonts w:eastAsia="Calibri"/>
          <w:lang w:eastAsia="cs-CZ"/>
        </w:rPr>
        <w:t xml:space="preserve"> </w:t>
      </w:r>
      <w:r w:rsidRPr="00103119">
        <w:rPr>
          <w:rFonts w:eastAsia="Calibri"/>
          <w:lang w:eastAsia="cs-CZ"/>
        </w:rPr>
        <w:t xml:space="preserve">ve výkazu zisku a ztráty v údajích za běžné účetní období </w:t>
      </w:r>
      <w:r>
        <w:rPr>
          <w:rFonts w:eastAsia="Calibri"/>
          <w:b/>
          <w:lang w:eastAsia="cs-CZ"/>
        </w:rPr>
        <w:t xml:space="preserve">nadhodnotil zůstatek účtu 609 </w:t>
      </w:r>
      <w:r w:rsidRPr="00103119">
        <w:rPr>
          <w:rFonts w:eastAsia="Calibri"/>
          <w:lang w:eastAsia="cs-CZ"/>
        </w:rPr>
        <w:t xml:space="preserve">– </w:t>
      </w:r>
      <w:r w:rsidRPr="00103119">
        <w:rPr>
          <w:rFonts w:eastAsia="Calibri"/>
          <w:i/>
          <w:lang w:eastAsia="cs-CZ"/>
        </w:rPr>
        <w:t>Jiné výnosy z</w:t>
      </w:r>
      <w:r w:rsidR="00E23B56">
        <w:rPr>
          <w:rFonts w:eastAsia="Calibri"/>
          <w:i/>
          <w:lang w:eastAsia="cs-CZ"/>
        </w:rPr>
        <w:t> </w:t>
      </w:r>
      <w:r w:rsidRPr="00103119">
        <w:rPr>
          <w:rFonts w:eastAsia="Calibri"/>
          <w:i/>
          <w:lang w:eastAsia="cs-CZ"/>
        </w:rPr>
        <w:t>vlastních výkonů</w:t>
      </w:r>
      <w:r w:rsidRPr="00103119">
        <w:rPr>
          <w:rFonts w:eastAsia="Calibri"/>
          <w:lang w:eastAsia="cs-CZ"/>
        </w:rPr>
        <w:t xml:space="preserve"> </w:t>
      </w:r>
      <w:r>
        <w:rPr>
          <w:rFonts w:eastAsia="Calibri"/>
          <w:b/>
          <w:lang w:eastAsia="cs-CZ"/>
        </w:rPr>
        <w:t xml:space="preserve">o 18,3 mil. Kč a podhodnotil zůstatek účtu 649 </w:t>
      </w:r>
      <w:r w:rsidRPr="00103119">
        <w:rPr>
          <w:rFonts w:eastAsia="Calibri"/>
          <w:lang w:eastAsia="cs-CZ"/>
        </w:rPr>
        <w:t xml:space="preserve">– </w:t>
      </w:r>
      <w:r w:rsidRPr="00103119">
        <w:rPr>
          <w:rFonts w:eastAsia="Calibri"/>
          <w:i/>
          <w:lang w:eastAsia="cs-CZ"/>
        </w:rPr>
        <w:t>Ostatní výnosy z činnosti</w:t>
      </w:r>
      <w:r>
        <w:rPr>
          <w:rFonts w:eastAsia="Calibri"/>
          <w:b/>
          <w:lang w:eastAsia="cs-CZ"/>
        </w:rPr>
        <w:t xml:space="preserve"> o</w:t>
      </w:r>
      <w:r w:rsidR="00E23B56">
        <w:rPr>
          <w:rFonts w:eastAsia="Calibri"/>
          <w:b/>
          <w:lang w:eastAsia="cs-CZ"/>
        </w:rPr>
        <w:t> </w:t>
      </w:r>
      <w:r>
        <w:rPr>
          <w:rFonts w:eastAsia="Calibri"/>
          <w:b/>
          <w:lang w:eastAsia="cs-CZ"/>
        </w:rPr>
        <w:t>stejnou částku.</w:t>
      </w:r>
    </w:p>
    <w:p w14:paraId="066D01D9" w14:textId="77777777" w:rsidR="00B66344" w:rsidRDefault="00B66344" w:rsidP="00075C06">
      <w:pPr>
        <w:spacing w:after="0"/>
        <w:jc w:val="both"/>
        <w:rPr>
          <w:rFonts w:eastAsia="Calibri"/>
          <w:b/>
          <w:lang w:eastAsia="cs-CZ"/>
        </w:rPr>
      </w:pPr>
    </w:p>
    <w:p w14:paraId="1EEC8966" w14:textId="77777777" w:rsidR="00682B39" w:rsidRDefault="00866ED0" w:rsidP="00682B39">
      <w:pPr>
        <w:spacing w:after="0"/>
        <w:jc w:val="both"/>
        <w:rPr>
          <w:rFonts w:eastAsia="Calibri"/>
          <w:b/>
          <w:lang w:eastAsia="cs-CZ"/>
        </w:rPr>
      </w:pPr>
      <w:r>
        <w:rPr>
          <w:rFonts w:eastAsia="Calibri"/>
          <w:b/>
          <w:lang w:eastAsia="cs-CZ"/>
        </w:rPr>
        <w:t>1</w:t>
      </w:r>
      <w:r w:rsidR="00682B39">
        <w:rPr>
          <w:rFonts w:eastAsia="Calibri"/>
          <w:b/>
          <w:lang w:eastAsia="cs-CZ"/>
        </w:rPr>
        <w:t>.3 Nesprávnosti v přehledu o peněžních tocích</w:t>
      </w:r>
    </w:p>
    <w:p w14:paraId="735FBDEE" w14:textId="77777777" w:rsidR="00682B39" w:rsidRDefault="00682B39" w:rsidP="00682B39">
      <w:pPr>
        <w:spacing w:after="0"/>
        <w:jc w:val="both"/>
        <w:rPr>
          <w:rFonts w:eastAsia="Calibri"/>
          <w:b/>
          <w:lang w:eastAsia="cs-CZ"/>
        </w:rPr>
      </w:pPr>
    </w:p>
    <w:p w14:paraId="3B065649" w14:textId="160F7AA8" w:rsidR="00BF3C00" w:rsidRDefault="00682B39" w:rsidP="00682B39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 w:rsidRPr="005172B6">
        <w:rPr>
          <w:rFonts w:asciiTheme="minorHAnsi" w:eastAsiaTheme="minorHAnsi" w:hAnsiTheme="minorHAnsi" w:cstheme="minorHAnsi"/>
        </w:rPr>
        <w:t>MS Praha</w:t>
      </w:r>
      <w:r>
        <w:rPr>
          <w:rFonts w:asciiTheme="minorHAnsi" w:eastAsiaTheme="minorHAnsi" w:hAnsiTheme="minorHAnsi" w:cstheme="minorHAnsi"/>
          <w:b/>
        </w:rPr>
        <w:t xml:space="preserve"> nesprávně sestavil přehled o peněžních tocích</w:t>
      </w:r>
      <w:r w:rsidRPr="00875E88">
        <w:rPr>
          <w:rFonts w:asciiTheme="minorHAnsi" w:eastAsiaTheme="minorHAnsi" w:hAnsiTheme="minorHAnsi" w:cstheme="minorHAnsi"/>
          <w:b/>
        </w:rPr>
        <w:t>,</w:t>
      </w:r>
      <w:r w:rsidRPr="005172B6">
        <w:rPr>
          <w:rFonts w:asciiTheme="minorHAnsi" w:eastAsiaTheme="minorHAnsi" w:hAnsiTheme="minorHAnsi" w:cstheme="minorHAnsi"/>
        </w:rPr>
        <w:t xml:space="preserve"> když např.</w:t>
      </w:r>
      <w:r>
        <w:rPr>
          <w:rFonts w:asciiTheme="minorHAnsi" w:eastAsiaTheme="minorHAnsi" w:hAnsiTheme="minorHAnsi" w:cstheme="minorHAnsi"/>
          <w:b/>
        </w:rPr>
        <w:t xml:space="preserve"> změnu stavu pohledávek</w:t>
      </w:r>
      <w:r w:rsidRPr="00875E88">
        <w:rPr>
          <w:rFonts w:asciiTheme="minorHAnsi" w:eastAsiaTheme="minorHAnsi" w:hAnsiTheme="minorHAnsi" w:cstheme="minorHAnsi"/>
          <w:b/>
        </w:rPr>
        <w:t>,</w:t>
      </w:r>
      <w:r w:rsidRPr="005172B6">
        <w:rPr>
          <w:rFonts w:asciiTheme="minorHAnsi" w:eastAsiaTheme="minorHAnsi" w:hAnsiTheme="minorHAnsi" w:cstheme="minorHAnsi"/>
        </w:rPr>
        <w:t xml:space="preserve"> které MS Praha evidoval za osobami mimo vybrané vládní instituce,</w:t>
      </w:r>
      <w:r>
        <w:rPr>
          <w:rFonts w:asciiTheme="minorHAnsi" w:eastAsiaTheme="minorHAnsi" w:hAnsiTheme="minorHAnsi" w:cstheme="minorHAnsi"/>
          <w:b/>
        </w:rPr>
        <w:t xml:space="preserve"> vykázal jako změnu stavu závazků; </w:t>
      </w:r>
      <w:r w:rsidR="00E74936">
        <w:rPr>
          <w:rFonts w:asciiTheme="minorHAnsi" w:eastAsiaTheme="minorHAnsi" w:hAnsiTheme="minorHAnsi" w:cstheme="minorHAnsi"/>
          <w:b/>
        </w:rPr>
        <w:t xml:space="preserve">dále </w:t>
      </w:r>
      <w:r w:rsidRPr="005172B6">
        <w:rPr>
          <w:rFonts w:asciiTheme="minorHAnsi" w:eastAsiaTheme="minorHAnsi" w:hAnsiTheme="minorHAnsi" w:cstheme="minorHAnsi"/>
        </w:rPr>
        <w:t xml:space="preserve">na položce </w:t>
      </w:r>
      <w:r w:rsidR="006F22D9">
        <w:rPr>
          <w:rFonts w:asciiTheme="minorHAnsi" w:eastAsiaTheme="minorHAnsi" w:hAnsiTheme="minorHAnsi" w:cstheme="minorHAnsi"/>
        </w:rPr>
        <w:t>„</w:t>
      </w:r>
      <w:proofErr w:type="gramStart"/>
      <w:r w:rsidRPr="00875E88">
        <w:rPr>
          <w:rFonts w:asciiTheme="minorHAnsi" w:eastAsiaTheme="minorHAnsi" w:hAnsiTheme="minorHAnsi" w:cstheme="minorHAnsi"/>
          <w:i/>
        </w:rPr>
        <w:t>C.I.</w:t>
      </w:r>
      <w:proofErr w:type="gramEnd"/>
      <w:r w:rsidRPr="00875E88">
        <w:rPr>
          <w:rFonts w:asciiTheme="minorHAnsi" w:eastAsiaTheme="minorHAnsi" w:hAnsiTheme="minorHAnsi" w:cstheme="minorHAnsi"/>
          <w:i/>
        </w:rPr>
        <w:t xml:space="preserve"> Peněžní toky vyplývající ze změny vlastního kapitálu</w:t>
      </w:r>
      <w:r w:rsidR="006F22D9">
        <w:rPr>
          <w:rFonts w:asciiTheme="minorHAnsi" w:eastAsiaTheme="minorHAnsi" w:hAnsiTheme="minorHAnsi" w:cstheme="minorHAnsi"/>
        </w:rPr>
        <w:t>“</w:t>
      </w:r>
      <w:r>
        <w:rPr>
          <w:rFonts w:asciiTheme="minorHAnsi" w:eastAsiaTheme="minorHAnsi" w:hAnsiTheme="minorHAnsi" w:cstheme="minorHAnsi"/>
          <w:b/>
        </w:rPr>
        <w:t xml:space="preserve"> vykázal i účetní případy, se kterými nebyl spojen žádný peněžní tok </w:t>
      </w:r>
      <w:r>
        <w:rPr>
          <w:rFonts w:asciiTheme="minorHAnsi" w:eastAsiaTheme="minorHAnsi" w:hAnsiTheme="minorHAnsi" w:cstheme="minorHAnsi"/>
        </w:rPr>
        <w:t>(bezúplatné pořízení dlouhodobého nehmotného majetku formou změny příslušnosti hospodařit s majetkem státu, opravy předcházejících účetních období nebo investiční transfery přijaté až v následujícím účetním období)</w:t>
      </w:r>
      <w:r>
        <w:rPr>
          <w:rFonts w:asciiTheme="minorHAnsi" w:eastAsiaTheme="minorHAnsi" w:hAnsiTheme="minorHAnsi" w:cstheme="minorHAnsi"/>
          <w:b/>
        </w:rPr>
        <w:t xml:space="preserve"> nebo které nesouvisely se zvýšením či snížením stavu vlastního kapitálu</w:t>
      </w:r>
      <w:r w:rsidRPr="00875E88">
        <w:rPr>
          <w:rFonts w:asciiTheme="minorHAnsi" w:eastAsiaTheme="minorHAnsi" w:hAnsiTheme="minorHAnsi" w:cstheme="minorHAnsi"/>
          <w:b/>
        </w:rPr>
        <w:t>.</w:t>
      </w:r>
      <w:r>
        <w:rPr>
          <w:rFonts w:asciiTheme="minorHAnsi" w:eastAsiaTheme="minorHAnsi" w:hAnsiTheme="minorHAnsi" w:cstheme="minorHAnsi"/>
        </w:rPr>
        <w:t xml:space="preserve"> Vlivem těchto systémových nesprávností </w:t>
      </w:r>
      <w:r w:rsidRPr="00664840">
        <w:rPr>
          <w:rFonts w:asciiTheme="minorHAnsi" w:eastAsiaTheme="minorHAnsi" w:hAnsiTheme="minorHAnsi" w:cstheme="minorHAnsi"/>
          <w:b/>
        </w:rPr>
        <w:t>podal MS Praha uživatelům účetní závěrky významně zkreslené a nesprávné informace o užití a tvorbě peněžních prostředků a o jejich konečném stavu.</w:t>
      </w:r>
      <w:r w:rsidRPr="00664840">
        <w:rPr>
          <w:rFonts w:asciiTheme="minorHAnsi" w:eastAsiaTheme="minorHAnsi" w:hAnsiTheme="minorHAnsi" w:cstheme="minorHAnsi"/>
        </w:rPr>
        <w:t xml:space="preserve"> </w:t>
      </w:r>
      <w:r w:rsidRPr="003A116C">
        <w:rPr>
          <w:rFonts w:asciiTheme="minorHAnsi" w:eastAsiaTheme="minorHAnsi" w:hAnsiTheme="minorHAnsi" w:cstheme="minorHAnsi"/>
          <w:b/>
        </w:rPr>
        <w:t>Dle údaje</w:t>
      </w:r>
      <w:r>
        <w:rPr>
          <w:rFonts w:asciiTheme="minorHAnsi" w:eastAsiaTheme="minorHAnsi" w:hAnsiTheme="minorHAnsi" w:cstheme="minorHAnsi"/>
        </w:rPr>
        <w:t xml:space="preserve"> vykázaného </w:t>
      </w:r>
      <w:r w:rsidRPr="003A116C">
        <w:rPr>
          <w:rFonts w:asciiTheme="minorHAnsi" w:eastAsiaTheme="minorHAnsi" w:hAnsiTheme="minorHAnsi" w:cstheme="minorHAnsi"/>
          <w:b/>
        </w:rPr>
        <w:t xml:space="preserve">na položce </w:t>
      </w:r>
      <w:r w:rsidR="006F22D9">
        <w:rPr>
          <w:rFonts w:asciiTheme="minorHAnsi" w:eastAsiaTheme="minorHAnsi" w:hAnsiTheme="minorHAnsi" w:cstheme="minorHAnsi"/>
          <w:b/>
        </w:rPr>
        <w:t>„</w:t>
      </w:r>
      <w:r w:rsidRPr="00875E88">
        <w:rPr>
          <w:rFonts w:asciiTheme="minorHAnsi" w:eastAsiaTheme="minorHAnsi" w:hAnsiTheme="minorHAnsi" w:cstheme="minorHAnsi"/>
          <w:b/>
          <w:i/>
        </w:rPr>
        <w:t>F. Celková změna stavu peněžních prostředků</w:t>
      </w:r>
      <w:r w:rsidR="006F22D9">
        <w:rPr>
          <w:rFonts w:asciiTheme="minorHAnsi" w:eastAsiaTheme="minorHAnsi" w:hAnsiTheme="minorHAnsi" w:cstheme="minorHAnsi"/>
          <w:b/>
        </w:rPr>
        <w:t>“</w:t>
      </w:r>
      <w:r w:rsidRPr="003A116C">
        <w:rPr>
          <w:rFonts w:asciiTheme="minorHAnsi" w:eastAsiaTheme="minorHAnsi" w:hAnsiTheme="minorHAnsi" w:cstheme="minorHAnsi"/>
          <w:b/>
        </w:rPr>
        <w:t xml:space="preserve"> mělo u MS Praha dojít</w:t>
      </w:r>
      <w:r w:rsidRPr="00664840">
        <w:rPr>
          <w:rFonts w:asciiTheme="minorHAnsi" w:eastAsiaTheme="minorHAnsi" w:hAnsiTheme="minorHAnsi" w:cstheme="minorHAnsi"/>
        </w:rPr>
        <w:t xml:space="preserve"> v průběhu účetního období 2017 </w:t>
      </w:r>
      <w:r w:rsidRPr="003A116C">
        <w:rPr>
          <w:rFonts w:asciiTheme="minorHAnsi" w:eastAsiaTheme="minorHAnsi" w:hAnsiTheme="minorHAnsi" w:cstheme="minorHAnsi"/>
          <w:b/>
        </w:rPr>
        <w:t xml:space="preserve">ke snížení stavu peněžních prostředků o 750 mil. Kč. Ve skutečnosti </w:t>
      </w:r>
      <w:r w:rsidRPr="002D53BB">
        <w:rPr>
          <w:rFonts w:asciiTheme="minorHAnsi" w:eastAsiaTheme="minorHAnsi" w:hAnsiTheme="minorHAnsi" w:cstheme="minorHAnsi"/>
        </w:rPr>
        <w:t>však</w:t>
      </w:r>
      <w:r w:rsidRPr="003A116C">
        <w:rPr>
          <w:rFonts w:asciiTheme="minorHAnsi" w:eastAsiaTheme="minorHAnsi" w:hAnsiTheme="minorHAnsi" w:cstheme="minorHAnsi"/>
          <w:b/>
        </w:rPr>
        <w:t xml:space="preserve"> došlo k jejich snížení o 784 mil. Kč. </w:t>
      </w:r>
    </w:p>
    <w:p w14:paraId="7D290E0D" w14:textId="77777777" w:rsidR="00BF3C00" w:rsidRDefault="00BF3C00" w:rsidP="00682B39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2B0CF944" w14:textId="13F5285A" w:rsidR="00682B39" w:rsidRDefault="00682B39" w:rsidP="00682B39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 w:rsidRPr="003A116C">
        <w:rPr>
          <w:rFonts w:asciiTheme="minorHAnsi" w:eastAsiaTheme="minorHAnsi" w:hAnsiTheme="minorHAnsi" w:cstheme="minorHAnsi"/>
          <w:b/>
        </w:rPr>
        <w:t>Dle údaje</w:t>
      </w:r>
      <w:r>
        <w:rPr>
          <w:rFonts w:asciiTheme="minorHAnsi" w:eastAsiaTheme="minorHAnsi" w:hAnsiTheme="minorHAnsi" w:cstheme="minorHAnsi"/>
        </w:rPr>
        <w:t xml:space="preserve"> vykázaného </w:t>
      </w:r>
      <w:r w:rsidRPr="003A116C">
        <w:rPr>
          <w:rFonts w:asciiTheme="minorHAnsi" w:eastAsiaTheme="minorHAnsi" w:hAnsiTheme="minorHAnsi" w:cstheme="minorHAnsi"/>
          <w:b/>
        </w:rPr>
        <w:t>na položce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="006F22D9">
        <w:rPr>
          <w:rFonts w:asciiTheme="minorHAnsi" w:eastAsiaTheme="minorHAnsi" w:hAnsiTheme="minorHAnsi" w:cstheme="minorHAnsi"/>
          <w:b/>
        </w:rPr>
        <w:t>„</w:t>
      </w:r>
      <w:r w:rsidRPr="00875E88">
        <w:rPr>
          <w:rFonts w:asciiTheme="minorHAnsi" w:eastAsiaTheme="minorHAnsi" w:hAnsiTheme="minorHAnsi" w:cstheme="minorHAnsi"/>
          <w:b/>
          <w:i/>
        </w:rPr>
        <w:t>R. Stav peněžních prostředků k rozvahovému dni</w:t>
      </w:r>
      <w:r w:rsidR="006F22D9">
        <w:rPr>
          <w:rFonts w:asciiTheme="minorHAnsi" w:eastAsiaTheme="minorHAnsi" w:hAnsiTheme="minorHAnsi" w:cstheme="minorHAnsi"/>
          <w:b/>
        </w:rPr>
        <w:t>“</w:t>
      </w:r>
      <w:r w:rsidRPr="003A116C">
        <w:rPr>
          <w:rFonts w:asciiTheme="minorHAnsi" w:eastAsiaTheme="minorHAnsi" w:hAnsiTheme="minorHAnsi" w:cstheme="minorHAnsi"/>
          <w:b/>
        </w:rPr>
        <w:t xml:space="preserve"> měl MS</w:t>
      </w:r>
      <w:r w:rsidR="006F22D9">
        <w:rPr>
          <w:rFonts w:asciiTheme="minorHAnsi" w:eastAsiaTheme="minorHAnsi" w:hAnsiTheme="minorHAnsi" w:cstheme="minorHAnsi"/>
          <w:b/>
        </w:rPr>
        <w:t> </w:t>
      </w:r>
      <w:r w:rsidRPr="003A116C">
        <w:rPr>
          <w:rFonts w:asciiTheme="minorHAnsi" w:eastAsiaTheme="minorHAnsi" w:hAnsiTheme="minorHAnsi" w:cstheme="minorHAnsi"/>
          <w:b/>
        </w:rPr>
        <w:t>Praha mít krátkodobý finanční majetek</w:t>
      </w:r>
      <w:r w:rsidRPr="00664840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k 31. prosinci 2017 </w:t>
      </w:r>
      <w:r w:rsidRPr="003A116C">
        <w:rPr>
          <w:rFonts w:asciiTheme="minorHAnsi" w:eastAsiaTheme="minorHAnsi" w:hAnsiTheme="minorHAnsi" w:cstheme="minorHAnsi"/>
          <w:b/>
        </w:rPr>
        <w:t xml:space="preserve">ve výši 300 mil. Kč. </w:t>
      </w:r>
      <w:r w:rsidR="00B66344">
        <w:rPr>
          <w:rFonts w:asciiTheme="minorHAnsi" w:eastAsiaTheme="minorHAnsi" w:hAnsiTheme="minorHAnsi" w:cstheme="minorHAnsi"/>
          <w:b/>
        </w:rPr>
        <w:t>Ve výkazu rozvaha byl</w:t>
      </w:r>
      <w:r w:rsidRPr="003A116C">
        <w:rPr>
          <w:rFonts w:asciiTheme="minorHAnsi" w:eastAsiaTheme="minorHAnsi" w:hAnsiTheme="minorHAnsi" w:cstheme="minorHAnsi"/>
          <w:b/>
        </w:rPr>
        <w:t xml:space="preserve"> </w:t>
      </w:r>
      <w:r w:rsidRPr="002D53BB">
        <w:rPr>
          <w:rFonts w:asciiTheme="minorHAnsi" w:eastAsiaTheme="minorHAnsi" w:hAnsiTheme="minorHAnsi" w:cstheme="minorHAnsi"/>
        </w:rPr>
        <w:t>ale</w:t>
      </w:r>
      <w:r w:rsidRPr="003A116C">
        <w:rPr>
          <w:rFonts w:asciiTheme="minorHAnsi" w:eastAsiaTheme="minorHAnsi" w:hAnsiTheme="minorHAnsi" w:cstheme="minorHAnsi"/>
          <w:b/>
        </w:rPr>
        <w:t xml:space="preserve"> </w:t>
      </w:r>
      <w:r w:rsidRPr="002D53BB">
        <w:rPr>
          <w:rFonts w:asciiTheme="minorHAnsi" w:eastAsiaTheme="minorHAnsi" w:hAnsiTheme="minorHAnsi" w:cstheme="minorHAnsi"/>
          <w:b/>
        </w:rPr>
        <w:t>tento</w:t>
      </w:r>
      <w:r w:rsidRPr="003A116C">
        <w:rPr>
          <w:rFonts w:asciiTheme="minorHAnsi" w:eastAsiaTheme="minorHAnsi" w:hAnsiTheme="minorHAnsi" w:cstheme="minorHAnsi"/>
          <w:b/>
        </w:rPr>
        <w:t xml:space="preserve"> majetek </w:t>
      </w:r>
      <w:r w:rsidR="00B66344">
        <w:rPr>
          <w:rFonts w:asciiTheme="minorHAnsi" w:eastAsiaTheme="minorHAnsi" w:hAnsiTheme="minorHAnsi" w:cstheme="minorHAnsi"/>
          <w:b/>
        </w:rPr>
        <w:t>vykázán v souladu se skutečností</w:t>
      </w:r>
      <w:r w:rsidR="006F22D9">
        <w:rPr>
          <w:rFonts w:asciiTheme="minorHAnsi" w:eastAsiaTheme="minorHAnsi" w:hAnsiTheme="minorHAnsi" w:cstheme="minorHAnsi"/>
          <w:b/>
        </w:rPr>
        <w:t>,</w:t>
      </w:r>
      <w:r w:rsidR="00B66344">
        <w:rPr>
          <w:rFonts w:asciiTheme="minorHAnsi" w:eastAsiaTheme="minorHAnsi" w:hAnsiTheme="minorHAnsi" w:cstheme="minorHAnsi"/>
          <w:b/>
        </w:rPr>
        <w:t xml:space="preserve"> a to ve výši </w:t>
      </w:r>
      <w:r w:rsidRPr="003A116C">
        <w:rPr>
          <w:rFonts w:asciiTheme="minorHAnsi" w:eastAsiaTheme="minorHAnsi" w:hAnsiTheme="minorHAnsi" w:cstheme="minorHAnsi"/>
          <w:b/>
        </w:rPr>
        <w:t>významně nižší</w:t>
      </w:r>
      <w:r w:rsidR="006F22D9">
        <w:rPr>
          <w:rFonts w:asciiTheme="minorHAnsi" w:eastAsiaTheme="minorHAnsi" w:hAnsiTheme="minorHAnsi" w:cstheme="minorHAnsi"/>
          <w:b/>
        </w:rPr>
        <w:t> –</w:t>
      </w:r>
      <w:r w:rsidRPr="003A116C">
        <w:rPr>
          <w:rFonts w:asciiTheme="minorHAnsi" w:eastAsiaTheme="minorHAnsi" w:hAnsiTheme="minorHAnsi" w:cstheme="minorHAnsi"/>
          <w:b/>
        </w:rPr>
        <w:t xml:space="preserve"> 266 mil. Kč.</w:t>
      </w:r>
      <w:r w:rsidR="00B66344">
        <w:rPr>
          <w:rFonts w:asciiTheme="minorHAnsi" w:eastAsiaTheme="minorHAnsi" w:hAnsiTheme="minorHAnsi" w:cstheme="minorHAnsi"/>
          <w:b/>
        </w:rPr>
        <w:t xml:space="preserve"> Údaj o této skutečnosti je tak v rámci účetní závěrky vykázán v rozdílné výši ve dvou účetních výkazech. </w:t>
      </w:r>
    </w:p>
    <w:p w14:paraId="2BC378F3" w14:textId="77777777" w:rsidR="00E014D6" w:rsidRDefault="00E014D6" w:rsidP="00682B39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0503D48D" w14:textId="77777777" w:rsidR="00E014D6" w:rsidRDefault="00866ED0" w:rsidP="00E014D6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1</w:t>
      </w:r>
      <w:r w:rsidR="00E014D6" w:rsidRPr="00D0424A">
        <w:rPr>
          <w:rFonts w:asciiTheme="minorHAnsi" w:eastAsiaTheme="minorHAnsi" w:hAnsiTheme="minorHAnsi" w:cstheme="minorHAnsi"/>
          <w:b/>
        </w:rPr>
        <w:t>.</w:t>
      </w:r>
      <w:r w:rsidR="00E014D6">
        <w:rPr>
          <w:rFonts w:asciiTheme="minorHAnsi" w:eastAsiaTheme="minorHAnsi" w:hAnsiTheme="minorHAnsi" w:cstheme="minorHAnsi"/>
          <w:b/>
        </w:rPr>
        <w:t>4</w:t>
      </w:r>
      <w:r w:rsidR="00E014D6" w:rsidRPr="00D0424A">
        <w:rPr>
          <w:rFonts w:asciiTheme="minorHAnsi" w:eastAsiaTheme="minorHAnsi" w:hAnsiTheme="minorHAnsi" w:cstheme="minorHAnsi"/>
          <w:b/>
        </w:rPr>
        <w:t xml:space="preserve"> Neúčtování </w:t>
      </w:r>
      <w:r w:rsidR="00E014D6" w:rsidRPr="0022638B">
        <w:rPr>
          <w:rFonts w:asciiTheme="minorHAnsi" w:eastAsiaTheme="minorHAnsi" w:hAnsiTheme="minorHAnsi" w:cstheme="minorHAnsi"/>
          <w:b/>
        </w:rPr>
        <w:t>o</w:t>
      </w:r>
      <w:r w:rsidR="00E014D6" w:rsidRPr="007B2E2B">
        <w:rPr>
          <w:rFonts w:asciiTheme="minorHAnsi" w:eastAsiaTheme="minorHAnsi" w:hAnsiTheme="minorHAnsi" w:cstheme="minorHAnsi"/>
          <w:b/>
        </w:rPr>
        <w:t xml:space="preserve"> p</w:t>
      </w:r>
      <w:r w:rsidR="00E014D6" w:rsidRPr="00D0424A">
        <w:rPr>
          <w:rFonts w:asciiTheme="minorHAnsi" w:eastAsiaTheme="minorHAnsi" w:hAnsiTheme="minorHAnsi" w:cstheme="minorHAnsi"/>
          <w:b/>
        </w:rPr>
        <w:t>odmíněn</w:t>
      </w:r>
      <w:r w:rsidR="00E014D6">
        <w:rPr>
          <w:rFonts w:asciiTheme="minorHAnsi" w:eastAsiaTheme="minorHAnsi" w:hAnsiTheme="minorHAnsi" w:cstheme="minorHAnsi"/>
          <w:b/>
        </w:rPr>
        <w:t>ých</w:t>
      </w:r>
      <w:r w:rsidR="00E014D6" w:rsidRPr="00D0424A">
        <w:rPr>
          <w:rFonts w:asciiTheme="minorHAnsi" w:eastAsiaTheme="minorHAnsi" w:hAnsiTheme="minorHAnsi" w:cstheme="minorHAnsi"/>
          <w:b/>
        </w:rPr>
        <w:t xml:space="preserve"> pohledáv</w:t>
      </w:r>
      <w:r w:rsidR="00E014D6">
        <w:rPr>
          <w:rFonts w:asciiTheme="minorHAnsi" w:eastAsiaTheme="minorHAnsi" w:hAnsiTheme="minorHAnsi" w:cstheme="minorHAnsi"/>
          <w:b/>
        </w:rPr>
        <w:t>kách a závazcích</w:t>
      </w:r>
    </w:p>
    <w:p w14:paraId="7EFDE9A1" w14:textId="77777777" w:rsidR="00B66344" w:rsidRDefault="00B66344" w:rsidP="00E014D6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6DF8BF78" w14:textId="77777777" w:rsidR="00E014D6" w:rsidRDefault="00E014D6" w:rsidP="00E014D6">
      <w:pPr>
        <w:spacing w:after="0"/>
        <w:jc w:val="both"/>
        <w:rPr>
          <w:rFonts w:cs="Calibri"/>
        </w:rPr>
      </w:pPr>
      <w:r w:rsidRPr="00BC74A1">
        <w:rPr>
          <w:rFonts w:cs="Calibri"/>
          <w:b/>
        </w:rPr>
        <w:t>Rozhodovací činností MS Praha vzniká celá řada podmíněných pohledávek a podmíněných závazků, o kterých však MS Praha neúčtoval a v ÚZ nevykazoval</w:t>
      </w:r>
      <w:r>
        <w:rPr>
          <w:rFonts w:cs="Calibri"/>
        </w:rPr>
        <w:t>.</w:t>
      </w:r>
    </w:p>
    <w:p w14:paraId="7AD653B4" w14:textId="77777777" w:rsidR="00E014D6" w:rsidRDefault="00E014D6" w:rsidP="00E014D6">
      <w:pPr>
        <w:spacing w:after="0"/>
        <w:jc w:val="both"/>
        <w:rPr>
          <w:rFonts w:cs="Calibri"/>
        </w:rPr>
      </w:pPr>
    </w:p>
    <w:p w14:paraId="0B561D00" w14:textId="3F19D009" w:rsidR="0022638B" w:rsidRDefault="00E014D6" w:rsidP="00E014D6">
      <w:pPr>
        <w:spacing w:after="0"/>
        <w:jc w:val="both"/>
        <w:rPr>
          <w:rFonts w:cs="Calibri"/>
        </w:rPr>
      </w:pPr>
      <w:r>
        <w:rPr>
          <w:rFonts w:cs="Calibri"/>
        </w:rPr>
        <w:t>V případě podmíněných pohledávek se jednalo zejména o soudní poplatky, peněžité tresty a</w:t>
      </w:r>
      <w:r w:rsidR="00E23B56">
        <w:rPr>
          <w:rFonts w:cs="Calibri"/>
        </w:rPr>
        <w:t> </w:t>
      </w:r>
      <w:r>
        <w:rPr>
          <w:rFonts w:cs="Calibri"/>
        </w:rPr>
        <w:t>o</w:t>
      </w:r>
      <w:r w:rsidR="00E23B56">
        <w:rPr>
          <w:rFonts w:cs="Calibri"/>
        </w:rPr>
        <w:t> </w:t>
      </w:r>
      <w:r>
        <w:rPr>
          <w:rFonts w:cs="Calibri"/>
        </w:rPr>
        <w:t xml:space="preserve">náhrady za ustanovené advokáty. V případě podmíněných závazků pak o vrácené soudní poplatky. Kromě výše uvedených titulů podmíněných pohledávek u MS Praha dále vznikají podmíněné pohledávky z pokut v civilním řízení, z pokut v trestním řízení, z exekučního řízení a další pohledávky z trestního a civilního řízení; v těchto případech se však </w:t>
      </w:r>
      <w:proofErr w:type="gramStart"/>
      <w:r>
        <w:rPr>
          <w:rFonts w:cs="Calibri"/>
        </w:rPr>
        <w:t>jedná</w:t>
      </w:r>
      <w:proofErr w:type="gramEnd"/>
      <w:r>
        <w:rPr>
          <w:rFonts w:cs="Calibri"/>
        </w:rPr>
        <w:t xml:space="preserve"> o méně významné případy než v případě soudních poplatků, peněžitých trestů a náhrad za ustanovené advokáty. Vzhledem k rozsahu rozhodovací činnosti MS Praha </w:t>
      </w:r>
      <w:r w:rsidR="0022638B">
        <w:rPr>
          <w:rFonts w:cs="Calibri"/>
        </w:rPr>
        <w:t xml:space="preserve">je </w:t>
      </w:r>
      <w:r>
        <w:rPr>
          <w:rFonts w:cs="Calibri"/>
        </w:rPr>
        <w:t xml:space="preserve">však </w:t>
      </w:r>
      <w:r w:rsidR="0022638B">
        <w:rPr>
          <w:rFonts w:cs="Calibri"/>
        </w:rPr>
        <w:t>prakticky mimořádně obtížné</w:t>
      </w:r>
      <w:r>
        <w:rPr>
          <w:rFonts w:cs="Calibri"/>
        </w:rPr>
        <w:t xml:space="preserve"> účtovat o podmíněných pohledávkách a podmíněných závazcích jednotlivě, tj. zvlášť o každém případu. </w:t>
      </w:r>
      <w:r w:rsidRPr="00BD00BE">
        <w:rPr>
          <w:rFonts w:cs="Calibri"/>
        </w:rPr>
        <w:t>Možnou variantou</w:t>
      </w:r>
      <w:r w:rsidR="00B66FA7">
        <w:rPr>
          <w:rFonts w:cs="Calibri"/>
        </w:rPr>
        <w:t>,</w:t>
      </w:r>
      <w:r w:rsidRPr="00BD00BE">
        <w:rPr>
          <w:rFonts w:cs="Calibri"/>
        </w:rPr>
        <w:t xml:space="preserve"> jak vykázat podmíněné pohledávky a podmíněné </w:t>
      </w:r>
      <w:r w:rsidRPr="00BD00BE">
        <w:rPr>
          <w:rFonts w:cs="Calibri"/>
        </w:rPr>
        <w:lastRenderedPageBreak/>
        <w:t>závazky vznikající z rozhodovací činnosti MS Praha</w:t>
      </w:r>
      <w:r w:rsidR="006102D0">
        <w:rPr>
          <w:rFonts w:cs="Calibri"/>
        </w:rPr>
        <w:t>,</w:t>
      </w:r>
      <w:r w:rsidRPr="00BD00BE">
        <w:rPr>
          <w:rFonts w:cs="Calibri"/>
        </w:rPr>
        <w:t xml:space="preserve"> je </w:t>
      </w:r>
      <w:r w:rsidRPr="00BC74A1">
        <w:rPr>
          <w:rFonts w:cs="Calibri"/>
          <w:b/>
        </w:rPr>
        <w:t>stanovení</w:t>
      </w:r>
      <w:r w:rsidR="00B66FA7">
        <w:rPr>
          <w:rFonts w:cs="Calibri"/>
          <w:b/>
        </w:rPr>
        <w:t xml:space="preserve"> kvalifikovaného </w:t>
      </w:r>
      <w:r w:rsidRPr="00BC74A1">
        <w:rPr>
          <w:rFonts w:cs="Calibri"/>
          <w:b/>
        </w:rPr>
        <w:t>odhadu</w:t>
      </w:r>
      <w:r w:rsidR="00B66FA7">
        <w:rPr>
          <w:rStyle w:val="Znakapoznpodarou"/>
          <w:rFonts w:cs="Calibri"/>
          <w:b/>
        </w:rPr>
        <w:footnoteReference w:id="12"/>
      </w:r>
      <w:r w:rsidRPr="00BD00BE">
        <w:rPr>
          <w:rFonts w:cs="Calibri"/>
        </w:rPr>
        <w:t>, např. na základě praxe z minulých účetních období.</w:t>
      </w:r>
    </w:p>
    <w:p w14:paraId="4494EF84" w14:textId="77777777" w:rsidR="00BE3057" w:rsidRDefault="00BE3057" w:rsidP="00E014D6">
      <w:pPr>
        <w:spacing w:after="0"/>
        <w:jc w:val="both"/>
        <w:rPr>
          <w:rFonts w:cs="Calibri"/>
        </w:rPr>
      </w:pPr>
    </w:p>
    <w:p w14:paraId="01A33F2D" w14:textId="6A41E781" w:rsidR="00E014D6" w:rsidRDefault="00E014D6" w:rsidP="00E014D6">
      <w:pPr>
        <w:spacing w:after="0"/>
        <w:jc w:val="both"/>
        <w:rPr>
          <w:rFonts w:cs="Calibri"/>
        </w:rPr>
      </w:pPr>
      <w:r w:rsidRPr="00BC74A1">
        <w:rPr>
          <w:rFonts w:asciiTheme="minorHAnsi" w:hAnsiTheme="minorHAnsi" w:cstheme="minorHAnsi"/>
          <w:b/>
        </w:rPr>
        <w:t>MS Praha</w:t>
      </w:r>
      <w:r>
        <w:rPr>
          <w:rFonts w:asciiTheme="minorHAnsi" w:hAnsiTheme="minorHAnsi" w:cstheme="minorHAnsi"/>
        </w:rPr>
        <w:t xml:space="preserve"> v příloze účetní závěrky v údajích za běžné účetní období </w:t>
      </w:r>
      <w:r w:rsidRPr="00BC74A1">
        <w:rPr>
          <w:rFonts w:asciiTheme="minorHAnsi" w:hAnsiTheme="minorHAnsi" w:cstheme="minorHAnsi"/>
          <w:b/>
        </w:rPr>
        <w:t>podhodnotil krátkodobé a dlouhodobé podmíněné pohledávky z titulu soudních poplatků, peněžitých trestů a</w:t>
      </w:r>
      <w:r w:rsidR="00E23B56">
        <w:rPr>
          <w:rFonts w:asciiTheme="minorHAnsi" w:hAnsiTheme="minorHAnsi" w:cstheme="minorHAnsi"/>
          <w:b/>
        </w:rPr>
        <w:t> </w:t>
      </w:r>
      <w:r w:rsidRPr="00BC74A1">
        <w:rPr>
          <w:rFonts w:asciiTheme="minorHAnsi" w:hAnsiTheme="minorHAnsi" w:cstheme="minorHAnsi"/>
          <w:b/>
        </w:rPr>
        <w:t>náhrad za ustanovené advokáty o 747,7 mil. Kč a podhodnotil krátkodobé a dlouhodobé podmíněné závazky z titulu soudních poplatků, peněžitých trestů a náhrad za ustanovené advokáty o 160 mil. Kč.</w:t>
      </w:r>
      <w:r>
        <w:rPr>
          <w:rFonts w:asciiTheme="minorHAnsi" w:hAnsiTheme="minorHAnsi" w:cstheme="minorHAnsi"/>
        </w:rPr>
        <w:t xml:space="preserve"> NKÚ </w:t>
      </w:r>
      <w:r>
        <w:rPr>
          <w:rFonts w:cs="Calibri"/>
        </w:rPr>
        <w:t xml:space="preserve">upozorňuje, že </w:t>
      </w:r>
      <w:r w:rsidRPr="00BC74A1">
        <w:rPr>
          <w:rFonts w:cs="Calibri"/>
          <w:b/>
        </w:rPr>
        <w:t>částky podhodnocení</w:t>
      </w:r>
      <w:r>
        <w:rPr>
          <w:rFonts w:cs="Calibri"/>
        </w:rPr>
        <w:t xml:space="preserve"> podmíněných pohledávek a podmíněných závazků z rozhodovací činnosti MS Praha </w:t>
      </w:r>
      <w:r w:rsidRPr="00BC74A1">
        <w:rPr>
          <w:rFonts w:cs="Calibri"/>
          <w:b/>
        </w:rPr>
        <w:t xml:space="preserve">představují </w:t>
      </w:r>
      <w:r w:rsidR="00E76A51">
        <w:rPr>
          <w:rFonts w:cs="Calibri"/>
          <w:b/>
        </w:rPr>
        <w:t xml:space="preserve">kvalifikovaný výpočet </w:t>
      </w:r>
      <w:r w:rsidRPr="00BC74A1">
        <w:rPr>
          <w:rFonts w:cs="Calibri"/>
          <w:b/>
        </w:rPr>
        <w:t>NKÚ</w:t>
      </w:r>
      <w:r>
        <w:rPr>
          <w:rFonts w:cs="Calibri"/>
        </w:rPr>
        <w:t xml:space="preserve"> založený na skutečné výši předepsaných pohledávek a závazků z rozhodovací činnosti soudu za předchozí tři účetní období a vycház</w:t>
      </w:r>
      <w:r w:rsidR="006102D0">
        <w:rPr>
          <w:rFonts w:cs="Calibri"/>
        </w:rPr>
        <w:t>ející</w:t>
      </w:r>
      <w:r>
        <w:rPr>
          <w:rFonts w:cs="Calibri"/>
        </w:rPr>
        <w:t xml:space="preserve"> z předpokladu neměnnosti věcných a</w:t>
      </w:r>
      <w:r w:rsidR="00E23B56">
        <w:rPr>
          <w:rFonts w:cs="Calibri"/>
        </w:rPr>
        <w:t> </w:t>
      </w:r>
      <w:r>
        <w:rPr>
          <w:rFonts w:cs="Calibri"/>
        </w:rPr>
        <w:t xml:space="preserve">legislativních podmínek majících vztah na rozhodovací činnost MS Praha. Při ocenění krátkodobých a dlouhodobých podmíněných pohledávek a podmíněných závazků bylo aplikováno pravidlo 1+2, tj. jeden rok vykazovat na krátkodobých podmíněných pohledávkách a podmíněných závazcích a dva roky vykazovat na dlouhodobých podmíněných pohledávkách a podmíněných závazcích. </w:t>
      </w:r>
      <w:r w:rsidRPr="00BC74A1">
        <w:rPr>
          <w:rFonts w:cs="Calibri"/>
          <w:b/>
        </w:rPr>
        <w:t>MS Praha si</w:t>
      </w:r>
      <w:r w:rsidR="006102D0">
        <w:rPr>
          <w:rFonts w:cs="Calibri"/>
          <w:b/>
        </w:rPr>
        <w:t xml:space="preserve"> musí způsob kvalifikovaného výpočtu těchto skutečností </w:t>
      </w:r>
      <w:r w:rsidRPr="00BC74A1">
        <w:rPr>
          <w:rFonts w:cs="Calibri"/>
          <w:b/>
        </w:rPr>
        <w:t>stanovit sám</w:t>
      </w:r>
      <w:r w:rsidR="006102D0">
        <w:rPr>
          <w:rFonts w:cs="Calibri"/>
          <w:b/>
        </w:rPr>
        <w:t>,</w:t>
      </w:r>
      <w:r w:rsidRPr="00BC74A1">
        <w:rPr>
          <w:rFonts w:cs="Calibri"/>
          <w:b/>
        </w:rPr>
        <w:t xml:space="preserve"> pravidelně ověřovat jeho vhodnost</w:t>
      </w:r>
      <w:r w:rsidR="00861150">
        <w:rPr>
          <w:rFonts w:cs="Calibri"/>
          <w:b/>
        </w:rPr>
        <w:t>,</w:t>
      </w:r>
      <w:r w:rsidRPr="00BC74A1">
        <w:rPr>
          <w:rFonts w:cs="Calibri"/>
          <w:b/>
        </w:rPr>
        <w:t xml:space="preserve"> a</w:t>
      </w:r>
      <w:r w:rsidR="006102D0">
        <w:rPr>
          <w:rFonts w:cs="Calibri"/>
          <w:b/>
        </w:rPr>
        <w:t xml:space="preserve"> to včetně</w:t>
      </w:r>
      <w:r w:rsidRPr="00BC74A1">
        <w:rPr>
          <w:rFonts w:cs="Calibri"/>
          <w:b/>
        </w:rPr>
        <w:t xml:space="preserve"> podmín</w:t>
      </w:r>
      <w:r w:rsidR="006102D0">
        <w:rPr>
          <w:rFonts w:cs="Calibri"/>
          <w:b/>
        </w:rPr>
        <w:t>e</w:t>
      </w:r>
      <w:r w:rsidRPr="00BC74A1">
        <w:rPr>
          <w:rFonts w:cs="Calibri"/>
          <w:b/>
        </w:rPr>
        <w:t>k, za nichž byl sestaven.</w:t>
      </w:r>
      <w:r>
        <w:rPr>
          <w:rFonts w:cs="Calibri"/>
        </w:rPr>
        <w:t xml:space="preserve"> </w:t>
      </w:r>
    </w:p>
    <w:p w14:paraId="6EBB6155" w14:textId="77777777" w:rsidR="003C5EE6" w:rsidRDefault="003C5EE6" w:rsidP="00075C06">
      <w:pPr>
        <w:spacing w:after="0"/>
        <w:jc w:val="both"/>
        <w:rPr>
          <w:rFonts w:eastAsia="Calibri"/>
          <w:b/>
          <w:lang w:eastAsia="cs-CZ"/>
        </w:rPr>
      </w:pPr>
    </w:p>
    <w:p w14:paraId="2591FEBB" w14:textId="77777777" w:rsidR="003C5EE6" w:rsidRDefault="00866ED0" w:rsidP="00AD5072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1</w:t>
      </w:r>
      <w:r w:rsidR="003C5EE6" w:rsidRPr="00D0424A">
        <w:rPr>
          <w:rFonts w:asciiTheme="minorHAnsi" w:eastAsiaTheme="minorHAnsi" w:hAnsiTheme="minorHAnsi" w:cstheme="minorHAnsi"/>
          <w:b/>
        </w:rPr>
        <w:t>.</w:t>
      </w:r>
      <w:r w:rsidR="003C5EE6">
        <w:rPr>
          <w:rFonts w:asciiTheme="minorHAnsi" w:eastAsiaTheme="minorHAnsi" w:hAnsiTheme="minorHAnsi" w:cstheme="minorHAnsi"/>
          <w:b/>
        </w:rPr>
        <w:t>5</w:t>
      </w:r>
      <w:r w:rsidR="003C5EE6" w:rsidRPr="00D0424A">
        <w:rPr>
          <w:rFonts w:asciiTheme="minorHAnsi" w:eastAsiaTheme="minorHAnsi" w:hAnsiTheme="minorHAnsi" w:cstheme="minorHAnsi"/>
          <w:b/>
        </w:rPr>
        <w:t xml:space="preserve"> </w:t>
      </w:r>
      <w:r w:rsidR="003C5EE6">
        <w:rPr>
          <w:rFonts w:asciiTheme="minorHAnsi" w:eastAsiaTheme="minorHAnsi" w:hAnsiTheme="minorHAnsi" w:cstheme="minorHAnsi"/>
          <w:b/>
        </w:rPr>
        <w:t>Vykazování zaniklých pohledávek</w:t>
      </w:r>
    </w:p>
    <w:p w14:paraId="6CE60CE5" w14:textId="77777777" w:rsidR="002D0D9B" w:rsidRDefault="002D0D9B" w:rsidP="00AD5072">
      <w:pPr>
        <w:keepNext/>
        <w:spacing w:after="0"/>
        <w:jc w:val="both"/>
        <w:rPr>
          <w:rFonts w:eastAsia="Calibri"/>
          <w:b/>
          <w:lang w:eastAsia="cs-CZ"/>
        </w:rPr>
      </w:pPr>
    </w:p>
    <w:p w14:paraId="50899989" w14:textId="293860D4" w:rsidR="003C5EE6" w:rsidRDefault="003C5EE6" w:rsidP="00075C06">
      <w:pPr>
        <w:spacing w:after="0"/>
        <w:jc w:val="both"/>
        <w:rPr>
          <w:rFonts w:eastAsia="Calibri"/>
          <w:b/>
          <w:lang w:eastAsia="cs-CZ"/>
        </w:rPr>
      </w:pPr>
      <w:r w:rsidRPr="00DB7C30">
        <w:rPr>
          <w:rFonts w:eastAsia="Calibri"/>
          <w:lang w:eastAsia="cs-CZ"/>
        </w:rPr>
        <w:t xml:space="preserve">MS Praha </w:t>
      </w:r>
      <w:r>
        <w:rPr>
          <w:rFonts w:eastAsia="Calibri"/>
          <w:b/>
          <w:lang w:eastAsia="cs-CZ"/>
        </w:rPr>
        <w:t xml:space="preserve">v ÚZ vykázal i </w:t>
      </w:r>
      <w:r w:rsidRPr="00DB7C30">
        <w:rPr>
          <w:rFonts w:eastAsia="Calibri"/>
          <w:lang w:eastAsia="cs-CZ"/>
        </w:rPr>
        <w:t>prekludované a tedy</w:t>
      </w:r>
      <w:r>
        <w:rPr>
          <w:rFonts w:eastAsia="Calibri"/>
          <w:b/>
          <w:lang w:eastAsia="cs-CZ"/>
        </w:rPr>
        <w:t xml:space="preserve"> zaniklé pohledávky, u nichž již neexistovalo právo na peněžité plnění, </w:t>
      </w:r>
      <w:r w:rsidRPr="00DB7C30">
        <w:rPr>
          <w:rFonts w:eastAsia="Calibri"/>
          <w:lang w:eastAsia="cs-CZ"/>
        </w:rPr>
        <w:t>a to ve výši</w:t>
      </w:r>
      <w:r>
        <w:rPr>
          <w:rFonts w:eastAsia="Calibri"/>
          <w:b/>
          <w:lang w:eastAsia="cs-CZ"/>
        </w:rPr>
        <w:t xml:space="preserve"> minimálně 10,5 mil. Kč. Jednalo se o systémový nedostatek </w:t>
      </w:r>
      <w:r w:rsidRPr="00103119">
        <w:rPr>
          <w:rFonts w:eastAsia="Calibri"/>
          <w:lang w:eastAsia="cs-CZ"/>
        </w:rPr>
        <w:t>s vlivem na</w:t>
      </w:r>
      <w:r>
        <w:rPr>
          <w:rFonts w:eastAsia="Calibri"/>
          <w:b/>
          <w:lang w:eastAsia="cs-CZ"/>
        </w:rPr>
        <w:t xml:space="preserve"> nadhodnocení brutto hodnot a korekcí </w:t>
      </w:r>
      <w:r w:rsidR="00381D72" w:rsidRPr="009E6083">
        <w:rPr>
          <w:rFonts w:eastAsia="Calibri"/>
          <w:b/>
          <w:lang w:eastAsia="cs-CZ"/>
        </w:rPr>
        <w:t>o 9,</w:t>
      </w:r>
      <w:r w:rsidR="00381D72">
        <w:rPr>
          <w:rFonts w:eastAsia="Calibri"/>
          <w:b/>
          <w:lang w:eastAsia="cs-CZ"/>
        </w:rPr>
        <w:t>2</w:t>
      </w:r>
      <w:r w:rsidR="00381D72" w:rsidRPr="009E6083">
        <w:rPr>
          <w:rFonts w:eastAsia="Calibri"/>
          <w:b/>
          <w:lang w:eastAsia="cs-CZ"/>
        </w:rPr>
        <w:t xml:space="preserve"> mil. Kč</w:t>
      </w:r>
      <w:r w:rsidR="00381D72" w:rsidRPr="00103119">
        <w:rPr>
          <w:rFonts w:eastAsia="Calibri"/>
          <w:lang w:eastAsia="cs-CZ"/>
        </w:rPr>
        <w:t xml:space="preserve"> </w:t>
      </w:r>
      <w:r w:rsidRPr="00103119">
        <w:rPr>
          <w:rFonts w:eastAsia="Calibri"/>
          <w:lang w:eastAsia="cs-CZ"/>
        </w:rPr>
        <w:t>vykázaných v rozvaze</w:t>
      </w:r>
      <w:r>
        <w:rPr>
          <w:rFonts w:eastAsia="Calibri"/>
          <w:b/>
          <w:lang w:eastAsia="cs-CZ"/>
        </w:rPr>
        <w:t xml:space="preserve"> k účtu 315 </w:t>
      </w:r>
      <w:r w:rsidRPr="00103119">
        <w:rPr>
          <w:rFonts w:eastAsia="Calibri"/>
          <w:lang w:eastAsia="cs-CZ"/>
        </w:rPr>
        <w:t xml:space="preserve">– </w:t>
      </w:r>
      <w:r w:rsidRPr="00103119">
        <w:rPr>
          <w:rFonts w:eastAsia="Calibri"/>
          <w:i/>
          <w:lang w:eastAsia="cs-CZ"/>
        </w:rPr>
        <w:t>Jiné pohledávky z hlavní činnosti</w:t>
      </w:r>
      <w:r w:rsidR="00C659E8">
        <w:rPr>
          <w:rFonts w:eastAsia="Calibri"/>
          <w:lang w:eastAsia="cs-CZ"/>
        </w:rPr>
        <w:t xml:space="preserve"> </w:t>
      </w:r>
      <w:r>
        <w:rPr>
          <w:rFonts w:eastAsia="Calibri"/>
          <w:b/>
          <w:lang w:eastAsia="cs-CZ"/>
        </w:rPr>
        <w:t xml:space="preserve">a na nadhodnocení zůstatku účtu </w:t>
      </w:r>
      <w:r w:rsidR="00BE3057">
        <w:rPr>
          <w:rFonts w:eastAsia="Calibri"/>
          <w:b/>
          <w:lang w:eastAsia="cs-CZ"/>
        </w:rPr>
        <w:br/>
      </w:r>
      <w:r>
        <w:rPr>
          <w:rFonts w:eastAsia="Calibri"/>
          <w:b/>
          <w:lang w:eastAsia="cs-CZ"/>
        </w:rPr>
        <w:t xml:space="preserve">905 </w:t>
      </w:r>
      <w:r w:rsidRPr="00103119">
        <w:rPr>
          <w:rFonts w:eastAsia="Calibri"/>
          <w:lang w:eastAsia="cs-CZ"/>
        </w:rPr>
        <w:t xml:space="preserve">– </w:t>
      </w:r>
      <w:r w:rsidRPr="00103119">
        <w:rPr>
          <w:rFonts w:eastAsia="Calibri"/>
          <w:i/>
          <w:lang w:eastAsia="cs-CZ"/>
        </w:rPr>
        <w:t xml:space="preserve">Vyřazené pohledávky </w:t>
      </w:r>
      <w:r w:rsidR="00381D72" w:rsidRPr="0050049F">
        <w:rPr>
          <w:rFonts w:eastAsia="Calibri"/>
          <w:b/>
          <w:lang w:eastAsia="cs-CZ"/>
        </w:rPr>
        <w:t>o 1,3 mil. Kč</w:t>
      </w:r>
      <w:r w:rsidR="00381D72">
        <w:rPr>
          <w:rFonts w:eastAsia="Calibri"/>
          <w:lang w:eastAsia="cs-CZ"/>
        </w:rPr>
        <w:t xml:space="preserve"> </w:t>
      </w:r>
      <w:r w:rsidRPr="00103119">
        <w:rPr>
          <w:rFonts w:eastAsia="Calibri"/>
          <w:lang w:eastAsia="cs-CZ"/>
        </w:rPr>
        <w:t>vykázaného v příloze účetní závěrky.</w:t>
      </w:r>
    </w:p>
    <w:p w14:paraId="49D40FC9" w14:textId="77777777" w:rsidR="003C5EE6" w:rsidRPr="009002BF" w:rsidRDefault="003C5EE6" w:rsidP="00075C06">
      <w:pPr>
        <w:spacing w:after="0"/>
        <w:jc w:val="both"/>
        <w:rPr>
          <w:rFonts w:eastAsia="Calibri"/>
          <w:lang w:eastAsia="cs-CZ"/>
        </w:rPr>
      </w:pPr>
    </w:p>
    <w:p w14:paraId="676E64E3" w14:textId="77777777" w:rsidR="00A417A3" w:rsidRDefault="00866ED0" w:rsidP="00075C06">
      <w:pPr>
        <w:spacing w:after="0"/>
        <w:jc w:val="both"/>
        <w:rPr>
          <w:rFonts w:eastAsia="Calibri"/>
          <w:b/>
          <w:lang w:eastAsia="cs-CZ"/>
        </w:rPr>
      </w:pPr>
      <w:r>
        <w:rPr>
          <w:rFonts w:eastAsia="Calibri"/>
          <w:b/>
          <w:lang w:eastAsia="cs-CZ"/>
        </w:rPr>
        <w:t>1</w:t>
      </w:r>
      <w:r w:rsidR="002D0D9B">
        <w:rPr>
          <w:rFonts w:eastAsia="Calibri"/>
          <w:b/>
          <w:lang w:eastAsia="cs-CZ"/>
        </w:rPr>
        <w:t>.</w:t>
      </w:r>
      <w:r w:rsidR="0022638B">
        <w:rPr>
          <w:rFonts w:eastAsia="Calibri"/>
          <w:b/>
          <w:lang w:eastAsia="cs-CZ"/>
        </w:rPr>
        <w:t>6</w:t>
      </w:r>
      <w:r w:rsidR="002D0D9B">
        <w:rPr>
          <w:rFonts w:eastAsia="Calibri"/>
          <w:b/>
          <w:lang w:eastAsia="cs-CZ"/>
        </w:rPr>
        <w:t>. Nesprávná věcná a časová souvislost účetních případů</w:t>
      </w:r>
    </w:p>
    <w:p w14:paraId="112154A0" w14:textId="77777777" w:rsidR="00EC3392" w:rsidRPr="009002BF" w:rsidRDefault="00EC3392" w:rsidP="00075C06">
      <w:pPr>
        <w:spacing w:after="0"/>
        <w:jc w:val="both"/>
        <w:rPr>
          <w:rFonts w:eastAsia="Calibri"/>
          <w:lang w:eastAsia="cs-CZ"/>
        </w:rPr>
      </w:pPr>
    </w:p>
    <w:p w14:paraId="46B830C7" w14:textId="77777777" w:rsidR="003D1FC6" w:rsidRDefault="003D1FC6" w:rsidP="00075C06">
      <w:pPr>
        <w:spacing w:after="0"/>
        <w:jc w:val="both"/>
        <w:rPr>
          <w:rFonts w:eastAsia="Calibri"/>
          <w:b/>
          <w:lang w:eastAsia="cs-CZ"/>
        </w:rPr>
      </w:pPr>
      <w:r w:rsidRPr="00103119">
        <w:rPr>
          <w:rFonts w:eastAsia="Calibri"/>
          <w:b/>
          <w:lang w:eastAsia="cs-CZ"/>
        </w:rPr>
        <w:t>MS Praha</w:t>
      </w:r>
      <w:r>
        <w:rPr>
          <w:rFonts w:eastAsia="Calibri"/>
          <w:lang w:eastAsia="cs-CZ"/>
        </w:rPr>
        <w:t xml:space="preserve"> </w:t>
      </w:r>
      <w:r>
        <w:rPr>
          <w:rFonts w:eastAsia="Calibri"/>
          <w:b/>
          <w:lang w:eastAsia="cs-CZ"/>
        </w:rPr>
        <w:t xml:space="preserve">účtoval o zařazení technického zhodnocení </w:t>
      </w:r>
      <w:r w:rsidRPr="00103119">
        <w:rPr>
          <w:rFonts w:eastAsia="Calibri"/>
          <w:lang w:eastAsia="cs-CZ"/>
        </w:rPr>
        <w:t>budovy do majetku</w:t>
      </w:r>
      <w:r>
        <w:rPr>
          <w:rFonts w:eastAsia="Calibri"/>
          <w:b/>
          <w:lang w:eastAsia="cs-CZ"/>
        </w:rPr>
        <w:t xml:space="preserve"> až v lednu 2018, přestože okamžik uskutečnění účetního případu</w:t>
      </w:r>
      <w:r>
        <w:rPr>
          <w:rFonts w:eastAsia="Calibri"/>
          <w:lang w:eastAsia="cs-CZ"/>
        </w:rPr>
        <w:t xml:space="preserve"> (okamžik uvedení do stavu způsobilého k užívání) </w:t>
      </w:r>
      <w:r>
        <w:rPr>
          <w:rFonts w:eastAsia="Calibri"/>
          <w:b/>
          <w:lang w:eastAsia="cs-CZ"/>
        </w:rPr>
        <w:t xml:space="preserve">nastal v prosinci 2017. </w:t>
      </w:r>
      <w:r>
        <w:rPr>
          <w:rFonts w:eastAsia="Calibri"/>
          <w:lang w:eastAsia="cs-CZ"/>
        </w:rPr>
        <w:t>V důsledku této skutečnosti</w:t>
      </w:r>
      <w:r>
        <w:rPr>
          <w:rFonts w:eastAsia="Calibri"/>
          <w:b/>
          <w:lang w:eastAsia="cs-CZ"/>
        </w:rPr>
        <w:t xml:space="preserve"> </w:t>
      </w:r>
      <w:r w:rsidR="00513CB6" w:rsidRPr="00103119">
        <w:rPr>
          <w:rFonts w:eastAsia="Calibri"/>
          <w:b/>
          <w:lang w:eastAsia="cs-CZ"/>
        </w:rPr>
        <w:t>MS Praha</w:t>
      </w:r>
      <w:r w:rsidR="00513CB6">
        <w:rPr>
          <w:rFonts w:eastAsia="Calibri"/>
          <w:b/>
          <w:lang w:eastAsia="cs-CZ"/>
        </w:rPr>
        <w:t xml:space="preserve"> </w:t>
      </w:r>
      <w:r w:rsidRPr="00103119">
        <w:rPr>
          <w:rFonts w:eastAsia="Calibri"/>
          <w:lang w:eastAsia="cs-CZ"/>
        </w:rPr>
        <w:t>v rozvaze v údajích za běžné účetní období</w:t>
      </w:r>
      <w:r>
        <w:rPr>
          <w:rFonts w:eastAsia="Calibri"/>
          <w:b/>
          <w:lang w:eastAsia="cs-CZ"/>
        </w:rPr>
        <w:t xml:space="preserve"> nadhodnotil zůstatek účtu 042 </w:t>
      </w:r>
      <w:r w:rsidRPr="00103119">
        <w:rPr>
          <w:rFonts w:eastAsia="Calibri"/>
          <w:lang w:eastAsia="cs-CZ"/>
        </w:rPr>
        <w:t xml:space="preserve">– </w:t>
      </w:r>
      <w:r w:rsidRPr="00103119">
        <w:rPr>
          <w:rFonts w:eastAsia="Calibri"/>
          <w:i/>
          <w:lang w:eastAsia="cs-CZ"/>
        </w:rPr>
        <w:t>Nedokončený dlouhodobý hmotný majetek</w:t>
      </w:r>
      <w:r>
        <w:rPr>
          <w:rFonts w:eastAsia="Calibri"/>
          <w:b/>
          <w:lang w:eastAsia="cs-CZ"/>
        </w:rPr>
        <w:t xml:space="preserve"> o 6,4 mil. Kč a podhodnotil zůstatek účtu 021 </w:t>
      </w:r>
      <w:r w:rsidRPr="00103119">
        <w:rPr>
          <w:rFonts w:eastAsia="Calibri"/>
          <w:lang w:eastAsia="cs-CZ"/>
        </w:rPr>
        <w:t xml:space="preserve">– </w:t>
      </w:r>
      <w:r w:rsidRPr="00103119">
        <w:rPr>
          <w:rFonts w:eastAsia="Calibri"/>
          <w:i/>
          <w:lang w:eastAsia="cs-CZ"/>
        </w:rPr>
        <w:t>Stavby</w:t>
      </w:r>
      <w:r>
        <w:rPr>
          <w:rFonts w:eastAsia="Calibri"/>
          <w:b/>
          <w:i/>
          <w:lang w:eastAsia="cs-CZ"/>
        </w:rPr>
        <w:t xml:space="preserve"> </w:t>
      </w:r>
      <w:r w:rsidRPr="003D1FC6">
        <w:rPr>
          <w:rFonts w:eastAsia="Calibri"/>
          <w:b/>
          <w:lang w:eastAsia="cs-CZ"/>
        </w:rPr>
        <w:t>o stejnou částku</w:t>
      </w:r>
      <w:r>
        <w:rPr>
          <w:rFonts w:eastAsia="Calibri"/>
          <w:b/>
          <w:lang w:eastAsia="cs-CZ"/>
        </w:rPr>
        <w:t>.</w:t>
      </w:r>
    </w:p>
    <w:p w14:paraId="2334140B" w14:textId="77777777" w:rsidR="00513CB6" w:rsidRPr="009002BF" w:rsidRDefault="00513CB6" w:rsidP="00075C06">
      <w:pPr>
        <w:spacing w:after="0"/>
        <w:jc w:val="both"/>
        <w:rPr>
          <w:rFonts w:eastAsia="Calibri"/>
          <w:lang w:eastAsia="cs-CZ"/>
        </w:rPr>
      </w:pPr>
    </w:p>
    <w:p w14:paraId="1FF1A3FE" w14:textId="0042A5A8" w:rsidR="00513CB6" w:rsidRDefault="00513CB6" w:rsidP="00075C06">
      <w:pPr>
        <w:spacing w:after="0"/>
        <w:jc w:val="both"/>
        <w:rPr>
          <w:b/>
          <w:lang w:eastAsia="cs-CZ"/>
        </w:rPr>
      </w:pPr>
      <w:r w:rsidRPr="00103119">
        <w:rPr>
          <w:b/>
          <w:lang w:eastAsia="cs-CZ"/>
        </w:rPr>
        <w:t>MS Praha</w:t>
      </w:r>
      <w:r>
        <w:rPr>
          <w:lang w:eastAsia="cs-CZ"/>
        </w:rPr>
        <w:t xml:space="preserve"> </w:t>
      </w:r>
      <w:r>
        <w:rPr>
          <w:b/>
          <w:lang w:eastAsia="cs-CZ"/>
        </w:rPr>
        <w:t xml:space="preserve">účtoval o pohledávce a o souvisejícím výnosu z titulu vyměřeného peněžitého trestu až v roce 2017, přestože tato skutečnost </w:t>
      </w:r>
      <w:r w:rsidRPr="00103119">
        <w:rPr>
          <w:lang w:eastAsia="cs-CZ"/>
        </w:rPr>
        <w:t xml:space="preserve">časově a věcně </w:t>
      </w:r>
      <w:r>
        <w:rPr>
          <w:b/>
          <w:lang w:eastAsia="cs-CZ"/>
        </w:rPr>
        <w:t>souvisela s </w:t>
      </w:r>
      <w:r w:rsidRPr="00103119">
        <w:rPr>
          <w:lang w:eastAsia="cs-CZ"/>
        </w:rPr>
        <w:t>účetním obdobím</w:t>
      </w:r>
      <w:r w:rsidR="003E4A79">
        <w:rPr>
          <w:lang w:eastAsia="cs-CZ"/>
        </w:rPr>
        <w:t xml:space="preserve"> roku</w:t>
      </w:r>
      <w:r>
        <w:rPr>
          <w:b/>
          <w:lang w:eastAsia="cs-CZ"/>
        </w:rPr>
        <w:t xml:space="preserve"> 2016. </w:t>
      </w:r>
      <w:r>
        <w:rPr>
          <w:lang w:eastAsia="cs-CZ"/>
        </w:rPr>
        <w:t>V důsledku této skutečnosti</w:t>
      </w:r>
      <w:r>
        <w:rPr>
          <w:b/>
          <w:lang w:eastAsia="cs-CZ"/>
        </w:rPr>
        <w:t xml:space="preserve"> </w:t>
      </w:r>
      <w:r w:rsidRPr="00103119">
        <w:rPr>
          <w:b/>
          <w:lang w:eastAsia="cs-CZ"/>
        </w:rPr>
        <w:t>MS Praha</w:t>
      </w:r>
      <w:r>
        <w:rPr>
          <w:b/>
          <w:lang w:eastAsia="cs-CZ"/>
        </w:rPr>
        <w:t xml:space="preserve"> </w:t>
      </w:r>
      <w:r w:rsidRPr="00103119">
        <w:rPr>
          <w:lang w:eastAsia="cs-CZ"/>
        </w:rPr>
        <w:t>v rozvaze v údajích za běžné účetní období</w:t>
      </w:r>
      <w:r>
        <w:rPr>
          <w:b/>
          <w:lang w:eastAsia="cs-CZ"/>
        </w:rPr>
        <w:t xml:space="preserve"> podhodnotil zůstatek účtu 432 </w:t>
      </w:r>
      <w:r w:rsidRPr="00103119">
        <w:rPr>
          <w:lang w:eastAsia="cs-CZ"/>
        </w:rPr>
        <w:t xml:space="preserve">– </w:t>
      </w:r>
      <w:r w:rsidRPr="00103119">
        <w:rPr>
          <w:i/>
          <w:lang w:eastAsia="cs-CZ"/>
        </w:rPr>
        <w:t>Výsledek hospodaření předcházejících účetních období</w:t>
      </w:r>
      <w:r w:rsidR="009646D6">
        <w:rPr>
          <w:i/>
          <w:lang w:eastAsia="cs-CZ"/>
        </w:rPr>
        <w:t xml:space="preserve"> </w:t>
      </w:r>
      <w:r>
        <w:rPr>
          <w:b/>
          <w:lang w:eastAsia="cs-CZ"/>
        </w:rPr>
        <w:t>o</w:t>
      </w:r>
      <w:r w:rsidR="009646D6">
        <w:rPr>
          <w:b/>
          <w:lang w:eastAsia="cs-CZ"/>
        </w:rPr>
        <w:t> </w:t>
      </w:r>
      <w:r>
        <w:rPr>
          <w:b/>
          <w:lang w:eastAsia="cs-CZ"/>
        </w:rPr>
        <w:t>1,5</w:t>
      </w:r>
      <w:r w:rsidR="009646D6">
        <w:rPr>
          <w:b/>
          <w:lang w:eastAsia="cs-CZ"/>
        </w:rPr>
        <w:t> </w:t>
      </w:r>
      <w:r>
        <w:rPr>
          <w:b/>
          <w:lang w:eastAsia="cs-CZ"/>
        </w:rPr>
        <w:t xml:space="preserve">mil. Kč a </w:t>
      </w:r>
      <w:r w:rsidRPr="00103119">
        <w:rPr>
          <w:lang w:eastAsia="cs-CZ"/>
        </w:rPr>
        <w:t>ve výkazu zisku a ztráty v údajích za běžné účetní období</w:t>
      </w:r>
      <w:r>
        <w:rPr>
          <w:b/>
          <w:lang w:eastAsia="cs-CZ"/>
        </w:rPr>
        <w:t xml:space="preserve"> nadhodnotil zůstatek účtu 642 </w:t>
      </w:r>
      <w:r w:rsidRPr="00103119">
        <w:rPr>
          <w:lang w:eastAsia="cs-CZ"/>
        </w:rPr>
        <w:t xml:space="preserve">– </w:t>
      </w:r>
      <w:r w:rsidRPr="00103119">
        <w:rPr>
          <w:i/>
          <w:lang w:eastAsia="cs-CZ"/>
        </w:rPr>
        <w:t>Jiné pokuty a penále</w:t>
      </w:r>
      <w:r>
        <w:rPr>
          <w:b/>
          <w:i/>
          <w:lang w:eastAsia="cs-CZ"/>
        </w:rPr>
        <w:t xml:space="preserve"> </w:t>
      </w:r>
      <w:r w:rsidRPr="00513CB6">
        <w:rPr>
          <w:b/>
          <w:lang w:eastAsia="cs-CZ"/>
        </w:rPr>
        <w:t>o stejnou částku</w:t>
      </w:r>
      <w:r>
        <w:rPr>
          <w:b/>
          <w:lang w:eastAsia="cs-CZ"/>
        </w:rPr>
        <w:t>.</w:t>
      </w:r>
    </w:p>
    <w:p w14:paraId="142D1161" w14:textId="77777777" w:rsidR="0058623E" w:rsidRPr="009002BF" w:rsidRDefault="0058623E" w:rsidP="00075C06">
      <w:pPr>
        <w:spacing w:after="0"/>
        <w:jc w:val="both"/>
        <w:rPr>
          <w:lang w:eastAsia="cs-CZ"/>
        </w:rPr>
      </w:pPr>
    </w:p>
    <w:p w14:paraId="2000825E" w14:textId="77777777" w:rsidR="00540B10" w:rsidRDefault="00540B10" w:rsidP="00540B10">
      <w:pPr>
        <w:spacing w:after="0"/>
        <w:jc w:val="both"/>
        <w:rPr>
          <w:rFonts w:asciiTheme="minorHAnsi" w:eastAsiaTheme="minorHAnsi" w:hAnsiTheme="minorHAnsi" w:cstheme="minorHAnsi"/>
          <w:b/>
          <w:lang w:eastAsia="cs-CZ"/>
        </w:rPr>
      </w:pPr>
      <w:r w:rsidRPr="00103119">
        <w:rPr>
          <w:rFonts w:asciiTheme="minorHAnsi" w:eastAsiaTheme="minorHAnsi" w:hAnsiTheme="minorHAnsi" w:cstheme="minorHAnsi"/>
          <w:b/>
          <w:lang w:eastAsia="cs-CZ"/>
        </w:rPr>
        <w:lastRenderedPageBreak/>
        <w:t>MS Praha</w:t>
      </w:r>
      <w:r>
        <w:rPr>
          <w:rFonts w:asciiTheme="minorHAnsi" w:eastAsiaTheme="minorHAnsi" w:hAnsiTheme="minorHAnsi" w:cstheme="minorHAnsi"/>
          <w:b/>
          <w:lang w:eastAsia="cs-CZ"/>
        </w:rPr>
        <w:t xml:space="preserve"> neprovedl v okamžiku vzniku závazků, </w:t>
      </w:r>
      <w:r w:rsidRPr="00103119">
        <w:rPr>
          <w:rFonts w:asciiTheme="minorHAnsi" w:eastAsiaTheme="minorHAnsi" w:hAnsiTheme="minorHAnsi" w:cstheme="minorHAnsi"/>
          <w:lang w:eastAsia="cs-CZ"/>
        </w:rPr>
        <w:t xml:space="preserve">v podobě výdajů příštích období, </w:t>
      </w:r>
      <w:r>
        <w:rPr>
          <w:rFonts w:asciiTheme="minorHAnsi" w:eastAsiaTheme="minorHAnsi" w:hAnsiTheme="minorHAnsi" w:cstheme="minorHAnsi"/>
          <w:b/>
          <w:lang w:eastAsia="cs-CZ"/>
        </w:rPr>
        <w:t xml:space="preserve">odúčtování souvisejících podmíněných závazků z účtu 973 </w:t>
      </w:r>
      <w:r w:rsidRPr="00103119">
        <w:rPr>
          <w:lang w:eastAsia="cs-CZ"/>
        </w:rPr>
        <w:t>–</w:t>
      </w:r>
      <w:r w:rsidRPr="00103119">
        <w:rPr>
          <w:rFonts w:asciiTheme="minorHAnsi" w:eastAsiaTheme="minorHAnsi" w:hAnsiTheme="minorHAnsi" w:cstheme="minorHAnsi"/>
          <w:lang w:eastAsia="cs-CZ"/>
        </w:rPr>
        <w:t xml:space="preserve"> </w:t>
      </w:r>
      <w:r w:rsidRPr="00103119">
        <w:rPr>
          <w:rFonts w:asciiTheme="minorHAnsi" w:eastAsiaTheme="minorHAnsi" w:hAnsiTheme="minorHAnsi" w:cstheme="minorHAnsi"/>
          <w:i/>
          <w:lang w:eastAsia="cs-CZ"/>
        </w:rPr>
        <w:t>Krátkodobé podmíněné závazky z jiných smluv</w:t>
      </w:r>
      <w:r w:rsidRPr="00103119">
        <w:rPr>
          <w:rFonts w:asciiTheme="minorHAnsi" w:eastAsiaTheme="minorHAnsi" w:hAnsiTheme="minorHAnsi" w:cstheme="minorHAnsi"/>
          <w:lang w:eastAsia="cs-CZ"/>
        </w:rPr>
        <w:t>.</w:t>
      </w:r>
      <w:r w:rsidRPr="00875E88">
        <w:rPr>
          <w:rFonts w:asciiTheme="minorHAnsi" w:eastAsiaTheme="minorHAnsi" w:hAnsiTheme="minorHAnsi" w:cstheme="minorHAnsi"/>
          <w:lang w:eastAsia="cs-CZ"/>
        </w:rPr>
        <w:t xml:space="preserve"> </w:t>
      </w:r>
      <w:r>
        <w:rPr>
          <w:rFonts w:asciiTheme="minorHAnsi" w:eastAsiaTheme="minorHAnsi" w:hAnsiTheme="minorHAnsi" w:cstheme="minorHAnsi"/>
          <w:lang w:eastAsia="cs-CZ"/>
        </w:rPr>
        <w:t xml:space="preserve">V důsledku této skutečnosti </w:t>
      </w:r>
      <w:r w:rsidRPr="00103119">
        <w:rPr>
          <w:rFonts w:asciiTheme="minorHAnsi" w:eastAsiaTheme="minorHAnsi" w:hAnsiTheme="minorHAnsi" w:cstheme="minorHAnsi"/>
          <w:b/>
          <w:lang w:eastAsia="cs-CZ"/>
        </w:rPr>
        <w:t>MS Praha</w:t>
      </w:r>
      <w:r>
        <w:rPr>
          <w:rFonts w:asciiTheme="minorHAnsi" w:eastAsiaTheme="minorHAnsi" w:hAnsiTheme="minorHAnsi" w:cstheme="minorHAnsi"/>
          <w:b/>
          <w:lang w:eastAsia="cs-CZ"/>
        </w:rPr>
        <w:t xml:space="preserve"> </w:t>
      </w:r>
      <w:r w:rsidRPr="00103119">
        <w:rPr>
          <w:rFonts w:asciiTheme="minorHAnsi" w:eastAsiaTheme="minorHAnsi" w:hAnsiTheme="minorHAnsi" w:cstheme="minorHAnsi"/>
          <w:lang w:eastAsia="cs-CZ"/>
        </w:rPr>
        <w:t>v</w:t>
      </w:r>
      <w:r w:rsidR="00FB2621">
        <w:rPr>
          <w:rFonts w:asciiTheme="minorHAnsi" w:eastAsiaTheme="minorHAnsi" w:hAnsiTheme="minorHAnsi" w:cstheme="minorHAnsi"/>
          <w:lang w:eastAsia="cs-CZ"/>
        </w:rPr>
        <w:t> </w:t>
      </w:r>
      <w:r w:rsidRPr="00103119">
        <w:rPr>
          <w:rFonts w:asciiTheme="minorHAnsi" w:eastAsiaTheme="minorHAnsi" w:hAnsiTheme="minorHAnsi" w:cstheme="minorHAnsi"/>
          <w:lang w:eastAsia="cs-CZ"/>
        </w:rPr>
        <w:t>příloze</w:t>
      </w:r>
      <w:r w:rsidR="00FB2621">
        <w:rPr>
          <w:rFonts w:asciiTheme="minorHAnsi" w:eastAsiaTheme="minorHAnsi" w:hAnsiTheme="minorHAnsi" w:cstheme="minorHAnsi"/>
          <w:lang w:eastAsia="cs-CZ"/>
        </w:rPr>
        <w:t xml:space="preserve"> účetní závěrky</w:t>
      </w:r>
      <w:r w:rsidRPr="00103119">
        <w:rPr>
          <w:rFonts w:asciiTheme="minorHAnsi" w:eastAsiaTheme="minorHAnsi" w:hAnsiTheme="minorHAnsi" w:cstheme="minorHAnsi"/>
          <w:lang w:eastAsia="cs-CZ"/>
        </w:rPr>
        <w:t xml:space="preserve"> v údajích za běžné účetní období</w:t>
      </w:r>
      <w:r>
        <w:rPr>
          <w:rFonts w:asciiTheme="minorHAnsi" w:eastAsiaTheme="minorHAnsi" w:hAnsiTheme="minorHAnsi" w:cstheme="minorHAnsi"/>
          <w:b/>
          <w:lang w:eastAsia="cs-CZ"/>
        </w:rPr>
        <w:t xml:space="preserve"> nadhodnotil zůstatek účtu 973 </w:t>
      </w:r>
      <w:r w:rsidRPr="00103119">
        <w:rPr>
          <w:rFonts w:asciiTheme="minorHAnsi" w:eastAsiaTheme="minorHAnsi" w:hAnsiTheme="minorHAnsi" w:cstheme="minorHAnsi"/>
          <w:lang w:eastAsia="cs-CZ"/>
        </w:rPr>
        <w:t xml:space="preserve">– </w:t>
      </w:r>
      <w:r w:rsidRPr="00103119">
        <w:rPr>
          <w:rFonts w:asciiTheme="minorHAnsi" w:eastAsiaTheme="minorHAnsi" w:hAnsiTheme="minorHAnsi" w:cstheme="minorHAnsi"/>
          <w:i/>
          <w:lang w:eastAsia="cs-CZ"/>
        </w:rPr>
        <w:t>Krátkodobé podmíněné závazky z jiných smluv</w:t>
      </w:r>
      <w:r>
        <w:rPr>
          <w:rFonts w:asciiTheme="minorHAnsi" w:eastAsiaTheme="minorHAnsi" w:hAnsiTheme="minorHAnsi" w:cstheme="minorHAnsi"/>
          <w:b/>
          <w:lang w:eastAsia="cs-CZ"/>
        </w:rPr>
        <w:t xml:space="preserve"> o</w:t>
      </w:r>
      <w:r w:rsidR="009646D6">
        <w:rPr>
          <w:rFonts w:asciiTheme="minorHAnsi" w:eastAsiaTheme="minorHAnsi" w:hAnsiTheme="minorHAnsi" w:cstheme="minorHAnsi"/>
          <w:b/>
          <w:lang w:eastAsia="cs-CZ"/>
        </w:rPr>
        <w:t> </w:t>
      </w:r>
      <w:r>
        <w:rPr>
          <w:rFonts w:asciiTheme="minorHAnsi" w:eastAsiaTheme="minorHAnsi" w:hAnsiTheme="minorHAnsi" w:cstheme="minorHAnsi"/>
          <w:b/>
          <w:lang w:eastAsia="cs-CZ"/>
        </w:rPr>
        <w:t>2,3</w:t>
      </w:r>
      <w:r w:rsidR="009646D6">
        <w:rPr>
          <w:rFonts w:asciiTheme="minorHAnsi" w:eastAsiaTheme="minorHAnsi" w:hAnsiTheme="minorHAnsi" w:cstheme="minorHAnsi"/>
          <w:b/>
          <w:lang w:eastAsia="cs-CZ"/>
        </w:rPr>
        <w:t> </w:t>
      </w:r>
      <w:r>
        <w:rPr>
          <w:rFonts w:asciiTheme="minorHAnsi" w:eastAsiaTheme="minorHAnsi" w:hAnsiTheme="minorHAnsi" w:cstheme="minorHAnsi"/>
          <w:b/>
          <w:lang w:eastAsia="cs-CZ"/>
        </w:rPr>
        <w:t>mil. Kč.</w:t>
      </w:r>
    </w:p>
    <w:p w14:paraId="4E96189B" w14:textId="77777777" w:rsidR="0058623E" w:rsidRDefault="0058623E" w:rsidP="00075C06">
      <w:pPr>
        <w:spacing w:after="0"/>
        <w:jc w:val="both"/>
        <w:rPr>
          <w:rFonts w:eastAsia="Calibri"/>
          <w:b/>
          <w:lang w:eastAsia="cs-CZ"/>
        </w:rPr>
      </w:pPr>
    </w:p>
    <w:p w14:paraId="6F3ABE95" w14:textId="77777777" w:rsidR="002D0D9B" w:rsidRDefault="00866ED0" w:rsidP="00075C06">
      <w:pPr>
        <w:spacing w:after="0"/>
        <w:jc w:val="both"/>
        <w:rPr>
          <w:rFonts w:eastAsia="Calibri"/>
          <w:b/>
          <w:lang w:eastAsia="cs-CZ"/>
        </w:rPr>
      </w:pPr>
      <w:r>
        <w:rPr>
          <w:rFonts w:eastAsia="Calibri"/>
          <w:b/>
          <w:lang w:eastAsia="cs-CZ"/>
        </w:rPr>
        <w:t>1</w:t>
      </w:r>
      <w:r w:rsidR="002D0D9B">
        <w:rPr>
          <w:rFonts w:eastAsia="Calibri"/>
          <w:b/>
          <w:lang w:eastAsia="cs-CZ"/>
        </w:rPr>
        <w:t>.</w:t>
      </w:r>
      <w:r w:rsidR="0022638B">
        <w:rPr>
          <w:rFonts w:eastAsia="Calibri"/>
          <w:b/>
          <w:lang w:eastAsia="cs-CZ"/>
        </w:rPr>
        <w:t>7</w:t>
      </w:r>
      <w:r w:rsidR="002D0D9B">
        <w:rPr>
          <w:rFonts w:eastAsia="Calibri"/>
          <w:b/>
          <w:lang w:eastAsia="cs-CZ"/>
        </w:rPr>
        <w:t xml:space="preserve"> Nesprávná aplikace </w:t>
      </w:r>
      <w:r w:rsidR="0022638B">
        <w:rPr>
          <w:rFonts w:eastAsia="Calibri"/>
          <w:b/>
          <w:lang w:eastAsia="cs-CZ"/>
        </w:rPr>
        <w:t xml:space="preserve">účetní </w:t>
      </w:r>
      <w:r w:rsidR="002D0D9B">
        <w:rPr>
          <w:rFonts w:eastAsia="Calibri"/>
          <w:b/>
          <w:lang w:eastAsia="cs-CZ"/>
        </w:rPr>
        <w:t>metody odpisování</w:t>
      </w:r>
    </w:p>
    <w:p w14:paraId="3BAE56E3" w14:textId="77777777" w:rsidR="00EC3392" w:rsidRDefault="00EC3392" w:rsidP="00075C06">
      <w:pPr>
        <w:spacing w:after="0"/>
        <w:jc w:val="both"/>
        <w:rPr>
          <w:rFonts w:eastAsia="Calibri"/>
          <w:b/>
          <w:lang w:eastAsia="cs-CZ"/>
        </w:rPr>
      </w:pPr>
    </w:p>
    <w:p w14:paraId="2A480694" w14:textId="77777777" w:rsidR="00A417A3" w:rsidRDefault="006C29B5" w:rsidP="003D1FC6">
      <w:pPr>
        <w:jc w:val="both"/>
        <w:rPr>
          <w:lang w:eastAsia="cs-CZ"/>
        </w:rPr>
      </w:pPr>
      <w:r w:rsidRPr="00103119">
        <w:rPr>
          <w:b/>
          <w:lang w:eastAsia="cs-CZ"/>
        </w:rPr>
        <w:t>MS Praha</w:t>
      </w:r>
      <w:r w:rsidRPr="006C29B5">
        <w:rPr>
          <w:lang w:eastAsia="cs-CZ"/>
        </w:rPr>
        <w:t xml:space="preserve"> </w:t>
      </w:r>
      <w:r w:rsidRPr="006C29B5">
        <w:rPr>
          <w:b/>
          <w:lang w:eastAsia="cs-CZ"/>
        </w:rPr>
        <w:t>nevhodně nastavil předpokládanou dobu používání u dlouhodobého majetku typu informačních technologií</w:t>
      </w:r>
      <w:r w:rsidR="00E54E82" w:rsidRPr="00875E88">
        <w:rPr>
          <w:b/>
          <w:lang w:eastAsia="cs-CZ"/>
        </w:rPr>
        <w:t>.</w:t>
      </w:r>
      <w:r w:rsidR="00E54E82">
        <w:rPr>
          <w:lang w:eastAsia="cs-CZ"/>
        </w:rPr>
        <w:t xml:space="preserve"> MS Praha </w:t>
      </w:r>
      <w:r w:rsidR="00E54E82" w:rsidRPr="003D1FC6">
        <w:rPr>
          <w:b/>
          <w:lang w:eastAsia="cs-CZ"/>
        </w:rPr>
        <w:t>stanovil</w:t>
      </w:r>
      <w:r w:rsidR="00E54E82">
        <w:rPr>
          <w:lang w:eastAsia="cs-CZ"/>
        </w:rPr>
        <w:t xml:space="preserve"> u tohoto druhu majetku </w:t>
      </w:r>
      <w:r w:rsidR="00E54E82" w:rsidRPr="003D1FC6">
        <w:rPr>
          <w:b/>
          <w:lang w:eastAsia="cs-CZ"/>
        </w:rPr>
        <w:t xml:space="preserve">předpokládanou dobu používání významně </w:t>
      </w:r>
      <w:r w:rsidR="003D1FC6" w:rsidRPr="003D1FC6">
        <w:rPr>
          <w:b/>
          <w:lang w:eastAsia="cs-CZ"/>
        </w:rPr>
        <w:t>delší</w:t>
      </w:r>
      <w:r w:rsidR="00E54E82" w:rsidRPr="003D1FC6">
        <w:rPr>
          <w:b/>
          <w:lang w:eastAsia="cs-CZ"/>
        </w:rPr>
        <w:t xml:space="preserve">, než byla skutečná doba </w:t>
      </w:r>
      <w:r w:rsidR="00E54E82" w:rsidRPr="008F293D">
        <w:rPr>
          <w:lang w:eastAsia="cs-CZ"/>
        </w:rPr>
        <w:t>používání,</w:t>
      </w:r>
      <w:r w:rsidR="00E54E82" w:rsidRPr="003D1FC6">
        <w:rPr>
          <w:b/>
          <w:lang w:eastAsia="cs-CZ"/>
        </w:rPr>
        <w:t xml:space="preserve"> čímž vyřazoval majetek s vysokou zůstatkovou cenou.</w:t>
      </w:r>
      <w:r w:rsidR="00E54E82">
        <w:rPr>
          <w:lang w:eastAsia="cs-CZ"/>
        </w:rPr>
        <w:t xml:space="preserve"> Jednalo se například o </w:t>
      </w:r>
      <w:r w:rsidR="00E54E82" w:rsidRPr="003D1FC6">
        <w:rPr>
          <w:b/>
          <w:lang w:eastAsia="cs-CZ"/>
        </w:rPr>
        <w:t>servery</w:t>
      </w:r>
      <w:r w:rsidR="003D1FC6">
        <w:rPr>
          <w:lang w:eastAsia="cs-CZ"/>
        </w:rPr>
        <w:t xml:space="preserve"> (</w:t>
      </w:r>
      <w:r w:rsidR="00A417A3">
        <w:rPr>
          <w:lang w:eastAsia="cs-CZ"/>
        </w:rPr>
        <w:t xml:space="preserve">průměrná </w:t>
      </w:r>
      <w:r w:rsidR="003D1FC6">
        <w:rPr>
          <w:lang w:eastAsia="cs-CZ"/>
        </w:rPr>
        <w:t>předpokládaná doba používání</w:t>
      </w:r>
      <w:r w:rsidR="00A417A3">
        <w:rPr>
          <w:lang w:eastAsia="cs-CZ"/>
        </w:rPr>
        <w:t>:</w:t>
      </w:r>
      <w:r w:rsidR="003D1FC6">
        <w:rPr>
          <w:lang w:eastAsia="cs-CZ"/>
        </w:rPr>
        <w:t xml:space="preserve"> </w:t>
      </w:r>
      <w:r w:rsidR="00A417A3" w:rsidRPr="00A417A3">
        <w:rPr>
          <w:b/>
          <w:lang w:eastAsia="cs-CZ"/>
        </w:rPr>
        <w:t>26</w:t>
      </w:r>
      <w:r w:rsidR="003D1FC6" w:rsidRPr="00A417A3">
        <w:rPr>
          <w:b/>
          <w:lang w:eastAsia="cs-CZ"/>
        </w:rPr>
        <w:t xml:space="preserve"> let</w:t>
      </w:r>
      <w:r w:rsidR="003D1FC6" w:rsidRPr="00875E88">
        <w:rPr>
          <w:b/>
          <w:lang w:eastAsia="cs-CZ"/>
        </w:rPr>
        <w:t>,</w:t>
      </w:r>
      <w:r w:rsidR="003D1FC6">
        <w:rPr>
          <w:lang w:eastAsia="cs-CZ"/>
        </w:rPr>
        <w:t xml:space="preserve"> průměrná doba stáří serverů při vyřazení: </w:t>
      </w:r>
      <w:r w:rsidR="003D1FC6" w:rsidRPr="00A417A3">
        <w:rPr>
          <w:b/>
          <w:lang w:eastAsia="cs-CZ"/>
        </w:rPr>
        <w:t>14 let</w:t>
      </w:r>
      <w:r w:rsidR="003D1FC6">
        <w:rPr>
          <w:lang w:eastAsia="cs-CZ"/>
        </w:rPr>
        <w:t>)</w:t>
      </w:r>
      <w:r w:rsidR="00E54E82">
        <w:rPr>
          <w:lang w:eastAsia="cs-CZ"/>
        </w:rPr>
        <w:t>,</w:t>
      </w:r>
      <w:r w:rsidR="003D1FC6">
        <w:rPr>
          <w:lang w:eastAsia="cs-CZ"/>
        </w:rPr>
        <w:t xml:space="preserve"> </w:t>
      </w:r>
      <w:r w:rsidR="003D1FC6">
        <w:rPr>
          <w:b/>
          <w:lang w:eastAsia="cs-CZ"/>
        </w:rPr>
        <w:t>scannery</w:t>
      </w:r>
      <w:r w:rsidR="003D1FC6">
        <w:rPr>
          <w:lang w:eastAsia="cs-CZ"/>
        </w:rPr>
        <w:t xml:space="preserve"> (</w:t>
      </w:r>
      <w:r w:rsidR="00A417A3">
        <w:rPr>
          <w:lang w:eastAsia="cs-CZ"/>
        </w:rPr>
        <w:t xml:space="preserve">průměrná </w:t>
      </w:r>
      <w:r w:rsidR="003D1FC6">
        <w:rPr>
          <w:lang w:eastAsia="cs-CZ"/>
        </w:rPr>
        <w:t>předpokládaná doba používání</w:t>
      </w:r>
      <w:r w:rsidR="00A417A3">
        <w:rPr>
          <w:lang w:eastAsia="cs-CZ"/>
        </w:rPr>
        <w:t>:</w:t>
      </w:r>
      <w:r w:rsidR="003D1FC6">
        <w:rPr>
          <w:lang w:eastAsia="cs-CZ"/>
        </w:rPr>
        <w:t xml:space="preserve"> </w:t>
      </w:r>
      <w:r w:rsidR="003D1FC6" w:rsidRPr="00A417A3">
        <w:rPr>
          <w:b/>
          <w:lang w:eastAsia="cs-CZ"/>
        </w:rPr>
        <w:t>2</w:t>
      </w:r>
      <w:r w:rsidR="00A417A3" w:rsidRPr="00A417A3">
        <w:rPr>
          <w:b/>
          <w:lang w:eastAsia="cs-CZ"/>
        </w:rPr>
        <w:t>0</w:t>
      </w:r>
      <w:r w:rsidR="003D1FC6" w:rsidRPr="00A417A3">
        <w:rPr>
          <w:b/>
          <w:lang w:eastAsia="cs-CZ"/>
        </w:rPr>
        <w:t xml:space="preserve"> let</w:t>
      </w:r>
      <w:r w:rsidR="003D1FC6" w:rsidRPr="00875E88">
        <w:rPr>
          <w:b/>
          <w:lang w:eastAsia="cs-CZ"/>
        </w:rPr>
        <w:t>,</w:t>
      </w:r>
      <w:r w:rsidR="003D1FC6">
        <w:rPr>
          <w:lang w:eastAsia="cs-CZ"/>
        </w:rPr>
        <w:t xml:space="preserve"> průměrná doba stáří </w:t>
      </w:r>
      <w:r w:rsidR="00A417A3">
        <w:rPr>
          <w:lang w:eastAsia="cs-CZ"/>
        </w:rPr>
        <w:t>scannerů</w:t>
      </w:r>
      <w:r w:rsidR="003D1FC6">
        <w:rPr>
          <w:lang w:eastAsia="cs-CZ"/>
        </w:rPr>
        <w:t xml:space="preserve"> při vyřazení: </w:t>
      </w:r>
      <w:r w:rsidR="003D1FC6" w:rsidRPr="00A417A3">
        <w:rPr>
          <w:b/>
          <w:lang w:eastAsia="cs-CZ"/>
        </w:rPr>
        <w:t>14 let</w:t>
      </w:r>
      <w:r w:rsidR="003D1FC6">
        <w:rPr>
          <w:lang w:eastAsia="cs-CZ"/>
        </w:rPr>
        <w:t>)</w:t>
      </w:r>
      <w:r w:rsidR="00A417A3">
        <w:rPr>
          <w:lang w:eastAsia="cs-CZ"/>
        </w:rPr>
        <w:t xml:space="preserve">, </w:t>
      </w:r>
      <w:r w:rsidR="00A417A3">
        <w:rPr>
          <w:b/>
          <w:lang w:eastAsia="cs-CZ"/>
        </w:rPr>
        <w:t>tiskárny</w:t>
      </w:r>
      <w:r w:rsidR="00A417A3">
        <w:rPr>
          <w:lang w:eastAsia="cs-CZ"/>
        </w:rPr>
        <w:t xml:space="preserve"> (průměrná předpokládaná doba používání: </w:t>
      </w:r>
      <w:r w:rsidR="00A417A3" w:rsidRPr="00A417A3">
        <w:rPr>
          <w:b/>
          <w:lang w:eastAsia="cs-CZ"/>
        </w:rPr>
        <w:t>18 let</w:t>
      </w:r>
      <w:r w:rsidR="00A417A3" w:rsidRPr="00875E88">
        <w:rPr>
          <w:b/>
          <w:lang w:eastAsia="cs-CZ"/>
        </w:rPr>
        <w:t>,</w:t>
      </w:r>
      <w:r w:rsidR="00A417A3">
        <w:rPr>
          <w:lang w:eastAsia="cs-CZ"/>
        </w:rPr>
        <w:t xml:space="preserve"> průměrná doba stáří tiskáren při vyřazení: </w:t>
      </w:r>
      <w:r w:rsidR="00A417A3" w:rsidRPr="00A417A3">
        <w:rPr>
          <w:b/>
          <w:lang w:eastAsia="cs-CZ"/>
        </w:rPr>
        <w:t>16 let</w:t>
      </w:r>
      <w:r w:rsidR="00A417A3">
        <w:rPr>
          <w:lang w:eastAsia="cs-CZ"/>
        </w:rPr>
        <w:t xml:space="preserve">), </w:t>
      </w:r>
      <w:r w:rsidR="00A417A3">
        <w:rPr>
          <w:b/>
          <w:lang w:eastAsia="cs-CZ"/>
        </w:rPr>
        <w:t>notebooky</w:t>
      </w:r>
      <w:r w:rsidR="00A417A3">
        <w:rPr>
          <w:lang w:eastAsia="cs-CZ"/>
        </w:rPr>
        <w:t xml:space="preserve"> (průměrná předpokládaná doba používání: </w:t>
      </w:r>
      <w:r w:rsidR="00A417A3" w:rsidRPr="00A417A3">
        <w:rPr>
          <w:b/>
          <w:lang w:eastAsia="cs-CZ"/>
        </w:rPr>
        <w:t>17 let</w:t>
      </w:r>
      <w:r w:rsidR="00A417A3" w:rsidRPr="00875E88">
        <w:rPr>
          <w:b/>
          <w:lang w:eastAsia="cs-CZ"/>
        </w:rPr>
        <w:t>,</w:t>
      </w:r>
      <w:r w:rsidR="00A417A3">
        <w:rPr>
          <w:lang w:eastAsia="cs-CZ"/>
        </w:rPr>
        <w:t xml:space="preserve"> průměrná doba stáří notebooků při vyřazení: </w:t>
      </w:r>
      <w:r w:rsidR="00A417A3" w:rsidRPr="00A417A3">
        <w:rPr>
          <w:b/>
          <w:lang w:eastAsia="cs-CZ"/>
        </w:rPr>
        <w:t>13 let</w:t>
      </w:r>
      <w:r w:rsidR="00A417A3">
        <w:rPr>
          <w:lang w:eastAsia="cs-CZ"/>
        </w:rPr>
        <w:t xml:space="preserve">), </w:t>
      </w:r>
      <w:r w:rsidR="00A417A3" w:rsidRPr="00A417A3">
        <w:rPr>
          <w:b/>
          <w:lang w:eastAsia="cs-CZ"/>
        </w:rPr>
        <w:t>počítače</w:t>
      </w:r>
      <w:r w:rsidR="00A417A3" w:rsidRPr="00A417A3">
        <w:rPr>
          <w:lang w:eastAsia="cs-CZ"/>
        </w:rPr>
        <w:t xml:space="preserve"> (průměrná předpokládaná doba používání: </w:t>
      </w:r>
      <w:r w:rsidR="00A417A3" w:rsidRPr="00A417A3">
        <w:rPr>
          <w:b/>
          <w:lang w:eastAsia="cs-CZ"/>
        </w:rPr>
        <w:t>18 let</w:t>
      </w:r>
      <w:r w:rsidR="00A417A3" w:rsidRPr="00875E88">
        <w:rPr>
          <w:b/>
          <w:lang w:eastAsia="cs-CZ"/>
        </w:rPr>
        <w:t>,</w:t>
      </w:r>
      <w:r w:rsidR="00A417A3" w:rsidRPr="00A417A3">
        <w:rPr>
          <w:lang w:eastAsia="cs-CZ"/>
        </w:rPr>
        <w:t xml:space="preserve"> průměrná doba stáří </w:t>
      </w:r>
      <w:r w:rsidR="00A417A3">
        <w:rPr>
          <w:lang w:eastAsia="cs-CZ"/>
        </w:rPr>
        <w:t>počítačů</w:t>
      </w:r>
      <w:r w:rsidR="00A417A3" w:rsidRPr="00A417A3">
        <w:rPr>
          <w:lang w:eastAsia="cs-CZ"/>
        </w:rPr>
        <w:t xml:space="preserve"> při vyřazení: </w:t>
      </w:r>
      <w:r w:rsidR="00A417A3" w:rsidRPr="00A417A3">
        <w:rPr>
          <w:b/>
          <w:lang w:eastAsia="cs-CZ"/>
        </w:rPr>
        <w:t>13 let</w:t>
      </w:r>
      <w:r w:rsidR="00A417A3">
        <w:rPr>
          <w:lang w:eastAsia="cs-CZ"/>
        </w:rPr>
        <w:t>).</w:t>
      </w:r>
    </w:p>
    <w:p w14:paraId="28311384" w14:textId="77777777" w:rsidR="006C29B5" w:rsidRPr="006C29B5" w:rsidRDefault="006C29B5" w:rsidP="006C29B5">
      <w:pPr>
        <w:spacing w:before="120"/>
        <w:jc w:val="both"/>
        <w:rPr>
          <w:b/>
          <w:lang w:eastAsia="cs-CZ"/>
        </w:rPr>
      </w:pPr>
      <w:r w:rsidRPr="008F293D">
        <w:rPr>
          <w:b/>
          <w:lang w:eastAsia="cs-CZ"/>
        </w:rPr>
        <w:t>MS Praha</w:t>
      </w:r>
      <w:r w:rsidRPr="006C29B5">
        <w:rPr>
          <w:b/>
          <w:lang w:eastAsia="cs-CZ"/>
        </w:rPr>
        <w:t xml:space="preserve"> stanovil pře</w:t>
      </w:r>
      <w:r w:rsidR="006102D0">
        <w:rPr>
          <w:b/>
          <w:lang w:eastAsia="cs-CZ"/>
        </w:rPr>
        <w:t>d</w:t>
      </w:r>
      <w:r w:rsidRPr="006C29B5">
        <w:rPr>
          <w:b/>
          <w:lang w:eastAsia="cs-CZ"/>
        </w:rPr>
        <w:t>pokládanou dobu používání</w:t>
      </w:r>
      <w:r w:rsidR="006102D0">
        <w:rPr>
          <w:b/>
          <w:lang w:eastAsia="cs-CZ"/>
        </w:rPr>
        <w:t xml:space="preserve"> </w:t>
      </w:r>
      <w:r w:rsidR="006102D0" w:rsidRPr="006102D0">
        <w:rPr>
          <w:lang w:eastAsia="cs-CZ"/>
        </w:rPr>
        <w:t>u tohoto d</w:t>
      </w:r>
      <w:r w:rsidRPr="006102D0">
        <w:rPr>
          <w:lang w:eastAsia="cs-CZ"/>
        </w:rPr>
        <w:t>lo</w:t>
      </w:r>
      <w:r w:rsidRPr="008F293D">
        <w:rPr>
          <w:lang w:eastAsia="cs-CZ"/>
        </w:rPr>
        <w:t>uhodobého majetku</w:t>
      </w:r>
      <w:r w:rsidRPr="006C29B5">
        <w:rPr>
          <w:b/>
          <w:lang w:eastAsia="cs-CZ"/>
        </w:rPr>
        <w:t xml:space="preserve"> nesprávně</w:t>
      </w:r>
      <w:r w:rsidR="006102D0">
        <w:rPr>
          <w:b/>
          <w:lang w:eastAsia="cs-CZ"/>
        </w:rPr>
        <w:t xml:space="preserve">. Při inventarizaci </w:t>
      </w:r>
      <w:r w:rsidRPr="006C29B5">
        <w:rPr>
          <w:b/>
          <w:lang w:eastAsia="cs-CZ"/>
        </w:rPr>
        <w:t xml:space="preserve">nezjišťoval, zda předpokládaná doba </w:t>
      </w:r>
      <w:r w:rsidRPr="008F293D">
        <w:rPr>
          <w:lang w:eastAsia="cs-CZ"/>
        </w:rPr>
        <w:t>používání</w:t>
      </w:r>
      <w:r w:rsidRPr="006C29B5">
        <w:rPr>
          <w:b/>
          <w:lang w:eastAsia="cs-CZ"/>
        </w:rPr>
        <w:t xml:space="preserve"> odpovídá odpisovému plánu</w:t>
      </w:r>
      <w:r w:rsidR="006102D0">
        <w:rPr>
          <w:b/>
          <w:lang w:eastAsia="cs-CZ"/>
        </w:rPr>
        <w:t>, tím neidentifikoval případné rozdíly</w:t>
      </w:r>
      <w:r w:rsidRPr="006C29B5">
        <w:rPr>
          <w:b/>
          <w:lang w:eastAsia="cs-CZ"/>
        </w:rPr>
        <w:t xml:space="preserve"> a</w:t>
      </w:r>
      <w:r w:rsidR="006102D0">
        <w:rPr>
          <w:b/>
          <w:lang w:eastAsia="cs-CZ"/>
        </w:rPr>
        <w:t xml:space="preserve"> na základě toho následně</w:t>
      </w:r>
      <w:r w:rsidRPr="008F293D">
        <w:rPr>
          <w:lang w:eastAsia="cs-CZ"/>
        </w:rPr>
        <w:t xml:space="preserve"> </w:t>
      </w:r>
      <w:r w:rsidR="006102D0">
        <w:rPr>
          <w:lang w:eastAsia="cs-CZ"/>
        </w:rPr>
        <w:t>ani neupravoval</w:t>
      </w:r>
      <w:r w:rsidRPr="006C29B5">
        <w:rPr>
          <w:b/>
          <w:lang w:eastAsia="cs-CZ"/>
        </w:rPr>
        <w:t xml:space="preserve"> odpisov</w:t>
      </w:r>
      <w:r w:rsidR="006102D0">
        <w:rPr>
          <w:b/>
          <w:lang w:eastAsia="cs-CZ"/>
        </w:rPr>
        <w:t>ý</w:t>
      </w:r>
      <w:r w:rsidRPr="006C29B5">
        <w:rPr>
          <w:b/>
          <w:lang w:eastAsia="cs-CZ"/>
        </w:rPr>
        <w:t xml:space="preserve"> plán.</w:t>
      </w:r>
    </w:p>
    <w:p w14:paraId="7DC667D2" w14:textId="7D46AB80" w:rsidR="006C29B5" w:rsidRDefault="006C29B5" w:rsidP="00C806FA">
      <w:pPr>
        <w:spacing w:after="0"/>
        <w:jc w:val="both"/>
        <w:rPr>
          <w:lang w:eastAsia="cs-CZ"/>
        </w:rPr>
      </w:pPr>
      <w:r w:rsidRPr="008F293D">
        <w:rPr>
          <w:lang w:eastAsia="cs-CZ"/>
        </w:rPr>
        <w:t>Tento</w:t>
      </w:r>
      <w:r w:rsidRPr="006C29B5">
        <w:rPr>
          <w:b/>
          <w:lang w:eastAsia="cs-CZ"/>
        </w:rPr>
        <w:t xml:space="preserve"> systémový nedostatek měl dopad na správnost </w:t>
      </w:r>
      <w:r w:rsidRPr="002D53BB">
        <w:rPr>
          <w:lang w:eastAsia="cs-CZ"/>
        </w:rPr>
        <w:t>vykázaných konečných zůstatků</w:t>
      </w:r>
      <w:r w:rsidRPr="006C29B5">
        <w:rPr>
          <w:b/>
          <w:lang w:eastAsia="cs-CZ"/>
        </w:rPr>
        <w:t xml:space="preserve"> účtů v</w:t>
      </w:r>
      <w:r>
        <w:rPr>
          <w:b/>
          <w:lang w:eastAsia="cs-CZ"/>
        </w:rPr>
        <w:t xml:space="preserve"> rozvaze a </w:t>
      </w:r>
      <w:r w:rsidRPr="006C29B5">
        <w:rPr>
          <w:b/>
          <w:lang w:eastAsia="cs-CZ"/>
        </w:rPr>
        <w:t xml:space="preserve">ve </w:t>
      </w:r>
      <w:r>
        <w:rPr>
          <w:b/>
          <w:lang w:eastAsia="cs-CZ"/>
        </w:rPr>
        <w:t>v</w:t>
      </w:r>
      <w:r w:rsidRPr="006C29B5">
        <w:rPr>
          <w:b/>
          <w:lang w:eastAsia="cs-CZ"/>
        </w:rPr>
        <w:t xml:space="preserve">ýkazu zisku a ztráty, </w:t>
      </w:r>
      <w:r w:rsidRPr="006C29B5">
        <w:rPr>
          <w:lang w:eastAsia="cs-CZ"/>
        </w:rPr>
        <w:t>tj. účtů odpisovaného dlouhodobého majetku,</w:t>
      </w:r>
      <w:r w:rsidRPr="006C29B5">
        <w:rPr>
          <w:b/>
          <w:lang w:eastAsia="cs-CZ"/>
        </w:rPr>
        <w:t xml:space="preserve"> účtu </w:t>
      </w:r>
      <w:r w:rsidR="00BE3057">
        <w:rPr>
          <w:b/>
          <w:lang w:eastAsia="cs-CZ"/>
        </w:rPr>
        <w:br/>
      </w:r>
      <w:r w:rsidRPr="006C29B5">
        <w:rPr>
          <w:b/>
          <w:lang w:eastAsia="cs-CZ"/>
        </w:rPr>
        <w:t xml:space="preserve">551 </w:t>
      </w:r>
      <w:r w:rsidRPr="002D53BB">
        <w:rPr>
          <w:lang w:eastAsia="cs-CZ"/>
        </w:rPr>
        <w:t xml:space="preserve">– </w:t>
      </w:r>
      <w:r w:rsidRPr="002D53BB">
        <w:rPr>
          <w:i/>
          <w:lang w:eastAsia="cs-CZ"/>
        </w:rPr>
        <w:t>Odpisy dlouhodobého majetku</w:t>
      </w:r>
      <w:r w:rsidRPr="006C29B5">
        <w:rPr>
          <w:b/>
          <w:lang w:eastAsia="cs-CZ"/>
        </w:rPr>
        <w:t xml:space="preserve"> a účtů výsledků hospodaření</w:t>
      </w:r>
      <w:r w:rsidRPr="00875E88">
        <w:rPr>
          <w:b/>
          <w:lang w:eastAsia="cs-CZ"/>
        </w:rPr>
        <w:t>,</w:t>
      </w:r>
      <w:r w:rsidRPr="002D53BB">
        <w:rPr>
          <w:lang w:eastAsia="cs-CZ"/>
        </w:rPr>
        <w:t xml:space="preserve"> a to</w:t>
      </w:r>
      <w:r w:rsidRPr="006C29B5">
        <w:rPr>
          <w:b/>
          <w:lang w:eastAsia="cs-CZ"/>
        </w:rPr>
        <w:t xml:space="preserve"> jak v </w:t>
      </w:r>
      <w:r w:rsidRPr="002D53BB">
        <w:rPr>
          <w:lang w:eastAsia="cs-CZ"/>
        </w:rPr>
        <w:t>účetním období</w:t>
      </w:r>
      <w:r w:rsidRPr="006C29B5">
        <w:rPr>
          <w:b/>
          <w:lang w:eastAsia="cs-CZ"/>
        </w:rPr>
        <w:t xml:space="preserve"> 2017, tak v předcházejících účetních období. Náklady z odpisů jsou </w:t>
      </w:r>
      <w:r w:rsidRPr="002D53BB">
        <w:rPr>
          <w:lang w:eastAsia="cs-CZ"/>
        </w:rPr>
        <w:t>tak v časové řadě údajů</w:t>
      </w:r>
      <w:r w:rsidRPr="006C29B5">
        <w:rPr>
          <w:b/>
          <w:lang w:eastAsia="cs-CZ"/>
        </w:rPr>
        <w:t xml:space="preserve"> v</w:t>
      </w:r>
      <w:r w:rsidR="00E23B56">
        <w:rPr>
          <w:b/>
          <w:lang w:eastAsia="cs-CZ"/>
        </w:rPr>
        <w:t> </w:t>
      </w:r>
      <w:r w:rsidRPr="006C29B5">
        <w:rPr>
          <w:b/>
          <w:lang w:eastAsia="cs-CZ"/>
        </w:rPr>
        <w:t xml:space="preserve">jednotlivých účetních závěrkách </w:t>
      </w:r>
      <w:r w:rsidR="009F3513">
        <w:rPr>
          <w:b/>
          <w:lang w:eastAsia="cs-CZ"/>
        </w:rPr>
        <w:t xml:space="preserve">vykazovány v nesprávné výši. </w:t>
      </w:r>
      <w:r w:rsidRPr="002D53BB">
        <w:rPr>
          <w:lang w:eastAsia="cs-CZ"/>
        </w:rPr>
        <w:t>Výš</w:t>
      </w:r>
      <w:r w:rsidR="0057462D">
        <w:rPr>
          <w:lang w:eastAsia="cs-CZ"/>
        </w:rPr>
        <w:t>e</w:t>
      </w:r>
      <w:r w:rsidRPr="002D53BB">
        <w:rPr>
          <w:lang w:eastAsia="cs-CZ"/>
        </w:rPr>
        <w:t xml:space="preserve"> dopadu této systémové nesprávnosti na údaje ÚZ n</w:t>
      </w:r>
      <w:r w:rsidR="0057462D">
        <w:rPr>
          <w:lang w:eastAsia="cs-CZ"/>
        </w:rPr>
        <w:t xml:space="preserve">ebyla při kontrole </w:t>
      </w:r>
      <w:r w:rsidRPr="002D53BB">
        <w:rPr>
          <w:lang w:eastAsia="cs-CZ"/>
        </w:rPr>
        <w:t>kvantifikov</w:t>
      </w:r>
      <w:r w:rsidR="0057462D">
        <w:rPr>
          <w:lang w:eastAsia="cs-CZ"/>
        </w:rPr>
        <w:t>ána</w:t>
      </w:r>
      <w:r w:rsidR="00687249">
        <w:rPr>
          <w:lang w:eastAsia="cs-CZ"/>
        </w:rPr>
        <w:t xml:space="preserve">. </w:t>
      </w:r>
      <w:r w:rsidR="006155BC">
        <w:rPr>
          <w:lang w:eastAsia="cs-CZ"/>
        </w:rPr>
        <w:t xml:space="preserve">Výpočtem na základě údajů v odpisových plánech </w:t>
      </w:r>
      <w:r w:rsidR="008841C7" w:rsidRPr="007333D3">
        <w:rPr>
          <w:lang w:eastAsia="cs-CZ"/>
        </w:rPr>
        <w:t>MS Praha</w:t>
      </w:r>
      <w:r w:rsidR="003E6328" w:rsidRPr="007333D3">
        <w:rPr>
          <w:lang w:eastAsia="cs-CZ"/>
        </w:rPr>
        <w:t xml:space="preserve"> dospěl NKÚ k názoru</w:t>
      </w:r>
      <w:r w:rsidR="0057462D" w:rsidRPr="006155BC">
        <w:rPr>
          <w:lang w:eastAsia="cs-CZ"/>
        </w:rPr>
        <w:t>, že</w:t>
      </w:r>
      <w:r w:rsidRPr="006155BC">
        <w:rPr>
          <w:lang w:eastAsia="cs-CZ"/>
        </w:rPr>
        <w:t xml:space="preserve"> </w:t>
      </w:r>
      <w:r w:rsidR="009F3513" w:rsidRPr="006155BC">
        <w:rPr>
          <w:lang w:eastAsia="cs-CZ"/>
        </w:rPr>
        <w:t>dopad této skutečnosti na ÚZ ne</w:t>
      </w:r>
      <w:r w:rsidR="00687249" w:rsidRPr="00287164">
        <w:rPr>
          <w:lang w:eastAsia="cs-CZ"/>
        </w:rPr>
        <w:t>ní</w:t>
      </w:r>
      <w:r w:rsidRPr="00287164">
        <w:rPr>
          <w:lang w:eastAsia="cs-CZ"/>
        </w:rPr>
        <w:t xml:space="preserve"> významn</w:t>
      </w:r>
      <w:r w:rsidR="009F3513" w:rsidRPr="00287164">
        <w:rPr>
          <w:lang w:eastAsia="cs-CZ"/>
        </w:rPr>
        <w:t>ý</w:t>
      </w:r>
      <w:r w:rsidR="00D97E6D" w:rsidRPr="008629C3">
        <w:rPr>
          <w:lang w:eastAsia="cs-CZ"/>
        </w:rPr>
        <w:t>, avšak jedná se o</w:t>
      </w:r>
      <w:r w:rsidR="009646D6" w:rsidRPr="009061E8">
        <w:rPr>
          <w:lang w:eastAsia="cs-CZ"/>
        </w:rPr>
        <w:t> </w:t>
      </w:r>
      <w:r w:rsidR="00D97E6D" w:rsidRPr="009061E8">
        <w:rPr>
          <w:lang w:eastAsia="cs-CZ"/>
        </w:rPr>
        <w:t xml:space="preserve">systémový nedostatek </w:t>
      </w:r>
      <w:r w:rsidR="00D97E6D" w:rsidRPr="009061E8">
        <w:rPr>
          <w:rFonts w:asciiTheme="minorHAnsi" w:eastAsiaTheme="minorHAnsi" w:hAnsiTheme="minorHAnsi" w:cstheme="minorHAnsi"/>
        </w:rPr>
        <w:t>–</w:t>
      </w:r>
      <w:r w:rsidR="00D97E6D" w:rsidRPr="009061E8">
        <w:rPr>
          <w:lang w:eastAsia="cs-CZ"/>
        </w:rPr>
        <w:t xml:space="preserve"> nesprávnou aplikaci jedné z akruálních metod účetnictví.</w:t>
      </w:r>
    </w:p>
    <w:p w14:paraId="3F89DE52" w14:textId="77777777" w:rsidR="002D0D9B" w:rsidRPr="002D53BB" w:rsidRDefault="002D0D9B" w:rsidP="00C806FA">
      <w:pPr>
        <w:spacing w:after="0"/>
        <w:jc w:val="both"/>
        <w:rPr>
          <w:lang w:eastAsia="cs-CZ"/>
        </w:rPr>
      </w:pPr>
    </w:p>
    <w:p w14:paraId="2722D385" w14:textId="77777777" w:rsidR="00FB20C8" w:rsidRDefault="00866ED0" w:rsidP="0042165C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2</w:t>
      </w:r>
      <w:r w:rsidR="002C176E" w:rsidRPr="00704EBD">
        <w:rPr>
          <w:rFonts w:asciiTheme="minorHAnsi" w:eastAsiaTheme="minorHAnsi" w:hAnsiTheme="minorHAnsi" w:cstheme="minorHAnsi"/>
          <w:b/>
        </w:rPr>
        <w:t xml:space="preserve">. </w:t>
      </w:r>
      <w:r w:rsidR="005F23C9">
        <w:rPr>
          <w:rFonts w:asciiTheme="minorHAnsi" w:eastAsiaTheme="minorHAnsi" w:hAnsiTheme="minorHAnsi" w:cstheme="minorHAnsi"/>
          <w:b/>
        </w:rPr>
        <w:t>K</w:t>
      </w:r>
      <w:r w:rsidR="002C176E" w:rsidRPr="00704EBD">
        <w:rPr>
          <w:rFonts w:asciiTheme="minorHAnsi" w:eastAsiaTheme="minorHAnsi" w:hAnsiTheme="minorHAnsi" w:cstheme="minorHAnsi"/>
          <w:b/>
        </w:rPr>
        <w:t>ontrolní systém</w:t>
      </w:r>
    </w:p>
    <w:p w14:paraId="7E196616" w14:textId="77777777" w:rsidR="00BE5351" w:rsidRDefault="00BE5351" w:rsidP="0042165C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2F6E52DA" w14:textId="5C4EC877" w:rsidR="00E014D6" w:rsidRDefault="00866ED0" w:rsidP="0042165C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2</w:t>
      </w:r>
      <w:r w:rsidR="00FB20C8" w:rsidRPr="00704EBD">
        <w:rPr>
          <w:rFonts w:asciiTheme="minorHAnsi" w:eastAsiaTheme="minorHAnsi" w:hAnsiTheme="minorHAnsi" w:cstheme="minorHAnsi"/>
          <w:b/>
        </w:rPr>
        <w:t>.</w:t>
      </w:r>
      <w:r w:rsidR="00FB20C8">
        <w:rPr>
          <w:rFonts w:asciiTheme="minorHAnsi" w:eastAsiaTheme="minorHAnsi" w:hAnsiTheme="minorHAnsi" w:cstheme="minorHAnsi"/>
          <w:b/>
        </w:rPr>
        <w:t>1</w:t>
      </w:r>
      <w:r w:rsidR="00FB20C8" w:rsidRPr="00704EBD">
        <w:rPr>
          <w:rFonts w:asciiTheme="minorHAnsi" w:eastAsiaTheme="minorHAnsi" w:hAnsiTheme="minorHAnsi" w:cstheme="minorHAnsi"/>
          <w:b/>
        </w:rPr>
        <w:t xml:space="preserve"> Rizika nedostatečné spolehlivosti některých kontrolních prvků v</w:t>
      </w:r>
      <w:r w:rsidR="00FB20C8">
        <w:rPr>
          <w:rFonts w:asciiTheme="minorHAnsi" w:eastAsiaTheme="minorHAnsi" w:hAnsiTheme="minorHAnsi" w:cstheme="minorHAnsi"/>
          <w:b/>
        </w:rPr>
        <w:t xml:space="preserve"> oblasti</w:t>
      </w:r>
      <w:r w:rsidR="00F46BDB">
        <w:rPr>
          <w:rFonts w:asciiTheme="minorHAnsi" w:eastAsiaTheme="minorHAnsi" w:hAnsiTheme="minorHAnsi" w:cstheme="minorHAnsi"/>
          <w:b/>
        </w:rPr>
        <w:t xml:space="preserve"> </w:t>
      </w:r>
      <w:r w:rsidR="00FB20C8" w:rsidRPr="00704EBD">
        <w:rPr>
          <w:rFonts w:asciiTheme="minorHAnsi" w:eastAsiaTheme="minorHAnsi" w:hAnsiTheme="minorHAnsi" w:cstheme="minorHAnsi"/>
          <w:b/>
        </w:rPr>
        <w:t>účetnictví</w:t>
      </w:r>
    </w:p>
    <w:p w14:paraId="366D4E96" w14:textId="77777777" w:rsidR="00BE5351" w:rsidRPr="00DE2445" w:rsidRDefault="00BE5351" w:rsidP="0042165C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1A6C9EB8" w14:textId="77777777" w:rsidR="00DE2445" w:rsidRDefault="00866ED0" w:rsidP="0042165C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2</w:t>
      </w:r>
      <w:r w:rsidR="00DE2445">
        <w:rPr>
          <w:rFonts w:asciiTheme="minorHAnsi" w:eastAsiaTheme="minorHAnsi" w:hAnsiTheme="minorHAnsi" w:cstheme="minorHAnsi"/>
          <w:b/>
        </w:rPr>
        <w:t>.1.1 Inventarizace</w:t>
      </w:r>
    </w:p>
    <w:p w14:paraId="5411C498" w14:textId="77777777" w:rsidR="00BE5351" w:rsidRDefault="00BE5351" w:rsidP="0042165C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48AFED8F" w14:textId="77777777" w:rsidR="00FB20C8" w:rsidRPr="00682B39" w:rsidRDefault="00FB20C8" w:rsidP="00682B39">
      <w:pPr>
        <w:pStyle w:val="Odstavecseseznamem"/>
        <w:ind w:left="0"/>
        <w:contextualSpacing w:val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 xml:space="preserve">Při inventarizaci MS Praha v některých případech nezjistil skutečný stav, a tím ani rozdíl mezi skutečností a stavem v účetnictví. </w:t>
      </w:r>
      <w:r w:rsidRPr="00F015FD">
        <w:rPr>
          <w:rFonts w:asciiTheme="minorHAnsi" w:eastAsiaTheme="minorHAnsi" w:hAnsiTheme="minorHAnsi" w:cstheme="minorHAnsi"/>
        </w:rPr>
        <w:t xml:space="preserve">MS Praha při inventarizaci </w:t>
      </w:r>
      <w:r w:rsidR="00682B39">
        <w:rPr>
          <w:rFonts w:asciiTheme="minorHAnsi" w:eastAsiaTheme="minorHAnsi" w:hAnsiTheme="minorHAnsi" w:cstheme="minorHAnsi"/>
        </w:rPr>
        <w:t xml:space="preserve">(v </w:t>
      </w:r>
      <w:r w:rsidR="00682B39" w:rsidRPr="00C11D14">
        <w:rPr>
          <w:rFonts w:asciiTheme="minorHAnsi" w:eastAsiaTheme="minorHAnsi" w:hAnsiTheme="minorHAnsi" w:cstheme="minorHAnsi"/>
        </w:rPr>
        <w:t xml:space="preserve">podrobnostech viz část </w:t>
      </w:r>
      <w:proofErr w:type="gramStart"/>
      <w:r w:rsidR="00682B39">
        <w:rPr>
          <w:rFonts w:asciiTheme="minorHAnsi" w:eastAsiaTheme="minorHAnsi" w:hAnsiTheme="minorHAnsi" w:cstheme="minorHAnsi"/>
        </w:rPr>
        <w:t>IV.</w:t>
      </w:r>
      <w:r w:rsidR="00E95B17">
        <w:rPr>
          <w:rFonts w:asciiTheme="minorHAnsi" w:eastAsiaTheme="minorHAnsi" w:hAnsiTheme="minorHAnsi" w:cstheme="minorHAnsi"/>
        </w:rPr>
        <w:t>1</w:t>
      </w:r>
      <w:r w:rsidR="00682B39" w:rsidRPr="00C11D14">
        <w:rPr>
          <w:rFonts w:asciiTheme="minorHAnsi" w:eastAsiaTheme="minorHAnsi" w:hAnsiTheme="minorHAnsi" w:cstheme="minorHAnsi"/>
        </w:rPr>
        <w:t xml:space="preserve"> tohoto</w:t>
      </w:r>
      <w:proofErr w:type="gramEnd"/>
      <w:r w:rsidR="00682B39" w:rsidRPr="00C11D14">
        <w:rPr>
          <w:rFonts w:asciiTheme="minorHAnsi" w:eastAsiaTheme="minorHAnsi" w:hAnsiTheme="minorHAnsi" w:cstheme="minorHAnsi"/>
        </w:rPr>
        <w:t xml:space="preserve"> kontrolního závěru)</w:t>
      </w:r>
      <w:r w:rsidR="0057462D">
        <w:rPr>
          <w:rFonts w:asciiTheme="minorHAnsi" w:eastAsiaTheme="minorHAnsi" w:hAnsiTheme="minorHAnsi" w:cstheme="minorHAnsi"/>
        </w:rPr>
        <w:t xml:space="preserve"> </w:t>
      </w:r>
      <w:r w:rsidR="0005581B" w:rsidRPr="0005581B">
        <w:rPr>
          <w:rFonts w:asciiTheme="minorHAnsi" w:eastAsiaTheme="minorHAnsi" w:hAnsiTheme="minorHAnsi" w:cstheme="minorHAnsi"/>
          <w:b/>
        </w:rPr>
        <w:t>zejména</w:t>
      </w:r>
      <w:r w:rsidR="0005581B">
        <w:rPr>
          <w:rFonts w:asciiTheme="minorHAnsi" w:eastAsiaTheme="minorHAnsi" w:hAnsiTheme="minorHAnsi" w:cstheme="minorHAnsi"/>
        </w:rPr>
        <w:t xml:space="preserve"> </w:t>
      </w:r>
      <w:r w:rsidR="0057462D">
        <w:rPr>
          <w:rFonts w:asciiTheme="minorHAnsi" w:eastAsiaTheme="minorHAnsi" w:hAnsiTheme="minorHAnsi" w:cstheme="minorHAnsi"/>
        </w:rPr>
        <w:t>nezjistil</w:t>
      </w:r>
      <w:r w:rsidR="00682B39">
        <w:rPr>
          <w:rFonts w:asciiTheme="minorHAnsi" w:eastAsiaTheme="minorHAnsi" w:hAnsiTheme="minorHAnsi" w:cstheme="minorHAnsi"/>
        </w:rPr>
        <w:t>:</w:t>
      </w:r>
    </w:p>
    <w:p w14:paraId="203967D5" w14:textId="6E7746B5" w:rsidR="00FB20C8" w:rsidRDefault="0057462D" w:rsidP="00BE3057">
      <w:pPr>
        <w:pStyle w:val="Odstavecseseznamem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skutečnost</w:t>
      </w:r>
      <w:r w:rsidR="00FB20C8" w:rsidRPr="00C11D14">
        <w:rPr>
          <w:rFonts w:asciiTheme="minorHAnsi" w:eastAsiaTheme="minorHAnsi" w:hAnsiTheme="minorHAnsi" w:cstheme="minorHAnsi"/>
        </w:rPr>
        <w:t xml:space="preserve">, že na účtu 315 – </w:t>
      </w:r>
      <w:r w:rsidR="00FB20C8" w:rsidRPr="00C11D14">
        <w:rPr>
          <w:rFonts w:asciiTheme="minorHAnsi" w:eastAsiaTheme="minorHAnsi" w:hAnsiTheme="minorHAnsi" w:cstheme="minorHAnsi"/>
          <w:i/>
        </w:rPr>
        <w:t>Jiné pohledávky z hlavní činnosti</w:t>
      </w:r>
      <w:r w:rsidR="00FB20C8" w:rsidRPr="00C11D14">
        <w:rPr>
          <w:rFonts w:asciiTheme="minorHAnsi" w:eastAsiaTheme="minorHAnsi" w:hAnsiTheme="minorHAnsi" w:cstheme="minorHAnsi"/>
        </w:rPr>
        <w:t xml:space="preserve"> a na účtu 905 – </w:t>
      </w:r>
      <w:r w:rsidR="00FB20C8" w:rsidRPr="00C11D14">
        <w:rPr>
          <w:rFonts w:asciiTheme="minorHAnsi" w:eastAsiaTheme="minorHAnsi" w:hAnsiTheme="minorHAnsi" w:cstheme="minorHAnsi"/>
          <w:i/>
        </w:rPr>
        <w:t>Vyřazené pohledávky</w:t>
      </w:r>
      <w:r w:rsidR="00FB20C8" w:rsidRPr="00C11D14">
        <w:rPr>
          <w:rFonts w:asciiTheme="minorHAnsi" w:eastAsiaTheme="minorHAnsi" w:hAnsiTheme="minorHAnsi" w:cstheme="minorHAnsi"/>
        </w:rPr>
        <w:t xml:space="preserve"> vykazuje i pohledávky, u nichž uplynula prekluzivní lhůta</w:t>
      </w:r>
      <w:r w:rsidR="00E3770E">
        <w:rPr>
          <w:rFonts w:asciiTheme="minorHAnsi" w:eastAsiaTheme="minorHAnsi" w:hAnsiTheme="minorHAnsi" w:cstheme="minorHAnsi"/>
        </w:rPr>
        <w:t>,</w:t>
      </w:r>
      <w:r w:rsidR="00FB20C8" w:rsidRPr="00C11D14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tzn.</w:t>
      </w:r>
      <w:r w:rsidR="00E3770E">
        <w:rPr>
          <w:rFonts w:asciiTheme="minorHAnsi" w:eastAsiaTheme="minorHAnsi" w:hAnsiTheme="minorHAnsi" w:cstheme="minorHAnsi"/>
        </w:rPr>
        <w:t>,</w:t>
      </w:r>
      <w:r>
        <w:rPr>
          <w:rFonts w:asciiTheme="minorHAnsi" w:eastAsiaTheme="minorHAnsi" w:hAnsiTheme="minorHAnsi" w:cstheme="minorHAnsi"/>
        </w:rPr>
        <w:t xml:space="preserve"> že</w:t>
      </w:r>
      <w:r w:rsidR="00FB20C8" w:rsidRPr="00C11D14">
        <w:rPr>
          <w:rFonts w:asciiTheme="minorHAnsi" w:eastAsiaTheme="minorHAnsi" w:hAnsiTheme="minorHAnsi" w:cstheme="minorHAnsi"/>
        </w:rPr>
        <w:t xml:space="preserve"> pohledávky </w:t>
      </w:r>
      <w:r>
        <w:rPr>
          <w:rFonts w:asciiTheme="minorHAnsi" w:eastAsiaTheme="minorHAnsi" w:hAnsiTheme="minorHAnsi" w:cstheme="minorHAnsi"/>
        </w:rPr>
        <w:t>již právně neexistují,</w:t>
      </w:r>
      <w:r w:rsidR="00FB20C8" w:rsidRPr="00C11D14">
        <w:rPr>
          <w:rFonts w:asciiTheme="minorHAnsi" w:eastAsiaTheme="minorHAnsi" w:hAnsiTheme="minorHAnsi" w:cstheme="minorHAnsi"/>
        </w:rPr>
        <w:t xml:space="preserve"> neboť v minulosti zanikly</w:t>
      </w:r>
      <w:r w:rsidR="00C11D14">
        <w:rPr>
          <w:rFonts w:asciiTheme="minorHAnsi" w:eastAsiaTheme="minorHAnsi" w:hAnsiTheme="minorHAnsi" w:cstheme="minorHAnsi"/>
        </w:rPr>
        <w:t>,</w:t>
      </w:r>
    </w:p>
    <w:p w14:paraId="55512AE6" w14:textId="764322E7" w:rsidR="00C11D14" w:rsidRPr="00682B39" w:rsidRDefault="0057462D" w:rsidP="00BE3057">
      <w:pPr>
        <w:pStyle w:val="Odstavecseseznamem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</w:rPr>
        <w:t xml:space="preserve">skutečný stav </w:t>
      </w:r>
      <w:r w:rsidR="00C11D14">
        <w:rPr>
          <w:rFonts w:asciiTheme="minorHAnsi" w:eastAsiaTheme="minorHAnsi" w:hAnsiTheme="minorHAnsi" w:cstheme="minorHAnsi"/>
        </w:rPr>
        <w:t>krátkodobých závazků</w:t>
      </w:r>
      <w:r w:rsidR="00D97E6D">
        <w:rPr>
          <w:rFonts w:asciiTheme="minorHAnsi" w:eastAsiaTheme="minorHAnsi" w:hAnsiTheme="minorHAnsi" w:cstheme="minorHAnsi"/>
        </w:rPr>
        <w:t xml:space="preserve"> a </w:t>
      </w:r>
      <w:r w:rsidR="00546C7A">
        <w:rPr>
          <w:rFonts w:asciiTheme="minorHAnsi" w:eastAsiaTheme="minorHAnsi" w:hAnsiTheme="minorHAnsi" w:cstheme="minorHAnsi"/>
        </w:rPr>
        <w:t>krátkodobých p</w:t>
      </w:r>
      <w:r w:rsidR="00C11D14">
        <w:rPr>
          <w:rFonts w:asciiTheme="minorHAnsi" w:eastAsiaTheme="minorHAnsi" w:hAnsiTheme="minorHAnsi" w:cstheme="minorHAnsi"/>
        </w:rPr>
        <w:t>odmíněných závazků</w:t>
      </w:r>
      <w:r w:rsidR="00F46BDB">
        <w:rPr>
          <w:rFonts w:asciiTheme="minorHAnsi" w:eastAsiaTheme="minorHAnsi" w:hAnsiTheme="minorHAnsi" w:cstheme="minorHAnsi"/>
        </w:rPr>
        <w:t>,</w:t>
      </w:r>
      <w:r w:rsidR="00C11D14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a v důsledku toho </w:t>
      </w:r>
      <w:r w:rsidR="00546C7A">
        <w:rPr>
          <w:rFonts w:asciiTheme="minorHAnsi" w:eastAsiaTheme="minorHAnsi" w:hAnsiTheme="minorHAnsi" w:cstheme="minorHAnsi"/>
        </w:rPr>
        <w:t xml:space="preserve">nezjistil neúplnost </w:t>
      </w:r>
      <w:r>
        <w:rPr>
          <w:rFonts w:asciiTheme="minorHAnsi" w:eastAsiaTheme="minorHAnsi" w:hAnsiTheme="minorHAnsi" w:cstheme="minorHAnsi"/>
        </w:rPr>
        <w:t>účetnictví</w:t>
      </w:r>
      <w:r w:rsidR="00682B39">
        <w:rPr>
          <w:rFonts w:asciiTheme="minorHAnsi" w:eastAsiaTheme="minorHAnsi" w:hAnsiTheme="minorHAnsi" w:cstheme="minorHAnsi"/>
        </w:rPr>
        <w:t>,</w:t>
      </w:r>
      <w:r w:rsidR="00C11D14" w:rsidRPr="00C11D14">
        <w:rPr>
          <w:rFonts w:asciiTheme="minorHAnsi" w:eastAsiaTheme="minorHAnsi" w:hAnsiTheme="minorHAnsi" w:cstheme="minorHAnsi"/>
        </w:rPr>
        <w:t xml:space="preserve"> </w:t>
      </w:r>
    </w:p>
    <w:p w14:paraId="25E78F33" w14:textId="77777777" w:rsidR="00682B39" w:rsidRDefault="0057462D" w:rsidP="00BE3057">
      <w:pPr>
        <w:pStyle w:val="Odstavecseseznamem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lastRenderedPageBreak/>
        <w:t>že</w:t>
      </w:r>
      <w:r w:rsidR="00682B39" w:rsidRPr="00F015FD">
        <w:rPr>
          <w:rFonts w:asciiTheme="minorHAnsi" w:eastAsiaTheme="minorHAnsi" w:hAnsiTheme="minorHAnsi" w:cstheme="minorHAnsi"/>
        </w:rPr>
        <w:t xml:space="preserve"> předpokládaná doba používání dlouhodobého majetku </w:t>
      </w:r>
      <w:r>
        <w:rPr>
          <w:rFonts w:asciiTheme="minorHAnsi" w:eastAsiaTheme="minorHAnsi" w:hAnsiTheme="minorHAnsi" w:cstheme="minorHAnsi"/>
        </w:rPr>
        <w:t>ne</w:t>
      </w:r>
      <w:r w:rsidR="00682B39" w:rsidRPr="00F015FD">
        <w:rPr>
          <w:rFonts w:asciiTheme="minorHAnsi" w:eastAsiaTheme="minorHAnsi" w:hAnsiTheme="minorHAnsi" w:cstheme="minorHAnsi"/>
        </w:rPr>
        <w:t>odpovídá</w:t>
      </w:r>
      <w:r>
        <w:rPr>
          <w:rFonts w:asciiTheme="minorHAnsi" w:eastAsiaTheme="minorHAnsi" w:hAnsiTheme="minorHAnsi" w:cstheme="minorHAnsi"/>
        </w:rPr>
        <w:t xml:space="preserve"> vždy</w:t>
      </w:r>
      <w:r w:rsidR="00682B39" w:rsidRPr="00F015FD">
        <w:rPr>
          <w:rFonts w:asciiTheme="minorHAnsi" w:eastAsiaTheme="minorHAnsi" w:hAnsiTheme="minorHAnsi" w:cstheme="minorHAnsi"/>
        </w:rPr>
        <w:t xml:space="preserve"> odpisovému plánu</w:t>
      </w:r>
      <w:r w:rsidR="00682B39">
        <w:rPr>
          <w:rFonts w:asciiTheme="minorHAnsi" w:eastAsiaTheme="minorHAnsi" w:hAnsiTheme="minorHAnsi" w:cstheme="minorHAnsi"/>
        </w:rPr>
        <w:t>.</w:t>
      </w:r>
    </w:p>
    <w:p w14:paraId="3F6D629B" w14:textId="77777777" w:rsidR="00682B39" w:rsidRDefault="00682B39" w:rsidP="007B2E2B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626CAE4C" w14:textId="77777777" w:rsidR="00DE2445" w:rsidRDefault="00866ED0" w:rsidP="0042165C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2</w:t>
      </w:r>
      <w:r w:rsidR="00DE2445">
        <w:rPr>
          <w:rFonts w:asciiTheme="minorHAnsi" w:eastAsiaTheme="minorHAnsi" w:hAnsiTheme="minorHAnsi" w:cstheme="minorHAnsi"/>
          <w:b/>
        </w:rPr>
        <w:t>.1.2</w:t>
      </w:r>
      <w:r w:rsidR="00C11D14">
        <w:rPr>
          <w:rFonts w:asciiTheme="minorHAnsi" w:eastAsiaTheme="minorHAnsi" w:hAnsiTheme="minorHAnsi" w:cstheme="minorHAnsi"/>
          <w:b/>
        </w:rPr>
        <w:t xml:space="preserve"> Interní audit</w:t>
      </w:r>
    </w:p>
    <w:p w14:paraId="7E677937" w14:textId="77777777" w:rsidR="00BE5351" w:rsidRDefault="00BE5351" w:rsidP="0042165C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62A22A7D" w14:textId="77777777" w:rsidR="00FB20C8" w:rsidRDefault="00FB20C8" w:rsidP="007B2E2B">
      <w:pPr>
        <w:spacing w:after="0"/>
        <w:jc w:val="both"/>
        <w:rPr>
          <w:rFonts w:asciiTheme="minorHAnsi" w:eastAsiaTheme="minorHAnsi" w:hAnsiTheme="minorHAnsi" w:cstheme="minorHAnsi"/>
        </w:rPr>
      </w:pPr>
      <w:r w:rsidRPr="00930479">
        <w:rPr>
          <w:rFonts w:asciiTheme="minorHAnsi" w:eastAsiaTheme="minorHAnsi" w:hAnsiTheme="minorHAnsi" w:cstheme="minorHAnsi"/>
          <w:b/>
        </w:rPr>
        <w:t>Žádný interní audit provedený v roce 2017 se nezaměřil na to, zda údaje vykázané v účetních výkaz</w:t>
      </w:r>
      <w:r>
        <w:rPr>
          <w:rFonts w:asciiTheme="minorHAnsi" w:eastAsiaTheme="minorHAnsi" w:hAnsiTheme="minorHAnsi" w:cstheme="minorHAnsi"/>
          <w:b/>
        </w:rPr>
        <w:t>ech</w:t>
      </w:r>
      <w:r w:rsidRPr="00930479">
        <w:rPr>
          <w:rFonts w:asciiTheme="minorHAnsi" w:eastAsiaTheme="minorHAnsi" w:hAnsiTheme="minorHAnsi" w:cstheme="minorHAnsi"/>
          <w:b/>
        </w:rPr>
        <w:t xml:space="preserve"> věrně zobrazují majetek, zdroje jeho financování a hospodaření s ním</w:t>
      </w:r>
      <w:r w:rsidRPr="00875E88">
        <w:rPr>
          <w:rFonts w:asciiTheme="minorHAnsi" w:eastAsiaTheme="minorHAnsi" w:hAnsiTheme="minorHAnsi" w:cstheme="minorHAnsi"/>
          <w:b/>
        </w:rPr>
        <w:t>.</w:t>
      </w:r>
      <w:r w:rsidRPr="00635D62">
        <w:rPr>
          <w:rFonts w:asciiTheme="minorHAnsi" w:eastAsiaTheme="minorHAnsi" w:hAnsiTheme="minorHAnsi" w:cstheme="minorHAnsi"/>
          <w:b/>
        </w:rPr>
        <w:t xml:space="preserve"> </w:t>
      </w:r>
      <w:r w:rsidR="00C5050E">
        <w:rPr>
          <w:rFonts w:asciiTheme="minorHAnsi" w:eastAsiaTheme="minorHAnsi" w:hAnsiTheme="minorHAnsi" w:cstheme="minorHAnsi"/>
          <w:b/>
        </w:rPr>
        <w:t>Rovněž</w:t>
      </w:r>
      <w:r w:rsidR="00F91EE4">
        <w:rPr>
          <w:rFonts w:asciiTheme="minorHAnsi" w:eastAsiaTheme="minorHAnsi" w:hAnsiTheme="minorHAnsi" w:cstheme="minorHAnsi"/>
          <w:b/>
        </w:rPr>
        <w:t xml:space="preserve"> a</w:t>
      </w:r>
      <w:r w:rsidR="006742FC">
        <w:rPr>
          <w:rFonts w:asciiTheme="minorHAnsi" w:eastAsiaTheme="minorHAnsi" w:hAnsiTheme="minorHAnsi" w:cstheme="minorHAnsi"/>
          <w:b/>
        </w:rPr>
        <w:t>ni ž</w:t>
      </w:r>
      <w:r w:rsidRPr="00575DCF">
        <w:rPr>
          <w:rFonts w:asciiTheme="minorHAnsi" w:eastAsiaTheme="minorHAnsi" w:hAnsiTheme="minorHAnsi" w:cstheme="minorHAnsi"/>
          <w:b/>
        </w:rPr>
        <w:t>ádná zpráva interního auditu za rok 2017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Pr="00575DCF">
        <w:rPr>
          <w:rFonts w:asciiTheme="minorHAnsi" w:eastAsiaTheme="minorHAnsi" w:hAnsiTheme="minorHAnsi" w:cstheme="minorHAnsi"/>
          <w:b/>
        </w:rPr>
        <w:t>neuvádí</w:t>
      </w:r>
      <w:r w:rsidRPr="00D52079">
        <w:rPr>
          <w:rFonts w:asciiTheme="minorHAnsi" w:eastAsiaTheme="minorHAnsi" w:hAnsiTheme="minorHAnsi" w:cstheme="minorHAnsi"/>
        </w:rPr>
        <w:t xml:space="preserve"> zjištění o skutečnostech, které by mohly způsobit </w:t>
      </w:r>
      <w:r w:rsidRPr="00575DCF">
        <w:rPr>
          <w:rFonts w:asciiTheme="minorHAnsi" w:eastAsiaTheme="minorHAnsi" w:hAnsiTheme="minorHAnsi" w:cstheme="minorHAnsi"/>
          <w:b/>
        </w:rPr>
        <w:t>neúplnost nebo neprůkaznost účetnictví</w:t>
      </w:r>
      <w:r>
        <w:rPr>
          <w:rFonts w:asciiTheme="minorHAnsi" w:eastAsiaTheme="minorHAnsi" w:hAnsiTheme="minorHAnsi" w:cstheme="minorHAnsi"/>
        </w:rPr>
        <w:t>.</w:t>
      </w:r>
      <w:r w:rsidR="00C17FDA" w:rsidRPr="00C17FDA">
        <w:rPr>
          <w:rStyle w:val="Znakapoznpodarou"/>
          <w:rFonts w:asciiTheme="minorHAnsi" w:eastAsiaTheme="minorHAnsi" w:hAnsiTheme="minorHAnsi" w:cstheme="minorHAnsi"/>
        </w:rPr>
        <w:t xml:space="preserve"> </w:t>
      </w:r>
      <w:r w:rsidR="00C17FDA">
        <w:rPr>
          <w:rStyle w:val="Znakapoznpodarou"/>
          <w:rFonts w:asciiTheme="minorHAnsi" w:eastAsiaTheme="minorHAnsi" w:hAnsiTheme="minorHAnsi" w:cstheme="minorHAnsi"/>
        </w:rPr>
        <w:footnoteReference w:id="13"/>
      </w:r>
    </w:p>
    <w:p w14:paraId="0244F2D4" w14:textId="77777777" w:rsidR="00F91EE4" w:rsidRDefault="00F91EE4" w:rsidP="007B2E2B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2A245455" w14:textId="77777777" w:rsidR="00C11D14" w:rsidRDefault="00866ED0" w:rsidP="00BE3057">
      <w:pPr>
        <w:spacing w:after="0"/>
        <w:ind w:left="567" w:hanging="567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2</w:t>
      </w:r>
      <w:r w:rsidR="00C11D14" w:rsidRPr="0042706F">
        <w:rPr>
          <w:rFonts w:asciiTheme="minorHAnsi" w:eastAsiaTheme="minorHAnsi" w:hAnsiTheme="minorHAnsi" w:cstheme="minorHAnsi"/>
          <w:b/>
        </w:rPr>
        <w:t>.1.3</w:t>
      </w:r>
      <w:r w:rsidR="00EF5621">
        <w:rPr>
          <w:rFonts w:asciiTheme="minorHAnsi" w:eastAsiaTheme="minorHAnsi" w:hAnsiTheme="minorHAnsi" w:cstheme="minorHAnsi"/>
          <w:b/>
        </w:rPr>
        <w:t xml:space="preserve"> V</w:t>
      </w:r>
      <w:r w:rsidR="00703362">
        <w:rPr>
          <w:rFonts w:asciiTheme="minorHAnsi" w:eastAsiaTheme="minorHAnsi" w:hAnsiTheme="minorHAnsi" w:cstheme="minorHAnsi"/>
          <w:b/>
        </w:rPr>
        <w:t>nitřní kontrolní systém</w:t>
      </w:r>
      <w:r w:rsidR="00EF5621">
        <w:rPr>
          <w:rFonts w:asciiTheme="minorHAnsi" w:eastAsiaTheme="minorHAnsi" w:hAnsiTheme="minorHAnsi" w:cstheme="minorHAnsi"/>
          <w:b/>
        </w:rPr>
        <w:t xml:space="preserve"> a s</w:t>
      </w:r>
      <w:r w:rsidR="00F91EE4" w:rsidRPr="0042706F">
        <w:rPr>
          <w:rFonts w:asciiTheme="minorHAnsi" w:eastAsiaTheme="minorHAnsi" w:hAnsiTheme="minorHAnsi" w:cstheme="minorHAnsi"/>
          <w:b/>
        </w:rPr>
        <w:t xml:space="preserve">polehlivost informací </w:t>
      </w:r>
      <w:r w:rsidR="00EF5621">
        <w:rPr>
          <w:rFonts w:asciiTheme="minorHAnsi" w:eastAsiaTheme="minorHAnsi" w:hAnsiTheme="minorHAnsi" w:cstheme="minorHAnsi"/>
          <w:b/>
        </w:rPr>
        <w:t>o prováděných operacích na výstupu</w:t>
      </w:r>
    </w:p>
    <w:p w14:paraId="4EC405E4" w14:textId="77777777" w:rsidR="00BE5351" w:rsidRPr="0042706F" w:rsidRDefault="00BE5351" w:rsidP="0042165C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5122D178" w14:textId="14EF8183" w:rsidR="00F91EE4" w:rsidRDefault="00DE2445" w:rsidP="007B2E2B">
      <w:pPr>
        <w:spacing w:after="0"/>
        <w:jc w:val="both"/>
        <w:rPr>
          <w:rFonts w:asciiTheme="minorHAnsi" w:eastAsiaTheme="minorHAnsi" w:hAnsiTheme="minorHAnsi" w:cstheme="minorHAnsi"/>
        </w:rPr>
      </w:pPr>
      <w:r w:rsidRPr="0042706F">
        <w:rPr>
          <w:rFonts w:asciiTheme="minorHAnsi" w:eastAsiaTheme="minorHAnsi" w:hAnsiTheme="minorHAnsi" w:cstheme="minorHAnsi"/>
          <w:b/>
        </w:rPr>
        <w:t>V</w:t>
      </w:r>
      <w:r w:rsidR="00703362">
        <w:rPr>
          <w:rFonts w:asciiTheme="minorHAnsi" w:eastAsiaTheme="minorHAnsi" w:hAnsiTheme="minorHAnsi" w:cstheme="minorHAnsi"/>
          <w:b/>
        </w:rPr>
        <w:t>nitřní kontrolní systém</w:t>
      </w:r>
      <w:r w:rsidRPr="0042706F">
        <w:rPr>
          <w:rFonts w:asciiTheme="minorHAnsi" w:eastAsiaTheme="minorHAnsi" w:hAnsiTheme="minorHAnsi" w:cstheme="minorHAnsi"/>
          <w:b/>
        </w:rPr>
        <w:t xml:space="preserve"> MS Praha nezajistil spolehlivé informace v</w:t>
      </w:r>
      <w:r w:rsidR="00D97E6D">
        <w:rPr>
          <w:rFonts w:asciiTheme="minorHAnsi" w:eastAsiaTheme="minorHAnsi" w:hAnsiTheme="minorHAnsi" w:cstheme="minorHAnsi"/>
          <w:b/>
        </w:rPr>
        <w:t> </w:t>
      </w:r>
      <w:r w:rsidRPr="0042706F">
        <w:rPr>
          <w:rFonts w:asciiTheme="minorHAnsi" w:eastAsiaTheme="minorHAnsi" w:hAnsiTheme="minorHAnsi" w:cstheme="minorHAnsi"/>
          <w:b/>
        </w:rPr>
        <w:t>ÚZ</w:t>
      </w:r>
      <w:r w:rsidR="00D97E6D">
        <w:rPr>
          <w:rFonts w:asciiTheme="minorHAnsi" w:eastAsiaTheme="minorHAnsi" w:hAnsiTheme="minorHAnsi" w:cstheme="minorHAnsi"/>
          <w:b/>
        </w:rPr>
        <w:t>.</w:t>
      </w:r>
      <w:r w:rsidRPr="0042706F">
        <w:rPr>
          <w:rFonts w:asciiTheme="minorHAnsi" w:eastAsiaTheme="minorHAnsi" w:hAnsiTheme="minorHAnsi" w:cstheme="minorHAnsi"/>
          <w:b/>
        </w:rPr>
        <w:t xml:space="preserve"> </w:t>
      </w:r>
      <w:r>
        <w:rPr>
          <w:rFonts w:asciiTheme="minorHAnsi" w:eastAsiaTheme="minorHAnsi" w:hAnsiTheme="minorHAnsi" w:cstheme="minorHAnsi"/>
        </w:rPr>
        <w:t>Kontrolou</w:t>
      </w:r>
      <w:r w:rsidR="00C11D14">
        <w:rPr>
          <w:rFonts w:asciiTheme="minorHAnsi" w:eastAsiaTheme="minorHAnsi" w:hAnsiTheme="minorHAnsi" w:cstheme="minorHAnsi"/>
        </w:rPr>
        <w:t xml:space="preserve"> NKÚ </w:t>
      </w:r>
      <w:r>
        <w:rPr>
          <w:rFonts w:asciiTheme="minorHAnsi" w:eastAsiaTheme="minorHAnsi" w:hAnsiTheme="minorHAnsi" w:cstheme="minorHAnsi"/>
        </w:rPr>
        <w:t>byly zjištěny a vyčísleny nesprávnosti v ÚZ ve výši 1,05 mld. Kč</w:t>
      </w:r>
      <w:r w:rsidR="0042706F">
        <w:rPr>
          <w:rFonts w:asciiTheme="minorHAnsi" w:eastAsiaTheme="minorHAnsi" w:hAnsiTheme="minorHAnsi" w:cstheme="minorHAnsi"/>
        </w:rPr>
        <w:t>. V</w:t>
      </w:r>
      <w:r>
        <w:rPr>
          <w:rFonts w:asciiTheme="minorHAnsi" w:eastAsiaTheme="minorHAnsi" w:hAnsiTheme="minorHAnsi" w:cstheme="minorHAnsi"/>
        </w:rPr>
        <w:t xml:space="preserve">ýznamné nesprávnosti se vyskytovaly ve všech částech ÚZ, kromě přehledu o změnách vlastního kapitálu, a měly tedy na ÚZ rozsáhlý dopad. Na základě těchto skutečností NKÚ vyhodnotil, že ÚZ nepodává věrný a poctivý obraz předmětu účetnictví a finanční situace účetní jednotky a že MS Praha v roce 2017 nevedl správné, úplné a průkazné účetnictví ve smyslu ustanovení § 8 odst. 1 až 4 zákona o </w:t>
      </w:r>
      <w:r w:rsidRPr="00575DCF">
        <w:rPr>
          <w:rFonts w:asciiTheme="minorHAnsi" w:eastAsiaTheme="minorHAnsi" w:hAnsiTheme="minorHAnsi" w:cstheme="minorHAnsi"/>
        </w:rPr>
        <w:t>účetnictví</w:t>
      </w:r>
      <w:r w:rsidR="009B571B">
        <w:rPr>
          <w:rFonts w:asciiTheme="minorHAnsi" w:eastAsiaTheme="minorHAnsi" w:hAnsiTheme="minorHAnsi" w:cstheme="minorHAnsi"/>
        </w:rPr>
        <w:t xml:space="preserve">. V podrobnostech </w:t>
      </w:r>
      <w:r w:rsidRPr="00575DCF">
        <w:rPr>
          <w:rFonts w:asciiTheme="minorHAnsi" w:eastAsiaTheme="minorHAnsi" w:hAnsiTheme="minorHAnsi" w:cstheme="minorHAnsi"/>
        </w:rPr>
        <w:t xml:space="preserve">viz </w:t>
      </w:r>
      <w:r>
        <w:rPr>
          <w:rFonts w:asciiTheme="minorHAnsi" w:eastAsiaTheme="minorHAnsi" w:hAnsiTheme="minorHAnsi" w:cstheme="minorHAnsi"/>
        </w:rPr>
        <w:t>část</w:t>
      </w:r>
      <w:r w:rsidRPr="00575DCF">
        <w:rPr>
          <w:rFonts w:asciiTheme="minorHAnsi" w:eastAsiaTheme="minorHAnsi" w:hAnsiTheme="minorHAnsi" w:cstheme="minorHAnsi"/>
        </w:rPr>
        <w:t xml:space="preserve"> </w:t>
      </w:r>
      <w:proofErr w:type="gramStart"/>
      <w:r w:rsidRPr="00575DCF">
        <w:rPr>
          <w:rFonts w:asciiTheme="minorHAnsi" w:eastAsiaTheme="minorHAnsi" w:hAnsiTheme="minorHAnsi" w:cstheme="minorHAnsi"/>
        </w:rPr>
        <w:t>IV.</w:t>
      </w:r>
      <w:r w:rsidR="00E95B17">
        <w:rPr>
          <w:rFonts w:asciiTheme="minorHAnsi" w:eastAsiaTheme="minorHAnsi" w:hAnsiTheme="minorHAnsi" w:cstheme="minorHAnsi"/>
        </w:rPr>
        <w:t>1</w:t>
      </w:r>
      <w:r w:rsidRPr="00575DCF">
        <w:rPr>
          <w:rFonts w:asciiTheme="minorHAnsi" w:eastAsiaTheme="minorHAnsi" w:hAnsiTheme="minorHAnsi" w:cstheme="minorHAnsi"/>
        </w:rPr>
        <w:t>. tohoto</w:t>
      </w:r>
      <w:proofErr w:type="gramEnd"/>
      <w:r w:rsidRPr="00575DCF">
        <w:rPr>
          <w:rFonts w:asciiTheme="minorHAnsi" w:eastAsiaTheme="minorHAnsi" w:hAnsiTheme="minorHAnsi" w:cstheme="minorHAnsi"/>
        </w:rPr>
        <w:t xml:space="preserve"> kontrolního závěru.</w:t>
      </w:r>
    </w:p>
    <w:p w14:paraId="3FCADA09" w14:textId="77777777" w:rsidR="00F91EE4" w:rsidRDefault="00F91EE4" w:rsidP="007B2E2B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641B6542" w14:textId="77777777" w:rsidR="00C11D14" w:rsidRDefault="00866ED0" w:rsidP="00DE2445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2</w:t>
      </w:r>
      <w:r w:rsidR="00C11D14">
        <w:rPr>
          <w:rFonts w:asciiTheme="minorHAnsi" w:eastAsiaTheme="minorHAnsi" w:hAnsiTheme="minorHAnsi" w:cstheme="minorHAnsi"/>
          <w:b/>
        </w:rPr>
        <w:t>.1.4 Schválení účetní závěrky</w:t>
      </w:r>
    </w:p>
    <w:p w14:paraId="0A087497" w14:textId="77777777" w:rsidR="00F91EE4" w:rsidRDefault="00F91EE4" w:rsidP="00DE2445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5E60B58D" w14:textId="60476CF9" w:rsidR="006155BC" w:rsidRDefault="00DE2445" w:rsidP="00DE2445">
      <w:pPr>
        <w:spacing w:after="0"/>
        <w:jc w:val="both"/>
        <w:rPr>
          <w:rFonts w:asciiTheme="minorHAnsi" w:eastAsiaTheme="minorHAnsi" w:hAnsiTheme="minorHAnsi" w:cstheme="minorHAnsi"/>
        </w:rPr>
      </w:pPr>
      <w:r w:rsidRPr="00D0424A">
        <w:rPr>
          <w:rFonts w:asciiTheme="minorHAnsi" w:eastAsiaTheme="minorHAnsi" w:hAnsiTheme="minorHAnsi" w:cstheme="minorHAnsi"/>
          <w:b/>
        </w:rPr>
        <w:t>Účetní závěrka</w:t>
      </w:r>
      <w:r>
        <w:rPr>
          <w:rFonts w:asciiTheme="minorHAnsi" w:eastAsiaTheme="minorHAnsi" w:hAnsiTheme="minorHAnsi" w:cstheme="minorHAnsi"/>
          <w:b/>
        </w:rPr>
        <w:t xml:space="preserve"> MS Praha za rok 2017</w:t>
      </w:r>
      <w:r w:rsidRPr="00BE1738">
        <w:rPr>
          <w:rFonts w:asciiTheme="minorHAnsi" w:eastAsiaTheme="minorHAnsi" w:hAnsiTheme="minorHAnsi" w:cstheme="minorHAnsi"/>
          <w:b/>
        </w:rPr>
        <w:t xml:space="preserve"> byla Ministerstvem spravedlnosti schválena.</w:t>
      </w:r>
      <w:r w:rsidR="00A85FDA">
        <w:rPr>
          <w:rFonts w:asciiTheme="minorHAnsi" w:eastAsiaTheme="minorHAnsi" w:hAnsiTheme="minorHAnsi" w:cstheme="minorHAnsi"/>
        </w:rPr>
        <w:t xml:space="preserve"> </w:t>
      </w:r>
      <w:r w:rsidR="006155BC">
        <w:rPr>
          <w:rFonts w:asciiTheme="minorHAnsi" w:eastAsiaTheme="minorHAnsi" w:hAnsiTheme="minorHAnsi" w:cstheme="minorHAnsi"/>
        </w:rPr>
        <w:t>Proces schvalování účetní závěrky byl v souladu s požadavky vyhl</w:t>
      </w:r>
      <w:r w:rsidR="006F0935">
        <w:rPr>
          <w:rFonts w:asciiTheme="minorHAnsi" w:eastAsiaTheme="minorHAnsi" w:hAnsiTheme="minorHAnsi" w:cstheme="minorHAnsi"/>
        </w:rPr>
        <w:t>ášky</w:t>
      </w:r>
      <w:r w:rsidR="006155BC">
        <w:rPr>
          <w:rFonts w:asciiTheme="minorHAnsi" w:eastAsiaTheme="minorHAnsi" w:hAnsiTheme="minorHAnsi" w:cstheme="minorHAnsi"/>
        </w:rPr>
        <w:t xml:space="preserve"> č. 220/2013 Sb., o</w:t>
      </w:r>
      <w:r w:rsidR="004B0EBB">
        <w:rPr>
          <w:rFonts w:asciiTheme="minorHAnsi" w:eastAsiaTheme="minorHAnsi" w:hAnsiTheme="minorHAnsi" w:cstheme="minorHAnsi"/>
        </w:rPr>
        <w:t> </w:t>
      </w:r>
      <w:r w:rsidR="006155BC">
        <w:rPr>
          <w:rFonts w:asciiTheme="minorHAnsi" w:eastAsiaTheme="minorHAnsi" w:hAnsiTheme="minorHAnsi" w:cstheme="minorHAnsi"/>
        </w:rPr>
        <w:t>požadavcích na schvalování účetních závěrek některých vybraných účetních jednotek</w:t>
      </w:r>
      <w:r w:rsidR="00DF58A8">
        <w:rPr>
          <w:rFonts w:asciiTheme="minorHAnsi" w:eastAsiaTheme="minorHAnsi" w:hAnsiTheme="minorHAnsi" w:cstheme="minorHAnsi"/>
        </w:rPr>
        <w:t>,</w:t>
      </w:r>
      <w:r w:rsidR="006F0935">
        <w:rPr>
          <w:rFonts w:asciiTheme="minorHAnsi" w:eastAsiaTheme="minorHAnsi" w:hAnsiTheme="minorHAnsi" w:cstheme="minorHAnsi"/>
        </w:rPr>
        <w:t xml:space="preserve"> avšak v tomto případě nevedl k zajištění spolehlivosti údajů ÚZ</w:t>
      </w:r>
      <w:r w:rsidR="006155BC">
        <w:rPr>
          <w:rFonts w:asciiTheme="minorHAnsi" w:eastAsiaTheme="minorHAnsi" w:hAnsiTheme="minorHAnsi" w:cstheme="minorHAnsi"/>
        </w:rPr>
        <w:t>.</w:t>
      </w:r>
    </w:p>
    <w:p w14:paraId="0472EEA4" w14:textId="77777777" w:rsidR="00BE3057" w:rsidRDefault="00BE3057" w:rsidP="00DE2445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3F21CD4C" w14:textId="2F2C8697" w:rsidR="00DE2445" w:rsidRPr="007333D3" w:rsidRDefault="00DE2445" w:rsidP="00DE244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  <w:r w:rsidRPr="00D0424A">
        <w:rPr>
          <w:rFonts w:asciiTheme="minorHAnsi" w:eastAsiaTheme="minorHAnsi" w:hAnsiTheme="minorHAnsi" w:cstheme="minorHAnsi"/>
        </w:rPr>
        <w:t>Podkladem</w:t>
      </w:r>
      <w:r>
        <w:rPr>
          <w:rFonts w:asciiTheme="minorHAnsi" w:eastAsiaTheme="minorHAnsi" w:hAnsiTheme="minorHAnsi" w:cstheme="minorHAnsi"/>
        </w:rPr>
        <w:t xml:space="preserve"> pro schválení ÚZ byla zpráva auditora</w:t>
      </w:r>
      <w:r w:rsidRPr="007333D3">
        <w:rPr>
          <w:rFonts w:asciiTheme="minorHAnsi" w:eastAsiaTheme="minorHAnsi" w:hAnsiTheme="minorHAnsi" w:cstheme="minorHAnsi"/>
        </w:rPr>
        <w:t xml:space="preserve">. </w:t>
      </w:r>
      <w:r w:rsidRPr="007333D3">
        <w:rPr>
          <w:rFonts w:asciiTheme="minorHAnsi" w:eastAsiaTheme="minorHAnsi" w:hAnsiTheme="minorHAnsi" w:cstheme="minorHAnsi"/>
          <w:b/>
        </w:rPr>
        <w:t>Ministerstvo</w:t>
      </w:r>
      <w:r w:rsidRPr="00575DCF">
        <w:rPr>
          <w:rFonts w:asciiTheme="minorHAnsi" w:eastAsiaTheme="minorHAnsi" w:hAnsiTheme="minorHAnsi" w:cstheme="minorHAnsi"/>
          <w:b/>
        </w:rPr>
        <w:t xml:space="preserve"> spravedlnosti uzavřelo</w:t>
      </w:r>
      <w:r>
        <w:rPr>
          <w:rFonts w:asciiTheme="minorHAnsi" w:eastAsiaTheme="minorHAnsi" w:hAnsiTheme="minorHAnsi" w:cstheme="minorHAnsi"/>
          <w:b/>
        </w:rPr>
        <w:t xml:space="preserve"> s</w:t>
      </w:r>
      <w:r w:rsidR="00D97E6D">
        <w:rPr>
          <w:rFonts w:asciiTheme="minorHAnsi" w:eastAsiaTheme="minorHAnsi" w:hAnsiTheme="minorHAnsi" w:cstheme="minorHAnsi"/>
          <w:b/>
        </w:rPr>
        <w:t> externím auditorem</w:t>
      </w:r>
      <w:r>
        <w:rPr>
          <w:rFonts w:asciiTheme="minorHAnsi" w:eastAsiaTheme="minorHAnsi" w:hAnsiTheme="minorHAnsi" w:cstheme="minorHAnsi"/>
        </w:rPr>
        <w:t xml:space="preserve"> v říjnu 2017 </w:t>
      </w:r>
      <w:r w:rsidRPr="00575DCF">
        <w:rPr>
          <w:rFonts w:asciiTheme="minorHAnsi" w:eastAsiaTheme="minorHAnsi" w:hAnsiTheme="minorHAnsi" w:cstheme="minorHAnsi"/>
          <w:b/>
        </w:rPr>
        <w:t>smlouvu</w:t>
      </w:r>
      <w:r>
        <w:rPr>
          <w:rFonts w:asciiTheme="minorHAnsi" w:eastAsiaTheme="minorHAnsi" w:hAnsiTheme="minorHAnsi" w:cstheme="minorHAnsi"/>
          <w:b/>
        </w:rPr>
        <w:t xml:space="preserve">, </w:t>
      </w:r>
      <w:r w:rsidRPr="00D0424A">
        <w:rPr>
          <w:rFonts w:asciiTheme="minorHAnsi" w:eastAsiaTheme="minorHAnsi" w:hAnsiTheme="minorHAnsi" w:cstheme="minorHAnsi"/>
        </w:rPr>
        <w:t>jejímž předmětem</w:t>
      </w:r>
      <w:r>
        <w:rPr>
          <w:rFonts w:asciiTheme="minorHAnsi" w:eastAsiaTheme="minorHAnsi" w:hAnsiTheme="minorHAnsi" w:cstheme="minorHAnsi"/>
        </w:rPr>
        <w:t xml:space="preserve"> bylo ověření </w:t>
      </w:r>
      <w:r w:rsidR="00D97E6D">
        <w:rPr>
          <w:rFonts w:asciiTheme="minorHAnsi" w:eastAsiaTheme="minorHAnsi" w:hAnsiTheme="minorHAnsi" w:cstheme="minorHAnsi"/>
        </w:rPr>
        <w:t>účetní závěrky</w:t>
      </w:r>
      <w:r>
        <w:rPr>
          <w:rFonts w:asciiTheme="minorHAnsi" w:eastAsiaTheme="minorHAnsi" w:hAnsiTheme="minorHAnsi" w:cstheme="minorHAnsi"/>
        </w:rPr>
        <w:t xml:space="preserve"> MS Praha za rok 2017 a také i prověření vedení účetnictví na soulad s právními předpisy, a to zejména s ohledem na jeho úplnost, průkaznost, správnost a způsob zachycování</w:t>
      </w:r>
      <w:r w:rsidR="00C5050E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a</w:t>
      </w:r>
      <w:r w:rsidR="00C5050E">
        <w:rPr>
          <w:rFonts w:asciiTheme="minorHAnsi" w:eastAsiaTheme="minorHAnsi" w:hAnsiTheme="minorHAnsi" w:cstheme="minorHAnsi"/>
        </w:rPr>
        <w:t> </w:t>
      </w:r>
      <w:r>
        <w:rPr>
          <w:rFonts w:asciiTheme="minorHAnsi" w:eastAsiaTheme="minorHAnsi" w:hAnsiTheme="minorHAnsi" w:cstheme="minorHAnsi"/>
        </w:rPr>
        <w:t>prezentování hospodářských operací a na zhodnocení důležitých účetních procesů</w:t>
      </w:r>
      <w:r w:rsidR="00957491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a</w:t>
      </w:r>
      <w:r w:rsidR="00C5050E">
        <w:rPr>
          <w:rFonts w:asciiTheme="minorHAnsi" w:eastAsiaTheme="minorHAnsi" w:hAnsiTheme="minorHAnsi" w:cstheme="minorHAnsi"/>
        </w:rPr>
        <w:t> </w:t>
      </w:r>
      <w:r>
        <w:rPr>
          <w:rFonts w:asciiTheme="minorHAnsi" w:eastAsiaTheme="minorHAnsi" w:hAnsiTheme="minorHAnsi" w:cstheme="minorHAnsi"/>
        </w:rPr>
        <w:t xml:space="preserve">používaných účetních postupů. </w:t>
      </w:r>
      <w:r w:rsidRPr="00BE1738">
        <w:rPr>
          <w:rFonts w:asciiTheme="minorHAnsi" w:eastAsiaTheme="minorHAnsi" w:hAnsiTheme="minorHAnsi" w:cstheme="minorHAnsi"/>
          <w:b/>
        </w:rPr>
        <w:t xml:space="preserve">Dle </w:t>
      </w:r>
      <w:r>
        <w:rPr>
          <w:rFonts w:asciiTheme="minorHAnsi" w:eastAsiaTheme="minorHAnsi" w:hAnsiTheme="minorHAnsi" w:cstheme="minorHAnsi"/>
          <w:b/>
        </w:rPr>
        <w:t>zprávy auditora</w:t>
      </w:r>
      <w:r w:rsidRPr="00BE1738">
        <w:rPr>
          <w:rFonts w:asciiTheme="minorHAnsi" w:eastAsiaTheme="minorHAnsi" w:hAnsiTheme="minorHAnsi" w:cstheme="minorHAnsi"/>
          <w:b/>
        </w:rPr>
        <w:t xml:space="preserve"> ÚZ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Pr="00BE1738">
        <w:rPr>
          <w:rFonts w:asciiTheme="minorHAnsi" w:eastAsiaTheme="minorHAnsi" w:hAnsiTheme="minorHAnsi" w:cstheme="minorHAnsi"/>
          <w:b/>
        </w:rPr>
        <w:t>podává věrný a poctivý obraz</w:t>
      </w:r>
      <w:r>
        <w:rPr>
          <w:rFonts w:asciiTheme="minorHAnsi" w:eastAsiaTheme="minorHAnsi" w:hAnsiTheme="minorHAnsi" w:cstheme="minorHAnsi"/>
        </w:rPr>
        <w:t xml:space="preserve"> aktiv a pasiv MS Praha k 31. </w:t>
      </w:r>
      <w:r w:rsidR="00C11D14">
        <w:rPr>
          <w:rFonts w:asciiTheme="minorHAnsi" w:eastAsiaTheme="minorHAnsi" w:hAnsiTheme="minorHAnsi" w:cstheme="minorHAnsi"/>
        </w:rPr>
        <w:t>prosinci</w:t>
      </w:r>
      <w:r>
        <w:rPr>
          <w:rFonts w:asciiTheme="minorHAnsi" w:eastAsiaTheme="minorHAnsi" w:hAnsiTheme="minorHAnsi" w:cstheme="minorHAnsi"/>
        </w:rPr>
        <w:t xml:space="preserve"> 2017 a nákladů a výnosů a výsledku jeho hospodaření za období od 1. ledna 2017 do 31. prosince 2017, v souladu s českými účetními předpisy. </w:t>
      </w:r>
    </w:p>
    <w:p w14:paraId="0ECDB135" w14:textId="77777777" w:rsidR="00FB20C8" w:rsidRPr="009002BF" w:rsidRDefault="00FB20C8" w:rsidP="00293F15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E32DCDC" w14:textId="77777777" w:rsidR="00DB3443" w:rsidRDefault="00DB3443" w:rsidP="00293F15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0413F482" w14:textId="40587FFD" w:rsidR="002C176E" w:rsidRDefault="00866ED0" w:rsidP="00293F15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lastRenderedPageBreak/>
        <w:t>2</w:t>
      </w:r>
      <w:r w:rsidR="002C176E" w:rsidRPr="00704EBD">
        <w:rPr>
          <w:rFonts w:asciiTheme="minorHAnsi" w:eastAsiaTheme="minorHAnsi" w:hAnsiTheme="minorHAnsi" w:cstheme="minorHAnsi"/>
          <w:b/>
        </w:rPr>
        <w:t>.</w:t>
      </w:r>
      <w:r w:rsidR="00FB20C8">
        <w:rPr>
          <w:rFonts w:asciiTheme="minorHAnsi" w:eastAsiaTheme="minorHAnsi" w:hAnsiTheme="minorHAnsi" w:cstheme="minorHAnsi"/>
          <w:b/>
        </w:rPr>
        <w:t>2</w:t>
      </w:r>
      <w:r w:rsidR="002C176E" w:rsidRPr="00704EBD">
        <w:rPr>
          <w:rFonts w:asciiTheme="minorHAnsi" w:eastAsiaTheme="minorHAnsi" w:hAnsiTheme="minorHAnsi" w:cstheme="minorHAnsi"/>
          <w:b/>
        </w:rPr>
        <w:t xml:space="preserve"> Rizika v oblasti řídící kontroly</w:t>
      </w:r>
    </w:p>
    <w:p w14:paraId="0C97BFD3" w14:textId="77777777" w:rsidR="00293F15" w:rsidRDefault="00293F15" w:rsidP="009002BF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34A6B5A7" w14:textId="77777777" w:rsidR="0042706F" w:rsidRDefault="0065662C" w:rsidP="009002BF">
      <w:pPr>
        <w:spacing w:after="0"/>
        <w:jc w:val="both"/>
        <w:rPr>
          <w:rFonts w:asciiTheme="minorHAnsi" w:eastAsiaTheme="minorHAnsi" w:hAnsiTheme="minorHAnsi" w:cstheme="minorHAnsi"/>
        </w:rPr>
      </w:pPr>
      <w:r w:rsidRPr="00575DCF">
        <w:rPr>
          <w:rFonts w:asciiTheme="minorHAnsi" w:eastAsiaTheme="minorHAnsi" w:hAnsiTheme="minorHAnsi" w:cstheme="minorHAnsi"/>
          <w:b/>
        </w:rPr>
        <w:t xml:space="preserve">MS Praha </w:t>
      </w:r>
      <w:r w:rsidR="00F074D5" w:rsidRPr="00575DCF">
        <w:rPr>
          <w:rFonts w:asciiTheme="minorHAnsi" w:eastAsiaTheme="minorHAnsi" w:hAnsiTheme="minorHAnsi" w:cstheme="minorHAnsi"/>
          <w:b/>
        </w:rPr>
        <w:t>neprováděl ve všech případech řádně předběžnou kontrolu</w:t>
      </w:r>
      <w:r w:rsidR="00F074D5">
        <w:rPr>
          <w:rFonts w:asciiTheme="minorHAnsi" w:eastAsiaTheme="minorHAnsi" w:hAnsiTheme="minorHAnsi" w:cstheme="minorHAnsi"/>
        </w:rPr>
        <w:t xml:space="preserve"> při řízení veřejných výdajů </w:t>
      </w:r>
      <w:r w:rsidR="00FB20C8">
        <w:rPr>
          <w:rFonts w:asciiTheme="minorHAnsi" w:eastAsiaTheme="minorHAnsi" w:hAnsiTheme="minorHAnsi" w:cstheme="minorHAnsi"/>
        </w:rPr>
        <w:t>p</w:t>
      </w:r>
      <w:r w:rsidR="00F074D5">
        <w:rPr>
          <w:rFonts w:asciiTheme="minorHAnsi" w:eastAsiaTheme="minorHAnsi" w:hAnsiTheme="minorHAnsi" w:cstheme="minorHAnsi"/>
        </w:rPr>
        <w:t>o vzniku závazku</w:t>
      </w:r>
      <w:r w:rsidR="00D97E6D">
        <w:rPr>
          <w:rFonts w:asciiTheme="minorHAnsi" w:eastAsiaTheme="minorHAnsi" w:hAnsiTheme="minorHAnsi" w:cstheme="minorHAnsi"/>
        </w:rPr>
        <w:t>, což v dále uvedených případech vedlo ke skutečnostem nasvědčujícím porušení rozpočtové kázně.</w:t>
      </w:r>
    </w:p>
    <w:p w14:paraId="68D9FA2A" w14:textId="77777777" w:rsidR="009002BF" w:rsidRDefault="009002BF" w:rsidP="009002BF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7A93A3C0" w14:textId="358FCDE1" w:rsidR="00293F15" w:rsidRPr="00CE1822" w:rsidRDefault="00FB20C8" w:rsidP="009002BF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V jednom případě MS Praha</w:t>
      </w:r>
      <w:r w:rsidR="00656DEC">
        <w:rPr>
          <w:rFonts w:asciiTheme="minorHAnsi" w:eastAsiaTheme="minorHAnsi" w:hAnsiTheme="minorHAnsi" w:cstheme="minorHAnsi"/>
        </w:rPr>
        <w:t xml:space="preserve"> </w:t>
      </w:r>
      <w:r w:rsidR="00656DEC" w:rsidRPr="00575DCF">
        <w:rPr>
          <w:rFonts w:asciiTheme="minorHAnsi" w:eastAsiaTheme="minorHAnsi" w:hAnsiTheme="minorHAnsi" w:cstheme="minorHAnsi"/>
          <w:b/>
        </w:rPr>
        <w:t>vůbec neprovedl předběžnou kontrolu</w:t>
      </w:r>
      <w:r w:rsidR="00656DEC">
        <w:rPr>
          <w:rFonts w:asciiTheme="minorHAnsi" w:eastAsiaTheme="minorHAnsi" w:hAnsiTheme="minorHAnsi" w:cstheme="minorHAnsi"/>
        </w:rPr>
        <w:t xml:space="preserve"> při řízení veřejných výdajů po vzniku závazku </w:t>
      </w:r>
      <w:r w:rsidR="00656DEC" w:rsidRPr="00575DCF">
        <w:rPr>
          <w:rFonts w:asciiTheme="minorHAnsi" w:eastAsiaTheme="minorHAnsi" w:hAnsiTheme="minorHAnsi" w:cstheme="minorHAnsi"/>
          <w:b/>
        </w:rPr>
        <w:t>u výdaje ve výši 302 tis. Kč a uvedenou částku uhradil</w:t>
      </w:r>
      <w:r w:rsidR="00906D84">
        <w:rPr>
          <w:rStyle w:val="Znakapoznpodarou"/>
          <w:rFonts w:asciiTheme="minorHAnsi" w:eastAsiaTheme="minorHAnsi" w:hAnsiTheme="minorHAnsi" w:cstheme="minorHAnsi"/>
          <w:b/>
        </w:rPr>
        <w:footnoteReference w:id="14"/>
      </w:r>
      <w:r>
        <w:rPr>
          <w:rFonts w:asciiTheme="minorHAnsi" w:eastAsiaTheme="minorHAnsi" w:hAnsiTheme="minorHAnsi" w:cstheme="minorHAnsi"/>
        </w:rPr>
        <w:t>.</w:t>
      </w:r>
      <w:r w:rsidR="0042706F">
        <w:rPr>
          <w:rFonts w:asciiTheme="minorHAnsi" w:eastAsiaTheme="minorHAnsi" w:hAnsiTheme="minorHAnsi" w:cstheme="minorHAnsi"/>
        </w:rPr>
        <w:t xml:space="preserve"> </w:t>
      </w:r>
      <w:r w:rsidR="00776BBD">
        <w:rPr>
          <w:rFonts w:asciiTheme="minorHAnsi" w:eastAsiaTheme="minorHAnsi" w:hAnsiTheme="minorHAnsi" w:cstheme="minorHAnsi"/>
          <w:b/>
        </w:rPr>
        <w:t>Ve dvou</w:t>
      </w:r>
      <w:r w:rsidR="0042706F">
        <w:rPr>
          <w:rFonts w:asciiTheme="minorHAnsi" w:eastAsiaTheme="minorHAnsi" w:hAnsiTheme="minorHAnsi" w:cstheme="minorHAnsi"/>
          <w:b/>
        </w:rPr>
        <w:t xml:space="preserve"> dalších</w:t>
      </w:r>
      <w:r>
        <w:rPr>
          <w:rFonts w:asciiTheme="minorHAnsi" w:eastAsiaTheme="minorHAnsi" w:hAnsiTheme="minorHAnsi" w:cstheme="minorHAnsi"/>
          <w:b/>
        </w:rPr>
        <w:t xml:space="preserve"> případech</w:t>
      </w:r>
      <w:r w:rsidR="0042706F">
        <w:rPr>
          <w:rFonts w:asciiTheme="minorHAnsi" w:eastAsiaTheme="minorHAnsi" w:hAnsiTheme="minorHAnsi" w:cstheme="minorHAnsi"/>
          <w:b/>
        </w:rPr>
        <w:t xml:space="preserve"> MS Praha</w:t>
      </w:r>
      <w:r w:rsidR="00D8482B" w:rsidRPr="00575DCF">
        <w:rPr>
          <w:rFonts w:asciiTheme="minorHAnsi" w:eastAsiaTheme="minorHAnsi" w:hAnsiTheme="minorHAnsi" w:cstheme="minorHAnsi"/>
          <w:b/>
        </w:rPr>
        <w:t xml:space="preserve"> odsouhlasil</w:t>
      </w:r>
      <w:r>
        <w:rPr>
          <w:rFonts w:asciiTheme="minorHAnsi" w:eastAsiaTheme="minorHAnsi" w:hAnsiTheme="minorHAnsi" w:cstheme="minorHAnsi"/>
          <w:b/>
        </w:rPr>
        <w:t xml:space="preserve"> i</w:t>
      </w:r>
      <w:r w:rsidR="00D8482B" w:rsidRPr="00575DCF">
        <w:rPr>
          <w:rFonts w:asciiTheme="minorHAnsi" w:eastAsiaTheme="minorHAnsi" w:hAnsiTheme="minorHAnsi" w:cstheme="minorHAnsi"/>
          <w:b/>
        </w:rPr>
        <w:t xml:space="preserve"> výdaje na smlouvy, které</w:t>
      </w:r>
      <w:r w:rsidR="00D8482B">
        <w:rPr>
          <w:rFonts w:asciiTheme="minorHAnsi" w:eastAsiaTheme="minorHAnsi" w:hAnsiTheme="minorHAnsi" w:cstheme="minorHAnsi"/>
        </w:rPr>
        <w:t xml:space="preserve"> </w:t>
      </w:r>
      <w:r w:rsidR="00D8482B" w:rsidRPr="00575DCF">
        <w:rPr>
          <w:rFonts w:asciiTheme="minorHAnsi" w:eastAsiaTheme="minorHAnsi" w:hAnsiTheme="minorHAnsi" w:cstheme="minorHAnsi"/>
          <w:b/>
        </w:rPr>
        <w:t>nebyly</w:t>
      </w:r>
      <w:r w:rsidR="00D8482B">
        <w:rPr>
          <w:rFonts w:asciiTheme="minorHAnsi" w:eastAsiaTheme="minorHAnsi" w:hAnsiTheme="minorHAnsi" w:cstheme="minorHAnsi"/>
        </w:rPr>
        <w:t xml:space="preserve"> ještě </w:t>
      </w:r>
      <w:r w:rsidR="00D8482B" w:rsidRPr="00575DCF">
        <w:rPr>
          <w:rFonts w:asciiTheme="minorHAnsi" w:eastAsiaTheme="minorHAnsi" w:hAnsiTheme="minorHAnsi" w:cstheme="minorHAnsi"/>
          <w:b/>
        </w:rPr>
        <w:t>účinné</w:t>
      </w:r>
      <w:r w:rsidR="006867AC">
        <w:rPr>
          <w:rFonts w:asciiTheme="minorHAnsi" w:eastAsiaTheme="minorHAnsi" w:hAnsiTheme="minorHAnsi" w:cstheme="minorHAnsi"/>
          <w:b/>
        </w:rPr>
        <w:t xml:space="preserve">. </w:t>
      </w:r>
      <w:r w:rsidR="006867AC" w:rsidRPr="00941C84">
        <w:rPr>
          <w:rFonts w:asciiTheme="minorHAnsi" w:eastAsiaTheme="minorHAnsi" w:hAnsiTheme="minorHAnsi" w:cstheme="minorHAnsi"/>
        </w:rPr>
        <w:t>V</w:t>
      </w:r>
      <w:r w:rsidR="004B0EBB">
        <w:rPr>
          <w:rFonts w:asciiTheme="minorHAnsi" w:eastAsiaTheme="minorHAnsi" w:hAnsiTheme="minorHAnsi" w:cstheme="minorHAnsi"/>
        </w:rPr>
        <w:t> </w:t>
      </w:r>
      <w:r w:rsidR="00CE1822" w:rsidRPr="00D0424A">
        <w:rPr>
          <w:rFonts w:asciiTheme="minorHAnsi" w:eastAsiaTheme="minorHAnsi" w:hAnsiTheme="minorHAnsi" w:cstheme="minorHAnsi"/>
        </w:rPr>
        <w:t xml:space="preserve">podrobnostech viz část </w:t>
      </w:r>
      <w:proofErr w:type="gramStart"/>
      <w:r w:rsidR="00CE1822" w:rsidRPr="00D0424A">
        <w:rPr>
          <w:rFonts w:asciiTheme="minorHAnsi" w:eastAsiaTheme="minorHAnsi" w:hAnsiTheme="minorHAnsi" w:cstheme="minorHAnsi"/>
        </w:rPr>
        <w:t>IV.</w:t>
      </w:r>
      <w:r w:rsidR="00E95B17">
        <w:rPr>
          <w:rFonts w:asciiTheme="minorHAnsi" w:eastAsiaTheme="minorHAnsi" w:hAnsiTheme="minorHAnsi" w:cstheme="minorHAnsi"/>
        </w:rPr>
        <w:t>3</w:t>
      </w:r>
      <w:r w:rsidR="00CE1822" w:rsidRPr="00D0424A">
        <w:rPr>
          <w:rFonts w:asciiTheme="minorHAnsi" w:eastAsiaTheme="minorHAnsi" w:hAnsiTheme="minorHAnsi" w:cstheme="minorHAnsi"/>
        </w:rPr>
        <w:t>.3</w:t>
      </w:r>
      <w:proofErr w:type="gramEnd"/>
      <w:r>
        <w:rPr>
          <w:rFonts w:asciiTheme="minorHAnsi" w:eastAsiaTheme="minorHAnsi" w:hAnsiTheme="minorHAnsi" w:cstheme="minorHAnsi"/>
        </w:rPr>
        <w:t xml:space="preserve"> tohoto kontrolního závěru</w:t>
      </w:r>
      <w:r w:rsidR="00D8482B" w:rsidRPr="00CE1822">
        <w:rPr>
          <w:rFonts w:asciiTheme="minorHAnsi" w:eastAsiaTheme="minorHAnsi" w:hAnsiTheme="minorHAnsi" w:cstheme="minorHAnsi"/>
        </w:rPr>
        <w:t>.</w:t>
      </w:r>
      <w:r w:rsidR="00656DEC" w:rsidRPr="00CE1822">
        <w:rPr>
          <w:rFonts w:asciiTheme="minorHAnsi" w:eastAsiaTheme="minorHAnsi" w:hAnsiTheme="minorHAnsi" w:cstheme="minorHAnsi"/>
        </w:rPr>
        <w:t xml:space="preserve"> </w:t>
      </w:r>
    </w:p>
    <w:p w14:paraId="0CFE0606" w14:textId="0C74711B" w:rsidR="00C806FA" w:rsidRPr="00D52079" w:rsidRDefault="00C806FA" w:rsidP="009002BF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839BEAB" w14:textId="77777777" w:rsidR="002C176E" w:rsidRDefault="00866ED0" w:rsidP="00865AE0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3</w:t>
      </w:r>
      <w:r w:rsidR="002C176E" w:rsidRPr="00704EBD">
        <w:rPr>
          <w:rFonts w:asciiTheme="minorHAnsi" w:eastAsiaTheme="minorHAnsi" w:hAnsiTheme="minorHAnsi" w:cstheme="minorHAnsi"/>
          <w:b/>
        </w:rPr>
        <w:t>. Porušení rozpočtové kázně</w:t>
      </w:r>
    </w:p>
    <w:p w14:paraId="2A545939" w14:textId="77777777" w:rsidR="00865AE0" w:rsidRPr="00704EBD" w:rsidRDefault="00865AE0" w:rsidP="00865AE0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00EFB4E8" w14:textId="77777777" w:rsidR="00865AE0" w:rsidRPr="0042165C" w:rsidRDefault="00866ED0" w:rsidP="00865AE0">
      <w:pPr>
        <w:spacing w:after="0"/>
        <w:rPr>
          <w:b/>
        </w:rPr>
      </w:pPr>
      <w:r w:rsidRPr="0042165C">
        <w:rPr>
          <w:b/>
        </w:rPr>
        <w:t>3</w:t>
      </w:r>
      <w:r w:rsidR="00865AE0" w:rsidRPr="0042165C">
        <w:rPr>
          <w:b/>
        </w:rPr>
        <w:t>.1 Zálohy poskytnuté na dobu delší než 12 měsíců</w:t>
      </w:r>
    </w:p>
    <w:p w14:paraId="06FBC98E" w14:textId="77777777" w:rsidR="00865AE0" w:rsidRPr="0042165C" w:rsidRDefault="00865AE0" w:rsidP="00865AE0">
      <w:pPr>
        <w:spacing w:after="0"/>
        <w:rPr>
          <w:b/>
        </w:rPr>
      </w:pPr>
    </w:p>
    <w:p w14:paraId="046FF294" w14:textId="53E126BC" w:rsidR="00284AC1" w:rsidRPr="0042165C" w:rsidRDefault="00284AC1" w:rsidP="00BE1738">
      <w:pPr>
        <w:jc w:val="both"/>
      </w:pPr>
      <w:r w:rsidRPr="0042165C">
        <w:t>MS Praha poskytuje zálohy</w:t>
      </w:r>
      <w:r w:rsidR="00EF0793" w:rsidRPr="0042165C">
        <w:t xml:space="preserve"> ke splnění povinnosti uložené zvláštním právním předpisem. Tyto zálohy MS</w:t>
      </w:r>
      <w:r w:rsidR="00E05A5B">
        <w:t xml:space="preserve"> Praha</w:t>
      </w:r>
      <w:r w:rsidR="00EF0793" w:rsidRPr="0042165C">
        <w:t xml:space="preserve"> poskytuje</w:t>
      </w:r>
      <w:r w:rsidRPr="0042165C">
        <w:t xml:space="preserve"> advokátům, soudním znalcům, insolvenčním správcům a</w:t>
      </w:r>
      <w:r w:rsidR="004B0EBB">
        <w:t> </w:t>
      </w:r>
      <w:r w:rsidRPr="0042165C">
        <w:t xml:space="preserve">likvidátorům </w:t>
      </w:r>
      <w:r w:rsidR="00844BF3" w:rsidRPr="0042165C">
        <w:t xml:space="preserve">na základě zvláštního právního předpisu, kterým je například </w:t>
      </w:r>
      <w:r w:rsidRPr="0042165C">
        <w:t>trestní řád</w:t>
      </w:r>
      <w:r w:rsidR="00844BF3" w:rsidRPr="0042165C">
        <w:t xml:space="preserve"> či</w:t>
      </w:r>
      <w:r w:rsidR="00BE1738" w:rsidRPr="0042165C">
        <w:t xml:space="preserve"> </w:t>
      </w:r>
      <w:r w:rsidRPr="0042165C">
        <w:t>občanský soudní řád.</w:t>
      </w:r>
    </w:p>
    <w:p w14:paraId="55B9DA43" w14:textId="006CC80A" w:rsidR="00284AC1" w:rsidRPr="0042165C" w:rsidRDefault="003C2308" w:rsidP="003A707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Podle ustanovení </w:t>
      </w:r>
      <w:r w:rsidR="00284AC1" w:rsidRPr="0042165C">
        <w:rPr>
          <w:rFonts w:asciiTheme="minorHAnsi" w:hAnsiTheme="minorHAnsi" w:cstheme="minorHAnsi"/>
        </w:rPr>
        <w:t>§ 49 odst. 2 rozpočtových pravidel</w:t>
      </w:r>
      <w:r w:rsidR="00EF0793" w:rsidRPr="0042165C">
        <w:rPr>
          <w:rFonts w:asciiTheme="minorHAnsi" w:hAnsiTheme="minorHAnsi" w:cstheme="minorHAnsi"/>
        </w:rPr>
        <w:t xml:space="preserve"> ve znění účinném do 31. prosince 2014</w:t>
      </w:r>
      <w:r>
        <w:rPr>
          <w:rFonts w:asciiTheme="minorHAnsi" w:hAnsiTheme="minorHAnsi" w:cstheme="minorHAnsi"/>
        </w:rPr>
        <w:t xml:space="preserve"> byly OSS</w:t>
      </w:r>
      <w:r w:rsidR="00EF0793" w:rsidRPr="0042165C">
        <w:rPr>
          <w:rFonts w:asciiTheme="minorHAnsi" w:hAnsiTheme="minorHAnsi" w:cstheme="minorHAnsi"/>
        </w:rPr>
        <w:t xml:space="preserve"> oprávněn</w:t>
      </w:r>
      <w:r>
        <w:rPr>
          <w:rFonts w:asciiTheme="minorHAnsi" w:hAnsiTheme="minorHAnsi" w:cstheme="minorHAnsi"/>
        </w:rPr>
        <w:t>y</w:t>
      </w:r>
      <w:r w:rsidR="00284AC1" w:rsidRPr="0042165C">
        <w:rPr>
          <w:rFonts w:asciiTheme="minorHAnsi" w:hAnsiTheme="minorHAnsi" w:cstheme="minorHAnsi"/>
        </w:rPr>
        <w:t xml:space="preserve"> poskytovat</w:t>
      </w:r>
      <w:r w:rsidR="00EF0793" w:rsidRPr="0042165C">
        <w:rPr>
          <w:rFonts w:asciiTheme="minorHAnsi" w:hAnsiTheme="minorHAnsi" w:cstheme="minorHAnsi"/>
        </w:rPr>
        <w:t xml:space="preserve"> tyto</w:t>
      </w:r>
      <w:r w:rsidR="00284AC1" w:rsidRPr="0042165C">
        <w:rPr>
          <w:rFonts w:asciiTheme="minorHAnsi" w:hAnsiTheme="minorHAnsi" w:cstheme="minorHAnsi"/>
        </w:rPr>
        <w:t xml:space="preserve"> zálohy bez </w:t>
      </w:r>
      <w:r w:rsidR="00BE1738" w:rsidRPr="0042165C">
        <w:rPr>
          <w:rFonts w:asciiTheme="minorHAnsi" w:hAnsiTheme="minorHAnsi" w:cstheme="minorHAnsi"/>
        </w:rPr>
        <w:t>časového omezení</w:t>
      </w:r>
      <w:r w:rsidR="00284AC1" w:rsidRPr="0042165C">
        <w:rPr>
          <w:rFonts w:asciiTheme="minorHAnsi" w:hAnsiTheme="minorHAnsi" w:cstheme="minorHAnsi"/>
        </w:rPr>
        <w:t xml:space="preserve">. </w:t>
      </w:r>
      <w:r w:rsidR="00EF0793" w:rsidRPr="0042165C">
        <w:rPr>
          <w:rFonts w:asciiTheme="minorHAnsi" w:hAnsiTheme="minorHAnsi" w:cstheme="minorHAnsi"/>
        </w:rPr>
        <w:t>Dne</w:t>
      </w:r>
      <w:r w:rsidR="00284AC1" w:rsidRPr="0042165C">
        <w:rPr>
          <w:rFonts w:asciiTheme="minorHAnsi" w:hAnsiTheme="minorHAnsi" w:cstheme="minorHAnsi"/>
          <w:b/>
        </w:rPr>
        <w:t xml:space="preserve"> 1. </w:t>
      </w:r>
      <w:r w:rsidR="004A1831" w:rsidRPr="0042165C">
        <w:rPr>
          <w:rFonts w:asciiTheme="minorHAnsi" w:hAnsiTheme="minorHAnsi" w:cstheme="minorHAnsi"/>
          <w:b/>
        </w:rPr>
        <w:t>ledna</w:t>
      </w:r>
      <w:r w:rsidR="00284AC1" w:rsidRPr="0042165C">
        <w:rPr>
          <w:rFonts w:asciiTheme="minorHAnsi" w:hAnsiTheme="minorHAnsi" w:cstheme="minorHAnsi"/>
          <w:b/>
        </w:rPr>
        <w:t xml:space="preserve"> 2015</w:t>
      </w:r>
      <w:r w:rsidR="00284AC1" w:rsidRPr="0042165C">
        <w:rPr>
          <w:rFonts w:asciiTheme="minorHAnsi" w:hAnsiTheme="minorHAnsi" w:cstheme="minorHAnsi"/>
        </w:rPr>
        <w:t xml:space="preserve"> však</w:t>
      </w:r>
      <w:r w:rsidR="00EF0793" w:rsidRPr="0042165C">
        <w:rPr>
          <w:rFonts w:asciiTheme="minorHAnsi" w:hAnsiTheme="minorHAnsi" w:cstheme="minorHAnsi"/>
        </w:rPr>
        <w:t xml:space="preserve"> nabyla</w:t>
      </w:r>
      <w:r w:rsidR="00284AC1" w:rsidRPr="0042165C">
        <w:rPr>
          <w:rFonts w:asciiTheme="minorHAnsi" w:hAnsiTheme="minorHAnsi" w:cstheme="minorHAnsi"/>
        </w:rPr>
        <w:t xml:space="preserve"> </w:t>
      </w:r>
      <w:r w:rsidR="00EF0793" w:rsidRPr="0042165C">
        <w:rPr>
          <w:rFonts w:asciiTheme="minorHAnsi" w:hAnsiTheme="minorHAnsi" w:cstheme="minorHAnsi"/>
        </w:rPr>
        <w:t xml:space="preserve">účinnosti </w:t>
      </w:r>
      <w:r w:rsidR="00284AC1" w:rsidRPr="0042165C">
        <w:rPr>
          <w:rFonts w:asciiTheme="minorHAnsi" w:hAnsiTheme="minorHAnsi" w:cstheme="minorHAnsi"/>
        </w:rPr>
        <w:t>novel</w:t>
      </w:r>
      <w:r w:rsidR="00EF0793" w:rsidRPr="0042165C">
        <w:rPr>
          <w:rFonts w:asciiTheme="minorHAnsi" w:hAnsiTheme="minorHAnsi" w:cstheme="minorHAnsi"/>
        </w:rPr>
        <w:t>a</w:t>
      </w:r>
      <w:r w:rsidR="00284AC1" w:rsidRPr="0042165C">
        <w:rPr>
          <w:rFonts w:asciiTheme="minorHAnsi" w:hAnsiTheme="minorHAnsi" w:cstheme="minorHAnsi"/>
        </w:rPr>
        <w:t xml:space="preserve"> rozpočtových pravidel proveden</w:t>
      </w:r>
      <w:r w:rsidR="00EF0793" w:rsidRPr="0042165C">
        <w:rPr>
          <w:rFonts w:asciiTheme="minorHAnsi" w:hAnsiTheme="minorHAnsi" w:cstheme="minorHAnsi"/>
        </w:rPr>
        <w:t>á</w:t>
      </w:r>
      <w:r w:rsidR="00284AC1" w:rsidRPr="0042165C">
        <w:rPr>
          <w:rFonts w:asciiTheme="minorHAnsi" w:hAnsiTheme="minorHAnsi" w:cstheme="minorHAnsi"/>
        </w:rPr>
        <w:t xml:space="preserve"> zákonem č. 25/2015 Sb., kterým se mění zákon č. 218/2000 Sb., o rozpočtových pravidlech a o změně některých souvisejících zákonů (rozpočtová pravidla)</w:t>
      </w:r>
      <w:r w:rsidR="00BE1738" w:rsidRPr="0042165C">
        <w:rPr>
          <w:rFonts w:asciiTheme="minorHAnsi" w:hAnsiTheme="minorHAnsi" w:cstheme="minorHAnsi"/>
        </w:rPr>
        <w:t>, ve znění pozdějších předpisů</w:t>
      </w:r>
      <w:r w:rsidR="00284AC1" w:rsidRPr="0042165C">
        <w:rPr>
          <w:rFonts w:asciiTheme="minorHAnsi" w:hAnsiTheme="minorHAnsi" w:cstheme="minorHAnsi"/>
        </w:rPr>
        <w:t xml:space="preserve">, </w:t>
      </w:r>
      <w:r w:rsidR="00EF0793" w:rsidRPr="0042165C">
        <w:rPr>
          <w:rFonts w:asciiTheme="minorHAnsi" w:hAnsiTheme="minorHAnsi" w:cstheme="minorHAnsi"/>
        </w:rPr>
        <w:t xml:space="preserve">která stanoví, že zálohu poskytovanou </w:t>
      </w:r>
      <w:r w:rsidR="00284AC1" w:rsidRPr="0042165C">
        <w:rPr>
          <w:rFonts w:asciiTheme="minorHAnsi" w:hAnsiTheme="minorHAnsi" w:cstheme="minorHAnsi"/>
          <w:b/>
        </w:rPr>
        <w:t xml:space="preserve">ke splnění povinnosti uložené zvláštním právním předpisem nesmí </w:t>
      </w:r>
      <w:r w:rsidR="00EF0793" w:rsidRPr="0042165C">
        <w:rPr>
          <w:rFonts w:asciiTheme="minorHAnsi" w:hAnsiTheme="minorHAnsi" w:cstheme="minorHAnsi"/>
          <w:b/>
        </w:rPr>
        <w:t>OSS poskytnout</w:t>
      </w:r>
      <w:r w:rsidR="00284AC1" w:rsidRPr="0042165C">
        <w:rPr>
          <w:rFonts w:asciiTheme="minorHAnsi" w:hAnsiTheme="minorHAnsi" w:cstheme="minorHAnsi"/>
          <w:b/>
        </w:rPr>
        <w:t xml:space="preserve"> na dobu delší než 12 měsíců.</w:t>
      </w:r>
    </w:p>
    <w:p w14:paraId="55F73144" w14:textId="77777777" w:rsidR="003A7076" w:rsidRPr="0042165C" w:rsidRDefault="003A7076" w:rsidP="003A7076">
      <w:pPr>
        <w:spacing w:after="0"/>
        <w:jc w:val="both"/>
        <w:rPr>
          <w:rFonts w:asciiTheme="minorHAnsi" w:hAnsiTheme="minorHAnsi" w:cstheme="minorHAnsi"/>
        </w:rPr>
      </w:pPr>
    </w:p>
    <w:p w14:paraId="0729D5AC" w14:textId="07EB88F4" w:rsidR="00284AC1" w:rsidRPr="0042165C" w:rsidRDefault="00284AC1" w:rsidP="003A7076">
      <w:pPr>
        <w:spacing w:after="0"/>
        <w:jc w:val="both"/>
        <w:rPr>
          <w:rFonts w:asciiTheme="minorHAnsi" w:hAnsiTheme="minorHAnsi" w:cstheme="minorHAnsi"/>
        </w:rPr>
      </w:pPr>
      <w:r w:rsidRPr="0042165C">
        <w:rPr>
          <w:rFonts w:asciiTheme="minorHAnsi" w:hAnsiTheme="minorHAnsi" w:cstheme="minorHAnsi"/>
        </w:rPr>
        <w:t xml:space="preserve">Z inventurních soupisů MS Praha k SÚ 465 – </w:t>
      </w:r>
      <w:r w:rsidRPr="0042165C">
        <w:rPr>
          <w:rFonts w:asciiTheme="minorHAnsi" w:hAnsiTheme="minorHAnsi" w:cstheme="minorHAnsi"/>
          <w:i/>
        </w:rPr>
        <w:t>Dlouhodobé poskytnuté zálohy</w:t>
      </w:r>
      <w:r w:rsidRPr="0042165C">
        <w:rPr>
          <w:rFonts w:asciiTheme="minorHAnsi" w:hAnsiTheme="minorHAnsi" w:cstheme="minorHAnsi"/>
        </w:rPr>
        <w:t xml:space="preserve"> vyplývá, že MS Praha i po uvedené novele rozpočtových pravidel poskytuje advokátům, znalcům a</w:t>
      </w:r>
      <w:r w:rsidR="004B0EBB">
        <w:rPr>
          <w:rFonts w:asciiTheme="minorHAnsi" w:hAnsiTheme="minorHAnsi" w:cstheme="minorHAnsi"/>
        </w:rPr>
        <w:t> </w:t>
      </w:r>
      <w:r w:rsidRPr="0042165C">
        <w:rPr>
          <w:rFonts w:asciiTheme="minorHAnsi" w:hAnsiTheme="minorHAnsi" w:cstheme="minorHAnsi"/>
        </w:rPr>
        <w:t xml:space="preserve">likvidátorům zálohy na dobu delší než 12 měsíců. </w:t>
      </w:r>
    </w:p>
    <w:p w14:paraId="6AF6E466" w14:textId="77777777" w:rsidR="00284AC1" w:rsidRPr="0042165C" w:rsidRDefault="00284AC1" w:rsidP="003A7076">
      <w:pPr>
        <w:spacing w:after="0"/>
        <w:jc w:val="both"/>
        <w:rPr>
          <w:rFonts w:asciiTheme="minorHAnsi" w:hAnsiTheme="minorHAnsi" w:cstheme="minorHAnsi"/>
        </w:rPr>
      </w:pPr>
    </w:p>
    <w:p w14:paraId="1CA510BF" w14:textId="46F249E8" w:rsidR="00284AC1" w:rsidRPr="0042165C" w:rsidRDefault="00284AC1" w:rsidP="003A7076">
      <w:pPr>
        <w:spacing w:after="0"/>
        <w:jc w:val="both"/>
        <w:rPr>
          <w:rFonts w:asciiTheme="minorHAnsi" w:hAnsiTheme="minorHAnsi" w:cstheme="minorHAnsi"/>
          <w:b/>
        </w:rPr>
      </w:pPr>
      <w:r w:rsidRPr="0042165C">
        <w:rPr>
          <w:rFonts w:asciiTheme="minorHAnsi" w:hAnsiTheme="minorHAnsi" w:cstheme="minorHAnsi"/>
          <w:b/>
        </w:rPr>
        <w:t xml:space="preserve">MS Praha </w:t>
      </w:r>
      <w:r w:rsidRPr="0042165C">
        <w:rPr>
          <w:rFonts w:asciiTheme="minorHAnsi" w:hAnsiTheme="minorHAnsi" w:cstheme="minorHAnsi"/>
        </w:rPr>
        <w:t xml:space="preserve">v rozporu s § 49 odst. 2 rozpočtových pravidel </w:t>
      </w:r>
      <w:r w:rsidRPr="0042165C">
        <w:rPr>
          <w:rFonts w:asciiTheme="minorHAnsi" w:hAnsiTheme="minorHAnsi" w:cstheme="minorHAnsi"/>
          <w:b/>
        </w:rPr>
        <w:t xml:space="preserve">poskytoval </w:t>
      </w:r>
      <w:r w:rsidRPr="0042165C">
        <w:rPr>
          <w:rFonts w:asciiTheme="minorHAnsi" w:hAnsiTheme="minorHAnsi" w:cstheme="minorHAnsi"/>
        </w:rPr>
        <w:t>advokátům, znalcům a</w:t>
      </w:r>
      <w:r w:rsidR="004B0EBB">
        <w:rPr>
          <w:rFonts w:asciiTheme="minorHAnsi" w:hAnsiTheme="minorHAnsi" w:cstheme="minorHAnsi"/>
        </w:rPr>
        <w:t> </w:t>
      </w:r>
      <w:r w:rsidRPr="0042165C">
        <w:rPr>
          <w:rFonts w:asciiTheme="minorHAnsi" w:hAnsiTheme="minorHAnsi" w:cstheme="minorHAnsi"/>
        </w:rPr>
        <w:t xml:space="preserve">likvidátorům </w:t>
      </w:r>
      <w:r w:rsidRPr="0042165C">
        <w:rPr>
          <w:rFonts w:asciiTheme="minorHAnsi" w:hAnsiTheme="minorHAnsi" w:cstheme="minorHAnsi"/>
          <w:b/>
        </w:rPr>
        <w:t>zálohy na dobu delší než 12 měsíců. MS Praha tak neoprávněně použil peněžní prostředky státního rozpočtu ve výši 26</w:t>
      </w:r>
      <w:r w:rsidR="003A7076" w:rsidRPr="0042165C">
        <w:rPr>
          <w:rFonts w:asciiTheme="minorHAnsi" w:hAnsiTheme="minorHAnsi" w:cstheme="minorHAnsi"/>
          <w:b/>
        </w:rPr>
        <w:t>,2 mil.</w:t>
      </w:r>
      <w:r w:rsidRPr="0042165C">
        <w:rPr>
          <w:rFonts w:asciiTheme="minorHAnsi" w:hAnsiTheme="minorHAnsi" w:cstheme="minorHAnsi"/>
          <w:b/>
        </w:rPr>
        <w:t xml:space="preserve"> Kč </w:t>
      </w:r>
      <w:r w:rsidRPr="0042165C">
        <w:rPr>
          <w:rFonts w:asciiTheme="minorHAnsi" w:hAnsiTheme="minorHAnsi" w:cstheme="minorHAnsi"/>
        </w:rPr>
        <w:t>ve smyslu § 3 písm. e) rozpočtových pravidel.</w:t>
      </w:r>
      <w:r w:rsidRPr="00875E88">
        <w:rPr>
          <w:rFonts w:asciiTheme="minorHAnsi" w:hAnsiTheme="minorHAnsi" w:cstheme="minorHAnsi"/>
        </w:rPr>
        <w:t xml:space="preserve"> </w:t>
      </w:r>
      <w:r w:rsidRPr="0042165C">
        <w:rPr>
          <w:rFonts w:asciiTheme="minorHAnsi" w:hAnsiTheme="minorHAnsi" w:cstheme="minorHAnsi"/>
        </w:rPr>
        <w:t>Rozpočtová pravidla považují v § 44 odst. 1 písm. a) neoprávněné použití peněžních prostředků státního rozpočtu za</w:t>
      </w:r>
      <w:r w:rsidRPr="0042165C">
        <w:rPr>
          <w:rFonts w:asciiTheme="minorHAnsi" w:hAnsiTheme="minorHAnsi" w:cstheme="minorHAnsi"/>
          <w:b/>
        </w:rPr>
        <w:t xml:space="preserve"> porušení rozpočtové kázně.</w:t>
      </w:r>
    </w:p>
    <w:p w14:paraId="03803440" w14:textId="77777777" w:rsidR="00284AC1" w:rsidRPr="0042165C" w:rsidRDefault="00284AC1" w:rsidP="003A7076">
      <w:pPr>
        <w:spacing w:after="0"/>
        <w:jc w:val="both"/>
        <w:rPr>
          <w:rFonts w:asciiTheme="minorHAnsi" w:hAnsiTheme="minorHAnsi" w:cstheme="minorHAnsi"/>
          <w:b/>
        </w:rPr>
      </w:pPr>
    </w:p>
    <w:p w14:paraId="68612BF4" w14:textId="4E76B762" w:rsidR="00284AC1" w:rsidRPr="00866ED0" w:rsidRDefault="003A7076" w:rsidP="00844BF3">
      <w:pPr>
        <w:spacing w:after="0"/>
        <w:jc w:val="both"/>
        <w:rPr>
          <w:rFonts w:ascii="Times New Roman" w:eastAsia="Calibri" w:hAnsi="Times New Roman"/>
          <w:lang w:eastAsia="cs-CZ"/>
        </w:rPr>
      </w:pPr>
      <w:r w:rsidRPr="0042165C">
        <w:rPr>
          <w:rFonts w:asciiTheme="minorHAnsi" w:hAnsiTheme="minorHAnsi" w:cstheme="minorHAnsi"/>
          <w:b/>
        </w:rPr>
        <w:t>NKÚ</w:t>
      </w:r>
      <w:r w:rsidR="00284AC1" w:rsidRPr="0042165C">
        <w:rPr>
          <w:rFonts w:asciiTheme="minorHAnsi" w:hAnsiTheme="minorHAnsi" w:cstheme="minorHAnsi"/>
          <w:b/>
        </w:rPr>
        <w:t xml:space="preserve"> </w:t>
      </w:r>
      <w:r w:rsidR="00284AC1" w:rsidRPr="0042165C">
        <w:rPr>
          <w:rFonts w:asciiTheme="minorHAnsi" w:hAnsiTheme="minorHAnsi" w:cstheme="minorHAnsi"/>
        </w:rPr>
        <w:t>však</w:t>
      </w:r>
      <w:r w:rsidR="00284AC1" w:rsidRPr="0042165C">
        <w:rPr>
          <w:rFonts w:asciiTheme="minorHAnsi" w:hAnsiTheme="minorHAnsi" w:cstheme="minorHAnsi"/>
          <w:b/>
        </w:rPr>
        <w:t xml:space="preserve"> současně upozorňuje na problematičnost </w:t>
      </w:r>
      <w:r w:rsidR="00EF0793" w:rsidRPr="0042165C">
        <w:rPr>
          <w:rFonts w:asciiTheme="minorHAnsi" w:hAnsiTheme="minorHAnsi" w:cstheme="minorHAnsi"/>
          <w:b/>
        </w:rPr>
        <w:t>právní úpravy provedené novelou</w:t>
      </w:r>
      <w:r w:rsidR="00284AC1" w:rsidRPr="0042165C">
        <w:rPr>
          <w:rFonts w:asciiTheme="minorHAnsi" w:hAnsiTheme="minorHAnsi" w:cstheme="minorHAnsi"/>
          <w:b/>
        </w:rPr>
        <w:t xml:space="preserve"> </w:t>
      </w:r>
      <w:r w:rsidR="00284AC1" w:rsidRPr="0042165C">
        <w:rPr>
          <w:rFonts w:asciiTheme="minorHAnsi" w:hAnsiTheme="minorHAnsi" w:cstheme="minorHAnsi"/>
        </w:rPr>
        <w:t>ustanovení § 49 odst. 2 rozpočtových pravidel</w:t>
      </w:r>
      <w:r w:rsidR="00284AC1" w:rsidRPr="0042165C">
        <w:rPr>
          <w:rFonts w:asciiTheme="minorHAnsi" w:hAnsiTheme="minorHAnsi" w:cstheme="minorHAnsi"/>
          <w:b/>
        </w:rPr>
        <w:t xml:space="preserve"> ve vztahu </w:t>
      </w:r>
      <w:r w:rsidR="00EF0793" w:rsidRPr="0042165C">
        <w:rPr>
          <w:rFonts w:asciiTheme="minorHAnsi" w:hAnsiTheme="minorHAnsi" w:cstheme="minorHAnsi"/>
          <w:b/>
        </w:rPr>
        <w:t>zálohám poskytovaným ke splnění povinnosti uložené zvláštním právním předpisem, kterým je trestní řád a občanský soudní řád</w:t>
      </w:r>
      <w:r w:rsidR="00284AC1" w:rsidRPr="0042165C">
        <w:rPr>
          <w:rFonts w:asciiTheme="minorHAnsi" w:hAnsiTheme="minorHAnsi" w:cstheme="minorHAnsi"/>
          <w:b/>
        </w:rPr>
        <w:t xml:space="preserve">. Dle těchto právních předpisů MS Praha poskytuje </w:t>
      </w:r>
      <w:r w:rsidR="00284AC1" w:rsidRPr="0042165C">
        <w:rPr>
          <w:rFonts w:asciiTheme="minorHAnsi" w:hAnsiTheme="minorHAnsi" w:cstheme="minorHAnsi"/>
        </w:rPr>
        <w:t>obhájci</w:t>
      </w:r>
      <w:r w:rsidR="009B572D">
        <w:rPr>
          <w:rFonts w:asciiTheme="minorHAnsi" w:hAnsiTheme="minorHAnsi" w:cstheme="minorHAnsi"/>
        </w:rPr>
        <w:t>,</w:t>
      </w:r>
      <w:r w:rsidR="00284AC1" w:rsidRPr="0042165C">
        <w:rPr>
          <w:rFonts w:asciiTheme="minorHAnsi" w:hAnsiTheme="minorHAnsi" w:cstheme="minorHAnsi"/>
        </w:rPr>
        <w:t xml:space="preserve"> </w:t>
      </w:r>
      <w:r w:rsidR="00AF6D22" w:rsidRPr="0042165C">
        <w:rPr>
          <w:rFonts w:asciiTheme="minorHAnsi" w:hAnsiTheme="minorHAnsi" w:cstheme="minorHAnsi"/>
        </w:rPr>
        <w:t xml:space="preserve">resp. zástupci </w:t>
      </w:r>
      <w:r w:rsidR="00284AC1" w:rsidRPr="0042165C">
        <w:rPr>
          <w:rFonts w:asciiTheme="minorHAnsi" w:hAnsiTheme="minorHAnsi" w:cstheme="minorHAnsi"/>
        </w:rPr>
        <w:t>v odůvodněných případech</w:t>
      </w:r>
      <w:r w:rsidR="00284AC1" w:rsidRPr="0042165C">
        <w:rPr>
          <w:rFonts w:asciiTheme="minorHAnsi" w:hAnsiTheme="minorHAnsi" w:cstheme="minorHAnsi"/>
          <w:b/>
        </w:rPr>
        <w:t xml:space="preserve"> přiměřenou</w:t>
      </w:r>
      <w:r w:rsidR="00EF0793" w:rsidRPr="0042165C">
        <w:rPr>
          <w:rFonts w:asciiTheme="minorHAnsi" w:hAnsiTheme="minorHAnsi" w:cstheme="minorHAnsi"/>
          <w:b/>
        </w:rPr>
        <w:t xml:space="preserve"> </w:t>
      </w:r>
      <w:r w:rsidR="00284AC1" w:rsidRPr="0042165C">
        <w:rPr>
          <w:rFonts w:asciiTheme="minorHAnsi" w:hAnsiTheme="minorHAnsi" w:cstheme="minorHAnsi"/>
          <w:b/>
        </w:rPr>
        <w:t xml:space="preserve">zálohu na odměnu a náhradu hotových výdajů. </w:t>
      </w:r>
      <w:r w:rsidR="00284AC1" w:rsidRPr="0042165C">
        <w:rPr>
          <w:rFonts w:asciiTheme="minorHAnsi" w:hAnsiTheme="minorHAnsi" w:cstheme="minorHAnsi"/>
          <w:b/>
        </w:rPr>
        <w:lastRenderedPageBreak/>
        <w:t xml:space="preserve">Konečné vyúčtování </w:t>
      </w:r>
      <w:r w:rsidR="00284AC1" w:rsidRPr="0042165C">
        <w:rPr>
          <w:rFonts w:asciiTheme="minorHAnsi" w:hAnsiTheme="minorHAnsi" w:cstheme="minorHAnsi"/>
        </w:rPr>
        <w:t>této poskytnuté</w:t>
      </w:r>
      <w:r w:rsidR="00284AC1" w:rsidRPr="0042165C">
        <w:rPr>
          <w:rFonts w:asciiTheme="minorHAnsi" w:hAnsiTheme="minorHAnsi" w:cstheme="minorHAnsi"/>
          <w:b/>
        </w:rPr>
        <w:t xml:space="preserve"> zálohy je možné až s vydáním pravomocného rozhodnutí </w:t>
      </w:r>
      <w:r w:rsidR="00284AC1" w:rsidRPr="0042165C">
        <w:rPr>
          <w:rFonts w:asciiTheme="minorHAnsi" w:hAnsiTheme="minorHAnsi" w:cstheme="minorHAnsi"/>
        </w:rPr>
        <w:t xml:space="preserve">o skutečné výši přiznané odměny a náhrady hotových výdajů, </w:t>
      </w:r>
      <w:r w:rsidR="00284AC1" w:rsidRPr="0042165C">
        <w:rPr>
          <w:rFonts w:asciiTheme="minorHAnsi" w:hAnsiTheme="minorHAnsi" w:cstheme="minorHAnsi"/>
          <w:b/>
        </w:rPr>
        <w:t xml:space="preserve">a tedy i za několik let </w:t>
      </w:r>
      <w:r w:rsidR="00284AC1" w:rsidRPr="0042165C">
        <w:rPr>
          <w:rFonts w:asciiTheme="minorHAnsi" w:hAnsiTheme="minorHAnsi" w:cstheme="minorHAnsi"/>
        </w:rPr>
        <w:t>od jejího poskytnutí (v</w:t>
      </w:r>
      <w:r w:rsidR="004B0EBB">
        <w:rPr>
          <w:rFonts w:asciiTheme="minorHAnsi" w:hAnsiTheme="minorHAnsi" w:cstheme="minorHAnsi"/>
        </w:rPr>
        <w:t> </w:t>
      </w:r>
      <w:r w:rsidR="00284AC1" w:rsidRPr="0042165C">
        <w:rPr>
          <w:rFonts w:asciiTheme="minorHAnsi" w:hAnsiTheme="minorHAnsi" w:cstheme="minorHAnsi"/>
        </w:rPr>
        <w:t>závislosti na délce soudního řízení).</w:t>
      </w:r>
      <w:r w:rsidR="00284AC1" w:rsidRPr="0042165C">
        <w:rPr>
          <w:rFonts w:asciiTheme="minorHAnsi" w:hAnsiTheme="minorHAnsi" w:cstheme="minorHAnsi"/>
          <w:b/>
        </w:rPr>
        <w:t xml:space="preserve"> Lhůta 12 měsíců, </w:t>
      </w:r>
      <w:r w:rsidR="00284AC1" w:rsidRPr="0042165C">
        <w:rPr>
          <w:rFonts w:asciiTheme="minorHAnsi" w:hAnsiTheme="minorHAnsi" w:cstheme="minorHAnsi"/>
        </w:rPr>
        <w:t xml:space="preserve">po kterou může být tento typ zálohy dle </w:t>
      </w:r>
      <w:r w:rsidR="00EF0793" w:rsidRPr="0042165C">
        <w:rPr>
          <w:rFonts w:asciiTheme="minorHAnsi" w:hAnsiTheme="minorHAnsi" w:cstheme="minorHAnsi"/>
        </w:rPr>
        <w:t xml:space="preserve">§ 49 odst. 2 </w:t>
      </w:r>
      <w:r w:rsidR="00284AC1" w:rsidRPr="0042165C">
        <w:rPr>
          <w:rFonts w:asciiTheme="minorHAnsi" w:hAnsiTheme="minorHAnsi" w:cstheme="minorHAnsi"/>
        </w:rPr>
        <w:t>rozpočtových pravidel</w:t>
      </w:r>
      <w:r w:rsidR="00EF0793" w:rsidRPr="0042165C">
        <w:rPr>
          <w:rFonts w:asciiTheme="minorHAnsi" w:hAnsiTheme="minorHAnsi" w:cstheme="minorHAnsi"/>
        </w:rPr>
        <w:t xml:space="preserve"> ve znění účinném od 1. ledna 2015</w:t>
      </w:r>
      <w:r w:rsidR="00284AC1" w:rsidRPr="0042165C">
        <w:rPr>
          <w:rFonts w:asciiTheme="minorHAnsi" w:hAnsiTheme="minorHAnsi" w:cstheme="minorHAnsi"/>
        </w:rPr>
        <w:t xml:space="preserve"> v rámci soudních řízení poskytnut, tak</w:t>
      </w:r>
      <w:r w:rsidR="00284AC1" w:rsidRPr="0042165C">
        <w:rPr>
          <w:rFonts w:asciiTheme="minorHAnsi" w:hAnsiTheme="minorHAnsi" w:cstheme="minorHAnsi"/>
          <w:b/>
        </w:rPr>
        <w:t xml:space="preserve"> může být v mnoha případech nesplnitelná, </w:t>
      </w:r>
      <w:r w:rsidR="00284AC1" w:rsidRPr="0042165C">
        <w:rPr>
          <w:rFonts w:asciiTheme="minorHAnsi" w:hAnsiTheme="minorHAnsi" w:cstheme="minorHAnsi"/>
        </w:rPr>
        <w:t>resp.</w:t>
      </w:r>
      <w:r w:rsidR="00284AC1" w:rsidRPr="0042165C">
        <w:rPr>
          <w:rFonts w:asciiTheme="minorHAnsi" w:hAnsiTheme="minorHAnsi" w:cstheme="minorHAnsi"/>
          <w:b/>
        </w:rPr>
        <w:t xml:space="preserve"> je ve vztahu k trestnímu řádu a občanskému soudnímu řádu stěží aplikovatelná.</w:t>
      </w:r>
      <w:r w:rsidRPr="0042165C">
        <w:rPr>
          <w:rFonts w:asciiTheme="minorHAnsi" w:hAnsiTheme="minorHAnsi" w:cstheme="minorHAnsi"/>
          <w:b/>
        </w:rPr>
        <w:t xml:space="preserve"> NKÚ </w:t>
      </w:r>
      <w:r w:rsidR="008072D5" w:rsidRPr="0042165C">
        <w:rPr>
          <w:rFonts w:asciiTheme="minorHAnsi" w:hAnsiTheme="minorHAnsi" w:cstheme="minorHAnsi"/>
          <w:b/>
        </w:rPr>
        <w:t xml:space="preserve">proto </w:t>
      </w:r>
      <w:r w:rsidR="00931CE6" w:rsidRPr="0042165C">
        <w:rPr>
          <w:rFonts w:asciiTheme="minorHAnsi" w:hAnsiTheme="minorHAnsi" w:cstheme="minorHAnsi"/>
          <w:b/>
        </w:rPr>
        <w:t xml:space="preserve">doporučuje úpravu </w:t>
      </w:r>
      <w:r w:rsidR="00D1753A" w:rsidRPr="0042165C">
        <w:rPr>
          <w:rFonts w:asciiTheme="minorHAnsi" w:hAnsiTheme="minorHAnsi" w:cstheme="minorHAnsi"/>
          <w:b/>
        </w:rPr>
        <w:t>rozpočtových pravidel</w:t>
      </w:r>
      <w:r w:rsidR="00931CE6" w:rsidRPr="0042165C">
        <w:rPr>
          <w:rFonts w:asciiTheme="minorHAnsi" w:hAnsiTheme="minorHAnsi" w:cstheme="minorHAnsi"/>
          <w:b/>
        </w:rPr>
        <w:t xml:space="preserve"> </w:t>
      </w:r>
      <w:r w:rsidR="008072D5" w:rsidRPr="0042165C">
        <w:rPr>
          <w:rFonts w:asciiTheme="minorHAnsi" w:hAnsiTheme="minorHAnsi" w:cstheme="minorHAnsi"/>
          <w:b/>
        </w:rPr>
        <w:t xml:space="preserve">tak, aby </w:t>
      </w:r>
      <w:r w:rsidR="00D1753A" w:rsidRPr="0042165C">
        <w:rPr>
          <w:rFonts w:asciiTheme="minorHAnsi" w:hAnsiTheme="minorHAnsi" w:cstheme="minorHAnsi"/>
          <w:b/>
        </w:rPr>
        <w:t xml:space="preserve">respektovala specifika soudních řízení, </w:t>
      </w:r>
      <w:r w:rsidR="00D1753A" w:rsidRPr="0042165C">
        <w:rPr>
          <w:rFonts w:asciiTheme="minorHAnsi" w:hAnsiTheme="minorHAnsi" w:cstheme="minorHAnsi"/>
        </w:rPr>
        <w:t>kdy poskytnutí zálohy již z povahy věci by nemělo být svázáno časovým omezením, jelikož závisí na časově dopředu neurčitelné skutečnosti, kterou je nabytí právní moci soudního rozhodnutí</w:t>
      </w:r>
      <w:r w:rsidR="008072D5" w:rsidRPr="0042165C">
        <w:rPr>
          <w:rFonts w:asciiTheme="minorHAnsi" w:hAnsiTheme="minorHAnsi" w:cstheme="minorHAnsi"/>
        </w:rPr>
        <w:t>.</w:t>
      </w:r>
    </w:p>
    <w:p w14:paraId="72E00C06" w14:textId="77777777" w:rsidR="00284AC1" w:rsidRPr="00866ED0" w:rsidRDefault="00284AC1" w:rsidP="00844BF3">
      <w:pPr>
        <w:spacing w:after="0"/>
        <w:jc w:val="both"/>
      </w:pPr>
    </w:p>
    <w:p w14:paraId="183A40F6" w14:textId="6DBD20CF" w:rsidR="00844BF3" w:rsidRPr="00BE3057" w:rsidRDefault="00866ED0" w:rsidP="00BE3057">
      <w:pPr>
        <w:spacing w:after="0"/>
        <w:ind w:left="369" w:hanging="369"/>
        <w:rPr>
          <w:b/>
          <w:color w:val="000000" w:themeColor="text1"/>
        </w:rPr>
      </w:pPr>
      <w:r w:rsidRPr="00866ED0">
        <w:rPr>
          <w:b/>
        </w:rPr>
        <w:t>3</w:t>
      </w:r>
      <w:r w:rsidR="00844BF3" w:rsidRPr="00866ED0">
        <w:rPr>
          <w:b/>
        </w:rPr>
        <w:t xml:space="preserve">.2 </w:t>
      </w:r>
      <w:r w:rsidR="00BE3057">
        <w:rPr>
          <w:b/>
        </w:rPr>
        <w:tab/>
      </w:r>
      <w:r w:rsidR="00844BF3" w:rsidRPr="00866ED0">
        <w:rPr>
          <w:b/>
        </w:rPr>
        <w:t>Neprovedení</w:t>
      </w:r>
      <w:r w:rsidR="008629C3">
        <w:rPr>
          <w:b/>
        </w:rPr>
        <w:t xml:space="preserve"> převodu peněžních prostředků do příjmů státního rozpočt</w:t>
      </w:r>
      <w:r w:rsidR="008629C3" w:rsidRPr="002609BD">
        <w:rPr>
          <w:b/>
        </w:rPr>
        <w:t xml:space="preserve">u </w:t>
      </w:r>
      <w:r w:rsidR="008629C3" w:rsidRPr="007333D3">
        <w:rPr>
          <w:b/>
        </w:rPr>
        <w:t>v termínu stanoveném v</w:t>
      </w:r>
      <w:r w:rsidR="000F7F7C" w:rsidRPr="007333D3">
        <w:rPr>
          <w:b/>
        </w:rPr>
        <w:t xml:space="preserve"> </w:t>
      </w:r>
      <w:r w:rsidR="00844BF3" w:rsidRPr="007333D3">
        <w:rPr>
          <w:b/>
        </w:rPr>
        <w:t>§ 45 odst. 10 rozpočtových pravidel</w:t>
      </w:r>
    </w:p>
    <w:p w14:paraId="0DDADDBC" w14:textId="77777777" w:rsidR="00844BF3" w:rsidRPr="00866ED0" w:rsidRDefault="00844BF3" w:rsidP="00844BF3">
      <w:pPr>
        <w:spacing w:after="0"/>
        <w:rPr>
          <w:b/>
        </w:rPr>
      </w:pPr>
    </w:p>
    <w:p w14:paraId="207929E6" w14:textId="763289A2" w:rsidR="00844BF3" w:rsidRDefault="000F7F7C" w:rsidP="000F7F7C">
      <w:pPr>
        <w:spacing w:after="0"/>
        <w:jc w:val="both"/>
        <w:rPr>
          <w:rFonts w:asciiTheme="minorHAnsi" w:hAnsiTheme="minorHAnsi" w:cstheme="minorHAnsi"/>
        </w:rPr>
      </w:pPr>
      <w:r w:rsidRPr="00866ED0">
        <w:rPr>
          <w:rFonts w:asciiTheme="minorHAnsi" w:hAnsiTheme="minorHAnsi" w:cstheme="minorHAnsi"/>
          <w:b/>
        </w:rPr>
        <w:t>MS Praha</w:t>
      </w:r>
      <w:r w:rsidRPr="00866ED0">
        <w:rPr>
          <w:rFonts w:asciiTheme="minorHAnsi" w:hAnsiTheme="minorHAnsi" w:cstheme="minorHAnsi"/>
        </w:rPr>
        <w:t xml:space="preserve"> přijal v průběhu roku 2017 peněžní prostředky v částce 55 tis. Kč určené</w:t>
      </w:r>
      <w:r w:rsidRPr="000F7F7C">
        <w:rPr>
          <w:rFonts w:asciiTheme="minorHAnsi" w:hAnsiTheme="minorHAnsi" w:cstheme="minorHAnsi"/>
        </w:rPr>
        <w:t xml:space="preserve"> na peněžitou pomoc obětem trestné činnosti. Tyto prostředky převedl na svůj účet cizích prostředků a v rozporu s § 45 odst. 10 rozpočtových pravidel </w:t>
      </w:r>
      <w:r w:rsidRPr="00BE1738">
        <w:rPr>
          <w:rFonts w:asciiTheme="minorHAnsi" w:hAnsiTheme="minorHAnsi" w:cstheme="minorHAnsi"/>
          <w:b/>
        </w:rPr>
        <w:t>neprovedl v roce 2017 ani v roce 2018</w:t>
      </w:r>
      <w:r w:rsidRPr="000F7F7C">
        <w:rPr>
          <w:rFonts w:asciiTheme="minorHAnsi" w:hAnsiTheme="minorHAnsi" w:cstheme="minorHAnsi"/>
        </w:rPr>
        <w:t xml:space="preserve"> jejich </w:t>
      </w:r>
      <w:r w:rsidRPr="00BE1738">
        <w:rPr>
          <w:rFonts w:asciiTheme="minorHAnsi" w:hAnsiTheme="minorHAnsi" w:cstheme="minorHAnsi"/>
          <w:b/>
        </w:rPr>
        <w:t>převod do příjmů státního rozpočtu</w:t>
      </w:r>
      <w:r w:rsidRPr="00875E88">
        <w:rPr>
          <w:rFonts w:asciiTheme="minorHAnsi" w:hAnsiTheme="minorHAnsi" w:cstheme="minorHAnsi"/>
          <w:b/>
        </w:rPr>
        <w:t>,</w:t>
      </w:r>
      <w:r w:rsidRPr="000F7F7C">
        <w:rPr>
          <w:rFonts w:asciiTheme="minorHAnsi" w:hAnsiTheme="minorHAnsi" w:cstheme="minorHAnsi"/>
        </w:rPr>
        <w:t xml:space="preserve"> resp. příslušné organizační složce státu</w:t>
      </w:r>
      <w:r w:rsidR="009B572D">
        <w:rPr>
          <w:rFonts w:asciiTheme="minorHAnsi" w:hAnsiTheme="minorHAnsi" w:cstheme="minorHAnsi"/>
        </w:rPr>
        <w:t>,</w:t>
      </w:r>
      <w:r w:rsidR="00AE5830">
        <w:rPr>
          <w:rFonts w:asciiTheme="minorHAnsi" w:hAnsiTheme="minorHAnsi" w:cstheme="minorHAnsi"/>
        </w:rPr>
        <w:t xml:space="preserve"> </w:t>
      </w:r>
      <w:r w:rsidRPr="00BE1738">
        <w:rPr>
          <w:rFonts w:asciiTheme="minorHAnsi" w:hAnsiTheme="minorHAnsi" w:cstheme="minorHAnsi"/>
          <w:b/>
        </w:rPr>
        <w:t>ve stanovených lhůtách</w:t>
      </w:r>
      <w:r w:rsidR="00592036" w:rsidRPr="00875E88">
        <w:rPr>
          <w:rFonts w:asciiTheme="minorHAnsi" w:hAnsiTheme="minorHAnsi" w:cstheme="minorHAnsi"/>
          <w:b/>
        </w:rPr>
        <w:t>.</w:t>
      </w:r>
      <w:r w:rsidR="0098379E">
        <w:rPr>
          <w:rFonts w:asciiTheme="minorHAnsi" w:hAnsiTheme="minorHAnsi" w:cstheme="minorHAnsi"/>
        </w:rPr>
        <w:t xml:space="preserve"> Převod na příjmový účet Ministerstva spravedlnosti realizoval MS Praha až v únoru 2019</w:t>
      </w:r>
      <w:r w:rsidR="00027F01">
        <w:rPr>
          <w:rFonts w:asciiTheme="minorHAnsi" w:hAnsiTheme="minorHAnsi" w:cstheme="minorHAnsi"/>
        </w:rPr>
        <w:t xml:space="preserve"> na základě upozornění NKÚ</w:t>
      </w:r>
      <w:r w:rsidR="0098379E">
        <w:rPr>
          <w:rFonts w:asciiTheme="minorHAnsi" w:hAnsiTheme="minorHAnsi" w:cstheme="minorHAnsi"/>
        </w:rPr>
        <w:t>.</w:t>
      </w:r>
    </w:p>
    <w:p w14:paraId="634923A9" w14:textId="77777777" w:rsidR="000F7F7C" w:rsidRDefault="000F7F7C" w:rsidP="000F7F7C">
      <w:pPr>
        <w:spacing w:after="0"/>
        <w:jc w:val="both"/>
        <w:rPr>
          <w:rFonts w:asciiTheme="minorHAnsi" w:hAnsiTheme="minorHAnsi" w:cstheme="minorHAnsi"/>
        </w:rPr>
      </w:pPr>
    </w:p>
    <w:p w14:paraId="22C7DAB0" w14:textId="23B76A35" w:rsidR="0098379E" w:rsidRDefault="000F7F7C" w:rsidP="0098379E">
      <w:pPr>
        <w:spacing w:after="0"/>
        <w:jc w:val="both"/>
        <w:rPr>
          <w:rFonts w:asciiTheme="minorHAnsi" w:hAnsiTheme="minorHAnsi" w:cstheme="minorHAnsi"/>
        </w:rPr>
      </w:pPr>
      <w:r w:rsidRPr="00BE1738">
        <w:rPr>
          <w:rFonts w:asciiTheme="minorHAnsi" w:hAnsiTheme="minorHAnsi" w:cstheme="minorHAnsi"/>
          <w:b/>
        </w:rPr>
        <w:t>MS Praha</w:t>
      </w:r>
      <w:r>
        <w:rPr>
          <w:rFonts w:asciiTheme="minorHAnsi" w:hAnsiTheme="minorHAnsi" w:cstheme="minorHAnsi"/>
        </w:rPr>
        <w:t xml:space="preserve"> dále v rozporu s § 45 odst. 10 rozpočtových pravidel </w:t>
      </w:r>
      <w:r w:rsidRPr="00BE1738">
        <w:rPr>
          <w:rFonts w:asciiTheme="minorHAnsi" w:hAnsiTheme="minorHAnsi" w:cstheme="minorHAnsi"/>
          <w:b/>
        </w:rPr>
        <w:t>neprovedl v roce 2008 odvod</w:t>
      </w:r>
      <w:r>
        <w:rPr>
          <w:rFonts w:asciiTheme="minorHAnsi" w:hAnsiTheme="minorHAnsi" w:cstheme="minorHAnsi"/>
        </w:rPr>
        <w:t xml:space="preserve"> složené </w:t>
      </w:r>
      <w:r w:rsidRPr="00BE1738">
        <w:rPr>
          <w:rFonts w:asciiTheme="minorHAnsi" w:hAnsiTheme="minorHAnsi" w:cstheme="minorHAnsi"/>
          <w:b/>
        </w:rPr>
        <w:t>zálohy</w:t>
      </w:r>
      <w:r>
        <w:rPr>
          <w:rFonts w:asciiTheme="minorHAnsi" w:hAnsiTheme="minorHAnsi" w:cstheme="minorHAnsi"/>
        </w:rPr>
        <w:t xml:space="preserve"> </w:t>
      </w:r>
      <w:r w:rsidR="00381D72">
        <w:rPr>
          <w:rFonts w:asciiTheme="minorHAnsi" w:hAnsiTheme="minorHAnsi" w:cstheme="minorHAnsi"/>
        </w:rPr>
        <w:t xml:space="preserve">na náklady konkursního řízení </w:t>
      </w:r>
      <w:r>
        <w:rPr>
          <w:rFonts w:asciiTheme="minorHAnsi" w:hAnsiTheme="minorHAnsi" w:cstheme="minorHAnsi"/>
        </w:rPr>
        <w:t xml:space="preserve">ve výši 45 tis. Kč </w:t>
      </w:r>
      <w:r w:rsidRPr="00BE1738">
        <w:rPr>
          <w:rFonts w:asciiTheme="minorHAnsi" w:hAnsiTheme="minorHAnsi" w:cstheme="minorHAnsi"/>
          <w:b/>
        </w:rPr>
        <w:t>do státního rozpočtu</w:t>
      </w:r>
      <w:r w:rsidRPr="00875E88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</w:rPr>
        <w:t xml:space="preserve"> přestože se zálohou nemohlo být naloženo jinak, neboť konkursní řízení bylo pravomocně skončeno v roce 2007 a </w:t>
      </w:r>
      <w:proofErr w:type="spellStart"/>
      <w:r>
        <w:rPr>
          <w:rFonts w:asciiTheme="minorHAnsi" w:hAnsiTheme="minorHAnsi" w:cstheme="minorHAnsi"/>
        </w:rPr>
        <w:t>složitel</w:t>
      </w:r>
      <w:proofErr w:type="spellEnd"/>
      <w:r>
        <w:rPr>
          <w:rFonts w:asciiTheme="minorHAnsi" w:hAnsiTheme="minorHAnsi" w:cstheme="minorHAnsi"/>
        </w:rPr>
        <w:t xml:space="preserve"> byl v prosinci 2007 vymazán z obchodního rejstříku bez právního nástupce.</w:t>
      </w:r>
      <w:r w:rsidR="00AE5830">
        <w:rPr>
          <w:rFonts w:asciiTheme="minorHAnsi" w:hAnsiTheme="minorHAnsi" w:cstheme="minorHAnsi"/>
        </w:rPr>
        <w:t xml:space="preserve"> </w:t>
      </w:r>
      <w:r w:rsidR="0098379E">
        <w:rPr>
          <w:rFonts w:asciiTheme="minorHAnsi" w:hAnsiTheme="minorHAnsi" w:cstheme="minorHAnsi"/>
        </w:rPr>
        <w:t>Převod na svůj příjmový účet realizoval MS Praha až v únoru 2019</w:t>
      </w:r>
      <w:r w:rsidR="00027F01">
        <w:rPr>
          <w:rFonts w:asciiTheme="minorHAnsi" w:hAnsiTheme="minorHAnsi" w:cstheme="minorHAnsi"/>
        </w:rPr>
        <w:t xml:space="preserve"> na základě upozornění NKÚ</w:t>
      </w:r>
      <w:r w:rsidR="0098379E">
        <w:rPr>
          <w:rFonts w:asciiTheme="minorHAnsi" w:hAnsiTheme="minorHAnsi" w:cstheme="minorHAnsi"/>
        </w:rPr>
        <w:t>.</w:t>
      </w:r>
    </w:p>
    <w:p w14:paraId="35106A83" w14:textId="62E15BF2" w:rsidR="00592036" w:rsidRDefault="00592036" w:rsidP="009002BF">
      <w:pPr>
        <w:spacing w:after="0"/>
        <w:jc w:val="both"/>
        <w:rPr>
          <w:rFonts w:asciiTheme="minorHAnsi" w:hAnsiTheme="minorHAnsi" w:cstheme="minorHAnsi"/>
        </w:rPr>
      </w:pPr>
    </w:p>
    <w:p w14:paraId="51D2E0E1" w14:textId="77777777" w:rsidR="00592036" w:rsidRDefault="00592036" w:rsidP="009002BF">
      <w:pPr>
        <w:spacing w:after="0"/>
        <w:jc w:val="both"/>
        <w:rPr>
          <w:rFonts w:asciiTheme="minorHAnsi" w:hAnsiTheme="minorHAnsi" w:cstheme="minorHAnsi"/>
        </w:rPr>
      </w:pPr>
      <w:r w:rsidRPr="000F7F7C">
        <w:rPr>
          <w:rFonts w:asciiTheme="minorHAnsi" w:hAnsiTheme="minorHAnsi" w:cstheme="minorHAnsi"/>
        </w:rPr>
        <w:t xml:space="preserve">Rozpočtová pravidla považují v § 44 odst. 1 písm. g) neprovedení odvodu podle § 45 odst. 10 za </w:t>
      </w:r>
      <w:r w:rsidRPr="00BE1738">
        <w:rPr>
          <w:rFonts w:asciiTheme="minorHAnsi" w:hAnsiTheme="minorHAnsi" w:cstheme="minorHAnsi"/>
          <w:b/>
        </w:rPr>
        <w:t>porušení rozpočtové kázně</w:t>
      </w:r>
      <w:r w:rsidRPr="00875E88">
        <w:rPr>
          <w:rFonts w:asciiTheme="minorHAnsi" w:hAnsiTheme="minorHAnsi" w:cstheme="minorHAnsi"/>
          <w:b/>
        </w:rPr>
        <w:t>.</w:t>
      </w:r>
    </w:p>
    <w:p w14:paraId="220A07E8" w14:textId="77777777" w:rsidR="009855DA" w:rsidRPr="00BE3057" w:rsidRDefault="009855DA" w:rsidP="009002BF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1A7E553A" w14:textId="72BB13B5" w:rsidR="002609BD" w:rsidRPr="00BE3057" w:rsidRDefault="00866ED0" w:rsidP="009002BF">
      <w:pPr>
        <w:spacing w:after="0"/>
        <w:rPr>
          <w:b/>
          <w:color w:val="000000" w:themeColor="text1"/>
        </w:rPr>
      </w:pPr>
      <w:r w:rsidRPr="00BE3057">
        <w:rPr>
          <w:b/>
          <w:color w:val="000000" w:themeColor="text1"/>
        </w:rPr>
        <w:t>3</w:t>
      </w:r>
      <w:r w:rsidR="009855DA" w:rsidRPr="00BE3057">
        <w:rPr>
          <w:b/>
          <w:color w:val="000000" w:themeColor="text1"/>
        </w:rPr>
        <w:t xml:space="preserve">.3 </w:t>
      </w:r>
      <w:r w:rsidR="008629C3" w:rsidRPr="00BE3057">
        <w:rPr>
          <w:b/>
          <w:color w:val="000000" w:themeColor="text1"/>
        </w:rPr>
        <w:t>Platby za služby na základě neúčinných smluv</w:t>
      </w:r>
    </w:p>
    <w:p w14:paraId="2282560C" w14:textId="77777777" w:rsidR="002609BD" w:rsidRPr="00BE3057" w:rsidRDefault="002609BD" w:rsidP="009002BF">
      <w:pPr>
        <w:spacing w:after="0"/>
        <w:rPr>
          <w:b/>
          <w:color w:val="000000" w:themeColor="text1"/>
        </w:rPr>
      </w:pPr>
    </w:p>
    <w:p w14:paraId="28EBEFFE" w14:textId="77777777" w:rsidR="009855DA" w:rsidRDefault="009855DA" w:rsidP="009002BF">
      <w:pPr>
        <w:spacing w:after="0"/>
        <w:jc w:val="both"/>
      </w:pPr>
      <w:r w:rsidRPr="00592036">
        <w:rPr>
          <w:b/>
        </w:rPr>
        <w:t>MS Praha</w:t>
      </w:r>
      <w:r>
        <w:t xml:space="preserve"> v prosinci 2017 </w:t>
      </w:r>
      <w:r w:rsidRPr="00592036">
        <w:rPr>
          <w:b/>
        </w:rPr>
        <w:t>uhradil</w:t>
      </w:r>
      <w:r>
        <w:t xml:space="preserve"> přijatou </w:t>
      </w:r>
      <w:r w:rsidRPr="00592036">
        <w:rPr>
          <w:b/>
        </w:rPr>
        <w:t>fakturu</w:t>
      </w:r>
      <w:r>
        <w:t xml:space="preserve"> ve výši 302 tis. Kč, </w:t>
      </w:r>
      <w:r w:rsidRPr="00592036">
        <w:rPr>
          <w:b/>
        </w:rPr>
        <w:t>aniž by existoval smluvní titul, který by MS Praha opravňoval výdaj učinit.</w:t>
      </w:r>
      <w:r>
        <w:t xml:space="preserve"> Smlouva byla uzavřena až v únoru 2018, kdy zároveň nabyla účinnosti</w:t>
      </w:r>
      <w:r w:rsidR="000272AC">
        <w:t>.</w:t>
      </w:r>
    </w:p>
    <w:p w14:paraId="7E62A85B" w14:textId="77777777" w:rsidR="000272AC" w:rsidRDefault="000272AC" w:rsidP="009002BF">
      <w:pPr>
        <w:spacing w:after="0"/>
        <w:jc w:val="both"/>
      </w:pPr>
    </w:p>
    <w:p w14:paraId="29E19708" w14:textId="17032F12" w:rsidR="003D7B44" w:rsidRDefault="000272AC" w:rsidP="009002BF">
      <w:pPr>
        <w:spacing w:after="0"/>
        <w:jc w:val="both"/>
      </w:pPr>
      <w:r w:rsidRPr="00592036">
        <w:rPr>
          <w:b/>
        </w:rPr>
        <w:t>MS Praha</w:t>
      </w:r>
      <w:r>
        <w:t xml:space="preserve"> v roce 2018 a v lednu 2019 </w:t>
      </w:r>
      <w:r w:rsidRPr="00592036">
        <w:rPr>
          <w:b/>
        </w:rPr>
        <w:t>převzal služby</w:t>
      </w:r>
      <w:r>
        <w:t xml:space="preserve"> od dodavatelů, </w:t>
      </w:r>
      <w:r w:rsidRPr="00592036">
        <w:rPr>
          <w:b/>
        </w:rPr>
        <w:t>za které zaplatil, a to na základě neúčinných smluv.</w:t>
      </w:r>
      <w:r>
        <w:t xml:space="preserve"> MS Praha totiž neuveřejnil příslušné dodatky ke smlouvám a</w:t>
      </w:r>
      <w:r w:rsidR="004B0EBB">
        <w:t> </w:t>
      </w:r>
      <w:r>
        <w:t xml:space="preserve">samotné smlouvy prostřednictvím registru smluv, přestože se na ně tato povinnost vztahovala. </w:t>
      </w:r>
      <w:r w:rsidR="003D7B44" w:rsidRPr="00592036">
        <w:rPr>
          <w:b/>
        </w:rPr>
        <w:t>Neuveřejněné smlouvy</w:t>
      </w:r>
      <w:r w:rsidR="003D7B44">
        <w:t xml:space="preserve"> tak </w:t>
      </w:r>
      <w:r w:rsidR="003D7B44" w:rsidRPr="00592036">
        <w:rPr>
          <w:b/>
        </w:rPr>
        <w:t>nenabyly</w:t>
      </w:r>
      <w:r w:rsidR="003D7B44">
        <w:t xml:space="preserve"> dle § 6 odst. 1 zákona o registru smluv </w:t>
      </w:r>
      <w:r w:rsidR="003D7B44" w:rsidRPr="00592036">
        <w:rPr>
          <w:b/>
        </w:rPr>
        <w:t>účinnosti</w:t>
      </w:r>
      <w:r w:rsidR="003D7B44" w:rsidRPr="00875E88">
        <w:rPr>
          <w:b/>
        </w:rPr>
        <w:t>.</w:t>
      </w:r>
    </w:p>
    <w:p w14:paraId="4E6BDE01" w14:textId="77777777" w:rsidR="003D7B44" w:rsidRDefault="003D7B44" w:rsidP="009002BF">
      <w:pPr>
        <w:spacing w:after="0"/>
        <w:jc w:val="both"/>
      </w:pPr>
    </w:p>
    <w:p w14:paraId="1B30ACE0" w14:textId="77777777" w:rsidR="000272AC" w:rsidRPr="003D7B44" w:rsidRDefault="003D7B44" w:rsidP="009002BF">
      <w:pPr>
        <w:spacing w:after="0"/>
        <w:jc w:val="both"/>
        <w:rPr>
          <w:b/>
        </w:rPr>
      </w:pPr>
      <w:r w:rsidRPr="003D7B44">
        <w:rPr>
          <w:b/>
        </w:rPr>
        <w:t xml:space="preserve">MS Praha tak v roce 2017, 2018 a 2019 neoprávněně použil peněžní prostředky státního rozpočtu </w:t>
      </w:r>
      <w:r w:rsidRPr="00592036">
        <w:t>ve smyslu § 3 písm. e) rozpočtových pravidel. Rozpočtová pravidla považují v § 44 odst. 1 písm. a) neoprávněné použití peněžních prostředků státního rozpočtu za</w:t>
      </w:r>
      <w:r w:rsidRPr="003D7B44">
        <w:rPr>
          <w:b/>
        </w:rPr>
        <w:t xml:space="preserve"> porušení rozpočtové kázně.  </w:t>
      </w:r>
      <w:r w:rsidR="000272AC" w:rsidRPr="003D7B44">
        <w:rPr>
          <w:b/>
        </w:rPr>
        <w:t xml:space="preserve"> </w:t>
      </w:r>
    </w:p>
    <w:p w14:paraId="75023FF8" w14:textId="77777777" w:rsidR="002C176E" w:rsidRDefault="00866ED0" w:rsidP="009002BF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lastRenderedPageBreak/>
        <w:t>4</w:t>
      </w:r>
      <w:r w:rsidR="002C176E" w:rsidRPr="00704EBD">
        <w:rPr>
          <w:rFonts w:asciiTheme="minorHAnsi" w:eastAsiaTheme="minorHAnsi" w:hAnsiTheme="minorHAnsi" w:cstheme="minorHAnsi"/>
          <w:b/>
        </w:rPr>
        <w:t>. Ostatní zjištění</w:t>
      </w:r>
    </w:p>
    <w:p w14:paraId="725CFCA9" w14:textId="77777777" w:rsidR="00C806FA" w:rsidRPr="00704EBD" w:rsidRDefault="00C806FA" w:rsidP="009002BF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7455CB10" w14:textId="77777777" w:rsidR="00704EBD" w:rsidRDefault="00866ED0" w:rsidP="009002BF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4</w:t>
      </w:r>
      <w:r w:rsidR="00704EBD" w:rsidRPr="00704EBD">
        <w:rPr>
          <w:rFonts w:asciiTheme="minorHAnsi" w:eastAsiaTheme="minorHAnsi" w:hAnsiTheme="minorHAnsi" w:cstheme="minorHAnsi"/>
          <w:b/>
        </w:rPr>
        <w:t>.1 Peněžité záruky připadlé státu</w:t>
      </w:r>
    </w:p>
    <w:p w14:paraId="1A5C25C4" w14:textId="77777777" w:rsidR="00B65D0F" w:rsidRDefault="00B65D0F" w:rsidP="009002BF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253F5760" w14:textId="77777777" w:rsidR="009002BF" w:rsidRDefault="00293C52" w:rsidP="009002BF">
      <w:pPr>
        <w:spacing w:after="0"/>
        <w:jc w:val="both"/>
      </w:pPr>
      <w:r w:rsidRPr="00B65D0F">
        <w:rPr>
          <w:rFonts w:asciiTheme="minorHAnsi" w:eastAsiaTheme="minorHAnsi" w:hAnsiTheme="minorHAnsi" w:cstheme="minorHAnsi"/>
        </w:rPr>
        <w:t xml:space="preserve">MS Praha v některých případech </w:t>
      </w:r>
      <w:r w:rsidR="00B65D0F" w:rsidRPr="00B65D0F">
        <w:rPr>
          <w:rFonts w:asciiTheme="minorHAnsi" w:eastAsiaTheme="minorHAnsi" w:hAnsiTheme="minorHAnsi" w:cstheme="minorHAnsi"/>
        </w:rPr>
        <w:t xml:space="preserve">trestních řízení </w:t>
      </w:r>
      <w:r w:rsidRPr="00B65D0F">
        <w:rPr>
          <w:rFonts w:asciiTheme="minorHAnsi" w:eastAsiaTheme="minorHAnsi" w:hAnsiTheme="minorHAnsi" w:cstheme="minorHAnsi"/>
        </w:rPr>
        <w:t>využívá</w:t>
      </w:r>
      <w:r w:rsidR="00B65D0F" w:rsidRPr="00B65D0F">
        <w:rPr>
          <w:rFonts w:asciiTheme="minorHAnsi" w:eastAsiaTheme="minorHAnsi" w:hAnsiTheme="minorHAnsi" w:cstheme="minorHAnsi"/>
        </w:rPr>
        <w:t xml:space="preserve"> přijetí tzv. peněžité záruky jako institutu nahrazující</w:t>
      </w:r>
      <w:r w:rsidR="00B65D0F">
        <w:rPr>
          <w:rFonts w:asciiTheme="minorHAnsi" w:eastAsiaTheme="minorHAnsi" w:hAnsiTheme="minorHAnsi" w:cstheme="minorHAnsi"/>
        </w:rPr>
        <w:t xml:space="preserve">ho </w:t>
      </w:r>
      <w:r w:rsidR="00B65D0F" w:rsidRPr="00B65D0F">
        <w:rPr>
          <w:rFonts w:asciiTheme="minorHAnsi" w:eastAsiaTheme="minorHAnsi" w:hAnsiTheme="minorHAnsi" w:cstheme="minorHAnsi"/>
        </w:rPr>
        <w:t>vazbu, a to dle § 73a trestního řádu.</w:t>
      </w:r>
      <w:r w:rsidR="00B65D0F">
        <w:rPr>
          <w:rFonts w:asciiTheme="minorHAnsi" w:eastAsiaTheme="minorHAnsi" w:hAnsiTheme="minorHAnsi" w:cstheme="minorHAnsi"/>
        </w:rPr>
        <w:t xml:space="preserve"> Jestliže obviněný poruší podmínky, za kterých byla peněžitá záruka složena, rozhodne soud svým usnesením o tom, že peněžitá záruka připadá státu.</w:t>
      </w:r>
      <w:r w:rsidR="00B65D0F" w:rsidRPr="00B65D0F">
        <w:rPr>
          <w:rFonts w:asciiTheme="minorHAnsi" w:eastAsiaTheme="minorHAnsi" w:hAnsiTheme="minorHAnsi" w:cstheme="minorHAnsi"/>
        </w:rPr>
        <w:t xml:space="preserve"> </w:t>
      </w:r>
    </w:p>
    <w:p w14:paraId="5C219AE8" w14:textId="77777777" w:rsidR="00B65D0F" w:rsidRDefault="00B65D0F" w:rsidP="009002BF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04093CC" w14:textId="77777777" w:rsidR="00D61AE1" w:rsidRDefault="00B65D0F" w:rsidP="009002BF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MS Praha svým usnesením rozhodl, že složená peněžitá záruka</w:t>
      </w:r>
      <w:r w:rsidR="00D61AE1">
        <w:rPr>
          <w:rFonts w:asciiTheme="minorHAnsi" w:eastAsiaTheme="minorHAnsi" w:hAnsiTheme="minorHAnsi" w:cstheme="minorHAnsi"/>
        </w:rPr>
        <w:t>:</w:t>
      </w:r>
    </w:p>
    <w:p w14:paraId="1872A099" w14:textId="1E77416D" w:rsidR="00D61AE1" w:rsidRDefault="00B65D0F" w:rsidP="009002BF">
      <w:pPr>
        <w:pStyle w:val="Odstavecseseznamem"/>
        <w:numPr>
          <w:ilvl w:val="0"/>
          <w:numId w:val="18"/>
        </w:numPr>
        <w:spacing w:after="0"/>
        <w:ind w:left="284" w:hanging="284"/>
        <w:contextualSpacing w:val="0"/>
        <w:jc w:val="both"/>
        <w:rPr>
          <w:rFonts w:asciiTheme="minorHAnsi" w:eastAsiaTheme="minorHAnsi" w:hAnsiTheme="minorHAnsi" w:cstheme="minorHAnsi"/>
        </w:rPr>
      </w:pPr>
      <w:r w:rsidRPr="00D61AE1">
        <w:rPr>
          <w:rFonts w:asciiTheme="minorHAnsi" w:eastAsiaTheme="minorHAnsi" w:hAnsiTheme="minorHAnsi" w:cstheme="minorHAnsi"/>
        </w:rPr>
        <w:t>ve výši 1 mil. Kč připadá státu</w:t>
      </w:r>
      <w:r w:rsidR="00D61AE1">
        <w:rPr>
          <w:rFonts w:asciiTheme="minorHAnsi" w:eastAsiaTheme="minorHAnsi" w:hAnsiTheme="minorHAnsi" w:cstheme="minorHAnsi"/>
        </w:rPr>
        <w:t xml:space="preserve"> </w:t>
      </w:r>
      <w:r w:rsidR="009B572D">
        <w:rPr>
          <w:rFonts w:asciiTheme="minorHAnsi" w:eastAsiaTheme="minorHAnsi" w:hAnsiTheme="minorHAnsi" w:cstheme="minorHAnsi"/>
          <w:sz w:val="26"/>
        </w:rPr>
        <w:t>(</w:t>
      </w:r>
      <w:r w:rsidR="00D61AE1">
        <w:rPr>
          <w:rFonts w:asciiTheme="minorHAnsi" w:eastAsiaTheme="minorHAnsi" w:hAnsiTheme="minorHAnsi" w:cstheme="minorHAnsi"/>
        </w:rPr>
        <w:t>u</w:t>
      </w:r>
      <w:r w:rsidR="00D61AE1" w:rsidRPr="00D61AE1">
        <w:rPr>
          <w:rFonts w:asciiTheme="minorHAnsi" w:eastAsiaTheme="minorHAnsi" w:hAnsiTheme="minorHAnsi" w:cstheme="minorHAnsi"/>
        </w:rPr>
        <w:t xml:space="preserve">snesení nabylo právní moci v dubnu </w:t>
      </w:r>
      <w:r w:rsidR="00D61AE1">
        <w:rPr>
          <w:rFonts w:asciiTheme="minorHAnsi" w:eastAsiaTheme="minorHAnsi" w:hAnsiTheme="minorHAnsi" w:cstheme="minorHAnsi"/>
        </w:rPr>
        <w:t>2015</w:t>
      </w:r>
      <w:r w:rsidR="009B572D">
        <w:rPr>
          <w:rFonts w:asciiTheme="minorHAnsi" w:eastAsiaTheme="minorHAnsi" w:hAnsiTheme="minorHAnsi" w:cstheme="minorHAnsi"/>
        </w:rPr>
        <w:t>),</w:t>
      </w:r>
    </w:p>
    <w:p w14:paraId="0087DCDC" w14:textId="6015A27A" w:rsidR="00D61AE1" w:rsidRDefault="00D61AE1" w:rsidP="009002BF">
      <w:pPr>
        <w:pStyle w:val="Odstavecseseznamem"/>
        <w:numPr>
          <w:ilvl w:val="0"/>
          <w:numId w:val="18"/>
        </w:numPr>
        <w:spacing w:after="0"/>
        <w:ind w:left="284" w:hanging="284"/>
        <w:contextualSpacing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ve výši 3 mil. Kč připadá státu </w:t>
      </w:r>
      <w:r w:rsidR="009B572D">
        <w:rPr>
          <w:rFonts w:asciiTheme="minorHAnsi" w:eastAsiaTheme="minorHAnsi" w:hAnsiTheme="minorHAnsi" w:cstheme="minorHAnsi"/>
        </w:rPr>
        <w:t>(</w:t>
      </w:r>
      <w:r>
        <w:rPr>
          <w:rFonts w:asciiTheme="minorHAnsi" w:eastAsiaTheme="minorHAnsi" w:hAnsiTheme="minorHAnsi" w:cstheme="minorHAnsi"/>
        </w:rPr>
        <w:t>usnesení nabylo právní moci v červenci 2010</w:t>
      </w:r>
      <w:r w:rsidR="009B572D">
        <w:rPr>
          <w:rFonts w:asciiTheme="minorHAnsi" w:eastAsiaTheme="minorHAnsi" w:hAnsiTheme="minorHAnsi" w:cstheme="minorHAnsi"/>
        </w:rPr>
        <w:t>)</w:t>
      </w:r>
      <w:r>
        <w:rPr>
          <w:rFonts w:asciiTheme="minorHAnsi" w:eastAsiaTheme="minorHAnsi" w:hAnsiTheme="minorHAnsi" w:cstheme="minorHAnsi"/>
        </w:rPr>
        <w:t>.</w:t>
      </w:r>
    </w:p>
    <w:p w14:paraId="1FD97D0C" w14:textId="77777777" w:rsidR="009002BF" w:rsidRDefault="009002BF" w:rsidP="009002BF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77309E23" w14:textId="4C9F8C63" w:rsidR="007A013D" w:rsidRDefault="00D61AE1" w:rsidP="009002BF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V obou případech si však MS Praha i po právní moci usnesení ponechal uvedené peněžní prostředky na svém bankovním účtu (na účtu cizích prostředků) a převod na příjmový bankovní </w:t>
      </w:r>
      <w:r w:rsidRPr="00F015FD">
        <w:rPr>
          <w:rFonts w:asciiTheme="minorHAnsi" w:eastAsiaTheme="minorHAnsi" w:hAnsiTheme="minorHAnsi" w:cstheme="minorHAnsi"/>
        </w:rPr>
        <w:t>účet</w:t>
      </w:r>
      <w:r w:rsidR="00886459">
        <w:rPr>
          <w:rFonts w:asciiTheme="minorHAnsi" w:eastAsiaTheme="minorHAnsi" w:hAnsiTheme="minorHAnsi" w:cstheme="minorHAnsi"/>
        </w:rPr>
        <w:t xml:space="preserve"> Ú</w:t>
      </w:r>
      <w:r w:rsidR="007A013D" w:rsidRPr="00F015FD">
        <w:rPr>
          <w:rFonts w:asciiTheme="minorHAnsi" w:eastAsiaTheme="minorHAnsi" w:hAnsiTheme="minorHAnsi" w:cstheme="minorHAnsi"/>
        </w:rPr>
        <w:t>ZSVM realizoval</w:t>
      </w:r>
      <w:r w:rsidR="007A013D">
        <w:rPr>
          <w:rFonts w:asciiTheme="minorHAnsi" w:eastAsiaTheme="minorHAnsi" w:hAnsiTheme="minorHAnsi" w:cstheme="minorHAnsi"/>
        </w:rPr>
        <w:t xml:space="preserve"> až v roce 2019 po upozornění NKÚ.</w:t>
      </w:r>
    </w:p>
    <w:p w14:paraId="1C64CFA4" w14:textId="77777777" w:rsidR="009002BF" w:rsidRDefault="009002BF" w:rsidP="009002BF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F2FAA17" w14:textId="5E27BAAB" w:rsidR="007A013D" w:rsidRDefault="007A013D" w:rsidP="009002BF">
      <w:pPr>
        <w:spacing w:after="0"/>
        <w:jc w:val="both"/>
        <w:rPr>
          <w:rFonts w:cs="Calibri"/>
        </w:rPr>
      </w:pPr>
      <w:r>
        <w:rPr>
          <w:rFonts w:cs="Calibri"/>
        </w:rPr>
        <w:t>P</w:t>
      </w:r>
      <w:r w:rsidRPr="004B44D5">
        <w:rPr>
          <w:rFonts w:cs="Calibri"/>
        </w:rPr>
        <w:t xml:space="preserve">eněžité záruky připadlé </w:t>
      </w:r>
      <w:r>
        <w:rPr>
          <w:rFonts w:cs="Calibri"/>
        </w:rPr>
        <w:t xml:space="preserve">dle § 73a odst. 4 trestního řádu </w:t>
      </w:r>
      <w:r w:rsidRPr="004B44D5">
        <w:rPr>
          <w:rFonts w:cs="Calibri"/>
        </w:rPr>
        <w:t xml:space="preserve">státu </w:t>
      </w:r>
      <w:r>
        <w:rPr>
          <w:rFonts w:cs="Calibri"/>
        </w:rPr>
        <w:t>jsou</w:t>
      </w:r>
      <w:r w:rsidRPr="004B44D5">
        <w:rPr>
          <w:rFonts w:cs="Calibri"/>
        </w:rPr>
        <w:t xml:space="preserve"> majetk</w:t>
      </w:r>
      <w:r>
        <w:rPr>
          <w:rFonts w:cs="Calibri"/>
        </w:rPr>
        <w:t>em</w:t>
      </w:r>
      <w:r w:rsidRPr="004B44D5">
        <w:rPr>
          <w:rFonts w:cs="Calibri"/>
        </w:rPr>
        <w:t>, který stát nově nabyl</w:t>
      </w:r>
      <w:r>
        <w:rPr>
          <w:rFonts w:cs="Calibri"/>
        </w:rPr>
        <w:t>.</w:t>
      </w:r>
      <w:r w:rsidRPr="004B44D5">
        <w:rPr>
          <w:rFonts w:cs="Calibri"/>
        </w:rPr>
        <w:t xml:space="preserve"> </w:t>
      </w:r>
      <w:r w:rsidRPr="00F357A8">
        <w:rPr>
          <w:rFonts w:cs="Calibri"/>
        </w:rPr>
        <w:t>V případě převodu peněžitých záruk p</w:t>
      </w:r>
      <w:r>
        <w:rPr>
          <w:rFonts w:cs="Calibri"/>
        </w:rPr>
        <w:t>řipadlých</w:t>
      </w:r>
      <w:r w:rsidRPr="00F357A8">
        <w:rPr>
          <w:rFonts w:cs="Calibri"/>
        </w:rPr>
        <w:t xml:space="preserve"> státu na ÚZSVM se jedná o převod nově nabytého majetku státu té </w:t>
      </w:r>
      <w:r w:rsidR="008B1CF6">
        <w:rPr>
          <w:rFonts w:cs="Calibri"/>
        </w:rPr>
        <w:t>OSS</w:t>
      </w:r>
      <w:r w:rsidRPr="00F357A8">
        <w:rPr>
          <w:rFonts w:cs="Calibri"/>
        </w:rPr>
        <w:t>, která je příslušná s ním hospodařit</w:t>
      </w:r>
      <w:r>
        <w:rPr>
          <w:rFonts w:cs="Calibri"/>
        </w:rPr>
        <w:t xml:space="preserve"> (viz ustanovení § 10 a § 11 </w:t>
      </w:r>
      <w:r w:rsidRPr="004B44D5">
        <w:rPr>
          <w:rFonts w:cs="Calibri"/>
        </w:rPr>
        <w:t>zákona o majetku</w:t>
      </w:r>
      <w:r w:rsidR="008617E1">
        <w:rPr>
          <w:rFonts w:cs="Calibri"/>
        </w:rPr>
        <w:t> ČR</w:t>
      </w:r>
      <w:r>
        <w:rPr>
          <w:rFonts w:cs="Calibri"/>
        </w:rPr>
        <w:t>)</w:t>
      </w:r>
      <w:r w:rsidRPr="004B44D5">
        <w:rPr>
          <w:rFonts w:cs="Calibri"/>
        </w:rPr>
        <w:t>.</w:t>
      </w:r>
    </w:p>
    <w:p w14:paraId="5155B1BD" w14:textId="77777777" w:rsidR="009002BF" w:rsidRDefault="009002BF" w:rsidP="009002BF">
      <w:pPr>
        <w:spacing w:after="0"/>
        <w:jc w:val="both"/>
        <w:rPr>
          <w:rFonts w:cs="Calibri"/>
        </w:rPr>
      </w:pPr>
    </w:p>
    <w:p w14:paraId="029CFFAA" w14:textId="1205B88A" w:rsidR="007A013D" w:rsidRDefault="007A013D" w:rsidP="009002BF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Peněžité záruky připadlé dle § 73a odst. 4 trestního řádu státu nelze považovat za příjmy státního rozpočtu dle § 6 odst. 1 rozpočtových pravidel. </w:t>
      </w:r>
      <w:r w:rsidRPr="00F357A8">
        <w:rPr>
          <w:rFonts w:cs="Calibri"/>
        </w:rPr>
        <w:t xml:space="preserve">Nejedná se </w:t>
      </w:r>
      <w:r>
        <w:rPr>
          <w:rFonts w:cs="Calibri"/>
        </w:rPr>
        <w:t xml:space="preserve">tedy </w:t>
      </w:r>
      <w:r w:rsidRPr="00F357A8">
        <w:rPr>
          <w:rFonts w:cs="Calibri"/>
        </w:rPr>
        <w:t>o odvod příjmů státního rozpočtu do rozpočtu</w:t>
      </w:r>
      <w:r>
        <w:rPr>
          <w:rFonts w:cs="Calibri"/>
        </w:rPr>
        <w:t>, na který by bylo možné aplikovat lhůty stanovené v § 45 odst.</w:t>
      </w:r>
      <w:r w:rsidR="004B0EBB">
        <w:rPr>
          <w:rFonts w:cs="Calibri"/>
        </w:rPr>
        <w:t> </w:t>
      </w:r>
      <w:r>
        <w:rPr>
          <w:rFonts w:cs="Calibri"/>
        </w:rPr>
        <w:t>10 rozpočtových pravidel</w:t>
      </w:r>
      <w:r w:rsidRPr="00F357A8">
        <w:rPr>
          <w:rFonts w:cs="Calibri"/>
        </w:rPr>
        <w:t>.</w:t>
      </w:r>
    </w:p>
    <w:p w14:paraId="5C08BEEC" w14:textId="77777777" w:rsidR="007A013D" w:rsidRDefault="007A013D" w:rsidP="009002BF">
      <w:pPr>
        <w:spacing w:after="0"/>
        <w:jc w:val="both"/>
        <w:rPr>
          <w:rFonts w:cs="Calibri"/>
        </w:rPr>
      </w:pPr>
    </w:p>
    <w:p w14:paraId="56915D58" w14:textId="47B2483D" w:rsidR="007A013D" w:rsidRDefault="007A013D" w:rsidP="009002BF">
      <w:pPr>
        <w:spacing w:after="0"/>
        <w:jc w:val="both"/>
        <w:rPr>
          <w:bCs/>
        </w:rPr>
      </w:pPr>
      <w:r>
        <w:rPr>
          <w:rFonts w:asciiTheme="minorHAnsi" w:hAnsiTheme="minorHAnsi" w:cstheme="minorHAnsi"/>
          <w:b/>
          <w:bCs/>
          <w:iCs/>
        </w:rPr>
        <w:t xml:space="preserve">NKÚ </w:t>
      </w:r>
      <w:r w:rsidRPr="00313C6C">
        <w:rPr>
          <w:rFonts w:asciiTheme="minorHAnsi" w:hAnsiTheme="minorHAnsi" w:cstheme="minorHAnsi"/>
          <w:bCs/>
          <w:iCs/>
        </w:rPr>
        <w:t xml:space="preserve">však </w:t>
      </w:r>
      <w:r w:rsidRPr="004B44D5">
        <w:rPr>
          <w:rFonts w:asciiTheme="minorHAnsi" w:hAnsiTheme="minorHAnsi" w:cstheme="minorHAnsi"/>
          <w:b/>
          <w:bCs/>
          <w:iCs/>
        </w:rPr>
        <w:t xml:space="preserve">poukazuje na výraznou časovou prodlevu (i 9 let), která uplynula od data, kdy peněžitá záruka připadla státu do okamžiku převedení </w:t>
      </w:r>
      <w:r w:rsidRPr="00313C6C">
        <w:rPr>
          <w:rFonts w:asciiTheme="minorHAnsi" w:hAnsiTheme="minorHAnsi" w:cstheme="minorHAnsi"/>
          <w:bCs/>
          <w:iCs/>
        </w:rPr>
        <w:t>této záruky</w:t>
      </w:r>
      <w:r w:rsidRPr="004B44D5">
        <w:rPr>
          <w:rFonts w:asciiTheme="minorHAnsi" w:hAnsiTheme="minorHAnsi" w:cstheme="minorHAnsi"/>
          <w:b/>
          <w:bCs/>
          <w:iCs/>
        </w:rPr>
        <w:t xml:space="preserve"> na příjmový bankovní účet ÚZSVM. MS Praha převod realizoval až v roce 2019 </w:t>
      </w:r>
      <w:r w:rsidRPr="00313C6C">
        <w:rPr>
          <w:rFonts w:asciiTheme="minorHAnsi" w:hAnsiTheme="minorHAnsi" w:cstheme="minorHAnsi"/>
          <w:bCs/>
          <w:iCs/>
        </w:rPr>
        <w:t>na základě upozornění NKÚ.</w:t>
      </w:r>
      <w:r w:rsidRPr="004B44D5">
        <w:rPr>
          <w:rFonts w:asciiTheme="minorHAnsi" w:hAnsiTheme="minorHAnsi" w:cstheme="minorHAnsi"/>
          <w:b/>
          <w:bCs/>
          <w:iCs/>
        </w:rPr>
        <w:t xml:space="preserve"> </w:t>
      </w:r>
      <w:r w:rsidRPr="008B1CF6">
        <w:rPr>
          <w:rFonts w:asciiTheme="minorHAnsi" w:hAnsiTheme="minorHAnsi" w:cstheme="minorHAnsi"/>
          <w:bCs/>
          <w:iCs/>
        </w:rPr>
        <w:t>Vzhledem k tomu, že</w:t>
      </w:r>
      <w:r w:rsidRPr="004B44D5">
        <w:rPr>
          <w:rFonts w:asciiTheme="minorHAnsi" w:hAnsiTheme="minorHAnsi" w:cstheme="minorHAnsi"/>
          <w:b/>
          <w:bCs/>
          <w:iCs/>
        </w:rPr>
        <w:t xml:space="preserve"> zákon o majetku</w:t>
      </w:r>
      <w:r w:rsidR="008617E1">
        <w:rPr>
          <w:rFonts w:asciiTheme="minorHAnsi" w:hAnsiTheme="minorHAnsi" w:cstheme="minorHAnsi"/>
          <w:b/>
          <w:bCs/>
          <w:iCs/>
        </w:rPr>
        <w:t> ČR</w:t>
      </w:r>
      <w:r w:rsidRPr="004B44D5">
        <w:rPr>
          <w:rFonts w:asciiTheme="minorHAnsi" w:hAnsiTheme="minorHAnsi" w:cstheme="minorHAnsi"/>
          <w:b/>
          <w:bCs/>
          <w:iCs/>
        </w:rPr>
        <w:t xml:space="preserve"> </w:t>
      </w:r>
      <w:r w:rsidR="00A54105">
        <w:rPr>
          <w:rFonts w:asciiTheme="minorHAnsi" w:hAnsiTheme="minorHAnsi" w:cstheme="minorHAnsi"/>
          <w:b/>
          <w:bCs/>
          <w:iCs/>
        </w:rPr>
        <w:t>výslovně nestanoví</w:t>
      </w:r>
      <w:r w:rsidRPr="004B44D5">
        <w:rPr>
          <w:rFonts w:asciiTheme="minorHAnsi" w:hAnsiTheme="minorHAnsi" w:cstheme="minorHAnsi"/>
          <w:b/>
          <w:bCs/>
          <w:iCs/>
        </w:rPr>
        <w:t xml:space="preserve"> lhůtu pro převod majetku na ÚZSVM </w:t>
      </w:r>
      <w:r w:rsidRPr="008B1CF6">
        <w:rPr>
          <w:rFonts w:asciiTheme="minorHAnsi" w:hAnsiTheme="minorHAnsi" w:cstheme="minorHAnsi"/>
          <w:bCs/>
          <w:iCs/>
        </w:rPr>
        <w:t xml:space="preserve">dle § 11 odst. 2 tohoto zákona, platí, že </w:t>
      </w:r>
      <w:r w:rsidRPr="004B44D5">
        <w:rPr>
          <w:rFonts w:asciiTheme="minorHAnsi" w:hAnsiTheme="minorHAnsi" w:cstheme="minorHAnsi"/>
          <w:b/>
          <w:bCs/>
          <w:iCs/>
        </w:rPr>
        <w:t>MS Praha měl peněžité záruky</w:t>
      </w:r>
      <w:r w:rsidR="00636966">
        <w:rPr>
          <w:rFonts w:asciiTheme="minorHAnsi" w:hAnsiTheme="minorHAnsi" w:cstheme="minorHAnsi"/>
          <w:b/>
          <w:bCs/>
          <w:iCs/>
        </w:rPr>
        <w:t xml:space="preserve"> </w:t>
      </w:r>
      <w:r w:rsidRPr="004B44D5">
        <w:rPr>
          <w:rFonts w:asciiTheme="minorHAnsi" w:hAnsiTheme="minorHAnsi" w:cstheme="minorHAnsi"/>
          <w:b/>
          <w:bCs/>
          <w:iCs/>
        </w:rPr>
        <w:t>převést</w:t>
      </w:r>
      <w:r w:rsidR="009B572D">
        <w:rPr>
          <w:rFonts w:asciiTheme="minorHAnsi" w:hAnsiTheme="minorHAnsi" w:cstheme="minorHAnsi"/>
          <w:b/>
          <w:bCs/>
          <w:iCs/>
        </w:rPr>
        <w:t xml:space="preserve"> </w:t>
      </w:r>
      <w:r w:rsidRPr="008B1CF6">
        <w:rPr>
          <w:rFonts w:asciiTheme="minorHAnsi" w:hAnsiTheme="minorHAnsi" w:cstheme="minorHAnsi"/>
          <w:bCs/>
          <w:iCs/>
        </w:rPr>
        <w:t>na</w:t>
      </w:r>
      <w:r w:rsidR="009B572D">
        <w:rPr>
          <w:rFonts w:asciiTheme="minorHAnsi" w:hAnsiTheme="minorHAnsi" w:cstheme="minorHAnsi"/>
          <w:bCs/>
          <w:iCs/>
        </w:rPr>
        <w:t xml:space="preserve"> </w:t>
      </w:r>
      <w:r w:rsidRPr="008B1CF6">
        <w:rPr>
          <w:rFonts w:asciiTheme="minorHAnsi" w:hAnsiTheme="minorHAnsi" w:cstheme="minorHAnsi"/>
          <w:bCs/>
          <w:iCs/>
        </w:rPr>
        <w:t xml:space="preserve">ÚZSVM </w:t>
      </w:r>
      <w:r w:rsidRPr="004B44D5">
        <w:rPr>
          <w:rFonts w:asciiTheme="minorHAnsi" w:hAnsiTheme="minorHAnsi" w:cstheme="minorHAnsi"/>
          <w:b/>
          <w:bCs/>
          <w:iCs/>
        </w:rPr>
        <w:t>bez zbytečného odkladu.</w:t>
      </w:r>
    </w:p>
    <w:p w14:paraId="6C452143" w14:textId="77777777" w:rsidR="009002BF" w:rsidRDefault="009002BF" w:rsidP="009002BF">
      <w:pPr>
        <w:spacing w:after="0"/>
        <w:jc w:val="both"/>
        <w:rPr>
          <w:rFonts w:asciiTheme="minorHAnsi" w:hAnsiTheme="minorHAnsi" w:cstheme="minorHAnsi"/>
          <w:bCs/>
          <w:iCs/>
        </w:rPr>
      </w:pPr>
    </w:p>
    <w:p w14:paraId="21B6E23F" w14:textId="1D8A2780" w:rsidR="00293F15" w:rsidRDefault="007A013D" w:rsidP="009002BF">
      <w:pPr>
        <w:spacing w:after="0"/>
        <w:jc w:val="both"/>
        <w:rPr>
          <w:rFonts w:cs="Calibri"/>
        </w:rPr>
      </w:pPr>
      <w:r w:rsidRPr="008B1CF6">
        <w:rPr>
          <w:rFonts w:asciiTheme="minorHAnsi" w:hAnsiTheme="minorHAnsi" w:cstheme="minorHAnsi"/>
          <w:bCs/>
          <w:iCs/>
        </w:rPr>
        <w:t xml:space="preserve">V této souvislosti </w:t>
      </w:r>
      <w:r>
        <w:rPr>
          <w:rFonts w:asciiTheme="minorHAnsi" w:hAnsiTheme="minorHAnsi" w:cstheme="minorHAnsi"/>
          <w:b/>
          <w:bCs/>
          <w:iCs/>
        </w:rPr>
        <w:t xml:space="preserve">NKÚ doporučuje, aby peněžitá záruka, </w:t>
      </w:r>
      <w:r w:rsidRPr="008B1CF6">
        <w:rPr>
          <w:rFonts w:asciiTheme="minorHAnsi" w:hAnsiTheme="minorHAnsi" w:cstheme="minorHAnsi"/>
          <w:bCs/>
          <w:iCs/>
        </w:rPr>
        <w:t>která připadá</w:t>
      </w:r>
      <w:r w:rsidR="009B572D" w:rsidRPr="008B1CF6">
        <w:rPr>
          <w:rFonts w:cs="Calibri"/>
        </w:rPr>
        <w:t xml:space="preserve"> státu</w:t>
      </w:r>
      <w:r w:rsidRPr="008B1CF6">
        <w:rPr>
          <w:rFonts w:asciiTheme="minorHAnsi" w:hAnsiTheme="minorHAnsi" w:cstheme="minorHAnsi"/>
          <w:bCs/>
          <w:iCs/>
        </w:rPr>
        <w:t xml:space="preserve"> dle </w:t>
      </w:r>
      <w:r w:rsidRPr="008B1CF6">
        <w:rPr>
          <w:rFonts w:cs="Calibri"/>
        </w:rPr>
        <w:t>ustanovení §</w:t>
      </w:r>
      <w:r w:rsidR="009B572D">
        <w:rPr>
          <w:rFonts w:cs="Calibri"/>
        </w:rPr>
        <w:t> </w:t>
      </w:r>
      <w:r w:rsidRPr="008B1CF6">
        <w:rPr>
          <w:rFonts w:cs="Calibri"/>
        </w:rPr>
        <w:t>73a odst. 4</w:t>
      </w:r>
      <w:r w:rsidR="009B572D">
        <w:rPr>
          <w:rFonts w:cs="Calibri"/>
        </w:rPr>
        <w:t> </w:t>
      </w:r>
      <w:r w:rsidRPr="008B1CF6">
        <w:rPr>
          <w:rFonts w:cs="Calibri"/>
        </w:rPr>
        <w:t xml:space="preserve">trestního řádu, </w:t>
      </w:r>
      <w:r>
        <w:rPr>
          <w:rFonts w:cs="Calibri"/>
          <w:b/>
        </w:rPr>
        <w:t xml:space="preserve">byla v právních předpisech označena jako příjem státního rozpočtu </w:t>
      </w:r>
      <w:r w:rsidRPr="008B1CF6">
        <w:rPr>
          <w:rFonts w:cs="Calibri"/>
        </w:rPr>
        <w:t>(v § 6 odst. 1 rozpočtových pravidel, případně přímo v trestním řádu v ustanovení §</w:t>
      </w:r>
      <w:r w:rsidR="004B0EBB">
        <w:rPr>
          <w:rFonts w:cs="Calibri"/>
        </w:rPr>
        <w:t> </w:t>
      </w:r>
      <w:r w:rsidRPr="008B1CF6">
        <w:rPr>
          <w:rFonts w:cs="Calibri"/>
        </w:rPr>
        <w:t>73a)</w:t>
      </w:r>
      <w:r w:rsidR="00264822" w:rsidRPr="008B1CF6">
        <w:rPr>
          <w:rFonts w:cs="Calibri"/>
        </w:rPr>
        <w:t xml:space="preserve"> a</w:t>
      </w:r>
      <w:r w:rsidR="00264822">
        <w:rPr>
          <w:rFonts w:cs="Calibri"/>
          <w:b/>
        </w:rPr>
        <w:t xml:space="preserve"> příslušný soud j</w:t>
      </w:r>
      <w:r>
        <w:rPr>
          <w:rFonts w:cs="Calibri"/>
          <w:b/>
        </w:rPr>
        <w:t>i</w:t>
      </w:r>
      <w:r w:rsidR="00264822">
        <w:rPr>
          <w:rFonts w:cs="Calibri"/>
          <w:b/>
        </w:rPr>
        <w:t xml:space="preserve"> tak odváděl </w:t>
      </w:r>
      <w:r>
        <w:rPr>
          <w:rFonts w:cs="Calibri"/>
          <w:b/>
        </w:rPr>
        <w:t xml:space="preserve">na příjmový účet státního rozpočtu přímo. </w:t>
      </w:r>
      <w:r w:rsidRPr="008B1CF6">
        <w:rPr>
          <w:rFonts w:cs="Calibri"/>
        </w:rPr>
        <w:t xml:space="preserve">Tím by </w:t>
      </w:r>
      <w:r w:rsidRPr="0042165C">
        <w:rPr>
          <w:rFonts w:cs="Calibri"/>
          <w:b/>
        </w:rPr>
        <w:t>odpadla interakce</w:t>
      </w:r>
      <w:r w:rsidRPr="008B1CF6">
        <w:rPr>
          <w:rFonts w:cs="Calibri"/>
        </w:rPr>
        <w:t xml:space="preserve"> </w:t>
      </w:r>
      <w:r w:rsidRPr="0042165C">
        <w:rPr>
          <w:rFonts w:cs="Calibri"/>
          <w:b/>
        </w:rPr>
        <w:t>mezi příslušným soudem a ÚZSVM</w:t>
      </w:r>
      <w:r w:rsidRPr="008B1CF6">
        <w:rPr>
          <w:rFonts w:cs="Calibri"/>
        </w:rPr>
        <w:t xml:space="preserve"> a i na tyto převody</w:t>
      </w:r>
      <w:r w:rsidR="00A54105">
        <w:rPr>
          <w:rFonts w:cs="Calibri"/>
        </w:rPr>
        <w:t xml:space="preserve"> by se</w:t>
      </w:r>
      <w:r>
        <w:rPr>
          <w:rFonts w:cs="Calibri"/>
          <w:b/>
        </w:rPr>
        <w:t xml:space="preserve"> vztahovaly lhůty pro odvod příjmů státního rozpočtu do rozpočtu </w:t>
      </w:r>
      <w:r w:rsidRPr="008B1CF6">
        <w:rPr>
          <w:rFonts w:cs="Calibri"/>
        </w:rPr>
        <w:t>stanovené v § 45 odst. 10 rozpočtových pravidel</w:t>
      </w:r>
      <w:r>
        <w:rPr>
          <w:rFonts w:cs="Calibri"/>
          <w:b/>
        </w:rPr>
        <w:t xml:space="preserve"> a případná sankce </w:t>
      </w:r>
      <w:r w:rsidRPr="008B1CF6">
        <w:rPr>
          <w:rFonts w:cs="Calibri"/>
        </w:rPr>
        <w:t>za nedodržení těchto lhůt</w:t>
      </w:r>
      <w:r>
        <w:rPr>
          <w:rFonts w:cs="Calibri"/>
          <w:b/>
        </w:rPr>
        <w:t xml:space="preserve"> v podobě porušení rozpočtové kázně </w:t>
      </w:r>
      <w:r w:rsidRPr="008B1CF6">
        <w:rPr>
          <w:rFonts w:cs="Calibri"/>
        </w:rPr>
        <w:t xml:space="preserve">ve smyslu ustanovení § 44 odst. 1 písm. g) rozpočtových pravidel. </w:t>
      </w:r>
    </w:p>
    <w:p w14:paraId="0012463C" w14:textId="4B82CF8A" w:rsidR="00886459" w:rsidRDefault="00886459" w:rsidP="009002BF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581D19E0" w14:textId="77777777" w:rsidR="00704EBD" w:rsidRDefault="00866ED0" w:rsidP="00666F8A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lastRenderedPageBreak/>
        <w:t>4</w:t>
      </w:r>
      <w:r w:rsidR="00704EBD" w:rsidRPr="00704EBD">
        <w:rPr>
          <w:rFonts w:asciiTheme="minorHAnsi" w:eastAsiaTheme="minorHAnsi" w:hAnsiTheme="minorHAnsi" w:cstheme="minorHAnsi"/>
          <w:b/>
        </w:rPr>
        <w:t>.2 Pozdní vrácení soudní</w:t>
      </w:r>
      <w:r w:rsidR="00E529CB">
        <w:rPr>
          <w:rFonts w:asciiTheme="minorHAnsi" w:eastAsiaTheme="minorHAnsi" w:hAnsiTheme="minorHAnsi" w:cstheme="minorHAnsi"/>
          <w:b/>
        </w:rPr>
        <w:t>ch</w:t>
      </w:r>
      <w:r w:rsidR="00704EBD" w:rsidRPr="00704EBD">
        <w:rPr>
          <w:rFonts w:asciiTheme="minorHAnsi" w:eastAsiaTheme="minorHAnsi" w:hAnsiTheme="minorHAnsi" w:cstheme="minorHAnsi"/>
          <w:b/>
        </w:rPr>
        <w:t xml:space="preserve"> poplatk</w:t>
      </w:r>
      <w:r w:rsidR="00E529CB">
        <w:rPr>
          <w:rFonts w:asciiTheme="minorHAnsi" w:eastAsiaTheme="minorHAnsi" w:hAnsiTheme="minorHAnsi" w:cstheme="minorHAnsi"/>
          <w:b/>
        </w:rPr>
        <w:t>ů</w:t>
      </w:r>
    </w:p>
    <w:p w14:paraId="6F769B69" w14:textId="77777777" w:rsidR="008B1CF6" w:rsidRDefault="008B1CF6" w:rsidP="00666F8A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34350E58" w14:textId="145BC037" w:rsidR="008B1CF6" w:rsidRDefault="008B1CF6" w:rsidP="009002BF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</w:rPr>
        <w:t>MS Praha vrací poplatníkům soudní poplatky, a to v případech vyjmenovaných v § 10 zákona</w:t>
      </w:r>
      <w:r w:rsidR="002E08FE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o soudních poplatcích</w:t>
      </w:r>
      <w:r w:rsidR="002E08FE">
        <w:rPr>
          <w:rFonts w:asciiTheme="minorHAnsi" w:eastAsiaTheme="minorHAnsi" w:hAnsiTheme="minorHAnsi" w:cstheme="minorHAnsi"/>
        </w:rPr>
        <w:t xml:space="preserve">. MS Praha je povinen na základě tohoto zákona zaplacený soudní poplatek vracet ve lhůtě do 30 dnů od právní moci rozhodnutí, kterým o vrácení rozhodl. Kontrola </w:t>
      </w:r>
      <w:r w:rsidR="00C6727C">
        <w:rPr>
          <w:rFonts w:asciiTheme="minorHAnsi" w:eastAsiaTheme="minorHAnsi" w:hAnsiTheme="minorHAnsi" w:cstheme="minorHAnsi"/>
        </w:rPr>
        <w:t>zjistila</w:t>
      </w:r>
      <w:r w:rsidR="002E08FE">
        <w:rPr>
          <w:rFonts w:asciiTheme="minorHAnsi" w:eastAsiaTheme="minorHAnsi" w:hAnsiTheme="minorHAnsi" w:cstheme="minorHAnsi"/>
        </w:rPr>
        <w:t xml:space="preserve"> případy, kdy </w:t>
      </w:r>
      <w:r w:rsidR="002E08FE" w:rsidRPr="00313C6C">
        <w:rPr>
          <w:rFonts w:asciiTheme="minorHAnsi" w:eastAsiaTheme="minorHAnsi" w:hAnsiTheme="minorHAnsi" w:cstheme="minorHAnsi"/>
          <w:b/>
        </w:rPr>
        <w:t>MS Praha soudní poplatky v zákonné lhůtě nevracel</w:t>
      </w:r>
      <w:r w:rsidR="00666F8A">
        <w:rPr>
          <w:rFonts w:asciiTheme="minorHAnsi" w:eastAsiaTheme="minorHAnsi" w:hAnsiTheme="minorHAnsi" w:cstheme="minorHAnsi"/>
          <w:b/>
        </w:rPr>
        <w:t>,</w:t>
      </w:r>
      <w:r w:rsidR="002E08FE">
        <w:rPr>
          <w:rFonts w:asciiTheme="minorHAnsi" w:eastAsiaTheme="minorHAnsi" w:hAnsiTheme="minorHAnsi" w:cstheme="minorHAnsi"/>
        </w:rPr>
        <w:t xml:space="preserve"> a</w:t>
      </w:r>
      <w:r w:rsidR="004B0EBB">
        <w:rPr>
          <w:rFonts w:asciiTheme="minorHAnsi" w:eastAsiaTheme="minorHAnsi" w:hAnsiTheme="minorHAnsi" w:cstheme="minorHAnsi"/>
        </w:rPr>
        <w:t> </w:t>
      </w:r>
      <w:r w:rsidR="002E08FE">
        <w:rPr>
          <w:rFonts w:asciiTheme="minorHAnsi" w:eastAsiaTheme="minorHAnsi" w:hAnsiTheme="minorHAnsi" w:cstheme="minorHAnsi"/>
        </w:rPr>
        <w:t>postupoval tak v rozporu se zákonem o soudních poplatcích</w:t>
      </w:r>
      <w:r w:rsidR="008A7242">
        <w:rPr>
          <w:rStyle w:val="Znakapoznpodarou"/>
          <w:rFonts w:asciiTheme="minorHAnsi" w:eastAsiaTheme="minorHAnsi" w:hAnsiTheme="minorHAnsi" w:cstheme="minorHAnsi"/>
        </w:rPr>
        <w:footnoteReference w:id="15"/>
      </w:r>
      <w:r w:rsidR="002E08FE">
        <w:rPr>
          <w:rFonts w:asciiTheme="minorHAnsi" w:eastAsiaTheme="minorHAnsi" w:hAnsiTheme="minorHAnsi" w:cstheme="minorHAnsi"/>
        </w:rPr>
        <w:t xml:space="preserve">. </w:t>
      </w:r>
      <w:r w:rsidR="002E08FE" w:rsidRPr="00C1146D">
        <w:rPr>
          <w:rFonts w:asciiTheme="minorHAnsi" w:eastAsiaTheme="minorHAnsi" w:hAnsiTheme="minorHAnsi" w:cstheme="minorHAnsi"/>
          <w:b/>
        </w:rPr>
        <w:t>Tímto jednáním se</w:t>
      </w:r>
      <w:r w:rsidR="002E08FE">
        <w:rPr>
          <w:rFonts w:asciiTheme="minorHAnsi" w:eastAsiaTheme="minorHAnsi" w:hAnsiTheme="minorHAnsi" w:cstheme="minorHAnsi"/>
        </w:rPr>
        <w:t xml:space="preserve"> MS Praha </w:t>
      </w:r>
      <w:r w:rsidR="002E08FE" w:rsidRPr="00313C6C">
        <w:rPr>
          <w:rFonts w:asciiTheme="minorHAnsi" w:eastAsiaTheme="minorHAnsi" w:hAnsiTheme="minorHAnsi" w:cstheme="minorHAnsi"/>
          <w:b/>
        </w:rPr>
        <w:t>vystavuje riziku platby úroků</w:t>
      </w:r>
      <w:r w:rsidR="002E08FE">
        <w:rPr>
          <w:rFonts w:asciiTheme="minorHAnsi" w:eastAsiaTheme="minorHAnsi" w:hAnsiTheme="minorHAnsi" w:cstheme="minorHAnsi"/>
        </w:rPr>
        <w:t xml:space="preserve"> z vratitelného přeplatku. </w:t>
      </w:r>
      <w:r w:rsidR="00C6727C">
        <w:rPr>
          <w:rFonts w:asciiTheme="minorHAnsi" w:eastAsiaTheme="minorHAnsi" w:hAnsiTheme="minorHAnsi" w:cstheme="minorHAnsi"/>
        </w:rPr>
        <w:t>Pokud by věřitelé svůj nárok uplatnili, jednalo by se j</w:t>
      </w:r>
      <w:r w:rsidR="002E08FE">
        <w:rPr>
          <w:rFonts w:asciiTheme="minorHAnsi" w:eastAsiaTheme="minorHAnsi" w:hAnsiTheme="minorHAnsi" w:cstheme="minorHAnsi"/>
        </w:rPr>
        <w:t xml:space="preserve">en </w:t>
      </w:r>
      <w:r w:rsidR="00C6727C">
        <w:rPr>
          <w:rFonts w:asciiTheme="minorHAnsi" w:eastAsiaTheme="minorHAnsi" w:hAnsiTheme="minorHAnsi" w:cstheme="minorHAnsi"/>
        </w:rPr>
        <w:t xml:space="preserve">u zjištěných případů o částku přesahující </w:t>
      </w:r>
      <w:r w:rsidR="00C6727C" w:rsidRPr="00313C6C">
        <w:rPr>
          <w:rFonts w:asciiTheme="minorHAnsi" w:eastAsiaTheme="minorHAnsi" w:hAnsiTheme="minorHAnsi" w:cstheme="minorHAnsi"/>
          <w:b/>
        </w:rPr>
        <w:t>437 tis. Kč</w:t>
      </w:r>
      <w:r w:rsidR="00C6727C" w:rsidRPr="00875E88">
        <w:rPr>
          <w:rFonts w:asciiTheme="minorHAnsi" w:eastAsiaTheme="minorHAnsi" w:hAnsiTheme="minorHAnsi" w:cstheme="minorHAnsi"/>
          <w:b/>
        </w:rPr>
        <w:t>.</w:t>
      </w:r>
      <w:r w:rsidR="00C6727C">
        <w:rPr>
          <w:rFonts w:asciiTheme="minorHAnsi" w:eastAsiaTheme="minorHAnsi" w:hAnsiTheme="minorHAnsi" w:cstheme="minorHAnsi"/>
        </w:rPr>
        <w:t xml:space="preserve"> </w:t>
      </w:r>
      <w:r w:rsidR="002E08FE">
        <w:rPr>
          <w:rFonts w:asciiTheme="minorHAnsi" w:eastAsiaTheme="minorHAnsi" w:hAnsiTheme="minorHAnsi" w:cstheme="minorHAnsi"/>
        </w:rPr>
        <w:t xml:space="preserve">  </w:t>
      </w:r>
    </w:p>
    <w:p w14:paraId="727421E7" w14:textId="77777777" w:rsidR="003C7D6C" w:rsidRPr="00704EBD" w:rsidRDefault="003C7D6C" w:rsidP="009002BF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6C45963F" w14:textId="77777777" w:rsidR="00704EBD" w:rsidRDefault="00866ED0" w:rsidP="009002BF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4</w:t>
      </w:r>
      <w:r w:rsidR="00704EBD" w:rsidRPr="00704EBD">
        <w:rPr>
          <w:rFonts w:asciiTheme="minorHAnsi" w:eastAsiaTheme="minorHAnsi" w:hAnsiTheme="minorHAnsi" w:cstheme="minorHAnsi"/>
          <w:b/>
        </w:rPr>
        <w:t>.</w:t>
      </w:r>
      <w:r w:rsidR="00E529CB">
        <w:rPr>
          <w:rFonts w:asciiTheme="minorHAnsi" w:eastAsiaTheme="minorHAnsi" w:hAnsiTheme="minorHAnsi" w:cstheme="minorHAnsi"/>
          <w:b/>
        </w:rPr>
        <w:t>3</w:t>
      </w:r>
      <w:r w:rsidR="00704EBD" w:rsidRPr="00704EBD">
        <w:rPr>
          <w:rFonts w:asciiTheme="minorHAnsi" w:eastAsiaTheme="minorHAnsi" w:hAnsiTheme="minorHAnsi" w:cstheme="minorHAnsi"/>
          <w:b/>
        </w:rPr>
        <w:t xml:space="preserve"> Daň z přidané hodnoty</w:t>
      </w:r>
    </w:p>
    <w:p w14:paraId="44A1EE7D" w14:textId="77777777" w:rsidR="000B1D9C" w:rsidRDefault="000B1D9C" w:rsidP="009002BF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13471824" w14:textId="77AA14B9" w:rsidR="000B1D9C" w:rsidRPr="000B1D9C" w:rsidRDefault="000B1D9C" w:rsidP="009002BF">
      <w:pPr>
        <w:spacing w:after="0"/>
        <w:jc w:val="both"/>
        <w:rPr>
          <w:rFonts w:asciiTheme="minorHAnsi" w:eastAsiaTheme="minorHAnsi" w:hAnsiTheme="minorHAnsi" w:cstheme="minorHAnsi"/>
        </w:rPr>
      </w:pPr>
      <w:r w:rsidRPr="000B1D9C">
        <w:rPr>
          <w:rFonts w:asciiTheme="minorHAnsi" w:eastAsiaTheme="minorHAnsi" w:hAnsiTheme="minorHAnsi" w:cstheme="minorHAnsi"/>
        </w:rPr>
        <w:t>MS Praha na základě uzavřených smluv o dodávkách energií zajišťoval pro spoluvlastníky budovy Hybernská</w:t>
      </w:r>
      <w:r w:rsidR="00FC68E6">
        <w:rPr>
          <w:rFonts w:asciiTheme="minorHAnsi" w:eastAsiaTheme="minorHAnsi" w:hAnsiTheme="minorHAnsi" w:cstheme="minorHAnsi"/>
        </w:rPr>
        <w:t xml:space="preserve"> 20, Praha 1</w:t>
      </w:r>
      <w:r w:rsidR="00636966">
        <w:rPr>
          <w:rFonts w:asciiTheme="minorHAnsi" w:eastAsiaTheme="minorHAnsi" w:hAnsiTheme="minorHAnsi" w:cstheme="minorHAnsi"/>
        </w:rPr>
        <w:t>,</w:t>
      </w:r>
      <w:r w:rsidRPr="000B1D9C">
        <w:rPr>
          <w:rFonts w:asciiTheme="minorHAnsi" w:eastAsiaTheme="minorHAnsi" w:hAnsiTheme="minorHAnsi" w:cstheme="minorHAnsi"/>
        </w:rPr>
        <w:t xml:space="preserve"> a dále také pro akciovou společnost</w:t>
      </w:r>
      <w:r w:rsidR="00FC68E6">
        <w:rPr>
          <w:rFonts w:asciiTheme="minorHAnsi" w:eastAsiaTheme="minorHAnsi" w:hAnsiTheme="minorHAnsi" w:cstheme="minorHAnsi"/>
        </w:rPr>
        <w:t xml:space="preserve"> mající v této budově pobočku</w:t>
      </w:r>
      <w:r w:rsidRPr="000B1D9C">
        <w:rPr>
          <w:rFonts w:asciiTheme="minorHAnsi" w:eastAsiaTheme="minorHAnsi" w:hAnsiTheme="minorHAnsi" w:cstheme="minorHAnsi"/>
        </w:rPr>
        <w:t xml:space="preserve"> dodávky tepla a chladu, které vyráběl ve vlastním zařízení. </w:t>
      </w:r>
      <w:r w:rsidRPr="00313C6C">
        <w:rPr>
          <w:rFonts w:asciiTheme="minorHAnsi" w:eastAsiaTheme="minorHAnsi" w:hAnsiTheme="minorHAnsi" w:cstheme="minorHAnsi"/>
          <w:b/>
        </w:rPr>
        <w:t>MS Praha</w:t>
      </w:r>
      <w:r w:rsidRPr="000B1D9C">
        <w:rPr>
          <w:rFonts w:asciiTheme="minorHAnsi" w:eastAsiaTheme="minorHAnsi" w:hAnsiTheme="minorHAnsi" w:cstheme="minorHAnsi"/>
        </w:rPr>
        <w:t xml:space="preserve"> tím </w:t>
      </w:r>
      <w:r w:rsidRPr="00313C6C">
        <w:rPr>
          <w:rFonts w:asciiTheme="minorHAnsi" w:eastAsiaTheme="minorHAnsi" w:hAnsiTheme="minorHAnsi" w:cstheme="minorHAnsi"/>
          <w:b/>
        </w:rPr>
        <w:t>uskutečňoval činnosti, při kterých se</w:t>
      </w:r>
      <w:r w:rsidRPr="000B1D9C">
        <w:rPr>
          <w:rFonts w:asciiTheme="minorHAnsi" w:eastAsiaTheme="minorHAnsi" w:hAnsiTheme="minorHAnsi" w:cstheme="minorHAnsi"/>
        </w:rPr>
        <w:t xml:space="preserve"> podle zákona o DPH </w:t>
      </w:r>
      <w:r w:rsidRPr="00313C6C">
        <w:rPr>
          <w:rFonts w:asciiTheme="minorHAnsi" w:eastAsiaTheme="minorHAnsi" w:hAnsiTheme="minorHAnsi" w:cstheme="minorHAnsi"/>
          <w:b/>
        </w:rPr>
        <w:t>považuje za osobu povinnou k dani</w:t>
      </w:r>
      <w:r w:rsidRPr="00875E88">
        <w:rPr>
          <w:rFonts w:asciiTheme="minorHAnsi" w:eastAsiaTheme="minorHAnsi" w:hAnsiTheme="minorHAnsi" w:cstheme="minorHAnsi"/>
          <w:b/>
        </w:rPr>
        <w:t>.</w:t>
      </w:r>
      <w:r w:rsidRPr="000B1D9C">
        <w:rPr>
          <w:rFonts w:asciiTheme="minorHAnsi" w:eastAsiaTheme="minorHAnsi" w:hAnsiTheme="minorHAnsi" w:cstheme="minorHAnsi"/>
        </w:rPr>
        <w:t xml:space="preserve"> </w:t>
      </w:r>
      <w:r w:rsidRPr="00313C6C">
        <w:rPr>
          <w:rFonts w:asciiTheme="minorHAnsi" w:eastAsiaTheme="minorHAnsi" w:hAnsiTheme="minorHAnsi" w:cstheme="minorHAnsi"/>
          <w:b/>
        </w:rPr>
        <w:t>MS Praha</w:t>
      </w:r>
      <w:r>
        <w:rPr>
          <w:rFonts w:asciiTheme="minorHAnsi" w:eastAsiaTheme="minorHAnsi" w:hAnsiTheme="minorHAnsi" w:cstheme="minorHAnsi"/>
        </w:rPr>
        <w:t xml:space="preserve"> v účetním období 2017 prokazatelně </w:t>
      </w:r>
      <w:r w:rsidRPr="00313C6C">
        <w:rPr>
          <w:rFonts w:asciiTheme="minorHAnsi" w:eastAsiaTheme="minorHAnsi" w:hAnsiTheme="minorHAnsi" w:cstheme="minorHAnsi"/>
          <w:b/>
        </w:rPr>
        <w:t>překročil výši obrat</w:t>
      </w:r>
      <w:r w:rsidR="00FC68E6" w:rsidRPr="00313C6C">
        <w:rPr>
          <w:rFonts w:asciiTheme="minorHAnsi" w:eastAsiaTheme="minorHAnsi" w:hAnsiTheme="minorHAnsi" w:cstheme="minorHAnsi"/>
          <w:b/>
        </w:rPr>
        <w:t>u</w:t>
      </w:r>
      <w:r w:rsidR="00FC68E6">
        <w:rPr>
          <w:rFonts w:asciiTheme="minorHAnsi" w:eastAsiaTheme="minorHAnsi" w:hAnsiTheme="minorHAnsi" w:cstheme="minorHAnsi"/>
        </w:rPr>
        <w:t xml:space="preserve"> uvedenou v § 6 odst. 1 zákona o DPH a měl povinnost dle § 94 odst. 1 tohoto zákona podat na místně příslušný finanční úřad přihlášku k registraci a stát se plátcem DPH</w:t>
      </w:r>
      <w:r w:rsidR="00FC68E6">
        <w:rPr>
          <w:rStyle w:val="Znakapoznpodarou"/>
          <w:rFonts w:asciiTheme="minorHAnsi" w:eastAsiaTheme="minorHAnsi" w:hAnsiTheme="minorHAnsi" w:cstheme="minorHAnsi"/>
        </w:rPr>
        <w:footnoteReference w:id="16"/>
      </w:r>
      <w:r w:rsidR="00FC68E6">
        <w:rPr>
          <w:rFonts w:asciiTheme="minorHAnsi" w:eastAsiaTheme="minorHAnsi" w:hAnsiTheme="minorHAnsi" w:cstheme="minorHAnsi"/>
        </w:rPr>
        <w:t xml:space="preserve">. </w:t>
      </w:r>
      <w:r w:rsidR="00A54105">
        <w:rPr>
          <w:rFonts w:asciiTheme="minorHAnsi" w:eastAsiaTheme="minorHAnsi" w:hAnsiTheme="minorHAnsi" w:cstheme="minorHAnsi"/>
        </w:rPr>
        <w:t xml:space="preserve">Vzhledem k tomu, že </w:t>
      </w:r>
      <w:r w:rsidR="00FC68E6" w:rsidRPr="00313C6C">
        <w:rPr>
          <w:rFonts w:asciiTheme="minorHAnsi" w:eastAsiaTheme="minorHAnsi" w:hAnsiTheme="minorHAnsi" w:cstheme="minorHAnsi"/>
          <w:b/>
        </w:rPr>
        <w:t>MS Praha</w:t>
      </w:r>
      <w:r w:rsidR="00FC68E6" w:rsidRPr="00FC68E6">
        <w:rPr>
          <w:rFonts w:asciiTheme="minorHAnsi" w:eastAsiaTheme="minorHAnsi" w:hAnsiTheme="minorHAnsi" w:cstheme="minorHAnsi"/>
        </w:rPr>
        <w:t xml:space="preserve"> tuto zákonnou povinnost nesplnil</w:t>
      </w:r>
      <w:r w:rsidR="00FC68E6">
        <w:rPr>
          <w:rFonts w:asciiTheme="minorHAnsi" w:eastAsiaTheme="minorHAnsi" w:hAnsiTheme="minorHAnsi" w:cstheme="minorHAnsi"/>
        </w:rPr>
        <w:t xml:space="preserve"> a </w:t>
      </w:r>
      <w:r w:rsidR="00FC68E6" w:rsidRPr="00313C6C">
        <w:rPr>
          <w:rFonts w:asciiTheme="minorHAnsi" w:eastAsiaTheme="minorHAnsi" w:hAnsiTheme="minorHAnsi" w:cstheme="minorHAnsi"/>
          <w:b/>
        </w:rPr>
        <w:t>přihlášku k registraci k DPH nepodal</w:t>
      </w:r>
      <w:r w:rsidR="00FC68E6" w:rsidRPr="00875E88">
        <w:rPr>
          <w:rFonts w:asciiTheme="minorHAnsi" w:eastAsiaTheme="minorHAnsi" w:hAnsiTheme="minorHAnsi" w:cstheme="minorHAnsi"/>
          <w:b/>
        </w:rPr>
        <w:t>,</w:t>
      </w:r>
      <w:r w:rsidR="00FC68E6">
        <w:rPr>
          <w:rFonts w:asciiTheme="minorHAnsi" w:eastAsiaTheme="minorHAnsi" w:hAnsiTheme="minorHAnsi" w:cstheme="minorHAnsi"/>
        </w:rPr>
        <w:t xml:space="preserve"> postupoval </w:t>
      </w:r>
      <w:r w:rsidR="00FC68E6" w:rsidRPr="00FC68E6">
        <w:rPr>
          <w:rFonts w:asciiTheme="minorHAnsi" w:eastAsiaTheme="minorHAnsi" w:hAnsiTheme="minorHAnsi" w:cstheme="minorHAnsi"/>
        </w:rPr>
        <w:t>v</w:t>
      </w:r>
      <w:r w:rsidR="004B0EBB">
        <w:rPr>
          <w:rFonts w:asciiTheme="minorHAnsi" w:eastAsiaTheme="minorHAnsi" w:hAnsiTheme="minorHAnsi" w:cstheme="minorHAnsi"/>
        </w:rPr>
        <w:t> </w:t>
      </w:r>
      <w:r w:rsidR="00FC68E6" w:rsidRPr="00FC68E6">
        <w:rPr>
          <w:rFonts w:asciiTheme="minorHAnsi" w:eastAsiaTheme="minorHAnsi" w:hAnsiTheme="minorHAnsi" w:cstheme="minorHAnsi"/>
        </w:rPr>
        <w:t>rozporu se zákonem o DPH.</w:t>
      </w:r>
      <w:r w:rsidR="00FC68E6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 </w:t>
      </w:r>
    </w:p>
    <w:p w14:paraId="2975D1AE" w14:textId="77777777" w:rsidR="000B1D9C" w:rsidRDefault="000B1D9C" w:rsidP="009002BF">
      <w:pPr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27F9C752" w14:textId="77777777" w:rsidR="00704EBD" w:rsidRPr="00704EBD" w:rsidRDefault="005A7D01" w:rsidP="00AD5072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4</w:t>
      </w:r>
      <w:r w:rsidR="00E529CB">
        <w:rPr>
          <w:rFonts w:asciiTheme="minorHAnsi" w:eastAsiaTheme="minorHAnsi" w:hAnsiTheme="minorHAnsi" w:cstheme="minorHAnsi"/>
          <w:b/>
        </w:rPr>
        <w:t>.4</w:t>
      </w:r>
      <w:r w:rsidR="00704EBD" w:rsidRPr="00704EBD">
        <w:rPr>
          <w:rFonts w:asciiTheme="minorHAnsi" w:eastAsiaTheme="minorHAnsi" w:hAnsiTheme="minorHAnsi" w:cstheme="minorHAnsi"/>
          <w:b/>
        </w:rPr>
        <w:t xml:space="preserve"> Daň z nemovitých věcí </w:t>
      </w:r>
    </w:p>
    <w:p w14:paraId="346056BA" w14:textId="77777777" w:rsidR="004D0554" w:rsidRDefault="004D0554" w:rsidP="00AD5072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14:paraId="6C995329" w14:textId="581A1D16" w:rsidR="00FC68E6" w:rsidRPr="009F0524" w:rsidRDefault="00FC68E6" w:rsidP="009002BF">
      <w:pPr>
        <w:spacing w:after="0"/>
        <w:jc w:val="both"/>
        <w:rPr>
          <w:rFonts w:asciiTheme="minorHAnsi" w:eastAsiaTheme="minorHAnsi" w:hAnsiTheme="minorHAnsi" w:cstheme="minorHAnsi"/>
        </w:rPr>
      </w:pPr>
      <w:r w:rsidRPr="00313C6C">
        <w:rPr>
          <w:rFonts w:asciiTheme="minorHAnsi" w:eastAsiaTheme="minorHAnsi" w:hAnsiTheme="minorHAnsi" w:cstheme="minorHAnsi"/>
          <w:b/>
        </w:rPr>
        <w:t>MS Praha pronajímal nebytové prostory k podnikání</w:t>
      </w:r>
      <w:r w:rsidRPr="00875E88">
        <w:rPr>
          <w:rFonts w:asciiTheme="minorHAnsi" w:eastAsiaTheme="minorHAnsi" w:hAnsiTheme="minorHAnsi" w:cstheme="minorHAnsi"/>
          <w:b/>
        </w:rPr>
        <w:t>.</w:t>
      </w:r>
      <w:r>
        <w:rPr>
          <w:rFonts w:asciiTheme="minorHAnsi" w:eastAsiaTheme="minorHAnsi" w:hAnsiTheme="minorHAnsi" w:cstheme="minorHAnsi"/>
        </w:rPr>
        <w:t xml:space="preserve"> Dle zákona o dani z nemovitých věcí </w:t>
      </w:r>
      <w:r w:rsidR="008C7E7F">
        <w:rPr>
          <w:rFonts w:asciiTheme="minorHAnsi" w:eastAsiaTheme="minorHAnsi" w:hAnsiTheme="minorHAnsi" w:cstheme="minorHAnsi"/>
        </w:rPr>
        <w:t xml:space="preserve">se tak na stavby, ve kterých se tyto nebytové prostory nacházely, nevztahovalo osvobození od daně ze staveb a jednotek. </w:t>
      </w:r>
      <w:r w:rsidR="008C7E7F" w:rsidRPr="00313C6C">
        <w:rPr>
          <w:rFonts w:asciiTheme="minorHAnsi" w:eastAsiaTheme="minorHAnsi" w:hAnsiTheme="minorHAnsi" w:cstheme="minorHAnsi"/>
          <w:b/>
        </w:rPr>
        <w:t xml:space="preserve">MS Praha nepodal </w:t>
      </w:r>
      <w:r w:rsidR="00027F01">
        <w:rPr>
          <w:rFonts w:asciiTheme="minorHAnsi" w:eastAsiaTheme="minorHAnsi" w:hAnsiTheme="minorHAnsi" w:cstheme="minorHAnsi"/>
          <w:b/>
        </w:rPr>
        <w:t xml:space="preserve">za roky 2016 a 2017 </w:t>
      </w:r>
      <w:r w:rsidR="008C7E7F" w:rsidRPr="00313C6C">
        <w:rPr>
          <w:rFonts w:asciiTheme="minorHAnsi" w:eastAsiaTheme="minorHAnsi" w:hAnsiTheme="minorHAnsi" w:cstheme="minorHAnsi"/>
          <w:b/>
        </w:rPr>
        <w:t>daňové přiznání k dani z</w:t>
      </w:r>
      <w:r w:rsidR="004B0EBB">
        <w:rPr>
          <w:rFonts w:asciiTheme="minorHAnsi" w:eastAsiaTheme="minorHAnsi" w:hAnsiTheme="minorHAnsi" w:cstheme="minorHAnsi"/>
          <w:b/>
        </w:rPr>
        <w:t> </w:t>
      </w:r>
      <w:r w:rsidR="008C7E7F" w:rsidRPr="00313C6C">
        <w:rPr>
          <w:rFonts w:asciiTheme="minorHAnsi" w:eastAsiaTheme="minorHAnsi" w:hAnsiTheme="minorHAnsi" w:cstheme="minorHAnsi"/>
          <w:b/>
        </w:rPr>
        <w:t>nemovitých věcí v řádném termínu</w:t>
      </w:r>
      <w:r w:rsidR="00666F8A">
        <w:rPr>
          <w:rFonts w:asciiTheme="minorHAnsi" w:eastAsiaTheme="minorHAnsi" w:hAnsiTheme="minorHAnsi" w:cstheme="minorHAnsi"/>
          <w:b/>
        </w:rPr>
        <w:t>,</w:t>
      </w:r>
      <w:r w:rsidR="008C7E7F" w:rsidRPr="008C7E7F">
        <w:rPr>
          <w:rFonts w:asciiTheme="minorHAnsi" w:eastAsiaTheme="minorHAnsi" w:hAnsiTheme="minorHAnsi" w:cstheme="minorHAnsi"/>
        </w:rPr>
        <w:t xml:space="preserve"> a postupoval tak v rozporu s</w:t>
      </w:r>
      <w:r w:rsidR="008C7E7F">
        <w:rPr>
          <w:rFonts w:asciiTheme="minorHAnsi" w:eastAsiaTheme="minorHAnsi" w:hAnsiTheme="minorHAnsi" w:cstheme="minorHAnsi"/>
        </w:rPr>
        <w:t xml:space="preserve"> ustanovením </w:t>
      </w:r>
      <w:r w:rsidR="008C7E7F" w:rsidRPr="008C7E7F">
        <w:rPr>
          <w:rFonts w:asciiTheme="minorHAnsi" w:eastAsiaTheme="minorHAnsi" w:hAnsiTheme="minorHAnsi" w:cstheme="minorHAnsi"/>
        </w:rPr>
        <w:t>§ 13a zákona o dani z nemovitých věcí. MS Praha byl v souladu s</w:t>
      </w:r>
      <w:r w:rsidR="008C7E7F">
        <w:rPr>
          <w:rFonts w:asciiTheme="minorHAnsi" w:eastAsiaTheme="minorHAnsi" w:hAnsiTheme="minorHAnsi" w:cstheme="minorHAnsi"/>
        </w:rPr>
        <w:t xml:space="preserve"> tímto ustanovením </w:t>
      </w:r>
      <w:r w:rsidR="008C7E7F" w:rsidRPr="008C7E7F">
        <w:rPr>
          <w:rFonts w:asciiTheme="minorHAnsi" w:eastAsiaTheme="minorHAnsi" w:hAnsiTheme="minorHAnsi" w:cstheme="minorHAnsi"/>
        </w:rPr>
        <w:t>povinen podat daňové přiznání příslušnému správci daně</w:t>
      </w:r>
      <w:r w:rsidR="00027F01">
        <w:rPr>
          <w:rFonts w:asciiTheme="minorHAnsi" w:eastAsiaTheme="minorHAnsi" w:hAnsiTheme="minorHAnsi" w:cstheme="minorHAnsi"/>
        </w:rPr>
        <w:t xml:space="preserve"> </w:t>
      </w:r>
      <w:r w:rsidR="008C7E7F" w:rsidRPr="008C7E7F">
        <w:rPr>
          <w:rFonts w:asciiTheme="minorHAnsi" w:eastAsiaTheme="minorHAnsi" w:hAnsiTheme="minorHAnsi" w:cstheme="minorHAnsi"/>
        </w:rPr>
        <w:t>do 31. ledna</w:t>
      </w:r>
      <w:r w:rsidR="00027F01">
        <w:rPr>
          <w:rFonts w:asciiTheme="minorHAnsi" w:eastAsiaTheme="minorHAnsi" w:hAnsiTheme="minorHAnsi" w:cstheme="minorHAnsi"/>
        </w:rPr>
        <w:t xml:space="preserve"> příslušného</w:t>
      </w:r>
      <w:r w:rsidR="008C7E7F" w:rsidRPr="008C7E7F">
        <w:rPr>
          <w:rFonts w:asciiTheme="minorHAnsi" w:eastAsiaTheme="minorHAnsi" w:hAnsiTheme="minorHAnsi" w:cstheme="minorHAnsi"/>
        </w:rPr>
        <w:t xml:space="preserve"> zdaňovacího období. MS Praha podal</w:t>
      </w:r>
      <w:r w:rsidR="00027F01">
        <w:rPr>
          <w:rFonts w:asciiTheme="minorHAnsi" w:eastAsiaTheme="minorHAnsi" w:hAnsiTheme="minorHAnsi" w:cstheme="minorHAnsi"/>
        </w:rPr>
        <w:t xml:space="preserve"> </w:t>
      </w:r>
      <w:r w:rsidR="008C7E7F" w:rsidRPr="008C7E7F">
        <w:rPr>
          <w:rFonts w:asciiTheme="minorHAnsi" w:eastAsiaTheme="minorHAnsi" w:hAnsiTheme="minorHAnsi" w:cstheme="minorHAnsi"/>
        </w:rPr>
        <w:t>dodatečná daňová přiznání k dani z nemovitých věcí za rok</w:t>
      </w:r>
      <w:r w:rsidR="00027F01">
        <w:rPr>
          <w:rFonts w:asciiTheme="minorHAnsi" w:eastAsiaTheme="minorHAnsi" w:hAnsiTheme="minorHAnsi" w:cstheme="minorHAnsi"/>
        </w:rPr>
        <w:t>y</w:t>
      </w:r>
      <w:r w:rsidR="008C7E7F" w:rsidRPr="008C7E7F">
        <w:rPr>
          <w:rFonts w:asciiTheme="minorHAnsi" w:eastAsiaTheme="minorHAnsi" w:hAnsiTheme="minorHAnsi" w:cstheme="minorHAnsi"/>
        </w:rPr>
        <w:t xml:space="preserve"> 2016</w:t>
      </w:r>
      <w:r w:rsidR="00027F01">
        <w:rPr>
          <w:rFonts w:asciiTheme="minorHAnsi" w:eastAsiaTheme="minorHAnsi" w:hAnsiTheme="minorHAnsi" w:cstheme="minorHAnsi"/>
        </w:rPr>
        <w:t xml:space="preserve"> a 2017 až </w:t>
      </w:r>
      <w:r w:rsidR="00C806FA">
        <w:rPr>
          <w:rFonts w:asciiTheme="minorHAnsi" w:eastAsiaTheme="minorHAnsi" w:hAnsiTheme="minorHAnsi" w:cstheme="minorHAnsi"/>
        </w:rPr>
        <w:t>v únoru</w:t>
      </w:r>
      <w:r w:rsidR="008C7E7F" w:rsidRPr="008C7E7F">
        <w:rPr>
          <w:rFonts w:asciiTheme="minorHAnsi" w:eastAsiaTheme="minorHAnsi" w:hAnsiTheme="minorHAnsi" w:cstheme="minorHAnsi"/>
        </w:rPr>
        <w:t xml:space="preserve"> 2018.</w:t>
      </w:r>
    </w:p>
    <w:p w14:paraId="51183C36" w14:textId="50DB4A33" w:rsidR="004B0EBB" w:rsidRPr="009F0524" w:rsidRDefault="004B0EBB" w:rsidP="009F0524">
      <w:pPr>
        <w:spacing w:after="0"/>
        <w:rPr>
          <w:rFonts w:asciiTheme="minorHAnsi" w:eastAsiaTheme="minorHAnsi" w:hAnsiTheme="minorHAnsi" w:cstheme="minorHAnsi"/>
          <w:highlight w:val="yellow"/>
        </w:rPr>
      </w:pPr>
    </w:p>
    <w:p w14:paraId="07BA5595" w14:textId="77777777" w:rsidR="009F0524" w:rsidRPr="009F0524" w:rsidRDefault="009F0524" w:rsidP="009F0524">
      <w:pPr>
        <w:spacing w:after="0"/>
        <w:rPr>
          <w:rFonts w:asciiTheme="minorHAnsi" w:eastAsiaTheme="minorHAnsi" w:hAnsiTheme="minorHAnsi" w:cstheme="minorHAnsi"/>
          <w:highlight w:val="yellow"/>
        </w:rPr>
      </w:pPr>
    </w:p>
    <w:p w14:paraId="29CAC83F" w14:textId="6B863DA7" w:rsidR="00112642" w:rsidRDefault="00A76586" w:rsidP="00666F8A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Seznam</w:t>
      </w:r>
      <w:r w:rsidR="00112642" w:rsidRPr="002F4E8A">
        <w:rPr>
          <w:rFonts w:asciiTheme="minorHAnsi" w:eastAsiaTheme="minorHAnsi" w:hAnsiTheme="minorHAnsi" w:cstheme="minorHAnsi"/>
          <w:b/>
        </w:rPr>
        <w:t xml:space="preserve"> zkrat</w:t>
      </w:r>
      <w:r>
        <w:rPr>
          <w:rFonts w:asciiTheme="minorHAnsi" w:eastAsiaTheme="minorHAnsi" w:hAnsiTheme="minorHAnsi" w:cstheme="minorHAnsi"/>
          <w:b/>
        </w:rPr>
        <w:t>e</w:t>
      </w:r>
      <w:r w:rsidR="00112642" w:rsidRPr="002F4E8A">
        <w:rPr>
          <w:rFonts w:asciiTheme="minorHAnsi" w:eastAsiaTheme="minorHAnsi" w:hAnsiTheme="minorHAnsi" w:cstheme="minorHAnsi"/>
          <w:b/>
        </w:rPr>
        <w:t>k</w:t>
      </w:r>
    </w:p>
    <w:p w14:paraId="5DDCFE95" w14:textId="77777777" w:rsidR="00666F8A" w:rsidRPr="00666F8A" w:rsidRDefault="00666F8A" w:rsidP="00666F8A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6370F08D" w14:textId="606406D6" w:rsidR="00313C6C" w:rsidRDefault="00313C6C" w:rsidP="00666F8A">
      <w:pPr>
        <w:tabs>
          <w:tab w:val="left" w:pos="2127"/>
          <w:tab w:val="left" w:pos="2552"/>
        </w:tabs>
        <w:spacing w:after="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DPH</w:t>
      </w:r>
      <w:r>
        <w:rPr>
          <w:rFonts w:asciiTheme="minorHAnsi" w:eastAsiaTheme="minorHAnsi" w:hAnsiTheme="minorHAnsi" w:cstheme="minorHAnsi"/>
        </w:rPr>
        <w:tab/>
        <w:t>daň z přidané hodnoty</w:t>
      </w:r>
    </w:p>
    <w:p w14:paraId="7EC93EFD" w14:textId="072ACDEA" w:rsidR="00313C6C" w:rsidRDefault="00313C6C" w:rsidP="00666F8A">
      <w:pPr>
        <w:tabs>
          <w:tab w:val="left" w:pos="2127"/>
          <w:tab w:val="left" w:pos="2552"/>
        </w:tabs>
        <w:spacing w:after="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MS</w:t>
      </w:r>
      <w:r w:rsidR="00FB2621">
        <w:rPr>
          <w:rFonts w:asciiTheme="minorHAnsi" w:eastAsiaTheme="minorHAnsi" w:hAnsiTheme="minorHAnsi" w:cstheme="minorHAnsi"/>
        </w:rPr>
        <w:t xml:space="preserve"> Praha</w:t>
      </w:r>
      <w:r>
        <w:rPr>
          <w:rFonts w:asciiTheme="minorHAnsi" w:eastAsiaTheme="minorHAnsi" w:hAnsiTheme="minorHAnsi" w:cstheme="minorHAnsi"/>
        </w:rPr>
        <w:tab/>
      </w:r>
      <w:r w:rsidR="00FB2621">
        <w:rPr>
          <w:rFonts w:asciiTheme="minorHAnsi" w:eastAsiaTheme="minorHAnsi" w:hAnsiTheme="minorHAnsi" w:cstheme="minorHAnsi"/>
        </w:rPr>
        <w:t>M</w:t>
      </w:r>
      <w:r>
        <w:rPr>
          <w:rFonts w:asciiTheme="minorHAnsi" w:eastAsiaTheme="minorHAnsi" w:hAnsiTheme="minorHAnsi" w:cstheme="minorHAnsi"/>
        </w:rPr>
        <w:t>ěstský soud</w:t>
      </w:r>
      <w:r w:rsidR="00FB2621">
        <w:rPr>
          <w:rFonts w:asciiTheme="minorHAnsi" w:eastAsiaTheme="minorHAnsi" w:hAnsiTheme="minorHAnsi" w:cstheme="minorHAnsi"/>
        </w:rPr>
        <w:t xml:space="preserve"> v Praze</w:t>
      </w:r>
    </w:p>
    <w:p w14:paraId="09827416" w14:textId="677A2964" w:rsidR="00112642" w:rsidRPr="002F4E8A" w:rsidRDefault="00112642" w:rsidP="00666F8A">
      <w:pPr>
        <w:tabs>
          <w:tab w:val="left" w:pos="2127"/>
          <w:tab w:val="left" w:pos="2552"/>
        </w:tabs>
        <w:spacing w:after="0" w:line="276" w:lineRule="auto"/>
        <w:rPr>
          <w:rFonts w:asciiTheme="minorHAnsi" w:eastAsiaTheme="minorHAnsi" w:hAnsiTheme="minorHAnsi" w:cstheme="minorHAnsi"/>
        </w:rPr>
      </w:pPr>
      <w:r w:rsidRPr="002F4E8A">
        <w:rPr>
          <w:rFonts w:asciiTheme="minorHAnsi" w:eastAsiaTheme="minorHAnsi" w:hAnsiTheme="minorHAnsi" w:cstheme="minorHAnsi"/>
        </w:rPr>
        <w:t>NKÚ</w:t>
      </w:r>
      <w:r w:rsidRPr="002F4E8A">
        <w:rPr>
          <w:rFonts w:asciiTheme="minorHAnsi" w:eastAsiaTheme="minorHAnsi" w:hAnsiTheme="minorHAnsi" w:cstheme="minorHAnsi"/>
        </w:rPr>
        <w:tab/>
        <w:t>Nejvyšší kontrolní úřad</w:t>
      </w:r>
    </w:p>
    <w:p w14:paraId="6CAC335A" w14:textId="7B4D0B55" w:rsidR="00112642" w:rsidRPr="002F4E8A" w:rsidRDefault="00112642" w:rsidP="00666F8A">
      <w:pPr>
        <w:tabs>
          <w:tab w:val="left" w:pos="2127"/>
          <w:tab w:val="left" w:pos="2552"/>
        </w:tabs>
        <w:spacing w:after="0" w:line="276" w:lineRule="auto"/>
        <w:rPr>
          <w:rFonts w:asciiTheme="minorHAnsi" w:eastAsiaTheme="minorHAnsi" w:hAnsiTheme="minorHAnsi" w:cstheme="minorHAnsi"/>
        </w:rPr>
      </w:pPr>
      <w:r w:rsidRPr="002F4E8A">
        <w:rPr>
          <w:rFonts w:asciiTheme="minorHAnsi" w:eastAsiaTheme="minorHAnsi" w:hAnsiTheme="minorHAnsi" w:cstheme="minorHAnsi"/>
        </w:rPr>
        <w:t>OSS</w:t>
      </w:r>
      <w:r w:rsidRPr="002F4E8A">
        <w:rPr>
          <w:rFonts w:asciiTheme="minorHAnsi" w:eastAsiaTheme="minorHAnsi" w:hAnsiTheme="minorHAnsi" w:cstheme="minorHAnsi"/>
        </w:rPr>
        <w:tab/>
        <w:t>organizační složka/y státu</w:t>
      </w:r>
    </w:p>
    <w:p w14:paraId="253AE8DA" w14:textId="7A8ACCAF" w:rsidR="00112642" w:rsidRPr="00C05582" w:rsidRDefault="00112642" w:rsidP="00666F8A">
      <w:pPr>
        <w:tabs>
          <w:tab w:val="left" w:pos="2127"/>
          <w:tab w:val="left" w:pos="2552"/>
        </w:tabs>
        <w:spacing w:after="0" w:line="276" w:lineRule="auto"/>
        <w:rPr>
          <w:rFonts w:asciiTheme="minorHAnsi" w:eastAsiaTheme="minorHAnsi" w:hAnsiTheme="minorHAnsi" w:cstheme="minorHAnsi"/>
        </w:rPr>
      </w:pPr>
      <w:r w:rsidRPr="002F4E8A">
        <w:rPr>
          <w:rFonts w:asciiTheme="minorHAnsi" w:eastAsiaTheme="minorHAnsi" w:hAnsiTheme="minorHAnsi" w:cstheme="minorHAnsi"/>
        </w:rPr>
        <w:t>ÚZ</w:t>
      </w:r>
      <w:r w:rsidRPr="002F4E8A">
        <w:rPr>
          <w:rFonts w:asciiTheme="minorHAnsi" w:eastAsiaTheme="minorHAnsi" w:hAnsiTheme="minorHAnsi" w:cstheme="minorHAnsi"/>
        </w:rPr>
        <w:tab/>
        <w:t>účetní závěrka</w:t>
      </w:r>
      <w:r w:rsidR="000B169C" w:rsidRPr="002F4E8A">
        <w:rPr>
          <w:rFonts w:asciiTheme="minorHAnsi" w:eastAsiaTheme="minorHAnsi" w:hAnsiTheme="minorHAnsi" w:cstheme="minorHAnsi"/>
        </w:rPr>
        <w:t xml:space="preserve"> M</w:t>
      </w:r>
      <w:r w:rsidR="002F4E8A" w:rsidRPr="002F4E8A">
        <w:rPr>
          <w:rFonts w:asciiTheme="minorHAnsi" w:eastAsiaTheme="minorHAnsi" w:hAnsiTheme="minorHAnsi" w:cstheme="minorHAnsi"/>
        </w:rPr>
        <w:t>S Praha</w:t>
      </w:r>
      <w:r w:rsidR="00C05582" w:rsidRPr="002F4E8A">
        <w:rPr>
          <w:rFonts w:asciiTheme="minorHAnsi" w:eastAsiaTheme="minorHAnsi" w:hAnsiTheme="minorHAnsi" w:cstheme="minorHAnsi"/>
        </w:rPr>
        <w:t xml:space="preserve"> sestavená k 31. prosinci 2017</w:t>
      </w:r>
    </w:p>
    <w:p w14:paraId="6003AF10" w14:textId="442E82A5" w:rsidR="0033466E" w:rsidRPr="00313C6C" w:rsidRDefault="00313C6C" w:rsidP="00666F8A">
      <w:pPr>
        <w:tabs>
          <w:tab w:val="left" w:pos="2127"/>
          <w:tab w:val="left" w:pos="2552"/>
        </w:tabs>
        <w:spacing w:after="0" w:line="276" w:lineRule="auto"/>
        <w:rPr>
          <w:rFonts w:asciiTheme="minorHAnsi" w:eastAsiaTheme="minorHAnsi" w:hAnsiTheme="minorHAnsi" w:cstheme="minorHAnsi"/>
        </w:rPr>
      </w:pPr>
      <w:r w:rsidRPr="00313C6C">
        <w:rPr>
          <w:rFonts w:asciiTheme="minorHAnsi" w:eastAsiaTheme="minorHAnsi" w:hAnsiTheme="minorHAnsi" w:cstheme="minorHAnsi"/>
        </w:rPr>
        <w:t>ÚZSVM</w:t>
      </w:r>
      <w:r w:rsidRPr="00313C6C"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>Úřad pro zastupo</w:t>
      </w:r>
      <w:r w:rsidR="00FB2621">
        <w:rPr>
          <w:rFonts w:asciiTheme="minorHAnsi" w:eastAsiaTheme="minorHAnsi" w:hAnsiTheme="minorHAnsi" w:cstheme="minorHAnsi"/>
        </w:rPr>
        <w:t>vání státu ve věcech majetkových</w:t>
      </w:r>
    </w:p>
    <w:sectPr w:rsidR="0033466E" w:rsidRPr="00313C6C" w:rsidSect="003346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18F79" w14:textId="77777777" w:rsidR="00875E88" w:rsidRDefault="00875E88" w:rsidP="002B7978">
      <w:pPr>
        <w:spacing w:after="0"/>
      </w:pPr>
      <w:r>
        <w:separator/>
      </w:r>
    </w:p>
  </w:endnote>
  <w:endnote w:type="continuationSeparator" w:id="0">
    <w:p w14:paraId="6A6CA1AF" w14:textId="77777777" w:rsidR="00875E88" w:rsidRDefault="00875E88" w:rsidP="002B79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C5B3D" w14:textId="77777777" w:rsidR="00DB3443" w:rsidRDefault="00DB34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927037"/>
      <w:docPartObj>
        <w:docPartGallery w:val="Page Numbers (Bottom of Page)"/>
        <w:docPartUnique/>
      </w:docPartObj>
    </w:sdtPr>
    <w:sdtEndPr/>
    <w:sdtContent>
      <w:p w14:paraId="7732124A" w14:textId="1BF455B4" w:rsidR="00875E88" w:rsidRDefault="00875E88" w:rsidP="00BA08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A44">
          <w:rPr>
            <w:noProof/>
          </w:rPr>
          <w:t>15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08A67" w14:textId="77777777" w:rsidR="00DB3443" w:rsidRDefault="00DB34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E2491" w14:textId="77777777" w:rsidR="00875E88" w:rsidRDefault="00875E88" w:rsidP="002B7978">
      <w:pPr>
        <w:spacing w:after="0"/>
      </w:pPr>
      <w:r>
        <w:separator/>
      </w:r>
    </w:p>
  </w:footnote>
  <w:footnote w:type="continuationSeparator" w:id="0">
    <w:p w14:paraId="5E74B01C" w14:textId="77777777" w:rsidR="00875E88" w:rsidRDefault="00875E88" w:rsidP="002B7978">
      <w:pPr>
        <w:spacing w:after="0"/>
      </w:pPr>
      <w:r>
        <w:continuationSeparator/>
      </w:r>
    </w:p>
  </w:footnote>
  <w:footnote w:id="1">
    <w:p w14:paraId="6A7A087D" w14:textId="77777777" w:rsidR="00875E88" w:rsidRDefault="00875E88" w:rsidP="00AD5072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Významnost byla stanovena ve výši 2 % z celkových nákladů, které byly vykázány ve výši 1 041 mil. Kč.</w:t>
      </w:r>
    </w:p>
  </w:footnote>
  <w:footnote w:id="2">
    <w:p w14:paraId="42F772C5" w14:textId="6D783555" w:rsidR="00875E88" w:rsidRPr="007B2E2B" w:rsidRDefault="00875E88" w:rsidP="004B0EBB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7B2E2B">
        <w:rPr>
          <w:rStyle w:val="Znakapoznpodarou"/>
          <w:rFonts w:asciiTheme="minorHAnsi" w:hAnsiTheme="minorHAnsi"/>
        </w:rPr>
        <w:footnoteRef/>
      </w:r>
      <w:r w:rsidRPr="007B2E2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7B2E2B">
        <w:rPr>
          <w:rFonts w:asciiTheme="minorHAnsi" w:hAnsiTheme="minorHAnsi"/>
        </w:rPr>
        <w:t>Z částky 43,8 mil. Kč je 42,6 mil.</w:t>
      </w:r>
      <w:r>
        <w:rPr>
          <w:rFonts w:asciiTheme="minorHAnsi" w:hAnsiTheme="minorHAnsi"/>
        </w:rPr>
        <w:t> Kč</w:t>
      </w:r>
      <w:r w:rsidRPr="007B2E2B">
        <w:rPr>
          <w:rFonts w:asciiTheme="minorHAnsi" w:hAnsiTheme="minorHAnsi"/>
        </w:rPr>
        <w:t xml:space="preserve"> tvořeno podhodnocením zůstatku účtu 389 – </w:t>
      </w:r>
      <w:r w:rsidRPr="007B2E2B">
        <w:rPr>
          <w:rFonts w:asciiTheme="minorHAnsi" w:hAnsiTheme="minorHAnsi"/>
          <w:i/>
        </w:rPr>
        <w:t>Dohadné účty pasivní</w:t>
      </w:r>
      <w:r w:rsidRPr="007B2E2B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> </w:t>
      </w:r>
      <w:r w:rsidRPr="007B2E2B">
        <w:rPr>
          <w:rFonts w:asciiTheme="minorHAnsi" w:hAnsiTheme="minorHAnsi"/>
        </w:rPr>
        <w:t>souvisejících nákladů, resp. nadhodnocením výsledků hospodaření. Částk</w:t>
      </w:r>
      <w:r>
        <w:rPr>
          <w:rFonts w:asciiTheme="minorHAnsi" w:hAnsiTheme="minorHAnsi"/>
        </w:rPr>
        <w:t>u</w:t>
      </w:r>
      <w:r w:rsidRPr="007B2E2B">
        <w:rPr>
          <w:rFonts w:asciiTheme="minorHAnsi" w:hAnsiTheme="minorHAnsi"/>
        </w:rPr>
        <w:t xml:space="preserve"> 42,6 mil. Kč NKÚ vyčísl</w:t>
      </w:r>
      <w:r>
        <w:rPr>
          <w:rFonts w:asciiTheme="minorHAnsi" w:hAnsiTheme="minorHAnsi"/>
        </w:rPr>
        <w:t>il</w:t>
      </w:r>
      <w:r w:rsidRPr="007B2E2B">
        <w:rPr>
          <w:rFonts w:asciiTheme="minorHAnsi" w:hAnsiTheme="minorHAnsi"/>
        </w:rPr>
        <w:t xml:space="preserve"> jako minimální, neboť vychází pouze z nevyúčtovaných záloh poskytnutých </w:t>
      </w:r>
      <w:r>
        <w:rPr>
          <w:rFonts w:asciiTheme="minorHAnsi" w:hAnsiTheme="minorHAnsi"/>
        </w:rPr>
        <w:t xml:space="preserve">osobám zúčastněným na </w:t>
      </w:r>
      <w:r w:rsidRPr="007B2E2B">
        <w:rPr>
          <w:rFonts w:asciiTheme="minorHAnsi" w:hAnsiTheme="minorHAnsi"/>
        </w:rPr>
        <w:t>soudní</w:t>
      </w:r>
      <w:r>
        <w:rPr>
          <w:rFonts w:asciiTheme="minorHAnsi" w:hAnsiTheme="minorHAnsi"/>
        </w:rPr>
        <w:t>m</w:t>
      </w:r>
      <w:r w:rsidRPr="007B2E2B">
        <w:rPr>
          <w:rFonts w:asciiTheme="minorHAnsi" w:hAnsiTheme="minorHAnsi"/>
        </w:rPr>
        <w:t xml:space="preserve"> řízení, kte</w:t>
      </w:r>
      <w:r>
        <w:rPr>
          <w:rFonts w:asciiTheme="minorHAnsi" w:hAnsiTheme="minorHAnsi"/>
        </w:rPr>
        <w:t>ré</w:t>
      </w:r>
      <w:r w:rsidRPr="007B2E2B">
        <w:rPr>
          <w:rFonts w:asciiTheme="minorHAnsi" w:hAnsiTheme="minorHAnsi"/>
        </w:rPr>
        <w:t xml:space="preserve"> pro MS Praha vykonával</w:t>
      </w:r>
      <w:r>
        <w:rPr>
          <w:rFonts w:asciiTheme="minorHAnsi" w:hAnsiTheme="minorHAnsi"/>
        </w:rPr>
        <w:t>y</w:t>
      </w:r>
      <w:r w:rsidRPr="007B2E2B">
        <w:rPr>
          <w:rFonts w:asciiTheme="minorHAnsi" w:hAnsiTheme="minorHAnsi"/>
        </w:rPr>
        <w:t xml:space="preserve"> nějakou činnost.</w:t>
      </w:r>
    </w:p>
  </w:footnote>
  <w:footnote w:id="3">
    <w:p w14:paraId="29FACF1A" w14:textId="567B387E" w:rsidR="00875E88" w:rsidRPr="008750AD" w:rsidRDefault="00875E88" w:rsidP="008750AD">
      <w:pPr>
        <w:pStyle w:val="Textpoznpodarou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8750AD">
        <w:rPr>
          <w:rStyle w:val="Znakapoznpodarou"/>
          <w:rFonts w:ascii="Calibri" w:hAnsi="Calibri" w:cs="Calibri"/>
        </w:rPr>
        <w:footnoteRef/>
      </w:r>
      <w:r w:rsidRPr="008750AD">
        <w:rPr>
          <w:rFonts w:ascii="Calibri" w:hAnsi="Calibri" w:cs="Calibri"/>
        </w:rPr>
        <w:t xml:space="preserve"> </w:t>
      </w:r>
      <w:r w:rsidRPr="008750AD">
        <w:rPr>
          <w:rFonts w:ascii="Calibri" w:hAnsi="Calibri" w:cs="Calibri"/>
        </w:rPr>
        <w:tab/>
        <w:t>Částka podhodnocení podmíněných pohledávek a podmíněných závazků z rozhodovací činnosti MS Praha představuje výpočet NKÚ založený na skutečné výši předepsaných pohledávek a závazků z rozhodovací činnosti soudu za předchozí tři účetní období a vycházející z předpokladu neměnnosti věcných a legislativních podmínek majících vztah na rozhodovací činnost MS Praha.</w:t>
      </w:r>
      <w:r w:rsidRPr="008750AD">
        <w:rPr>
          <w:rFonts w:ascii="Calibri" w:hAnsi="Calibri" w:cs="Calibri"/>
          <w:sz w:val="16"/>
          <w:szCs w:val="16"/>
        </w:rPr>
        <w:t xml:space="preserve"> </w:t>
      </w:r>
    </w:p>
  </w:footnote>
  <w:footnote w:id="4">
    <w:p w14:paraId="15E7E2A1" w14:textId="0505625C" w:rsidR="00875E88" w:rsidRPr="008750AD" w:rsidRDefault="00875E88" w:rsidP="008750AD">
      <w:pPr>
        <w:spacing w:after="0"/>
        <w:ind w:left="284" w:hanging="284"/>
        <w:jc w:val="both"/>
        <w:rPr>
          <w:rFonts w:cs="Calibri"/>
          <w:szCs w:val="18"/>
        </w:rPr>
      </w:pPr>
      <w:r w:rsidRPr="008750AD">
        <w:rPr>
          <w:rStyle w:val="Znakapoznpodarou"/>
          <w:rFonts w:cs="Calibri"/>
          <w:sz w:val="20"/>
          <w:szCs w:val="18"/>
        </w:rPr>
        <w:footnoteRef/>
      </w:r>
      <w:r w:rsidRPr="008750AD">
        <w:rPr>
          <w:rFonts w:cs="Calibri"/>
          <w:sz w:val="20"/>
          <w:szCs w:val="18"/>
        </w:rPr>
        <w:t xml:space="preserve"> </w:t>
      </w:r>
      <w:r w:rsidRPr="008750AD">
        <w:rPr>
          <w:rFonts w:cs="Calibri"/>
          <w:sz w:val="20"/>
          <w:szCs w:val="18"/>
        </w:rPr>
        <w:tab/>
        <w:t>Vedení účetnictví</w:t>
      </w:r>
      <w:r>
        <w:rPr>
          <w:rFonts w:cs="Calibri"/>
          <w:sz w:val="20"/>
          <w:szCs w:val="18"/>
        </w:rPr>
        <w:t xml:space="preserve"> bylo</w:t>
      </w:r>
      <w:r w:rsidRPr="008750AD">
        <w:rPr>
          <w:rFonts w:cs="Calibri"/>
          <w:sz w:val="20"/>
          <w:szCs w:val="18"/>
        </w:rPr>
        <w:t xml:space="preserve"> v rozporu s ustanovením § 7 odst. 1 zákona o účetnictví, které požaduje, aby účetnictví bylo vedeno takovým způsobem, aby účetní závěrka sestavená na jeho základě podávala věrný a poctivý obraz předmětu účetnictví a finanční situace účetní jednotky, je dle ustanovení § 37a odst. 1 písm. f) tohoto zákona přestupkem.</w:t>
      </w:r>
    </w:p>
  </w:footnote>
  <w:footnote w:id="5">
    <w:p w14:paraId="7BEDE738" w14:textId="0129E9C0" w:rsidR="00875E88" w:rsidRPr="008750AD" w:rsidRDefault="00875E88" w:rsidP="008750AD">
      <w:pPr>
        <w:pStyle w:val="Textpoznpodarou"/>
        <w:ind w:left="284" w:hanging="284"/>
        <w:jc w:val="both"/>
        <w:rPr>
          <w:rFonts w:ascii="Calibri" w:hAnsi="Calibri" w:cs="Calibri"/>
          <w:szCs w:val="18"/>
        </w:rPr>
      </w:pPr>
      <w:r w:rsidRPr="008750AD">
        <w:rPr>
          <w:rStyle w:val="Znakapoznpodarou"/>
          <w:rFonts w:ascii="Calibri" w:hAnsi="Calibri" w:cs="Calibri"/>
          <w:szCs w:val="18"/>
        </w:rPr>
        <w:footnoteRef/>
      </w:r>
      <w:r w:rsidRPr="008750AD">
        <w:rPr>
          <w:rFonts w:ascii="Calibri" w:hAnsi="Calibri" w:cs="Calibri"/>
          <w:szCs w:val="18"/>
        </w:rPr>
        <w:t xml:space="preserve"> </w:t>
      </w:r>
      <w:r w:rsidRPr="008750AD">
        <w:rPr>
          <w:rFonts w:ascii="Calibri" w:hAnsi="Calibri" w:cs="Calibri"/>
          <w:szCs w:val="18"/>
        </w:rPr>
        <w:tab/>
        <w:t>Hladina významnosti reprezentuje hodnotu rozsahu nesprávností v účetní závěrce, jejichž překročení by již mohlo ovlivnit přiměřeně znalého uživatele. Při stanovení hladiny významnosti postupuje NKÚ v souladu s mezinárodními standardy nejvyšších kontrolních institucí (ISSAI) pro finanční audit a kontrolními standardy NKÚ.</w:t>
      </w:r>
    </w:p>
  </w:footnote>
  <w:footnote w:id="6">
    <w:p w14:paraId="70CC3A0A" w14:textId="60B63DC0" w:rsidR="00875E88" w:rsidRPr="002150DC" w:rsidRDefault="00875E88" w:rsidP="008750AD">
      <w:pPr>
        <w:pStyle w:val="Textpoznpodarou"/>
        <w:ind w:left="284" w:hanging="284"/>
        <w:rPr>
          <w:rFonts w:ascii="Calibri" w:hAnsi="Calibri" w:cs="Calibri"/>
        </w:rPr>
      </w:pPr>
      <w:r w:rsidRPr="008750AD">
        <w:rPr>
          <w:rStyle w:val="Znakapoznpodarou"/>
          <w:rFonts w:ascii="Calibri" w:hAnsi="Calibri" w:cs="Calibri"/>
          <w:szCs w:val="18"/>
        </w:rPr>
        <w:footnoteRef/>
      </w:r>
      <w:r w:rsidRPr="008750AD">
        <w:rPr>
          <w:rFonts w:ascii="Calibri" w:hAnsi="Calibri" w:cs="Calibri"/>
          <w:szCs w:val="18"/>
        </w:rPr>
        <w:t xml:space="preserve"> </w:t>
      </w:r>
      <w:r w:rsidRPr="008750AD"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color w:val="000000" w:themeColor="text1"/>
          <w:szCs w:val="18"/>
        </w:rPr>
        <w:t xml:space="preserve">Viz </w:t>
      </w:r>
      <w:hyperlink r:id="rId1" w:history="1">
        <w:r w:rsidRPr="008750AD">
          <w:rPr>
            <w:rStyle w:val="Hypertextovodkaz"/>
            <w:rFonts w:ascii="Calibri" w:hAnsi="Calibri" w:cs="Calibri"/>
            <w:szCs w:val="18"/>
          </w:rPr>
          <w:t>http://monitor.statnipokladna.cz/2017/statni-rozpocet/oss-sf/00215660</w:t>
        </w:r>
      </w:hyperlink>
      <w:r w:rsidRPr="00875E88">
        <w:rPr>
          <w:rStyle w:val="Hypertextovodkaz"/>
          <w:rFonts w:ascii="Calibri" w:hAnsi="Calibri" w:cs="Calibri"/>
          <w:color w:val="000000" w:themeColor="text1"/>
          <w:szCs w:val="18"/>
          <w:u w:val="none"/>
        </w:rPr>
        <w:t>.</w:t>
      </w:r>
    </w:p>
  </w:footnote>
  <w:footnote w:id="7">
    <w:p w14:paraId="65DB84A5" w14:textId="26265D36" w:rsidR="00875E88" w:rsidRDefault="00875E88" w:rsidP="009F0524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 w:rsidRPr="007333D3">
        <w:rPr>
          <w:rStyle w:val="Znakapoznpodarou"/>
          <w:rFonts w:asciiTheme="minorHAnsi" w:hAnsiTheme="minorHAnsi" w:cstheme="minorHAnsi"/>
        </w:rPr>
        <w:footnoteRef/>
      </w:r>
      <w:r w:rsidRPr="007333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333D3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nízkou účinnost procesu schvalování účetních závěrek i u jiných kontrolovaných osob, ve vztahu ke spolehlivosti informací účetních závěrek,</w:t>
      </w:r>
      <w:r w:rsidRPr="007333D3">
        <w:rPr>
          <w:rFonts w:asciiTheme="minorHAnsi" w:hAnsiTheme="minorHAnsi" w:cstheme="minorHAnsi"/>
        </w:rPr>
        <w:t xml:space="preserve"> upozornil NKÚ i v kontrolním závěru z kontrolní akce č. 17/36</w:t>
      </w:r>
      <w:r>
        <w:rPr>
          <w:rFonts w:asciiTheme="minorHAnsi" w:hAnsiTheme="minorHAnsi" w:cstheme="minorHAnsi"/>
        </w:rPr>
        <w:t xml:space="preserve"> – </w:t>
      </w:r>
      <w:r w:rsidRPr="00875E88">
        <w:rPr>
          <w:rFonts w:asciiTheme="minorHAnsi" w:hAnsiTheme="minorHAnsi" w:cstheme="minorHAnsi"/>
          <w:i/>
        </w:rPr>
        <w:t>Účetní reforma v oblasti veřejných financí</w:t>
      </w:r>
      <w:r>
        <w:rPr>
          <w:rFonts w:asciiTheme="minorHAnsi" w:hAnsiTheme="minorHAnsi" w:cstheme="minorHAnsi"/>
        </w:rPr>
        <w:t xml:space="preserve"> </w:t>
      </w:r>
      <w:r w:rsidRPr="007333D3">
        <w:rPr>
          <w:rFonts w:asciiTheme="minorHAnsi" w:hAnsiTheme="minorHAnsi" w:cstheme="minorHAnsi"/>
        </w:rPr>
        <w:t xml:space="preserve">(kontrolní závěr byl zveřejněn v částce 6/2018 </w:t>
      </w:r>
      <w:r w:rsidRPr="00875E88">
        <w:rPr>
          <w:rFonts w:asciiTheme="minorHAnsi" w:hAnsiTheme="minorHAnsi" w:cstheme="minorHAnsi"/>
          <w:i/>
        </w:rPr>
        <w:t>Věstníku NKÚ</w:t>
      </w:r>
      <w:r w:rsidRPr="007333D3">
        <w:rPr>
          <w:rFonts w:asciiTheme="minorHAnsi" w:hAnsiTheme="minorHAnsi" w:cstheme="minorHAnsi"/>
        </w:rPr>
        <w:t xml:space="preserve">), kde mj. </w:t>
      </w:r>
      <w:r>
        <w:rPr>
          <w:rFonts w:asciiTheme="minorHAnsi" w:hAnsiTheme="minorHAnsi" w:cstheme="minorHAnsi"/>
        </w:rPr>
        <w:t>konstatoval</w:t>
      </w:r>
      <w:r w:rsidRPr="007333D3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„</w:t>
      </w:r>
      <w:r w:rsidRPr="007333D3">
        <w:rPr>
          <w:rFonts w:asciiTheme="minorHAnsi" w:hAnsiTheme="minorHAnsi" w:cstheme="minorHAnsi"/>
          <w:i/>
        </w:rPr>
        <w:t xml:space="preserve">Z jedenácti případů, ve kterých NKÚ v rámci kontrolních akcí typu finanční audit prováděných u </w:t>
      </w:r>
      <w:proofErr w:type="gramStart"/>
      <w:r w:rsidRPr="007333D3">
        <w:rPr>
          <w:rFonts w:asciiTheme="minorHAnsi" w:hAnsiTheme="minorHAnsi" w:cstheme="minorHAnsi"/>
          <w:i/>
        </w:rPr>
        <w:t>OSS</w:t>
      </w:r>
      <w:proofErr w:type="gramEnd"/>
      <w:r w:rsidRPr="007333D3">
        <w:rPr>
          <w:rFonts w:asciiTheme="minorHAnsi" w:hAnsiTheme="minorHAnsi" w:cstheme="minorHAnsi"/>
          <w:i/>
        </w:rPr>
        <w:t xml:space="preserve"> k ověřované účetní závěrce vydal stanovisko, ve dvou případech účetní závěrka podávala věrný a poctivý obraz předmětu účetnictví a finanční situace účetní jednotky. Ve čtyřech případech vydal NKÚ stanovisko ke spolehlivosti účetní závěrky s výhradou. V dalších čtyřech kontrolních akcích NKÚ konstatoval, že účetní závěrka nepodává věrný a poctivý obraz předmětu účetnictví a finanční situace účetní jednotky. V</w:t>
      </w:r>
      <w:r>
        <w:rPr>
          <w:rFonts w:asciiTheme="minorHAnsi" w:hAnsiTheme="minorHAnsi" w:cstheme="minorHAnsi"/>
          <w:i/>
        </w:rPr>
        <w:t> </w:t>
      </w:r>
      <w:r w:rsidRPr="007333D3">
        <w:rPr>
          <w:rFonts w:asciiTheme="minorHAnsi" w:hAnsiTheme="minorHAnsi" w:cstheme="minorHAnsi"/>
          <w:i/>
        </w:rPr>
        <w:t>jednom případě se NKÚ ke spolehlivosti účetní závěrky nevyjádřil z důvodu neprůkaznosti účetnictví.</w:t>
      </w:r>
    </w:p>
    <w:p w14:paraId="317CA740" w14:textId="34AC06BB" w:rsidR="00875E88" w:rsidRPr="00472450" w:rsidRDefault="00875E88" w:rsidP="009F0524">
      <w:pPr>
        <w:pStyle w:val="Textpoznpodarou"/>
        <w:ind w:left="284" w:hanging="284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i/>
        </w:rPr>
        <w:tab/>
      </w:r>
      <w:r w:rsidRPr="007333D3">
        <w:rPr>
          <w:rFonts w:asciiTheme="minorHAnsi" w:hAnsiTheme="minorHAnsi" w:cstheme="minorHAnsi"/>
          <w:i/>
        </w:rPr>
        <w:t xml:space="preserve">NKÚ v rámci kontrolních akcí typu finanční audit prováděných u </w:t>
      </w:r>
      <w:proofErr w:type="gramStart"/>
      <w:r w:rsidRPr="007333D3">
        <w:rPr>
          <w:rFonts w:asciiTheme="minorHAnsi" w:hAnsiTheme="minorHAnsi" w:cstheme="minorHAnsi"/>
          <w:i/>
        </w:rPr>
        <w:t>OSS</w:t>
      </w:r>
      <w:proofErr w:type="gramEnd"/>
      <w:r w:rsidRPr="007333D3">
        <w:rPr>
          <w:rFonts w:asciiTheme="minorHAnsi" w:hAnsiTheme="minorHAnsi" w:cstheme="minorHAnsi"/>
          <w:i/>
        </w:rPr>
        <w:t xml:space="preserve"> a zaměřených na kontrolovaná období let 2012 až 2016 zjistil, že schvalovací orgány schválily dle vyhlášky č. 220/2013 Sb., o požadavcích na schvalování účetních závěrek některých vybraných účetních jednotek (dále také „vyhláška č. 220/2013 Sb.“), i</w:t>
      </w:r>
      <w:r>
        <w:rPr>
          <w:rFonts w:asciiTheme="minorHAnsi" w:hAnsiTheme="minorHAnsi" w:cstheme="minorHAnsi"/>
          <w:i/>
        </w:rPr>
        <w:t> </w:t>
      </w:r>
      <w:r w:rsidRPr="007333D3">
        <w:rPr>
          <w:rFonts w:asciiTheme="minorHAnsi" w:hAnsiTheme="minorHAnsi" w:cstheme="minorHAnsi"/>
          <w:i/>
        </w:rPr>
        <w:t xml:space="preserve">takové účetní závěrky, které dle zjištění NKÚ nepodávaly věrný a poctivý obraz předmětu účetnictví a finanční situace účetní jednotky či jej podávaly s výhradou některých významných skutečností. </w:t>
      </w:r>
      <w:r w:rsidRPr="00472450">
        <w:rPr>
          <w:rFonts w:asciiTheme="minorHAnsi" w:hAnsiTheme="minorHAnsi" w:cstheme="minorHAnsi"/>
          <w:b/>
          <w:i/>
        </w:rPr>
        <w:t>Validační procesy realizované dle vyhlášky č. 220/2013 Sb. tak nezajišťují, aby účetní závěrky byly v požadované kvalitě dle účetních předpisů.</w:t>
      </w:r>
    </w:p>
    <w:p w14:paraId="16291F04" w14:textId="61029AAF" w:rsidR="00875E88" w:rsidRPr="007333D3" w:rsidRDefault="00875E88" w:rsidP="009F05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ab/>
      </w:r>
      <w:r w:rsidRPr="007333D3">
        <w:rPr>
          <w:rFonts w:asciiTheme="minorHAnsi" w:hAnsiTheme="minorHAnsi" w:cstheme="minorHAnsi"/>
          <w:i/>
        </w:rPr>
        <w:t>Z kontrol NKÚ typu finanční audit dále vyplývá, že u kontrolovaných osob, u kterých jsou kontroly typu finanční audit prováděny opakovaně, v řadě případů dochází ke snížení chybovosti vykazovaných údajů. Je proto možné konstatovat, že systematicky opakované kontroly přispívají k vyšší spolehlivosti vykazovaných údajů.</w:t>
      </w:r>
      <w:r>
        <w:rPr>
          <w:rFonts w:asciiTheme="minorHAnsi" w:hAnsiTheme="minorHAnsi" w:cstheme="minorHAnsi"/>
        </w:rPr>
        <w:t>“</w:t>
      </w:r>
    </w:p>
  </w:footnote>
  <w:footnote w:id="8">
    <w:p w14:paraId="42978AFC" w14:textId="28D2A135" w:rsidR="00875E88" w:rsidRPr="00BE3057" w:rsidRDefault="00875E88" w:rsidP="00BE305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E3057">
        <w:rPr>
          <w:rStyle w:val="Znakapoznpodarou"/>
          <w:rFonts w:ascii="Calibri" w:hAnsi="Calibri" w:cs="Calibri"/>
        </w:rPr>
        <w:footnoteRef/>
      </w:r>
      <w:r w:rsidRPr="00BE3057">
        <w:rPr>
          <w:rFonts w:ascii="Calibri" w:hAnsi="Calibri" w:cs="Calibri"/>
        </w:rPr>
        <w:t xml:space="preserve"> </w:t>
      </w:r>
      <w:r w:rsidRPr="00BE3057">
        <w:rPr>
          <w:rFonts w:ascii="Calibri" w:hAnsi="Calibri" w:cs="Calibri"/>
        </w:rPr>
        <w:tab/>
        <w:t xml:space="preserve">Dle ustanovení § 1 odst. 3 zákona o účetnictví jsou vybranými účetními jednotkami organizační složky státu, státní fondy podle rozpočtových pravidel, územní samosprávné celky, dobrovolné svazky obcí, </w:t>
      </w:r>
      <w:r>
        <w:rPr>
          <w:rFonts w:ascii="Calibri" w:hAnsi="Calibri" w:cs="Calibri"/>
        </w:rPr>
        <w:t>r</w:t>
      </w:r>
      <w:r w:rsidRPr="00BE3057">
        <w:rPr>
          <w:rFonts w:ascii="Calibri" w:hAnsi="Calibri" w:cs="Calibri"/>
        </w:rPr>
        <w:t>egionální rady regionů soudržnosti, příspěvkové organizace a zdravotní pojišťovny.</w:t>
      </w:r>
    </w:p>
    <w:p w14:paraId="4ABBB7AB" w14:textId="337F37C2" w:rsidR="00875E88" w:rsidRPr="00BE3057" w:rsidRDefault="00875E88" w:rsidP="00BE3057">
      <w:pPr>
        <w:pStyle w:val="Textpoznpodarou"/>
        <w:ind w:left="284"/>
        <w:jc w:val="both"/>
        <w:rPr>
          <w:rFonts w:ascii="Calibri" w:hAnsi="Calibri" w:cs="Calibri"/>
        </w:rPr>
      </w:pPr>
      <w:r w:rsidRPr="00BE3057">
        <w:rPr>
          <w:rFonts w:ascii="Calibri" w:hAnsi="Calibri" w:cs="Calibri"/>
        </w:rPr>
        <w:t xml:space="preserve">Dle ustanovení § 36 odst. 1 zákona o účetnictví pro dosažení souladu při používání účetních metod účetními jednotkami a pro zajištění vyšší míry srovnatelnosti účetních závěrek vydává Ministerstvo financí </w:t>
      </w:r>
      <w:r>
        <w:rPr>
          <w:rFonts w:ascii="Calibri" w:hAnsi="Calibri" w:cs="Calibri"/>
        </w:rPr>
        <w:t>č</w:t>
      </w:r>
      <w:r w:rsidRPr="00BE3057">
        <w:rPr>
          <w:rFonts w:ascii="Calibri" w:hAnsi="Calibri" w:cs="Calibri"/>
        </w:rPr>
        <w:t>eské účetní standardy. Standardy stanoví zejména bližší popis účetních metod a postupů účtování. Vybrané účetní jednotky postupují podle standardů vždy. Použití standardů účetními jednotkami se považuje za naplnění účetních metod podle tohoto zákona a věrného a poctivého obrazu předmětu účetnictví.</w:t>
      </w:r>
    </w:p>
  </w:footnote>
  <w:footnote w:id="9">
    <w:p w14:paraId="1E81F7F6" w14:textId="2924FE3F" w:rsidR="00875E88" w:rsidRPr="0042165C" w:rsidRDefault="00875E88" w:rsidP="00BE305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2165C">
        <w:rPr>
          <w:rStyle w:val="Znakapoznpodarou"/>
          <w:rFonts w:ascii="Calibri" w:hAnsi="Calibri" w:cs="Calibri"/>
        </w:rPr>
        <w:footnoteRef/>
      </w:r>
      <w:r w:rsidRPr="0042165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2165C">
        <w:rPr>
          <w:rFonts w:ascii="Calibri" w:hAnsi="Calibri" w:cs="Calibri"/>
        </w:rPr>
        <w:t xml:space="preserve">O vratkách soudních poplatků lze dle NKÚ účtovat prostřednictvím účtu 549 – </w:t>
      </w:r>
      <w:r w:rsidRPr="0042165C">
        <w:rPr>
          <w:rFonts w:ascii="Calibri" w:hAnsi="Calibri" w:cs="Calibri"/>
          <w:i/>
        </w:rPr>
        <w:t>Ostatní náklady z činnosti</w:t>
      </w:r>
      <w:r w:rsidRPr="0042165C">
        <w:rPr>
          <w:rFonts w:ascii="Calibri" w:hAnsi="Calibri" w:cs="Calibri"/>
        </w:rPr>
        <w:t xml:space="preserve"> a/nebo prostřednictvím snížení výnosů na účtu 607 – </w:t>
      </w:r>
      <w:r w:rsidRPr="0042165C">
        <w:rPr>
          <w:rFonts w:ascii="Calibri" w:hAnsi="Calibri" w:cs="Calibri"/>
          <w:i/>
        </w:rPr>
        <w:t>Výnosy ze soudních poplatků</w:t>
      </w:r>
      <w:r w:rsidRPr="0042165C">
        <w:rPr>
          <w:rFonts w:ascii="Calibri" w:hAnsi="Calibri" w:cs="Calibri"/>
        </w:rPr>
        <w:t xml:space="preserve">. Konkrétní postupy účtování těchto účetních případů si musí stanovit MS Praha.  </w:t>
      </w:r>
    </w:p>
  </w:footnote>
  <w:footnote w:id="10">
    <w:p w14:paraId="7B124DDD" w14:textId="4BA575EF" w:rsidR="00875E88" w:rsidRPr="007B2E2B" w:rsidRDefault="00875E88" w:rsidP="00473E1C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B2E2B">
        <w:rPr>
          <w:rStyle w:val="Znakapoznpodarou"/>
          <w:rFonts w:asciiTheme="minorHAnsi" w:hAnsiTheme="minorHAnsi"/>
        </w:rPr>
        <w:footnoteRef/>
      </w:r>
      <w:r w:rsidRPr="007B2E2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7B2E2B">
        <w:rPr>
          <w:rFonts w:asciiTheme="minorHAnsi" w:eastAsia="Calibri" w:hAnsiTheme="minorHAnsi" w:cstheme="minorHAnsi"/>
        </w:rPr>
        <w:t>MS Praha v některých případech vrací na základě nového soudního rozhodnutí peněžité tresty, které uložil dle § 67 až § 69 zákona č. 40/2009 Sb., trestní zákoník.</w:t>
      </w:r>
    </w:p>
  </w:footnote>
  <w:footnote w:id="11">
    <w:p w14:paraId="68C5BC97" w14:textId="5A8E80A1" w:rsidR="00875E88" w:rsidRPr="00B75965" w:rsidRDefault="00875E88" w:rsidP="00BE3057">
      <w:pPr>
        <w:spacing w:after="0"/>
        <w:ind w:left="284" w:hanging="284"/>
        <w:jc w:val="both"/>
        <w:rPr>
          <w:sz w:val="18"/>
          <w:szCs w:val="18"/>
        </w:rPr>
      </w:pPr>
      <w:r w:rsidRPr="007B2E2B">
        <w:rPr>
          <w:rStyle w:val="Znakapoznpodarou"/>
          <w:rFonts w:asciiTheme="minorHAnsi" w:hAnsiTheme="minorHAnsi"/>
          <w:sz w:val="20"/>
          <w:szCs w:val="20"/>
        </w:rPr>
        <w:footnoteRef/>
      </w:r>
      <w:r w:rsidRPr="007B2E2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7B2E2B">
        <w:rPr>
          <w:rFonts w:asciiTheme="minorHAnsi" w:eastAsia="Calibri" w:hAnsiTheme="minorHAnsi"/>
          <w:sz w:val="20"/>
          <w:szCs w:val="20"/>
          <w:lang w:eastAsia="cs-CZ"/>
        </w:rPr>
        <w:t>Byl-li obžalovaný pravomocně uznán vinným, je povinen nahradit státu mj. odměnu a hotové výdaje uhrazené ustanovenému obhájci státem – viz § 152 odst. 1 písm. b) trestního řádu.</w:t>
      </w:r>
    </w:p>
  </w:footnote>
  <w:footnote w:id="12">
    <w:p w14:paraId="04E0CC2B" w14:textId="303F5D0E" w:rsidR="00875E88" w:rsidRPr="00BE3057" w:rsidRDefault="00875E88" w:rsidP="00BE305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E3057">
        <w:rPr>
          <w:rStyle w:val="Znakapoznpodarou"/>
          <w:rFonts w:asciiTheme="minorHAnsi" w:hAnsiTheme="minorHAnsi" w:cstheme="minorHAnsi"/>
        </w:rPr>
        <w:footnoteRef/>
      </w:r>
      <w:r w:rsidRPr="00BE3057">
        <w:rPr>
          <w:rFonts w:asciiTheme="minorHAnsi" w:hAnsiTheme="minorHAnsi" w:cstheme="minorHAnsi"/>
        </w:rPr>
        <w:t xml:space="preserve"> </w:t>
      </w:r>
      <w:r w:rsidRPr="00BE3057">
        <w:rPr>
          <w:rFonts w:asciiTheme="minorHAnsi" w:hAnsiTheme="minorHAnsi" w:cstheme="minorHAnsi"/>
        </w:rPr>
        <w:tab/>
        <w:t>V souladu s vyhláškou</w:t>
      </w:r>
      <w:r w:rsidRPr="00BE3057">
        <w:rPr>
          <w:rFonts w:asciiTheme="minorHAnsi" w:hAnsiTheme="minorHAnsi"/>
        </w:rPr>
        <w:t xml:space="preserve"> č. 410/2009 Sb. jde p</w:t>
      </w:r>
      <w:r w:rsidRPr="00BE3057">
        <w:rPr>
          <w:rFonts w:asciiTheme="minorHAnsi" w:hAnsiTheme="minorHAnsi" w:cstheme="minorHAnsi"/>
        </w:rPr>
        <w:t>ro podmíněné pohledávky o předpokládané pohledávky, které mají vzniknout na základě individuálních rozhodnutí příslušných orgánů státní správy nebo mohou vzniknout na základě jiného projevu vůle jiné osoby. Pro podmíněné závazky jde o skutečnosti, které vyjadřují trvalé nebo dočasné zvýšení pasiv při splnění předem stanovených podmínek.</w:t>
      </w:r>
    </w:p>
  </w:footnote>
  <w:footnote w:id="13">
    <w:p w14:paraId="3F0542E5" w14:textId="328AEE96" w:rsidR="00875E88" w:rsidRPr="00930479" w:rsidRDefault="00875E88" w:rsidP="00BE3057">
      <w:pPr>
        <w:ind w:left="284" w:hanging="284"/>
        <w:jc w:val="both"/>
        <w:rPr>
          <w:sz w:val="18"/>
          <w:szCs w:val="18"/>
        </w:rPr>
      </w:pPr>
      <w:r w:rsidRPr="007B2E2B">
        <w:rPr>
          <w:rStyle w:val="Znakapoznpodarou"/>
          <w:sz w:val="20"/>
          <w:szCs w:val="20"/>
        </w:rPr>
        <w:footnoteRef/>
      </w:r>
      <w:r w:rsidRPr="007B2E2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Zákon o finanční kontrole v ustanovení § 28 odst. 4 písm. a) stanoví, že interní audit zahrnuje finanční audity, které ověřují, zda údaje vykázané ve finančních, účetních a jiných výkazech věrně zobrazují majetek, zdroje jeho financování a hospodaření s ním. Dále pak v ustanovení § 31 odst. 3 písm. c) stanoví, že v ročních zprávách o výsledcích interního auditu se uvádějí zjištění o skutečnostech, které by mohly způsobit neúplnost nebo neprůkaznost účetnictví. </w:t>
      </w:r>
      <w:r w:rsidRPr="007B2E2B">
        <w:rPr>
          <w:rFonts w:asciiTheme="minorHAnsi" w:eastAsiaTheme="minorHAnsi" w:hAnsiTheme="minorHAnsi" w:cstheme="minorHAnsi"/>
          <w:b/>
          <w:sz w:val="20"/>
          <w:szCs w:val="20"/>
        </w:rPr>
        <w:t>Zvyšující se význam finančních kontrol a interních auditů</w:t>
      </w:r>
      <w:r w:rsidRPr="00875E88">
        <w:rPr>
          <w:rFonts w:asciiTheme="minorHAnsi" w:eastAsiaTheme="minorHAnsi" w:hAnsiTheme="minorHAnsi" w:cstheme="minorHAnsi"/>
          <w:b/>
          <w:sz w:val="20"/>
          <w:szCs w:val="20"/>
        </w:rPr>
        <w:t>,</w:t>
      </w:r>
      <w:r w:rsidRPr="007B2E2B">
        <w:rPr>
          <w:rFonts w:asciiTheme="minorHAnsi" w:eastAsiaTheme="minorHAnsi" w:hAnsiTheme="minorHAnsi" w:cstheme="minorHAnsi"/>
          <w:sz w:val="20"/>
          <w:szCs w:val="20"/>
        </w:rPr>
        <w:t xml:space="preserve"> jejichž předmětem je oblast účetnictví</w:t>
      </w:r>
      <w:r>
        <w:rPr>
          <w:rFonts w:asciiTheme="minorHAnsi" w:eastAsiaTheme="minorHAnsi" w:hAnsiTheme="minorHAnsi" w:cstheme="minorHAnsi"/>
          <w:sz w:val="20"/>
          <w:szCs w:val="20"/>
        </w:rPr>
        <w:t>,</w:t>
      </w:r>
      <w:r w:rsidRPr="007B2E2B">
        <w:rPr>
          <w:rFonts w:asciiTheme="minorHAnsi" w:eastAsiaTheme="minorHAnsi" w:hAnsiTheme="minorHAnsi" w:cstheme="minorHAnsi"/>
          <w:sz w:val="20"/>
          <w:szCs w:val="20"/>
        </w:rPr>
        <w:t xml:space="preserve"> je přitom </w:t>
      </w:r>
      <w:r w:rsidRPr="007B2E2B">
        <w:rPr>
          <w:rFonts w:asciiTheme="minorHAnsi" w:eastAsiaTheme="minorHAnsi" w:hAnsiTheme="minorHAnsi" w:cstheme="minorHAnsi"/>
          <w:b/>
          <w:sz w:val="20"/>
          <w:szCs w:val="20"/>
        </w:rPr>
        <w:t>zřejmý</w:t>
      </w:r>
      <w:r w:rsidRPr="007B2E2B">
        <w:rPr>
          <w:rFonts w:asciiTheme="minorHAnsi" w:eastAsiaTheme="minorHAnsi" w:hAnsiTheme="minorHAnsi" w:cstheme="minorHAnsi"/>
          <w:sz w:val="20"/>
          <w:szCs w:val="20"/>
        </w:rPr>
        <w:t xml:space="preserve"> nejen </w:t>
      </w:r>
      <w:r w:rsidRPr="007B2E2B">
        <w:rPr>
          <w:rFonts w:asciiTheme="minorHAnsi" w:eastAsiaTheme="minorHAnsi" w:hAnsiTheme="minorHAnsi" w:cstheme="minorHAnsi"/>
          <w:b/>
          <w:sz w:val="20"/>
          <w:szCs w:val="20"/>
        </w:rPr>
        <w:t>ze zákona o finanční kontrole</w:t>
      </w:r>
      <w:r w:rsidRPr="007B2E2B">
        <w:rPr>
          <w:rFonts w:asciiTheme="minorHAnsi" w:eastAsiaTheme="minorHAnsi" w:hAnsiTheme="minorHAnsi" w:cstheme="minorHAnsi"/>
          <w:sz w:val="20"/>
          <w:szCs w:val="20"/>
        </w:rPr>
        <w:t xml:space="preserve"> a jeho novely provedené zákonem č. 64/2014 Sb., kterým se mění některé zákony v souvislosti s přijetím kontrolního řádu, ale též </w:t>
      </w:r>
      <w:r w:rsidRPr="007B2E2B">
        <w:rPr>
          <w:rFonts w:asciiTheme="minorHAnsi" w:eastAsiaTheme="minorHAnsi" w:hAnsiTheme="minorHAnsi" w:cstheme="minorHAnsi"/>
          <w:b/>
          <w:sz w:val="20"/>
          <w:szCs w:val="20"/>
        </w:rPr>
        <w:t xml:space="preserve">z </w:t>
      </w:r>
      <w:r>
        <w:rPr>
          <w:rFonts w:asciiTheme="minorHAnsi" w:eastAsiaTheme="minorHAnsi" w:hAnsiTheme="minorHAnsi" w:cstheme="minorHAnsi"/>
          <w:b/>
          <w:sz w:val="20"/>
          <w:szCs w:val="20"/>
        </w:rPr>
        <w:t>u</w:t>
      </w:r>
      <w:r w:rsidRPr="007B2E2B">
        <w:rPr>
          <w:rFonts w:asciiTheme="minorHAnsi" w:eastAsiaTheme="minorHAnsi" w:hAnsiTheme="minorHAnsi" w:cstheme="minorHAnsi"/>
          <w:b/>
          <w:sz w:val="20"/>
          <w:szCs w:val="20"/>
        </w:rPr>
        <w:t>snesení vlády</w:t>
      </w:r>
      <w:r w:rsidRPr="007B2E2B">
        <w:rPr>
          <w:rFonts w:asciiTheme="minorHAnsi" w:eastAsiaTheme="minorHAnsi" w:hAnsiTheme="minorHAnsi" w:cstheme="minorHAnsi"/>
          <w:sz w:val="20"/>
          <w:szCs w:val="20"/>
        </w:rPr>
        <w:t xml:space="preserve"> České republiky ze dne 19. června 2018 </w:t>
      </w:r>
      <w:r w:rsidRPr="007B2E2B">
        <w:rPr>
          <w:rFonts w:asciiTheme="minorHAnsi" w:eastAsiaTheme="minorHAnsi" w:hAnsiTheme="minorHAnsi" w:cstheme="minorHAnsi"/>
          <w:b/>
          <w:sz w:val="20"/>
          <w:szCs w:val="20"/>
        </w:rPr>
        <w:t>č. 398</w:t>
      </w:r>
      <w:r>
        <w:rPr>
          <w:rFonts w:asciiTheme="minorHAnsi" w:eastAsiaTheme="minorHAnsi" w:hAnsiTheme="minorHAnsi" w:cstheme="minorHAnsi"/>
          <w:b/>
          <w:sz w:val="20"/>
          <w:szCs w:val="20"/>
        </w:rPr>
        <w:t>,</w:t>
      </w:r>
      <w:r w:rsidRPr="007B2E2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875E88">
        <w:rPr>
          <w:rFonts w:asciiTheme="minorHAnsi" w:eastAsiaTheme="minorHAnsi" w:hAnsiTheme="minorHAnsi" w:cstheme="minorHAnsi"/>
          <w:i/>
          <w:sz w:val="20"/>
          <w:szCs w:val="20"/>
        </w:rPr>
        <w:t>ke Zprávě o výsledcích finančních kontrol ve veřejné správě za rok 2017</w:t>
      </w:r>
      <w:r w:rsidRPr="007B2E2B">
        <w:rPr>
          <w:rFonts w:asciiTheme="minorHAnsi" w:eastAsiaTheme="minorHAnsi" w:hAnsiTheme="minorHAnsi" w:cstheme="minorHAnsi"/>
          <w:sz w:val="20"/>
          <w:szCs w:val="20"/>
        </w:rPr>
        <w:t xml:space="preserve">. Tímto usnesením bylo uloženo </w:t>
      </w:r>
      <w:r w:rsidRPr="007B2E2B">
        <w:rPr>
          <w:rFonts w:asciiTheme="minorHAnsi" w:eastAsiaTheme="minorHAnsi" w:hAnsiTheme="minorHAnsi" w:cstheme="minorHAnsi"/>
          <w:b/>
          <w:sz w:val="20"/>
          <w:szCs w:val="20"/>
        </w:rPr>
        <w:t>zaměřovat finanční kontroly a interní audity i na dodržování právních předpisů v oblasti účetnictví</w:t>
      </w:r>
      <w:r w:rsidRPr="007B2E2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7B2E2B">
        <w:rPr>
          <w:rFonts w:asciiTheme="minorHAnsi" w:eastAsiaTheme="minorHAnsi" w:hAnsiTheme="minorHAnsi" w:cstheme="minorHAnsi"/>
          <w:b/>
          <w:sz w:val="20"/>
          <w:szCs w:val="20"/>
        </w:rPr>
        <w:t>a na evidenci a vymáhání pohledávek.</w:t>
      </w:r>
    </w:p>
  </w:footnote>
  <w:footnote w:id="14">
    <w:p w14:paraId="47E42AA6" w14:textId="16EFB38E" w:rsidR="00875E88" w:rsidRPr="007B2E2B" w:rsidRDefault="00875E88" w:rsidP="00BE3057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7B2E2B">
        <w:rPr>
          <w:rStyle w:val="Znakapoznpodarou"/>
          <w:rFonts w:asciiTheme="minorHAnsi" w:hAnsiTheme="minorHAnsi" w:cstheme="minorHAnsi"/>
        </w:rPr>
        <w:footnoteRef/>
      </w:r>
      <w:r w:rsidRPr="007B2E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B2E2B">
        <w:rPr>
          <w:rFonts w:asciiTheme="minorHAnsi" w:hAnsiTheme="minorHAnsi" w:cstheme="minorHAnsi"/>
        </w:rPr>
        <w:t xml:space="preserve">Dne 29. prosince 2017 byl dodavatelem vystaven opravný daňový doklad na tuto částku; na bankovní účet MS Praha byla tato částka připsána až dne 8. ledna 2018. Předmětem plnění byly fakturované vícepráce, které </w:t>
      </w:r>
      <w:r>
        <w:rPr>
          <w:rFonts w:asciiTheme="minorHAnsi" w:hAnsiTheme="minorHAnsi" w:cstheme="minorHAnsi"/>
        </w:rPr>
        <w:t xml:space="preserve">však </w:t>
      </w:r>
      <w:proofErr w:type="gramStart"/>
      <w:r w:rsidRPr="007B2E2B">
        <w:rPr>
          <w:rFonts w:asciiTheme="minorHAnsi" w:hAnsiTheme="minorHAnsi" w:cstheme="minorHAnsi"/>
        </w:rPr>
        <w:t>byly</w:t>
      </w:r>
      <w:proofErr w:type="gramEnd"/>
      <w:r w:rsidRPr="007B2E2B">
        <w:rPr>
          <w:rFonts w:asciiTheme="minorHAnsi" w:hAnsiTheme="minorHAnsi" w:cstheme="minorHAnsi"/>
        </w:rPr>
        <w:t xml:space="preserve"> nad rámec původně uzavřené smlouvy o dílo. Dodatek č. 1 k této smlouvě, kterým byla oboustranně odsouhlasena cena za tyto vícepráce, byl uzavřen až dne 19. února 2018 a v registru smluv byl zveřejněn 20.</w:t>
      </w:r>
      <w:r>
        <w:rPr>
          <w:rFonts w:asciiTheme="minorHAnsi" w:hAnsiTheme="minorHAnsi" w:cstheme="minorHAnsi"/>
        </w:rPr>
        <w:t> </w:t>
      </w:r>
      <w:r w:rsidRPr="007B2E2B">
        <w:rPr>
          <w:rFonts w:asciiTheme="minorHAnsi" w:hAnsiTheme="minorHAnsi" w:cstheme="minorHAnsi"/>
        </w:rPr>
        <w:t>února 2018</w:t>
      </w:r>
      <w:r w:rsidRPr="007B2E2B">
        <w:rPr>
          <w:rFonts w:asciiTheme="minorHAnsi" w:hAnsiTheme="minorHAnsi"/>
        </w:rPr>
        <w:t>.</w:t>
      </w:r>
    </w:p>
  </w:footnote>
  <w:footnote w:id="15">
    <w:p w14:paraId="17450BE2" w14:textId="73F538F8" w:rsidR="00875E88" w:rsidRPr="007B2E2B" w:rsidRDefault="00875E88" w:rsidP="00D31A60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7B2E2B">
        <w:rPr>
          <w:rStyle w:val="Znakapoznpodarou"/>
          <w:rFonts w:asciiTheme="minorHAnsi" w:hAnsiTheme="minorHAnsi"/>
        </w:rPr>
        <w:footnoteRef/>
      </w:r>
      <w:r w:rsidRPr="007B2E2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V rámci kontrolovaných dokladů bylo porušování zákona o soudních poplatcích zjištěno v letech 2013, 2015, 2016 a 2017.</w:t>
      </w:r>
    </w:p>
  </w:footnote>
  <w:footnote w:id="16">
    <w:p w14:paraId="4EE58DF4" w14:textId="1262CE56" w:rsidR="00875E88" w:rsidRPr="007B2E2B" w:rsidRDefault="00875E88" w:rsidP="00D31A60">
      <w:pPr>
        <w:pStyle w:val="Textpoznpodarou"/>
        <w:ind w:left="284" w:hanging="284"/>
        <w:jc w:val="both"/>
        <w:rPr>
          <w:rFonts w:asciiTheme="minorHAnsi" w:hAnsiTheme="minorHAnsi" w:cs="Calibri"/>
        </w:rPr>
      </w:pPr>
      <w:r w:rsidRPr="007B2E2B">
        <w:rPr>
          <w:rStyle w:val="Znakapoznpodarou"/>
          <w:rFonts w:asciiTheme="minorHAnsi" w:hAnsiTheme="minorHAnsi"/>
        </w:rPr>
        <w:footnoteRef/>
      </w:r>
      <w:r w:rsidRPr="007B2E2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7B2E2B">
        <w:rPr>
          <w:rFonts w:asciiTheme="minorHAnsi" w:hAnsiTheme="minorHAnsi" w:cs="Calibri"/>
        </w:rPr>
        <w:t>Neplnění povinností MS Praha vyplývajících ze zákona o DPH bylo posuzováno pouze ve vztahu k dodávkám tepla do objektu Hybernská 20, Praha 1, s přihlédnutím k výši úplat za pronájem.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3710" w14:textId="77777777" w:rsidR="00DB3443" w:rsidRDefault="00DB34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12770" w14:textId="77777777" w:rsidR="00DB3443" w:rsidRDefault="00DB34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717AA" w14:textId="77777777" w:rsidR="00DB3443" w:rsidRDefault="00DB34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212"/>
    <w:multiLevelType w:val="hybridMultilevel"/>
    <w:tmpl w:val="360CF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403C"/>
    <w:multiLevelType w:val="hybridMultilevel"/>
    <w:tmpl w:val="47FE6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B31D2"/>
    <w:multiLevelType w:val="hybridMultilevel"/>
    <w:tmpl w:val="FD566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75E7"/>
    <w:multiLevelType w:val="hybridMultilevel"/>
    <w:tmpl w:val="DF78B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87196"/>
    <w:multiLevelType w:val="hybridMultilevel"/>
    <w:tmpl w:val="BBBE0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C18C1"/>
    <w:multiLevelType w:val="multilevel"/>
    <w:tmpl w:val="7F428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</w:rPr>
    </w:lvl>
  </w:abstractNum>
  <w:abstractNum w:abstractNumId="6" w15:restartNumberingAfterBreak="0">
    <w:nsid w:val="39900AEC"/>
    <w:multiLevelType w:val="hybridMultilevel"/>
    <w:tmpl w:val="01069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55D87"/>
    <w:multiLevelType w:val="hybridMultilevel"/>
    <w:tmpl w:val="92CAE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6F2F"/>
    <w:multiLevelType w:val="hybridMultilevel"/>
    <w:tmpl w:val="4ECE846A"/>
    <w:lvl w:ilvl="0" w:tplc="41BAD02E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82354"/>
    <w:multiLevelType w:val="hybridMultilevel"/>
    <w:tmpl w:val="1562CF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467A9F"/>
    <w:multiLevelType w:val="hybridMultilevel"/>
    <w:tmpl w:val="EE4C806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56B5AC6"/>
    <w:multiLevelType w:val="hybridMultilevel"/>
    <w:tmpl w:val="3D5A0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4CEC"/>
    <w:multiLevelType w:val="hybridMultilevel"/>
    <w:tmpl w:val="62E0B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058FF"/>
    <w:multiLevelType w:val="hybridMultilevel"/>
    <w:tmpl w:val="D0CCD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D0044"/>
    <w:multiLevelType w:val="hybridMultilevel"/>
    <w:tmpl w:val="A788B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DD206D"/>
    <w:multiLevelType w:val="hybridMultilevel"/>
    <w:tmpl w:val="6054F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7DAE0F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30F9D"/>
    <w:multiLevelType w:val="multilevel"/>
    <w:tmpl w:val="7F4286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</w:rPr>
    </w:lvl>
  </w:abstractNum>
  <w:abstractNum w:abstractNumId="17" w15:restartNumberingAfterBreak="0">
    <w:nsid w:val="6BBD0307"/>
    <w:multiLevelType w:val="hybridMultilevel"/>
    <w:tmpl w:val="83FAB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0163B"/>
    <w:multiLevelType w:val="hybridMultilevel"/>
    <w:tmpl w:val="A0C880FC"/>
    <w:lvl w:ilvl="0" w:tplc="0F8E20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97121"/>
    <w:multiLevelType w:val="hybridMultilevel"/>
    <w:tmpl w:val="ECFE5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80FED"/>
    <w:multiLevelType w:val="hybridMultilevel"/>
    <w:tmpl w:val="63729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B7F1E"/>
    <w:multiLevelType w:val="hybridMultilevel"/>
    <w:tmpl w:val="1A94E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41A98"/>
    <w:multiLevelType w:val="hybridMultilevel"/>
    <w:tmpl w:val="36CC8E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22"/>
  </w:num>
  <w:num w:numId="4">
    <w:abstractNumId w:val="3"/>
  </w:num>
  <w:num w:numId="5">
    <w:abstractNumId w:val="20"/>
  </w:num>
  <w:num w:numId="6">
    <w:abstractNumId w:val="16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6"/>
  </w:num>
  <w:num w:numId="13">
    <w:abstractNumId w:val="17"/>
  </w:num>
  <w:num w:numId="14">
    <w:abstractNumId w:val="9"/>
  </w:num>
  <w:num w:numId="15">
    <w:abstractNumId w:val="1"/>
  </w:num>
  <w:num w:numId="16">
    <w:abstractNumId w:val="4"/>
  </w:num>
  <w:num w:numId="17">
    <w:abstractNumId w:val="14"/>
  </w:num>
  <w:num w:numId="18">
    <w:abstractNumId w:val="13"/>
  </w:num>
  <w:num w:numId="19">
    <w:abstractNumId w:val="12"/>
  </w:num>
  <w:num w:numId="20">
    <w:abstractNumId w:val="2"/>
  </w:num>
  <w:num w:numId="21">
    <w:abstractNumId w:val="18"/>
  </w:num>
  <w:num w:numId="22">
    <w:abstractNumId w:val="19"/>
  </w:num>
  <w:num w:numId="23">
    <w:abstractNumId w:val="21"/>
  </w:num>
  <w:num w:numId="2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62"/>
    <w:rsid w:val="00001F41"/>
    <w:rsid w:val="000045C9"/>
    <w:rsid w:val="00004962"/>
    <w:rsid w:val="00007AB9"/>
    <w:rsid w:val="000102DC"/>
    <w:rsid w:val="00010565"/>
    <w:rsid w:val="00012047"/>
    <w:rsid w:val="00012334"/>
    <w:rsid w:val="00013D01"/>
    <w:rsid w:val="00013F4A"/>
    <w:rsid w:val="00017CCE"/>
    <w:rsid w:val="000205FD"/>
    <w:rsid w:val="000209B1"/>
    <w:rsid w:val="00021226"/>
    <w:rsid w:val="000219D6"/>
    <w:rsid w:val="00022153"/>
    <w:rsid w:val="000221DC"/>
    <w:rsid w:val="000226B9"/>
    <w:rsid w:val="00026B84"/>
    <w:rsid w:val="000272AC"/>
    <w:rsid w:val="00027C18"/>
    <w:rsid w:val="00027F01"/>
    <w:rsid w:val="000305CE"/>
    <w:rsid w:val="000342EB"/>
    <w:rsid w:val="0003469E"/>
    <w:rsid w:val="0003552A"/>
    <w:rsid w:val="00035A4F"/>
    <w:rsid w:val="000365ED"/>
    <w:rsid w:val="000455AF"/>
    <w:rsid w:val="00045D1D"/>
    <w:rsid w:val="00045D4B"/>
    <w:rsid w:val="00050275"/>
    <w:rsid w:val="0005581B"/>
    <w:rsid w:val="000562E0"/>
    <w:rsid w:val="00056E58"/>
    <w:rsid w:val="000624B3"/>
    <w:rsid w:val="00063109"/>
    <w:rsid w:val="00066AC4"/>
    <w:rsid w:val="00067CCD"/>
    <w:rsid w:val="000728F2"/>
    <w:rsid w:val="00073218"/>
    <w:rsid w:val="00073303"/>
    <w:rsid w:val="00075A94"/>
    <w:rsid w:val="00075C06"/>
    <w:rsid w:val="00080832"/>
    <w:rsid w:val="00080C55"/>
    <w:rsid w:val="00080D92"/>
    <w:rsid w:val="00081853"/>
    <w:rsid w:val="000822BF"/>
    <w:rsid w:val="00082C74"/>
    <w:rsid w:val="000867C9"/>
    <w:rsid w:val="0009232A"/>
    <w:rsid w:val="00094908"/>
    <w:rsid w:val="000950EF"/>
    <w:rsid w:val="0009689F"/>
    <w:rsid w:val="000A36E9"/>
    <w:rsid w:val="000A5267"/>
    <w:rsid w:val="000A5714"/>
    <w:rsid w:val="000A5A79"/>
    <w:rsid w:val="000A5BDF"/>
    <w:rsid w:val="000A5D44"/>
    <w:rsid w:val="000A5ECA"/>
    <w:rsid w:val="000A7032"/>
    <w:rsid w:val="000A75DF"/>
    <w:rsid w:val="000B0C14"/>
    <w:rsid w:val="000B169C"/>
    <w:rsid w:val="000B1D9C"/>
    <w:rsid w:val="000B2255"/>
    <w:rsid w:val="000B3825"/>
    <w:rsid w:val="000B4ABD"/>
    <w:rsid w:val="000B4B91"/>
    <w:rsid w:val="000B59DC"/>
    <w:rsid w:val="000B7ED0"/>
    <w:rsid w:val="000C04E6"/>
    <w:rsid w:val="000D1BFE"/>
    <w:rsid w:val="000D72DE"/>
    <w:rsid w:val="000D7EB0"/>
    <w:rsid w:val="000E04F4"/>
    <w:rsid w:val="000E25B5"/>
    <w:rsid w:val="000E2836"/>
    <w:rsid w:val="000E3621"/>
    <w:rsid w:val="000E4ED7"/>
    <w:rsid w:val="000E4F78"/>
    <w:rsid w:val="000E578C"/>
    <w:rsid w:val="000E7694"/>
    <w:rsid w:val="000F209F"/>
    <w:rsid w:val="000F2B19"/>
    <w:rsid w:val="000F3E30"/>
    <w:rsid w:val="000F42EF"/>
    <w:rsid w:val="000F7F7C"/>
    <w:rsid w:val="00103119"/>
    <w:rsid w:val="001055C3"/>
    <w:rsid w:val="00106409"/>
    <w:rsid w:val="00107771"/>
    <w:rsid w:val="001122E8"/>
    <w:rsid w:val="00112642"/>
    <w:rsid w:val="00116A85"/>
    <w:rsid w:val="0011741A"/>
    <w:rsid w:val="00120064"/>
    <w:rsid w:val="00122E3A"/>
    <w:rsid w:val="001231C4"/>
    <w:rsid w:val="00124CA1"/>
    <w:rsid w:val="00124FA7"/>
    <w:rsid w:val="00126597"/>
    <w:rsid w:val="001268C7"/>
    <w:rsid w:val="00133AC8"/>
    <w:rsid w:val="00133C76"/>
    <w:rsid w:val="001344EE"/>
    <w:rsid w:val="00134534"/>
    <w:rsid w:val="00137C89"/>
    <w:rsid w:val="001441BA"/>
    <w:rsid w:val="00145AC2"/>
    <w:rsid w:val="001468C7"/>
    <w:rsid w:val="00147308"/>
    <w:rsid w:val="00153444"/>
    <w:rsid w:val="0015589D"/>
    <w:rsid w:val="001569F8"/>
    <w:rsid w:val="001579AE"/>
    <w:rsid w:val="00157F5E"/>
    <w:rsid w:val="00160F7E"/>
    <w:rsid w:val="00162FF7"/>
    <w:rsid w:val="0016447D"/>
    <w:rsid w:val="001645E7"/>
    <w:rsid w:val="00164D18"/>
    <w:rsid w:val="00167779"/>
    <w:rsid w:val="00170C5A"/>
    <w:rsid w:val="00174F1F"/>
    <w:rsid w:val="00175C4F"/>
    <w:rsid w:val="00176D6E"/>
    <w:rsid w:val="00176FA9"/>
    <w:rsid w:val="00180B90"/>
    <w:rsid w:val="00181402"/>
    <w:rsid w:val="00181AE2"/>
    <w:rsid w:val="0018212D"/>
    <w:rsid w:val="00183643"/>
    <w:rsid w:val="00183A05"/>
    <w:rsid w:val="001866A7"/>
    <w:rsid w:val="001941E2"/>
    <w:rsid w:val="00197B57"/>
    <w:rsid w:val="001A164B"/>
    <w:rsid w:val="001A210D"/>
    <w:rsid w:val="001A3920"/>
    <w:rsid w:val="001A482C"/>
    <w:rsid w:val="001A601C"/>
    <w:rsid w:val="001B1165"/>
    <w:rsid w:val="001B19A8"/>
    <w:rsid w:val="001B1FA4"/>
    <w:rsid w:val="001B2E9E"/>
    <w:rsid w:val="001B5272"/>
    <w:rsid w:val="001B571E"/>
    <w:rsid w:val="001B5F61"/>
    <w:rsid w:val="001B68EE"/>
    <w:rsid w:val="001B76BE"/>
    <w:rsid w:val="001C1977"/>
    <w:rsid w:val="001C48EB"/>
    <w:rsid w:val="001C649A"/>
    <w:rsid w:val="001D24A7"/>
    <w:rsid w:val="001D24FB"/>
    <w:rsid w:val="001D2A6F"/>
    <w:rsid w:val="001D383E"/>
    <w:rsid w:val="001D4C2D"/>
    <w:rsid w:val="001D57E4"/>
    <w:rsid w:val="001E0315"/>
    <w:rsid w:val="001E1607"/>
    <w:rsid w:val="001E416B"/>
    <w:rsid w:val="001E5F25"/>
    <w:rsid w:val="001E6510"/>
    <w:rsid w:val="001E6D4C"/>
    <w:rsid w:val="001E79D0"/>
    <w:rsid w:val="001F0066"/>
    <w:rsid w:val="001F24A6"/>
    <w:rsid w:val="001F284B"/>
    <w:rsid w:val="001F2897"/>
    <w:rsid w:val="001F2AF2"/>
    <w:rsid w:val="001F3DD9"/>
    <w:rsid w:val="001F53A4"/>
    <w:rsid w:val="001F5694"/>
    <w:rsid w:val="001F68CD"/>
    <w:rsid w:val="001F740C"/>
    <w:rsid w:val="002008C3"/>
    <w:rsid w:val="00201269"/>
    <w:rsid w:val="00201420"/>
    <w:rsid w:val="00203F77"/>
    <w:rsid w:val="0020473E"/>
    <w:rsid w:val="0020520F"/>
    <w:rsid w:val="002065FA"/>
    <w:rsid w:val="0020705B"/>
    <w:rsid w:val="00207AE7"/>
    <w:rsid w:val="0021095E"/>
    <w:rsid w:val="0021099B"/>
    <w:rsid w:val="002112A1"/>
    <w:rsid w:val="00211E0B"/>
    <w:rsid w:val="00215033"/>
    <w:rsid w:val="002150DC"/>
    <w:rsid w:val="00217E9D"/>
    <w:rsid w:val="002202D3"/>
    <w:rsid w:val="0022055C"/>
    <w:rsid w:val="0022092E"/>
    <w:rsid w:val="00220FB8"/>
    <w:rsid w:val="00221ED8"/>
    <w:rsid w:val="00222DE7"/>
    <w:rsid w:val="00224417"/>
    <w:rsid w:val="002256BA"/>
    <w:rsid w:val="0022638B"/>
    <w:rsid w:val="002272FC"/>
    <w:rsid w:val="00227A36"/>
    <w:rsid w:val="00231D7F"/>
    <w:rsid w:val="00233035"/>
    <w:rsid w:val="00233606"/>
    <w:rsid w:val="0023597E"/>
    <w:rsid w:val="00241259"/>
    <w:rsid w:val="00242E7C"/>
    <w:rsid w:val="00243613"/>
    <w:rsid w:val="00243D16"/>
    <w:rsid w:val="00244733"/>
    <w:rsid w:val="00245288"/>
    <w:rsid w:val="002455EC"/>
    <w:rsid w:val="00247441"/>
    <w:rsid w:val="00250ACC"/>
    <w:rsid w:val="00252999"/>
    <w:rsid w:val="00255E61"/>
    <w:rsid w:val="00260950"/>
    <w:rsid w:val="002609BD"/>
    <w:rsid w:val="00261A10"/>
    <w:rsid w:val="00261E6F"/>
    <w:rsid w:val="00261EB6"/>
    <w:rsid w:val="00263125"/>
    <w:rsid w:val="00263E20"/>
    <w:rsid w:val="002640B7"/>
    <w:rsid w:val="00264822"/>
    <w:rsid w:val="002668D3"/>
    <w:rsid w:val="0026795E"/>
    <w:rsid w:val="0027012B"/>
    <w:rsid w:val="002705EA"/>
    <w:rsid w:val="002706A7"/>
    <w:rsid w:val="00277B70"/>
    <w:rsid w:val="00280CE6"/>
    <w:rsid w:val="0028239D"/>
    <w:rsid w:val="0028341B"/>
    <w:rsid w:val="00284AC1"/>
    <w:rsid w:val="0028508F"/>
    <w:rsid w:val="00285731"/>
    <w:rsid w:val="00286A80"/>
    <w:rsid w:val="00287164"/>
    <w:rsid w:val="0029214E"/>
    <w:rsid w:val="0029287A"/>
    <w:rsid w:val="00293C52"/>
    <w:rsid w:val="00293F15"/>
    <w:rsid w:val="002940F9"/>
    <w:rsid w:val="00295B5D"/>
    <w:rsid w:val="002A1CA3"/>
    <w:rsid w:val="002A2937"/>
    <w:rsid w:val="002A3A62"/>
    <w:rsid w:val="002A4B22"/>
    <w:rsid w:val="002A5276"/>
    <w:rsid w:val="002A7B0F"/>
    <w:rsid w:val="002B25DC"/>
    <w:rsid w:val="002B2D52"/>
    <w:rsid w:val="002B33D1"/>
    <w:rsid w:val="002B4FE0"/>
    <w:rsid w:val="002B503B"/>
    <w:rsid w:val="002B520E"/>
    <w:rsid w:val="002B593E"/>
    <w:rsid w:val="002B5BE9"/>
    <w:rsid w:val="002B63E9"/>
    <w:rsid w:val="002B738A"/>
    <w:rsid w:val="002B7978"/>
    <w:rsid w:val="002B7E11"/>
    <w:rsid w:val="002C029E"/>
    <w:rsid w:val="002C1566"/>
    <w:rsid w:val="002C176E"/>
    <w:rsid w:val="002C1F2D"/>
    <w:rsid w:val="002C1FF8"/>
    <w:rsid w:val="002C616D"/>
    <w:rsid w:val="002C6339"/>
    <w:rsid w:val="002C66A8"/>
    <w:rsid w:val="002C7334"/>
    <w:rsid w:val="002C78CC"/>
    <w:rsid w:val="002D0B15"/>
    <w:rsid w:val="002D0D9B"/>
    <w:rsid w:val="002D2A4C"/>
    <w:rsid w:val="002D53BB"/>
    <w:rsid w:val="002E08FE"/>
    <w:rsid w:val="002E1E39"/>
    <w:rsid w:val="002E2B4E"/>
    <w:rsid w:val="002E46CB"/>
    <w:rsid w:val="002E4A0F"/>
    <w:rsid w:val="002E4D79"/>
    <w:rsid w:val="002E74EE"/>
    <w:rsid w:val="002F196C"/>
    <w:rsid w:val="002F4E8A"/>
    <w:rsid w:val="00300FF7"/>
    <w:rsid w:val="00304A16"/>
    <w:rsid w:val="00307089"/>
    <w:rsid w:val="00310273"/>
    <w:rsid w:val="00311398"/>
    <w:rsid w:val="00313C6C"/>
    <w:rsid w:val="003140D8"/>
    <w:rsid w:val="0031446D"/>
    <w:rsid w:val="003147D2"/>
    <w:rsid w:val="0031786F"/>
    <w:rsid w:val="00321595"/>
    <w:rsid w:val="00323475"/>
    <w:rsid w:val="003275F1"/>
    <w:rsid w:val="00330C89"/>
    <w:rsid w:val="0033466E"/>
    <w:rsid w:val="00335196"/>
    <w:rsid w:val="00336C97"/>
    <w:rsid w:val="00336DFB"/>
    <w:rsid w:val="00337885"/>
    <w:rsid w:val="003411FB"/>
    <w:rsid w:val="00346ADF"/>
    <w:rsid w:val="00346E29"/>
    <w:rsid w:val="00350CE5"/>
    <w:rsid w:val="00352670"/>
    <w:rsid w:val="00354510"/>
    <w:rsid w:val="00356B49"/>
    <w:rsid w:val="00361951"/>
    <w:rsid w:val="00362548"/>
    <w:rsid w:val="003634E8"/>
    <w:rsid w:val="003637BB"/>
    <w:rsid w:val="003638B2"/>
    <w:rsid w:val="003640D1"/>
    <w:rsid w:val="003656D0"/>
    <w:rsid w:val="0036604E"/>
    <w:rsid w:val="00367CD1"/>
    <w:rsid w:val="00367E2A"/>
    <w:rsid w:val="003709C0"/>
    <w:rsid w:val="00370F62"/>
    <w:rsid w:val="003715A0"/>
    <w:rsid w:val="00371D47"/>
    <w:rsid w:val="00373044"/>
    <w:rsid w:val="003738A8"/>
    <w:rsid w:val="003808DA"/>
    <w:rsid w:val="00381D72"/>
    <w:rsid w:val="0038314C"/>
    <w:rsid w:val="00383BC9"/>
    <w:rsid w:val="00383F1A"/>
    <w:rsid w:val="00385024"/>
    <w:rsid w:val="003862F0"/>
    <w:rsid w:val="003866E5"/>
    <w:rsid w:val="00387118"/>
    <w:rsid w:val="00387654"/>
    <w:rsid w:val="00391B34"/>
    <w:rsid w:val="00393398"/>
    <w:rsid w:val="00393A4E"/>
    <w:rsid w:val="00394D4D"/>
    <w:rsid w:val="00394E0A"/>
    <w:rsid w:val="003964D2"/>
    <w:rsid w:val="003964DF"/>
    <w:rsid w:val="00397F23"/>
    <w:rsid w:val="003A116C"/>
    <w:rsid w:val="003A1E97"/>
    <w:rsid w:val="003A21C5"/>
    <w:rsid w:val="003A4602"/>
    <w:rsid w:val="003A4B77"/>
    <w:rsid w:val="003A5F72"/>
    <w:rsid w:val="003A6939"/>
    <w:rsid w:val="003A6E50"/>
    <w:rsid w:val="003A7076"/>
    <w:rsid w:val="003B1447"/>
    <w:rsid w:val="003B4E0F"/>
    <w:rsid w:val="003B58F1"/>
    <w:rsid w:val="003B5B51"/>
    <w:rsid w:val="003B6C27"/>
    <w:rsid w:val="003C12AB"/>
    <w:rsid w:val="003C21D3"/>
    <w:rsid w:val="003C2308"/>
    <w:rsid w:val="003C3550"/>
    <w:rsid w:val="003C5EE6"/>
    <w:rsid w:val="003C6B59"/>
    <w:rsid w:val="003C6E4B"/>
    <w:rsid w:val="003C7D6C"/>
    <w:rsid w:val="003D0DA2"/>
    <w:rsid w:val="003D1FC6"/>
    <w:rsid w:val="003D2874"/>
    <w:rsid w:val="003D43EB"/>
    <w:rsid w:val="003D4CF9"/>
    <w:rsid w:val="003D7B44"/>
    <w:rsid w:val="003E298D"/>
    <w:rsid w:val="003E466F"/>
    <w:rsid w:val="003E4A79"/>
    <w:rsid w:val="003E4AEB"/>
    <w:rsid w:val="003E6328"/>
    <w:rsid w:val="003E64F0"/>
    <w:rsid w:val="003E7636"/>
    <w:rsid w:val="003F0EB8"/>
    <w:rsid w:val="003F31C8"/>
    <w:rsid w:val="003F5BEB"/>
    <w:rsid w:val="00401DFC"/>
    <w:rsid w:val="00402B73"/>
    <w:rsid w:val="00403262"/>
    <w:rsid w:val="0040337D"/>
    <w:rsid w:val="00403FB0"/>
    <w:rsid w:val="00404F7D"/>
    <w:rsid w:val="00405668"/>
    <w:rsid w:val="00405F08"/>
    <w:rsid w:val="00406D52"/>
    <w:rsid w:val="00406FE3"/>
    <w:rsid w:val="00410963"/>
    <w:rsid w:val="00411630"/>
    <w:rsid w:val="004123A2"/>
    <w:rsid w:val="004139C8"/>
    <w:rsid w:val="004145B5"/>
    <w:rsid w:val="00417569"/>
    <w:rsid w:val="0042165C"/>
    <w:rsid w:val="00422CFF"/>
    <w:rsid w:val="0042309E"/>
    <w:rsid w:val="004232AD"/>
    <w:rsid w:val="004240B5"/>
    <w:rsid w:val="00426090"/>
    <w:rsid w:val="00426C29"/>
    <w:rsid w:val="00426C9B"/>
    <w:rsid w:val="0042706F"/>
    <w:rsid w:val="004270B8"/>
    <w:rsid w:val="00430D48"/>
    <w:rsid w:val="0043145D"/>
    <w:rsid w:val="0043303A"/>
    <w:rsid w:val="00433FFC"/>
    <w:rsid w:val="004378C7"/>
    <w:rsid w:val="004412F2"/>
    <w:rsid w:val="00445900"/>
    <w:rsid w:val="00446B25"/>
    <w:rsid w:val="0044736D"/>
    <w:rsid w:val="00447728"/>
    <w:rsid w:val="00447901"/>
    <w:rsid w:val="004512E1"/>
    <w:rsid w:val="00452ACB"/>
    <w:rsid w:val="00454A54"/>
    <w:rsid w:val="004550FC"/>
    <w:rsid w:val="00456329"/>
    <w:rsid w:val="00456AEA"/>
    <w:rsid w:val="0045710E"/>
    <w:rsid w:val="00462094"/>
    <w:rsid w:val="00462E1E"/>
    <w:rsid w:val="00464329"/>
    <w:rsid w:val="00467C0B"/>
    <w:rsid w:val="00471A12"/>
    <w:rsid w:val="00472450"/>
    <w:rsid w:val="0047260A"/>
    <w:rsid w:val="00473E1C"/>
    <w:rsid w:val="004751E9"/>
    <w:rsid w:val="00477F42"/>
    <w:rsid w:val="00480446"/>
    <w:rsid w:val="00480772"/>
    <w:rsid w:val="00480BF6"/>
    <w:rsid w:val="004830A7"/>
    <w:rsid w:val="00484687"/>
    <w:rsid w:val="00491140"/>
    <w:rsid w:val="00491660"/>
    <w:rsid w:val="00492DBD"/>
    <w:rsid w:val="00492E42"/>
    <w:rsid w:val="00493351"/>
    <w:rsid w:val="00493A7D"/>
    <w:rsid w:val="00493FDA"/>
    <w:rsid w:val="00494B0F"/>
    <w:rsid w:val="00494D7D"/>
    <w:rsid w:val="00495257"/>
    <w:rsid w:val="004974BE"/>
    <w:rsid w:val="004A1831"/>
    <w:rsid w:val="004A1F75"/>
    <w:rsid w:val="004A2E8F"/>
    <w:rsid w:val="004A44FB"/>
    <w:rsid w:val="004A4AEB"/>
    <w:rsid w:val="004A5A3E"/>
    <w:rsid w:val="004A6131"/>
    <w:rsid w:val="004A6ED0"/>
    <w:rsid w:val="004A7344"/>
    <w:rsid w:val="004A7472"/>
    <w:rsid w:val="004B04D2"/>
    <w:rsid w:val="004B0EBB"/>
    <w:rsid w:val="004B6397"/>
    <w:rsid w:val="004C15A4"/>
    <w:rsid w:val="004C287D"/>
    <w:rsid w:val="004C2CD7"/>
    <w:rsid w:val="004C3BD3"/>
    <w:rsid w:val="004C5793"/>
    <w:rsid w:val="004C76A5"/>
    <w:rsid w:val="004D0554"/>
    <w:rsid w:val="004D0565"/>
    <w:rsid w:val="004D05B3"/>
    <w:rsid w:val="004D0D5F"/>
    <w:rsid w:val="004D1438"/>
    <w:rsid w:val="004D3724"/>
    <w:rsid w:val="004D3BC8"/>
    <w:rsid w:val="004D560B"/>
    <w:rsid w:val="004D6D6E"/>
    <w:rsid w:val="004D73B0"/>
    <w:rsid w:val="004E0354"/>
    <w:rsid w:val="004E1DEA"/>
    <w:rsid w:val="004E2579"/>
    <w:rsid w:val="004E2DFE"/>
    <w:rsid w:val="004E3929"/>
    <w:rsid w:val="004E4206"/>
    <w:rsid w:val="004E51D8"/>
    <w:rsid w:val="004E5CB5"/>
    <w:rsid w:val="004E62D1"/>
    <w:rsid w:val="004E681A"/>
    <w:rsid w:val="004F2707"/>
    <w:rsid w:val="004F6213"/>
    <w:rsid w:val="004F6444"/>
    <w:rsid w:val="004F6901"/>
    <w:rsid w:val="00501308"/>
    <w:rsid w:val="00501703"/>
    <w:rsid w:val="0050225B"/>
    <w:rsid w:val="005022D7"/>
    <w:rsid w:val="00503063"/>
    <w:rsid w:val="00505E75"/>
    <w:rsid w:val="0050676B"/>
    <w:rsid w:val="00511295"/>
    <w:rsid w:val="005133B7"/>
    <w:rsid w:val="0051353E"/>
    <w:rsid w:val="005138A0"/>
    <w:rsid w:val="00513CB6"/>
    <w:rsid w:val="00515564"/>
    <w:rsid w:val="005167CF"/>
    <w:rsid w:val="005172B6"/>
    <w:rsid w:val="00521611"/>
    <w:rsid w:val="005229EA"/>
    <w:rsid w:val="00524918"/>
    <w:rsid w:val="00531553"/>
    <w:rsid w:val="00535FCD"/>
    <w:rsid w:val="00536F96"/>
    <w:rsid w:val="00540910"/>
    <w:rsid w:val="00540B10"/>
    <w:rsid w:val="005422BD"/>
    <w:rsid w:val="0054571C"/>
    <w:rsid w:val="00546C7A"/>
    <w:rsid w:val="0054790C"/>
    <w:rsid w:val="00547CC6"/>
    <w:rsid w:val="00550879"/>
    <w:rsid w:val="00550F2D"/>
    <w:rsid w:val="005517FD"/>
    <w:rsid w:val="005529DF"/>
    <w:rsid w:val="00553060"/>
    <w:rsid w:val="00554E3B"/>
    <w:rsid w:val="0055653C"/>
    <w:rsid w:val="00556D1E"/>
    <w:rsid w:val="00561D7A"/>
    <w:rsid w:val="00562690"/>
    <w:rsid w:val="00565512"/>
    <w:rsid w:val="005721CF"/>
    <w:rsid w:val="0057256E"/>
    <w:rsid w:val="0057462D"/>
    <w:rsid w:val="00574CEB"/>
    <w:rsid w:val="00575DCF"/>
    <w:rsid w:val="0058089B"/>
    <w:rsid w:val="00580947"/>
    <w:rsid w:val="00581CE8"/>
    <w:rsid w:val="00581D6B"/>
    <w:rsid w:val="00582484"/>
    <w:rsid w:val="00582B96"/>
    <w:rsid w:val="0058623E"/>
    <w:rsid w:val="00592036"/>
    <w:rsid w:val="00593273"/>
    <w:rsid w:val="0059363E"/>
    <w:rsid w:val="00596B90"/>
    <w:rsid w:val="00596BDB"/>
    <w:rsid w:val="0059781D"/>
    <w:rsid w:val="005A194D"/>
    <w:rsid w:val="005A3F1A"/>
    <w:rsid w:val="005A4DBA"/>
    <w:rsid w:val="005A5448"/>
    <w:rsid w:val="005A689C"/>
    <w:rsid w:val="005A7D01"/>
    <w:rsid w:val="005B1484"/>
    <w:rsid w:val="005B2A02"/>
    <w:rsid w:val="005B379B"/>
    <w:rsid w:val="005B385D"/>
    <w:rsid w:val="005B3E13"/>
    <w:rsid w:val="005B4815"/>
    <w:rsid w:val="005B4C77"/>
    <w:rsid w:val="005B6E36"/>
    <w:rsid w:val="005B73E0"/>
    <w:rsid w:val="005C25B2"/>
    <w:rsid w:val="005C304C"/>
    <w:rsid w:val="005C3BF4"/>
    <w:rsid w:val="005C3C2B"/>
    <w:rsid w:val="005C4963"/>
    <w:rsid w:val="005C5B58"/>
    <w:rsid w:val="005C66C2"/>
    <w:rsid w:val="005C70C8"/>
    <w:rsid w:val="005D025D"/>
    <w:rsid w:val="005D0F32"/>
    <w:rsid w:val="005D295B"/>
    <w:rsid w:val="005D3033"/>
    <w:rsid w:val="005D6067"/>
    <w:rsid w:val="005E194C"/>
    <w:rsid w:val="005E1998"/>
    <w:rsid w:val="005E1C17"/>
    <w:rsid w:val="005E231D"/>
    <w:rsid w:val="005E273E"/>
    <w:rsid w:val="005F0A0B"/>
    <w:rsid w:val="005F17B3"/>
    <w:rsid w:val="005F1D31"/>
    <w:rsid w:val="005F23C9"/>
    <w:rsid w:val="005F2754"/>
    <w:rsid w:val="005F3274"/>
    <w:rsid w:val="005F3BC0"/>
    <w:rsid w:val="005F3DD6"/>
    <w:rsid w:val="005F59BC"/>
    <w:rsid w:val="005F7187"/>
    <w:rsid w:val="005F7727"/>
    <w:rsid w:val="0060010C"/>
    <w:rsid w:val="006005A6"/>
    <w:rsid w:val="006027A3"/>
    <w:rsid w:val="006043BA"/>
    <w:rsid w:val="00605746"/>
    <w:rsid w:val="006070FB"/>
    <w:rsid w:val="006102D0"/>
    <w:rsid w:val="006155BC"/>
    <w:rsid w:val="00615B6A"/>
    <w:rsid w:val="00615E4C"/>
    <w:rsid w:val="00615F42"/>
    <w:rsid w:val="00616144"/>
    <w:rsid w:val="00617271"/>
    <w:rsid w:val="0061735F"/>
    <w:rsid w:val="0062642D"/>
    <w:rsid w:val="0062674F"/>
    <w:rsid w:val="00627021"/>
    <w:rsid w:val="00631E60"/>
    <w:rsid w:val="006325DF"/>
    <w:rsid w:val="00635A63"/>
    <w:rsid w:val="00635CD5"/>
    <w:rsid w:val="00635D62"/>
    <w:rsid w:val="00636966"/>
    <w:rsid w:val="00641220"/>
    <w:rsid w:val="0064287A"/>
    <w:rsid w:val="00642D26"/>
    <w:rsid w:val="00644153"/>
    <w:rsid w:val="006441AE"/>
    <w:rsid w:val="006444A8"/>
    <w:rsid w:val="00646D22"/>
    <w:rsid w:val="006473C6"/>
    <w:rsid w:val="00650078"/>
    <w:rsid w:val="00650738"/>
    <w:rsid w:val="00652E21"/>
    <w:rsid w:val="0065662C"/>
    <w:rsid w:val="00656961"/>
    <w:rsid w:val="00656B7E"/>
    <w:rsid w:val="00656DEC"/>
    <w:rsid w:val="006621E5"/>
    <w:rsid w:val="0066246D"/>
    <w:rsid w:val="00663442"/>
    <w:rsid w:val="006635D8"/>
    <w:rsid w:val="00664840"/>
    <w:rsid w:val="00664A0E"/>
    <w:rsid w:val="00664DC0"/>
    <w:rsid w:val="00666F8A"/>
    <w:rsid w:val="00666FB3"/>
    <w:rsid w:val="006742FC"/>
    <w:rsid w:val="006744B0"/>
    <w:rsid w:val="00676B98"/>
    <w:rsid w:val="00681D82"/>
    <w:rsid w:val="00682B39"/>
    <w:rsid w:val="0068404C"/>
    <w:rsid w:val="006840FC"/>
    <w:rsid w:val="006847C5"/>
    <w:rsid w:val="00685006"/>
    <w:rsid w:val="006855EE"/>
    <w:rsid w:val="006867AC"/>
    <w:rsid w:val="00686898"/>
    <w:rsid w:val="00686A98"/>
    <w:rsid w:val="00687249"/>
    <w:rsid w:val="00687D48"/>
    <w:rsid w:val="00690CC4"/>
    <w:rsid w:val="0069206B"/>
    <w:rsid w:val="00692D27"/>
    <w:rsid w:val="00692D54"/>
    <w:rsid w:val="006957FD"/>
    <w:rsid w:val="006960EB"/>
    <w:rsid w:val="0069760A"/>
    <w:rsid w:val="006976BB"/>
    <w:rsid w:val="006A1C2C"/>
    <w:rsid w:val="006A296D"/>
    <w:rsid w:val="006A2A6D"/>
    <w:rsid w:val="006A3F9D"/>
    <w:rsid w:val="006A5F7C"/>
    <w:rsid w:val="006A7E85"/>
    <w:rsid w:val="006B1BCA"/>
    <w:rsid w:val="006B4171"/>
    <w:rsid w:val="006B4560"/>
    <w:rsid w:val="006B4DEB"/>
    <w:rsid w:val="006B685D"/>
    <w:rsid w:val="006B6AD1"/>
    <w:rsid w:val="006C0537"/>
    <w:rsid w:val="006C0608"/>
    <w:rsid w:val="006C0E9F"/>
    <w:rsid w:val="006C2664"/>
    <w:rsid w:val="006C29B5"/>
    <w:rsid w:val="006C4114"/>
    <w:rsid w:val="006C468D"/>
    <w:rsid w:val="006C5D57"/>
    <w:rsid w:val="006C60CB"/>
    <w:rsid w:val="006C650B"/>
    <w:rsid w:val="006C6938"/>
    <w:rsid w:val="006C6A42"/>
    <w:rsid w:val="006C6B19"/>
    <w:rsid w:val="006C6EDB"/>
    <w:rsid w:val="006C7151"/>
    <w:rsid w:val="006C7725"/>
    <w:rsid w:val="006C7A53"/>
    <w:rsid w:val="006D1134"/>
    <w:rsid w:val="006D18A6"/>
    <w:rsid w:val="006D35D1"/>
    <w:rsid w:val="006D5259"/>
    <w:rsid w:val="006E0BA4"/>
    <w:rsid w:val="006E1090"/>
    <w:rsid w:val="006E42AC"/>
    <w:rsid w:val="006E4932"/>
    <w:rsid w:val="006E503E"/>
    <w:rsid w:val="006F0144"/>
    <w:rsid w:val="006F0935"/>
    <w:rsid w:val="006F151D"/>
    <w:rsid w:val="006F22D9"/>
    <w:rsid w:val="006F3417"/>
    <w:rsid w:val="006F3E95"/>
    <w:rsid w:val="006F3F69"/>
    <w:rsid w:val="006F5B9A"/>
    <w:rsid w:val="00700435"/>
    <w:rsid w:val="00702396"/>
    <w:rsid w:val="00702D4B"/>
    <w:rsid w:val="00703362"/>
    <w:rsid w:val="00704969"/>
    <w:rsid w:val="00704EBD"/>
    <w:rsid w:val="00704F56"/>
    <w:rsid w:val="007050C7"/>
    <w:rsid w:val="00706A27"/>
    <w:rsid w:val="00706F07"/>
    <w:rsid w:val="00707887"/>
    <w:rsid w:val="00707E4A"/>
    <w:rsid w:val="007109D7"/>
    <w:rsid w:val="00711621"/>
    <w:rsid w:val="00714F84"/>
    <w:rsid w:val="00715624"/>
    <w:rsid w:val="007161EF"/>
    <w:rsid w:val="007222F8"/>
    <w:rsid w:val="0072283D"/>
    <w:rsid w:val="007254E8"/>
    <w:rsid w:val="00725FF3"/>
    <w:rsid w:val="007266D1"/>
    <w:rsid w:val="007270E7"/>
    <w:rsid w:val="00727173"/>
    <w:rsid w:val="00731036"/>
    <w:rsid w:val="007320C8"/>
    <w:rsid w:val="00732F1E"/>
    <w:rsid w:val="007333D3"/>
    <w:rsid w:val="007340FF"/>
    <w:rsid w:val="00735E1E"/>
    <w:rsid w:val="00735F81"/>
    <w:rsid w:val="00737849"/>
    <w:rsid w:val="007412ED"/>
    <w:rsid w:val="0074292C"/>
    <w:rsid w:val="007440F8"/>
    <w:rsid w:val="00747FFC"/>
    <w:rsid w:val="00751A84"/>
    <w:rsid w:val="00751CD2"/>
    <w:rsid w:val="00751DDD"/>
    <w:rsid w:val="0075205A"/>
    <w:rsid w:val="00752AD1"/>
    <w:rsid w:val="00753ACC"/>
    <w:rsid w:val="0076032B"/>
    <w:rsid w:val="00760ABF"/>
    <w:rsid w:val="007626A5"/>
    <w:rsid w:val="007626B8"/>
    <w:rsid w:val="00763197"/>
    <w:rsid w:val="007640A8"/>
    <w:rsid w:val="00765366"/>
    <w:rsid w:val="00767827"/>
    <w:rsid w:val="00770322"/>
    <w:rsid w:val="007728ED"/>
    <w:rsid w:val="00772A28"/>
    <w:rsid w:val="007745F6"/>
    <w:rsid w:val="00776BBD"/>
    <w:rsid w:val="0077709F"/>
    <w:rsid w:val="007771C2"/>
    <w:rsid w:val="007771FA"/>
    <w:rsid w:val="007777A7"/>
    <w:rsid w:val="00781EAD"/>
    <w:rsid w:val="00782503"/>
    <w:rsid w:val="00784650"/>
    <w:rsid w:val="00787F69"/>
    <w:rsid w:val="0079078A"/>
    <w:rsid w:val="00792B28"/>
    <w:rsid w:val="007932B5"/>
    <w:rsid w:val="00794491"/>
    <w:rsid w:val="0079712A"/>
    <w:rsid w:val="0079722E"/>
    <w:rsid w:val="007A013D"/>
    <w:rsid w:val="007A1349"/>
    <w:rsid w:val="007A2400"/>
    <w:rsid w:val="007A3C4B"/>
    <w:rsid w:val="007A748F"/>
    <w:rsid w:val="007B123C"/>
    <w:rsid w:val="007B2E2B"/>
    <w:rsid w:val="007B46B9"/>
    <w:rsid w:val="007B498C"/>
    <w:rsid w:val="007C1D16"/>
    <w:rsid w:val="007C2B08"/>
    <w:rsid w:val="007C2EE5"/>
    <w:rsid w:val="007C49AC"/>
    <w:rsid w:val="007C7A44"/>
    <w:rsid w:val="007D18DF"/>
    <w:rsid w:val="007D1BDA"/>
    <w:rsid w:val="007D2517"/>
    <w:rsid w:val="007D3087"/>
    <w:rsid w:val="007E22C8"/>
    <w:rsid w:val="007E3F8F"/>
    <w:rsid w:val="007E48AB"/>
    <w:rsid w:val="007E4F1C"/>
    <w:rsid w:val="007E519A"/>
    <w:rsid w:val="007E5640"/>
    <w:rsid w:val="007E582E"/>
    <w:rsid w:val="007E6F1A"/>
    <w:rsid w:val="007E7613"/>
    <w:rsid w:val="007F120A"/>
    <w:rsid w:val="007F2456"/>
    <w:rsid w:val="007F2B6B"/>
    <w:rsid w:val="007F2E81"/>
    <w:rsid w:val="007F4B00"/>
    <w:rsid w:val="007F5311"/>
    <w:rsid w:val="007F55F5"/>
    <w:rsid w:val="007F75E3"/>
    <w:rsid w:val="008047B5"/>
    <w:rsid w:val="00805B7A"/>
    <w:rsid w:val="008072D5"/>
    <w:rsid w:val="00811613"/>
    <w:rsid w:val="00811CF7"/>
    <w:rsid w:val="00812390"/>
    <w:rsid w:val="008126B8"/>
    <w:rsid w:val="00812CBE"/>
    <w:rsid w:val="0081324E"/>
    <w:rsid w:val="0081347E"/>
    <w:rsid w:val="00813EF6"/>
    <w:rsid w:val="00814CF6"/>
    <w:rsid w:val="00814E79"/>
    <w:rsid w:val="0081744A"/>
    <w:rsid w:val="00820829"/>
    <w:rsid w:val="00820E5C"/>
    <w:rsid w:val="008222AC"/>
    <w:rsid w:val="0082603F"/>
    <w:rsid w:val="0083157F"/>
    <w:rsid w:val="00832DBA"/>
    <w:rsid w:val="0083314C"/>
    <w:rsid w:val="00833A3E"/>
    <w:rsid w:val="008341ED"/>
    <w:rsid w:val="00834338"/>
    <w:rsid w:val="00834976"/>
    <w:rsid w:val="008379F2"/>
    <w:rsid w:val="00837EDF"/>
    <w:rsid w:val="0084031C"/>
    <w:rsid w:val="00841FBE"/>
    <w:rsid w:val="0084279E"/>
    <w:rsid w:val="00843DF1"/>
    <w:rsid w:val="00843E07"/>
    <w:rsid w:val="00844BF3"/>
    <w:rsid w:val="008465AF"/>
    <w:rsid w:val="008467AB"/>
    <w:rsid w:val="00847737"/>
    <w:rsid w:val="00851238"/>
    <w:rsid w:val="00851DC3"/>
    <w:rsid w:val="00853140"/>
    <w:rsid w:val="008551B0"/>
    <w:rsid w:val="00861150"/>
    <w:rsid w:val="008617E1"/>
    <w:rsid w:val="008621B6"/>
    <w:rsid w:val="00862667"/>
    <w:rsid w:val="008629C3"/>
    <w:rsid w:val="00865AE0"/>
    <w:rsid w:val="00865C74"/>
    <w:rsid w:val="00866402"/>
    <w:rsid w:val="00866ED0"/>
    <w:rsid w:val="008750AD"/>
    <w:rsid w:val="00875E88"/>
    <w:rsid w:val="00876B67"/>
    <w:rsid w:val="008770EC"/>
    <w:rsid w:val="008814BA"/>
    <w:rsid w:val="0088304F"/>
    <w:rsid w:val="008841C7"/>
    <w:rsid w:val="00886459"/>
    <w:rsid w:val="00890040"/>
    <w:rsid w:val="00890925"/>
    <w:rsid w:val="00896409"/>
    <w:rsid w:val="00896E6E"/>
    <w:rsid w:val="008A160F"/>
    <w:rsid w:val="008A26DF"/>
    <w:rsid w:val="008A49CA"/>
    <w:rsid w:val="008A7242"/>
    <w:rsid w:val="008A7641"/>
    <w:rsid w:val="008A7E7C"/>
    <w:rsid w:val="008B1CF6"/>
    <w:rsid w:val="008B4682"/>
    <w:rsid w:val="008B48D4"/>
    <w:rsid w:val="008B6763"/>
    <w:rsid w:val="008B7A99"/>
    <w:rsid w:val="008B7B0C"/>
    <w:rsid w:val="008C0614"/>
    <w:rsid w:val="008C1CDF"/>
    <w:rsid w:val="008C285E"/>
    <w:rsid w:val="008C3C42"/>
    <w:rsid w:val="008C4396"/>
    <w:rsid w:val="008C6C35"/>
    <w:rsid w:val="008C7E7F"/>
    <w:rsid w:val="008D027C"/>
    <w:rsid w:val="008D0A0E"/>
    <w:rsid w:val="008D381A"/>
    <w:rsid w:val="008D562A"/>
    <w:rsid w:val="008D6124"/>
    <w:rsid w:val="008D655F"/>
    <w:rsid w:val="008D7339"/>
    <w:rsid w:val="008D7A23"/>
    <w:rsid w:val="008D7FE9"/>
    <w:rsid w:val="008E1471"/>
    <w:rsid w:val="008E18AD"/>
    <w:rsid w:val="008E4E1E"/>
    <w:rsid w:val="008E56BF"/>
    <w:rsid w:val="008E5DA3"/>
    <w:rsid w:val="008E6938"/>
    <w:rsid w:val="008E711F"/>
    <w:rsid w:val="008F2934"/>
    <w:rsid w:val="008F293D"/>
    <w:rsid w:val="008F44BC"/>
    <w:rsid w:val="008F4508"/>
    <w:rsid w:val="008F46EE"/>
    <w:rsid w:val="008F4798"/>
    <w:rsid w:val="008F7F32"/>
    <w:rsid w:val="009002BF"/>
    <w:rsid w:val="00900F66"/>
    <w:rsid w:val="0090153E"/>
    <w:rsid w:val="00902E90"/>
    <w:rsid w:val="00903359"/>
    <w:rsid w:val="00904871"/>
    <w:rsid w:val="009061E8"/>
    <w:rsid w:val="00906654"/>
    <w:rsid w:val="00906808"/>
    <w:rsid w:val="00906D84"/>
    <w:rsid w:val="009127B0"/>
    <w:rsid w:val="00913200"/>
    <w:rsid w:val="00915F3D"/>
    <w:rsid w:val="0092005E"/>
    <w:rsid w:val="00920135"/>
    <w:rsid w:val="00920BDB"/>
    <w:rsid w:val="00923725"/>
    <w:rsid w:val="00924D4E"/>
    <w:rsid w:val="0092527D"/>
    <w:rsid w:val="00926311"/>
    <w:rsid w:val="00926363"/>
    <w:rsid w:val="0092707C"/>
    <w:rsid w:val="009276CE"/>
    <w:rsid w:val="009317ED"/>
    <w:rsid w:val="00931821"/>
    <w:rsid w:val="00931CE6"/>
    <w:rsid w:val="00931D82"/>
    <w:rsid w:val="00933F2D"/>
    <w:rsid w:val="00934952"/>
    <w:rsid w:val="00935DF3"/>
    <w:rsid w:val="009374F1"/>
    <w:rsid w:val="0094024C"/>
    <w:rsid w:val="009406A8"/>
    <w:rsid w:val="00941984"/>
    <w:rsid w:val="00941C84"/>
    <w:rsid w:val="00941E2F"/>
    <w:rsid w:val="00942492"/>
    <w:rsid w:val="00942BD2"/>
    <w:rsid w:val="00943CBE"/>
    <w:rsid w:val="0094578C"/>
    <w:rsid w:val="00946197"/>
    <w:rsid w:val="00951261"/>
    <w:rsid w:val="00953BAE"/>
    <w:rsid w:val="00955325"/>
    <w:rsid w:val="00957491"/>
    <w:rsid w:val="00957889"/>
    <w:rsid w:val="009579AD"/>
    <w:rsid w:val="009603A1"/>
    <w:rsid w:val="00960425"/>
    <w:rsid w:val="009646D6"/>
    <w:rsid w:val="0096488A"/>
    <w:rsid w:val="00966D82"/>
    <w:rsid w:val="009674A3"/>
    <w:rsid w:val="009675BF"/>
    <w:rsid w:val="009710D3"/>
    <w:rsid w:val="0097137F"/>
    <w:rsid w:val="0097756E"/>
    <w:rsid w:val="009806D5"/>
    <w:rsid w:val="00980B18"/>
    <w:rsid w:val="00981B3C"/>
    <w:rsid w:val="0098311D"/>
    <w:rsid w:val="0098379E"/>
    <w:rsid w:val="0098457E"/>
    <w:rsid w:val="009845A6"/>
    <w:rsid w:val="00984FB2"/>
    <w:rsid w:val="00985587"/>
    <w:rsid w:val="009855DA"/>
    <w:rsid w:val="0098569D"/>
    <w:rsid w:val="0098626D"/>
    <w:rsid w:val="00986748"/>
    <w:rsid w:val="009870AA"/>
    <w:rsid w:val="0098797B"/>
    <w:rsid w:val="00991368"/>
    <w:rsid w:val="009919D8"/>
    <w:rsid w:val="00992A5D"/>
    <w:rsid w:val="00992DC7"/>
    <w:rsid w:val="00993907"/>
    <w:rsid w:val="00997AA4"/>
    <w:rsid w:val="009A4237"/>
    <w:rsid w:val="009A50E5"/>
    <w:rsid w:val="009A5ED2"/>
    <w:rsid w:val="009A6A9B"/>
    <w:rsid w:val="009A721F"/>
    <w:rsid w:val="009B1F3A"/>
    <w:rsid w:val="009B571B"/>
    <w:rsid w:val="009B572D"/>
    <w:rsid w:val="009B57B3"/>
    <w:rsid w:val="009B6778"/>
    <w:rsid w:val="009C2DD8"/>
    <w:rsid w:val="009C3736"/>
    <w:rsid w:val="009C3A50"/>
    <w:rsid w:val="009C4862"/>
    <w:rsid w:val="009C5484"/>
    <w:rsid w:val="009C6098"/>
    <w:rsid w:val="009C6BE5"/>
    <w:rsid w:val="009D10CF"/>
    <w:rsid w:val="009D3CEA"/>
    <w:rsid w:val="009D7C97"/>
    <w:rsid w:val="009E1123"/>
    <w:rsid w:val="009E712F"/>
    <w:rsid w:val="009E775D"/>
    <w:rsid w:val="009F0524"/>
    <w:rsid w:val="009F1965"/>
    <w:rsid w:val="009F2E65"/>
    <w:rsid w:val="009F3513"/>
    <w:rsid w:val="009F3BD4"/>
    <w:rsid w:val="009F3FA9"/>
    <w:rsid w:val="009F53DB"/>
    <w:rsid w:val="009F57CC"/>
    <w:rsid w:val="00A02511"/>
    <w:rsid w:val="00A04C73"/>
    <w:rsid w:val="00A06EE9"/>
    <w:rsid w:val="00A078CE"/>
    <w:rsid w:val="00A07DE6"/>
    <w:rsid w:val="00A10162"/>
    <w:rsid w:val="00A11FF6"/>
    <w:rsid w:val="00A12882"/>
    <w:rsid w:val="00A17978"/>
    <w:rsid w:val="00A204D4"/>
    <w:rsid w:val="00A21459"/>
    <w:rsid w:val="00A22952"/>
    <w:rsid w:val="00A23ED7"/>
    <w:rsid w:val="00A25186"/>
    <w:rsid w:val="00A25BE9"/>
    <w:rsid w:val="00A30D5C"/>
    <w:rsid w:val="00A322CB"/>
    <w:rsid w:val="00A368FC"/>
    <w:rsid w:val="00A3736C"/>
    <w:rsid w:val="00A374BC"/>
    <w:rsid w:val="00A3756B"/>
    <w:rsid w:val="00A417A3"/>
    <w:rsid w:val="00A428DD"/>
    <w:rsid w:val="00A45819"/>
    <w:rsid w:val="00A46FBF"/>
    <w:rsid w:val="00A471E2"/>
    <w:rsid w:val="00A500B4"/>
    <w:rsid w:val="00A50B68"/>
    <w:rsid w:val="00A5208D"/>
    <w:rsid w:val="00A54105"/>
    <w:rsid w:val="00A5506D"/>
    <w:rsid w:val="00A56AEA"/>
    <w:rsid w:val="00A6339A"/>
    <w:rsid w:val="00A637FA"/>
    <w:rsid w:val="00A647F4"/>
    <w:rsid w:val="00A652EF"/>
    <w:rsid w:val="00A70D4E"/>
    <w:rsid w:val="00A72717"/>
    <w:rsid w:val="00A76586"/>
    <w:rsid w:val="00A76705"/>
    <w:rsid w:val="00A76C3E"/>
    <w:rsid w:val="00A772B2"/>
    <w:rsid w:val="00A7759D"/>
    <w:rsid w:val="00A80924"/>
    <w:rsid w:val="00A84A10"/>
    <w:rsid w:val="00A84CBF"/>
    <w:rsid w:val="00A85FDA"/>
    <w:rsid w:val="00A86A44"/>
    <w:rsid w:val="00A877B4"/>
    <w:rsid w:val="00A95020"/>
    <w:rsid w:val="00A959DB"/>
    <w:rsid w:val="00A95BE4"/>
    <w:rsid w:val="00AA197B"/>
    <w:rsid w:val="00AA19BE"/>
    <w:rsid w:val="00AA3707"/>
    <w:rsid w:val="00AA3BAA"/>
    <w:rsid w:val="00AB0B60"/>
    <w:rsid w:val="00AB0FF4"/>
    <w:rsid w:val="00AB10C6"/>
    <w:rsid w:val="00AB1503"/>
    <w:rsid w:val="00AB2DA6"/>
    <w:rsid w:val="00AB5A6D"/>
    <w:rsid w:val="00AB61E3"/>
    <w:rsid w:val="00AB71E7"/>
    <w:rsid w:val="00AC0ACE"/>
    <w:rsid w:val="00AC112F"/>
    <w:rsid w:val="00AC1544"/>
    <w:rsid w:val="00AC4259"/>
    <w:rsid w:val="00AC5AAC"/>
    <w:rsid w:val="00AC7CAF"/>
    <w:rsid w:val="00AD09F5"/>
    <w:rsid w:val="00AD2396"/>
    <w:rsid w:val="00AD5072"/>
    <w:rsid w:val="00AD70CB"/>
    <w:rsid w:val="00AE18F9"/>
    <w:rsid w:val="00AE224A"/>
    <w:rsid w:val="00AE26FF"/>
    <w:rsid w:val="00AE5830"/>
    <w:rsid w:val="00AE5B52"/>
    <w:rsid w:val="00AF004C"/>
    <w:rsid w:val="00AF0AB0"/>
    <w:rsid w:val="00AF0C4B"/>
    <w:rsid w:val="00AF1500"/>
    <w:rsid w:val="00AF3204"/>
    <w:rsid w:val="00AF379A"/>
    <w:rsid w:val="00AF4A6C"/>
    <w:rsid w:val="00AF5006"/>
    <w:rsid w:val="00AF5183"/>
    <w:rsid w:val="00AF6D22"/>
    <w:rsid w:val="00AF759F"/>
    <w:rsid w:val="00B0051F"/>
    <w:rsid w:val="00B01E55"/>
    <w:rsid w:val="00B035D1"/>
    <w:rsid w:val="00B03FEA"/>
    <w:rsid w:val="00B057B3"/>
    <w:rsid w:val="00B05CC0"/>
    <w:rsid w:val="00B07170"/>
    <w:rsid w:val="00B143AD"/>
    <w:rsid w:val="00B15EA8"/>
    <w:rsid w:val="00B171F6"/>
    <w:rsid w:val="00B209EE"/>
    <w:rsid w:val="00B25EC7"/>
    <w:rsid w:val="00B26D21"/>
    <w:rsid w:val="00B33147"/>
    <w:rsid w:val="00B339DE"/>
    <w:rsid w:val="00B33CC7"/>
    <w:rsid w:val="00B351C5"/>
    <w:rsid w:val="00B35C4A"/>
    <w:rsid w:val="00B370E8"/>
    <w:rsid w:val="00B406C8"/>
    <w:rsid w:val="00B40BB1"/>
    <w:rsid w:val="00B42AE8"/>
    <w:rsid w:val="00B44033"/>
    <w:rsid w:val="00B4546C"/>
    <w:rsid w:val="00B45498"/>
    <w:rsid w:val="00B52D07"/>
    <w:rsid w:val="00B630BC"/>
    <w:rsid w:val="00B647D9"/>
    <w:rsid w:val="00B65D0F"/>
    <w:rsid w:val="00B660AB"/>
    <w:rsid w:val="00B66344"/>
    <w:rsid w:val="00B66FA7"/>
    <w:rsid w:val="00B6741C"/>
    <w:rsid w:val="00B7018D"/>
    <w:rsid w:val="00B7083D"/>
    <w:rsid w:val="00B7102F"/>
    <w:rsid w:val="00B71402"/>
    <w:rsid w:val="00B7238F"/>
    <w:rsid w:val="00B73817"/>
    <w:rsid w:val="00B7495C"/>
    <w:rsid w:val="00B754DD"/>
    <w:rsid w:val="00B75965"/>
    <w:rsid w:val="00B77ECB"/>
    <w:rsid w:val="00B83057"/>
    <w:rsid w:val="00B8437D"/>
    <w:rsid w:val="00B85827"/>
    <w:rsid w:val="00B8607C"/>
    <w:rsid w:val="00B91CD4"/>
    <w:rsid w:val="00B9236E"/>
    <w:rsid w:val="00B92BDD"/>
    <w:rsid w:val="00B93337"/>
    <w:rsid w:val="00B93681"/>
    <w:rsid w:val="00B936B2"/>
    <w:rsid w:val="00B94944"/>
    <w:rsid w:val="00B94AD9"/>
    <w:rsid w:val="00B950BD"/>
    <w:rsid w:val="00B95BD4"/>
    <w:rsid w:val="00B9754B"/>
    <w:rsid w:val="00BA001C"/>
    <w:rsid w:val="00BA0877"/>
    <w:rsid w:val="00BA1342"/>
    <w:rsid w:val="00BA34A7"/>
    <w:rsid w:val="00BA4A08"/>
    <w:rsid w:val="00BB20C2"/>
    <w:rsid w:val="00BB2B8B"/>
    <w:rsid w:val="00BC1479"/>
    <w:rsid w:val="00BC60EA"/>
    <w:rsid w:val="00BC6C9B"/>
    <w:rsid w:val="00BC74A1"/>
    <w:rsid w:val="00BD00BE"/>
    <w:rsid w:val="00BD0976"/>
    <w:rsid w:val="00BD23A2"/>
    <w:rsid w:val="00BD4838"/>
    <w:rsid w:val="00BD489D"/>
    <w:rsid w:val="00BD4E31"/>
    <w:rsid w:val="00BD5488"/>
    <w:rsid w:val="00BD6244"/>
    <w:rsid w:val="00BD6285"/>
    <w:rsid w:val="00BE08D3"/>
    <w:rsid w:val="00BE1738"/>
    <w:rsid w:val="00BE28C6"/>
    <w:rsid w:val="00BE3057"/>
    <w:rsid w:val="00BE5351"/>
    <w:rsid w:val="00BE5F9D"/>
    <w:rsid w:val="00BE69F9"/>
    <w:rsid w:val="00BE6F64"/>
    <w:rsid w:val="00BE7178"/>
    <w:rsid w:val="00BF3C00"/>
    <w:rsid w:val="00BF5F53"/>
    <w:rsid w:val="00BF749F"/>
    <w:rsid w:val="00C0030F"/>
    <w:rsid w:val="00C00B71"/>
    <w:rsid w:val="00C02B7A"/>
    <w:rsid w:val="00C03D00"/>
    <w:rsid w:val="00C04489"/>
    <w:rsid w:val="00C05582"/>
    <w:rsid w:val="00C05A88"/>
    <w:rsid w:val="00C05C16"/>
    <w:rsid w:val="00C06665"/>
    <w:rsid w:val="00C1146D"/>
    <w:rsid w:val="00C11D14"/>
    <w:rsid w:val="00C1317F"/>
    <w:rsid w:val="00C13585"/>
    <w:rsid w:val="00C13C92"/>
    <w:rsid w:val="00C13CB8"/>
    <w:rsid w:val="00C14926"/>
    <w:rsid w:val="00C14D2E"/>
    <w:rsid w:val="00C15777"/>
    <w:rsid w:val="00C16899"/>
    <w:rsid w:val="00C16BEA"/>
    <w:rsid w:val="00C172CD"/>
    <w:rsid w:val="00C17FDA"/>
    <w:rsid w:val="00C2018D"/>
    <w:rsid w:val="00C212D0"/>
    <w:rsid w:val="00C2143D"/>
    <w:rsid w:val="00C25401"/>
    <w:rsid w:val="00C30899"/>
    <w:rsid w:val="00C30F9C"/>
    <w:rsid w:val="00C317B0"/>
    <w:rsid w:val="00C31B0D"/>
    <w:rsid w:val="00C32C07"/>
    <w:rsid w:val="00C341C2"/>
    <w:rsid w:val="00C354E0"/>
    <w:rsid w:val="00C40841"/>
    <w:rsid w:val="00C409E7"/>
    <w:rsid w:val="00C40D23"/>
    <w:rsid w:val="00C4497E"/>
    <w:rsid w:val="00C44C07"/>
    <w:rsid w:val="00C45391"/>
    <w:rsid w:val="00C45B56"/>
    <w:rsid w:val="00C47251"/>
    <w:rsid w:val="00C472E6"/>
    <w:rsid w:val="00C5050E"/>
    <w:rsid w:val="00C5131D"/>
    <w:rsid w:val="00C51914"/>
    <w:rsid w:val="00C52A59"/>
    <w:rsid w:val="00C52E1A"/>
    <w:rsid w:val="00C617AE"/>
    <w:rsid w:val="00C659E8"/>
    <w:rsid w:val="00C65CF3"/>
    <w:rsid w:val="00C6727C"/>
    <w:rsid w:val="00C70C27"/>
    <w:rsid w:val="00C73066"/>
    <w:rsid w:val="00C769EB"/>
    <w:rsid w:val="00C76B39"/>
    <w:rsid w:val="00C77449"/>
    <w:rsid w:val="00C805F9"/>
    <w:rsid w:val="00C806FA"/>
    <w:rsid w:val="00C80B0F"/>
    <w:rsid w:val="00C817FB"/>
    <w:rsid w:val="00C81AD9"/>
    <w:rsid w:val="00C83265"/>
    <w:rsid w:val="00C84949"/>
    <w:rsid w:val="00C853A1"/>
    <w:rsid w:val="00C854EE"/>
    <w:rsid w:val="00C936AD"/>
    <w:rsid w:val="00C93AFE"/>
    <w:rsid w:val="00C94DF6"/>
    <w:rsid w:val="00C94DFA"/>
    <w:rsid w:val="00C952E0"/>
    <w:rsid w:val="00C9758D"/>
    <w:rsid w:val="00C97ED8"/>
    <w:rsid w:val="00CA0C60"/>
    <w:rsid w:val="00CA221F"/>
    <w:rsid w:val="00CA2D2A"/>
    <w:rsid w:val="00CA3561"/>
    <w:rsid w:val="00CA50F5"/>
    <w:rsid w:val="00CA519E"/>
    <w:rsid w:val="00CB100C"/>
    <w:rsid w:val="00CB1B58"/>
    <w:rsid w:val="00CB6633"/>
    <w:rsid w:val="00CB6B08"/>
    <w:rsid w:val="00CC07F8"/>
    <w:rsid w:val="00CC207A"/>
    <w:rsid w:val="00CC21FD"/>
    <w:rsid w:val="00CC272D"/>
    <w:rsid w:val="00CC2ADF"/>
    <w:rsid w:val="00CC4107"/>
    <w:rsid w:val="00CD2142"/>
    <w:rsid w:val="00CD41AB"/>
    <w:rsid w:val="00CD4AE2"/>
    <w:rsid w:val="00CD75D0"/>
    <w:rsid w:val="00CD7621"/>
    <w:rsid w:val="00CE0DC1"/>
    <w:rsid w:val="00CE1822"/>
    <w:rsid w:val="00CE1D2B"/>
    <w:rsid w:val="00CE3276"/>
    <w:rsid w:val="00CE3980"/>
    <w:rsid w:val="00CE5E4F"/>
    <w:rsid w:val="00CE748B"/>
    <w:rsid w:val="00CF2F57"/>
    <w:rsid w:val="00CF35ED"/>
    <w:rsid w:val="00CF3DC6"/>
    <w:rsid w:val="00CF4288"/>
    <w:rsid w:val="00CF46DA"/>
    <w:rsid w:val="00CF48DC"/>
    <w:rsid w:val="00CF7492"/>
    <w:rsid w:val="00D029FF"/>
    <w:rsid w:val="00D0424A"/>
    <w:rsid w:val="00D04F88"/>
    <w:rsid w:val="00D113F2"/>
    <w:rsid w:val="00D118FD"/>
    <w:rsid w:val="00D129A7"/>
    <w:rsid w:val="00D12A57"/>
    <w:rsid w:val="00D16D62"/>
    <w:rsid w:val="00D1753A"/>
    <w:rsid w:val="00D20040"/>
    <w:rsid w:val="00D213E8"/>
    <w:rsid w:val="00D223F2"/>
    <w:rsid w:val="00D258F4"/>
    <w:rsid w:val="00D25BD9"/>
    <w:rsid w:val="00D2616D"/>
    <w:rsid w:val="00D26B45"/>
    <w:rsid w:val="00D26BAC"/>
    <w:rsid w:val="00D30EF2"/>
    <w:rsid w:val="00D31A60"/>
    <w:rsid w:val="00D31E6E"/>
    <w:rsid w:val="00D32BC9"/>
    <w:rsid w:val="00D33C70"/>
    <w:rsid w:val="00D370D4"/>
    <w:rsid w:val="00D4126E"/>
    <w:rsid w:val="00D414B9"/>
    <w:rsid w:val="00D43444"/>
    <w:rsid w:val="00D44055"/>
    <w:rsid w:val="00D44352"/>
    <w:rsid w:val="00D44383"/>
    <w:rsid w:val="00D52079"/>
    <w:rsid w:val="00D53232"/>
    <w:rsid w:val="00D5389A"/>
    <w:rsid w:val="00D6078C"/>
    <w:rsid w:val="00D61A7A"/>
    <w:rsid w:val="00D61AE1"/>
    <w:rsid w:val="00D63DD7"/>
    <w:rsid w:val="00D65274"/>
    <w:rsid w:val="00D6552A"/>
    <w:rsid w:val="00D70CA7"/>
    <w:rsid w:val="00D7331F"/>
    <w:rsid w:val="00D73627"/>
    <w:rsid w:val="00D7388D"/>
    <w:rsid w:val="00D74282"/>
    <w:rsid w:val="00D75277"/>
    <w:rsid w:val="00D75415"/>
    <w:rsid w:val="00D75EAE"/>
    <w:rsid w:val="00D75F19"/>
    <w:rsid w:val="00D76A27"/>
    <w:rsid w:val="00D7756C"/>
    <w:rsid w:val="00D81912"/>
    <w:rsid w:val="00D8238F"/>
    <w:rsid w:val="00D8482B"/>
    <w:rsid w:val="00D85514"/>
    <w:rsid w:val="00D8761F"/>
    <w:rsid w:val="00D90A66"/>
    <w:rsid w:val="00D90B09"/>
    <w:rsid w:val="00D9433E"/>
    <w:rsid w:val="00D95C64"/>
    <w:rsid w:val="00D95F53"/>
    <w:rsid w:val="00D9673C"/>
    <w:rsid w:val="00D97E6D"/>
    <w:rsid w:val="00DA1B9B"/>
    <w:rsid w:val="00DA491E"/>
    <w:rsid w:val="00DA4A0A"/>
    <w:rsid w:val="00DA547A"/>
    <w:rsid w:val="00DA5F54"/>
    <w:rsid w:val="00DB2AC1"/>
    <w:rsid w:val="00DB3443"/>
    <w:rsid w:val="00DB44A2"/>
    <w:rsid w:val="00DB7C30"/>
    <w:rsid w:val="00DC0A33"/>
    <w:rsid w:val="00DC0F11"/>
    <w:rsid w:val="00DC2519"/>
    <w:rsid w:val="00DC31CA"/>
    <w:rsid w:val="00DC4129"/>
    <w:rsid w:val="00DD5F2D"/>
    <w:rsid w:val="00DD6C78"/>
    <w:rsid w:val="00DE11C2"/>
    <w:rsid w:val="00DE2445"/>
    <w:rsid w:val="00DE3C40"/>
    <w:rsid w:val="00DE3F53"/>
    <w:rsid w:val="00DE42E3"/>
    <w:rsid w:val="00DF2873"/>
    <w:rsid w:val="00DF373B"/>
    <w:rsid w:val="00DF37D3"/>
    <w:rsid w:val="00DF58A8"/>
    <w:rsid w:val="00DF5EC8"/>
    <w:rsid w:val="00DF66F9"/>
    <w:rsid w:val="00E014D6"/>
    <w:rsid w:val="00E02D50"/>
    <w:rsid w:val="00E05A5B"/>
    <w:rsid w:val="00E0626F"/>
    <w:rsid w:val="00E0671D"/>
    <w:rsid w:val="00E073A2"/>
    <w:rsid w:val="00E10CE1"/>
    <w:rsid w:val="00E112A5"/>
    <w:rsid w:val="00E1199D"/>
    <w:rsid w:val="00E11F44"/>
    <w:rsid w:val="00E1206A"/>
    <w:rsid w:val="00E14DF3"/>
    <w:rsid w:val="00E15B38"/>
    <w:rsid w:val="00E1609A"/>
    <w:rsid w:val="00E17773"/>
    <w:rsid w:val="00E20979"/>
    <w:rsid w:val="00E20D3B"/>
    <w:rsid w:val="00E21FE5"/>
    <w:rsid w:val="00E23194"/>
    <w:rsid w:val="00E235CA"/>
    <w:rsid w:val="00E23807"/>
    <w:rsid w:val="00E23B56"/>
    <w:rsid w:val="00E2659A"/>
    <w:rsid w:val="00E26633"/>
    <w:rsid w:val="00E301D2"/>
    <w:rsid w:val="00E32AFC"/>
    <w:rsid w:val="00E3337E"/>
    <w:rsid w:val="00E34C78"/>
    <w:rsid w:val="00E360E3"/>
    <w:rsid w:val="00E368D8"/>
    <w:rsid w:val="00E37232"/>
    <w:rsid w:val="00E3770E"/>
    <w:rsid w:val="00E4114E"/>
    <w:rsid w:val="00E418A4"/>
    <w:rsid w:val="00E43E22"/>
    <w:rsid w:val="00E45A08"/>
    <w:rsid w:val="00E500A1"/>
    <w:rsid w:val="00E500FD"/>
    <w:rsid w:val="00E51FDF"/>
    <w:rsid w:val="00E529CB"/>
    <w:rsid w:val="00E5459F"/>
    <w:rsid w:val="00E54E82"/>
    <w:rsid w:val="00E56DC1"/>
    <w:rsid w:val="00E57D24"/>
    <w:rsid w:val="00E607D8"/>
    <w:rsid w:val="00E612A2"/>
    <w:rsid w:val="00E613A1"/>
    <w:rsid w:val="00E6291C"/>
    <w:rsid w:val="00E64EBD"/>
    <w:rsid w:val="00E706AA"/>
    <w:rsid w:val="00E7216C"/>
    <w:rsid w:val="00E7368E"/>
    <w:rsid w:val="00E74936"/>
    <w:rsid w:val="00E74CF9"/>
    <w:rsid w:val="00E75224"/>
    <w:rsid w:val="00E7535E"/>
    <w:rsid w:val="00E75544"/>
    <w:rsid w:val="00E75CF2"/>
    <w:rsid w:val="00E76A51"/>
    <w:rsid w:val="00E76AD5"/>
    <w:rsid w:val="00E77BBF"/>
    <w:rsid w:val="00E81C4B"/>
    <w:rsid w:val="00E82CE8"/>
    <w:rsid w:val="00E8376B"/>
    <w:rsid w:val="00E84A53"/>
    <w:rsid w:val="00E84C9A"/>
    <w:rsid w:val="00E84EA4"/>
    <w:rsid w:val="00E850C3"/>
    <w:rsid w:val="00E851D5"/>
    <w:rsid w:val="00E87CCE"/>
    <w:rsid w:val="00E917E1"/>
    <w:rsid w:val="00E919A1"/>
    <w:rsid w:val="00E91FF5"/>
    <w:rsid w:val="00E9262F"/>
    <w:rsid w:val="00E92F71"/>
    <w:rsid w:val="00E9459B"/>
    <w:rsid w:val="00E9563C"/>
    <w:rsid w:val="00E95B17"/>
    <w:rsid w:val="00E96204"/>
    <w:rsid w:val="00EA0637"/>
    <w:rsid w:val="00EA29CC"/>
    <w:rsid w:val="00EA44A3"/>
    <w:rsid w:val="00EA4CF3"/>
    <w:rsid w:val="00EA563D"/>
    <w:rsid w:val="00EA66CC"/>
    <w:rsid w:val="00EA71EB"/>
    <w:rsid w:val="00EA736C"/>
    <w:rsid w:val="00EB50B6"/>
    <w:rsid w:val="00EB5838"/>
    <w:rsid w:val="00EB7065"/>
    <w:rsid w:val="00EC3392"/>
    <w:rsid w:val="00EC3A0D"/>
    <w:rsid w:val="00EC4E38"/>
    <w:rsid w:val="00EC6B2A"/>
    <w:rsid w:val="00ED2790"/>
    <w:rsid w:val="00ED2E67"/>
    <w:rsid w:val="00ED347C"/>
    <w:rsid w:val="00ED5143"/>
    <w:rsid w:val="00ED6174"/>
    <w:rsid w:val="00EE018D"/>
    <w:rsid w:val="00EE1666"/>
    <w:rsid w:val="00EE3583"/>
    <w:rsid w:val="00EE492B"/>
    <w:rsid w:val="00EE6639"/>
    <w:rsid w:val="00EE6F0D"/>
    <w:rsid w:val="00EE7930"/>
    <w:rsid w:val="00EF065D"/>
    <w:rsid w:val="00EF0793"/>
    <w:rsid w:val="00EF5621"/>
    <w:rsid w:val="00EF5D04"/>
    <w:rsid w:val="00EF7CB3"/>
    <w:rsid w:val="00F00C1B"/>
    <w:rsid w:val="00F015FD"/>
    <w:rsid w:val="00F02134"/>
    <w:rsid w:val="00F0275F"/>
    <w:rsid w:val="00F03BD1"/>
    <w:rsid w:val="00F054EE"/>
    <w:rsid w:val="00F05710"/>
    <w:rsid w:val="00F06A76"/>
    <w:rsid w:val="00F0746C"/>
    <w:rsid w:val="00F074D5"/>
    <w:rsid w:val="00F07D07"/>
    <w:rsid w:val="00F07E08"/>
    <w:rsid w:val="00F127DF"/>
    <w:rsid w:val="00F142FA"/>
    <w:rsid w:val="00F15E93"/>
    <w:rsid w:val="00F15F28"/>
    <w:rsid w:val="00F16CC4"/>
    <w:rsid w:val="00F1719F"/>
    <w:rsid w:val="00F21C42"/>
    <w:rsid w:val="00F21E06"/>
    <w:rsid w:val="00F21FAB"/>
    <w:rsid w:val="00F2233D"/>
    <w:rsid w:val="00F2295D"/>
    <w:rsid w:val="00F2298B"/>
    <w:rsid w:val="00F230DA"/>
    <w:rsid w:val="00F2729E"/>
    <w:rsid w:val="00F30112"/>
    <w:rsid w:val="00F31657"/>
    <w:rsid w:val="00F321F1"/>
    <w:rsid w:val="00F32C40"/>
    <w:rsid w:val="00F3395E"/>
    <w:rsid w:val="00F33B78"/>
    <w:rsid w:val="00F37279"/>
    <w:rsid w:val="00F37799"/>
    <w:rsid w:val="00F377B9"/>
    <w:rsid w:val="00F404B5"/>
    <w:rsid w:val="00F40713"/>
    <w:rsid w:val="00F40CE2"/>
    <w:rsid w:val="00F42496"/>
    <w:rsid w:val="00F42BEB"/>
    <w:rsid w:val="00F46BDB"/>
    <w:rsid w:val="00F4702F"/>
    <w:rsid w:val="00F52215"/>
    <w:rsid w:val="00F561E0"/>
    <w:rsid w:val="00F57B2D"/>
    <w:rsid w:val="00F57E70"/>
    <w:rsid w:val="00F6106F"/>
    <w:rsid w:val="00F6225B"/>
    <w:rsid w:val="00F647F8"/>
    <w:rsid w:val="00F65158"/>
    <w:rsid w:val="00F667EA"/>
    <w:rsid w:val="00F70932"/>
    <w:rsid w:val="00F73C4A"/>
    <w:rsid w:val="00F73E57"/>
    <w:rsid w:val="00F741D2"/>
    <w:rsid w:val="00F74AD4"/>
    <w:rsid w:val="00F762BF"/>
    <w:rsid w:val="00F821DB"/>
    <w:rsid w:val="00F83163"/>
    <w:rsid w:val="00F845D6"/>
    <w:rsid w:val="00F84DF6"/>
    <w:rsid w:val="00F856EE"/>
    <w:rsid w:val="00F91EE4"/>
    <w:rsid w:val="00F92B8C"/>
    <w:rsid w:val="00F96F26"/>
    <w:rsid w:val="00FA08BA"/>
    <w:rsid w:val="00FA1FEB"/>
    <w:rsid w:val="00FA3A2E"/>
    <w:rsid w:val="00FA4347"/>
    <w:rsid w:val="00FB12CD"/>
    <w:rsid w:val="00FB20C8"/>
    <w:rsid w:val="00FB2152"/>
    <w:rsid w:val="00FB2260"/>
    <w:rsid w:val="00FB2621"/>
    <w:rsid w:val="00FB4E08"/>
    <w:rsid w:val="00FB7387"/>
    <w:rsid w:val="00FC0886"/>
    <w:rsid w:val="00FC1529"/>
    <w:rsid w:val="00FC18FB"/>
    <w:rsid w:val="00FC289A"/>
    <w:rsid w:val="00FC4212"/>
    <w:rsid w:val="00FC517B"/>
    <w:rsid w:val="00FC68E6"/>
    <w:rsid w:val="00FD0DF3"/>
    <w:rsid w:val="00FD17E3"/>
    <w:rsid w:val="00FD2024"/>
    <w:rsid w:val="00FD27D2"/>
    <w:rsid w:val="00FD364D"/>
    <w:rsid w:val="00FD5006"/>
    <w:rsid w:val="00FD59DC"/>
    <w:rsid w:val="00FD5E03"/>
    <w:rsid w:val="00FD713B"/>
    <w:rsid w:val="00FD7CB7"/>
    <w:rsid w:val="00FD7DA7"/>
    <w:rsid w:val="00FE02F2"/>
    <w:rsid w:val="00FE2C6E"/>
    <w:rsid w:val="00FE3CA3"/>
    <w:rsid w:val="00FE613A"/>
    <w:rsid w:val="00FE78BA"/>
    <w:rsid w:val="00FF0E92"/>
    <w:rsid w:val="00FF23C6"/>
    <w:rsid w:val="00FF480A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029B764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2CE8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260"/>
    <w:pPr>
      <w:spacing w:before="240" w:after="0" w:line="259" w:lineRule="auto"/>
      <w:outlineLvl w:val="2"/>
    </w:pPr>
    <w:rPr>
      <w:rFonts w:asciiTheme="minorHAnsi" w:eastAsiaTheme="minorHAnsi" w:hAnsiTheme="minorHAnsi" w:cstheme="minorHAnsi"/>
      <w:b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pis pro KZ,Odstavec_muj,Nad,odrážky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pis pro KZ Char,Odstavec_muj Char,Nad Char,odrážky Char"/>
    <w:link w:val="Odstavecseseznamem"/>
    <w:uiPriority w:val="34"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3466E"/>
    <w:rPr>
      <w:rFonts w:eastAsiaTheme="minorHAnsi" w:cstheme="minorHAnsi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styleId="Znakapoznpodarou">
    <w:name w:val="footnote reference"/>
    <w:aliases w:val="number,PGI Fußnote Ziffer + Times New Roman,12 b.,Zúžené o ...,PGI Fußnote Ziffer"/>
    <w:basedOn w:val="Standardnpsmoodstavce"/>
    <w:uiPriority w:val="99"/>
    <w:rsid w:val="002B7978"/>
    <w:rPr>
      <w:vertAlign w:val="superscript"/>
    </w:rPr>
  </w:style>
  <w:style w:type="paragraph" w:styleId="Textpoznpodarou">
    <w:name w:val="footnote text"/>
    <w:aliases w:val="pozn. pod čarou,Schriftart: 9 pt,Schriftart: 10 pt,Schriftart: 8 pt,Podrozdział,Footnote,Podrozdzia3,Text pozn. pod čarou times,Text poznámky pod čiarou 007,Fußnotentextf,Geneva 9,Font: Geneva 9,Boston 10,f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. pod čarou times Char,Text poznámky pod čiarou 007 Char,Fußnotentextf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22055C"/>
    <w:rPr>
      <w:rFonts w:ascii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semiHidden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FF5260"/>
    <w:rPr>
      <w:rFonts w:eastAsiaTheme="minorHAnsi" w:cstheme="minorHAnsi"/>
      <w:b/>
      <w:sz w:val="24"/>
      <w:szCs w:val="24"/>
    </w:rPr>
  </w:style>
  <w:style w:type="character" w:customStyle="1" w:styleId="Nadpis5Char">
    <w:name w:val="Nadpis 5 Char"/>
    <w:basedOn w:val="Standardnpsmoodstavce"/>
    <w:uiPriority w:val="9"/>
    <w:rsid w:val="00C52E1A"/>
    <w:rPr>
      <w:rFonts w:ascii="Arial" w:eastAsia="Times New Roman" w:hAnsi="Arial" w:cs="Times New Roman"/>
      <w:b/>
      <w:bCs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50CA9.DE01E490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onitor.statnipokladna.cz/2017/statni-rozpocet/oss-sf/0021566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 Word" ma:contentTypeID="0x0101008A8194ABDB559E4EA6DCF74D90837326" ma:contentTypeVersion="4" ma:contentTypeDescription="Nový dokument" ma:contentTypeScope="" ma:versionID="d89e704d5da6f95c6d8ec76e9aef2c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3682635821b83fa383227db51b235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0F923-7150-41FF-A829-D5640C567F8E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49732B-BE61-4956-8CD0-B6E36FFEA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91075A-AD8D-408E-BAF8-A346F233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D7A704CE.dotm</Template>
  <TotalTime>8</TotalTime>
  <Pages>19</Pages>
  <Words>6866</Words>
  <Characters>40513</Characters>
  <Application>Microsoft Office Word</Application>
  <DocSecurity>0</DocSecurity>
  <Lines>337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18/25 - Účetní závěrka Městského soudu v Praze za rok 2017</vt:lpstr>
    </vt:vector>
  </TitlesOfParts>
  <Company>NKU</Company>
  <LinksUpToDate>false</LinksUpToDate>
  <CharactersWithSpaces>47285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18/25 - Účetní závěrka Městského soudu v Praze za rok 2017</dc:title>
  <dc:subject/>
  <dc:creator>Nejvyšší kontrolní úřad</dc:creator>
  <cp:keywords>kontrolní závěr; městský soud v praze; soudy</cp:keywords>
  <dc:description/>
  <cp:lastModifiedBy>KOKRDA Daniel</cp:lastModifiedBy>
  <cp:revision>5</cp:revision>
  <cp:lastPrinted>2019-08-21T08:39:00Z</cp:lastPrinted>
  <dcterms:created xsi:type="dcterms:W3CDTF">2019-08-21T08:34:00Z</dcterms:created>
  <dcterms:modified xsi:type="dcterms:W3CDTF">2019-08-21T08:43:00Z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0x0101008A8194ABDB559E4EA6DCF74D90837326</vt:lpwstr>
  </property>
</Properties>
</file>