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3908A" w14:textId="77777777" w:rsidR="00246D13" w:rsidRPr="0021043F" w:rsidRDefault="00246D13" w:rsidP="00C90E35">
      <w:pPr>
        <w:widowControl/>
        <w:jc w:val="center"/>
        <w:rPr>
          <w:rFonts w:cs="Calibri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31069F" wp14:editId="50D7B5FC">
            <wp:simplePos x="0" y="0"/>
            <wp:positionH relativeFrom="column">
              <wp:posOffset>2480310</wp:posOffset>
            </wp:positionH>
            <wp:positionV relativeFrom="paragraph">
              <wp:posOffset>8255</wp:posOffset>
            </wp:positionV>
            <wp:extent cx="791210" cy="559435"/>
            <wp:effectExtent l="0" t="0" r="8890" b="0"/>
            <wp:wrapTopAndBottom/>
            <wp:docPr id="1" name="Obrázek 1" descr="NKU_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NKU_LOGO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8CDF2B" w14:textId="77777777" w:rsidR="00246D13" w:rsidRPr="0021043F" w:rsidRDefault="00246D13" w:rsidP="00C90E35">
      <w:pPr>
        <w:widowControl/>
        <w:jc w:val="center"/>
        <w:rPr>
          <w:rFonts w:cs="Calibri"/>
          <w:color w:val="000000"/>
        </w:rPr>
      </w:pPr>
    </w:p>
    <w:p w14:paraId="615A30B6" w14:textId="77777777" w:rsidR="00246D13" w:rsidRPr="0021043F" w:rsidRDefault="00246D13" w:rsidP="00C90E35">
      <w:pPr>
        <w:widowControl/>
        <w:jc w:val="center"/>
        <w:rPr>
          <w:rFonts w:cs="Calibri"/>
          <w:color w:val="000000"/>
        </w:rPr>
      </w:pPr>
    </w:p>
    <w:p w14:paraId="5C0BA9E1" w14:textId="77777777" w:rsidR="00246D13" w:rsidRPr="0021043F" w:rsidRDefault="00246D13" w:rsidP="00C90E35">
      <w:pPr>
        <w:pStyle w:val="Nadpis8"/>
        <w:keepNext w:val="0"/>
        <w:rPr>
          <w:rFonts w:cs="Calibri"/>
          <w:color w:val="000000"/>
          <w:sz w:val="28"/>
          <w:szCs w:val="28"/>
        </w:rPr>
      </w:pPr>
      <w:r w:rsidRPr="0021043F">
        <w:rPr>
          <w:rFonts w:cs="Calibri"/>
          <w:color w:val="000000"/>
          <w:sz w:val="28"/>
          <w:szCs w:val="28"/>
        </w:rPr>
        <w:t>Kontrolní závěr z kontrolní akce</w:t>
      </w:r>
    </w:p>
    <w:p w14:paraId="46810EEE" w14:textId="77777777" w:rsidR="00246D13" w:rsidRPr="0021043F" w:rsidRDefault="00246D13" w:rsidP="00C90E35">
      <w:pPr>
        <w:widowControl/>
        <w:jc w:val="center"/>
        <w:rPr>
          <w:rFonts w:cs="Calibri"/>
          <w:color w:val="000000"/>
        </w:rPr>
      </w:pPr>
    </w:p>
    <w:p w14:paraId="60269368" w14:textId="77777777" w:rsidR="00246D13" w:rsidRPr="0021043F" w:rsidRDefault="00246D13" w:rsidP="00C90E35">
      <w:pPr>
        <w:pStyle w:val="Nadpis8"/>
        <w:keepNext w:val="0"/>
        <w:rPr>
          <w:rFonts w:cs="Calibri"/>
          <w:color w:val="000000"/>
          <w:sz w:val="28"/>
          <w:szCs w:val="28"/>
        </w:rPr>
      </w:pPr>
      <w:r w:rsidRPr="0021043F">
        <w:rPr>
          <w:rFonts w:cs="Calibri"/>
          <w:color w:val="000000"/>
          <w:sz w:val="28"/>
          <w:szCs w:val="28"/>
        </w:rPr>
        <w:t>18/</w:t>
      </w:r>
      <w:r w:rsidR="009537FD">
        <w:rPr>
          <w:rFonts w:cs="Calibri"/>
          <w:color w:val="000000"/>
          <w:sz w:val="28"/>
          <w:szCs w:val="28"/>
        </w:rPr>
        <w:t>23</w:t>
      </w:r>
    </w:p>
    <w:p w14:paraId="42F1D98B" w14:textId="77777777" w:rsidR="00246D13" w:rsidRPr="0021043F" w:rsidRDefault="00246D13" w:rsidP="00C90E35">
      <w:pPr>
        <w:widowControl/>
        <w:jc w:val="center"/>
        <w:rPr>
          <w:rFonts w:cs="Calibri"/>
          <w:color w:val="000000"/>
        </w:rPr>
      </w:pPr>
    </w:p>
    <w:p w14:paraId="53337E64" w14:textId="77777777" w:rsidR="00246D13" w:rsidRPr="0021043F" w:rsidRDefault="009537FD" w:rsidP="00C90E35">
      <w:pPr>
        <w:widowControl/>
        <w:jc w:val="center"/>
        <w:rPr>
          <w:rFonts w:ascii="Calibri" w:hAnsi="Calibri" w:cs="Calibri"/>
          <w:b/>
          <w:color w:val="000000"/>
          <w:sz w:val="28"/>
        </w:rPr>
      </w:pPr>
      <w:r>
        <w:rPr>
          <w:rFonts w:ascii="Calibri" w:hAnsi="Calibri" w:cs="Calibri"/>
          <w:b/>
          <w:color w:val="000000"/>
          <w:sz w:val="28"/>
        </w:rPr>
        <w:t>Peněžní prostředky a majetek státu, se kterými jsou příslušné hospodařit správy národních par</w:t>
      </w:r>
      <w:bookmarkStart w:id="0" w:name="_GoBack"/>
      <w:bookmarkEnd w:id="0"/>
      <w:r>
        <w:rPr>
          <w:rFonts w:ascii="Calibri" w:hAnsi="Calibri" w:cs="Calibri"/>
          <w:b/>
          <w:color w:val="000000"/>
          <w:sz w:val="28"/>
        </w:rPr>
        <w:t>ků</w:t>
      </w:r>
    </w:p>
    <w:p w14:paraId="79849472" w14:textId="77777777" w:rsidR="00246D13" w:rsidRPr="0021043F" w:rsidRDefault="00246D13" w:rsidP="00C90E35">
      <w:pPr>
        <w:widowControl/>
        <w:rPr>
          <w:rFonts w:cs="Calibri"/>
          <w:color w:val="000000"/>
        </w:rPr>
      </w:pPr>
    </w:p>
    <w:p w14:paraId="6E3FDC9C" w14:textId="77777777" w:rsidR="00246D13" w:rsidRPr="0021043F" w:rsidRDefault="00246D13" w:rsidP="00C90E35">
      <w:pPr>
        <w:widowControl/>
        <w:rPr>
          <w:rFonts w:cs="Calibri"/>
          <w:color w:val="000000"/>
        </w:rPr>
      </w:pPr>
    </w:p>
    <w:p w14:paraId="22FF4EF9" w14:textId="77777777" w:rsidR="00246D13" w:rsidRPr="00B87767" w:rsidRDefault="00246D13" w:rsidP="00C90E35">
      <w:pPr>
        <w:widowControl/>
        <w:jc w:val="both"/>
        <w:rPr>
          <w:rFonts w:ascii="Calibri" w:hAnsi="Calibri" w:cs="Calibri"/>
        </w:rPr>
      </w:pPr>
      <w:r w:rsidRPr="00BE2CEF">
        <w:rPr>
          <w:rFonts w:asciiTheme="minorHAnsi" w:hAnsiTheme="minorHAnsi" w:cs="Calibri"/>
          <w:color w:val="000000"/>
          <w:sz w:val="24"/>
          <w:szCs w:val="24"/>
        </w:rPr>
        <w:t xml:space="preserve">Kontrolní akce byla zařazena do plánu kontrolní činnosti Nejvyššího kontrolního úřadu </w:t>
      </w:r>
      <w:r w:rsidR="009F090A">
        <w:rPr>
          <w:rFonts w:asciiTheme="minorHAnsi" w:hAnsiTheme="minorHAnsi" w:cs="Calibri"/>
          <w:color w:val="000000"/>
          <w:sz w:val="24"/>
          <w:szCs w:val="24"/>
        </w:rPr>
        <w:br/>
      </w:r>
      <w:r w:rsidRPr="00BE2CEF">
        <w:rPr>
          <w:rFonts w:asciiTheme="minorHAnsi" w:hAnsiTheme="minorHAnsi" w:cs="Calibri"/>
          <w:color w:val="000000"/>
          <w:sz w:val="24"/>
          <w:szCs w:val="24"/>
        </w:rPr>
        <w:t>(dále také „NK</w:t>
      </w:r>
      <w:r w:rsidR="009537FD">
        <w:rPr>
          <w:rFonts w:asciiTheme="minorHAnsi" w:hAnsiTheme="minorHAnsi" w:cs="Calibri"/>
          <w:color w:val="000000"/>
          <w:sz w:val="24"/>
          <w:szCs w:val="24"/>
        </w:rPr>
        <w:t>Ú“) na rok 2018 pod číslem 18/23</w:t>
      </w:r>
      <w:r w:rsidRPr="00BE2CEF">
        <w:rPr>
          <w:rFonts w:asciiTheme="minorHAnsi" w:hAnsiTheme="minorHAnsi" w:cs="Calibri"/>
          <w:color w:val="000000"/>
          <w:sz w:val="24"/>
          <w:szCs w:val="24"/>
        </w:rPr>
        <w:t>. Kontrolní akci řídil</w:t>
      </w:r>
      <w:r w:rsidR="009537FD">
        <w:rPr>
          <w:rFonts w:asciiTheme="minorHAnsi" w:hAnsiTheme="minorHAnsi" w:cs="Calibri"/>
          <w:color w:val="000000"/>
          <w:sz w:val="24"/>
          <w:szCs w:val="24"/>
        </w:rPr>
        <w:t xml:space="preserve"> a kontrolní závěr vypracoval člen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 NKÚ RNDr. </w:t>
      </w:r>
      <w:r w:rsidR="009537FD">
        <w:rPr>
          <w:rFonts w:asciiTheme="minorHAnsi" w:hAnsiTheme="minorHAnsi" w:cs="Calibri"/>
          <w:color w:val="000000"/>
          <w:sz w:val="24"/>
          <w:szCs w:val="24"/>
        </w:rPr>
        <w:t>Petr Neuvirt.</w:t>
      </w:r>
    </w:p>
    <w:p w14:paraId="37857B80" w14:textId="77777777" w:rsidR="00246D13" w:rsidRPr="00BE2CEF" w:rsidRDefault="00246D13" w:rsidP="00C90E35">
      <w:pPr>
        <w:widowControl/>
        <w:rPr>
          <w:rFonts w:asciiTheme="minorHAnsi" w:hAnsiTheme="minorHAnsi" w:cs="Calibri"/>
          <w:color w:val="000000"/>
          <w:sz w:val="24"/>
          <w:szCs w:val="24"/>
        </w:rPr>
      </w:pPr>
    </w:p>
    <w:p w14:paraId="16DFBD90" w14:textId="77777777" w:rsidR="00246D13" w:rsidRPr="00CF1B67" w:rsidRDefault="00246D13" w:rsidP="00C90E35">
      <w:pPr>
        <w:widowControl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CF1B67">
        <w:rPr>
          <w:rFonts w:asciiTheme="minorHAnsi" w:hAnsiTheme="minorHAnsi" w:cs="Calibri"/>
          <w:color w:val="000000"/>
          <w:sz w:val="24"/>
          <w:szCs w:val="24"/>
        </w:rPr>
        <w:t>Cíl</w:t>
      </w:r>
      <w:r w:rsidR="00426928">
        <w:rPr>
          <w:rFonts w:asciiTheme="minorHAnsi" w:hAnsiTheme="minorHAnsi" w:cs="Calibri"/>
          <w:color w:val="000000"/>
          <w:sz w:val="24"/>
          <w:szCs w:val="24"/>
        </w:rPr>
        <w:t>em kontrolní akce bylo prověřit, zda správy národních parků hospodaří s majetkem a peněžními prostředky státu účelně, hospodárně a v souladu s právními předpisy.</w:t>
      </w:r>
    </w:p>
    <w:p w14:paraId="2077EB8C" w14:textId="77777777" w:rsidR="00246D13" w:rsidRPr="00CF1B67" w:rsidRDefault="00246D13" w:rsidP="00C90E35">
      <w:pPr>
        <w:widowControl/>
        <w:jc w:val="both"/>
        <w:rPr>
          <w:rFonts w:asciiTheme="minorHAnsi" w:hAnsiTheme="minorHAnsi" w:cs="Calibri"/>
          <w:color w:val="000000"/>
          <w:sz w:val="24"/>
          <w:szCs w:val="24"/>
        </w:rPr>
      </w:pPr>
    </w:p>
    <w:p w14:paraId="3394101C" w14:textId="77777777" w:rsidR="00246D13" w:rsidRPr="00BE2CEF" w:rsidRDefault="00246D13" w:rsidP="00C90E35">
      <w:pPr>
        <w:widowControl/>
        <w:rPr>
          <w:rFonts w:asciiTheme="minorHAnsi" w:hAnsiTheme="minorHAnsi" w:cs="Calibri"/>
          <w:color w:val="000000"/>
          <w:sz w:val="24"/>
          <w:szCs w:val="24"/>
        </w:rPr>
      </w:pPr>
      <w:r w:rsidRPr="00BE2CEF">
        <w:rPr>
          <w:rFonts w:asciiTheme="minorHAnsi" w:hAnsiTheme="minorHAnsi" w:cs="Calibri"/>
          <w:color w:val="000000"/>
          <w:sz w:val="24"/>
          <w:szCs w:val="24"/>
        </w:rPr>
        <w:t>Kontro</w:t>
      </w:r>
      <w:r w:rsidR="009537FD">
        <w:rPr>
          <w:rFonts w:asciiTheme="minorHAnsi" w:hAnsiTheme="minorHAnsi" w:cs="Calibri"/>
          <w:color w:val="000000"/>
          <w:sz w:val="24"/>
          <w:szCs w:val="24"/>
        </w:rPr>
        <w:t xml:space="preserve">la byla prováděna u kontrolovaných osob v období od </w:t>
      </w:r>
      <w:r w:rsidR="009537FD" w:rsidRPr="00426928">
        <w:rPr>
          <w:rFonts w:asciiTheme="minorHAnsi" w:hAnsiTheme="minorHAnsi" w:cs="Calibri"/>
          <w:color w:val="000000"/>
          <w:sz w:val="24"/>
          <w:szCs w:val="24"/>
        </w:rPr>
        <w:t xml:space="preserve">října 2018 do </w:t>
      </w:r>
      <w:r w:rsidR="00426928" w:rsidRPr="00426928">
        <w:rPr>
          <w:rFonts w:asciiTheme="minorHAnsi" w:hAnsiTheme="minorHAnsi" w:cs="Calibri"/>
          <w:color w:val="000000"/>
          <w:sz w:val="24"/>
          <w:szCs w:val="24"/>
        </w:rPr>
        <w:t>dubna</w:t>
      </w:r>
      <w:r w:rsidRPr="00426928">
        <w:rPr>
          <w:rFonts w:asciiTheme="minorHAnsi" w:hAnsiTheme="minorHAnsi" w:cs="Calibri"/>
          <w:color w:val="000000"/>
          <w:sz w:val="24"/>
          <w:szCs w:val="24"/>
        </w:rPr>
        <w:t xml:space="preserve"> 2019.</w:t>
      </w:r>
      <w:r w:rsidRPr="00BE2CEF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</w:p>
    <w:p w14:paraId="523AC921" w14:textId="77777777" w:rsidR="00246D13" w:rsidRPr="00BE2CEF" w:rsidRDefault="00246D13" w:rsidP="00C90E35">
      <w:pPr>
        <w:widowControl/>
        <w:rPr>
          <w:rFonts w:asciiTheme="minorHAnsi" w:hAnsiTheme="minorHAnsi" w:cs="Calibri"/>
          <w:color w:val="000000"/>
          <w:sz w:val="24"/>
          <w:szCs w:val="24"/>
        </w:rPr>
      </w:pPr>
    </w:p>
    <w:p w14:paraId="3442D15A" w14:textId="3C8E2EDF" w:rsidR="00246D13" w:rsidRPr="00BE2CEF" w:rsidRDefault="00246D13" w:rsidP="00C90E35">
      <w:pPr>
        <w:widowControl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BE2CEF">
        <w:rPr>
          <w:rFonts w:asciiTheme="minorHAnsi" w:hAnsiTheme="minorHAnsi" w:cs="Calibri"/>
          <w:color w:val="000000"/>
          <w:sz w:val="24"/>
          <w:szCs w:val="24"/>
        </w:rPr>
        <w:t>Kont</w:t>
      </w:r>
      <w:r w:rsidR="009537FD">
        <w:rPr>
          <w:rFonts w:asciiTheme="minorHAnsi" w:hAnsiTheme="minorHAnsi" w:cs="Calibri"/>
          <w:color w:val="000000"/>
          <w:sz w:val="24"/>
          <w:szCs w:val="24"/>
        </w:rPr>
        <w:t>rolovaným obdobím byly roky 2016 až 2018</w:t>
      </w:r>
      <w:r w:rsidRPr="00BE2CEF">
        <w:rPr>
          <w:rFonts w:asciiTheme="minorHAnsi" w:hAnsiTheme="minorHAnsi" w:cs="Calibri"/>
          <w:color w:val="000000"/>
          <w:sz w:val="24"/>
          <w:szCs w:val="24"/>
        </w:rPr>
        <w:t>, v případě věcných souvislostí i období předch</w:t>
      </w:r>
      <w:r w:rsidR="00527096">
        <w:rPr>
          <w:rFonts w:asciiTheme="minorHAnsi" w:hAnsiTheme="minorHAnsi" w:cs="Calibri"/>
          <w:color w:val="000000"/>
          <w:sz w:val="24"/>
          <w:szCs w:val="24"/>
        </w:rPr>
        <w:t>ázející</w:t>
      </w:r>
      <w:r w:rsidRPr="00BE2CEF">
        <w:rPr>
          <w:rFonts w:asciiTheme="minorHAnsi" w:hAnsiTheme="minorHAnsi" w:cs="Calibri"/>
          <w:color w:val="000000"/>
          <w:sz w:val="24"/>
          <w:szCs w:val="24"/>
        </w:rPr>
        <w:t xml:space="preserve"> a</w:t>
      </w:r>
      <w:r w:rsidR="006515CD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Pr="00BE2CEF">
        <w:rPr>
          <w:rFonts w:asciiTheme="minorHAnsi" w:hAnsiTheme="minorHAnsi" w:cs="Calibri"/>
          <w:color w:val="000000"/>
          <w:sz w:val="24"/>
          <w:szCs w:val="24"/>
        </w:rPr>
        <w:t>období následující.</w:t>
      </w:r>
    </w:p>
    <w:p w14:paraId="026645C9" w14:textId="77777777" w:rsidR="00246D13" w:rsidRPr="00BE2CEF" w:rsidRDefault="00246D13" w:rsidP="00C90E35">
      <w:pPr>
        <w:widowControl/>
        <w:jc w:val="both"/>
        <w:rPr>
          <w:rFonts w:asciiTheme="minorHAnsi" w:hAnsiTheme="minorHAnsi" w:cs="Calibri"/>
          <w:color w:val="000000"/>
          <w:sz w:val="24"/>
          <w:szCs w:val="24"/>
        </w:rPr>
      </w:pPr>
    </w:p>
    <w:p w14:paraId="288FEC90" w14:textId="77777777" w:rsidR="00246D13" w:rsidRPr="00883A95" w:rsidRDefault="00657EBD" w:rsidP="00C90E35">
      <w:pPr>
        <w:widowControl/>
        <w:rPr>
          <w:rFonts w:asciiTheme="minorHAnsi" w:hAnsiTheme="minorHAnsi" w:cs="Calibri"/>
          <w:b/>
          <w:color w:val="000000"/>
          <w:sz w:val="24"/>
          <w:szCs w:val="24"/>
        </w:rPr>
      </w:pPr>
      <w:r w:rsidRPr="00883A95">
        <w:rPr>
          <w:rFonts w:asciiTheme="minorHAnsi" w:hAnsiTheme="minorHAnsi" w:cs="Calibri"/>
          <w:b/>
          <w:color w:val="000000"/>
          <w:sz w:val="24"/>
          <w:szCs w:val="24"/>
        </w:rPr>
        <w:t>Kontrolované osoby</w:t>
      </w:r>
      <w:r w:rsidR="00246D13" w:rsidRPr="00883A95">
        <w:rPr>
          <w:rFonts w:asciiTheme="minorHAnsi" w:hAnsiTheme="minorHAnsi" w:cs="Calibri"/>
          <w:b/>
          <w:color w:val="000000"/>
          <w:sz w:val="24"/>
          <w:szCs w:val="24"/>
        </w:rPr>
        <w:t xml:space="preserve">: </w:t>
      </w:r>
    </w:p>
    <w:p w14:paraId="596BF28D" w14:textId="77777777" w:rsidR="00C42141" w:rsidRDefault="009537FD" w:rsidP="00C90E35">
      <w:pPr>
        <w:pStyle w:val="Zkladn"/>
        <w:spacing w:before="0"/>
        <w:rPr>
          <w:rFonts w:asciiTheme="minorHAnsi" w:hAnsiTheme="minorHAnsi" w:cs="Calibri"/>
          <w:color w:val="000000"/>
          <w:lang w:eastAsia="cs-CZ"/>
        </w:rPr>
      </w:pPr>
      <w:r>
        <w:rPr>
          <w:rFonts w:asciiTheme="minorHAnsi" w:hAnsiTheme="minorHAnsi" w:cs="Calibri"/>
          <w:color w:val="000000"/>
          <w:lang w:eastAsia="cs-CZ"/>
        </w:rPr>
        <w:t>Ministerstvo ži</w:t>
      </w:r>
      <w:r w:rsidR="0052509B">
        <w:rPr>
          <w:rFonts w:asciiTheme="minorHAnsi" w:hAnsiTheme="minorHAnsi" w:cs="Calibri"/>
          <w:color w:val="000000"/>
          <w:lang w:eastAsia="cs-CZ"/>
        </w:rPr>
        <w:t>votního prostředí (dále také</w:t>
      </w:r>
      <w:r w:rsidR="008E6BB8">
        <w:rPr>
          <w:rFonts w:asciiTheme="minorHAnsi" w:hAnsiTheme="minorHAnsi" w:cs="Calibri"/>
          <w:color w:val="000000"/>
          <w:lang w:eastAsia="cs-CZ"/>
        </w:rPr>
        <w:t xml:space="preserve"> </w:t>
      </w:r>
      <w:r>
        <w:rPr>
          <w:rFonts w:asciiTheme="minorHAnsi" w:hAnsiTheme="minorHAnsi" w:cs="Calibri"/>
          <w:color w:val="000000"/>
          <w:lang w:eastAsia="cs-CZ"/>
        </w:rPr>
        <w:t xml:space="preserve">„MŽP“); </w:t>
      </w:r>
    </w:p>
    <w:p w14:paraId="62BA092D" w14:textId="2925BF05" w:rsidR="00C42141" w:rsidRDefault="009537FD" w:rsidP="00C90E35">
      <w:pPr>
        <w:pStyle w:val="Zkladn"/>
        <w:spacing w:before="0"/>
        <w:rPr>
          <w:rFonts w:asciiTheme="minorHAnsi" w:hAnsiTheme="minorHAnsi" w:cs="Calibri"/>
          <w:color w:val="000000"/>
          <w:lang w:eastAsia="cs-CZ"/>
        </w:rPr>
      </w:pPr>
      <w:r>
        <w:rPr>
          <w:rFonts w:asciiTheme="minorHAnsi" w:hAnsiTheme="minorHAnsi" w:cs="Calibri"/>
          <w:color w:val="000000"/>
          <w:lang w:eastAsia="cs-CZ"/>
        </w:rPr>
        <w:t>Správa Krkonošského národního parku, Vrchlabí</w:t>
      </w:r>
      <w:r w:rsidR="00C42141">
        <w:rPr>
          <w:rFonts w:asciiTheme="minorHAnsi" w:hAnsiTheme="minorHAnsi" w:cs="Calibri"/>
          <w:color w:val="000000"/>
          <w:lang w:eastAsia="cs-CZ"/>
        </w:rPr>
        <w:t xml:space="preserve"> (dále také „Správa KRNAP“)</w:t>
      </w:r>
      <w:r>
        <w:rPr>
          <w:rFonts w:asciiTheme="minorHAnsi" w:hAnsiTheme="minorHAnsi" w:cs="Calibri"/>
          <w:color w:val="000000"/>
          <w:lang w:eastAsia="cs-CZ"/>
        </w:rPr>
        <w:t xml:space="preserve">; </w:t>
      </w:r>
    </w:p>
    <w:p w14:paraId="70E3465A" w14:textId="281DF697" w:rsidR="00C42141" w:rsidRDefault="009537FD" w:rsidP="00C90E35">
      <w:pPr>
        <w:pStyle w:val="Zkladn"/>
        <w:spacing w:before="0"/>
        <w:rPr>
          <w:rFonts w:asciiTheme="minorHAnsi" w:hAnsiTheme="minorHAnsi" w:cs="Calibri"/>
          <w:color w:val="000000"/>
          <w:lang w:eastAsia="cs-CZ"/>
        </w:rPr>
      </w:pPr>
      <w:r>
        <w:rPr>
          <w:rFonts w:asciiTheme="minorHAnsi" w:hAnsiTheme="minorHAnsi" w:cs="Calibri"/>
          <w:color w:val="000000"/>
          <w:lang w:eastAsia="cs-CZ"/>
        </w:rPr>
        <w:t>Správa Národního parku Šumava, Vimperk</w:t>
      </w:r>
      <w:r w:rsidR="00C42141">
        <w:rPr>
          <w:rFonts w:asciiTheme="minorHAnsi" w:hAnsiTheme="minorHAnsi" w:cs="Calibri"/>
          <w:color w:val="000000"/>
          <w:lang w:eastAsia="cs-CZ"/>
        </w:rPr>
        <w:t xml:space="preserve"> (dále také „Správa NP Šumava“)</w:t>
      </w:r>
      <w:r>
        <w:rPr>
          <w:rFonts w:asciiTheme="minorHAnsi" w:hAnsiTheme="minorHAnsi" w:cs="Calibri"/>
          <w:color w:val="000000"/>
          <w:lang w:eastAsia="cs-CZ"/>
        </w:rPr>
        <w:t xml:space="preserve">; </w:t>
      </w:r>
    </w:p>
    <w:p w14:paraId="0F487262" w14:textId="2089B52E" w:rsidR="00C42141" w:rsidRDefault="009537FD" w:rsidP="00C90E35">
      <w:pPr>
        <w:pStyle w:val="Zkladn"/>
        <w:spacing w:before="0"/>
        <w:rPr>
          <w:rFonts w:asciiTheme="minorHAnsi" w:hAnsiTheme="minorHAnsi" w:cs="Calibri"/>
          <w:color w:val="000000"/>
          <w:lang w:eastAsia="cs-CZ"/>
        </w:rPr>
      </w:pPr>
      <w:r>
        <w:rPr>
          <w:rFonts w:asciiTheme="minorHAnsi" w:hAnsiTheme="minorHAnsi" w:cs="Calibri"/>
          <w:color w:val="000000"/>
          <w:lang w:eastAsia="cs-CZ"/>
        </w:rPr>
        <w:t>Správa Národního parku Podyjí, Znojmo</w:t>
      </w:r>
      <w:r w:rsidR="00C42141">
        <w:rPr>
          <w:rFonts w:asciiTheme="minorHAnsi" w:hAnsiTheme="minorHAnsi" w:cs="Calibri"/>
          <w:color w:val="000000"/>
          <w:lang w:eastAsia="cs-CZ"/>
        </w:rPr>
        <w:t xml:space="preserve"> (dále také „Správa NP Podyjí“)</w:t>
      </w:r>
      <w:r>
        <w:rPr>
          <w:rFonts w:asciiTheme="minorHAnsi" w:hAnsiTheme="minorHAnsi" w:cs="Calibri"/>
          <w:color w:val="000000"/>
          <w:lang w:eastAsia="cs-CZ"/>
        </w:rPr>
        <w:t xml:space="preserve">; </w:t>
      </w:r>
    </w:p>
    <w:p w14:paraId="3473212A" w14:textId="5DF873A3" w:rsidR="00246D13" w:rsidRPr="00CF1B67" w:rsidRDefault="009537FD" w:rsidP="00883A95">
      <w:pPr>
        <w:pStyle w:val="Zkladn"/>
        <w:spacing w:before="0"/>
        <w:jc w:val="left"/>
        <w:rPr>
          <w:rFonts w:asciiTheme="minorHAnsi" w:hAnsiTheme="minorHAnsi" w:cs="Calibri"/>
          <w:color w:val="000000"/>
          <w:lang w:eastAsia="cs-CZ"/>
        </w:rPr>
      </w:pPr>
      <w:r>
        <w:rPr>
          <w:rFonts w:asciiTheme="minorHAnsi" w:hAnsiTheme="minorHAnsi" w:cs="Calibri"/>
          <w:color w:val="000000"/>
          <w:lang w:eastAsia="cs-CZ"/>
        </w:rPr>
        <w:t>Správa Národního parku České Švýcarsko, Krásná Lípa</w:t>
      </w:r>
      <w:r w:rsidR="00C42141">
        <w:rPr>
          <w:rFonts w:asciiTheme="minorHAnsi" w:hAnsiTheme="minorHAnsi" w:cs="Calibri"/>
          <w:color w:val="000000"/>
          <w:lang w:eastAsia="cs-CZ"/>
        </w:rPr>
        <w:t xml:space="preserve"> (dále také „Správa NP České Švýcarsko“)</w:t>
      </w:r>
      <w:r>
        <w:rPr>
          <w:rFonts w:asciiTheme="minorHAnsi" w:hAnsiTheme="minorHAnsi" w:cs="Calibri"/>
          <w:color w:val="000000"/>
          <w:lang w:eastAsia="cs-CZ"/>
        </w:rPr>
        <w:t>.</w:t>
      </w:r>
    </w:p>
    <w:p w14:paraId="3FCC125D" w14:textId="77777777" w:rsidR="00246D13" w:rsidRPr="00CF1B67" w:rsidRDefault="00246D13" w:rsidP="00C90E35">
      <w:pPr>
        <w:pStyle w:val="Zkladntext"/>
        <w:rPr>
          <w:rFonts w:asciiTheme="minorHAnsi" w:hAnsiTheme="minorHAnsi" w:cs="Calibri"/>
          <w:b w:val="0"/>
          <w:bCs w:val="0"/>
          <w:color w:val="000000"/>
          <w:sz w:val="24"/>
          <w:szCs w:val="24"/>
        </w:rPr>
      </w:pPr>
    </w:p>
    <w:p w14:paraId="12E945EA" w14:textId="77777777" w:rsidR="00246D13" w:rsidRPr="00BE2CEF" w:rsidRDefault="00246D13" w:rsidP="00C90E35">
      <w:pPr>
        <w:pStyle w:val="Zkladntext"/>
        <w:rPr>
          <w:rFonts w:cs="Calibri"/>
          <w:b w:val="0"/>
          <w:bCs w:val="0"/>
          <w:color w:val="000000"/>
          <w:sz w:val="24"/>
          <w:szCs w:val="24"/>
        </w:rPr>
      </w:pPr>
    </w:p>
    <w:p w14:paraId="1A2BEA77" w14:textId="77777777" w:rsidR="00246D13" w:rsidRPr="00BE2CEF" w:rsidRDefault="00246D13" w:rsidP="00C90E35">
      <w:pPr>
        <w:pStyle w:val="Zkladntext"/>
        <w:rPr>
          <w:rFonts w:cs="Calibri"/>
          <w:b w:val="0"/>
          <w:bCs w:val="0"/>
          <w:color w:val="000000"/>
          <w:sz w:val="24"/>
          <w:szCs w:val="24"/>
        </w:rPr>
      </w:pPr>
    </w:p>
    <w:p w14:paraId="21CEA382" w14:textId="1DF81AB4" w:rsidR="00246D13" w:rsidRPr="00F94E21" w:rsidRDefault="00246D13" w:rsidP="00C90E35">
      <w:pPr>
        <w:pStyle w:val="Zkladntext"/>
        <w:spacing w:after="120"/>
        <w:rPr>
          <w:rFonts w:asciiTheme="minorHAnsi" w:hAnsiTheme="minorHAnsi" w:cs="Calibri"/>
          <w:b w:val="0"/>
          <w:bCs w:val="0"/>
          <w:color w:val="000000"/>
          <w:sz w:val="24"/>
          <w:szCs w:val="24"/>
        </w:rPr>
      </w:pPr>
      <w:r w:rsidRPr="00BE2CEF">
        <w:rPr>
          <w:rFonts w:asciiTheme="minorHAnsi" w:hAnsiTheme="minorHAnsi" w:cs="Calibri"/>
          <w:i/>
          <w:iCs/>
          <w:color w:val="000000"/>
          <w:sz w:val="24"/>
          <w:szCs w:val="24"/>
        </w:rPr>
        <w:t>K o l e g i u m   N K Ú</w:t>
      </w:r>
      <w:r w:rsidRPr="00BE2CEF">
        <w:rPr>
          <w:rFonts w:asciiTheme="minorHAnsi" w:hAnsiTheme="minorHAnsi" w:cs="Calibri"/>
          <w:b w:val="0"/>
          <w:i/>
          <w:iCs/>
          <w:color w:val="000000"/>
          <w:sz w:val="24"/>
          <w:szCs w:val="24"/>
        </w:rPr>
        <w:t xml:space="preserve">   </w:t>
      </w:r>
      <w:r w:rsidRPr="00BE2CEF">
        <w:rPr>
          <w:rFonts w:asciiTheme="minorHAnsi" w:hAnsiTheme="minorHAnsi" w:cs="Calibri"/>
          <w:b w:val="0"/>
          <w:bCs w:val="0"/>
          <w:color w:val="000000"/>
          <w:sz w:val="24"/>
          <w:szCs w:val="24"/>
        </w:rPr>
        <w:t xml:space="preserve">na </w:t>
      </w:r>
      <w:r w:rsidRPr="00F94E21">
        <w:rPr>
          <w:rFonts w:asciiTheme="minorHAnsi" w:hAnsiTheme="minorHAnsi" w:cs="Calibri"/>
          <w:b w:val="0"/>
          <w:bCs w:val="0"/>
          <w:color w:val="000000"/>
          <w:sz w:val="24"/>
          <w:szCs w:val="24"/>
        </w:rPr>
        <w:t>svém</w:t>
      </w:r>
      <w:r w:rsidR="00657EBD" w:rsidRPr="00F94E21">
        <w:rPr>
          <w:rFonts w:asciiTheme="minorHAnsi" w:hAnsiTheme="minorHAnsi" w:cs="Calibri"/>
          <w:b w:val="0"/>
          <w:bCs w:val="0"/>
          <w:color w:val="000000"/>
          <w:sz w:val="24"/>
          <w:szCs w:val="24"/>
        </w:rPr>
        <w:t xml:space="preserve"> </w:t>
      </w:r>
      <w:r w:rsidR="00F94E21">
        <w:rPr>
          <w:rFonts w:asciiTheme="minorHAnsi" w:hAnsiTheme="minorHAnsi" w:cs="Calibri"/>
          <w:b w:val="0"/>
          <w:bCs w:val="0"/>
          <w:color w:val="000000"/>
          <w:sz w:val="24"/>
          <w:szCs w:val="24"/>
        </w:rPr>
        <w:t>XII</w:t>
      </w:r>
      <w:r w:rsidR="00C525E0" w:rsidRPr="00F94E21">
        <w:rPr>
          <w:rFonts w:asciiTheme="minorHAnsi" w:hAnsiTheme="minorHAnsi" w:cs="Calibri"/>
          <w:b w:val="0"/>
          <w:bCs w:val="0"/>
          <w:color w:val="000000"/>
          <w:sz w:val="24"/>
          <w:szCs w:val="24"/>
        </w:rPr>
        <w:t>.</w:t>
      </w:r>
      <w:r w:rsidRPr="00F94E21">
        <w:rPr>
          <w:rFonts w:asciiTheme="minorHAnsi" w:hAnsiTheme="minorHAnsi" w:cs="Calibri"/>
          <w:b w:val="0"/>
          <w:bCs w:val="0"/>
          <w:color w:val="000000"/>
          <w:sz w:val="24"/>
          <w:szCs w:val="24"/>
        </w:rPr>
        <w:t xml:space="preserve"> jedná</w:t>
      </w:r>
      <w:r w:rsidR="00C525E0" w:rsidRPr="00F94E21">
        <w:rPr>
          <w:rFonts w:asciiTheme="minorHAnsi" w:hAnsiTheme="minorHAnsi" w:cs="Calibri"/>
          <w:b w:val="0"/>
          <w:bCs w:val="0"/>
          <w:color w:val="000000"/>
          <w:sz w:val="24"/>
          <w:szCs w:val="24"/>
        </w:rPr>
        <w:t xml:space="preserve">ní, které se konalo dne </w:t>
      </w:r>
      <w:r w:rsidR="00F94E21">
        <w:rPr>
          <w:rFonts w:asciiTheme="minorHAnsi" w:hAnsiTheme="minorHAnsi" w:cs="Calibri"/>
          <w:b w:val="0"/>
          <w:bCs w:val="0"/>
          <w:color w:val="000000"/>
          <w:sz w:val="24"/>
          <w:szCs w:val="24"/>
        </w:rPr>
        <w:t xml:space="preserve">19. srpna </w:t>
      </w:r>
      <w:r w:rsidR="00C525E0" w:rsidRPr="00F94E21">
        <w:rPr>
          <w:rFonts w:asciiTheme="minorHAnsi" w:hAnsiTheme="minorHAnsi" w:cs="Calibri"/>
          <w:b w:val="0"/>
          <w:bCs w:val="0"/>
          <w:color w:val="000000"/>
          <w:sz w:val="24"/>
          <w:szCs w:val="24"/>
        </w:rPr>
        <w:t>2019,</w:t>
      </w:r>
    </w:p>
    <w:p w14:paraId="0F63889F" w14:textId="1D0C7F62" w:rsidR="00246D13" w:rsidRPr="00BE2CEF" w:rsidRDefault="00246D13" w:rsidP="00C90E35">
      <w:pPr>
        <w:widowControl/>
        <w:spacing w:after="120"/>
        <w:rPr>
          <w:rFonts w:asciiTheme="minorHAnsi" w:hAnsiTheme="minorHAnsi" w:cs="Calibri"/>
          <w:color w:val="000000"/>
          <w:sz w:val="24"/>
          <w:szCs w:val="24"/>
        </w:rPr>
      </w:pPr>
      <w:r w:rsidRPr="00F94E21">
        <w:rPr>
          <w:rFonts w:asciiTheme="minorHAnsi" w:hAnsiTheme="minorHAnsi" w:cs="Calibri"/>
          <w:b/>
          <w:bCs/>
          <w:i/>
          <w:iCs/>
          <w:color w:val="000000"/>
          <w:sz w:val="24"/>
          <w:szCs w:val="24"/>
        </w:rPr>
        <w:t>s c h v á l i l o</w:t>
      </w:r>
      <w:r w:rsidR="00AF232F" w:rsidRPr="00F94E21">
        <w:rPr>
          <w:rFonts w:asciiTheme="minorHAnsi" w:hAnsiTheme="minorHAnsi" w:cs="Calibri"/>
          <w:color w:val="000000"/>
          <w:sz w:val="24"/>
          <w:szCs w:val="24"/>
        </w:rPr>
        <w:t xml:space="preserve">   usnesením </w:t>
      </w:r>
      <w:r w:rsidR="000857F2" w:rsidRPr="00F94E21">
        <w:rPr>
          <w:rFonts w:asciiTheme="minorHAnsi" w:hAnsiTheme="minorHAnsi" w:cs="Calibri"/>
          <w:color w:val="000000"/>
          <w:sz w:val="24"/>
          <w:szCs w:val="24"/>
        </w:rPr>
        <w:t>č.</w:t>
      </w:r>
      <w:r w:rsidR="00AF232F" w:rsidRPr="00F94E21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CA1C92">
        <w:rPr>
          <w:rFonts w:asciiTheme="minorHAnsi" w:hAnsiTheme="minorHAnsi" w:cs="Calibri"/>
          <w:color w:val="000000"/>
          <w:sz w:val="24"/>
          <w:szCs w:val="24"/>
        </w:rPr>
        <w:t>11</w:t>
      </w:r>
      <w:r w:rsidRPr="00F94E21">
        <w:rPr>
          <w:rFonts w:asciiTheme="minorHAnsi" w:hAnsiTheme="minorHAnsi" w:cs="Calibri"/>
          <w:color w:val="000000"/>
          <w:sz w:val="24"/>
          <w:szCs w:val="24"/>
        </w:rPr>
        <w:t>/</w:t>
      </w:r>
      <w:r w:rsidR="00F94E21">
        <w:rPr>
          <w:rFonts w:asciiTheme="minorHAnsi" w:hAnsiTheme="minorHAnsi" w:cs="Calibri"/>
          <w:color w:val="000000"/>
          <w:sz w:val="24"/>
          <w:szCs w:val="24"/>
        </w:rPr>
        <w:t>XII</w:t>
      </w:r>
      <w:r w:rsidR="00F25C86" w:rsidRPr="00F94E21">
        <w:rPr>
          <w:rFonts w:asciiTheme="minorHAnsi" w:hAnsiTheme="minorHAnsi" w:cs="Calibri"/>
          <w:color w:val="000000"/>
          <w:sz w:val="24"/>
          <w:szCs w:val="24"/>
        </w:rPr>
        <w:t>/</w:t>
      </w:r>
      <w:r w:rsidRPr="00F94E21">
        <w:rPr>
          <w:rFonts w:asciiTheme="minorHAnsi" w:hAnsiTheme="minorHAnsi" w:cs="Calibri"/>
          <w:color w:val="000000"/>
          <w:sz w:val="24"/>
          <w:szCs w:val="24"/>
        </w:rPr>
        <w:t>2019</w:t>
      </w:r>
    </w:p>
    <w:p w14:paraId="787CFFCB" w14:textId="77777777" w:rsidR="00246D13" w:rsidRPr="00BE2CEF" w:rsidRDefault="00246D13" w:rsidP="00C90E35">
      <w:pPr>
        <w:widowControl/>
        <w:spacing w:after="120"/>
        <w:rPr>
          <w:rFonts w:asciiTheme="minorHAnsi" w:hAnsiTheme="minorHAnsi" w:cs="Calibri"/>
          <w:color w:val="000000"/>
          <w:sz w:val="24"/>
          <w:szCs w:val="24"/>
        </w:rPr>
      </w:pPr>
      <w:r w:rsidRPr="00BE2CEF">
        <w:rPr>
          <w:rFonts w:asciiTheme="minorHAnsi" w:hAnsiTheme="minorHAnsi" w:cs="Calibri"/>
          <w:b/>
          <w:bCs/>
          <w:i/>
          <w:iCs/>
          <w:color w:val="000000"/>
          <w:sz w:val="24"/>
          <w:szCs w:val="24"/>
        </w:rPr>
        <w:t>k o n t r o l n í   z á v ě r</w:t>
      </w:r>
      <w:r w:rsidRPr="00BE2CEF">
        <w:rPr>
          <w:rFonts w:asciiTheme="minorHAnsi" w:hAnsiTheme="minorHAnsi" w:cs="Calibri"/>
          <w:color w:val="000000"/>
          <w:sz w:val="24"/>
          <w:szCs w:val="24"/>
        </w:rPr>
        <w:t xml:space="preserve">   v tomto znění:</w:t>
      </w:r>
    </w:p>
    <w:p w14:paraId="6E6E0C40" w14:textId="4BF1CF1A" w:rsidR="0023327E" w:rsidRPr="00555938" w:rsidRDefault="00C36E53" w:rsidP="00C90E35">
      <w:pPr>
        <w:widowControl/>
        <w:autoSpaceDE/>
        <w:autoSpaceDN/>
        <w:adjustRightInd/>
        <w:spacing w:after="160" w:line="259" w:lineRule="auto"/>
        <w:rPr>
          <w:rFonts w:cs="Calibri"/>
          <w:b/>
          <w:noProof/>
          <w:color w:val="000000"/>
        </w:rPr>
      </w:pPr>
      <w:r w:rsidRPr="00C36E53">
        <w:rPr>
          <w:rFonts w:cs="Calibri"/>
          <w:b/>
          <w:noProof/>
          <w:color w:val="000000"/>
        </w:rPr>
        <w:lastRenderedPageBreak/>
        <w:drawing>
          <wp:inline distT="0" distB="0" distL="0" distR="0" wp14:anchorId="11BA5005" wp14:editId="1340857C">
            <wp:extent cx="5760720" cy="8147719"/>
            <wp:effectExtent l="0" t="0" r="0" b="5715"/>
            <wp:docPr id="5" name="Obrázek 5" descr="C:\Users\GRESOVA\AppData\Local\Microsoft\Windows\INetCache\Content.Outlook\8CJJ6H7H\18_23 (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ESOVA\AppData\Local\Microsoft\Windows\INetCache\Content.Outlook\8CJJ6H7H\18_23 (9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36CB">
        <w:rPr>
          <w:rFonts w:cs="Calibri"/>
          <w:b/>
          <w:noProof/>
          <w:color w:val="000000"/>
        </w:rPr>
        <w:br w:type="page"/>
      </w:r>
    </w:p>
    <w:p w14:paraId="55708EA6" w14:textId="149A4247" w:rsidR="00DC6E94" w:rsidRDefault="00DC6E94" w:rsidP="00C90E35">
      <w:pPr>
        <w:widowControl/>
      </w:pPr>
    </w:p>
    <w:p w14:paraId="27D860CF" w14:textId="77777777" w:rsidR="00053F92" w:rsidRPr="00053F92" w:rsidRDefault="00053F92" w:rsidP="00C90E35">
      <w:pPr>
        <w:pStyle w:val="Nadpis1"/>
        <w:keepNext w:val="0"/>
        <w:keepLines w:val="0"/>
        <w:widowControl/>
        <w:spacing w:before="0" w:after="240"/>
        <w:jc w:val="center"/>
        <w:rPr>
          <w:rFonts w:asciiTheme="minorHAnsi" w:hAnsiTheme="minorHAnsi" w:cstheme="minorHAnsi"/>
          <w:b/>
          <w:color w:val="auto"/>
          <w:spacing w:val="-2"/>
        </w:rPr>
      </w:pPr>
      <w:r w:rsidRPr="00053F92">
        <w:rPr>
          <w:rFonts w:asciiTheme="minorHAnsi" w:hAnsiTheme="minorHAnsi" w:cstheme="minorHAnsi"/>
          <w:b/>
          <w:color w:val="auto"/>
        </w:rPr>
        <w:t>I. Shrnutí a vyhodnocení</w:t>
      </w:r>
    </w:p>
    <w:p w14:paraId="3306B8E5" w14:textId="17F8B4FB" w:rsidR="003C3204" w:rsidRPr="00FD3031" w:rsidRDefault="003C3204" w:rsidP="00C90E35">
      <w:pPr>
        <w:widowControl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D3031">
        <w:rPr>
          <w:rFonts w:asciiTheme="minorHAnsi" w:hAnsiTheme="minorHAnsi" w:cstheme="minorHAnsi"/>
          <w:sz w:val="24"/>
          <w:szCs w:val="24"/>
        </w:rPr>
        <w:t>NKÚ vykonal kontrolu u čtyř správ národních parků (dále také „správy NP“) a u MŽP</w:t>
      </w:r>
      <w:r w:rsidR="005E4994">
        <w:rPr>
          <w:rFonts w:asciiTheme="minorHAnsi" w:hAnsiTheme="minorHAnsi" w:cstheme="minorHAnsi"/>
          <w:sz w:val="24"/>
          <w:szCs w:val="24"/>
        </w:rPr>
        <w:t>, které je jejich zřizovatelem</w:t>
      </w:r>
      <w:r w:rsidRPr="00FD3031">
        <w:rPr>
          <w:rFonts w:asciiTheme="minorHAnsi" w:hAnsiTheme="minorHAnsi" w:cstheme="minorHAnsi"/>
          <w:sz w:val="24"/>
          <w:szCs w:val="24"/>
        </w:rPr>
        <w:t>. Cílem kontrolní akce bylo prověřit, zda s</w:t>
      </w:r>
      <w:r w:rsidR="005E4994">
        <w:rPr>
          <w:rFonts w:asciiTheme="minorHAnsi" w:hAnsiTheme="minorHAnsi" w:cstheme="minorHAnsi"/>
          <w:sz w:val="24"/>
          <w:szCs w:val="24"/>
        </w:rPr>
        <w:t>právy NP hospodaří s majetkem a </w:t>
      </w:r>
      <w:r w:rsidRPr="00FD3031">
        <w:rPr>
          <w:rFonts w:asciiTheme="minorHAnsi" w:hAnsiTheme="minorHAnsi" w:cstheme="minorHAnsi"/>
          <w:sz w:val="24"/>
          <w:szCs w:val="24"/>
        </w:rPr>
        <w:t xml:space="preserve">peněžními prostředky státu účelně, hospodárně a v souladu s právními předpisy. </w:t>
      </w:r>
    </w:p>
    <w:p w14:paraId="2165C10B" w14:textId="77777777" w:rsidR="007E0521" w:rsidRPr="00FD3031" w:rsidRDefault="00FC1978" w:rsidP="00C90E35">
      <w:pPr>
        <w:widowControl/>
        <w:spacing w:before="12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D3031">
        <w:rPr>
          <w:rFonts w:asciiTheme="minorHAnsi" w:hAnsiTheme="minorHAnsi" w:cstheme="minorHAnsi"/>
          <w:b/>
          <w:bCs/>
          <w:sz w:val="24"/>
          <w:szCs w:val="24"/>
        </w:rPr>
        <w:t xml:space="preserve">Kontrola </w:t>
      </w:r>
      <w:r w:rsidR="003C3204" w:rsidRPr="00FD3031">
        <w:rPr>
          <w:rFonts w:asciiTheme="minorHAnsi" w:hAnsiTheme="minorHAnsi" w:cstheme="minorHAnsi"/>
          <w:b/>
          <w:bCs/>
          <w:sz w:val="24"/>
          <w:szCs w:val="24"/>
        </w:rPr>
        <w:t xml:space="preserve">zjistila </w:t>
      </w:r>
      <w:r w:rsidRPr="00FD3031">
        <w:rPr>
          <w:rFonts w:asciiTheme="minorHAnsi" w:hAnsiTheme="minorHAnsi" w:cstheme="minorHAnsi"/>
          <w:b/>
          <w:bCs/>
          <w:sz w:val="24"/>
          <w:szCs w:val="24"/>
        </w:rPr>
        <w:t>dílčí</w:t>
      </w:r>
      <w:r w:rsidR="003C3204" w:rsidRPr="00FD3031">
        <w:rPr>
          <w:rFonts w:asciiTheme="minorHAnsi" w:hAnsiTheme="minorHAnsi" w:cstheme="minorHAnsi"/>
          <w:b/>
          <w:bCs/>
          <w:sz w:val="24"/>
          <w:szCs w:val="24"/>
        </w:rPr>
        <w:t xml:space="preserve"> nedostatky v hospodaření správ NP s majetkem a peněžními prostředky státu.</w:t>
      </w:r>
      <w:r w:rsidRPr="00FD303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491302B1" w14:textId="019306F8" w:rsidR="003C3204" w:rsidRPr="00FD3031" w:rsidRDefault="003C3204" w:rsidP="00C90E35">
      <w:pPr>
        <w:widowControl/>
        <w:spacing w:before="12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D3031">
        <w:rPr>
          <w:rFonts w:asciiTheme="minorHAnsi" w:hAnsiTheme="minorHAnsi" w:cstheme="minorHAnsi"/>
          <w:b/>
          <w:bCs/>
          <w:sz w:val="24"/>
          <w:szCs w:val="24"/>
        </w:rPr>
        <w:t>Správy NP plní své úkoly v ochraně přírody a hospodaří s majetkem a peněžními prostředky státu účelně. Kontrolou byl zjištěn případ nehospodárné</w:t>
      </w:r>
      <w:r w:rsidR="00560D82">
        <w:rPr>
          <w:rFonts w:asciiTheme="minorHAnsi" w:hAnsiTheme="minorHAnsi" w:cstheme="minorHAnsi"/>
          <w:b/>
          <w:bCs/>
          <w:sz w:val="24"/>
          <w:szCs w:val="24"/>
        </w:rPr>
        <w:t>ho nakládání s majetkem státu u </w:t>
      </w:r>
      <w:r w:rsidR="00C90E35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Pr="00FD3031">
        <w:rPr>
          <w:rFonts w:asciiTheme="minorHAnsi" w:hAnsiTheme="minorHAnsi" w:cstheme="minorHAnsi"/>
          <w:b/>
          <w:bCs/>
          <w:sz w:val="24"/>
          <w:szCs w:val="24"/>
        </w:rPr>
        <w:t>právy KRNAP. Dále kontrola odhalila jednotlivé případy porušení právních předpisů. Jednalo se zejména o porušení v oblasti pronajímání majetku, veřejných zakázek, účetnictví a vnitřního kontrolního systému.</w:t>
      </w:r>
      <w:r w:rsidRPr="00FD3031">
        <w:rPr>
          <w:b/>
          <w:sz w:val="24"/>
          <w:szCs w:val="24"/>
        </w:rPr>
        <w:t xml:space="preserve"> </w:t>
      </w:r>
    </w:p>
    <w:p w14:paraId="795B162A" w14:textId="0A894074" w:rsidR="003C3204" w:rsidRPr="00FD3031" w:rsidRDefault="003C3204" w:rsidP="00C90E35">
      <w:pPr>
        <w:widowControl/>
        <w:spacing w:before="12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D3031">
        <w:rPr>
          <w:rFonts w:asciiTheme="minorHAnsi" w:hAnsiTheme="minorHAnsi" w:cstheme="minorHAnsi"/>
          <w:b/>
          <w:bCs/>
          <w:sz w:val="24"/>
          <w:szCs w:val="24"/>
        </w:rPr>
        <w:t>Významným vlastním zdrojem financování správ NP byly v kontrolovaném období výnosy z prodeje dřeva</w:t>
      </w:r>
      <w:r w:rsidR="007E0521" w:rsidRPr="00FD3031">
        <w:rPr>
          <w:rFonts w:asciiTheme="minorHAnsi" w:hAnsiTheme="minorHAnsi" w:cstheme="minorHAnsi"/>
          <w:b/>
          <w:bCs/>
          <w:sz w:val="24"/>
          <w:szCs w:val="24"/>
        </w:rPr>
        <w:t>, v roce 2018 činily 44 % celkových výnosů</w:t>
      </w:r>
      <w:r w:rsidRPr="00FD3031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7E0521" w:rsidRPr="00FD3031">
        <w:rPr>
          <w:rFonts w:asciiTheme="minorHAnsi" w:hAnsiTheme="minorHAnsi" w:cstheme="minorHAnsi"/>
          <w:b/>
          <w:bCs/>
          <w:sz w:val="24"/>
          <w:szCs w:val="24"/>
        </w:rPr>
        <w:t xml:space="preserve">Výnosy z prodeje dřeva byly ovlivněny </w:t>
      </w:r>
      <w:r w:rsidR="007A6034" w:rsidRPr="00FD3031">
        <w:rPr>
          <w:rFonts w:asciiTheme="minorHAnsi" w:hAnsiTheme="minorHAnsi" w:cstheme="minorHAnsi"/>
          <w:b/>
          <w:bCs/>
          <w:sz w:val="24"/>
          <w:szCs w:val="24"/>
        </w:rPr>
        <w:t xml:space="preserve">zvyšujícím se </w:t>
      </w:r>
      <w:r w:rsidR="007E0521" w:rsidRPr="00FD3031">
        <w:rPr>
          <w:rFonts w:asciiTheme="minorHAnsi" w:hAnsiTheme="minorHAnsi" w:cstheme="minorHAnsi"/>
          <w:b/>
          <w:bCs/>
          <w:sz w:val="24"/>
          <w:szCs w:val="24"/>
        </w:rPr>
        <w:t>objemem</w:t>
      </w:r>
      <w:r w:rsidRPr="00FD3031">
        <w:rPr>
          <w:rFonts w:asciiTheme="minorHAnsi" w:hAnsiTheme="minorHAnsi" w:cstheme="minorHAnsi"/>
          <w:b/>
          <w:bCs/>
          <w:sz w:val="24"/>
          <w:szCs w:val="24"/>
        </w:rPr>
        <w:t xml:space="preserve"> nahodilé těžby dřev</w:t>
      </w:r>
      <w:r w:rsidR="00560D82">
        <w:rPr>
          <w:rFonts w:asciiTheme="minorHAnsi" w:hAnsiTheme="minorHAnsi" w:cstheme="minorHAnsi"/>
          <w:b/>
          <w:bCs/>
          <w:sz w:val="24"/>
          <w:szCs w:val="24"/>
        </w:rPr>
        <w:t>a v souvislosti s abiotickými a </w:t>
      </w:r>
      <w:r w:rsidRPr="00FD3031">
        <w:rPr>
          <w:rFonts w:asciiTheme="minorHAnsi" w:hAnsiTheme="minorHAnsi" w:cstheme="minorHAnsi"/>
          <w:b/>
          <w:bCs/>
          <w:sz w:val="24"/>
          <w:szCs w:val="24"/>
        </w:rPr>
        <w:t>biotickými činiteli</w:t>
      </w:r>
      <w:r w:rsidRPr="00FD3031">
        <w:rPr>
          <w:rStyle w:val="Znakapoznpodarou"/>
          <w:rFonts w:asciiTheme="minorHAnsi" w:hAnsiTheme="minorHAnsi" w:cstheme="minorHAnsi"/>
          <w:b/>
          <w:bCs/>
          <w:sz w:val="24"/>
          <w:szCs w:val="24"/>
        </w:rPr>
        <w:footnoteReference w:id="1"/>
      </w:r>
      <w:r w:rsidR="005E4994">
        <w:rPr>
          <w:rFonts w:asciiTheme="minorHAnsi" w:hAnsiTheme="minorHAnsi" w:cstheme="minorHAnsi"/>
          <w:b/>
          <w:bCs/>
          <w:sz w:val="24"/>
          <w:szCs w:val="24"/>
        </w:rPr>
        <w:t xml:space="preserve"> na</w:t>
      </w:r>
      <w:r w:rsidR="001E55E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E4994">
        <w:rPr>
          <w:rFonts w:asciiTheme="minorHAnsi" w:hAnsiTheme="minorHAnsi" w:cstheme="minorHAnsi"/>
          <w:b/>
          <w:bCs/>
          <w:sz w:val="24"/>
          <w:szCs w:val="24"/>
        </w:rPr>
        <w:t xml:space="preserve">území národních parků </w:t>
      </w:r>
      <w:r w:rsidR="005E4994" w:rsidRPr="00883A95">
        <w:rPr>
          <w:rFonts w:asciiTheme="minorHAnsi" w:hAnsiTheme="minorHAnsi" w:cstheme="minorHAnsi"/>
          <w:b/>
          <w:sz w:val="24"/>
          <w:szCs w:val="24"/>
        </w:rPr>
        <w:t>(</w:t>
      </w:r>
      <w:r w:rsidR="005E4994" w:rsidRPr="005E4994">
        <w:rPr>
          <w:rFonts w:asciiTheme="minorHAnsi" w:hAnsiTheme="minorHAnsi" w:cstheme="minorHAnsi"/>
          <w:b/>
          <w:bCs/>
          <w:sz w:val="24"/>
          <w:szCs w:val="24"/>
        </w:rPr>
        <w:t>dále také „NP“)</w:t>
      </w:r>
      <w:r w:rsidR="005E4994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  <w:r w:rsidR="007E0521" w:rsidRPr="00FD3031">
        <w:rPr>
          <w:rFonts w:asciiTheme="minorHAnsi" w:hAnsiTheme="minorHAnsi" w:cstheme="minorHAnsi"/>
          <w:b/>
          <w:bCs/>
          <w:sz w:val="24"/>
          <w:szCs w:val="24"/>
        </w:rPr>
        <w:t>NKÚ upozorňuje na riziko budoucího zvyšování nároků na státní rozpočet př</w:t>
      </w:r>
      <w:r w:rsidR="004555D7">
        <w:rPr>
          <w:rFonts w:asciiTheme="minorHAnsi" w:hAnsiTheme="minorHAnsi" w:cstheme="minorHAnsi"/>
          <w:b/>
          <w:bCs/>
          <w:sz w:val="24"/>
          <w:szCs w:val="24"/>
        </w:rPr>
        <w:t>i financování činnosti správ NP z důvodu očekávaného poklesu těchto výnosů.</w:t>
      </w:r>
    </w:p>
    <w:p w14:paraId="366E4F9B" w14:textId="5B280C61" w:rsidR="003C3204" w:rsidRPr="00FD3031" w:rsidRDefault="004F7718" w:rsidP="00C90E35">
      <w:pPr>
        <w:widowControl/>
        <w:spacing w:before="12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MŽP řídilo činnost správ NP z hlediska jejich hospodaření bez zjištěných nedostatků.</w:t>
      </w:r>
    </w:p>
    <w:p w14:paraId="0D591229" w14:textId="48EDE0A5" w:rsidR="00FC40E8" w:rsidRPr="00FD3031" w:rsidRDefault="00FC40E8" w:rsidP="00C90E35">
      <w:pPr>
        <w:widowControl/>
        <w:spacing w:before="120" w:after="1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C40E8">
        <w:rPr>
          <w:rFonts w:asciiTheme="minorHAnsi" w:hAnsiTheme="minorHAnsi" w:cstheme="minorHAnsi"/>
          <w:b/>
          <w:bCs/>
          <w:sz w:val="24"/>
          <w:szCs w:val="24"/>
        </w:rPr>
        <w:t>MŽP jakožto ústřední orgán státní správy pro ochranu přírody ne</w:t>
      </w:r>
      <w:r w:rsidRPr="00FC40E8">
        <w:rPr>
          <w:rFonts w:ascii="Calibri" w:eastAsia="Calibri" w:hAnsi="Calibri" w:cs="Calibri"/>
          <w:b/>
          <w:sz w:val="24"/>
          <w:szCs w:val="24"/>
          <w:lang w:eastAsia="en-US"/>
        </w:rPr>
        <w:t>naplnilo opatření základního strategického rámce ochrany přírody a krajiny.</w:t>
      </w:r>
      <w:r w:rsidRPr="00FC40E8">
        <w:rPr>
          <w:rFonts w:asciiTheme="minorHAnsi" w:hAnsiTheme="minorHAnsi" w:cstheme="minorHAnsi"/>
          <w:b/>
          <w:bCs/>
          <w:sz w:val="24"/>
          <w:szCs w:val="24"/>
        </w:rPr>
        <w:t xml:space="preserve"> Nepřipravilo koncepci vícezdrojového financování péče o přírodu a krajinu v termínu schváleném vládou a dále v kontrolovaném období nemělo zpracovanou ucelenou strategii rozvoje NP.</w:t>
      </w:r>
    </w:p>
    <w:p w14:paraId="20B2F56D" w14:textId="2804A911" w:rsidR="00E87EF8" w:rsidRPr="009816BC" w:rsidRDefault="003C3204" w:rsidP="00C90E35">
      <w:pPr>
        <w:widowControl/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FD3031">
        <w:rPr>
          <w:rFonts w:asciiTheme="minorHAnsi" w:hAnsiTheme="minorHAnsi" w:cstheme="minorHAnsi"/>
          <w:b/>
          <w:sz w:val="24"/>
          <w:szCs w:val="24"/>
        </w:rPr>
        <w:t>NKÚ rovněž zjistil, že povinnost MŽP zajistit provedení z</w:t>
      </w:r>
      <w:r w:rsidR="00560D82">
        <w:rPr>
          <w:rFonts w:asciiTheme="minorHAnsi" w:hAnsiTheme="minorHAnsi" w:cstheme="minorHAnsi"/>
          <w:b/>
          <w:sz w:val="24"/>
          <w:szCs w:val="24"/>
        </w:rPr>
        <w:t>ápisu předkupního práva státu k </w:t>
      </w:r>
      <w:r w:rsidRPr="00FD3031">
        <w:rPr>
          <w:rFonts w:asciiTheme="minorHAnsi" w:hAnsiTheme="minorHAnsi" w:cstheme="minorHAnsi"/>
          <w:b/>
          <w:sz w:val="24"/>
          <w:szCs w:val="24"/>
        </w:rPr>
        <w:t>pozemkům na území NP nelze splnit pro nejednoznačnost právní úpravy</w:t>
      </w:r>
      <w:r w:rsidRPr="00FD3031">
        <w:rPr>
          <w:rStyle w:val="Znakapoznpodarou"/>
          <w:rFonts w:asciiTheme="minorHAnsi" w:hAnsiTheme="minorHAnsi" w:cstheme="minorHAnsi"/>
          <w:b/>
          <w:sz w:val="24"/>
          <w:szCs w:val="24"/>
        </w:rPr>
        <w:footnoteReference w:id="2"/>
      </w:r>
      <w:r w:rsidRPr="00FD3031">
        <w:rPr>
          <w:rFonts w:asciiTheme="minorHAnsi" w:hAnsiTheme="minorHAnsi" w:cstheme="minorHAnsi"/>
          <w:b/>
          <w:sz w:val="24"/>
          <w:szCs w:val="24"/>
        </w:rPr>
        <w:t>.</w:t>
      </w:r>
      <w:r w:rsidR="0059399C" w:rsidRPr="00FD3031">
        <w:rPr>
          <w:rFonts w:asciiTheme="minorHAnsi" w:hAnsiTheme="minorHAnsi" w:cstheme="minorHAnsi"/>
          <w:b/>
          <w:sz w:val="24"/>
          <w:szCs w:val="24"/>
        </w:rPr>
        <w:t xml:space="preserve"> V důsledku toho dochází k převodům přírodně cenných pozemků bez </w:t>
      </w:r>
      <w:r w:rsidR="004555D7">
        <w:rPr>
          <w:rFonts w:asciiTheme="minorHAnsi" w:hAnsiTheme="minorHAnsi" w:cstheme="minorHAnsi"/>
          <w:b/>
          <w:sz w:val="24"/>
          <w:szCs w:val="24"/>
        </w:rPr>
        <w:t xml:space="preserve">uplatnění </w:t>
      </w:r>
      <w:r w:rsidR="0059399C" w:rsidRPr="00FD3031">
        <w:rPr>
          <w:rFonts w:asciiTheme="minorHAnsi" w:hAnsiTheme="minorHAnsi" w:cstheme="minorHAnsi"/>
          <w:b/>
          <w:sz w:val="24"/>
          <w:szCs w:val="24"/>
        </w:rPr>
        <w:t>přednostní nabídky státu.</w:t>
      </w:r>
    </w:p>
    <w:p w14:paraId="0C7E0E93" w14:textId="77777777" w:rsidR="003967B6" w:rsidRPr="0053679F" w:rsidRDefault="00696B78" w:rsidP="00C90E35">
      <w:pPr>
        <w:keepNext/>
        <w:widowControl/>
        <w:autoSpaceDE/>
        <w:adjustRightInd/>
        <w:spacing w:before="120" w:after="120"/>
        <w:jc w:val="both"/>
        <w:rPr>
          <w:rFonts w:ascii="Calibri" w:hAnsi="Calibri" w:cs="Calibri"/>
          <w:b/>
          <w:sz w:val="24"/>
          <w:szCs w:val="24"/>
          <w:lang w:eastAsia="en-US"/>
        </w:rPr>
      </w:pPr>
      <w:r w:rsidRPr="00EE265B">
        <w:rPr>
          <w:rFonts w:ascii="Calibri" w:hAnsi="Calibri" w:cs="Calibri"/>
          <w:b/>
          <w:sz w:val="24"/>
          <w:szCs w:val="24"/>
          <w:lang w:eastAsia="en-US"/>
        </w:rPr>
        <w:lastRenderedPageBreak/>
        <w:t xml:space="preserve">Celkové </w:t>
      </w:r>
      <w:r w:rsidR="00EB2226" w:rsidRPr="00EE265B">
        <w:rPr>
          <w:rFonts w:ascii="Calibri" w:hAnsi="Calibri" w:cs="Calibri"/>
          <w:b/>
          <w:sz w:val="24"/>
          <w:szCs w:val="24"/>
          <w:lang w:eastAsia="en-US"/>
        </w:rPr>
        <w:t>vy</w:t>
      </w:r>
      <w:r w:rsidRPr="00EE265B">
        <w:rPr>
          <w:rFonts w:ascii="Calibri" w:hAnsi="Calibri" w:cs="Calibri"/>
          <w:b/>
          <w:sz w:val="24"/>
          <w:szCs w:val="24"/>
          <w:lang w:eastAsia="en-US"/>
        </w:rPr>
        <w:t>hodnocení</w:t>
      </w:r>
      <w:r w:rsidRPr="007C509E">
        <w:rPr>
          <w:rFonts w:ascii="Calibri" w:hAnsi="Calibri" w:cs="Calibri"/>
          <w:b/>
          <w:sz w:val="24"/>
          <w:szCs w:val="24"/>
          <w:lang w:eastAsia="en-US"/>
        </w:rPr>
        <w:t xml:space="preserve"> vyplývá z následujících skutečností zjištěných kontrolou</w:t>
      </w:r>
      <w:r w:rsidR="00C3674E" w:rsidRPr="007C509E">
        <w:rPr>
          <w:rFonts w:ascii="Calibri" w:hAnsi="Calibri" w:cs="Calibri"/>
          <w:b/>
          <w:sz w:val="24"/>
          <w:szCs w:val="24"/>
          <w:lang w:eastAsia="en-US"/>
        </w:rPr>
        <w:t>:</w:t>
      </w:r>
    </w:p>
    <w:p w14:paraId="5B01C4D0" w14:textId="77777777" w:rsidR="007A255B" w:rsidRPr="007A255B" w:rsidRDefault="007A255B" w:rsidP="00883A95">
      <w:pPr>
        <w:pStyle w:val="Odstavecseseznamem"/>
        <w:keepNext/>
        <w:widowControl/>
        <w:numPr>
          <w:ilvl w:val="0"/>
          <w:numId w:val="8"/>
        </w:numPr>
        <w:shd w:val="clear" w:color="auto" w:fill="FFFFFF" w:themeFill="background1"/>
        <w:spacing w:before="120" w:after="120"/>
        <w:rPr>
          <w:rFonts w:ascii="Calibri" w:eastAsia="Times New Roman" w:hAnsi="Calibri"/>
          <w:b/>
          <w:sz w:val="24"/>
          <w:szCs w:val="25"/>
        </w:rPr>
      </w:pPr>
      <w:r w:rsidRPr="007A255B">
        <w:rPr>
          <w:rFonts w:ascii="Calibri" w:eastAsia="Times New Roman" w:hAnsi="Calibri"/>
          <w:b/>
          <w:sz w:val="24"/>
          <w:szCs w:val="25"/>
        </w:rPr>
        <w:t>Nedostatky v hospodaření správ NP</w:t>
      </w:r>
    </w:p>
    <w:p w14:paraId="79A88C7C" w14:textId="3E9FEA38" w:rsidR="00DC6E94" w:rsidRDefault="00C90E35" w:rsidP="00C90E35">
      <w:pPr>
        <w:widowControl/>
        <w:shd w:val="clear" w:color="auto" w:fill="FFFFFF" w:themeFill="background1"/>
        <w:spacing w:after="120"/>
        <w:jc w:val="both"/>
        <w:rPr>
          <w:rFonts w:ascii="Calibri" w:eastAsia="Times New Roman" w:hAnsi="Calibri"/>
          <w:sz w:val="24"/>
          <w:szCs w:val="25"/>
        </w:rPr>
      </w:pPr>
      <w:r>
        <w:rPr>
          <w:rFonts w:ascii="Calibri" w:eastAsia="Times New Roman" w:hAnsi="Calibri"/>
          <w:sz w:val="24"/>
          <w:szCs w:val="25"/>
        </w:rPr>
        <w:t>Kontrolované s</w:t>
      </w:r>
      <w:r w:rsidR="007A255B">
        <w:rPr>
          <w:rFonts w:ascii="Calibri" w:eastAsia="Times New Roman" w:hAnsi="Calibri"/>
          <w:sz w:val="24"/>
          <w:szCs w:val="25"/>
        </w:rPr>
        <w:t xml:space="preserve">právy NP </w:t>
      </w:r>
      <w:r w:rsidR="007A255B" w:rsidRPr="0026625D">
        <w:rPr>
          <w:rFonts w:ascii="Calibri" w:eastAsia="Times New Roman" w:hAnsi="Calibri"/>
          <w:sz w:val="24"/>
          <w:szCs w:val="25"/>
        </w:rPr>
        <w:t>nepostupovaly</w:t>
      </w:r>
      <w:r w:rsidR="007A255B">
        <w:rPr>
          <w:rFonts w:ascii="Calibri" w:eastAsia="Times New Roman" w:hAnsi="Calibri"/>
          <w:sz w:val="24"/>
          <w:szCs w:val="25"/>
        </w:rPr>
        <w:t xml:space="preserve"> v souladu se zákonem o</w:t>
      </w:r>
      <w:r w:rsidR="009C774D">
        <w:rPr>
          <w:rFonts w:ascii="Calibri" w:eastAsia="Times New Roman" w:hAnsi="Calibri"/>
          <w:sz w:val="24"/>
          <w:szCs w:val="25"/>
        </w:rPr>
        <w:t xml:space="preserve"> </w:t>
      </w:r>
      <w:r w:rsidR="007A255B">
        <w:rPr>
          <w:rFonts w:ascii="Calibri" w:eastAsia="Times New Roman" w:hAnsi="Calibri"/>
          <w:sz w:val="24"/>
          <w:szCs w:val="25"/>
        </w:rPr>
        <w:t>majetku</w:t>
      </w:r>
      <w:r w:rsidR="007A255B">
        <w:rPr>
          <w:rStyle w:val="Znakapoznpodarou"/>
          <w:rFonts w:ascii="Calibri" w:eastAsia="Times New Roman" w:hAnsi="Calibri"/>
          <w:sz w:val="24"/>
          <w:szCs w:val="25"/>
        </w:rPr>
        <w:footnoteReference w:id="3"/>
      </w:r>
      <w:r w:rsidR="007A255B">
        <w:rPr>
          <w:rFonts w:ascii="Calibri" w:eastAsia="Times New Roman" w:hAnsi="Calibri"/>
          <w:sz w:val="24"/>
          <w:szCs w:val="25"/>
        </w:rPr>
        <w:t>, zákonem o</w:t>
      </w:r>
      <w:r>
        <w:rPr>
          <w:rFonts w:ascii="Calibri" w:eastAsia="Times New Roman" w:hAnsi="Calibri"/>
          <w:sz w:val="24"/>
          <w:szCs w:val="25"/>
        </w:rPr>
        <w:t> </w:t>
      </w:r>
      <w:r w:rsidR="007A255B">
        <w:rPr>
          <w:rFonts w:ascii="Calibri" w:eastAsia="Times New Roman" w:hAnsi="Calibri"/>
          <w:sz w:val="24"/>
          <w:szCs w:val="25"/>
        </w:rPr>
        <w:t>rozpočtových pravidlech</w:t>
      </w:r>
      <w:r w:rsidR="007A255B">
        <w:rPr>
          <w:rStyle w:val="Znakapoznpodarou"/>
          <w:rFonts w:ascii="Calibri" w:eastAsia="Times New Roman" w:hAnsi="Calibri"/>
          <w:sz w:val="24"/>
          <w:szCs w:val="25"/>
        </w:rPr>
        <w:footnoteReference w:id="4"/>
      </w:r>
      <w:r w:rsidR="007A255B">
        <w:rPr>
          <w:rFonts w:ascii="Calibri" w:eastAsia="Times New Roman" w:hAnsi="Calibri"/>
          <w:sz w:val="24"/>
          <w:szCs w:val="25"/>
        </w:rPr>
        <w:t>, zákonem o veřejných zakázkách</w:t>
      </w:r>
      <w:r w:rsidR="007A255B">
        <w:rPr>
          <w:rStyle w:val="Znakapoznpodarou"/>
          <w:rFonts w:ascii="Calibri" w:eastAsia="Times New Roman" w:hAnsi="Calibri"/>
          <w:sz w:val="24"/>
          <w:szCs w:val="25"/>
        </w:rPr>
        <w:footnoteReference w:id="5"/>
      </w:r>
      <w:r w:rsidR="007A255B">
        <w:rPr>
          <w:rFonts w:ascii="Calibri" w:eastAsia="Times New Roman" w:hAnsi="Calibri"/>
          <w:sz w:val="24"/>
          <w:szCs w:val="25"/>
        </w:rPr>
        <w:t>, resp.</w:t>
      </w:r>
      <w:r w:rsidR="009C774D">
        <w:rPr>
          <w:rFonts w:ascii="Calibri" w:eastAsia="Times New Roman" w:hAnsi="Calibri"/>
          <w:sz w:val="24"/>
          <w:szCs w:val="25"/>
        </w:rPr>
        <w:t xml:space="preserve"> </w:t>
      </w:r>
      <w:r w:rsidR="007A255B">
        <w:rPr>
          <w:rFonts w:ascii="Calibri" w:eastAsia="Times New Roman" w:hAnsi="Calibri"/>
          <w:sz w:val="24"/>
          <w:szCs w:val="25"/>
        </w:rPr>
        <w:t>zákonem o</w:t>
      </w:r>
      <w:r>
        <w:rPr>
          <w:rFonts w:ascii="Calibri" w:eastAsia="Times New Roman" w:hAnsi="Calibri"/>
          <w:sz w:val="24"/>
          <w:szCs w:val="25"/>
        </w:rPr>
        <w:t xml:space="preserve"> </w:t>
      </w:r>
      <w:r w:rsidR="007A255B">
        <w:rPr>
          <w:rFonts w:ascii="Calibri" w:eastAsia="Times New Roman" w:hAnsi="Calibri"/>
          <w:sz w:val="24"/>
          <w:szCs w:val="25"/>
        </w:rPr>
        <w:t>zadávání veřejných zakázek</w:t>
      </w:r>
      <w:r w:rsidR="007A255B">
        <w:rPr>
          <w:rStyle w:val="Znakapoznpodarou"/>
          <w:rFonts w:ascii="Calibri" w:eastAsia="Times New Roman" w:hAnsi="Calibri"/>
          <w:sz w:val="24"/>
          <w:szCs w:val="25"/>
        </w:rPr>
        <w:footnoteReference w:id="6"/>
      </w:r>
      <w:r w:rsidR="007A255B">
        <w:rPr>
          <w:rFonts w:ascii="Calibri" w:eastAsia="Times New Roman" w:hAnsi="Calibri"/>
          <w:sz w:val="24"/>
          <w:szCs w:val="25"/>
        </w:rPr>
        <w:t>, zákonem o účetnictví</w:t>
      </w:r>
      <w:r w:rsidR="007A255B">
        <w:rPr>
          <w:rStyle w:val="Znakapoznpodarou"/>
          <w:rFonts w:ascii="Calibri" w:eastAsia="Times New Roman" w:hAnsi="Calibri"/>
          <w:sz w:val="24"/>
          <w:szCs w:val="25"/>
        </w:rPr>
        <w:footnoteReference w:id="7"/>
      </w:r>
      <w:r w:rsidR="007A255B">
        <w:rPr>
          <w:rFonts w:ascii="Calibri" w:eastAsia="Times New Roman" w:hAnsi="Calibri"/>
          <w:sz w:val="24"/>
          <w:szCs w:val="25"/>
        </w:rPr>
        <w:t xml:space="preserve"> a zákonem o registru smluv</w:t>
      </w:r>
      <w:r w:rsidR="007A255B" w:rsidRPr="0026625D">
        <w:rPr>
          <w:rStyle w:val="Znakapoznpodarou"/>
          <w:rFonts w:ascii="Calibri" w:eastAsia="Times New Roman" w:hAnsi="Calibri"/>
          <w:sz w:val="24"/>
          <w:szCs w:val="25"/>
        </w:rPr>
        <w:footnoteReference w:id="8"/>
      </w:r>
      <w:r w:rsidR="007A255B" w:rsidRPr="0026625D">
        <w:rPr>
          <w:rFonts w:ascii="Calibri" w:eastAsia="Times New Roman" w:hAnsi="Calibri"/>
          <w:sz w:val="24"/>
          <w:szCs w:val="25"/>
        </w:rPr>
        <w:t xml:space="preserve">. </w:t>
      </w:r>
    </w:p>
    <w:p w14:paraId="415220E3" w14:textId="72EC48CC" w:rsidR="00891CB5" w:rsidRPr="00FD3031" w:rsidRDefault="00891CB5" w:rsidP="00883A95">
      <w:pPr>
        <w:widowControl/>
        <w:shd w:val="clear" w:color="auto" w:fill="FFFFFF" w:themeFill="background1"/>
        <w:spacing w:after="120"/>
        <w:jc w:val="both"/>
        <w:rPr>
          <w:rFonts w:ascii="Calibri" w:eastAsia="Times New Roman" w:hAnsi="Calibri"/>
          <w:sz w:val="24"/>
          <w:szCs w:val="25"/>
        </w:rPr>
      </w:pPr>
      <w:r w:rsidRPr="00A73E9F">
        <w:rPr>
          <w:rFonts w:ascii="Calibri" w:eastAsia="Calibri" w:hAnsi="Calibri" w:cs="Calibri"/>
          <w:sz w:val="24"/>
          <w:szCs w:val="24"/>
          <w:lang w:eastAsia="en-US"/>
        </w:rPr>
        <w:t xml:space="preserve">Správa NP </w:t>
      </w:r>
      <w:r w:rsidRPr="00FD3031">
        <w:rPr>
          <w:rFonts w:ascii="Calibri" w:eastAsia="Calibri" w:hAnsi="Calibri" w:cs="Calibri"/>
          <w:sz w:val="24"/>
          <w:szCs w:val="24"/>
          <w:lang w:eastAsia="en-US"/>
        </w:rPr>
        <w:t>České Švýcarsko nedodržela postup stanovený zákonem o veřejných zakázkách</w:t>
      </w:r>
      <w:r w:rsidRPr="00FD3031">
        <w:rPr>
          <w:rStyle w:val="Znakapoznpodarou"/>
          <w:rFonts w:ascii="Calibri" w:eastAsia="Calibri" w:hAnsi="Calibri"/>
          <w:sz w:val="24"/>
          <w:szCs w:val="24"/>
          <w:lang w:eastAsia="en-US"/>
        </w:rPr>
        <w:footnoteReference w:id="9"/>
      </w:r>
      <w:r w:rsidR="00EE6E7A">
        <w:rPr>
          <w:rFonts w:ascii="Calibri" w:eastAsia="Calibri" w:hAnsi="Calibri" w:cs="Calibri"/>
          <w:sz w:val="24"/>
          <w:szCs w:val="24"/>
          <w:lang w:eastAsia="en-US"/>
        </w:rPr>
        <w:t>.</w:t>
      </w:r>
      <w:r w:rsidR="00DC6E94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2A4370" w:rsidRPr="00FD3031">
        <w:rPr>
          <w:rFonts w:ascii="Calibri" w:eastAsia="Times New Roman" w:hAnsi="Calibri"/>
          <w:sz w:val="24"/>
          <w:szCs w:val="25"/>
        </w:rPr>
        <w:t xml:space="preserve">NKÚ </w:t>
      </w:r>
      <w:r w:rsidR="00C90E35">
        <w:rPr>
          <w:rFonts w:ascii="Calibri" w:eastAsia="Times New Roman" w:hAnsi="Calibri"/>
          <w:sz w:val="24"/>
          <w:szCs w:val="25"/>
        </w:rPr>
        <w:t xml:space="preserve">na základě toho </w:t>
      </w:r>
      <w:r w:rsidR="002A4370" w:rsidRPr="00FD3031">
        <w:rPr>
          <w:rFonts w:ascii="Calibri" w:eastAsia="Times New Roman" w:hAnsi="Calibri"/>
          <w:sz w:val="24"/>
          <w:szCs w:val="25"/>
        </w:rPr>
        <w:t xml:space="preserve">oznámil správci daně porušení rozpočtové kázně </w:t>
      </w:r>
      <w:r w:rsidRPr="00FD3031">
        <w:rPr>
          <w:rFonts w:ascii="Calibri" w:eastAsia="Times New Roman" w:hAnsi="Calibri"/>
          <w:sz w:val="24"/>
          <w:szCs w:val="25"/>
        </w:rPr>
        <w:t xml:space="preserve">u Správy NP České Švýcarsko </w:t>
      </w:r>
      <w:r w:rsidR="002A4370" w:rsidRPr="00FD3031">
        <w:rPr>
          <w:rFonts w:ascii="Calibri" w:eastAsia="Times New Roman" w:hAnsi="Calibri"/>
          <w:sz w:val="24"/>
          <w:szCs w:val="25"/>
        </w:rPr>
        <w:t xml:space="preserve">ve výši 20 mil. Kč. </w:t>
      </w:r>
    </w:p>
    <w:p w14:paraId="6DE84E3B" w14:textId="17E94907" w:rsidR="007A255B" w:rsidRPr="00FD3031" w:rsidRDefault="007A255B" w:rsidP="00C90E35">
      <w:pPr>
        <w:widowControl/>
        <w:shd w:val="clear" w:color="auto" w:fill="FFFFFF" w:themeFill="background1"/>
        <w:jc w:val="both"/>
        <w:rPr>
          <w:rFonts w:ascii="Calibri" w:eastAsia="Times New Roman" w:hAnsi="Calibri"/>
          <w:sz w:val="24"/>
          <w:szCs w:val="25"/>
        </w:rPr>
      </w:pPr>
      <w:r w:rsidRPr="00FD3031">
        <w:rPr>
          <w:rFonts w:ascii="Calibri" w:eastAsia="Times New Roman" w:hAnsi="Calibri"/>
          <w:sz w:val="24"/>
          <w:szCs w:val="25"/>
        </w:rPr>
        <w:t xml:space="preserve">Správa KRNAP postupovala nehospodárně při pronájmu </w:t>
      </w:r>
      <w:r w:rsidR="007201DB" w:rsidRPr="00FD3031">
        <w:rPr>
          <w:rFonts w:ascii="Calibri" w:eastAsia="Times New Roman" w:hAnsi="Calibri"/>
          <w:sz w:val="24"/>
          <w:szCs w:val="25"/>
        </w:rPr>
        <w:t>pozemků a snížila výnos z pronájmu majetku o 870 tis. Kč v roce 2018</w:t>
      </w:r>
      <w:r w:rsidRPr="00FD3031">
        <w:rPr>
          <w:rFonts w:ascii="Calibri" w:eastAsia="Times New Roman" w:hAnsi="Calibri"/>
          <w:sz w:val="24"/>
          <w:szCs w:val="25"/>
        </w:rPr>
        <w:t xml:space="preserve">. </w:t>
      </w:r>
      <w:r w:rsidR="004555D7">
        <w:rPr>
          <w:rFonts w:ascii="Calibri" w:eastAsia="Times New Roman" w:hAnsi="Calibri"/>
          <w:sz w:val="24"/>
          <w:szCs w:val="25"/>
        </w:rPr>
        <w:t xml:space="preserve">Na základě toho </w:t>
      </w:r>
      <w:r w:rsidR="002A4370" w:rsidRPr="00FD3031">
        <w:rPr>
          <w:rFonts w:ascii="Calibri" w:eastAsia="Times New Roman" w:hAnsi="Calibri"/>
          <w:sz w:val="24"/>
          <w:szCs w:val="25"/>
        </w:rPr>
        <w:t xml:space="preserve">NKÚ oznámil podezření </w:t>
      </w:r>
      <w:r w:rsidR="00C90E35">
        <w:rPr>
          <w:rFonts w:ascii="Calibri" w:eastAsia="Times New Roman" w:hAnsi="Calibri"/>
          <w:sz w:val="24"/>
          <w:szCs w:val="25"/>
        </w:rPr>
        <w:t>ze</w:t>
      </w:r>
      <w:r w:rsidR="002A4370" w:rsidRPr="00FD3031">
        <w:rPr>
          <w:rFonts w:ascii="Calibri" w:eastAsia="Times New Roman" w:hAnsi="Calibri"/>
          <w:sz w:val="24"/>
          <w:szCs w:val="25"/>
        </w:rPr>
        <w:t xml:space="preserve"> spáchání trestného činu porušení povinnosti při správě cizího majetku.</w:t>
      </w:r>
    </w:p>
    <w:p w14:paraId="040E1224" w14:textId="77777777" w:rsidR="00787B52" w:rsidRPr="00FD3031" w:rsidRDefault="00787B52" w:rsidP="00883A95">
      <w:pPr>
        <w:pStyle w:val="Odstavecseseznamem"/>
        <w:widowControl/>
        <w:numPr>
          <w:ilvl w:val="0"/>
          <w:numId w:val="8"/>
        </w:numPr>
        <w:shd w:val="clear" w:color="auto" w:fill="FFFFFF" w:themeFill="background1"/>
        <w:spacing w:before="120" w:after="120"/>
        <w:rPr>
          <w:rFonts w:ascii="Calibri" w:eastAsia="Times New Roman" w:hAnsi="Calibri"/>
          <w:b/>
          <w:sz w:val="24"/>
          <w:szCs w:val="25"/>
        </w:rPr>
      </w:pPr>
      <w:r w:rsidRPr="00FD3031">
        <w:rPr>
          <w:rFonts w:ascii="Calibri" w:eastAsia="Times New Roman" w:hAnsi="Calibri"/>
          <w:b/>
          <w:sz w:val="24"/>
          <w:szCs w:val="25"/>
        </w:rPr>
        <w:t>Výnosy z prodeje dřeva jsou významným zdrojem financování správ NP a jejich očekávaný pokles je rizikem</w:t>
      </w:r>
    </w:p>
    <w:p w14:paraId="2ADAA75A" w14:textId="27CA2C85" w:rsidR="00787B52" w:rsidRPr="00FD3031" w:rsidRDefault="00787B52" w:rsidP="00C90E35">
      <w:pPr>
        <w:widowControl/>
        <w:autoSpaceDE/>
        <w:adjustRightInd/>
        <w:spacing w:before="120" w:after="120"/>
        <w:jc w:val="both"/>
        <w:rPr>
          <w:rFonts w:ascii="Calibri" w:hAnsi="Calibri" w:cs="Times New Roman"/>
          <w:sz w:val="24"/>
          <w:szCs w:val="24"/>
          <w:lang w:eastAsia="en-US"/>
        </w:rPr>
      </w:pPr>
      <w:r w:rsidRPr="00FD3031">
        <w:rPr>
          <w:rFonts w:ascii="Calibri" w:eastAsia="Calibri" w:hAnsi="Calibri" w:cs="Calibri"/>
          <w:sz w:val="24"/>
          <w:szCs w:val="24"/>
        </w:rPr>
        <w:t xml:space="preserve">Produkce dřeva a </w:t>
      </w:r>
      <w:r w:rsidR="00F576B8">
        <w:rPr>
          <w:rFonts w:ascii="Calibri" w:eastAsia="Calibri" w:hAnsi="Calibri" w:cs="Calibri"/>
          <w:sz w:val="24"/>
          <w:szCs w:val="24"/>
        </w:rPr>
        <w:t>jeho</w:t>
      </w:r>
      <w:r w:rsidRPr="00FD3031">
        <w:rPr>
          <w:rFonts w:ascii="Calibri" w:eastAsia="Calibri" w:hAnsi="Calibri" w:cs="Calibri"/>
          <w:sz w:val="24"/>
          <w:szCs w:val="24"/>
        </w:rPr>
        <w:t xml:space="preserve"> zpeněžení </w:t>
      </w:r>
      <w:r w:rsidR="00F576B8">
        <w:rPr>
          <w:rFonts w:ascii="Calibri" w:eastAsia="Calibri" w:hAnsi="Calibri" w:cs="Calibri"/>
          <w:sz w:val="24"/>
          <w:szCs w:val="24"/>
        </w:rPr>
        <w:t>nejsou</w:t>
      </w:r>
      <w:r w:rsidR="00F576B8" w:rsidRPr="00FD3031">
        <w:rPr>
          <w:rFonts w:ascii="Calibri" w:eastAsia="Calibri" w:hAnsi="Calibri" w:cs="Calibri"/>
          <w:sz w:val="24"/>
          <w:szCs w:val="24"/>
        </w:rPr>
        <w:t xml:space="preserve"> </w:t>
      </w:r>
      <w:r w:rsidRPr="00FD3031">
        <w:rPr>
          <w:rFonts w:ascii="Calibri" w:eastAsia="Calibri" w:hAnsi="Calibri" w:cs="Calibri"/>
          <w:sz w:val="24"/>
          <w:szCs w:val="24"/>
        </w:rPr>
        <w:t>priorit</w:t>
      </w:r>
      <w:r w:rsidR="00F576B8">
        <w:rPr>
          <w:rFonts w:ascii="Calibri" w:eastAsia="Calibri" w:hAnsi="Calibri" w:cs="Calibri"/>
          <w:sz w:val="24"/>
          <w:szCs w:val="24"/>
        </w:rPr>
        <w:t>y</w:t>
      </w:r>
      <w:r w:rsidRPr="00FD3031">
        <w:rPr>
          <w:rFonts w:ascii="Calibri" w:eastAsia="Calibri" w:hAnsi="Calibri" w:cs="Calibri"/>
          <w:sz w:val="24"/>
          <w:szCs w:val="24"/>
        </w:rPr>
        <w:t xml:space="preserve"> péče o lesy na území NP, přesto výnos</w:t>
      </w:r>
      <w:r w:rsidR="007201DB" w:rsidRPr="00FD3031">
        <w:rPr>
          <w:rFonts w:ascii="Calibri" w:eastAsia="Calibri" w:hAnsi="Calibri" w:cs="Calibri"/>
          <w:sz w:val="24"/>
          <w:szCs w:val="24"/>
        </w:rPr>
        <w:t>y z prodeje dřeva představují 44</w:t>
      </w:r>
      <w:r w:rsidRPr="00FD3031">
        <w:rPr>
          <w:rFonts w:ascii="Calibri" w:eastAsia="Calibri" w:hAnsi="Calibri" w:cs="Calibri"/>
          <w:sz w:val="24"/>
          <w:szCs w:val="24"/>
        </w:rPr>
        <w:t xml:space="preserve"> % </w:t>
      </w:r>
      <w:r w:rsidR="007201DB" w:rsidRPr="00FD3031">
        <w:rPr>
          <w:rFonts w:ascii="Calibri" w:eastAsia="Calibri" w:hAnsi="Calibri" w:cs="Calibri"/>
          <w:sz w:val="24"/>
          <w:szCs w:val="24"/>
        </w:rPr>
        <w:t xml:space="preserve">celkových </w:t>
      </w:r>
      <w:r w:rsidRPr="00FD3031">
        <w:rPr>
          <w:rFonts w:ascii="Calibri" w:eastAsia="Calibri" w:hAnsi="Calibri" w:cs="Calibri"/>
          <w:sz w:val="24"/>
          <w:szCs w:val="24"/>
        </w:rPr>
        <w:t>výnosů. Očekávaný pokles výnosů z prodeje dřeva představuje riziko zvyšování nároků na státní rozpočet</w:t>
      </w:r>
      <w:r w:rsidR="00D26EC1" w:rsidRPr="00FD3031">
        <w:rPr>
          <w:rFonts w:ascii="Calibri" w:eastAsia="Calibri" w:hAnsi="Calibri" w:cs="Calibri"/>
          <w:sz w:val="24"/>
          <w:szCs w:val="24"/>
        </w:rPr>
        <w:t xml:space="preserve"> z hlediska dalšího financování správ NP. </w:t>
      </w:r>
    </w:p>
    <w:p w14:paraId="2152EAFC" w14:textId="4BB7DB90" w:rsidR="003C1270" w:rsidRPr="00FD3031" w:rsidRDefault="003967B6" w:rsidP="00883A95">
      <w:pPr>
        <w:pStyle w:val="Odstavecseseznamem"/>
        <w:widowControl/>
        <w:numPr>
          <w:ilvl w:val="0"/>
          <w:numId w:val="4"/>
        </w:numPr>
        <w:shd w:val="clear" w:color="auto" w:fill="FFFFFF" w:themeFill="background1"/>
        <w:spacing w:before="120" w:after="120"/>
        <w:rPr>
          <w:rFonts w:ascii="Calibri" w:eastAsia="Times New Roman" w:hAnsi="Calibri"/>
          <w:b/>
          <w:sz w:val="24"/>
          <w:szCs w:val="25"/>
        </w:rPr>
      </w:pPr>
      <w:r w:rsidRPr="00FD3031">
        <w:rPr>
          <w:rFonts w:ascii="Calibri" w:eastAsia="Calibri" w:hAnsi="Calibri" w:cs="Calibri"/>
          <w:b/>
          <w:sz w:val="24"/>
          <w:szCs w:val="24"/>
          <w:lang w:eastAsia="en-US"/>
        </w:rPr>
        <w:t>MŽP nenapl</w:t>
      </w:r>
      <w:r w:rsidR="00791669" w:rsidRPr="00FD3031">
        <w:rPr>
          <w:rFonts w:ascii="Calibri" w:eastAsia="Calibri" w:hAnsi="Calibri" w:cs="Calibri"/>
          <w:b/>
          <w:sz w:val="24"/>
          <w:szCs w:val="24"/>
          <w:lang w:eastAsia="en-US"/>
        </w:rPr>
        <w:t>nilo</w:t>
      </w:r>
      <w:r w:rsidRPr="00FD3031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opatření </w:t>
      </w:r>
      <w:r w:rsidR="00791669" w:rsidRPr="00FD3031">
        <w:rPr>
          <w:rFonts w:ascii="Calibri" w:eastAsia="Calibri" w:hAnsi="Calibri" w:cs="Calibri"/>
          <w:b/>
          <w:sz w:val="24"/>
          <w:szCs w:val="24"/>
          <w:lang w:eastAsia="en-US"/>
        </w:rPr>
        <w:t>základního strategického rámce ochrany přírod</w:t>
      </w:r>
      <w:r w:rsidR="006A2E81" w:rsidRPr="00FD3031">
        <w:rPr>
          <w:rFonts w:ascii="Calibri" w:eastAsia="Calibri" w:hAnsi="Calibri" w:cs="Calibri"/>
          <w:b/>
          <w:sz w:val="24"/>
          <w:szCs w:val="24"/>
          <w:lang w:eastAsia="en-US"/>
        </w:rPr>
        <w:t>y</w:t>
      </w:r>
      <w:r w:rsidR="00791669" w:rsidRPr="00FD3031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a krajiny</w:t>
      </w:r>
    </w:p>
    <w:p w14:paraId="050D7D5F" w14:textId="5BB98420" w:rsidR="0026625D" w:rsidRPr="00FD3031" w:rsidRDefault="0026625D" w:rsidP="00883A95">
      <w:pPr>
        <w:widowControl/>
        <w:autoSpaceDE/>
        <w:autoSpaceDN/>
        <w:adjustRightInd/>
        <w:spacing w:after="12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D3031">
        <w:rPr>
          <w:rFonts w:ascii="Calibri" w:eastAsia="Calibri" w:hAnsi="Calibri" w:cs="Calibri"/>
          <w:sz w:val="24"/>
          <w:szCs w:val="24"/>
          <w:lang w:eastAsia="en-US"/>
        </w:rPr>
        <w:t xml:space="preserve">Strategickými dokumenty MŽP v oblasti ochrany přírody a krajiny byly v kontrolovaném období </w:t>
      </w:r>
      <w:r w:rsidRPr="00FD3031">
        <w:rPr>
          <w:rFonts w:ascii="Calibri" w:eastAsia="Calibri" w:hAnsi="Calibri" w:cs="Calibri"/>
          <w:i/>
          <w:sz w:val="24"/>
          <w:szCs w:val="24"/>
          <w:lang w:eastAsia="en-US"/>
        </w:rPr>
        <w:t>Strategie ochrany biologické ro</w:t>
      </w:r>
      <w:r w:rsidR="001359F3">
        <w:rPr>
          <w:rFonts w:ascii="Calibri" w:eastAsia="Calibri" w:hAnsi="Calibri" w:cs="Calibri"/>
          <w:i/>
          <w:sz w:val="24"/>
          <w:szCs w:val="24"/>
          <w:lang w:eastAsia="en-US"/>
        </w:rPr>
        <w:t>zmanitosti České republiky 2016</w:t>
      </w:r>
      <w:r w:rsidR="00D37AFB" w:rsidRPr="00FD3031">
        <w:rPr>
          <w:rFonts w:ascii="Calibri" w:eastAsia="Calibri" w:hAnsi="Calibri" w:cs="Calibri"/>
          <w:i/>
          <w:sz w:val="24"/>
          <w:szCs w:val="24"/>
          <w:lang w:eastAsia="en-US"/>
        </w:rPr>
        <w:t>–</w:t>
      </w:r>
      <w:r w:rsidRPr="00FD3031">
        <w:rPr>
          <w:rFonts w:ascii="Calibri" w:eastAsia="Calibri" w:hAnsi="Calibri" w:cs="Calibri"/>
          <w:i/>
          <w:sz w:val="24"/>
          <w:szCs w:val="24"/>
          <w:lang w:eastAsia="en-US"/>
        </w:rPr>
        <w:t>2025</w:t>
      </w:r>
      <w:r w:rsidRPr="00FD3031">
        <w:rPr>
          <w:rFonts w:ascii="Calibri" w:eastAsia="Calibri" w:hAnsi="Calibri" w:cs="Calibri"/>
          <w:sz w:val="24"/>
          <w:szCs w:val="24"/>
          <w:lang w:eastAsia="en-US"/>
        </w:rPr>
        <w:t xml:space="preserve"> a </w:t>
      </w:r>
      <w:r w:rsidRPr="00FD3031">
        <w:rPr>
          <w:rFonts w:ascii="Calibri" w:eastAsia="Calibri" w:hAnsi="Calibri" w:cs="Calibri"/>
          <w:i/>
          <w:sz w:val="24"/>
          <w:szCs w:val="24"/>
          <w:lang w:eastAsia="en-US"/>
        </w:rPr>
        <w:t>Státní program ochrany přírody a krajiny České republiky</w:t>
      </w:r>
      <w:r w:rsidRPr="00FD3031"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47B30ABE" w14:textId="38FC4833" w:rsidR="004555D7" w:rsidRPr="00FC40E8" w:rsidRDefault="003967B6" w:rsidP="00883A95">
      <w:pPr>
        <w:widowControl/>
        <w:autoSpaceDE/>
        <w:autoSpaceDN/>
        <w:adjustRightInd/>
        <w:spacing w:after="12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E33B9B">
        <w:rPr>
          <w:rFonts w:ascii="Calibri" w:eastAsia="Calibri" w:hAnsi="Calibri" w:cs="Calibri"/>
          <w:sz w:val="24"/>
          <w:szCs w:val="24"/>
          <w:lang w:eastAsia="en-US"/>
        </w:rPr>
        <w:t>MŽP</w:t>
      </w:r>
      <w:r w:rsidR="007C7C7A" w:rsidRPr="00E33B9B">
        <w:rPr>
          <w:rFonts w:ascii="Calibri" w:eastAsia="Calibri" w:hAnsi="Calibri" w:cs="Calibri"/>
          <w:sz w:val="24"/>
          <w:szCs w:val="24"/>
          <w:lang w:eastAsia="en-US"/>
        </w:rPr>
        <w:t xml:space="preserve"> nesplnilo</w:t>
      </w:r>
      <w:r w:rsidRPr="00E33B9B">
        <w:rPr>
          <w:rFonts w:ascii="Calibri" w:eastAsia="Calibri" w:hAnsi="Calibri" w:cs="Calibri"/>
          <w:sz w:val="24"/>
          <w:szCs w:val="24"/>
          <w:lang w:eastAsia="en-US"/>
        </w:rPr>
        <w:t xml:space="preserve"> ve </w:t>
      </w:r>
      <w:r w:rsidRPr="00E33B9B">
        <w:rPr>
          <w:rFonts w:ascii="Calibri" w:eastAsia="Calibri" w:hAnsi="Calibri" w:cs="Calibri"/>
          <w:i/>
          <w:sz w:val="24"/>
          <w:szCs w:val="24"/>
          <w:lang w:eastAsia="en-US"/>
        </w:rPr>
        <w:t>Strategii</w:t>
      </w:r>
      <w:r w:rsidR="00A55743" w:rsidRPr="00E33B9B">
        <w:rPr>
          <w:rFonts w:ascii="Calibri" w:eastAsia="Calibri" w:hAnsi="Calibri" w:cs="Calibri"/>
          <w:i/>
          <w:sz w:val="24"/>
          <w:szCs w:val="24"/>
          <w:lang w:eastAsia="en-US"/>
        </w:rPr>
        <w:t xml:space="preserve"> ochrany biologické ro</w:t>
      </w:r>
      <w:r w:rsidR="001359F3">
        <w:rPr>
          <w:rFonts w:ascii="Calibri" w:eastAsia="Calibri" w:hAnsi="Calibri" w:cs="Calibri"/>
          <w:i/>
          <w:sz w:val="24"/>
          <w:szCs w:val="24"/>
          <w:lang w:eastAsia="en-US"/>
        </w:rPr>
        <w:t>zmanitosti České republiky 2016</w:t>
      </w:r>
      <w:r w:rsidR="0089149A" w:rsidRPr="00E33B9B">
        <w:rPr>
          <w:rFonts w:ascii="Calibri" w:eastAsia="Calibri" w:hAnsi="Calibri" w:cs="Calibri"/>
          <w:i/>
          <w:sz w:val="24"/>
          <w:szCs w:val="24"/>
          <w:lang w:eastAsia="en-US"/>
        </w:rPr>
        <w:t>–</w:t>
      </w:r>
      <w:r w:rsidR="00A55743" w:rsidRPr="00E33B9B">
        <w:rPr>
          <w:rFonts w:ascii="Calibri" w:eastAsia="Calibri" w:hAnsi="Calibri" w:cs="Calibri"/>
          <w:i/>
          <w:sz w:val="24"/>
          <w:szCs w:val="24"/>
          <w:lang w:eastAsia="en-US"/>
        </w:rPr>
        <w:t>2025</w:t>
      </w:r>
      <w:r w:rsidR="00E24BA9" w:rsidRPr="00E33B9B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E24BA9" w:rsidRPr="00FC40E8">
        <w:rPr>
          <w:rFonts w:ascii="Calibri" w:eastAsia="Calibri" w:hAnsi="Calibri" w:cs="Calibri"/>
          <w:sz w:val="24"/>
          <w:szCs w:val="24"/>
          <w:lang w:eastAsia="en-US"/>
        </w:rPr>
        <w:t>stanovený termín</w:t>
      </w:r>
      <w:r w:rsidR="007C7C7A" w:rsidRPr="00FC40E8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DC3CFD" w:rsidRPr="00FC40E8">
        <w:rPr>
          <w:rFonts w:ascii="Calibri" w:eastAsia="Calibri" w:hAnsi="Calibri" w:cs="Calibri"/>
          <w:sz w:val="24"/>
          <w:szCs w:val="24"/>
          <w:lang w:eastAsia="en-US"/>
        </w:rPr>
        <w:t xml:space="preserve">pro vypracování </w:t>
      </w:r>
      <w:r w:rsidR="00DC3CFD" w:rsidRPr="009F5968">
        <w:rPr>
          <w:rFonts w:ascii="Calibri" w:eastAsia="Calibri" w:hAnsi="Calibri" w:cs="Calibri"/>
          <w:i/>
          <w:sz w:val="24"/>
          <w:szCs w:val="24"/>
          <w:lang w:eastAsia="en-US"/>
        </w:rPr>
        <w:t>K</w:t>
      </w:r>
      <w:r w:rsidR="00DC3CFD" w:rsidRPr="00B91AB2">
        <w:rPr>
          <w:rFonts w:ascii="Calibri" w:eastAsia="Calibri" w:hAnsi="Calibri" w:cs="Calibri"/>
          <w:i/>
          <w:sz w:val="24"/>
          <w:szCs w:val="24"/>
          <w:lang w:eastAsia="en-US"/>
        </w:rPr>
        <w:t>oncepce vícezdrojového financování péče o přírodu a krajinu</w:t>
      </w:r>
      <w:r w:rsidR="00E24BA9" w:rsidRPr="009F5968">
        <w:rPr>
          <w:rFonts w:ascii="Calibri" w:eastAsia="Calibri" w:hAnsi="Calibri" w:cs="Calibri"/>
          <w:i/>
          <w:sz w:val="24"/>
          <w:szCs w:val="24"/>
          <w:lang w:eastAsia="en-US"/>
        </w:rPr>
        <w:t>.</w:t>
      </w:r>
      <w:r w:rsidR="00E33B9B" w:rsidRPr="00FC40E8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FC40E8" w:rsidRPr="00FC40E8">
        <w:rPr>
          <w:rFonts w:asciiTheme="minorHAnsi" w:hAnsiTheme="minorHAnsi" w:cstheme="minorHAnsi"/>
          <w:bCs/>
          <w:sz w:val="24"/>
          <w:szCs w:val="24"/>
        </w:rPr>
        <w:t>Koncepce má sloužit k zajištění dostatečného objemu finančních prostředků pro péči o přírodu a krajinu, tj. včetně NP.</w:t>
      </w:r>
      <w:r w:rsidR="00FC40E8" w:rsidRPr="00FC40E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555D7" w:rsidRPr="00FC40E8">
        <w:rPr>
          <w:rFonts w:ascii="Calibri" w:eastAsia="Calibri" w:hAnsi="Calibri" w:cs="Calibri"/>
          <w:sz w:val="24"/>
          <w:szCs w:val="24"/>
          <w:lang w:eastAsia="en-US"/>
        </w:rPr>
        <w:t>Tato koncepce nebyla do konce kontroly zpracována.</w:t>
      </w:r>
    </w:p>
    <w:p w14:paraId="6BAEE1D8" w14:textId="27CD053D" w:rsidR="001A153A" w:rsidRPr="00FD3031" w:rsidRDefault="00A86CC8" w:rsidP="00C90E35">
      <w:pPr>
        <w:widowControl/>
        <w:autoSpaceDE/>
        <w:autoSpaceDN/>
        <w:adjustRightInd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C40E8">
        <w:rPr>
          <w:rFonts w:ascii="Calibri" w:eastAsia="Calibri" w:hAnsi="Calibri" w:cs="Calibri"/>
          <w:i/>
          <w:sz w:val="24"/>
          <w:szCs w:val="24"/>
          <w:lang w:eastAsia="en-US"/>
        </w:rPr>
        <w:t>Státní program ochrany přírody a krajiny České republiky</w:t>
      </w:r>
      <w:r w:rsidRPr="00FC40E8">
        <w:rPr>
          <w:rFonts w:ascii="Calibri" w:eastAsia="Calibri" w:hAnsi="Calibri" w:cs="Calibri"/>
          <w:sz w:val="24"/>
          <w:szCs w:val="24"/>
          <w:lang w:eastAsia="en-US"/>
        </w:rPr>
        <w:t xml:space="preserve"> stanovil</w:t>
      </w:r>
      <w:r w:rsidR="004D0555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1A153A" w:rsidRPr="00FC40E8">
        <w:rPr>
          <w:rFonts w:ascii="Calibri" w:eastAsia="Calibri" w:hAnsi="Calibri" w:cs="Calibri"/>
          <w:sz w:val="24"/>
          <w:szCs w:val="24"/>
          <w:lang w:eastAsia="en-US"/>
        </w:rPr>
        <w:t>v</w:t>
      </w:r>
      <w:r w:rsidR="004D0555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1A153A" w:rsidRPr="00FC40E8">
        <w:rPr>
          <w:rFonts w:ascii="Calibri" w:eastAsia="Calibri" w:hAnsi="Calibri" w:cs="Calibri"/>
          <w:sz w:val="24"/>
          <w:szCs w:val="24"/>
          <w:lang w:eastAsia="en-US"/>
        </w:rPr>
        <w:t xml:space="preserve">sektoru chráněných území </w:t>
      </w:r>
      <w:r w:rsidRPr="00FC40E8">
        <w:rPr>
          <w:rFonts w:ascii="Calibri" w:eastAsia="Calibri" w:hAnsi="Calibri" w:cs="Calibri"/>
          <w:sz w:val="24"/>
          <w:szCs w:val="24"/>
          <w:lang w:eastAsia="en-US"/>
        </w:rPr>
        <w:t xml:space="preserve">mj. </w:t>
      </w:r>
      <w:r w:rsidR="001A153A" w:rsidRPr="00FC40E8">
        <w:rPr>
          <w:rFonts w:ascii="Calibri" w:eastAsia="Calibri" w:hAnsi="Calibri" w:cs="Calibri"/>
          <w:sz w:val="24"/>
          <w:szCs w:val="24"/>
          <w:lang w:eastAsia="en-US"/>
        </w:rPr>
        <w:t xml:space="preserve">zpracovat strategii rozvoje NP s termínem do roku 2011. </w:t>
      </w:r>
      <w:r w:rsidR="008E698B" w:rsidRPr="00FC40E8">
        <w:rPr>
          <w:rFonts w:ascii="Calibri" w:eastAsia="Calibri" w:hAnsi="Calibri" w:cs="Calibri"/>
          <w:sz w:val="24"/>
          <w:szCs w:val="24"/>
          <w:lang w:eastAsia="en-US"/>
        </w:rPr>
        <w:t xml:space="preserve">MŽP </w:t>
      </w:r>
      <w:r w:rsidR="008E698B" w:rsidRPr="00FC40E8">
        <w:rPr>
          <w:rFonts w:ascii="Calibri" w:hAnsi="Calibri" w:cs="Calibri"/>
          <w:sz w:val="24"/>
          <w:szCs w:val="24"/>
          <w:lang w:eastAsia="en-US"/>
        </w:rPr>
        <w:t xml:space="preserve">v kontrolovaném období nemělo zpracovanou ucelenou strategii rozvoje </w:t>
      </w:r>
      <w:r w:rsidR="003048F8">
        <w:rPr>
          <w:rFonts w:ascii="Calibri" w:hAnsi="Calibri" w:cs="Calibri"/>
          <w:sz w:val="24"/>
          <w:szCs w:val="24"/>
          <w:lang w:eastAsia="en-US"/>
        </w:rPr>
        <w:t>NP</w:t>
      </w:r>
      <w:r w:rsidR="008E698B" w:rsidRPr="00FC40E8">
        <w:rPr>
          <w:rFonts w:ascii="Calibri" w:hAnsi="Calibri" w:cs="Calibri"/>
          <w:sz w:val="24"/>
          <w:szCs w:val="24"/>
          <w:lang w:eastAsia="en-US"/>
        </w:rPr>
        <w:t>.</w:t>
      </w:r>
      <w:r w:rsidR="008E698B" w:rsidRPr="00FC40E8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FC40E8">
        <w:rPr>
          <w:rFonts w:ascii="Calibri" w:eastAsia="Calibri" w:hAnsi="Calibri" w:cs="Calibri"/>
          <w:sz w:val="24"/>
          <w:szCs w:val="24"/>
          <w:lang w:eastAsia="en-US"/>
        </w:rPr>
        <w:t>Na problemati</w:t>
      </w:r>
      <w:r w:rsidR="006F0724" w:rsidRPr="00FC40E8">
        <w:rPr>
          <w:rFonts w:ascii="Calibri" w:eastAsia="Calibri" w:hAnsi="Calibri" w:cs="Calibri"/>
          <w:sz w:val="24"/>
          <w:szCs w:val="24"/>
          <w:lang w:eastAsia="en-US"/>
        </w:rPr>
        <w:t>ku absence strategie rozvoje NP</w:t>
      </w:r>
      <w:r w:rsidR="009E2171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FC40E8">
        <w:rPr>
          <w:rFonts w:ascii="Calibri" w:eastAsia="Calibri" w:hAnsi="Calibri" w:cs="Calibri"/>
          <w:sz w:val="24"/>
          <w:szCs w:val="24"/>
          <w:lang w:eastAsia="en-US"/>
        </w:rPr>
        <w:t xml:space="preserve">upozornil NKÚ již v KA </w:t>
      </w:r>
      <w:r w:rsidR="00F576B8">
        <w:rPr>
          <w:rFonts w:ascii="Calibri" w:eastAsia="Calibri" w:hAnsi="Calibri" w:cs="Calibri"/>
          <w:sz w:val="24"/>
          <w:szCs w:val="24"/>
          <w:lang w:eastAsia="en-US"/>
        </w:rPr>
        <w:t xml:space="preserve">č. </w:t>
      </w:r>
      <w:r w:rsidRPr="00FC40E8">
        <w:rPr>
          <w:rFonts w:ascii="Calibri" w:eastAsia="Calibri" w:hAnsi="Calibri" w:cs="Calibri"/>
          <w:sz w:val="24"/>
          <w:szCs w:val="24"/>
          <w:lang w:eastAsia="en-US"/>
        </w:rPr>
        <w:t>11/06</w:t>
      </w:r>
      <w:r w:rsidR="00FD3031" w:rsidRPr="00FC40E8">
        <w:rPr>
          <w:rStyle w:val="Znakapoznpodarou"/>
          <w:rFonts w:ascii="Calibri" w:eastAsia="Calibri" w:hAnsi="Calibri"/>
          <w:sz w:val="24"/>
          <w:szCs w:val="24"/>
          <w:lang w:eastAsia="en-US"/>
        </w:rPr>
        <w:footnoteReference w:id="10"/>
      </w:r>
      <w:r w:rsidRPr="00FC40E8"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3D39748E" w14:textId="7438ECE7" w:rsidR="00CA1727" w:rsidRPr="001A153A" w:rsidRDefault="00E35F27" w:rsidP="00883A95">
      <w:pPr>
        <w:pStyle w:val="Odstavecseseznamem"/>
        <w:widowControl/>
        <w:numPr>
          <w:ilvl w:val="0"/>
          <w:numId w:val="4"/>
        </w:numPr>
        <w:shd w:val="clear" w:color="auto" w:fill="FFFFFF" w:themeFill="background1"/>
        <w:spacing w:before="120" w:after="120"/>
        <w:rPr>
          <w:rFonts w:ascii="Calibri" w:eastAsia="Times New Roman" w:hAnsi="Calibri"/>
          <w:b/>
          <w:sz w:val="24"/>
          <w:szCs w:val="25"/>
        </w:rPr>
      </w:pPr>
      <w:r w:rsidRPr="001A153A">
        <w:rPr>
          <w:rFonts w:ascii="Calibri" w:hAnsi="Calibri" w:cs="Calibri"/>
          <w:b/>
          <w:sz w:val="24"/>
          <w:szCs w:val="24"/>
          <w:lang w:eastAsia="en-US"/>
        </w:rPr>
        <w:t xml:space="preserve">MŽP </w:t>
      </w:r>
      <w:r w:rsidR="00E41A02" w:rsidRPr="001A153A">
        <w:rPr>
          <w:rFonts w:ascii="Calibri" w:hAnsi="Calibri" w:cs="Calibri"/>
          <w:b/>
          <w:sz w:val="24"/>
          <w:szCs w:val="24"/>
          <w:lang w:eastAsia="en-US"/>
        </w:rPr>
        <w:t xml:space="preserve">nepodalo návrh na zápis předkupního práva státu </w:t>
      </w:r>
      <w:r w:rsidR="0059399C">
        <w:rPr>
          <w:rFonts w:ascii="Calibri" w:hAnsi="Calibri" w:cs="Calibri"/>
          <w:b/>
          <w:sz w:val="24"/>
          <w:szCs w:val="24"/>
          <w:lang w:eastAsia="en-US"/>
        </w:rPr>
        <w:t xml:space="preserve">do katastru nemovitostí </w:t>
      </w:r>
      <w:r w:rsidR="00E41A02" w:rsidRPr="001A153A">
        <w:rPr>
          <w:rFonts w:ascii="Calibri" w:hAnsi="Calibri" w:cs="Calibri"/>
          <w:b/>
          <w:sz w:val="24"/>
          <w:szCs w:val="24"/>
          <w:lang w:eastAsia="en-US"/>
        </w:rPr>
        <w:t>k pozemkům na území NP</w:t>
      </w:r>
    </w:p>
    <w:p w14:paraId="603931DE" w14:textId="112835A9" w:rsidR="004043CF" w:rsidRDefault="00163DEE" w:rsidP="00C90E35">
      <w:pPr>
        <w:widowControl/>
        <w:autoSpaceDE/>
        <w:adjustRightInd/>
        <w:spacing w:before="120" w:after="120"/>
        <w:jc w:val="both"/>
        <w:rPr>
          <w:rFonts w:ascii="Calibri" w:hAnsi="Calibri" w:cs="Calibri"/>
          <w:sz w:val="24"/>
          <w:szCs w:val="24"/>
          <w:lang w:eastAsia="en-US"/>
        </w:rPr>
      </w:pPr>
      <w:r w:rsidRPr="00684067">
        <w:rPr>
          <w:rFonts w:ascii="Calibri" w:hAnsi="Calibri" w:cs="Calibri"/>
          <w:sz w:val="24"/>
          <w:szCs w:val="24"/>
          <w:lang w:eastAsia="en-US"/>
        </w:rPr>
        <w:t>Novela zákona o ochraně přírody a krajiny, kterou připravilo MŽP, měla jednoznačně upravit postup při uplatňování předkupního práva státu k pozemkům na území NP</w:t>
      </w:r>
      <w:r w:rsidR="00696B78" w:rsidRPr="00684067">
        <w:rPr>
          <w:rFonts w:ascii="Calibri" w:hAnsi="Calibri" w:cs="Calibri"/>
          <w:sz w:val="24"/>
          <w:szCs w:val="24"/>
          <w:lang w:eastAsia="en-US"/>
        </w:rPr>
        <w:t xml:space="preserve">. </w:t>
      </w:r>
      <w:r w:rsidR="004043CF" w:rsidRPr="00684067">
        <w:rPr>
          <w:rFonts w:ascii="Calibri" w:hAnsi="Calibri" w:cs="Calibri"/>
          <w:sz w:val="24"/>
          <w:szCs w:val="24"/>
          <w:lang w:eastAsia="en-US"/>
        </w:rPr>
        <w:t xml:space="preserve">Kontrolou bylo </w:t>
      </w:r>
      <w:r w:rsidR="004043CF" w:rsidRPr="00684067">
        <w:rPr>
          <w:rFonts w:ascii="Calibri" w:hAnsi="Calibri" w:cs="Calibri"/>
          <w:sz w:val="24"/>
          <w:szCs w:val="24"/>
          <w:lang w:eastAsia="en-US"/>
        </w:rPr>
        <w:lastRenderedPageBreak/>
        <w:t>zjištěno, že z důvodu nejednoznačnosti právní úpravy MŽP nesplnilo svoji povinnost podat návr</w:t>
      </w:r>
      <w:r w:rsidR="00472006">
        <w:rPr>
          <w:rFonts w:ascii="Calibri" w:hAnsi="Calibri" w:cs="Calibri"/>
          <w:sz w:val="24"/>
          <w:szCs w:val="24"/>
          <w:lang w:eastAsia="en-US"/>
        </w:rPr>
        <w:t>h na zápis předkupního práva. V</w:t>
      </w:r>
      <w:r w:rsidR="004043CF" w:rsidRPr="00684067">
        <w:rPr>
          <w:rFonts w:ascii="Calibri" w:hAnsi="Calibri" w:cs="Calibri"/>
          <w:sz w:val="24"/>
          <w:szCs w:val="24"/>
          <w:lang w:eastAsia="en-US"/>
        </w:rPr>
        <w:t xml:space="preserve"> důsledku toho dochází k převodům pozemků bez </w:t>
      </w:r>
      <w:r w:rsidR="00472006">
        <w:rPr>
          <w:rFonts w:ascii="Calibri" w:hAnsi="Calibri" w:cs="Calibri"/>
          <w:sz w:val="24"/>
          <w:szCs w:val="24"/>
          <w:lang w:eastAsia="en-US"/>
        </w:rPr>
        <w:t xml:space="preserve">uplatnění </w:t>
      </w:r>
      <w:r w:rsidR="0059399C">
        <w:rPr>
          <w:rFonts w:ascii="Calibri" w:hAnsi="Calibri" w:cs="Calibri"/>
          <w:sz w:val="24"/>
          <w:szCs w:val="24"/>
          <w:lang w:eastAsia="en-US"/>
        </w:rPr>
        <w:t>přednostn</w:t>
      </w:r>
      <w:r w:rsidR="004043CF" w:rsidRPr="00684067">
        <w:rPr>
          <w:rFonts w:ascii="Calibri" w:hAnsi="Calibri" w:cs="Calibri"/>
          <w:sz w:val="24"/>
          <w:szCs w:val="24"/>
          <w:lang w:eastAsia="en-US"/>
        </w:rPr>
        <w:t>í nabídky státu.</w:t>
      </w:r>
    </w:p>
    <w:p w14:paraId="64461B3D" w14:textId="77777777" w:rsidR="00CA1C92" w:rsidRPr="00E87EF8" w:rsidRDefault="00CA1C92" w:rsidP="00C90E35">
      <w:pPr>
        <w:widowControl/>
        <w:spacing w:before="120" w:after="12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A9692FF" w14:textId="77777777" w:rsidR="00246D13" w:rsidRPr="00613233" w:rsidRDefault="00091F77" w:rsidP="00883A95">
      <w:pPr>
        <w:pStyle w:val="Nadpis1"/>
        <w:keepLines w:val="0"/>
        <w:widowControl/>
        <w:jc w:val="center"/>
        <w:rPr>
          <w:rFonts w:asciiTheme="minorHAnsi" w:hAnsiTheme="minorHAnsi" w:cstheme="minorHAnsi"/>
          <w:b/>
          <w:color w:val="auto"/>
        </w:rPr>
      </w:pPr>
      <w:r w:rsidRPr="003A443C">
        <w:rPr>
          <w:rFonts w:asciiTheme="minorHAnsi" w:hAnsiTheme="minorHAnsi" w:cstheme="minorHAnsi"/>
          <w:b/>
          <w:bCs/>
          <w:color w:val="auto"/>
          <w:spacing w:val="-3"/>
          <w:szCs w:val="22"/>
        </w:rPr>
        <w:t>I</w:t>
      </w:r>
      <w:r w:rsidR="00246D13" w:rsidRPr="003A443C">
        <w:rPr>
          <w:rFonts w:asciiTheme="minorHAnsi" w:hAnsiTheme="minorHAnsi" w:cstheme="minorHAnsi"/>
          <w:b/>
          <w:bCs/>
          <w:color w:val="auto"/>
          <w:spacing w:val="-3"/>
          <w:szCs w:val="22"/>
        </w:rPr>
        <w:t>I</w:t>
      </w:r>
      <w:r w:rsidR="00246D13" w:rsidRPr="003A443C">
        <w:rPr>
          <w:rFonts w:asciiTheme="minorHAnsi" w:hAnsiTheme="minorHAnsi" w:cstheme="minorHAnsi"/>
          <w:b/>
          <w:color w:val="auto"/>
        </w:rPr>
        <w:t>.</w:t>
      </w:r>
      <w:r w:rsidR="004225A8" w:rsidRPr="003A443C">
        <w:rPr>
          <w:rFonts w:asciiTheme="minorHAnsi" w:hAnsiTheme="minorHAnsi" w:cstheme="minorHAnsi"/>
          <w:b/>
          <w:color w:val="auto"/>
        </w:rPr>
        <w:t xml:space="preserve"> </w:t>
      </w:r>
      <w:r w:rsidR="00246D13" w:rsidRPr="003A443C">
        <w:rPr>
          <w:rFonts w:asciiTheme="minorHAnsi" w:hAnsiTheme="minorHAnsi" w:cstheme="minorHAnsi"/>
          <w:b/>
          <w:color w:val="auto"/>
        </w:rPr>
        <w:t>Informace o kontrolované oblasti</w:t>
      </w:r>
    </w:p>
    <w:p w14:paraId="6D91F9CE" w14:textId="5113D067" w:rsidR="004225A8" w:rsidRPr="00613233" w:rsidRDefault="0052509B" w:rsidP="00C90E35">
      <w:pPr>
        <w:widowControl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MŽP</w:t>
      </w:r>
      <w:r w:rsidR="004F4DF4" w:rsidRPr="00613233">
        <w:rPr>
          <w:rFonts w:asciiTheme="minorHAnsi" w:hAnsiTheme="minorHAnsi" w:cstheme="minorHAnsi"/>
          <w:sz w:val="24"/>
          <w:szCs w:val="24"/>
        </w:rPr>
        <w:t xml:space="preserve"> je dle</w:t>
      </w:r>
      <w:r w:rsidR="002010D0">
        <w:rPr>
          <w:rFonts w:asciiTheme="minorHAnsi" w:hAnsiTheme="minorHAnsi" w:cstheme="minorHAnsi"/>
          <w:sz w:val="24"/>
          <w:szCs w:val="24"/>
        </w:rPr>
        <w:t xml:space="preserve"> zákona </w:t>
      </w:r>
      <w:r w:rsidR="00343B1D" w:rsidRPr="00343B1D">
        <w:rPr>
          <w:rFonts w:asciiTheme="minorHAnsi" w:hAnsiTheme="minorHAnsi" w:cstheme="minorHAnsi"/>
          <w:sz w:val="24"/>
          <w:szCs w:val="24"/>
        </w:rPr>
        <w:t xml:space="preserve">o zřízení ministerstev a jiných ústředních orgánů státní správy České </w:t>
      </w:r>
      <w:r w:rsidR="00343B1D" w:rsidRPr="002010D0">
        <w:rPr>
          <w:rFonts w:asciiTheme="minorHAnsi" w:hAnsiTheme="minorHAnsi" w:cstheme="minorHAnsi"/>
          <w:sz w:val="24"/>
          <w:szCs w:val="24"/>
        </w:rPr>
        <w:t>republiky</w:t>
      </w:r>
      <w:r w:rsidR="002010D0" w:rsidRPr="002010D0">
        <w:rPr>
          <w:rStyle w:val="Znakapoznpodarou"/>
          <w:rFonts w:asciiTheme="minorHAnsi" w:hAnsiTheme="minorHAnsi" w:cstheme="minorHAnsi"/>
          <w:sz w:val="24"/>
          <w:szCs w:val="24"/>
        </w:rPr>
        <w:footnoteReference w:id="11"/>
      </w:r>
      <w:r w:rsidR="002010D0">
        <w:rPr>
          <w:rFonts w:asciiTheme="minorHAnsi" w:hAnsiTheme="minorHAnsi" w:cstheme="minorHAnsi"/>
          <w:sz w:val="24"/>
          <w:szCs w:val="24"/>
        </w:rPr>
        <w:t xml:space="preserve"> </w:t>
      </w:r>
      <w:r w:rsidR="004F4DF4" w:rsidRPr="00613233">
        <w:rPr>
          <w:rFonts w:asciiTheme="minorHAnsi" w:hAnsiTheme="minorHAnsi" w:cstheme="minorHAnsi"/>
          <w:sz w:val="24"/>
          <w:szCs w:val="24"/>
        </w:rPr>
        <w:t xml:space="preserve">orgánem vrchního státního dozoru ve věcech životního prostředí. </w:t>
      </w:r>
      <w:r w:rsidR="006F0724">
        <w:rPr>
          <w:rFonts w:asciiTheme="minorHAnsi" w:hAnsiTheme="minorHAnsi" w:cstheme="minorHAnsi"/>
          <w:sz w:val="24"/>
          <w:szCs w:val="24"/>
        </w:rPr>
        <w:t>MŽP</w:t>
      </w:r>
      <w:r w:rsidR="001E55E7">
        <w:rPr>
          <w:rFonts w:asciiTheme="minorHAnsi" w:hAnsiTheme="minorHAnsi" w:cstheme="minorHAnsi"/>
          <w:sz w:val="24"/>
          <w:szCs w:val="24"/>
        </w:rPr>
        <w:t xml:space="preserve"> </w:t>
      </w:r>
      <w:r w:rsidR="005D0DDE">
        <w:rPr>
          <w:rFonts w:asciiTheme="minorHAnsi" w:hAnsiTheme="minorHAnsi" w:cstheme="minorHAnsi"/>
          <w:sz w:val="24"/>
          <w:szCs w:val="24"/>
        </w:rPr>
        <w:t>je</w:t>
      </w:r>
      <w:r w:rsidR="001E55E7">
        <w:rPr>
          <w:rFonts w:asciiTheme="minorHAnsi" w:hAnsiTheme="minorHAnsi" w:cstheme="minorHAnsi"/>
          <w:sz w:val="24"/>
          <w:szCs w:val="24"/>
        </w:rPr>
        <w:t xml:space="preserve"> </w:t>
      </w:r>
      <w:r w:rsidR="004F4DF4" w:rsidRPr="00613233">
        <w:rPr>
          <w:rFonts w:asciiTheme="minorHAnsi" w:hAnsiTheme="minorHAnsi" w:cstheme="minorHAnsi"/>
          <w:sz w:val="24"/>
          <w:szCs w:val="24"/>
        </w:rPr>
        <w:t>ústředním orgánem státní správy mj. pro ochranu přírody a</w:t>
      </w:r>
      <w:r w:rsidR="001E55E7">
        <w:rPr>
          <w:rFonts w:asciiTheme="minorHAnsi" w:hAnsiTheme="minorHAnsi" w:cstheme="minorHAnsi"/>
          <w:sz w:val="24"/>
          <w:szCs w:val="24"/>
        </w:rPr>
        <w:t xml:space="preserve"> </w:t>
      </w:r>
      <w:r w:rsidR="004F4DF4" w:rsidRPr="00613233">
        <w:rPr>
          <w:rFonts w:asciiTheme="minorHAnsi" w:hAnsiTheme="minorHAnsi" w:cstheme="minorHAnsi"/>
          <w:sz w:val="24"/>
          <w:szCs w:val="24"/>
        </w:rPr>
        <w:t>krajiny a pro myslivost, rybářství a lesní hospodářství v </w:t>
      </w:r>
      <w:r w:rsidR="009B7775">
        <w:rPr>
          <w:rFonts w:asciiTheme="minorHAnsi" w:hAnsiTheme="minorHAnsi" w:cstheme="minorHAnsi"/>
          <w:sz w:val="24"/>
          <w:szCs w:val="24"/>
        </w:rPr>
        <w:t>NP</w:t>
      </w:r>
      <w:r w:rsidR="004F4DF4" w:rsidRPr="00613233">
        <w:rPr>
          <w:rFonts w:asciiTheme="minorHAnsi" w:hAnsiTheme="minorHAnsi" w:cstheme="minorHAnsi"/>
          <w:sz w:val="24"/>
          <w:szCs w:val="24"/>
        </w:rPr>
        <w:t>.</w:t>
      </w:r>
    </w:p>
    <w:p w14:paraId="3AE79937" w14:textId="417BA5A4" w:rsidR="008C4B79" w:rsidRDefault="0089149A" w:rsidP="00C90E35">
      <w:pPr>
        <w:widowControl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89149A">
        <w:rPr>
          <w:rFonts w:asciiTheme="minorHAnsi" w:hAnsiTheme="minorHAnsi" w:cstheme="minorHAnsi"/>
          <w:b/>
          <w:sz w:val="24"/>
          <w:szCs w:val="24"/>
        </w:rPr>
        <w:t>Správy NP</w:t>
      </w:r>
      <w:r>
        <w:rPr>
          <w:rFonts w:asciiTheme="minorHAnsi" w:hAnsiTheme="minorHAnsi" w:cstheme="minorHAnsi"/>
          <w:sz w:val="24"/>
          <w:szCs w:val="24"/>
        </w:rPr>
        <w:t xml:space="preserve"> n</w:t>
      </w:r>
      <w:r w:rsidR="009907DB" w:rsidRPr="00613233">
        <w:rPr>
          <w:rFonts w:asciiTheme="minorHAnsi" w:hAnsiTheme="minorHAnsi" w:cstheme="minorHAnsi"/>
          <w:sz w:val="24"/>
          <w:szCs w:val="24"/>
        </w:rPr>
        <w:t>a území NP a jejich ochranných pásem zajišťují ochranu</w:t>
      </w:r>
      <w:r w:rsidR="009907DB" w:rsidRPr="00BB1425">
        <w:rPr>
          <w:rFonts w:asciiTheme="minorHAnsi" w:hAnsiTheme="minorHAnsi" w:cstheme="minorHAnsi"/>
          <w:sz w:val="24"/>
          <w:szCs w:val="24"/>
        </w:rPr>
        <w:t xml:space="preserve"> přírody a vykonávají státní správu v rozsahu působnosti stanovené v zákoně o ochraně přírody a krajiny</w:t>
      </w:r>
      <w:r w:rsidR="00586780">
        <w:rPr>
          <w:rStyle w:val="Znakapoznpodarou"/>
          <w:rFonts w:asciiTheme="minorHAnsi" w:hAnsiTheme="minorHAnsi"/>
          <w:sz w:val="24"/>
          <w:szCs w:val="24"/>
        </w:rPr>
        <w:footnoteReference w:id="12"/>
      </w:r>
      <w:r w:rsidR="009907DB" w:rsidRPr="00BB1425">
        <w:rPr>
          <w:rFonts w:asciiTheme="minorHAnsi" w:hAnsiTheme="minorHAnsi" w:cstheme="minorHAnsi"/>
          <w:sz w:val="24"/>
          <w:szCs w:val="24"/>
        </w:rPr>
        <w:t>.</w:t>
      </w:r>
      <w:r w:rsidR="009907DB">
        <w:rPr>
          <w:rFonts w:asciiTheme="minorHAnsi" w:hAnsiTheme="minorHAnsi" w:cstheme="minorHAnsi"/>
          <w:sz w:val="24"/>
          <w:szCs w:val="24"/>
        </w:rPr>
        <w:t xml:space="preserve"> </w:t>
      </w:r>
      <w:r w:rsidR="009907DB" w:rsidRPr="004F4DF4">
        <w:rPr>
          <w:rFonts w:asciiTheme="minorHAnsi" w:hAnsiTheme="minorHAnsi" w:cstheme="minorHAnsi"/>
          <w:sz w:val="24"/>
          <w:szCs w:val="24"/>
        </w:rPr>
        <w:t>Správy NP jsou příspěvkové organizace</w:t>
      </w:r>
      <w:r w:rsidR="009907DB" w:rsidRPr="004F4DF4">
        <w:rPr>
          <w:rStyle w:val="Znakapoznpodarou"/>
          <w:rFonts w:asciiTheme="minorHAnsi" w:hAnsiTheme="minorHAnsi" w:cstheme="minorHAnsi"/>
          <w:sz w:val="24"/>
          <w:szCs w:val="24"/>
        </w:rPr>
        <w:footnoteReference w:id="13"/>
      </w:r>
      <w:r w:rsidR="009907DB" w:rsidRPr="004F4DF4">
        <w:rPr>
          <w:rFonts w:asciiTheme="minorHAnsi" w:hAnsiTheme="minorHAnsi" w:cstheme="minorHAnsi"/>
          <w:sz w:val="24"/>
          <w:szCs w:val="24"/>
        </w:rPr>
        <w:t xml:space="preserve"> zřízené MŽP</w:t>
      </w:r>
      <w:r w:rsidR="009907DB">
        <w:rPr>
          <w:rFonts w:asciiTheme="minorHAnsi" w:hAnsiTheme="minorHAnsi" w:cstheme="minorHAnsi"/>
          <w:sz w:val="24"/>
          <w:szCs w:val="24"/>
        </w:rPr>
        <w:t xml:space="preserve"> </w:t>
      </w:r>
      <w:r w:rsidR="009907DB" w:rsidRPr="004F4DF4">
        <w:rPr>
          <w:rFonts w:asciiTheme="minorHAnsi" w:hAnsiTheme="minorHAnsi" w:cstheme="minorHAnsi"/>
          <w:sz w:val="24"/>
          <w:szCs w:val="24"/>
        </w:rPr>
        <w:t>a v souladu se zákonem</w:t>
      </w:r>
      <w:r w:rsidR="00343B1D">
        <w:rPr>
          <w:rFonts w:asciiTheme="minorHAnsi" w:hAnsiTheme="minorHAnsi" w:cstheme="minorHAnsi"/>
          <w:sz w:val="24"/>
          <w:szCs w:val="24"/>
        </w:rPr>
        <w:t xml:space="preserve"> o rozpočtových pravidlech</w:t>
      </w:r>
      <w:r w:rsidR="009907DB" w:rsidRPr="004F4DF4">
        <w:rPr>
          <w:rFonts w:asciiTheme="minorHAnsi" w:hAnsiTheme="minorHAnsi" w:cstheme="minorHAnsi"/>
          <w:bCs/>
          <w:sz w:val="24"/>
          <w:szCs w:val="24"/>
        </w:rPr>
        <w:t xml:space="preserve"> hospodaří s peněžními prostředky přijatými ze</w:t>
      </w:r>
      <w:r w:rsidR="001E55E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907DB" w:rsidRPr="004F4DF4">
        <w:rPr>
          <w:rFonts w:asciiTheme="minorHAnsi" w:hAnsiTheme="minorHAnsi" w:cstheme="minorHAnsi"/>
          <w:bCs/>
          <w:sz w:val="24"/>
          <w:szCs w:val="24"/>
        </w:rPr>
        <w:t>státního rozpočtu v rámci finančních vztahů stanovených zřizovatelem, s peněžními prostředky získanými hlavní činností, dále s prostředky svých fondů nebo s prostředky získanými jinou činností. S</w:t>
      </w:r>
      <w:r w:rsidR="009907DB">
        <w:rPr>
          <w:rFonts w:asciiTheme="minorHAnsi" w:hAnsiTheme="minorHAnsi" w:cstheme="minorHAnsi"/>
          <w:bCs/>
          <w:sz w:val="24"/>
          <w:szCs w:val="24"/>
        </w:rPr>
        <w:t xml:space="preserve">právy </w:t>
      </w:r>
      <w:r w:rsidR="009907DB" w:rsidRPr="004F4DF4">
        <w:rPr>
          <w:rFonts w:asciiTheme="minorHAnsi" w:hAnsiTheme="minorHAnsi" w:cstheme="minorHAnsi"/>
          <w:bCs/>
          <w:sz w:val="24"/>
          <w:szCs w:val="24"/>
        </w:rPr>
        <w:t>NP</w:t>
      </w:r>
      <w:r w:rsidR="001E55E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907DB" w:rsidRPr="004F4DF4">
        <w:rPr>
          <w:rFonts w:asciiTheme="minorHAnsi" w:hAnsiTheme="minorHAnsi" w:cstheme="minorHAnsi"/>
          <w:bCs/>
          <w:sz w:val="24"/>
          <w:szCs w:val="24"/>
        </w:rPr>
        <w:t>jsou samostatné účetní jednotky, které jsou povinny účtovat v souladu se</w:t>
      </w:r>
      <w:r w:rsidR="001E55E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907DB" w:rsidRPr="004F4DF4">
        <w:rPr>
          <w:rFonts w:asciiTheme="minorHAnsi" w:hAnsiTheme="minorHAnsi" w:cstheme="minorHAnsi"/>
          <w:bCs/>
          <w:sz w:val="24"/>
          <w:szCs w:val="24"/>
        </w:rPr>
        <w:t xml:space="preserve">zákonem </w:t>
      </w:r>
      <w:r w:rsidR="00343B1D">
        <w:rPr>
          <w:rFonts w:asciiTheme="minorHAnsi" w:hAnsiTheme="minorHAnsi" w:cstheme="minorHAnsi"/>
          <w:bCs/>
          <w:sz w:val="24"/>
          <w:szCs w:val="24"/>
        </w:rPr>
        <w:t>o účetnictví</w:t>
      </w:r>
      <w:r w:rsidR="00DA681F">
        <w:rPr>
          <w:rFonts w:asciiTheme="minorHAnsi" w:hAnsiTheme="minorHAnsi" w:cstheme="minorHAnsi"/>
          <w:bCs/>
          <w:sz w:val="24"/>
          <w:szCs w:val="24"/>
        </w:rPr>
        <w:t xml:space="preserve"> a</w:t>
      </w:r>
      <w:r w:rsidR="0027159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907DB" w:rsidRPr="004F4DF4">
        <w:rPr>
          <w:rFonts w:asciiTheme="minorHAnsi" w:hAnsiTheme="minorHAnsi" w:cstheme="minorHAnsi"/>
          <w:sz w:val="24"/>
          <w:szCs w:val="24"/>
        </w:rPr>
        <w:t xml:space="preserve">hospodařit s majetkem státu v souladu se zákonem </w:t>
      </w:r>
      <w:r w:rsidR="00343B1D">
        <w:rPr>
          <w:rFonts w:asciiTheme="minorHAnsi" w:hAnsiTheme="minorHAnsi" w:cstheme="minorHAnsi"/>
          <w:sz w:val="24"/>
          <w:szCs w:val="24"/>
        </w:rPr>
        <w:t>o majetku</w:t>
      </w:r>
      <w:r w:rsidR="009907DB" w:rsidRPr="004F4DF4">
        <w:rPr>
          <w:rFonts w:asciiTheme="minorHAnsi" w:hAnsiTheme="minorHAnsi" w:cstheme="minorHAnsi"/>
          <w:sz w:val="24"/>
          <w:szCs w:val="24"/>
        </w:rPr>
        <w:t xml:space="preserve">. Základní účel </w:t>
      </w:r>
      <w:r w:rsidR="00F576B8">
        <w:rPr>
          <w:rFonts w:asciiTheme="minorHAnsi" w:hAnsiTheme="minorHAnsi" w:cstheme="minorHAnsi"/>
          <w:sz w:val="24"/>
          <w:szCs w:val="24"/>
        </w:rPr>
        <w:t xml:space="preserve">i </w:t>
      </w:r>
      <w:r w:rsidR="009907DB" w:rsidRPr="004F4DF4">
        <w:rPr>
          <w:rFonts w:asciiTheme="minorHAnsi" w:hAnsiTheme="minorHAnsi" w:cstheme="minorHAnsi"/>
          <w:sz w:val="24"/>
          <w:szCs w:val="24"/>
        </w:rPr>
        <w:t>předmět hlav</w:t>
      </w:r>
      <w:r w:rsidR="00AD7D19">
        <w:rPr>
          <w:rFonts w:asciiTheme="minorHAnsi" w:hAnsiTheme="minorHAnsi" w:cstheme="minorHAnsi"/>
          <w:sz w:val="24"/>
          <w:szCs w:val="24"/>
        </w:rPr>
        <w:t>ní a hospodářské</w:t>
      </w:r>
      <w:r w:rsidR="009907DB" w:rsidRPr="004F4DF4">
        <w:rPr>
          <w:rFonts w:asciiTheme="minorHAnsi" w:hAnsiTheme="minorHAnsi" w:cstheme="minorHAnsi"/>
          <w:sz w:val="24"/>
          <w:szCs w:val="24"/>
        </w:rPr>
        <w:t xml:space="preserve"> činnosti správy NP podrobn</w:t>
      </w:r>
      <w:r w:rsidR="009907DB">
        <w:rPr>
          <w:rFonts w:asciiTheme="minorHAnsi" w:hAnsiTheme="minorHAnsi" w:cstheme="minorHAnsi"/>
          <w:sz w:val="24"/>
          <w:szCs w:val="24"/>
        </w:rPr>
        <w:t>ě vymez</w:t>
      </w:r>
      <w:r w:rsidR="00F576B8">
        <w:rPr>
          <w:rFonts w:asciiTheme="minorHAnsi" w:hAnsiTheme="minorHAnsi" w:cstheme="minorHAnsi"/>
          <w:sz w:val="24"/>
          <w:szCs w:val="24"/>
        </w:rPr>
        <w:t>uje</w:t>
      </w:r>
      <w:r w:rsidR="009907DB">
        <w:rPr>
          <w:rFonts w:asciiTheme="minorHAnsi" w:hAnsiTheme="minorHAnsi" w:cstheme="minorHAnsi"/>
          <w:sz w:val="24"/>
          <w:szCs w:val="24"/>
        </w:rPr>
        <w:t xml:space="preserve"> zřizovací listin</w:t>
      </w:r>
      <w:r w:rsidR="00F576B8">
        <w:rPr>
          <w:rFonts w:asciiTheme="minorHAnsi" w:hAnsiTheme="minorHAnsi" w:cstheme="minorHAnsi"/>
          <w:sz w:val="24"/>
          <w:szCs w:val="24"/>
        </w:rPr>
        <w:t>a</w:t>
      </w:r>
      <w:r w:rsidR="009907DB">
        <w:rPr>
          <w:rFonts w:asciiTheme="minorHAnsi" w:hAnsiTheme="minorHAnsi" w:cstheme="minorHAnsi"/>
          <w:sz w:val="24"/>
          <w:szCs w:val="24"/>
        </w:rPr>
        <w:t>.</w:t>
      </w:r>
    </w:p>
    <w:p w14:paraId="0E31107D" w14:textId="3BCC9D9B" w:rsidR="00845D8E" w:rsidRPr="00FC40E8" w:rsidRDefault="00B11959" w:rsidP="00C90E35">
      <w:pPr>
        <w:widowControl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NP</w:t>
      </w:r>
      <w:r w:rsidR="00BB1425" w:rsidRPr="00845D8E">
        <w:rPr>
          <w:rFonts w:asciiTheme="minorHAnsi" w:hAnsiTheme="minorHAnsi" w:cstheme="minorHAnsi"/>
          <w:sz w:val="24"/>
          <w:szCs w:val="24"/>
        </w:rPr>
        <w:t xml:space="preserve"> jsou jednou z kategorií zvláště chráněných území. Dle</w:t>
      </w:r>
      <w:r w:rsidR="001E55E7">
        <w:rPr>
          <w:rFonts w:asciiTheme="minorHAnsi" w:hAnsiTheme="minorHAnsi" w:cstheme="minorHAnsi"/>
          <w:sz w:val="24"/>
          <w:szCs w:val="24"/>
        </w:rPr>
        <w:t xml:space="preserve"> </w:t>
      </w:r>
      <w:r w:rsidR="00BB1425" w:rsidRPr="00845D8E">
        <w:rPr>
          <w:rFonts w:asciiTheme="minorHAnsi" w:hAnsiTheme="minorHAnsi" w:cstheme="minorHAnsi"/>
          <w:sz w:val="24"/>
          <w:szCs w:val="24"/>
        </w:rPr>
        <w:t xml:space="preserve">ustanovení § 15 zákona </w:t>
      </w:r>
      <w:r w:rsidR="00343B1D" w:rsidRPr="00F8770B">
        <w:rPr>
          <w:rFonts w:asciiTheme="minorHAnsi" w:hAnsiTheme="minorHAnsi" w:cstheme="minorHAnsi"/>
          <w:sz w:val="24"/>
          <w:szCs w:val="24"/>
        </w:rPr>
        <w:t xml:space="preserve">o ochraně přírody a krajiny </w:t>
      </w:r>
      <w:r w:rsidR="00BB1425" w:rsidRPr="00F8770B">
        <w:rPr>
          <w:rFonts w:asciiTheme="minorHAnsi" w:hAnsiTheme="minorHAnsi" w:cstheme="minorHAnsi"/>
          <w:sz w:val="24"/>
          <w:szCs w:val="24"/>
        </w:rPr>
        <w:t xml:space="preserve">lze </w:t>
      </w:r>
      <w:r w:rsidR="00BB1425" w:rsidRPr="0061323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 NP vyhlásit rozsáhlá území s typickým reliéfem a geologickou stavbou a převažujícím výskytem </w:t>
      </w:r>
      <w:r w:rsidR="00BB1425" w:rsidRPr="00845D8E">
        <w:rPr>
          <w:rFonts w:asciiTheme="minorHAnsi" w:hAnsiTheme="minorHAnsi" w:cstheme="minorHAnsi"/>
          <w:sz w:val="24"/>
          <w:szCs w:val="24"/>
        </w:rPr>
        <w:t xml:space="preserve">přirozených nebo člověkem málo pozměněných ekosystémů, jedinečná a významná v národním či mezinárodním měřítku z hlediska ekologického, vědeckého, vzdělávacího nebo osvětového. </w:t>
      </w:r>
      <w:r w:rsidR="00BB1425" w:rsidRPr="00845D8E">
        <w:rPr>
          <w:rFonts w:asciiTheme="minorHAnsi" w:hAnsiTheme="minorHAnsi" w:cstheme="minorHAnsi"/>
          <w:b/>
          <w:sz w:val="24"/>
          <w:szCs w:val="24"/>
        </w:rPr>
        <w:t>Dlouhodobým cílem</w:t>
      </w:r>
      <w:r w:rsidR="00DA681F">
        <w:rPr>
          <w:rFonts w:asciiTheme="minorHAnsi" w:hAnsiTheme="minorHAnsi" w:cstheme="minorHAnsi"/>
          <w:sz w:val="24"/>
          <w:szCs w:val="24"/>
        </w:rPr>
        <w:t xml:space="preserve"> ochrany NP</w:t>
      </w:r>
      <w:r w:rsidR="003D1A59">
        <w:rPr>
          <w:rFonts w:asciiTheme="minorHAnsi" w:hAnsiTheme="minorHAnsi" w:cstheme="minorHAnsi"/>
          <w:sz w:val="24"/>
          <w:szCs w:val="24"/>
        </w:rPr>
        <w:t xml:space="preserve"> </w:t>
      </w:r>
      <w:r w:rsidR="00BB1425" w:rsidRPr="00845D8E">
        <w:rPr>
          <w:rFonts w:asciiTheme="minorHAnsi" w:hAnsiTheme="minorHAnsi" w:cstheme="minorHAnsi"/>
          <w:sz w:val="24"/>
          <w:szCs w:val="24"/>
        </w:rPr>
        <w:t>je</w:t>
      </w:r>
      <w:r w:rsidR="003D1A59">
        <w:rPr>
          <w:rFonts w:asciiTheme="minorHAnsi" w:hAnsiTheme="minorHAnsi" w:cstheme="minorHAnsi"/>
          <w:sz w:val="24"/>
          <w:szCs w:val="24"/>
        </w:rPr>
        <w:t xml:space="preserve"> </w:t>
      </w:r>
      <w:r w:rsidR="00BB1425" w:rsidRPr="00845D8E">
        <w:rPr>
          <w:rFonts w:asciiTheme="minorHAnsi" w:hAnsiTheme="minorHAnsi" w:cstheme="minorHAnsi"/>
          <w:sz w:val="24"/>
          <w:szCs w:val="24"/>
        </w:rPr>
        <w:t xml:space="preserve">zachování nebo postupná obnova přirozených ekosystémů včetně zajištění nerušeného průběhu přírodních dějů v jejich přirozené dynamice na převažující ploše území NP a zachování nebo postupné zlepšování stavu ekosystémů, jejichž existence je podmíněna činností člověka, významných z hlediska biologické rozmanitosti, na zbývajícím </w:t>
      </w:r>
      <w:r w:rsidR="00BB1425" w:rsidRPr="00FC40E8">
        <w:rPr>
          <w:rFonts w:asciiTheme="minorHAnsi" w:hAnsiTheme="minorHAnsi" w:cstheme="minorHAnsi"/>
          <w:sz w:val="24"/>
          <w:szCs w:val="24"/>
        </w:rPr>
        <w:t xml:space="preserve">území NP. </w:t>
      </w:r>
    </w:p>
    <w:p w14:paraId="6C210932" w14:textId="750FD681" w:rsidR="004904FE" w:rsidRPr="009F2B99" w:rsidRDefault="002C77A0" w:rsidP="00C90E35">
      <w:pPr>
        <w:widowControl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C40E8">
        <w:rPr>
          <w:rFonts w:asciiTheme="minorHAnsi" w:hAnsiTheme="minorHAnsi" w:cstheme="minorHAnsi"/>
          <w:sz w:val="24"/>
          <w:szCs w:val="24"/>
        </w:rPr>
        <w:t xml:space="preserve">Specifikace </w:t>
      </w:r>
      <w:r w:rsidR="00EB2226" w:rsidRPr="00FC40E8">
        <w:rPr>
          <w:rFonts w:asciiTheme="minorHAnsi" w:hAnsiTheme="minorHAnsi" w:cstheme="minorHAnsi"/>
          <w:sz w:val="24"/>
          <w:szCs w:val="24"/>
        </w:rPr>
        <w:t xml:space="preserve">Krkonošského národního parku, Národního parku Šumava, Národního parku Podyjí a Národního parku České Švýcarsko </w:t>
      </w:r>
      <w:r w:rsidRPr="00FC40E8">
        <w:rPr>
          <w:rFonts w:asciiTheme="minorHAnsi" w:hAnsiTheme="minorHAnsi" w:cstheme="minorHAnsi"/>
          <w:sz w:val="24"/>
          <w:szCs w:val="24"/>
        </w:rPr>
        <w:t>j</w:t>
      </w:r>
      <w:r w:rsidR="00F576B8">
        <w:rPr>
          <w:rFonts w:asciiTheme="minorHAnsi" w:hAnsiTheme="minorHAnsi" w:cstheme="minorHAnsi"/>
          <w:sz w:val="24"/>
          <w:szCs w:val="24"/>
        </w:rPr>
        <w:t>sou</w:t>
      </w:r>
      <w:r w:rsidRPr="00FC40E8">
        <w:rPr>
          <w:rFonts w:asciiTheme="minorHAnsi" w:hAnsiTheme="minorHAnsi" w:cstheme="minorHAnsi"/>
          <w:sz w:val="24"/>
          <w:szCs w:val="24"/>
        </w:rPr>
        <w:t xml:space="preserve"> uveden</w:t>
      </w:r>
      <w:r w:rsidR="00F576B8">
        <w:rPr>
          <w:rFonts w:asciiTheme="minorHAnsi" w:hAnsiTheme="minorHAnsi" w:cstheme="minorHAnsi"/>
          <w:sz w:val="24"/>
          <w:szCs w:val="24"/>
        </w:rPr>
        <w:t>y</w:t>
      </w:r>
      <w:r w:rsidRPr="00FC40E8">
        <w:rPr>
          <w:rFonts w:asciiTheme="minorHAnsi" w:hAnsiTheme="minorHAnsi" w:cstheme="minorHAnsi"/>
          <w:sz w:val="24"/>
          <w:szCs w:val="24"/>
        </w:rPr>
        <w:t xml:space="preserve"> v příloze č. 1 </w:t>
      </w:r>
      <w:r w:rsidR="008E6BB8" w:rsidRPr="00FC40E8">
        <w:rPr>
          <w:rFonts w:asciiTheme="minorHAnsi" w:hAnsiTheme="minorHAnsi" w:cstheme="minorHAnsi"/>
          <w:sz w:val="24"/>
          <w:szCs w:val="24"/>
        </w:rPr>
        <w:t xml:space="preserve">tohoto </w:t>
      </w:r>
      <w:r w:rsidRPr="00FC40E8">
        <w:rPr>
          <w:rFonts w:asciiTheme="minorHAnsi" w:hAnsiTheme="minorHAnsi" w:cstheme="minorHAnsi"/>
          <w:sz w:val="24"/>
          <w:szCs w:val="24"/>
        </w:rPr>
        <w:t>kont</w:t>
      </w:r>
      <w:r w:rsidR="009F2B99" w:rsidRPr="00FC40E8">
        <w:rPr>
          <w:rFonts w:asciiTheme="minorHAnsi" w:hAnsiTheme="minorHAnsi" w:cstheme="minorHAnsi"/>
          <w:sz w:val="24"/>
          <w:szCs w:val="24"/>
        </w:rPr>
        <w:t>rolního závěru.</w:t>
      </w:r>
      <w:r w:rsidR="007F2116" w:rsidRPr="00FC40E8">
        <w:rPr>
          <w:rFonts w:asciiTheme="minorHAnsi" w:hAnsiTheme="minorHAnsi" w:cstheme="minorHAnsi"/>
          <w:sz w:val="24"/>
          <w:szCs w:val="24"/>
        </w:rPr>
        <w:t xml:space="preserve"> </w:t>
      </w:r>
      <w:r w:rsidR="008E698B" w:rsidRPr="00FC40E8">
        <w:rPr>
          <w:rFonts w:asciiTheme="minorHAnsi" w:hAnsiTheme="minorHAnsi" w:cstheme="minorHAnsi"/>
          <w:sz w:val="24"/>
          <w:szCs w:val="24"/>
        </w:rPr>
        <w:t xml:space="preserve">Přeshraniční spolupráce správ NP je uvedena v příloze č. 2 </w:t>
      </w:r>
      <w:r w:rsidR="007F2116" w:rsidRPr="00FC40E8">
        <w:rPr>
          <w:rFonts w:asciiTheme="minorHAnsi" w:hAnsiTheme="minorHAnsi" w:cstheme="minorHAnsi"/>
          <w:sz w:val="24"/>
          <w:szCs w:val="24"/>
        </w:rPr>
        <w:t>tohoto kontrolního závěru</w:t>
      </w:r>
      <w:r w:rsidR="00FC40E8" w:rsidRPr="00FC40E8">
        <w:rPr>
          <w:rFonts w:asciiTheme="minorHAnsi" w:hAnsiTheme="minorHAnsi" w:cstheme="minorHAnsi"/>
          <w:sz w:val="24"/>
          <w:szCs w:val="24"/>
        </w:rPr>
        <w:t>.</w:t>
      </w:r>
      <w:r w:rsidR="007F211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A6ABD26" w14:textId="602BF9DF" w:rsidR="00C4483A" w:rsidRDefault="00A82592" w:rsidP="00C90E35">
      <w:pPr>
        <w:widowControl/>
        <w:autoSpaceDE/>
        <w:adjustRightInd/>
        <w:spacing w:before="120" w:after="120"/>
        <w:jc w:val="both"/>
        <w:rPr>
          <w:rFonts w:ascii="Calibri" w:hAnsi="Calibri" w:cs="Calibri"/>
          <w:sz w:val="24"/>
          <w:szCs w:val="24"/>
          <w:lang w:eastAsia="en-US"/>
        </w:rPr>
      </w:pPr>
      <w:r w:rsidRPr="00F96878">
        <w:rPr>
          <w:rFonts w:asciiTheme="minorHAnsi" w:hAnsiTheme="minorHAnsi" w:cstheme="minorHAnsi"/>
          <w:sz w:val="24"/>
          <w:szCs w:val="24"/>
        </w:rPr>
        <w:t>V kontrolovaném období nabyl</w:t>
      </w:r>
      <w:r w:rsidR="00466945">
        <w:rPr>
          <w:rFonts w:asciiTheme="minorHAnsi" w:hAnsiTheme="minorHAnsi" w:cstheme="minorHAnsi"/>
          <w:sz w:val="24"/>
          <w:szCs w:val="24"/>
        </w:rPr>
        <w:t>a</w:t>
      </w:r>
      <w:r w:rsidRPr="00F96878">
        <w:rPr>
          <w:rFonts w:asciiTheme="minorHAnsi" w:hAnsiTheme="minorHAnsi" w:cstheme="minorHAnsi"/>
          <w:sz w:val="24"/>
          <w:szCs w:val="24"/>
        </w:rPr>
        <w:t xml:space="preserve"> k 1. 6. 2017 účinnosti </w:t>
      </w:r>
      <w:r w:rsidR="00507D29" w:rsidRPr="00507D29">
        <w:rPr>
          <w:rFonts w:asciiTheme="minorHAnsi" w:hAnsiTheme="minorHAnsi" w:cstheme="minorHAnsi"/>
          <w:b/>
          <w:sz w:val="24"/>
          <w:szCs w:val="24"/>
        </w:rPr>
        <w:t>novela zákona o</w:t>
      </w:r>
      <w:r w:rsidR="00507D29">
        <w:rPr>
          <w:rFonts w:asciiTheme="minorHAnsi" w:hAnsiTheme="minorHAnsi" w:cstheme="minorHAnsi"/>
          <w:sz w:val="24"/>
          <w:szCs w:val="24"/>
        </w:rPr>
        <w:t xml:space="preserve"> </w:t>
      </w:r>
      <w:r w:rsidR="00466945">
        <w:rPr>
          <w:rFonts w:asciiTheme="minorHAnsi" w:hAnsiTheme="minorHAnsi" w:cstheme="minorHAnsi"/>
          <w:b/>
          <w:sz w:val="24"/>
          <w:szCs w:val="24"/>
        </w:rPr>
        <w:t>ochraně přírody a </w:t>
      </w:r>
      <w:r w:rsidR="00CF1E12" w:rsidRPr="00CF1E12">
        <w:rPr>
          <w:rFonts w:asciiTheme="minorHAnsi" w:hAnsiTheme="minorHAnsi" w:cstheme="minorHAnsi"/>
          <w:b/>
          <w:sz w:val="24"/>
          <w:szCs w:val="24"/>
        </w:rPr>
        <w:t>krajiny</w:t>
      </w:r>
      <w:r w:rsidR="00507D29">
        <w:rPr>
          <w:rFonts w:asciiTheme="minorHAnsi" w:hAnsiTheme="minorHAnsi" w:cstheme="minorHAnsi"/>
          <w:sz w:val="24"/>
          <w:szCs w:val="24"/>
        </w:rPr>
        <w:t xml:space="preserve">, která </w:t>
      </w:r>
      <w:r w:rsidR="00C3674E">
        <w:rPr>
          <w:rFonts w:asciiTheme="minorHAnsi" w:hAnsiTheme="minorHAnsi" w:cstheme="minorHAnsi"/>
          <w:sz w:val="24"/>
          <w:szCs w:val="24"/>
        </w:rPr>
        <w:t>řešila</w:t>
      </w:r>
      <w:r w:rsidRPr="00F96878">
        <w:rPr>
          <w:rFonts w:asciiTheme="minorHAnsi" w:hAnsiTheme="minorHAnsi" w:cstheme="minorHAnsi"/>
          <w:sz w:val="24"/>
          <w:szCs w:val="24"/>
        </w:rPr>
        <w:t xml:space="preserve"> řadu změn v oblasti ochrany přírody </w:t>
      </w:r>
      <w:r w:rsidR="009048FF">
        <w:rPr>
          <w:rFonts w:asciiTheme="minorHAnsi" w:hAnsiTheme="minorHAnsi" w:cstheme="minorHAnsi"/>
          <w:sz w:val="24"/>
          <w:szCs w:val="24"/>
        </w:rPr>
        <w:t xml:space="preserve">a krajiny </w:t>
      </w:r>
      <w:r w:rsidRPr="00F96878">
        <w:rPr>
          <w:rFonts w:asciiTheme="minorHAnsi" w:hAnsiTheme="minorHAnsi" w:cstheme="minorHAnsi"/>
          <w:sz w:val="24"/>
          <w:szCs w:val="24"/>
        </w:rPr>
        <w:t xml:space="preserve">NP. </w:t>
      </w:r>
      <w:r w:rsidR="00C3674E">
        <w:rPr>
          <w:rFonts w:asciiTheme="minorHAnsi" w:hAnsiTheme="minorHAnsi" w:cstheme="minorHAnsi"/>
          <w:sz w:val="24"/>
          <w:szCs w:val="24"/>
        </w:rPr>
        <w:t>Nově definovala</w:t>
      </w:r>
      <w:r w:rsidR="00E214D3" w:rsidRPr="00D3735C">
        <w:rPr>
          <w:rFonts w:asciiTheme="minorHAnsi" w:hAnsiTheme="minorHAnsi" w:cstheme="minorHAnsi"/>
          <w:sz w:val="24"/>
          <w:szCs w:val="24"/>
        </w:rPr>
        <w:t xml:space="preserve"> </w:t>
      </w:r>
      <w:r w:rsidR="00B11959">
        <w:rPr>
          <w:rFonts w:asciiTheme="minorHAnsi" w:hAnsiTheme="minorHAnsi" w:cstheme="minorHAnsi"/>
          <w:sz w:val="24"/>
          <w:szCs w:val="24"/>
        </w:rPr>
        <w:t>NP</w:t>
      </w:r>
      <w:r w:rsidR="00E214D3" w:rsidRPr="00D3735C">
        <w:rPr>
          <w:rFonts w:asciiTheme="minorHAnsi" w:hAnsiTheme="minorHAnsi" w:cstheme="minorHAnsi"/>
          <w:sz w:val="24"/>
          <w:szCs w:val="24"/>
        </w:rPr>
        <w:t>, stanov</w:t>
      </w:r>
      <w:r w:rsidR="00C3674E">
        <w:rPr>
          <w:rFonts w:asciiTheme="minorHAnsi" w:hAnsiTheme="minorHAnsi" w:cstheme="minorHAnsi"/>
          <w:sz w:val="24"/>
          <w:szCs w:val="24"/>
        </w:rPr>
        <w:t>ila</w:t>
      </w:r>
      <w:r w:rsidR="00E214D3" w:rsidRPr="00D3735C">
        <w:rPr>
          <w:rFonts w:asciiTheme="minorHAnsi" w:hAnsiTheme="minorHAnsi" w:cstheme="minorHAnsi"/>
          <w:sz w:val="24"/>
          <w:szCs w:val="24"/>
        </w:rPr>
        <w:t xml:space="preserve"> jednotlivé </w:t>
      </w:r>
      <w:r w:rsidR="00CA431D" w:rsidRPr="00D3735C">
        <w:rPr>
          <w:rFonts w:asciiTheme="minorHAnsi" w:hAnsiTheme="minorHAnsi" w:cstheme="minorHAnsi"/>
          <w:sz w:val="24"/>
          <w:szCs w:val="24"/>
        </w:rPr>
        <w:t>NP</w:t>
      </w:r>
      <w:r w:rsidR="00E214D3" w:rsidRPr="00D3735C">
        <w:rPr>
          <w:rFonts w:asciiTheme="minorHAnsi" w:hAnsiTheme="minorHAnsi" w:cstheme="minorHAnsi"/>
          <w:sz w:val="24"/>
          <w:szCs w:val="24"/>
        </w:rPr>
        <w:t xml:space="preserve"> a</w:t>
      </w:r>
      <w:r w:rsidR="001E55E7">
        <w:rPr>
          <w:rFonts w:asciiTheme="minorHAnsi" w:hAnsiTheme="minorHAnsi" w:cstheme="minorHAnsi"/>
          <w:sz w:val="24"/>
          <w:szCs w:val="24"/>
        </w:rPr>
        <w:t xml:space="preserve"> </w:t>
      </w:r>
      <w:r w:rsidR="00E214D3" w:rsidRPr="00D3735C">
        <w:rPr>
          <w:rFonts w:asciiTheme="minorHAnsi" w:hAnsiTheme="minorHAnsi" w:cstheme="minorHAnsi"/>
          <w:sz w:val="24"/>
          <w:szCs w:val="24"/>
        </w:rPr>
        <w:t>jejich základní a</w:t>
      </w:r>
      <w:r w:rsidR="001E55E7">
        <w:rPr>
          <w:rFonts w:asciiTheme="minorHAnsi" w:hAnsiTheme="minorHAnsi" w:cstheme="minorHAnsi"/>
          <w:sz w:val="24"/>
          <w:szCs w:val="24"/>
        </w:rPr>
        <w:t xml:space="preserve"> </w:t>
      </w:r>
      <w:r w:rsidR="00E214D3" w:rsidRPr="00D3735C">
        <w:rPr>
          <w:rFonts w:asciiTheme="minorHAnsi" w:hAnsiTheme="minorHAnsi" w:cstheme="minorHAnsi"/>
          <w:sz w:val="24"/>
          <w:szCs w:val="24"/>
        </w:rPr>
        <w:t xml:space="preserve">bližší ochranné podmínky, klidová území </w:t>
      </w:r>
      <w:r w:rsidR="00CF1E12">
        <w:rPr>
          <w:rFonts w:asciiTheme="minorHAnsi" w:hAnsiTheme="minorHAnsi" w:cstheme="minorHAnsi"/>
          <w:sz w:val="24"/>
          <w:szCs w:val="24"/>
        </w:rPr>
        <w:t>NP</w:t>
      </w:r>
      <w:r w:rsidR="00E214D3" w:rsidRPr="00D3735C">
        <w:rPr>
          <w:rFonts w:asciiTheme="minorHAnsi" w:hAnsiTheme="minorHAnsi" w:cstheme="minorHAnsi"/>
          <w:sz w:val="24"/>
          <w:szCs w:val="24"/>
        </w:rPr>
        <w:t>, členění územ</w:t>
      </w:r>
      <w:r w:rsidR="00CA431D" w:rsidRPr="00D3735C">
        <w:rPr>
          <w:rFonts w:asciiTheme="minorHAnsi" w:hAnsiTheme="minorHAnsi" w:cstheme="minorHAnsi"/>
          <w:sz w:val="24"/>
          <w:szCs w:val="24"/>
        </w:rPr>
        <w:t xml:space="preserve">í </w:t>
      </w:r>
      <w:r w:rsidR="00CF1E12">
        <w:rPr>
          <w:rFonts w:asciiTheme="minorHAnsi" w:hAnsiTheme="minorHAnsi" w:cstheme="minorHAnsi"/>
          <w:sz w:val="24"/>
          <w:szCs w:val="24"/>
        </w:rPr>
        <w:t>NP</w:t>
      </w:r>
      <w:r w:rsidR="00CA431D" w:rsidRPr="00D3735C">
        <w:rPr>
          <w:rFonts w:asciiTheme="minorHAnsi" w:hAnsiTheme="minorHAnsi" w:cstheme="minorHAnsi"/>
          <w:sz w:val="24"/>
          <w:szCs w:val="24"/>
        </w:rPr>
        <w:t xml:space="preserve"> a</w:t>
      </w:r>
      <w:r w:rsidR="001E55E7">
        <w:rPr>
          <w:rFonts w:asciiTheme="minorHAnsi" w:hAnsiTheme="minorHAnsi" w:cstheme="minorHAnsi"/>
          <w:sz w:val="24"/>
          <w:szCs w:val="24"/>
        </w:rPr>
        <w:t xml:space="preserve"> </w:t>
      </w:r>
      <w:r w:rsidR="00CA431D" w:rsidRPr="00D3735C">
        <w:rPr>
          <w:rFonts w:asciiTheme="minorHAnsi" w:hAnsiTheme="minorHAnsi" w:cstheme="minorHAnsi"/>
          <w:sz w:val="24"/>
          <w:szCs w:val="24"/>
        </w:rPr>
        <w:t>režim zón, návštěvní řády, zásady péče atd.</w:t>
      </w:r>
      <w:r w:rsidR="00406BD0" w:rsidRPr="00883A95">
        <w:rPr>
          <w:rFonts w:asciiTheme="minorHAnsi" w:hAnsiTheme="minorHAnsi" w:cstheme="minorHAnsi"/>
          <w:sz w:val="24"/>
          <w:szCs w:val="24"/>
        </w:rPr>
        <w:t xml:space="preserve"> </w:t>
      </w:r>
      <w:r w:rsidR="00C4483A" w:rsidRPr="00145648">
        <w:rPr>
          <w:rFonts w:ascii="Calibri" w:hAnsi="Calibri" w:cs="Calibri"/>
          <w:sz w:val="24"/>
          <w:szCs w:val="24"/>
          <w:lang w:eastAsia="en-US"/>
        </w:rPr>
        <w:t xml:space="preserve">MŽP v současné době shromažďuje data pro vyhodnocení dopadů novely zákona tak, aby byla dodržena doba 3 let pro přezkum účinnosti a zhodnocení pokroku při dosahování cílů novelizace. </w:t>
      </w:r>
    </w:p>
    <w:p w14:paraId="7A3D10C4" w14:textId="77777777" w:rsidR="00246D13" w:rsidRPr="0032668F" w:rsidRDefault="00C812A6" w:rsidP="00C90E35">
      <w:pPr>
        <w:pStyle w:val="Nadpis1"/>
        <w:keepNext w:val="0"/>
        <w:keepLines w:val="0"/>
        <w:widowControl/>
        <w:jc w:val="center"/>
        <w:rPr>
          <w:rFonts w:asciiTheme="minorHAnsi" w:hAnsiTheme="minorHAnsi" w:cstheme="minorHAnsi"/>
          <w:b/>
          <w:color w:val="auto"/>
          <w:sz w:val="24"/>
        </w:rPr>
      </w:pPr>
      <w:r>
        <w:rPr>
          <w:rFonts w:asciiTheme="minorHAnsi" w:hAnsiTheme="minorHAnsi" w:cstheme="minorHAnsi"/>
          <w:b/>
          <w:color w:val="auto"/>
        </w:rPr>
        <w:lastRenderedPageBreak/>
        <w:t xml:space="preserve">III. </w:t>
      </w:r>
      <w:r w:rsidR="00246D13" w:rsidRPr="0032668F">
        <w:rPr>
          <w:rFonts w:asciiTheme="minorHAnsi" w:hAnsiTheme="minorHAnsi" w:cstheme="minorHAnsi"/>
          <w:b/>
          <w:color w:val="auto"/>
        </w:rPr>
        <w:t>Rozsah kontroly</w:t>
      </w:r>
    </w:p>
    <w:p w14:paraId="13B91B07" w14:textId="77777777" w:rsidR="004E3409" w:rsidRDefault="004E3409" w:rsidP="00C90E35">
      <w:pPr>
        <w:widowControl/>
        <w:jc w:val="both"/>
        <w:rPr>
          <w:rFonts w:ascii="Calibri" w:hAnsi="Calibri" w:cs="Calibri"/>
          <w:sz w:val="24"/>
          <w:szCs w:val="24"/>
        </w:rPr>
      </w:pPr>
    </w:p>
    <w:p w14:paraId="3F4E9DB4" w14:textId="121DC877" w:rsidR="00246D13" w:rsidRPr="00527096" w:rsidRDefault="00246D13" w:rsidP="00C90E35">
      <w:pPr>
        <w:widowControl/>
        <w:jc w:val="both"/>
        <w:rPr>
          <w:rFonts w:ascii="Calibri" w:hAnsi="Calibri" w:cs="Calibri"/>
          <w:sz w:val="24"/>
          <w:szCs w:val="24"/>
        </w:rPr>
      </w:pPr>
      <w:r w:rsidRPr="00527096">
        <w:rPr>
          <w:rFonts w:ascii="Calibri" w:hAnsi="Calibri" w:cs="Calibri"/>
          <w:sz w:val="24"/>
          <w:szCs w:val="24"/>
        </w:rPr>
        <w:t>Cílem kontrolní akce bylo prověřit</w:t>
      </w:r>
      <w:r w:rsidR="003941DF" w:rsidRPr="00527096">
        <w:rPr>
          <w:rFonts w:ascii="Calibri" w:hAnsi="Calibri" w:cs="Calibri"/>
          <w:sz w:val="24"/>
          <w:szCs w:val="24"/>
        </w:rPr>
        <w:t xml:space="preserve">, zda </w:t>
      </w:r>
      <w:r w:rsidR="00B11959">
        <w:rPr>
          <w:rFonts w:ascii="Calibri" w:hAnsi="Calibri" w:cs="Calibri"/>
          <w:sz w:val="24"/>
          <w:szCs w:val="24"/>
        </w:rPr>
        <w:t>správy NP</w:t>
      </w:r>
      <w:r w:rsidR="00DA681F">
        <w:rPr>
          <w:rFonts w:ascii="Calibri" w:hAnsi="Calibri" w:cs="Calibri"/>
          <w:sz w:val="24"/>
          <w:szCs w:val="24"/>
        </w:rPr>
        <w:t xml:space="preserve"> hospodaří s majetkem a</w:t>
      </w:r>
      <w:r w:rsidR="001E55E7">
        <w:rPr>
          <w:rFonts w:ascii="Calibri" w:hAnsi="Calibri" w:cs="Calibri"/>
          <w:sz w:val="24"/>
          <w:szCs w:val="24"/>
        </w:rPr>
        <w:t xml:space="preserve"> </w:t>
      </w:r>
      <w:r w:rsidR="003941DF" w:rsidRPr="00527096">
        <w:rPr>
          <w:rFonts w:ascii="Calibri" w:hAnsi="Calibri" w:cs="Calibri"/>
          <w:sz w:val="24"/>
          <w:szCs w:val="24"/>
        </w:rPr>
        <w:t>peněžními prostředky státu účelně, hospodárně a v souladu s právními předpisy.</w:t>
      </w:r>
    </w:p>
    <w:p w14:paraId="4604EB24" w14:textId="77777777" w:rsidR="004E3409" w:rsidRPr="00527096" w:rsidRDefault="004E3409" w:rsidP="00C90E35">
      <w:pPr>
        <w:widowControl/>
        <w:jc w:val="both"/>
        <w:rPr>
          <w:rFonts w:ascii="Calibri" w:hAnsi="Calibri" w:cs="Calibri"/>
          <w:sz w:val="24"/>
          <w:szCs w:val="24"/>
        </w:rPr>
      </w:pPr>
    </w:p>
    <w:p w14:paraId="45BD9B5F" w14:textId="64AF6BEA" w:rsidR="002848AD" w:rsidRPr="00FC40E8" w:rsidRDefault="00527096" w:rsidP="00C90E35">
      <w:pPr>
        <w:widowControl/>
        <w:jc w:val="both"/>
        <w:rPr>
          <w:rFonts w:ascii="Calibri" w:hAnsi="Calibri" w:cs="Calibri"/>
          <w:sz w:val="24"/>
          <w:szCs w:val="24"/>
        </w:rPr>
      </w:pPr>
      <w:r w:rsidRPr="00FC40E8">
        <w:rPr>
          <w:rFonts w:ascii="Calibri" w:hAnsi="Calibri" w:cs="Calibri"/>
          <w:sz w:val="24"/>
          <w:szCs w:val="24"/>
        </w:rPr>
        <w:t xml:space="preserve">Kontrole bylo </w:t>
      </w:r>
      <w:r w:rsidR="00CE33D7" w:rsidRPr="00FC40E8">
        <w:rPr>
          <w:rFonts w:ascii="Calibri" w:hAnsi="Calibri" w:cs="Calibri"/>
          <w:sz w:val="24"/>
          <w:szCs w:val="24"/>
        </w:rPr>
        <w:t xml:space="preserve">u správ NP </w:t>
      </w:r>
      <w:r w:rsidRPr="00FC40E8">
        <w:rPr>
          <w:rFonts w:ascii="Calibri" w:hAnsi="Calibri" w:cs="Calibri"/>
          <w:sz w:val="24"/>
          <w:szCs w:val="24"/>
        </w:rPr>
        <w:t>podrobeno:</w:t>
      </w:r>
    </w:p>
    <w:p w14:paraId="15FE5671" w14:textId="1BA038A7" w:rsidR="004E3409" w:rsidRPr="00883A95" w:rsidRDefault="00CE33D7" w:rsidP="00883A95">
      <w:pPr>
        <w:pStyle w:val="Odstavecseseznamem"/>
        <w:widowControl/>
        <w:numPr>
          <w:ilvl w:val="0"/>
          <w:numId w:val="11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883A95">
        <w:rPr>
          <w:rFonts w:ascii="Calibri" w:hAnsi="Calibri" w:cs="Calibri"/>
          <w:sz w:val="24"/>
          <w:szCs w:val="24"/>
        </w:rPr>
        <w:t xml:space="preserve">hospodaření </w:t>
      </w:r>
      <w:r w:rsidR="00527096" w:rsidRPr="00883A95">
        <w:rPr>
          <w:rFonts w:ascii="Calibri" w:hAnsi="Calibri" w:cs="Calibri"/>
          <w:sz w:val="24"/>
          <w:szCs w:val="24"/>
        </w:rPr>
        <w:t>s majetk</w:t>
      </w:r>
      <w:r w:rsidR="00A43F53" w:rsidRPr="00883A95">
        <w:rPr>
          <w:rFonts w:ascii="Calibri" w:hAnsi="Calibri" w:cs="Calibri"/>
          <w:sz w:val="24"/>
          <w:szCs w:val="24"/>
        </w:rPr>
        <w:t>em a peněžními prostředky státu;</w:t>
      </w:r>
    </w:p>
    <w:p w14:paraId="5946F91A" w14:textId="53C34466" w:rsidR="008E6BB8" w:rsidRPr="00883A95" w:rsidRDefault="008E6BB8" w:rsidP="00883A95">
      <w:pPr>
        <w:pStyle w:val="Odstavecseseznamem"/>
        <w:widowControl/>
        <w:numPr>
          <w:ilvl w:val="0"/>
          <w:numId w:val="11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883A95">
        <w:rPr>
          <w:rFonts w:ascii="Calibri" w:hAnsi="Calibri" w:cs="Calibri"/>
          <w:sz w:val="24"/>
          <w:szCs w:val="24"/>
        </w:rPr>
        <w:t xml:space="preserve">dodržování povinností souvisejících s činností </w:t>
      </w:r>
      <w:r w:rsidR="00CE33D7" w:rsidRPr="00883A95">
        <w:rPr>
          <w:rFonts w:ascii="Calibri" w:hAnsi="Calibri" w:cs="Calibri"/>
          <w:sz w:val="24"/>
          <w:szCs w:val="24"/>
        </w:rPr>
        <w:t>NP</w:t>
      </w:r>
      <w:r w:rsidRPr="00883A95">
        <w:rPr>
          <w:rFonts w:ascii="Calibri" w:hAnsi="Calibri" w:cs="Calibri"/>
          <w:sz w:val="24"/>
          <w:szCs w:val="24"/>
        </w:rPr>
        <w:t xml:space="preserve"> podle zákona </w:t>
      </w:r>
      <w:r w:rsidR="00CE33D7" w:rsidRPr="00883A95">
        <w:rPr>
          <w:rFonts w:ascii="Calibri" w:hAnsi="Calibri" w:cs="Calibri"/>
          <w:sz w:val="24"/>
          <w:szCs w:val="24"/>
        </w:rPr>
        <w:t>o ochraně přírody a</w:t>
      </w:r>
      <w:r w:rsidR="001E55E7" w:rsidRPr="00883A95">
        <w:rPr>
          <w:rFonts w:ascii="Calibri" w:hAnsi="Calibri" w:cs="Calibri"/>
          <w:sz w:val="24"/>
          <w:szCs w:val="24"/>
        </w:rPr>
        <w:t xml:space="preserve"> </w:t>
      </w:r>
      <w:r w:rsidR="007F2116" w:rsidRPr="00883A95">
        <w:rPr>
          <w:rFonts w:ascii="Calibri" w:hAnsi="Calibri" w:cs="Calibri"/>
          <w:sz w:val="24"/>
          <w:szCs w:val="24"/>
        </w:rPr>
        <w:t>krajiny a </w:t>
      </w:r>
      <w:r w:rsidRPr="00883A95">
        <w:rPr>
          <w:rFonts w:ascii="Calibri" w:hAnsi="Calibri" w:cs="Calibri"/>
          <w:sz w:val="24"/>
          <w:szCs w:val="24"/>
        </w:rPr>
        <w:t>postupů dle plánů péče</w:t>
      </w:r>
      <w:r w:rsidR="00CE33D7" w:rsidRPr="00883A95">
        <w:rPr>
          <w:rFonts w:ascii="Calibri" w:hAnsi="Calibri" w:cs="Calibri"/>
          <w:sz w:val="24"/>
          <w:szCs w:val="24"/>
        </w:rPr>
        <w:t xml:space="preserve"> o NP</w:t>
      </w:r>
      <w:r w:rsidRPr="00883A95">
        <w:rPr>
          <w:rFonts w:ascii="Calibri" w:hAnsi="Calibri" w:cs="Calibri"/>
          <w:sz w:val="24"/>
          <w:szCs w:val="24"/>
        </w:rPr>
        <w:t>;</w:t>
      </w:r>
    </w:p>
    <w:p w14:paraId="50077480" w14:textId="0523CCB5" w:rsidR="007F2116" w:rsidRPr="00883A95" w:rsidRDefault="00CE33D7" w:rsidP="00883A95">
      <w:pPr>
        <w:pStyle w:val="Odstavecseseznamem"/>
        <w:widowControl/>
        <w:numPr>
          <w:ilvl w:val="0"/>
          <w:numId w:val="11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883A95">
        <w:rPr>
          <w:rFonts w:ascii="Calibri" w:hAnsi="Calibri" w:cs="Calibri"/>
          <w:sz w:val="24"/>
          <w:szCs w:val="24"/>
        </w:rPr>
        <w:t xml:space="preserve">spolupráce </w:t>
      </w:r>
      <w:r w:rsidR="00A43F53" w:rsidRPr="00883A95">
        <w:rPr>
          <w:rFonts w:ascii="Calibri" w:hAnsi="Calibri" w:cs="Calibri"/>
          <w:sz w:val="24"/>
          <w:szCs w:val="24"/>
        </w:rPr>
        <w:t xml:space="preserve">s územní samosprávou a </w:t>
      </w:r>
      <w:r w:rsidR="008D4325" w:rsidRPr="00883A95">
        <w:rPr>
          <w:rFonts w:ascii="Calibri" w:hAnsi="Calibri" w:cs="Calibri"/>
          <w:sz w:val="24"/>
          <w:szCs w:val="24"/>
        </w:rPr>
        <w:t>přeshraničními</w:t>
      </w:r>
      <w:r w:rsidRPr="00883A95">
        <w:rPr>
          <w:rFonts w:ascii="Calibri" w:hAnsi="Calibri" w:cs="Calibri"/>
          <w:sz w:val="24"/>
          <w:szCs w:val="24"/>
        </w:rPr>
        <w:t xml:space="preserve"> partnery a postoj správ NP k problematice</w:t>
      </w:r>
      <w:r w:rsidR="00A43F53" w:rsidRPr="00883A95">
        <w:rPr>
          <w:rFonts w:ascii="Calibri" w:hAnsi="Calibri" w:cs="Calibri"/>
          <w:sz w:val="24"/>
          <w:szCs w:val="24"/>
        </w:rPr>
        <w:t xml:space="preserve"> veřejné</w:t>
      </w:r>
      <w:r w:rsidRPr="00883A95">
        <w:rPr>
          <w:rFonts w:ascii="Calibri" w:hAnsi="Calibri" w:cs="Calibri"/>
          <w:sz w:val="24"/>
          <w:szCs w:val="24"/>
        </w:rPr>
        <w:t>ho</w:t>
      </w:r>
      <w:r w:rsidR="00A43F53" w:rsidRPr="00883A95">
        <w:rPr>
          <w:rFonts w:ascii="Calibri" w:hAnsi="Calibri" w:cs="Calibri"/>
          <w:sz w:val="24"/>
          <w:szCs w:val="24"/>
        </w:rPr>
        <w:t xml:space="preserve"> využívání území NP</w:t>
      </w:r>
      <w:r w:rsidRPr="00883A95">
        <w:rPr>
          <w:rFonts w:ascii="Calibri" w:hAnsi="Calibri" w:cs="Calibri"/>
          <w:sz w:val="24"/>
          <w:szCs w:val="24"/>
        </w:rPr>
        <w:t>.</w:t>
      </w:r>
    </w:p>
    <w:p w14:paraId="5F55FBF3" w14:textId="69D85882" w:rsidR="005E4994" w:rsidRPr="00FC40E8" w:rsidRDefault="005E4994" w:rsidP="00C90E35">
      <w:pPr>
        <w:widowControl/>
        <w:ind w:left="720"/>
        <w:jc w:val="both"/>
        <w:rPr>
          <w:rFonts w:ascii="Calibri" w:hAnsi="Calibri" w:cs="Calibri"/>
          <w:sz w:val="24"/>
          <w:szCs w:val="24"/>
        </w:rPr>
      </w:pPr>
    </w:p>
    <w:p w14:paraId="79505694" w14:textId="4970F274" w:rsidR="005E4994" w:rsidRPr="008E6BB8" w:rsidRDefault="00CE33D7" w:rsidP="00C90E35">
      <w:pPr>
        <w:widowControl/>
        <w:jc w:val="both"/>
        <w:rPr>
          <w:rFonts w:ascii="Calibri" w:hAnsi="Calibri" w:cs="Calibri"/>
          <w:sz w:val="24"/>
          <w:szCs w:val="24"/>
        </w:rPr>
      </w:pPr>
      <w:r w:rsidRPr="00FC40E8">
        <w:rPr>
          <w:rFonts w:ascii="Calibri" w:hAnsi="Calibri" w:cs="Calibri"/>
          <w:sz w:val="24"/>
          <w:szCs w:val="24"/>
        </w:rPr>
        <w:t>U MŽP byla kontrola zaměřena</w:t>
      </w:r>
      <w:r w:rsidR="005E4994" w:rsidRPr="00FC40E8">
        <w:rPr>
          <w:rFonts w:asciiTheme="minorHAnsi" w:hAnsiTheme="minorHAnsi" w:cstheme="minorHAnsi"/>
          <w:sz w:val="24"/>
          <w:szCs w:val="24"/>
        </w:rPr>
        <w:t xml:space="preserve"> na finanční vztahy s jednotlivými správami NP, nastavení systému kontroly hospodaření správ NP a s tím související k</w:t>
      </w:r>
      <w:r w:rsidRPr="00FC40E8">
        <w:rPr>
          <w:rFonts w:asciiTheme="minorHAnsi" w:hAnsiTheme="minorHAnsi" w:cstheme="minorHAnsi"/>
          <w:sz w:val="24"/>
          <w:szCs w:val="24"/>
        </w:rPr>
        <w:t>oncepční a</w:t>
      </w:r>
      <w:r w:rsidR="001E55E7">
        <w:rPr>
          <w:rFonts w:asciiTheme="minorHAnsi" w:hAnsiTheme="minorHAnsi" w:cstheme="minorHAnsi"/>
          <w:sz w:val="24"/>
          <w:szCs w:val="24"/>
        </w:rPr>
        <w:t xml:space="preserve"> </w:t>
      </w:r>
      <w:r w:rsidRPr="00FC40E8">
        <w:rPr>
          <w:rFonts w:asciiTheme="minorHAnsi" w:hAnsiTheme="minorHAnsi" w:cstheme="minorHAnsi"/>
          <w:sz w:val="24"/>
          <w:szCs w:val="24"/>
        </w:rPr>
        <w:t>metodickou činnost v </w:t>
      </w:r>
      <w:r w:rsidR="005E4994" w:rsidRPr="00FC40E8">
        <w:rPr>
          <w:rFonts w:asciiTheme="minorHAnsi" w:hAnsiTheme="minorHAnsi" w:cstheme="minorHAnsi"/>
          <w:sz w:val="24"/>
          <w:szCs w:val="24"/>
        </w:rPr>
        <w:t xml:space="preserve">oblasti ochrany přírody a krajiny na území </w:t>
      </w:r>
      <w:r w:rsidR="00A75A93">
        <w:rPr>
          <w:rFonts w:asciiTheme="minorHAnsi" w:hAnsiTheme="minorHAnsi" w:cstheme="minorHAnsi"/>
          <w:sz w:val="24"/>
          <w:szCs w:val="24"/>
        </w:rPr>
        <w:t>NP</w:t>
      </w:r>
      <w:r w:rsidR="00AD7D19">
        <w:rPr>
          <w:rFonts w:asciiTheme="minorHAnsi" w:hAnsiTheme="minorHAnsi" w:cstheme="minorHAnsi"/>
          <w:sz w:val="24"/>
          <w:szCs w:val="24"/>
        </w:rPr>
        <w:t>.</w:t>
      </w:r>
    </w:p>
    <w:p w14:paraId="01FBDEF3" w14:textId="77777777" w:rsidR="00246D13" w:rsidRPr="00657EBD" w:rsidRDefault="00246D13" w:rsidP="00C90E35">
      <w:pPr>
        <w:widowControl/>
        <w:jc w:val="both"/>
        <w:rPr>
          <w:rFonts w:ascii="Calibri" w:hAnsi="Calibri" w:cs="Calibri"/>
          <w:sz w:val="24"/>
          <w:szCs w:val="24"/>
          <w:highlight w:val="lightGray"/>
        </w:rPr>
      </w:pPr>
    </w:p>
    <w:p w14:paraId="36A4AF4C" w14:textId="77777777" w:rsidR="00246D13" w:rsidRPr="00EB65A4" w:rsidRDefault="00246D13" w:rsidP="00C90E35">
      <w:pPr>
        <w:widowControl/>
        <w:shd w:val="clear" w:color="auto" w:fill="FFFFFF"/>
        <w:jc w:val="both"/>
        <w:rPr>
          <w:rFonts w:ascii="Calibri" w:hAnsi="Calibri" w:cs="Calibri"/>
          <w:sz w:val="24"/>
          <w:szCs w:val="24"/>
        </w:rPr>
      </w:pPr>
      <w:r w:rsidRPr="00EB65A4">
        <w:rPr>
          <w:rFonts w:ascii="Calibri" w:hAnsi="Calibri" w:cs="Calibri"/>
          <w:sz w:val="24"/>
          <w:szCs w:val="24"/>
        </w:rPr>
        <w:t>Kontrolova</w:t>
      </w:r>
      <w:r w:rsidR="00426928" w:rsidRPr="00EB65A4">
        <w:rPr>
          <w:rFonts w:ascii="Calibri" w:hAnsi="Calibri" w:cs="Calibri"/>
          <w:sz w:val="24"/>
          <w:szCs w:val="24"/>
        </w:rPr>
        <w:t xml:space="preserve">ným obdobím byly roky 2016 až </w:t>
      </w:r>
      <w:r w:rsidR="00900DF1" w:rsidRPr="00EB65A4">
        <w:rPr>
          <w:rFonts w:ascii="Calibri" w:hAnsi="Calibri" w:cs="Calibri"/>
          <w:sz w:val="24"/>
          <w:szCs w:val="24"/>
        </w:rPr>
        <w:t>201</w:t>
      </w:r>
      <w:r w:rsidR="00EB65A4">
        <w:rPr>
          <w:rFonts w:ascii="Calibri" w:hAnsi="Calibri" w:cs="Calibri"/>
          <w:sz w:val="24"/>
          <w:szCs w:val="24"/>
        </w:rPr>
        <w:t>8</w:t>
      </w:r>
      <w:r w:rsidR="00900DF1" w:rsidRPr="00EB65A4">
        <w:rPr>
          <w:rFonts w:ascii="Calibri" w:hAnsi="Calibri" w:cs="Calibri"/>
          <w:sz w:val="24"/>
          <w:szCs w:val="24"/>
        </w:rPr>
        <w:t>, v případě věcný</w:t>
      </w:r>
      <w:r w:rsidR="00527096">
        <w:rPr>
          <w:rFonts w:ascii="Calibri" w:hAnsi="Calibri" w:cs="Calibri"/>
          <w:sz w:val="24"/>
          <w:szCs w:val="24"/>
        </w:rPr>
        <w:t>ch souvislostí i období předcházející</w:t>
      </w:r>
      <w:r w:rsidR="00900DF1" w:rsidRPr="00EB65A4">
        <w:rPr>
          <w:rFonts w:ascii="Calibri" w:hAnsi="Calibri" w:cs="Calibri"/>
          <w:sz w:val="24"/>
          <w:szCs w:val="24"/>
        </w:rPr>
        <w:t xml:space="preserve"> a období následující.</w:t>
      </w:r>
    </w:p>
    <w:p w14:paraId="66E5D817" w14:textId="77777777" w:rsidR="00246D13" w:rsidRPr="00657EBD" w:rsidRDefault="00246D13" w:rsidP="00C90E35">
      <w:pPr>
        <w:widowControl/>
        <w:autoSpaceDE/>
        <w:autoSpaceDN/>
        <w:adjustRightInd/>
        <w:jc w:val="both"/>
        <w:rPr>
          <w:rFonts w:ascii="Calibri" w:hAnsi="Calibri" w:cs="Calibri"/>
          <w:sz w:val="24"/>
          <w:szCs w:val="24"/>
          <w:highlight w:val="lightGray"/>
          <w:lang w:eastAsia="en-US"/>
        </w:rPr>
      </w:pPr>
    </w:p>
    <w:p w14:paraId="1A9FE743" w14:textId="09F7BA80" w:rsidR="00246D13" w:rsidRPr="00EB65A4" w:rsidRDefault="00B7267C" w:rsidP="00C90E35">
      <w:pPr>
        <w:widowControl/>
        <w:autoSpaceDE/>
        <w:autoSpaceDN/>
        <w:adjustRightInd/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>U</w:t>
      </w:r>
      <w:r w:rsidR="00527096">
        <w:rPr>
          <w:rFonts w:ascii="Calibri" w:hAnsi="Calibri" w:cs="Calibri"/>
          <w:sz w:val="24"/>
          <w:szCs w:val="24"/>
          <w:lang w:eastAsia="en-US"/>
        </w:rPr>
        <w:t xml:space="preserve"> správ </w:t>
      </w:r>
      <w:r w:rsidR="002848AD">
        <w:rPr>
          <w:rFonts w:ascii="Calibri" w:hAnsi="Calibri" w:cs="Calibri"/>
          <w:sz w:val="24"/>
          <w:szCs w:val="24"/>
          <w:lang w:eastAsia="en-US"/>
        </w:rPr>
        <w:t>NP</w:t>
      </w:r>
      <w:r>
        <w:rPr>
          <w:rFonts w:ascii="Calibri" w:hAnsi="Calibri" w:cs="Calibri"/>
          <w:sz w:val="24"/>
          <w:szCs w:val="24"/>
          <w:lang w:eastAsia="en-US"/>
        </w:rPr>
        <w:t xml:space="preserve"> Nejvyšší kontrolní úřad prověřil</w:t>
      </w:r>
      <w:r w:rsidR="00246D13" w:rsidRPr="00EB65A4">
        <w:rPr>
          <w:rFonts w:ascii="Calibri" w:hAnsi="Calibri" w:cs="Calibri"/>
          <w:sz w:val="24"/>
          <w:szCs w:val="24"/>
          <w:lang w:eastAsia="en-US"/>
        </w:rPr>
        <w:t>:</w:t>
      </w:r>
    </w:p>
    <w:p w14:paraId="0377C751" w14:textId="08DFFFC2" w:rsidR="00246D13" w:rsidRPr="00EB65A4" w:rsidRDefault="00246D13" w:rsidP="00C90E35">
      <w:pPr>
        <w:widowControl/>
        <w:numPr>
          <w:ilvl w:val="0"/>
          <w:numId w:val="1"/>
        </w:numPr>
        <w:autoSpaceDE/>
        <w:autoSpaceDN/>
        <w:adjustRightInd/>
        <w:ind w:left="284" w:hanging="284"/>
        <w:jc w:val="both"/>
        <w:rPr>
          <w:rFonts w:ascii="Calibri" w:hAnsi="Calibri" w:cs="Calibri"/>
          <w:sz w:val="24"/>
          <w:szCs w:val="24"/>
          <w:lang w:eastAsia="en-US"/>
        </w:rPr>
      </w:pPr>
      <w:r w:rsidRPr="00EB65A4">
        <w:rPr>
          <w:rFonts w:ascii="Calibri" w:hAnsi="Calibri" w:cs="Calibri"/>
          <w:sz w:val="24"/>
          <w:szCs w:val="24"/>
          <w:lang w:eastAsia="en-US"/>
        </w:rPr>
        <w:t xml:space="preserve">peněžní </w:t>
      </w:r>
      <w:r w:rsidRPr="00680DEC">
        <w:rPr>
          <w:rFonts w:ascii="Calibri" w:hAnsi="Calibri" w:cs="Calibri"/>
          <w:sz w:val="24"/>
          <w:szCs w:val="24"/>
          <w:lang w:eastAsia="en-US"/>
        </w:rPr>
        <w:t>p</w:t>
      </w:r>
      <w:r w:rsidR="00EB65A4" w:rsidRPr="00680DEC">
        <w:rPr>
          <w:rFonts w:ascii="Calibri" w:hAnsi="Calibri" w:cs="Calibri"/>
          <w:sz w:val="24"/>
          <w:szCs w:val="24"/>
          <w:lang w:eastAsia="en-US"/>
        </w:rPr>
        <w:t>rostředk</w:t>
      </w:r>
      <w:r w:rsidR="00B7267C">
        <w:rPr>
          <w:rFonts w:ascii="Calibri" w:hAnsi="Calibri" w:cs="Calibri"/>
          <w:sz w:val="24"/>
          <w:szCs w:val="24"/>
          <w:lang w:eastAsia="en-US"/>
        </w:rPr>
        <w:t>y</w:t>
      </w:r>
      <w:r w:rsidR="00EB65A4" w:rsidRPr="00680DEC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B7267C">
        <w:rPr>
          <w:rFonts w:ascii="Calibri" w:hAnsi="Calibri" w:cs="Calibri"/>
          <w:sz w:val="24"/>
          <w:szCs w:val="24"/>
          <w:lang w:eastAsia="en-US"/>
        </w:rPr>
        <w:t>v hodnotě</w:t>
      </w:r>
      <w:r w:rsidR="00EB65A4" w:rsidRPr="00680DEC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20453C">
        <w:rPr>
          <w:rFonts w:ascii="Calibri" w:hAnsi="Calibri" w:cs="Calibri"/>
          <w:sz w:val="24"/>
          <w:szCs w:val="24"/>
          <w:lang w:eastAsia="en-US"/>
        </w:rPr>
        <w:t>1 341 613 296</w:t>
      </w:r>
      <w:r w:rsidR="00E855E5" w:rsidRPr="00680DEC">
        <w:rPr>
          <w:rFonts w:ascii="Calibri" w:hAnsi="Calibri" w:cs="Calibri"/>
          <w:sz w:val="24"/>
          <w:szCs w:val="24"/>
          <w:lang w:eastAsia="en-US"/>
        </w:rPr>
        <w:t> Kč,</w:t>
      </w:r>
    </w:p>
    <w:p w14:paraId="252616F7" w14:textId="56A13A3E" w:rsidR="00246D13" w:rsidRPr="00EB65A4" w:rsidRDefault="00EB65A4" w:rsidP="00C90E35">
      <w:pPr>
        <w:widowControl/>
        <w:numPr>
          <w:ilvl w:val="0"/>
          <w:numId w:val="1"/>
        </w:numPr>
        <w:autoSpaceDE/>
        <w:autoSpaceDN/>
        <w:adjustRightInd/>
        <w:ind w:left="284" w:hanging="284"/>
        <w:jc w:val="both"/>
        <w:rPr>
          <w:rFonts w:ascii="Calibri" w:hAnsi="Calibri" w:cs="Calibri"/>
          <w:sz w:val="24"/>
          <w:szCs w:val="24"/>
          <w:lang w:eastAsia="en-US"/>
        </w:rPr>
      </w:pPr>
      <w:r w:rsidRPr="00EB65A4">
        <w:rPr>
          <w:rFonts w:ascii="Calibri" w:hAnsi="Calibri" w:cs="Calibri"/>
          <w:sz w:val="24"/>
          <w:szCs w:val="24"/>
          <w:lang w:eastAsia="en-US"/>
        </w:rPr>
        <w:t>majet</w:t>
      </w:r>
      <w:r w:rsidR="00B7267C">
        <w:rPr>
          <w:rFonts w:ascii="Calibri" w:hAnsi="Calibri" w:cs="Calibri"/>
          <w:sz w:val="24"/>
          <w:szCs w:val="24"/>
          <w:lang w:eastAsia="en-US"/>
        </w:rPr>
        <w:t>e</w:t>
      </w:r>
      <w:r w:rsidRPr="00EB65A4">
        <w:rPr>
          <w:rFonts w:ascii="Calibri" w:hAnsi="Calibri" w:cs="Calibri"/>
          <w:sz w:val="24"/>
          <w:szCs w:val="24"/>
          <w:lang w:eastAsia="en-US"/>
        </w:rPr>
        <w:t xml:space="preserve">k </w:t>
      </w:r>
      <w:r w:rsidR="00B7267C">
        <w:rPr>
          <w:rFonts w:ascii="Calibri" w:hAnsi="Calibri" w:cs="Calibri"/>
          <w:sz w:val="24"/>
          <w:szCs w:val="24"/>
          <w:lang w:eastAsia="en-US"/>
        </w:rPr>
        <w:t>ve výši</w:t>
      </w:r>
      <w:r w:rsidRPr="00680DEC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20453C">
        <w:rPr>
          <w:rFonts w:ascii="Calibri" w:hAnsi="Calibri" w:cs="Calibri"/>
          <w:sz w:val="24"/>
          <w:szCs w:val="24"/>
          <w:lang w:eastAsia="en-US"/>
        </w:rPr>
        <w:t>86 960 112</w:t>
      </w:r>
      <w:r w:rsidRPr="00680DEC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246D13" w:rsidRPr="00680DEC">
        <w:rPr>
          <w:rFonts w:ascii="Calibri" w:hAnsi="Calibri" w:cs="Calibri"/>
          <w:sz w:val="24"/>
          <w:szCs w:val="24"/>
          <w:lang w:eastAsia="en-US"/>
        </w:rPr>
        <w:t>Kč</w:t>
      </w:r>
      <w:r w:rsidR="00246D13" w:rsidRPr="00EB65A4">
        <w:rPr>
          <w:rFonts w:ascii="Calibri" w:hAnsi="Calibri" w:cs="Calibri"/>
          <w:sz w:val="24"/>
          <w:szCs w:val="24"/>
          <w:lang w:eastAsia="en-US"/>
        </w:rPr>
        <w:t xml:space="preserve">, </w:t>
      </w:r>
    </w:p>
    <w:p w14:paraId="414BBF79" w14:textId="5FE6C31E" w:rsidR="00246D13" w:rsidRDefault="00246D13" w:rsidP="00C90E35">
      <w:pPr>
        <w:widowControl/>
        <w:numPr>
          <w:ilvl w:val="0"/>
          <w:numId w:val="1"/>
        </w:numPr>
        <w:autoSpaceDE/>
        <w:autoSpaceDN/>
        <w:adjustRightInd/>
        <w:ind w:left="284" w:hanging="284"/>
        <w:jc w:val="both"/>
        <w:rPr>
          <w:rFonts w:ascii="Calibri" w:hAnsi="Calibri" w:cs="Calibri"/>
          <w:sz w:val="24"/>
          <w:szCs w:val="24"/>
          <w:lang w:eastAsia="en-US"/>
        </w:rPr>
      </w:pPr>
      <w:r w:rsidRPr="00EB65A4">
        <w:rPr>
          <w:rFonts w:ascii="Calibri" w:hAnsi="Calibri" w:cs="Calibri"/>
          <w:sz w:val="24"/>
          <w:szCs w:val="24"/>
          <w:lang w:eastAsia="en-US"/>
        </w:rPr>
        <w:t>související veřejn</w:t>
      </w:r>
      <w:r w:rsidR="00B7267C">
        <w:rPr>
          <w:rFonts w:ascii="Calibri" w:hAnsi="Calibri" w:cs="Calibri"/>
          <w:sz w:val="24"/>
          <w:szCs w:val="24"/>
          <w:lang w:eastAsia="en-US"/>
        </w:rPr>
        <w:t>é</w:t>
      </w:r>
      <w:r w:rsidRPr="00EB65A4">
        <w:rPr>
          <w:rFonts w:ascii="Calibri" w:hAnsi="Calibri" w:cs="Calibri"/>
          <w:sz w:val="24"/>
          <w:szCs w:val="24"/>
          <w:lang w:eastAsia="en-US"/>
        </w:rPr>
        <w:t xml:space="preserve"> zakáz</w:t>
      </w:r>
      <w:r w:rsidR="00B7267C">
        <w:rPr>
          <w:rFonts w:ascii="Calibri" w:hAnsi="Calibri" w:cs="Calibri"/>
          <w:sz w:val="24"/>
          <w:szCs w:val="24"/>
          <w:lang w:eastAsia="en-US"/>
        </w:rPr>
        <w:t>ky</w:t>
      </w:r>
      <w:r w:rsidR="00C15F1B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B7267C">
        <w:rPr>
          <w:rFonts w:ascii="Calibri" w:hAnsi="Calibri" w:cs="Calibri"/>
          <w:sz w:val="24"/>
          <w:szCs w:val="24"/>
          <w:lang w:eastAsia="en-US"/>
        </w:rPr>
        <w:t>v hodnotě</w:t>
      </w:r>
      <w:r w:rsidRPr="00680DEC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680DEC" w:rsidRPr="00680DEC">
        <w:rPr>
          <w:rFonts w:ascii="Calibri" w:hAnsi="Calibri" w:cs="Calibri"/>
          <w:sz w:val="24"/>
          <w:szCs w:val="24"/>
          <w:lang w:eastAsia="en-US"/>
        </w:rPr>
        <w:t>469 164 231</w:t>
      </w:r>
      <w:r w:rsidRPr="00680DEC">
        <w:rPr>
          <w:rFonts w:ascii="Calibri" w:hAnsi="Calibri" w:cs="Calibri"/>
          <w:sz w:val="24"/>
          <w:szCs w:val="24"/>
          <w:lang w:eastAsia="en-US"/>
        </w:rPr>
        <w:t xml:space="preserve"> Kč</w:t>
      </w:r>
      <w:r w:rsidR="00B91AB2" w:rsidRPr="00B91AB2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B91AB2">
        <w:rPr>
          <w:rFonts w:ascii="Calibri" w:hAnsi="Calibri" w:cs="Calibri"/>
          <w:sz w:val="24"/>
          <w:szCs w:val="24"/>
          <w:lang w:eastAsia="en-US"/>
        </w:rPr>
        <w:t>včetně DPH</w:t>
      </w:r>
      <w:r w:rsidRPr="00EB65A4">
        <w:rPr>
          <w:rFonts w:ascii="Calibri" w:hAnsi="Calibri" w:cs="Calibri"/>
          <w:sz w:val="24"/>
          <w:szCs w:val="24"/>
          <w:lang w:eastAsia="en-US"/>
        </w:rPr>
        <w:t>.</w:t>
      </w:r>
    </w:p>
    <w:p w14:paraId="11FD5236" w14:textId="77777777" w:rsidR="00662765" w:rsidRDefault="00662765" w:rsidP="00C90E35">
      <w:pPr>
        <w:widowControl/>
        <w:autoSpaceDE/>
        <w:autoSpaceDN/>
        <w:adjustRightInd/>
        <w:jc w:val="both"/>
        <w:rPr>
          <w:rFonts w:ascii="Calibri" w:hAnsi="Calibri" w:cs="Calibri"/>
          <w:sz w:val="24"/>
          <w:szCs w:val="24"/>
          <w:lang w:eastAsia="en-US"/>
        </w:rPr>
      </w:pPr>
    </w:p>
    <w:p w14:paraId="3E479F82" w14:textId="50921004" w:rsidR="00246D13" w:rsidRPr="00662765" w:rsidRDefault="00662765" w:rsidP="00C90E35">
      <w:pPr>
        <w:widowControl/>
        <w:autoSpaceDE/>
        <w:autoSpaceDN/>
        <w:adjustRightInd/>
        <w:jc w:val="both"/>
        <w:rPr>
          <w:rFonts w:ascii="Calibri" w:hAnsi="Calibri" w:cs="Calibri"/>
          <w:sz w:val="24"/>
          <w:szCs w:val="24"/>
          <w:lang w:eastAsia="en-US"/>
        </w:rPr>
      </w:pPr>
      <w:r w:rsidRPr="00513F92">
        <w:rPr>
          <w:rFonts w:ascii="Calibri" w:hAnsi="Calibri" w:cs="Calibri"/>
          <w:sz w:val="24"/>
          <w:szCs w:val="24"/>
          <w:lang w:eastAsia="en-US"/>
        </w:rPr>
        <w:t xml:space="preserve">Kritéria byla čerpána zejména ze zákona o majetku, </w:t>
      </w:r>
      <w:r w:rsidR="00B7267C">
        <w:rPr>
          <w:rFonts w:ascii="Calibri" w:hAnsi="Calibri" w:cs="Calibri"/>
          <w:sz w:val="24"/>
          <w:szCs w:val="24"/>
          <w:lang w:eastAsia="en-US"/>
        </w:rPr>
        <w:t xml:space="preserve">zákona </w:t>
      </w:r>
      <w:r w:rsidRPr="00513F92">
        <w:rPr>
          <w:rFonts w:ascii="Calibri" w:hAnsi="Calibri" w:cs="Calibri"/>
          <w:sz w:val="24"/>
          <w:szCs w:val="24"/>
          <w:lang w:eastAsia="en-US"/>
        </w:rPr>
        <w:t xml:space="preserve">o rozpočtových pravidlech, </w:t>
      </w:r>
      <w:r w:rsidR="00B7267C">
        <w:rPr>
          <w:rFonts w:ascii="Calibri" w:hAnsi="Calibri" w:cs="Calibri"/>
          <w:sz w:val="24"/>
          <w:szCs w:val="24"/>
          <w:lang w:eastAsia="en-US"/>
        </w:rPr>
        <w:t xml:space="preserve">zákona </w:t>
      </w:r>
      <w:r w:rsidR="00B7267C" w:rsidRPr="00513F92">
        <w:rPr>
          <w:rFonts w:ascii="Calibri" w:hAnsi="Calibri" w:cs="Calibri"/>
          <w:sz w:val="24"/>
          <w:szCs w:val="24"/>
          <w:lang w:eastAsia="en-US"/>
        </w:rPr>
        <w:t>o účetnictví</w:t>
      </w:r>
      <w:r w:rsidR="00B7267C">
        <w:rPr>
          <w:rFonts w:ascii="Calibri" w:hAnsi="Calibri" w:cs="Calibri"/>
          <w:sz w:val="24"/>
          <w:szCs w:val="24"/>
          <w:lang w:eastAsia="en-US"/>
        </w:rPr>
        <w:t>,</w:t>
      </w:r>
      <w:r w:rsidR="00B7267C" w:rsidRPr="00513F92">
        <w:rPr>
          <w:rFonts w:ascii="Calibri" w:hAnsi="Calibri" w:cs="Calibri"/>
          <w:sz w:val="24"/>
          <w:szCs w:val="24"/>
          <w:lang w:eastAsia="en-US"/>
        </w:rPr>
        <w:t xml:space="preserve"> zákona o ochraně přírody a</w:t>
      </w:r>
      <w:r w:rsidR="00B7267C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B7267C" w:rsidRPr="00513F92">
        <w:rPr>
          <w:rFonts w:ascii="Calibri" w:hAnsi="Calibri" w:cs="Calibri"/>
          <w:sz w:val="24"/>
          <w:szCs w:val="24"/>
          <w:lang w:eastAsia="en-US"/>
        </w:rPr>
        <w:t xml:space="preserve">krajiny </w:t>
      </w:r>
      <w:r w:rsidR="00B7267C">
        <w:rPr>
          <w:rFonts w:ascii="Calibri" w:hAnsi="Calibri" w:cs="Calibri"/>
          <w:sz w:val="24"/>
          <w:szCs w:val="24"/>
          <w:lang w:eastAsia="en-US"/>
        </w:rPr>
        <w:t xml:space="preserve">a zákona </w:t>
      </w:r>
      <w:r w:rsidRPr="00513F92">
        <w:rPr>
          <w:rFonts w:ascii="Calibri" w:hAnsi="Calibri" w:cs="Calibri"/>
          <w:sz w:val="24"/>
          <w:szCs w:val="24"/>
          <w:lang w:eastAsia="en-US"/>
        </w:rPr>
        <w:t xml:space="preserve">o veřejných zakázkách, resp. </w:t>
      </w:r>
      <w:r w:rsidR="00B7267C">
        <w:rPr>
          <w:rFonts w:ascii="Calibri" w:hAnsi="Calibri" w:cs="Calibri"/>
          <w:sz w:val="24"/>
          <w:szCs w:val="24"/>
          <w:lang w:eastAsia="en-US"/>
        </w:rPr>
        <w:t xml:space="preserve">zákona </w:t>
      </w:r>
      <w:r w:rsidRPr="00513F92">
        <w:rPr>
          <w:rFonts w:ascii="Calibri" w:hAnsi="Calibri" w:cs="Calibri"/>
          <w:sz w:val="24"/>
          <w:szCs w:val="24"/>
          <w:lang w:eastAsia="en-US"/>
        </w:rPr>
        <w:t>o zadávání veřejných zakázek.</w:t>
      </w:r>
    </w:p>
    <w:p w14:paraId="2A3ED385" w14:textId="2936D115" w:rsidR="00246D13" w:rsidRPr="00883A95" w:rsidRDefault="00E8692E" w:rsidP="00C90E35">
      <w:pPr>
        <w:widowControl/>
        <w:spacing w:before="120"/>
        <w:ind w:left="680" w:hanging="680"/>
        <w:jc w:val="both"/>
        <w:rPr>
          <w:rFonts w:ascii="Calibri" w:hAnsi="Calibri" w:cs="Calibri"/>
          <w:sz w:val="24"/>
          <w:szCs w:val="24"/>
        </w:rPr>
      </w:pPr>
      <w:r w:rsidRPr="00A43EE7">
        <w:rPr>
          <w:rFonts w:ascii="Calibri" w:hAnsi="Calibri" w:cs="Calibri"/>
          <w:b/>
          <w:i/>
          <w:sz w:val="24"/>
          <w:szCs w:val="24"/>
        </w:rPr>
        <w:t>Pozn.:</w:t>
      </w:r>
      <w:r w:rsidRPr="00986FCD">
        <w:rPr>
          <w:rFonts w:ascii="Calibri" w:hAnsi="Calibri" w:cs="Calibri"/>
          <w:i/>
          <w:sz w:val="24"/>
          <w:szCs w:val="24"/>
        </w:rPr>
        <w:t xml:space="preserve"> </w:t>
      </w:r>
      <w:r w:rsidR="00670105">
        <w:rPr>
          <w:rFonts w:ascii="Calibri" w:hAnsi="Calibri" w:cs="Calibri"/>
          <w:i/>
          <w:sz w:val="24"/>
          <w:szCs w:val="24"/>
        </w:rPr>
        <w:tab/>
      </w:r>
      <w:r w:rsidR="00E3589C" w:rsidRPr="00986FCD">
        <w:rPr>
          <w:rFonts w:ascii="Calibri" w:hAnsi="Calibri" w:cs="Calibri"/>
          <w:i/>
          <w:sz w:val="24"/>
          <w:szCs w:val="24"/>
        </w:rPr>
        <w:t>Právní předpisy</w:t>
      </w:r>
      <w:r w:rsidRPr="00986FCD">
        <w:rPr>
          <w:rFonts w:ascii="Calibri" w:hAnsi="Calibri" w:cs="Calibri"/>
          <w:i/>
          <w:sz w:val="24"/>
          <w:szCs w:val="24"/>
        </w:rPr>
        <w:t xml:space="preserve"> uvedené</w:t>
      </w:r>
      <w:r w:rsidR="00E3589C" w:rsidRPr="00986FCD">
        <w:rPr>
          <w:rFonts w:ascii="Calibri" w:hAnsi="Calibri" w:cs="Calibri"/>
          <w:i/>
          <w:sz w:val="24"/>
          <w:szCs w:val="24"/>
        </w:rPr>
        <w:t xml:space="preserve"> v tomto kontrolním závěru </w:t>
      </w:r>
      <w:r w:rsidRPr="00986FCD">
        <w:rPr>
          <w:rFonts w:ascii="Calibri" w:hAnsi="Calibri" w:cs="Calibri"/>
          <w:i/>
          <w:sz w:val="24"/>
          <w:szCs w:val="24"/>
        </w:rPr>
        <w:t xml:space="preserve">jsou </w:t>
      </w:r>
      <w:r w:rsidR="00E3589C" w:rsidRPr="00986FCD">
        <w:rPr>
          <w:rFonts w:ascii="Calibri" w:hAnsi="Calibri" w:cs="Calibri"/>
          <w:i/>
          <w:sz w:val="24"/>
          <w:szCs w:val="24"/>
        </w:rPr>
        <w:t>aplikovány ve znění účinném pro kontrolované období.</w:t>
      </w:r>
    </w:p>
    <w:p w14:paraId="47457141" w14:textId="77777777" w:rsidR="00246D13" w:rsidRPr="004E3409" w:rsidRDefault="004E3409" w:rsidP="00C90E35">
      <w:pPr>
        <w:pStyle w:val="Nadpis1"/>
        <w:keepNext w:val="0"/>
        <w:keepLines w:val="0"/>
        <w:widowControl/>
        <w:jc w:val="center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 xml:space="preserve">IV. </w:t>
      </w:r>
      <w:r w:rsidR="00246D13" w:rsidRPr="004E3409">
        <w:rPr>
          <w:rFonts w:asciiTheme="minorHAnsi" w:hAnsiTheme="minorHAnsi" w:cstheme="minorHAnsi"/>
          <w:b/>
          <w:color w:val="auto"/>
        </w:rPr>
        <w:t>Podrobn</w:t>
      </w:r>
      <w:r w:rsidR="00246D13" w:rsidRPr="004E3409">
        <w:rPr>
          <w:rFonts w:asciiTheme="minorHAnsi" w:eastAsia="Times New Roman" w:hAnsiTheme="minorHAnsi" w:cstheme="minorHAnsi"/>
          <w:b/>
          <w:color w:val="auto"/>
        </w:rPr>
        <w:t>é skute</w:t>
      </w:r>
      <w:r w:rsidR="00246D13" w:rsidRPr="004E3409">
        <w:rPr>
          <w:rFonts w:asciiTheme="minorHAnsi" w:hAnsiTheme="minorHAnsi" w:cstheme="minorHAnsi"/>
          <w:b/>
          <w:color w:val="auto"/>
        </w:rPr>
        <w:t>č</w:t>
      </w:r>
      <w:r w:rsidR="00246D13" w:rsidRPr="004E3409">
        <w:rPr>
          <w:rFonts w:asciiTheme="minorHAnsi" w:eastAsia="Times New Roman" w:hAnsiTheme="minorHAnsi" w:cstheme="minorHAnsi"/>
          <w:b/>
          <w:color w:val="auto"/>
        </w:rPr>
        <w:t>nosti zjišt</w:t>
      </w:r>
      <w:r w:rsidR="00246D13" w:rsidRPr="004E3409">
        <w:rPr>
          <w:rFonts w:asciiTheme="minorHAnsi" w:hAnsiTheme="minorHAnsi" w:cstheme="minorHAnsi"/>
          <w:b/>
          <w:color w:val="auto"/>
        </w:rPr>
        <w:t>ě</w:t>
      </w:r>
      <w:r w:rsidR="00246D13" w:rsidRPr="004E3409">
        <w:rPr>
          <w:rFonts w:asciiTheme="minorHAnsi" w:eastAsia="Times New Roman" w:hAnsiTheme="minorHAnsi" w:cstheme="minorHAnsi"/>
          <w:b/>
          <w:color w:val="auto"/>
        </w:rPr>
        <w:t>né kontrolou</w:t>
      </w:r>
    </w:p>
    <w:p w14:paraId="46D5CE84" w14:textId="7A37DCC0" w:rsidR="007A3E9C" w:rsidRPr="006E5852" w:rsidRDefault="007A3E9C" w:rsidP="00C90E35">
      <w:pPr>
        <w:widowControl/>
        <w:autoSpaceDE/>
        <w:autoSpaceDN/>
        <w:adjustRightInd/>
        <w:spacing w:before="120" w:after="12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DF0F7C">
        <w:rPr>
          <w:rFonts w:ascii="Calibri" w:hAnsi="Calibri" w:cs="Calibri"/>
          <w:sz w:val="24"/>
          <w:szCs w:val="24"/>
          <w:lang w:eastAsia="en-US"/>
        </w:rPr>
        <w:t>Správy NP hospodařily k 31. 12.</w:t>
      </w:r>
      <w:r w:rsidR="00E24BA9" w:rsidRPr="00DF0F7C">
        <w:rPr>
          <w:rFonts w:ascii="Calibri" w:hAnsi="Calibri" w:cs="Calibri"/>
          <w:sz w:val="24"/>
          <w:szCs w:val="24"/>
          <w:lang w:eastAsia="en-US"/>
        </w:rPr>
        <w:t xml:space="preserve"> 2018 s majetkem </w:t>
      </w:r>
      <w:r w:rsidR="004E2149">
        <w:rPr>
          <w:rFonts w:ascii="Calibri" w:hAnsi="Calibri" w:cs="Calibri"/>
          <w:sz w:val="24"/>
          <w:szCs w:val="24"/>
          <w:lang w:eastAsia="en-US"/>
        </w:rPr>
        <w:t xml:space="preserve">(netto) </w:t>
      </w:r>
      <w:r w:rsidR="00E24BA9" w:rsidRPr="00DF0F7C">
        <w:rPr>
          <w:rFonts w:ascii="Calibri" w:hAnsi="Calibri" w:cs="Calibri"/>
          <w:sz w:val="24"/>
          <w:szCs w:val="24"/>
          <w:lang w:eastAsia="en-US"/>
        </w:rPr>
        <w:t>ve výši 7,229 mld.</w:t>
      </w:r>
      <w:r w:rsidRPr="00DF0F7C">
        <w:rPr>
          <w:rFonts w:ascii="Calibri" w:hAnsi="Calibri" w:cs="Calibri"/>
          <w:sz w:val="24"/>
          <w:szCs w:val="24"/>
          <w:lang w:eastAsia="en-US"/>
        </w:rPr>
        <w:t xml:space="preserve"> Kč. </w:t>
      </w:r>
      <w:r w:rsidR="00F576B8" w:rsidRPr="00DF0F7C">
        <w:rPr>
          <w:rFonts w:ascii="Calibri" w:hAnsi="Calibri" w:cs="Calibri"/>
          <w:sz w:val="24"/>
          <w:szCs w:val="24"/>
          <w:lang w:eastAsia="en-US"/>
        </w:rPr>
        <w:t xml:space="preserve">Náklady </w:t>
      </w:r>
      <w:r w:rsidRPr="00DF0F7C">
        <w:rPr>
          <w:rFonts w:ascii="Calibri" w:hAnsi="Calibri" w:cs="Calibri"/>
          <w:sz w:val="24"/>
          <w:szCs w:val="24"/>
          <w:lang w:eastAsia="en-US"/>
        </w:rPr>
        <w:t xml:space="preserve">správ NP v roce 2018 činily celkem </w:t>
      </w:r>
      <w:r w:rsidR="00DF0F7C" w:rsidRPr="00DF0F7C">
        <w:rPr>
          <w:rFonts w:ascii="Calibri" w:hAnsi="Calibri" w:cs="Calibri"/>
          <w:sz w:val="24"/>
          <w:szCs w:val="24"/>
          <w:lang w:eastAsia="en-US"/>
        </w:rPr>
        <w:t>1,085 mld. Kč</w:t>
      </w:r>
      <w:r w:rsidRPr="00DF0F7C">
        <w:rPr>
          <w:rFonts w:ascii="Calibri" w:hAnsi="Calibri" w:cs="Calibri"/>
          <w:sz w:val="24"/>
          <w:szCs w:val="24"/>
          <w:lang w:eastAsia="en-US"/>
        </w:rPr>
        <w:t xml:space="preserve">. </w:t>
      </w:r>
      <w:r w:rsidR="00816A50">
        <w:rPr>
          <w:rFonts w:ascii="Calibri" w:hAnsi="Calibri" w:cs="Calibri"/>
          <w:sz w:val="24"/>
          <w:szCs w:val="24"/>
          <w:lang w:eastAsia="en-US"/>
        </w:rPr>
        <w:t>Výnosy</w:t>
      </w:r>
      <w:r w:rsidRPr="00DF0F7C">
        <w:rPr>
          <w:rFonts w:ascii="Calibri" w:hAnsi="Calibri" w:cs="Calibri"/>
          <w:sz w:val="24"/>
          <w:szCs w:val="24"/>
          <w:lang w:eastAsia="en-US"/>
        </w:rPr>
        <w:t xml:space="preserve"> správ NP v roce 2018</w:t>
      </w:r>
      <w:r w:rsidR="00DF0F7C" w:rsidRPr="00DF0F7C">
        <w:rPr>
          <w:rFonts w:ascii="Calibri" w:hAnsi="Calibri" w:cs="Calibri"/>
          <w:sz w:val="24"/>
          <w:szCs w:val="24"/>
          <w:lang w:eastAsia="en-US"/>
        </w:rPr>
        <w:t xml:space="preserve"> činil</w:t>
      </w:r>
      <w:r w:rsidR="0075030C">
        <w:rPr>
          <w:rFonts w:ascii="Calibri" w:hAnsi="Calibri" w:cs="Calibri"/>
          <w:sz w:val="24"/>
          <w:szCs w:val="24"/>
          <w:lang w:eastAsia="en-US"/>
        </w:rPr>
        <w:t xml:space="preserve">y celkem </w:t>
      </w:r>
      <w:r w:rsidR="008D5DC7">
        <w:rPr>
          <w:rFonts w:ascii="Calibri" w:hAnsi="Calibri" w:cs="Calibri"/>
          <w:sz w:val="24"/>
          <w:szCs w:val="24"/>
          <w:lang w:eastAsia="en-US"/>
        </w:rPr>
        <w:br/>
      </w:r>
      <w:r w:rsidR="0075030C">
        <w:rPr>
          <w:rFonts w:ascii="Calibri" w:hAnsi="Calibri" w:cs="Calibri"/>
          <w:sz w:val="24"/>
          <w:szCs w:val="24"/>
          <w:lang w:eastAsia="en-US"/>
        </w:rPr>
        <w:t>1,108</w:t>
      </w:r>
      <w:r w:rsidR="008D5DC7">
        <w:rPr>
          <w:rFonts w:ascii="Calibri" w:hAnsi="Calibri" w:cs="Calibri"/>
          <w:sz w:val="24"/>
          <w:szCs w:val="24"/>
          <w:lang w:eastAsia="en-US"/>
        </w:rPr>
        <w:t xml:space="preserve"> </w:t>
      </w:r>
      <w:r w:rsidR="00DF0F7C" w:rsidRPr="00DF0F7C">
        <w:rPr>
          <w:rFonts w:ascii="Calibri" w:hAnsi="Calibri" w:cs="Calibri"/>
          <w:sz w:val="24"/>
          <w:szCs w:val="24"/>
          <w:lang w:eastAsia="en-US"/>
        </w:rPr>
        <w:t>mld. Kč</w:t>
      </w:r>
      <w:r w:rsidRPr="00DF0F7C">
        <w:rPr>
          <w:rFonts w:ascii="Calibri" w:hAnsi="Calibri" w:cs="Calibri"/>
          <w:sz w:val="24"/>
          <w:szCs w:val="24"/>
          <w:lang w:eastAsia="en-US"/>
        </w:rPr>
        <w:t>.</w:t>
      </w:r>
      <w:r>
        <w:rPr>
          <w:rFonts w:ascii="Calibri" w:hAnsi="Calibri" w:cs="Calibri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Calibri"/>
          <w:sz w:val="24"/>
          <w:szCs w:val="24"/>
          <w:lang w:eastAsia="en-US"/>
        </w:rPr>
        <w:t>Vybrané položky účetní</w:t>
      </w:r>
      <w:r w:rsidR="00A3706A">
        <w:rPr>
          <w:rFonts w:ascii="Calibri" w:eastAsia="Calibri" w:hAnsi="Calibri" w:cs="Calibri"/>
          <w:sz w:val="24"/>
          <w:szCs w:val="24"/>
          <w:lang w:eastAsia="en-US"/>
        </w:rPr>
        <w:t>ch výkazů jsou uvedeny v tabulkách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č. 1</w:t>
      </w:r>
      <w:r w:rsidR="004B62D9">
        <w:rPr>
          <w:rFonts w:ascii="Calibri" w:eastAsia="Calibri" w:hAnsi="Calibri" w:cs="Calibri"/>
          <w:sz w:val="24"/>
          <w:szCs w:val="24"/>
          <w:lang w:eastAsia="en-US"/>
        </w:rPr>
        <w:t xml:space="preserve"> a č. 2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za rok 2018,</w:t>
      </w:r>
      <w:r w:rsidRPr="003F01A1">
        <w:rPr>
          <w:rFonts w:ascii="Calibri" w:eastAsia="Calibri" w:hAnsi="Calibri" w:cs="Calibri"/>
          <w:sz w:val="24"/>
          <w:szCs w:val="24"/>
          <w:lang w:eastAsia="en-US"/>
        </w:rPr>
        <w:t xml:space="preserve"> kdy měly všechny sprá</w:t>
      </w:r>
      <w:r>
        <w:rPr>
          <w:rFonts w:ascii="Calibri" w:eastAsia="Calibri" w:hAnsi="Calibri" w:cs="Calibri"/>
          <w:sz w:val="24"/>
          <w:szCs w:val="24"/>
          <w:lang w:eastAsia="en-US"/>
        </w:rPr>
        <w:t>v</w:t>
      </w:r>
      <w:r w:rsidRPr="003F01A1">
        <w:rPr>
          <w:rFonts w:ascii="Calibri" w:eastAsia="Calibri" w:hAnsi="Calibri" w:cs="Calibri"/>
          <w:sz w:val="24"/>
          <w:szCs w:val="24"/>
          <w:lang w:eastAsia="en-US"/>
        </w:rPr>
        <w:t xml:space="preserve">y NP s ohledem na </w:t>
      </w:r>
      <w:r w:rsidR="00816A50">
        <w:rPr>
          <w:rFonts w:ascii="Calibri" w:eastAsia="Calibri" w:hAnsi="Calibri" w:cs="Calibri"/>
          <w:sz w:val="24"/>
          <w:szCs w:val="24"/>
          <w:lang w:eastAsia="en-US"/>
        </w:rPr>
        <w:t>svou</w:t>
      </w:r>
      <w:r w:rsidRPr="003F01A1">
        <w:rPr>
          <w:rFonts w:ascii="Calibri" w:eastAsia="Calibri" w:hAnsi="Calibri" w:cs="Calibri"/>
          <w:sz w:val="24"/>
          <w:szCs w:val="24"/>
          <w:lang w:eastAsia="en-US"/>
        </w:rPr>
        <w:t xml:space="preserve"> právní f</w:t>
      </w:r>
      <w:r>
        <w:rPr>
          <w:rFonts w:ascii="Calibri" w:eastAsia="Calibri" w:hAnsi="Calibri" w:cs="Calibri"/>
          <w:sz w:val="24"/>
          <w:szCs w:val="24"/>
          <w:lang w:eastAsia="en-US"/>
        </w:rPr>
        <w:t>ormu stejný způsob financování.</w:t>
      </w:r>
    </w:p>
    <w:p w14:paraId="13607912" w14:textId="19A22FEA" w:rsidR="007A3E9C" w:rsidRPr="002A4370" w:rsidRDefault="007A3E9C" w:rsidP="00C90E35">
      <w:pPr>
        <w:widowControl/>
        <w:tabs>
          <w:tab w:val="right" w:pos="9072"/>
        </w:tabs>
        <w:spacing w:before="120"/>
        <w:ind w:left="1304" w:hanging="1304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2A437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Tabulka č. 1: </w:t>
      </w:r>
      <w:r w:rsidR="001E7B6F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2A4370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Přehled vybraných položek </w:t>
      </w:r>
      <w:r w:rsidR="00BB72AD">
        <w:rPr>
          <w:rFonts w:asciiTheme="minorHAnsi" w:hAnsiTheme="minorHAnsi" w:cstheme="minorHAnsi"/>
          <w:b/>
          <w:color w:val="000000"/>
          <w:sz w:val="24"/>
          <w:szCs w:val="24"/>
        </w:rPr>
        <w:t>z rozvahy a</w:t>
      </w:r>
      <w:r w:rsidR="00FD3031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 výkazu zisku a ztráty </w:t>
      </w:r>
      <w:r w:rsidRPr="002A4370">
        <w:rPr>
          <w:rFonts w:asciiTheme="minorHAnsi" w:hAnsiTheme="minorHAnsi" w:cstheme="minorHAnsi"/>
          <w:b/>
          <w:color w:val="000000"/>
          <w:sz w:val="24"/>
          <w:szCs w:val="24"/>
        </w:rPr>
        <w:t>správ NP za rok 2018</w:t>
      </w:r>
      <w:r w:rsidRPr="002A4370">
        <w:rPr>
          <w:rFonts w:asciiTheme="minorHAnsi" w:hAnsiTheme="minorHAnsi" w:cstheme="minorHAnsi"/>
          <w:b/>
          <w:color w:val="000000"/>
          <w:sz w:val="24"/>
          <w:szCs w:val="24"/>
        </w:rPr>
        <w:tab/>
        <w:t>(</w:t>
      </w:r>
      <w:r w:rsidR="00DA2FA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v </w:t>
      </w:r>
      <w:r w:rsidRPr="002A4370">
        <w:rPr>
          <w:rFonts w:asciiTheme="minorHAnsi" w:hAnsiTheme="minorHAnsi" w:cstheme="minorHAnsi"/>
          <w:b/>
          <w:color w:val="000000"/>
          <w:sz w:val="24"/>
          <w:szCs w:val="24"/>
        </w:rPr>
        <w:t>tis. Kč)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2"/>
        <w:gridCol w:w="2661"/>
        <w:gridCol w:w="1903"/>
        <w:gridCol w:w="1816"/>
      </w:tblGrid>
      <w:tr w:rsidR="007A3E9C" w:rsidRPr="002A4370" w14:paraId="47F81500" w14:textId="77777777" w:rsidTr="004916DB">
        <w:trPr>
          <w:trHeight w:val="396"/>
        </w:trPr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7115637" w14:textId="77777777" w:rsidR="007A3E9C" w:rsidRPr="002A4370" w:rsidRDefault="007A3E9C" w:rsidP="00C90E3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4370">
              <w:rPr>
                <w:rFonts w:ascii="Calibri" w:eastAsia="Times New Roman" w:hAnsi="Calibri" w:cs="Calibri"/>
                <w:b/>
                <w:bCs/>
                <w:color w:val="000000"/>
              </w:rPr>
              <w:t>Správa NP</w:t>
            </w:r>
          </w:p>
        </w:tc>
        <w:tc>
          <w:tcPr>
            <w:tcW w:w="1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6F258266" w14:textId="507CF7F7" w:rsidR="007A3E9C" w:rsidRPr="002A4370" w:rsidRDefault="007A3E9C" w:rsidP="00C90E3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437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Účetní hodnota </w:t>
            </w:r>
            <w:r w:rsidR="00E24BA9">
              <w:rPr>
                <w:rFonts w:ascii="Calibri" w:eastAsia="Times New Roman" w:hAnsi="Calibri" w:cs="Calibri"/>
                <w:b/>
                <w:bCs/>
                <w:color w:val="000000"/>
              </w:rPr>
              <w:t>majetku</w:t>
            </w:r>
            <w:r w:rsidRPr="002A437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k</w:t>
            </w:r>
            <w:r w:rsidR="006515C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Pr="002A4370">
              <w:rPr>
                <w:rFonts w:ascii="Calibri" w:eastAsia="Times New Roman" w:hAnsi="Calibri" w:cs="Calibri"/>
                <w:b/>
                <w:bCs/>
                <w:color w:val="000000"/>
              </w:rPr>
              <w:t>31.</w:t>
            </w:r>
            <w:r w:rsidR="006515CD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  <w:r w:rsidRPr="002A4370">
              <w:rPr>
                <w:rFonts w:ascii="Calibri" w:eastAsia="Times New Roman" w:hAnsi="Calibri" w:cs="Calibri"/>
                <w:b/>
                <w:bCs/>
                <w:color w:val="000000"/>
              </w:rPr>
              <w:t>12. 2018 (netto)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0D087E2A" w14:textId="77777777" w:rsidR="007A3E9C" w:rsidRPr="002A4370" w:rsidRDefault="007A3E9C" w:rsidP="00C90E3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4370">
              <w:rPr>
                <w:rFonts w:ascii="Calibri" w:eastAsia="Times New Roman" w:hAnsi="Calibri" w:cs="Calibri"/>
                <w:b/>
                <w:bCs/>
                <w:color w:val="000000"/>
              </w:rPr>
              <w:t>Ná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klady celkem</w:t>
            </w:r>
            <w:r w:rsidRPr="002A437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za rok 2018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19DCD585" w14:textId="2C108046" w:rsidR="007A3E9C" w:rsidRPr="002A4370" w:rsidRDefault="007A3E9C" w:rsidP="00C90E3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437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Výnosy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celkem</w:t>
            </w:r>
            <w:r w:rsidRPr="002A437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za rok 2018</w:t>
            </w:r>
          </w:p>
        </w:tc>
      </w:tr>
      <w:tr w:rsidR="007A3E9C" w:rsidRPr="002A4370" w14:paraId="4A0F215A" w14:textId="77777777" w:rsidTr="004916DB">
        <w:trPr>
          <w:trHeight w:val="288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77FF" w14:textId="77777777" w:rsidR="007A3E9C" w:rsidRPr="002A4370" w:rsidRDefault="007A3E9C" w:rsidP="00C90E3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2A4370">
              <w:rPr>
                <w:rFonts w:ascii="Calibri" w:eastAsia="Times New Roman" w:hAnsi="Calibri" w:cs="Calibri"/>
                <w:color w:val="000000"/>
              </w:rPr>
              <w:t>Správa KRNAP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20B1" w14:textId="413D8513" w:rsidR="007A3E9C" w:rsidRPr="00E24BA9" w:rsidRDefault="00E24BA9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4BA9">
              <w:rPr>
                <w:rFonts w:ascii="Calibri" w:eastAsia="Times New Roman" w:hAnsi="Calibri" w:cs="Calibri"/>
                <w:color w:val="000000"/>
              </w:rPr>
              <w:t>2 847 582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502D6" w14:textId="6AA9A47B" w:rsidR="007A3E9C" w:rsidRPr="00E24BA9" w:rsidRDefault="00E24BA9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E24BA9">
              <w:rPr>
                <w:rFonts w:ascii="Calibri" w:hAnsi="Calibri" w:cs="Calibri"/>
                <w:bCs/>
                <w:color w:val="000000"/>
              </w:rPr>
              <w:t>344 878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B218" w14:textId="639028E0" w:rsidR="007A3E9C" w:rsidRPr="00E24BA9" w:rsidRDefault="00E24BA9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E24BA9">
              <w:rPr>
                <w:rFonts w:ascii="Calibri" w:hAnsi="Calibri" w:cs="Calibri"/>
                <w:bCs/>
                <w:color w:val="000000"/>
              </w:rPr>
              <w:t>349 973</w:t>
            </w:r>
          </w:p>
        </w:tc>
      </w:tr>
      <w:tr w:rsidR="007A3E9C" w:rsidRPr="002A4370" w14:paraId="58152367" w14:textId="77777777" w:rsidTr="004916DB">
        <w:trPr>
          <w:trHeight w:val="288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6358" w14:textId="77777777" w:rsidR="007A3E9C" w:rsidRPr="002A4370" w:rsidRDefault="007A3E9C" w:rsidP="00C90E3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2A4370">
              <w:rPr>
                <w:rFonts w:ascii="Calibri" w:eastAsia="Times New Roman" w:hAnsi="Calibri" w:cs="Calibri"/>
                <w:color w:val="000000"/>
              </w:rPr>
              <w:t>Správa NP Šumava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0527" w14:textId="61E35332" w:rsidR="007A3E9C" w:rsidRPr="00E24BA9" w:rsidRDefault="00E24BA9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4BA9">
              <w:rPr>
                <w:rFonts w:ascii="Calibri" w:eastAsia="Times New Roman" w:hAnsi="Calibri" w:cs="Calibri"/>
                <w:color w:val="000000"/>
              </w:rPr>
              <w:t>3 308 400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98F5F" w14:textId="4C6E13B8" w:rsidR="007A3E9C" w:rsidRPr="00E24BA9" w:rsidRDefault="00E24BA9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E24BA9">
              <w:rPr>
                <w:rFonts w:ascii="Calibri" w:hAnsi="Calibri" w:cs="Calibri"/>
                <w:bCs/>
                <w:color w:val="000000"/>
              </w:rPr>
              <w:t>586 673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E0010" w14:textId="5FBB40FD" w:rsidR="007A3E9C" w:rsidRPr="00E24BA9" w:rsidRDefault="00E24BA9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E24BA9">
              <w:rPr>
                <w:rFonts w:ascii="Calibri" w:hAnsi="Calibri" w:cs="Calibri"/>
                <w:bCs/>
                <w:color w:val="000000"/>
              </w:rPr>
              <w:t>590 412</w:t>
            </w:r>
          </w:p>
        </w:tc>
      </w:tr>
      <w:tr w:rsidR="007A3E9C" w:rsidRPr="002A4370" w14:paraId="0FAFFEE3" w14:textId="77777777" w:rsidTr="004916DB">
        <w:trPr>
          <w:trHeight w:val="288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0C19" w14:textId="77777777" w:rsidR="007A3E9C" w:rsidRPr="002A4370" w:rsidRDefault="007A3E9C" w:rsidP="00C90E3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2A4370">
              <w:rPr>
                <w:rFonts w:ascii="Calibri" w:eastAsia="Times New Roman" w:hAnsi="Calibri" w:cs="Calibri"/>
                <w:color w:val="000000"/>
              </w:rPr>
              <w:t>Správa NP Podyjí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8E138" w14:textId="711361DF" w:rsidR="007A3E9C" w:rsidRPr="00E24BA9" w:rsidRDefault="00E24BA9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4BA9">
              <w:rPr>
                <w:rFonts w:ascii="Calibri" w:eastAsia="Times New Roman" w:hAnsi="Calibri" w:cs="Calibri"/>
                <w:color w:val="000000"/>
              </w:rPr>
              <w:t>375 351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4D56C" w14:textId="712FE909" w:rsidR="007A3E9C" w:rsidRPr="00E24BA9" w:rsidRDefault="00E24BA9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E24BA9">
              <w:rPr>
                <w:rFonts w:ascii="Calibri" w:hAnsi="Calibri" w:cs="Calibri"/>
                <w:bCs/>
                <w:color w:val="000000"/>
              </w:rPr>
              <w:t>49 766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C4CED" w14:textId="0965F2B6" w:rsidR="007A3E9C" w:rsidRPr="00E24BA9" w:rsidRDefault="00E24BA9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E24BA9">
              <w:rPr>
                <w:rFonts w:ascii="Calibri" w:hAnsi="Calibri" w:cs="Calibri"/>
                <w:bCs/>
                <w:color w:val="000000"/>
              </w:rPr>
              <w:t>49 810</w:t>
            </w:r>
          </w:p>
        </w:tc>
      </w:tr>
      <w:tr w:rsidR="007A3E9C" w:rsidRPr="002A4370" w14:paraId="089641E9" w14:textId="77777777" w:rsidTr="004916DB">
        <w:trPr>
          <w:trHeight w:val="288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F552" w14:textId="77777777" w:rsidR="007A3E9C" w:rsidRPr="002A4370" w:rsidRDefault="007A3E9C" w:rsidP="00C90E3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2A4370">
              <w:rPr>
                <w:rFonts w:ascii="Calibri" w:eastAsia="Times New Roman" w:hAnsi="Calibri" w:cs="Calibri"/>
                <w:color w:val="000000"/>
              </w:rPr>
              <w:t>Správa NP České Švýcarsko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4719" w14:textId="154A08FB" w:rsidR="007A3E9C" w:rsidRPr="00E24BA9" w:rsidRDefault="00E24BA9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24BA9">
              <w:rPr>
                <w:rFonts w:ascii="Calibri" w:eastAsia="Times New Roman" w:hAnsi="Calibri" w:cs="Calibri"/>
                <w:color w:val="000000"/>
              </w:rPr>
              <w:t>698 525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D4ABF" w14:textId="408B0653" w:rsidR="007A3E9C" w:rsidRPr="00E24BA9" w:rsidRDefault="00E24BA9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E24BA9">
              <w:rPr>
                <w:rFonts w:ascii="Calibri" w:hAnsi="Calibri" w:cs="Calibri"/>
                <w:bCs/>
                <w:color w:val="000000"/>
              </w:rPr>
              <w:t>103 780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951DD" w14:textId="609D924C" w:rsidR="007A3E9C" w:rsidRPr="00E24BA9" w:rsidRDefault="00E24BA9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E24BA9">
              <w:rPr>
                <w:rFonts w:ascii="Calibri" w:hAnsi="Calibri" w:cs="Calibri"/>
                <w:bCs/>
                <w:color w:val="000000"/>
              </w:rPr>
              <w:t>117 375</w:t>
            </w:r>
          </w:p>
        </w:tc>
      </w:tr>
      <w:tr w:rsidR="007A3E9C" w:rsidRPr="002A4370" w14:paraId="32DC3D9B" w14:textId="77777777" w:rsidTr="004916DB">
        <w:trPr>
          <w:trHeight w:val="288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B4B15" w14:textId="77777777" w:rsidR="007A3E9C" w:rsidRPr="002A4370" w:rsidRDefault="007A3E9C" w:rsidP="00C90E3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4370">
              <w:rPr>
                <w:rFonts w:ascii="Calibri" w:eastAsia="Times New Roman" w:hAnsi="Calibri" w:cs="Calibri"/>
                <w:b/>
                <w:bCs/>
                <w:color w:val="000000"/>
              </w:rPr>
              <w:t>Celkem</w:t>
            </w:r>
          </w:p>
        </w:tc>
        <w:tc>
          <w:tcPr>
            <w:tcW w:w="1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2A63" w14:textId="67F3D3BF" w:rsidR="007A3E9C" w:rsidRPr="00BB72AD" w:rsidRDefault="00E24BA9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BB72AD">
              <w:rPr>
                <w:rFonts w:ascii="Calibri" w:eastAsia="Times New Roman" w:hAnsi="Calibri" w:cs="Calibri"/>
                <w:b/>
                <w:color w:val="000000"/>
              </w:rPr>
              <w:t>7 229 858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2F5ED" w14:textId="0AA8874B" w:rsidR="007A3E9C" w:rsidRPr="00BB72AD" w:rsidRDefault="00E24BA9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72AD">
              <w:rPr>
                <w:rFonts w:ascii="Calibri" w:hAnsi="Calibri" w:cs="Calibri"/>
                <w:b/>
                <w:bCs/>
                <w:color w:val="000000"/>
              </w:rPr>
              <w:t>1 085 097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15665" w14:textId="6A77DFC3" w:rsidR="007A3E9C" w:rsidRPr="00BB72AD" w:rsidRDefault="00E24BA9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B72AD">
              <w:rPr>
                <w:rFonts w:ascii="Calibri" w:hAnsi="Calibri" w:cs="Calibri"/>
                <w:b/>
                <w:bCs/>
                <w:color w:val="000000"/>
              </w:rPr>
              <w:t>1 107 570</w:t>
            </w:r>
          </w:p>
        </w:tc>
      </w:tr>
    </w:tbl>
    <w:p w14:paraId="46341FC7" w14:textId="6489ED99" w:rsidR="007A3E9C" w:rsidRPr="008C4B79" w:rsidRDefault="007A3E9C" w:rsidP="00C90E35">
      <w:pPr>
        <w:widowControl/>
        <w:spacing w:after="120"/>
        <w:jc w:val="both"/>
        <w:rPr>
          <w:rFonts w:ascii="Calibri" w:eastAsia="Calibri" w:hAnsi="Calibri" w:cs="Calibri"/>
        </w:rPr>
      </w:pPr>
      <w:r w:rsidRPr="0070369D">
        <w:rPr>
          <w:rFonts w:ascii="Calibri" w:eastAsia="Calibri" w:hAnsi="Calibri" w:cs="Calibri"/>
          <w:b/>
        </w:rPr>
        <w:t>Zdroj:</w:t>
      </w:r>
      <w:r w:rsidRPr="0070369D">
        <w:rPr>
          <w:rFonts w:ascii="Calibri" w:eastAsia="Calibri" w:hAnsi="Calibri" w:cs="Calibri"/>
        </w:rPr>
        <w:t xml:space="preserve"> </w:t>
      </w:r>
      <w:r w:rsidR="00816A50">
        <w:rPr>
          <w:rFonts w:ascii="Calibri" w:eastAsia="Calibri" w:hAnsi="Calibri" w:cs="Calibri"/>
        </w:rPr>
        <w:t>r</w:t>
      </w:r>
      <w:r w:rsidRPr="0070369D">
        <w:rPr>
          <w:rFonts w:ascii="Calibri" w:eastAsia="Calibri" w:hAnsi="Calibri" w:cs="Calibri"/>
        </w:rPr>
        <w:t>ozvah</w:t>
      </w:r>
      <w:r w:rsidR="00816A50">
        <w:rPr>
          <w:rFonts w:ascii="Calibri" w:eastAsia="Calibri" w:hAnsi="Calibri" w:cs="Calibri"/>
        </w:rPr>
        <w:t>y</w:t>
      </w:r>
      <w:r w:rsidR="00D73402">
        <w:rPr>
          <w:rFonts w:ascii="Calibri" w:eastAsia="Calibri" w:hAnsi="Calibri" w:cs="Calibri"/>
        </w:rPr>
        <w:t xml:space="preserve"> a </w:t>
      </w:r>
      <w:r w:rsidR="00816A50">
        <w:rPr>
          <w:rFonts w:ascii="Calibri" w:eastAsia="Calibri" w:hAnsi="Calibri" w:cs="Calibri"/>
        </w:rPr>
        <w:t>v</w:t>
      </w:r>
      <w:r w:rsidR="00D73402">
        <w:rPr>
          <w:rFonts w:ascii="Calibri" w:eastAsia="Calibri" w:hAnsi="Calibri" w:cs="Calibri"/>
        </w:rPr>
        <w:t>ýkaz</w:t>
      </w:r>
      <w:r w:rsidR="00816A50">
        <w:rPr>
          <w:rFonts w:ascii="Calibri" w:eastAsia="Calibri" w:hAnsi="Calibri" w:cs="Calibri"/>
        </w:rPr>
        <w:t>y</w:t>
      </w:r>
      <w:r w:rsidR="00D73402">
        <w:rPr>
          <w:rFonts w:ascii="Calibri" w:eastAsia="Calibri" w:hAnsi="Calibri" w:cs="Calibri"/>
        </w:rPr>
        <w:t xml:space="preserve"> zisku a ztráty k 31. 12. 2018 </w:t>
      </w:r>
      <w:r w:rsidRPr="0070369D">
        <w:rPr>
          <w:rFonts w:ascii="Calibri" w:eastAsia="Calibri" w:hAnsi="Calibri" w:cs="Calibri"/>
        </w:rPr>
        <w:t>jednotlivých správ</w:t>
      </w:r>
      <w:r w:rsidR="00D73402">
        <w:rPr>
          <w:rFonts w:ascii="Calibri" w:eastAsia="Calibri" w:hAnsi="Calibri" w:cs="Calibri"/>
        </w:rPr>
        <w:t xml:space="preserve"> NP</w:t>
      </w:r>
      <w:r w:rsidRPr="0070369D">
        <w:rPr>
          <w:rFonts w:ascii="Calibri" w:eastAsia="Calibri" w:hAnsi="Calibri" w:cs="Calibri"/>
        </w:rPr>
        <w:t>.</w:t>
      </w:r>
    </w:p>
    <w:p w14:paraId="777930F2" w14:textId="46FD03AA" w:rsidR="00BB72AD" w:rsidRPr="002A4370" w:rsidRDefault="00BB72AD" w:rsidP="00C90E35">
      <w:pPr>
        <w:widowControl/>
        <w:tabs>
          <w:tab w:val="right" w:pos="9072"/>
        </w:tabs>
        <w:spacing w:before="12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5030C">
        <w:rPr>
          <w:rFonts w:asciiTheme="minorHAnsi" w:hAnsiTheme="minorHAnsi" w:cstheme="minorHAnsi"/>
          <w:b/>
          <w:color w:val="000000"/>
          <w:sz w:val="24"/>
          <w:szCs w:val="24"/>
        </w:rPr>
        <w:lastRenderedPageBreak/>
        <w:t xml:space="preserve">Tabulka č. 2: Přehled vybraných </w:t>
      </w:r>
      <w:r w:rsidR="0070369D" w:rsidRPr="0075030C">
        <w:rPr>
          <w:rFonts w:asciiTheme="minorHAnsi" w:hAnsiTheme="minorHAnsi" w:cstheme="minorHAnsi"/>
          <w:b/>
          <w:color w:val="000000"/>
          <w:sz w:val="24"/>
          <w:szCs w:val="24"/>
        </w:rPr>
        <w:t>výnosů</w:t>
      </w:r>
      <w:r w:rsidRPr="0075030C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správ NP za rok 2018 </w:t>
      </w:r>
      <w:r w:rsidR="00DA2FAD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75030C">
        <w:rPr>
          <w:rFonts w:asciiTheme="minorHAnsi" w:hAnsiTheme="minorHAnsi" w:cstheme="minorHAnsi"/>
          <w:b/>
          <w:color w:val="000000"/>
          <w:sz w:val="24"/>
          <w:szCs w:val="24"/>
        </w:rPr>
        <w:t>(</w:t>
      </w:r>
      <w:r w:rsidR="00DA2FAD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v </w:t>
      </w:r>
      <w:r w:rsidRPr="0075030C">
        <w:rPr>
          <w:rFonts w:asciiTheme="minorHAnsi" w:hAnsiTheme="minorHAnsi" w:cstheme="minorHAnsi"/>
          <w:b/>
          <w:color w:val="000000"/>
          <w:sz w:val="24"/>
          <w:szCs w:val="24"/>
        </w:rPr>
        <w:t>tis. Kč)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2"/>
        <w:gridCol w:w="3409"/>
        <w:gridCol w:w="2971"/>
      </w:tblGrid>
      <w:tr w:rsidR="00BB72AD" w:rsidRPr="002A4370" w14:paraId="5372A2BA" w14:textId="77777777" w:rsidTr="004916DB">
        <w:trPr>
          <w:trHeight w:val="396"/>
        </w:trPr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7F57BD2E" w14:textId="77777777" w:rsidR="00BB72AD" w:rsidRPr="002A4370" w:rsidRDefault="00BB72AD" w:rsidP="00C90E3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4370">
              <w:rPr>
                <w:rFonts w:ascii="Calibri" w:eastAsia="Times New Roman" w:hAnsi="Calibri" w:cs="Calibri"/>
                <w:b/>
                <w:bCs/>
                <w:color w:val="000000"/>
              </w:rPr>
              <w:t>Správa NP</w:t>
            </w:r>
          </w:p>
        </w:tc>
        <w:tc>
          <w:tcPr>
            <w:tcW w:w="1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640184EC" w14:textId="407E3969" w:rsidR="00BB72AD" w:rsidRPr="002A4370" w:rsidRDefault="00BB72AD" w:rsidP="00C90E3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Příspěvek na provoz od zřizovatele</w:t>
            </w:r>
          </w:p>
        </w:tc>
        <w:tc>
          <w:tcPr>
            <w:tcW w:w="16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4369F897" w14:textId="4B180245" w:rsidR="00BB72AD" w:rsidRPr="002A4370" w:rsidRDefault="00BB72AD" w:rsidP="00C90E3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Výnosy z prodeje dřeva</w:t>
            </w:r>
          </w:p>
        </w:tc>
      </w:tr>
      <w:tr w:rsidR="00BB72AD" w:rsidRPr="002A4370" w14:paraId="1CE6D3D1" w14:textId="77777777" w:rsidTr="004916DB">
        <w:trPr>
          <w:trHeight w:val="288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9ACA8" w14:textId="77777777" w:rsidR="00BB72AD" w:rsidRPr="002A4370" w:rsidRDefault="00BB72AD" w:rsidP="00C90E3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2A4370">
              <w:rPr>
                <w:rFonts w:ascii="Calibri" w:eastAsia="Times New Roman" w:hAnsi="Calibri" w:cs="Calibri"/>
                <w:color w:val="000000"/>
              </w:rPr>
              <w:t>Správa KRNAP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A93D" w14:textId="147DB347" w:rsidR="00BB72AD" w:rsidRPr="00E24BA9" w:rsidRDefault="0070369D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126 884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A98DB" w14:textId="333EF749" w:rsidR="00BB72AD" w:rsidRPr="0070369D" w:rsidRDefault="0070369D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104 588</w:t>
            </w:r>
          </w:p>
        </w:tc>
      </w:tr>
      <w:tr w:rsidR="00BB72AD" w:rsidRPr="002A4370" w14:paraId="505905E5" w14:textId="77777777" w:rsidTr="004916DB">
        <w:trPr>
          <w:trHeight w:val="288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ACA0" w14:textId="77777777" w:rsidR="00BB72AD" w:rsidRPr="002A4370" w:rsidRDefault="00BB72AD" w:rsidP="00C90E3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2A4370">
              <w:rPr>
                <w:rFonts w:ascii="Calibri" w:eastAsia="Times New Roman" w:hAnsi="Calibri" w:cs="Calibri"/>
                <w:color w:val="000000"/>
              </w:rPr>
              <w:t>Správa NP Šumava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5CB5" w14:textId="7BD0C43C" w:rsidR="00BB72AD" w:rsidRPr="00E24BA9" w:rsidRDefault="0070369D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147 900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0238" w14:textId="3459E42C" w:rsidR="00BB72AD" w:rsidRPr="0070369D" w:rsidRDefault="0070369D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313 902</w:t>
            </w:r>
          </w:p>
        </w:tc>
      </w:tr>
      <w:tr w:rsidR="00BB72AD" w:rsidRPr="002A4370" w14:paraId="06BBDB6C" w14:textId="77777777" w:rsidTr="004916DB">
        <w:trPr>
          <w:trHeight w:val="288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FD3C" w14:textId="77777777" w:rsidR="00BB72AD" w:rsidRPr="002A4370" w:rsidRDefault="00BB72AD" w:rsidP="00C90E3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2A4370">
              <w:rPr>
                <w:rFonts w:ascii="Calibri" w:eastAsia="Times New Roman" w:hAnsi="Calibri" w:cs="Calibri"/>
                <w:color w:val="000000"/>
              </w:rPr>
              <w:t>Správa NP Podyjí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68E83" w14:textId="2D9C3EBA" w:rsidR="00BB72AD" w:rsidRPr="00E24BA9" w:rsidRDefault="0070369D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30 480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81FE" w14:textId="21A82F2F" w:rsidR="00BB72AD" w:rsidRPr="0070369D" w:rsidRDefault="0070369D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9 505</w:t>
            </w:r>
          </w:p>
        </w:tc>
      </w:tr>
      <w:tr w:rsidR="00BB72AD" w:rsidRPr="002A4370" w14:paraId="56636A7F" w14:textId="77777777" w:rsidTr="004916DB">
        <w:trPr>
          <w:trHeight w:val="288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7228" w14:textId="77777777" w:rsidR="00BB72AD" w:rsidRPr="002A4370" w:rsidRDefault="00BB72AD" w:rsidP="00C90E3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2A4370">
              <w:rPr>
                <w:rFonts w:ascii="Calibri" w:eastAsia="Times New Roman" w:hAnsi="Calibri" w:cs="Calibri"/>
                <w:color w:val="000000"/>
              </w:rPr>
              <w:t>Správa NP České Švýcarsko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6404" w14:textId="4F48512B" w:rsidR="00BB72AD" w:rsidRPr="00E24BA9" w:rsidRDefault="0070369D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51 159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2855F" w14:textId="770B44D7" w:rsidR="00BB72AD" w:rsidRPr="0070369D" w:rsidRDefault="0070369D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60 148</w:t>
            </w:r>
          </w:p>
        </w:tc>
      </w:tr>
      <w:tr w:rsidR="00BB72AD" w:rsidRPr="002A4370" w14:paraId="513BCC66" w14:textId="77777777" w:rsidTr="004916DB">
        <w:trPr>
          <w:trHeight w:val="288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973F0" w14:textId="77777777" w:rsidR="00BB72AD" w:rsidRPr="002A4370" w:rsidRDefault="00BB72AD" w:rsidP="00C90E3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4370">
              <w:rPr>
                <w:rFonts w:ascii="Calibri" w:eastAsia="Times New Roman" w:hAnsi="Calibri" w:cs="Calibri"/>
                <w:b/>
                <w:bCs/>
                <w:color w:val="000000"/>
              </w:rPr>
              <w:t>Celkem</w:t>
            </w:r>
          </w:p>
        </w:tc>
        <w:tc>
          <w:tcPr>
            <w:tcW w:w="1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83F3" w14:textId="1E03510C" w:rsidR="00BB72AD" w:rsidRPr="004E2149" w:rsidRDefault="004E2149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4E2149">
              <w:rPr>
                <w:rFonts w:ascii="Calibri" w:eastAsia="Times New Roman" w:hAnsi="Calibri" w:cs="Calibri"/>
                <w:b/>
                <w:color w:val="000000"/>
              </w:rPr>
              <w:t>356 423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43AAD" w14:textId="7409DA86" w:rsidR="00BB72AD" w:rsidRPr="004E2149" w:rsidRDefault="004E2149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2149">
              <w:rPr>
                <w:rFonts w:ascii="Calibri" w:eastAsia="Times New Roman" w:hAnsi="Calibri" w:cs="Calibri"/>
                <w:b/>
                <w:bCs/>
                <w:color w:val="000000"/>
              </w:rPr>
              <w:t>488 143</w:t>
            </w:r>
          </w:p>
        </w:tc>
      </w:tr>
    </w:tbl>
    <w:p w14:paraId="7E1D3ED1" w14:textId="5F79EEEE" w:rsidR="00BB72AD" w:rsidRDefault="00BB72AD" w:rsidP="00C90E35">
      <w:pPr>
        <w:widowControl/>
        <w:spacing w:after="120"/>
        <w:jc w:val="both"/>
        <w:rPr>
          <w:rFonts w:ascii="Calibri" w:eastAsia="Calibri" w:hAnsi="Calibri" w:cs="Calibri"/>
        </w:rPr>
      </w:pPr>
      <w:r w:rsidRPr="00D02BB6">
        <w:rPr>
          <w:rFonts w:ascii="Calibri" w:eastAsia="Calibri" w:hAnsi="Calibri" w:cs="Calibri"/>
          <w:b/>
        </w:rPr>
        <w:t>Zdroj:</w:t>
      </w:r>
      <w:r w:rsidRPr="00D02BB6">
        <w:rPr>
          <w:rFonts w:ascii="Calibri" w:eastAsia="Calibri" w:hAnsi="Calibri" w:cs="Calibri"/>
        </w:rPr>
        <w:t xml:space="preserve"> </w:t>
      </w:r>
      <w:r w:rsidR="00816A50">
        <w:rPr>
          <w:rFonts w:ascii="Calibri" w:eastAsia="Calibri" w:hAnsi="Calibri" w:cs="Calibri"/>
        </w:rPr>
        <w:t>h</w:t>
      </w:r>
      <w:r w:rsidR="00D02BB6" w:rsidRPr="00D02BB6">
        <w:rPr>
          <w:rFonts w:ascii="Calibri" w:eastAsia="Calibri" w:hAnsi="Calibri" w:cs="Calibri"/>
        </w:rPr>
        <w:t>lavní</w:t>
      </w:r>
      <w:r w:rsidR="00D02BB6">
        <w:rPr>
          <w:rFonts w:ascii="Calibri" w:eastAsia="Calibri" w:hAnsi="Calibri" w:cs="Calibri"/>
        </w:rPr>
        <w:t xml:space="preserve"> knih</w:t>
      </w:r>
      <w:r w:rsidR="00816A50">
        <w:rPr>
          <w:rFonts w:ascii="Calibri" w:eastAsia="Calibri" w:hAnsi="Calibri" w:cs="Calibri"/>
        </w:rPr>
        <w:t>y</w:t>
      </w:r>
      <w:r w:rsidR="00D02BB6">
        <w:rPr>
          <w:rFonts w:ascii="Calibri" w:eastAsia="Calibri" w:hAnsi="Calibri" w:cs="Calibri"/>
        </w:rPr>
        <w:t xml:space="preserve"> za rok 2018 jednotlivých správ NP.</w:t>
      </w:r>
    </w:p>
    <w:p w14:paraId="7E1F7603" w14:textId="3A82F451" w:rsidR="004E2149" w:rsidRDefault="004E2149" w:rsidP="00C90E35">
      <w:pPr>
        <w:widowControl/>
        <w:spacing w:after="120"/>
        <w:jc w:val="both"/>
        <w:rPr>
          <w:rFonts w:ascii="Calibri" w:hAnsi="Calibri" w:cs="Calibri"/>
          <w:noProof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t>P</w:t>
      </w:r>
      <w:r w:rsidRPr="00621311">
        <w:rPr>
          <w:rFonts w:ascii="Calibri" w:hAnsi="Calibri" w:cs="Calibri"/>
          <w:noProof/>
          <w:sz w:val="24"/>
          <w:szCs w:val="24"/>
        </w:rPr>
        <w:t xml:space="preserve">říspěvek na provoz </w:t>
      </w:r>
      <w:r>
        <w:rPr>
          <w:rFonts w:ascii="Calibri" w:hAnsi="Calibri" w:cs="Calibri"/>
          <w:noProof/>
          <w:sz w:val="24"/>
          <w:szCs w:val="24"/>
        </w:rPr>
        <w:t xml:space="preserve">od zřizovatele </w:t>
      </w:r>
      <w:r w:rsidRPr="00621311">
        <w:rPr>
          <w:rFonts w:ascii="Calibri" w:hAnsi="Calibri" w:cs="Calibri"/>
          <w:noProof/>
          <w:sz w:val="24"/>
          <w:szCs w:val="24"/>
        </w:rPr>
        <w:t xml:space="preserve">všech správ </w:t>
      </w:r>
      <w:r>
        <w:rPr>
          <w:rFonts w:ascii="Calibri" w:hAnsi="Calibri" w:cs="Calibri"/>
          <w:noProof/>
          <w:sz w:val="24"/>
          <w:szCs w:val="24"/>
        </w:rPr>
        <w:t>NP</w:t>
      </w:r>
      <w:r w:rsidRPr="00621311">
        <w:rPr>
          <w:rFonts w:ascii="Calibri" w:hAnsi="Calibri" w:cs="Calibri"/>
          <w:noProof/>
          <w:sz w:val="24"/>
          <w:szCs w:val="24"/>
        </w:rPr>
        <w:t xml:space="preserve"> v roce 2018 činil 356 mil. Kč, tj. 32 % celkových výnosů.</w:t>
      </w:r>
      <w:r>
        <w:rPr>
          <w:rFonts w:ascii="Calibri" w:hAnsi="Calibri" w:cs="Calibri"/>
          <w:noProof/>
          <w:sz w:val="24"/>
          <w:szCs w:val="24"/>
        </w:rPr>
        <w:t xml:space="preserve"> V</w:t>
      </w:r>
      <w:r w:rsidRPr="00621311">
        <w:rPr>
          <w:rFonts w:ascii="Calibri" w:hAnsi="Calibri" w:cs="Calibri"/>
          <w:noProof/>
          <w:sz w:val="24"/>
          <w:szCs w:val="24"/>
        </w:rPr>
        <w:t xml:space="preserve">ýnosy z prodeje dřeva všech správ </w:t>
      </w:r>
      <w:r>
        <w:rPr>
          <w:rFonts w:ascii="Calibri" w:hAnsi="Calibri" w:cs="Calibri"/>
          <w:noProof/>
          <w:sz w:val="24"/>
          <w:szCs w:val="24"/>
        </w:rPr>
        <w:t>NP</w:t>
      </w:r>
      <w:r w:rsidRPr="00621311">
        <w:rPr>
          <w:rFonts w:ascii="Calibri" w:hAnsi="Calibri" w:cs="Calibri"/>
          <w:noProof/>
          <w:sz w:val="24"/>
          <w:szCs w:val="24"/>
        </w:rPr>
        <w:t xml:space="preserve"> v roce 2018 činily 488 mil</w:t>
      </w:r>
      <w:r>
        <w:rPr>
          <w:rFonts w:ascii="Calibri" w:hAnsi="Calibri" w:cs="Calibri"/>
          <w:noProof/>
          <w:sz w:val="24"/>
          <w:szCs w:val="24"/>
        </w:rPr>
        <w:t>. Kč, tj. 44 % celkových výnosů.</w:t>
      </w:r>
    </w:p>
    <w:p w14:paraId="040D1F7C" w14:textId="37D05FB2" w:rsidR="00195AE9" w:rsidRPr="0075030C" w:rsidRDefault="00195AE9" w:rsidP="00C90E35">
      <w:pPr>
        <w:widowControl/>
        <w:autoSpaceDE/>
        <w:autoSpaceDN/>
        <w:adjustRightInd/>
        <w:spacing w:before="120" w:after="120"/>
        <w:jc w:val="both"/>
        <w:rPr>
          <w:rFonts w:ascii="Calibri" w:hAnsi="Calibri" w:cs="Times New Roman"/>
          <w:sz w:val="24"/>
          <w:szCs w:val="24"/>
          <w:lang w:eastAsia="en-US"/>
        </w:rPr>
      </w:pPr>
      <w:r>
        <w:rPr>
          <w:rFonts w:ascii="Calibri" w:hAnsi="Calibri" w:cs="Times New Roman"/>
          <w:sz w:val="24"/>
          <w:szCs w:val="24"/>
          <w:lang w:eastAsia="en-US"/>
        </w:rPr>
        <w:t>Hospodaření</w:t>
      </w:r>
      <w:r w:rsidRPr="0075030C">
        <w:rPr>
          <w:rFonts w:ascii="Calibri" w:hAnsi="Calibri" w:cs="Times New Roman"/>
          <w:sz w:val="24"/>
          <w:szCs w:val="24"/>
          <w:lang w:eastAsia="en-US"/>
        </w:rPr>
        <w:t xml:space="preserve"> správ NP byl</w:t>
      </w:r>
      <w:r>
        <w:rPr>
          <w:rFonts w:ascii="Calibri" w:hAnsi="Calibri" w:cs="Times New Roman"/>
          <w:sz w:val="24"/>
          <w:szCs w:val="24"/>
          <w:lang w:eastAsia="en-US"/>
        </w:rPr>
        <w:t>o</w:t>
      </w:r>
      <w:r w:rsidRPr="0075030C">
        <w:rPr>
          <w:rFonts w:ascii="Calibri" w:hAnsi="Calibri" w:cs="Times New Roman"/>
          <w:sz w:val="24"/>
          <w:szCs w:val="24"/>
          <w:lang w:eastAsia="en-US"/>
        </w:rPr>
        <w:t xml:space="preserve"> v kontrolovaném období </w:t>
      </w:r>
      <w:r>
        <w:rPr>
          <w:rFonts w:ascii="Calibri" w:hAnsi="Calibri" w:cs="Times New Roman"/>
          <w:sz w:val="24"/>
          <w:szCs w:val="24"/>
          <w:lang w:eastAsia="en-US"/>
        </w:rPr>
        <w:t>financováno</w:t>
      </w:r>
      <w:r w:rsidR="004A0706">
        <w:rPr>
          <w:rFonts w:ascii="Calibri" w:hAnsi="Calibri" w:cs="Times New Roman"/>
          <w:sz w:val="24"/>
          <w:szCs w:val="24"/>
          <w:lang w:eastAsia="en-US"/>
        </w:rPr>
        <w:t xml:space="preserve"> příspěvkem na</w:t>
      </w:r>
      <w:r w:rsidR="00816A50">
        <w:rPr>
          <w:rFonts w:ascii="Calibri" w:hAnsi="Calibri" w:cs="Times New Roman"/>
          <w:sz w:val="24"/>
          <w:szCs w:val="24"/>
          <w:lang w:eastAsia="en-US"/>
        </w:rPr>
        <w:t xml:space="preserve"> </w:t>
      </w:r>
      <w:r w:rsidR="004A0706">
        <w:rPr>
          <w:rFonts w:ascii="Calibri" w:hAnsi="Calibri" w:cs="Times New Roman"/>
          <w:sz w:val="24"/>
          <w:szCs w:val="24"/>
          <w:lang w:eastAsia="en-US"/>
        </w:rPr>
        <w:t>provoz od</w:t>
      </w:r>
      <w:r w:rsidR="003D1A59">
        <w:rPr>
          <w:rFonts w:ascii="Calibri" w:hAnsi="Calibri" w:cs="Times New Roman"/>
          <w:sz w:val="24"/>
          <w:szCs w:val="24"/>
          <w:lang w:eastAsia="en-US"/>
        </w:rPr>
        <w:t xml:space="preserve"> </w:t>
      </w:r>
      <w:r w:rsidRPr="0075030C">
        <w:rPr>
          <w:rFonts w:ascii="Calibri" w:hAnsi="Calibri" w:cs="Times New Roman"/>
          <w:sz w:val="24"/>
          <w:szCs w:val="24"/>
          <w:lang w:eastAsia="en-US"/>
        </w:rPr>
        <w:t>zřizovatele, dotacemi (ze státního rozpočtu, z rozpočtu EU, z finančních mechanismů EHP a Norska) a vlastními zdroji správ NP. Příspěvek na provoz v podmínkách MŽP zahrnoval zejména příspěvek na činnost, příspěvek na</w:t>
      </w:r>
      <w:r w:rsidR="00816A50">
        <w:rPr>
          <w:rFonts w:ascii="Calibri" w:hAnsi="Calibri" w:cs="Times New Roman"/>
          <w:sz w:val="24"/>
          <w:szCs w:val="24"/>
          <w:lang w:eastAsia="en-US"/>
        </w:rPr>
        <w:t xml:space="preserve"> </w:t>
      </w:r>
      <w:r w:rsidRPr="0075030C">
        <w:rPr>
          <w:rFonts w:ascii="Calibri" w:hAnsi="Calibri" w:cs="Times New Roman"/>
          <w:sz w:val="24"/>
          <w:szCs w:val="24"/>
          <w:lang w:eastAsia="en-US"/>
        </w:rPr>
        <w:t>hospodaření v</w:t>
      </w:r>
      <w:r w:rsidR="00816A50">
        <w:rPr>
          <w:rFonts w:ascii="Calibri" w:hAnsi="Calibri" w:cs="Times New Roman"/>
          <w:sz w:val="24"/>
          <w:szCs w:val="24"/>
          <w:lang w:eastAsia="en-US"/>
        </w:rPr>
        <w:t> </w:t>
      </w:r>
      <w:r w:rsidR="004A0706">
        <w:rPr>
          <w:rFonts w:ascii="Calibri" w:hAnsi="Calibri" w:cs="Times New Roman"/>
          <w:sz w:val="24"/>
          <w:szCs w:val="24"/>
          <w:lang w:eastAsia="en-US"/>
        </w:rPr>
        <w:t>lesích</w:t>
      </w:r>
      <w:r w:rsidR="00816A50">
        <w:rPr>
          <w:rFonts w:ascii="Calibri" w:hAnsi="Calibri" w:cs="Times New Roman"/>
          <w:sz w:val="24"/>
          <w:szCs w:val="24"/>
          <w:lang w:eastAsia="en-US"/>
        </w:rPr>
        <w:t>,</w:t>
      </w:r>
      <w:r w:rsidR="004A0706">
        <w:rPr>
          <w:rFonts w:ascii="Calibri" w:hAnsi="Calibri" w:cs="Times New Roman"/>
          <w:sz w:val="24"/>
          <w:szCs w:val="24"/>
          <w:lang w:eastAsia="en-US"/>
        </w:rPr>
        <w:t xml:space="preserve"> finanční prostředky z </w:t>
      </w:r>
      <w:r w:rsidRPr="00883A95">
        <w:rPr>
          <w:rFonts w:ascii="Calibri" w:hAnsi="Calibri" w:cs="Times New Roman"/>
          <w:i/>
          <w:sz w:val="24"/>
          <w:szCs w:val="24"/>
          <w:lang w:eastAsia="en-US"/>
        </w:rPr>
        <w:t>Programu péče o krajinu</w:t>
      </w:r>
      <w:r w:rsidRPr="0075030C">
        <w:rPr>
          <w:rFonts w:ascii="Calibri" w:hAnsi="Calibri" w:cs="Times New Roman"/>
          <w:sz w:val="24"/>
          <w:szCs w:val="24"/>
          <w:lang w:eastAsia="en-US"/>
        </w:rPr>
        <w:t xml:space="preserve"> a finanční prostředky na</w:t>
      </w:r>
      <w:r w:rsidR="00816A50">
        <w:rPr>
          <w:rFonts w:ascii="Calibri" w:hAnsi="Calibri" w:cs="Times New Roman"/>
          <w:sz w:val="24"/>
          <w:szCs w:val="24"/>
          <w:lang w:eastAsia="en-US"/>
        </w:rPr>
        <w:t xml:space="preserve"> </w:t>
      </w:r>
      <w:r w:rsidRPr="0075030C">
        <w:rPr>
          <w:rFonts w:ascii="Calibri" w:hAnsi="Calibri" w:cs="Times New Roman"/>
          <w:sz w:val="24"/>
          <w:szCs w:val="24"/>
          <w:lang w:eastAsia="en-US"/>
        </w:rPr>
        <w:t>náhradu újmy za ztížení zemědělského nebo lesního hospod</w:t>
      </w:r>
      <w:r w:rsidR="00816A50">
        <w:rPr>
          <w:rFonts w:ascii="Calibri" w:hAnsi="Calibri" w:cs="Times New Roman"/>
          <w:sz w:val="24"/>
          <w:szCs w:val="24"/>
          <w:lang w:eastAsia="en-US"/>
        </w:rPr>
        <w:t>aření</w:t>
      </w:r>
      <w:r w:rsidRPr="0075030C">
        <w:rPr>
          <w:rFonts w:ascii="Calibri" w:hAnsi="Calibri" w:cs="Times New Roman"/>
          <w:sz w:val="24"/>
          <w:szCs w:val="24"/>
          <w:lang w:eastAsia="en-US"/>
        </w:rPr>
        <w:t xml:space="preserve">. </w:t>
      </w:r>
    </w:p>
    <w:p w14:paraId="067D86BB" w14:textId="720D7B0B" w:rsidR="00195AE9" w:rsidRPr="0075030C" w:rsidRDefault="00195AE9" w:rsidP="00C90E35">
      <w:pPr>
        <w:widowControl/>
        <w:autoSpaceDE/>
        <w:autoSpaceDN/>
        <w:adjustRightInd/>
        <w:spacing w:before="120" w:after="120"/>
        <w:jc w:val="both"/>
        <w:rPr>
          <w:rFonts w:ascii="Calibri" w:hAnsi="Calibri" w:cs="Times New Roman"/>
          <w:sz w:val="24"/>
          <w:szCs w:val="24"/>
          <w:lang w:eastAsia="en-US"/>
        </w:rPr>
      </w:pPr>
      <w:r w:rsidRPr="0075030C">
        <w:rPr>
          <w:rFonts w:ascii="Calibri" w:hAnsi="Calibri" w:cs="Times New Roman"/>
          <w:sz w:val="24"/>
          <w:szCs w:val="24"/>
          <w:lang w:eastAsia="en-US"/>
        </w:rPr>
        <w:t>Podrobný přehled o výši finančních prostředků, které MŽP poskytlo v kontrolovaném období jednotlivým správám NP v rámci finančních vztahů stanovených zřizovatelem dle zákona o rozpočtových pravidlech</w:t>
      </w:r>
      <w:r w:rsidRPr="0075030C">
        <w:rPr>
          <w:rStyle w:val="Znakapoznpodarou"/>
          <w:rFonts w:ascii="Calibri" w:hAnsi="Calibri"/>
          <w:sz w:val="24"/>
          <w:szCs w:val="24"/>
          <w:lang w:eastAsia="en-US"/>
        </w:rPr>
        <w:footnoteReference w:id="14"/>
      </w:r>
      <w:r w:rsidR="00816A50">
        <w:rPr>
          <w:rFonts w:ascii="Calibri" w:hAnsi="Calibri" w:cs="Times New Roman"/>
          <w:sz w:val="24"/>
          <w:szCs w:val="24"/>
          <w:lang w:eastAsia="en-US"/>
        </w:rPr>
        <w:t>,</w:t>
      </w:r>
      <w:r w:rsidR="005E4994">
        <w:rPr>
          <w:rFonts w:ascii="Calibri" w:hAnsi="Calibri" w:cs="Times New Roman"/>
          <w:sz w:val="24"/>
          <w:szCs w:val="24"/>
          <w:lang w:eastAsia="en-US"/>
        </w:rPr>
        <w:t xml:space="preserve"> je uveden v příloze č. 3</w:t>
      </w:r>
      <w:r w:rsidRPr="0075030C">
        <w:rPr>
          <w:rFonts w:ascii="Calibri" w:hAnsi="Calibri" w:cs="Times New Roman"/>
          <w:sz w:val="24"/>
          <w:szCs w:val="24"/>
          <w:lang w:eastAsia="en-US"/>
        </w:rPr>
        <w:t xml:space="preserve"> tohoto kontrolního závěru.</w:t>
      </w:r>
    </w:p>
    <w:p w14:paraId="26572492" w14:textId="5F500FCA" w:rsidR="00BB72AD" w:rsidRPr="00BB72AD" w:rsidRDefault="0070369D" w:rsidP="00C90E35">
      <w:pPr>
        <w:widowControl/>
        <w:autoSpaceDE/>
        <w:autoSpaceDN/>
        <w:adjustRightInd/>
        <w:spacing w:before="120" w:after="120"/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 xml:space="preserve">Hospodaření správ </w:t>
      </w:r>
      <w:r w:rsidR="00BB72AD" w:rsidRPr="00BB72AD">
        <w:rPr>
          <w:rFonts w:ascii="Calibri" w:hAnsi="Calibri" w:cs="Calibri"/>
          <w:sz w:val="24"/>
          <w:szCs w:val="24"/>
          <w:lang w:eastAsia="en-US"/>
        </w:rPr>
        <w:t>NP za rok 2018</w:t>
      </w:r>
      <w:r w:rsidR="00816A50">
        <w:rPr>
          <w:rFonts w:ascii="Calibri" w:hAnsi="Calibri" w:cs="Calibri"/>
          <w:sz w:val="24"/>
          <w:szCs w:val="24"/>
          <w:lang w:eastAsia="en-US"/>
        </w:rPr>
        <w:t>,</w:t>
      </w:r>
      <w:r w:rsidR="00BB72AD" w:rsidRPr="00BB72AD">
        <w:rPr>
          <w:rFonts w:ascii="Calibri" w:hAnsi="Calibri" w:cs="Calibri"/>
          <w:sz w:val="24"/>
          <w:szCs w:val="24"/>
          <w:lang w:eastAsia="en-US"/>
        </w:rPr>
        <w:t xml:space="preserve"> uvedené </w:t>
      </w:r>
      <w:r w:rsidR="004E2149">
        <w:rPr>
          <w:rFonts w:ascii="Calibri" w:hAnsi="Calibri" w:cs="Calibri"/>
          <w:sz w:val="24"/>
          <w:szCs w:val="24"/>
          <w:lang w:eastAsia="en-US"/>
        </w:rPr>
        <w:t>v tabul</w:t>
      </w:r>
      <w:r w:rsidR="00195AE9">
        <w:rPr>
          <w:rFonts w:ascii="Calibri" w:hAnsi="Calibri" w:cs="Calibri"/>
          <w:sz w:val="24"/>
          <w:szCs w:val="24"/>
          <w:lang w:eastAsia="en-US"/>
        </w:rPr>
        <w:t>ce č. 3</w:t>
      </w:r>
      <w:r w:rsidR="00816A50">
        <w:rPr>
          <w:rFonts w:ascii="Calibri" w:hAnsi="Calibri" w:cs="Calibri"/>
          <w:sz w:val="24"/>
          <w:szCs w:val="24"/>
          <w:lang w:eastAsia="en-US"/>
        </w:rPr>
        <w:t>,</w:t>
      </w:r>
      <w:r w:rsidR="00BB72AD" w:rsidRPr="00BB72AD">
        <w:rPr>
          <w:rFonts w:ascii="Calibri" w:hAnsi="Calibri" w:cs="Calibri"/>
          <w:sz w:val="24"/>
          <w:szCs w:val="24"/>
          <w:lang w:eastAsia="en-US"/>
        </w:rPr>
        <w:t xml:space="preserve"> skončilo ziskem (po zdanění) v </w:t>
      </w:r>
      <w:r w:rsidR="00BB72AD" w:rsidRPr="00D73402">
        <w:rPr>
          <w:rFonts w:ascii="Calibri" w:hAnsi="Calibri" w:cs="Calibri"/>
          <w:sz w:val="24"/>
          <w:szCs w:val="24"/>
          <w:lang w:eastAsia="en-US"/>
        </w:rPr>
        <w:t xml:space="preserve">celkové výši </w:t>
      </w:r>
      <w:r w:rsidR="00D02BB6" w:rsidRPr="00D73402">
        <w:rPr>
          <w:rFonts w:ascii="Calibri" w:hAnsi="Calibri" w:cs="Calibri"/>
          <w:sz w:val="24"/>
          <w:szCs w:val="24"/>
          <w:lang w:eastAsia="en-US"/>
        </w:rPr>
        <w:t>23 063 tis. Kč (hlavní činnost 22 474</w:t>
      </w:r>
      <w:r w:rsidR="00BB72AD" w:rsidRPr="00D73402">
        <w:rPr>
          <w:rFonts w:ascii="Calibri" w:hAnsi="Calibri" w:cs="Calibri"/>
          <w:sz w:val="24"/>
          <w:szCs w:val="24"/>
          <w:lang w:eastAsia="en-US"/>
        </w:rPr>
        <w:t xml:space="preserve"> tis.</w:t>
      </w:r>
      <w:r w:rsidR="00D02BB6" w:rsidRPr="00D73402">
        <w:rPr>
          <w:rFonts w:ascii="Calibri" w:hAnsi="Calibri" w:cs="Calibri"/>
          <w:sz w:val="24"/>
          <w:szCs w:val="24"/>
          <w:lang w:eastAsia="en-US"/>
        </w:rPr>
        <w:t xml:space="preserve"> Kč, hospodářská činnost 589</w:t>
      </w:r>
      <w:r w:rsidRPr="00D73402">
        <w:rPr>
          <w:rFonts w:ascii="Calibri" w:hAnsi="Calibri" w:cs="Calibri"/>
          <w:sz w:val="24"/>
          <w:szCs w:val="24"/>
          <w:lang w:eastAsia="en-US"/>
        </w:rPr>
        <w:t> </w:t>
      </w:r>
      <w:r w:rsidR="00BB72AD" w:rsidRPr="00D73402">
        <w:rPr>
          <w:rFonts w:ascii="Calibri" w:hAnsi="Calibri" w:cs="Calibri"/>
          <w:sz w:val="24"/>
          <w:szCs w:val="24"/>
          <w:lang w:eastAsia="en-US"/>
        </w:rPr>
        <w:t>tis. Kč).</w:t>
      </w:r>
    </w:p>
    <w:p w14:paraId="7822C775" w14:textId="3229FB42" w:rsidR="00BB72AD" w:rsidRPr="001221DA" w:rsidRDefault="00BB72AD" w:rsidP="00C90E35">
      <w:pPr>
        <w:pStyle w:val="Titulek"/>
        <w:tabs>
          <w:tab w:val="right" w:pos="9072"/>
        </w:tabs>
        <w:spacing w:after="0"/>
        <w:rPr>
          <w:rFonts w:cstheme="minorHAnsi"/>
          <w:b/>
          <w:i w:val="0"/>
        </w:rPr>
      </w:pPr>
      <w:r w:rsidRPr="00D02BB6">
        <w:rPr>
          <w:rFonts w:cstheme="minorHAnsi"/>
          <w:b/>
          <w:i w:val="0"/>
          <w:color w:val="auto"/>
          <w:sz w:val="24"/>
          <w:szCs w:val="24"/>
        </w:rPr>
        <w:t xml:space="preserve">Tabulka č. </w:t>
      </w:r>
      <w:r w:rsidR="00195AE9">
        <w:rPr>
          <w:rFonts w:cstheme="minorHAnsi"/>
          <w:b/>
          <w:i w:val="0"/>
          <w:color w:val="auto"/>
          <w:sz w:val="24"/>
          <w:szCs w:val="24"/>
        </w:rPr>
        <w:t>3</w:t>
      </w:r>
      <w:r w:rsidRPr="00D02BB6">
        <w:rPr>
          <w:rFonts w:cstheme="minorHAnsi"/>
          <w:b/>
          <w:i w:val="0"/>
          <w:color w:val="auto"/>
          <w:sz w:val="24"/>
          <w:szCs w:val="24"/>
        </w:rPr>
        <w:t xml:space="preserve">: Hospodaření správ NP za rok 2018 </w:t>
      </w:r>
      <w:r w:rsidR="001221DA">
        <w:rPr>
          <w:rFonts w:cstheme="minorHAnsi"/>
          <w:b/>
          <w:i w:val="0"/>
          <w:color w:val="auto"/>
          <w:sz w:val="24"/>
          <w:szCs w:val="24"/>
        </w:rPr>
        <w:tab/>
      </w:r>
      <w:r w:rsidRPr="00D02BB6">
        <w:rPr>
          <w:rFonts w:cstheme="minorHAnsi"/>
          <w:b/>
          <w:i w:val="0"/>
          <w:color w:val="auto"/>
          <w:sz w:val="24"/>
          <w:szCs w:val="24"/>
        </w:rPr>
        <w:t>(v tis. Kč)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9"/>
        <w:gridCol w:w="3123"/>
      </w:tblGrid>
      <w:tr w:rsidR="00BB72AD" w14:paraId="405C683A" w14:textId="77777777" w:rsidTr="00BB72AD">
        <w:trPr>
          <w:trHeight w:val="652"/>
        </w:trPr>
        <w:tc>
          <w:tcPr>
            <w:tcW w:w="3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694ACC36" w14:textId="52C253E1" w:rsidR="00BB72AD" w:rsidRDefault="00BB72AD" w:rsidP="00C90E35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Správa NP</w:t>
            </w:r>
          </w:p>
        </w:tc>
        <w:tc>
          <w:tcPr>
            <w:tcW w:w="1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5F1FF"/>
            <w:vAlign w:val="center"/>
            <w:hideMark/>
          </w:tcPr>
          <w:p w14:paraId="6736E783" w14:textId="00CAC5E4" w:rsidR="00BB72AD" w:rsidRDefault="00BB72AD" w:rsidP="00C90E35"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Výsledek hospodaření celkem (hlavní a hospodářská činnost)</w:t>
            </w:r>
          </w:p>
        </w:tc>
      </w:tr>
      <w:tr w:rsidR="00BB72AD" w:rsidRPr="00D73402" w14:paraId="2479D699" w14:textId="77777777" w:rsidTr="00BB72AD">
        <w:trPr>
          <w:trHeight w:val="300"/>
        </w:trPr>
        <w:tc>
          <w:tcPr>
            <w:tcW w:w="3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75888" w14:textId="77777777" w:rsidR="00BB72AD" w:rsidRDefault="00BB72AD" w:rsidP="00C90E35">
            <w:pPr>
              <w:widowControl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Správa KRNAP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615C" w14:textId="67FCFE69" w:rsidR="00BB72AD" w:rsidRPr="00D73402" w:rsidRDefault="00BB72AD" w:rsidP="00883A95">
            <w:pPr>
              <w:widowControl/>
              <w:ind w:right="57"/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D73402">
              <w:rPr>
                <w:rFonts w:ascii="Calibri" w:hAnsi="Calibri" w:cs="Calibri"/>
                <w:bCs/>
                <w:color w:val="000000"/>
              </w:rPr>
              <w:t xml:space="preserve">5 </w:t>
            </w:r>
            <w:r w:rsidR="00D02BB6" w:rsidRPr="00D73402">
              <w:rPr>
                <w:rFonts w:ascii="Calibri" w:hAnsi="Calibri" w:cs="Calibri"/>
                <w:bCs/>
                <w:color w:val="000000"/>
              </w:rPr>
              <w:t>100</w:t>
            </w:r>
          </w:p>
        </w:tc>
      </w:tr>
      <w:tr w:rsidR="00BB72AD" w:rsidRPr="00D73402" w14:paraId="17E4101B" w14:textId="77777777" w:rsidTr="00BB72AD">
        <w:trPr>
          <w:trHeight w:val="300"/>
        </w:trPr>
        <w:tc>
          <w:tcPr>
            <w:tcW w:w="3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A6CB1" w14:textId="77777777" w:rsidR="00BB72AD" w:rsidRDefault="00BB72AD" w:rsidP="00C90E35">
            <w:pPr>
              <w:widowControl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Správa NP Podyjí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D3CD" w14:textId="7BDD5E20" w:rsidR="00BB72AD" w:rsidRPr="00D73402" w:rsidRDefault="00D02BB6" w:rsidP="00883A95">
            <w:pPr>
              <w:widowControl/>
              <w:ind w:right="57"/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D73402">
              <w:rPr>
                <w:rFonts w:ascii="Calibri" w:hAnsi="Calibri" w:cs="Calibri"/>
                <w:bCs/>
                <w:color w:val="000000"/>
              </w:rPr>
              <w:t>181</w:t>
            </w:r>
          </w:p>
        </w:tc>
      </w:tr>
      <w:tr w:rsidR="00BB72AD" w:rsidRPr="00D73402" w14:paraId="4E6DC544" w14:textId="77777777" w:rsidTr="00BB72AD">
        <w:trPr>
          <w:trHeight w:val="300"/>
        </w:trPr>
        <w:tc>
          <w:tcPr>
            <w:tcW w:w="3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A8ADE" w14:textId="77777777" w:rsidR="00BB72AD" w:rsidRDefault="00BB72AD" w:rsidP="00C90E35">
            <w:pPr>
              <w:widowControl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Správa NP Šumava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9437" w14:textId="4B43CBA7" w:rsidR="00BB72AD" w:rsidRPr="00D73402" w:rsidRDefault="00D02BB6" w:rsidP="00883A95">
            <w:pPr>
              <w:widowControl/>
              <w:ind w:right="57"/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D73402">
              <w:rPr>
                <w:rFonts w:ascii="Calibri" w:hAnsi="Calibri" w:cs="Calibri"/>
                <w:bCs/>
                <w:color w:val="000000"/>
              </w:rPr>
              <w:t>4 021</w:t>
            </w:r>
          </w:p>
        </w:tc>
      </w:tr>
      <w:tr w:rsidR="00BB72AD" w:rsidRPr="00D73402" w14:paraId="7C182EC4" w14:textId="77777777" w:rsidTr="00BB72AD">
        <w:trPr>
          <w:trHeight w:val="300"/>
        </w:trPr>
        <w:tc>
          <w:tcPr>
            <w:tcW w:w="3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5AB63" w14:textId="77777777" w:rsidR="00BB72AD" w:rsidRDefault="00BB72AD" w:rsidP="00C90E35">
            <w:pPr>
              <w:widowControl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Správa NP České Švýcarsko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5539" w14:textId="7918F8F2" w:rsidR="00BB72AD" w:rsidRPr="00D73402" w:rsidRDefault="00D02BB6" w:rsidP="00883A95">
            <w:pPr>
              <w:widowControl/>
              <w:ind w:right="57"/>
              <w:jc w:val="right"/>
              <w:rPr>
                <w:rFonts w:ascii="Calibri" w:hAnsi="Calibri" w:cs="Calibri"/>
                <w:bCs/>
                <w:color w:val="000000"/>
              </w:rPr>
            </w:pPr>
            <w:r w:rsidRPr="00D73402">
              <w:rPr>
                <w:rFonts w:ascii="Calibri" w:hAnsi="Calibri" w:cs="Calibri"/>
                <w:bCs/>
                <w:color w:val="000000"/>
              </w:rPr>
              <w:t>13 761</w:t>
            </w:r>
          </w:p>
        </w:tc>
      </w:tr>
      <w:tr w:rsidR="00BB72AD" w:rsidRPr="00D73402" w14:paraId="71385475" w14:textId="77777777" w:rsidTr="00BB72AD">
        <w:trPr>
          <w:trHeight w:val="300"/>
        </w:trPr>
        <w:tc>
          <w:tcPr>
            <w:tcW w:w="32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04D9" w14:textId="77777777" w:rsidR="00BB72AD" w:rsidRDefault="00BB72AD" w:rsidP="00C90E35">
            <w:pPr>
              <w:widowControl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Celkem</w:t>
            </w:r>
          </w:p>
        </w:tc>
        <w:tc>
          <w:tcPr>
            <w:tcW w:w="1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7D9A" w14:textId="6715CBB8" w:rsidR="00BB72AD" w:rsidRPr="00D73402" w:rsidRDefault="00D02BB6" w:rsidP="00883A95">
            <w:pPr>
              <w:widowControl/>
              <w:ind w:right="57"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D73402">
              <w:rPr>
                <w:rFonts w:ascii="Calibri" w:hAnsi="Calibri" w:cs="Calibri"/>
                <w:b/>
                <w:bCs/>
                <w:color w:val="000000"/>
              </w:rPr>
              <w:t>23 063</w:t>
            </w:r>
          </w:p>
        </w:tc>
      </w:tr>
    </w:tbl>
    <w:p w14:paraId="1A05C092" w14:textId="4FF4065B" w:rsidR="0075030C" w:rsidRPr="00195AE9" w:rsidRDefault="00BB72AD" w:rsidP="00C90E35">
      <w:pPr>
        <w:widowControl/>
        <w:rPr>
          <w:rFonts w:asciiTheme="minorHAnsi" w:hAnsiTheme="minorHAnsi" w:cstheme="minorHAnsi"/>
          <w:color w:val="000000"/>
        </w:rPr>
      </w:pPr>
      <w:r w:rsidRPr="00F9737E">
        <w:rPr>
          <w:rFonts w:asciiTheme="minorHAnsi" w:hAnsiTheme="minorHAnsi" w:cstheme="minorHAnsi"/>
          <w:b/>
          <w:color w:val="000000"/>
        </w:rPr>
        <w:t>Zdroj:</w:t>
      </w:r>
      <w:r>
        <w:rPr>
          <w:rFonts w:asciiTheme="minorHAnsi" w:hAnsiTheme="minorHAnsi" w:cstheme="minorHAnsi"/>
          <w:color w:val="000000"/>
        </w:rPr>
        <w:t xml:space="preserve"> </w:t>
      </w:r>
      <w:r w:rsidR="00816A50">
        <w:rPr>
          <w:rFonts w:ascii="Calibri" w:eastAsia="Calibri" w:hAnsi="Calibri" w:cs="Calibri"/>
        </w:rPr>
        <w:t>v</w:t>
      </w:r>
      <w:r w:rsidR="00AD7D19" w:rsidRPr="0070369D">
        <w:rPr>
          <w:rFonts w:ascii="Calibri" w:eastAsia="Calibri" w:hAnsi="Calibri" w:cs="Calibri"/>
        </w:rPr>
        <w:t>ýkaz</w:t>
      </w:r>
      <w:r w:rsidR="00816A50">
        <w:rPr>
          <w:rFonts w:ascii="Calibri" w:eastAsia="Calibri" w:hAnsi="Calibri" w:cs="Calibri"/>
        </w:rPr>
        <w:t>y</w:t>
      </w:r>
      <w:r w:rsidR="00AD7D19" w:rsidRPr="0070369D">
        <w:rPr>
          <w:rFonts w:ascii="Calibri" w:eastAsia="Calibri" w:hAnsi="Calibri" w:cs="Calibri"/>
        </w:rPr>
        <w:t xml:space="preserve"> zisku a ztráty </w:t>
      </w:r>
      <w:r w:rsidR="00D73402">
        <w:rPr>
          <w:rFonts w:ascii="Calibri" w:eastAsia="Calibri" w:hAnsi="Calibri" w:cs="Calibri"/>
        </w:rPr>
        <w:t xml:space="preserve">k 31. 12. 2018 </w:t>
      </w:r>
      <w:r w:rsidR="00AD7D19" w:rsidRPr="0070369D">
        <w:rPr>
          <w:rFonts w:ascii="Calibri" w:eastAsia="Calibri" w:hAnsi="Calibri" w:cs="Calibri"/>
        </w:rPr>
        <w:t>jednotlivých správ NP</w:t>
      </w:r>
      <w:r w:rsidR="00803AF3">
        <w:rPr>
          <w:rFonts w:asciiTheme="minorHAnsi" w:hAnsiTheme="minorHAnsi" w:cstheme="minorHAnsi"/>
          <w:color w:val="000000"/>
        </w:rPr>
        <w:t>.</w:t>
      </w:r>
    </w:p>
    <w:p w14:paraId="4E169F95" w14:textId="5E6B2602" w:rsidR="007A255B" w:rsidRPr="00D663E1" w:rsidRDefault="007A255B" w:rsidP="00C90E35">
      <w:pPr>
        <w:widowControl/>
        <w:autoSpaceDE/>
        <w:autoSpaceDN/>
        <w:adjustRightInd/>
        <w:spacing w:before="240" w:after="120"/>
        <w:jc w:val="both"/>
        <w:rPr>
          <w:rFonts w:ascii="Calibri" w:eastAsia="Calibri" w:hAnsi="Calibri" w:cs="Calibri"/>
          <w:b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sz w:val="24"/>
          <w:szCs w:val="24"/>
          <w:lang w:eastAsia="en-US"/>
        </w:rPr>
        <w:t>1</w:t>
      </w:r>
      <w:r w:rsidRPr="00D663E1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. </w:t>
      </w:r>
      <w:r w:rsidR="005E7609">
        <w:rPr>
          <w:rFonts w:ascii="Calibri" w:eastAsia="Calibri" w:hAnsi="Calibri" w:cs="Calibri"/>
          <w:b/>
          <w:sz w:val="24"/>
          <w:szCs w:val="24"/>
          <w:lang w:eastAsia="en-US"/>
        </w:rPr>
        <w:t>Nedostatky v</w:t>
      </w:r>
      <w:r w:rsidRPr="00D663E1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hospodaření správ NP</w:t>
      </w:r>
    </w:p>
    <w:p w14:paraId="54F4F038" w14:textId="77777777" w:rsidR="007A255B" w:rsidRPr="004A0D6A" w:rsidRDefault="007A255B" w:rsidP="00C90E35">
      <w:pPr>
        <w:widowControl/>
        <w:autoSpaceDE/>
        <w:autoSpaceDN/>
        <w:adjustRightInd/>
        <w:spacing w:before="240" w:after="12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922C09">
        <w:rPr>
          <w:rFonts w:ascii="Calibri" w:eastAsia="Calibri" w:hAnsi="Calibri" w:cs="Calibri"/>
          <w:sz w:val="24"/>
          <w:szCs w:val="24"/>
          <w:lang w:eastAsia="en-US"/>
        </w:rPr>
        <w:t>NKÚ při kontrole vybraného vzorku posuzoval</w:t>
      </w:r>
      <w:r>
        <w:rPr>
          <w:rFonts w:ascii="Calibri" w:eastAsia="Calibri" w:hAnsi="Calibri" w:cs="Calibri"/>
          <w:sz w:val="24"/>
          <w:szCs w:val="24"/>
          <w:lang w:eastAsia="en-US"/>
        </w:rPr>
        <w:t>, zda spr</w:t>
      </w:r>
      <w:r w:rsidR="00680683">
        <w:rPr>
          <w:rFonts w:ascii="Calibri" w:eastAsia="Calibri" w:hAnsi="Calibri" w:cs="Calibri"/>
          <w:sz w:val="24"/>
          <w:szCs w:val="24"/>
          <w:lang w:eastAsia="en-US"/>
        </w:rPr>
        <w:t>ávy NP hospodařily s majetkem a </w:t>
      </w:r>
      <w:r>
        <w:rPr>
          <w:rFonts w:ascii="Calibri" w:eastAsia="Calibri" w:hAnsi="Calibri" w:cs="Calibri"/>
          <w:sz w:val="24"/>
          <w:szCs w:val="24"/>
          <w:lang w:eastAsia="en-US"/>
        </w:rPr>
        <w:t>peněžními prostředky státu účelně, hospodárně a v souladu s právními předpisy.</w:t>
      </w:r>
    </w:p>
    <w:p w14:paraId="53B06D0F" w14:textId="5FA4B0F7" w:rsidR="007A255B" w:rsidRPr="004A0D6A" w:rsidRDefault="007A255B" w:rsidP="00C90E35">
      <w:pPr>
        <w:widowControl/>
        <w:autoSpaceDE/>
        <w:autoSpaceDN/>
        <w:adjustRightInd/>
        <w:spacing w:after="12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4A0D6A">
        <w:rPr>
          <w:rFonts w:ascii="Calibri" w:eastAsia="Calibri" w:hAnsi="Calibri" w:cs="Calibri"/>
          <w:sz w:val="24"/>
          <w:szCs w:val="24"/>
          <w:lang w:eastAsia="en-US"/>
        </w:rPr>
        <w:t>Kontrola NKÚ zjistila</w:t>
      </w:r>
      <w:r w:rsidR="00816A50">
        <w:rPr>
          <w:rFonts w:ascii="Calibri" w:eastAsia="Calibri" w:hAnsi="Calibri" w:cs="Calibri"/>
          <w:sz w:val="24"/>
          <w:szCs w:val="24"/>
          <w:lang w:eastAsia="en-US"/>
        </w:rPr>
        <w:t xml:space="preserve"> tyto skutečnosti</w:t>
      </w:r>
      <w:r w:rsidRPr="004A0D6A">
        <w:rPr>
          <w:rFonts w:ascii="Calibri" w:eastAsia="Calibri" w:hAnsi="Calibri" w:cs="Calibri"/>
          <w:sz w:val="24"/>
          <w:szCs w:val="24"/>
          <w:lang w:eastAsia="en-US"/>
        </w:rPr>
        <w:t>:</w:t>
      </w:r>
    </w:p>
    <w:p w14:paraId="3254B4B0" w14:textId="52103EEA" w:rsidR="007A255B" w:rsidRPr="00922C09" w:rsidRDefault="007A255B" w:rsidP="00C90E35">
      <w:pPr>
        <w:pStyle w:val="Odstavecseseznamem"/>
        <w:widowControl/>
        <w:numPr>
          <w:ilvl w:val="0"/>
          <w:numId w:val="6"/>
        </w:numPr>
        <w:autoSpaceDE/>
        <w:autoSpaceDN/>
        <w:adjustRightInd/>
        <w:spacing w:after="12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A73E9F">
        <w:rPr>
          <w:rFonts w:ascii="Calibri" w:eastAsia="Calibri" w:hAnsi="Calibri" w:cs="Calibri"/>
          <w:sz w:val="24"/>
          <w:szCs w:val="24"/>
          <w:lang w:eastAsia="en-US"/>
        </w:rPr>
        <w:t>Správa KRNAP přenechala nájemci do nájmu pozemky za účelem umístění la</w:t>
      </w:r>
      <w:r w:rsidR="00680683">
        <w:rPr>
          <w:rFonts w:ascii="Calibri" w:eastAsia="Calibri" w:hAnsi="Calibri" w:cs="Calibri"/>
          <w:sz w:val="24"/>
          <w:szCs w:val="24"/>
          <w:lang w:eastAsia="en-US"/>
        </w:rPr>
        <w:t>novky a</w:t>
      </w:r>
      <w:r w:rsidR="001B7F52">
        <w:rPr>
          <w:rFonts w:ascii="Calibri" w:eastAsia="Calibri" w:hAnsi="Calibri" w:cs="Calibri"/>
          <w:sz w:val="24"/>
          <w:szCs w:val="24"/>
          <w:lang w:eastAsia="en-US"/>
        </w:rPr>
        <w:t> </w:t>
      </w:r>
      <w:r w:rsidRPr="00A73E9F">
        <w:rPr>
          <w:rFonts w:ascii="Calibri" w:eastAsia="Calibri" w:hAnsi="Calibri" w:cs="Calibri"/>
          <w:sz w:val="24"/>
          <w:szCs w:val="24"/>
          <w:lang w:eastAsia="en-US"/>
        </w:rPr>
        <w:t>sjezdovky o celkové výměře 193 315 m</w:t>
      </w:r>
      <w:r w:rsidRPr="00A73E9F">
        <w:rPr>
          <w:rFonts w:ascii="Calibri" w:eastAsia="Calibri" w:hAnsi="Calibri" w:cs="Calibri"/>
          <w:sz w:val="24"/>
          <w:szCs w:val="24"/>
          <w:vertAlign w:val="superscript"/>
          <w:lang w:eastAsia="en-US"/>
        </w:rPr>
        <w:t>2</w:t>
      </w:r>
      <w:r w:rsidRPr="00A73E9F">
        <w:rPr>
          <w:rFonts w:ascii="Calibri" w:eastAsia="Calibri" w:hAnsi="Calibri" w:cs="Calibri"/>
          <w:sz w:val="24"/>
          <w:szCs w:val="24"/>
          <w:lang w:eastAsia="en-US"/>
        </w:rPr>
        <w:t>. Roční nájemné účinné od 1. 1. 2018 stanovila Správa KRNAP ve výši 1 848 490 Kč. Stanovené nájemné neodpovídalo výměře pronajímaných pozemků a stanoveným sazbám uvedený</w:t>
      </w:r>
      <w:r w:rsidR="007E0A54">
        <w:rPr>
          <w:rFonts w:ascii="Calibri" w:eastAsia="Calibri" w:hAnsi="Calibri" w:cs="Calibri"/>
          <w:sz w:val="24"/>
          <w:szCs w:val="24"/>
          <w:lang w:eastAsia="en-US"/>
        </w:rPr>
        <w:t>m</w:t>
      </w:r>
      <w:r w:rsidRPr="00A73E9F">
        <w:rPr>
          <w:rFonts w:ascii="Calibri" w:eastAsia="Calibri" w:hAnsi="Calibri" w:cs="Calibri"/>
          <w:sz w:val="24"/>
          <w:szCs w:val="24"/>
          <w:lang w:eastAsia="en-US"/>
        </w:rPr>
        <w:t xml:space="preserve"> v nájemní smlouvě. Nájemné mělo činit 2 709 830 Kč. Správa KRNAP stanovila nájemné </w:t>
      </w:r>
      <w:r w:rsidRPr="0026625D">
        <w:rPr>
          <w:rFonts w:ascii="Calibri" w:eastAsia="Calibri" w:hAnsi="Calibri" w:cs="Calibri"/>
          <w:sz w:val="24"/>
          <w:szCs w:val="24"/>
          <w:lang w:eastAsia="en-US"/>
        </w:rPr>
        <w:t>o 861</w:t>
      </w:r>
      <w:r w:rsidRPr="00A73E9F">
        <w:rPr>
          <w:rFonts w:ascii="Calibri" w:eastAsia="Calibri" w:hAnsi="Calibri" w:cs="Calibri"/>
          <w:sz w:val="24"/>
          <w:szCs w:val="24"/>
          <w:lang w:eastAsia="en-US"/>
        </w:rPr>
        <w:t> 340 Kč nižší.</w:t>
      </w:r>
      <w:r w:rsidR="00042D15" w:rsidRPr="00042D15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922C09">
        <w:rPr>
          <w:rFonts w:ascii="Calibri" w:eastAsia="Calibri" w:hAnsi="Calibri" w:cs="Calibri"/>
          <w:sz w:val="24"/>
          <w:szCs w:val="24"/>
          <w:lang w:eastAsia="en-US"/>
        </w:rPr>
        <w:lastRenderedPageBreak/>
        <w:t xml:space="preserve">Dále </w:t>
      </w:r>
      <w:r w:rsidR="00042D15" w:rsidRPr="00A73E9F">
        <w:rPr>
          <w:rFonts w:ascii="Calibri" w:eastAsia="Calibri" w:hAnsi="Calibri" w:cs="Calibri"/>
          <w:sz w:val="24"/>
          <w:szCs w:val="24"/>
          <w:lang w:eastAsia="en-US"/>
        </w:rPr>
        <w:t>Spr</w:t>
      </w:r>
      <w:r w:rsidR="00042D15">
        <w:rPr>
          <w:rFonts w:ascii="Calibri" w:eastAsia="Calibri" w:hAnsi="Calibri" w:cs="Calibri"/>
          <w:sz w:val="24"/>
          <w:szCs w:val="24"/>
          <w:lang w:eastAsia="en-US"/>
        </w:rPr>
        <w:t xml:space="preserve">áva </w:t>
      </w:r>
      <w:r w:rsidR="00042D15" w:rsidRPr="00922C09">
        <w:rPr>
          <w:rFonts w:ascii="Calibri" w:eastAsia="Calibri" w:hAnsi="Calibri" w:cs="Calibri"/>
          <w:sz w:val="24"/>
          <w:szCs w:val="24"/>
          <w:lang w:eastAsia="en-US"/>
        </w:rPr>
        <w:t>KRNAP nevyměřila za rok 2018 nájemn</w:t>
      </w:r>
      <w:r w:rsidR="00922C09" w:rsidRPr="00922C09">
        <w:rPr>
          <w:rFonts w:ascii="Calibri" w:eastAsia="Calibri" w:hAnsi="Calibri" w:cs="Calibri"/>
          <w:sz w:val="24"/>
          <w:szCs w:val="24"/>
          <w:lang w:eastAsia="en-US"/>
        </w:rPr>
        <w:t>é u dvou pozemků v částce 9 334 </w:t>
      </w:r>
      <w:r w:rsidR="00042D15" w:rsidRPr="00922C09">
        <w:rPr>
          <w:rFonts w:ascii="Calibri" w:eastAsia="Calibri" w:hAnsi="Calibri" w:cs="Calibri"/>
          <w:sz w:val="24"/>
          <w:szCs w:val="24"/>
          <w:lang w:eastAsia="en-US"/>
        </w:rPr>
        <w:t>Kč.</w:t>
      </w:r>
    </w:p>
    <w:p w14:paraId="76A48E6A" w14:textId="4CFE3F5B" w:rsidR="007A255B" w:rsidRPr="00FD3031" w:rsidRDefault="007A255B" w:rsidP="00C90E35">
      <w:pPr>
        <w:pStyle w:val="Odstavecseseznamem"/>
        <w:widowControl/>
        <w:autoSpaceDE/>
        <w:autoSpaceDN/>
        <w:adjustRightInd/>
        <w:spacing w:after="12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922C09">
        <w:rPr>
          <w:rFonts w:ascii="Calibri" w:eastAsia="Calibri" w:hAnsi="Calibri" w:cs="Calibri"/>
          <w:sz w:val="24"/>
          <w:szCs w:val="24"/>
          <w:lang w:eastAsia="en-US"/>
        </w:rPr>
        <w:t>Správa KRNAP tak sjednala roční nájemné za</w:t>
      </w:r>
      <w:r w:rsidR="0094582E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922C09">
        <w:rPr>
          <w:rFonts w:ascii="Calibri" w:eastAsia="Calibri" w:hAnsi="Calibri" w:cs="Calibri"/>
          <w:sz w:val="24"/>
          <w:szCs w:val="24"/>
          <w:lang w:eastAsia="en-US"/>
        </w:rPr>
        <w:t>pronájem pozemků celkem o 870 674 Kč nižší a o tuto částku neodůvodněně</w:t>
      </w:r>
      <w:r w:rsidRPr="00A73E9F">
        <w:rPr>
          <w:rFonts w:ascii="Calibri" w:eastAsia="Calibri" w:hAnsi="Calibri" w:cs="Calibri"/>
          <w:sz w:val="24"/>
          <w:szCs w:val="24"/>
          <w:lang w:eastAsia="en-US"/>
        </w:rPr>
        <w:t xml:space="preserve"> snížila výnosy z pronájmu majetku v roce 2018. Správa KRNAP přenechala majetek do dočasného užívání</w:t>
      </w:r>
      <w:r w:rsidRPr="004A0D6A">
        <w:rPr>
          <w:rFonts w:ascii="Calibri" w:eastAsia="Calibri" w:hAnsi="Calibri" w:cs="Calibri"/>
          <w:sz w:val="24"/>
          <w:szCs w:val="24"/>
          <w:lang w:eastAsia="en-US"/>
        </w:rPr>
        <w:t xml:space="preserve"> jiné osobě a nepočínala si tak, aby neodůvodněně nesnížila výnos z majetku, se kterým hospodaří, a nedbala, aby plnila určené úkoly nejhospodárnějším </w:t>
      </w:r>
      <w:r w:rsidRPr="00FD3031">
        <w:rPr>
          <w:rFonts w:ascii="Calibri" w:eastAsia="Calibri" w:hAnsi="Calibri" w:cs="Calibri"/>
          <w:sz w:val="24"/>
          <w:szCs w:val="24"/>
          <w:lang w:eastAsia="en-US"/>
        </w:rPr>
        <w:t>způsobem v souladu se zákonem o majetku státu</w:t>
      </w:r>
      <w:r w:rsidRPr="00FD3031">
        <w:rPr>
          <w:rStyle w:val="Znakapoznpodarou"/>
          <w:rFonts w:ascii="Calibri" w:eastAsia="Calibri" w:hAnsi="Calibri"/>
          <w:sz w:val="24"/>
          <w:szCs w:val="24"/>
          <w:lang w:eastAsia="en-US"/>
        </w:rPr>
        <w:footnoteReference w:id="15"/>
      </w:r>
      <w:r w:rsidRPr="00FD3031">
        <w:rPr>
          <w:rFonts w:ascii="Calibri" w:eastAsia="Calibri" w:hAnsi="Calibri" w:cs="Calibri"/>
          <w:sz w:val="24"/>
          <w:szCs w:val="24"/>
          <w:lang w:eastAsia="en-US"/>
        </w:rPr>
        <w:t xml:space="preserve"> a</w:t>
      </w:r>
      <w:r w:rsidR="0094582E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FD3031">
        <w:rPr>
          <w:rFonts w:ascii="Calibri" w:eastAsia="Calibri" w:hAnsi="Calibri" w:cs="Calibri"/>
          <w:sz w:val="24"/>
          <w:szCs w:val="24"/>
          <w:lang w:eastAsia="en-US"/>
        </w:rPr>
        <w:t>se zákonem o rozpočtových pravidlech</w:t>
      </w:r>
      <w:r w:rsidRPr="00FD3031">
        <w:rPr>
          <w:rStyle w:val="Znakapoznpodarou"/>
          <w:rFonts w:ascii="Calibri" w:eastAsia="Calibri" w:hAnsi="Calibri"/>
          <w:sz w:val="24"/>
          <w:szCs w:val="24"/>
          <w:lang w:eastAsia="en-US"/>
        </w:rPr>
        <w:footnoteReference w:id="16"/>
      </w:r>
      <w:r w:rsidRPr="00FD3031">
        <w:rPr>
          <w:rFonts w:ascii="Calibri" w:eastAsia="Calibri" w:hAnsi="Calibri" w:cs="Calibri"/>
          <w:sz w:val="24"/>
          <w:szCs w:val="24"/>
          <w:lang w:eastAsia="en-US"/>
        </w:rPr>
        <w:t xml:space="preserve">. </w:t>
      </w:r>
      <w:r w:rsidR="00684067" w:rsidRPr="00FD3031">
        <w:rPr>
          <w:rFonts w:ascii="Calibri" w:eastAsia="Calibri" w:hAnsi="Calibri" w:cs="Calibri"/>
          <w:sz w:val="24"/>
          <w:szCs w:val="24"/>
          <w:lang w:eastAsia="en-US"/>
        </w:rPr>
        <w:t>NKÚ</w:t>
      </w:r>
      <w:r w:rsidR="00EC24F9" w:rsidRPr="00FD3031">
        <w:rPr>
          <w:rFonts w:ascii="Calibri" w:eastAsia="Calibri" w:hAnsi="Calibri" w:cs="Calibri"/>
          <w:sz w:val="24"/>
          <w:szCs w:val="24"/>
          <w:lang w:eastAsia="en-US"/>
        </w:rPr>
        <w:t xml:space="preserve"> oznámil podezření </w:t>
      </w:r>
      <w:r w:rsidR="007E0A54">
        <w:rPr>
          <w:rFonts w:ascii="Calibri" w:eastAsia="Calibri" w:hAnsi="Calibri" w:cs="Calibri"/>
          <w:sz w:val="24"/>
          <w:szCs w:val="24"/>
          <w:lang w:eastAsia="en-US"/>
        </w:rPr>
        <w:t>ze</w:t>
      </w:r>
      <w:r w:rsidR="00EC24F9" w:rsidRPr="00FD3031">
        <w:rPr>
          <w:rFonts w:ascii="Calibri" w:eastAsia="Calibri" w:hAnsi="Calibri" w:cs="Calibri"/>
          <w:sz w:val="24"/>
          <w:szCs w:val="24"/>
          <w:lang w:eastAsia="en-US"/>
        </w:rPr>
        <w:t xml:space="preserve"> spáchání trestného činu porušení povinnosti při správě cizího majetku.</w:t>
      </w:r>
    </w:p>
    <w:p w14:paraId="21F8677B" w14:textId="037EE8F4" w:rsidR="007A255B" w:rsidRPr="00FD3031" w:rsidRDefault="007A255B" w:rsidP="00C90E35">
      <w:pPr>
        <w:pStyle w:val="Odstavecseseznamem"/>
        <w:widowControl/>
        <w:numPr>
          <w:ilvl w:val="0"/>
          <w:numId w:val="6"/>
        </w:numPr>
        <w:autoSpaceDE/>
        <w:autoSpaceDN/>
        <w:adjustRightInd/>
        <w:spacing w:after="12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D3031">
        <w:rPr>
          <w:rFonts w:ascii="Calibri" w:eastAsia="Calibri" w:hAnsi="Calibri" w:cs="Calibri"/>
          <w:sz w:val="24"/>
          <w:szCs w:val="24"/>
          <w:lang w:eastAsia="en-US"/>
        </w:rPr>
        <w:t>Správa NP České Švýcarsko nedodržela postup stanovený zákonem pro zadání dvou nadlimitních veřejných zakázek v otevřeném řízení dle zákona o veřejných zakázkách</w:t>
      </w:r>
      <w:r w:rsidRPr="00FD3031">
        <w:rPr>
          <w:rStyle w:val="Znakapoznpodarou"/>
          <w:rFonts w:ascii="Calibri" w:eastAsia="Calibri" w:hAnsi="Calibri"/>
          <w:sz w:val="24"/>
          <w:szCs w:val="24"/>
          <w:lang w:eastAsia="en-US"/>
        </w:rPr>
        <w:footnoteReference w:id="17"/>
      </w:r>
      <w:r w:rsidR="00EE6E7A">
        <w:rPr>
          <w:rFonts w:ascii="Calibri" w:eastAsia="Calibri" w:hAnsi="Calibri" w:cs="Calibri"/>
          <w:sz w:val="24"/>
          <w:szCs w:val="24"/>
          <w:lang w:eastAsia="en-US"/>
        </w:rPr>
        <w:t xml:space="preserve">. </w:t>
      </w:r>
      <w:r w:rsidRPr="00FD3031">
        <w:rPr>
          <w:rFonts w:ascii="Calibri" w:eastAsia="Calibri" w:hAnsi="Calibri" w:cs="Calibri"/>
          <w:sz w:val="24"/>
          <w:szCs w:val="24"/>
          <w:lang w:eastAsia="en-US"/>
        </w:rPr>
        <w:t xml:space="preserve">Hodnota plnění uzavřených smluv činila 20 007 361 Kč. NKÚ oznámil správci daně v této částce porušení rozpočtové kázně. </w:t>
      </w:r>
    </w:p>
    <w:p w14:paraId="51A68D9C" w14:textId="6C6D6E96" w:rsidR="007A255B" w:rsidRPr="00FD3031" w:rsidRDefault="007A255B" w:rsidP="00C90E35">
      <w:pPr>
        <w:pStyle w:val="Odstavecseseznamem"/>
        <w:widowControl/>
        <w:numPr>
          <w:ilvl w:val="0"/>
          <w:numId w:val="6"/>
        </w:numPr>
        <w:autoSpaceDE/>
        <w:autoSpaceDN/>
        <w:adjustRightInd/>
        <w:spacing w:after="12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D3031">
        <w:rPr>
          <w:rFonts w:ascii="Calibri" w:eastAsia="Calibri" w:hAnsi="Calibri" w:cs="Times New Roman"/>
          <w:sz w:val="24"/>
          <w:szCs w:val="24"/>
        </w:rPr>
        <w:t xml:space="preserve">Správa </w:t>
      </w:r>
      <w:r w:rsidRPr="00FD3031">
        <w:rPr>
          <w:rFonts w:ascii="Calibri" w:eastAsia="Calibri" w:hAnsi="Calibri" w:cs="Calibri"/>
          <w:sz w:val="24"/>
          <w:szCs w:val="24"/>
        </w:rPr>
        <w:t>NP</w:t>
      </w:r>
      <w:r w:rsidRPr="00FD3031">
        <w:rPr>
          <w:rFonts w:ascii="Calibri" w:eastAsia="Calibri" w:hAnsi="Calibri" w:cs="Times New Roman"/>
          <w:sz w:val="24"/>
          <w:szCs w:val="24"/>
        </w:rPr>
        <w:t xml:space="preserve"> Pod</w:t>
      </w:r>
      <w:r w:rsidR="0075533F">
        <w:rPr>
          <w:rFonts w:ascii="Calibri" w:eastAsia="Calibri" w:hAnsi="Calibri" w:cs="Times New Roman"/>
          <w:sz w:val="24"/>
          <w:szCs w:val="24"/>
        </w:rPr>
        <w:t>yjí nepostupovala v období 2016–</w:t>
      </w:r>
      <w:r w:rsidRPr="00FD3031">
        <w:rPr>
          <w:rFonts w:ascii="Calibri" w:eastAsia="Calibri" w:hAnsi="Calibri" w:cs="Times New Roman"/>
          <w:sz w:val="24"/>
          <w:szCs w:val="24"/>
        </w:rPr>
        <w:t xml:space="preserve">2018 v souladu </w:t>
      </w:r>
      <w:r w:rsidRPr="00FD3031">
        <w:rPr>
          <w:rFonts w:ascii="Calibri" w:eastAsia="Calibri" w:hAnsi="Calibri" w:cs="Times New Roman"/>
          <w:sz w:val="24"/>
          <w:szCs w:val="24"/>
          <w:lang w:eastAsia="en-US"/>
        </w:rPr>
        <w:t>se zákonem o rozpočtových pravidlech</w:t>
      </w:r>
      <w:r w:rsidRPr="00FD3031">
        <w:rPr>
          <w:rStyle w:val="Znakapoznpodarou"/>
          <w:rFonts w:ascii="Calibri" w:eastAsia="Calibri" w:hAnsi="Calibri"/>
          <w:sz w:val="24"/>
          <w:szCs w:val="24"/>
          <w:lang w:eastAsia="en-US"/>
        </w:rPr>
        <w:footnoteReference w:id="18"/>
      </w:r>
      <w:r w:rsidRPr="00FD3031">
        <w:rPr>
          <w:rFonts w:ascii="Calibri" w:eastAsia="Calibri" w:hAnsi="Calibri" w:cs="Times New Roman"/>
          <w:sz w:val="24"/>
          <w:szCs w:val="24"/>
          <w:lang w:eastAsia="en-US"/>
        </w:rPr>
        <w:t>, neboť nesledovala jinou činnost odděleně od</w:t>
      </w:r>
      <w:r w:rsidR="007E0A5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FD3031">
        <w:rPr>
          <w:rFonts w:ascii="Calibri" w:eastAsia="Calibri" w:hAnsi="Calibri" w:cs="Times New Roman"/>
          <w:sz w:val="24"/>
          <w:szCs w:val="24"/>
          <w:lang w:eastAsia="en-US"/>
        </w:rPr>
        <w:t>hlavní činnosti. Výnosy za</w:t>
      </w:r>
      <w:r w:rsidR="007E0A5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FD3031">
        <w:rPr>
          <w:rFonts w:ascii="Calibri" w:eastAsia="Calibri" w:hAnsi="Calibri" w:cs="Times New Roman"/>
          <w:sz w:val="24"/>
          <w:szCs w:val="24"/>
          <w:lang w:eastAsia="en-US"/>
        </w:rPr>
        <w:t>poskytování služeb, zejména v oblasti lesnictví a zemědělství</w:t>
      </w:r>
      <w:r w:rsidR="007E0A54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FD3031">
        <w:rPr>
          <w:rFonts w:ascii="Calibri" w:eastAsia="Calibri" w:hAnsi="Calibri" w:cs="Times New Roman"/>
          <w:sz w:val="24"/>
          <w:szCs w:val="24"/>
          <w:lang w:eastAsia="en-US"/>
        </w:rPr>
        <w:t xml:space="preserve"> ve</w:t>
      </w:r>
      <w:r w:rsidR="007E0A5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FD3031">
        <w:rPr>
          <w:rFonts w:ascii="Calibri" w:eastAsia="Calibri" w:hAnsi="Calibri" w:cs="Times New Roman"/>
          <w:sz w:val="24"/>
          <w:szCs w:val="24"/>
          <w:lang w:eastAsia="en-US"/>
        </w:rPr>
        <w:t xml:space="preserve">výši 24 419 Kč a za ubytovací služby ve výši 232 993 Kč evidovala </w:t>
      </w:r>
      <w:r w:rsidRPr="00FD3031">
        <w:rPr>
          <w:rFonts w:ascii="Calibri" w:eastAsia="Calibri" w:hAnsi="Calibri" w:cs="Times New Roman"/>
          <w:sz w:val="24"/>
          <w:szCs w:val="24"/>
        </w:rPr>
        <w:t>Správa NP Podyjí</w:t>
      </w:r>
      <w:r w:rsidRPr="00FD3031">
        <w:rPr>
          <w:rFonts w:ascii="Calibri" w:eastAsia="Calibri" w:hAnsi="Calibri" w:cs="Times New Roman"/>
          <w:sz w:val="24"/>
          <w:szCs w:val="24"/>
          <w:lang w:eastAsia="en-US"/>
        </w:rPr>
        <w:t xml:space="preserve"> v hlavní činnosti, ačkoliv tyto činnosti jsou dle zřizovací listiny součástí jiné činnosti. </w:t>
      </w:r>
    </w:p>
    <w:p w14:paraId="7D936EC9" w14:textId="7D1DA7BC" w:rsidR="007A255B" w:rsidRPr="00FD3031" w:rsidRDefault="007A255B" w:rsidP="00C90E35">
      <w:pPr>
        <w:pStyle w:val="Odstavecseseznamem"/>
        <w:widowControl/>
        <w:numPr>
          <w:ilvl w:val="0"/>
          <w:numId w:val="6"/>
        </w:numPr>
        <w:autoSpaceDE/>
        <w:adjustRightInd/>
        <w:spacing w:after="12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D3031">
        <w:rPr>
          <w:rFonts w:ascii="Calibri" w:eastAsia="Calibri" w:hAnsi="Calibri" w:cs="Calibri"/>
          <w:sz w:val="24"/>
          <w:szCs w:val="24"/>
          <w:lang w:eastAsia="en-US"/>
        </w:rPr>
        <w:t>Správa NP Podyjí provedla v roce 2015 demolici pěti objektů evidovaných v katastru nemovitostí</w:t>
      </w:r>
      <w:r w:rsidR="007E0A54">
        <w:rPr>
          <w:rFonts w:ascii="Calibri" w:eastAsia="Calibri" w:hAnsi="Calibri" w:cs="Calibri"/>
          <w:sz w:val="24"/>
          <w:szCs w:val="24"/>
          <w:lang w:eastAsia="en-US"/>
        </w:rPr>
        <w:t>, avšak v rozporu s</w:t>
      </w:r>
      <w:r w:rsidRPr="00FD3031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 katastrální</w:t>
      </w:r>
      <w:r w:rsidR="007E0A54">
        <w:rPr>
          <w:rFonts w:ascii="Calibri" w:eastAsia="Calibri" w:hAnsi="Calibri" w:cs="Calibri"/>
          <w:bCs/>
          <w:sz w:val="24"/>
          <w:szCs w:val="24"/>
          <w:lang w:eastAsia="en-US"/>
        </w:rPr>
        <w:t>m</w:t>
      </w:r>
      <w:r w:rsidRPr="00FD3031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 zákon</w:t>
      </w:r>
      <w:r w:rsidR="007E0A54">
        <w:rPr>
          <w:rFonts w:ascii="Calibri" w:eastAsia="Calibri" w:hAnsi="Calibri" w:cs="Calibri"/>
          <w:bCs/>
          <w:sz w:val="24"/>
          <w:szCs w:val="24"/>
          <w:lang w:eastAsia="en-US"/>
        </w:rPr>
        <w:t>em</w:t>
      </w:r>
      <w:r w:rsidRPr="00FD3031">
        <w:rPr>
          <w:rStyle w:val="Znakapoznpodarou"/>
          <w:rFonts w:ascii="Calibri" w:eastAsia="Calibri" w:hAnsi="Calibri"/>
          <w:bCs/>
          <w:sz w:val="24"/>
          <w:szCs w:val="24"/>
          <w:lang w:eastAsia="en-US"/>
        </w:rPr>
        <w:footnoteReference w:id="19"/>
      </w:r>
      <w:r w:rsidRPr="00FD3031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 nenahlásila změnu údajů do 30</w:t>
      </w:r>
      <w:r w:rsidR="003D1A59">
        <w:rPr>
          <w:rFonts w:ascii="Calibri" w:eastAsia="Calibri" w:hAnsi="Calibri" w:cs="Calibri"/>
          <w:bCs/>
          <w:sz w:val="24"/>
          <w:szCs w:val="24"/>
          <w:lang w:eastAsia="en-US"/>
        </w:rPr>
        <w:t> </w:t>
      </w:r>
      <w:r w:rsidRPr="00FD3031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dnů ode dne vzniku této povinnosti. </w:t>
      </w:r>
    </w:p>
    <w:p w14:paraId="1C0E2269" w14:textId="75B8C583" w:rsidR="007A255B" w:rsidRPr="00922C09" w:rsidRDefault="007A255B" w:rsidP="00C90E35">
      <w:pPr>
        <w:pStyle w:val="Odstavecseseznamem"/>
        <w:widowControl/>
        <w:numPr>
          <w:ilvl w:val="0"/>
          <w:numId w:val="6"/>
        </w:numPr>
        <w:autoSpaceDE/>
        <w:autoSpaceDN/>
        <w:adjustRightInd/>
        <w:spacing w:after="12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FD3031">
        <w:rPr>
          <w:rFonts w:ascii="Calibri" w:eastAsia="Calibri" w:hAnsi="Calibri" w:cs="Times New Roman"/>
          <w:sz w:val="24"/>
          <w:szCs w:val="24"/>
        </w:rPr>
        <w:t xml:space="preserve">Správa </w:t>
      </w:r>
      <w:r w:rsidRPr="00FD3031">
        <w:rPr>
          <w:rFonts w:ascii="Calibri" w:eastAsia="Calibri" w:hAnsi="Calibri" w:cs="Calibri"/>
          <w:sz w:val="24"/>
          <w:szCs w:val="24"/>
        </w:rPr>
        <w:t>NP</w:t>
      </w:r>
      <w:r w:rsidRPr="00FD3031">
        <w:rPr>
          <w:rFonts w:ascii="Calibri" w:eastAsia="Calibri" w:hAnsi="Calibri" w:cs="Times New Roman"/>
          <w:sz w:val="24"/>
          <w:szCs w:val="24"/>
        </w:rPr>
        <w:t xml:space="preserve"> Podyjí</w:t>
      </w:r>
      <w:r w:rsidRPr="00FD3031">
        <w:rPr>
          <w:rFonts w:ascii="Calibri" w:eastAsia="Calibri" w:hAnsi="Calibri" w:cs="Times New Roman"/>
          <w:sz w:val="24"/>
          <w:szCs w:val="24"/>
          <w:lang w:eastAsia="en-US"/>
        </w:rPr>
        <w:t xml:space="preserve"> při výběru dodavatele nepostupovala v souladu s organizační</w:t>
      </w:r>
      <w:r w:rsidRPr="00A73E9F">
        <w:rPr>
          <w:rFonts w:ascii="Calibri" w:eastAsia="Calibri" w:hAnsi="Calibri" w:cs="Times New Roman"/>
          <w:sz w:val="24"/>
          <w:szCs w:val="24"/>
          <w:lang w:eastAsia="en-US"/>
        </w:rPr>
        <w:t xml:space="preserve"> směrnicí </w:t>
      </w:r>
      <w:r w:rsidRPr="00883A95">
        <w:rPr>
          <w:rFonts w:ascii="Calibri" w:eastAsia="Calibri" w:hAnsi="Calibri" w:cs="Times New Roman"/>
          <w:i/>
          <w:sz w:val="24"/>
          <w:szCs w:val="24"/>
          <w:lang w:eastAsia="en-US"/>
        </w:rPr>
        <w:t>Zadávání veřejných zakázek</w:t>
      </w:r>
      <w:r w:rsidR="007E0A54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A73E9F">
        <w:rPr>
          <w:rFonts w:ascii="Calibri" w:eastAsia="Calibri" w:hAnsi="Calibri" w:cs="Times New Roman"/>
          <w:sz w:val="24"/>
          <w:szCs w:val="24"/>
          <w:lang w:eastAsia="en-US"/>
        </w:rPr>
        <w:t xml:space="preserve">a se zákonem </w:t>
      </w:r>
      <w:r w:rsidRPr="00922C09">
        <w:rPr>
          <w:rFonts w:ascii="Calibri" w:eastAsia="Calibri" w:hAnsi="Calibri" w:cs="Times New Roman"/>
          <w:sz w:val="24"/>
          <w:szCs w:val="24"/>
          <w:lang w:eastAsia="en-US"/>
        </w:rPr>
        <w:t>o veřejných zakázkách</w:t>
      </w:r>
      <w:r w:rsidRPr="00922C09">
        <w:rPr>
          <w:rStyle w:val="Znakapoznpodarou"/>
          <w:rFonts w:ascii="Calibri" w:eastAsia="Calibri" w:hAnsi="Calibri"/>
          <w:sz w:val="24"/>
          <w:szCs w:val="24"/>
          <w:lang w:eastAsia="en-US"/>
        </w:rPr>
        <w:footnoteReference w:id="20"/>
      </w:r>
      <w:r w:rsidRPr="00922C09">
        <w:rPr>
          <w:rFonts w:ascii="Calibri" w:eastAsia="Calibri" w:hAnsi="Calibri" w:cs="Times New Roman"/>
          <w:sz w:val="24"/>
          <w:szCs w:val="24"/>
          <w:lang w:eastAsia="en-US"/>
        </w:rPr>
        <w:t>, neboť ve dvou případech uzavřela smlouvu o dílo na dodání dlouhodobého nehmotného majetku, aniž by provedla výběr z více nabídek</w:t>
      </w:r>
      <w:r w:rsidR="007E0A54">
        <w:rPr>
          <w:rFonts w:ascii="Calibri" w:eastAsia="Calibri" w:hAnsi="Calibri" w:cs="Times New Roman"/>
          <w:sz w:val="24"/>
          <w:szCs w:val="24"/>
          <w:lang w:eastAsia="en-US"/>
        </w:rPr>
        <w:t>,</w:t>
      </w:r>
      <w:r w:rsidRPr="00922C09">
        <w:rPr>
          <w:rFonts w:ascii="Calibri" w:eastAsia="Calibri" w:hAnsi="Calibri" w:cs="Times New Roman"/>
          <w:sz w:val="24"/>
          <w:szCs w:val="24"/>
          <w:lang w:eastAsia="en-US"/>
        </w:rPr>
        <w:t xml:space="preserve"> a zadala tak dvě veřejné zakázky formou přímého zadání. </w:t>
      </w:r>
      <w:r w:rsidRPr="00922C09">
        <w:rPr>
          <w:rFonts w:ascii="Calibri" w:eastAsia="Calibri" w:hAnsi="Calibri" w:cs="Times New Roman"/>
          <w:iCs/>
          <w:sz w:val="24"/>
          <w:szCs w:val="24"/>
          <w:lang w:eastAsia="en-US"/>
        </w:rPr>
        <w:t>Hodnota plnění uzavřených smluv činila 1 123 130 Kč.</w:t>
      </w:r>
    </w:p>
    <w:p w14:paraId="654AE6B1" w14:textId="0F6E8EF7" w:rsidR="007A255B" w:rsidRPr="00922C09" w:rsidRDefault="007A255B" w:rsidP="00C90E35">
      <w:pPr>
        <w:pStyle w:val="Odstavecseseznamem"/>
        <w:widowControl/>
        <w:numPr>
          <w:ilvl w:val="0"/>
          <w:numId w:val="6"/>
        </w:numPr>
        <w:autoSpaceDE/>
        <w:autoSpaceDN/>
        <w:adjustRightInd/>
        <w:spacing w:after="12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922C09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Správa </w:t>
      </w:r>
      <w:r w:rsidRPr="00922C09">
        <w:rPr>
          <w:rFonts w:ascii="Calibri" w:eastAsia="Calibri" w:hAnsi="Calibri" w:cs="Times New Roman"/>
          <w:sz w:val="24"/>
          <w:szCs w:val="24"/>
        </w:rPr>
        <w:t>NP</w:t>
      </w:r>
      <w:r w:rsidRPr="00922C09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 Podyjí </w:t>
      </w:r>
      <w:r w:rsidR="00C65E44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u </w:t>
      </w:r>
      <w:r w:rsidR="00C65E44" w:rsidRPr="00922C09">
        <w:rPr>
          <w:rFonts w:ascii="Calibri" w:eastAsia="Calibri" w:hAnsi="Calibri" w:cs="Calibri"/>
          <w:bCs/>
          <w:sz w:val="24"/>
          <w:szCs w:val="24"/>
          <w:lang w:eastAsia="en-US"/>
        </w:rPr>
        <w:t>jedné</w:t>
      </w:r>
      <w:r w:rsidR="00C65E44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 zakázky</w:t>
      </w:r>
      <w:r w:rsidR="00C65E44" w:rsidRPr="00922C09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 </w:t>
      </w:r>
      <w:r w:rsidRPr="00922C09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nedodržela pravidla </w:t>
      </w:r>
      <w:r w:rsidR="00FC4522">
        <w:rPr>
          <w:rFonts w:ascii="Calibri" w:eastAsia="Calibri" w:hAnsi="Calibri" w:cs="Calibri"/>
          <w:bCs/>
          <w:sz w:val="24"/>
          <w:szCs w:val="24"/>
          <w:lang w:eastAsia="en-US"/>
        </w:rPr>
        <w:t>p</w:t>
      </w:r>
      <w:r w:rsidR="00806F5B">
        <w:rPr>
          <w:rFonts w:ascii="Calibri" w:eastAsia="Calibri" w:hAnsi="Calibri" w:cs="Calibri"/>
          <w:bCs/>
          <w:sz w:val="24"/>
          <w:szCs w:val="24"/>
          <w:lang w:eastAsia="en-US"/>
        </w:rPr>
        <w:t>ro</w:t>
      </w:r>
      <w:r w:rsidRPr="00922C09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 zadá</w:t>
      </w:r>
      <w:r w:rsidR="00C65E44">
        <w:rPr>
          <w:rFonts w:ascii="Calibri" w:eastAsia="Calibri" w:hAnsi="Calibri" w:cs="Calibri"/>
          <w:bCs/>
          <w:sz w:val="24"/>
          <w:szCs w:val="24"/>
          <w:lang w:eastAsia="en-US"/>
        </w:rPr>
        <w:t>vá</w:t>
      </w:r>
      <w:r w:rsidRPr="00922C09">
        <w:rPr>
          <w:rFonts w:ascii="Calibri" w:eastAsia="Calibri" w:hAnsi="Calibri" w:cs="Calibri"/>
          <w:bCs/>
          <w:sz w:val="24"/>
          <w:szCs w:val="24"/>
          <w:lang w:eastAsia="en-US"/>
        </w:rPr>
        <w:t>ní veřejn</w:t>
      </w:r>
      <w:r w:rsidR="00C65E44">
        <w:rPr>
          <w:rFonts w:ascii="Calibri" w:eastAsia="Calibri" w:hAnsi="Calibri" w:cs="Calibri"/>
          <w:bCs/>
          <w:sz w:val="24"/>
          <w:szCs w:val="24"/>
          <w:lang w:eastAsia="en-US"/>
        </w:rPr>
        <w:t>ých</w:t>
      </w:r>
      <w:r w:rsidRPr="00922C09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 zakáz</w:t>
      </w:r>
      <w:r w:rsidR="00C65E44">
        <w:rPr>
          <w:rFonts w:ascii="Calibri" w:eastAsia="Calibri" w:hAnsi="Calibri" w:cs="Calibri"/>
          <w:bCs/>
          <w:sz w:val="24"/>
          <w:szCs w:val="24"/>
          <w:lang w:eastAsia="en-US"/>
        </w:rPr>
        <w:t>e</w:t>
      </w:r>
      <w:r w:rsidRPr="00922C09">
        <w:rPr>
          <w:rFonts w:ascii="Calibri" w:eastAsia="Calibri" w:hAnsi="Calibri" w:cs="Calibri"/>
          <w:bCs/>
          <w:sz w:val="24"/>
          <w:szCs w:val="24"/>
          <w:lang w:eastAsia="en-US"/>
        </w:rPr>
        <w:t>k v podlimitním režimu dle zákona o zadávání veřejných zakázek.</w:t>
      </w:r>
    </w:p>
    <w:p w14:paraId="0580F842" w14:textId="4C7E3A49" w:rsidR="007A255B" w:rsidRPr="00922C09" w:rsidRDefault="007A255B" w:rsidP="00C90E35">
      <w:pPr>
        <w:pStyle w:val="Odstavecseseznamem"/>
        <w:widowControl/>
        <w:numPr>
          <w:ilvl w:val="0"/>
          <w:numId w:val="6"/>
        </w:numPr>
        <w:autoSpaceDE/>
        <w:autoSpaceDN/>
        <w:adjustRightInd/>
        <w:spacing w:after="12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922C09">
        <w:rPr>
          <w:rFonts w:ascii="Calibri" w:eastAsia="Calibri" w:hAnsi="Calibri" w:cs="Times New Roman"/>
          <w:sz w:val="24"/>
          <w:szCs w:val="24"/>
          <w:lang w:eastAsia="en-US"/>
        </w:rPr>
        <w:t>Správa NP Podyjí měla nastavena pravidla pro vnitřní kontrolní systém, přesto nezajistila v mnoha případech prověření podkladů připravovaných operací a neprováděla důsledně předběžnou řídicí kontrolu podle zákona o finanční kontrole</w:t>
      </w:r>
      <w:r w:rsidRPr="00922C09">
        <w:rPr>
          <w:rStyle w:val="Znakapoznpodarou"/>
          <w:rFonts w:ascii="Calibri" w:eastAsia="Calibri" w:hAnsi="Calibri"/>
          <w:sz w:val="24"/>
          <w:szCs w:val="24"/>
          <w:lang w:eastAsia="en-US"/>
        </w:rPr>
        <w:footnoteReference w:id="21"/>
      </w:r>
      <w:r w:rsidRPr="00922C09">
        <w:rPr>
          <w:rFonts w:ascii="Calibri" w:eastAsia="Calibri" w:hAnsi="Calibri" w:cs="Times New Roman"/>
          <w:sz w:val="24"/>
          <w:szCs w:val="24"/>
          <w:lang w:eastAsia="en-US"/>
        </w:rPr>
        <w:t>. Od roku 2018 docházelo postupně ke zlepš</w:t>
      </w:r>
      <w:r w:rsidR="007E0A54">
        <w:rPr>
          <w:rFonts w:ascii="Calibri" w:eastAsia="Calibri" w:hAnsi="Calibri" w:cs="Times New Roman"/>
          <w:sz w:val="24"/>
          <w:szCs w:val="24"/>
          <w:lang w:eastAsia="en-US"/>
        </w:rPr>
        <w:t>ování</w:t>
      </w:r>
      <w:r w:rsidRPr="00922C09">
        <w:rPr>
          <w:rFonts w:ascii="Calibri" w:eastAsia="Calibri" w:hAnsi="Calibri" w:cs="Times New Roman"/>
          <w:sz w:val="24"/>
          <w:szCs w:val="24"/>
          <w:lang w:eastAsia="en-US"/>
        </w:rPr>
        <w:t>. MŽP tento stav průběžně monitorovalo.</w:t>
      </w:r>
    </w:p>
    <w:p w14:paraId="3FC0BB4B" w14:textId="00638A34" w:rsidR="007A255B" w:rsidRPr="00922C09" w:rsidRDefault="007A255B" w:rsidP="00C90E35">
      <w:pPr>
        <w:pStyle w:val="Odstavecseseznamem"/>
        <w:widowControl/>
        <w:numPr>
          <w:ilvl w:val="0"/>
          <w:numId w:val="6"/>
        </w:numPr>
        <w:autoSpaceDE/>
        <w:autoSpaceDN/>
        <w:adjustRightInd/>
        <w:spacing w:after="12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922C09">
        <w:rPr>
          <w:rFonts w:ascii="Calibri" w:eastAsia="Calibri" w:hAnsi="Calibri" w:cs="Calibri"/>
          <w:spacing w:val="-4"/>
          <w:sz w:val="24"/>
          <w:szCs w:val="24"/>
        </w:rPr>
        <w:t>Správy NP ve</w:t>
      </w:r>
      <w:r w:rsidR="009C774D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922C09">
        <w:rPr>
          <w:rFonts w:ascii="Calibri" w:eastAsia="Calibri" w:hAnsi="Calibri" w:cs="Calibri"/>
          <w:spacing w:val="-4"/>
          <w:sz w:val="24"/>
          <w:szCs w:val="24"/>
        </w:rPr>
        <w:t>3 případech nepostupovaly dle zákona o účetnictví</w:t>
      </w:r>
      <w:r w:rsidRPr="00922C09">
        <w:rPr>
          <w:rStyle w:val="Znakapoznpodarou"/>
          <w:rFonts w:ascii="Calibri" w:eastAsia="Calibri" w:hAnsi="Calibri"/>
          <w:spacing w:val="-4"/>
          <w:sz w:val="24"/>
          <w:szCs w:val="24"/>
        </w:rPr>
        <w:footnoteReference w:id="22"/>
      </w:r>
      <w:r w:rsidRPr="00922C09">
        <w:rPr>
          <w:rFonts w:ascii="Calibri" w:eastAsia="Calibri" w:hAnsi="Calibri" w:cs="Calibri"/>
          <w:spacing w:val="-4"/>
          <w:sz w:val="24"/>
          <w:szCs w:val="24"/>
        </w:rPr>
        <w:t xml:space="preserve"> tím, že neúčtovaly o změnách majetku do</w:t>
      </w:r>
      <w:r w:rsidR="007E0A54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922C09">
        <w:rPr>
          <w:rFonts w:ascii="Calibri" w:eastAsia="Calibri" w:hAnsi="Calibri" w:cs="Calibri"/>
          <w:spacing w:val="-4"/>
          <w:sz w:val="24"/>
          <w:szCs w:val="24"/>
        </w:rPr>
        <w:t>období, s nimiž tyto účetní případy časově a věcně souvisely:</w:t>
      </w:r>
    </w:p>
    <w:p w14:paraId="5FDDF261" w14:textId="3ACBE488" w:rsidR="007A255B" w:rsidRPr="00922C09" w:rsidRDefault="007A255B" w:rsidP="00C90E35">
      <w:pPr>
        <w:pStyle w:val="Odstavecseseznamem"/>
        <w:widowControl/>
        <w:numPr>
          <w:ilvl w:val="0"/>
          <w:numId w:val="7"/>
        </w:numPr>
        <w:autoSpaceDE/>
        <w:autoSpaceDN/>
        <w:adjustRightInd/>
        <w:spacing w:after="160" w:line="256" w:lineRule="auto"/>
        <w:jc w:val="both"/>
        <w:rPr>
          <w:rFonts w:ascii="Calibri" w:eastAsia="Calibri" w:hAnsi="Calibri" w:cs="Calibri"/>
          <w:spacing w:val="-4"/>
          <w:sz w:val="24"/>
          <w:szCs w:val="24"/>
        </w:rPr>
      </w:pPr>
      <w:r w:rsidRPr="00922C09">
        <w:rPr>
          <w:rFonts w:ascii="Calibri" w:eastAsia="Calibri" w:hAnsi="Calibri" w:cs="Calibri"/>
          <w:spacing w:val="-4"/>
          <w:sz w:val="24"/>
          <w:szCs w:val="24"/>
        </w:rPr>
        <w:t>Správa NP Podyjí zaúčtovala vyřazení dlouhodobého hmotného majetku (dále také „DHM“) (stavby) v hodnotě 2 259 565 Kč</w:t>
      </w:r>
      <w:r w:rsidR="007E0A54" w:rsidRPr="007E0A54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7E0A54" w:rsidRPr="00922C09">
        <w:rPr>
          <w:rFonts w:ascii="Calibri" w:eastAsia="Calibri" w:hAnsi="Calibri" w:cs="Calibri"/>
          <w:spacing w:val="-4"/>
          <w:sz w:val="24"/>
          <w:szCs w:val="24"/>
        </w:rPr>
        <w:t>v roce 2016</w:t>
      </w:r>
      <w:r w:rsidRPr="00922C09">
        <w:rPr>
          <w:rFonts w:ascii="Calibri" w:eastAsia="Calibri" w:hAnsi="Calibri" w:cs="Calibri"/>
          <w:spacing w:val="-4"/>
          <w:sz w:val="24"/>
          <w:szCs w:val="24"/>
        </w:rPr>
        <w:t>, ačkoliv účetní případ n</w:t>
      </w:r>
      <w:r w:rsidR="0075533F">
        <w:rPr>
          <w:rFonts w:ascii="Calibri" w:eastAsia="Calibri" w:hAnsi="Calibri" w:cs="Calibri"/>
          <w:spacing w:val="-4"/>
          <w:sz w:val="24"/>
          <w:szCs w:val="24"/>
        </w:rPr>
        <w:t>astal v roce</w:t>
      </w:r>
      <w:r w:rsidR="007E0A54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922C09">
        <w:rPr>
          <w:rFonts w:ascii="Calibri" w:eastAsia="Calibri" w:hAnsi="Calibri" w:cs="Calibri"/>
          <w:spacing w:val="-4"/>
          <w:sz w:val="24"/>
          <w:szCs w:val="24"/>
        </w:rPr>
        <w:t>2015;</w:t>
      </w:r>
    </w:p>
    <w:p w14:paraId="60A84DAD" w14:textId="3B0B1753" w:rsidR="007A255B" w:rsidRPr="00922C09" w:rsidRDefault="007A255B" w:rsidP="00C90E35">
      <w:pPr>
        <w:pStyle w:val="Odstavecseseznamem"/>
        <w:widowControl/>
        <w:numPr>
          <w:ilvl w:val="0"/>
          <w:numId w:val="7"/>
        </w:numPr>
        <w:autoSpaceDE/>
        <w:autoSpaceDN/>
        <w:adjustRightInd/>
        <w:spacing w:after="160" w:line="256" w:lineRule="auto"/>
        <w:jc w:val="both"/>
        <w:rPr>
          <w:rFonts w:ascii="Calibri" w:eastAsia="Calibri" w:hAnsi="Calibri" w:cs="Calibri"/>
          <w:spacing w:val="-4"/>
          <w:sz w:val="24"/>
          <w:szCs w:val="24"/>
        </w:rPr>
      </w:pPr>
      <w:r w:rsidRPr="00922C09">
        <w:rPr>
          <w:rFonts w:ascii="Calibri" w:eastAsia="Calibri" w:hAnsi="Calibri" w:cs="Calibri"/>
          <w:spacing w:val="-4"/>
          <w:sz w:val="24"/>
          <w:szCs w:val="24"/>
        </w:rPr>
        <w:lastRenderedPageBreak/>
        <w:t>Správa NP Podyjí zaúčtovala vyřazení DHM (samostatná movitá věc – automobil) v hodnotě 703 731 Kč</w:t>
      </w:r>
      <w:r w:rsidR="00FC4522" w:rsidRPr="00FC4522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C4522" w:rsidRPr="00922C09">
        <w:rPr>
          <w:rFonts w:ascii="Calibri" w:eastAsia="Calibri" w:hAnsi="Calibri" w:cs="Calibri"/>
          <w:spacing w:val="-4"/>
          <w:sz w:val="24"/>
          <w:szCs w:val="24"/>
        </w:rPr>
        <w:t>v roce 2017</w:t>
      </w:r>
      <w:r w:rsidRPr="00922C09">
        <w:rPr>
          <w:rFonts w:ascii="Calibri" w:eastAsia="Calibri" w:hAnsi="Calibri" w:cs="Calibri"/>
          <w:spacing w:val="-4"/>
          <w:sz w:val="24"/>
          <w:szCs w:val="24"/>
        </w:rPr>
        <w:t>, ačkoliv účetní případ nastal v roce 2016;</w:t>
      </w:r>
    </w:p>
    <w:p w14:paraId="33B8C8E7" w14:textId="338A9DA6" w:rsidR="007A255B" w:rsidRPr="00922C09" w:rsidRDefault="007A255B" w:rsidP="00C90E35">
      <w:pPr>
        <w:pStyle w:val="Odstavecseseznamem"/>
        <w:widowControl/>
        <w:numPr>
          <w:ilvl w:val="0"/>
          <w:numId w:val="7"/>
        </w:numPr>
        <w:autoSpaceDE/>
        <w:autoSpaceDN/>
        <w:adjustRightInd/>
        <w:spacing w:line="257" w:lineRule="auto"/>
        <w:jc w:val="both"/>
        <w:rPr>
          <w:rFonts w:ascii="Calibri" w:eastAsia="Calibri" w:hAnsi="Calibri" w:cs="Calibri"/>
          <w:spacing w:val="-4"/>
          <w:sz w:val="24"/>
          <w:szCs w:val="24"/>
        </w:rPr>
      </w:pPr>
      <w:r w:rsidRPr="00922C09">
        <w:rPr>
          <w:rFonts w:ascii="Calibri" w:eastAsia="Calibri" w:hAnsi="Calibri" w:cs="Calibri"/>
          <w:spacing w:val="-4"/>
          <w:sz w:val="24"/>
          <w:szCs w:val="24"/>
        </w:rPr>
        <w:t>Správa KRNAP zaúčtovala pořízení DHM (pozemek) v hodnotě 453 395 Kč</w:t>
      </w:r>
      <w:r w:rsidR="00FC4522" w:rsidRPr="00FC4522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FC4522" w:rsidRPr="00922C09">
        <w:rPr>
          <w:rFonts w:ascii="Calibri" w:eastAsia="Calibri" w:hAnsi="Calibri" w:cs="Calibri"/>
          <w:spacing w:val="-4"/>
          <w:sz w:val="24"/>
          <w:szCs w:val="24"/>
        </w:rPr>
        <w:t>v roce 2017</w:t>
      </w:r>
      <w:r w:rsidRPr="00922C09">
        <w:rPr>
          <w:rFonts w:ascii="Calibri" w:eastAsia="Calibri" w:hAnsi="Calibri" w:cs="Calibri"/>
          <w:spacing w:val="-4"/>
          <w:sz w:val="24"/>
          <w:szCs w:val="24"/>
        </w:rPr>
        <w:t>, ačkoliv účetní případ nastal v roce 2016.</w:t>
      </w:r>
    </w:p>
    <w:p w14:paraId="530024B4" w14:textId="77777777" w:rsidR="007A255B" w:rsidRPr="00922C09" w:rsidRDefault="007A255B" w:rsidP="00C90E35">
      <w:pPr>
        <w:pStyle w:val="Odstavecseseznamem"/>
        <w:widowControl/>
        <w:numPr>
          <w:ilvl w:val="0"/>
          <w:numId w:val="6"/>
        </w:numPr>
        <w:autoSpaceDE/>
        <w:autoSpaceDN/>
        <w:adjustRightInd/>
        <w:spacing w:after="120"/>
        <w:jc w:val="both"/>
        <w:rPr>
          <w:rFonts w:ascii="Calibri" w:eastAsia="Calibri" w:hAnsi="Calibri" w:cs="Calibri"/>
          <w:spacing w:val="-4"/>
          <w:sz w:val="24"/>
          <w:szCs w:val="24"/>
        </w:rPr>
      </w:pPr>
      <w:r w:rsidRPr="00922C09">
        <w:rPr>
          <w:rFonts w:ascii="Calibri" w:eastAsia="Calibri" w:hAnsi="Calibri" w:cs="Calibri"/>
          <w:spacing w:val="-4"/>
          <w:sz w:val="24"/>
          <w:szCs w:val="24"/>
        </w:rPr>
        <w:t>Správa KRNAP, Správa NP Šumava a Správa NP Podyjí nepostupovaly ve 43 případech při uveřejňování smluv prostřednictvím registru smluv dle zákona o registru smluv</w:t>
      </w:r>
      <w:r w:rsidRPr="00922C09">
        <w:rPr>
          <w:rStyle w:val="Znakapoznpodarou"/>
          <w:rFonts w:ascii="Calibri" w:eastAsia="Calibri" w:hAnsi="Calibri"/>
          <w:spacing w:val="-4"/>
          <w:sz w:val="24"/>
          <w:szCs w:val="24"/>
        </w:rPr>
        <w:footnoteReference w:id="23"/>
      </w:r>
      <w:r w:rsidRPr="00922C09">
        <w:rPr>
          <w:rFonts w:ascii="Calibri" w:eastAsia="Calibri" w:hAnsi="Calibri" w:cs="Calibri"/>
          <w:spacing w:val="-4"/>
          <w:sz w:val="24"/>
          <w:szCs w:val="24"/>
        </w:rPr>
        <w:t>. Hodnota plnění těchto smluv byla ve výši 10 945 763 Kč.</w:t>
      </w:r>
    </w:p>
    <w:p w14:paraId="478CDE9D" w14:textId="10E12A44" w:rsidR="007A255B" w:rsidRPr="00883A95" w:rsidRDefault="007A255B" w:rsidP="00883A95">
      <w:pPr>
        <w:widowControl/>
        <w:autoSpaceDE/>
        <w:autoSpaceDN/>
        <w:adjustRightInd/>
        <w:spacing w:after="120"/>
        <w:jc w:val="both"/>
        <w:rPr>
          <w:rFonts w:ascii="Calibri" w:eastAsia="Calibri" w:hAnsi="Calibri" w:cs="Calibri"/>
          <w:spacing w:val="-4"/>
          <w:sz w:val="24"/>
          <w:szCs w:val="24"/>
        </w:rPr>
      </w:pPr>
      <w:r w:rsidRPr="00883A95">
        <w:rPr>
          <w:rFonts w:ascii="Calibri" w:eastAsia="Calibri" w:hAnsi="Calibri" w:cs="Calibri"/>
          <w:spacing w:val="-4"/>
          <w:sz w:val="24"/>
          <w:szCs w:val="24"/>
        </w:rPr>
        <w:t xml:space="preserve">Kontrola zjistila u jednotlivých správ NP </w:t>
      </w:r>
      <w:r w:rsidR="00FC4522">
        <w:rPr>
          <w:rFonts w:ascii="Calibri" w:eastAsia="Calibri" w:hAnsi="Calibri" w:cs="Calibri"/>
          <w:spacing w:val="-4"/>
          <w:sz w:val="24"/>
          <w:szCs w:val="24"/>
        </w:rPr>
        <w:t xml:space="preserve">i </w:t>
      </w:r>
      <w:r w:rsidRPr="00883A95">
        <w:rPr>
          <w:rFonts w:ascii="Calibri" w:eastAsia="Calibri" w:hAnsi="Calibri" w:cs="Calibri"/>
          <w:spacing w:val="-4"/>
          <w:sz w:val="24"/>
          <w:szCs w:val="24"/>
        </w:rPr>
        <w:t>další dílčí nedostatky</w:t>
      </w:r>
      <w:r w:rsidR="00FC4522">
        <w:rPr>
          <w:rFonts w:ascii="Calibri" w:eastAsia="Calibri" w:hAnsi="Calibri" w:cs="Calibri"/>
          <w:spacing w:val="-4"/>
          <w:sz w:val="24"/>
          <w:szCs w:val="24"/>
        </w:rPr>
        <w:t>, a to</w:t>
      </w:r>
      <w:r w:rsidRPr="00883A95">
        <w:rPr>
          <w:rFonts w:ascii="Calibri" w:eastAsia="Calibri" w:hAnsi="Calibri" w:cs="Calibri"/>
          <w:spacing w:val="-4"/>
          <w:sz w:val="24"/>
          <w:szCs w:val="24"/>
        </w:rPr>
        <w:t xml:space="preserve"> zejména v oblasti účetnictví.</w:t>
      </w:r>
    </w:p>
    <w:p w14:paraId="2C9017C6" w14:textId="67CEC29E" w:rsidR="007A255B" w:rsidRPr="007B4F60" w:rsidRDefault="007A255B" w:rsidP="00883A95">
      <w:pPr>
        <w:widowControl/>
        <w:shd w:val="clear" w:color="auto" w:fill="FFFFFF" w:themeFill="background1"/>
        <w:spacing w:before="240" w:after="120"/>
        <w:ind w:left="284" w:hanging="284"/>
        <w:jc w:val="both"/>
        <w:rPr>
          <w:rFonts w:ascii="Calibri" w:eastAsia="Times New Roman" w:hAnsi="Calibri"/>
          <w:b/>
          <w:sz w:val="24"/>
          <w:szCs w:val="25"/>
        </w:rPr>
      </w:pPr>
      <w:r>
        <w:rPr>
          <w:rFonts w:ascii="Calibri" w:eastAsia="Times New Roman" w:hAnsi="Calibri"/>
          <w:b/>
          <w:sz w:val="24"/>
          <w:szCs w:val="25"/>
        </w:rPr>
        <w:t>2</w:t>
      </w:r>
      <w:r w:rsidRPr="00264C8E">
        <w:rPr>
          <w:rFonts w:ascii="Calibri" w:eastAsia="Times New Roman" w:hAnsi="Calibri"/>
          <w:b/>
          <w:sz w:val="24"/>
          <w:szCs w:val="25"/>
        </w:rPr>
        <w:t>.</w:t>
      </w:r>
      <w:r w:rsidR="00D449F6">
        <w:rPr>
          <w:rFonts w:ascii="Calibri" w:eastAsia="Times New Roman" w:hAnsi="Calibri"/>
          <w:b/>
          <w:sz w:val="24"/>
          <w:szCs w:val="25"/>
        </w:rPr>
        <w:t xml:space="preserve"> </w:t>
      </w:r>
      <w:r w:rsidR="00D449F6">
        <w:rPr>
          <w:rFonts w:ascii="Calibri" w:eastAsia="Times New Roman" w:hAnsi="Calibri"/>
          <w:b/>
          <w:sz w:val="24"/>
          <w:szCs w:val="25"/>
        </w:rPr>
        <w:tab/>
      </w:r>
      <w:r w:rsidRPr="00264C8E">
        <w:rPr>
          <w:rFonts w:ascii="Calibri" w:eastAsia="Times New Roman" w:hAnsi="Calibri"/>
          <w:b/>
          <w:sz w:val="24"/>
          <w:szCs w:val="25"/>
        </w:rPr>
        <w:t>Výnosy z prodeje dřeva jsou významným zdrojem financování správ NP a jejich očekávaný pokles je rizikem</w:t>
      </w:r>
    </w:p>
    <w:p w14:paraId="129D9B8D" w14:textId="4AEC30B1" w:rsidR="009F2B99" w:rsidRDefault="009F2B99" w:rsidP="00C90E35">
      <w:pPr>
        <w:widowControl/>
        <w:spacing w:before="120" w:after="120"/>
        <w:jc w:val="both"/>
        <w:rPr>
          <w:rFonts w:ascii="Calibri" w:eastAsia="Calibri" w:hAnsi="Calibri" w:cs="Calibri"/>
          <w:sz w:val="24"/>
          <w:szCs w:val="24"/>
        </w:rPr>
      </w:pPr>
      <w:r w:rsidRPr="00F8770B">
        <w:rPr>
          <w:rFonts w:ascii="Calibri" w:eastAsia="Calibri" w:hAnsi="Calibri" w:cs="Calibri"/>
          <w:sz w:val="24"/>
          <w:szCs w:val="24"/>
        </w:rPr>
        <w:t xml:space="preserve">Na území NP zaujímají cca 85 % rozlohy lesy a jsou ve většině případů zařazeny, z hlediska </w:t>
      </w:r>
      <w:r w:rsidR="00B71686">
        <w:rPr>
          <w:rFonts w:ascii="Calibri" w:eastAsia="Calibri" w:hAnsi="Calibri" w:cs="Calibri"/>
          <w:sz w:val="24"/>
          <w:szCs w:val="24"/>
        </w:rPr>
        <w:t>svých</w:t>
      </w:r>
      <w:r w:rsidRPr="00F8770B">
        <w:rPr>
          <w:rFonts w:ascii="Calibri" w:eastAsia="Calibri" w:hAnsi="Calibri" w:cs="Calibri"/>
          <w:sz w:val="24"/>
          <w:szCs w:val="24"/>
        </w:rPr>
        <w:t xml:space="preserve"> převažujících funkcí, do kategorie lesů zvláštního určení</w:t>
      </w:r>
      <w:r w:rsidRPr="00F8770B">
        <w:rPr>
          <w:rStyle w:val="Znakapoznpodarou"/>
          <w:rFonts w:asciiTheme="minorHAnsi" w:hAnsiTheme="minorHAnsi"/>
          <w:sz w:val="24"/>
          <w:szCs w:val="24"/>
        </w:rPr>
        <w:footnoteReference w:id="24"/>
      </w:r>
      <w:r w:rsidRPr="00F8770B">
        <w:rPr>
          <w:rFonts w:asciiTheme="minorHAnsi" w:hAnsiTheme="minorHAnsi" w:cstheme="minorHAnsi"/>
          <w:sz w:val="24"/>
          <w:szCs w:val="24"/>
        </w:rPr>
        <w:t>.</w:t>
      </w:r>
      <w:r w:rsidRPr="00F8770B">
        <w:rPr>
          <w:rFonts w:asciiTheme="minorHAnsi" w:hAnsiTheme="minorHAnsi" w:cstheme="minorHAnsi"/>
        </w:rPr>
        <w:t xml:space="preserve"> </w:t>
      </w:r>
      <w:r w:rsidRPr="00F8770B">
        <w:rPr>
          <w:rFonts w:ascii="Calibri" w:eastAsia="Calibri" w:hAnsi="Calibri" w:cs="Calibri"/>
          <w:sz w:val="24"/>
          <w:szCs w:val="24"/>
        </w:rPr>
        <w:t>Součástí probíhajících přirozených procesů v NP je hmyz a jeho působení, včetně druhů označovaných jako hmyz podkorní (např. lýkožrout smrkový) a hm</w:t>
      </w:r>
      <w:r w:rsidR="00D73402">
        <w:rPr>
          <w:rFonts w:ascii="Calibri" w:eastAsia="Calibri" w:hAnsi="Calibri" w:cs="Calibri"/>
          <w:sz w:val="24"/>
          <w:szCs w:val="24"/>
        </w:rPr>
        <w:t>yz dřevokazný (např. tesařík</w:t>
      </w:r>
      <w:r>
        <w:rPr>
          <w:rFonts w:ascii="Calibri" w:eastAsia="Calibri" w:hAnsi="Calibri" w:cs="Calibri"/>
          <w:sz w:val="24"/>
          <w:szCs w:val="24"/>
        </w:rPr>
        <w:t>).</w:t>
      </w:r>
    </w:p>
    <w:p w14:paraId="7A4EDAA7" w14:textId="12B50E3B" w:rsidR="00184D81" w:rsidRDefault="00184D81" w:rsidP="00C90E35">
      <w:pPr>
        <w:widowControl/>
        <w:spacing w:before="120" w:after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Produkce dřeva</w:t>
      </w:r>
      <w:r w:rsidRPr="00647DF3">
        <w:rPr>
          <w:rFonts w:ascii="Calibri" w:eastAsia="Calibri" w:hAnsi="Calibri" w:cs="Calibri"/>
          <w:sz w:val="24"/>
          <w:szCs w:val="24"/>
        </w:rPr>
        <w:t xml:space="preserve"> a </w:t>
      </w:r>
      <w:r w:rsidR="00B71686">
        <w:rPr>
          <w:rFonts w:ascii="Calibri" w:eastAsia="Calibri" w:hAnsi="Calibri" w:cs="Calibri"/>
          <w:sz w:val="24"/>
          <w:szCs w:val="24"/>
        </w:rPr>
        <w:t>jeho</w:t>
      </w:r>
      <w:r w:rsidRPr="00647DF3">
        <w:rPr>
          <w:rFonts w:ascii="Calibri" w:eastAsia="Calibri" w:hAnsi="Calibri" w:cs="Calibri"/>
          <w:sz w:val="24"/>
          <w:szCs w:val="24"/>
        </w:rPr>
        <w:t xml:space="preserve"> zpeněžení </w:t>
      </w:r>
      <w:r w:rsidR="00B71686">
        <w:rPr>
          <w:rFonts w:ascii="Calibri" w:eastAsia="Calibri" w:hAnsi="Calibri" w:cs="Calibri"/>
          <w:sz w:val="24"/>
          <w:szCs w:val="24"/>
        </w:rPr>
        <w:t>nejsou</w:t>
      </w:r>
      <w:r w:rsidRPr="00647DF3">
        <w:rPr>
          <w:rFonts w:ascii="Calibri" w:eastAsia="Calibri" w:hAnsi="Calibri" w:cs="Calibri"/>
          <w:sz w:val="24"/>
          <w:szCs w:val="24"/>
        </w:rPr>
        <w:t xml:space="preserve"> </w:t>
      </w:r>
      <w:r w:rsidRPr="00E33B9B">
        <w:rPr>
          <w:rFonts w:ascii="Calibri" w:eastAsia="Calibri" w:hAnsi="Calibri" w:cs="Calibri"/>
          <w:sz w:val="24"/>
          <w:szCs w:val="24"/>
        </w:rPr>
        <w:t>priorit</w:t>
      </w:r>
      <w:r w:rsidR="00B71686">
        <w:rPr>
          <w:rFonts w:ascii="Calibri" w:eastAsia="Calibri" w:hAnsi="Calibri" w:cs="Calibri"/>
          <w:sz w:val="24"/>
          <w:szCs w:val="24"/>
        </w:rPr>
        <w:t>y</w:t>
      </w:r>
      <w:r w:rsidRPr="00E33B9B">
        <w:rPr>
          <w:rFonts w:ascii="Calibri" w:eastAsia="Calibri" w:hAnsi="Calibri" w:cs="Calibri"/>
          <w:sz w:val="24"/>
          <w:szCs w:val="24"/>
        </w:rPr>
        <w:t xml:space="preserve"> péče o lesy na území NP, přesto výnosy z prodeje dřeva představují významnou položku </w:t>
      </w:r>
      <w:r w:rsidR="00EE6E7A" w:rsidRPr="00E33B9B">
        <w:rPr>
          <w:rFonts w:ascii="Calibri" w:eastAsia="Calibri" w:hAnsi="Calibri" w:cs="Calibri"/>
          <w:sz w:val="24"/>
          <w:szCs w:val="24"/>
        </w:rPr>
        <w:t>celkových výnosů</w:t>
      </w:r>
      <w:r w:rsidR="004A0706">
        <w:rPr>
          <w:rFonts w:ascii="Calibri" w:eastAsia="Calibri" w:hAnsi="Calibri" w:cs="Calibri"/>
          <w:sz w:val="24"/>
          <w:szCs w:val="24"/>
        </w:rPr>
        <w:t>. Tato položka bude do</w:t>
      </w:r>
      <w:r w:rsidR="00B71686">
        <w:rPr>
          <w:rFonts w:ascii="Calibri" w:eastAsia="Calibri" w:hAnsi="Calibri" w:cs="Calibri"/>
          <w:sz w:val="24"/>
          <w:szCs w:val="24"/>
        </w:rPr>
        <w:t xml:space="preserve"> </w:t>
      </w:r>
      <w:r w:rsidRPr="00E33B9B">
        <w:rPr>
          <w:rFonts w:ascii="Calibri" w:eastAsia="Calibri" w:hAnsi="Calibri" w:cs="Calibri"/>
          <w:sz w:val="24"/>
          <w:szCs w:val="24"/>
        </w:rPr>
        <w:t>budoucna ovlivněna jednak aktuálním stavem</w:t>
      </w:r>
      <w:r>
        <w:rPr>
          <w:rFonts w:ascii="Calibri" w:eastAsia="Calibri" w:hAnsi="Calibri" w:cs="Calibri"/>
          <w:sz w:val="24"/>
          <w:szCs w:val="24"/>
        </w:rPr>
        <w:t xml:space="preserve"> nadbytku dřeva na českém a evropském trhu, jednak postupným snižováním rozsahu těžby z důvodu dosažení stanovených cílů a</w:t>
      </w:r>
      <w:r w:rsidR="003D1A59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utlumení aktivního managementu v lesních ekosystémech.</w:t>
      </w:r>
    </w:p>
    <w:p w14:paraId="33572305" w14:textId="684216D5" w:rsidR="009F2B99" w:rsidRPr="009F2B99" w:rsidRDefault="009F2B99" w:rsidP="00C90E35">
      <w:pPr>
        <w:widowControl/>
        <w:tabs>
          <w:tab w:val="left" w:pos="1230"/>
        </w:tabs>
        <w:autoSpaceDE/>
        <w:autoSpaceDN/>
        <w:adjustRightInd/>
        <w:spacing w:after="160"/>
        <w:jc w:val="both"/>
        <w:rPr>
          <w:rFonts w:ascii="Calibri" w:eastAsia="Calibri" w:hAnsi="Calibri" w:cs="Calibri"/>
          <w:sz w:val="24"/>
          <w:szCs w:val="24"/>
          <w:highlight w:val="lightGray"/>
          <w:lang w:eastAsia="en-US"/>
        </w:rPr>
      </w:pPr>
      <w:r w:rsidRPr="00B25A01">
        <w:rPr>
          <w:rFonts w:ascii="Calibri" w:eastAsia="Calibri" w:hAnsi="Calibri" w:cs="Calibri"/>
          <w:sz w:val="24"/>
          <w:szCs w:val="24"/>
          <w:lang w:eastAsia="en-US"/>
        </w:rPr>
        <w:t xml:space="preserve">V roce 2018 bylo v lesích </w:t>
      </w:r>
      <w:r w:rsidRPr="00E46288">
        <w:rPr>
          <w:rFonts w:ascii="Calibri" w:eastAsia="Calibri" w:hAnsi="Calibri" w:cs="Calibri"/>
          <w:sz w:val="24"/>
          <w:szCs w:val="24"/>
          <w:lang w:eastAsia="en-US"/>
        </w:rPr>
        <w:t>na území NP</w:t>
      </w:r>
      <w:r w:rsidRPr="00E46288">
        <w:rPr>
          <w:rStyle w:val="Znakapoznpodarou"/>
          <w:rFonts w:ascii="Calibri" w:eastAsia="Calibri" w:hAnsi="Calibri"/>
          <w:sz w:val="24"/>
          <w:szCs w:val="24"/>
          <w:lang w:eastAsia="en-US"/>
        </w:rPr>
        <w:footnoteReference w:id="25"/>
      </w:r>
      <w:r w:rsidRPr="00E46288">
        <w:rPr>
          <w:rFonts w:ascii="Calibri" w:eastAsia="Calibri" w:hAnsi="Calibri" w:cs="Calibri"/>
          <w:sz w:val="24"/>
          <w:szCs w:val="24"/>
          <w:lang w:eastAsia="en-US"/>
        </w:rPr>
        <w:t xml:space="preserve"> vytěženo</w:t>
      </w:r>
      <w:r w:rsidRPr="00B25A01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BE5E7B">
        <w:rPr>
          <w:rFonts w:ascii="Calibri" w:eastAsia="Calibri" w:hAnsi="Calibri" w:cs="Calibri"/>
          <w:sz w:val="24"/>
          <w:szCs w:val="24"/>
          <w:lang w:eastAsia="en-US"/>
        </w:rPr>
        <w:t>celkem 431 930 m</w:t>
      </w:r>
      <w:r w:rsidRPr="00BE5E7B">
        <w:rPr>
          <w:rFonts w:ascii="Calibri" w:eastAsia="Calibri" w:hAnsi="Calibri" w:cs="Calibri"/>
          <w:sz w:val="24"/>
          <w:szCs w:val="24"/>
          <w:vertAlign w:val="superscript"/>
          <w:lang w:eastAsia="en-US"/>
        </w:rPr>
        <w:t>3</w:t>
      </w:r>
      <w:r w:rsidRPr="00BE5E7B">
        <w:rPr>
          <w:rFonts w:ascii="Calibri" w:eastAsia="Calibri" w:hAnsi="Calibri" w:cs="Calibri"/>
          <w:sz w:val="24"/>
          <w:szCs w:val="24"/>
          <w:lang w:eastAsia="en-US"/>
        </w:rPr>
        <w:t xml:space="preserve"> dřeva,</w:t>
      </w:r>
      <w:r w:rsidRPr="00B25A01">
        <w:rPr>
          <w:rFonts w:ascii="Calibri" w:eastAsia="Calibri" w:hAnsi="Calibri" w:cs="Calibri"/>
          <w:sz w:val="24"/>
          <w:szCs w:val="24"/>
          <w:lang w:eastAsia="en-US"/>
        </w:rPr>
        <w:t xml:space="preserve"> což ve srovnání s rokem 2016 znamená </w:t>
      </w:r>
      <w:r w:rsidRPr="00BE5E7B">
        <w:rPr>
          <w:rFonts w:ascii="Calibri" w:eastAsia="Calibri" w:hAnsi="Calibri" w:cs="Calibri"/>
          <w:sz w:val="24"/>
          <w:szCs w:val="24"/>
          <w:lang w:eastAsia="en-US"/>
        </w:rPr>
        <w:t>nárůst o 61 %.</w:t>
      </w:r>
      <w:r w:rsidRPr="00B25A01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</w:p>
    <w:p w14:paraId="4E5F3084" w14:textId="46EFB464" w:rsidR="00184D81" w:rsidRPr="00EE6E7A" w:rsidRDefault="00EE6E7A" w:rsidP="00C90E35">
      <w:pPr>
        <w:widowControl/>
        <w:spacing w:before="120" w:after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Následující graf zobrazuje výši příspěvku na provoz a výnosů z prodeje dřeva jednotlivých sprá</w:t>
      </w:r>
      <w:r w:rsidR="009D0AAA">
        <w:rPr>
          <w:rFonts w:ascii="Calibri" w:eastAsia="Calibri" w:hAnsi="Calibri" w:cs="Calibri"/>
          <w:sz w:val="24"/>
          <w:szCs w:val="24"/>
        </w:rPr>
        <w:t>v NP v roce</w:t>
      </w:r>
      <w:r>
        <w:rPr>
          <w:rFonts w:ascii="Calibri" w:eastAsia="Calibri" w:hAnsi="Calibri" w:cs="Calibri"/>
          <w:sz w:val="24"/>
          <w:szCs w:val="24"/>
        </w:rPr>
        <w:t xml:space="preserve"> 2018, kdy měly všechny správy NP s ohledem na </w:t>
      </w:r>
      <w:r w:rsidR="00B71686">
        <w:rPr>
          <w:rFonts w:ascii="Calibri" w:eastAsia="Calibri" w:hAnsi="Calibri" w:cs="Calibri"/>
          <w:sz w:val="24"/>
          <w:szCs w:val="24"/>
        </w:rPr>
        <w:t xml:space="preserve">svou </w:t>
      </w:r>
      <w:r>
        <w:rPr>
          <w:rFonts w:ascii="Calibri" w:eastAsia="Calibri" w:hAnsi="Calibri" w:cs="Calibri"/>
          <w:sz w:val="24"/>
          <w:szCs w:val="24"/>
        </w:rPr>
        <w:t>právní formu stejný způsob financování.</w:t>
      </w:r>
    </w:p>
    <w:p w14:paraId="0BB4A734" w14:textId="7C0E78C7" w:rsidR="00DC54C6" w:rsidRPr="0027012A" w:rsidRDefault="007A255B" w:rsidP="00C90E35">
      <w:pPr>
        <w:widowControl/>
        <w:tabs>
          <w:tab w:val="right" w:pos="9072"/>
        </w:tabs>
        <w:autoSpaceDE/>
        <w:autoSpaceDN/>
        <w:adjustRightInd/>
        <w:rPr>
          <w:rFonts w:ascii="Calibri" w:hAnsi="Calibri" w:cs="Times New Roman"/>
          <w:b/>
          <w:sz w:val="24"/>
          <w:szCs w:val="24"/>
          <w:lang w:eastAsia="en-US"/>
        </w:rPr>
      </w:pPr>
      <w:r w:rsidRPr="0027012A">
        <w:rPr>
          <w:rFonts w:ascii="Calibri" w:hAnsi="Calibri" w:cs="Times New Roman"/>
          <w:b/>
          <w:sz w:val="24"/>
          <w:szCs w:val="24"/>
          <w:lang w:eastAsia="en-US"/>
        </w:rPr>
        <w:t>Graf č</w:t>
      </w:r>
      <w:r w:rsidRPr="00555938">
        <w:rPr>
          <w:rFonts w:ascii="Calibri" w:hAnsi="Calibri" w:cs="Times New Roman"/>
          <w:b/>
          <w:sz w:val="24"/>
          <w:szCs w:val="24"/>
          <w:lang w:eastAsia="en-US"/>
        </w:rPr>
        <w:t>. 1: Výše</w:t>
      </w:r>
      <w:r w:rsidRPr="0027012A">
        <w:rPr>
          <w:rFonts w:ascii="Calibri" w:hAnsi="Calibri" w:cs="Times New Roman"/>
          <w:b/>
          <w:sz w:val="24"/>
          <w:szCs w:val="24"/>
          <w:lang w:eastAsia="en-US"/>
        </w:rPr>
        <w:t xml:space="preserve"> příspěvku na provoz a výnos</w:t>
      </w:r>
      <w:r w:rsidR="005008CA">
        <w:rPr>
          <w:rFonts w:ascii="Calibri" w:hAnsi="Calibri" w:cs="Times New Roman"/>
          <w:b/>
          <w:sz w:val="24"/>
          <w:szCs w:val="24"/>
          <w:lang w:eastAsia="en-US"/>
        </w:rPr>
        <w:t>y</w:t>
      </w:r>
      <w:r w:rsidRPr="0027012A">
        <w:rPr>
          <w:rFonts w:ascii="Calibri" w:hAnsi="Calibri" w:cs="Times New Roman"/>
          <w:b/>
          <w:sz w:val="24"/>
          <w:szCs w:val="24"/>
          <w:lang w:eastAsia="en-US"/>
        </w:rPr>
        <w:t xml:space="preserve"> z pro</w:t>
      </w:r>
      <w:r>
        <w:rPr>
          <w:rFonts w:ascii="Calibri" w:hAnsi="Calibri" w:cs="Times New Roman"/>
          <w:b/>
          <w:sz w:val="24"/>
          <w:szCs w:val="24"/>
          <w:lang w:eastAsia="en-US"/>
        </w:rPr>
        <w:t>deje dřeva v roce 2018</w:t>
      </w:r>
      <w:r w:rsidR="009C774D">
        <w:rPr>
          <w:rFonts w:ascii="Calibri" w:hAnsi="Calibri" w:cs="Times New Roman"/>
          <w:b/>
          <w:sz w:val="24"/>
          <w:szCs w:val="24"/>
          <w:lang w:eastAsia="en-US"/>
        </w:rPr>
        <w:t xml:space="preserve"> </w:t>
      </w:r>
      <w:r w:rsidR="009C774D">
        <w:rPr>
          <w:rFonts w:ascii="Calibri" w:hAnsi="Calibri" w:cs="Times New Roman"/>
          <w:b/>
          <w:sz w:val="24"/>
          <w:szCs w:val="24"/>
          <w:lang w:eastAsia="en-US"/>
        </w:rPr>
        <w:tab/>
        <w:t xml:space="preserve">(v tis. Kč) </w:t>
      </w:r>
    </w:p>
    <w:p w14:paraId="00D3DA58" w14:textId="77777777" w:rsidR="007A255B" w:rsidRDefault="007A255B" w:rsidP="00C90E35">
      <w:pPr>
        <w:widowControl/>
        <w:jc w:val="both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inline distT="0" distB="0" distL="0" distR="0" wp14:anchorId="7E6D7589" wp14:editId="12C826F8">
            <wp:extent cx="5734050" cy="2247900"/>
            <wp:effectExtent l="0" t="0" r="0" b="0"/>
            <wp:docPr id="4" name="Graf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A6C040F" w14:textId="0C207464" w:rsidR="007A255B" w:rsidRPr="008D7C13" w:rsidRDefault="007A255B" w:rsidP="00C90E35">
      <w:pPr>
        <w:widowControl/>
        <w:spacing w:after="120"/>
        <w:jc w:val="both"/>
        <w:rPr>
          <w:rFonts w:ascii="Calibri" w:eastAsia="Calibri" w:hAnsi="Calibri" w:cs="Calibri"/>
        </w:rPr>
      </w:pPr>
      <w:r w:rsidRPr="0027012A">
        <w:rPr>
          <w:rFonts w:ascii="Calibri" w:eastAsia="Calibri" w:hAnsi="Calibri" w:cs="Calibri"/>
          <w:b/>
        </w:rPr>
        <w:t>Zdroj:</w:t>
      </w:r>
      <w:r w:rsidRPr="004862C3">
        <w:rPr>
          <w:rFonts w:ascii="Calibri" w:eastAsia="Calibri" w:hAnsi="Calibri" w:cs="Calibri"/>
        </w:rPr>
        <w:t xml:space="preserve"> </w:t>
      </w:r>
      <w:r w:rsidR="006F5E64">
        <w:rPr>
          <w:rFonts w:ascii="Calibri" w:eastAsia="Calibri" w:hAnsi="Calibri" w:cs="Calibri"/>
        </w:rPr>
        <w:t>i</w:t>
      </w:r>
      <w:r w:rsidRPr="004862C3">
        <w:rPr>
          <w:rFonts w:ascii="Calibri" w:eastAsia="Calibri" w:hAnsi="Calibri" w:cs="Calibri"/>
        </w:rPr>
        <w:t>nformace</w:t>
      </w:r>
      <w:r w:rsidRPr="008D7C13">
        <w:rPr>
          <w:rFonts w:ascii="Calibri" w:eastAsia="Calibri" w:hAnsi="Calibri" w:cs="Calibri"/>
        </w:rPr>
        <w:t xml:space="preserve"> MŽP a jednotlivých správ NP.</w:t>
      </w:r>
    </w:p>
    <w:p w14:paraId="1CBAE3CB" w14:textId="1563875D" w:rsidR="00EC2F37" w:rsidRPr="00B25A01" w:rsidRDefault="00EC2F37" w:rsidP="00C90E35">
      <w:pPr>
        <w:widowControl/>
        <w:tabs>
          <w:tab w:val="left" w:pos="1230"/>
        </w:tabs>
        <w:autoSpaceDE/>
        <w:autoSpaceDN/>
        <w:adjustRightInd/>
        <w:spacing w:after="16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B25A01">
        <w:rPr>
          <w:rFonts w:ascii="Calibri" w:eastAsia="Calibri" w:hAnsi="Calibri" w:cs="Calibri"/>
          <w:sz w:val="24"/>
          <w:szCs w:val="24"/>
          <w:lang w:eastAsia="en-US"/>
        </w:rPr>
        <w:lastRenderedPageBreak/>
        <w:t xml:space="preserve">V kontrolovaném období se snižoval podíl </w:t>
      </w:r>
      <w:r w:rsidRPr="00572962">
        <w:rPr>
          <w:rFonts w:ascii="Calibri" w:eastAsia="Calibri" w:hAnsi="Calibri" w:cs="Calibri"/>
          <w:sz w:val="24"/>
          <w:szCs w:val="24"/>
          <w:lang w:eastAsia="en-US"/>
        </w:rPr>
        <w:t>úmyslné těžby</w:t>
      </w:r>
      <w:r w:rsidRPr="00572962">
        <w:rPr>
          <w:rFonts w:ascii="Calibri" w:eastAsia="Calibri" w:hAnsi="Calibri" w:cs="Calibri"/>
          <w:sz w:val="24"/>
          <w:szCs w:val="24"/>
          <w:vertAlign w:val="superscript"/>
          <w:lang w:eastAsia="en-US"/>
        </w:rPr>
        <w:footnoteReference w:id="26"/>
      </w:r>
      <w:r w:rsidRPr="00572962">
        <w:rPr>
          <w:rFonts w:ascii="Calibri" w:eastAsia="Calibri" w:hAnsi="Calibri" w:cs="Calibri"/>
          <w:sz w:val="24"/>
          <w:szCs w:val="24"/>
          <w:lang w:eastAsia="en-US"/>
        </w:rPr>
        <w:t xml:space="preserve"> (obnovní a výchovná) </w:t>
      </w:r>
      <w:r w:rsidR="0036026D">
        <w:rPr>
          <w:rFonts w:ascii="Calibri" w:eastAsia="Calibri" w:hAnsi="Calibri" w:cs="Calibri"/>
          <w:sz w:val="24"/>
          <w:szCs w:val="24"/>
          <w:lang w:eastAsia="en-US"/>
        </w:rPr>
        <w:t>a naopak se zvyšoval</w:t>
      </w:r>
      <w:r w:rsidRPr="00572962">
        <w:rPr>
          <w:rFonts w:ascii="Calibri" w:eastAsia="Calibri" w:hAnsi="Calibri" w:cs="Calibri"/>
          <w:sz w:val="24"/>
          <w:szCs w:val="24"/>
          <w:lang w:eastAsia="en-US"/>
        </w:rPr>
        <w:t xml:space="preserve"> podíl těžby nahodilé</w:t>
      </w:r>
      <w:r w:rsidRPr="00572962">
        <w:rPr>
          <w:rFonts w:ascii="Calibri" w:eastAsia="Calibri" w:hAnsi="Calibri" w:cs="Calibri"/>
          <w:sz w:val="24"/>
          <w:szCs w:val="24"/>
          <w:vertAlign w:val="superscript"/>
          <w:lang w:eastAsia="en-US"/>
        </w:rPr>
        <w:footnoteReference w:id="27"/>
      </w:r>
      <w:r w:rsidRPr="00572962">
        <w:rPr>
          <w:rFonts w:ascii="Calibri" w:eastAsia="Calibri" w:hAnsi="Calibri" w:cs="Calibri"/>
          <w:sz w:val="24"/>
          <w:szCs w:val="24"/>
          <w:lang w:eastAsia="en-US"/>
        </w:rPr>
        <w:t xml:space="preserve">. Růst nahodilé těžby byl způsoben abiotickými 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činiteli </w:t>
      </w:r>
      <w:r w:rsidRPr="00572962">
        <w:rPr>
          <w:rFonts w:ascii="Calibri" w:eastAsia="Calibri" w:hAnsi="Calibri" w:cs="Calibri"/>
          <w:sz w:val="24"/>
          <w:szCs w:val="24"/>
          <w:lang w:eastAsia="en-US"/>
        </w:rPr>
        <w:t>a</w:t>
      </w:r>
      <w:r w:rsidR="003D1A59">
        <w:rPr>
          <w:rFonts w:ascii="Calibri" w:eastAsia="Calibri" w:hAnsi="Calibri" w:cs="Calibri"/>
          <w:sz w:val="24"/>
          <w:szCs w:val="24"/>
          <w:lang w:eastAsia="en-US"/>
        </w:rPr>
        <w:t> 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nadměrným </w:t>
      </w:r>
      <w:r w:rsidRPr="00572962">
        <w:rPr>
          <w:rFonts w:ascii="Calibri" w:eastAsia="Calibri" w:hAnsi="Calibri" w:cs="Calibri"/>
          <w:sz w:val="24"/>
          <w:szCs w:val="24"/>
          <w:lang w:eastAsia="en-US"/>
        </w:rPr>
        <w:t xml:space="preserve">výskytem </w:t>
      </w:r>
      <w:r w:rsidR="0036026D" w:rsidRPr="0050785F">
        <w:rPr>
          <w:rFonts w:ascii="Calibri" w:eastAsia="Calibri" w:hAnsi="Calibri" w:cs="Calibri"/>
          <w:sz w:val="24"/>
          <w:szCs w:val="24"/>
          <w:lang w:eastAsia="en-US"/>
        </w:rPr>
        <w:t xml:space="preserve">škodlivých </w:t>
      </w:r>
      <w:r w:rsidRPr="0050785F">
        <w:rPr>
          <w:rFonts w:ascii="Calibri" w:eastAsia="Calibri" w:hAnsi="Calibri" w:cs="Calibri"/>
          <w:sz w:val="24"/>
          <w:szCs w:val="24"/>
          <w:lang w:eastAsia="en-US"/>
        </w:rPr>
        <w:t>biotických činitelů</w:t>
      </w:r>
      <w:r w:rsidRPr="00572962">
        <w:rPr>
          <w:rFonts w:ascii="Calibri" w:eastAsia="Calibri" w:hAnsi="Calibri" w:cs="Calibri"/>
          <w:sz w:val="24"/>
          <w:szCs w:val="24"/>
          <w:lang w:eastAsia="en-US"/>
        </w:rPr>
        <w:t>. Podíl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těžby jehličnatého dřeva</w:t>
      </w:r>
      <w:r w:rsidRPr="00B25A01">
        <w:rPr>
          <w:rFonts w:ascii="Calibri" w:eastAsia="Calibri" w:hAnsi="Calibri" w:cs="Calibri"/>
          <w:sz w:val="24"/>
          <w:szCs w:val="24"/>
          <w:lang w:eastAsia="en-US"/>
        </w:rPr>
        <w:t xml:space="preserve"> na celkových těžbách činil </w:t>
      </w:r>
      <w:r w:rsidRPr="00572962">
        <w:rPr>
          <w:rFonts w:ascii="Calibri" w:eastAsia="Calibri" w:hAnsi="Calibri" w:cs="Calibri"/>
          <w:sz w:val="24"/>
          <w:szCs w:val="24"/>
          <w:lang w:eastAsia="en-US"/>
        </w:rPr>
        <w:t>přibližně 97 %.</w:t>
      </w:r>
    </w:p>
    <w:p w14:paraId="042E9EEB" w14:textId="4EC1808F" w:rsidR="00EC2F37" w:rsidRDefault="00EC2F37" w:rsidP="00C90E35">
      <w:pPr>
        <w:widowControl/>
        <w:autoSpaceDE/>
        <w:autoSpaceDN/>
        <w:adjustRightInd/>
        <w:jc w:val="both"/>
        <w:rPr>
          <w:rFonts w:ascii="Calibri" w:eastAsia="Calibri" w:hAnsi="Calibri" w:cs="Times New Roman"/>
          <w:b/>
          <w:noProof/>
          <w:sz w:val="24"/>
          <w:szCs w:val="24"/>
        </w:rPr>
      </w:pPr>
      <w:r w:rsidRPr="0027012A">
        <w:rPr>
          <w:rFonts w:ascii="Calibri" w:eastAsia="Calibri" w:hAnsi="Calibri" w:cs="Times New Roman"/>
          <w:b/>
          <w:noProof/>
          <w:sz w:val="24"/>
          <w:szCs w:val="24"/>
        </w:rPr>
        <w:t>Gra</w:t>
      </w:r>
      <w:r w:rsidRPr="00555938">
        <w:rPr>
          <w:rFonts w:ascii="Calibri" w:eastAsia="Calibri" w:hAnsi="Calibri" w:cs="Times New Roman"/>
          <w:b/>
          <w:noProof/>
          <w:sz w:val="24"/>
          <w:szCs w:val="24"/>
        </w:rPr>
        <w:t>f č. 2:</w:t>
      </w:r>
      <w:r w:rsidRPr="0027012A">
        <w:rPr>
          <w:rFonts w:ascii="Calibri" w:eastAsia="Calibri" w:hAnsi="Calibri" w:cs="Times New Roman"/>
          <w:b/>
          <w:noProof/>
          <w:sz w:val="24"/>
          <w:szCs w:val="24"/>
        </w:rPr>
        <w:t xml:space="preserve"> Vývoj úmyslné a nahodilé těžby </w:t>
      </w:r>
      <w:r>
        <w:rPr>
          <w:rFonts w:ascii="Calibri" w:eastAsia="Calibri" w:hAnsi="Calibri" w:cs="Times New Roman"/>
          <w:b/>
          <w:noProof/>
          <w:sz w:val="24"/>
          <w:szCs w:val="24"/>
        </w:rPr>
        <w:t>v letech 2016–2018 (v %)</w:t>
      </w:r>
    </w:p>
    <w:p w14:paraId="0B9351AD" w14:textId="3D298BD9" w:rsidR="00EC2F37" w:rsidRPr="00DC54C6" w:rsidRDefault="00DC54C6" w:rsidP="00C90E35">
      <w:pPr>
        <w:widowControl/>
        <w:autoSpaceDE/>
        <w:autoSpaceDN/>
        <w:adjustRightInd/>
        <w:jc w:val="both"/>
        <w:rPr>
          <w:rFonts w:ascii="Calibri" w:eastAsia="Calibri" w:hAnsi="Calibri" w:cs="Times New Roman"/>
          <w:b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6D95C156" wp14:editId="6CF91B22">
            <wp:extent cx="5760720" cy="2984500"/>
            <wp:effectExtent l="0" t="0" r="11430" b="6350"/>
            <wp:docPr id="6" name="Graf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2DB10515" w14:textId="264CBEE6" w:rsidR="00EC2F37" w:rsidRPr="008A0922" w:rsidRDefault="00EC2F37" w:rsidP="00C90E35">
      <w:pPr>
        <w:widowControl/>
        <w:tabs>
          <w:tab w:val="left" w:pos="1230"/>
        </w:tabs>
        <w:autoSpaceDE/>
        <w:autoSpaceDN/>
        <w:adjustRightInd/>
        <w:spacing w:after="160"/>
        <w:jc w:val="both"/>
        <w:rPr>
          <w:rFonts w:ascii="Calibri" w:eastAsia="Calibri" w:hAnsi="Calibri" w:cs="Calibri"/>
          <w:lang w:eastAsia="en-US"/>
        </w:rPr>
      </w:pPr>
      <w:r w:rsidRPr="0027012A">
        <w:rPr>
          <w:rFonts w:ascii="Calibri" w:eastAsia="Calibri" w:hAnsi="Calibri" w:cs="Calibri"/>
          <w:b/>
          <w:lang w:eastAsia="en-US"/>
        </w:rPr>
        <w:t>Zdroj:</w:t>
      </w:r>
      <w:r w:rsidRPr="008A0922">
        <w:rPr>
          <w:rFonts w:ascii="Calibri" w:eastAsia="Calibri" w:hAnsi="Calibri" w:cs="Calibri"/>
          <w:lang w:eastAsia="en-US"/>
        </w:rPr>
        <w:t xml:space="preserve"> </w:t>
      </w:r>
      <w:r>
        <w:rPr>
          <w:rFonts w:ascii="Calibri" w:eastAsia="Calibri" w:hAnsi="Calibri" w:cs="Calibri"/>
          <w:lang w:eastAsia="en-US"/>
        </w:rPr>
        <w:t>i</w:t>
      </w:r>
      <w:r w:rsidRPr="008A0922">
        <w:rPr>
          <w:rFonts w:ascii="Calibri" w:eastAsia="Calibri" w:hAnsi="Calibri" w:cs="Calibri"/>
          <w:lang w:eastAsia="en-US"/>
        </w:rPr>
        <w:t>nformace</w:t>
      </w:r>
      <w:r>
        <w:rPr>
          <w:rFonts w:ascii="Calibri" w:eastAsia="Calibri" w:hAnsi="Calibri" w:cs="Calibri"/>
          <w:lang w:eastAsia="en-US"/>
        </w:rPr>
        <w:t xml:space="preserve"> jednotlivých správ NP.</w:t>
      </w:r>
    </w:p>
    <w:p w14:paraId="7B1CC90C" w14:textId="77777777" w:rsidR="00EC2F37" w:rsidRPr="005413E1" w:rsidRDefault="00EC2F37" w:rsidP="00C90E35">
      <w:pPr>
        <w:widowControl/>
        <w:autoSpaceDE/>
        <w:autoSpaceDN/>
        <w:adjustRightInd/>
        <w:spacing w:before="120" w:after="120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5413E1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Vliv </w:t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>biotických činitelů</w:t>
      </w:r>
    </w:p>
    <w:p w14:paraId="1A59CA12" w14:textId="77777777" w:rsidR="00EC2F37" w:rsidRDefault="00EC2F37" w:rsidP="00C90E35">
      <w:pPr>
        <w:widowControl/>
        <w:autoSpaceDE/>
        <w:autoSpaceDN/>
        <w:adjustRightInd/>
        <w:spacing w:before="120" w:after="12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9A0AC0">
        <w:rPr>
          <w:rFonts w:ascii="Calibri" w:eastAsia="Calibri" w:hAnsi="Calibri" w:cs="Calibri"/>
          <w:sz w:val="24"/>
          <w:szCs w:val="24"/>
          <w:lang w:eastAsia="en-US"/>
        </w:rPr>
        <w:t xml:space="preserve">Ochrana lesa 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např. </w:t>
      </w:r>
      <w:r w:rsidRPr="009A0AC0">
        <w:rPr>
          <w:rFonts w:ascii="Calibri" w:eastAsia="Calibri" w:hAnsi="Calibri" w:cs="Calibri"/>
          <w:sz w:val="24"/>
          <w:szCs w:val="24"/>
          <w:lang w:eastAsia="en-US"/>
        </w:rPr>
        <w:t>proti hmyzím škůdcům patří ke standardním činnostem v rámci managementu lesů jednotlivých správ NP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a správy NP zasahují proti podkornímu a dřevokaznému hmyzu v souladu s platným plánem péče</w:t>
      </w:r>
      <w:r>
        <w:rPr>
          <w:rStyle w:val="Znakapoznpodarou"/>
          <w:rFonts w:eastAsia="Calibri"/>
          <w:sz w:val="24"/>
          <w:szCs w:val="24"/>
          <w:lang w:eastAsia="en-US"/>
        </w:rPr>
        <w:footnoteReference w:id="28"/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a platnými lesními hospodářskými plány, které byly vytvořeny pro všechny pozemky určené k plnění funkcí lesa.</w:t>
      </w:r>
    </w:p>
    <w:p w14:paraId="01A9DFFF" w14:textId="694440CD" w:rsidR="00EC2F37" w:rsidRDefault="00EC2F37" w:rsidP="00C90E35">
      <w:pPr>
        <w:widowControl/>
        <w:autoSpaceDE/>
        <w:autoSpaceDN/>
        <w:adjustRightInd/>
        <w:spacing w:before="120" w:after="12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 xml:space="preserve">Správa KRNAP evidovala rok 2018 jako </w:t>
      </w:r>
      <w:r w:rsidRPr="00F25593">
        <w:rPr>
          <w:rFonts w:ascii="Calibri" w:eastAsia="Calibri" w:hAnsi="Calibri" w:cs="Calibri"/>
          <w:sz w:val="24"/>
          <w:szCs w:val="24"/>
          <w:lang w:eastAsia="en-US"/>
        </w:rPr>
        <w:t>čtvrtý nejhorší z po</w:t>
      </w:r>
      <w:r>
        <w:rPr>
          <w:rFonts w:ascii="Calibri" w:eastAsia="Calibri" w:hAnsi="Calibri" w:cs="Calibri"/>
          <w:sz w:val="24"/>
          <w:szCs w:val="24"/>
          <w:lang w:eastAsia="en-US"/>
        </w:rPr>
        <w:t>hledu podílu nahodilé těžby a</w:t>
      </w:r>
      <w:r w:rsidR="003D1A59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F25593">
        <w:rPr>
          <w:rFonts w:ascii="Calibri" w:eastAsia="Calibri" w:hAnsi="Calibri" w:cs="Calibri"/>
          <w:sz w:val="24"/>
          <w:szCs w:val="24"/>
          <w:lang w:eastAsia="en-US"/>
        </w:rPr>
        <w:t>druhý nejhorší z pohledu podílu kůrovcové těžby od roku 1994.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Správa KRNAP neurčuje plochu napadenou podkorním a dřevokazným hmyzem. Hmyz se jako součást ekosystémů vyskytuje na celé ploše lesů. Jediný způsob vykazování je kvantifikace nahodilých těžeb v m</w:t>
      </w:r>
      <w:r w:rsidRPr="00036631">
        <w:rPr>
          <w:rFonts w:ascii="Calibri" w:eastAsia="Calibri" w:hAnsi="Calibri" w:cs="Calibri"/>
          <w:sz w:val="24"/>
          <w:szCs w:val="24"/>
          <w:vertAlign w:val="superscript"/>
          <w:lang w:eastAsia="en-US"/>
        </w:rPr>
        <w:t>3</w:t>
      </w:r>
      <w:r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6D02E9BD" w14:textId="101EDA5A" w:rsidR="00EC2F37" w:rsidRDefault="00EC2F37" w:rsidP="00C90E35">
      <w:pPr>
        <w:widowControl/>
        <w:autoSpaceDE/>
        <w:autoSpaceDN/>
        <w:adjustRightInd/>
        <w:spacing w:before="120" w:after="12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>Plochy lesa poškozené mj. působením podkorního a dřevokazného hmyzu monitoruje Správa NP Šumava každoročně pomocí leteckého snímkování. V roce 2018</w:t>
      </w:r>
      <w:r w:rsidR="001B31A7" w:rsidRPr="001B31A7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1B31A7">
        <w:rPr>
          <w:rFonts w:ascii="Calibri" w:eastAsia="Calibri" w:hAnsi="Calibri" w:cs="Calibri"/>
          <w:sz w:val="24"/>
          <w:szCs w:val="24"/>
          <w:lang w:eastAsia="en-US"/>
        </w:rPr>
        <w:t>činila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dle vyjádření Správy NP Šumava celková plocha odumřelých stromů v NP Šumava </w:t>
      </w:r>
      <w:r w:rsidR="001B31A7">
        <w:rPr>
          <w:rFonts w:ascii="Calibri" w:eastAsia="Calibri" w:hAnsi="Calibri" w:cs="Calibri"/>
          <w:sz w:val="24"/>
          <w:szCs w:val="24"/>
          <w:lang w:eastAsia="en-US"/>
        </w:rPr>
        <w:t>uhynulých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zejména vlivem působení podkorního a dřevokazného hmyzu 5 570 ha, tj. podíl plochy souší činil 8 % celkové rozlohy NP.</w:t>
      </w:r>
    </w:p>
    <w:p w14:paraId="23CDE908" w14:textId="77777777" w:rsidR="00EC2F37" w:rsidRDefault="00EC2F37" w:rsidP="00C90E35">
      <w:pPr>
        <w:widowControl/>
        <w:autoSpaceDE/>
        <w:autoSpaceDN/>
        <w:adjustRightInd/>
        <w:spacing w:before="120" w:after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Správa NP Podyjí neeviduje žádné velkoplošné odumírání jehličnatých dřevin, kdy v</w:t>
      </w:r>
      <w:r w:rsidRPr="00B25A01">
        <w:rPr>
          <w:rFonts w:ascii="Calibri" w:eastAsia="Calibri" w:hAnsi="Calibri" w:cs="Calibri"/>
          <w:sz w:val="24"/>
          <w:szCs w:val="24"/>
        </w:rPr>
        <w:t xml:space="preserve">zhledem k dominanci listnatých dřevin (85 %) </w:t>
      </w:r>
      <w:r>
        <w:rPr>
          <w:rFonts w:ascii="Calibri" w:eastAsia="Calibri" w:hAnsi="Calibri" w:cs="Calibri"/>
          <w:sz w:val="24"/>
          <w:szCs w:val="24"/>
        </w:rPr>
        <w:t>tvoří</w:t>
      </w:r>
      <w:r w:rsidRPr="00B25A01">
        <w:rPr>
          <w:rFonts w:ascii="Calibri" w:eastAsia="Calibri" w:hAnsi="Calibri" w:cs="Calibri"/>
          <w:sz w:val="24"/>
          <w:szCs w:val="24"/>
        </w:rPr>
        <w:t xml:space="preserve"> jehličnaté dřeviny </w:t>
      </w:r>
      <w:r>
        <w:rPr>
          <w:rFonts w:ascii="Calibri" w:eastAsia="Calibri" w:hAnsi="Calibri" w:cs="Calibri"/>
          <w:sz w:val="24"/>
          <w:szCs w:val="24"/>
        </w:rPr>
        <w:t xml:space="preserve">často </w:t>
      </w:r>
      <w:r w:rsidRPr="00B25A01">
        <w:rPr>
          <w:rFonts w:ascii="Calibri" w:eastAsia="Calibri" w:hAnsi="Calibri" w:cs="Calibri"/>
          <w:sz w:val="24"/>
          <w:szCs w:val="24"/>
        </w:rPr>
        <w:t>pouze jednotlivou nebo skupinovou příměs v listnatých lesích</w:t>
      </w:r>
      <w:r>
        <w:rPr>
          <w:rFonts w:ascii="Calibri" w:eastAsia="Calibri" w:hAnsi="Calibri" w:cs="Calibri"/>
          <w:sz w:val="24"/>
          <w:szCs w:val="24"/>
        </w:rPr>
        <w:t>.</w:t>
      </w:r>
      <w:r w:rsidRPr="00B25A01">
        <w:rPr>
          <w:rFonts w:ascii="Calibri" w:eastAsia="Calibri" w:hAnsi="Calibri" w:cs="Calibri"/>
          <w:sz w:val="24"/>
          <w:szCs w:val="24"/>
        </w:rPr>
        <w:t xml:space="preserve"> </w:t>
      </w:r>
    </w:p>
    <w:p w14:paraId="2D71902E" w14:textId="6C5ABE39" w:rsidR="00EC2F37" w:rsidRPr="00F25593" w:rsidRDefault="00EC2F37" w:rsidP="00C90E35">
      <w:pPr>
        <w:widowControl/>
        <w:autoSpaceDE/>
        <w:autoSpaceDN/>
        <w:adjustRightInd/>
        <w:spacing w:before="120" w:after="12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V roce 2018 byly lesnické činnosti a </w:t>
      </w:r>
      <w:r w:rsidRPr="001D5C27">
        <w:rPr>
          <w:rFonts w:ascii="Calibri" w:eastAsia="Calibri" w:hAnsi="Calibri" w:cs="Calibri"/>
          <w:sz w:val="24"/>
          <w:szCs w:val="24"/>
        </w:rPr>
        <w:t>zásahy na území NP České Švýcarsko ovlivněny gradací kůrovce a prioritní</w:t>
      </w:r>
      <w:r w:rsidR="00AC1CD8">
        <w:rPr>
          <w:rFonts w:ascii="Calibri" w:eastAsia="Calibri" w:hAnsi="Calibri" w:cs="Calibri"/>
          <w:sz w:val="24"/>
          <w:szCs w:val="24"/>
        </w:rPr>
        <w:t>m</w:t>
      </w:r>
      <w:r w:rsidRPr="001D5C27">
        <w:rPr>
          <w:rFonts w:ascii="Calibri" w:eastAsia="Calibri" w:hAnsi="Calibri" w:cs="Calibri"/>
          <w:sz w:val="24"/>
          <w:szCs w:val="24"/>
        </w:rPr>
        <w:t xml:space="preserve"> řešení</w:t>
      </w:r>
      <w:r w:rsidR="00AC1CD8">
        <w:rPr>
          <w:rFonts w:ascii="Calibri" w:eastAsia="Calibri" w:hAnsi="Calibri" w:cs="Calibri"/>
          <w:sz w:val="24"/>
          <w:szCs w:val="24"/>
        </w:rPr>
        <w:t>m</w:t>
      </w:r>
      <w:r w:rsidRPr="001D5C27">
        <w:rPr>
          <w:rFonts w:ascii="Calibri" w:eastAsia="Calibri" w:hAnsi="Calibri" w:cs="Calibri"/>
          <w:sz w:val="24"/>
          <w:szCs w:val="24"/>
        </w:rPr>
        <w:t xml:space="preserve"> nahodilých těžeb, kdy správa NP evidovala 166 ha ploch lesů napadených podkorním hmyzem</w:t>
      </w:r>
      <w:r>
        <w:rPr>
          <w:rFonts w:ascii="Calibri" w:eastAsia="Calibri" w:hAnsi="Calibri" w:cs="Calibri"/>
          <w:sz w:val="24"/>
          <w:szCs w:val="24"/>
        </w:rPr>
        <w:t>, tj. cca 2 % celkové rozlohy NP</w:t>
      </w:r>
      <w:r w:rsidRPr="001D5C27">
        <w:rPr>
          <w:rFonts w:ascii="Calibri" w:eastAsia="Calibri" w:hAnsi="Calibri" w:cs="Calibri"/>
          <w:sz w:val="24"/>
          <w:szCs w:val="24"/>
        </w:rPr>
        <w:t>. V květnu 2019</w:t>
      </w:r>
      <w:r>
        <w:rPr>
          <w:rFonts w:ascii="Calibri" w:eastAsia="Calibri" w:hAnsi="Calibri" w:cs="Calibri"/>
          <w:sz w:val="24"/>
          <w:szCs w:val="24"/>
        </w:rPr>
        <w:t>, po ukončení kontroly, vydala Správa NP</w:t>
      </w:r>
      <w:r w:rsidR="00AC1CD8">
        <w:rPr>
          <w:rFonts w:ascii="Calibri" w:eastAsia="Calibri" w:hAnsi="Calibri" w:cs="Calibri"/>
          <w:sz w:val="24"/>
          <w:szCs w:val="24"/>
        </w:rPr>
        <w:t xml:space="preserve"> </w:t>
      </w:r>
      <w:r w:rsidRPr="001D5C27">
        <w:rPr>
          <w:rFonts w:ascii="Calibri" w:eastAsia="Calibri" w:hAnsi="Calibri" w:cs="Calibri"/>
          <w:sz w:val="24"/>
          <w:szCs w:val="24"/>
        </w:rPr>
        <w:t>České Švýcarsko rozhodnutí o omezen</w:t>
      </w:r>
      <w:r>
        <w:rPr>
          <w:rFonts w:ascii="Calibri" w:eastAsia="Calibri" w:hAnsi="Calibri" w:cs="Calibri"/>
          <w:sz w:val="24"/>
          <w:szCs w:val="24"/>
        </w:rPr>
        <w:t>í nahodilých těžeb na území NP.</w:t>
      </w:r>
    </w:p>
    <w:p w14:paraId="377B07AD" w14:textId="5EB7B754" w:rsidR="007A255B" w:rsidRPr="005413E1" w:rsidRDefault="007A255B" w:rsidP="00C90E35">
      <w:pPr>
        <w:widowControl/>
        <w:autoSpaceDE/>
        <w:autoSpaceDN/>
        <w:adjustRightInd/>
        <w:spacing w:before="120" w:after="120"/>
        <w:rPr>
          <w:rFonts w:ascii="Calibri" w:eastAsia="Calibri" w:hAnsi="Calibri" w:cs="Calibri"/>
          <w:b/>
          <w:sz w:val="24"/>
          <w:szCs w:val="24"/>
          <w:lang w:eastAsia="en-US"/>
        </w:rPr>
      </w:pPr>
      <w:r>
        <w:rPr>
          <w:rFonts w:ascii="Calibri" w:eastAsia="Calibri" w:hAnsi="Calibri" w:cs="Calibri"/>
          <w:b/>
          <w:sz w:val="24"/>
          <w:szCs w:val="24"/>
          <w:lang w:eastAsia="en-US"/>
        </w:rPr>
        <w:t>T</w:t>
      </w:r>
      <w:r w:rsidRPr="005413E1">
        <w:rPr>
          <w:rFonts w:ascii="Calibri" w:eastAsia="Calibri" w:hAnsi="Calibri" w:cs="Calibri"/>
          <w:b/>
          <w:sz w:val="24"/>
          <w:szCs w:val="24"/>
          <w:lang w:eastAsia="en-US"/>
        </w:rPr>
        <w:t>ěžební činnost</w:t>
      </w:r>
      <w:r w:rsidRPr="005413E1">
        <w:rPr>
          <w:rStyle w:val="Znakapoznpodarou"/>
          <w:rFonts w:ascii="Calibri" w:eastAsia="Calibri" w:hAnsi="Calibri"/>
          <w:b/>
          <w:sz w:val="24"/>
          <w:szCs w:val="24"/>
          <w:lang w:eastAsia="en-US"/>
        </w:rPr>
        <w:footnoteReference w:id="29"/>
      </w:r>
      <w:r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</w:p>
    <w:p w14:paraId="05E24B52" w14:textId="3928836E" w:rsidR="00922C09" w:rsidRDefault="007A255B" w:rsidP="00C90E35">
      <w:pPr>
        <w:widowControl/>
        <w:autoSpaceDE/>
        <w:autoSpaceDN/>
        <w:adjustRightInd/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53768F">
        <w:rPr>
          <w:rFonts w:ascii="Calibri" w:eastAsia="Calibri" w:hAnsi="Calibri" w:cs="Times New Roman"/>
          <w:sz w:val="24"/>
          <w:szCs w:val="24"/>
          <w:lang w:eastAsia="en-US"/>
        </w:rPr>
        <w:t>Přírodní vlivy a přemnožení podkorního hmyzu ve smrkových porostech zapříčinily v </w:t>
      </w:r>
      <w:r w:rsidRPr="00A73E9F">
        <w:rPr>
          <w:rFonts w:ascii="Calibri" w:eastAsia="Calibri" w:hAnsi="Calibri" w:cs="Times New Roman"/>
          <w:sz w:val="24"/>
          <w:szCs w:val="24"/>
          <w:lang w:eastAsia="en-US"/>
        </w:rPr>
        <w:t>kontrolovaném období jednak nárůst nahodilé těžby na území NP a jednak vzhledem k obdobnému stavu lesů na většině území ČR také zvýšenou nabídku smrkového dřeva. Tím došlo ke</w:t>
      </w:r>
      <w:r w:rsidR="00C552B8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A73E9F">
        <w:rPr>
          <w:rFonts w:ascii="Calibri" w:eastAsia="Calibri" w:hAnsi="Calibri" w:cs="Times New Roman"/>
          <w:sz w:val="24"/>
          <w:szCs w:val="24"/>
          <w:lang w:eastAsia="en-US"/>
        </w:rPr>
        <w:t xml:space="preserve">zhoršení odbytové situace a postupnému propadu cen dřeva. </w:t>
      </w:r>
      <w:r w:rsidRPr="00FD3031">
        <w:rPr>
          <w:rFonts w:ascii="Calibri" w:eastAsia="Calibri" w:hAnsi="Calibri" w:cs="Times New Roman"/>
          <w:sz w:val="24"/>
          <w:szCs w:val="24"/>
          <w:lang w:eastAsia="en-US"/>
        </w:rPr>
        <w:t>Na propad cen měla vliv i snížená kvalita vytěženého dřeva v důsledku napadení hmyzí</w:t>
      </w:r>
      <w:r w:rsidR="00AC1CD8">
        <w:rPr>
          <w:rFonts w:ascii="Calibri" w:eastAsia="Calibri" w:hAnsi="Calibri" w:cs="Times New Roman"/>
          <w:sz w:val="24"/>
          <w:szCs w:val="24"/>
          <w:lang w:eastAsia="en-US"/>
        </w:rPr>
        <w:t>mi</w:t>
      </w:r>
      <w:r w:rsidRPr="00FD3031">
        <w:rPr>
          <w:rFonts w:ascii="Calibri" w:eastAsia="Calibri" w:hAnsi="Calibri" w:cs="Times New Roman"/>
          <w:sz w:val="24"/>
          <w:szCs w:val="24"/>
          <w:lang w:eastAsia="en-US"/>
        </w:rPr>
        <w:t xml:space="preserve"> škůdc</w:t>
      </w:r>
      <w:r w:rsidR="00AC1CD8">
        <w:rPr>
          <w:rFonts w:ascii="Calibri" w:eastAsia="Calibri" w:hAnsi="Calibri" w:cs="Times New Roman"/>
          <w:sz w:val="24"/>
          <w:szCs w:val="24"/>
          <w:lang w:eastAsia="en-US"/>
        </w:rPr>
        <w:t>i</w:t>
      </w:r>
      <w:r w:rsidRPr="00FD3031">
        <w:rPr>
          <w:rFonts w:ascii="Calibri" w:eastAsia="Calibri" w:hAnsi="Calibri" w:cs="Times New Roman"/>
          <w:sz w:val="24"/>
          <w:szCs w:val="24"/>
          <w:lang w:eastAsia="en-US"/>
        </w:rPr>
        <w:t xml:space="preserve">. </w:t>
      </w:r>
      <w:r w:rsidR="00922C09" w:rsidRPr="00FD3031">
        <w:rPr>
          <w:rFonts w:ascii="Calibri" w:eastAsia="Calibri" w:hAnsi="Calibri" w:cs="Times New Roman"/>
          <w:sz w:val="24"/>
          <w:szCs w:val="24"/>
          <w:lang w:eastAsia="en-US"/>
        </w:rPr>
        <w:t xml:space="preserve">Rozbor nákladů na těžební činnost </w:t>
      </w:r>
      <w:r w:rsidR="000847F2" w:rsidRPr="00FD3031">
        <w:rPr>
          <w:rFonts w:ascii="Calibri" w:eastAsia="Calibri" w:hAnsi="Calibri" w:cs="Times New Roman"/>
          <w:sz w:val="24"/>
          <w:szCs w:val="24"/>
          <w:lang w:eastAsia="en-US"/>
        </w:rPr>
        <w:t xml:space="preserve">a výnosů z prodeje dřeva </w:t>
      </w:r>
      <w:r w:rsidR="00922C09" w:rsidRPr="00FD3031">
        <w:rPr>
          <w:rFonts w:ascii="Calibri" w:eastAsia="Calibri" w:hAnsi="Calibri" w:cs="Times New Roman"/>
          <w:sz w:val="24"/>
          <w:szCs w:val="24"/>
          <w:lang w:eastAsia="en-US"/>
        </w:rPr>
        <w:t>jednotlivých správ NP v kontrolovaném období je</w:t>
      </w:r>
      <w:r w:rsidR="000847F2" w:rsidRPr="00FD3031">
        <w:rPr>
          <w:rFonts w:ascii="Calibri" w:eastAsia="Calibri" w:hAnsi="Calibri" w:cs="Times New Roman"/>
          <w:sz w:val="24"/>
          <w:szCs w:val="24"/>
          <w:lang w:eastAsia="en-US"/>
        </w:rPr>
        <w:t xml:space="preserve"> uveden</w:t>
      </w:r>
      <w:r w:rsidR="00922C09" w:rsidRPr="00FD3031">
        <w:rPr>
          <w:rFonts w:ascii="Calibri" w:eastAsia="Calibri" w:hAnsi="Calibri" w:cs="Times New Roman"/>
          <w:sz w:val="24"/>
          <w:szCs w:val="24"/>
          <w:lang w:eastAsia="en-US"/>
        </w:rPr>
        <w:t xml:space="preserve"> v příloze č. </w:t>
      </w:r>
      <w:r w:rsidR="005E4994">
        <w:rPr>
          <w:rFonts w:ascii="Calibri" w:eastAsia="Calibri" w:hAnsi="Calibri" w:cs="Times New Roman"/>
          <w:sz w:val="24"/>
          <w:szCs w:val="24"/>
          <w:lang w:eastAsia="en-US"/>
        </w:rPr>
        <w:t>4</w:t>
      </w:r>
      <w:r w:rsidR="00922C09" w:rsidRPr="00FD3031">
        <w:rPr>
          <w:rFonts w:ascii="Calibri" w:eastAsia="Calibri" w:hAnsi="Calibri" w:cs="Times New Roman"/>
          <w:sz w:val="24"/>
          <w:szCs w:val="24"/>
          <w:lang w:eastAsia="en-US"/>
        </w:rPr>
        <w:t xml:space="preserve"> tohoto kontrolního závěru.</w:t>
      </w:r>
    </w:p>
    <w:p w14:paraId="0BE4E754" w14:textId="6995BC8C" w:rsidR="00195AE9" w:rsidRDefault="00195AE9" w:rsidP="00C90E35">
      <w:pPr>
        <w:widowControl/>
        <w:autoSpaceDE/>
        <w:autoSpaceDN/>
        <w:adjustRightInd/>
        <w:spacing w:after="160" w:line="259" w:lineRule="auto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 w:rsidRPr="00195AE9">
        <w:rPr>
          <w:rFonts w:ascii="Calibri" w:eastAsia="Calibri" w:hAnsi="Calibri" w:cs="Times New Roman"/>
          <w:sz w:val="24"/>
          <w:szCs w:val="24"/>
          <w:lang w:eastAsia="en-US"/>
        </w:rPr>
        <w:t>V tabulce č. 4 je uveden přehled vybraných nákladů správ NP za rok 2018.</w:t>
      </w:r>
    </w:p>
    <w:p w14:paraId="192720D9" w14:textId="0A720E08" w:rsidR="00195AE9" w:rsidRPr="002A4370" w:rsidRDefault="00195AE9" w:rsidP="00C90E35">
      <w:pPr>
        <w:widowControl/>
        <w:tabs>
          <w:tab w:val="right" w:pos="9072"/>
        </w:tabs>
        <w:spacing w:before="12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5030C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Tabulka č. 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>4</w:t>
      </w:r>
      <w:r w:rsidRPr="0075030C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: Přehled vybraných nákladů správ NP za 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rok 2018 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75030C">
        <w:rPr>
          <w:rFonts w:asciiTheme="minorHAnsi" w:hAnsiTheme="minorHAnsi" w:cstheme="minorHAnsi"/>
          <w:b/>
          <w:color w:val="000000"/>
          <w:sz w:val="24"/>
          <w:szCs w:val="24"/>
        </w:rPr>
        <w:t>(</w:t>
      </w:r>
      <w:r>
        <w:rPr>
          <w:rFonts w:asciiTheme="minorHAnsi" w:hAnsiTheme="minorHAnsi" w:cstheme="minorHAnsi"/>
          <w:b/>
          <w:color w:val="000000"/>
          <w:sz w:val="24"/>
          <w:szCs w:val="24"/>
        </w:rPr>
        <w:t xml:space="preserve">v </w:t>
      </w:r>
      <w:r w:rsidRPr="0075030C">
        <w:rPr>
          <w:rFonts w:asciiTheme="minorHAnsi" w:hAnsiTheme="minorHAnsi" w:cstheme="minorHAnsi"/>
          <w:b/>
          <w:color w:val="000000"/>
          <w:sz w:val="24"/>
          <w:szCs w:val="24"/>
        </w:rPr>
        <w:t>tis. Kč)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2"/>
        <w:gridCol w:w="3125"/>
        <w:gridCol w:w="3255"/>
      </w:tblGrid>
      <w:tr w:rsidR="00195AE9" w:rsidRPr="002A4370" w14:paraId="4F21B7BE" w14:textId="77777777" w:rsidTr="00195AE9">
        <w:trPr>
          <w:trHeight w:val="396"/>
        </w:trPr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D23EDF7" w14:textId="77777777" w:rsidR="00195AE9" w:rsidRPr="002A4370" w:rsidRDefault="00195AE9" w:rsidP="00C90E3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4370">
              <w:rPr>
                <w:rFonts w:ascii="Calibri" w:eastAsia="Times New Roman" w:hAnsi="Calibri" w:cs="Calibri"/>
                <w:b/>
                <w:bCs/>
                <w:color w:val="000000"/>
              </w:rPr>
              <w:t>Správa NP</w:t>
            </w:r>
          </w:p>
        </w:tc>
        <w:tc>
          <w:tcPr>
            <w:tcW w:w="1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366CDAFF" w14:textId="34042115" w:rsidR="00195AE9" w:rsidRPr="002A4370" w:rsidRDefault="00195AE9" w:rsidP="00C90E3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Náklady z činnosti</w:t>
            </w:r>
          </w:p>
        </w:tc>
        <w:tc>
          <w:tcPr>
            <w:tcW w:w="1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091A404E" w14:textId="4F166BA5" w:rsidR="00195AE9" w:rsidRPr="002A4370" w:rsidRDefault="00AC1CD8" w:rsidP="00315B43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– z</w:t>
            </w:r>
            <w:r w:rsidR="00195AE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toho náklady na těžební činnost</w:t>
            </w:r>
          </w:p>
        </w:tc>
      </w:tr>
      <w:tr w:rsidR="00195AE9" w:rsidRPr="002A4370" w14:paraId="08D383AB" w14:textId="77777777" w:rsidTr="00195AE9">
        <w:trPr>
          <w:trHeight w:val="288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D1D5" w14:textId="77777777" w:rsidR="00195AE9" w:rsidRPr="002A4370" w:rsidRDefault="00195AE9" w:rsidP="00C90E3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2A4370">
              <w:rPr>
                <w:rFonts w:ascii="Calibri" w:eastAsia="Times New Roman" w:hAnsi="Calibri" w:cs="Calibri"/>
                <w:color w:val="000000"/>
              </w:rPr>
              <w:t>Správa KRNAP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8C21B" w14:textId="77777777" w:rsidR="00195AE9" w:rsidRPr="00D02BB6" w:rsidRDefault="00195AE9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D02BB6">
              <w:rPr>
                <w:rFonts w:ascii="Calibri" w:hAnsi="Calibri" w:cs="Calibri"/>
                <w:bCs/>
                <w:color w:val="000000"/>
              </w:rPr>
              <w:t>340 852</w:t>
            </w:r>
          </w:p>
        </w:tc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4499" w14:textId="77777777" w:rsidR="00195AE9" w:rsidRPr="0070369D" w:rsidRDefault="00195AE9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51 590</w:t>
            </w:r>
          </w:p>
        </w:tc>
      </w:tr>
      <w:tr w:rsidR="00195AE9" w:rsidRPr="002A4370" w14:paraId="0841109D" w14:textId="77777777" w:rsidTr="00195AE9">
        <w:trPr>
          <w:trHeight w:val="288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E1AE" w14:textId="77777777" w:rsidR="00195AE9" w:rsidRPr="002A4370" w:rsidRDefault="00195AE9" w:rsidP="00C90E3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2A4370">
              <w:rPr>
                <w:rFonts w:ascii="Calibri" w:eastAsia="Times New Roman" w:hAnsi="Calibri" w:cs="Calibri"/>
                <w:color w:val="000000"/>
              </w:rPr>
              <w:t>Správa NP Šumava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4B0A4" w14:textId="77777777" w:rsidR="00195AE9" w:rsidRPr="00D02BB6" w:rsidRDefault="00195AE9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D02BB6">
              <w:rPr>
                <w:rFonts w:ascii="Calibri" w:hAnsi="Calibri" w:cs="Calibri"/>
                <w:bCs/>
                <w:color w:val="000000"/>
              </w:rPr>
              <w:t>581 273</w:t>
            </w:r>
          </w:p>
        </w:tc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97B03" w14:textId="77777777" w:rsidR="00195AE9" w:rsidRPr="0070369D" w:rsidRDefault="00195AE9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182 729</w:t>
            </w:r>
          </w:p>
        </w:tc>
      </w:tr>
      <w:tr w:rsidR="00195AE9" w:rsidRPr="002A4370" w14:paraId="7033400C" w14:textId="77777777" w:rsidTr="00195AE9">
        <w:trPr>
          <w:trHeight w:val="288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70784" w14:textId="77777777" w:rsidR="00195AE9" w:rsidRPr="002A4370" w:rsidRDefault="00195AE9" w:rsidP="00C90E3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2A4370">
              <w:rPr>
                <w:rFonts w:ascii="Calibri" w:eastAsia="Times New Roman" w:hAnsi="Calibri" w:cs="Calibri"/>
                <w:color w:val="000000"/>
              </w:rPr>
              <w:t>Správa NP Podyjí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81A6F" w14:textId="77777777" w:rsidR="00195AE9" w:rsidRPr="00D02BB6" w:rsidRDefault="00195AE9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D02BB6">
              <w:rPr>
                <w:rFonts w:ascii="Calibri" w:hAnsi="Calibri" w:cs="Calibri"/>
                <w:bCs/>
                <w:color w:val="000000"/>
              </w:rPr>
              <w:t>49 738</w:t>
            </w:r>
          </w:p>
        </w:tc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AF91B" w14:textId="77777777" w:rsidR="00195AE9" w:rsidRPr="0070369D" w:rsidRDefault="00195AE9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5 146</w:t>
            </w:r>
          </w:p>
        </w:tc>
      </w:tr>
      <w:tr w:rsidR="00195AE9" w:rsidRPr="002A4370" w14:paraId="58B8BBFD" w14:textId="77777777" w:rsidTr="00195AE9">
        <w:trPr>
          <w:trHeight w:val="288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F1E2" w14:textId="77777777" w:rsidR="00195AE9" w:rsidRPr="002A4370" w:rsidRDefault="00195AE9" w:rsidP="00C90E3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2A4370">
              <w:rPr>
                <w:rFonts w:ascii="Calibri" w:eastAsia="Times New Roman" w:hAnsi="Calibri" w:cs="Calibri"/>
                <w:color w:val="000000"/>
              </w:rPr>
              <w:t>Správa NP České Švýcarsko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87019" w14:textId="77777777" w:rsidR="00195AE9" w:rsidRPr="00D02BB6" w:rsidRDefault="00195AE9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D02BB6">
              <w:rPr>
                <w:rFonts w:ascii="Calibri" w:hAnsi="Calibri" w:cs="Calibri"/>
                <w:bCs/>
                <w:color w:val="000000"/>
              </w:rPr>
              <w:t>100 780</w:t>
            </w:r>
          </w:p>
        </w:tc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158CF" w14:textId="77777777" w:rsidR="00195AE9" w:rsidRPr="0070369D" w:rsidRDefault="00195AE9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35 033</w:t>
            </w:r>
          </w:p>
        </w:tc>
      </w:tr>
      <w:tr w:rsidR="00195AE9" w:rsidRPr="002A4370" w14:paraId="6B312FA7" w14:textId="77777777" w:rsidTr="00195AE9">
        <w:trPr>
          <w:trHeight w:val="288"/>
        </w:trPr>
        <w:tc>
          <w:tcPr>
            <w:tcW w:w="1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BAFE" w14:textId="77777777" w:rsidR="00195AE9" w:rsidRPr="002A4370" w:rsidRDefault="00195AE9" w:rsidP="00C90E3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4370">
              <w:rPr>
                <w:rFonts w:ascii="Calibri" w:eastAsia="Times New Roman" w:hAnsi="Calibri" w:cs="Calibri"/>
                <w:b/>
                <w:bCs/>
                <w:color w:val="000000"/>
              </w:rPr>
              <w:t>Celkem</w:t>
            </w:r>
          </w:p>
        </w:tc>
        <w:tc>
          <w:tcPr>
            <w:tcW w:w="17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7333" w14:textId="77777777" w:rsidR="00195AE9" w:rsidRPr="004E2149" w:rsidRDefault="00195AE9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2149">
              <w:rPr>
                <w:rFonts w:ascii="Calibri" w:hAnsi="Calibri" w:cs="Calibri"/>
                <w:b/>
                <w:bCs/>
                <w:color w:val="000000"/>
              </w:rPr>
              <w:t>1 072 643</w:t>
            </w:r>
          </w:p>
        </w:tc>
        <w:tc>
          <w:tcPr>
            <w:tcW w:w="1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A259A" w14:textId="77777777" w:rsidR="00195AE9" w:rsidRPr="0075030C" w:rsidRDefault="00195AE9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5030C">
              <w:rPr>
                <w:rFonts w:ascii="Calibri" w:eastAsia="Times New Roman" w:hAnsi="Calibri" w:cs="Calibri"/>
                <w:b/>
                <w:bCs/>
                <w:color w:val="000000"/>
              </w:rPr>
              <w:t>274 498</w:t>
            </w:r>
          </w:p>
        </w:tc>
      </w:tr>
    </w:tbl>
    <w:p w14:paraId="734D13F2" w14:textId="0810BF40" w:rsidR="00195AE9" w:rsidRPr="00195AE9" w:rsidRDefault="00195AE9" w:rsidP="00C90E35">
      <w:pPr>
        <w:widowControl/>
        <w:spacing w:after="240"/>
        <w:jc w:val="both"/>
        <w:rPr>
          <w:rFonts w:ascii="Calibri" w:eastAsia="Calibri" w:hAnsi="Calibri" w:cs="Calibri"/>
        </w:rPr>
      </w:pPr>
      <w:r w:rsidRPr="00D02BB6">
        <w:rPr>
          <w:rFonts w:ascii="Calibri" w:eastAsia="Calibri" w:hAnsi="Calibri" w:cs="Calibri"/>
          <w:b/>
        </w:rPr>
        <w:t>Zdroj:</w:t>
      </w:r>
      <w:r w:rsidRPr="00D02BB6">
        <w:rPr>
          <w:rFonts w:ascii="Calibri" w:eastAsia="Calibri" w:hAnsi="Calibri" w:cs="Calibri"/>
        </w:rPr>
        <w:t xml:space="preserve"> </w:t>
      </w:r>
      <w:r w:rsidR="00AC1CD8">
        <w:rPr>
          <w:rFonts w:ascii="Calibri" w:eastAsia="Calibri" w:hAnsi="Calibri" w:cs="Calibri"/>
        </w:rPr>
        <w:t>h</w:t>
      </w:r>
      <w:r w:rsidRPr="00D02BB6">
        <w:rPr>
          <w:rFonts w:ascii="Calibri" w:eastAsia="Calibri" w:hAnsi="Calibri" w:cs="Calibri"/>
        </w:rPr>
        <w:t>lavní</w:t>
      </w:r>
      <w:r>
        <w:rPr>
          <w:rFonts w:ascii="Calibri" w:eastAsia="Calibri" w:hAnsi="Calibri" w:cs="Calibri"/>
        </w:rPr>
        <w:t xml:space="preserve"> knih</w:t>
      </w:r>
      <w:r w:rsidR="00AC1CD8"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</w:rPr>
        <w:t xml:space="preserve"> za rok 2018 jednotlivých správ NP.</w:t>
      </w:r>
    </w:p>
    <w:p w14:paraId="4FC4775B" w14:textId="117F27FE" w:rsidR="00CA1727" w:rsidRPr="006A2E81" w:rsidRDefault="00D449F6" w:rsidP="00883A95">
      <w:pPr>
        <w:widowControl/>
        <w:shd w:val="clear" w:color="auto" w:fill="FFFFFF" w:themeFill="background1"/>
        <w:spacing w:before="240" w:after="120"/>
        <w:jc w:val="both"/>
        <w:rPr>
          <w:rFonts w:ascii="Calibri" w:eastAsia="Times New Roman" w:hAnsi="Calibri"/>
          <w:b/>
          <w:sz w:val="24"/>
          <w:szCs w:val="25"/>
        </w:rPr>
      </w:pPr>
      <w:r>
        <w:rPr>
          <w:rFonts w:ascii="Calibri" w:eastAsia="Calibri" w:hAnsi="Calibri" w:cs="Calibri"/>
          <w:b/>
          <w:sz w:val="24"/>
          <w:szCs w:val="24"/>
          <w:lang w:eastAsia="en-US"/>
        </w:rPr>
        <w:t xml:space="preserve">3. </w:t>
      </w:r>
      <w:r w:rsidR="00FD3031" w:rsidRPr="00FD3031">
        <w:rPr>
          <w:rFonts w:ascii="Calibri" w:eastAsia="Calibri" w:hAnsi="Calibri" w:cs="Calibri"/>
          <w:b/>
          <w:sz w:val="24"/>
          <w:szCs w:val="24"/>
          <w:lang w:eastAsia="en-US"/>
        </w:rPr>
        <w:t>MŽP nenaplnilo opatření základního strategického rámce ochrany přírody a krajiny</w:t>
      </w:r>
    </w:p>
    <w:p w14:paraId="4881C661" w14:textId="26359D21" w:rsidR="00CA1727" w:rsidRPr="00E33B9B" w:rsidRDefault="00CA1727" w:rsidP="00C90E35">
      <w:pPr>
        <w:widowControl/>
        <w:autoSpaceDE/>
        <w:autoSpaceDN/>
        <w:adjustRightInd/>
        <w:spacing w:before="120" w:after="12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B730FE">
        <w:rPr>
          <w:rFonts w:ascii="Calibri" w:eastAsia="Calibri" w:hAnsi="Calibri" w:cs="Calibri"/>
          <w:b/>
          <w:i/>
          <w:sz w:val="24"/>
          <w:szCs w:val="24"/>
          <w:lang w:eastAsia="en-US"/>
        </w:rPr>
        <w:t>Strategii ochrany biologické rozmanitosti České republi</w:t>
      </w:r>
      <w:r w:rsidR="001A6EEB">
        <w:rPr>
          <w:rFonts w:ascii="Calibri" w:eastAsia="Calibri" w:hAnsi="Calibri" w:cs="Calibri"/>
          <w:b/>
          <w:i/>
          <w:sz w:val="24"/>
          <w:szCs w:val="24"/>
          <w:lang w:eastAsia="en-US"/>
        </w:rPr>
        <w:t>ky 2016–</w:t>
      </w:r>
      <w:r w:rsidRPr="00B730FE">
        <w:rPr>
          <w:rFonts w:ascii="Calibri" w:eastAsia="Calibri" w:hAnsi="Calibri" w:cs="Calibri"/>
          <w:b/>
          <w:i/>
          <w:sz w:val="24"/>
          <w:szCs w:val="24"/>
          <w:lang w:eastAsia="en-US"/>
        </w:rPr>
        <w:t>2025</w:t>
      </w:r>
      <w:r w:rsidRPr="00CA1727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  <w:r w:rsidR="00151D4B">
        <w:rPr>
          <w:rFonts w:ascii="Calibri" w:eastAsia="Calibri" w:hAnsi="Calibri" w:cs="Calibri"/>
          <w:sz w:val="24"/>
          <w:szCs w:val="24"/>
          <w:lang w:eastAsia="en-US"/>
        </w:rPr>
        <w:t>(dále také</w:t>
      </w:r>
      <w:r w:rsidRPr="00CA1727">
        <w:rPr>
          <w:rFonts w:ascii="Calibri" w:eastAsia="Calibri" w:hAnsi="Calibri" w:cs="Calibri"/>
          <w:sz w:val="24"/>
          <w:szCs w:val="24"/>
          <w:lang w:eastAsia="en-US"/>
        </w:rPr>
        <w:t xml:space="preserve"> „Strategie“) předložilo MŽP </w:t>
      </w:r>
      <w:r w:rsidR="00315B43">
        <w:rPr>
          <w:rFonts w:ascii="Calibri" w:eastAsia="Calibri" w:hAnsi="Calibri" w:cs="Calibri"/>
          <w:sz w:val="24"/>
          <w:szCs w:val="24"/>
          <w:lang w:eastAsia="en-US"/>
        </w:rPr>
        <w:t>vládě</w:t>
      </w:r>
      <w:r w:rsidR="00315B43" w:rsidRPr="00CA1727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CA1727">
        <w:rPr>
          <w:rFonts w:ascii="Calibri" w:eastAsia="Calibri" w:hAnsi="Calibri" w:cs="Calibri"/>
          <w:sz w:val="24"/>
          <w:szCs w:val="24"/>
          <w:lang w:eastAsia="en-US"/>
        </w:rPr>
        <w:t xml:space="preserve">a </w:t>
      </w:r>
      <w:r w:rsidR="00315B43">
        <w:rPr>
          <w:rFonts w:ascii="Calibri" w:eastAsia="Calibri" w:hAnsi="Calibri" w:cs="Calibri"/>
          <w:sz w:val="24"/>
          <w:szCs w:val="24"/>
          <w:lang w:eastAsia="en-US"/>
        </w:rPr>
        <w:t xml:space="preserve">ta ji </w:t>
      </w:r>
      <w:r w:rsidRPr="00CA1727">
        <w:rPr>
          <w:rFonts w:ascii="Calibri" w:eastAsia="Calibri" w:hAnsi="Calibri" w:cs="Calibri"/>
          <w:sz w:val="24"/>
          <w:szCs w:val="24"/>
          <w:lang w:eastAsia="en-US"/>
        </w:rPr>
        <w:t xml:space="preserve">schválila </w:t>
      </w:r>
      <w:r w:rsidR="00315B43">
        <w:rPr>
          <w:rFonts w:ascii="Calibri" w:eastAsia="Calibri" w:hAnsi="Calibri" w:cs="Calibri"/>
          <w:sz w:val="24"/>
          <w:szCs w:val="24"/>
          <w:lang w:eastAsia="en-US"/>
        </w:rPr>
        <w:t>svým</w:t>
      </w:r>
      <w:r w:rsidRPr="00CA1727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513F92">
        <w:rPr>
          <w:rFonts w:ascii="Calibri" w:eastAsia="Calibri" w:hAnsi="Calibri" w:cs="Calibri"/>
          <w:sz w:val="24"/>
          <w:szCs w:val="24"/>
          <w:lang w:eastAsia="en-US"/>
        </w:rPr>
        <w:t xml:space="preserve">usnesením </w:t>
      </w:r>
      <w:r w:rsidR="004E21DD" w:rsidRPr="00513F92">
        <w:rPr>
          <w:rFonts w:ascii="Calibri" w:eastAsia="Calibri" w:hAnsi="Calibri" w:cs="Calibri"/>
          <w:sz w:val="24"/>
          <w:szCs w:val="24"/>
          <w:lang w:eastAsia="en-US"/>
        </w:rPr>
        <w:t>ze dne 9. března</w:t>
      </w:r>
      <w:r w:rsidR="00EB2226" w:rsidRPr="00513F92">
        <w:rPr>
          <w:rFonts w:ascii="Calibri" w:eastAsia="Calibri" w:hAnsi="Calibri" w:cs="Calibri"/>
          <w:sz w:val="24"/>
          <w:szCs w:val="24"/>
          <w:lang w:eastAsia="en-US"/>
        </w:rPr>
        <w:t xml:space="preserve"> 2016 </w:t>
      </w:r>
      <w:r w:rsidRPr="00513F92">
        <w:rPr>
          <w:rFonts w:ascii="Calibri" w:eastAsia="Calibri" w:hAnsi="Calibri" w:cs="Calibri"/>
          <w:sz w:val="24"/>
          <w:szCs w:val="24"/>
          <w:lang w:eastAsia="en-US"/>
        </w:rPr>
        <w:t>č. 193.</w:t>
      </w:r>
      <w:r w:rsidR="00195AE9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CA1727">
        <w:rPr>
          <w:rFonts w:ascii="Calibri" w:eastAsia="Calibri" w:hAnsi="Calibri" w:cs="Calibri"/>
          <w:sz w:val="24"/>
          <w:szCs w:val="24"/>
          <w:lang w:eastAsia="en-US"/>
        </w:rPr>
        <w:t xml:space="preserve">Hlavním cílem </w:t>
      </w:r>
      <w:r w:rsidRPr="00B730FE">
        <w:rPr>
          <w:rFonts w:ascii="Calibri" w:eastAsia="Calibri" w:hAnsi="Calibri" w:cs="Calibri"/>
          <w:sz w:val="24"/>
          <w:szCs w:val="24"/>
          <w:lang w:eastAsia="en-US"/>
        </w:rPr>
        <w:t>Strategie je</w:t>
      </w:r>
      <w:r w:rsidRPr="00CA1727">
        <w:rPr>
          <w:rFonts w:ascii="Calibri" w:eastAsia="Calibri" w:hAnsi="Calibri" w:cs="Calibri"/>
          <w:sz w:val="24"/>
          <w:szCs w:val="24"/>
          <w:lang w:eastAsia="en-US"/>
        </w:rPr>
        <w:t xml:space="preserve"> zabránit pokračujícímu celkovému úbytku biolog</w:t>
      </w:r>
      <w:r w:rsidR="00195AE9">
        <w:rPr>
          <w:rFonts w:ascii="Calibri" w:eastAsia="Calibri" w:hAnsi="Calibri" w:cs="Calibri"/>
          <w:sz w:val="24"/>
          <w:szCs w:val="24"/>
          <w:lang w:eastAsia="en-US"/>
        </w:rPr>
        <w:t>ické rozmanitosti na území ČR a</w:t>
      </w:r>
      <w:r w:rsidR="003D1A59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CA1727">
        <w:rPr>
          <w:rFonts w:ascii="Calibri" w:eastAsia="Calibri" w:hAnsi="Calibri" w:cs="Calibri"/>
          <w:sz w:val="24"/>
          <w:szCs w:val="24"/>
          <w:lang w:eastAsia="en-US"/>
        </w:rPr>
        <w:t xml:space="preserve">zároveň implementovat opatření a činnosti, které povedou ke zlepšení </w:t>
      </w:r>
      <w:r w:rsidR="003D3D88">
        <w:rPr>
          <w:rFonts w:ascii="Calibri" w:eastAsia="Calibri" w:hAnsi="Calibri" w:cs="Calibri"/>
          <w:sz w:val="24"/>
          <w:szCs w:val="24"/>
          <w:lang w:eastAsia="en-US"/>
        </w:rPr>
        <w:t xml:space="preserve">stavu </w:t>
      </w:r>
      <w:r w:rsidR="003D3D88" w:rsidRPr="00E33B9B">
        <w:rPr>
          <w:rFonts w:ascii="Calibri" w:eastAsia="Calibri" w:hAnsi="Calibri" w:cs="Calibri"/>
          <w:sz w:val="24"/>
          <w:szCs w:val="24"/>
          <w:lang w:eastAsia="en-US"/>
        </w:rPr>
        <w:t>a </w:t>
      </w:r>
      <w:r w:rsidR="00F27F83" w:rsidRPr="00E33B9B">
        <w:rPr>
          <w:rFonts w:ascii="Calibri" w:eastAsia="Calibri" w:hAnsi="Calibri" w:cs="Calibri"/>
          <w:sz w:val="24"/>
          <w:szCs w:val="24"/>
          <w:lang w:eastAsia="en-US"/>
        </w:rPr>
        <w:t xml:space="preserve">dlouhodobé udržitelnosti </w:t>
      </w:r>
      <w:r w:rsidRPr="00E33B9B">
        <w:rPr>
          <w:rFonts w:ascii="Calibri" w:eastAsia="Calibri" w:hAnsi="Calibri" w:cs="Calibri"/>
          <w:sz w:val="24"/>
          <w:szCs w:val="24"/>
          <w:lang w:eastAsia="en-US"/>
        </w:rPr>
        <w:t>biodiverzity.</w:t>
      </w:r>
    </w:p>
    <w:p w14:paraId="35A4575F" w14:textId="1FCB6D36" w:rsidR="00315B43" w:rsidRDefault="00CA1727" w:rsidP="00C90E35">
      <w:pPr>
        <w:widowControl/>
        <w:autoSpaceDE/>
        <w:autoSpaceDN/>
        <w:adjustRightInd/>
        <w:spacing w:after="12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E33B9B">
        <w:rPr>
          <w:rFonts w:ascii="Calibri" w:eastAsia="Calibri" w:hAnsi="Calibri" w:cs="Calibri"/>
          <w:sz w:val="24"/>
          <w:szCs w:val="24"/>
          <w:lang w:eastAsia="en-US"/>
        </w:rPr>
        <w:t xml:space="preserve">Určujícím cílem Strategie pro financování péče o přírodu a krajinu je cíl 1.5 </w:t>
      </w:r>
      <w:r w:rsidRPr="00883A95">
        <w:rPr>
          <w:rFonts w:ascii="Calibri" w:eastAsia="Calibri" w:hAnsi="Calibri" w:cs="Calibri"/>
          <w:i/>
          <w:sz w:val="24"/>
          <w:szCs w:val="24"/>
          <w:lang w:eastAsia="en-US"/>
        </w:rPr>
        <w:t>Ekonomické nástroje a finanční podp</w:t>
      </w:r>
      <w:r w:rsidR="002674B3" w:rsidRPr="00883A95">
        <w:rPr>
          <w:rFonts w:ascii="Calibri" w:eastAsia="Calibri" w:hAnsi="Calibri" w:cs="Calibri"/>
          <w:i/>
          <w:sz w:val="24"/>
          <w:szCs w:val="24"/>
          <w:lang w:eastAsia="en-US"/>
        </w:rPr>
        <w:t>ora</w:t>
      </w:r>
      <w:r w:rsidR="002674B3" w:rsidRPr="00E33B9B">
        <w:rPr>
          <w:rFonts w:ascii="Calibri" w:eastAsia="Calibri" w:hAnsi="Calibri" w:cs="Calibri"/>
          <w:sz w:val="24"/>
          <w:szCs w:val="24"/>
          <w:lang w:eastAsia="en-US"/>
        </w:rPr>
        <w:t>. V kontrolovaném období měl být splněn dílčí cíl 1.5.1</w:t>
      </w:r>
      <w:r w:rsidR="00AC1CD8">
        <w:rPr>
          <w:rFonts w:ascii="Calibri" w:eastAsia="Calibri" w:hAnsi="Calibri" w:cs="Calibri"/>
          <w:sz w:val="24"/>
          <w:szCs w:val="24"/>
          <w:lang w:eastAsia="en-US"/>
        </w:rPr>
        <w:t>,</w:t>
      </w:r>
      <w:r w:rsidR="002674B3" w:rsidRPr="00E33B9B">
        <w:rPr>
          <w:rFonts w:ascii="Calibri" w:eastAsia="Calibri" w:hAnsi="Calibri" w:cs="Calibri"/>
          <w:sz w:val="24"/>
          <w:szCs w:val="24"/>
          <w:lang w:eastAsia="en-US"/>
        </w:rPr>
        <w:t xml:space="preserve"> uvedený</w:t>
      </w:r>
      <w:r w:rsidRPr="00E33B9B">
        <w:rPr>
          <w:rFonts w:ascii="Calibri" w:eastAsia="Calibri" w:hAnsi="Calibri" w:cs="Calibri"/>
          <w:sz w:val="24"/>
          <w:szCs w:val="24"/>
          <w:lang w:eastAsia="en-US"/>
        </w:rPr>
        <w:t xml:space="preserve"> v tabulce č. </w:t>
      </w:r>
      <w:r w:rsidR="0075030C" w:rsidRPr="00E33B9B">
        <w:rPr>
          <w:rFonts w:ascii="Calibri" w:eastAsia="Calibri" w:hAnsi="Calibri" w:cs="Calibri"/>
          <w:sz w:val="24"/>
          <w:szCs w:val="24"/>
          <w:lang w:eastAsia="en-US"/>
        </w:rPr>
        <w:t>5</w:t>
      </w:r>
      <w:r w:rsidRPr="00E33B9B"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5A296D75" w14:textId="77777777" w:rsidR="00315B43" w:rsidRDefault="00315B43">
      <w:pPr>
        <w:widowControl/>
        <w:autoSpaceDE/>
        <w:autoSpaceDN/>
        <w:adjustRightInd/>
        <w:spacing w:after="160" w:line="259" w:lineRule="auto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br w:type="page"/>
      </w:r>
    </w:p>
    <w:p w14:paraId="7CB8B312" w14:textId="71D9B20F" w:rsidR="00CA1727" w:rsidRPr="00D43349" w:rsidRDefault="00CA1727" w:rsidP="00C90E35">
      <w:pPr>
        <w:widowControl/>
        <w:autoSpaceDE/>
        <w:autoSpaceDN/>
        <w:adjustRightInd/>
        <w:spacing w:before="120"/>
        <w:rPr>
          <w:rFonts w:ascii="Calibri" w:eastAsia="Calibri" w:hAnsi="Calibri" w:cs="Calibri"/>
          <w:b/>
          <w:iCs/>
          <w:sz w:val="24"/>
          <w:szCs w:val="24"/>
          <w:lang w:eastAsia="en-US"/>
        </w:rPr>
      </w:pPr>
      <w:r w:rsidRPr="00555938">
        <w:rPr>
          <w:rFonts w:ascii="Calibri" w:eastAsia="Calibri" w:hAnsi="Calibri" w:cs="Calibri"/>
          <w:b/>
          <w:iCs/>
          <w:sz w:val="24"/>
          <w:szCs w:val="24"/>
          <w:lang w:eastAsia="en-US"/>
        </w:rPr>
        <w:lastRenderedPageBreak/>
        <w:t xml:space="preserve">Tabulka č. </w:t>
      </w:r>
      <w:r w:rsidR="0075030C">
        <w:rPr>
          <w:rFonts w:ascii="Calibri" w:eastAsia="Calibri" w:hAnsi="Calibri" w:cs="Calibri"/>
          <w:b/>
          <w:iCs/>
          <w:sz w:val="24"/>
          <w:szCs w:val="24"/>
          <w:lang w:eastAsia="en-US"/>
        </w:rPr>
        <w:t>5</w:t>
      </w:r>
      <w:r w:rsidRPr="00555938">
        <w:rPr>
          <w:rFonts w:ascii="Calibri" w:eastAsia="Calibri" w:hAnsi="Calibri" w:cs="Calibri"/>
          <w:b/>
          <w:iCs/>
          <w:sz w:val="24"/>
          <w:szCs w:val="24"/>
          <w:lang w:eastAsia="en-US"/>
        </w:rPr>
        <w:t>: Dílčí</w:t>
      </w:r>
      <w:r w:rsidRPr="00D43349">
        <w:rPr>
          <w:rFonts w:ascii="Calibri" w:eastAsia="Calibri" w:hAnsi="Calibri" w:cs="Calibri"/>
          <w:b/>
          <w:iCs/>
          <w:sz w:val="24"/>
          <w:szCs w:val="24"/>
          <w:lang w:eastAsia="en-US"/>
        </w:rPr>
        <w:t xml:space="preserve"> cíl</w:t>
      </w:r>
      <w:r w:rsidR="00315B43">
        <w:rPr>
          <w:rFonts w:ascii="Calibri" w:eastAsia="Calibri" w:hAnsi="Calibri" w:cs="Calibri"/>
          <w:b/>
          <w:iCs/>
          <w:sz w:val="24"/>
          <w:szCs w:val="24"/>
          <w:lang w:eastAsia="en-US"/>
        </w:rPr>
        <w:t xml:space="preserve"> 1.5.1</w:t>
      </w:r>
      <w:r w:rsidRPr="00D43349">
        <w:rPr>
          <w:rFonts w:ascii="Calibri" w:eastAsia="Calibri" w:hAnsi="Calibri" w:cs="Calibri"/>
          <w:b/>
          <w:iCs/>
          <w:sz w:val="24"/>
          <w:szCs w:val="24"/>
          <w:lang w:eastAsia="en-US"/>
        </w:rPr>
        <w:t xml:space="preserve"> a </w:t>
      </w:r>
      <w:r w:rsidR="00315B43">
        <w:rPr>
          <w:rFonts w:ascii="Calibri" w:eastAsia="Calibri" w:hAnsi="Calibri" w:cs="Calibri"/>
          <w:b/>
          <w:iCs/>
          <w:sz w:val="24"/>
          <w:szCs w:val="24"/>
          <w:lang w:eastAsia="en-US"/>
        </w:rPr>
        <w:t xml:space="preserve">jeho vybraná </w:t>
      </w:r>
      <w:r w:rsidRPr="00D43349">
        <w:rPr>
          <w:rFonts w:ascii="Calibri" w:eastAsia="Calibri" w:hAnsi="Calibri" w:cs="Calibri"/>
          <w:b/>
          <w:iCs/>
          <w:sz w:val="24"/>
          <w:szCs w:val="24"/>
          <w:lang w:eastAsia="en-US"/>
        </w:rPr>
        <w:t xml:space="preserve">opatření </w:t>
      </w:r>
    </w:p>
    <w:tbl>
      <w:tblPr>
        <w:tblW w:w="904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2211"/>
        <w:gridCol w:w="2604"/>
        <w:gridCol w:w="730"/>
        <w:gridCol w:w="1496"/>
        <w:gridCol w:w="1011"/>
      </w:tblGrid>
      <w:tr w:rsidR="00CA1727" w:rsidRPr="00CA1727" w14:paraId="31A04BED" w14:textId="77777777" w:rsidTr="001E7B6F">
        <w:trPr>
          <w:trHeight w:val="271"/>
          <w:jc w:val="center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54BAB864" w14:textId="77777777" w:rsidR="00CA1727" w:rsidRPr="00CA1727" w:rsidRDefault="00CA1727" w:rsidP="00C90E3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iCs/>
              </w:rPr>
            </w:pPr>
            <w:r w:rsidRPr="00CA1727">
              <w:rPr>
                <w:rFonts w:ascii="Calibri" w:eastAsia="Times New Roman" w:hAnsi="Calibri" w:cs="Calibri"/>
                <w:b/>
                <w:bCs/>
                <w:iCs/>
              </w:rPr>
              <w:t>Dílčí cíl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1A40C21A" w14:textId="77777777" w:rsidR="00CA1727" w:rsidRPr="00CA1727" w:rsidRDefault="00CA1727" w:rsidP="00C90E3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iCs/>
              </w:rPr>
            </w:pPr>
            <w:r w:rsidRPr="00CA1727">
              <w:rPr>
                <w:rFonts w:ascii="Calibri" w:eastAsia="Times New Roman" w:hAnsi="Calibri" w:cs="Calibri"/>
                <w:b/>
                <w:bCs/>
                <w:iCs/>
              </w:rPr>
              <w:t>Opatření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416316E4" w14:textId="77777777" w:rsidR="00CA1727" w:rsidRPr="00CA1727" w:rsidRDefault="00CA1727" w:rsidP="00C90E3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iCs/>
              </w:rPr>
            </w:pPr>
            <w:r w:rsidRPr="00CA1727">
              <w:rPr>
                <w:rFonts w:ascii="Calibri" w:eastAsia="Times New Roman" w:hAnsi="Calibri" w:cs="Calibri"/>
                <w:b/>
                <w:bCs/>
                <w:iCs/>
              </w:rPr>
              <w:t>Indikátor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1172128E" w14:textId="77777777" w:rsidR="00CA1727" w:rsidRPr="00CA1727" w:rsidRDefault="00CA1727" w:rsidP="00C90E3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iCs/>
              </w:rPr>
            </w:pPr>
            <w:r w:rsidRPr="00CA1727">
              <w:rPr>
                <w:rFonts w:ascii="Calibri" w:eastAsia="Times New Roman" w:hAnsi="Calibri" w:cs="Calibri"/>
                <w:b/>
                <w:bCs/>
                <w:iCs/>
              </w:rPr>
              <w:t>Termín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603E9060" w14:textId="77777777" w:rsidR="00CA1727" w:rsidRPr="00CA1727" w:rsidRDefault="00CA1727" w:rsidP="00C90E3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iCs/>
              </w:rPr>
            </w:pPr>
            <w:r w:rsidRPr="00CA1727">
              <w:rPr>
                <w:rFonts w:ascii="Calibri" w:eastAsia="Times New Roman" w:hAnsi="Calibri" w:cs="Calibri"/>
                <w:b/>
                <w:bCs/>
                <w:iCs/>
              </w:rPr>
              <w:t>Zdroje ověření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5B3594F4" w14:textId="77777777" w:rsidR="00CA1727" w:rsidRPr="00CA1727" w:rsidRDefault="00CA1727" w:rsidP="00C90E3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iCs/>
              </w:rPr>
            </w:pPr>
            <w:r w:rsidRPr="00CA1727">
              <w:rPr>
                <w:rFonts w:ascii="Calibri" w:eastAsia="Times New Roman" w:hAnsi="Calibri" w:cs="Calibri"/>
                <w:b/>
                <w:bCs/>
                <w:iCs/>
              </w:rPr>
              <w:t>Gesce</w:t>
            </w:r>
          </w:p>
        </w:tc>
      </w:tr>
      <w:tr w:rsidR="00CA1727" w:rsidRPr="00CA1727" w14:paraId="168A6838" w14:textId="77777777" w:rsidTr="001E7B6F">
        <w:trPr>
          <w:trHeight w:val="1350"/>
          <w:jc w:val="center"/>
        </w:trPr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textDirection w:val="btLr"/>
            <w:vAlign w:val="center"/>
            <w:hideMark/>
          </w:tcPr>
          <w:p w14:paraId="6D8DA387" w14:textId="1003A208" w:rsidR="00CA1727" w:rsidRPr="00CA1727" w:rsidRDefault="00CA1727" w:rsidP="00C90E35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CA1727">
              <w:rPr>
                <w:rFonts w:ascii="Calibri" w:eastAsia="Times New Roman" w:hAnsi="Calibri" w:cs="Calibri"/>
                <w:b/>
                <w:bCs/>
              </w:rPr>
              <w:t>1.5.1 Zajistit dostatečný objem finančních prostředků</w:t>
            </w:r>
            <w:r w:rsidR="00F84F35">
              <w:rPr>
                <w:rFonts w:ascii="Calibri" w:eastAsia="Times New Roman" w:hAnsi="Calibri" w:cs="Calibri"/>
                <w:b/>
                <w:bCs/>
              </w:rPr>
              <w:t xml:space="preserve"> a</w:t>
            </w:r>
            <w:r w:rsidRPr="00CA1727">
              <w:rPr>
                <w:rFonts w:ascii="Calibri" w:eastAsia="Times New Roman" w:hAnsi="Calibri" w:cs="Calibri"/>
                <w:b/>
                <w:bCs/>
              </w:rPr>
              <w:t xml:space="preserve"> dotací určených pro péči o přírodu a krajinu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7697A" w14:textId="4790D6B2" w:rsidR="00CA1727" w:rsidRPr="00CA1727" w:rsidRDefault="00CA1727" w:rsidP="00C90E3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</w:rPr>
            </w:pPr>
            <w:r w:rsidRPr="00CA1727">
              <w:rPr>
                <w:rFonts w:ascii="Calibri" w:eastAsia="Times New Roman" w:hAnsi="Calibri" w:cs="Calibri"/>
              </w:rPr>
              <w:t>Tvorba mezire</w:t>
            </w:r>
            <w:r w:rsidR="00F84F35">
              <w:rPr>
                <w:rFonts w:ascii="Calibri" w:eastAsia="Times New Roman" w:hAnsi="Calibri" w:cs="Calibri"/>
              </w:rPr>
              <w:t>s</w:t>
            </w:r>
            <w:r w:rsidRPr="00CA1727">
              <w:rPr>
                <w:rFonts w:ascii="Calibri" w:eastAsia="Times New Roman" w:hAnsi="Calibri" w:cs="Calibri"/>
              </w:rPr>
              <w:t>ortní koncepce vícezdrojového financování péče o</w:t>
            </w:r>
            <w:r w:rsidR="001221DA">
              <w:rPr>
                <w:rFonts w:ascii="Calibri" w:eastAsia="Times New Roman" w:hAnsi="Calibri" w:cs="Calibri"/>
              </w:rPr>
              <w:t> </w:t>
            </w:r>
            <w:r w:rsidRPr="00CA1727">
              <w:rPr>
                <w:rFonts w:ascii="Calibri" w:eastAsia="Times New Roman" w:hAnsi="Calibri" w:cs="Calibri"/>
              </w:rPr>
              <w:t>přírodu a krajinu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65BD8" w14:textId="77777777" w:rsidR="00CA1727" w:rsidRPr="00883A95" w:rsidRDefault="00CA1727" w:rsidP="00C90E3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</w:rPr>
            </w:pPr>
            <w:r w:rsidRPr="00883A95">
              <w:rPr>
                <w:rFonts w:ascii="Calibri" w:eastAsia="Times New Roman" w:hAnsi="Calibri" w:cs="Calibri"/>
              </w:rPr>
              <w:t>Koncepce vícezdrojového financování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1DF2" w14:textId="77777777" w:rsidR="00CA1727" w:rsidRPr="00CA1727" w:rsidRDefault="00CA1727" w:rsidP="00C90E3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</w:rPr>
            </w:pPr>
            <w:r w:rsidRPr="00CA1727">
              <w:rPr>
                <w:rFonts w:ascii="Calibri" w:eastAsia="Times New Roman" w:hAnsi="Calibri" w:cs="Calibri"/>
              </w:rPr>
              <w:t>2017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BAC2" w14:textId="77777777" w:rsidR="00CA1727" w:rsidRPr="00CA1727" w:rsidRDefault="00CA1727" w:rsidP="00C90E3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</w:rPr>
            </w:pPr>
            <w:r w:rsidRPr="00CA1727">
              <w:rPr>
                <w:rFonts w:ascii="Calibri" w:eastAsia="Times New Roman" w:hAnsi="Calibri" w:cs="Calibri"/>
              </w:rPr>
              <w:t>Koncepce; údaje o finanční náročnosti realizovaných projektů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8941" w14:textId="77777777" w:rsidR="00CA1727" w:rsidRPr="00CA1727" w:rsidRDefault="00CA1727" w:rsidP="00C90E3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</w:rPr>
            </w:pPr>
            <w:r w:rsidRPr="00CA1727">
              <w:rPr>
                <w:rFonts w:ascii="Calibri" w:eastAsia="Times New Roman" w:hAnsi="Calibri" w:cs="Calibri"/>
              </w:rPr>
              <w:t>MŽP ve spolupráci s MZe, MF a dalšími dotčenými resorty</w:t>
            </w:r>
          </w:p>
        </w:tc>
      </w:tr>
      <w:tr w:rsidR="00CA1727" w:rsidRPr="00CA1727" w14:paraId="3C717BB8" w14:textId="77777777" w:rsidTr="001E7B6F">
        <w:trPr>
          <w:trHeight w:val="878"/>
          <w:jc w:val="center"/>
        </w:trPr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EB82" w14:textId="77777777" w:rsidR="00CA1727" w:rsidRPr="00CA1727" w:rsidRDefault="00CA1727" w:rsidP="00C90E3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B8CA" w14:textId="77777777" w:rsidR="00CA1727" w:rsidRPr="00CA1727" w:rsidRDefault="00CA1727" w:rsidP="00C90E3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</w:rPr>
            </w:pPr>
            <w:r w:rsidRPr="00CA1727">
              <w:rPr>
                <w:rFonts w:ascii="Calibri" w:eastAsia="Times New Roman" w:hAnsi="Calibri" w:cs="Calibri"/>
              </w:rPr>
              <w:t>Analýza systému náhrad škod a újem za ztížení hospodaření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4D9B4" w14:textId="1A893E36" w:rsidR="00CA1727" w:rsidRPr="00CA1727" w:rsidRDefault="00CA1727" w:rsidP="00C90E3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</w:rPr>
            </w:pPr>
            <w:r w:rsidRPr="00883A95">
              <w:rPr>
                <w:rFonts w:ascii="Calibri" w:eastAsia="Times New Roman" w:hAnsi="Calibri" w:cs="Calibri"/>
              </w:rPr>
              <w:t>Legislativně-ekonomická analýza systému poskytování náhrad škod a újem za ztížení hospodaření v podmínkách ČR i kontextu okolních států</w:t>
            </w:r>
            <w:r w:rsidRPr="00CA1727">
              <w:rPr>
                <w:rFonts w:ascii="Calibri" w:eastAsia="Times New Roman" w:hAnsi="Calibri" w:cs="Calibri"/>
              </w:rPr>
              <w:t xml:space="preserve"> a</w:t>
            </w:r>
            <w:r w:rsidR="001221DA">
              <w:rPr>
                <w:rFonts w:ascii="Calibri" w:eastAsia="Times New Roman" w:hAnsi="Calibri" w:cs="Calibri"/>
              </w:rPr>
              <w:t> </w:t>
            </w:r>
            <w:r w:rsidRPr="00CA1727">
              <w:rPr>
                <w:rFonts w:ascii="Calibri" w:eastAsia="Times New Roman" w:hAnsi="Calibri" w:cs="Calibri"/>
              </w:rPr>
              <w:t>případná optimalizace v</w:t>
            </w:r>
            <w:r w:rsidR="001221DA">
              <w:rPr>
                <w:rFonts w:ascii="Calibri" w:eastAsia="Times New Roman" w:hAnsi="Calibri" w:cs="Calibri"/>
              </w:rPr>
              <w:t> </w:t>
            </w:r>
            <w:r w:rsidRPr="00CA1727">
              <w:rPr>
                <w:rFonts w:ascii="Calibri" w:eastAsia="Times New Roman" w:hAnsi="Calibri" w:cs="Calibri"/>
              </w:rPr>
              <w:t>rámci stávající nebo nové právní úpravy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08A55" w14:textId="77777777" w:rsidR="00CA1727" w:rsidRPr="00CA1727" w:rsidRDefault="00CA1727" w:rsidP="00C90E3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</w:rPr>
            </w:pPr>
            <w:r w:rsidRPr="00CA1727">
              <w:rPr>
                <w:rFonts w:ascii="Calibri" w:eastAsia="Times New Roman" w:hAnsi="Calibri" w:cs="Calibri"/>
              </w:rPr>
              <w:t>2018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C4B6" w14:textId="1E246567" w:rsidR="00CA1727" w:rsidRPr="00CA1727" w:rsidRDefault="00CA1727" w:rsidP="00C90E3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</w:rPr>
            </w:pPr>
            <w:r w:rsidRPr="00CA1727">
              <w:rPr>
                <w:rFonts w:ascii="Calibri" w:eastAsia="Times New Roman" w:hAnsi="Calibri" w:cs="Calibri"/>
              </w:rPr>
              <w:t>Analýza a</w:t>
            </w:r>
            <w:r w:rsidR="00F84F35">
              <w:rPr>
                <w:rFonts w:ascii="Calibri" w:eastAsia="Times New Roman" w:hAnsi="Calibri" w:cs="Calibri"/>
              </w:rPr>
              <w:t> </w:t>
            </w:r>
            <w:r w:rsidRPr="00CA1727">
              <w:rPr>
                <w:rFonts w:ascii="Calibri" w:eastAsia="Times New Roman" w:hAnsi="Calibri" w:cs="Calibri"/>
              </w:rPr>
              <w:t>případný návrh optimalizace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27E6" w14:textId="2E30E3A6" w:rsidR="00CA1727" w:rsidRPr="00CA1727" w:rsidRDefault="00CA1727" w:rsidP="00C90E3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</w:rPr>
            </w:pPr>
            <w:r w:rsidRPr="00CA1727">
              <w:rPr>
                <w:rFonts w:ascii="Calibri" w:eastAsia="Times New Roman" w:hAnsi="Calibri" w:cs="Calibri"/>
              </w:rPr>
              <w:t>MŽP ve spolupráci s MZe a</w:t>
            </w:r>
            <w:r w:rsidR="001221DA">
              <w:rPr>
                <w:rFonts w:ascii="Calibri" w:eastAsia="Times New Roman" w:hAnsi="Calibri" w:cs="Calibri"/>
              </w:rPr>
              <w:t> </w:t>
            </w:r>
            <w:r w:rsidRPr="00CA1727">
              <w:rPr>
                <w:rFonts w:ascii="Calibri" w:eastAsia="Times New Roman" w:hAnsi="Calibri" w:cs="Calibri"/>
              </w:rPr>
              <w:t>MF</w:t>
            </w:r>
          </w:p>
        </w:tc>
      </w:tr>
    </w:tbl>
    <w:p w14:paraId="57D8FB22" w14:textId="3053670E" w:rsidR="00CA1727" w:rsidRPr="00CA1727" w:rsidRDefault="00CA1727" w:rsidP="00C90E35">
      <w:pPr>
        <w:widowControl/>
        <w:autoSpaceDE/>
        <w:autoSpaceDN/>
        <w:adjustRightInd/>
        <w:spacing w:after="240"/>
        <w:jc w:val="both"/>
        <w:rPr>
          <w:rFonts w:ascii="Calibri" w:eastAsia="Times New Roman" w:hAnsi="Calibri" w:cs="Calibri"/>
          <w:lang w:eastAsia="en-US"/>
        </w:rPr>
      </w:pPr>
      <w:r w:rsidRPr="00D43349">
        <w:rPr>
          <w:rFonts w:ascii="Calibri" w:eastAsia="Times New Roman" w:hAnsi="Calibri" w:cs="Calibri"/>
          <w:b/>
          <w:lang w:eastAsia="en-US"/>
        </w:rPr>
        <w:t>Zdroj:</w:t>
      </w:r>
      <w:r w:rsidRPr="00CA1727">
        <w:rPr>
          <w:rFonts w:ascii="Calibri" w:eastAsia="Times New Roman" w:hAnsi="Calibri" w:cs="Calibri"/>
          <w:lang w:eastAsia="en-US"/>
        </w:rPr>
        <w:t xml:space="preserve"> </w:t>
      </w:r>
      <w:r w:rsidRPr="00883A95">
        <w:rPr>
          <w:rFonts w:ascii="Calibri" w:eastAsia="Times New Roman" w:hAnsi="Calibri" w:cs="Calibri"/>
          <w:i/>
          <w:lang w:eastAsia="en-US"/>
        </w:rPr>
        <w:t>Strategie ochrany biologické rozm</w:t>
      </w:r>
      <w:r w:rsidR="001A6EEB" w:rsidRPr="00883A95">
        <w:rPr>
          <w:rFonts w:ascii="Calibri" w:eastAsia="Times New Roman" w:hAnsi="Calibri" w:cs="Calibri"/>
          <w:i/>
          <w:lang w:eastAsia="en-US"/>
        </w:rPr>
        <w:t>anitosti České republiky 2016–</w:t>
      </w:r>
      <w:r w:rsidRPr="00883A95">
        <w:rPr>
          <w:rFonts w:ascii="Calibri" w:eastAsia="Times New Roman" w:hAnsi="Calibri" w:cs="Calibri"/>
          <w:i/>
          <w:lang w:eastAsia="en-US"/>
        </w:rPr>
        <w:t>2025</w:t>
      </w:r>
      <w:r w:rsidR="00D43349" w:rsidRPr="005D0DDE">
        <w:rPr>
          <w:rFonts w:ascii="Calibri" w:eastAsia="Times New Roman" w:hAnsi="Calibri" w:cs="Calibri"/>
          <w:lang w:eastAsia="en-US"/>
        </w:rPr>
        <w:t>.</w:t>
      </w:r>
    </w:p>
    <w:p w14:paraId="3A271C9F" w14:textId="424477B2" w:rsidR="00527096" w:rsidRPr="00803AF3" w:rsidRDefault="000F77C4" w:rsidP="00C90E35">
      <w:pPr>
        <w:widowControl/>
        <w:autoSpaceDE/>
        <w:autoSpaceDN/>
        <w:adjustRightInd/>
        <w:spacing w:after="12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 xml:space="preserve">V </w:t>
      </w:r>
      <w:r w:rsidR="00CA1727" w:rsidRPr="00E33B9B">
        <w:rPr>
          <w:rFonts w:ascii="Calibri" w:eastAsia="Calibri" w:hAnsi="Calibri" w:cs="Calibri"/>
          <w:sz w:val="24"/>
          <w:szCs w:val="24"/>
          <w:lang w:eastAsia="en-US"/>
        </w:rPr>
        <w:t>oblast</w:t>
      </w:r>
      <w:r>
        <w:rPr>
          <w:rFonts w:ascii="Calibri" w:eastAsia="Calibri" w:hAnsi="Calibri" w:cs="Calibri"/>
          <w:sz w:val="24"/>
          <w:szCs w:val="24"/>
          <w:lang w:eastAsia="en-US"/>
        </w:rPr>
        <w:t>i</w:t>
      </w:r>
      <w:r w:rsidR="00CA1727" w:rsidRPr="00E33B9B">
        <w:rPr>
          <w:rFonts w:ascii="Calibri" w:eastAsia="Calibri" w:hAnsi="Calibri" w:cs="Calibri"/>
          <w:sz w:val="24"/>
          <w:szCs w:val="24"/>
          <w:lang w:eastAsia="en-US"/>
        </w:rPr>
        <w:t xml:space="preserve"> financování péče o pří</w:t>
      </w:r>
      <w:r w:rsidR="00DC6E94">
        <w:rPr>
          <w:rFonts w:ascii="Calibri" w:eastAsia="Calibri" w:hAnsi="Calibri" w:cs="Calibri"/>
          <w:sz w:val="24"/>
          <w:szCs w:val="24"/>
          <w:lang w:eastAsia="en-US"/>
        </w:rPr>
        <w:t xml:space="preserve">rodu a krajinu stanovila </w:t>
      </w:r>
      <w:r>
        <w:rPr>
          <w:rFonts w:ascii="Calibri" w:eastAsia="Calibri" w:hAnsi="Calibri" w:cs="Calibri"/>
          <w:sz w:val="24"/>
          <w:szCs w:val="24"/>
          <w:lang w:eastAsia="en-US"/>
        </w:rPr>
        <w:t>Strategie Ministerstvu životního prostředí</w:t>
      </w:r>
      <w:r w:rsidR="00DC6E94">
        <w:rPr>
          <w:rFonts w:ascii="Calibri" w:eastAsia="Calibri" w:hAnsi="Calibri" w:cs="Calibri"/>
          <w:sz w:val="24"/>
          <w:szCs w:val="24"/>
          <w:lang w:eastAsia="en-US"/>
        </w:rPr>
        <w:t xml:space="preserve"> rok 2017 jako</w:t>
      </w:r>
      <w:r w:rsidR="00E24BA9" w:rsidRPr="00E33B9B">
        <w:rPr>
          <w:rFonts w:ascii="Calibri" w:eastAsia="Calibri" w:hAnsi="Calibri" w:cs="Calibri"/>
          <w:sz w:val="24"/>
          <w:szCs w:val="24"/>
          <w:lang w:eastAsia="en-US"/>
        </w:rPr>
        <w:t xml:space="preserve"> termín</w:t>
      </w:r>
      <w:r w:rsidR="00CA1727" w:rsidRPr="00E33B9B">
        <w:rPr>
          <w:rFonts w:ascii="Calibri" w:eastAsia="Calibri" w:hAnsi="Calibri" w:cs="Calibri"/>
          <w:sz w:val="24"/>
          <w:szCs w:val="24"/>
          <w:lang w:eastAsia="en-US"/>
        </w:rPr>
        <w:t xml:space="preserve"> pro vypracování </w:t>
      </w:r>
      <w:r w:rsidR="00EF6672" w:rsidRPr="00EF6672">
        <w:rPr>
          <w:rFonts w:ascii="Calibri" w:eastAsia="Calibri" w:hAnsi="Calibri" w:cs="Calibri"/>
          <w:i/>
          <w:sz w:val="24"/>
          <w:szCs w:val="24"/>
          <w:lang w:eastAsia="en-US"/>
        </w:rPr>
        <w:t>K</w:t>
      </w:r>
      <w:r w:rsidR="00CA1727" w:rsidRPr="00E33B9B">
        <w:rPr>
          <w:rFonts w:ascii="Calibri" w:eastAsia="Calibri" w:hAnsi="Calibri" w:cs="Calibri"/>
          <w:i/>
          <w:sz w:val="24"/>
          <w:szCs w:val="24"/>
          <w:lang w:eastAsia="en-US"/>
        </w:rPr>
        <w:t>oncepce vícezdrojového financování péče o</w:t>
      </w:r>
      <w:r>
        <w:rPr>
          <w:rFonts w:ascii="Calibri" w:eastAsia="Calibri" w:hAnsi="Calibri" w:cs="Calibri"/>
          <w:i/>
          <w:sz w:val="24"/>
          <w:szCs w:val="24"/>
          <w:lang w:eastAsia="en-US"/>
        </w:rPr>
        <w:t> </w:t>
      </w:r>
      <w:r w:rsidR="00CA1727" w:rsidRPr="00E33B9B">
        <w:rPr>
          <w:rFonts w:ascii="Calibri" w:eastAsia="Calibri" w:hAnsi="Calibri" w:cs="Calibri"/>
          <w:i/>
          <w:sz w:val="24"/>
          <w:szCs w:val="24"/>
          <w:lang w:eastAsia="en-US"/>
        </w:rPr>
        <w:t>přírodu a</w:t>
      </w:r>
      <w:r w:rsidR="00B40078">
        <w:rPr>
          <w:rFonts w:ascii="Calibri" w:eastAsia="Calibri" w:hAnsi="Calibri" w:cs="Calibri"/>
          <w:i/>
          <w:sz w:val="24"/>
          <w:szCs w:val="24"/>
          <w:lang w:eastAsia="en-US"/>
        </w:rPr>
        <w:t xml:space="preserve"> </w:t>
      </w:r>
      <w:r w:rsidR="00CA1727" w:rsidRPr="00E33B9B">
        <w:rPr>
          <w:rFonts w:ascii="Calibri" w:eastAsia="Calibri" w:hAnsi="Calibri" w:cs="Calibri"/>
          <w:i/>
          <w:sz w:val="24"/>
          <w:szCs w:val="24"/>
          <w:lang w:eastAsia="en-US"/>
        </w:rPr>
        <w:t>krajinu</w:t>
      </w:r>
      <w:r w:rsidR="00E24BA9" w:rsidRPr="00E33B9B">
        <w:rPr>
          <w:rFonts w:ascii="Calibri" w:eastAsia="Calibri" w:hAnsi="Calibri" w:cs="Calibri"/>
          <w:sz w:val="24"/>
          <w:szCs w:val="24"/>
          <w:lang w:eastAsia="en-US"/>
        </w:rPr>
        <w:t xml:space="preserve">, </w:t>
      </w:r>
      <w:r w:rsidR="00DC6E94">
        <w:rPr>
          <w:rFonts w:ascii="Calibri" w:eastAsia="Calibri" w:hAnsi="Calibri" w:cs="Calibri"/>
          <w:sz w:val="24"/>
          <w:szCs w:val="24"/>
          <w:lang w:eastAsia="en-US"/>
        </w:rPr>
        <w:t xml:space="preserve">MŽP 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však </w:t>
      </w:r>
      <w:r w:rsidR="00B40078">
        <w:rPr>
          <w:rFonts w:ascii="Calibri" w:eastAsia="Calibri" w:hAnsi="Calibri" w:cs="Calibri"/>
          <w:sz w:val="24"/>
          <w:szCs w:val="24"/>
          <w:lang w:eastAsia="en-US"/>
        </w:rPr>
        <w:t xml:space="preserve">tento 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termín </w:t>
      </w:r>
      <w:r w:rsidR="00E24BA9" w:rsidRPr="00E33B9B">
        <w:rPr>
          <w:rFonts w:ascii="Calibri" w:eastAsia="Calibri" w:hAnsi="Calibri" w:cs="Calibri"/>
          <w:sz w:val="24"/>
          <w:szCs w:val="24"/>
          <w:lang w:eastAsia="en-US"/>
        </w:rPr>
        <w:t>nesplnilo.</w:t>
      </w:r>
      <w:r w:rsidR="004555D7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E24BA9" w:rsidRPr="00803AF3">
        <w:rPr>
          <w:rFonts w:ascii="Calibri" w:eastAsia="Calibri" w:hAnsi="Calibri" w:cs="Calibri"/>
          <w:sz w:val="24"/>
          <w:szCs w:val="24"/>
          <w:lang w:eastAsia="en-US"/>
        </w:rPr>
        <w:t>Koncepce má sloužit k zajištění dostatečného objemu finančních prostředků pro péči o přírodu a krajinu, tj. včetně NP.</w:t>
      </w:r>
      <w:r w:rsidR="00E24BA9" w:rsidRPr="00803AF3">
        <w:rPr>
          <w:rFonts w:ascii="Calibri" w:eastAsia="Calibri" w:hAnsi="Calibri" w:cs="Calibri"/>
          <w:i/>
          <w:sz w:val="24"/>
          <w:szCs w:val="24"/>
          <w:lang w:eastAsia="en-US"/>
        </w:rPr>
        <w:t xml:space="preserve"> </w:t>
      </w:r>
      <w:r w:rsidR="00803AF3">
        <w:rPr>
          <w:rFonts w:ascii="Calibri" w:eastAsia="Calibri" w:hAnsi="Calibri" w:cs="Calibri"/>
          <w:sz w:val="24"/>
          <w:szCs w:val="24"/>
          <w:lang w:eastAsia="en-US"/>
        </w:rPr>
        <w:t>Další</w:t>
      </w:r>
      <w:r w:rsidR="00CA1727" w:rsidRPr="00803AF3">
        <w:rPr>
          <w:rFonts w:ascii="Calibri" w:eastAsia="Calibri" w:hAnsi="Calibri" w:cs="Calibri"/>
          <w:sz w:val="24"/>
          <w:szCs w:val="24"/>
          <w:lang w:eastAsia="en-US"/>
        </w:rPr>
        <w:t xml:space="preserve"> termín </w:t>
      </w:r>
      <w:r w:rsidR="00803AF3">
        <w:rPr>
          <w:rFonts w:ascii="Calibri" w:eastAsia="Calibri" w:hAnsi="Calibri" w:cs="Calibri"/>
          <w:sz w:val="24"/>
          <w:szCs w:val="24"/>
          <w:lang w:eastAsia="en-US"/>
        </w:rPr>
        <w:t xml:space="preserve">pro vypracování této koncepce </w:t>
      </w:r>
      <w:r w:rsidR="001B22BB" w:rsidRPr="00803AF3">
        <w:rPr>
          <w:rFonts w:ascii="Calibri" w:eastAsia="Calibri" w:hAnsi="Calibri" w:cs="Calibri"/>
          <w:sz w:val="24"/>
          <w:szCs w:val="24"/>
          <w:lang w:eastAsia="en-US"/>
        </w:rPr>
        <w:t>stanov</w:t>
      </w:r>
      <w:r>
        <w:rPr>
          <w:rFonts w:ascii="Calibri" w:eastAsia="Calibri" w:hAnsi="Calibri" w:cs="Calibri"/>
          <w:sz w:val="24"/>
          <w:szCs w:val="24"/>
          <w:lang w:eastAsia="en-US"/>
        </w:rPr>
        <w:t>í</w:t>
      </w:r>
      <w:r w:rsidR="001B22BB" w:rsidRPr="00803AF3">
        <w:rPr>
          <w:rFonts w:ascii="Calibri" w:eastAsia="Calibri" w:hAnsi="Calibri" w:cs="Calibri"/>
          <w:sz w:val="24"/>
          <w:szCs w:val="24"/>
          <w:lang w:eastAsia="en-US"/>
        </w:rPr>
        <w:t xml:space="preserve"> MŽP </w:t>
      </w:r>
      <w:r w:rsidR="00CA1727" w:rsidRPr="00803AF3">
        <w:rPr>
          <w:rFonts w:ascii="Calibri" w:eastAsia="Calibri" w:hAnsi="Calibri" w:cs="Calibri"/>
          <w:sz w:val="24"/>
          <w:szCs w:val="24"/>
          <w:lang w:eastAsia="en-US"/>
        </w:rPr>
        <w:t>až při střednědobém vyhodnocení dílčích cílů Strategie v roce 2020</w:t>
      </w:r>
      <w:r w:rsidR="00A1035A" w:rsidRPr="00803AF3">
        <w:rPr>
          <w:rFonts w:ascii="Calibri" w:eastAsia="Calibri" w:hAnsi="Calibri" w:cs="Calibri"/>
          <w:sz w:val="24"/>
          <w:szCs w:val="24"/>
          <w:lang w:eastAsia="en-US"/>
        </w:rPr>
        <w:t>.</w:t>
      </w:r>
      <w:r w:rsidR="00CA1727" w:rsidRPr="00803AF3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</w:p>
    <w:p w14:paraId="0981CE5D" w14:textId="0F019CCD" w:rsidR="00CA1727" w:rsidRPr="002674B3" w:rsidRDefault="00F67554" w:rsidP="00C90E35">
      <w:pPr>
        <w:widowControl/>
        <w:autoSpaceDE/>
        <w:autoSpaceDN/>
        <w:adjustRightInd/>
        <w:spacing w:after="12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>
        <w:rPr>
          <w:rFonts w:ascii="Calibri" w:eastAsia="Calibri" w:hAnsi="Calibri" w:cs="Calibri"/>
          <w:sz w:val="24"/>
          <w:szCs w:val="24"/>
          <w:lang w:eastAsia="en-US"/>
        </w:rPr>
        <w:t>V rámci dílčího cíle 1.5.1</w:t>
      </w:r>
      <w:r w:rsidR="004555D7" w:rsidRPr="00803AF3">
        <w:rPr>
          <w:rFonts w:ascii="Calibri" w:eastAsia="Calibri" w:hAnsi="Calibri" w:cs="Calibri"/>
          <w:sz w:val="24"/>
          <w:szCs w:val="24"/>
          <w:lang w:eastAsia="en-US"/>
        </w:rPr>
        <w:t xml:space="preserve"> u opatření </w:t>
      </w:r>
      <w:r w:rsidR="00B40078">
        <w:rPr>
          <w:rFonts w:ascii="Calibri" w:eastAsia="Calibri" w:hAnsi="Calibri" w:cs="Calibri"/>
          <w:sz w:val="24"/>
          <w:szCs w:val="24"/>
          <w:lang w:eastAsia="en-US"/>
        </w:rPr>
        <w:t>„</w:t>
      </w:r>
      <w:r w:rsidR="00B40078">
        <w:rPr>
          <w:rFonts w:ascii="Calibri" w:eastAsia="Calibri" w:hAnsi="Calibri" w:cs="Calibri"/>
          <w:i/>
          <w:sz w:val="24"/>
          <w:szCs w:val="24"/>
          <w:lang w:eastAsia="en-US"/>
        </w:rPr>
        <w:t>a</w:t>
      </w:r>
      <w:r w:rsidR="002674B3" w:rsidRPr="00803AF3">
        <w:rPr>
          <w:rFonts w:ascii="Calibri" w:eastAsia="Calibri" w:hAnsi="Calibri" w:cs="Calibri"/>
          <w:i/>
          <w:sz w:val="24"/>
          <w:szCs w:val="24"/>
          <w:lang w:eastAsia="en-US"/>
        </w:rPr>
        <w:t>nalýza systému náhrad škod a újem za ztížení hospodaření</w:t>
      </w:r>
      <w:r w:rsidR="00B40078">
        <w:rPr>
          <w:rFonts w:ascii="Calibri" w:eastAsia="Calibri" w:hAnsi="Calibri" w:cs="Calibri"/>
          <w:sz w:val="24"/>
          <w:szCs w:val="24"/>
          <w:lang w:eastAsia="en-US"/>
        </w:rPr>
        <w:t>“</w:t>
      </w:r>
      <w:r w:rsidR="002674B3" w:rsidRPr="00803AF3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390E49" w:rsidRPr="00803AF3">
        <w:rPr>
          <w:rFonts w:ascii="Calibri" w:eastAsia="Calibri" w:hAnsi="Calibri" w:cs="Calibri"/>
          <w:sz w:val="24"/>
          <w:szCs w:val="24"/>
          <w:lang w:eastAsia="en-US"/>
        </w:rPr>
        <w:t>navrhlo</w:t>
      </w:r>
      <w:r w:rsidR="00390E49" w:rsidRPr="00E33B9B">
        <w:rPr>
          <w:rFonts w:ascii="Calibri" w:eastAsia="Calibri" w:hAnsi="Calibri" w:cs="Calibri"/>
          <w:sz w:val="24"/>
          <w:szCs w:val="24"/>
          <w:lang w:eastAsia="en-US"/>
        </w:rPr>
        <w:t xml:space="preserve"> MŽP změnu právní úpravy</w:t>
      </w:r>
      <w:r w:rsidR="00CA1727" w:rsidRPr="00E33B9B">
        <w:rPr>
          <w:rFonts w:ascii="Calibri" w:eastAsia="Calibri" w:hAnsi="Calibri" w:cs="Calibri"/>
          <w:sz w:val="24"/>
          <w:szCs w:val="24"/>
          <w:lang w:eastAsia="en-US"/>
        </w:rPr>
        <w:t xml:space="preserve">, podle které nárok na finanční náhradu v důsledku omezení vyplývajících ze zákona </w:t>
      </w:r>
      <w:r w:rsidR="00D43349" w:rsidRPr="00E33B9B">
        <w:rPr>
          <w:rFonts w:ascii="Calibri" w:eastAsia="Calibri" w:hAnsi="Calibri" w:cs="Calibri"/>
          <w:sz w:val="24"/>
          <w:szCs w:val="24"/>
          <w:lang w:eastAsia="en-US"/>
        </w:rPr>
        <w:t xml:space="preserve">o ochraně přírody a krajiny </w:t>
      </w:r>
      <w:r w:rsidR="00DA681F" w:rsidRPr="00E33B9B">
        <w:rPr>
          <w:rFonts w:ascii="Calibri" w:eastAsia="Calibri" w:hAnsi="Calibri" w:cs="Calibri"/>
          <w:sz w:val="24"/>
          <w:szCs w:val="24"/>
          <w:lang w:eastAsia="en-US"/>
        </w:rPr>
        <w:t>nevzniká za újmu vzniklou či</w:t>
      </w:r>
      <w:r w:rsidR="00816A50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CA1727" w:rsidRPr="00E33B9B">
        <w:rPr>
          <w:rFonts w:ascii="Calibri" w:eastAsia="Calibri" w:hAnsi="Calibri" w:cs="Calibri"/>
          <w:sz w:val="24"/>
          <w:szCs w:val="24"/>
          <w:lang w:eastAsia="en-US"/>
        </w:rPr>
        <w:t>trvající na pozemcích ve vlastnictví státu. Po</w:t>
      </w:r>
      <w:r w:rsidR="00EB2226" w:rsidRPr="00E33B9B">
        <w:rPr>
          <w:rFonts w:ascii="Calibri" w:eastAsia="Calibri" w:hAnsi="Calibri" w:cs="Calibri"/>
          <w:sz w:val="24"/>
          <w:szCs w:val="24"/>
          <w:lang w:eastAsia="en-US"/>
        </w:rPr>
        <w:t>slanecká sněmovna Parlamentu ČR navrhovanou</w:t>
      </w:r>
      <w:r w:rsidR="00EB2226" w:rsidRPr="00513F92">
        <w:rPr>
          <w:rFonts w:ascii="Calibri" w:eastAsia="Calibri" w:hAnsi="Calibri" w:cs="Calibri"/>
          <w:sz w:val="24"/>
          <w:szCs w:val="24"/>
          <w:lang w:eastAsia="en-US"/>
        </w:rPr>
        <w:t xml:space="preserve"> změnu</w:t>
      </w:r>
      <w:r w:rsidR="00CA1727" w:rsidRPr="00513F92">
        <w:rPr>
          <w:rFonts w:ascii="Calibri" w:eastAsia="Calibri" w:hAnsi="Calibri" w:cs="Calibri"/>
          <w:sz w:val="24"/>
          <w:szCs w:val="24"/>
          <w:lang w:eastAsia="en-US"/>
        </w:rPr>
        <w:t xml:space="preserve"> nepřijala. Nárok na finanční náhradu za újmu vzniklou či trvající</w:t>
      </w:r>
      <w:r w:rsidR="003D1A59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CA1727" w:rsidRPr="00513F92">
        <w:rPr>
          <w:rFonts w:ascii="Calibri" w:eastAsia="Calibri" w:hAnsi="Calibri" w:cs="Calibri"/>
          <w:sz w:val="24"/>
          <w:szCs w:val="24"/>
          <w:lang w:eastAsia="en-US"/>
        </w:rPr>
        <w:t>na</w:t>
      </w:r>
      <w:r w:rsidR="003D1A59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CA1727" w:rsidRPr="00513F92">
        <w:rPr>
          <w:rFonts w:ascii="Calibri" w:eastAsia="Calibri" w:hAnsi="Calibri" w:cs="Calibri"/>
          <w:sz w:val="24"/>
          <w:szCs w:val="24"/>
          <w:lang w:eastAsia="en-US"/>
        </w:rPr>
        <w:t xml:space="preserve">pozemcích ve vlastnictví státu v zákoně </w:t>
      </w:r>
      <w:r w:rsidR="000352B3" w:rsidRPr="00513F92">
        <w:rPr>
          <w:rFonts w:ascii="Calibri" w:eastAsia="Calibri" w:hAnsi="Calibri" w:cs="Calibri"/>
          <w:sz w:val="24"/>
          <w:szCs w:val="24"/>
          <w:lang w:eastAsia="en-US"/>
        </w:rPr>
        <w:t>o ochraně přírody a krajiny po novele</w:t>
      </w:r>
      <w:r w:rsidR="00CA1727" w:rsidRPr="00513F92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586780" w:rsidRPr="00513F92">
        <w:rPr>
          <w:rFonts w:ascii="Calibri" w:eastAsia="Calibri" w:hAnsi="Calibri" w:cs="Calibri"/>
          <w:sz w:val="24"/>
          <w:szCs w:val="24"/>
          <w:lang w:eastAsia="en-US"/>
        </w:rPr>
        <w:t xml:space="preserve">zákona </w:t>
      </w:r>
      <w:r w:rsidR="00CA1727" w:rsidRPr="00513F92">
        <w:rPr>
          <w:rFonts w:ascii="Calibri" w:eastAsia="Calibri" w:hAnsi="Calibri" w:cs="Calibri"/>
          <w:sz w:val="24"/>
          <w:szCs w:val="24"/>
          <w:lang w:eastAsia="en-US"/>
        </w:rPr>
        <w:t xml:space="preserve">dále zůstává. </w:t>
      </w:r>
      <w:r w:rsidR="00F52243" w:rsidRPr="00513F92">
        <w:rPr>
          <w:rFonts w:ascii="Calibri" w:eastAsia="Calibri" w:hAnsi="Calibri" w:cs="Calibri"/>
          <w:sz w:val="24"/>
          <w:szCs w:val="24"/>
          <w:lang w:eastAsia="en-US"/>
        </w:rPr>
        <w:t xml:space="preserve">Finanční náhradu tak poskytují správy NP z prostředků státního rozpočtu </w:t>
      </w:r>
      <w:r w:rsidR="00D43354" w:rsidRPr="00513F92">
        <w:rPr>
          <w:rFonts w:ascii="Calibri" w:eastAsia="Calibri" w:hAnsi="Calibri" w:cs="Calibri"/>
          <w:sz w:val="24"/>
          <w:szCs w:val="24"/>
          <w:lang w:eastAsia="en-US"/>
        </w:rPr>
        <w:t>i státnímu podniku Lesy ČR.</w:t>
      </w:r>
    </w:p>
    <w:p w14:paraId="53D68E04" w14:textId="216AC6AE" w:rsidR="00CA1727" w:rsidRPr="00E742E9" w:rsidRDefault="00CA1727" w:rsidP="00C90E35">
      <w:pPr>
        <w:widowControl/>
        <w:tabs>
          <w:tab w:val="right" w:pos="9072"/>
        </w:tabs>
        <w:autoSpaceDE/>
        <w:autoSpaceDN/>
        <w:adjustRightInd/>
        <w:ind w:left="1304" w:hanging="1304"/>
        <w:rPr>
          <w:rFonts w:ascii="Calibri" w:eastAsia="Calibri" w:hAnsi="Calibri" w:cs="Calibri"/>
          <w:b/>
          <w:iCs/>
          <w:sz w:val="24"/>
          <w:szCs w:val="24"/>
          <w:lang w:eastAsia="en-US"/>
        </w:rPr>
      </w:pPr>
      <w:r w:rsidRPr="00555938">
        <w:rPr>
          <w:rFonts w:ascii="Calibri" w:eastAsia="Calibri" w:hAnsi="Calibri" w:cs="Calibri"/>
          <w:b/>
          <w:iCs/>
          <w:sz w:val="24"/>
          <w:szCs w:val="24"/>
          <w:lang w:eastAsia="en-US"/>
        </w:rPr>
        <w:t xml:space="preserve">Tabulka č. </w:t>
      </w:r>
      <w:r w:rsidR="0075030C">
        <w:rPr>
          <w:rFonts w:ascii="Calibri" w:eastAsia="Calibri" w:hAnsi="Calibri" w:cs="Calibri"/>
          <w:b/>
          <w:iCs/>
          <w:sz w:val="24"/>
          <w:szCs w:val="24"/>
          <w:lang w:eastAsia="en-US"/>
        </w:rPr>
        <w:t>6</w:t>
      </w:r>
      <w:r w:rsidRPr="00555938">
        <w:rPr>
          <w:rFonts w:ascii="Calibri" w:eastAsia="Calibri" w:hAnsi="Calibri" w:cs="Calibri"/>
          <w:b/>
          <w:iCs/>
          <w:sz w:val="24"/>
          <w:szCs w:val="24"/>
          <w:lang w:eastAsia="en-US"/>
        </w:rPr>
        <w:t xml:space="preserve">: </w:t>
      </w:r>
      <w:r w:rsidR="001221DA">
        <w:rPr>
          <w:rFonts w:ascii="Calibri" w:eastAsia="Calibri" w:hAnsi="Calibri" w:cs="Calibri"/>
          <w:b/>
          <w:iCs/>
          <w:sz w:val="24"/>
          <w:szCs w:val="24"/>
          <w:lang w:eastAsia="en-US"/>
        </w:rPr>
        <w:tab/>
      </w:r>
      <w:r w:rsidRPr="00555938">
        <w:rPr>
          <w:rFonts w:ascii="Calibri" w:eastAsia="Calibri" w:hAnsi="Calibri" w:cs="Calibri"/>
          <w:b/>
          <w:iCs/>
          <w:sz w:val="24"/>
          <w:szCs w:val="24"/>
          <w:lang w:eastAsia="en-US"/>
        </w:rPr>
        <w:t>Výše</w:t>
      </w:r>
      <w:r w:rsidRPr="00E742E9">
        <w:rPr>
          <w:rFonts w:ascii="Calibri" w:eastAsia="Calibri" w:hAnsi="Calibri" w:cs="Calibri"/>
          <w:b/>
          <w:iCs/>
          <w:sz w:val="24"/>
          <w:szCs w:val="24"/>
          <w:lang w:eastAsia="en-US"/>
        </w:rPr>
        <w:t xml:space="preserve"> vyplacených náhrad újmy za ztížení lesnického nebo zemědělského hospodaření </w:t>
      </w:r>
      <w:r w:rsidR="001221DA">
        <w:rPr>
          <w:rFonts w:ascii="Calibri" w:eastAsia="Calibri" w:hAnsi="Calibri" w:cs="Calibri"/>
          <w:b/>
          <w:iCs/>
          <w:sz w:val="24"/>
          <w:szCs w:val="24"/>
          <w:lang w:eastAsia="en-US"/>
        </w:rPr>
        <w:tab/>
      </w:r>
      <w:r w:rsidR="0035208B">
        <w:rPr>
          <w:rFonts w:ascii="Calibri" w:eastAsia="Calibri" w:hAnsi="Calibri" w:cs="Calibri"/>
          <w:b/>
          <w:iCs/>
          <w:sz w:val="24"/>
          <w:szCs w:val="24"/>
          <w:lang w:eastAsia="en-US"/>
        </w:rPr>
        <w:t>(</w:t>
      </w:r>
      <w:r w:rsidRPr="00E742E9">
        <w:rPr>
          <w:rFonts w:ascii="Calibri" w:eastAsia="Calibri" w:hAnsi="Calibri" w:cs="Calibri"/>
          <w:b/>
          <w:iCs/>
          <w:sz w:val="24"/>
          <w:szCs w:val="24"/>
          <w:lang w:eastAsia="en-US"/>
        </w:rPr>
        <w:t>v Kč</w:t>
      </w:r>
      <w:r w:rsidR="0035208B">
        <w:rPr>
          <w:rFonts w:ascii="Calibri" w:eastAsia="Calibri" w:hAnsi="Calibri" w:cs="Calibri"/>
          <w:b/>
          <w:iCs/>
          <w:sz w:val="24"/>
          <w:szCs w:val="24"/>
          <w:lang w:eastAsia="en-US"/>
        </w:rPr>
        <w:t>)</w:t>
      </w:r>
    </w:p>
    <w:tbl>
      <w:tblPr>
        <w:tblW w:w="90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0"/>
        <w:gridCol w:w="2210"/>
        <w:gridCol w:w="2210"/>
        <w:gridCol w:w="2041"/>
      </w:tblGrid>
      <w:tr w:rsidR="00CA1727" w:rsidRPr="00CA1727" w14:paraId="4127D11E" w14:textId="77777777" w:rsidTr="001E7B6F">
        <w:trPr>
          <w:trHeight w:val="182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</w:tcPr>
          <w:p w14:paraId="69130D30" w14:textId="77777777" w:rsidR="00CA1727" w:rsidRPr="00CA1727" w:rsidRDefault="00CA1727" w:rsidP="00C90E3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1AEDCD32" w14:textId="77777777" w:rsidR="00CA1727" w:rsidRPr="00CA1727" w:rsidRDefault="00CA1727" w:rsidP="00C90E3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CA1727">
              <w:rPr>
                <w:rFonts w:ascii="Calibri" w:eastAsia="Times New Roman" w:hAnsi="Calibri" w:cs="Calibri"/>
                <w:b/>
                <w:color w:val="000000"/>
              </w:rPr>
              <w:t>2016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2FE5BA14" w14:textId="77777777" w:rsidR="00CA1727" w:rsidRPr="00CA1727" w:rsidRDefault="00CA1727" w:rsidP="00C90E3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CA1727">
              <w:rPr>
                <w:rFonts w:ascii="Calibri" w:eastAsia="Times New Roman" w:hAnsi="Calibri" w:cs="Calibri"/>
                <w:b/>
                <w:color w:val="000000"/>
              </w:rPr>
              <w:t>2017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</w:tcPr>
          <w:p w14:paraId="1B204C9D" w14:textId="77777777" w:rsidR="00CA1727" w:rsidRPr="00CA1727" w:rsidRDefault="00CA1727" w:rsidP="00C90E3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 w:rsidRPr="00CA1727">
              <w:rPr>
                <w:rFonts w:ascii="Calibri" w:eastAsia="Times New Roman" w:hAnsi="Calibri" w:cs="Calibri"/>
                <w:b/>
                <w:color w:val="000000"/>
              </w:rPr>
              <w:t>2018</w:t>
            </w:r>
          </w:p>
        </w:tc>
      </w:tr>
      <w:tr w:rsidR="00CA1727" w:rsidRPr="00CA1727" w14:paraId="240CEF05" w14:textId="77777777" w:rsidTr="001E7B6F">
        <w:trPr>
          <w:trHeight w:val="182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E3A93" w14:textId="77777777" w:rsidR="00CA1727" w:rsidRPr="00CA1727" w:rsidRDefault="00CA1727" w:rsidP="00C90E3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CA1727">
              <w:rPr>
                <w:rFonts w:ascii="Calibri" w:eastAsia="Times New Roman" w:hAnsi="Calibri" w:cs="Calibri"/>
                <w:color w:val="000000"/>
              </w:rPr>
              <w:t>Správa NP Šumava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E899" w14:textId="77777777" w:rsidR="00CA1727" w:rsidRPr="00CA1727" w:rsidRDefault="00CA1727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1727">
              <w:rPr>
                <w:rFonts w:ascii="Calibri" w:eastAsia="Times New Roman" w:hAnsi="Calibri" w:cs="Calibri"/>
                <w:color w:val="000000"/>
              </w:rPr>
              <w:t>29 544 633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358F" w14:textId="77777777" w:rsidR="00CA1727" w:rsidRPr="00CA1727" w:rsidRDefault="00CA1727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1727">
              <w:rPr>
                <w:rFonts w:ascii="Calibri" w:eastAsia="Times New Roman" w:hAnsi="Calibri" w:cs="Calibri"/>
                <w:color w:val="000000"/>
              </w:rPr>
              <w:t>21 332 114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9214" w14:textId="77777777" w:rsidR="00CA1727" w:rsidRPr="00CA1727" w:rsidRDefault="00CA1727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1727">
              <w:rPr>
                <w:rFonts w:ascii="Calibri" w:eastAsia="Times New Roman" w:hAnsi="Calibri" w:cs="Calibri"/>
                <w:color w:val="000000"/>
              </w:rPr>
              <w:t>15 284 993</w:t>
            </w:r>
          </w:p>
        </w:tc>
      </w:tr>
      <w:tr w:rsidR="00CA1727" w:rsidRPr="00CA1727" w14:paraId="62EF971F" w14:textId="77777777" w:rsidTr="001E7B6F">
        <w:trPr>
          <w:trHeight w:val="182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5FEC" w14:textId="085A129C" w:rsidR="00CA1727" w:rsidRPr="00CA1727" w:rsidRDefault="00D43349" w:rsidP="00C90E3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z toho Lesy ČR, s.</w:t>
            </w:r>
            <w:r w:rsidR="00315B43">
              <w:rPr>
                <w:rFonts w:ascii="Calibri" w:eastAsia="Times New Roman" w:hAnsi="Calibri" w:cs="Calibri"/>
                <w:color w:val="000000"/>
              </w:rPr>
              <w:t> </w:t>
            </w:r>
            <w:r w:rsidR="00CA1727" w:rsidRPr="00CA1727">
              <w:rPr>
                <w:rFonts w:ascii="Calibri" w:eastAsia="Times New Roman" w:hAnsi="Calibri" w:cs="Calibri"/>
                <w:color w:val="000000"/>
              </w:rPr>
              <w:t>p.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E90B1" w14:textId="77777777" w:rsidR="00CA1727" w:rsidRPr="00CA1727" w:rsidRDefault="00CA1727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1727">
              <w:rPr>
                <w:rFonts w:ascii="Calibri" w:eastAsia="Times New Roman" w:hAnsi="Calibri" w:cs="Calibri"/>
                <w:color w:val="000000"/>
              </w:rPr>
              <w:t>5 281 133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1935F" w14:textId="77777777" w:rsidR="00CA1727" w:rsidRPr="00CA1727" w:rsidRDefault="00CA1727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1727">
              <w:rPr>
                <w:rFonts w:ascii="Calibri" w:eastAsia="Times New Roman" w:hAnsi="Calibri" w:cs="Calibri"/>
                <w:color w:val="000000"/>
              </w:rPr>
              <w:t xml:space="preserve">4 254 139 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F5869" w14:textId="77777777" w:rsidR="00CA1727" w:rsidRPr="00CA1727" w:rsidRDefault="00CA1727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1727">
              <w:rPr>
                <w:rFonts w:ascii="Calibri" w:eastAsia="Times New Roman" w:hAnsi="Calibri" w:cs="Calibri"/>
                <w:color w:val="000000"/>
              </w:rPr>
              <w:t>4 744 271</w:t>
            </w:r>
          </w:p>
        </w:tc>
      </w:tr>
      <w:tr w:rsidR="00CA1727" w:rsidRPr="00CA1727" w14:paraId="5F6B59E3" w14:textId="77777777" w:rsidTr="001E7B6F">
        <w:trPr>
          <w:trHeight w:val="182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7E72" w14:textId="77777777" w:rsidR="00CA1727" w:rsidRPr="00CA1727" w:rsidRDefault="00CA1727" w:rsidP="00C90E3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CA1727">
              <w:rPr>
                <w:rFonts w:ascii="Calibri" w:eastAsia="Times New Roman" w:hAnsi="Calibri" w:cs="Calibri"/>
                <w:color w:val="000000"/>
              </w:rPr>
              <w:t>Správa NP České Švýcarsko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08A65" w14:textId="77777777" w:rsidR="00CA1727" w:rsidRPr="00CA1727" w:rsidRDefault="00CA1727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172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A1A42" w14:textId="77777777" w:rsidR="00CA1727" w:rsidRPr="00CA1727" w:rsidRDefault="00CA1727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172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E4073" w14:textId="77777777" w:rsidR="00CA1727" w:rsidRPr="00CA1727" w:rsidRDefault="00CA1727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1727">
              <w:rPr>
                <w:rFonts w:ascii="Calibri" w:eastAsia="Times New Roman" w:hAnsi="Calibri" w:cs="Calibri"/>
                <w:color w:val="000000"/>
              </w:rPr>
              <w:t>160 491</w:t>
            </w:r>
          </w:p>
        </w:tc>
      </w:tr>
      <w:tr w:rsidR="00CA1727" w:rsidRPr="00CA1727" w14:paraId="74C325F1" w14:textId="77777777" w:rsidTr="001E7B6F">
        <w:trPr>
          <w:trHeight w:val="182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438B3" w14:textId="0288A592" w:rsidR="00CA1727" w:rsidRPr="00CA1727" w:rsidRDefault="00D43349" w:rsidP="00C90E3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  z toho Lesy ČR, s.</w:t>
            </w:r>
            <w:r w:rsidR="00315B43">
              <w:rPr>
                <w:rFonts w:ascii="Calibri" w:eastAsia="Times New Roman" w:hAnsi="Calibri" w:cs="Calibri"/>
                <w:color w:val="000000"/>
              </w:rPr>
              <w:t> </w:t>
            </w:r>
            <w:r w:rsidR="00CA1727" w:rsidRPr="00CA1727">
              <w:rPr>
                <w:rFonts w:ascii="Calibri" w:eastAsia="Times New Roman" w:hAnsi="Calibri" w:cs="Calibri"/>
                <w:color w:val="000000"/>
              </w:rPr>
              <w:t>p.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FFFB3" w14:textId="77777777" w:rsidR="00CA1727" w:rsidRPr="00CA1727" w:rsidRDefault="00CA1727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172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1333E" w14:textId="77777777" w:rsidR="00CA1727" w:rsidRPr="00CA1727" w:rsidRDefault="00CA1727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1727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7BABA" w14:textId="77777777" w:rsidR="00CA1727" w:rsidRPr="00CA1727" w:rsidRDefault="00CA1727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1727">
              <w:rPr>
                <w:rFonts w:ascii="Calibri" w:eastAsia="Times New Roman" w:hAnsi="Calibri" w:cs="Calibri"/>
                <w:color w:val="000000"/>
              </w:rPr>
              <w:t>160 491</w:t>
            </w:r>
          </w:p>
        </w:tc>
      </w:tr>
    </w:tbl>
    <w:p w14:paraId="7D938D7A" w14:textId="225F40A3" w:rsidR="00CA1727" w:rsidRPr="00CA1727" w:rsidRDefault="00CA1727" w:rsidP="00C90E35">
      <w:pPr>
        <w:widowControl/>
        <w:autoSpaceDE/>
        <w:autoSpaceDN/>
        <w:adjustRightInd/>
        <w:spacing w:after="120"/>
        <w:rPr>
          <w:rFonts w:ascii="Calibri" w:eastAsia="Times New Roman" w:hAnsi="Calibri" w:cs="Calibri"/>
          <w:color w:val="000000"/>
        </w:rPr>
      </w:pPr>
      <w:r w:rsidRPr="00D43349">
        <w:rPr>
          <w:rFonts w:ascii="Calibri" w:eastAsia="Times New Roman" w:hAnsi="Calibri" w:cs="Calibri"/>
          <w:b/>
          <w:color w:val="000000"/>
        </w:rPr>
        <w:t>Zdroj:</w:t>
      </w:r>
      <w:r w:rsidRPr="00CA1727">
        <w:rPr>
          <w:rFonts w:ascii="Calibri" w:eastAsia="Times New Roman" w:hAnsi="Calibri" w:cs="Calibri"/>
          <w:color w:val="000000"/>
        </w:rPr>
        <w:t xml:space="preserve"> </w:t>
      </w:r>
      <w:r w:rsidR="00B40078">
        <w:rPr>
          <w:rFonts w:ascii="Calibri" w:eastAsia="Times New Roman" w:hAnsi="Calibri" w:cs="Calibri"/>
          <w:color w:val="000000"/>
        </w:rPr>
        <w:t>i</w:t>
      </w:r>
      <w:r w:rsidR="00727ADC">
        <w:rPr>
          <w:rFonts w:ascii="Calibri" w:eastAsia="Times New Roman" w:hAnsi="Calibri" w:cs="Calibri"/>
          <w:color w:val="000000"/>
        </w:rPr>
        <w:t>nformace MŽP.</w:t>
      </w:r>
    </w:p>
    <w:p w14:paraId="20A78D10" w14:textId="28423A7C" w:rsidR="00CA1727" w:rsidRPr="00513F92" w:rsidRDefault="00CA1727" w:rsidP="00C90E35">
      <w:pPr>
        <w:widowControl/>
        <w:autoSpaceDE/>
        <w:autoSpaceDN/>
        <w:adjustRightInd/>
        <w:spacing w:after="12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BB1425">
        <w:rPr>
          <w:rFonts w:ascii="Calibri" w:eastAsia="Calibri" w:hAnsi="Calibri" w:cs="Calibri"/>
          <w:sz w:val="24"/>
          <w:szCs w:val="24"/>
          <w:lang w:eastAsia="en-US"/>
        </w:rPr>
        <w:t>Aktualizaci</w:t>
      </w:r>
      <w:r w:rsidRPr="00CA1727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  <w:r w:rsidRPr="00A71306">
        <w:rPr>
          <w:rFonts w:ascii="Calibri" w:eastAsia="Calibri" w:hAnsi="Calibri" w:cs="Calibri"/>
          <w:b/>
          <w:i/>
          <w:sz w:val="24"/>
          <w:szCs w:val="24"/>
          <w:lang w:eastAsia="en-US"/>
        </w:rPr>
        <w:t xml:space="preserve">Státního programu ochrany přírody a krajiny České </w:t>
      </w:r>
      <w:r w:rsidR="00C0741A" w:rsidRPr="00A71306">
        <w:rPr>
          <w:rFonts w:ascii="Calibri" w:eastAsia="Calibri" w:hAnsi="Calibri" w:cs="Calibri"/>
          <w:b/>
          <w:i/>
          <w:sz w:val="24"/>
          <w:szCs w:val="24"/>
          <w:lang w:eastAsia="en-US"/>
        </w:rPr>
        <w:t>r</w:t>
      </w:r>
      <w:r w:rsidRPr="00A71306">
        <w:rPr>
          <w:rFonts w:ascii="Calibri" w:eastAsia="Calibri" w:hAnsi="Calibri" w:cs="Calibri"/>
          <w:b/>
          <w:i/>
          <w:sz w:val="24"/>
          <w:szCs w:val="24"/>
          <w:lang w:eastAsia="en-US"/>
        </w:rPr>
        <w:t>epubliky</w:t>
      </w:r>
      <w:r w:rsidR="00151D4B">
        <w:rPr>
          <w:rFonts w:ascii="Calibri" w:eastAsia="Calibri" w:hAnsi="Calibri" w:cs="Calibri"/>
          <w:sz w:val="24"/>
          <w:szCs w:val="24"/>
          <w:lang w:eastAsia="en-US"/>
        </w:rPr>
        <w:t xml:space="preserve"> (dále také </w:t>
      </w:r>
      <w:r w:rsidRPr="00CA1727">
        <w:rPr>
          <w:rFonts w:ascii="Calibri" w:eastAsia="Calibri" w:hAnsi="Calibri" w:cs="Calibri"/>
          <w:sz w:val="24"/>
          <w:szCs w:val="24"/>
          <w:lang w:eastAsia="en-US"/>
        </w:rPr>
        <w:t xml:space="preserve">„SPOPK“) schválila </w:t>
      </w:r>
      <w:r w:rsidRPr="00513F92">
        <w:rPr>
          <w:rFonts w:ascii="Calibri" w:eastAsia="Calibri" w:hAnsi="Calibri" w:cs="Calibri"/>
          <w:sz w:val="24"/>
          <w:szCs w:val="24"/>
          <w:lang w:eastAsia="en-US"/>
        </w:rPr>
        <w:t xml:space="preserve">vláda ČR </w:t>
      </w:r>
      <w:r w:rsidR="00F51595" w:rsidRPr="00513F92">
        <w:rPr>
          <w:rFonts w:ascii="Calibri" w:eastAsia="Calibri" w:hAnsi="Calibri" w:cs="Calibri"/>
          <w:sz w:val="24"/>
          <w:szCs w:val="24"/>
          <w:lang w:eastAsia="en-US"/>
        </w:rPr>
        <w:t xml:space="preserve">usnesením </w:t>
      </w:r>
      <w:r w:rsidR="004E21DD" w:rsidRPr="00513F92">
        <w:rPr>
          <w:rFonts w:ascii="Calibri" w:eastAsia="Calibri" w:hAnsi="Calibri" w:cs="Calibri"/>
          <w:sz w:val="24"/>
          <w:szCs w:val="24"/>
          <w:lang w:eastAsia="en-US"/>
        </w:rPr>
        <w:t>ze dne 30. listopadu</w:t>
      </w:r>
      <w:r w:rsidRPr="00513F92">
        <w:rPr>
          <w:rFonts w:ascii="Calibri" w:eastAsia="Calibri" w:hAnsi="Calibri" w:cs="Calibri"/>
          <w:sz w:val="24"/>
          <w:szCs w:val="24"/>
          <w:lang w:eastAsia="en-US"/>
        </w:rPr>
        <w:t xml:space="preserve"> 2009 č. 1497. SPOPK</w:t>
      </w:r>
      <w:r w:rsidR="00360661" w:rsidRPr="00513F92">
        <w:rPr>
          <w:rFonts w:ascii="Calibri" w:eastAsia="Calibri" w:hAnsi="Calibri" w:cs="Calibri"/>
          <w:sz w:val="24"/>
          <w:szCs w:val="24"/>
          <w:lang w:eastAsia="en-US"/>
        </w:rPr>
        <w:t>, který zpracovalo MŽP,</w:t>
      </w:r>
      <w:r w:rsidRPr="00513F92">
        <w:rPr>
          <w:rFonts w:ascii="Calibri" w:eastAsia="Calibri" w:hAnsi="Calibri" w:cs="Calibri"/>
          <w:sz w:val="24"/>
          <w:szCs w:val="24"/>
          <w:lang w:eastAsia="en-US"/>
        </w:rPr>
        <w:t xml:space="preserve"> analyzuje stav přírodního a krajinného prostředí a formuluje dlouhodobé cíle a opatření nezbytná k jejich dosažení. Zabývá se problematikou ochrany krajiny obecně a také </w:t>
      </w:r>
      <w:r w:rsidR="00FD109C" w:rsidRPr="00513F92">
        <w:rPr>
          <w:rFonts w:ascii="Calibri" w:eastAsia="Calibri" w:hAnsi="Calibri" w:cs="Calibri"/>
          <w:sz w:val="24"/>
          <w:szCs w:val="24"/>
          <w:lang w:eastAsia="en-US"/>
        </w:rPr>
        <w:t xml:space="preserve">podrobněji </w:t>
      </w:r>
      <w:r w:rsidRPr="00513F92">
        <w:rPr>
          <w:rFonts w:ascii="Calibri" w:eastAsia="Calibri" w:hAnsi="Calibri" w:cs="Calibri"/>
          <w:sz w:val="24"/>
          <w:szCs w:val="24"/>
          <w:lang w:eastAsia="en-US"/>
        </w:rPr>
        <w:t>podle jednotlivých typů krajinných ekosystémů</w:t>
      </w:r>
      <w:r w:rsidR="00FD109C" w:rsidRPr="00513F92">
        <w:rPr>
          <w:rFonts w:ascii="Calibri" w:eastAsia="Calibri" w:hAnsi="Calibri" w:cs="Calibri"/>
          <w:sz w:val="24"/>
          <w:szCs w:val="24"/>
          <w:lang w:eastAsia="en-US"/>
        </w:rPr>
        <w:t>,</w:t>
      </w:r>
      <w:r w:rsidRPr="00513F92">
        <w:rPr>
          <w:rFonts w:ascii="Calibri" w:eastAsia="Calibri" w:hAnsi="Calibri" w:cs="Calibri"/>
          <w:sz w:val="24"/>
          <w:szCs w:val="24"/>
          <w:lang w:eastAsia="en-US"/>
        </w:rPr>
        <w:t xml:space="preserve"> druhovou ochranou a chráněnými územími. </w:t>
      </w:r>
      <w:r w:rsidR="00C0741A" w:rsidRPr="00513F92">
        <w:rPr>
          <w:rFonts w:ascii="Calibri" w:eastAsia="Calibri" w:hAnsi="Calibri" w:cs="Calibri"/>
          <w:sz w:val="24"/>
          <w:szCs w:val="24"/>
          <w:lang w:eastAsia="en-US"/>
        </w:rPr>
        <w:t>Slouží</w:t>
      </w:r>
      <w:r w:rsidRPr="00513F92">
        <w:rPr>
          <w:rFonts w:ascii="Calibri" w:eastAsia="Calibri" w:hAnsi="Calibri" w:cs="Calibri"/>
          <w:sz w:val="24"/>
          <w:szCs w:val="24"/>
          <w:lang w:eastAsia="en-US"/>
        </w:rPr>
        <w:t xml:space="preserve"> jako akční plán pro naplňování cí</w:t>
      </w:r>
      <w:r w:rsidR="005744BE" w:rsidRPr="00513F92">
        <w:rPr>
          <w:rFonts w:ascii="Calibri" w:eastAsia="Calibri" w:hAnsi="Calibri" w:cs="Calibri"/>
          <w:sz w:val="24"/>
          <w:szCs w:val="24"/>
          <w:lang w:eastAsia="en-US"/>
        </w:rPr>
        <w:t>lů Strategie.</w:t>
      </w:r>
    </w:p>
    <w:p w14:paraId="2C38C15E" w14:textId="0C21F8CF" w:rsidR="008E698B" w:rsidRPr="00803AF3" w:rsidRDefault="00D13196" w:rsidP="00C90E35">
      <w:pPr>
        <w:widowControl/>
        <w:autoSpaceDE/>
        <w:autoSpaceDN/>
        <w:adjustRightInd/>
        <w:spacing w:after="12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803AF3">
        <w:rPr>
          <w:rFonts w:ascii="Calibri" w:eastAsia="Calibri" w:hAnsi="Calibri" w:cs="Calibri"/>
          <w:sz w:val="24"/>
          <w:szCs w:val="24"/>
          <w:lang w:eastAsia="en-US"/>
        </w:rPr>
        <w:t xml:space="preserve">Jedním z opatření v sektoru chráněných území </w:t>
      </w:r>
      <w:r w:rsidR="00C56061" w:rsidRPr="00803AF3">
        <w:rPr>
          <w:rFonts w:ascii="Calibri" w:eastAsia="Calibri" w:hAnsi="Calibri" w:cs="Calibri"/>
          <w:sz w:val="24"/>
          <w:szCs w:val="24"/>
          <w:lang w:eastAsia="en-US"/>
        </w:rPr>
        <w:t xml:space="preserve">SPOPK </w:t>
      </w:r>
      <w:r w:rsidRPr="00803AF3">
        <w:rPr>
          <w:rFonts w:ascii="Calibri" w:eastAsia="Calibri" w:hAnsi="Calibri" w:cs="Calibri"/>
          <w:sz w:val="24"/>
          <w:szCs w:val="24"/>
          <w:lang w:eastAsia="en-US"/>
        </w:rPr>
        <w:t xml:space="preserve">bylo </w:t>
      </w:r>
      <w:r w:rsidR="00B40078">
        <w:rPr>
          <w:rFonts w:ascii="Calibri" w:eastAsia="Calibri" w:hAnsi="Calibri" w:cs="Calibri"/>
          <w:sz w:val="24"/>
          <w:szCs w:val="24"/>
          <w:lang w:eastAsia="en-US"/>
        </w:rPr>
        <w:t>vy</w:t>
      </w:r>
      <w:r w:rsidRPr="00803AF3">
        <w:rPr>
          <w:rFonts w:ascii="Calibri" w:eastAsia="Calibri" w:hAnsi="Calibri" w:cs="Calibri"/>
          <w:sz w:val="24"/>
          <w:szCs w:val="24"/>
          <w:lang w:eastAsia="en-US"/>
        </w:rPr>
        <w:t xml:space="preserve">pracovat strategii rozvoje NP s termínem do roku 2011. </w:t>
      </w:r>
      <w:r w:rsidR="008E698B" w:rsidRPr="00803AF3">
        <w:rPr>
          <w:rFonts w:ascii="Calibri" w:eastAsia="Calibri" w:hAnsi="Calibri" w:cs="Calibri"/>
          <w:sz w:val="24"/>
          <w:szCs w:val="24"/>
          <w:lang w:eastAsia="en-US"/>
        </w:rPr>
        <w:t xml:space="preserve">MŽP </w:t>
      </w:r>
      <w:r w:rsidR="008E698B" w:rsidRPr="00803AF3">
        <w:rPr>
          <w:rFonts w:ascii="Calibri" w:hAnsi="Calibri" w:cs="Calibri"/>
          <w:sz w:val="24"/>
          <w:szCs w:val="24"/>
          <w:lang w:eastAsia="en-US"/>
        </w:rPr>
        <w:t>v kontrolovaném období nemělo zpracovano</w:t>
      </w:r>
      <w:r w:rsidR="00FC40E8">
        <w:rPr>
          <w:rFonts w:ascii="Calibri" w:hAnsi="Calibri" w:cs="Calibri"/>
          <w:sz w:val="24"/>
          <w:szCs w:val="24"/>
          <w:lang w:eastAsia="en-US"/>
        </w:rPr>
        <w:t xml:space="preserve">u ucelenou </w:t>
      </w:r>
      <w:r w:rsidR="00FC40E8">
        <w:rPr>
          <w:rFonts w:ascii="Calibri" w:hAnsi="Calibri" w:cs="Calibri"/>
          <w:sz w:val="24"/>
          <w:szCs w:val="24"/>
          <w:lang w:eastAsia="en-US"/>
        </w:rPr>
        <w:lastRenderedPageBreak/>
        <w:t xml:space="preserve">strategii </w:t>
      </w:r>
      <w:r w:rsidR="008E698B" w:rsidRPr="00803AF3">
        <w:rPr>
          <w:rFonts w:ascii="Calibri" w:hAnsi="Calibri" w:cs="Calibri"/>
          <w:sz w:val="24"/>
          <w:szCs w:val="24"/>
          <w:lang w:eastAsia="en-US"/>
        </w:rPr>
        <w:t xml:space="preserve">rozvoje </w:t>
      </w:r>
      <w:r w:rsidR="0012012E">
        <w:rPr>
          <w:rFonts w:ascii="Calibri" w:hAnsi="Calibri" w:cs="Calibri"/>
          <w:sz w:val="24"/>
          <w:szCs w:val="24"/>
          <w:lang w:eastAsia="en-US"/>
        </w:rPr>
        <w:t>NP</w:t>
      </w:r>
      <w:r w:rsidR="008E698B" w:rsidRPr="00803AF3">
        <w:rPr>
          <w:rFonts w:ascii="Calibri" w:hAnsi="Calibri" w:cs="Calibri"/>
          <w:sz w:val="24"/>
          <w:szCs w:val="24"/>
          <w:lang w:eastAsia="en-US"/>
        </w:rPr>
        <w:t>, která by se zabývala rozvojem NP a stanovila konkrétní cíle a priority, indikátory pro jejich hodnocení a</w:t>
      </w:r>
      <w:r w:rsidR="003D1A59">
        <w:rPr>
          <w:rFonts w:ascii="Calibri" w:hAnsi="Calibri" w:cs="Calibri"/>
          <w:sz w:val="24"/>
          <w:szCs w:val="24"/>
          <w:lang w:eastAsia="en-US"/>
        </w:rPr>
        <w:t> </w:t>
      </w:r>
      <w:r w:rsidR="008E698B" w:rsidRPr="00803AF3">
        <w:rPr>
          <w:rFonts w:ascii="Calibri" w:hAnsi="Calibri" w:cs="Calibri"/>
          <w:sz w:val="24"/>
          <w:szCs w:val="24"/>
          <w:lang w:eastAsia="en-US"/>
        </w:rPr>
        <w:t xml:space="preserve">časový harmonogram </w:t>
      </w:r>
      <w:r w:rsidR="00803AF3" w:rsidRPr="00803AF3">
        <w:rPr>
          <w:rFonts w:ascii="Calibri" w:hAnsi="Calibri" w:cs="Calibri"/>
          <w:sz w:val="24"/>
          <w:szCs w:val="24"/>
          <w:lang w:eastAsia="en-US"/>
        </w:rPr>
        <w:t xml:space="preserve">pro </w:t>
      </w:r>
      <w:r w:rsidR="008E698B" w:rsidRPr="00803AF3">
        <w:rPr>
          <w:rFonts w:ascii="Calibri" w:hAnsi="Calibri" w:cs="Calibri"/>
          <w:sz w:val="24"/>
          <w:szCs w:val="24"/>
          <w:lang w:eastAsia="en-US"/>
        </w:rPr>
        <w:t>dosažení cílové</w:t>
      </w:r>
      <w:r w:rsidR="00803AF3" w:rsidRPr="00803AF3">
        <w:rPr>
          <w:rFonts w:ascii="Calibri" w:hAnsi="Calibri" w:cs="Calibri"/>
          <w:sz w:val="24"/>
          <w:szCs w:val="24"/>
          <w:lang w:eastAsia="en-US"/>
        </w:rPr>
        <w:t>ho</w:t>
      </w:r>
      <w:r w:rsidR="008E698B" w:rsidRPr="00803AF3">
        <w:rPr>
          <w:rFonts w:ascii="Calibri" w:hAnsi="Calibri" w:cs="Calibri"/>
          <w:sz w:val="24"/>
          <w:szCs w:val="24"/>
          <w:lang w:eastAsia="en-US"/>
        </w:rPr>
        <w:t xml:space="preserve"> stavu.</w:t>
      </w:r>
    </w:p>
    <w:p w14:paraId="31FFD620" w14:textId="0E52D480" w:rsidR="00021F67" w:rsidRPr="00B413B7" w:rsidRDefault="00021F67" w:rsidP="00C90E35">
      <w:pPr>
        <w:widowControl/>
        <w:autoSpaceDE/>
        <w:autoSpaceDN/>
        <w:adjustRightInd/>
        <w:spacing w:before="120" w:after="120"/>
        <w:jc w:val="both"/>
        <w:rPr>
          <w:rFonts w:ascii="Calibri" w:eastAsia="Calibri" w:hAnsi="Calibri" w:cs="Calibri"/>
          <w:bCs/>
          <w:sz w:val="24"/>
          <w:szCs w:val="24"/>
          <w:lang w:eastAsia="en-US"/>
        </w:rPr>
      </w:pPr>
      <w:r w:rsidRPr="00CA1727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V hierarchii dokumentů navazují na </w:t>
      </w:r>
      <w:r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obecné </w:t>
      </w:r>
      <w:r w:rsidRPr="00CA1727">
        <w:rPr>
          <w:rFonts w:ascii="Calibri" w:eastAsia="Calibri" w:hAnsi="Calibri" w:cs="Calibri"/>
          <w:bCs/>
          <w:sz w:val="24"/>
          <w:szCs w:val="24"/>
          <w:lang w:eastAsia="en-US"/>
        </w:rPr>
        <w:t>strategické dokumenty ochrany</w:t>
      </w:r>
      <w:r w:rsidR="00B413B7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 přírody a</w:t>
      </w:r>
      <w:r w:rsidR="003D1A59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 </w:t>
      </w:r>
      <w:r w:rsidR="00B413B7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krajiny pro území NP </w:t>
      </w:r>
      <w:r w:rsidRPr="00CA1727">
        <w:rPr>
          <w:rFonts w:ascii="Calibri" w:eastAsia="Calibri" w:hAnsi="Calibri" w:cs="Calibri"/>
          <w:bCs/>
          <w:sz w:val="24"/>
          <w:szCs w:val="24"/>
          <w:lang w:eastAsia="en-US"/>
        </w:rPr>
        <w:t>plány péče (případně dokumenty upravující předmět ochrany evropsky významné lokality</w:t>
      </w:r>
      <w:r w:rsidRPr="00CA1727">
        <w:rPr>
          <w:rFonts w:ascii="Calibri" w:eastAsia="Calibri" w:hAnsi="Calibri" w:cs="Calibri"/>
          <w:bCs/>
          <w:sz w:val="24"/>
          <w:szCs w:val="24"/>
          <w:vertAlign w:val="superscript"/>
          <w:lang w:eastAsia="en-US"/>
        </w:rPr>
        <w:footnoteReference w:id="30"/>
      </w:r>
      <w:r w:rsidRPr="00CA1727">
        <w:rPr>
          <w:rFonts w:ascii="Calibri" w:eastAsia="Calibri" w:hAnsi="Calibri" w:cs="Calibri"/>
          <w:bCs/>
          <w:sz w:val="24"/>
          <w:szCs w:val="24"/>
          <w:lang w:eastAsia="en-US"/>
        </w:rPr>
        <w:t xml:space="preserve">), které se zpravidla ve střednědobém výhledu zabývají systémem péče </w:t>
      </w:r>
      <w:r w:rsidR="00B413B7">
        <w:rPr>
          <w:rFonts w:ascii="Calibri" w:eastAsia="Calibri" w:hAnsi="Calibri" w:cs="Calibri"/>
          <w:color w:val="000000"/>
          <w:sz w:val="24"/>
          <w:szCs w:val="24"/>
          <w:lang w:eastAsia="en-US"/>
        </w:rPr>
        <w:t>o </w:t>
      </w:r>
      <w:r w:rsidRPr="00CA1727">
        <w:rPr>
          <w:rFonts w:ascii="Calibri" w:eastAsia="Calibri" w:hAnsi="Calibri" w:cs="Calibri"/>
          <w:color w:val="000000"/>
          <w:sz w:val="24"/>
          <w:szCs w:val="24"/>
          <w:lang w:eastAsia="en-US"/>
        </w:rPr>
        <w:t>přírodní a krajinné prostředí, ekosystémy a jejich složky na konkrétním území NP.</w:t>
      </w:r>
    </w:p>
    <w:p w14:paraId="3EC65D05" w14:textId="139D7153" w:rsidR="00021F67" w:rsidRDefault="00466945" w:rsidP="00C90E35">
      <w:pPr>
        <w:widowControl/>
        <w:autoSpaceDE/>
        <w:autoSpaceDN/>
        <w:adjustRightInd/>
        <w:spacing w:before="120" w:after="12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V kontrolovaném období </w:t>
      </w:r>
      <w:r w:rsidR="001A6EEB">
        <w:rPr>
          <w:rFonts w:ascii="Calibri" w:eastAsia="Calibri" w:hAnsi="Calibri" w:cs="Times New Roman"/>
          <w:sz w:val="24"/>
          <w:szCs w:val="24"/>
          <w:lang w:eastAsia="en-US"/>
        </w:rPr>
        <w:t>2016–</w:t>
      </w:r>
      <w:r w:rsidR="00021F67" w:rsidRPr="00D43349">
        <w:rPr>
          <w:rFonts w:ascii="Calibri" w:eastAsia="Calibri" w:hAnsi="Calibri" w:cs="Times New Roman"/>
          <w:sz w:val="24"/>
          <w:szCs w:val="24"/>
          <w:lang w:eastAsia="en-US"/>
        </w:rPr>
        <w:t>2018,</w:t>
      </w:r>
      <w:r w:rsidR="008E72D2">
        <w:rPr>
          <w:rFonts w:ascii="Calibri" w:eastAsia="Calibri" w:hAnsi="Calibri" w:cs="Times New Roman"/>
          <w:sz w:val="24"/>
          <w:szCs w:val="24"/>
          <w:lang w:eastAsia="en-US"/>
        </w:rPr>
        <w:t xml:space="preserve"> stejně</w:t>
      </w:r>
      <w:r w:rsidR="00021F67" w:rsidRPr="00D43349">
        <w:rPr>
          <w:rFonts w:ascii="Calibri" w:eastAsia="Calibri" w:hAnsi="Calibri" w:cs="Times New Roman"/>
          <w:sz w:val="24"/>
          <w:szCs w:val="24"/>
          <w:lang w:eastAsia="en-US"/>
        </w:rPr>
        <w:t xml:space="preserve"> jako v předchozích letech, neměla Správa NP Šumava jako jediná ze správ NP platný plán péče</w:t>
      </w:r>
      <w:r w:rsidR="00056BFB">
        <w:rPr>
          <w:rStyle w:val="Znakapoznpodarou"/>
          <w:rFonts w:ascii="Calibri" w:eastAsia="Calibri" w:hAnsi="Calibri"/>
          <w:sz w:val="24"/>
          <w:szCs w:val="24"/>
          <w:lang w:eastAsia="en-US"/>
        </w:rPr>
        <w:footnoteReference w:id="31"/>
      </w:r>
      <w:r w:rsidR="00021F67" w:rsidRPr="00D43349">
        <w:rPr>
          <w:rFonts w:ascii="Calibri" w:eastAsia="Calibri" w:hAnsi="Calibri" w:cs="Times New Roman"/>
          <w:sz w:val="24"/>
          <w:szCs w:val="24"/>
          <w:lang w:eastAsia="en-US"/>
        </w:rPr>
        <w:t>, který na zákl</w:t>
      </w:r>
      <w:r>
        <w:rPr>
          <w:rFonts w:ascii="Calibri" w:eastAsia="Calibri" w:hAnsi="Calibri" w:cs="Times New Roman"/>
          <w:sz w:val="24"/>
          <w:szCs w:val="24"/>
          <w:lang w:eastAsia="en-US"/>
        </w:rPr>
        <w:t>adě údajů o dosavadním vývoji a</w:t>
      </w:r>
      <w:r w:rsidR="003D1A59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021F67" w:rsidRPr="00D43349">
        <w:rPr>
          <w:rFonts w:ascii="Calibri" w:eastAsia="Calibri" w:hAnsi="Calibri" w:cs="Times New Roman"/>
          <w:sz w:val="24"/>
          <w:szCs w:val="24"/>
          <w:lang w:eastAsia="en-US"/>
        </w:rPr>
        <w:t>současném stavu území NP navrhuje</w:t>
      </w:r>
      <w:r w:rsidR="00021F67" w:rsidRPr="008D5A32">
        <w:rPr>
          <w:rFonts w:ascii="Calibri" w:eastAsia="Calibri" w:hAnsi="Calibri" w:cs="Times New Roman"/>
          <w:sz w:val="24"/>
          <w:szCs w:val="24"/>
          <w:lang w:eastAsia="en-US"/>
        </w:rPr>
        <w:t xml:space="preserve"> opatření na zachování nebo zlepšení stavu předmětu ochrany. Nezbytné povinnosti a činnosti na spravovaném území vykonávala S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práva </w:t>
      </w:r>
      <w:r w:rsidR="00021F67" w:rsidRPr="008D5A32">
        <w:rPr>
          <w:rFonts w:ascii="Calibri" w:eastAsia="Calibri" w:hAnsi="Calibri" w:cs="Times New Roman"/>
          <w:sz w:val="24"/>
          <w:szCs w:val="24"/>
          <w:lang w:eastAsia="en-US"/>
        </w:rPr>
        <w:t xml:space="preserve">NP 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Šumava </w:t>
      </w:r>
      <w:r w:rsidR="00021F67" w:rsidRPr="008D5A32">
        <w:rPr>
          <w:rFonts w:ascii="Calibri" w:eastAsia="Calibri" w:hAnsi="Calibri" w:cs="Times New Roman"/>
          <w:sz w:val="24"/>
          <w:szCs w:val="24"/>
          <w:lang w:eastAsia="en-US"/>
        </w:rPr>
        <w:t xml:space="preserve">na základě zákona </w:t>
      </w:r>
      <w:r w:rsidR="00021F67">
        <w:rPr>
          <w:rFonts w:ascii="Calibri" w:eastAsia="Calibri" w:hAnsi="Calibri" w:cs="Times New Roman"/>
          <w:sz w:val="24"/>
          <w:szCs w:val="24"/>
          <w:lang w:eastAsia="en-US"/>
        </w:rPr>
        <w:t>o ochraně přírody a krajiny</w:t>
      </w:r>
      <w:r w:rsidR="00021F67" w:rsidRPr="008D5A32">
        <w:rPr>
          <w:rFonts w:ascii="Calibri" w:eastAsia="Calibri" w:hAnsi="Calibri" w:cs="Times New Roman"/>
          <w:sz w:val="24"/>
          <w:szCs w:val="24"/>
          <w:lang w:eastAsia="en-US"/>
        </w:rPr>
        <w:t xml:space="preserve">, </w:t>
      </w:r>
      <w:r w:rsidR="00021F67" w:rsidRPr="00F67554">
        <w:rPr>
          <w:rFonts w:ascii="Calibri" w:eastAsia="Calibri" w:hAnsi="Calibri" w:cs="Times New Roman"/>
          <w:i/>
          <w:sz w:val="24"/>
          <w:szCs w:val="24"/>
          <w:lang w:eastAsia="en-US"/>
        </w:rPr>
        <w:t>Zřizovací listiny příspěvkové organizace Správa Národního parku Šumava</w:t>
      </w:r>
      <w:r w:rsidR="00021F67" w:rsidRPr="008D5A32">
        <w:rPr>
          <w:rFonts w:ascii="Calibri" w:eastAsia="Calibri" w:hAnsi="Calibri" w:cs="Times New Roman"/>
          <w:sz w:val="24"/>
          <w:szCs w:val="24"/>
          <w:lang w:eastAsia="en-US"/>
        </w:rPr>
        <w:t xml:space="preserve"> a</w:t>
      </w:r>
      <w:r w:rsidR="00B40078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="00021F67" w:rsidRPr="00883A95">
        <w:rPr>
          <w:rFonts w:ascii="Calibri" w:eastAsia="Calibri" w:hAnsi="Calibri" w:cs="Times New Roman"/>
          <w:i/>
          <w:sz w:val="24"/>
          <w:szCs w:val="24"/>
          <w:lang w:eastAsia="en-US"/>
        </w:rPr>
        <w:t>Souhrnu doporučených opatření pro Evropsky významnou lokalitu Šumava</w:t>
      </w:r>
      <w:r w:rsidR="00021F67" w:rsidRPr="008D5A32">
        <w:rPr>
          <w:rFonts w:ascii="Calibri" w:eastAsia="Calibri" w:hAnsi="Calibri" w:cs="Times New Roman"/>
          <w:sz w:val="24"/>
          <w:szCs w:val="24"/>
          <w:vertAlign w:val="superscript"/>
          <w:lang w:eastAsia="en-US"/>
        </w:rPr>
        <w:footnoteReference w:id="32"/>
      </w:r>
      <w:r w:rsidR="00021F67" w:rsidRPr="008D5A32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4355B4AD" w14:textId="3706FFFE" w:rsidR="00E41A02" w:rsidRPr="00FD3031" w:rsidRDefault="00042D15" w:rsidP="00883A95">
      <w:pPr>
        <w:widowControl/>
        <w:shd w:val="clear" w:color="auto" w:fill="FFFFFF" w:themeFill="background1"/>
        <w:spacing w:before="240" w:after="120"/>
        <w:ind w:left="284" w:hanging="284"/>
        <w:rPr>
          <w:rFonts w:ascii="Calibri" w:eastAsia="Times New Roman" w:hAnsi="Calibri"/>
          <w:b/>
          <w:sz w:val="24"/>
          <w:szCs w:val="25"/>
        </w:rPr>
      </w:pPr>
      <w:r w:rsidRPr="00FD3031">
        <w:rPr>
          <w:rFonts w:ascii="Calibri" w:eastAsia="Calibri" w:hAnsi="Calibri" w:cs="Calibri"/>
          <w:b/>
          <w:sz w:val="24"/>
          <w:szCs w:val="24"/>
          <w:lang w:eastAsia="en-US"/>
        </w:rPr>
        <w:t>4</w:t>
      </w:r>
      <w:r w:rsidR="00CA1727" w:rsidRPr="00FD3031">
        <w:rPr>
          <w:rFonts w:ascii="Calibri" w:eastAsia="Calibri" w:hAnsi="Calibri" w:cs="Calibri"/>
          <w:b/>
          <w:sz w:val="24"/>
          <w:szCs w:val="24"/>
          <w:lang w:eastAsia="en-US"/>
        </w:rPr>
        <w:t>.</w:t>
      </w:r>
      <w:r w:rsidR="00CA1727" w:rsidRPr="00FD3031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96297E">
        <w:rPr>
          <w:rFonts w:ascii="Calibri" w:eastAsia="Calibri" w:hAnsi="Calibri" w:cs="Calibri"/>
          <w:sz w:val="24"/>
          <w:szCs w:val="24"/>
          <w:lang w:eastAsia="en-US"/>
        </w:rPr>
        <w:tab/>
      </w:r>
      <w:r w:rsidR="00FD3031" w:rsidRPr="00FD3031">
        <w:rPr>
          <w:rFonts w:ascii="Calibri" w:hAnsi="Calibri" w:cs="Calibri"/>
          <w:b/>
          <w:sz w:val="24"/>
          <w:szCs w:val="24"/>
          <w:lang w:eastAsia="en-US"/>
        </w:rPr>
        <w:t>MŽP nepodalo návrh na zápis předkupního práva státu do katastru nemovitostí k pozemkům na území NP</w:t>
      </w:r>
    </w:p>
    <w:p w14:paraId="4A013062" w14:textId="14C021AE" w:rsidR="00CA1727" w:rsidRPr="00CA1727" w:rsidRDefault="00CA1727" w:rsidP="00883A95">
      <w:pPr>
        <w:widowControl/>
        <w:shd w:val="clear" w:color="auto" w:fill="FFFFFF"/>
        <w:spacing w:before="120" w:after="120"/>
        <w:jc w:val="both"/>
        <w:rPr>
          <w:rFonts w:ascii="Calibri" w:eastAsia="Times New Roman" w:hAnsi="Calibri"/>
          <w:sz w:val="24"/>
        </w:rPr>
      </w:pPr>
      <w:r w:rsidRPr="00CA1727">
        <w:rPr>
          <w:rFonts w:ascii="Calibri" w:eastAsia="Times New Roman" w:hAnsi="Calibri"/>
          <w:sz w:val="24"/>
        </w:rPr>
        <w:t xml:space="preserve">S účinností od 1. 6. 2017 má MŽP v souladu s ustanovením § 61 odst. 1 zákona </w:t>
      </w:r>
      <w:r w:rsidR="000352B3">
        <w:rPr>
          <w:rFonts w:ascii="Calibri" w:eastAsia="Times New Roman" w:hAnsi="Calibri"/>
          <w:sz w:val="24"/>
        </w:rPr>
        <w:t xml:space="preserve">o ochraně přírody a krajiny </w:t>
      </w:r>
      <w:r w:rsidRPr="00CA1727">
        <w:rPr>
          <w:rFonts w:ascii="Calibri" w:eastAsia="Times New Roman" w:hAnsi="Calibri"/>
          <w:sz w:val="24"/>
        </w:rPr>
        <w:t xml:space="preserve">povinnost podat návrh na zápis předkupního práva státu </w:t>
      </w:r>
      <w:r w:rsidR="00553ED6">
        <w:rPr>
          <w:rFonts w:ascii="Calibri" w:eastAsia="Times New Roman" w:hAnsi="Calibri"/>
          <w:sz w:val="24"/>
        </w:rPr>
        <w:t>do</w:t>
      </w:r>
      <w:r w:rsidR="00B40078">
        <w:rPr>
          <w:rFonts w:ascii="Calibri" w:eastAsia="Times New Roman" w:hAnsi="Calibri"/>
          <w:sz w:val="24"/>
        </w:rPr>
        <w:t xml:space="preserve"> </w:t>
      </w:r>
      <w:r w:rsidR="00083A42">
        <w:rPr>
          <w:rFonts w:ascii="Calibri" w:eastAsia="Times New Roman" w:hAnsi="Calibri"/>
          <w:sz w:val="24"/>
        </w:rPr>
        <w:t xml:space="preserve">katastru nemovitostí </w:t>
      </w:r>
      <w:r w:rsidRPr="00CA1727">
        <w:rPr>
          <w:rFonts w:ascii="Calibri" w:eastAsia="Times New Roman" w:hAnsi="Calibri"/>
          <w:sz w:val="24"/>
        </w:rPr>
        <w:t>k nezastavěným pozemkům ležícím mimo zastavěná území obcí na</w:t>
      </w:r>
      <w:r w:rsidR="00B40078">
        <w:rPr>
          <w:rFonts w:ascii="Calibri" w:eastAsia="Times New Roman" w:hAnsi="Calibri"/>
          <w:sz w:val="24"/>
        </w:rPr>
        <w:t xml:space="preserve"> </w:t>
      </w:r>
      <w:r w:rsidRPr="00CA1727">
        <w:rPr>
          <w:rFonts w:ascii="Calibri" w:eastAsia="Times New Roman" w:hAnsi="Calibri"/>
          <w:sz w:val="24"/>
        </w:rPr>
        <w:t xml:space="preserve">území </w:t>
      </w:r>
      <w:r w:rsidR="0031150B">
        <w:rPr>
          <w:rFonts w:ascii="Calibri" w:eastAsia="Times New Roman" w:hAnsi="Calibri"/>
          <w:sz w:val="24"/>
        </w:rPr>
        <w:t>NP</w:t>
      </w:r>
      <w:r w:rsidRPr="00CA1727">
        <w:rPr>
          <w:rFonts w:ascii="Calibri" w:eastAsia="Times New Roman" w:hAnsi="Calibri"/>
          <w:sz w:val="24"/>
        </w:rPr>
        <w:t>, národních přírodních rezervací, národních přírodních pa</w:t>
      </w:r>
      <w:r w:rsidR="00DE1F88">
        <w:rPr>
          <w:rFonts w:ascii="Calibri" w:eastAsia="Times New Roman" w:hAnsi="Calibri"/>
          <w:sz w:val="24"/>
        </w:rPr>
        <w:t>mátek a</w:t>
      </w:r>
      <w:r w:rsidR="00B40078">
        <w:rPr>
          <w:rFonts w:ascii="Calibri" w:eastAsia="Times New Roman" w:hAnsi="Calibri"/>
          <w:sz w:val="24"/>
        </w:rPr>
        <w:t xml:space="preserve"> </w:t>
      </w:r>
      <w:r w:rsidR="00DE1F88">
        <w:rPr>
          <w:rFonts w:ascii="Calibri" w:eastAsia="Times New Roman" w:hAnsi="Calibri"/>
          <w:sz w:val="24"/>
        </w:rPr>
        <w:t>pozemků</w:t>
      </w:r>
      <w:r w:rsidR="00B40078">
        <w:rPr>
          <w:rFonts w:ascii="Calibri" w:eastAsia="Times New Roman" w:hAnsi="Calibri"/>
          <w:sz w:val="24"/>
        </w:rPr>
        <w:t>m</w:t>
      </w:r>
      <w:r w:rsidR="00DE1F88">
        <w:rPr>
          <w:rFonts w:ascii="Calibri" w:eastAsia="Times New Roman" w:hAnsi="Calibri"/>
          <w:sz w:val="24"/>
        </w:rPr>
        <w:t xml:space="preserve"> související</w:t>
      </w:r>
      <w:r w:rsidR="00B40078">
        <w:rPr>
          <w:rFonts w:ascii="Calibri" w:eastAsia="Times New Roman" w:hAnsi="Calibri"/>
          <w:sz w:val="24"/>
        </w:rPr>
        <w:t>m</w:t>
      </w:r>
      <w:r w:rsidR="00DE1F88">
        <w:rPr>
          <w:rFonts w:ascii="Calibri" w:eastAsia="Times New Roman" w:hAnsi="Calibri"/>
          <w:sz w:val="24"/>
        </w:rPr>
        <w:t xml:space="preserve"> s </w:t>
      </w:r>
      <w:r w:rsidRPr="00CA1727">
        <w:rPr>
          <w:rFonts w:ascii="Calibri" w:eastAsia="Times New Roman" w:hAnsi="Calibri"/>
          <w:sz w:val="24"/>
        </w:rPr>
        <w:t>jeskyněmi.</w:t>
      </w:r>
    </w:p>
    <w:p w14:paraId="2AA9E9C8" w14:textId="7B6DAD64" w:rsidR="00CA1727" w:rsidRPr="00027546" w:rsidRDefault="00CA1727" w:rsidP="00C90E35">
      <w:pPr>
        <w:widowControl/>
        <w:shd w:val="clear" w:color="auto" w:fill="FFFFFF"/>
        <w:spacing w:after="120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027546">
        <w:rPr>
          <w:rFonts w:ascii="Calibri" w:eastAsia="Times New Roman" w:hAnsi="Calibri"/>
          <w:sz w:val="24"/>
        </w:rPr>
        <w:t xml:space="preserve">MŽP zahájilo v roce 2017 </w:t>
      </w:r>
      <w:r w:rsidRPr="00EC24F9">
        <w:rPr>
          <w:rFonts w:ascii="Calibri" w:eastAsia="Times New Roman" w:hAnsi="Calibri"/>
          <w:sz w:val="24"/>
        </w:rPr>
        <w:t>jednání s Českým úřadem zeměměřickým a katastrálním o způsobu provedení zápisu zákonem uloženého předkupního</w:t>
      </w:r>
      <w:r w:rsidR="00553ED6" w:rsidRPr="00EC24F9">
        <w:rPr>
          <w:rFonts w:ascii="Calibri" w:eastAsia="Times New Roman" w:hAnsi="Calibri"/>
          <w:sz w:val="24"/>
        </w:rPr>
        <w:t xml:space="preserve"> práva k předmětným pozemkům do</w:t>
      </w:r>
      <w:r w:rsidR="00B40078">
        <w:rPr>
          <w:rFonts w:ascii="Calibri" w:eastAsia="Times New Roman" w:hAnsi="Calibri"/>
          <w:sz w:val="24"/>
        </w:rPr>
        <w:t xml:space="preserve"> </w:t>
      </w:r>
      <w:r w:rsidRPr="00EC24F9">
        <w:rPr>
          <w:rFonts w:ascii="Calibri" w:eastAsia="Times New Roman" w:hAnsi="Calibri"/>
          <w:sz w:val="24"/>
        </w:rPr>
        <w:t xml:space="preserve">katastru nemovitostí. </w:t>
      </w:r>
      <w:r w:rsidRPr="00EC24F9">
        <w:rPr>
          <w:rFonts w:ascii="Calibri" w:eastAsia="Calibri" w:hAnsi="Calibri" w:cs="Calibri"/>
          <w:sz w:val="24"/>
          <w:szCs w:val="24"/>
          <w:lang w:eastAsia="en-US"/>
        </w:rPr>
        <w:t>Z důvodu nestanovení listiny</w:t>
      </w:r>
      <w:r w:rsidR="00027546" w:rsidRPr="00EC24F9">
        <w:rPr>
          <w:rFonts w:ascii="Calibri" w:eastAsia="Calibri" w:hAnsi="Calibri" w:cs="Calibri"/>
          <w:sz w:val="24"/>
          <w:szCs w:val="24"/>
          <w:lang w:eastAsia="en-US"/>
        </w:rPr>
        <w:t xml:space="preserve"> v u</w:t>
      </w:r>
      <w:r w:rsidR="000D0EB4">
        <w:rPr>
          <w:rFonts w:ascii="Calibri" w:eastAsia="Calibri" w:hAnsi="Calibri" w:cs="Calibri"/>
          <w:sz w:val="24"/>
          <w:szCs w:val="24"/>
          <w:lang w:eastAsia="en-US"/>
        </w:rPr>
        <w:t>stanovení § 61 odst. 1 zákona o</w:t>
      </w:r>
      <w:r w:rsidR="00B40078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027546" w:rsidRPr="00EC24F9">
        <w:rPr>
          <w:rFonts w:ascii="Calibri" w:eastAsia="Calibri" w:hAnsi="Calibri" w:cs="Calibri"/>
          <w:sz w:val="24"/>
          <w:szCs w:val="24"/>
          <w:lang w:eastAsia="en-US"/>
        </w:rPr>
        <w:t>ochraně přírody a krajiny</w:t>
      </w:r>
      <w:r w:rsidRPr="00EC24F9">
        <w:rPr>
          <w:rFonts w:ascii="Calibri" w:eastAsia="Calibri" w:hAnsi="Calibri" w:cs="Calibri"/>
          <w:sz w:val="24"/>
          <w:szCs w:val="24"/>
          <w:lang w:eastAsia="en-US"/>
        </w:rPr>
        <w:t xml:space="preserve">, na základě které by byl tento zápis proveden, není zápis předkupního práva do katastru nemovitostí k nezastavěným pozemkům ležícím mimo zastavěná území obcí na území </w:t>
      </w:r>
      <w:r w:rsidR="0031150B" w:rsidRPr="00EC24F9">
        <w:rPr>
          <w:rFonts w:ascii="Calibri" w:eastAsia="Calibri" w:hAnsi="Calibri" w:cs="Calibri"/>
          <w:sz w:val="24"/>
          <w:szCs w:val="24"/>
          <w:lang w:eastAsia="en-US"/>
        </w:rPr>
        <w:t>NP</w:t>
      </w:r>
      <w:r w:rsidRPr="00EC24F9">
        <w:rPr>
          <w:rFonts w:ascii="Calibri" w:eastAsia="Calibri" w:hAnsi="Calibri" w:cs="Calibri"/>
          <w:sz w:val="24"/>
          <w:szCs w:val="24"/>
          <w:lang w:eastAsia="en-US"/>
        </w:rPr>
        <w:t>, národních přírodních</w:t>
      </w:r>
      <w:r w:rsidRPr="00027546">
        <w:rPr>
          <w:rFonts w:ascii="Calibri" w:eastAsia="Calibri" w:hAnsi="Calibri" w:cs="Calibri"/>
          <w:sz w:val="24"/>
          <w:szCs w:val="24"/>
          <w:lang w:eastAsia="en-US"/>
        </w:rPr>
        <w:t xml:space="preserve"> rezervací, národních přírodních památek a pozemkům souvisejícím s jeskyněmi aplikovatelný v praxi.</w:t>
      </w:r>
    </w:p>
    <w:p w14:paraId="537A70C0" w14:textId="1052F68A" w:rsidR="0031150B" w:rsidRPr="0031150B" w:rsidRDefault="0031150B" w:rsidP="00C90E35">
      <w:pPr>
        <w:widowControl/>
        <w:shd w:val="clear" w:color="auto" w:fill="FFFFFF"/>
        <w:spacing w:after="120"/>
        <w:jc w:val="both"/>
        <w:rPr>
          <w:rFonts w:ascii="Calibri" w:eastAsia="Times New Roman" w:hAnsi="Calibri"/>
          <w:sz w:val="24"/>
        </w:rPr>
      </w:pPr>
      <w:r w:rsidRPr="00CA1727">
        <w:rPr>
          <w:rFonts w:ascii="Calibri" w:eastAsia="Times New Roman" w:hAnsi="Calibri"/>
          <w:sz w:val="24"/>
        </w:rPr>
        <w:t>Změnu předmětného ustanovení navrhlo MŽP v připravované novele zákona</w:t>
      </w:r>
      <w:r>
        <w:rPr>
          <w:rFonts w:ascii="Calibri" w:eastAsia="Times New Roman" w:hAnsi="Calibri"/>
          <w:sz w:val="24"/>
        </w:rPr>
        <w:t xml:space="preserve"> o ochraně přírody a krajiny</w:t>
      </w:r>
      <w:r w:rsidR="00550CF4">
        <w:rPr>
          <w:rStyle w:val="Znakapoznpodarou"/>
          <w:rFonts w:ascii="Calibri" w:eastAsia="Times New Roman" w:hAnsi="Calibri"/>
          <w:sz w:val="24"/>
        </w:rPr>
        <w:footnoteReference w:id="33"/>
      </w:r>
      <w:r w:rsidRPr="00CA1727">
        <w:rPr>
          <w:rFonts w:ascii="Calibri" w:eastAsia="Times New Roman" w:hAnsi="Calibri"/>
          <w:sz w:val="24"/>
        </w:rPr>
        <w:t>, která byla odeslána do mezire</w:t>
      </w:r>
      <w:r w:rsidR="00807257">
        <w:rPr>
          <w:rFonts w:ascii="Calibri" w:eastAsia="Times New Roman" w:hAnsi="Calibri"/>
          <w:sz w:val="24"/>
        </w:rPr>
        <w:t>s</w:t>
      </w:r>
      <w:r w:rsidRPr="00CA1727">
        <w:rPr>
          <w:rFonts w:ascii="Calibri" w:eastAsia="Times New Roman" w:hAnsi="Calibri"/>
          <w:sz w:val="24"/>
        </w:rPr>
        <w:t>ortního p</w:t>
      </w:r>
      <w:r w:rsidR="00553ED6">
        <w:rPr>
          <w:rFonts w:ascii="Calibri" w:eastAsia="Times New Roman" w:hAnsi="Calibri"/>
          <w:sz w:val="24"/>
        </w:rPr>
        <w:t>řipomínkového řízení dne 27. 3. </w:t>
      </w:r>
      <w:r w:rsidRPr="00CA1727">
        <w:rPr>
          <w:rFonts w:ascii="Calibri" w:eastAsia="Times New Roman" w:hAnsi="Calibri"/>
          <w:sz w:val="24"/>
        </w:rPr>
        <w:t xml:space="preserve">2019. Účinnost navržené novely zákona </w:t>
      </w:r>
      <w:r w:rsidR="00807257">
        <w:rPr>
          <w:rFonts w:ascii="Calibri" w:eastAsia="Times New Roman" w:hAnsi="Calibri"/>
          <w:sz w:val="24"/>
        </w:rPr>
        <w:t>by měla počínat</w:t>
      </w:r>
      <w:r w:rsidRPr="00CA1727">
        <w:rPr>
          <w:rFonts w:ascii="Calibri" w:eastAsia="Times New Roman" w:hAnsi="Calibri"/>
          <w:sz w:val="24"/>
        </w:rPr>
        <w:t xml:space="preserve"> dnem 1. 7. 2020.</w:t>
      </w:r>
    </w:p>
    <w:p w14:paraId="1B446073" w14:textId="773D1F97" w:rsidR="00CA1727" w:rsidRPr="00613233" w:rsidRDefault="00CA1727" w:rsidP="00C90E35">
      <w:pPr>
        <w:widowControl/>
        <w:autoSpaceDE/>
        <w:autoSpaceDN/>
        <w:adjustRightInd/>
        <w:spacing w:before="120" w:after="120" w:line="259" w:lineRule="auto"/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CA1727">
        <w:rPr>
          <w:rFonts w:ascii="Calibri" w:eastAsia="Calibri" w:hAnsi="Calibri" w:cs="Calibri"/>
          <w:sz w:val="24"/>
          <w:szCs w:val="24"/>
          <w:lang w:eastAsia="en-US"/>
        </w:rPr>
        <w:t xml:space="preserve">Vlastníci lesů, vodních toků, vodních ploch a nezastavěných pozemků na území </w:t>
      </w:r>
      <w:r w:rsidR="00B11959">
        <w:rPr>
          <w:rFonts w:ascii="Calibri" w:eastAsia="Calibri" w:hAnsi="Calibri" w:cs="Calibri"/>
          <w:sz w:val="24"/>
          <w:szCs w:val="24"/>
          <w:lang w:eastAsia="en-US"/>
        </w:rPr>
        <w:t>NP</w:t>
      </w:r>
      <w:r w:rsidRPr="00CA1727">
        <w:rPr>
          <w:rFonts w:ascii="Calibri" w:eastAsia="Calibri" w:hAnsi="Calibri" w:cs="Calibri"/>
          <w:sz w:val="24"/>
          <w:szCs w:val="24"/>
          <w:lang w:eastAsia="en-US"/>
        </w:rPr>
        <w:t xml:space="preserve"> nesmí tento druh pozemku prodat, aniž by jej přednostně nabídli </w:t>
      </w:r>
      <w:r w:rsidR="00083A42">
        <w:rPr>
          <w:rFonts w:ascii="Calibri" w:eastAsia="Calibri" w:hAnsi="Calibri" w:cs="Calibri"/>
          <w:sz w:val="24"/>
          <w:szCs w:val="24"/>
          <w:lang w:eastAsia="en-US"/>
        </w:rPr>
        <w:t>MŽP</w:t>
      </w:r>
      <w:r w:rsidRPr="00083A42">
        <w:rPr>
          <w:rFonts w:ascii="Calibri" w:eastAsia="Calibri" w:hAnsi="Calibri" w:cs="Calibri"/>
          <w:sz w:val="24"/>
          <w:szCs w:val="24"/>
          <w:lang w:eastAsia="en-US"/>
        </w:rPr>
        <w:t>.</w:t>
      </w:r>
      <w:r w:rsidR="00807257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Pr="00083A42">
        <w:rPr>
          <w:rFonts w:ascii="Calibri" w:eastAsia="Calibri" w:hAnsi="Calibri" w:cs="Calibri"/>
          <w:sz w:val="24"/>
          <w:szCs w:val="24"/>
          <w:lang w:eastAsia="en-US"/>
        </w:rPr>
        <w:t xml:space="preserve">MŽP eviduje řadu případů převádění pozemků bez nabídky </w:t>
      </w:r>
      <w:r w:rsidR="005E6FB9">
        <w:rPr>
          <w:rFonts w:ascii="Calibri" w:eastAsia="Calibri" w:hAnsi="Calibri" w:cs="Calibri"/>
          <w:sz w:val="24"/>
          <w:szCs w:val="24"/>
          <w:lang w:eastAsia="en-US"/>
        </w:rPr>
        <w:t>k odkupu státem</w:t>
      </w:r>
      <w:r w:rsidRPr="00083A42">
        <w:rPr>
          <w:rFonts w:ascii="Calibri" w:eastAsia="Calibri" w:hAnsi="Calibri" w:cs="Calibri"/>
          <w:sz w:val="24"/>
          <w:szCs w:val="24"/>
          <w:lang w:eastAsia="en-US"/>
        </w:rPr>
        <w:t xml:space="preserve">. U Správy NP Šumava se jedná o 88 případů, </w:t>
      </w:r>
      <w:r w:rsidR="00807257">
        <w:rPr>
          <w:rFonts w:ascii="Calibri" w:eastAsia="Calibri" w:hAnsi="Calibri" w:cs="Calibri"/>
          <w:sz w:val="24"/>
          <w:szCs w:val="24"/>
          <w:lang w:eastAsia="en-US"/>
        </w:rPr>
        <w:t>u </w:t>
      </w:r>
      <w:r w:rsidRPr="00083A42">
        <w:rPr>
          <w:rFonts w:ascii="Calibri" w:eastAsia="Calibri" w:hAnsi="Calibri" w:cs="Calibri"/>
          <w:sz w:val="24"/>
          <w:szCs w:val="24"/>
          <w:lang w:eastAsia="en-US"/>
        </w:rPr>
        <w:t xml:space="preserve">Správy KRNAP o 600 případů a </w:t>
      </w:r>
      <w:r w:rsidR="00807257">
        <w:rPr>
          <w:rFonts w:ascii="Calibri" w:eastAsia="Calibri" w:hAnsi="Calibri" w:cs="Calibri"/>
          <w:sz w:val="24"/>
          <w:szCs w:val="24"/>
          <w:lang w:eastAsia="en-US"/>
        </w:rPr>
        <w:t xml:space="preserve">u </w:t>
      </w:r>
      <w:r w:rsidRPr="00083A42">
        <w:rPr>
          <w:rFonts w:ascii="Calibri" w:eastAsia="Calibri" w:hAnsi="Calibri" w:cs="Calibri"/>
          <w:sz w:val="24"/>
          <w:szCs w:val="24"/>
          <w:lang w:eastAsia="en-US"/>
        </w:rPr>
        <w:t xml:space="preserve">Správy NP Podyjí o </w:t>
      </w:r>
      <w:r w:rsidR="00994F9D" w:rsidRPr="00083A42">
        <w:rPr>
          <w:rFonts w:ascii="Calibri" w:eastAsia="Calibri" w:hAnsi="Calibri" w:cs="Calibri"/>
          <w:sz w:val="24"/>
          <w:szCs w:val="24"/>
          <w:lang w:eastAsia="en-US"/>
        </w:rPr>
        <w:t xml:space="preserve">23 </w:t>
      </w:r>
      <w:r w:rsidR="00083A42" w:rsidRPr="00083A42">
        <w:rPr>
          <w:rFonts w:ascii="Calibri" w:eastAsia="Calibri" w:hAnsi="Calibri" w:cs="Calibri"/>
          <w:sz w:val="24"/>
          <w:szCs w:val="24"/>
          <w:lang w:eastAsia="en-US"/>
        </w:rPr>
        <w:t>případů</w:t>
      </w:r>
      <w:r w:rsidRPr="00083A42">
        <w:rPr>
          <w:rFonts w:ascii="Calibri" w:eastAsia="Calibri" w:hAnsi="Calibri" w:cs="Calibri"/>
          <w:sz w:val="24"/>
          <w:szCs w:val="24"/>
          <w:lang w:eastAsia="en-US"/>
        </w:rPr>
        <w:t xml:space="preserve">. </w:t>
      </w:r>
      <w:r w:rsidR="00F51595" w:rsidRPr="00EC24F9">
        <w:rPr>
          <w:rFonts w:ascii="Calibri" w:eastAsia="Calibri" w:hAnsi="Calibri" w:cs="Calibri"/>
          <w:sz w:val="24"/>
          <w:szCs w:val="24"/>
          <w:lang w:eastAsia="en-US"/>
        </w:rPr>
        <w:t xml:space="preserve">Na základě výzvy MŽP </w:t>
      </w:r>
      <w:r w:rsidR="00807257" w:rsidRPr="00EC24F9">
        <w:rPr>
          <w:rFonts w:ascii="Calibri" w:eastAsia="Calibri" w:hAnsi="Calibri" w:cs="Calibri"/>
          <w:sz w:val="24"/>
          <w:szCs w:val="24"/>
          <w:lang w:eastAsia="en-US"/>
        </w:rPr>
        <w:lastRenderedPageBreak/>
        <w:t xml:space="preserve">odeslané </w:t>
      </w:r>
      <w:r w:rsidR="00456559" w:rsidRPr="00EC24F9">
        <w:rPr>
          <w:rFonts w:ascii="Calibri" w:eastAsia="Calibri" w:hAnsi="Calibri" w:cs="Calibri"/>
          <w:sz w:val="24"/>
          <w:szCs w:val="24"/>
          <w:lang w:eastAsia="en-US"/>
        </w:rPr>
        <w:t>vlastníkům vybraných pozemků</w:t>
      </w:r>
      <w:r w:rsidR="00EF2742" w:rsidRPr="00EC24F9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F51595" w:rsidRPr="00EC24F9">
        <w:rPr>
          <w:rFonts w:ascii="Calibri" w:eastAsia="Calibri" w:hAnsi="Calibri" w:cs="Calibri"/>
          <w:sz w:val="24"/>
          <w:szCs w:val="24"/>
          <w:lang w:eastAsia="en-US"/>
        </w:rPr>
        <w:t xml:space="preserve">vzniká </w:t>
      </w:r>
      <w:r w:rsidR="00807257">
        <w:rPr>
          <w:rFonts w:ascii="Calibri" w:eastAsia="Calibri" w:hAnsi="Calibri" w:cs="Calibri"/>
          <w:sz w:val="24"/>
          <w:szCs w:val="24"/>
          <w:lang w:eastAsia="en-US"/>
        </w:rPr>
        <w:t xml:space="preserve">těmto vlastníkům </w:t>
      </w:r>
      <w:r w:rsidR="00F51595" w:rsidRPr="00EC24F9">
        <w:rPr>
          <w:rFonts w:ascii="Calibri" w:eastAsia="Calibri" w:hAnsi="Calibri" w:cs="Calibri"/>
          <w:sz w:val="24"/>
          <w:szCs w:val="24"/>
          <w:lang w:eastAsia="en-US"/>
        </w:rPr>
        <w:t>povinnos</w:t>
      </w:r>
      <w:r w:rsidR="009F2B99">
        <w:rPr>
          <w:rFonts w:ascii="Calibri" w:eastAsia="Calibri" w:hAnsi="Calibri" w:cs="Calibri"/>
          <w:sz w:val="24"/>
          <w:szCs w:val="24"/>
          <w:lang w:eastAsia="en-US"/>
        </w:rPr>
        <w:t xml:space="preserve">t nabídnout </w:t>
      </w:r>
      <w:r w:rsidR="00807257">
        <w:rPr>
          <w:rFonts w:ascii="Calibri" w:eastAsia="Calibri" w:hAnsi="Calibri" w:cs="Calibri"/>
          <w:sz w:val="24"/>
          <w:szCs w:val="24"/>
          <w:lang w:eastAsia="en-US"/>
        </w:rPr>
        <w:t>uvedené</w:t>
      </w:r>
      <w:r w:rsidR="009F2B99">
        <w:rPr>
          <w:rFonts w:ascii="Calibri" w:eastAsia="Calibri" w:hAnsi="Calibri" w:cs="Calibri"/>
          <w:sz w:val="24"/>
          <w:szCs w:val="24"/>
          <w:lang w:eastAsia="en-US"/>
        </w:rPr>
        <w:t xml:space="preserve"> pozemky MŽP ke</w:t>
      </w:r>
      <w:r w:rsidR="00807257">
        <w:rPr>
          <w:rFonts w:ascii="Calibri" w:eastAsia="Calibri" w:hAnsi="Calibri" w:cs="Calibri"/>
          <w:sz w:val="24"/>
          <w:szCs w:val="24"/>
          <w:lang w:eastAsia="en-US"/>
        </w:rPr>
        <w:t xml:space="preserve"> </w:t>
      </w:r>
      <w:r w:rsidR="00F51595" w:rsidRPr="00EC24F9">
        <w:rPr>
          <w:rFonts w:ascii="Calibri" w:eastAsia="Calibri" w:hAnsi="Calibri" w:cs="Calibri"/>
          <w:sz w:val="24"/>
          <w:szCs w:val="24"/>
          <w:lang w:eastAsia="en-US"/>
        </w:rPr>
        <w:t>koupi a musí tak učinit za podmínek, za kterých sami pozemky získali</w:t>
      </w:r>
      <w:r w:rsidR="00F51595" w:rsidRPr="00EC24F9">
        <w:rPr>
          <w:rStyle w:val="Znakapoznpodarou"/>
          <w:rFonts w:ascii="Calibri" w:eastAsia="Calibri" w:hAnsi="Calibri"/>
          <w:sz w:val="24"/>
          <w:szCs w:val="24"/>
          <w:lang w:eastAsia="en-US"/>
        </w:rPr>
        <w:footnoteReference w:id="34"/>
      </w:r>
      <w:r w:rsidR="00F51595" w:rsidRPr="00EC24F9">
        <w:rPr>
          <w:rFonts w:ascii="Calibri" w:eastAsia="Calibri" w:hAnsi="Calibri" w:cs="Calibri"/>
          <w:sz w:val="24"/>
          <w:szCs w:val="24"/>
          <w:lang w:eastAsia="en-US"/>
        </w:rPr>
        <w:t>.</w:t>
      </w:r>
    </w:p>
    <w:p w14:paraId="2934E86E" w14:textId="428F3423" w:rsidR="001E5492" w:rsidRPr="00613233" w:rsidRDefault="001E5492" w:rsidP="00C90E35">
      <w:pPr>
        <w:widowControl/>
        <w:autoSpaceDE/>
        <w:autoSpaceDN/>
        <w:adjustRightInd/>
        <w:spacing w:before="120" w:after="120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613233">
        <w:rPr>
          <w:rFonts w:ascii="Calibri" w:eastAsia="Times New Roman" w:hAnsi="Calibri" w:cs="Calibri"/>
          <w:sz w:val="24"/>
          <w:szCs w:val="24"/>
          <w:lang w:eastAsia="en-US"/>
        </w:rPr>
        <w:t xml:space="preserve">Výkupy pozemků </w:t>
      </w:r>
      <w:r w:rsidR="00550CF4">
        <w:rPr>
          <w:rFonts w:ascii="Calibri" w:eastAsia="Times New Roman" w:hAnsi="Calibri" w:cs="Calibri"/>
          <w:sz w:val="24"/>
          <w:szCs w:val="24"/>
          <w:lang w:eastAsia="en-US"/>
        </w:rPr>
        <w:t>dochází</w:t>
      </w:r>
      <w:r w:rsidRPr="00613233">
        <w:rPr>
          <w:rFonts w:ascii="Calibri" w:eastAsia="Times New Roman" w:hAnsi="Calibri" w:cs="Calibri"/>
          <w:sz w:val="24"/>
          <w:szCs w:val="24"/>
          <w:lang w:eastAsia="en-US"/>
        </w:rPr>
        <w:t xml:space="preserve"> ke</w:t>
      </w:r>
      <w:r w:rsidR="00D50312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Pr="00613233">
        <w:rPr>
          <w:rFonts w:ascii="Calibri" w:eastAsia="Times New Roman" w:hAnsi="Calibri" w:cs="Calibri"/>
          <w:sz w:val="24"/>
          <w:szCs w:val="24"/>
          <w:lang w:eastAsia="en-US"/>
        </w:rPr>
        <w:t>zvětšení přírodně cenné plochy ve státním vlastnic</w:t>
      </w:r>
      <w:r w:rsidR="00550CF4">
        <w:rPr>
          <w:rFonts w:ascii="Calibri" w:eastAsia="Times New Roman" w:hAnsi="Calibri" w:cs="Calibri"/>
          <w:sz w:val="24"/>
          <w:szCs w:val="24"/>
          <w:lang w:eastAsia="en-US"/>
        </w:rPr>
        <w:t>tví, což zaručuje</w:t>
      </w:r>
      <w:r w:rsidRPr="00613233">
        <w:rPr>
          <w:rFonts w:ascii="Calibri" w:eastAsia="Times New Roman" w:hAnsi="Calibri" w:cs="Calibri"/>
          <w:sz w:val="24"/>
          <w:szCs w:val="24"/>
          <w:lang w:eastAsia="en-US"/>
        </w:rPr>
        <w:t xml:space="preserve"> efektivnější obhospodařování lesních i nelesních ekosystémů na území jednotlivých </w:t>
      </w:r>
      <w:r w:rsidR="005E2829" w:rsidRPr="00613233">
        <w:rPr>
          <w:rFonts w:ascii="Calibri" w:eastAsia="Times New Roman" w:hAnsi="Calibri" w:cs="Calibri"/>
          <w:sz w:val="24"/>
          <w:szCs w:val="24"/>
          <w:lang w:eastAsia="en-US"/>
        </w:rPr>
        <w:t>NP. T</w:t>
      </w:r>
      <w:r w:rsidRPr="00613233">
        <w:rPr>
          <w:rFonts w:ascii="Calibri" w:eastAsia="Times New Roman" w:hAnsi="Calibri" w:cs="Calibri"/>
          <w:sz w:val="24"/>
          <w:szCs w:val="24"/>
          <w:lang w:eastAsia="en-US"/>
        </w:rPr>
        <w:t xml:space="preserve">ento postup </w:t>
      </w:r>
      <w:r w:rsidR="005E2829" w:rsidRPr="00613233">
        <w:rPr>
          <w:rFonts w:ascii="Calibri" w:eastAsia="Times New Roman" w:hAnsi="Calibri" w:cs="Calibri"/>
          <w:sz w:val="24"/>
          <w:szCs w:val="24"/>
          <w:lang w:eastAsia="en-US"/>
        </w:rPr>
        <w:t xml:space="preserve">také </w:t>
      </w:r>
      <w:r w:rsidRPr="00613233">
        <w:rPr>
          <w:rFonts w:ascii="Calibri" w:eastAsia="Times New Roman" w:hAnsi="Calibri" w:cs="Calibri"/>
          <w:sz w:val="24"/>
          <w:szCs w:val="24"/>
          <w:lang w:eastAsia="en-US"/>
        </w:rPr>
        <w:t>minimalizuje nároky na státní rozpočet v případech hrazení újmy, která může vzniknout</w:t>
      </w:r>
      <w:r w:rsidR="009F2B99">
        <w:rPr>
          <w:rFonts w:ascii="Calibri" w:eastAsia="Times New Roman" w:hAnsi="Calibri" w:cs="Calibri"/>
          <w:sz w:val="24"/>
          <w:szCs w:val="24"/>
          <w:lang w:eastAsia="en-US"/>
        </w:rPr>
        <w:t xml:space="preserve"> v důsledku omezení lesnického nebo</w:t>
      </w:r>
      <w:r w:rsidR="00D50312">
        <w:rPr>
          <w:rFonts w:ascii="Calibri" w:eastAsia="Times New Roman" w:hAnsi="Calibri" w:cs="Calibri"/>
          <w:sz w:val="24"/>
          <w:szCs w:val="24"/>
          <w:lang w:eastAsia="en-US"/>
        </w:rPr>
        <w:t xml:space="preserve"> </w:t>
      </w:r>
      <w:r w:rsidRPr="00613233">
        <w:rPr>
          <w:rFonts w:ascii="Calibri" w:eastAsia="Times New Roman" w:hAnsi="Calibri" w:cs="Calibri"/>
          <w:sz w:val="24"/>
          <w:szCs w:val="24"/>
          <w:lang w:eastAsia="en-US"/>
        </w:rPr>
        <w:t>zemědělského hospodaření</w:t>
      </w:r>
      <w:r w:rsidR="005E2829" w:rsidRPr="00613233">
        <w:rPr>
          <w:rStyle w:val="Znakapoznpodarou"/>
          <w:rFonts w:ascii="Calibri" w:eastAsia="Times New Roman" w:hAnsi="Calibri"/>
          <w:sz w:val="24"/>
          <w:szCs w:val="24"/>
          <w:lang w:eastAsia="en-US"/>
        </w:rPr>
        <w:footnoteReference w:id="35"/>
      </w:r>
      <w:r w:rsidRPr="00613233">
        <w:rPr>
          <w:rFonts w:ascii="Calibri" w:eastAsia="Times New Roman" w:hAnsi="Calibri" w:cs="Calibri"/>
          <w:sz w:val="24"/>
          <w:szCs w:val="24"/>
          <w:lang w:eastAsia="en-US"/>
        </w:rPr>
        <w:t>.</w:t>
      </w:r>
      <w:r w:rsidR="005E2829" w:rsidRPr="00613233">
        <w:rPr>
          <w:rFonts w:ascii="Calibri" w:eastAsia="Times New Roman" w:hAnsi="Calibri" w:cs="Calibri"/>
          <w:sz w:val="24"/>
          <w:szCs w:val="24"/>
          <w:lang w:eastAsia="en-US"/>
        </w:rPr>
        <w:t xml:space="preserve"> V kontrolovaném období byly výkupy pozemků hrazeny prostřednictvím </w:t>
      </w:r>
      <w:r w:rsidR="005E2829" w:rsidRPr="00883A95">
        <w:rPr>
          <w:rFonts w:ascii="Calibri" w:eastAsia="Times New Roman" w:hAnsi="Calibri" w:cs="Calibri"/>
          <w:i/>
          <w:sz w:val="24"/>
          <w:szCs w:val="24"/>
          <w:lang w:eastAsia="en-US"/>
        </w:rPr>
        <w:t>Národního programu životního prostředí</w:t>
      </w:r>
      <w:r w:rsidR="005E2829" w:rsidRPr="00613233">
        <w:rPr>
          <w:rFonts w:ascii="Calibri" w:eastAsia="Times New Roman" w:hAnsi="Calibri" w:cs="Calibri"/>
          <w:sz w:val="24"/>
          <w:szCs w:val="24"/>
          <w:lang w:eastAsia="en-US"/>
        </w:rPr>
        <w:t xml:space="preserve"> Státního fondu životního prostředí České republiky v celkové výši 44 041 524 Kč.</w:t>
      </w:r>
    </w:p>
    <w:p w14:paraId="6DC596D4" w14:textId="77777777" w:rsidR="00CA1727" w:rsidRPr="00CA1727" w:rsidRDefault="00CA1727" w:rsidP="00C90E35">
      <w:pPr>
        <w:widowControl/>
        <w:autoSpaceDE/>
        <w:autoSpaceDN/>
        <w:adjustRightInd/>
        <w:spacing w:after="120"/>
        <w:jc w:val="both"/>
        <w:rPr>
          <w:rFonts w:ascii="Calibri" w:eastAsia="Times New Roman" w:hAnsi="Calibri" w:cs="Calibri"/>
          <w:sz w:val="24"/>
          <w:szCs w:val="24"/>
          <w:lang w:eastAsia="en-US"/>
        </w:rPr>
      </w:pPr>
      <w:r w:rsidRPr="00CA1727">
        <w:rPr>
          <w:rFonts w:ascii="Calibri" w:eastAsia="Times New Roman" w:hAnsi="Calibri" w:cs="Calibri"/>
          <w:sz w:val="24"/>
          <w:szCs w:val="24"/>
          <w:lang w:eastAsia="en-US"/>
        </w:rPr>
        <w:t>Majoritním vlastníkem pozemků na území NP je stát. Následující tabulka uvádí výměru pozemků na území NP dle vlastnictví.</w:t>
      </w:r>
    </w:p>
    <w:p w14:paraId="50383F2C" w14:textId="687D40BB" w:rsidR="00CA1727" w:rsidRPr="0027012A" w:rsidRDefault="00CA1727" w:rsidP="00C90E35">
      <w:pPr>
        <w:widowControl/>
        <w:tabs>
          <w:tab w:val="right" w:pos="9072"/>
        </w:tabs>
        <w:autoSpaceDE/>
        <w:autoSpaceDN/>
        <w:adjustRightInd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27012A">
        <w:rPr>
          <w:rFonts w:ascii="Calibri" w:eastAsia="Times New Roman" w:hAnsi="Calibri" w:cs="Calibri"/>
          <w:b/>
          <w:sz w:val="24"/>
          <w:szCs w:val="24"/>
          <w:lang w:eastAsia="en-US"/>
        </w:rPr>
        <w:t>T</w:t>
      </w:r>
      <w:r w:rsidRPr="00555938">
        <w:rPr>
          <w:rFonts w:ascii="Calibri" w:eastAsia="Times New Roman" w:hAnsi="Calibri" w:cs="Calibri"/>
          <w:b/>
          <w:sz w:val="24"/>
          <w:szCs w:val="24"/>
          <w:lang w:eastAsia="en-US"/>
        </w:rPr>
        <w:t xml:space="preserve">abulka č. </w:t>
      </w:r>
      <w:r w:rsidR="0075030C">
        <w:rPr>
          <w:rFonts w:ascii="Calibri" w:eastAsia="Times New Roman" w:hAnsi="Calibri" w:cs="Calibri"/>
          <w:b/>
          <w:sz w:val="24"/>
          <w:szCs w:val="24"/>
          <w:lang w:eastAsia="en-US"/>
        </w:rPr>
        <w:t>7</w:t>
      </w:r>
      <w:r w:rsidRPr="00555938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: Výměry</w:t>
      </w:r>
      <w:r w:rsidRPr="0027012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pozemků na území NP dle vlastnictví </w:t>
      </w:r>
      <w:r w:rsidR="006D2EE3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– </w:t>
      </w:r>
      <w:r w:rsidRPr="0027012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1. po</w:t>
      </w:r>
      <w:r w:rsidR="0094735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loletí roku 2018 </w:t>
      </w:r>
      <w:r w:rsidR="001221D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</w:r>
      <w:r w:rsidR="0035208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(</w:t>
      </w:r>
      <w:r w:rsidR="0094735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v </w:t>
      </w:r>
      <w:r w:rsidRPr="0027012A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ha</w:t>
      </w:r>
      <w:r w:rsidR="0035208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)</w:t>
      </w:r>
    </w:p>
    <w:tbl>
      <w:tblPr>
        <w:tblW w:w="90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4"/>
        <w:gridCol w:w="1304"/>
        <w:gridCol w:w="1453"/>
        <w:gridCol w:w="1378"/>
        <w:gridCol w:w="1477"/>
        <w:gridCol w:w="1417"/>
      </w:tblGrid>
      <w:tr w:rsidR="00CA1727" w:rsidRPr="00CA1727" w14:paraId="05123F4F" w14:textId="77777777" w:rsidTr="001221DA">
        <w:trPr>
          <w:trHeight w:val="624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bottom"/>
            <w:hideMark/>
          </w:tcPr>
          <w:p w14:paraId="18DC5414" w14:textId="77777777" w:rsidR="00CA1727" w:rsidRPr="00CA1727" w:rsidRDefault="00CA1727" w:rsidP="00C90E35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</w:rPr>
            </w:pPr>
            <w:r w:rsidRPr="00CA172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792359E" w14:textId="77777777" w:rsidR="00CA1727" w:rsidRPr="00CA1727" w:rsidRDefault="00CA1727" w:rsidP="00C90E3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1727">
              <w:rPr>
                <w:rFonts w:ascii="Calibri" w:eastAsia="Times New Roman" w:hAnsi="Calibri" w:cs="Calibri"/>
                <w:b/>
                <w:bCs/>
                <w:color w:val="000000"/>
              </w:rPr>
              <w:t>KRNAP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1F1FCAA3" w14:textId="77777777" w:rsidR="00CA1727" w:rsidRPr="00CA1727" w:rsidRDefault="00CA1727" w:rsidP="00C90E3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1727">
              <w:rPr>
                <w:rFonts w:ascii="Calibri" w:eastAsia="Times New Roman" w:hAnsi="Calibri" w:cs="Calibri"/>
                <w:b/>
                <w:bCs/>
                <w:color w:val="000000"/>
              </w:rPr>
              <w:t>NP Šumava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21AD99B2" w14:textId="77777777" w:rsidR="00CA1727" w:rsidRPr="00CA1727" w:rsidRDefault="00CA1727" w:rsidP="00C90E3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1727">
              <w:rPr>
                <w:rFonts w:ascii="Calibri" w:eastAsia="Times New Roman" w:hAnsi="Calibri" w:cs="Calibri"/>
                <w:b/>
                <w:bCs/>
                <w:color w:val="000000"/>
              </w:rPr>
              <w:t>NP Podyjí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1BEE0A46" w14:textId="77777777" w:rsidR="00CA1727" w:rsidRPr="00CA1727" w:rsidRDefault="00CA1727" w:rsidP="00C90E3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1727">
              <w:rPr>
                <w:rFonts w:ascii="Calibri" w:eastAsia="Times New Roman" w:hAnsi="Calibri" w:cs="Calibri"/>
                <w:b/>
                <w:bCs/>
                <w:color w:val="000000"/>
              </w:rPr>
              <w:t>NP České Švýcarsko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160CD348" w14:textId="77777777" w:rsidR="00CA1727" w:rsidRPr="00CA1727" w:rsidRDefault="00CA1727" w:rsidP="00C90E35">
            <w:pPr>
              <w:widowControl/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1727">
              <w:rPr>
                <w:rFonts w:ascii="Calibri" w:eastAsia="Times New Roman" w:hAnsi="Calibri" w:cs="Calibri"/>
                <w:b/>
                <w:bCs/>
                <w:color w:val="000000"/>
              </w:rPr>
              <w:t>NP celkem</w:t>
            </w:r>
          </w:p>
        </w:tc>
      </w:tr>
      <w:tr w:rsidR="00CA1727" w:rsidRPr="00CA1727" w14:paraId="70CE0F35" w14:textId="77777777" w:rsidTr="00883A95">
        <w:trPr>
          <w:trHeight w:val="156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37E7C" w14:textId="2829288A" w:rsidR="00CA1727" w:rsidRPr="00CA1727" w:rsidRDefault="00CA1727" w:rsidP="00D5031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Cs/>
                <w:color w:val="000000"/>
              </w:rPr>
            </w:pPr>
            <w:r w:rsidRPr="00CA1727">
              <w:rPr>
                <w:rFonts w:ascii="Calibri" w:eastAsia="Times New Roman" w:hAnsi="Calibri" w:cs="Calibri"/>
                <w:bCs/>
                <w:color w:val="000000"/>
              </w:rPr>
              <w:t xml:space="preserve">ČR </w:t>
            </w:r>
            <w:r w:rsidR="001221DA">
              <w:rPr>
                <w:rFonts w:ascii="Calibri" w:eastAsia="Times New Roman" w:hAnsi="Calibri" w:cs="Calibri"/>
                <w:bCs/>
                <w:color w:val="000000"/>
              </w:rPr>
              <w:t>–</w:t>
            </w:r>
            <w:r w:rsidRPr="00CA1727">
              <w:rPr>
                <w:rFonts w:ascii="Calibri" w:eastAsia="Times New Roman" w:hAnsi="Calibri" w:cs="Calibri"/>
                <w:bCs/>
                <w:color w:val="000000"/>
              </w:rPr>
              <w:t xml:space="preserve"> správa NP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2B26" w14:textId="77777777" w:rsidR="00CA1727" w:rsidRPr="00CA1727" w:rsidRDefault="00CA1727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1727">
              <w:rPr>
                <w:rFonts w:ascii="Calibri" w:eastAsia="Times New Roman" w:hAnsi="Calibri" w:cs="Calibri"/>
                <w:color w:val="000000"/>
              </w:rPr>
              <w:t>31 663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0AF2" w14:textId="77777777" w:rsidR="00CA1727" w:rsidRPr="00CA1727" w:rsidRDefault="00CA1727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1727">
              <w:rPr>
                <w:rFonts w:ascii="Calibri" w:eastAsia="Times New Roman" w:hAnsi="Calibri" w:cs="Calibri"/>
                <w:color w:val="000000"/>
              </w:rPr>
              <w:t>57 721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E451" w14:textId="77777777" w:rsidR="00CA1727" w:rsidRPr="00CA1727" w:rsidRDefault="00CA1727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1727">
              <w:rPr>
                <w:rFonts w:ascii="Calibri" w:eastAsia="Times New Roman" w:hAnsi="Calibri" w:cs="Calibri"/>
                <w:color w:val="000000"/>
              </w:rPr>
              <w:t>5 585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E1C0" w14:textId="77777777" w:rsidR="00CA1727" w:rsidRPr="00CA1727" w:rsidRDefault="00CA1727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1727">
              <w:rPr>
                <w:rFonts w:ascii="Calibri" w:eastAsia="Times New Roman" w:hAnsi="Calibri" w:cs="Calibri"/>
                <w:color w:val="000000"/>
              </w:rPr>
              <w:t>7 865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452ED" w14:textId="77777777" w:rsidR="00CA1727" w:rsidRPr="00CA1727" w:rsidRDefault="00CA1727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CA1727">
              <w:rPr>
                <w:rFonts w:ascii="Calibri" w:eastAsia="Times New Roman" w:hAnsi="Calibri" w:cs="Calibri"/>
                <w:bCs/>
                <w:color w:val="000000"/>
              </w:rPr>
              <w:t>102 834</w:t>
            </w:r>
          </w:p>
        </w:tc>
      </w:tr>
      <w:tr w:rsidR="00CA1727" w:rsidRPr="00CA1727" w14:paraId="65903BF3" w14:textId="77777777" w:rsidTr="00883A95">
        <w:trPr>
          <w:trHeight w:val="156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A5E8A" w14:textId="4E051178" w:rsidR="00CA1727" w:rsidRPr="00CA1727" w:rsidRDefault="00CA1727" w:rsidP="00D5031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Cs/>
                <w:color w:val="000000"/>
              </w:rPr>
            </w:pPr>
            <w:r w:rsidRPr="00CA1727">
              <w:rPr>
                <w:rFonts w:ascii="Calibri" w:eastAsia="Times New Roman" w:hAnsi="Calibri" w:cs="Calibri"/>
                <w:bCs/>
                <w:color w:val="000000"/>
              </w:rPr>
              <w:t xml:space="preserve">ČR </w:t>
            </w:r>
            <w:r w:rsidR="001221DA">
              <w:rPr>
                <w:rFonts w:ascii="Calibri" w:eastAsia="Times New Roman" w:hAnsi="Calibri" w:cs="Calibri"/>
                <w:bCs/>
                <w:color w:val="000000"/>
              </w:rPr>
              <w:t>–</w:t>
            </w:r>
            <w:r w:rsidRPr="00CA1727">
              <w:rPr>
                <w:rFonts w:ascii="Calibri" w:eastAsia="Times New Roman" w:hAnsi="Calibri" w:cs="Calibri"/>
                <w:bCs/>
                <w:color w:val="000000"/>
              </w:rPr>
              <w:t xml:space="preserve"> ostatní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9864" w14:textId="77777777" w:rsidR="00CA1727" w:rsidRPr="00CA1727" w:rsidRDefault="00CA1727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1727">
              <w:rPr>
                <w:rFonts w:ascii="Calibri" w:eastAsia="Times New Roman" w:hAnsi="Calibri" w:cs="Calibri"/>
                <w:color w:val="000000"/>
              </w:rPr>
              <w:t>356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82061" w14:textId="77777777" w:rsidR="00CA1727" w:rsidRPr="00CA1727" w:rsidRDefault="00CA1727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1727">
              <w:rPr>
                <w:rFonts w:ascii="Calibri" w:eastAsia="Times New Roman" w:hAnsi="Calibri" w:cs="Calibri"/>
                <w:color w:val="000000"/>
              </w:rPr>
              <w:t>576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DA05" w14:textId="77777777" w:rsidR="00CA1727" w:rsidRPr="00CA1727" w:rsidRDefault="00CA1727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1727">
              <w:rPr>
                <w:rFonts w:ascii="Calibri" w:eastAsia="Times New Roman" w:hAnsi="Calibri" w:cs="Calibri"/>
                <w:color w:val="000000"/>
              </w:rPr>
              <w:t>314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AECE" w14:textId="77777777" w:rsidR="00CA1727" w:rsidRPr="00CA1727" w:rsidRDefault="00CA1727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1727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50F7E" w14:textId="77777777" w:rsidR="00CA1727" w:rsidRPr="00CA1727" w:rsidRDefault="00CA1727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CA1727">
              <w:rPr>
                <w:rFonts w:ascii="Calibri" w:eastAsia="Times New Roman" w:hAnsi="Calibri" w:cs="Calibri"/>
                <w:bCs/>
                <w:color w:val="000000"/>
              </w:rPr>
              <w:t>1 268</w:t>
            </w:r>
          </w:p>
        </w:tc>
      </w:tr>
      <w:tr w:rsidR="00CA1727" w:rsidRPr="00CA1727" w14:paraId="518CAF99" w14:textId="77777777" w:rsidTr="00883A95">
        <w:trPr>
          <w:trHeight w:val="156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B7AF" w14:textId="77777777" w:rsidR="00CA1727" w:rsidRPr="00CA1727" w:rsidRDefault="00CA1727" w:rsidP="00D5031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Cs/>
                <w:color w:val="000000"/>
              </w:rPr>
            </w:pPr>
            <w:r w:rsidRPr="00CA1727">
              <w:rPr>
                <w:rFonts w:ascii="Calibri" w:eastAsia="Times New Roman" w:hAnsi="Calibri" w:cs="Calibri"/>
                <w:bCs/>
                <w:color w:val="000000"/>
              </w:rPr>
              <w:t>Města a obce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AFAF" w14:textId="77777777" w:rsidR="00CA1727" w:rsidRPr="00CA1727" w:rsidRDefault="00CA1727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1727">
              <w:rPr>
                <w:rFonts w:ascii="Calibri" w:eastAsia="Times New Roman" w:hAnsi="Calibri" w:cs="Calibri"/>
                <w:color w:val="000000"/>
              </w:rPr>
              <w:t>445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90C3" w14:textId="77777777" w:rsidR="00CA1727" w:rsidRPr="00CA1727" w:rsidRDefault="00CA1727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1727">
              <w:rPr>
                <w:rFonts w:ascii="Calibri" w:eastAsia="Times New Roman" w:hAnsi="Calibri" w:cs="Calibri"/>
                <w:color w:val="000000"/>
              </w:rPr>
              <w:t>7 240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1478F" w14:textId="77777777" w:rsidR="00CA1727" w:rsidRPr="00CA1727" w:rsidRDefault="00CA1727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1727">
              <w:rPr>
                <w:rFonts w:ascii="Calibri" w:eastAsia="Times New Roman" w:hAnsi="Calibri" w:cs="Calibri"/>
                <w:color w:val="000000"/>
              </w:rPr>
              <w:t>251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EDB3" w14:textId="77777777" w:rsidR="00CA1727" w:rsidRPr="00CA1727" w:rsidRDefault="00CA1727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1727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5C113" w14:textId="77777777" w:rsidR="00CA1727" w:rsidRPr="00CA1727" w:rsidRDefault="00CA1727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CA1727">
              <w:rPr>
                <w:rFonts w:ascii="Calibri" w:eastAsia="Times New Roman" w:hAnsi="Calibri" w:cs="Calibri"/>
                <w:bCs/>
                <w:color w:val="000000"/>
              </w:rPr>
              <w:t>7 944</w:t>
            </w:r>
          </w:p>
        </w:tc>
      </w:tr>
      <w:tr w:rsidR="00CA1727" w:rsidRPr="00CA1727" w14:paraId="025411FC" w14:textId="77777777" w:rsidTr="00883A95">
        <w:trPr>
          <w:trHeight w:val="156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9552E" w14:textId="77777777" w:rsidR="00CA1727" w:rsidRPr="00CA1727" w:rsidRDefault="00CA1727" w:rsidP="00D5031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Cs/>
                <w:color w:val="000000"/>
              </w:rPr>
            </w:pPr>
            <w:r w:rsidRPr="00CA1727">
              <w:rPr>
                <w:rFonts w:ascii="Calibri" w:eastAsia="Times New Roman" w:hAnsi="Calibri" w:cs="Calibri"/>
                <w:bCs/>
                <w:color w:val="000000"/>
              </w:rPr>
              <w:t>Ostatní vlastníci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7BF6" w14:textId="77777777" w:rsidR="00CA1727" w:rsidRPr="00CA1727" w:rsidRDefault="00CA1727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1727">
              <w:rPr>
                <w:rFonts w:ascii="Calibri" w:eastAsia="Times New Roman" w:hAnsi="Calibri" w:cs="Calibri"/>
                <w:color w:val="000000"/>
              </w:rPr>
              <w:t>4 661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15354" w14:textId="77777777" w:rsidR="00CA1727" w:rsidRPr="00CA1727" w:rsidRDefault="00CA1727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1727">
              <w:rPr>
                <w:rFonts w:ascii="Calibri" w:eastAsia="Times New Roman" w:hAnsi="Calibri" w:cs="Calibri"/>
                <w:color w:val="000000"/>
              </w:rPr>
              <w:t>2 815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7184" w14:textId="77777777" w:rsidR="00CA1727" w:rsidRPr="00CA1727" w:rsidRDefault="00CA1727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1727"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B10A" w14:textId="77777777" w:rsidR="00CA1727" w:rsidRPr="00CA1727" w:rsidRDefault="00CA1727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A1727">
              <w:rPr>
                <w:rFonts w:ascii="Calibri" w:eastAsia="Times New Roman" w:hAnsi="Calibri" w:cs="Calibri"/>
                <w:color w:val="000000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AF8A" w14:textId="77777777" w:rsidR="00CA1727" w:rsidRPr="00CA1727" w:rsidRDefault="00CA1727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bCs/>
                <w:color w:val="000000"/>
              </w:rPr>
            </w:pPr>
            <w:r w:rsidRPr="00CA1727">
              <w:rPr>
                <w:rFonts w:ascii="Calibri" w:eastAsia="Times New Roman" w:hAnsi="Calibri" w:cs="Calibri"/>
                <w:bCs/>
                <w:color w:val="000000"/>
              </w:rPr>
              <w:t>7 636</w:t>
            </w:r>
          </w:p>
        </w:tc>
      </w:tr>
      <w:tr w:rsidR="00CA1727" w:rsidRPr="00CA1727" w14:paraId="7CC225FD" w14:textId="77777777" w:rsidTr="00883A95">
        <w:trPr>
          <w:trHeight w:val="156"/>
        </w:trPr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A3A5" w14:textId="77777777" w:rsidR="00CA1727" w:rsidRPr="00CA1727" w:rsidRDefault="00CA1727" w:rsidP="00D50312">
            <w:pPr>
              <w:widowControl/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1727">
              <w:rPr>
                <w:rFonts w:ascii="Calibri" w:eastAsia="Times New Roman" w:hAnsi="Calibri" w:cs="Calibri"/>
                <w:b/>
                <w:bCs/>
                <w:color w:val="000000"/>
              </w:rPr>
              <w:t>Celkem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EC81" w14:textId="77777777" w:rsidR="00CA1727" w:rsidRPr="00CA1727" w:rsidRDefault="00CA1727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1727">
              <w:rPr>
                <w:rFonts w:ascii="Calibri" w:eastAsia="Times New Roman" w:hAnsi="Calibri" w:cs="Calibri"/>
                <w:b/>
                <w:bCs/>
                <w:color w:val="000000"/>
              </w:rPr>
              <w:t>37 125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C922" w14:textId="77777777" w:rsidR="00CA1727" w:rsidRPr="00CA1727" w:rsidRDefault="00CA1727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1727">
              <w:rPr>
                <w:rFonts w:ascii="Calibri" w:eastAsia="Times New Roman" w:hAnsi="Calibri" w:cs="Calibri"/>
                <w:b/>
                <w:bCs/>
                <w:color w:val="000000"/>
              </w:rPr>
              <w:t>68 352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06FF" w14:textId="77777777" w:rsidR="00CA1727" w:rsidRPr="00CA1727" w:rsidRDefault="00CA1727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1727">
              <w:rPr>
                <w:rFonts w:ascii="Calibri" w:eastAsia="Times New Roman" w:hAnsi="Calibri" w:cs="Calibri"/>
                <w:b/>
                <w:bCs/>
                <w:color w:val="000000"/>
              </w:rPr>
              <w:t>6 276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76956" w14:textId="77777777" w:rsidR="00CA1727" w:rsidRPr="00CA1727" w:rsidRDefault="00CA1727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1727">
              <w:rPr>
                <w:rFonts w:ascii="Calibri" w:eastAsia="Times New Roman" w:hAnsi="Calibri" w:cs="Calibri"/>
                <w:b/>
                <w:bCs/>
                <w:color w:val="000000"/>
              </w:rPr>
              <w:t>7 929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D617" w14:textId="77777777" w:rsidR="00CA1727" w:rsidRPr="00CA1727" w:rsidRDefault="00CA1727" w:rsidP="00883A95">
            <w:pPr>
              <w:widowControl/>
              <w:autoSpaceDE/>
              <w:autoSpaceDN/>
              <w:adjustRightInd/>
              <w:ind w:right="57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A1727">
              <w:rPr>
                <w:rFonts w:ascii="Calibri" w:eastAsia="Times New Roman" w:hAnsi="Calibri" w:cs="Calibri"/>
                <w:b/>
                <w:bCs/>
                <w:color w:val="000000"/>
              </w:rPr>
              <w:t>119 682</w:t>
            </w:r>
          </w:p>
        </w:tc>
      </w:tr>
    </w:tbl>
    <w:p w14:paraId="3F386202" w14:textId="77777777" w:rsidR="00CA1727" w:rsidRPr="00CA1727" w:rsidRDefault="00CA1727" w:rsidP="00C90E35">
      <w:pPr>
        <w:widowControl/>
        <w:autoSpaceDE/>
        <w:autoSpaceDN/>
        <w:adjustRightInd/>
        <w:rPr>
          <w:rFonts w:ascii="Calibri" w:eastAsia="Times New Roman" w:hAnsi="Calibri" w:cs="Calibri"/>
          <w:color w:val="000000"/>
        </w:rPr>
      </w:pPr>
      <w:r w:rsidRPr="0027012A">
        <w:rPr>
          <w:rFonts w:ascii="Calibri" w:eastAsia="Times New Roman" w:hAnsi="Calibri" w:cs="Calibri"/>
          <w:b/>
          <w:color w:val="000000"/>
        </w:rPr>
        <w:t>Zdroj:</w:t>
      </w:r>
      <w:r w:rsidRPr="00CA1727">
        <w:rPr>
          <w:rFonts w:ascii="Calibri" w:eastAsia="Times New Roman" w:hAnsi="Calibri" w:cs="Calibri"/>
          <w:color w:val="000000"/>
        </w:rPr>
        <w:t xml:space="preserve"> </w:t>
      </w:r>
      <w:r w:rsidRPr="00883A95">
        <w:rPr>
          <w:rFonts w:ascii="Calibri" w:eastAsia="Times New Roman" w:hAnsi="Calibri" w:cs="Calibri"/>
          <w:i/>
          <w:color w:val="000000"/>
        </w:rPr>
        <w:t>Plán opatření pro finanční zajištění plnění cílů a poslání národních parků České republiky</w:t>
      </w:r>
      <w:r w:rsidR="0094735F">
        <w:rPr>
          <w:rFonts w:ascii="Calibri" w:eastAsia="Times New Roman" w:hAnsi="Calibri" w:cs="Calibri"/>
          <w:color w:val="000000"/>
        </w:rPr>
        <w:t>.</w:t>
      </w:r>
    </w:p>
    <w:p w14:paraId="7A1758C9" w14:textId="77777777" w:rsidR="00016204" w:rsidRDefault="00016204" w:rsidP="00C90E35">
      <w:pPr>
        <w:widowControl/>
        <w:spacing w:before="120" w:after="120"/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</w:rPr>
      </w:pPr>
    </w:p>
    <w:p w14:paraId="04C3A021" w14:textId="396E9214" w:rsidR="00EA4BFB" w:rsidRDefault="00EA4BFB" w:rsidP="00C90E35">
      <w:pPr>
        <w:widowControl/>
        <w:autoSpaceDE/>
        <w:autoSpaceDN/>
        <w:adjustRightInd/>
        <w:spacing w:after="160" w:line="259" w:lineRule="auto"/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</w:rPr>
        <w:br w:type="page"/>
      </w:r>
    </w:p>
    <w:p w14:paraId="793ED243" w14:textId="362C9C42" w:rsidR="00B76533" w:rsidRPr="00FC5FAE" w:rsidRDefault="00FC5FAE" w:rsidP="00C90E35">
      <w:pPr>
        <w:widowControl/>
        <w:spacing w:before="120" w:after="120"/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noProof/>
          <w:color w:val="000000" w:themeColor="text1"/>
          <w:sz w:val="24"/>
          <w:szCs w:val="24"/>
        </w:rPr>
        <w:lastRenderedPageBreak/>
        <w:t>Seznam zkratek</w:t>
      </w:r>
    </w:p>
    <w:p w14:paraId="44B2D6BA" w14:textId="77777777" w:rsidR="008A5958" w:rsidRDefault="008A5958" w:rsidP="00C90E35">
      <w:pPr>
        <w:widowControl/>
        <w:autoSpaceDE/>
        <w:autoSpaceDN/>
        <w:adjustRightInd/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1BE48114" w14:textId="77777777" w:rsidR="008A5958" w:rsidRPr="00883A95" w:rsidRDefault="008A5958" w:rsidP="00C90E35">
      <w:pPr>
        <w:widowControl/>
        <w:spacing w:before="240" w:after="120"/>
        <w:ind w:left="3119" w:hanging="3119"/>
        <w:rPr>
          <w:rFonts w:ascii="Calibri" w:hAnsi="Calibri" w:cs="Calibri"/>
          <w:sz w:val="24"/>
          <w:szCs w:val="24"/>
        </w:rPr>
      </w:pPr>
      <w:r w:rsidRPr="00883A95">
        <w:rPr>
          <w:rFonts w:ascii="Calibri" w:hAnsi="Calibri" w:cs="Calibri"/>
          <w:sz w:val="24"/>
          <w:szCs w:val="24"/>
        </w:rPr>
        <w:t>ČR</w:t>
      </w:r>
      <w:r w:rsidRPr="00883A95">
        <w:rPr>
          <w:rFonts w:ascii="Calibri" w:hAnsi="Calibri" w:cs="Calibri"/>
          <w:sz w:val="24"/>
          <w:szCs w:val="24"/>
        </w:rPr>
        <w:tab/>
        <w:t>Česká republika</w:t>
      </w:r>
    </w:p>
    <w:p w14:paraId="28389823" w14:textId="77777777" w:rsidR="008A5958" w:rsidRDefault="008A5958" w:rsidP="00C90E35">
      <w:pPr>
        <w:widowControl/>
        <w:autoSpaceDE/>
        <w:autoSpaceDN/>
        <w:adjustRightInd/>
        <w:spacing w:after="120"/>
        <w:ind w:left="3119" w:hanging="3119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DHM</w:t>
      </w:r>
      <w:r>
        <w:rPr>
          <w:rFonts w:asciiTheme="minorHAnsi" w:hAnsiTheme="minorHAnsi" w:cs="Calibri"/>
          <w:color w:val="000000"/>
          <w:sz w:val="24"/>
          <w:szCs w:val="24"/>
        </w:rPr>
        <w:tab/>
        <w:t>dlouhodobý hmotný majetek</w:t>
      </w:r>
    </w:p>
    <w:p w14:paraId="1E312F37" w14:textId="77777777" w:rsidR="008A5958" w:rsidRDefault="008A5958" w:rsidP="00C90E35">
      <w:pPr>
        <w:widowControl/>
        <w:autoSpaceDE/>
        <w:autoSpaceDN/>
        <w:adjustRightInd/>
        <w:spacing w:after="120"/>
        <w:ind w:left="3119" w:hanging="3119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DPH</w:t>
      </w:r>
      <w:r>
        <w:rPr>
          <w:rFonts w:asciiTheme="minorHAnsi" w:hAnsiTheme="minorHAnsi" w:cs="Calibri"/>
          <w:color w:val="000000"/>
          <w:sz w:val="24"/>
          <w:szCs w:val="24"/>
        </w:rPr>
        <w:tab/>
        <w:t>daň z přidané hodnoty</w:t>
      </w:r>
    </w:p>
    <w:p w14:paraId="5FED02CE" w14:textId="77777777" w:rsidR="008A5958" w:rsidRPr="00883A95" w:rsidRDefault="008A5958" w:rsidP="00C90E35">
      <w:pPr>
        <w:widowControl/>
        <w:spacing w:after="120"/>
        <w:ind w:left="3119" w:hanging="3119"/>
        <w:rPr>
          <w:rFonts w:ascii="Calibri" w:hAnsi="Calibri" w:cs="Calibri"/>
          <w:sz w:val="24"/>
          <w:szCs w:val="24"/>
        </w:rPr>
      </w:pPr>
      <w:r w:rsidRPr="00883A95">
        <w:rPr>
          <w:rFonts w:ascii="Calibri" w:hAnsi="Calibri" w:cs="Calibri"/>
          <w:sz w:val="24"/>
          <w:szCs w:val="24"/>
        </w:rPr>
        <w:t>EHP</w:t>
      </w:r>
      <w:r w:rsidRPr="00883A95">
        <w:rPr>
          <w:rFonts w:ascii="Calibri" w:hAnsi="Calibri" w:cs="Calibri"/>
          <w:sz w:val="24"/>
          <w:szCs w:val="24"/>
        </w:rPr>
        <w:tab/>
        <w:t>Evropský hospodářský prostor</w:t>
      </w:r>
    </w:p>
    <w:p w14:paraId="22919106" w14:textId="337C128B" w:rsidR="008A5958" w:rsidRPr="00883A95" w:rsidRDefault="008A5958" w:rsidP="00C90E35">
      <w:pPr>
        <w:widowControl/>
        <w:spacing w:after="120"/>
        <w:ind w:left="3119" w:hanging="3119"/>
        <w:rPr>
          <w:rFonts w:ascii="Calibri" w:hAnsi="Calibri" w:cs="Calibri"/>
          <w:sz w:val="24"/>
          <w:szCs w:val="24"/>
        </w:rPr>
      </w:pPr>
      <w:r w:rsidRPr="00883A95">
        <w:rPr>
          <w:rFonts w:ascii="Calibri" w:hAnsi="Calibri" w:cs="Calibri"/>
          <w:sz w:val="24"/>
          <w:szCs w:val="24"/>
        </w:rPr>
        <w:t>EU</w:t>
      </w:r>
      <w:r w:rsidRPr="00883A95">
        <w:rPr>
          <w:rFonts w:ascii="Calibri" w:hAnsi="Calibri" w:cs="Calibri"/>
          <w:sz w:val="24"/>
          <w:szCs w:val="24"/>
        </w:rPr>
        <w:tab/>
        <w:t>Evropská unie</w:t>
      </w:r>
    </w:p>
    <w:p w14:paraId="45755424" w14:textId="77777777" w:rsidR="008A5958" w:rsidRPr="00883A95" w:rsidRDefault="008A5958" w:rsidP="00C90E35">
      <w:pPr>
        <w:widowControl/>
        <w:spacing w:after="120"/>
        <w:ind w:left="3119" w:hanging="3119"/>
        <w:rPr>
          <w:rFonts w:ascii="Calibri" w:hAnsi="Calibri" w:cs="Calibri"/>
          <w:sz w:val="24"/>
          <w:szCs w:val="24"/>
        </w:rPr>
      </w:pPr>
      <w:r w:rsidRPr="00883A95">
        <w:rPr>
          <w:rFonts w:ascii="Calibri" w:hAnsi="Calibri" w:cs="Calibri"/>
          <w:sz w:val="24"/>
          <w:szCs w:val="24"/>
        </w:rPr>
        <w:t>KA</w:t>
      </w:r>
      <w:r w:rsidRPr="00883A95">
        <w:rPr>
          <w:rFonts w:ascii="Calibri" w:hAnsi="Calibri" w:cs="Calibri"/>
          <w:sz w:val="24"/>
          <w:szCs w:val="24"/>
        </w:rPr>
        <w:tab/>
        <w:t>kontrolní akce</w:t>
      </w:r>
    </w:p>
    <w:p w14:paraId="4129D56D" w14:textId="089EDAE8" w:rsidR="008A5958" w:rsidRDefault="008A5958" w:rsidP="00C90E35">
      <w:pPr>
        <w:widowControl/>
        <w:spacing w:after="120"/>
        <w:ind w:left="3119" w:hanging="3119"/>
        <w:rPr>
          <w:rFonts w:ascii="Calibri" w:hAnsi="Calibri" w:cs="Calibri"/>
          <w:sz w:val="24"/>
          <w:szCs w:val="24"/>
        </w:rPr>
      </w:pPr>
      <w:r w:rsidRPr="00883A95">
        <w:rPr>
          <w:rFonts w:ascii="Calibri" w:hAnsi="Calibri" w:cs="Calibri"/>
          <w:sz w:val="24"/>
          <w:szCs w:val="24"/>
        </w:rPr>
        <w:t>MF</w:t>
      </w:r>
      <w:r w:rsidRPr="00883A95">
        <w:rPr>
          <w:rFonts w:ascii="Calibri" w:hAnsi="Calibri" w:cs="Calibri"/>
          <w:sz w:val="24"/>
          <w:szCs w:val="24"/>
        </w:rPr>
        <w:tab/>
        <w:t>Ministerstvo financí</w:t>
      </w:r>
    </w:p>
    <w:p w14:paraId="5140AD6E" w14:textId="71A6EEB7" w:rsidR="00FB5130" w:rsidRPr="00883A95" w:rsidRDefault="00FB5130" w:rsidP="00C90E35">
      <w:pPr>
        <w:widowControl/>
        <w:spacing w:after="120"/>
        <w:ind w:left="3119" w:hanging="311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MTZ</w:t>
      </w:r>
      <w:r>
        <w:rPr>
          <w:rFonts w:ascii="Calibri" w:hAnsi="Calibri" w:cs="Calibri"/>
          <w:sz w:val="24"/>
          <w:szCs w:val="24"/>
        </w:rPr>
        <w:tab/>
        <w:t>materiálně technická základna</w:t>
      </w:r>
    </w:p>
    <w:p w14:paraId="7CED8319" w14:textId="77777777" w:rsidR="008A5958" w:rsidRPr="00883A95" w:rsidRDefault="008A5958" w:rsidP="00C90E35">
      <w:pPr>
        <w:widowControl/>
        <w:spacing w:after="120"/>
        <w:ind w:left="3119" w:hanging="3119"/>
        <w:rPr>
          <w:rFonts w:ascii="Calibri" w:hAnsi="Calibri" w:cs="Calibri"/>
          <w:sz w:val="24"/>
          <w:szCs w:val="24"/>
        </w:rPr>
      </w:pPr>
      <w:r w:rsidRPr="00883A95">
        <w:rPr>
          <w:rFonts w:ascii="Calibri" w:hAnsi="Calibri" w:cs="Calibri"/>
          <w:sz w:val="24"/>
          <w:szCs w:val="24"/>
        </w:rPr>
        <w:t>MZe</w:t>
      </w:r>
      <w:r w:rsidRPr="00883A95">
        <w:rPr>
          <w:rFonts w:ascii="Calibri" w:hAnsi="Calibri" w:cs="Calibri"/>
          <w:sz w:val="24"/>
          <w:szCs w:val="24"/>
        </w:rPr>
        <w:tab/>
        <w:t>Ministerstvo zemědělství</w:t>
      </w:r>
    </w:p>
    <w:p w14:paraId="3ECB4161" w14:textId="77777777" w:rsidR="008A5958" w:rsidRDefault="008A5958" w:rsidP="00C90E35">
      <w:pPr>
        <w:widowControl/>
        <w:spacing w:after="120"/>
        <w:ind w:left="3119" w:hanging="3119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MŽP</w:t>
      </w:r>
      <w:r>
        <w:rPr>
          <w:rFonts w:asciiTheme="minorHAnsi" w:hAnsiTheme="minorHAnsi" w:cs="Calibri"/>
          <w:color w:val="000000"/>
          <w:sz w:val="24"/>
          <w:szCs w:val="24"/>
        </w:rPr>
        <w:tab/>
        <w:t>Ministerstvo životního prostředí</w:t>
      </w:r>
    </w:p>
    <w:p w14:paraId="16980447" w14:textId="77777777" w:rsidR="008A5958" w:rsidRPr="00883A95" w:rsidRDefault="008A5958" w:rsidP="00C90E35">
      <w:pPr>
        <w:widowControl/>
        <w:spacing w:after="120"/>
        <w:ind w:left="3119" w:hanging="3119"/>
        <w:rPr>
          <w:rFonts w:asciiTheme="minorHAnsi" w:hAnsiTheme="minorHAnsi" w:cs="Calibri"/>
          <w:color w:val="000000"/>
          <w:sz w:val="24"/>
          <w:szCs w:val="24"/>
        </w:rPr>
      </w:pPr>
      <w:r w:rsidRPr="00883A95">
        <w:rPr>
          <w:rFonts w:asciiTheme="minorHAnsi" w:hAnsiTheme="minorHAnsi" w:cs="Calibri"/>
          <w:color w:val="000000"/>
          <w:sz w:val="24"/>
          <w:szCs w:val="24"/>
        </w:rPr>
        <w:t>NKÚ</w:t>
      </w:r>
      <w:r w:rsidRPr="00883A95">
        <w:rPr>
          <w:rFonts w:asciiTheme="minorHAnsi" w:hAnsiTheme="minorHAnsi" w:cs="Calibri"/>
          <w:color w:val="000000"/>
          <w:sz w:val="24"/>
          <w:szCs w:val="24"/>
        </w:rPr>
        <w:tab/>
        <w:t>Nejvyšší kontrolní úřad</w:t>
      </w:r>
    </w:p>
    <w:p w14:paraId="60E8C9B2" w14:textId="77777777" w:rsidR="008A5958" w:rsidRDefault="008A5958" w:rsidP="00C90E35">
      <w:pPr>
        <w:widowControl/>
        <w:autoSpaceDE/>
        <w:autoSpaceDN/>
        <w:adjustRightInd/>
        <w:spacing w:after="120"/>
        <w:ind w:left="3119" w:hanging="3119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NP</w:t>
      </w:r>
      <w:r>
        <w:rPr>
          <w:rFonts w:asciiTheme="minorHAnsi" w:hAnsiTheme="minorHAnsi" w:cs="Calibri"/>
          <w:color w:val="000000"/>
          <w:sz w:val="24"/>
          <w:szCs w:val="24"/>
        </w:rPr>
        <w:tab/>
        <w:t>národní park (národní parky)</w:t>
      </w:r>
    </w:p>
    <w:p w14:paraId="5D8E8A74" w14:textId="77777777" w:rsidR="008A5958" w:rsidRPr="00883A95" w:rsidRDefault="008A5958" w:rsidP="00C90E35">
      <w:pPr>
        <w:widowControl/>
        <w:spacing w:after="120"/>
        <w:ind w:left="3119" w:hanging="3119"/>
        <w:rPr>
          <w:rFonts w:asciiTheme="minorHAnsi" w:hAnsiTheme="minorHAnsi" w:cs="Calibri"/>
          <w:color w:val="000000"/>
          <w:sz w:val="24"/>
          <w:szCs w:val="24"/>
        </w:rPr>
      </w:pPr>
      <w:r w:rsidRPr="00883A95">
        <w:rPr>
          <w:rFonts w:asciiTheme="minorHAnsi" w:hAnsiTheme="minorHAnsi" w:cs="Calibri"/>
          <w:color w:val="000000"/>
          <w:sz w:val="24"/>
          <w:szCs w:val="24"/>
        </w:rPr>
        <w:t>OSS</w:t>
      </w:r>
      <w:r w:rsidRPr="00883A95">
        <w:rPr>
          <w:rFonts w:asciiTheme="minorHAnsi" w:hAnsiTheme="minorHAnsi" w:cs="Calibri"/>
          <w:color w:val="000000"/>
          <w:sz w:val="24"/>
          <w:szCs w:val="24"/>
        </w:rPr>
        <w:tab/>
        <w:t>organizační složka státu</w:t>
      </w:r>
    </w:p>
    <w:p w14:paraId="40626759" w14:textId="77777777" w:rsidR="008A5958" w:rsidRDefault="008A5958" w:rsidP="00C90E35">
      <w:pPr>
        <w:widowControl/>
        <w:spacing w:after="120"/>
        <w:ind w:left="3119" w:hanging="3119"/>
        <w:rPr>
          <w:rFonts w:asciiTheme="minorHAnsi" w:hAnsiTheme="minorHAnsi" w:cs="Calibri"/>
          <w:color w:val="000000"/>
          <w:sz w:val="24"/>
          <w:szCs w:val="24"/>
        </w:rPr>
      </w:pPr>
      <w:r w:rsidRPr="00883A95">
        <w:rPr>
          <w:rFonts w:asciiTheme="minorHAnsi" w:hAnsiTheme="minorHAnsi" w:cs="Calibri"/>
          <w:color w:val="000000"/>
          <w:sz w:val="24"/>
          <w:szCs w:val="24"/>
        </w:rPr>
        <w:t>PO</w:t>
      </w:r>
      <w:r w:rsidRPr="00883A95">
        <w:rPr>
          <w:rFonts w:asciiTheme="minorHAnsi" w:hAnsiTheme="minorHAnsi" w:cs="Calibri"/>
          <w:color w:val="000000"/>
          <w:sz w:val="24"/>
          <w:szCs w:val="24"/>
        </w:rPr>
        <w:tab/>
        <w:t>příspěvková organizace</w:t>
      </w:r>
    </w:p>
    <w:p w14:paraId="1A2387B1" w14:textId="77777777" w:rsidR="008A5958" w:rsidRPr="00883A95" w:rsidRDefault="008A5958" w:rsidP="00C90E35">
      <w:pPr>
        <w:widowControl/>
        <w:autoSpaceDE/>
        <w:autoSpaceDN/>
        <w:adjustRightInd/>
        <w:spacing w:after="120"/>
        <w:ind w:left="3119" w:hanging="311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SPOPK</w:t>
      </w:r>
      <w:r>
        <w:rPr>
          <w:rFonts w:asciiTheme="minorHAnsi" w:hAnsiTheme="minorHAnsi" w:cs="Calibri"/>
          <w:color w:val="000000"/>
          <w:sz w:val="24"/>
          <w:szCs w:val="24"/>
        </w:rPr>
        <w:tab/>
      </w:r>
      <w:r w:rsidRPr="00883A95">
        <w:rPr>
          <w:rFonts w:ascii="Calibri" w:eastAsia="Calibri" w:hAnsi="Calibri" w:cs="Calibri"/>
          <w:i/>
          <w:sz w:val="24"/>
          <w:szCs w:val="24"/>
          <w:lang w:eastAsia="en-US"/>
        </w:rPr>
        <w:t>Státní program ochrany přírody a krajiny České republiky</w:t>
      </w:r>
    </w:p>
    <w:p w14:paraId="60195A48" w14:textId="77777777" w:rsidR="008A5958" w:rsidRDefault="008A5958" w:rsidP="00C90E35">
      <w:pPr>
        <w:widowControl/>
        <w:spacing w:after="120"/>
        <w:ind w:left="3119" w:hanging="3119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Správa KRNAP</w:t>
      </w:r>
      <w:r>
        <w:rPr>
          <w:rFonts w:asciiTheme="minorHAnsi" w:hAnsiTheme="minorHAnsi" w:cs="Calibri"/>
          <w:color w:val="000000"/>
          <w:sz w:val="24"/>
          <w:szCs w:val="24"/>
        </w:rPr>
        <w:tab/>
        <w:t>Správa Krkonošského národního parku</w:t>
      </w:r>
    </w:p>
    <w:p w14:paraId="47A952D9" w14:textId="77777777" w:rsidR="008A5958" w:rsidRDefault="008A5958" w:rsidP="00C90E35">
      <w:pPr>
        <w:widowControl/>
        <w:autoSpaceDE/>
        <w:autoSpaceDN/>
        <w:adjustRightInd/>
        <w:spacing w:after="120"/>
        <w:ind w:left="3119" w:hanging="3119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Správa NP České Švýcarsko</w:t>
      </w:r>
      <w:r>
        <w:rPr>
          <w:rFonts w:asciiTheme="minorHAnsi" w:hAnsiTheme="minorHAnsi" w:cs="Calibri"/>
          <w:color w:val="000000"/>
          <w:sz w:val="24"/>
          <w:szCs w:val="24"/>
        </w:rPr>
        <w:tab/>
        <w:t>Správa Národního parku České Švýcarsko</w:t>
      </w:r>
    </w:p>
    <w:p w14:paraId="45DC2EBD" w14:textId="77777777" w:rsidR="008A5958" w:rsidRPr="00883A95" w:rsidRDefault="008A5958" w:rsidP="00C90E35">
      <w:pPr>
        <w:widowControl/>
        <w:spacing w:after="120"/>
        <w:ind w:left="3119" w:hanging="3119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Správa NP Podyjí</w:t>
      </w:r>
      <w:r>
        <w:rPr>
          <w:rFonts w:asciiTheme="minorHAnsi" w:hAnsiTheme="minorHAnsi" w:cs="Calibri"/>
          <w:color w:val="000000"/>
          <w:sz w:val="24"/>
          <w:szCs w:val="24"/>
        </w:rPr>
        <w:tab/>
        <w:t>Správa Národního parku Podyjí</w:t>
      </w:r>
    </w:p>
    <w:p w14:paraId="2AF9F5AF" w14:textId="77777777" w:rsidR="008A5958" w:rsidRDefault="008A5958" w:rsidP="00C90E35">
      <w:pPr>
        <w:widowControl/>
        <w:spacing w:after="120"/>
        <w:ind w:left="3119" w:hanging="3119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Správa NP Šumava </w:t>
      </w:r>
      <w:r>
        <w:rPr>
          <w:rFonts w:asciiTheme="minorHAnsi" w:hAnsiTheme="minorHAnsi" w:cs="Calibri"/>
          <w:color w:val="000000"/>
          <w:sz w:val="24"/>
          <w:szCs w:val="24"/>
        </w:rPr>
        <w:tab/>
        <w:t>Správa Národního parku Šumava</w:t>
      </w:r>
    </w:p>
    <w:p w14:paraId="5252F910" w14:textId="77777777" w:rsidR="008A5958" w:rsidRDefault="008A5958" w:rsidP="00C90E35">
      <w:pPr>
        <w:widowControl/>
        <w:autoSpaceDE/>
        <w:autoSpaceDN/>
        <w:adjustRightInd/>
        <w:spacing w:after="120"/>
        <w:ind w:left="3119" w:hanging="3119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správy NP</w:t>
      </w:r>
      <w:r>
        <w:rPr>
          <w:rFonts w:asciiTheme="minorHAnsi" w:hAnsiTheme="minorHAnsi" w:cs="Calibri"/>
          <w:color w:val="000000"/>
          <w:sz w:val="24"/>
          <w:szCs w:val="24"/>
        </w:rPr>
        <w:tab/>
        <w:t>správy čtyř kontrolovaných národních parků</w:t>
      </w:r>
    </w:p>
    <w:p w14:paraId="5429C762" w14:textId="77777777" w:rsidR="008A5958" w:rsidRPr="008A5958" w:rsidRDefault="008A5958" w:rsidP="00C90E35">
      <w:pPr>
        <w:widowControl/>
        <w:autoSpaceDE/>
        <w:autoSpaceDN/>
        <w:adjustRightInd/>
        <w:spacing w:after="120"/>
        <w:ind w:left="3119" w:hanging="3119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Strategie</w:t>
      </w:r>
      <w:r>
        <w:rPr>
          <w:rFonts w:asciiTheme="minorHAnsi" w:hAnsiTheme="minorHAnsi" w:cs="Calibri"/>
          <w:color w:val="000000"/>
          <w:sz w:val="24"/>
          <w:szCs w:val="24"/>
        </w:rPr>
        <w:tab/>
      </w:r>
      <w:r w:rsidRPr="00883A95">
        <w:rPr>
          <w:rFonts w:ascii="Calibri" w:eastAsia="Calibri" w:hAnsi="Calibri" w:cs="Calibri"/>
          <w:i/>
          <w:sz w:val="24"/>
          <w:szCs w:val="24"/>
          <w:lang w:eastAsia="en-US"/>
        </w:rPr>
        <w:t>Strategie ochrany biologické rozmanitosti České republiky 2016–2025</w:t>
      </w:r>
    </w:p>
    <w:p w14:paraId="69EB0EBB" w14:textId="6257573D" w:rsidR="00EA4BFB" w:rsidRDefault="00EA4BFB" w:rsidP="00C90E35">
      <w:pPr>
        <w:widowControl/>
        <w:autoSpaceDE/>
        <w:autoSpaceDN/>
        <w:adjustRightInd/>
        <w:rPr>
          <w:rFonts w:asciiTheme="minorHAnsi" w:hAnsiTheme="minorHAnsi" w:cstheme="minorHAnsi"/>
          <w:b/>
          <w:sz w:val="24"/>
          <w:szCs w:val="24"/>
        </w:rPr>
      </w:pPr>
    </w:p>
    <w:p w14:paraId="4BBAA6C9" w14:textId="534AE88A" w:rsidR="00EA4BFB" w:rsidRDefault="00EA4BFB" w:rsidP="00C90E35">
      <w:pPr>
        <w:widowControl/>
        <w:autoSpaceDE/>
        <w:autoSpaceDN/>
        <w:adjustRightInd/>
        <w:rPr>
          <w:rFonts w:asciiTheme="minorHAnsi" w:hAnsiTheme="minorHAnsi" w:cstheme="minorHAnsi"/>
          <w:b/>
          <w:sz w:val="24"/>
          <w:szCs w:val="24"/>
        </w:rPr>
      </w:pPr>
    </w:p>
    <w:p w14:paraId="7BC7E267" w14:textId="48D77163" w:rsidR="00EA4BFB" w:rsidRDefault="00EA4BFB" w:rsidP="00C90E35">
      <w:pPr>
        <w:widowControl/>
        <w:autoSpaceDE/>
        <w:autoSpaceDN/>
        <w:adjustRightInd/>
        <w:rPr>
          <w:rFonts w:asciiTheme="minorHAnsi" w:hAnsiTheme="minorHAnsi" w:cstheme="minorHAnsi"/>
          <w:b/>
          <w:sz w:val="24"/>
          <w:szCs w:val="24"/>
        </w:rPr>
      </w:pPr>
    </w:p>
    <w:p w14:paraId="0C25BF81" w14:textId="77777777" w:rsidR="00EA4BFB" w:rsidRDefault="00EA4BFB" w:rsidP="00C90E35">
      <w:pPr>
        <w:widowControl/>
        <w:autoSpaceDE/>
        <w:autoSpaceDN/>
        <w:adjustRightInd/>
        <w:rPr>
          <w:rFonts w:asciiTheme="minorHAnsi" w:hAnsiTheme="minorHAnsi" w:cstheme="minorHAnsi"/>
          <w:b/>
          <w:sz w:val="24"/>
          <w:szCs w:val="24"/>
        </w:rPr>
      </w:pPr>
    </w:p>
    <w:p w14:paraId="5AF5E42D" w14:textId="726538FC" w:rsidR="00C51463" w:rsidRPr="00FC40E8" w:rsidRDefault="00C51463" w:rsidP="00C90E35">
      <w:pPr>
        <w:widowControl/>
        <w:autoSpaceDE/>
        <w:autoSpaceDN/>
        <w:adjustRightInd/>
        <w:spacing w:after="160"/>
        <w:rPr>
          <w:rFonts w:asciiTheme="minorHAnsi" w:hAnsiTheme="minorHAnsi" w:cstheme="minorHAnsi"/>
          <w:b/>
          <w:sz w:val="24"/>
          <w:szCs w:val="24"/>
        </w:rPr>
      </w:pPr>
      <w:r w:rsidRPr="0023327E">
        <w:rPr>
          <w:rFonts w:asciiTheme="minorHAnsi" w:hAnsiTheme="minorHAnsi" w:cstheme="minorHAnsi"/>
          <w:b/>
          <w:sz w:val="24"/>
          <w:szCs w:val="24"/>
        </w:rPr>
        <w:t xml:space="preserve">Seznam </w:t>
      </w:r>
      <w:r w:rsidRPr="00FC40E8">
        <w:rPr>
          <w:rFonts w:asciiTheme="minorHAnsi" w:hAnsiTheme="minorHAnsi" w:cstheme="minorHAnsi"/>
          <w:b/>
          <w:sz w:val="24"/>
          <w:szCs w:val="24"/>
        </w:rPr>
        <w:t>příloh</w:t>
      </w:r>
    </w:p>
    <w:p w14:paraId="263F697E" w14:textId="77777777" w:rsidR="00C51463" w:rsidRPr="00FC40E8" w:rsidRDefault="00C51463" w:rsidP="00C90E35">
      <w:pPr>
        <w:widowControl/>
        <w:autoSpaceDE/>
        <w:autoSpaceDN/>
        <w:adjustRightInd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C40E8">
        <w:rPr>
          <w:rFonts w:asciiTheme="minorHAnsi" w:hAnsiTheme="minorHAnsi" w:cstheme="minorHAnsi"/>
          <w:sz w:val="24"/>
          <w:szCs w:val="24"/>
        </w:rPr>
        <w:t>Příloha č. 1:</w:t>
      </w:r>
      <w:r w:rsidR="007D3526" w:rsidRPr="00FC40E8">
        <w:rPr>
          <w:rFonts w:asciiTheme="minorHAnsi" w:hAnsiTheme="minorHAnsi" w:cstheme="minorHAnsi"/>
          <w:sz w:val="24"/>
          <w:szCs w:val="24"/>
        </w:rPr>
        <w:t xml:space="preserve"> Specifikace jednotlivých NP</w:t>
      </w:r>
    </w:p>
    <w:p w14:paraId="69BEC3C3" w14:textId="481CEC84" w:rsidR="007D3526" w:rsidRDefault="00922C09" w:rsidP="00C90E35">
      <w:pPr>
        <w:widowControl/>
        <w:autoSpaceDE/>
        <w:autoSpaceDN/>
        <w:adjustRightInd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FC40E8">
        <w:rPr>
          <w:rFonts w:asciiTheme="minorHAnsi" w:hAnsiTheme="minorHAnsi" w:cstheme="minorHAnsi"/>
          <w:sz w:val="24"/>
          <w:szCs w:val="24"/>
        </w:rPr>
        <w:t>Příloha č. 2</w:t>
      </w:r>
      <w:r w:rsidR="00C51463" w:rsidRPr="00FC40E8">
        <w:rPr>
          <w:rFonts w:asciiTheme="minorHAnsi" w:hAnsiTheme="minorHAnsi" w:cstheme="minorHAnsi"/>
          <w:sz w:val="24"/>
          <w:szCs w:val="24"/>
        </w:rPr>
        <w:t>:</w:t>
      </w:r>
      <w:r w:rsidR="007D3526" w:rsidRPr="00FC40E8">
        <w:rPr>
          <w:rFonts w:asciiTheme="minorHAnsi" w:hAnsiTheme="minorHAnsi" w:cstheme="minorHAnsi"/>
          <w:sz w:val="24"/>
          <w:szCs w:val="24"/>
        </w:rPr>
        <w:t xml:space="preserve"> </w:t>
      </w:r>
      <w:r w:rsidR="004A0706" w:rsidRPr="00FC40E8">
        <w:rPr>
          <w:rFonts w:asciiTheme="minorHAnsi" w:hAnsiTheme="minorHAnsi" w:cstheme="minorHAnsi"/>
          <w:sz w:val="24"/>
          <w:szCs w:val="24"/>
        </w:rPr>
        <w:t>Přeshraniční NP</w:t>
      </w:r>
    </w:p>
    <w:p w14:paraId="56690A7F" w14:textId="15FB6F20" w:rsidR="00922C09" w:rsidRDefault="00922C09" w:rsidP="00C90E35">
      <w:pPr>
        <w:widowControl/>
        <w:autoSpaceDE/>
        <w:autoSpaceDN/>
        <w:adjustRightInd/>
        <w:spacing w:after="160"/>
        <w:jc w:val="both"/>
        <w:rPr>
          <w:rFonts w:asciiTheme="minorHAnsi" w:hAnsiTheme="minorHAnsi" w:cstheme="minorHAnsi"/>
          <w:sz w:val="24"/>
          <w:szCs w:val="24"/>
        </w:rPr>
      </w:pPr>
      <w:r w:rsidRPr="002674B3">
        <w:rPr>
          <w:rFonts w:asciiTheme="minorHAnsi" w:hAnsiTheme="minorHAnsi" w:cstheme="minorHAnsi"/>
          <w:sz w:val="24"/>
          <w:szCs w:val="24"/>
        </w:rPr>
        <w:t>Příloha č. 3</w:t>
      </w:r>
      <w:r w:rsidR="007D3526" w:rsidRPr="002674B3">
        <w:rPr>
          <w:rFonts w:asciiTheme="minorHAnsi" w:hAnsiTheme="minorHAnsi" w:cstheme="minorHAnsi"/>
          <w:sz w:val="24"/>
          <w:szCs w:val="24"/>
        </w:rPr>
        <w:t xml:space="preserve">: </w:t>
      </w:r>
      <w:r w:rsidR="005E4994">
        <w:rPr>
          <w:rFonts w:asciiTheme="minorHAnsi" w:hAnsiTheme="minorHAnsi" w:cstheme="minorHAnsi"/>
          <w:sz w:val="24"/>
          <w:szCs w:val="24"/>
        </w:rPr>
        <w:t>Finanční vztahy stanovené zřizovatelem</w:t>
      </w:r>
    </w:p>
    <w:p w14:paraId="3618A9E9" w14:textId="574B7660" w:rsidR="005E4994" w:rsidRDefault="005E4994" w:rsidP="00C90E35">
      <w:pPr>
        <w:widowControl/>
        <w:autoSpaceDE/>
        <w:autoSpaceDN/>
        <w:adjustRightInd/>
        <w:spacing w:after="16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Příloha č. 4: </w:t>
      </w:r>
      <w:r w:rsidRPr="002674B3">
        <w:rPr>
          <w:rFonts w:asciiTheme="minorHAnsi" w:hAnsiTheme="minorHAnsi" w:cstheme="minorHAnsi"/>
          <w:sz w:val="24"/>
          <w:szCs w:val="24"/>
        </w:rPr>
        <w:t>Rozbor nákladů na těžební činnost a výnosů z prodeje dřeva jednotlivých správ NP</w:t>
      </w:r>
    </w:p>
    <w:p w14:paraId="16C4913E" w14:textId="77777777" w:rsidR="007D3526" w:rsidRDefault="007D3526" w:rsidP="00C90E35">
      <w:pPr>
        <w:widowControl/>
        <w:autoSpaceDE/>
        <w:autoSpaceDN/>
        <w:adjustRightInd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0E04A89B" w14:textId="77777777" w:rsidR="009C4C0A" w:rsidRPr="00DD61CF" w:rsidRDefault="009C4C0A" w:rsidP="00C90E35">
      <w:pPr>
        <w:widowControl/>
        <w:autoSpaceDE/>
        <w:autoSpaceDN/>
        <w:adjustRightInd/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D61CF"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15F09360" w14:textId="77777777" w:rsidR="008E6BB8" w:rsidRDefault="008E6BB8" w:rsidP="00C90E35">
      <w:pPr>
        <w:widowControl/>
        <w:spacing w:after="16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Příloha č. 1</w:t>
      </w:r>
    </w:p>
    <w:p w14:paraId="49528C1D" w14:textId="77777777" w:rsidR="006530BB" w:rsidRDefault="006530BB" w:rsidP="00C90E35">
      <w:pPr>
        <w:widowControl/>
        <w:spacing w:after="16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Specifikace jednotlivých NP</w:t>
      </w:r>
    </w:p>
    <w:p w14:paraId="7ED5FDE3" w14:textId="77777777" w:rsidR="003C3C52" w:rsidRDefault="003C3C52" w:rsidP="00C90E35">
      <w:pPr>
        <w:widowControl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noProof/>
        </w:rPr>
        <w:drawing>
          <wp:inline distT="0" distB="0" distL="0" distR="0" wp14:anchorId="17381691" wp14:editId="3B505FD0">
            <wp:extent cx="5760720" cy="7848600"/>
            <wp:effectExtent l="38100" t="0" r="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7279E6FF" w14:textId="27F422CA" w:rsidR="00D449DE" w:rsidRDefault="00D449DE" w:rsidP="00C90E35">
      <w:pPr>
        <w:widowControl/>
        <w:autoSpaceDE/>
        <w:autoSpaceDN/>
        <w:adjustRightInd/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418FD886" w14:textId="1B03D383" w:rsidR="00D449DE" w:rsidRDefault="00D449DE" w:rsidP="00C90E35">
      <w:pPr>
        <w:widowControl/>
        <w:spacing w:after="16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Příloha č. 2</w:t>
      </w:r>
    </w:p>
    <w:p w14:paraId="46725C07" w14:textId="2DBFA69C" w:rsidR="00D449DE" w:rsidRDefault="004A0706" w:rsidP="00C90E35">
      <w:pPr>
        <w:widowControl/>
        <w:spacing w:after="1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A0706">
        <w:rPr>
          <w:rFonts w:asciiTheme="minorHAnsi" w:hAnsiTheme="minorHAnsi" w:cstheme="minorHAnsi"/>
          <w:b/>
          <w:sz w:val="24"/>
          <w:szCs w:val="24"/>
        </w:rPr>
        <w:t>Přeshraniční NP</w:t>
      </w:r>
    </w:p>
    <w:p w14:paraId="318FF14F" w14:textId="6086DBFA" w:rsidR="00D449DE" w:rsidRDefault="00D449DE" w:rsidP="00C90E35">
      <w:pPr>
        <w:widowControl/>
        <w:autoSpaceDE/>
        <w:autoSpaceDN/>
        <w:adjustRightInd/>
        <w:spacing w:after="12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Na území </w:t>
      </w:r>
      <w:r w:rsidR="0002773E">
        <w:rPr>
          <w:rFonts w:ascii="Calibri" w:eastAsia="Calibri" w:hAnsi="Calibri" w:cs="Times New Roman"/>
          <w:sz w:val="24"/>
          <w:szCs w:val="24"/>
          <w:lang w:eastAsia="en-US"/>
        </w:rPr>
        <w:t>českých národních parků</w:t>
      </w:r>
      <w:r w:rsidRPr="003D29A4">
        <w:rPr>
          <w:rFonts w:ascii="Calibri" w:eastAsia="Calibri" w:hAnsi="Calibri" w:cs="Times New Roman"/>
          <w:sz w:val="24"/>
          <w:szCs w:val="24"/>
          <w:lang w:eastAsia="en-US"/>
        </w:rPr>
        <w:t xml:space="preserve"> navazují přeshraniční </w:t>
      </w:r>
      <w:r w:rsidR="0002773E">
        <w:rPr>
          <w:rFonts w:ascii="Calibri" w:eastAsia="Calibri" w:hAnsi="Calibri" w:cs="Times New Roman"/>
          <w:sz w:val="24"/>
          <w:szCs w:val="24"/>
          <w:lang w:eastAsia="en-US"/>
        </w:rPr>
        <w:t>národní parky</w:t>
      </w:r>
      <w:r w:rsidRPr="003D29A4">
        <w:rPr>
          <w:rFonts w:ascii="Calibri" w:eastAsia="Calibri" w:hAnsi="Calibri" w:cs="Times New Roman"/>
          <w:sz w:val="24"/>
          <w:szCs w:val="24"/>
          <w:lang w:eastAsia="en-US"/>
        </w:rPr>
        <w:t xml:space="preserve">, se kterými správy </w:t>
      </w:r>
      <w:r w:rsidR="0002773E">
        <w:rPr>
          <w:rFonts w:ascii="Calibri" w:eastAsia="Calibri" w:hAnsi="Calibri" w:cs="Times New Roman"/>
          <w:sz w:val="24"/>
          <w:szCs w:val="24"/>
          <w:lang w:eastAsia="en-US"/>
        </w:rPr>
        <w:t xml:space="preserve">českých </w:t>
      </w:r>
      <w:r w:rsidRPr="003D29A4">
        <w:rPr>
          <w:rFonts w:ascii="Calibri" w:eastAsia="Calibri" w:hAnsi="Calibri" w:cs="Times New Roman"/>
          <w:sz w:val="24"/>
          <w:szCs w:val="24"/>
          <w:lang w:eastAsia="en-US"/>
        </w:rPr>
        <w:t xml:space="preserve">NP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odborně</w:t>
      </w:r>
      <w:r w:rsidRPr="003D29A4">
        <w:rPr>
          <w:rFonts w:ascii="Calibri" w:eastAsia="Calibri" w:hAnsi="Calibri" w:cs="Times New Roman"/>
          <w:sz w:val="24"/>
          <w:szCs w:val="24"/>
          <w:lang w:eastAsia="en-US"/>
        </w:rPr>
        <w:t xml:space="preserve"> spolupracují</w:t>
      </w:r>
      <w:r>
        <w:rPr>
          <w:rFonts w:ascii="Calibri" w:eastAsia="Calibri" w:hAnsi="Calibri" w:cs="Times New Roman"/>
          <w:sz w:val="24"/>
          <w:szCs w:val="24"/>
          <w:lang w:eastAsia="en-US"/>
        </w:rPr>
        <w:t xml:space="preserve"> a</w:t>
      </w:r>
      <w:r w:rsidR="007D6BB8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podíl</w:t>
      </w:r>
      <w:r w:rsidR="0002773E">
        <w:rPr>
          <w:rFonts w:ascii="Calibri" w:eastAsia="Calibri" w:hAnsi="Calibri" w:cs="Times New Roman"/>
          <w:sz w:val="24"/>
          <w:szCs w:val="24"/>
          <w:lang w:eastAsia="en-US"/>
        </w:rPr>
        <w:t>ej</w:t>
      </w:r>
      <w:r>
        <w:rPr>
          <w:rFonts w:ascii="Calibri" w:eastAsia="Calibri" w:hAnsi="Calibri" w:cs="Times New Roman"/>
          <w:sz w:val="24"/>
          <w:szCs w:val="24"/>
          <w:lang w:eastAsia="en-US"/>
        </w:rPr>
        <w:t>í se</w:t>
      </w:r>
      <w:r w:rsidR="007D6BB8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na</w:t>
      </w:r>
      <w:r w:rsidR="007D6BB8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realizaci společných projekt</w:t>
      </w:r>
      <w:r w:rsidRPr="00A11C75">
        <w:rPr>
          <w:rFonts w:ascii="Calibri" w:eastAsia="Calibri" w:hAnsi="Calibri" w:cs="Times New Roman"/>
          <w:sz w:val="24"/>
          <w:szCs w:val="24"/>
          <w:lang w:eastAsia="en-US"/>
        </w:rPr>
        <w:t xml:space="preserve">ů. </w:t>
      </w:r>
      <w:r w:rsidRPr="003D29A4">
        <w:rPr>
          <w:rFonts w:ascii="Calibri" w:eastAsia="Calibri" w:hAnsi="Calibri" w:cs="Times New Roman"/>
          <w:sz w:val="24"/>
          <w:szCs w:val="24"/>
          <w:lang w:eastAsia="en-US"/>
        </w:rPr>
        <w:t xml:space="preserve">Na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NP</w:t>
      </w:r>
      <w:r w:rsidRPr="003D29A4">
        <w:rPr>
          <w:rFonts w:ascii="Calibri" w:eastAsia="Calibri" w:hAnsi="Calibri" w:cs="Times New Roman"/>
          <w:sz w:val="24"/>
          <w:szCs w:val="24"/>
          <w:lang w:eastAsia="en-US"/>
        </w:rPr>
        <w:t xml:space="preserve"> České Švýcarsko navazuje na německé straně </w:t>
      </w:r>
      <w:r w:rsidRPr="00883A95">
        <w:rPr>
          <w:rFonts w:ascii="Calibri" w:eastAsia="Calibri" w:hAnsi="Calibri" w:cs="Times New Roman"/>
          <w:sz w:val="24"/>
          <w:szCs w:val="24"/>
          <w:lang w:eastAsia="en-US"/>
        </w:rPr>
        <w:t>Nationalpark Sächsische Schweiz</w:t>
      </w:r>
      <w:r>
        <w:rPr>
          <w:rFonts w:ascii="Calibri" w:eastAsia="Calibri" w:hAnsi="Calibri" w:cs="Times New Roman"/>
          <w:sz w:val="24"/>
          <w:szCs w:val="24"/>
          <w:lang w:eastAsia="en-US"/>
        </w:rPr>
        <w:t>, na</w:t>
      </w:r>
      <w:r w:rsidR="00FC5016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KRNAP</w:t>
      </w:r>
      <w:r w:rsidRPr="003D29A4">
        <w:rPr>
          <w:rFonts w:ascii="Calibri" w:eastAsia="Calibri" w:hAnsi="Calibri" w:cs="Times New Roman"/>
          <w:sz w:val="24"/>
          <w:szCs w:val="24"/>
          <w:lang w:eastAsia="en-US"/>
        </w:rPr>
        <w:t xml:space="preserve"> na polské straně hranice navazuje </w:t>
      </w:r>
      <w:r w:rsidRPr="00883A95">
        <w:rPr>
          <w:rFonts w:ascii="Calibri" w:eastAsia="Calibri" w:hAnsi="Calibri" w:cs="Times New Roman"/>
          <w:sz w:val="24"/>
          <w:szCs w:val="24"/>
          <w:lang w:eastAsia="en-US"/>
        </w:rPr>
        <w:t>Karkonoski Park Narodowy</w:t>
      </w:r>
      <w:r w:rsidRPr="003D29A4">
        <w:rPr>
          <w:rFonts w:ascii="Calibri" w:eastAsia="Calibri" w:hAnsi="Calibri" w:cs="Times New Roman"/>
          <w:sz w:val="24"/>
          <w:szCs w:val="24"/>
          <w:lang w:eastAsia="en-US"/>
        </w:rPr>
        <w:t xml:space="preserve">, na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NP Podyjí na</w:t>
      </w:r>
      <w:r w:rsidR="00FC5016">
        <w:rPr>
          <w:rFonts w:ascii="Calibri" w:eastAsia="Calibri" w:hAnsi="Calibri" w:cs="Times New Roman"/>
          <w:sz w:val="24"/>
          <w:szCs w:val="24"/>
          <w:lang w:eastAsia="en-US"/>
        </w:rPr>
        <w:t xml:space="preserve"> </w:t>
      </w:r>
      <w:r w:rsidRPr="003D29A4">
        <w:rPr>
          <w:rFonts w:ascii="Calibri" w:eastAsia="Calibri" w:hAnsi="Calibri" w:cs="Times New Roman"/>
          <w:sz w:val="24"/>
          <w:szCs w:val="24"/>
          <w:lang w:eastAsia="en-US"/>
        </w:rPr>
        <w:t xml:space="preserve">rakouské straně </w:t>
      </w:r>
      <w:r w:rsidRPr="00883A95">
        <w:rPr>
          <w:rFonts w:ascii="Calibri" w:eastAsia="Calibri" w:hAnsi="Calibri" w:cs="Times New Roman"/>
          <w:sz w:val="24"/>
          <w:szCs w:val="24"/>
          <w:lang w:eastAsia="en-US"/>
        </w:rPr>
        <w:t>Nationalpark Thayatal</w:t>
      </w:r>
      <w:r w:rsidRPr="003D29A4">
        <w:rPr>
          <w:rFonts w:ascii="Calibri" w:eastAsia="Calibri" w:hAnsi="Calibri" w:cs="Times New Roman"/>
          <w:sz w:val="24"/>
          <w:szCs w:val="24"/>
          <w:lang w:eastAsia="en-US"/>
        </w:rPr>
        <w:t xml:space="preserve"> a na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NP</w:t>
      </w:r>
      <w:r w:rsidRPr="003D29A4">
        <w:rPr>
          <w:rFonts w:ascii="Calibri" w:eastAsia="Calibri" w:hAnsi="Calibri" w:cs="Times New Roman"/>
          <w:sz w:val="24"/>
          <w:szCs w:val="24"/>
          <w:lang w:eastAsia="en-US"/>
        </w:rPr>
        <w:t xml:space="preserve"> Šumava na německé straně </w:t>
      </w:r>
      <w:r w:rsidRPr="00883A95">
        <w:rPr>
          <w:rFonts w:ascii="Calibri" w:eastAsia="Calibri" w:hAnsi="Calibri" w:cs="Times New Roman"/>
          <w:sz w:val="24"/>
          <w:szCs w:val="24"/>
          <w:lang w:eastAsia="en-US"/>
        </w:rPr>
        <w:t>Nationalpark Bayerischer Wald</w:t>
      </w:r>
      <w:r w:rsidRPr="003D29A4">
        <w:rPr>
          <w:rFonts w:ascii="Calibri" w:eastAsia="Calibri" w:hAnsi="Calibri" w:cs="Times New Roman"/>
          <w:sz w:val="24"/>
          <w:szCs w:val="24"/>
          <w:lang w:eastAsia="en-US"/>
        </w:rPr>
        <w:t>.</w:t>
      </w:r>
    </w:p>
    <w:p w14:paraId="7A291F6A" w14:textId="1EF7B921" w:rsidR="00D449DE" w:rsidRPr="00DF452D" w:rsidRDefault="00D449DE" w:rsidP="00C90E35">
      <w:pPr>
        <w:widowControl/>
        <w:autoSpaceDE/>
        <w:autoSpaceDN/>
        <w:adjustRightInd/>
        <w:spacing w:before="240"/>
        <w:jc w:val="both"/>
        <w:rPr>
          <w:rFonts w:ascii="Calibri" w:eastAsia="Calibri" w:hAnsi="Calibri" w:cs="Times New Roman"/>
          <w:b/>
          <w:sz w:val="24"/>
          <w:szCs w:val="24"/>
          <w:lang w:eastAsia="en-US"/>
        </w:rPr>
      </w:pPr>
      <w:r w:rsidRPr="00DF452D">
        <w:rPr>
          <w:rFonts w:ascii="Calibri" w:eastAsia="Calibri" w:hAnsi="Calibri" w:cs="Times New Roman"/>
          <w:b/>
          <w:sz w:val="24"/>
          <w:szCs w:val="24"/>
          <w:lang w:eastAsia="en-US"/>
        </w:rPr>
        <w:t>Obrázek č. 1: Území NP v ČR a navazující</w:t>
      </w:r>
      <w:r w:rsidR="0002773E">
        <w:rPr>
          <w:rFonts w:ascii="Calibri" w:eastAsia="Calibri" w:hAnsi="Calibri" w:cs="Times New Roman"/>
          <w:b/>
          <w:sz w:val="24"/>
          <w:szCs w:val="24"/>
          <w:lang w:eastAsia="en-US"/>
        </w:rPr>
        <w:t>ch</w:t>
      </w:r>
      <w:r w:rsidRPr="00DF452D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přeshraniční</w:t>
      </w:r>
      <w:r w:rsidR="0002773E">
        <w:rPr>
          <w:rFonts w:ascii="Calibri" w:eastAsia="Calibri" w:hAnsi="Calibri" w:cs="Times New Roman"/>
          <w:b/>
          <w:sz w:val="24"/>
          <w:szCs w:val="24"/>
          <w:lang w:eastAsia="en-US"/>
        </w:rPr>
        <w:t>ch</w:t>
      </w:r>
      <w:r w:rsidRPr="00DF452D">
        <w:rPr>
          <w:rFonts w:ascii="Calibri" w:eastAsia="Calibri" w:hAnsi="Calibri" w:cs="Times New Roman"/>
          <w:b/>
          <w:sz w:val="24"/>
          <w:szCs w:val="24"/>
          <w:lang w:eastAsia="en-US"/>
        </w:rPr>
        <w:t xml:space="preserve"> NP</w:t>
      </w:r>
    </w:p>
    <w:p w14:paraId="16A72B2F" w14:textId="77777777" w:rsidR="00D449DE" w:rsidRDefault="00D449DE" w:rsidP="00C90E35">
      <w:pPr>
        <w:widowControl/>
        <w:autoSpaceDE/>
        <w:autoSpaceDN/>
        <w:adjustRightInd/>
        <w:spacing w:after="120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noProof/>
          <w:sz w:val="24"/>
          <w:szCs w:val="24"/>
        </w:rPr>
        <w:drawing>
          <wp:inline distT="0" distB="0" distL="0" distR="0" wp14:anchorId="6AAC06F4" wp14:editId="6493BC38">
            <wp:extent cx="5784335" cy="3819525"/>
            <wp:effectExtent l="0" t="0" r="6985" b="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8_23_parky (2) (1).png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2" t="3853" r="4894" b="4666"/>
                    <a:stretch/>
                  </pic:blipFill>
                  <pic:spPr bwMode="auto">
                    <a:xfrm>
                      <a:off x="0" y="0"/>
                      <a:ext cx="5895987" cy="38932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305F5A" w14:textId="77777777" w:rsidR="00D449DE" w:rsidRDefault="00D449DE" w:rsidP="00C90E35">
      <w:pPr>
        <w:widowControl/>
        <w:autoSpaceDE/>
        <w:autoSpaceDN/>
        <w:adjustRightInd/>
        <w:rPr>
          <w:rFonts w:ascii="Calibri" w:eastAsia="Calibri" w:hAnsi="Calibri" w:cs="Times New Roman"/>
          <w:lang w:eastAsia="en-US"/>
        </w:rPr>
      </w:pPr>
      <w:r w:rsidRPr="006216D8">
        <w:rPr>
          <w:rFonts w:ascii="Calibri" w:eastAsia="Calibri" w:hAnsi="Calibri" w:cs="Times New Roman"/>
          <w:b/>
          <w:lang w:eastAsia="en-US"/>
        </w:rPr>
        <w:t>Zdroj:</w:t>
      </w:r>
      <w:r w:rsidRPr="006216D8">
        <w:rPr>
          <w:rFonts w:ascii="Calibri" w:eastAsia="Calibri" w:hAnsi="Calibri" w:cs="Times New Roman"/>
          <w:lang w:eastAsia="en-US"/>
        </w:rPr>
        <w:t xml:space="preserve"> webové stránky jednotlivých správ NP, vlastní zpracování NKÚ.</w:t>
      </w:r>
    </w:p>
    <w:p w14:paraId="28C6B8CB" w14:textId="30B1F2C4" w:rsidR="00D449DE" w:rsidRPr="00095D47" w:rsidRDefault="00D449DE" w:rsidP="00C90E35">
      <w:pPr>
        <w:widowControl/>
        <w:autoSpaceDE/>
        <w:autoSpaceDN/>
        <w:adjustRightInd/>
        <w:spacing w:after="120"/>
        <w:rPr>
          <w:rFonts w:ascii="Calibri" w:eastAsia="Calibri" w:hAnsi="Calibri" w:cs="Times New Roman"/>
          <w:lang w:eastAsia="en-US"/>
        </w:rPr>
      </w:pPr>
      <w:r w:rsidRPr="008F1025">
        <w:rPr>
          <w:rFonts w:ascii="Calibri" w:eastAsia="Calibri" w:hAnsi="Calibri" w:cs="Times New Roman"/>
          <w:b/>
          <w:lang w:eastAsia="en-US"/>
        </w:rPr>
        <w:t xml:space="preserve">Pozn.: </w:t>
      </w:r>
      <w:r>
        <w:rPr>
          <w:rFonts w:ascii="Calibri" w:eastAsia="Calibri" w:hAnsi="Calibri" w:cs="Times New Roman"/>
          <w:lang w:eastAsia="en-US"/>
        </w:rPr>
        <w:t>U KRNAP a NP Podyjí je území vyznačeno bez ochranného pásma.</w:t>
      </w:r>
    </w:p>
    <w:p w14:paraId="01DDE3DC" w14:textId="77777777" w:rsidR="00D449DE" w:rsidRPr="00083A42" w:rsidRDefault="00D449DE" w:rsidP="00C90E35">
      <w:pPr>
        <w:widowControl/>
        <w:autoSpaceDE/>
        <w:autoSpaceDN/>
        <w:adjustRightInd/>
        <w:spacing w:before="120" w:after="120"/>
        <w:jc w:val="both"/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sz w:val="24"/>
          <w:szCs w:val="24"/>
          <w:lang w:eastAsia="en-US"/>
        </w:rPr>
        <w:t>NP</w:t>
      </w:r>
      <w:r w:rsidRPr="00083A42">
        <w:rPr>
          <w:rFonts w:ascii="Calibri" w:eastAsia="Calibri" w:hAnsi="Calibri" w:cs="Times New Roman"/>
          <w:sz w:val="24"/>
          <w:szCs w:val="24"/>
          <w:lang w:eastAsia="en-US"/>
        </w:rPr>
        <w:t xml:space="preserve"> zabírají 1,5 % rozlohy území ČR. Následující tabulka srovnává soustavu </w:t>
      </w:r>
      <w:r>
        <w:rPr>
          <w:rFonts w:ascii="Calibri" w:eastAsia="Calibri" w:hAnsi="Calibri" w:cs="Times New Roman"/>
          <w:sz w:val="24"/>
          <w:szCs w:val="24"/>
          <w:lang w:eastAsia="en-US"/>
        </w:rPr>
        <w:t>NP</w:t>
      </w:r>
      <w:r w:rsidRPr="00083A42">
        <w:rPr>
          <w:rFonts w:ascii="Calibri" w:eastAsia="Calibri" w:hAnsi="Calibri" w:cs="Times New Roman"/>
          <w:sz w:val="24"/>
          <w:szCs w:val="24"/>
          <w:lang w:eastAsia="en-US"/>
        </w:rPr>
        <w:t xml:space="preserve"> v sousedních zemích.</w:t>
      </w:r>
    </w:p>
    <w:p w14:paraId="387B1EA7" w14:textId="7293D6D5" w:rsidR="00D449DE" w:rsidRPr="00F9484E" w:rsidRDefault="00D449DE" w:rsidP="00C90E35">
      <w:pPr>
        <w:widowControl/>
        <w:autoSpaceDE/>
        <w:autoSpaceDN/>
        <w:adjustRightInd/>
        <w:spacing w:before="120"/>
        <w:jc w:val="both"/>
        <w:rPr>
          <w:rFonts w:ascii="Calibri" w:eastAsia="Calibri" w:hAnsi="Calibri" w:cs="Times New Roman"/>
          <w:b/>
          <w:sz w:val="22"/>
          <w:szCs w:val="22"/>
          <w:lang w:eastAsia="en-US"/>
        </w:rPr>
      </w:pPr>
      <w:r w:rsidRPr="00F9484E">
        <w:rPr>
          <w:rFonts w:ascii="Calibri" w:eastAsia="Calibri" w:hAnsi="Calibri" w:cs="Calibri"/>
          <w:b/>
          <w:iCs/>
          <w:sz w:val="24"/>
          <w:szCs w:val="24"/>
          <w:lang w:eastAsia="en-US"/>
        </w:rPr>
        <w:t>Ta</w:t>
      </w:r>
      <w:r>
        <w:rPr>
          <w:rFonts w:ascii="Calibri" w:eastAsia="Calibri" w:hAnsi="Calibri" w:cs="Calibri"/>
          <w:b/>
          <w:iCs/>
          <w:sz w:val="24"/>
          <w:szCs w:val="24"/>
          <w:lang w:eastAsia="en-US"/>
        </w:rPr>
        <w:t xml:space="preserve">bulka </w:t>
      </w:r>
      <w:r w:rsidRPr="004555D7">
        <w:rPr>
          <w:rFonts w:ascii="Calibri" w:eastAsia="Calibri" w:hAnsi="Calibri" w:cs="Calibri"/>
          <w:b/>
          <w:iCs/>
          <w:sz w:val="24"/>
          <w:szCs w:val="24"/>
          <w:lang w:eastAsia="en-US"/>
        </w:rPr>
        <w:t>č</w:t>
      </w:r>
      <w:r w:rsidR="004555D7" w:rsidRPr="004555D7">
        <w:rPr>
          <w:rFonts w:ascii="Calibri" w:eastAsia="Calibri" w:hAnsi="Calibri" w:cs="Calibri"/>
          <w:b/>
          <w:iCs/>
          <w:sz w:val="24"/>
          <w:szCs w:val="24"/>
          <w:lang w:eastAsia="en-US"/>
        </w:rPr>
        <w:t>. 8</w:t>
      </w:r>
      <w:r w:rsidRPr="004555D7">
        <w:rPr>
          <w:rFonts w:ascii="Calibri" w:eastAsia="Calibri" w:hAnsi="Calibri" w:cs="Calibri"/>
          <w:b/>
          <w:iCs/>
          <w:sz w:val="24"/>
          <w:szCs w:val="24"/>
          <w:lang w:eastAsia="en-US"/>
        </w:rPr>
        <w:t>: Soustava</w:t>
      </w:r>
      <w:r w:rsidRPr="00F9484E">
        <w:rPr>
          <w:rFonts w:ascii="Calibri" w:eastAsia="Calibri" w:hAnsi="Calibri" w:cs="Calibri"/>
          <w:b/>
          <w:iCs/>
          <w:sz w:val="24"/>
          <w:szCs w:val="24"/>
          <w:lang w:eastAsia="en-US"/>
        </w:rPr>
        <w:t xml:space="preserve"> NP v ČR a sousedních zemích</w:t>
      </w:r>
    </w:p>
    <w:tbl>
      <w:tblPr>
        <w:tblStyle w:val="Mkatabulky1"/>
        <w:tblW w:w="5000" w:type="pct"/>
        <w:tblLook w:val="04A0" w:firstRow="1" w:lastRow="0" w:firstColumn="1" w:lastColumn="0" w:noHBand="0" w:noVBand="1"/>
      </w:tblPr>
      <w:tblGrid>
        <w:gridCol w:w="1696"/>
        <w:gridCol w:w="1347"/>
        <w:gridCol w:w="1595"/>
        <w:gridCol w:w="2184"/>
        <w:gridCol w:w="2240"/>
      </w:tblGrid>
      <w:tr w:rsidR="00D449DE" w:rsidRPr="00CA1727" w14:paraId="4B9F02C4" w14:textId="77777777" w:rsidTr="00883A95">
        <w:trPr>
          <w:trHeight w:val="532"/>
        </w:trPr>
        <w:tc>
          <w:tcPr>
            <w:tcW w:w="936" w:type="pct"/>
            <w:shd w:val="clear" w:color="auto" w:fill="E5F1FF"/>
            <w:vAlign w:val="center"/>
          </w:tcPr>
          <w:p w14:paraId="6653BB31" w14:textId="77777777" w:rsidR="00D449DE" w:rsidRPr="00CA1727" w:rsidRDefault="00D449DE" w:rsidP="00C90E3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b/>
                <w:lang w:eastAsia="en-US"/>
              </w:rPr>
            </w:pPr>
          </w:p>
        </w:tc>
        <w:tc>
          <w:tcPr>
            <w:tcW w:w="743" w:type="pct"/>
            <w:shd w:val="clear" w:color="auto" w:fill="E5F1FF"/>
            <w:vAlign w:val="center"/>
          </w:tcPr>
          <w:p w14:paraId="3541456E" w14:textId="35BB2717" w:rsidR="00D449DE" w:rsidRPr="00CA1727" w:rsidRDefault="00D449DE" w:rsidP="00C90E3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b/>
                <w:lang w:eastAsia="en-US"/>
              </w:rPr>
            </w:pPr>
            <w:r w:rsidRPr="00CA1727">
              <w:rPr>
                <w:rFonts w:ascii="Calibri" w:eastAsia="Calibri" w:hAnsi="Calibri" w:cs="Times New Roman"/>
                <w:b/>
                <w:lang w:eastAsia="en-US"/>
              </w:rPr>
              <w:t xml:space="preserve">Počet NP </w:t>
            </w:r>
          </w:p>
        </w:tc>
        <w:tc>
          <w:tcPr>
            <w:tcW w:w="880" w:type="pct"/>
            <w:shd w:val="clear" w:color="auto" w:fill="E5F1FF"/>
            <w:vAlign w:val="center"/>
          </w:tcPr>
          <w:p w14:paraId="241165C1" w14:textId="77777777" w:rsidR="00D449DE" w:rsidRPr="00CA1727" w:rsidRDefault="00D449DE" w:rsidP="00C90E3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b/>
                <w:lang w:eastAsia="en-US"/>
              </w:rPr>
            </w:pPr>
            <w:r w:rsidRPr="00CA1727">
              <w:rPr>
                <w:rFonts w:ascii="Calibri" w:eastAsia="Calibri" w:hAnsi="Calibri" w:cs="Times New Roman"/>
                <w:b/>
                <w:lang w:eastAsia="en-US"/>
              </w:rPr>
              <w:t>Vznik posledního NP</w:t>
            </w:r>
          </w:p>
        </w:tc>
        <w:tc>
          <w:tcPr>
            <w:tcW w:w="1205" w:type="pct"/>
            <w:shd w:val="clear" w:color="auto" w:fill="E5F1FF"/>
            <w:vAlign w:val="center"/>
          </w:tcPr>
          <w:p w14:paraId="4A7959F4" w14:textId="77777777" w:rsidR="00D449DE" w:rsidRPr="00CA1727" w:rsidRDefault="00D449DE" w:rsidP="00C90E3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b/>
                <w:lang w:eastAsia="en-US"/>
              </w:rPr>
            </w:pPr>
            <w:r w:rsidRPr="00CA1727">
              <w:rPr>
                <w:rFonts w:ascii="Calibri" w:eastAsia="Calibri" w:hAnsi="Calibri" w:cs="Times New Roman"/>
                <w:b/>
                <w:lang w:eastAsia="en-US"/>
              </w:rPr>
              <w:t>Celková rozloha všech NP v tis. ha</w:t>
            </w:r>
          </w:p>
        </w:tc>
        <w:tc>
          <w:tcPr>
            <w:tcW w:w="1236" w:type="pct"/>
            <w:shd w:val="clear" w:color="auto" w:fill="E5F1FF"/>
            <w:vAlign w:val="center"/>
          </w:tcPr>
          <w:p w14:paraId="2C7CD25D" w14:textId="67D767AF" w:rsidR="00D449DE" w:rsidRPr="00CA1727" w:rsidRDefault="00D449DE" w:rsidP="00C90E3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b/>
                <w:lang w:eastAsia="en-US"/>
              </w:rPr>
            </w:pPr>
            <w:r w:rsidRPr="00CA1727">
              <w:rPr>
                <w:rFonts w:ascii="Calibri" w:eastAsia="Calibri" w:hAnsi="Calibri" w:cs="Times New Roman"/>
                <w:b/>
                <w:lang w:eastAsia="en-US"/>
              </w:rPr>
              <w:t xml:space="preserve">Podíl rozlohy všech NP </w:t>
            </w:r>
            <w:r w:rsidR="0002773E">
              <w:rPr>
                <w:rFonts w:ascii="Calibri" w:eastAsia="Calibri" w:hAnsi="Calibri" w:cs="Times New Roman"/>
                <w:b/>
                <w:lang w:eastAsia="en-US"/>
              </w:rPr>
              <w:t xml:space="preserve">na celkové rozloze státu </w:t>
            </w:r>
          </w:p>
        </w:tc>
      </w:tr>
      <w:tr w:rsidR="00D449DE" w:rsidRPr="00CA1727" w14:paraId="41777A02" w14:textId="77777777" w:rsidTr="00883A95">
        <w:trPr>
          <w:trHeight w:val="302"/>
        </w:trPr>
        <w:tc>
          <w:tcPr>
            <w:tcW w:w="936" w:type="pct"/>
            <w:shd w:val="clear" w:color="auto" w:fill="E5F1FF"/>
            <w:vAlign w:val="center"/>
          </w:tcPr>
          <w:p w14:paraId="2E39EFE6" w14:textId="77777777" w:rsidR="00D449DE" w:rsidRPr="00883A95" w:rsidRDefault="00D449DE" w:rsidP="00C90E3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b/>
                <w:lang w:eastAsia="en-US"/>
              </w:rPr>
            </w:pPr>
            <w:r w:rsidRPr="00883A95">
              <w:rPr>
                <w:rFonts w:ascii="Calibri" w:eastAsia="Calibri" w:hAnsi="Calibri" w:cs="Times New Roman"/>
                <w:b/>
                <w:lang w:eastAsia="en-US"/>
              </w:rPr>
              <w:t>Česká republika</w:t>
            </w:r>
          </w:p>
        </w:tc>
        <w:tc>
          <w:tcPr>
            <w:tcW w:w="743" w:type="pct"/>
            <w:vAlign w:val="center"/>
          </w:tcPr>
          <w:p w14:paraId="7FB50419" w14:textId="77777777" w:rsidR="00D449DE" w:rsidRPr="00CA1727" w:rsidRDefault="00D449DE" w:rsidP="00883A95">
            <w:pPr>
              <w:widowControl/>
              <w:autoSpaceDE/>
              <w:autoSpaceDN/>
              <w:adjustRightInd/>
              <w:ind w:left="-254" w:right="530"/>
              <w:jc w:val="right"/>
              <w:rPr>
                <w:rFonts w:ascii="Calibri" w:eastAsia="Calibri" w:hAnsi="Calibri" w:cs="Times New Roman"/>
                <w:lang w:eastAsia="en-US"/>
              </w:rPr>
            </w:pPr>
            <w:r w:rsidRPr="00CA1727">
              <w:rPr>
                <w:rFonts w:ascii="Calibri" w:eastAsia="Calibri" w:hAnsi="Calibri" w:cs="Times New Roman"/>
                <w:lang w:eastAsia="en-US"/>
              </w:rPr>
              <w:t>4</w:t>
            </w:r>
          </w:p>
        </w:tc>
        <w:tc>
          <w:tcPr>
            <w:tcW w:w="880" w:type="pct"/>
            <w:vAlign w:val="center"/>
          </w:tcPr>
          <w:p w14:paraId="5E6B201A" w14:textId="77777777" w:rsidR="00D449DE" w:rsidRPr="00CA1727" w:rsidRDefault="00D449DE" w:rsidP="00C90E3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CA1727">
              <w:rPr>
                <w:rFonts w:ascii="Calibri" w:eastAsia="Calibri" w:hAnsi="Calibri" w:cs="Times New Roman"/>
                <w:lang w:eastAsia="en-US"/>
              </w:rPr>
              <w:t>2000</w:t>
            </w:r>
          </w:p>
        </w:tc>
        <w:tc>
          <w:tcPr>
            <w:tcW w:w="1205" w:type="pct"/>
            <w:vAlign w:val="center"/>
          </w:tcPr>
          <w:p w14:paraId="4EBB6A60" w14:textId="77777777" w:rsidR="00D449DE" w:rsidRPr="00CA1727" w:rsidRDefault="00D449DE" w:rsidP="00C90E3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Calibri"/>
                <w:color w:val="000000"/>
                <w:lang w:eastAsia="en-US"/>
              </w:rPr>
            </w:pPr>
            <w:r w:rsidRPr="00CA1727">
              <w:rPr>
                <w:rFonts w:ascii="Calibri" w:eastAsia="Times New Roman" w:hAnsi="Calibri" w:cs="Calibri"/>
              </w:rPr>
              <w:t>119</w:t>
            </w:r>
          </w:p>
        </w:tc>
        <w:tc>
          <w:tcPr>
            <w:tcW w:w="1236" w:type="pct"/>
            <w:vAlign w:val="center"/>
          </w:tcPr>
          <w:p w14:paraId="06ECB20E" w14:textId="77777777" w:rsidR="00D449DE" w:rsidRPr="00CA1727" w:rsidRDefault="00D449DE" w:rsidP="00C90E3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CA1727">
              <w:rPr>
                <w:rFonts w:ascii="Calibri" w:eastAsia="Calibri" w:hAnsi="Calibri" w:cs="Times New Roman"/>
                <w:lang w:eastAsia="en-US"/>
              </w:rPr>
              <w:t>1,5 %</w:t>
            </w:r>
          </w:p>
        </w:tc>
      </w:tr>
      <w:tr w:rsidR="00D449DE" w:rsidRPr="00CA1727" w14:paraId="175D3A7E" w14:textId="77777777" w:rsidTr="00883A95">
        <w:trPr>
          <w:trHeight w:val="302"/>
        </w:trPr>
        <w:tc>
          <w:tcPr>
            <w:tcW w:w="936" w:type="pct"/>
            <w:shd w:val="clear" w:color="auto" w:fill="E5F1FF"/>
            <w:vAlign w:val="center"/>
          </w:tcPr>
          <w:p w14:paraId="1F907E0A" w14:textId="77777777" w:rsidR="00D449DE" w:rsidRPr="00883A95" w:rsidRDefault="00D449DE" w:rsidP="00C90E3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b/>
                <w:lang w:eastAsia="en-US"/>
              </w:rPr>
            </w:pPr>
            <w:r w:rsidRPr="00883A95">
              <w:rPr>
                <w:rFonts w:ascii="Calibri" w:eastAsia="Calibri" w:hAnsi="Calibri" w:cs="Times New Roman"/>
                <w:b/>
                <w:lang w:eastAsia="en-US"/>
              </w:rPr>
              <w:t>Polsko</w:t>
            </w:r>
          </w:p>
        </w:tc>
        <w:tc>
          <w:tcPr>
            <w:tcW w:w="743" w:type="pct"/>
            <w:vAlign w:val="center"/>
          </w:tcPr>
          <w:p w14:paraId="053FFAE9" w14:textId="77777777" w:rsidR="00D449DE" w:rsidRPr="00CA1727" w:rsidRDefault="00D449DE" w:rsidP="00883A95">
            <w:pPr>
              <w:widowControl/>
              <w:autoSpaceDE/>
              <w:autoSpaceDN/>
              <w:adjustRightInd/>
              <w:ind w:left="-254" w:right="530"/>
              <w:jc w:val="right"/>
              <w:rPr>
                <w:rFonts w:ascii="Calibri" w:eastAsia="Calibri" w:hAnsi="Calibri" w:cs="Times New Roman"/>
                <w:lang w:eastAsia="en-US"/>
              </w:rPr>
            </w:pPr>
            <w:r w:rsidRPr="00CA1727">
              <w:rPr>
                <w:rFonts w:ascii="Calibri" w:eastAsia="Calibri" w:hAnsi="Calibri" w:cs="Times New Roman"/>
                <w:lang w:eastAsia="en-US"/>
              </w:rPr>
              <w:t>23</w:t>
            </w:r>
          </w:p>
        </w:tc>
        <w:tc>
          <w:tcPr>
            <w:tcW w:w="880" w:type="pct"/>
            <w:vAlign w:val="center"/>
          </w:tcPr>
          <w:p w14:paraId="028975BE" w14:textId="77777777" w:rsidR="00D449DE" w:rsidRPr="00CA1727" w:rsidRDefault="00D449DE" w:rsidP="00C90E3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CA1727">
              <w:rPr>
                <w:rFonts w:ascii="Calibri" w:eastAsia="Calibri" w:hAnsi="Calibri" w:cs="Times New Roman"/>
                <w:lang w:eastAsia="en-US"/>
              </w:rPr>
              <w:t>2001</w:t>
            </w:r>
          </w:p>
        </w:tc>
        <w:tc>
          <w:tcPr>
            <w:tcW w:w="1205" w:type="pct"/>
            <w:vAlign w:val="center"/>
          </w:tcPr>
          <w:p w14:paraId="6E76BD3B" w14:textId="77777777" w:rsidR="00D449DE" w:rsidRPr="00CA1727" w:rsidRDefault="00D449DE" w:rsidP="00C90E3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CA1727">
              <w:rPr>
                <w:rFonts w:ascii="Calibri" w:eastAsia="Calibri" w:hAnsi="Calibri" w:cs="Calibri"/>
                <w:color w:val="000000"/>
                <w:lang w:eastAsia="en-US"/>
              </w:rPr>
              <w:t>328</w:t>
            </w:r>
          </w:p>
        </w:tc>
        <w:tc>
          <w:tcPr>
            <w:tcW w:w="1236" w:type="pct"/>
            <w:vAlign w:val="center"/>
          </w:tcPr>
          <w:p w14:paraId="5C467E04" w14:textId="77777777" w:rsidR="00D449DE" w:rsidRPr="00CA1727" w:rsidRDefault="00D449DE" w:rsidP="00C90E3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CA1727">
              <w:rPr>
                <w:rFonts w:ascii="Calibri" w:eastAsia="Calibri" w:hAnsi="Calibri" w:cs="Times New Roman"/>
                <w:lang w:eastAsia="en-US"/>
              </w:rPr>
              <w:t>1</w:t>
            </w:r>
            <w:r>
              <w:rPr>
                <w:rFonts w:ascii="Calibri" w:eastAsia="Calibri" w:hAnsi="Calibri" w:cs="Times New Roman"/>
                <w:lang w:eastAsia="en-US"/>
              </w:rPr>
              <w:t>,0</w:t>
            </w:r>
            <w:r w:rsidRPr="00CA1727">
              <w:rPr>
                <w:rFonts w:ascii="Calibri" w:eastAsia="Calibri" w:hAnsi="Calibri" w:cs="Times New Roman"/>
                <w:lang w:eastAsia="en-US"/>
              </w:rPr>
              <w:t xml:space="preserve"> %</w:t>
            </w:r>
          </w:p>
        </w:tc>
      </w:tr>
      <w:tr w:rsidR="00D449DE" w:rsidRPr="00CA1727" w14:paraId="6F09E351" w14:textId="77777777" w:rsidTr="00883A95">
        <w:trPr>
          <w:trHeight w:val="286"/>
        </w:trPr>
        <w:tc>
          <w:tcPr>
            <w:tcW w:w="936" w:type="pct"/>
            <w:shd w:val="clear" w:color="auto" w:fill="E5F1FF"/>
            <w:vAlign w:val="center"/>
          </w:tcPr>
          <w:p w14:paraId="6E99C1D9" w14:textId="77777777" w:rsidR="00D449DE" w:rsidRPr="00883A95" w:rsidRDefault="00D449DE" w:rsidP="00C90E3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b/>
                <w:lang w:eastAsia="en-US"/>
              </w:rPr>
            </w:pPr>
            <w:r w:rsidRPr="00883A95">
              <w:rPr>
                <w:rFonts w:ascii="Calibri" w:eastAsia="Calibri" w:hAnsi="Calibri" w:cs="Times New Roman"/>
                <w:b/>
                <w:lang w:eastAsia="en-US"/>
              </w:rPr>
              <w:t>Slovensko</w:t>
            </w:r>
          </w:p>
        </w:tc>
        <w:tc>
          <w:tcPr>
            <w:tcW w:w="743" w:type="pct"/>
            <w:vAlign w:val="center"/>
          </w:tcPr>
          <w:p w14:paraId="1BAE8604" w14:textId="77777777" w:rsidR="00D449DE" w:rsidRPr="00CA1727" w:rsidRDefault="00D449DE" w:rsidP="00883A95">
            <w:pPr>
              <w:widowControl/>
              <w:autoSpaceDE/>
              <w:autoSpaceDN/>
              <w:adjustRightInd/>
              <w:ind w:left="-254" w:right="530"/>
              <w:jc w:val="right"/>
              <w:rPr>
                <w:rFonts w:ascii="Calibri" w:eastAsia="Calibri" w:hAnsi="Calibri" w:cs="Times New Roman"/>
                <w:lang w:eastAsia="en-US"/>
              </w:rPr>
            </w:pPr>
            <w:r w:rsidRPr="00CA1727">
              <w:rPr>
                <w:rFonts w:ascii="Calibri" w:eastAsia="Calibri" w:hAnsi="Calibri" w:cs="Times New Roman"/>
                <w:lang w:eastAsia="en-US"/>
              </w:rPr>
              <w:t>9</w:t>
            </w:r>
          </w:p>
        </w:tc>
        <w:tc>
          <w:tcPr>
            <w:tcW w:w="880" w:type="pct"/>
            <w:vAlign w:val="center"/>
          </w:tcPr>
          <w:p w14:paraId="1157F563" w14:textId="77777777" w:rsidR="00D449DE" w:rsidRPr="00CA1727" w:rsidRDefault="00D449DE" w:rsidP="00C90E3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CA1727">
              <w:rPr>
                <w:rFonts w:ascii="Calibri" w:eastAsia="Calibri" w:hAnsi="Calibri" w:cs="Times New Roman"/>
                <w:lang w:eastAsia="en-US"/>
              </w:rPr>
              <w:t>2002</w:t>
            </w:r>
          </w:p>
        </w:tc>
        <w:tc>
          <w:tcPr>
            <w:tcW w:w="1205" w:type="pct"/>
            <w:vAlign w:val="center"/>
          </w:tcPr>
          <w:p w14:paraId="766D97B3" w14:textId="77777777" w:rsidR="00D449DE" w:rsidRPr="00CA1727" w:rsidRDefault="00D449DE" w:rsidP="00C90E3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CA1727">
              <w:rPr>
                <w:rFonts w:ascii="Calibri" w:eastAsia="Calibri" w:hAnsi="Calibri" w:cs="Calibri"/>
                <w:color w:val="000000"/>
                <w:lang w:eastAsia="en-US"/>
              </w:rPr>
              <w:t>318</w:t>
            </w:r>
          </w:p>
        </w:tc>
        <w:tc>
          <w:tcPr>
            <w:tcW w:w="1236" w:type="pct"/>
            <w:vAlign w:val="center"/>
          </w:tcPr>
          <w:p w14:paraId="6561ABD4" w14:textId="77777777" w:rsidR="00D449DE" w:rsidRPr="00CA1727" w:rsidRDefault="00D449DE" w:rsidP="00C90E3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CA1727">
              <w:rPr>
                <w:rFonts w:ascii="Calibri" w:eastAsia="Calibri" w:hAnsi="Calibri" w:cs="Times New Roman"/>
                <w:lang w:eastAsia="en-US"/>
              </w:rPr>
              <w:t>6,5 %</w:t>
            </w:r>
          </w:p>
        </w:tc>
      </w:tr>
      <w:tr w:rsidR="00D449DE" w:rsidRPr="00CA1727" w14:paraId="06987E9A" w14:textId="77777777" w:rsidTr="00883A95">
        <w:trPr>
          <w:trHeight w:val="342"/>
        </w:trPr>
        <w:tc>
          <w:tcPr>
            <w:tcW w:w="936" w:type="pct"/>
            <w:shd w:val="clear" w:color="auto" w:fill="E5F1FF"/>
            <w:vAlign w:val="center"/>
          </w:tcPr>
          <w:p w14:paraId="69628B91" w14:textId="77777777" w:rsidR="00D449DE" w:rsidRPr="00883A95" w:rsidRDefault="00D449DE" w:rsidP="00C90E3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b/>
                <w:lang w:eastAsia="en-US"/>
              </w:rPr>
            </w:pPr>
            <w:r w:rsidRPr="00883A95">
              <w:rPr>
                <w:rFonts w:ascii="Calibri" w:eastAsia="Calibri" w:hAnsi="Calibri" w:cs="Times New Roman"/>
                <w:b/>
                <w:lang w:eastAsia="en-US"/>
              </w:rPr>
              <w:t>Rakousko</w:t>
            </w:r>
          </w:p>
        </w:tc>
        <w:tc>
          <w:tcPr>
            <w:tcW w:w="743" w:type="pct"/>
            <w:vAlign w:val="center"/>
          </w:tcPr>
          <w:p w14:paraId="04911E4F" w14:textId="77777777" w:rsidR="00D449DE" w:rsidRPr="000352B3" w:rsidRDefault="00D449DE" w:rsidP="00883A95">
            <w:pPr>
              <w:widowControl/>
              <w:autoSpaceDE/>
              <w:autoSpaceDN/>
              <w:adjustRightInd/>
              <w:ind w:left="-254" w:right="388"/>
              <w:jc w:val="right"/>
              <w:rPr>
                <w:rFonts w:ascii="Calibri" w:eastAsia="Calibri" w:hAnsi="Calibri" w:cs="Times New Roman"/>
                <w:color w:val="000000" w:themeColor="text1"/>
                <w:lang w:eastAsia="en-US"/>
              </w:rPr>
            </w:pPr>
            <w:r>
              <w:rPr>
                <w:rFonts w:ascii="Calibri" w:eastAsia="Calibri" w:hAnsi="Calibri" w:cs="Times New Roman"/>
                <w:color w:val="000000" w:themeColor="text1"/>
                <w:lang w:eastAsia="en-US"/>
              </w:rPr>
              <w:t>6</w:t>
            </w:r>
            <w:r w:rsidRPr="000352B3">
              <w:rPr>
                <w:rFonts w:ascii="Calibri" w:eastAsia="Calibri" w:hAnsi="Calibri" w:cs="Times New Roman"/>
                <w:color w:val="000000" w:themeColor="text1"/>
                <w:vertAlign w:val="superscript"/>
                <w:lang w:eastAsia="en-US"/>
              </w:rPr>
              <w:footnoteReference w:id="36"/>
            </w:r>
            <w:r w:rsidRPr="000352B3">
              <w:rPr>
                <w:rFonts w:ascii="Calibri" w:eastAsia="Calibri" w:hAnsi="Calibri" w:cs="Times New Roman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880" w:type="pct"/>
            <w:vAlign w:val="center"/>
          </w:tcPr>
          <w:p w14:paraId="4E446E00" w14:textId="77777777" w:rsidR="00D449DE" w:rsidRPr="000352B3" w:rsidRDefault="00D449DE" w:rsidP="00C90E3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color w:val="000000" w:themeColor="text1"/>
                <w:lang w:eastAsia="en-US"/>
              </w:rPr>
            </w:pPr>
            <w:r w:rsidRPr="000352B3">
              <w:rPr>
                <w:rFonts w:ascii="Calibri" w:eastAsia="Calibri" w:hAnsi="Calibri" w:cs="Times New Roman"/>
                <w:color w:val="000000" w:themeColor="text1"/>
                <w:lang w:eastAsia="en-US"/>
              </w:rPr>
              <w:t>2002</w:t>
            </w:r>
          </w:p>
        </w:tc>
        <w:tc>
          <w:tcPr>
            <w:tcW w:w="1205" w:type="pct"/>
            <w:vAlign w:val="center"/>
          </w:tcPr>
          <w:p w14:paraId="323CE3C5" w14:textId="77777777" w:rsidR="00D449DE" w:rsidRPr="000352B3" w:rsidRDefault="00D449DE" w:rsidP="00C90E3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color w:val="000000" w:themeColor="text1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239</w:t>
            </w:r>
          </w:p>
        </w:tc>
        <w:tc>
          <w:tcPr>
            <w:tcW w:w="1236" w:type="pct"/>
            <w:vAlign w:val="center"/>
          </w:tcPr>
          <w:p w14:paraId="64FADA60" w14:textId="77777777" w:rsidR="00D449DE" w:rsidRPr="000352B3" w:rsidRDefault="00D449DE" w:rsidP="00C90E3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color w:val="000000" w:themeColor="text1"/>
                <w:lang w:eastAsia="en-US"/>
              </w:rPr>
            </w:pPr>
            <w:r>
              <w:rPr>
                <w:rFonts w:ascii="Calibri" w:eastAsia="Calibri" w:hAnsi="Calibri" w:cs="Times New Roman"/>
                <w:color w:val="000000" w:themeColor="text1"/>
                <w:lang w:eastAsia="en-US"/>
              </w:rPr>
              <w:t>2</w:t>
            </w:r>
            <w:r w:rsidRPr="000352B3">
              <w:rPr>
                <w:rFonts w:ascii="Calibri" w:eastAsia="Calibri" w:hAnsi="Calibri" w:cs="Times New Roman"/>
                <w:color w:val="000000" w:themeColor="text1"/>
                <w:lang w:eastAsia="en-US"/>
              </w:rPr>
              <w:t>,</w:t>
            </w:r>
            <w:r>
              <w:rPr>
                <w:rFonts w:ascii="Calibri" w:eastAsia="Calibri" w:hAnsi="Calibri" w:cs="Times New Roman"/>
                <w:color w:val="000000" w:themeColor="text1"/>
                <w:lang w:eastAsia="en-US"/>
              </w:rPr>
              <w:t>9</w:t>
            </w:r>
            <w:r w:rsidRPr="000352B3">
              <w:rPr>
                <w:rFonts w:ascii="Calibri" w:eastAsia="Calibri" w:hAnsi="Calibri" w:cs="Times New Roman"/>
                <w:color w:val="000000" w:themeColor="text1"/>
                <w:lang w:eastAsia="en-US"/>
              </w:rPr>
              <w:t xml:space="preserve"> %</w:t>
            </w:r>
          </w:p>
        </w:tc>
      </w:tr>
      <w:tr w:rsidR="00D449DE" w:rsidRPr="00CA1727" w14:paraId="70ECA8DC" w14:textId="77777777" w:rsidTr="00883A95">
        <w:trPr>
          <w:trHeight w:val="264"/>
        </w:trPr>
        <w:tc>
          <w:tcPr>
            <w:tcW w:w="936" w:type="pct"/>
            <w:shd w:val="clear" w:color="auto" w:fill="E5F1FF"/>
            <w:vAlign w:val="center"/>
          </w:tcPr>
          <w:p w14:paraId="233D98BD" w14:textId="77777777" w:rsidR="00D449DE" w:rsidRPr="00883A95" w:rsidRDefault="00D449DE" w:rsidP="00C90E3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b/>
                <w:lang w:eastAsia="en-US"/>
              </w:rPr>
            </w:pPr>
            <w:r w:rsidRPr="00883A95">
              <w:rPr>
                <w:rFonts w:ascii="Calibri" w:eastAsia="Calibri" w:hAnsi="Calibri" w:cs="Times New Roman"/>
                <w:b/>
                <w:lang w:eastAsia="en-US"/>
              </w:rPr>
              <w:t>Německo</w:t>
            </w:r>
          </w:p>
        </w:tc>
        <w:tc>
          <w:tcPr>
            <w:tcW w:w="743" w:type="pct"/>
            <w:vAlign w:val="center"/>
          </w:tcPr>
          <w:p w14:paraId="0D194662" w14:textId="77777777" w:rsidR="00D449DE" w:rsidRPr="00CA1727" w:rsidRDefault="00D449DE" w:rsidP="00883A95">
            <w:pPr>
              <w:widowControl/>
              <w:autoSpaceDE/>
              <w:autoSpaceDN/>
              <w:adjustRightInd/>
              <w:ind w:left="-254" w:right="530"/>
              <w:jc w:val="right"/>
              <w:rPr>
                <w:rFonts w:ascii="Calibri" w:eastAsia="Calibri" w:hAnsi="Calibri" w:cs="Times New Roman"/>
                <w:lang w:eastAsia="en-US"/>
              </w:rPr>
            </w:pPr>
            <w:r w:rsidRPr="00CA1727">
              <w:rPr>
                <w:rFonts w:ascii="Calibri" w:eastAsia="Calibri" w:hAnsi="Calibri" w:cs="Times New Roman"/>
                <w:lang w:eastAsia="en-US"/>
              </w:rPr>
              <w:t>16</w:t>
            </w:r>
          </w:p>
        </w:tc>
        <w:tc>
          <w:tcPr>
            <w:tcW w:w="880" w:type="pct"/>
            <w:vAlign w:val="center"/>
          </w:tcPr>
          <w:p w14:paraId="1DADC82A" w14:textId="77777777" w:rsidR="00D449DE" w:rsidRPr="00CA1727" w:rsidRDefault="00D449DE" w:rsidP="00C90E3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CA1727">
              <w:rPr>
                <w:rFonts w:ascii="Calibri" w:eastAsia="Calibri" w:hAnsi="Calibri" w:cs="Times New Roman"/>
                <w:lang w:eastAsia="en-US"/>
              </w:rPr>
              <w:t>2015</w:t>
            </w:r>
          </w:p>
        </w:tc>
        <w:tc>
          <w:tcPr>
            <w:tcW w:w="1205" w:type="pct"/>
            <w:vAlign w:val="center"/>
          </w:tcPr>
          <w:p w14:paraId="2EE4AD54" w14:textId="77777777" w:rsidR="00D449DE" w:rsidRPr="00CA1727" w:rsidRDefault="00D449DE" w:rsidP="00C90E3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CA1727">
              <w:rPr>
                <w:rFonts w:ascii="Calibri" w:eastAsia="Calibri" w:hAnsi="Calibri" w:cs="Calibri"/>
                <w:color w:val="000000"/>
                <w:lang w:eastAsia="en-US"/>
              </w:rPr>
              <w:t>1 047</w:t>
            </w:r>
          </w:p>
        </w:tc>
        <w:tc>
          <w:tcPr>
            <w:tcW w:w="1236" w:type="pct"/>
            <w:vAlign w:val="center"/>
          </w:tcPr>
          <w:p w14:paraId="15DA4097" w14:textId="77777777" w:rsidR="00D449DE" w:rsidRPr="00CA1727" w:rsidRDefault="00D449DE" w:rsidP="00C90E35">
            <w:pPr>
              <w:widowControl/>
              <w:autoSpaceDE/>
              <w:autoSpaceDN/>
              <w:adjustRightInd/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CA1727">
              <w:rPr>
                <w:rFonts w:ascii="Calibri" w:eastAsia="Calibri" w:hAnsi="Calibri" w:cs="Times New Roman"/>
                <w:lang w:eastAsia="en-US"/>
              </w:rPr>
              <w:t>2,9 %</w:t>
            </w:r>
          </w:p>
        </w:tc>
      </w:tr>
    </w:tbl>
    <w:p w14:paraId="6CF2710E" w14:textId="553802B8" w:rsidR="00BE2208" w:rsidRPr="007F2116" w:rsidRDefault="00D449DE" w:rsidP="00C90E35">
      <w:pPr>
        <w:widowControl/>
        <w:autoSpaceDE/>
        <w:autoSpaceDN/>
        <w:adjustRightInd/>
        <w:spacing w:after="160" w:line="259" w:lineRule="auto"/>
        <w:rPr>
          <w:rFonts w:ascii="Calibri" w:eastAsia="Calibri" w:hAnsi="Calibri" w:cs="Times New Roman"/>
          <w:color w:val="000000" w:themeColor="text1"/>
          <w:lang w:eastAsia="en-US"/>
        </w:rPr>
      </w:pPr>
      <w:r w:rsidRPr="007F2116">
        <w:rPr>
          <w:rFonts w:ascii="Calibri" w:eastAsia="Calibri" w:hAnsi="Calibri" w:cs="Times New Roman"/>
          <w:b/>
          <w:color w:val="000000" w:themeColor="text1"/>
          <w:lang w:eastAsia="en-US"/>
        </w:rPr>
        <w:t>Zdroj:</w:t>
      </w:r>
      <w:r w:rsidRPr="007F2116">
        <w:rPr>
          <w:rFonts w:ascii="Calibri" w:eastAsia="Calibri" w:hAnsi="Calibri" w:cs="Times New Roman"/>
          <w:color w:val="000000" w:themeColor="text1"/>
          <w:lang w:eastAsia="en-US"/>
        </w:rPr>
        <w:t xml:space="preserve"> webové stránky jednotlivých správ NP, vlastní zpracování NKÚ</w:t>
      </w:r>
      <w:r w:rsidR="007F2116" w:rsidRPr="007F2116">
        <w:rPr>
          <w:rFonts w:ascii="Calibri" w:eastAsia="Calibri" w:hAnsi="Calibri" w:cs="Times New Roman"/>
          <w:color w:val="000000" w:themeColor="text1"/>
          <w:lang w:eastAsia="en-US"/>
        </w:rPr>
        <w:t>.</w:t>
      </w:r>
    </w:p>
    <w:p w14:paraId="5F698B96" w14:textId="58FC0738" w:rsidR="00D449DE" w:rsidRPr="00B11959" w:rsidRDefault="00D449DE" w:rsidP="00C90E35">
      <w:pPr>
        <w:widowControl/>
        <w:autoSpaceDE/>
        <w:autoSpaceDN/>
        <w:adjustRightInd/>
        <w:rPr>
          <w:rFonts w:asciiTheme="minorHAnsi" w:hAnsiTheme="minorHAnsi" w:cstheme="minorHAnsi"/>
          <w:b/>
        </w:rPr>
        <w:sectPr w:rsidR="00D449DE" w:rsidRPr="00B11959" w:rsidSect="00C552B8">
          <w:footerReference w:type="default" r:id="rId21"/>
          <w:footerReference w:type="first" r:id="rId22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F2756B0" w14:textId="3C48CB9F" w:rsidR="002D4F23" w:rsidRDefault="00922C09" w:rsidP="00C90E35">
      <w:pPr>
        <w:widowControl/>
        <w:autoSpaceDE/>
        <w:autoSpaceDN/>
        <w:adjustRightInd/>
        <w:spacing w:after="160" w:line="259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Příloha č. </w:t>
      </w:r>
      <w:r w:rsidR="005E4994" w:rsidRPr="004A0706">
        <w:rPr>
          <w:rFonts w:asciiTheme="minorHAnsi" w:hAnsiTheme="minorHAnsi" w:cstheme="minorHAnsi"/>
          <w:b/>
          <w:sz w:val="24"/>
          <w:szCs w:val="24"/>
        </w:rPr>
        <w:t>3</w:t>
      </w:r>
    </w:p>
    <w:p w14:paraId="7335498B" w14:textId="77777777" w:rsidR="00900774" w:rsidRDefault="00900774" w:rsidP="00C90E35">
      <w:pPr>
        <w:widowControl/>
        <w:autoSpaceDE/>
        <w:autoSpaceDN/>
        <w:adjustRightInd/>
        <w:spacing w:after="160" w:line="259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Finanční vztahy stanovené zřizovatelem</w:t>
      </w:r>
    </w:p>
    <w:p w14:paraId="5E534EC2" w14:textId="4DB1859B" w:rsidR="00900774" w:rsidRPr="003A1BD5" w:rsidRDefault="00900774" w:rsidP="00C90E35">
      <w:pPr>
        <w:pStyle w:val="Titulek"/>
        <w:spacing w:after="0"/>
        <w:rPr>
          <w:rFonts w:cstheme="minorHAnsi"/>
          <w:b/>
          <w:i w:val="0"/>
          <w:color w:val="auto"/>
          <w:sz w:val="24"/>
          <w:szCs w:val="24"/>
        </w:rPr>
      </w:pPr>
      <w:r w:rsidRPr="003A1BD5">
        <w:rPr>
          <w:rFonts w:cstheme="minorHAnsi"/>
          <w:b/>
          <w:i w:val="0"/>
          <w:color w:val="auto"/>
          <w:sz w:val="24"/>
          <w:szCs w:val="24"/>
        </w:rPr>
        <w:t xml:space="preserve">Tabulka </w:t>
      </w:r>
      <w:r w:rsidRPr="001B7FF6">
        <w:rPr>
          <w:rFonts w:cstheme="minorHAnsi"/>
          <w:b/>
          <w:i w:val="0"/>
          <w:color w:val="auto"/>
          <w:sz w:val="24"/>
          <w:szCs w:val="24"/>
        </w:rPr>
        <w:t xml:space="preserve">č. </w:t>
      </w:r>
      <w:r w:rsidR="004555D7">
        <w:rPr>
          <w:rFonts w:cstheme="minorHAnsi"/>
          <w:b/>
          <w:i w:val="0"/>
          <w:color w:val="auto"/>
          <w:sz w:val="24"/>
          <w:szCs w:val="24"/>
        </w:rPr>
        <w:t>9</w:t>
      </w:r>
      <w:r w:rsidRPr="001B7FF6">
        <w:rPr>
          <w:rFonts w:cstheme="minorHAnsi"/>
          <w:b/>
          <w:i w:val="0"/>
          <w:color w:val="auto"/>
          <w:sz w:val="24"/>
          <w:szCs w:val="24"/>
        </w:rPr>
        <w:t>: Finanční</w:t>
      </w:r>
      <w:r w:rsidRPr="003A1BD5">
        <w:rPr>
          <w:rFonts w:cstheme="minorHAnsi"/>
          <w:b/>
          <w:i w:val="0"/>
          <w:color w:val="auto"/>
          <w:sz w:val="24"/>
          <w:szCs w:val="24"/>
        </w:rPr>
        <w:t xml:space="preserve"> vztahy stanovené zřizovatelem dle ustanovení § 54 zákona č. 218/2000 Sb. </w:t>
      </w:r>
      <w:r w:rsidR="003A1BD5">
        <w:rPr>
          <w:rFonts w:cstheme="minorHAnsi"/>
          <w:b/>
          <w:i w:val="0"/>
          <w:color w:val="auto"/>
          <w:sz w:val="24"/>
          <w:szCs w:val="24"/>
        </w:rPr>
        <w:t xml:space="preserve">k 31. 12. </w:t>
      </w:r>
      <w:r w:rsidR="002F79EA">
        <w:rPr>
          <w:rFonts w:cstheme="minorHAnsi"/>
          <w:b/>
          <w:i w:val="0"/>
          <w:color w:val="auto"/>
          <w:sz w:val="24"/>
          <w:szCs w:val="24"/>
        </w:rPr>
        <w:t>(</w:t>
      </w:r>
      <w:r w:rsidRPr="003A1BD5">
        <w:rPr>
          <w:rFonts w:cstheme="minorHAnsi"/>
          <w:b/>
          <w:i w:val="0"/>
          <w:color w:val="auto"/>
          <w:sz w:val="24"/>
          <w:szCs w:val="24"/>
        </w:rPr>
        <w:t>v Kč</w:t>
      </w:r>
      <w:r w:rsidR="002F79EA">
        <w:rPr>
          <w:rFonts w:cstheme="minorHAnsi"/>
          <w:b/>
          <w:i w:val="0"/>
          <w:color w:val="auto"/>
          <w:sz w:val="24"/>
          <w:szCs w:val="24"/>
        </w:rPr>
        <w:t>)</w:t>
      </w:r>
    </w:p>
    <w:tbl>
      <w:tblPr>
        <w:tblW w:w="1483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9"/>
        <w:gridCol w:w="1106"/>
        <w:gridCol w:w="1134"/>
        <w:gridCol w:w="1124"/>
        <w:gridCol w:w="1219"/>
        <w:gridCol w:w="1239"/>
        <w:gridCol w:w="1229"/>
        <w:gridCol w:w="1219"/>
        <w:gridCol w:w="1229"/>
        <w:gridCol w:w="1239"/>
        <w:gridCol w:w="1281"/>
      </w:tblGrid>
      <w:tr w:rsidR="00900774" w14:paraId="45B93443" w14:textId="77777777" w:rsidTr="00151D4B">
        <w:trPr>
          <w:trHeight w:val="213"/>
        </w:trPr>
        <w:tc>
          <w:tcPr>
            <w:tcW w:w="2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D014CA8" w14:textId="77777777" w:rsidR="00900774" w:rsidRPr="00854DFC" w:rsidRDefault="00900774" w:rsidP="00C90E35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  <w:p w14:paraId="75E69D3F" w14:textId="77777777" w:rsidR="00900774" w:rsidRPr="00854DFC" w:rsidRDefault="00900774" w:rsidP="00C90E35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B2B8062" w14:textId="77777777" w:rsidR="00900774" w:rsidRPr="00854DFC" w:rsidRDefault="00900774" w:rsidP="00C90E35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EE90B3D" w14:textId="77777777" w:rsidR="00900774" w:rsidRPr="00854DFC" w:rsidRDefault="00900774" w:rsidP="00C90E35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D61029F" w14:textId="77777777" w:rsidR="00900774" w:rsidRPr="00854DFC" w:rsidRDefault="00900774" w:rsidP="00C90E35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DAE50F9" w14:textId="77777777" w:rsidR="00900774" w:rsidRPr="00854DFC" w:rsidRDefault="00900774" w:rsidP="00C90E35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036537AD" w14:textId="77777777" w:rsidR="00900774" w:rsidRPr="00854DFC" w:rsidRDefault="00900774" w:rsidP="00C90E35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5D15ABCE" w14:textId="77777777" w:rsidR="00900774" w:rsidRPr="00854DFC" w:rsidRDefault="00900774" w:rsidP="00C90E35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36CF460" w14:textId="77777777" w:rsidR="00900774" w:rsidRPr="00854DFC" w:rsidRDefault="00900774" w:rsidP="00C90E35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25E7C7FD" w14:textId="77777777" w:rsidR="00900774" w:rsidRPr="00854DFC" w:rsidRDefault="00900774" w:rsidP="00C90E35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47F008D4" w14:textId="77777777" w:rsidR="00900774" w:rsidRPr="00854DFC" w:rsidRDefault="00900774" w:rsidP="00C90E35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bottom"/>
            <w:hideMark/>
          </w:tcPr>
          <w:p w14:paraId="5E8F97A3" w14:textId="77777777" w:rsidR="00900774" w:rsidRPr="00854DFC" w:rsidRDefault="00900774" w:rsidP="00C90E35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2018</w:t>
            </w:r>
          </w:p>
        </w:tc>
      </w:tr>
      <w:tr w:rsidR="00900774" w14:paraId="148B2139" w14:textId="77777777" w:rsidTr="00151D4B">
        <w:trPr>
          <w:trHeight w:val="254"/>
        </w:trPr>
        <w:tc>
          <w:tcPr>
            <w:tcW w:w="2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6D16C554" w14:textId="77777777" w:rsidR="00900774" w:rsidRPr="00854DFC" w:rsidRDefault="00900774" w:rsidP="00C90E35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1D9D234D" w14:textId="77777777" w:rsidR="00900774" w:rsidRPr="00854DFC" w:rsidRDefault="00900774" w:rsidP="00C90E35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Správa NP Podyjí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1FF"/>
            <w:noWrap/>
            <w:vAlign w:val="center"/>
            <w:hideMark/>
          </w:tcPr>
          <w:p w14:paraId="305FF726" w14:textId="77777777" w:rsidR="00900774" w:rsidRPr="00854DFC" w:rsidRDefault="00900774" w:rsidP="00C90E35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Správa KRNAP </w:t>
            </w:r>
          </w:p>
        </w:tc>
        <w:tc>
          <w:tcPr>
            <w:tcW w:w="368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E5F1FF"/>
            <w:noWrap/>
            <w:vAlign w:val="center"/>
            <w:hideMark/>
          </w:tcPr>
          <w:p w14:paraId="6C992CCB" w14:textId="77777777" w:rsidR="00900774" w:rsidRPr="00854DFC" w:rsidRDefault="00900774" w:rsidP="00C90E35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Správa NP Šumava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F1FF"/>
            <w:vAlign w:val="center"/>
            <w:hideMark/>
          </w:tcPr>
          <w:p w14:paraId="4B58463B" w14:textId="77777777" w:rsidR="00900774" w:rsidRPr="00854DFC" w:rsidRDefault="00900774" w:rsidP="00C90E35">
            <w:pPr>
              <w:widowControl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Správa NP České Švýcarsko</w:t>
            </w:r>
          </w:p>
        </w:tc>
      </w:tr>
      <w:tr w:rsidR="00900774" w14:paraId="1B24F957" w14:textId="77777777" w:rsidTr="00883A95">
        <w:trPr>
          <w:trHeight w:val="213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6600" w14:textId="12630AB0" w:rsidR="00D074A2" w:rsidRDefault="00900774" w:rsidP="00C90E35">
            <w:pPr>
              <w:widowControl/>
              <w:ind w:firstLineChars="100" w:firstLine="16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a) příspěvek na provoz</w:t>
            </w: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ze státního</w:t>
            </w:r>
          </w:p>
          <w:p w14:paraId="38864EBD" w14:textId="46F6BA27" w:rsidR="00900774" w:rsidRPr="00854DFC" w:rsidRDefault="00D074A2" w:rsidP="00883A95">
            <w:pPr>
              <w:widowControl/>
              <w:ind w:firstLineChars="130" w:firstLine="208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="00900774"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rozpočtu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789FF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28 241 316,50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AD3D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29 278 011,00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E071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30 479 905,30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61C60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111 077 024,06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7A19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118 741 088,10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E839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126 884 372,35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B611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142 675 293,50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5842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142 513 640,00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BAAA6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5F65A1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147 900 127,40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97DF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51 158 652,18</w:t>
            </w:r>
          </w:p>
        </w:tc>
      </w:tr>
      <w:tr w:rsidR="00900774" w14:paraId="5C9449B5" w14:textId="77777777" w:rsidTr="00883A95">
        <w:trPr>
          <w:trHeight w:val="213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4256" w14:textId="77777777" w:rsidR="00900774" w:rsidRPr="00854DFC" w:rsidRDefault="00900774" w:rsidP="00C90E35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v tom: 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3E53D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22B6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79E2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E9DCE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C559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B52F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E9B5A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85EA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4105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B1C96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</w:p>
        </w:tc>
      </w:tr>
      <w:tr w:rsidR="00900774" w14:paraId="339122E1" w14:textId="77777777" w:rsidTr="00883A95">
        <w:trPr>
          <w:trHeight w:val="213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8CD5" w14:textId="2E5F6DC4" w:rsidR="00900774" w:rsidRPr="00854DFC" w:rsidRDefault="00F5443D" w:rsidP="00C90E35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</w:t>
            </w:r>
            <w:r w:rsidR="00900774"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říspěvek n</w:t>
            </w:r>
            <w:r w:rsidR="0090077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a </w:t>
            </w:r>
            <w:r w:rsidR="00900774"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činnost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394B5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24 018 008,50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CA89E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25 014 589,00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6619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26 646 483,30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CFD5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106 690 033,00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F6DF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112 072 650,00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9059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121 005 113,82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056D0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108 785 826,50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310B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116 998 842,00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57C6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F65A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128 927 944,40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2C9B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46 463 852,00</w:t>
            </w:r>
          </w:p>
        </w:tc>
      </w:tr>
      <w:tr w:rsidR="00900774" w14:paraId="48AE821A" w14:textId="77777777" w:rsidTr="00151D4B">
        <w:trPr>
          <w:trHeight w:val="213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F338" w14:textId="1E02C59B" w:rsidR="00900774" w:rsidRPr="00854DFC" w:rsidRDefault="00F5443D" w:rsidP="00C90E35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</w:t>
            </w:r>
            <w:r w:rsidR="00900774"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říspěvek na hospodaření v lesích NP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913F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423 308,00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F8EC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463 422,00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06A2C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33 422,00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FE29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1 251 884,00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657A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1 139 868,00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D974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1 607 218,00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412B5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549 295,00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5BE1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388 579,00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B46E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66 728,00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DD2A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</w:tr>
      <w:tr w:rsidR="00900774" w14:paraId="797BD4CB" w14:textId="77777777" w:rsidTr="00151D4B">
        <w:trPr>
          <w:trHeight w:val="213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20439" w14:textId="77777777" w:rsidR="00900774" w:rsidRPr="00883A95" w:rsidRDefault="00900774" w:rsidP="00C90E35">
            <w:pPr>
              <w:widowControl/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</w:pPr>
            <w:r w:rsidRPr="00883A95">
              <w:rPr>
                <w:rFonts w:asciiTheme="minorHAnsi" w:hAnsiTheme="minorHAnsi" w:cstheme="minorHAnsi"/>
                <w:i/>
                <w:color w:val="000000"/>
                <w:sz w:val="16"/>
                <w:szCs w:val="16"/>
              </w:rPr>
              <w:t>Program péče o krajinu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8E44F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3 800 000,00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903A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3 800 000,00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DFA1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3 800 000,00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062B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2 550 000,00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81EC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2 550 000,00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246EC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2 600 000,00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C63F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3 795 539,00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11C4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3 794 105,00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4C7E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3 531 002,00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51C5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4 534 309,18</w:t>
            </w:r>
          </w:p>
        </w:tc>
      </w:tr>
      <w:tr w:rsidR="00900774" w14:paraId="102F94BF" w14:textId="77777777" w:rsidTr="00151D4B">
        <w:trPr>
          <w:trHeight w:val="213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F74F9" w14:textId="6B639722" w:rsidR="00900774" w:rsidRPr="00854DFC" w:rsidRDefault="00F5443D" w:rsidP="00C90E35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</w:t>
            </w:r>
            <w:r w:rsidR="00900774"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áhrada újmy za ztížení zemědělského nebo lesního hospodářství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266F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5015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F14B6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7736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3E71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3723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1B80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29 544 633,00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B28E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21 332 114,00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95C7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15 284 993,00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C2DD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160 491,00</w:t>
            </w:r>
          </w:p>
        </w:tc>
      </w:tr>
      <w:tr w:rsidR="00900774" w14:paraId="0B1F2451" w14:textId="77777777" w:rsidTr="00151D4B">
        <w:trPr>
          <w:trHeight w:val="251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0BA0" w14:textId="66A9ECA9" w:rsidR="00900774" w:rsidRPr="00854DFC" w:rsidRDefault="00F5443D" w:rsidP="00C90E35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</w:t>
            </w:r>
            <w:r w:rsidR="00900774"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ahraniční rozvojová spolupráce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C15B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9DCC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5781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B2C7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585 107,06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837A2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865 846,10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3CA8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696 324,53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EE24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D7AF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311B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89 460,00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E586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</w:tr>
      <w:tr w:rsidR="00900774" w14:paraId="1B5A41AF" w14:textId="77777777" w:rsidTr="00151D4B">
        <w:trPr>
          <w:trHeight w:val="213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FAB6" w14:textId="1FE8EC3C" w:rsidR="00900774" w:rsidRPr="00854DFC" w:rsidRDefault="00F5443D" w:rsidP="00C90E35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</w:t>
            </w:r>
            <w:r w:rsidR="00900774"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eprodukce genofondu lesních dřevin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F64D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BCE2C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64E6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8925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361F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2 068 724,00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0965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975 716,00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4221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CF0C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B7C9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744E2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</w:tr>
      <w:tr w:rsidR="00900774" w14:paraId="49A6546D" w14:textId="77777777" w:rsidTr="00151D4B">
        <w:trPr>
          <w:trHeight w:val="213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9729" w14:textId="42A9849C" w:rsidR="00900774" w:rsidRPr="00854DFC" w:rsidRDefault="00F5443D" w:rsidP="00C90E35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e</w:t>
            </w:r>
            <w:r w:rsidR="00900774"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nvironmentální vzdělávání, výchova a</w:t>
            </w:r>
            <w:r w:rsidR="00D074A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 </w:t>
            </w:r>
            <w:r w:rsidR="00900774"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osvěta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EFC3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ED07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C935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FE1C8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72DF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44 000,00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BE36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F85A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1939F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2F94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FB0F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</w:tr>
      <w:tr w:rsidR="00900774" w14:paraId="540AF21F" w14:textId="77777777" w:rsidTr="00883A95">
        <w:trPr>
          <w:trHeight w:val="213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0362" w14:textId="77777777" w:rsidR="00D074A2" w:rsidRDefault="00900774" w:rsidP="00C90E35">
            <w:pPr>
              <w:widowControl/>
              <w:ind w:firstLineChars="100" w:firstLine="16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b) </w:t>
            </w: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individuální a systémové dotace </w:t>
            </w:r>
          </w:p>
          <w:p w14:paraId="0D01BB9B" w14:textId="0422D7B5" w:rsidR="00900774" w:rsidRPr="00854DFC" w:rsidRDefault="00D074A2" w:rsidP="00C90E35">
            <w:pPr>
              <w:widowControl/>
              <w:ind w:firstLineChars="100" w:firstLine="16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   </w:t>
            </w:r>
            <w:r w:rsidR="00900774"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(EDS/SMVS)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F344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2 499 042,00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F35E5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2 189 927,00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62E3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1 438 026,58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905B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33 455 604,79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D07E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63 045 267,30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5F05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40 589 757,27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1637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10 357 337,29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F5D3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10 981 527,22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8230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16 997 246,65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61972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8 251 995,74</w:t>
            </w:r>
          </w:p>
        </w:tc>
      </w:tr>
      <w:tr w:rsidR="00F5443D" w14:paraId="62F207A2" w14:textId="77777777" w:rsidTr="00883A95">
        <w:trPr>
          <w:trHeight w:val="213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F05DD" w14:textId="621C4E09" w:rsidR="00F5443D" w:rsidRPr="00883A95" w:rsidRDefault="00F5443D" w:rsidP="00883A95">
            <w:pPr>
              <w:widowControl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883A95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v tom: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80DFD4" w14:textId="77777777" w:rsidR="00F5443D" w:rsidRPr="00854DFC" w:rsidRDefault="00F5443D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0179B1C" w14:textId="77777777" w:rsidR="00F5443D" w:rsidRPr="00854DFC" w:rsidRDefault="00F5443D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66BDF" w14:textId="77777777" w:rsidR="00F5443D" w:rsidRPr="00854DFC" w:rsidRDefault="00F5443D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8516A9" w14:textId="77777777" w:rsidR="00F5443D" w:rsidRPr="00854DFC" w:rsidRDefault="00F5443D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C34AA0" w14:textId="77777777" w:rsidR="00F5443D" w:rsidRPr="00854DFC" w:rsidRDefault="00F5443D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2D86E" w14:textId="77777777" w:rsidR="00F5443D" w:rsidRPr="00854DFC" w:rsidRDefault="00F5443D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05DAEB" w14:textId="77777777" w:rsidR="00F5443D" w:rsidRPr="00854DFC" w:rsidRDefault="00F5443D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3AC0C83" w14:textId="77777777" w:rsidR="00F5443D" w:rsidRPr="00854DFC" w:rsidRDefault="00F5443D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8DEB2" w14:textId="77777777" w:rsidR="00F5443D" w:rsidRPr="00854DFC" w:rsidRDefault="00F5443D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43C18" w14:textId="77777777" w:rsidR="00F5443D" w:rsidRPr="00854DFC" w:rsidRDefault="00F5443D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00774" w14:paraId="01819E40" w14:textId="77777777" w:rsidTr="00151D4B">
        <w:trPr>
          <w:trHeight w:val="213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76295" w14:textId="7C5131E1" w:rsidR="00900774" w:rsidRPr="00854DFC" w:rsidRDefault="00F5443D" w:rsidP="00C90E35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</w:t>
            </w:r>
            <w:r w:rsidR="00900774"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ozvoj a obnova MTZ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C75F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2 377 042,00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47CE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1 219 927,00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5778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875 001,00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61D3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6 462 000,00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9D36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10 114 526,63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1E59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36 128 170,59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0E60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7 600 000,00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751B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8 946 802,00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6CCB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12 500 379,82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755F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5 956 126,09</w:t>
            </w:r>
          </w:p>
        </w:tc>
      </w:tr>
      <w:tr w:rsidR="00900774" w14:paraId="7A6737AA" w14:textId="77777777" w:rsidTr="00151D4B">
        <w:trPr>
          <w:trHeight w:val="213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9D78" w14:textId="51F38371" w:rsidR="00900774" w:rsidRPr="00854DFC" w:rsidRDefault="00F5443D" w:rsidP="00C90E35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</w:t>
            </w:r>
            <w:r w:rsidR="00900774"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odpora obnovy přirozených funkcí krajiny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E27C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122 000,00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5E7A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970 000,00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4756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563 025,58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8B75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3 373 962,63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B97C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3 374 607,64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8371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3 488 573,01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6523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2 757 337,29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B672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2 034 725,22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1F3C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4 496 866,83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293F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2 295 869,65</w:t>
            </w:r>
          </w:p>
        </w:tc>
      </w:tr>
      <w:tr w:rsidR="00900774" w14:paraId="059C8783" w14:textId="77777777" w:rsidTr="00151D4B">
        <w:trPr>
          <w:trHeight w:val="213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7688" w14:textId="3E7F7528" w:rsidR="00900774" w:rsidRPr="00854DFC" w:rsidRDefault="00F5443D" w:rsidP="00C90E35">
            <w:pPr>
              <w:widowControl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</w:t>
            </w:r>
            <w:r w:rsidR="00900774"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ikvidace škod po živeln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í</w:t>
            </w:r>
            <w:r w:rsidR="00900774"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ch pohromách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3054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AFBA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48AA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7049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23 619 642,16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61C8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49 556 133,03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1782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973 013,67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DF1F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7CB5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FA6D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51D2A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0,00</w:t>
            </w:r>
          </w:p>
        </w:tc>
      </w:tr>
      <w:tr w:rsidR="00900774" w14:paraId="412D31F2" w14:textId="77777777" w:rsidTr="00151D4B">
        <w:trPr>
          <w:trHeight w:val="213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695B" w14:textId="77777777" w:rsidR="00900774" w:rsidRPr="00854DFC" w:rsidRDefault="00900774" w:rsidP="00C90E35">
            <w:pPr>
              <w:widowControl/>
              <w:ind w:firstLineChars="100" w:firstLine="16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c) návratná finanční výpomoc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ADCF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5D1A9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93D27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C534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3308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9D43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E7A3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18F4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2015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09E7F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00774" w14:paraId="1170A43A" w14:textId="77777777" w:rsidTr="00151D4B">
        <w:trPr>
          <w:trHeight w:val="213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F983" w14:textId="77777777" w:rsidR="00900774" w:rsidRPr="00854DFC" w:rsidRDefault="00900774" w:rsidP="00C90E35">
            <w:pPr>
              <w:widowControl/>
              <w:ind w:firstLineChars="100" w:firstLine="160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d) odvod z odpisů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064E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D7F2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312F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C2D9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D274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7AE5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52FF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CD621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937E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2B02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00774" w14:paraId="10D45080" w14:textId="77777777" w:rsidTr="00151D4B">
        <w:trPr>
          <w:trHeight w:val="213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F6E6" w14:textId="77777777" w:rsidR="00900774" w:rsidRPr="00854DFC" w:rsidRDefault="00900774" w:rsidP="00C90E35">
            <w:pPr>
              <w:widowControl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   e) dotace z EU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4A760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5F534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91E0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390 000,00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0AE1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5 994 940,56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1EAC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13 231 106,98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8A86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51 572 263,36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E894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2 458 639,29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74EB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666 337,40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33EA6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14 155 012,70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59FF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00774" w14:paraId="6AA0D404" w14:textId="77777777" w:rsidTr="00151D4B">
        <w:trPr>
          <w:trHeight w:val="213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EF34" w14:textId="77777777" w:rsidR="00900774" w:rsidRPr="00854DFC" w:rsidRDefault="00900774" w:rsidP="00C90E35">
            <w:pPr>
              <w:widowControl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 xml:space="preserve">     f) dotace </w:t>
            </w: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z mezinárodních smluv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7A47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CE35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ADFA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5126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19 044 811,23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3E610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4 263 514,71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C3AF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1 237 571,00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0289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4C9C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ECD8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0CACD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0,00</w:t>
            </w:r>
          </w:p>
        </w:tc>
      </w:tr>
      <w:tr w:rsidR="00900774" w14:paraId="7DF48C3F" w14:textId="77777777" w:rsidTr="00877A3E">
        <w:trPr>
          <w:trHeight w:val="213"/>
        </w:trPr>
        <w:tc>
          <w:tcPr>
            <w:tcW w:w="2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8A7A" w14:textId="77777777" w:rsidR="00900774" w:rsidRPr="00854DFC" w:rsidRDefault="00900774" w:rsidP="00C90E35">
            <w:pPr>
              <w:widowControl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CELKEM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3FD1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30 740 358,50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F211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31 467 938,00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5868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32 307 931,88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6CA4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169 572 380,64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A7C5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199 280 977,09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0264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220 283 963,98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774C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155 491 270,08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3E3A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154 161 504,62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29EF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179 052 386,7</w:t>
            </w: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ACBD" w14:textId="77777777" w:rsidR="00900774" w:rsidRPr="00854DFC" w:rsidRDefault="00900774" w:rsidP="00C90E35">
            <w:pPr>
              <w:widowControl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854DFC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59 410 647,92</w:t>
            </w:r>
          </w:p>
        </w:tc>
      </w:tr>
    </w:tbl>
    <w:p w14:paraId="29B558EE" w14:textId="3ABE4225" w:rsidR="00900774" w:rsidRDefault="00900774" w:rsidP="00C90E35">
      <w:pPr>
        <w:widowControl/>
        <w:rPr>
          <w:rFonts w:asciiTheme="minorHAnsi" w:hAnsiTheme="minorHAnsi" w:cstheme="minorHAnsi"/>
          <w:color w:val="000000"/>
        </w:rPr>
      </w:pPr>
      <w:r w:rsidRPr="003A1BD5">
        <w:rPr>
          <w:rFonts w:asciiTheme="minorHAnsi" w:hAnsiTheme="minorHAnsi" w:cstheme="minorHAnsi"/>
          <w:b/>
          <w:color w:val="000000"/>
        </w:rPr>
        <w:t>Zdroj:</w:t>
      </w:r>
      <w:r w:rsidRPr="00854DFC">
        <w:rPr>
          <w:rFonts w:asciiTheme="minorHAnsi" w:hAnsiTheme="minorHAnsi" w:cstheme="minorHAnsi"/>
          <w:color w:val="000000"/>
        </w:rPr>
        <w:t xml:space="preserve"> </w:t>
      </w:r>
      <w:r w:rsidR="00FC5016">
        <w:rPr>
          <w:rFonts w:asciiTheme="minorHAnsi" w:hAnsiTheme="minorHAnsi" w:cstheme="minorHAnsi"/>
          <w:color w:val="000000"/>
        </w:rPr>
        <w:t>i</w:t>
      </w:r>
      <w:r w:rsidR="003A1BD5">
        <w:rPr>
          <w:rFonts w:asciiTheme="minorHAnsi" w:hAnsiTheme="minorHAnsi" w:cstheme="minorHAnsi"/>
          <w:color w:val="000000"/>
        </w:rPr>
        <w:t>nformace MŽP.</w:t>
      </w:r>
    </w:p>
    <w:p w14:paraId="2D2168AC" w14:textId="77777777" w:rsidR="00EC2F9D" w:rsidRPr="00854DFC" w:rsidRDefault="00EC2F9D" w:rsidP="00C90E35">
      <w:pPr>
        <w:widowControl/>
        <w:rPr>
          <w:rFonts w:asciiTheme="minorHAnsi" w:hAnsiTheme="minorHAnsi" w:cstheme="minorHAnsi"/>
          <w:color w:val="000000"/>
        </w:rPr>
      </w:pPr>
      <w:r w:rsidRPr="00EC2F9D">
        <w:rPr>
          <w:rFonts w:asciiTheme="minorHAnsi" w:hAnsiTheme="minorHAnsi" w:cstheme="minorHAnsi"/>
          <w:b/>
          <w:color w:val="000000"/>
        </w:rPr>
        <w:t>Pozn.:</w:t>
      </w:r>
      <w:r>
        <w:rPr>
          <w:rFonts w:asciiTheme="minorHAnsi" w:hAnsiTheme="minorHAnsi" w:cstheme="minorHAnsi"/>
          <w:color w:val="000000"/>
        </w:rPr>
        <w:t xml:space="preserve"> Správa NP České Švýcarsko byla do 31. 12. 2017 OSS s rozdílným způsobem financování.</w:t>
      </w:r>
    </w:p>
    <w:p w14:paraId="75B94986" w14:textId="77777777" w:rsidR="00900774" w:rsidRDefault="00900774" w:rsidP="00C90E35">
      <w:pPr>
        <w:widowControl/>
        <w:autoSpaceDE/>
        <w:autoSpaceDN/>
        <w:adjustRightInd/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14:paraId="60469EFA" w14:textId="77777777" w:rsidR="00900774" w:rsidRDefault="00900774" w:rsidP="00C90E35">
      <w:pPr>
        <w:widowControl/>
        <w:autoSpaceDE/>
        <w:autoSpaceDN/>
        <w:adjustRightInd/>
        <w:spacing w:after="160" w:line="259" w:lineRule="auto"/>
        <w:jc w:val="both"/>
        <w:rPr>
          <w:rFonts w:asciiTheme="minorHAnsi" w:hAnsiTheme="minorHAnsi" w:cstheme="minorHAnsi"/>
          <w:b/>
          <w:sz w:val="24"/>
          <w:szCs w:val="24"/>
        </w:rPr>
        <w:sectPr w:rsidR="00900774" w:rsidSect="00C552B8">
          <w:footerReference w:type="first" r:id="rId23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04DBC0F" w14:textId="6A98B28D" w:rsidR="002D4F23" w:rsidRDefault="005E4994" w:rsidP="00C90E35">
      <w:pPr>
        <w:widowControl/>
        <w:autoSpaceDE/>
        <w:autoSpaceDN/>
        <w:adjustRightInd/>
        <w:spacing w:after="160" w:line="259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Příloha č. 4</w:t>
      </w:r>
    </w:p>
    <w:p w14:paraId="113439C2" w14:textId="657092A7" w:rsidR="00641450" w:rsidRDefault="00922C09" w:rsidP="00C90E35">
      <w:pPr>
        <w:widowControl/>
        <w:autoSpaceDE/>
        <w:autoSpaceDN/>
        <w:adjustRightInd/>
        <w:spacing w:after="160" w:line="259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2674B3">
        <w:rPr>
          <w:rFonts w:asciiTheme="minorHAnsi" w:hAnsiTheme="minorHAnsi" w:cstheme="minorHAnsi"/>
          <w:b/>
          <w:sz w:val="24"/>
          <w:szCs w:val="24"/>
        </w:rPr>
        <w:t>Rozbor nákladů</w:t>
      </w:r>
      <w:r w:rsidR="00641450" w:rsidRPr="002674B3">
        <w:rPr>
          <w:rFonts w:asciiTheme="minorHAnsi" w:hAnsiTheme="minorHAnsi" w:cstheme="minorHAnsi"/>
          <w:b/>
          <w:sz w:val="24"/>
          <w:szCs w:val="24"/>
        </w:rPr>
        <w:t xml:space="preserve"> na těžební činnost</w:t>
      </w:r>
      <w:r w:rsidR="002674B3" w:rsidRPr="002674B3">
        <w:rPr>
          <w:rFonts w:asciiTheme="minorHAnsi" w:hAnsiTheme="minorHAnsi" w:cstheme="minorHAnsi"/>
          <w:b/>
          <w:sz w:val="24"/>
          <w:szCs w:val="24"/>
        </w:rPr>
        <w:t xml:space="preserve"> a výnosů z prodeje dřeva</w:t>
      </w:r>
      <w:r w:rsidR="00641450" w:rsidRPr="002674B3">
        <w:rPr>
          <w:rFonts w:asciiTheme="minorHAnsi" w:hAnsiTheme="minorHAnsi" w:cstheme="minorHAnsi"/>
          <w:b/>
          <w:sz w:val="24"/>
          <w:szCs w:val="24"/>
        </w:rPr>
        <w:t xml:space="preserve"> jednotlivých správ NP</w:t>
      </w:r>
    </w:p>
    <w:p w14:paraId="439D9786" w14:textId="77777777" w:rsidR="00C42141" w:rsidRDefault="002D6F01" w:rsidP="00C90E35">
      <w:pPr>
        <w:widowControl/>
        <w:autoSpaceDE/>
        <w:autoSpaceDN/>
        <w:adjustRightInd/>
        <w:ind w:left="993" w:hanging="993"/>
        <w:jc w:val="both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27012A">
        <w:rPr>
          <w:rFonts w:ascii="Calibri" w:eastAsia="Calibri" w:hAnsi="Calibri" w:cs="Calibri"/>
          <w:b/>
          <w:sz w:val="24"/>
          <w:szCs w:val="24"/>
          <w:lang w:eastAsia="en-US"/>
        </w:rPr>
        <w:t>Graf č</w:t>
      </w:r>
      <w:r w:rsidRPr="001B7FF6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. </w:t>
      </w:r>
      <w:r w:rsidR="00B7663E">
        <w:rPr>
          <w:rFonts w:ascii="Calibri" w:eastAsia="Calibri" w:hAnsi="Calibri" w:cs="Calibri"/>
          <w:b/>
          <w:sz w:val="24"/>
          <w:szCs w:val="24"/>
          <w:lang w:eastAsia="en-US"/>
        </w:rPr>
        <w:t>3</w:t>
      </w:r>
      <w:r w:rsidRPr="001B7FF6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: </w:t>
      </w:r>
      <w:r w:rsidR="00C42141">
        <w:rPr>
          <w:rFonts w:ascii="Calibri" w:eastAsia="Calibri" w:hAnsi="Calibri" w:cs="Calibri"/>
          <w:b/>
          <w:sz w:val="24"/>
          <w:szCs w:val="24"/>
          <w:lang w:eastAsia="en-US"/>
        </w:rPr>
        <w:tab/>
      </w:r>
      <w:r w:rsidRPr="001B7FF6">
        <w:rPr>
          <w:rFonts w:ascii="Calibri" w:eastAsia="Calibri" w:hAnsi="Calibri" w:cs="Calibri"/>
          <w:b/>
          <w:sz w:val="24"/>
          <w:szCs w:val="24"/>
          <w:lang w:eastAsia="en-US"/>
        </w:rPr>
        <w:t>Porovnání</w:t>
      </w:r>
      <w:r w:rsidRPr="0027012A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nákladů na těžební činnost a výnosů z prodeje dřeva v letech </w:t>
      </w:r>
    </w:p>
    <w:p w14:paraId="1B9884B2" w14:textId="47D2CF94" w:rsidR="002D6F01" w:rsidRDefault="002D6F01" w:rsidP="00C90E35">
      <w:pPr>
        <w:widowControl/>
        <w:autoSpaceDE/>
        <w:autoSpaceDN/>
        <w:adjustRightInd/>
        <w:ind w:left="993"/>
        <w:jc w:val="both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27012A">
        <w:rPr>
          <w:rFonts w:ascii="Calibri" w:eastAsia="Calibri" w:hAnsi="Calibri" w:cs="Calibri"/>
          <w:b/>
          <w:sz w:val="24"/>
          <w:szCs w:val="24"/>
          <w:lang w:eastAsia="en-US"/>
        </w:rPr>
        <w:t>2016</w:t>
      </w:r>
      <w:r w:rsidR="00EA4BFB">
        <w:rPr>
          <w:rFonts w:ascii="Calibri" w:eastAsia="Calibri" w:hAnsi="Calibri" w:cs="Calibri"/>
          <w:b/>
          <w:sz w:val="24"/>
          <w:szCs w:val="24"/>
          <w:lang w:eastAsia="en-US"/>
        </w:rPr>
        <w:t>–</w:t>
      </w:r>
      <w:r w:rsidRPr="0027012A">
        <w:rPr>
          <w:rFonts w:ascii="Calibri" w:eastAsia="Calibri" w:hAnsi="Calibri" w:cs="Calibri"/>
          <w:b/>
          <w:sz w:val="24"/>
          <w:szCs w:val="24"/>
          <w:lang w:eastAsia="en-US"/>
        </w:rPr>
        <w:t>2018</w:t>
      </w:r>
      <w:r w:rsidR="00C42141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(v Kč/m</w:t>
      </w:r>
      <w:r w:rsidR="00C42141" w:rsidRPr="00883A95">
        <w:rPr>
          <w:rFonts w:ascii="Calibri" w:eastAsia="Calibri" w:hAnsi="Calibri" w:cs="Calibri"/>
          <w:b/>
          <w:sz w:val="24"/>
          <w:szCs w:val="24"/>
          <w:vertAlign w:val="superscript"/>
          <w:lang w:eastAsia="en-US"/>
        </w:rPr>
        <w:t>3</w:t>
      </w:r>
      <w:r w:rsidR="00C42141">
        <w:rPr>
          <w:rFonts w:ascii="Calibri" w:eastAsia="Calibri" w:hAnsi="Calibri" w:cs="Calibri"/>
          <w:b/>
          <w:sz w:val="24"/>
          <w:szCs w:val="24"/>
          <w:lang w:eastAsia="en-US"/>
        </w:rPr>
        <w:t>)</w:t>
      </w:r>
    </w:p>
    <w:p w14:paraId="45276380" w14:textId="626C9948" w:rsidR="002D6F01" w:rsidRPr="001E7D5E" w:rsidRDefault="00DC54C6" w:rsidP="001E7D5E">
      <w:pPr>
        <w:widowControl/>
        <w:autoSpaceDE/>
        <w:autoSpaceDN/>
        <w:adjustRightInd/>
        <w:jc w:val="both"/>
        <w:rPr>
          <w:rFonts w:ascii="Calibri" w:eastAsia="Calibri" w:hAnsi="Calibri" w:cs="Calibri"/>
          <w:b/>
          <w:sz w:val="24"/>
          <w:szCs w:val="24"/>
          <w:lang w:eastAsia="en-US"/>
        </w:rPr>
      </w:pPr>
      <w:r>
        <w:rPr>
          <w:noProof/>
        </w:rPr>
        <w:drawing>
          <wp:inline distT="0" distB="0" distL="0" distR="0" wp14:anchorId="15540872" wp14:editId="4B43DAD8">
            <wp:extent cx="5793475" cy="4606120"/>
            <wp:effectExtent l="0" t="0" r="17145" b="4445"/>
            <wp:docPr id="9" name="Graf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1321003E" w14:textId="509B1399" w:rsidR="002D6F01" w:rsidRPr="00883A95" w:rsidRDefault="002D6F01" w:rsidP="00C90E35">
      <w:pPr>
        <w:widowControl/>
        <w:autoSpaceDE/>
        <w:autoSpaceDN/>
        <w:adjustRightInd/>
        <w:ind w:left="567" w:hanging="567"/>
        <w:jc w:val="both"/>
        <w:rPr>
          <w:rFonts w:ascii="Calibri" w:eastAsia="Calibri" w:hAnsi="Calibri" w:cs="Calibri"/>
          <w:i/>
          <w:lang w:eastAsia="en-US"/>
        </w:rPr>
      </w:pPr>
      <w:r w:rsidRPr="0027012A">
        <w:rPr>
          <w:rFonts w:ascii="Calibri" w:eastAsia="Calibri" w:hAnsi="Calibri" w:cs="Calibri"/>
          <w:b/>
          <w:lang w:eastAsia="en-US"/>
        </w:rPr>
        <w:t>Zdroj:</w:t>
      </w:r>
      <w:r>
        <w:rPr>
          <w:rFonts w:ascii="Calibri" w:eastAsia="Calibri" w:hAnsi="Calibri" w:cs="Calibri"/>
          <w:lang w:eastAsia="en-US"/>
        </w:rPr>
        <w:t xml:space="preserve"> </w:t>
      </w:r>
      <w:r w:rsidR="00BA009E">
        <w:rPr>
          <w:rFonts w:ascii="Calibri" w:eastAsia="Calibri" w:hAnsi="Calibri" w:cs="Calibri"/>
          <w:lang w:eastAsia="en-US"/>
        </w:rPr>
        <w:tab/>
      </w:r>
      <w:r w:rsidR="00081C96">
        <w:rPr>
          <w:rFonts w:ascii="Calibri" w:eastAsia="Calibri" w:hAnsi="Calibri" w:cs="Calibri"/>
          <w:lang w:eastAsia="en-US"/>
        </w:rPr>
        <w:t>i</w:t>
      </w:r>
      <w:r>
        <w:rPr>
          <w:rFonts w:ascii="Calibri" w:eastAsia="Calibri" w:hAnsi="Calibri" w:cs="Calibri"/>
          <w:lang w:eastAsia="en-US"/>
        </w:rPr>
        <w:t xml:space="preserve">nformace jednotlivých správ NP, </w:t>
      </w:r>
      <w:r w:rsidRPr="00883A95">
        <w:rPr>
          <w:rFonts w:ascii="Calibri" w:eastAsia="Calibri" w:hAnsi="Calibri" w:cs="Calibri"/>
          <w:i/>
          <w:lang w:eastAsia="en-US"/>
        </w:rPr>
        <w:t>Zpráv</w:t>
      </w:r>
      <w:r w:rsidR="00081C96" w:rsidRPr="00883A95">
        <w:rPr>
          <w:rFonts w:ascii="Calibri" w:eastAsia="Calibri" w:hAnsi="Calibri" w:cs="Calibri"/>
          <w:i/>
          <w:lang w:eastAsia="en-US"/>
        </w:rPr>
        <w:t>y</w:t>
      </w:r>
      <w:r w:rsidRPr="00883A95">
        <w:rPr>
          <w:rFonts w:ascii="Calibri" w:eastAsia="Calibri" w:hAnsi="Calibri" w:cs="Calibri"/>
          <w:i/>
          <w:lang w:eastAsia="en-US"/>
        </w:rPr>
        <w:t xml:space="preserve"> o stavu lesa a lesního hospodářství České republiky </w:t>
      </w:r>
      <w:r w:rsidR="00081C96" w:rsidRPr="00883A95">
        <w:rPr>
          <w:rFonts w:ascii="Calibri" w:eastAsia="Calibri" w:hAnsi="Calibri" w:cs="Calibri"/>
          <w:i/>
          <w:lang w:eastAsia="en-US"/>
        </w:rPr>
        <w:t>za roky</w:t>
      </w:r>
      <w:r w:rsidRPr="00883A95">
        <w:rPr>
          <w:rFonts w:ascii="Calibri" w:eastAsia="Calibri" w:hAnsi="Calibri" w:cs="Calibri"/>
          <w:i/>
          <w:lang w:eastAsia="en-US"/>
        </w:rPr>
        <w:t xml:space="preserve"> 2016 a 2017.</w:t>
      </w:r>
    </w:p>
    <w:p w14:paraId="7412FCB9" w14:textId="3AF930B3" w:rsidR="002D6F01" w:rsidRPr="002D6F01" w:rsidRDefault="002D6F01" w:rsidP="00C90E35">
      <w:pPr>
        <w:widowControl/>
        <w:autoSpaceDE/>
        <w:autoSpaceDN/>
        <w:adjustRightInd/>
        <w:ind w:left="567" w:hanging="567"/>
        <w:jc w:val="both"/>
        <w:rPr>
          <w:rFonts w:ascii="Calibri" w:eastAsia="Calibri" w:hAnsi="Calibri" w:cs="Calibri"/>
          <w:lang w:eastAsia="en-US"/>
        </w:rPr>
      </w:pPr>
      <w:r w:rsidRPr="0027012A">
        <w:rPr>
          <w:rFonts w:ascii="Calibri" w:eastAsia="Calibri" w:hAnsi="Calibri" w:cs="Calibri"/>
          <w:b/>
          <w:lang w:eastAsia="en-US"/>
        </w:rPr>
        <w:t>Pozn.:</w:t>
      </w:r>
      <w:r>
        <w:rPr>
          <w:rFonts w:ascii="Calibri" w:eastAsia="Calibri" w:hAnsi="Calibri" w:cs="Calibri"/>
          <w:lang w:eastAsia="en-US"/>
        </w:rPr>
        <w:t xml:space="preserve"> </w:t>
      </w:r>
      <w:r w:rsidR="00BA009E">
        <w:rPr>
          <w:rFonts w:ascii="Calibri" w:eastAsia="Calibri" w:hAnsi="Calibri" w:cs="Calibri"/>
          <w:lang w:eastAsia="en-US"/>
        </w:rPr>
        <w:tab/>
      </w:r>
      <w:r>
        <w:rPr>
          <w:rFonts w:ascii="Calibri" w:eastAsia="Calibri" w:hAnsi="Calibri" w:cs="Calibri"/>
          <w:lang w:eastAsia="en-US"/>
        </w:rPr>
        <w:t xml:space="preserve">Náklady na těžební činnost a výnosy </w:t>
      </w:r>
      <w:r w:rsidRPr="00097B56">
        <w:rPr>
          <w:rFonts w:ascii="Calibri" w:eastAsia="Calibri" w:hAnsi="Calibri" w:cs="Calibri"/>
          <w:lang w:eastAsia="en-US"/>
        </w:rPr>
        <w:t xml:space="preserve">z prodeje dřeva </w:t>
      </w:r>
      <w:r>
        <w:rPr>
          <w:rFonts w:ascii="Calibri" w:eastAsia="Calibri" w:hAnsi="Calibri" w:cs="Calibri"/>
          <w:lang w:eastAsia="en-US"/>
        </w:rPr>
        <w:t xml:space="preserve">ve státních lesích nejsou </w:t>
      </w:r>
      <w:r w:rsidR="00DA57AC">
        <w:rPr>
          <w:rFonts w:ascii="Calibri" w:eastAsia="Calibri" w:hAnsi="Calibri" w:cs="Calibri"/>
          <w:lang w:eastAsia="en-US"/>
        </w:rPr>
        <w:t xml:space="preserve">pro rok 2018 </w:t>
      </w:r>
      <w:r>
        <w:rPr>
          <w:rFonts w:ascii="Calibri" w:eastAsia="Calibri" w:hAnsi="Calibri" w:cs="Calibri"/>
          <w:lang w:eastAsia="en-US"/>
        </w:rPr>
        <w:t>známy,</w:t>
      </w:r>
      <w:r w:rsidRPr="00097B56">
        <w:rPr>
          <w:rFonts w:ascii="Calibri" w:eastAsia="Calibri" w:hAnsi="Calibri" w:cs="Calibri"/>
          <w:lang w:eastAsia="en-US"/>
        </w:rPr>
        <w:t xml:space="preserve"> jelikož </w:t>
      </w:r>
      <w:r w:rsidRPr="00883A95">
        <w:rPr>
          <w:rFonts w:ascii="Calibri" w:eastAsia="Calibri" w:hAnsi="Calibri" w:cs="Calibri"/>
          <w:i/>
          <w:lang w:eastAsia="en-US"/>
        </w:rPr>
        <w:t>Zpráva o stavu lesa a lesního hospodářství České republi</w:t>
      </w:r>
      <w:r w:rsidR="00DA57AC" w:rsidRPr="00883A95">
        <w:rPr>
          <w:rFonts w:ascii="Calibri" w:eastAsia="Calibri" w:hAnsi="Calibri" w:cs="Calibri"/>
          <w:i/>
          <w:lang w:eastAsia="en-US"/>
        </w:rPr>
        <w:t>ky</w:t>
      </w:r>
      <w:r w:rsidRPr="00883A95">
        <w:rPr>
          <w:rFonts w:ascii="Calibri" w:eastAsia="Calibri" w:hAnsi="Calibri" w:cs="Calibri"/>
          <w:i/>
          <w:lang w:eastAsia="en-US"/>
        </w:rPr>
        <w:t xml:space="preserve"> v roce 2018</w:t>
      </w:r>
      <w:r w:rsidRPr="00097B56">
        <w:rPr>
          <w:rFonts w:ascii="Calibri" w:eastAsia="Calibri" w:hAnsi="Calibri" w:cs="Calibri"/>
          <w:lang w:eastAsia="en-US"/>
        </w:rPr>
        <w:t xml:space="preserve"> nebyla v době </w:t>
      </w:r>
      <w:r>
        <w:rPr>
          <w:rFonts w:ascii="Calibri" w:eastAsia="Calibri" w:hAnsi="Calibri" w:cs="Calibri"/>
          <w:lang w:eastAsia="en-US"/>
        </w:rPr>
        <w:t>provádění kontroly publikována.</w:t>
      </w:r>
    </w:p>
    <w:p w14:paraId="177639E0" w14:textId="77777777" w:rsidR="00A01C84" w:rsidRPr="00A01C84" w:rsidRDefault="006161B6" w:rsidP="00C90E35">
      <w:pPr>
        <w:widowControl/>
        <w:autoSpaceDE/>
        <w:autoSpaceDN/>
        <w:adjustRightInd/>
        <w:spacing w:before="120" w:after="12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Správa KRNAP</w:t>
      </w:r>
    </w:p>
    <w:p w14:paraId="2D96F2CF" w14:textId="713F0D71" w:rsidR="00A01C84" w:rsidRPr="00A01C84" w:rsidRDefault="00A01C84" w:rsidP="00C90E35">
      <w:pPr>
        <w:widowControl/>
        <w:autoSpaceDE/>
        <w:autoSpaceDN/>
        <w:adjustRightInd/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A01C84">
        <w:rPr>
          <w:rFonts w:ascii="Calibri" w:hAnsi="Calibri" w:cs="Calibri"/>
          <w:sz w:val="24"/>
          <w:szCs w:val="24"/>
        </w:rPr>
        <w:t>Jediným významným těžebním sortimentem pro Správu KRNAP je smrk</w:t>
      </w:r>
      <w:r w:rsidR="00210BBC">
        <w:rPr>
          <w:rFonts w:ascii="Calibri" w:hAnsi="Calibri" w:cs="Calibri"/>
          <w:sz w:val="24"/>
          <w:szCs w:val="24"/>
        </w:rPr>
        <w:t>, který představuje 96 </w:t>
      </w:r>
      <w:r w:rsidR="006938F2">
        <w:rPr>
          <w:rFonts w:ascii="Calibri" w:hAnsi="Calibri" w:cs="Calibri"/>
          <w:sz w:val="24"/>
          <w:szCs w:val="24"/>
        </w:rPr>
        <w:t>% těženého dřeva z celkové těžby</w:t>
      </w:r>
      <w:r w:rsidRPr="00A01C84">
        <w:rPr>
          <w:rFonts w:ascii="Calibri" w:hAnsi="Calibri" w:cs="Calibri"/>
          <w:sz w:val="24"/>
          <w:szCs w:val="24"/>
        </w:rPr>
        <w:t xml:space="preserve">. Převažujícím způsobem těžby v KRNAP a jeho </w:t>
      </w:r>
      <w:r w:rsidR="00F62421">
        <w:rPr>
          <w:rFonts w:ascii="Calibri" w:hAnsi="Calibri" w:cs="Calibri"/>
          <w:sz w:val="24"/>
          <w:szCs w:val="24"/>
        </w:rPr>
        <w:t>ochranném pásmu</w:t>
      </w:r>
      <w:r w:rsidRPr="00A01C84">
        <w:rPr>
          <w:rFonts w:ascii="Calibri" w:hAnsi="Calibri" w:cs="Calibri"/>
          <w:sz w:val="24"/>
          <w:szCs w:val="24"/>
        </w:rPr>
        <w:t xml:space="preserve"> je těžba s přiblížením na odvozní místo. Vyšší výrobní náklady jsou způsobeny použitím šetrnějších technologií pro transport vytěženého dřeva, </w:t>
      </w:r>
      <w:r w:rsidR="00210BBC">
        <w:rPr>
          <w:rFonts w:ascii="Calibri" w:hAnsi="Calibri" w:cs="Calibri"/>
          <w:sz w:val="24"/>
          <w:szCs w:val="24"/>
        </w:rPr>
        <w:t>zejména lanovkové technologie a</w:t>
      </w:r>
      <w:r w:rsidR="00AF72FE">
        <w:rPr>
          <w:rFonts w:ascii="Calibri" w:hAnsi="Calibri" w:cs="Calibri"/>
          <w:sz w:val="24"/>
          <w:szCs w:val="24"/>
        </w:rPr>
        <w:t xml:space="preserve"> </w:t>
      </w:r>
      <w:r w:rsidRPr="00A01C84">
        <w:rPr>
          <w:rFonts w:ascii="Calibri" w:hAnsi="Calibri" w:cs="Calibri"/>
          <w:sz w:val="24"/>
          <w:szCs w:val="24"/>
        </w:rPr>
        <w:t>koňského potahu. Kombina</w:t>
      </w:r>
      <w:r w:rsidR="00210BBC">
        <w:rPr>
          <w:rFonts w:ascii="Calibri" w:hAnsi="Calibri" w:cs="Calibri"/>
          <w:sz w:val="24"/>
          <w:szCs w:val="24"/>
        </w:rPr>
        <w:t>cí těchto technologií dochází k </w:t>
      </w:r>
      <w:r w:rsidRPr="00A01C84">
        <w:rPr>
          <w:rFonts w:ascii="Calibri" w:hAnsi="Calibri" w:cs="Calibri"/>
          <w:sz w:val="24"/>
          <w:szCs w:val="24"/>
        </w:rPr>
        <w:t xml:space="preserve">minimálním škodám v těžených </w:t>
      </w:r>
      <w:r w:rsidR="00AF72FE">
        <w:rPr>
          <w:rFonts w:ascii="Calibri" w:hAnsi="Calibri" w:cs="Calibri"/>
          <w:sz w:val="24"/>
          <w:szCs w:val="24"/>
        </w:rPr>
        <w:t>oblastech</w:t>
      </w:r>
      <w:r w:rsidRPr="00A01C84">
        <w:rPr>
          <w:rFonts w:ascii="Calibri" w:hAnsi="Calibri" w:cs="Calibri"/>
          <w:sz w:val="24"/>
          <w:szCs w:val="24"/>
        </w:rPr>
        <w:t>, náklady na přibližování jsou ale řádově vyšší. Mezi roky 2016 a 2018 byl zaznamenán nárůst průměrných n</w:t>
      </w:r>
      <w:r w:rsidR="00F62421">
        <w:rPr>
          <w:rFonts w:ascii="Calibri" w:hAnsi="Calibri" w:cs="Calibri"/>
          <w:sz w:val="24"/>
          <w:szCs w:val="24"/>
        </w:rPr>
        <w:t>ákladů na těžební činnosti o 17 </w:t>
      </w:r>
      <w:r w:rsidRPr="00A01C84">
        <w:rPr>
          <w:rFonts w:ascii="Calibri" w:hAnsi="Calibri" w:cs="Calibri"/>
          <w:sz w:val="24"/>
          <w:szCs w:val="24"/>
        </w:rPr>
        <w:t>%.</w:t>
      </w:r>
    </w:p>
    <w:p w14:paraId="12EDBE07" w14:textId="1AF38A96" w:rsidR="00A01C84" w:rsidRPr="00A01C84" w:rsidRDefault="00A01C84" w:rsidP="00C90E35">
      <w:pPr>
        <w:widowControl/>
        <w:autoSpaceDE/>
        <w:autoSpaceDN/>
        <w:adjustRightInd/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A01C84">
        <w:rPr>
          <w:rFonts w:ascii="Calibri" w:hAnsi="Calibri" w:cs="Calibri"/>
          <w:sz w:val="24"/>
          <w:szCs w:val="24"/>
        </w:rPr>
        <w:t xml:space="preserve">Do roční průměrné ceny za prodej dřeva se negativně promítá malý podíl dodávek v prvním čtvrtletí roku, kdy jsou ceny na trhu nejvyšší, ale těžební možnosti </w:t>
      </w:r>
      <w:r w:rsidR="006938F2">
        <w:rPr>
          <w:rFonts w:ascii="Calibri" w:hAnsi="Calibri" w:cs="Calibri"/>
          <w:sz w:val="24"/>
          <w:szCs w:val="24"/>
        </w:rPr>
        <w:t xml:space="preserve">Správy KRNAP </w:t>
      </w:r>
      <w:r w:rsidRPr="00A01C84">
        <w:rPr>
          <w:rFonts w:ascii="Calibri" w:hAnsi="Calibri" w:cs="Calibri"/>
          <w:sz w:val="24"/>
          <w:szCs w:val="24"/>
        </w:rPr>
        <w:t>jsou velmi nízké, zejména kvůli sněhové pokrývce a ochraně přírody</w:t>
      </w:r>
      <w:r w:rsidR="009048FF">
        <w:rPr>
          <w:rFonts w:ascii="Calibri" w:hAnsi="Calibri" w:cs="Calibri"/>
          <w:sz w:val="24"/>
          <w:szCs w:val="24"/>
        </w:rPr>
        <w:t xml:space="preserve"> a krajiny</w:t>
      </w:r>
      <w:r w:rsidRPr="00A01C84">
        <w:rPr>
          <w:rFonts w:ascii="Calibri" w:hAnsi="Calibri" w:cs="Calibri"/>
          <w:sz w:val="24"/>
          <w:szCs w:val="24"/>
        </w:rPr>
        <w:t xml:space="preserve">. Naopak nejvíce </w:t>
      </w:r>
      <w:r w:rsidR="006938F2">
        <w:rPr>
          <w:rFonts w:ascii="Calibri" w:hAnsi="Calibri" w:cs="Calibri"/>
          <w:sz w:val="24"/>
          <w:szCs w:val="24"/>
        </w:rPr>
        <w:t>dřeva</w:t>
      </w:r>
      <w:r w:rsidR="00FD0DE4">
        <w:rPr>
          <w:rFonts w:ascii="Calibri" w:hAnsi="Calibri" w:cs="Calibri"/>
          <w:sz w:val="24"/>
          <w:szCs w:val="24"/>
        </w:rPr>
        <w:t xml:space="preserve"> je</w:t>
      </w:r>
      <w:r w:rsidR="00AF72FE">
        <w:rPr>
          <w:rFonts w:ascii="Calibri" w:hAnsi="Calibri" w:cs="Calibri"/>
          <w:sz w:val="24"/>
          <w:szCs w:val="24"/>
        </w:rPr>
        <w:t xml:space="preserve"> </w:t>
      </w:r>
      <w:r w:rsidRPr="00A01C84">
        <w:rPr>
          <w:rFonts w:ascii="Calibri" w:hAnsi="Calibri" w:cs="Calibri"/>
          <w:sz w:val="24"/>
          <w:szCs w:val="24"/>
        </w:rPr>
        <w:lastRenderedPageBreak/>
        <w:t xml:space="preserve">Správa KRNAP schopna dodávat ve třetím a čtvrtém čtvrtletí, kdy je na trhu převis nabídky </w:t>
      </w:r>
      <w:r w:rsidR="006938F2">
        <w:rPr>
          <w:rFonts w:ascii="Calibri" w:hAnsi="Calibri" w:cs="Calibri"/>
          <w:sz w:val="24"/>
          <w:szCs w:val="24"/>
        </w:rPr>
        <w:t>dřeva</w:t>
      </w:r>
      <w:r w:rsidRPr="00A01C84">
        <w:rPr>
          <w:rFonts w:ascii="Calibri" w:hAnsi="Calibri" w:cs="Calibri"/>
          <w:sz w:val="24"/>
          <w:szCs w:val="24"/>
        </w:rPr>
        <w:t xml:space="preserve"> nad poptávkou. </w:t>
      </w:r>
    </w:p>
    <w:p w14:paraId="459FC951" w14:textId="07E5ADF4" w:rsidR="00A01C84" w:rsidRPr="00A01C84" w:rsidRDefault="00A01C84" w:rsidP="00C90E35">
      <w:pPr>
        <w:widowControl/>
        <w:autoSpaceDE/>
        <w:autoSpaceDN/>
        <w:adjustRightInd/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A01C84">
        <w:rPr>
          <w:rFonts w:ascii="Calibri" w:hAnsi="Calibri" w:cs="Calibri"/>
          <w:sz w:val="24"/>
          <w:szCs w:val="24"/>
        </w:rPr>
        <w:t xml:space="preserve">Podle údajů, které předložila Správa KRNAP, </w:t>
      </w:r>
      <w:r w:rsidR="00AF72FE">
        <w:rPr>
          <w:rFonts w:ascii="Calibri" w:hAnsi="Calibri" w:cs="Calibri"/>
          <w:sz w:val="24"/>
          <w:szCs w:val="24"/>
        </w:rPr>
        <w:t>bylo</w:t>
      </w:r>
      <w:r w:rsidRPr="00A01C84">
        <w:rPr>
          <w:rFonts w:ascii="Calibri" w:hAnsi="Calibri" w:cs="Calibri"/>
          <w:sz w:val="24"/>
          <w:szCs w:val="24"/>
        </w:rPr>
        <w:t xml:space="preserve"> 99 % dřevní hmoty prodáno tuzemským odběratelům, z 53 % </w:t>
      </w:r>
      <w:r w:rsidR="00AF72FE">
        <w:rPr>
          <w:rFonts w:ascii="Calibri" w:hAnsi="Calibri" w:cs="Calibri"/>
          <w:sz w:val="24"/>
          <w:szCs w:val="24"/>
        </w:rPr>
        <w:t xml:space="preserve">to byli </w:t>
      </w:r>
      <w:r w:rsidRPr="00A01C84">
        <w:rPr>
          <w:rFonts w:ascii="Calibri" w:hAnsi="Calibri" w:cs="Calibri"/>
          <w:sz w:val="24"/>
          <w:szCs w:val="24"/>
        </w:rPr>
        <w:t>regionální odběratel</w:t>
      </w:r>
      <w:r w:rsidR="00AF72FE">
        <w:rPr>
          <w:rFonts w:ascii="Calibri" w:hAnsi="Calibri" w:cs="Calibri"/>
          <w:sz w:val="24"/>
          <w:szCs w:val="24"/>
        </w:rPr>
        <w:t>é</w:t>
      </w:r>
      <w:r w:rsidRPr="00A01C84">
        <w:rPr>
          <w:rFonts w:ascii="Calibri" w:hAnsi="Calibri" w:cs="Calibri"/>
          <w:sz w:val="24"/>
          <w:szCs w:val="24"/>
        </w:rPr>
        <w:t xml:space="preserve">. </w:t>
      </w:r>
      <w:r w:rsidR="006938F2">
        <w:rPr>
          <w:rFonts w:ascii="Calibri" w:hAnsi="Calibri" w:cs="Calibri"/>
          <w:sz w:val="24"/>
          <w:szCs w:val="24"/>
        </w:rPr>
        <w:t>J</w:t>
      </w:r>
      <w:r w:rsidR="006938F2" w:rsidRPr="00A01C84">
        <w:rPr>
          <w:rFonts w:ascii="Calibri" w:hAnsi="Calibri" w:cs="Calibri"/>
          <w:sz w:val="24"/>
          <w:szCs w:val="24"/>
        </w:rPr>
        <w:t>edn</w:t>
      </w:r>
      <w:r w:rsidR="00AF72FE">
        <w:rPr>
          <w:rFonts w:ascii="Calibri" w:hAnsi="Calibri" w:cs="Calibri"/>
          <w:sz w:val="24"/>
          <w:szCs w:val="24"/>
        </w:rPr>
        <w:t>alo</w:t>
      </w:r>
      <w:r w:rsidR="006938F2" w:rsidRPr="00A01C84">
        <w:rPr>
          <w:rFonts w:ascii="Calibri" w:hAnsi="Calibri" w:cs="Calibri"/>
          <w:sz w:val="24"/>
          <w:szCs w:val="24"/>
        </w:rPr>
        <w:t xml:space="preserve"> se </w:t>
      </w:r>
      <w:r w:rsidR="00830D11">
        <w:rPr>
          <w:rFonts w:ascii="Calibri" w:hAnsi="Calibri" w:cs="Calibri"/>
          <w:sz w:val="24"/>
          <w:szCs w:val="24"/>
        </w:rPr>
        <w:t>především o</w:t>
      </w:r>
      <w:r w:rsidR="00AF72FE">
        <w:rPr>
          <w:rFonts w:ascii="Calibri" w:hAnsi="Calibri" w:cs="Calibri"/>
          <w:sz w:val="24"/>
          <w:szCs w:val="24"/>
        </w:rPr>
        <w:t xml:space="preserve"> </w:t>
      </w:r>
      <w:r w:rsidR="006938F2" w:rsidRPr="00A01C84">
        <w:rPr>
          <w:rFonts w:ascii="Calibri" w:hAnsi="Calibri" w:cs="Calibri"/>
          <w:sz w:val="24"/>
          <w:szCs w:val="24"/>
        </w:rPr>
        <w:t xml:space="preserve">sortiment </w:t>
      </w:r>
      <w:r w:rsidR="00AF72FE">
        <w:rPr>
          <w:rFonts w:ascii="Calibri" w:hAnsi="Calibri" w:cs="Calibri"/>
          <w:sz w:val="24"/>
          <w:szCs w:val="24"/>
        </w:rPr>
        <w:t xml:space="preserve">těchto jakostí: </w:t>
      </w:r>
      <w:r w:rsidR="006938F2" w:rsidRPr="00A01C84">
        <w:rPr>
          <w:rFonts w:ascii="Calibri" w:hAnsi="Calibri" w:cs="Calibri"/>
          <w:sz w:val="24"/>
          <w:szCs w:val="24"/>
        </w:rPr>
        <w:t>III. třída A/B, III. třída C a III. třída D</w:t>
      </w:r>
      <w:r w:rsidR="006938F2">
        <w:rPr>
          <w:rFonts w:ascii="Calibri" w:hAnsi="Calibri" w:cs="Calibri"/>
          <w:sz w:val="24"/>
          <w:szCs w:val="24"/>
        </w:rPr>
        <w:t>, které</w:t>
      </w:r>
      <w:r w:rsidR="006938F2" w:rsidRPr="00A01C84">
        <w:rPr>
          <w:rFonts w:ascii="Calibri" w:hAnsi="Calibri" w:cs="Calibri"/>
          <w:sz w:val="24"/>
          <w:szCs w:val="24"/>
        </w:rPr>
        <w:t xml:space="preserve"> tvoř</w:t>
      </w:r>
      <w:r w:rsidR="00AF72FE">
        <w:rPr>
          <w:rFonts w:ascii="Calibri" w:hAnsi="Calibri" w:cs="Calibri"/>
          <w:sz w:val="24"/>
          <w:szCs w:val="24"/>
        </w:rPr>
        <w:t>ily</w:t>
      </w:r>
      <w:r w:rsidR="006938F2" w:rsidRPr="00A01C84">
        <w:rPr>
          <w:rFonts w:ascii="Calibri" w:hAnsi="Calibri" w:cs="Calibri"/>
          <w:sz w:val="24"/>
          <w:szCs w:val="24"/>
        </w:rPr>
        <w:t xml:space="preserve"> cca 70 % těžby smrku.</w:t>
      </w:r>
      <w:r w:rsidR="006938F2">
        <w:rPr>
          <w:rFonts w:ascii="Calibri" w:hAnsi="Calibri" w:cs="Calibri"/>
          <w:sz w:val="24"/>
          <w:szCs w:val="24"/>
        </w:rPr>
        <w:t xml:space="preserve"> </w:t>
      </w:r>
      <w:r w:rsidR="006938F2" w:rsidRPr="00A01C84">
        <w:rPr>
          <w:rFonts w:ascii="Calibri" w:hAnsi="Calibri" w:cs="Calibri"/>
          <w:sz w:val="24"/>
          <w:szCs w:val="24"/>
        </w:rPr>
        <w:t xml:space="preserve">V roce 2018 klesla oproti roku 2017 </w:t>
      </w:r>
      <w:r w:rsidR="00B11959">
        <w:rPr>
          <w:rFonts w:ascii="Calibri" w:hAnsi="Calibri" w:cs="Calibri"/>
          <w:sz w:val="24"/>
          <w:szCs w:val="24"/>
        </w:rPr>
        <w:t>prodejní</w:t>
      </w:r>
      <w:r w:rsidR="006938F2">
        <w:rPr>
          <w:rFonts w:ascii="Calibri" w:hAnsi="Calibri" w:cs="Calibri"/>
          <w:sz w:val="24"/>
          <w:szCs w:val="24"/>
        </w:rPr>
        <w:t xml:space="preserve"> cena smrkového dřeva o 20 %.</w:t>
      </w:r>
    </w:p>
    <w:p w14:paraId="1DFAF9CD" w14:textId="114F1E9E" w:rsidR="006938F2" w:rsidRDefault="00A01C84" w:rsidP="00C90E35">
      <w:pPr>
        <w:widowControl/>
        <w:autoSpaceDE/>
        <w:autoSpaceDN/>
        <w:adjustRightInd/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A01C84">
        <w:rPr>
          <w:rFonts w:ascii="Calibri" w:hAnsi="Calibri" w:cs="Calibri"/>
          <w:sz w:val="24"/>
          <w:szCs w:val="24"/>
        </w:rPr>
        <w:t>Největší objem prodeje dřeva Správa KRNAP realiz</w:t>
      </w:r>
      <w:r w:rsidR="00AF72FE">
        <w:rPr>
          <w:rFonts w:ascii="Calibri" w:hAnsi="Calibri" w:cs="Calibri"/>
          <w:sz w:val="24"/>
          <w:szCs w:val="24"/>
        </w:rPr>
        <w:t>ovala</w:t>
      </w:r>
      <w:r w:rsidRPr="00A01C84">
        <w:rPr>
          <w:rFonts w:ascii="Calibri" w:hAnsi="Calibri" w:cs="Calibri"/>
          <w:sz w:val="24"/>
          <w:szCs w:val="24"/>
        </w:rPr>
        <w:t xml:space="preserve"> na základě rámcových kupních smluv uzavřených s nosnými odběrateli jednotlivých sortimentů </w:t>
      </w:r>
      <w:r w:rsidR="00210BBC">
        <w:rPr>
          <w:rFonts w:ascii="Calibri" w:hAnsi="Calibri" w:cs="Calibri"/>
          <w:sz w:val="24"/>
          <w:szCs w:val="24"/>
        </w:rPr>
        <w:t xml:space="preserve">v rámci celé </w:t>
      </w:r>
      <w:r w:rsidR="00EC2F9D">
        <w:rPr>
          <w:rFonts w:ascii="Calibri" w:hAnsi="Calibri" w:cs="Calibri"/>
          <w:sz w:val="24"/>
          <w:szCs w:val="24"/>
        </w:rPr>
        <w:t>ČR</w:t>
      </w:r>
      <w:r w:rsidR="00210BBC">
        <w:rPr>
          <w:rFonts w:ascii="Calibri" w:hAnsi="Calibri" w:cs="Calibri"/>
          <w:sz w:val="24"/>
          <w:szCs w:val="24"/>
        </w:rPr>
        <w:t xml:space="preserve">. </w:t>
      </w:r>
    </w:p>
    <w:p w14:paraId="404DEAFD" w14:textId="77777777" w:rsidR="00A01C84" w:rsidRPr="00A01C84" w:rsidRDefault="006161B6" w:rsidP="00C90E35">
      <w:pPr>
        <w:widowControl/>
        <w:autoSpaceDE/>
        <w:autoSpaceDN/>
        <w:adjustRightInd/>
        <w:spacing w:before="120" w:after="12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Správa NP Šumava</w:t>
      </w:r>
    </w:p>
    <w:p w14:paraId="083CCAA0" w14:textId="3A0D5840" w:rsidR="00A01C84" w:rsidRPr="00A01C84" w:rsidRDefault="00A01C84" w:rsidP="00C90E35">
      <w:pPr>
        <w:widowControl/>
        <w:autoSpaceDE/>
        <w:autoSpaceDN/>
        <w:adjustRightInd/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A01C84">
        <w:rPr>
          <w:rFonts w:ascii="Calibri" w:hAnsi="Calibri" w:cs="Calibri"/>
          <w:sz w:val="24"/>
          <w:szCs w:val="24"/>
        </w:rPr>
        <w:t>Správa NP Šumava realiz</w:t>
      </w:r>
      <w:r w:rsidR="00AF72FE">
        <w:rPr>
          <w:rFonts w:ascii="Calibri" w:hAnsi="Calibri" w:cs="Calibri"/>
          <w:sz w:val="24"/>
          <w:szCs w:val="24"/>
        </w:rPr>
        <w:t>ovala</w:t>
      </w:r>
      <w:r w:rsidRPr="00A01C84">
        <w:rPr>
          <w:rFonts w:ascii="Calibri" w:hAnsi="Calibri" w:cs="Calibri"/>
          <w:sz w:val="24"/>
          <w:szCs w:val="24"/>
        </w:rPr>
        <w:t xml:space="preserve"> pouze prodej různých sortimentů s</w:t>
      </w:r>
      <w:r w:rsidR="00210BBC">
        <w:rPr>
          <w:rFonts w:ascii="Calibri" w:hAnsi="Calibri" w:cs="Calibri"/>
          <w:sz w:val="24"/>
          <w:szCs w:val="24"/>
        </w:rPr>
        <w:t>mrku</w:t>
      </w:r>
      <w:r w:rsidR="00AF72FE">
        <w:rPr>
          <w:rFonts w:ascii="Calibri" w:hAnsi="Calibri" w:cs="Calibri"/>
          <w:sz w:val="24"/>
          <w:szCs w:val="24"/>
        </w:rPr>
        <w:t>, jednalo</w:t>
      </w:r>
      <w:r w:rsidR="00210BBC">
        <w:rPr>
          <w:rFonts w:ascii="Calibri" w:hAnsi="Calibri" w:cs="Calibri"/>
          <w:sz w:val="24"/>
          <w:szCs w:val="24"/>
        </w:rPr>
        <w:t xml:space="preserve"> se o sortiment </w:t>
      </w:r>
      <w:r w:rsidR="00AF72FE">
        <w:rPr>
          <w:rFonts w:ascii="Calibri" w:hAnsi="Calibri" w:cs="Calibri"/>
          <w:sz w:val="24"/>
          <w:szCs w:val="24"/>
        </w:rPr>
        <w:t xml:space="preserve">těchto jakostí: </w:t>
      </w:r>
      <w:r w:rsidR="00210BBC">
        <w:rPr>
          <w:rFonts w:ascii="Calibri" w:hAnsi="Calibri" w:cs="Calibri"/>
          <w:sz w:val="24"/>
          <w:szCs w:val="24"/>
        </w:rPr>
        <w:t>II. </w:t>
      </w:r>
      <w:r w:rsidRPr="00A01C84">
        <w:rPr>
          <w:rFonts w:ascii="Calibri" w:hAnsi="Calibri" w:cs="Calibri"/>
          <w:sz w:val="24"/>
          <w:szCs w:val="24"/>
        </w:rPr>
        <w:t>třída, III. třída A, III. tříd</w:t>
      </w:r>
      <w:r w:rsidR="00D2547D">
        <w:rPr>
          <w:rFonts w:ascii="Calibri" w:hAnsi="Calibri" w:cs="Calibri"/>
          <w:sz w:val="24"/>
          <w:szCs w:val="24"/>
        </w:rPr>
        <w:t>a B, III. třída C, III. třída C</w:t>
      </w:r>
      <w:r w:rsidRPr="00A01C84">
        <w:rPr>
          <w:rFonts w:ascii="Calibri" w:hAnsi="Calibri" w:cs="Calibri"/>
          <w:sz w:val="24"/>
          <w:szCs w:val="24"/>
        </w:rPr>
        <w:t xml:space="preserve"> </w:t>
      </w:r>
      <w:r w:rsidR="00AF72FE">
        <w:rPr>
          <w:rFonts w:ascii="Calibri" w:hAnsi="Calibri" w:cs="Calibri"/>
          <w:sz w:val="24"/>
          <w:szCs w:val="24"/>
        </w:rPr>
        <w:t>–</w:t>
      </w:r>
      <w:r w:rsidRPr="00A01C84">
        <w:rPr>
          <w:rFonts w:ascii="Calibri" w:hAnsi="Calibri" w:cs="Calibri"/>
          <w:sz w:val="24"/>
          <w:szCs w:val="24"/>
        </w:rPr>
        <w:t xml:space="preserve"> agregát, III. třída DV, III.</w:t>
      </w:r>
      <w:r w:rsidR="00AF72FE">
        <w:rPr>
          <w:rFonts w:ascii="Calibri" w:hAnsi="Calibri" w:cs="Calibri"/>
          <w:sz w:val="24"/>
          <w:szCs w:val="24"/>
        </w:rPr>
        <w:t> </w:t>
      </w:r>
      <w:r w:rsidRPr="00A01C84">
        <w:rPr>
          <w:rFonts w:ascii="Calibri" w:hAnsi="Calibri" w:cs="Calibri"/>
          <w:sz w:val="24"/>
          <w:szCs w:val="24"/>
        </w:rPr>
        <w:t>třída D, IV. třída (dřevovina), V. třída (vláknina)</w:t>
      </w:r>
      <w:r w:rsidR="00AF72FE">
        <w:rPr>
          <w:rFonts w:ascii="Calibri" w:hAnsi="Calibri" w:cs="Calibri"/>
          <w:sz w:val="24"/>
          <w:szCs w:val="24"/>
        </w:rPr>
        <w:t>.</w:t>
      </w:r>
      <w:r w:rsidRPr="00A01C84">
        <w:rPr>
          <w:rFonts w:ascii="Calibri" w:hAnsi="Calibri" w:cs="Calibri"/>
          <w:sz w:val="24"/>
          <w:szCs w:val="24"/>
        </w:rPr>
        <w:t xml:space="preserve"> </w:t>
      </w:r>
      <w:r w:rsidR="00AF72FE">
        <w:rPr>
          <w:rFonts w:ascii="Calibri" w:hAnsi="Calibri" w:cs="Calibri"/>
          <w:sz w:val="24"/>
          <w:szCs w:val="24"/>
        </w:rPr>
        <w:t>O</w:t>
      </w:r>
      <w:r w:rsidRPr="00A01C84">
        <w:rPr>
          <w:rFonts w:ascii="Calibri" w:hAnsi="Calibri" w:cs="Calibri"/>
          <w:sz w:val="24"/>
          <w:szCs w:val="24"/>
        </w:rPr>
        <w:t>bjemy těchto sortimentů tvoř</w:t>
      </w:r>
      <w:r w:rsidR="00AF72FE">
        <w:rPr>
          <w:rFonts w:ascii="Calibri" w:hAnsi="Calibri" w:cs="Calibri"/>
          <w:sz w:val="24"/>
          <w:szCs w:val="24"/>
        </w:rPr>
        <w:t>ily</w:t>
      </w:r>
      <w:r w:rsidRPr="00A01C84">
        <w:rPr>
          <w:rFonts w:ascii="Calibri" w:hAnsi="Calibri" w:cs="Calibri"/>
          <w:sz w:val="24"/>
          <w:szCs w:val="24"/>
        </w:rPr>
        <w:t xml:space="preserve"> cca 95</w:t>
      </w:r>
      <w:r w:rsidR="00AF72FE">
        <w:rPr>
          <w:rFonts w:ascii="Calibri" w:hAnsi="Calibri" w:cs="Calibri"/>
          <w:sz w:val="24"/>
          <w:szCs w:val="24"/>
        </w:rPr>
        <w:t> </w:t>
      </w:r>
      <w:r w:rsidRPr="00A01C84">
        <w:rPr>
          <w:rFonts w:ascii="Calibri" w:hAnsi="Calibri" w:cs="Calibri"/>
          <w:sz w:val="24"/>
          <w:szCs w:val="24"/>
        </w:rPr>
        <w:t>% těžby smrku.</w:t>
      </w:r>
    </w:p>
    <w:p w14:paraId="1F360005" w14:textId="77777777" w:rsidR="00922C09" w:rsidRDefault="00A01C84" w:rsidP="00C90E35">
      <w:pPr>
        <w:widowControl/>
        <w:autoSpaceDE/>
        <w:autoSpaceDN/>
        <w:adjustRightInd/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A01C84">
        <w:rPr>
          <w:rFonts w:ascii="Calibri" w:hAnsi="Calibri" w:cs="Calibri"/>
          <w:sz w:val="24"/>
          <w:szCs w:val="24"/>
        </w:rPr>
        <w:t xml:space="preserve">Správa NP Šumava zaznamenala v roce 2018 nárůst průměrných nákladů na těžební činnost oproti roku 2017 o cca 22 %. </w:t>
      </w:r>
    </w:p>
    <w:p w14:paraId="75AB7384" w14:textId="181391ED" w:rsidR="00A01C84" w:rsidRPr="00A01C84" w:rsidRDefault="00A01C84" w:rsidP="00C90E35">
      <w:pPr>
        <w:widowControl/>
        <w:autoSpaceDE/>
        <w:autoSpaceDN/>
        <w:adjustRightInd/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A01C84">
        <w:rPr>
          <w:rFonts w:ascii="Calibri" w:hAnsi="Calibri" w:cs="Calibri"/>
          <w:sz w:val="24"/>
          <w:szCs w:val="24"/>
        </w:rPr>
        <w:t>Po</w:t>
      </w:r>
      <w:r w:rsidR="006938F2">
        <w:rPr>
          <w:rFonts w:ascii="Calibri" w:hAnsi="Calibri" w:cs="Calibri"/>
          <w:sz w:val="24"/>
          <w:szCs w:val="24"/>
        </w:rPr>
        <w:t>dle údajů</w:t>
      </w:r>
      <w:r w:rsidRPr="00A01C84">
        <w:rPr>
          <w:rFonts w:ascii="Calibri" w:hAnsi="Calibri" w:cs="Calibri"/>
          <w:sz w:val="24"/>
          <w:szCs w:val="24"/>
        </w:rPr>
        <w:t xml:space="preserve">, které předložila Správa NP Šumava, </w:t>
      </w:r>
      <w:r w:rsidR="00AF72FE">
        <w:rPr>
          <w:rFonts w:ascii="Calibri" w:hAnsi="Calibri" w:cs="Calibri"/>
          <w:sz w:val="24"/>
          <w:szCs w:val="24"/>
        </w:rPr>
        <w:t>bylo</w:t>
      </w:r>
      <w:r w:rsidRPr="00A01C84">
        <w:rPr>
          <w:rFonts w:ascii="Calibri" w:hAnsi="Calibri" w:cs="Calibri"/>
          <w:sz w:val="24"/>
          <w:szCs w:val="24"/>
        </w:rPr>
        <w:t xml:space="preserve"> </w:t>
      </w:r>
      <w:r w:rsidR="006938F2">
        <w:rPr>
          <w:rFonts w:ascii="Calibri" w:hAnsi="Calibri" w:cs="Calibri"/>
          <w:sz w:val="24"/>
          <w:szCs w:val="24"/>
        </w:rPr>
        <w:t>dřevo</w:t>
      </w:r>
      <w:r w:rsidRPr="00A01C84">
        <w:rPr>
          <w:rFonts w:ascii="Calibri" w:hAnsi="Calibri" w:cs="Calibri"/>
          <w:sz w:val="24"/>
          <w:szCs w:val="24"/>
        </w:rPr>
        <w:t xml:space="preserve"> prodán</w:t>
      </w:r>
      <w:r w:rsidR="00210BBC">
        <w:rPr>
          <w:rFonts w:ascii="Calibri" w:hAnsi="Calibri" w:cs="Calibri"/>
          <w:sz w:val="24"/>
          <w:szCs w:val="24"/>
        </w:rPr>
        <w:t>o</w:t>
      </w:r>
      <w:r w:rsidRPr="00A01C84">
        <w:rPr>
          <w:rFonts w:ascii="Calibri" w:hAnsi="Calibri" w:cs="Calibri"/>
          <w:sz w:val="24"/>
          <w:szCs w:val="24"/>
        </w:rPr>
        <w:t xml:space="preserve"> tuzemským odběratelům (67 % </w:t>
      </w:r>
      <w:r w:rsidR="00AF72FE">
        <w:rPr>
          <w:rFonts w:ascii="Calibri" w:hAnsi="Calibri" w:cs="Calibri"/>
          <w:sz w:val="24"/>
          <w:szCs w:val="24"/>
        </w:rPr>
        <w:t>až</w:t>
      </w:r>
      <w:r w:rsidRPr="00A01C84">
        <w:rPr>
          <w:rFonts w:ascii="Calibri" w:hAnsi="Calibri" w:cs="Calibri"/>
          <w:sz w:val="24"/>
          <w:szCs w:val="24"/>
        </w:rPr>
        <w:t xml:space="preserve"> 84 %). Dále </w:t>
      </w:r>
      <w:r w:rsidR="006938F2">
        <w:rPr>
          <w:rFonts w:ascii="Calibri" w:hAnsi="Calibri" w:cs="Calibri"/>
          <w:sz w:val="24"/>
          <w:szCs w:val="24"/>
        </w:rPr>
        <w:t xml:space="preserve">Správa </w:t>
      </w:r>
      <w:r w:rsidRPr="00A01C84">
        <w:rPr>
          <w:rFonts w:ascii="Calibri" w:hAnsi="Calibri" w:cs="Calibri"/>
          <w:sz w:val="24"/>
          <w:szCs w:val="24"/>
        </w:rPr>
        <w:t xml:space="preserve">NP Šumava </w:t>
      </w:r>
      <w:r w:rsidR="007C2B48">
        <w:rPr>
          <w:rFonts w:ascii="Calibri" w:hAnsi="Calibri" w:cs="Calibri"/>
          <w:sz w:val="24"/>
          <w:szCs w:val="24"/>
        </w:rPr>
        <w:t>exportovala dřevo</w:t>
      </w:r>
      <w:r w:rsidRPr="00A01C84">
        <w:rPr>
          <w:rFonts w:ascii="Calibri" w:hAnsi="Calibri" w:cs="Calibri"/>
          <w:sz w:val="24"/>
          <w:szCs w:val="24"/>
        </w:rPr>
        <w:t xml:space="preserve"> do Rakouska a Německa (14 % </w:t>
      </w:r>
      <w:r w:rsidR="00AF72FE">
        <w:rPr>
          <w:rFonts w:ascii="Calibri" w:hAnsi="Calibri" w:cs="Calibri"/>
          <w:sz w:val="24"/>
          <w:szCs w:val="24"/>
        </w:rPr>
        <w:t>až</w:t>
      </w:r>
      <w:r w:rsidRPr="00A01C84">
        <w:rPr>
          <w:rFonts w:ascii="Calibri" w:hAnsi="Calibri" w:cs="Calibri"/>
          <w:sz w:val="24"/>
          <w:szCs w:val="24"/>
        </w:rPr>
        <w:t xml:space="preserve"> 33</w:t>
      </w:r>
      <w:r w:rsidR="00AF72FE">
        <w:rPr>
          <w:rFonts w:ascii="Calibri" w:hAnsi="Calibri" w:cs="Calibri"/>
          <w:sz w:val="24"/>
          <w:szCs w:val="24"/>
        </w:rPr>
        <w:t> </w:t>
      </w:r>
      <w:r w:rsidRPr="00A01C84">
        <w:rPr>
          <w:rFonts w:ascii="Calibri" w:hAnsi="Calibri" w:cs="Calibri"/>
          <w:sz w:val="24"/>
          <w:szCs w:val="24"/>
        </w:rPr>
        <w:t xml:space="preserve">%). Kromě prodeje </w:t>
      </w:r>
      <w:r w:rsidR="007C2B48">
        <w:rPr>
          <w:rFonts w:ascii="Calibri" w:hAnsi="Calibri" w:cs="Calibri"/>
          <w:sz w:val="24"/>
          <w:szCs w:val="24"/>
        </w:rPr>
        <w:t>dřeva</w:t>
      </w:r>
      <w:r w:rsidRPr="00A01C84">
        <w:rPr>
          <w:rFonts w:ascii="Calibri" w:hAnsi="Calibri" w:cs="Calibri"/>
          <w:sz w:val="24"/>
          <w:szCs w:val="24"/>
        </w:rPr>
        <w:t xml:space="preserve"> prostřednictvím smluvních vztahů realizovala Správa NP Šumava elektronické aukce dřeva. Správa NP Šumava v omezeném r</w:t>
      </w:r>
      <w:r w:rsidR="00F8770B">
        <w:rPr>
          <w:rFonts w:ascii="Calibri" w:hAnsi="Calibri" w:cs="Calibri"/>
          <w:sz w:val="24"/>
          <w:szCs w:val="24"/>
        </w:rPr>
        <w:t>ozsahu umožňuje maloprodej dřeva</w:t>
      </w:r>
      <w:r w:rsidRPr="00A01C84">
        <w:rPr>
          <w:rFonts w:ascii="Calibri" w:hAnsi="Calibri" w:cs="Calibri"/>
          <w:sz w:val="24"/>
          <w:szCs w:val="24"/>
        </w:rPr>
        <w:t xml:space="preserve">, prodej paliva, samovýrob (i užitkových sortimentů) přímo konečným spotřebitelům. </w:t>
      </w:r>
      <w:r w:rsidR="007C2B48">
        <w:rPr>
          <w:rFonts w:ascii="Calibri" w:hAnsi="Calibri" w:cs="Calibri"/>
          <w:sz w:val="24"/>
          <w:szCs w:val="24"/>
        </w:rPr>
        <w:t>Mezi roky 2016</w:t>
      </w:r>
      <w:r w:rsidR="00EA4BFB">
        <w:rPr>
          <w:rFonts w:ascii="Calibri" w:hAnsi="Calibri" w:cs="Calibri"/>
          <w:sz w:val="24"/>
          <w:szCs w:val="24"/>
        </w:rPr>
        <w:t>–</w:t>
      </w:r>
      <w:r w:rsidR="007C2B48">
        <w:rPr>
          <w:rFonts w:ascii="Calibri" w:hAnsi="Calibri" w:cs="Calibri"/>
          <w:sz w:val="24"/>
          <w:szCs w:val="24"/>
        </w:rPr>
        <w:t>2018</w:t>
      </w:r>
      <w:r w:rsidRPr="00A01C84">
        <w:rPr>
          <w:rFonts w:ascii="Calibri" w:hAnsi="Calibri" w:cs="Calibri"/>
          <w:sz w:val="24"/>
          <w:szCs w:val="24"/>
        </w:rPr>
        <w:t xml:space="preserve"> </w:t>
      </w:r>
      <w:r w:rsidR="007C2B48">
        <w:rPr>
          <w:rFonts w:ascii="Calibri" w:hAnsi="Calibri" w:cs="Calibri"/>
          <w:sz w:val="24"/>
          <w:szCs w:val="24"/>
        </w:rPr>
        <w:t xml:space="preserve">evidovala </w:t>
      </w:r>
      <w:r w:rsidRPr="00A01C84">
        <w:rPr>
          <w:rFonts w:ascii="Calibri" w:hAnsi="Calibri" w:cs="Calibri"/>
          <w:sz w:val="24"/>
          <w:szCs w:val="24"/>
        </w:rPr>
        <w:t>Správa NP Šumava</w:t>
      </w:r>
      <w:r w:rsidR="00F8770B">
        <w:rPr>
          <w:rFonts w:ascii="Calibri" w:hAnsi="Calibri" w:cs="Calibri"/>
          <w:sz w:val="24"/>
          <w:szCs w:val="24"/>
        </w:rPr>
        <w:t xml:space="preserve"> nárůst množství prodaného dřeva</w:t>
      </w:r>
      <w:r w:rsidR="00B11959">
        <w:rPr>
          <w:rFonts w:ascii="Calibri" w:hAnsi="Calibri" w:cs="Calibri"/>
          <w:sz w:val="24"/>
          <w:szCs w:val="24"/>
        </w:rPr>
        <w:t xml:space="preserve"> o 95</w:t>
      </w:r>
      <w:r w:rsidR="00AF72FE">
        <w:rPr>
          <w:rFonts w:ascii="Calibri" w:hAnsi="Calibri" w:cs="Calibri"/>
          <w:sz w:val="24"/>
          <w:szCs w:val="24"/>
        </w:rPr>
        <w:t> </w:t>
      </w:r>
      <w:r w:rsidR="00B11959">
        <w:rPr>
          <w:rFonts w:ascii="Calibri" w:hAnsi="Calibri" w:cs="Calibri"/>
          <w:sz w:val="24"/>
          <w:szCs w:val="24"/>
        </w:rPr>
        <w:t xml:space="preserve">% </w:t>
      </w:r>
      <w:r w:rsidR="00AF72FE">
        <w:rPr>
          <w:rFonts w:ascii="Calibri" w:hAnsi="Calibri" w:cs="Calibri"/>
          <w:sz w:val="24"/>
          <w:szCs w:val="24"/>
        </w:rPr>
        <w:t>a </w:t>
      </w:r>
      <w:r w:rsidR="00B11959">
        <w:rPr>
          <w:rFonts w:ascii="Calibri" w:hAnsi="Calibri" w:cs="Calibri"/>
          <w:sz w:val="24"/>
          <w:szCs w:val="24"/>
        </w:rPr>
        <w:t>pokles prodejní</w:t>
      </w:r>
      <w:r w:rsidRPr="00A01C84">
        <w:rPr>
          <w:rFonts w:ascii="Calibri" w:hAnsi="Calibri" w:cs="Calibri"/>
          <w:sz w:val="24"/>
          <w:szCs w:val="24"/>
        </w:rPr>
        <w:t xml:space="preserve"> ceny o 18 %. </w:t>
      </w:r>
    </w:p>
    <w:p w14:paraId="4D7B7588" w14:textId="77777777" w:rsidR="00A01C84" w:rsidRPr="00A01C84" w:rsidRDefault="006161B6" w:rsidP="00C90E35">
      <w:pPr>
        <w:widowControl/>
        <w:autoSpaceDE/>
        <w:autoSpaceDN/>
        <w:adjustRightInd/>
        <w:spacing w:before="120" w:after="12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Správa </w:t>
      </w:r>
      <w:r w:rsidR="00A01C84" w:rsidRPr="00A01C84">
        <w:rPr>
          <w:rFonts w:ascii="Calibri" w:hAnsi="Calibri" w:cs="Calibri"/>
          <w:b/>
          <w:sz w:val="24"/>
          <w:szCs w:val="24"/>
        </w:rPr>
        <w:t>NP Podyjí</w:t>
      </w:r>
    </w:p>
    <w:p w14:paraId="1458AF83" w14:textId="43750303" w:rsidR="00A01C84" w:rsidRPr="00A01C84" w:rsidRDefault="00A01C84" w:rsidP="00C90E35">
      <w:pPr>
        <w:widowControl/>
        <w:autoSpaceDE/>
        <w:autoSpaceDN/>
        <w:adjustRightInd/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A01C84">
        <w:rPr>
          <w:rFonts w:ascii="Calibri" w:hAnsi="Calibri" w:cs="Calibri"/>
          <w:sz w:val="24"/>
          <w:szCs w:val="24"/>
        </w:rPr>
        <w:t>Správa NP Podyjí realizovala v kontrolovaném období př</w:t>
      </w:r>
      <w:r w:rsidR="00A43F98">
        <w:rPr>
          <w:rFonts w:ascii="Calibri" w:hAnsi="Calibri" w:cs="Calibri"/>
          <w:sz w:val="24"/>
          <w:szCs w:val="24"/>
        </w:rPr>
        <w:t>edevším prodej smrku (cca 68 %)</w:t>
      </w:r>
      <w:r w:rsidRPr="00A01C84">
        <w:rPr>
          <w:rFonts w:ascii="Calibri" w:hAnsi="Calibri" w:cs="Calibri"/>
          <w:sz w:val="24"/>
          <w:szCs w:val="24"/>
        </w:rPr>
        <w:t xml:space="preserve"> </w:t>
      </w:r>
      <w:r w:rsidR="00A43F98">
        <w:rPr>
          <w:rFonts w:ascii="Calibri" w:hAnsi="Calibri" w:cs="Calibri"/>
          <w:sz w:val="24"/>
          <w:szCs w:val="24"/>
        </w:rPr>
        <w:t>a </w:t>
      </w:r>
      <w:r w:rsidRPr="00A01C84">
        <w:rPr>
          <w:rFonts w:ascii="Calibri" w:hAnsi="Calibri" w:cs="Calibri"/>
          <w:sz w:val="24"/>
          <w:szCs w:val="24"/>
        </w:rPr>
        <w:t>borovice (cca 26</w:t>
      </w:r>
      <w:r w:rsidR="007C2B48">
        <w:rPr>
          <w:rFonts w:ascii="Calibri" w:hAnsi="Calibri" w:cs="Calibri"/>
          <w:sz w:val="24"/>
          <w:szCs w:val="24"/>
        </w:rPr>
        <w:t xml:space="preserve"> </w:t>
      </w:r>
      <w:r w:rsidR="00A43F98">
        <w:rPr>
          <w:rFonts w:ascii="Calibri" w:hAnsi="Calibri" w:cs="Calibri"/>
          <w:sz w:val="24"/>
          <w:szCs w:val="24"/>
        </w:rPr>
        <w:t>%)</w:t>
      </w:r>
      <w:r w:rsidRPr="00A01C84">
        <w:rPr>
          <w:rFonts w:ascii="Calibri" w:hAnsi="Calibri" w:cs="Calibri"/>
          <w:sz w:val="24"/>
          <w:szCs w:val="24"/>
        </w:rPr>
        <w:t>. Veškeré výnosy z těžb</w:t>
      </w:r>
      <w:r w:rsidR="00AF72FE">
        <w:rPr>
          <w:rFonts w:ascii="Calibri" w:hAnsi="Calibri" w:cs="Calibri"/>
          <w:sz w:val="24"/>
          <w:szCs w:val="24"/>
        </w:rPr>
        <w:t>y</w:t>
      </w:r>
      <w:r w:rsidRPr="00A01C84">
        <w:rPr>
          <w:rFonts w:ascii="Calibri" w:hAnsi="Calibri" w:cs="Calibri"/>
          <w:sz w:val="24"/>
          <w:szCs w:val="24"/>
        </w:rPr>
        <w:t xml:space="preserve"> smrku jsou realizovány v tuzemsku a jed</w:t>
      </w:r>
      <w:r w:rsidR="00A43F98">
        <w:rPr>
          <w:rFonts w:ascii="Calibri" w:hAnsi="Calibri" w:cs="Calibri"/>
          <w:sz w:val="24"/>
          <w:szCs w:val="24"/>
        </w:rPr>
        <w:t>ná se</w:t>
      </w:r>
      <w:r w:rsidR="00AF72FE">
        <w:rPr>
          <w:rFonts w:ascii="Calibri" w:hAnsi="Calibri" w:cs="Calibri"/>
          <w:sz w:val="24"/>
          <w:szCs w:val="24"/>
        </w:rPr>
        <w:t xml:space="preserve"> </w:t>
      </w:r>
      <w:r w:rsidR="00A43F98">
        <w:rPr>
          <w:rFonts w:ascii="Calibri" w:hAnsi="Calibri" w:cs="Calibri"/>
          <w:sz w:val="24"/>
          <w:szCs w:val="24"/>
        </w:rPr>
        <w:t>o </w:t>
      </w:r>
      <w:r w:rsidR="007C2B48">
        <w:rPr>
          <w:rFonts w:ascii="Calibri" w:hAnsi="Calibri" w:cs="Calibri"/>
          <w:sz w:val="24"/>
          <w:szCs w:val="24"/>
        </w:rPr>
        <w:t xml:space="preserve">sortiment </w:t>
      </w:r>
      <w:r w:rsidR="00AF72FE">
        <w:rPr>
          <w:rFonts w:ascii="Calibri" w:hAnsi="Calibri" w:cs="Calibri"/>
          <w:sz w:val="24"/>
          <w:szCs w:val="24"/>
        </w:rPr>
        <w:t xml:space="preserve">těchto jakostních tříd: </w:t>
      </w:r>
      <w:r w:rsidR="007C2B48">
        <w:rPr>
          <w:rFonts w:ascii="Calibri" w:hAnsi="Calibri" w:cs="Calibri"/>
          <w:sz w:val="24"/>
          <w:szCs w:val="24"/>
        </w:rPr>
        <w:t>III. třída B/C</w:t>
      </w:r>
      <w:r w:rsidRPr="00A01C84">
        <w:rPr>
          <w:rFonts w:ascii="Calibri" w:hAnsi="Calibri" w:cs="Calibri"/>
          <w:sz w:val="24"/>
          <w:szCs w:val="24"/>
        </w:rPr>
        <w:t>, III. třída D a V. třída (vláknina).</w:t>
      </w:r>
    </w:p>
    <w:p w14:paraId="2951E48C" w14:textId="3511E04B" w:rsidR="00A01C84" w:rsidRPr="00A01C84" w:rsidRDefault="007C2B48" w:rsidP="00C90E35">
      <w:pPr>
        <w:widowControl/>
        <w:autoSpaceDE/>
        <w:autoSpaceDN/>
        <w:adjustRightInd/>
        <w:spacing w:before="120" w:after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Odbyt dřeva</w:t>
      </w:r>
      <w:r w:rsidR="00A01C84" w:rsidRPr="00A01C84">
        <w:rPr>
          <w:rFonts w:ascii="Calibri" w:hAnsi="Calibri" w:cs="Calibri"/>
          <w:sz w:val="24"/>
          <w:szCs w:val="24"/>
        </w:rPr>
        <w:t xml:space="preserve"> si zajišťuje S</w:t>
      </w:r>
      <w:r>
        <w:rPr>
          <w:rFonts w:ascii="Calibri" w:hAnsi="Calibri" w:cs="Calibri"/>
          <w:sz w:val="24"/>
          <w:szCs w:val="24"/>
        </w:rPr>
        <w:t xml:space="preserve">práva </w:t>
      </w:r>
      <w:r w:rsidR="00A01C84" w:rsidRPr="00A01C84">
        <w:rPr>
          <w:rFonts w:ascii="Calibri" w:hAnsi="Calibri" w:cs="Calibri"/>
          <w:sz w:val="24"/>
          <w:szCs w:val="24"/>
        </w:rPr>
        <w:t>NP</w:t>
      </w:r>
      <w:r>
        <w:rPr>
          <w:rFonts w:ascii="Calibri" w:hAnsi="Calibri" w:cs="Calibri"/>
          <w:sz w:val="24"/>
          <w:szCs w:val="24"/>
        </w:rPr>
        <w:t xml:space="preserve"> </w:t>
      </w:r>
      <w:r w:rsidR="00A01C84" w:rsidRPr="00A01C84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>odyjí</w:t>
      </w:r>
      <w:r w:rsidR="00A01C84" w:rsidRPr="00A01C84">
        <w:rPr>
          <w:rFonts w:ascii="Calibri" w:hAnsi="Calibri" w:cs="Calibri"/>
          <w:sz w:val="24"/>
          <w:szCs w:val="24"/>
        </w:rPr>
        <w:t xml:space="preserve"> sama na odvozním místě</w:t>
      </w:r>
      <w:r w:rsidR="003A5E76">
        <w:rPr>
          <w:rFonts w:ascii="Calibri" w:hAnsi="Calibri" w:cs="Calibri"/>
          <w:sz w:val="24"/>
          <w:szCs w:val="24"/>
        </w:rPr>
        <w:t>.</w:t>
      </w:r>
      <w:r w:rsidR="00A01C84" w:rsidRPr="00A01C84">
        <w:rPr>
          <w:rFonts w:ascii="Calibri" w:hAnsi="Calibri" w:cs="Calibri"/>
          <w:sz w:val="24"/>
          <w:szCs w:val="24"/>
        </w:rPr>
        <w:t xml:space="preserve"> Z tohoto důvodu j</w:t>
      </w:r>
      <w:r w:rsidR="003A5E76">
        <w:rPr>
          <w:rFonts w:ascii="Calibri" w:hAnsi="Calibri" w:cs="Calibri"/>
          <w:sz w:val="24"/>
          <w:szCs w:val="24"/>
        </w:rPr>
        <w:t>sou v </w:t>
      </w:r>
      <w:r w:rsidR="00A01C84" w:rsidRPr="00A01C84">
        <w:rPr>
          <w:rFonts w:ascii="Calibri" w:hAnsi="Calibri" w:cs="Calibri"/>
          <w:sz w:val="24"/>
          <w:szCs w:val="24"/>
        </w:rPr>
        <w:t>nákladech Správy NP Podyjí zahrn</w:t>
      </w:r>
      <w:r w:rsidR="00BE5271">
        <w:rPr>
          <w:rFonts w:ascii="Calibri" w:hAnsi="Calibri" w:cs="Calibri"/>
          <w:sz w:val="24"/>
          <w:szCs w:val="24"/>
        </w:rPr>
        <w:t>uty pouze náklady na</w:t>
      </w:r>
      <w:r w:rsidR="0049614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těžbu a přibližování dřeva</w:t>
      </w:r>
      <w:r w:rsidR="00A01C84" w:rsidRPr="00A01C84">
        <w:rPr>
          <w:rFonts w:ascii="Calibri" w:hAnsi="Calibri" w:cs="Calibri"/>
          <w:sz w:val="24"/>
          <w:szCs w:val="24"/>
        </w:rPr>
        <w:t>. Průměrné náklady na těžební činno</w:t>
      </w:r>
      <w:r w:rsidR="00BE5271">
        <w:rPr>
          <w:rFonts w:ascii="Calibri" w:hAnsi="Calibri" w:cs="Calibri"/>
          <w:sz w:val="24"/>
          <w:szCs w:val="24"/>
        </w:rPr>
        <w:t>st v </w:t>
      </w:r>
      <w:r w:rsidR="00A01C84" w:rsidRPr="00A01C84">
        <w:rPr>
          <w:rFonts w:ascii="Calibri" w:hAnsi="Calibri" w:cs="Calibri"/>
          <w:sz w:val="24"/>
          <w:szCs w:val="24"/>
        </w:rPr>
        <w:t xml:space="preserve">kontrolovaném období </w:t>
      </w:r>
      <w:r w:rsidR="00496140">
        <w:rPr>
          <w:rFonts w:ascii="Calibri" w:hAnsi="Calibri" w:cs="Calibri"/>
          <w:sz w:val="24"/>
          <w:szCs w:val="24"/>
        </w:rPr>
        <w:t>nerostly</w:t>
      </w:r>
      <w:r w:rsidR="00A01C84" w:rsidRPr="00A01C84">
        <w:rPr>
          <w:rFonts w:ascii="Calibri" w:hAnsi="Calibri" w:cs="Calibri"/>
          <w:sz w:val="24"/>
          <w:szCs w:val="24"/>
        </w:rPr>
        <w:t>, mez</w:t>
      </w:r>
      <w:r w:rsidR="00A43F98">
        <w:rPr>
          <w:rFonts w:ascii="Calibri" w:hAnsi="Calibri" w:cs="Calibri"/>
          <w:sz w:val="24"/>
          <w:szCs w:val="24"/>
        </w:rPr>
        <w:t>i roky 2016 a</w:t>
      </w:r>
      <w:r w:rsidR="00496140">
        <w:rPr>
          <w:rFonts w:ascii="Calibri" w:hAnsi="Calibri" w:cs="Calibri"/>
          <w:sz w:val="24"/>
          <w:szCs w:val="24"/>
        </w:rPr>
        <w:t xml:space="preserve"> </w:t>
      </w:r>
      <w:r w:rsidR="00A43F98">
        <w:rPr>
          <w:rFonts w:ascii="Calibri" w:hAnsi="Calibri" w:cs="Calibri"/>
          <w:sz w:val="24"/>
          <w:szCs w:val="24"/>
        </w:rPr>
        <w:t xml:space="preserve">2018 </w:t>
      </w:r>
      <w:r w:rsidR="00496140">
        <w:rPr>
          <w:rFonts w:ascii="Calibri" w:hAnsi="Calibri" w:cs="Calibri"/>
          <w:sz w:val="24"/>
          <w:szCs w:val="24"/>
        </w:rPr>
        <w:t xml:space="preserve">zaznamenaly naopak </w:t>
      </w:r>
      <w:r w:rsidR="00A01C84" w:rsidRPr="00A01C84">
        <w:rPr>
          <w:rFonts w:ascii="Calibri" w:hAnsi="Calibri" w:cs="Calibri"/>
          <w:sz w:val="24"/>
          <w:szCs w:val="24"/>
        </w:rPr>
        <w:t xml:space="preserve">pokles </w:t>
      </w:r>
      <w:r w:rsidR="00D2547D">
        <w:rPr>
          <w:rFonts w:ascii="Calibri" w:hAnsi="Calibri" w:cs="Calibri"/>
          <w:sz w:val="24"/>
          <w:szCs w:val="24"/>
        </w:rPr>
        <w:t xml:space="preserve">o 2 %. </w:t>
      </w:r>
    </w:p>
    <w:p w14:paraId="45B98BED" w14:textId="594157C3" w:rsidR="00A01C84" w:rsidRPr="00A01C84" w:rsidRDefault="00A01C84" w:rsidP="00C90E35">
      <w:pPr>
        <w:widowControl/>
        <w:autoSpaceDE/>
        <w:autoSpaceDN/>
        <w:adjustRightInd/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A01C84">
        <w:rPr>
          <w:rFonts w:ascii="Calibri" w:hAnsi="Calibri" w:cs="Calibri"/>
          <w:sz w:val="24"/>
          <w:szCs w:val="24"/>
        </w:rPr>
        <w:t xml:space="preserve">Podle údajů, které předložila Správa NP Podyjí, </w:t>
      </w:r>
      <w:r w:rsidR="00496140">
        <w:rPr>
          <w:rFonts w:ascii="Calibri" w:hAnsi="Calibri" w:cs="Calibri"/>
          <w:sz w:val="24"/>
          <w:szCs w:val="24"/>
        </w:rPr>
        <w:t>bylo</w:t>
      </w:r>
      <w:r w:rsidRPr="00A01C84">
        <w:rPr>
          <w:rFonts w:ascii="Calibri" w:hAnsi="Calibri" w:cs="Calibri"/>
          <w:sz w:val="24"/>
          <w:szCs w:val="24"/>
        </w:rPr>
        <w:t xml:space="preserve"> 100 % dřevní hmoty prodáno tuzemským odběratelům, z toho cca 72 % </w:t>
      </w:r>
      <w:r w:rsidR="00496140">
        <w:rPr>
          <w:rFonts w:ascii="Calibri" w:hAnsi="Calibri" w:cs="Calibri"/>
          <w:sz w:val="24"/>
          <w:szCs w:val="24"/>
        </w:rPr>
        <w:t>tvořil</w:t>
      </w:r>
      <w:r w:rsidR="000E1119">
        <w:rPr>
          <w:rFonts w:ascii="Calibri" w:hAnsi="Calibri" w:cs="Calibri"/>
          <w:sz w:val="24"/>
          <w:szCs w:val="24"/>
        </w:rPr>
        <w:t>i</w:t>
      </w:r>
      <w:r w:rsidR="00496140">
        <w:rPr>
          <w:rFonts w:ascii="Calibri" w:hAnsi="Calibri" w:cs="Calibri"/>
          <w:sz w:val="24"/>
          <w:szCs w:val="24"/>
        </w:rPr>
        <w:t xml:space="preserve"> </w:t>
      </w:r>
      <w:r w:rsidRPr="00A01C84">
        <w:rPr>
          <w:rFonts w:ascii="Calibri" w:hAnsi="Calibri" w:cs="Calibri"/>
          <w:sz w:val="24"/>
          <w:szCs w:val="24"/>
        </w:rPr>
        <w:t>regionální odběratel</w:t>
      </w:r>
      <w:r w:rsidR="00496140">
        <w:rPr>
          <w:rFonts w:ascii="Calibri" w:hAnsi="Calibri" w:cs="Calibri"/>
          <w:sz w:val="24"/>
          <w:szCs w:val="24"/>
        </w:rPr>
        <w:t>é</w:t>
      </w:r>
      <w:r w:rsidRPr="00A01C84">
        <w:rPr>
          <w:rFonts w:ascii="Calibri" w:hAnsi="Calibri" w:cs="Calibri"/>
          <w:sz w:val="24"/>
          <w:szCs w:val="24"/>
        </w:rPr>
        <w:t xml:space="preserve">. </w:t>
      </w:r>
    </w:p>
    <w:p w14:paraId="7A39DE5B" w14:textId="77777777" w:rsidR="00A01C84" w:rsidRPr="00A01C84" w:rsidRDefault="00A01C84" w:rsidP="00C90E35">
      <w:pPr>
        <w:widowControl/>
        <w:autoSpaceDE/>
        <w:autoSpaceDN/>
        <w:adjustRightInd/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A01C84">
        <w:rPr>
          <w:rFonts w:ascii="Calibri" w:hAnsi="Calibri" w:cs="Calibri"/>
          <w:sz w:val="24"/>
          <w:szCs w:val="24"/>
        </w:rPr>
        <w:t xml:space="preserve">Správa NP Podyjí měla v kontrolovaném období uzavřeny s </w:t>
      </w:r>
      <w:r w:rsidR="007C2B48">
        <w:rPr>
          <w:rFonts w:ascii="Calibri" w:hAnsi="Calibri" w:cs="Calibri"/>
          <w:sz w:val="24"/>
          <w:szCs w:val="24"/>
        </w:rPr>
        <w:t xml:space="preserve">odběrateli kupní smlouvy. </w:t>
      </w:r>
      <w:r w:rsidRPr="00A01C84">
        <w:rPr>
          <w:rFonts w:ascii="Calibri" w:hAnsi="Calibri" w:cs="Calibri"/>
          <w:sz w:val="24"/>
          <w:szCs w:val="24"/>
        </w:rPr>
        <w:t>V roce 2018 kl</w:t>
      </w:r>
      <w:r w:rsidR="00B11959">
        <w:rPr>
          <w:rFonts w:ascii="Calibri" w:hAnsi="Calibri" w:cs="Calibri"/>
          <w:sz w:val="24"/>
          <w:szCs w:val="24"/>
        </w:rPr>
        <w:t>esla oproti roku 2017 prodejní</w:t>
      </w:r>
      <w:r w:rsidRPr="00A01C84">
        <w:rPr>
          <w:rFonts w:ascii="Calibri" w:hAnsi="Calibri" w:cs="Calibri"/>
          <w:sz w:val="24"/>
          <w:szCs w:val="24"/>
        </w:rPr>
        <w:t xml:space="preserve"> cena smrkového dřeva o 28 %.</w:t>
      </w:r>
    </w:p>
    <w:p w14:paraId="19145268" w14:textId="77777777" w:rsidR="00A01C84" w:rsidRPr="00A01C84" w:rsidRDefault="006161B6" w:rsidP="00C90E35">
      <w:pPr>
        <w:widowControl/>
        <w:autoSpaceDE/>
        <w:autoSpaceDN/>
        <w:adjustRightInd/>
        <w:spacing w:before="120" w:after="12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Správa </w:t>
      </w:r>
      <w:r w:rsidR="00A01C84" w:rsidRPr="00A01C84">
        <w:rPr>
          <w:rFonts w:ascii="Calibri" w:hAnsi="Calibri" w:cs="Calibri"/>
          <w:b/>
          <w:sz w:val="24"/>
          <w:szCs w:val="24"/>
        </w:rPr>
        <w:t>NP České Švýcarsko</w:t>
      </w:r>
    </w:p>
    <w:p w14:paraId="3BAA114F" w14:textId="26B51F51" w:rsidR="00A01C84" w:rsidRPr="00A01C84" w:rsidRDefault="00A01C84" w:rsidP="00C90E35">
      <w:pPr>
        <w:widowControl/>
        <w:autoSpaceDE/>
        <w:autoSpaceDN/>
        <w:adjustRightInd/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A01C84">
        <w:rPr>
          <w:rFonts w:ascii="Calibri" w:hAnsi="Calibri" w:cs="Calibri"/>
          <w:sz w:val="24"/>
          <w:szCs w:val="24"/>
        </w:rPr>
        <w:t>Správa NP České Švýcarsko realizovala v kontrolovaném obd</w:t>
      </w:r>
      <w:r w:rsidR="00A43F98">
        <w:rPr>
          <w:rFonts w:ascii="Calibri" w:hAnsi="Calibri" w:cs="Calibri"/>
          <w:sz w:val="24"/>
          <w:szCs w:val="24"/>
        </w:rPr>
        <w:t>obí především prodej smrku (cca </w:t>
      </w:r>
      <w:r w:rsidRPr="00A01C84">
        <w:rPr>
          <w:rFonts w:ascii="Calibri" w:hAnsi="Calibri" w:cs="Calibri"/>
          <w:sz w:val="24"/>
          <w:szCs w:val="24"/>
        </w:rPr>
        <w:t xml:space="preserve">88 %), </w:t>
      </w:r>
      <w:r w:rsidR="007C2B48" w:rsidRPr="00A01C84">
        <w:rPr>
          <w:rFonts w:ascii="Calibri" w:hAnsi="Calibri" w:cs="Calibri"/>
          <w:sz w:val="24"/>
          <w:szCs w:val="24"/>
        </w:rPr>
        <w:t xml:space="preserve">modřínu (cca </w:t>
      </w:r>
      <w:r w:rsidR="007C2B48">
        <w:rPr>
          <w:rFonts w:ascii="Calibri" w:hAnsi="Calibri" w:cs="Calibri"/>
          <w:sz w:val="24"/>
          <w:szCs w:val="24"/>
        </w:rPr>
        <w:t>8</w:t>
      </w:r>
      <w:r w:rsidR="007C2B48" w:rsidRPr="00A01C84">
        <w:rPr>
          <w:rFonts w:ascii="Calibri" w:hAnsi="Calibri" w:cs="Calibri"/>
          <w:sz w:val="24"/>
          <w:szCs w:val="24"/>
        </w:rPr>
        <w:t xml:space="preserve"> %)</w:t>
      </w:r>
      <w:r w:rsidR="007C2B48">
        <w:rPr>
          <w:rFonts w:ascii="Calibri" w:hAnsi="Calibri" w:cs="Calibri"/>
          <w:sz w:val="24"/>
          <w:szCs w:val="24"/>
        </w:rPr>
        <w:t xml:space="preserve"> a </w:t>
      </w:r>
      <w:r w:rsidRPr="00A01C84">
        <w:rPr>
          <w:rFonts w:ascii="Calibri" w:hAnsi="Calibri" w:cs="Calibri"/>
          <w:sz w:val="24"/>
          <w:szCs w:val="24"/>
        </w:rPr>
        <w:t xml:space="preserve">borovice (cca </w:t>
      </w:r>
      <w:r w:rsidR="007C2B48">
        <w:rPr>
          <w:rFonts w:ascii="Calibri" w:hAnsi="Calibri" w:cs="Calibri"/>
          <w:sz w:val="24"/>
          <w:szCs w:val="24"/>
        </w:rPr>
        <w:t>4</w:t>
      </w:r>
      <w:r w:rsidR="002A4370">
        <w:rPr>
          <w:rFonts w:ascii="Calibri" w:hAnsi="Calibri" w:cs="Calibri"/>
          <w:sz w:val="24"/>
          <w:szCs w:val="24"/>
        </w:rPr>
        <w:t xml:space="preserve"> </w:t>
      </w:r>
      <w:r w:rsidR="007C2B48">
        <w:rPr>
          <w:rFonts w:ascii="Calibri" w:hAnsi="Calibri" w:cs="Calibri"/>
          <w:sz w:val="24"/>
          <w:szCs w:val="24"/>
        </w:rPr>
        <w:t>%)</w:t>
      </w:r>
      <w:r w:rsidRPr="00A01C84">
        <w:rPr>
          <w:rFonts w:ascii="Calibri" w:hAnsi="Calibri" w:cs="Calibri"/>
          <w:sz w:val="24"/>
          <w:szCs w:val="24"/>
        </w:rPr>
        <w:t>. Veškeré výnosy z těžb</w:t>
      </w:r>
      <w:r w:rsidR="00496140">
        <w:rPr>
          <w:rFonts w:ascii="Calibri" w:hAnsi="Calibri" w:cs="Calibri"/>
          <w:sz w:val="24"/>
          <w:szCs w:val="24"/>
        </w:rPr>
        <w:t>y</w:t>
      </w:r>
      <w:r w:rsidRPr="00A01C84">
        <w:rPr>
          <w:rFonts w:ascii="Calibri" w:hAnsi="Calibri" w:cs="Calibri"/>
          <w:sz w:val="24"/>
          <w:szCs w:val="24"/>
        </w:rPr>
        <w:t xml:space="preserve"> smrku </w:t>
      </w:r>
      <w:r w:rsidR="00496140">
        <w:rPr>
          <w:rFonts w:ascii="Calibri" w:hAnsi="Calibri" w:cs="Calibri"/>
          <w:sz w:val="24"/>
          <w:szCs w:val="24"/>
        </w:rPr>
        <w:t>byly</w:t>
      </w:r>
      <w:r w:rsidRPr="00A01C84">
        <w:rPr>
          <w:rFonts w:ascii="Calibri" w:hAnsi="Calibri" w:cs="Calibri"/>
          <w:sz w:val="24"/>
          <w:szCs w:val="24"/>
        </w:rPr>
        <w:t xml:space="preserve"> realizovány v tuzemsku a jedn</w:t>
      </w:r>
      <w:r w:rsidR="00496140">
        <w:rPr>
          <w:rFonts w:ascii="Calibri" w:hAnsi="Calibri" w:cs="Calibri"/>
          <w:sz w:val="24"/>
          <w:szCs w:val="24"/>
        </w:rPr>
        <w:t>alo</w:t>
      </w:r>
      <w:r w:rsidRPr="00A01C84">
        <w:rPr>
          <w:rFonts w:ascii="Calibri" w:hAnsi="Calibri" w:cs="Calibri"/>
          <w:sz w:val="24"/>
          <w:szCs w:val="24"/>
        </w:rPr>
        <w:t xml:space="preserve"> se o sortiment</w:t>
      </w:r>
      <w:r w:rsidR="00496140">
        <w:rPr>
          <w:rFonts w:ascii="Calibri" w:hAnsi="Calibri" w:cs="Calibri"/>
          <w:sz w:val="24"/>
          <w:szCs w:val="24"/>
        </w:rPr>
        <w:t xml:space="preserve"> těchto jakostních tříd:</w:t>
      </w:r>
      <w:r w:rsidRPr="00A01C84">
        <w:rPr>
          <w:rFonts w:ascii="Calibri" w:hAnsi="Calibri" w:cs="Calibri"/>
          <w:sz w:val="24"/>
          <w:szCs w:val="24"/>
        </w:rPr>
        <w:t xml:space="preserve"> III. třída A/B, III.</w:t>
      </w:r>
      <w:r w:rsidR="00496140">
        <w:rPr>
          <w:rFonts w:ascii="Calibri" w:hAnsi="Calibri" w:cs="Calibri"/>
          <w:sz w:val="24"/>
          <w:szCs w:val="24"/>
        </w:rPr>
        <w:t> </w:t>
      </w:r>
      <w:r w:rsidR="00A43F98">
        <w:rPr>
          <w:rFonts w:ascii="Calibri" w:hAnsi="Calibri" w:cs="Calibri"/>
          <w:sz w:val="24"/>
          <w:szCs w:val="24"/>
        </w:rPr>
        <w:t>třída</w:t>
      </w:r>
      <w:r w:rsidR="00496140">
        <w:rPr>
          <w:rFonts w:ascii="Calibri" w:hAnsi="Calibri" w:cs="Calibri"/>
          <w:sz w:val="24"/>
          <w:szCs w:val="24"/>
        </w:rPr>
        <w:t> </w:t>
      </w:r>
      <w:r w:rsidR="00A43F98">
        <w:rPr>
          <w:rFonts w:ascii="Calibri" w:hAnsi="Calibri" w:cs="Calibri"/>
          <w:sz w:val="24"/>
          <w:szCs w:val="24"/>
        </w:rPr>
        <w:t>D a V. třída (vláknina)</w:t>
      </w:r>
      <w:r w:rsidR="00496140">
        <w:rPr>
          <w:rFonts w:ascii="Calibri" w:hAnsi="Calibri" w:cs="Calibri"/>
          <w:sz w:val="24"/>
          <w:szCs w:val="24"/>
        </w:rPr>
        <w:t>. O</w:t>
      </w:r>
      <w:r w:rsidRPr="00A01C84">
        <w:rPr>
          <w:rFonts w:ascii="Calibri" w:hAnsi="Calibri" w:cs="Calibri"/>
          <w:sz w:val="24"/>
          <w:szCs w:val="24"/>
        </w:rPr>
        <w:t>bjemy těchto tří sortimentů tvoř</w:t>
      </w:r>
      <w:r w:rsidR="00B45AC8">
        <w:rPr>
          <w:rFonts w:ascii="Calibri" w:hAnsi="Calibri" w:cs="Calibri"/>
          <w:sz w:val="24"/>
          <w:szCs w:val="24"/>
        </w:rPr>
        <w:t>ily</w:t>
      </w:r>
      <w:r w:rsidRPr="00A01C84">
        <w:rPr>
          <w:rFonts w:ascii="Calibri" w:hAnsi="Calibri" w:cs="Calibri"/>
          <w:sz w:val="24"/>
          <w:szCs w:val="24"/>
        </w:rPr>
        <w:t xml:space="preserve"> cca 95 % těžby smrku.</w:t>
      </w:r>
    </w:p>
    <w:p w14:paraId="33ACA48A" w14:textId="358B24EB" w:rsidR="00641450" w:rsidRPr="001E7D5E" w:rsidRDefault="00A01C84" w:rsidP="001E7D5E">
      <w:pPr>
        <w:widowControl/>
        <w:autoSpaceDE/>
        <w:autoSpaceDN/>
        <w:adjustRightInd/>
        <w:spacing w:before="120" w:after="120"/>
        <w:jc w:val="both"/>
        <w:rPr>
          <w:rFonts w:ascii="Calibri" w:hAnsi="Calibri" w:cs="Calibri"/>
          <w:sz w:val="24"/>
          <w:szCs w:val="24"/>
        </w:rPr>
      </w:pPr>
      <w:r w:rsidRPr="00A01C84">
        <w:rPr>
          <w:rFonts w:ascii="Calibri" w:hAnsi="Calibri" w:cs="Calibri"/>
          <w:sz w:val="24"/>
          <w:szCs w:val="24"/>
        </w:rPr>
        <w:t>Mezi roky 2016 a 2018 byl zaznamenán nárůst průměrných nákladů n</w:t>
      </w:r>
      <w:r w:rsidR="00A43F98">
        <w:rPr>
          <w:rFonts w:ascii="Calibri" w:hAnsi="Calibri" w:cs="Calibri"/>
          <w:sz w:val="24"/>
          <w:szCs w:val="24"/>
        </w:rPr>
        <w:t>a těžební činnosti o 23 </w:t>
      </w:r>
      <w:r w:rsidRPr="00A01C84">
        <w:rPr>
          <w:rFonts w:ascii="Calibri" w:hAnsi="Calibri" w:cs="Calibri"/>
          <w:sz w:val="24"/>
          <w:szCs w:val="24"/>
        </w:rPr>
        <w:t xml:space="preserve">%. V roce 2018 klesla oproti roku 2017 </w:t>
      </w:r>
      <w:r w:rsidR="00B11959">
        <w:rPr>
          <w:rFonts w:ascii="Calibri" w:hAnsi="Calibri" w:cs="Calibri"/>
          <w:sz w:val="24"/>
          <w:szCs w:val="24"/>
        </w:rPr>
        <w:t>prodejn</w:t>
      </w:r>
      <w:r w:rsidRPr="00A01C84">
        <w:rPr>
          <w:rFonts w:ascii="Calibri" w:hAnsi="Calibri" w:cs="Calibri"/>
          <w:sz w:val="24"/>
          <w:szCs w:val="24"/>
        </w:rPr>
        <w:t>í cena smrkového dřeva o 24 %.</w:t>
      </w:r>
    </w:p>
    <w:sectPr w:rsidR="00641450" w:rsidRPr="001E7D5E" w:rsidSect="00922C09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014BB" w14:textId="77777777" w:rsidR="008D5DC7" w:rsidRDefault="008D5DC7" w:rsidP="00246D13">
      <w:r>
        <w:separator/>
      </w:r>
    </w:p>
  </w:endnote>
  <w:endnote w:type="continuationSeparator" w:id="0">
    <w:p w14:paraId="57C42506" w14:textId="77777777" w:rsidR="008D5DC7" w:rsidRDefault="008D5DC7" w:rsidP="00246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112132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5148B53E" w14:textId="0DEA64A4" w:rsidR="008D5DC7" w:rsidRPr="00A43EE7" w:rsidRDefault="008D5DC7">
        <w:pPr>
          <w:pStyle w:val="Zpat"/>
          <w:jc w:val="center"/>
          <w:rPr>
            <w:rFonts w:asciiTheme="minorHAnsi" w:hAnsiTheme="minorHAnsi" w:cstheme="minorHAnsi"/>
            <w:sz w:val="24"/>
            <w:szCs w:val="24"/>
          </w:rPr>
        </w:pPr>
        <w:r w:rsidRPr="00A43EE7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Pr="00A43EE7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Pr="00A43EE7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03040D">
          <w:rPr>
            <w:rFonts w:asciiTheme="minorHAnsi" w:hAnsiTheme="minorHAnsi" w:cstheme="minorHAnsi"/>
            <w:noProof/>
            <w:sz w:val="24"/>
            <w:szCs w:val="24"/>
          </w:rPr>
          <w:t>2</w:t>
        </w:r>
        <w:r w:rsidRPr="00A43EE7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14:paraId="6D5DF5B2" w14:textId="77777777" w:rsidR="008D5DC7" w:rsidRDefault="008D5D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C243C" w14:textId="4ACB6D69" w:rsidR="008D5DC7" w:rsidRDefault="008D5DC7">
    <w:pPr>
      <w:pStyle w:val="Zpat"/>
      <w:jc w:val="center"/>
    </w:pPr>
  </w:p>
  <w:p w14:paraId="0AD6AAA0" w14:textId="77777777" w:rsidR="008D5DC7" w:rsidRDefault="008D5DC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E03B5" w14:textId="77777777" w:rsidR="00C552B8" w:rsidRDefault="00C552B8">
    <w:pPr>
      <w:pStyle w:val="Zpat"/>
      <w:jc w:val="center"/>
    </w:pPr>
  </w:p>
  <w:p w14:paraId="68E1128A" w14:textId="77777777" w:rsidR="00C552B8" w:rsidRDefault="00C55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4DECB" w14:textId="77777777" w:rsidR="008D5DC7" w:rsidRDefault="008D5DC7" w:rsidP="00246D13">
      <w:r>
        <w:separator/>
      </w:r>
    </w:p>
  </w:footnote>
  <w:footnote w:type="continuationSeparator" w:id="0">
    <w:p w14:paraId="24329372" w14:textId="77777777" w:rsidR="008D5DC7" w:rsidRDefault="008D5DC7" w:rsidP="00246D13">
      <w:r>
        <w:continuationSeparator/>
      </w:r>
    </w:p>
  </w:footnote>
  <w:footnote w:id="1">
    <w:p w14:paraId="3956A000" w14:textId="344688C0" w:rsidR="008D5DC7" w:rsidRDefault="008D5DC7" w:rsidP="00CA1C92">
      <w:pPr>
        <w:pStyle w:val="Textpoznpodarou"/>
        <w:ind w:left="284" w:hanging="284"/>
        <w:rPr>
          <w:rFonts w:asciiTheme="minorHAnsi" w:hAnsiTheme="minorHAnsi" w:cstheme="minorHAnsi"/>
        </w:rPr>
      </w:pPr>
      <w:r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Abiotický činitel – vliv neživé přírody, např. vítr, sníh, námraza; biotický činitel – vliv živých organismů, např. podkorní a dřevokazný hmyz.</w:t>
      </w:r>
    </w:p>
  </w:footnote>
  <w:footnote w:id="2">
    <w:p w14:paraId="4B44F245" w14:textId="79CEF530" w:rsidR="008D5DC7" w:rsidRDefault="008D5DC7" w:rsidP="00CA1C92">
      <w:pPr>
        <w:pStyle w:val="Textpoznpodarou"/>
        <w:ind w:left="284" w:hanging="284"/>
        <w:rPr>
          <w:rFonts w:asciiTheme="minorHAnsi" w:hAnsiTheme="minorHAnsi" w:cstheme="minorHAnsi"/>
        </w:rPr>
      </w:pPr>
      <w:r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Zákon č. 123/2017 Sb., kterým se mění zákon č. 114/1992 Sb., o ochraně přírody a krajiny, ve znění pozdějších předpisů, (dále také „novela zákona o ochraně přírody a krajiny“) je účinný od 1. 6. 2017. Novelu zákona o ochraně přírody a krajiny připravovalo MŽP jako garant řádné právní úpravy spadající do sféry jeho věcné působnosti.</w:t>
      </w:r>
    </w:p>
  </w:footnote>
  <w:footnote w:id="3">
    <w:p w14:paraId="2F0F2BD7" w14:textId="2D7FA207" w:rsidR="008D5DC7" w:rsidRDefault="008D5DC7" w:rsidP="00CA1C9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Zákon č. 219/2000 Sb., o majetku České republiky a jejím vystupování v právních vztazích (dále také „zákon o majetku“).</w:t>
      </w:r>
    </w:p>
  </w:footnote>
  <w:footnote w:id="4">
    <w:p w14:paraId="7411AAB9" w14:textId="6E946AC4" w:rsidR="008D5DC7" w:rsidRDefault="008D5DC7" w:rsidP="00CA1C9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Zákon č. 218/2000 Sb., o rozpočtových pravidlech a o změně některých souvisejících zákonů (rozpočtová pravidla), (dále také „zákon o rozpočtových pravidlech“).</w:t>
      </w:r>
    </w:p>
  </w:footnote>
  <w:footnote w:id="5">
    <w:p w14:paraId="64CF7051" w14:textId="2D1F5F83" w:rsidR="008D5DC7" w:rsidRDefault="008D5DC7" w:rsidP="00CA1C9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Zákon č. 137/2006 Sb., o veřejných zakázkách (dále také „zákon o veřejných zakázkách“).</w:t>
      </w:r>
    </w:p>
  </w:footnote>
  <w:footnote w:id="6">
    <w:p w14:paraId="0514D009" w14:textId="5881B450" w:rsidR="008D5DC7" w:rsidRDefault="008D5DC7" w:rsidP="00CA1C9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Zákon č. 134/2016 Sb., o zadávání veřejných zakázek (dále také „zákon o zadávání veřejných zakázek“).</w:t>
      </w:r>
    </w:p>
  </w:footnote>
  <w:footnote w:id="7">
    <w:p w14:paraId="0A7D9F5F" w14:textId="528CF0D3" w:rsidR="008D5DC7" w:rsidRDefault="008D5DC7" w:rsidP="00CA1C9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Zákon č. 563/1991 Sb., o účetnictví (dále také „zákon o účetnictví“).</w:t>
      </w:r>
    </w:p>
  </w:footnote>
  <w:footnote w:id="8">
    <w:p w14:paraId="1057B889" w14:textId="7BBF1169" w:rsidR="008D5DC7" w:rsidRDefault="008D5DC7" w:rsidP="00CA1C9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Zákon č. 340/2015 Sb., o zvláštních podmínkách účinnosti některých smluv, uveřejňování těchto smluv a o registru smluv (zákon o registru smluv), (dále také „zákon o registru smluv“).</w:t>
      </w:r>
    </w:p>
  </w:footnote>
  <w:footnote w:id="9">
    <w:p w14:paraId="0C038DAE" w14:textId="69864400" w:rsidR="008D5DC7" w:rsidRDefault="008D5DC7" w:rsidP="00CA1C9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74 odst. 5 zákona o veřejných zakázkách.</w:t>
      </w:r>
    </w:p>
  </w:footnote>
  <w:footnote w:id="10">
    <w:p w14:paraId="1E15E02B" w14:textId="09DBFFD2" w:rsidR="008D5DC7" w:rsidRDefault="008D5DC7" w:rsidP="00CA1C92">
      <w:pPr>
        <w:pStyle w:val="Textpoznpodarou"/>
        <w:ind w:left="284" w:hanging="284"/>
      </w:pPr>
      <w:r>
        <w:rPr>
          <w:rStyle w:val="Znakapoznpodarou"/>
        </w:rPr>
        <w:footnoteRef/>
      </w:r>
      <w:r>
        <w:t> </w:t>
      </w:r>
      <w:r>
        <w:tab/>
        <w:t xml:space="preserve">Kontrolní akce NKÚ č. 11/06 – </w:t>
      </w:r>
      <w:r w:rsidRPr="00883A95">
        <w:rPr>
          <w:i/>
        </w:rPr>
        <w:t>Peněžní prostředky a majetek státu, se kterými jsou příslušné hospodařit vybrané správy národních parků</w:t>
      </w:r>
      <w:r>
        <w:t>.</w:t>
      </w:r>
    </w:p>
  </w:footnote>
  <w:footnote w:id="11">
    <w:p w14:paraId="104F1C04" w14:textId="4084D297" w:rsidR="008D5DC7" w:rsidRPr="00A66762" w:rsidRDefault="008D5DC7" w:rsidP="00CA1C92">
      <w:pPr>
        <w:pStyle w:val="Textpoznpodarou"/>
        <w:ind w:left="284" w:hanging="284"/>
        <w:rPr>
          <w:rFonts w:asciiTheme="minorHAnsi" w:hAnsiTheme="minorHAnsi" w:cstheme="minorHAnsi"/>
        </w:rPr>
      </w:pPr>
      <w:r>
        <w:rPr>
          <w:rStyle w:val="Znakapoznpodarou"/>
        </w:rPr>
        <w:footnoteRef/>
      </w:r>
      <w:r>
        <w:t xml:space="preserve"> </w:t>
      </w:r>
      <w:r>
        <w:tab/>
        <w:t>U</w:t>
      </w:r>
      <w:r w:rsidRPr="002010D0">
        <w:t>sta</w:t>
      </w:r>
      <w:r>
        <w:t>novení § 19 z</w:t>
      </w:r>
      <w:r>
        <w:rPr>
          <w:rFonts w:asciiTheme="minorHAnsi" w:hAnsiTheme="minorHAnsi" w:cstheme="minorHAnsi"/>
        </w:rPr>
        <w:t>ákona č. 2/1969</w:t>
      </w:r>
      <w:r w:rsidRPr="00A66762">
        <w:rPr>
          <w:rFonts w:asciiTheme="minorHAnsi" w:hAnsiTheme="minorHAnsi" w:cstheme="minorHAnsi"/>
        </w:rPr>
        <w:t xml:space="preserve"> Sb., o zřízení ministerstev a jiných ústředních orgánů státní správy České republiky</w:t>
      </w:r>
      <w:r>
        <w:rPr>
          <w:rFonts w:asciiTheme="minorHAnsi" w:hAnsiTheme="minorHAnsi" w:cstheme="minorHAnsi"/>
        </w:rPr>
        <w:t>.</w:t>
      </w:r>
    </w:p>
  </w:footnote>
  <w:footnote w:id="12">
    <w:p w14:paraId="45F27A6D" w14:textId="1A3CC3B1" w:rsidR="008D5DC7" w:rsidRDefault="008D5DC7" w:rsidP="00CA1C9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Zákon č. 114/1992 Sb., o ochraně přírody a krajiny, (dále také „zákon o ochraně přírody a krajiny“).</w:t>
      </w:r>
    </w:p>
  </w:footnote>
  <w:footnote w:id="13">
    <w:p w14:paraId="024F918D" w14:textId="282C2C6D" w:rsidR="008D5DC7" w:rsidRDefault="008D5DC7" w:rsidP="00CA1C9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1A38C1">
        <w:rPr>
          <w:rFonts w:asciiTheme="minorHAnsi" w:hAnsiTheme="minorHAnsi" w:cstheme="minorHAnsi"/>
        </w:rPr>
        <w:t>Správa N</w:t>
      </w:r>
      <w:r>
        <w:rPr>
          <w:rFonts w:asciiTheme="minorHAnsi" w:hAnsiTheme="minorHAnsi" w:cstheme="minorHAnsi"/>
        </w:rPr>
        <w:t xml:space="preserve">P </w:t>
      </w:r>
      <w:r w:rsidRPr="001A38C1">
        <w:rPr>
          <w:rFonts w:asciiTheme="minorHAnsi" w:hAnsiTheme="minorHAnsi" w:cstheme="minorHAnsi"/>
        </w:rPr>
        <w:t>České Švýcarsko byla do</w:t>
      </w:r>
      <w:r>
        <w:rPr>
          <w:rFonts w:asciiTheme="minorHAnsi" w:hAnsiTheme="minorHAnsi" w:cstheme="minorHAnsi"/>
        </w:rPr>
        <w:t xml:space="preserve"> 31. 12. 2017 OSS</w:t>
      </w:r>
      <w:r w:rsidRPr="001A38C1">
        <w:rPr>
          <w:rFonts w:asciiTheme="minorHAnsi" w:hAnsiTheme="minorHAnsi" w:cstheme="minorHAnsi"/>
        </w:rPr>
        <w:t xml:space="preserve"> podřízenou MŽP.</w:t>
      </w:r>
      <w:r>
        <w:rPr>
          <w:rFonts w:asciiTheme="minorHAnsi" w:hAnsiTheme="minorHAnsi" w:cstheme="minorHAnsi"/>
        </w:rPr>
        <w:t xml:space="preserve"> Transformace z OSS na PO proběhla v návaznosti na novelu zákona o ochraně přírody a krajiny. Záměrem MŽP k provedení transformace právní formy bylo, aby byly jednotlivé činnosti prováděné správami NP podřazeny stejnému režimu, a to v oblasti hospodaření s majetkem a peněžními prostředky státu.</w:t>
      </w:r>
    </w:p>
  </w:footnote>
  <w:footnote w:id="14">
    <w:p w14:paraId="18A66DA2" w14:textId="02AE0281" w:rsidR="008D5DC7" w:rsidRDefault="008D5DC7" w:rsidP="00CA1C9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54 zákona o rozpočtových pravidlech.</w:t>
      </w:r>
    </w:p>
  </w:footnote>
  <w:footnote w:id="15">
    <w:p w14:paraId="3883CC4F" w14:textId="39B0183E" w:rsidR="008D5DC7" w:rsidRDefault="008D5DC7" w:rsidP="00CA1C9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14 odst. 1 zákona o majetku.</w:t>
      </w:r>
    </w:p>
  </w:footnote>
  <w:footnote w:id="16">
    <w:p w14:paraId="3341B563" w14:textId="3699DBF8" w:rsidR="008D5DC7" w:rsidRDefault="008D5DC7" w:rsidP="00CA1C92">
      <w:pPr>
        <w:pStyle w:val="Textpoznpodarou"/>
        <w:ind w:left="284" w:hanging="284"/>
      </w:pPr>
      <w:r>
        <w:rPr>
          <w:rStyle w:val="Znakapoznpodarou"/>
        </w:rPr>
        <w:footnoteRef/>
      </w:r>
      <w:r>
        <w:tab/>
        <w:t>Ustanovení § 53 odst. 4 zákona o rozpočtových pravidlech.</w:t>
      </w:r>
    </w:p>
  </w:footnote>
  <w:footnote w:id="17">
    <w:p w14:paraId="7AD863C3" w14:textId="64782A18" w:rsidR="008D5DC7" w:rsidRDefault="008D5DC7" w:rsidP="00CA1C92">
      <w:pPr>
        <w:pStyle w:val="Textpoznpodarou"/>
        <w:ind w:left="284" w:hanging="284"/>
      </w:pPr>
      <w:r>
        <w:rPr>
          <w:rStyle w:val="Znakapoznpodarou"/>
        </w:rPr>
        <w:footnoteRef/>
      </w:r>
      <w:r>
        <w:tab/>
        <w:t>Ustanovení § 74 odst. 5 zákona o veřejných zakázkách.</w:t>
      </w:r>
    </w:p>
  </w:footnote>
  <w:footnote w:id="18">
    <w:p w14:paraId="5A783702" w14:textId="5BAD3B04" w:rsidR="008D5DC7" w:rsidRDefault="008D5DC7" w:rsidP="00CA1C9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63 zákona o rozpočtových pravidlech.</w:t>
      </w:r>
    </w:p>
  </w:footnote>
  <w:footnote w:id="19">
    <w:p w14:paraId="50E33BA4" w14:textId="7C01A639" w:rsidR="008D5DC7" w:rsidRDefault="008D5DC7" w:rsidP="00CA1C9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37 odst. 1 písm. d) zákona č. 256/2013 Sb., o katastru nemovitostí (katastrální zákon).</w:t>
      </w:r>
    </w:p>
  </w:footnote>
  <w:footnote w:id="20">
    <w:p w14:paraId="3873DC58" w14:textId="01104F1F" w:rsidR="008D5DC7" w:rsidRDefault="008D5DC7" w:rsidP="00CA1C9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18 odst. 5 a § 6 odst. 1 zákona o veřejných zakázkách.</w:t>
      </w:r>
    </w:p>
  </w:footnote>
  <w:footnote w:id="21">
    <w:p w14:paraId="4FD8E6AC" w14:textId="69B7F6AE" w:rsidR="008D5DC7" w:rsidRDefault="008D5DC7" w:rsidP="00CA1C9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25 odst. 2 písm. c) a odst. 4 a § 26 odst. 1 zákona č. 320/2001 Sb., o finanční kontrole ve veřejné správě a o změně některých zákonů (zákon o finanční kontrole).</w:t>
      </w:r>
    </w:p>
  </w:footnote>
  <w:footnote w:id="22">
    <w:p w14:paraId="4F1631FF" w14:textId="1C3693A2" w:rsidR="008D5DC7" w:rsidRDefault="008D5DC7" w:rsidP="00CA1C9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3 odst. 1 zákona o účetnictví.</w:t>
      </w:r>
    </w:p>
  </w:footnote>
  <w:footnote w:id="23">
    <w:p w14:paraId="2188D17D" w14:textId="41C1EF4A" w:rsidR="008D5DC7" w:rsidRDefault="008D5DC7" w:rsidP="00712BFA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Ustanovení § 5 odst. 2 zákona o registru smluv.</w:t>
      </w:r>
    </w:p>
  </w:footnote>
  <w:footnote w:id="24">
    <w:p w14:paraId="50795CA9" w14:textId="0E80588E" w:rsidR="008D5DC7" w:rsidRDefault="008D5DC7" w:rsidP="00712BFA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Theme="minorHAnsi" w:hAnsiTheme="minorHAnsi" w:cstheme="minorHAnsi"/>
        </w:rPr>
        <w:t xml:space="preserve">Ustanovení § 8 odst. 1 písm. c) zákona č. 289/1995 Sb., </w:t>
      </w:r>
      <w:r w:rsidRPr="00123190">
        <w:rPr>
          <w:rFonts w:asciiTheme="minorHAnsi" w:hAnsiTheme="minorHAnsi" w:cstheme="minorHAnsi"/>
        </w:rPr>
        <w:t>o lesích a o změně a doplnění</w:t>
      </w:r>
      <w:r>
        <w:rPr>
          <w:rFonts w:asciiTheme="minorHAnsi" w:hAnsiTheme="minorHAnsi" w:cstheme="minorHAnsi"/>
        </w:rPr>
        <w:t xml:space="preserve"> některých zákonů (lesní zákon), (dále také „lesní zákon“).</w:t>
      </w:r>
    </w:p>
  </w:footnote>
  <w:footnote w:id="25">
    <w:p w14:paraId="58F8B472" w14:textId="2EB200C6" w:rsidR="008D5DC7" w:rsidRPr="00E46288" w:rsidRDefault="008D5DC7" w:rsidP="00712BFA">
      <w:pPr>
        <w:pStyle w:val="Textpoznpodarou"/>
        <w:ind w:left="284" w:hanging="284"/>
      </w:pPr>
      <w:r w:rsidRPr="00E46288">
        <w:rPr>
          <w:rStyle w:val="Znakapoznpodarou"/>
        </w:rPr>
        <w:footnoteRef/>
      </w:r>
      <w:r w:rsidRPr="00E46288">
        <w:t xml:space="preserve"> </w:t>
      </w:r>
      <w:r>
        <w:tab/>
      </w:r>
      <w:r w:rsidRPr="00E46288">
        <w:t xml:space="preserve">Správa KRNAP a Správa NP Podyjí hospodaří na lesních pozemcích území NP a jeho ochranného pásma. Dále uvedené údaje zahrnují u těchto správ NP </w:t>
      </w:r>
      <w:r>
        <w:t xml:space="preserve">také </w:t>
      </w:r>
      <w:r w:rsidRPr="00E46288">
        <w:t>ochranné pásmo.</w:t>
      </w:r>
    </w:p>
  </w:footnote>
  <w:footnote w:id="26">
    <w:p w14:paraId="48C1970C" w14:textId="1BABE188" w:rsidR="008D5DC7" w:rsidRDefault="008D5DC7" w:rsidP="00EC2F37">
      <w:pPr>
        <w:pStyle w:val="Textpoznpodarou"/>
        <w:ind w:left="284" w:hanging="284"/>
      </w:pPr>
      <w:r w:rsidRPr="00E46288">
        <w:rPr>
          <w:rStyle w:val="Znakapoznpodarou"/>
        </w:rPr>
        <w:footnoteRef/>
      </w:r>
      <w:r w:rsidRPr="00E46288">
        <w:t xml:space="preserve"> </w:t>
      </w:r>
      <w:r>
        <w:tab/>
      </w:r>
      <w:r w:rsidRPr="00E46288">
        <w:t>Úmyslná těžba je určena k obnově lesních porostů</w:t>
      </w:r>
      <w:r>
        <w:t>, které jsou</w:t>
      </w:r>
      <w:r w:rsidRPr="00E46288">
        <w:t xml:space="preserve"> starší 80 let</w:t>
      </w:r>
      <w:r>
        <w:t xml:space="preserve"> a</w:t>
      </w:r>
      <w:r w:rsidRPr="00E46288">
        <w:t xml:space="preserve"> nepřesahují velikost těžené plochy stanoven</w:t>
      </w:r>
      <w:r>
        <w:t>ou</w:t>
      </w:r>
      <w:r w:rsidRPr="00E46288">
        <w:t xml:space="preserve"> </w:t>
      </w:r>
      <w:r>
        <w:t>lesním zákonem.</w:t>
      </w:r>
    </w:p>
  </w:footnote>
  <w:footnote w:id="27">
    <w:p w14:paraId="45CC78F5" w14:textId="77777777" w:rsidR="008D5DC7" w:rsidRDefault="008D5DC7" w:rsidP="00EC2F3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Těžba prováděná za účelem zpracování stromů suchých, vyvrácených, nemocných nebo poškozených.</w:t>
      </w:r>
    </w:p>
  </w:footnote>
  <w:footnote w:id="28">
    <w:p w14:paraId="3B239191" w14:textId="2BF7D195" w:rsidR="008D5DC7" w:rsidRDefault="008D5DC7" w:rsidP="00EC2F3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Správa NP Šumava postupuje dle příkazu ředitele č. 141 o způsobu péče o ekosystémy NP Šumava v dílčích plochách.</w:t>
      </w:r>
    </w:p>
  </w:footnote>
  <w:footnote w:id="29">
    <w:p w14:paraId="018DB073" w14:textId="19E089C2" w:rsidR="008D5DC7" w:rsidRDefault="008D5DC7" w:rsidP="00712BFA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Těžební činnost se skládá z dílčích operací, tj. těžby (kácení), přibližování (včetně směrování) a odvozu dřeva.</w:t>
      </w:r>
    </w:p>
  </w:footnote>
  <w:footnote w:id="30">
    <w:p w14:paraId="40128B0B" w14:textId="5611A434" w:rsidR="008D5DC7" w:rsidRDefault="008D5DC7" w:rsidP="00EA4BFB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CA1727">
        <w:rPr>
          <w:rFonts w:cs="Calibri"/>
        </w:rPr>
        <w:t>Systém zvláště chráněných území a území soustavy NATURA 2000 (vyhláše</w:t>
      </w:r>
      <w:r>
        <w:rPr>
          <w:rFonts w:cs="Calibri"/>
        </w:rPr>
        <w:t>né evropsky významné lokality a </w:t>
      </w:r>
      <w:r w:rsidRPr="00CA1727">
        <w:rPr>
          <w:rFonts w:cs="Calibri"/>
        </w:rPr>
        <w:t>ptačí oblasti) se vzájemně překrýv</w:t>
      </w:r>
      <w:r>
        <w:rPr>
          <w:rFonts w:cs="Calibri"/>
        </w:rPr>
        <w:t>ají</w:t>
      </w:r>
      <w:r w:rsidRPr="00CA1727">
        <w:rPr>
          <w:rFonts w:cs="Calibri"/>
        </w:rPr>
        <w:t>.</w:t>
      </w:r>
    </w:p>
  </w:footnote>
  <w:footnote w:id="31">
    <w:p w14:paraId="226CEF71" w14:textId="17EE7756" w:rsidR="008D5DC7" w:rsidRDefault="008D5DC7" w:rsidP="00EA4BFB">
      <w:pPr>
        <w:pStyle w:val="Textpoznpodarou"/>
        <w:ind w:left="284" w:hanging="284"/>
      </w:pPr>
      <w:r w:rsidRPr="00EC24F9">
        <w:rPr>
          <w:rStyle w:val="Znakapoznpodarou"/>
        </w:rPr>
        <w:footnoteRef/>
      </w:r>
      <w:r w:rsidRPr="00EC24F9">
        <w:t xml:space="preserve"> </w:t>
      </w:r>
      <w:r>
        <w:tab/>
      </w:r>
      <w:r w:rsidRPr="00EC24F9">
        <w:rPr>
          <w:color w:val="000000"/>
        </w:rPr>
        <w:t>MŽP podle ustanovení § 79 odst. 3 písm. h) zákona o ochraně přírody a krajiny zajišťuje zpracování a schvaluje plány péče o zvláště chráněné území a jeho ochranné pásmo.</w:t>
      </w:r>
    </w:p>
  </w:footnote>
  <w:footnote w:id="32">
    <w:p w14:paraId="482A73F4" w14:textId="3DA35E51" w:rsidR="008D5DC7" w:rsidRPr="00CA1727" w:rsidRDefault="008D5DC7" w:rsidP="00EA4BFB">
      <w:pPr>
        <w:pStyle w:val="Textpoznpodarou"/>
        <w:ind w:left="284" w:hanging="284"/>
        <w:rPr>
          <w:rFonts w:cs="Calibri"/>
        </w:rPr>
      </w:pPr>
      <w:r w:rsidRPr="00CA1727">
        <w:rPr>
          <w:rStyle w:val="Znakapoznpodarou"/>
          <w:rFonts w:cs="Calibri"/>
        </w:rPr>
        <w:footnoteRef/>
      </w:r>
      <w:r w:rsidRPr="00CA1727">
        <w:rPr>
          <w:rFonts w:cs="Calibri"/>
        </w:rPr>
        <w:t xml:space="preserve"> </w:t>
      </w:r>
      <w:r>
        <w:rPr>
          <w:rFonts w:cs="Calibri"/>
        </w:rPr>
        <w:tab/>
      </w:r>
      <w:r w:rsidRPr="00CA1727">
        <w:rPr>
          <w:rFonts w:cs="Calibri"/>
        </w:rPr>
        <w:t xml:space="preserve">Odborný koncepční dokument </w:t>
      </w:r>
      <w:r w:rsidRPr="00883A95">
        <w:rPr>
          <w:rFonts w:cs="Calibri"/>
          <w:i/>
        </w:rPr>
        <w:t>Souhrn doporučených opatření pro Evropsky významnou lokalitu Šumava</w:t>
      </w:r>
      <w:r w:rsidRPr="00CA1727">
        <w:rPr>
          <w:rFonts w:cs="Calibri"/>
        </w:rPr>
        <w:t xml:space="preserve"> schválilo MŽP dne 16. 6. 2016.</w:t>
      </w:r>
    </w:p>
  </w:footnote>
  <w:footnote w:id="33">
    <w:p w14:paraId="1EE1CF2B" w14:textId="65D02F11" w:rsidR="008D5DC7" w:rsidRPr="00EC24F9" w:rsidRDefault="008D5DC7" w:rsidP="00EA4BFB">
      <w:pPr>
        <w:pStyle w:val="Textpoznpodarou"/>
        <w:ind w:left="284" w:hanging="284"/>
      </w:pPr>
      <w:r>
        <w:rPr>
          <w:rStyle w:val="Znakapoznpodarou"/>
        </w:rPr>
        <w:footnoteRef/>
      </w:r>
      <w:r>
        <w:t> </w:t>
      </w:r>
      <w:r>
        <w:tab/>
        <w:t xml:space="preserve">Na základě návrhu </w:t>
      </w:r>
      <w:r w:rsidRPr="00EC24F9">
        <w:t>zákona (čj. předkladatele: MZP/2019/410/192), kterým se mění některé zákony v souvislosti s přijetím nařízení Evropského parlamentu a Rady (EU) č. 1143/2014</w:t>
      </w:r>
      <w:r>
        <w:t>,</w:t>
      </w:r>
      <w:r w:rsidRPr="00EC24F9">
        <w:t xml:space="preserve"> o prevenci a regulaci zavlékání či vysazování a šíření invazních nepůvodních druhů</w:t>
      </w:r>
      <w:r>
        <w:t>,</w:t>
      </w:r>
      <w:r w:rsidRPr="00EC24F9">
        <w:t xml:space="preserve"> a nařízení Rady (ES) č. 708/2007</w:t>
      </w:r>
      <w:r>
        <w:t>,</w:t>
      </w:r>
      <w:r w:rsidRPr="00EC24F9">
        <w:t xml:space="preserve"> o používání cizích a místně se nevyskytujících druhů v</w:t>
      </w:r>
      <w:r>
        <w:t> </w:t>
      </w:r>
      <w:r w:rsidRPr="00EC24F9">
        <w:t>akvakultuře</w:t>
      </w:r>
      <w:r>
        <w:t>.</w:t>
      </w:r>
      <w:r w:rsidRPr="00EC24F9">
        <w:t xml:space="preserve"> </w:t>
      </w:r>
      <w:r>
        <w:t>N</w:t>
      </w:r>
      <w:r w:rsidRPr="00EC24F9">
        <w:t xml:space="preserve">ávrh zákona je dostupný na webové adrese: </w:t>
      </w:r>
      <w:hyperlink r:id="rId1" w:history="1">
        <w:r w:rsidRPr="00EC24F9">
          <w:rPr>
            <w:rStyle w:val="Hypertextovodkaz"/>
          </w:rPr>
          <w:t>https://apps.odok.cz/veklep-detail?pid=KORNBANEWTVL</w:t>
        </w:r>
      </w:hyperlink>
      <w:r w:rsidRPr="00C552B8">
        <w:t>.</w:t>
      </w:r>
      <w:r w:rsidRPr="00EC24F9">
        <w:t xml:space="preserve"> </w:t>
      </w:r>
    </w:p>
  </w:footnote>
  <w:footnote w:id="34">
    <w:p w14:paraId="57D56AFA" w14:textId="7DF3A279" w:rsidR="008D5DC7" w:rsidRPr="00EC24F9" w:rsidRDefault="008D5DC7" w:rsidP="00EA4BFB">
      <w:pPr>
        <w:pStyle w:val="Textpoznpodarou"/>
        <w:ind w:left="284" w:hanging="284"/>
      </w:pPr>
      <w:r w:rsidRPr="00EC24F9">
        <w:rPr>
          <w:rStyle w:val="Znakapoznpodarou"/>
        </w:rPr>
        <w:footnoteRef/>
      </w:r>
      <w:r w:rsidRPr="00EC24F9">
        <w:t xml:space="preserve"> </w:t>
      </w:r>
      <w:r>
        <w:tab/>
      </w:r>
      <w:r w:rsidRPr="00EC24F9">
        <w:t>Ustanovení § 2144 a § 2147 zákona č. 89/2012 Sb., občanský zákoník.</w:t>
      </w:r>
    </w:p>
  </w:footnote>
  <w:footnote w:id="35">
    <w:p w14:paraId="3175E82A" w14:textId="196FF29C" w:rsidR="008D5DC7" w:rsidRDefault="008D5DC7" w:rsidP="00EA4BFB">
      <w:pPr>
        <w:pStyle w:val="Textpoznpodarou"/>
        <w:ind w:left="284" w:hanging="284"/>
      </w:pPr>
      <w:r w:rsidRPr="00EC24F9">
        <w:rPr>
          <w:rStyle w:val="Znakapoznpodarou"/>
        </w:rPr>
        <w:footnoteRef/>
      </w:r>
      <w:r w:rsidRPr="00EC24F9">
        <w:t xml:space="preserve"> </w:t>
      </w:r>
      <w:r>
        <w:tab/>
      </w:r>
      <w:r w:rsidRPr="00EC24F9">
        <w:t>Ustanovení § 58 zákona o ochraně přírody a krajiny.</w:t>
      </w:r>
    </w:p>
  </w:footnote>
  <w:footnote w:id="36">
    <w:p w14:paraId="04E01AA8" w14:textId="7EAA9004" w:rsidR="008D5DC7" w:rsidRDefault="008D5DC7" w:rsidP="00EA4BFB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94735F">
        <w:rPr>
          <w:rFonts w:cs="Calibri"/>
          <w:color w:val="000000" w:themeColor="text1"/>
        </w:rPr>
        <w:t xml:space="preserve">Součástí </w:t>
      </w:r>
      <w:r>
        <w:rPr>
          <w:rFonts w:cs="Calibri"/>
          <w:color w:val="000000" w:themeColor="text1"/>
        </w:rPr>
        <w:t>není</w:t>
      </w:r>
      <w:r w:rsidRPr="0094735F">
        <w:rPr>
          <w:rFonts w:cs="Calibri"/>
          <w:color w:val="000000" w:themeColor="text1"/>
        </w:rPr>
        <w:t xml:space="preserve"> </w:t>
      </w:r>
      <w:r w:rsidRPr="00883A95">
        <w:rPr>
          <w:rFonts w:cs="Calibri"/>
          <w:color w:val="000000" w:themeColor="text1"/>
        </w:rPr>
        <w:t>Nationalpark NockBerge</w:t>
      </w:r>
      <w:r w:rsidRPr="0094735F">
        <w:rPr>
          <w:rFonts w:cs="Calibri"/>
          <w:color w:val="000000" w:themeColor="text1"/>
        </w:rPr>
        <w:t>, který je od roku 2012 biosf</w:t>
      </w:r>
      <w:r>
        <w:rPr>
          <w:rFonts w:cs="Calibri"/>
          <w:color w:val="000000" w:themeColor="text1"/>
        </w:rPr>
        <w:t>é</w:t>
      </w:r>
      <w:r w:rsidRPr="0094735F">
        <w:rPr>
          <w:rFonts w:cs="Calibri"/>
          <w:color w:val="000000" w:themeColor="text1"/>
        </w:rPr>
        <w:t>rickou rezervací UNESCO.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0CBD"/>
    <w:multiLevelType w:val="hybridMultilevel"/>
    <w:tmpl w:val="E63A02B4"/>
    <w:lvl w:ilvl="0" w:tplc="0405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" w15:restartNumberingAfterBreak="0">
    <w:nsid w:val="022B6B07"/>
    <w:multiLevelType w:val="hybridMultilevel"/>
    <w:tmpl w:val="06ECFCFA"/>
    <w:lvl w:ilvl="0" w:tplc="E7AEBC0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B3BDD"/>
    <w:multiLevelType w:val="hybridMultilevel"/>
    <w:tmpl w:val="393C08C6"/>
    <w:lvl w:ilvl="0" w:tplc="C6727DA8">
      <w:start w:val="1"/>
      <w:numFmt w:val="decimal"/>
      <w:lvlText w:val="%1."/>
      <w:lvlJc w:val="left"/>
      <w:pPr>
        <w:ind w:left="720" w:hanging="360"/>
      </w:pPr>
    </w:lvl>
    <w:lvl w:ilvl="1" w:tplc="27ECD538" w:tentative="1">
      <w:start w:val="1"/>
      <w:numFmt w:val="lowerLetter"/>
      <w:lvlText w:val="%2."/>
      <w:lvlJc w:val="left"/>
      <w:pPr>
        <w:ind w:left="1440" w:hanging="360"/>
      </w:pPr>
    </w:lvl>
    <w:lvl w:ilvl="2" w:tplc="661A6BAC" w:tentative="1">
      <w:start w:val="1"/>
      <w:numFmt w:val="lowerRoman"/>
      <w:lvlText w:val="%3."/>
      <w:lvlJc w:val="right"/>
      <w:pPr>
        <w:ind w:left="2160" w:hanging="180"/>
      </w:pPr>
    </w:lvl>
    <w:lvl w:ilvl="3" w:tplc="08A4BD2E" w:tentative="1">
      <w:start w:val="1"/>
      <w:numFmt w:val="decimal"/>
      <w:lvlText w:val="%4."/>
      <w:lvlJc w:val="left"/>
      <w:pPr>
        <w:ind w:left="2880" w:hanging="360"/>
      </w:pPr>
    </w:lvl>
    <w:lvl w:ilvl="4" w:tplc="138893F0" w:tentative="1">
      <w:start w:val="1"/>
      <w:numFmt w:val="lowerLetter"/>
      <w:lvlText w:val="%5."/>
      <w:lvlJc w:val="left"/>
      <w:pPr>
        <w:ind w:left="3600" w:hanging="360"/>
      </w:pPr>
    </w:lvl>
    <w:lvl w:ilvl="5" w:tplc="F9E45FCA" w:tentative="1">
      <w:start w:val="1"/>
      <w:numFmt w:val="lowerRoman"/>
      <w:lvlText w:val="%6."/>
      <w:lvlJc w:val="right"/>
      <w:pPr>
        <w:ind w:left="4320" w:hanging="180"/>
      </w:pPr>
    </w:lvl>
    <w:lvl w:ilvl="6" w:tplc="46CA1F12" w:tentative="1">
      <w:start w:val="1"/>
      <w:numFmt w:val="decimal"/>
      <w:lvlText w:val="%7."/>
      <w:lvlJc w:val="left"/>
      <w:pPr>
        <w:ind w:left="5040" w:hanging="360"/>
      </w:pPr>
    </w:lvl>
    <w:lvl w:ilvl="7" w:tplc="6A9A0340" w:tentative="1">
      <w:start w:val="1"/>
      <w:numFmt w:val="lowerLetter"/>
      <w:lvlText w:val="%8."/>
      <w:lvlJc w:val="left"/>
      <w:pPr>
        <w:ind w:left="5760" w:hanging="360"/>
      </w:pPr>
    </w:lvl>
    <w:lvl w:ilvl="8" w:tplc="23A0F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F7944"/>
    <w:multiLevelType w:val="hybridMultilevel"/>
    <w:tmpl w:val="7E169B64"/>
    <w:lvl w:ilvl="0" w:tplc="0405000F">
      <w:start w:val="6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B1492A"/>
    <w:multiLevelType w:val="hybridMultilevel"/>
    <w:tmpl w:val="77940066"/>
    <w:lvl w:ilvl="0" w:tplc="FA02A02E">
      <w:start w:val="2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F521483"/>
    <w:multiLevelType w:val="hybridMultilevel"/>
    <w:tmpl w:val="CE5ADDCC"/>
    <w:lvl w:ilvl="0" w:tplc="35D4709C">
      <w:start w:val="1"/>
      <w:numFmt w:val="decimal"/>
      <w:lvlText w:val="Tabulka č. %1: X"/>
      <w:lvlJc w:val="left"/>
      <w:pPr>
        <w:ind w:left="720" w:hanging="360"/>
      </w:pPr>
      <w:rPr>
        <w:rFonts w:cs="Times New Roman" w:hint="default"/>
      </w:rPr>
    </w:lvl>
    <w:lvl w:ilvl="1" w:tplc="70CCC108">
      <w:start w:val="1"/>
      <w:numFmt w:val="decimal"/>
      <w:pStyle w:val="Nzevtabulky"/>
      <w:suff w:val="space"/>
      <w:lvlText w:val="Tabulka č. %2:"/>
      <w:lvlJc w:val="left"/>
      <w:pPr>
        <w:ind w:left="0" w:firstLine="0"/>
      </w:pPr>
      <w:rPr>
        <w:rFonts w:asciiTheme="minorHAnsi" w:hAnsiTheme="minorHAnsi" w:cstheme="minorHAnsi" w:hint="default"/>
        <w:b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930592"/>
    <w:multiLevelType w:val="hybridMultilevel"/>
    <w:tmpl w:val="C980C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46990"/>
    <w:multiLevelType w:val="hybridMultilevel"/>
    <w:tmpl w:val="EABE0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E4AFF"/>
    <w:multiLevelType w:val="hybridMultilevel"/>
    <w:tmpl w:val="B12C9C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226ED"/>
    <w:multiLevelType w:val="hybridMultilevel"/>
    <w:tmpl w:val="3CDC2A36"/>
    <w:lvl w:ilvl="0" w:tplc="E38871A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"/>
  </w:num>
  <w:num w:numId="8">
    <w:abstractNumId w:val="9"/>
  </w:num>
  <w:num w:numId="9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6"/>
  </w:num>
  <w:num w:numId="12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08"/>
    <w:rsid w:val="00000063"/>
    <w:rsid w:val="0000015B"/>
    <w:rsid w:val="00001845"/>
    <w:rsid w:val="000031EE"/>
    <w:rsid w:val="0000481E"/>
    <w:rsid w:val="00010147"/>
    <w:rsid w:val="00010631"/>
    <w:rsid w:val="0001091C"/>
    <w:rsid w:val="00010963"/>
    <w:rsid w:val="00011658"/>
    <w:rsid w:val="00013DE6"/>
    <w:rsid w:val="00016204"/>
    <w:rsid w:val="00021027"/>
    <w:rsid w:val="00021F67"/>
    <w:rsid w:val="00022412"/>
    <w:rsid w:val="00026FAF"/>
    <w:rsid w:val="00027546"/>
    <w:rsid w:val="0002773E"/>
    <w:rsid w:val="0003040D"/>
    <w:rsid w:val="000304B8"/>
    <w:rsid w:val="000316FC"/>
    <w:rsid w:val="0003208D"/>
    <w:rsid w:val="0003212D"/>
    <w:rsid w:val="00032EEA"/>
    <w:rsid w:val="000352B3"/>
    <w:rsid w:val="000415A9"/>
    <w:rsid w:val="00042D15"/>
    <w:rsid w:val="00043835"/>
    <w:rsid w:val="00045D37"/>
    <w:rsid w:val="00047308"/>
    <w:rsid w:val="000513E2"/>
    <w:rsid w:val="0005260B"/>
    <w:rsid w:val="00052806"/>
    <w:rsid w:val="00052815"/>
    <w:rsid w:val="00052B78"/>
    <w:rsid w:val="00053B0E"/>
    <w:rsid w:val="00053F92"/>
    <w:rsid w:val="00055DD8"/>
    <w:rsid w:val="00056BFB"/>
    <w:rsid w:val="00061AE2"/>
    <w:rsid w:val="000636AA"/>
    <w:rsid w:val="000708FF"/>
    <w:rsid w:val="00074A9A"/>
    <w:rsid w:val="00081C96"/>
    <w:rsid w:val="00083169"/>
    <w:rsid w:val="00083A42"/>
    <w:rsid w:val="000847F2"/>
    <w:rsid w:val="000857F2"/>
    <w:rsid w:val="00091F77"/>
    <w:rsid w:val="00095CE5"/>
    <w:rsid w:val="00095D47"/>
    <w:rsid w:val="00097118"/>
    <w:rsid w:val="00097B56"/>
    <w:rsid w:val="000A12E6"/>
    <w:rsid w:val="000A17BA"/>
    <w:rsid w:val="000A1C78"/>
    <w:rsid w:val="000A1D1C"/>
    <w:rsid w:val="000A2392"/>
    <w:rsid w:val="000A2E8D"/>
    <w:rsid w:val="000A39F4"/>
    <w:rsid w:val="000A3C4E"/>
    <w:rsid w:val="000A7C30"/>
    <w:rsid w:val="000B3A80"/>
    <w:rsid w:val="000B6D2D"/>
    <w:rsid w:val="000C16EC"/>
    <w:rsid w:val="000C2B4F"/>
    <w:rsid w:val="000C524D"/>
    <w:rsid w:val="000C56F4"/>
    <w:rsid w:val="000C5CE6"/>
    <w:rsid w:val="000C6660"/>
    <w:rsid w:val="000C73AA"/>
    <w:rsid w:val="000D0EB4"/>
    <w:rsid w:val="000D2A50"/>
    <w:rsid w:val="000D4E23"/>
    <w:rsid w:val="000D54BF"/>
    <w:rsid w:val="000E1119"/>
    <w:rsid w:val="000E2D3E"/>
    <w:rsid w:val="000E373D"/>
    <w:rsid w:val="000E58F9"/>
    <w:rsid w:val="000E675F"/>
    <w:rsid w:val="000F1952"/>
    <w:rsid w:val="000F3B3A"/>
    <w:rsid w:val="000F4015"/>
    <w:rsid w:val="000F580C"/>
    <w:rsid w:val="000F59C1"/>
    <w:rsid w:val="000F74D9"/>
    <w:rsid w:val="000F77C4"/>
    <w:rsid w:val="001007EA"/>
    <w:rsid w:val="0010283F"/>
    <w:rsid w:val="001038ED"/>
    <w:rsid w:val="00103E2D"/>
    <w:rsid w:val="001061C3"/>
    <w:rsid w:val="00106B01"/>
    <w:rsid w:val="001146FB"/>
    <w:rsid w:val="00114B9D"/>
    <w:rsid w:val="00114D01"/>
    <w:rsid w:val="00117B9D"/>
    <w:rsid w:val="0012012E"/>
    <w:rsid w:val="00120B13"/>
    <w:rsid w:val="00120B15"/>
    <w:rsid w:val="0012122E"/>
    <w:rsid w:val="00121594"/>
    <w:rsid w:val="001221DA"/>
    <w:rsid w:val="00123BFE"/>
    <w:rsid w:val="00123DD3"/>
    <w:rsid w:val="0012444B"/>
    <w:rsid w:val="001251D2"/>
    <w:rsid w:val="00125BCD"/>
    <w:rsid w:val="00126A44"/>
    <w:rsid w:val="0013131E"/>
    <w:rsid w:val="001334B9"/>
    <w:rsid w:val="001358C2"/>
    <w:rsid w:val="001359F3"/>
    <w:rsid w:val="00140E2C"/>
    <w:rsid w:val="00140F8E"/>
    <w:rsid w:val="00142524"/>
    <w:rsid w:val="00145648"/>
    <w:rsid w:val="00147556"/>
    <w:rsid w:val="00147F78"/>
    <w:rsid w:val="00151049"/>
    <w:rsid w:val="00151D4B"/>
    <w:rsid w:val="00156EDB"/>
    <w:rsid w:val="00163A56"/>
    <w:rsid w:val="00163DEE"/>
    <w:rsid w:val="00171D8C"/>
    <w:rsid w:val="001728E0"/>
    <w:rsid w:val="00175521"/>
    <w:rsid w:val="00175815"/>
    <w:rsid w:val="00184D81"/>
    <w:rsid w:val="00185A77"/>
    <w:rsid w:val="00186E45"/>
    <w:rsid w:val="00190F95"/>
    <w:rsid w:val="00191ABD"/>
    <w:rsid w:val="001932A0"/>
    <w:rsid w:val="00195AE9"/>
    <w:rsid w:val="001961E6"/>
    <w:rsid w:val="001969B5"/>
    <w:rsid w:val="001A153A"/>
    <w:rsid w:val="001A2D60"/>
    <w:rsid w:val="001A4F33"/>
    <w:rsid w:val="001A6EEB"/>
    <w:rsid w:val="001B0AE1"/>
    <w:rsid w:val="001B16B9"/>
    <w:rsid w:val="001B22BB"/>
    <w:rsid w:val="001B2AC9"/>
    <w:rsid w:val="001B31A7"/>
    <w:rsid w:val="001B39DB"/>
    <w:rsid w:val="001B4570"/>
    <w:rsid w:val="001B463B"/>
    <w:rsid w:val="001B6407"/>
    <w:rsid w:val="001B7F52"/>
    <w:rsid w:val="001B7FF6"/>
    <w:rsid w:val="001C1DC9"/>
    <w:rsid w:val="001C2403"/>
    <w:rsid w:val="001C3763"/>
    <w:rsid w:val="001C4B90"/>
    <w:rsid w:val="001C4D0C"/>
    <w:rsid w:val="001C593C"/>
    <w:rsid w:val="001D12E2"/>
    <w:rsid w:val="001D195F"/>
    <w:rsid w:val="001D4FC4"/>
    <w:rsid w:val="001D58DD"/>
    <w:rsid w:val="001D5C27"/>
    <w:rsid w:val="001E0036"/>
    <w:rsid w:val="001E04EE"/>
    <w:rsid w:val="001E26B7"/>
    <w:rsid w:val="001E547C"/>
    <w:rsid w:val="001E5492"/>
    <w:rsid w:val="001E55E7"/>
    <w:rsid w:val="001E75DF"/>
    <w:rsid w:val="001E7B6F"/>
    <w:rsid w:val="001E7D5E"/>
    <w:rsid w:val="001F1EAE"/>
    <w:rsid w:val="001F2E77"/>
    <w:rsid w:val="001F4DBE"/>
    <w:rsid w:val="001F6F8A"/>
    <w:rsid w:val="001F71C1"/>
    <w:rsid w:val="00200148"/>
    <w:rsid w:val="002010D0"/>
    <w:rsid w:val="002015FB"/>
    <w:rsid w:val="002023B6"/>
    <w:rsid w:val="00203572"/>
    <w:rsid w:val="0020453C"/>
    <w:rsid w:val="002062FF"/>
    <w:rsid w:val="00210463"/>
    <w:rsid w:val="002107C0"/>
    <w:rsid w:val="00210BBC"/>
    <w:rsid w:val="00211129"/>
    <w:rsid w:val="002111EB"/>
    <w:rsid w:val="00212B50"/>
    <w:rsid w:val="00213A37"/>
    <w:rsid w:val="00214415"/>
    <w:rsid w:val="002150E3"/>
    <w:rsid w:val="002154F6"/>
    <w:rsid w:val="00215FBA"/>
    <w:rsid w:val="00216C02"/>
    <w:rsid w:val="002218C8"/>
    <w:rsid w:val="00223D3B"/>
    <w:rsid w:val="00226E7A"/>
    <w:rsid w:val="00227AEF"/>
    <w:rsid w:val="002300C5"/>
    <w:rsid w:val="00231B02"/>
    <w:rsid w:val="00231E46"/>
    <w:rsid w:val="0023327E"/>
    <w:rsid w:val="00234E19"/>
    <w:rsid w:val="0023743D"/>
    <w:rsid w:val="0024265A"/>
    <w:rsid w:val="0024636B"/>
    <w:rsid w:val="00246D13"/>
    <w:rsid w:val="002500DE"/>
    <w:rsid w:val="00250324"/>
    <w:rsid w:val="0025124F"/>
    <w:rsid w:val="002512B3"/>
    <w:rsid w:val="0025367E"/>
    <w:rsid w:val="00260107"/>
    <w:rsid w:val="00260B74"/>
    <w:rsid w:val="002631EF"/>
    <w:rsid w:val="00264C8E"/>
    <w:rsid w:val="0026510A"/>
    <w:rsid w:val="0026625D"/>
    <w:rsid w:val="00266369"/>
    <w:rsid w:val="00266986"/>
    <w:rsid w:val="002674B3"/>
    <w:rsid w:val="00267691"/>
    <w:rsid w:val="00267B5E"/>
    <w:rsid w:val="0027012A"/>
    <w:rsid w:val="0027025C"/>
    <w:rsid w:val="00270A1E"/>
    <w:rsid w:val="00271596"/>
    <w:rsid w:val="0027396E"/>
    <w:rsid w:val="00273DE7"/>
    <w:rsid w:val="002821D4"/>
    <w:rsid w:val="002848AD"/>
    <w:rsid w:val="0028607A"/>
    <w:rsid w:val="00286CE5"/>
    <w:rsid w:val="00286E2E"/>
    <w:rsid w:val="002931A8"/>
    <w:rsid w:val="002958B6"/>
    <w:rsid w:val="00295D25"/>
    <w:rsid w:val="002977BA"/>
    <w:rsid w:val="002A0276"/>
    <w:rsid w:val="002A0D12"/>
    <w:rsid w:val="002A1AA3"/>
    <w:rsid w:val="002A4370"/>
    <w:rsid w:val="002A4EE4"/>
    <w:rsid w:val="002B2166"/>
    <w:rsid w:val="002B2F42"/>
    <w:rsid w:val="002B5600"/>
    <w:rsid w:val="002B611D"/>
    <w:rsid w:val="002B6FC9"/>
    <w:rsid w:val="002B7156"/>
    <w:rsid w:val="002C136F"/>
    <w:rsid w:val="002C2500"/>
    <w:rsid w:val="002C489F"/>
    <w:rsid w:val="002C53A6"/>
    <w:rsid w:val="002C7516"/>
    <w:rsid w:val="002C77A0"/>
    <w:rsid w:val="002D00FE"/>
    <w:rsid w:val="002D28FF"/>
    <w:rsid w:val="002D3635"/>
    <w:rsid w:val="002D4C6D"/>
    <w:rsid w:val="002D4F23"/>
    <w:rsid w:val="002D6F01"/>
    <w:rsid w:val="002E3CDA"/>
    <w:rsid w:val="002E51E2"/>
    <w:rsid w:val="002E726B"/>
    <w:rsid w:val="002E7D45"/>
    <w:rsid w:val="002F1C3B"/>
    <w:rsid w:val="002F6077"/>
    <w:rsid w:val="002F683A"/>
    <w:rsid w:val="002F79EA"/>
    <w:rsid w:val="00301CFB"/>
    <w:rsid w:val="00303ADC"/>
    <w:rsid w:val="003048F8"/>
    <w:rsid w:val="00310377"/>
    <w:rsid w:val="003111BB"/>
    <w:rsid w:val="0031150B"/>
    <w:rsid w:val="00311D49"/>
    <w:rsid w:val="00312596"/>
    <w:rsid w:val="0031440F"/>
    <w:rsid w:val="00315B43"/>
    <w:rsid w:val="00317A3E"/>
    <w:rsid w:val="00317DD9"/>
    <w:rsid w:val="00320510"/>
    <w:rsid w:val="00321E03"/>
    <w:rsid w:val="003221E7"/>
    <w:rsid w:val="00322DC8"/>
    <w:rsid w:val="00323383"/>
    <w:rsid w:val="00323835"/>
    <w:rsid w:val="003248B9"/>
    <w:rsid w:val="0032668F"/>
    <w:rsid w:val="0033080E"/>
    <w:rsid w:val="00330A2E"/>
    <w:rsid w:val="00330D07"/>
    <w:rsid w:val="0033539B"/>
    <w:rsid w:val="00336169"/>
    <w:rsid w:val="00340393"/>
    <w:rsid w:val="00341727"/>
    <w:rsid w:val="00342E47"/>
    <w:rsid w:val="00343B1D"/>
    <w:rsid w:val="0035208B"/>
    <w:rsid w:val="003530F8"/>
    <w:rsid w:val="0035598A"/>
    <w:rsid w:val="0035609A"/>
    <w:rsid w:val="0036026D"/>
    <w:rsid w:val="00360661"/>
    <w:rsid w:val="00361B1A"/>
    <w:rsid w:val="003620D7"/>
    <w:rsid w:val="003626C9"/>
    <w:rsid w:val="003628BA"/>
    <w:rsid w:val="00363332"/>
    <w:rsid w:val="003644A9"/>
    <w:rsid w:val="0036481D"/>
    <w:rsid w:val="003654AB"/>
    <w:rsid w:val="003665DC"/>
    <w:rsid w:val="00367037"/>
    <w:rsid w:val="0036767B"/>
    <w:rsid w:val="00367859"/>
    <w:rsid w:val="00371AF7"/>
    <w:rsid w:val="00373D6B"/>
    <w:rsid w:val="00374A95"/>
    <w:rsid w:val="00375F8B"/>
    <w:rsid w:val="00377276"/>
    <w:rsid w:val="00377CB6"/>
    <w:rsid w:val="00377F82"/>
    <w:rsid w:val="00383A0E"/>
    <w:rsid w:val="003842AF"/>
    <w:rsid w:val="00386D41"/>
    <w:rsid w:val="00390D98"/>
    <w:rsid w:val="00390E49"/>
    <w:rsid w:val="00392143"/>
    <w:rsid w:val="003931C8"/>
    <w:rsid w:val="003936C3"/>
    <w:rsid w:val="003941DF"/>
    <w:rsid w:val="003949FF"/>
    <w:rsid w:val="0039629C"/>
    <w:rsid w:val="00396589"/>
    <w:rsid w:val="003967B6"/>
    <w:rsid w:val="00397202"/>
    <w:rsid w:val="003A0D37"/>
    <w:rsid w:val="003A1BD5"/>
    <w:rsid w:val="003A443C"/>
    <w:rsid w:val="003A4D92"/>
    <w:rsid w:val="003A5E76"/>
    <w:rsid w:val="003A68AA"/>
    <w:rsid w:val="003B20C9"/>
    <w:rsid w:val="003B2EB0"/>
    <w:rsid w:val="003B7CCD"/>
    <w:rsid w:val="003C1270"/>
    <w:rsid w:val="003C12DD"/>
    <w:rsid w:val="003C3204"/>
    <w:rsid w:val="003C3C52"/>
    <w:rsid w:val="003C5474"/>
    <w:rsid w:val="003D010A"/>
    <w:rsid w:val="003D0A22"/>
    <w:rsid w:val="003D1A59"/>
    <w:rsid w:val="003D29A4"/>
    <w:rsid w:val="003D2AC2"/>
    <w:rsid w:val="003D3D88"/>
    <w:rsid w:val="003D7528"/>
    <w:rsid w:val="003E1A78"/>
    <w:rsid w:val="003E5379"/>
    <w:rsid w:val="003E7BA8"/>
    <w:rsid w:val="003F01A1"/>
    <w:rsid w:val="003F0E6F"/>
    <w:rsid w:val="003F192C"/>
    <w:rsid w:val="003F2591"/>
    <w:rsid w:val="003F50DD"/>
    <w:rsid w:val="004043CF"/>
    <w:rsid w:val="00404A8D"/>
    <w:rsid w:val="00406BD0"/>
    <w:rsid w:val="00411963"/>
    <w:rsid w:val="004120B0"/>
    <w:rsid w:val="004122A7"/>
    <w:rsid w:val="00415E39"/>
    <w:rsid w:val="004173C7"/>
    <w:rsid w:val="00420188"/>
    <w:rsid w:val="004225A8"/>
    <w:rsid w:val="00423138"/>
    <w:rsid w:val="00426928"/>
    <w:rsid w:val="00427775"/>
    <w:rsid w:val="00430685"/>
    <w:rsid w:val="004311E5"/>
    <w:rsid w:val="004327A9"/>
    <w:rsid w:val="004328FF"/>
    <w:rsid w:val="00433874"/>
    <w:rsid w:val="00434A8C"/>
    <w:rsid w:val="00441C5A"/>
    <w:rsid w:val="004426DA"/>
    <w:rsid w:val="00444F91"/>
    <w:rsid w:val="0044502A"/>
    <w:rsid w:val="00446A32"/>
    <w:rsid w:val="00447953"/>
    <w:rsid w:val="004500A5"/>
    <w:rsid w:val="00450AC6"/>
    <w:rsid w:val="00452F3C"/>
    <w:rsid w:val="004532ED"/>
    <w:rsid w:val="00453D41"/>
    <w:rsid w:val="004555D7"/>
    <w:rsid w:val="00455853"/>
    <w:rsid w:val="00455E83"/>
    <w:rsid w:val="00456559"/>
    <w:rsid w:val="004566B1"/>
    <w:rsid w:val="0046109D"/>
    <w:rsid w:val="00461EF0"/>
    <w:rsid w:val="004623F2"/>
    <w:rsid w:val="00464802"/>
    <w:rsid w:val="004660F5"/>
    <w:rsid w:val="00466945"/>
    <w:rsid w:val="00466C5D"/>
    <w:rsid w:val="004672B5"/>
    <w:rsid w:val="0047098A"/>
    <w:rsid w:val="00470D00"/>
    <w:rsid w:val="00472006"/>
    <w:rsid w:val="00473C05"/>
    <w:rsid w:val="004746C6"/>
    <w:rsid w:val="00475F80"/>
    <w:rsid w:val="0047793E"/>
    <w:rsid w:val="00480DEB"/>
    <w:rsid w:val="00481C94"/>
    <w:rsid w:val="004828C8"/>
    <w:rsid w:val="00485249"/>
    <w:rsid w:val="004862C3"/>
    <w:rsid w:val="00486813"/>
    <w:rsid w:val="004904FE"/>
    <w:rsid w:val="004916DB"/>
    <w:rsid w:val="00491BA9"/>
    <w:rsid w:val="00494155"/>
    <w:rsid w:val="00496140"/>
    <w:rsid w:val="00496F66"/>
    <w:rsid w:val="004976DD"/>
    <w:rsid w:val="00497A1A"/>
    <w:rsid w:val="004A0706"/>
    <w:rsid w:val="004A0890"/>
    <w:rsid w:val="004A14C6"/>
    <w:rsid w:val="004A4314"/>
    <w:rsid w:val="004A44FC"/>
    <w:rsid w:val="004A607F"/>
    <w:rsid w:val="004A77EB"/>
    <w:rsid w:val="004B220C"/>
    <w:rsid w:val="004B226F"/>
    <w:rsid w:val="004B333E"/>
    <w:rsid w:val="004B3978"/>
    <w:rsid w:val="004B4B6D"/>
    <w:rsid w:val="004B564B"/>
    <w:rsid w:val="004B62D9"/>
    <w:rsid w:val="004B7640"/>
    <w:rsid w:val="004B77D6"/>
    <w:rsid w:val="004C0D31"/>
    <w:rsid w:val="004C0F64"/>
    <w:rsid w:val="004C1564"/>
    <w:rsid w:val="004C205A"/>
    <w:rsid w:val="004C2845"/>
    <w:rsid w:val="004C4757"/>
    <w:rsid w:val="004D0555"/>
    <w:rsid w:val="004D1046"/>
    <w:rsid w:val="004D4015"/>
    <w:rsid w:val="004D4FBA"/>
    <w:rsid w:val="004D68C2"/>
    <w:rsid w:val="004D76EF"/>
    <w:rsid w:val="004E16F3"/>
    <w:rsid w:val="004E1D93"/>
    <w:rsid w:val="004E1DE7"/>
    <w:rsid w:val="004E2144"/>
    <w:rsid w:val="004E2149"/>
    <w:rsid w:val="004E21DD"/>
    <w:rsid w:val="004E3396"/>
    <w:rsid w:val="004E3409"/>
    <w:rsid w:val="004E6D9F"/>
    <w:rsid w:val="004F0E47"/>
    <w:rsid w:val="004F0FB0"/>
    <w:rsid w:val="004F148F"/>
    <w:rsid w:val="004F1B40"/>
    <w:rsid w:val="004F4DF4"/>
    <w:rsid w:val="004F7718"/>
    <w:rsid w:val="004F789B"/>
    <w:rsid w:val="0050020B"/>
    <w:rsid w:val="005008CA"/>
    <w:rsid w:val="00500AD2"/>
    <w:rsid w:val="005017F2"/>
    <w:rsid w:val="005027FB"/>
    <w:rsid w:val="00502909"/>
    <w:rsid w:val="005038C7"/>
    <w:rsid w:val="0050785F"/>
    <w:rsid w:val="00507D29"/>
    <w:rsid w:val="00510864"/>
    <w:rsid w:val="00511575"/>
    <w:rsid w:val="0051238A"/>
    <w:rsid w:val="00513C94"/>
    <w:rsid w:val="00513F92"/>
    <w:rsid w:val="0051481E"/>
    <w:rsid w:val="00520175"/>
    <w:rsid w:val="005207B0"/>
    <w:rsid w:val="00522624"/>
    <w:rsid w:val="0052509B"/>
    <w:rsid w:val="0052576D"/>
    <w:rsid w:val="0052689D"/>
    <w:rsid w:val="00527096"/>
    <w:rsid w:val="005277FB"/>
    <w:rsid w:val="005347A0"/>
    <w:rsid w:val="00535289"/>
    <w:rsid w:val="00535953"/>
    <w:rsid w:val="0053679F"/>
    <w:rsid w:val="00536A9B"/>
    <w:rsid w:val="0053768F"/>
    <w:rsid w:val="005400E6"/>
    <w:rsid w:val="005413E1"/>
    <w:rsid w:val="00541DFF"/>
    <w:rsid w:val="005422A1"/>
    <w:rsid w:val="00544331"/>
    <w:rsid w:val="005456C5"/>
    <w:rsid w:val="00547529"/>
    <w:rsid w:val="00550CF4"/>
    <w:rsid w:val="00551852"/>
    <w:rsid w:val="0055282E"/>
    <w:rsid w:val="00553ED6"/>
    <w:rsid w:val="00554233"/>
    <w:rsid w:val="0055514D"/>
    <w:rsid w:val="00555938"/>
    <w:rsid w:val="00556F1C"/>
    <w:rsid w:val="00560985"/>
    <w:rsid w:val="00560D82"/>
    <w:rsid w:val="00561390"/>
    <w:rsid w:val="00563E4D"/>
    <w:rsid w:val="0056661D"/>
    <w:rsid w:val="0056763E"/>
    <w:rsid w:val="00571B7B"/>
    <w:rsid w:val="005728F5"/>
    <w:rsid w:val="00572962"/>
    <w:rsid w:val="0057356C"/>
    <w:rsid w:val="005744BE"/>
    <w:rsid w:val="00574A99"/>
    <w:rsid w:val="00576E07"/>
    <w:rsid w:val="0057722B"/>
    <w:rsid w:val="0058162B"/>
    <w:rsid w:val="00582CD7"/>
    <w:rsid w:val="00585BA3"/>
    <w:rsid w:val="00586780"/>
    <w:rsid w:val="00586F1E"/>
    <w:rsid w:val="005902DB"/>
    <w:rsid w:val="005919E5"/>
    <w:rsid w:val="0059399C"/>
    <w:rsid w:val="00597C3E"/>
    <w:rsid w:val="005A02EF"/>
    <w:rsid w:val="005A0D1C"/>
    <w:rsid w:val="005A58A9"/>
    <w:rsid w:val="005A6955"/>
    <w:rsid w:val="005B3D5D"/>
    <w:rsid w:val="005B5E85"/>
    <w:rsid w:val="005C483A"/>
    <w:rsid w:val="005C6C37"/>
    <w:rsid w:val="005D0297"/>
    <w:rsid w:val="005D0DDE"/>
    <w:rsid w:val="005D0FD6"/>
    <w:rsid w:val="005D1610"/>
    <w:rsid w:val="005D3E89"/>
    <w:rsid w:val="005D5927"/>
    <w:rsid w:val="005E0C6C"/>
    <w:rsid w:val="005E133A"/>
    <w:rsid w:val="005E1D5A"/>
    <w:rsid w:val="005E2788"/>
    <w:rsid w:val="005E2829"/>
    <w:rsid w:val="005E4994"/>
    <w:rsid w:val="005E6FB9"/>
    <w:rsid w:val="005E7609"/>
    <w:rsid w:val="005F27F1"/>
    <w:rsid w:val="005F2BD2"/>
    <w:rsid w:val="005F3297"/>
    <w:rsid w:val="005F5F0A"/>
    <w:rsid w:val="00600188"/>
    <w:rsid w:val="006016D2"/>
    <w:rsid w:val="00603F92"/>
    <w:rsid w:val="0060416C"/>
    <w:rsid w:val="00605569"/>
    <w:rsid w:val="0060671B"/>
    <w:rsid w:val="00610BE1"/>
    <w:rsid w:val="00613055"/>
    <w:rsid w:val="00613084"/>
    <w:rsid w:val="00613233"/>
    <w:rsid w:val="006134DE"/>
    <w:rsid w:val="006161B6"/>
    <w:rsid w:val="006209D0"/>
    <w:rsid w:val="00621311"/>
    <w:rsid w:val="006216D8"/>
    <w:rsid w:val="00622CBE"/>
    <w:rsid w:val="006233BF"/>
    <w:rsid w:val="00624860"/>
    <w:rsid w:val="00624C86"/>
    <w:rsid w:val="006302A2"/>
    <w:rsid w:val="006308D2"/>
    <w:rsid w:val="006347F4"/>
    <w:rsid w:val="0063499D"/>
    <w:rsid w:val="006349D0"/>
    <w:rsid w:val="006370A0"/>
    <w:rsid w:val="0063761A"/>
    <w:rsid w:val="00641450"/>
    <w:rsid w:val="00642078"/>
    <w:rsid w:val="00644428"/>
    <w:rsid w:val="00644B1F"/>
    <w:rsid w:val="006454C2"/>
    <w:rsid w:val="0064760E"/>
    <w:rsid w:val="00647DF3"/>
    <w:rsid w:val="006515CD"/>
    <w:rsid w:val="006530BB"/>
    <w:rsid w:val="006534A8"/>
    <w:rsid w:val="00655689"/>
    <w:rsid w:val="006564E0"/>
    <w:rsid w:val="00656637"/>
    <w:rsid w:val="006569A6"/>
    <w:rsid w:val="00656DEE"/>
    <w:rsid w:val="00657EBD"/>
    <w:rsid w:val="006612DB"/>
    <w:rsid w:val="00662765"/>
    <w:rsid w:val="00662CEB"/>
    <w:rsid w:val="00663712"/>
    <w:rsid w:val="00666659"/>
    <w:rsid w:val="00670105"/>
    <w:rsid w:val="006723C3"/>
    <w:rsid w:val="00674932"/>
    <w:rsid w:val="0068024D"/>
    <w:rsid w:val="00680683"/>
    <w:rsid w:val="00680DEC"/>
    <w:rsid w:val="00681BF1"/>
    <w:rsid w:val="006820B4"/>
    <w:rsid w:val="00684067"/>
    <w:rsid w:val="006865EC"/>
    <w:rsid w:val="00686E6D"/>
    <w:rsid w:val="0068736A"/>
    <w:rsid w:val="0068764F"/>
    <w:rsid w:val="006938F2"/>
    <w:rsid w:val="00696B78"/>
    <w:rsid w:val="00697897"/>
    <w:rsid w:val="006A2E81"/>
    <w:rsid w:val="006A63E4"/>
    <w:rsid w:val="006B1436"/>
    <w:rsid w:val="006B204A"/>
    <w:rsid w:val="006B2CF7"/>
    <w:rsid w:val="006B36CB"/>
    <w:rsid w:val="006B4AD2"/>
    <w:rsid w:val="006B5300"/>
    <w:rsid w:val="006B5823"/>
    <w:rsid w:val="006B7F1F"/>
    <w:rsid w:val="006C2E33"/>
    <w:rsid w:val="006C2E39"/>
    <w:rsid w:val="006C37AE"/>
    <w:rsid w:val="006C58E4"/>
    <w:rsid w:val="006C6246"/>
    <w:rsid w:val="006C76E8"/>
    <w:rsid w:val="006C7EE4"/>
    <w:rsid w:val="006D026D"/>
    <w:rsid w:val="006D281A"/>
    <w:rsid w:val="006D2EE3"/>
    <w:rsid w:val="006D33D9"/>
    <w:rsid w:val="006D5A2E"/>
    <w:rsid w:val="006D684D"/>
    <w:rsid w:val="006E06CA"/>
    <w:rsid w:val="006E29C0"/>
    <w:rsid w:val="006E3270"/>
    <w:rsid w:val="006E5852"/>
    <w:rsid w:val="006E6B20"/>
    <w:rsid w:val="006E7B1B"/>
    <w:rsid w:val="006F0724"/>
    <w:rsid w:val="006F1DC1"/>
    <w:rsid w:val="006F29BF"/>
    <w:rsid w:val="006F3086"/>
    <w:rsid w:val="006F363F"/>
    <w:rsid w:val="006F38F1"/>
    <w:rsid w:val="006F3A2C"/>
    <w:rsid w:val="006F3B69"/>
    <w:rsid w:val="006F4994"/>
    <w:rsid w:val="006F5E64"/>
    <w:rsid w:val="006F6B8B"/>
    <w:rsid w:val="0070369D"/>
    <w:rsid w:val="00703C57"/>
    <w:rsid w:val="00704C5F"/>
    <w:rsid w:val="0070532E"/>
    <w:rsid w:val="00707C54"/>
    <w:rsid w:val="00711F80"/>
    <w:rsid w:val="00712BFA"/>
    <w:rsid w:val="00715160"/>
    <w:rsid w:val="00715A19"/>
    <w:rsid w:val="007161C2"/>
    <w:rsid w:val="00716246"/>
    <w:rsid w:val="007164EE"/>
    <w:rsid w:val="00717813"/>
    <w:rsid w:val="007201DB"/>
    <w:rsid w:val="00720C6A"/>
    <w:rsid w:val="00721C31"/>
    <w:rsid w:val="00723559"/>
    <w:rsid w:val="00724094"/>
    <w:rsid w:val="00724EA6"/>
    <w:rsid w:val="00727ADC"/>
    <w:rsid w:val="00742D5F"/>
    <w:rsid w:val="00743930"/>
    <w:rsid w:val="00743A6E"/>
    <w:rsid w:val="00743D23"/>
    <w:rsid w:val="00744735"/>
    <w:rsid w:val="007447FD"/>
    <w:rsid w:val="00744D07"/>
    <w:rsid w:val="0074710F"/>
    <w:rsid w:val="00747155"/>
    <w:rsid w:val="00747C61"/>
    <w:rsid w:val="0075030C"/>
    <w:rsid w:val="00752F41"/>
    <w:rsid w:val="0075335A"/>
    <w:rsid w:val="00753953"/>
    <w:rsid w:val="00754564"/>
    <w:rsid w:val="00754BEC"/>
    <w:rsid w:val="0075511C"/>
    <w:rsid w:val="0075533F"/>
    <w:rsid w:val="00756984"/>
    <w:rsid w:val="00757D64"/>
    <w:rsid w:val="00762571"/>
    <w:rsid w:val="00762ACC"/>
    <w:rsid w:val="00762B50"/>
    <w:rsid w:val="00765249"/>
    <w:rsid w:val="00767659"/>
    <w:rsid w:val="00767D3B"/>
    <w:rsid w:val="0077493E"/>
    <w:rsid w:val="007751FE"/>
    <w:rsid w:val="007766EE"/>
    <w:rsid w:val="00776D27"/>
    <w:rsid w:val="007800CC"/>
    <w:rsid w:val="00780F08"/>
    <w:rsid w:val="0078217A"/>
    <w:rsid w:val="007828F3"/>
    <w:rsid w:val="00782A3A"/>
    <w:rsid w:val="0078350B"/>
    <w:rsid w:val="007842A7"/>
    <w:rsid w:val="00784771"/>
    <w:rsid w:val="00784C36"/>
    <w:rsid w:val="00785A2B"/>
    <w:rsid w:val="0078653C"/>
    <w:rsid w:val="00787B52"/>
    <w:rsid w:val="007901D5"/>
    <w:rsid w:val="007912CC"/>
    <w:rsid w:val="00791669"/>
    <w:rsid w:val="007934B2"/>
    <w:rsid w:val="0079748B"/>
    <w:rsid w:val="007978FC"/>
    <w:rsid w:val="007A016B"/>
    <w:rsid w:val="007A1EB3"/>
    <w:rsid w:val="007A218A"/>
    <w:rsid w:val="007A255B"/>
    <w:rsid w:val="007A3A2B"/>
    <w:rsid w:val="007A3E9C"/>
    <w:rsid w:val="007A5CD3"/>
    <w:rsid w:val="007A6034"/>
    <w:rsid w:val="007A6701"/>
    <w:rsid w:val="007A6B55"/>
    <w:rsid w:val="007A6C89"/>
    <w:rsid w:val="007B010D"/>
    <w:rsid w:val="007B0B20"/>
    <w:rsid w:val="007B4F60"/>
    <w:rsid w:val="007B5958"/>
    <w:rsid w:val="007B639F"/>
    <w:rsid w:val="007C044A"/>
    <w:rsid w:val="007C2969"/>
    <w:rsid w:val="007C2B48"/>
    <w:rsid w:val="007C349F"/>
    <w:rsid w:val="007C509E"/>
    <w:rsid w:val="007C7C7A"/>
    <w:rsid w:val="007D3526"/>
    <w:rsid w:val="007D47A4"/>
    <w:rsid w:val="007D6BB8"/>
    <w:rsid w:val="007E0521"/>
    <w:rsid w:val="007E0A54"/>
    <w:rsid w:val="007E178C"/>
    <w:rsid w:val="007E2694"/>
    <w:rsid w:val="007E5AC5"/>
    <w:rsid w:val="007F1740"/>
    <w:rsid w:val="007F2116"/>
    <w:rsid w:val="007F5E35"/>
    <w:rsid w:val="007F7518"/>
    <w:rsid w:val="008000EC"/>
    <w:rsid w:val="008010E2"/>
    <w:rsid w:val="00801149"/>
    <w:rsid w:val="0080267B"/>
    <w:rsid w:val="00802FC6"/>
    <w:rsid w:val="00803606"/>
    <w:rsid w:val="00803AF3"/>
    <w:rsid w:val="00803F63"/>
    <w:rsid w:val="008041AC"/>
    <w:rsid w:val="00804E5B"/>
    <w:rsid w:val="00805380"/>
    <w:rsid w:val="0080559C"/>
    <w:rsid w:val="00806B2D"/>
    <w:rsid w:val="00806E6B"/>
    <w:rsid w:val="00806F5B"/>
    <w:rsid w:val="00807257"/>
    <w:rsid w:val="00810053"/>
    <w:rsid w:val="00812DF0"/>
    <w:rsid w:val="0081399A"/>
    <w:rsid w:val="008146BC"/>
    <w:rsid w:val="00816A50"/>
    <w:rsid w:val="00820847"/>
    <w:rsid w:val="00823931"/>
    <w:rsid w:val="008250F8"/>
    <w:rsid w:val="00830D11"/>
    <w:rsid w:val="00833006"/>
    <w:rsid w:val="008330D6"/>
    <w:rsid w:val="00841E59"/>
    <w:rsid w:val="0084278E"/>
    <w:rsid w:val="00842D39"/>
    <w:rsid w:val="0084399E"/>
    <w:rsid w:val="00845D8E"/>
    <w:rsid w:val="008475CB"/>
    <w:rsid w:val="00850406"/>
    <w:rsid w:val="008506B0"/>
    <w:rsid w:val="00850C6E"/>
    <w:rsid w:val="00850C78"/>
    <w:rsid w:val="008517C7"/>
    <w:rsid w:val="00851B8D"/>
    <w:rsid w:val="00854E51"/>
    <w:rsid w:val="008552E9"/>
    <w:rsid w:val="008554C5"/>
    <w:rsid w:val="00855ECB"/>
    <w:rsid w:val="008567E4"/>
    <w:rsid w:val="00857974"/>
    <w:rsid w:val="008642DD"/>
    <w:rsid w:val="00865DFD"/>
    <w:rsid w:val="008662CE"/>
    <w:rsid w:val="00870239"/>
    <w:rsid w:val="00876921"/>
    <w:rsid w:val="00877A3E"/>
    <w:rsid w:val="0088067D"/>
    <w:rsid w:val="00881D09"/>
    <w:rsid w:val="00882B60"/>
    <w:rsid w:val="008833DA"/>
    <w:rsid w:val="00883A95"/>
    <w:rsid w:val="00884D02"/>
    <w:rsid w:val="00886E96"/>
    <w:rsid w:val="0089017E"/>
    <w:rsid w:val="00890194"/>
    <w:rsid w:val="0089149A"/>
    <w:rsid w:val="00891CB5"/>
    <w:rsid w:val="00896E12"/>
    <w:rsid w:val="008A0922"/>
    <w:rsid w:val="008A1DD5"/>
    <w:rsid w:val="008A2736"/>
    <w:rsid w:val="008A27DC"/>
    <w:rsid w:val="008A2D2F"/>
    <w:rsid w:val="008A5958"/>
    <w:rsid w:val="008A6C60"/>
    <w:rsid w:val="008A6FA6"/>
    <w:rsid w:val="008A7A32"/>
    <w:rsid w:val="008A7BC1"/>
    <w:rsid w:val="008B0143"/>
    <w:rsid w:val="008B0328"/>
    <w:rsid w:val="008B09EE"/>
    <w:rsid w:val="008B0E3F"/>
    <w:rsid w:val="008B2980"/>
    <w:rsid w:val="008B375D"/>
    <w:rsid w:val="008B3C50"/>
    <w:rsid w:val="008B40A4"/>
    <w:rsid w:val="008B495B"/>
    <w:rsid w:val="008B50B0"/>
    <w:rsid w:val="008C2766"/>
    <w:rsid w:val="008C3197"/>
    <w:rsid w:val="008C4B79"/>
    <w:rsid w:val="008C571D"/>
    <w:rsid w:val="008D06ED"/>
    <w:rsid w:val="008D0C04"/>
    <w:rsid w:val="008D0D63"/>
    <w:rsid w:val="008D25C7"/>
    <w:rsid w:val="008D2604"/>
    <w:rsid w:val="008D392E"/>
    <w:rsid w:val="008D4325"/>
    <w:rsid w:val="008D5A32"/>
    <w:rsid w:val="008D5DC7"/>
    <w:rsid w:val="008D5FC1"/>
    <w:rsid w:val="008D6BD9"/>
    <w:rsid w:val="008D72EC"/>
    <w:rsid w:val="008D7C13"/>
    <w:rsid w:val="008E16D4"/>
    <w:rsid w:val="008E1B1E"/>
    <w:rsid w:val="008E1E5F"/>
    <w:rsid w:val="008E3ED3"/>
    <w:rsid w:val="008E41DF"/>
    <w:rsid w:val="008E5589"/>
    <w:rsid w:val="008E5C26"/>
    <w:rsid w:val="008E698B"/>
    <w:rsid w:val="008E6BB8"/>
    <w:rsid w:val="008E72D2"/>
    <w:rsid w:val="008E7B10"/>
    <w:rsid w:val="008F1025"/>
    <w:rsid w:val="008F1FBE"/>
    <w:rsid w:val="008F25A5"/>
    <w:rsid w:val="008F3C96"/>
    <w:rsid w:val="008F464E"/>
    <w:rsid w:val="008F4FFF"/>
    <w:rsid w:val="008F509E"/>
    <w:rsid w:val="00900774"/>
    <w:rsid w:val="00900DF1"/>
    <w:rsid w:val="00902698"/>
    <w:rsid w:val="00903020"/>
    <w:rsid w:val="00904257"/>
    <w:rsid w:val="009048FF"/>
    <w:rsid w:val="009049B7"/>
    <w:rsid w:val="00904B06"/>
    <w:rsid w:val="00905C9B"/>
    <w:rsid w:val="00907C04"/>
    <w:rsid w:val="00912B74"/>
    <w:rsid w:val="00916317"/>
    <w:rsid w:val="00920D21"/>
    <w:rsid w:val="00921D59"/>
    <w:rsid w:val="00922C09"/>
    <w:rsid w:val="0092526D"/>
    <w:rsid w:val="009261A5"/>
    <w:rsid w:val="00927B2D"/>
    <w:rsid w:val="00932149"/>
    <w:rsid w:val="0093220A"/>
    <w:rsid w:val="00932686"/>
    <w:rsid w:val="009377DB"/>
    <w:rsid w:val="00940CB2"/>
    <w:rsid w:val="009431C7"/>
    <w:rsid w:val="009440CE"/>
    <w:rsid w:val="009447C2"/>
    <w:rsid w:val="0094517D"/>
    <w:rsid w:val="0094582E"/>
    <w:rsid w:val="0094735F"/>
    <w:rsid w:val="00950FAC"/>
    <w:rsid w:val="00953028"/>
    <w:rsid w:val="0095365C"/>
    <w:rsid w:val="009537FD"/>
    <w:rsid w:val="009622D5"/>
    <w:rsid w:val="0096297E"/>
    <w:rsid w:val="00962CBE"/>
    <w:rsid w:val="009633EF"/>
    <w:rsid w:val="009707DB"/>
    <w:rsid w:val="00970BF2"/>
    <w:rsid w:val="00970FFB"/>
    <w:rsid w:val="009816BC"/>
    <w:rsid w:val="00981AE0"/>
    <w:rsid w:val="0098373D"/>
    <w:rsid w:val="00985849"/>
    <w:rsid w:val="00986FCD"/>
    <w:rsid w:val="009907DB"/>
    <w:rsid w:val="00991310"/>
    <w:rsid w:val="0099478F"/>
    <w:rsid w:val="00994F9D"/>
    <w:rsid w:val="009955A6"/>
    <w:rsid w:val="009A0AC0"/>
    <w:rsid w:val="009A75B7"/>
    <w:rsid w:val="009B24EA"/>
    <w:rsid w:val="009B56D8"/>
    <w:rsid w:val="009B630B"/>
    <w:rsid w:val="009B7775"/>
    <w:rsid w:val="009B7846"/>
    <w:rsid w:val="009C05DA"/>
    <w:rsid w:val="009C1E4E"/>
    <w:rsid w:val="009C281A"/>
    <w:rsid w:val="009C2BDA"/>
    <w:rsid w:val="009C321B"/>
    <w:rsid w:val="009C344C"/>
    <w:rsid w:val="009C3F78"/>
    <w:rsid w:val="009C4C0A"/>
    <w:rsid w:val="009C6096"/>
    <w:rsid w:val="009C6AD8"/>
    <w:rsid w:val="009C774D"/>
    <w:rsid w:val="009D03ED"/>
    <w:rsid w:val="009D0AAA"/>
    <w:rsid w:val="009D0D04"/>
    <w:rsid w:val="009D1F1C"/>
    <w:rsid w:val="009D57CF"/>
    <w:rsid w:val="009D5969"/>
    <w:rsid w:val="009D5DB0"/>
    <w:rsid w:val="009D6121"/>
    <w:rsid w:val="009D687C"/>
    <w:rsid w:val="009D705B"/>
    <w:rsid w:val="009E00D4"/>
    <w:rsid w:val="009E053E"/>
    <w:rsid w:val="009E1513"/>
    <w:rsid w:val="009E2171"/>
    <w:rsid w:val="009E3989"/>
    <w:rsid w:val="009E4604"/>
    <w:rsid w:val="009E509A"/>
    <w:rsid w:val="009E57BB"/>
    <w:rsid w:val="009E595E"/>
    <w:rsid w:val="009F090A"/>
    <w:rsid w:val="009F258C"/>
    <w:rsid w:val="009F2B99"/>
    <w:rsid w:val="009F458B"/>
    <w:rsid w:val="009F545C"/>
    <w:rsid w:val="009F5968"/>
    <w:rsid w:val="00A00E1D"/>
    <w:rsid w:val="00A01C84"/>
    <w:rsid w:val="00A05ECC"/>
    <w:rsid w:val="00A1035A"/>
    <w:rsid w:val="00A11C75"/>
    <w:rsid w:val="00A120C5"/>
    <w:rsid w:val="00A14DDF"/>
    <w:rsid w:val="00A219E1"/>
    <w:rsid w:val="00A23627"/>
    <w:rsid w:val="00A2368A"/>
    <w:rsid w:val="00A239FE"/>
    <w:rsid w:val="00A2557F"/>
    <w:rsid w:val="00A25652"/>
    <w:rsid w:val="00A27942"/>
    <w:rsid w:val="00A30377"/>
    <w:rsid w:val="00A36943"/>
    <w:rsid w:val="00A36DCA"/>
    <w:rsid w:val="00A36F23"/>
    <w:rsid w:val="00A3706A"/>
    <w:rsid w:val="00A37F88"/>
    <w:rsid w:val="00A419C5"/>
    <w:rsid w:val="00A43EE7"/>
    <w:rsid w:val="00A43F53"/>
    <w:rsid w:val="00A43F98"/>
    <w:rsid w:val="00A4403F"/>
    <w:rsid w:val="00A44EF9"/>
    <w:rsid w:val="00A45578"/>
    <w:rsid w:val="00A47815"/>
    <w:rsid w:val="00A47921"/>
    <w:rsid w:val="00A5041A"/>
    <w:rsid w:val="00A51BFC"/>
    <w:rsid w:val="00A5305F"/>
    <w:rsid w:val="00A55743"/>
    <w:rsid w:val="00A56B19"/>
    <w:rsid w:val="00A60CF6"/>
    <w:rsid w:val="00A63A2D"/>
    <w:rsid w:val="00A64BF8"/>
    <w:rsid w:val="00A71306"/>
    <w:rsid w:val="00A726A8"/>
    <w:rsid w:val="00A73096"/>
    <w:rsid w:val="00A73513"/>
    <w:rsid w:val="00A73E9F"/>
    <w:rsid w:val="00A7427E"/>
    <w:rsid w:val="00A75A93"/>
    <w:rsid w:val="00A77EC5"/>
    <w:rsid w:val="00A8122F"/>
    <w:rsid w:val="00A81D99"/>
    <w:rsid w:val="00A82592"/>
    <w:rsid w:val="00A82992"/>
    <w:rsid w:val="00A837C6"/>
    <w:rsid w:val="00A841BB"/>
    <w:rsid w:val="00A8444A"/>
    <w:rsid w:val="00A84C5F"/>
    <w:rsid w:val="00A85582"/>
    <w:rsid w:val="00A86CC8"/>
    <w:rsid w:val="00A927A9"/>
    <w:rsid w:val="00A927E8"/>
    <w:rsid w:val="00A9358F"/>
    <w:rsid w:val="00A9411C"/>
    <w:rsid w:val="00A9608A"/>
    <w:rsid w:val="00A96E53"/>
    <w:rsid w:val="00AA0B6B"/>
    <w:rsid w:val="00AA1E34"/>
    <w:rsid w:val="00AA4228"/>
    <w:rsid w:val="00AA55ED"/>
    <w:rsid w:val="00AA68B7"/>
    <w:rsid w:val="00AB0756"/>
    <w:rsid w:val="00AB1A93"/>
    <w:rsid w:val="00AB1F01"/>
    <w:rsid w:val="00AB27DE"/>
    <w:rsid w:val="00AB27EE"/>
    <w:rsid w:val="00AB3AAC"/>
    <w:rsid w:val="00AB69F6"/>
    <w:rsid w:val="00AB7AD3"/>
    <w:rsid w:val="00AC1840"/>
    <w:rsid w:val="00AC1CD8"/>
    <w:rsid w:val="00AC240A"/>
    <w:rsid w:val="00AC4D66"/>
    <w:rsid w:val="00AD04A2"/>
    <w:rsid w:val="00AD07CB"/>
    <w:rsid w:val="00AD1258"/>
    <w:rsid w:val="00AD1869"/>
    <w:rsid w:val="00AD2AC8"/>
    <w:rsid w:val="00AD306C"/>
    <w:rsid w:val="00AD38EB"/>
    <w:rsid w:val="00AD44EF"/>
    <w:rsid w:val="00AD65C0"/>
    <w:rsid w:val="00AD72C4"/>
    <w:rsid w:val="00AD7D19"/>
    <w:rsid w:val="00AE1431"/>
    <w:rsid w:val="00AE1DFE"/>
    <w:rsid w:val="00AE4316"/>
    <w:rsid w:val="00AE7E85"/>
    <w:rsid w:val="00AF0710"/>
    <w:rsid w:val="00AF232F"/>
    <w:rsid w:val="00AF2FA7"/>
    <w:rsid w:val="00AF3742"/>
    <w:rsid w:val="00AF391C"/>
    <w:rsid w:val="00AF4B1B"/>
    <w:rsid w:val="00AF542A"/>
    <w:rsid w:val="00AF5DCE"/>
    <w:rsid w:val="00AF6457"/>
    <w:rsid w:val="00AF72FE"/>
    <w:rsid w:val="00AF7799"/>
    <w:rsid w:val="00B00DF2"/>
    <w:rsid w:val="00B0143D"/>
    <w:rsid w:val="00B01458"/>
    <w:rsid w:val="00B033AC"/>
    <w:rsid w:val="00B057FC"/>
    <w:rsid w:val="00B06B96"/>
    <w:rsid w:val="00B116E9"/>
    <w:rsid w:val="00B11959"/>
    <w:rsid w:val="00B11A5D"/>
    <w:rsid w:val="00B13521"/>
    <w:rsid w:val="00B15F64"/>
    <w:rsid w:val="00B16049"/>
    <w:rsid w:val="00B2007F"/>
    <w:rsid w:val="00B20725"/>
    <w:rsid w:val="00B20CDC"/>
    <w:rsid w:val="00B2164F"/>
    <w:rsid w:val="00B2272D"/>
    <w:rsid w:val="00B22A4D"/>
    <w:rsid w:val="00B22B47"/>
    <w:rsid w:val="00B22E6F"/>
    <w:rsid w:val="00B23113"/>
    <w:rsid w:val="00B25671"/>
    <w:rsid w:val="00B25A01"/>
    <w:rsid w:val="00B30E17"/>
    <w:rsid w:val="00B32C33"/>
    <w:rsid w:val="00B36822"/>
    <w:rsid w:val="00B40078"/>
    <w:rsid w:val="00B4082C"/>
    <w:rsid w:val="00B40A04"/>
    <w:rsid w:val="00B413B7"/>
    <w:rsid w:val="00B41BA4"/>
    <w:rsid w:val="00B41FDB"/>
    <w:rsid w:val="00B42496"/>
    <w:rsid w:val="00B4275D"/>
    <w:rsid w:val="00B44C07"/>
    <w:rsid w:val="00B452B7"/>
    <w:rsid w:val="00B45AC8"/>
    <w:rsid w:val="00B51F0A"/>
    <w:rsid w:val="00B541EA"/>
    <w:rsid w:val="00B544C0"/>
    <w:rsid w:val="00B54936"/>
    <w:rsid w:val="00B554D0"/>
    <w:rsid w:val="00B56FB9"/>
    <w:rsid w:val="00B636BB"/>
    <w:rsid w:val="00B641EA"/>
    <w:rsid w:val="00B6471D"/>
    <w:rsid w:val="00B65701"/>
    <w:rsid w:val="00B71686"/>
    <w:rsid w:val="00B725FA"/>
    <w:rsid w:val="00B7267C"/>
    <w:rsid w:val="00B730FE"/>
    <w:rsid w:val="00B76533"/>
    <w:rsid w:val="00B7663E"/>
    <w:rsid w:val="00B76DBA"/>
    <w:rsid w:val="00B77355"/>
    <w:rsid w:val="00B77BBC"/>
    <w:rsid w:val="00B804A0"/>
    <w:rsid w:val="00B826F4"/>
    <w:rsid w:val="00B83A0E"/>
    <w:rsid w:val="00B8404E"/>
    <w:rsid w:val="00B84331"/>
    <w:rsid w:val="00B865BA"/>
    <w:rsid w:val="00B8663E"/>
    <w:rsid w:val="00B91440"/>
    <w:rsid w:val="00B91466"/>
    <w:rsid w:val="00B91AB2"/>
    <w:rsid w:val="00B922D7"/>
    <w:rsid w:val="00B96580"/>
    <w:rsid w:val="00B974A7"/>
    <w:rsid w:val="00BA009E"/>
    <w:rsid w:val="00BA0344"/>
    <w:rsid w:val="00BA063B"/>
    <w:rsid w:val="00BA1E3E"/>
    <w:rsid w:val="00BA3AD2"/>
    <w:rsid w:val="00BA5BC8"/>
    <w:rsid w:val="00BB1425"/>
    <w:rsid w:val="00BB1725"/>
    <w:rsid w:val="00BB194D"/>
    <w:rsid w:val="00BB495F"/>
    <w:rsid w:val="00BB72AD"/>
    <w:rsid w:val="00BC2C14"/>
    <w:rsid w:val="00BC30A1"/>
    <w:rsid w:val="00BC4973"/>
    <w:rsid w:val="00BC6D61"/>
    <w:rsid w:val="00BC7697"/>
    <w:rsid w:val="00BD628D"/>
    <w:rsid w:val="00BE2208"/>
    <w:rsid w:val="00BE5271"/>
    <w:rsid w:val="00BE5E7B"/>
    <w:rsid w:val="00BE6AF6"/>
    <w:rsid w:val="00BF1918"/>
    <w:rsid w:val="00BF2808"/>
    <w:rsid w:val="00BF6C56"/>
    <w:rsid w:val="00C00319"/>
    <w:rsid w:val="00C007B9"/>
    <w:rsid w:val="00C01256"/>
    <w:rsid w:val="00C0160B"/>
    <w:rsid w:val="00C01F7C"/>
    <w:rsid w:val="00C0741A"/>
    <w:rsid w:val="00C11AD2"/>
    <w:rsid w:val="00C15F1B"/>
    <w:rsid w:val="00C170A9"/>
    <w:rsid w:val="00C17A88"/>
    <w:rsid w:val="00C265BA"/>
    <w:rsid w:val="00C26C88"/>
    <w:rsid w:val="00C324AC"/>
    <w:rsid w:val="00C3674E"/>
    <w:rsid w:val="00C36E53"/>
    <w:rsid w:val="00C37E17"/>
    <w:rsid w:val="00C41060"/>
    <w:rsid w:val="00C41D72"/>
    <w:rsid w:val="00C42141"/>
    <w:rsid w:val="00C4483A"/>
    <w:rsid w:val="00C45B2A"/>
    <w:rsid w:val="00C45CFF"/>
    <w:rsid w:val="00C46283"/>
    <w:rsid w:val="00C466C4"/>
    <w:rsid w:val="00C4685A"/>
    <w:rsid w:val="00C50335"/>
    <w:rsid w:val="00C51463"/>
    <w:rsid w:val="00C525E0"/>
    <w:rsid w:val="00C52D73"/>
    <w:rsid w:val="00C54F0A"/>
    <w:rsid w:val="00C5523D"/>
    <w:rsid w:val="00C552B8"/>
    <w:rsid w:val="00C55D7E"/>
    <w:rsid w:val="00C56061"/>
    <w:rsid w:val="00C56965"/>
    <w:rsid w:val="00C5782D"/>
    <w:rsid w:val="00C60F34"/>
    <w:rsid w:val="00C61351"/>
    <w:rsid w:val="00C625F8"/>
    <w:rsid w:val="00C63AE8"/>
    <w:rsid w:val="00C64A92"/>
    <w:rsid w:val="00C64F71"/>
    <w:rsid w:val="00C65E44"/>
    <w:rsid w:val="00C66310"/>
    <w:rsid w:val="00C6676E"/>
    <w:rsid w:val="00C66F44"/>
    <w:rsid w:val="00C705E8"/>
    <w:rsid w:val="00C7234C"/>
    <w:rsid w:val="00C73D69"/>
    <w:rsid w:val="00C812A6"/>
    <w:rsid w:val="00C81F4C"/>
    <w:rsid w:val="00C83165"/>
    <w:rsid w:val="00C8356D"/>
    <w:rsid w:val="00C83934"/>
    <w:rsid w:val="00C84421"/>
    <w:rsid w:val="00C866EC"/>
    <w:rsid w:val="00C87DA7"/>
    <w:rsid w:val="00C90E35"/>
    <w:rsid w:val="00C919A5"/>
    <w:rsid w:val="00C93E2C"/>
    <w:rsid w:val="00C941D1"/>
    <w:rsid w:val="00C96C25"/>
    <w:rsid w:val="00C97398"/>
    <w:rsid w:val="00C976C6"/>
    <w:rsid w:val="00CA1727"/>
    <w:rsid w:val="00CA1C92"/>
    <w:rsid w:val="00CA400F"/>
    <w:rsid w:val="00CA431D"/>
    <w:rsid w:val="00CA49C7"/>
    <w:rsid w:val="00CA6606"/>
    <w:rsid w:val="00CA6AF1"/>
    <w:rsid w:val="00CA6B68"/>
    <w:rsid w:val="00CA776B"/>
    <w:rsid w:val="00CA7E2C"/>
    <w:rsid w:val="00CB076B"/>
    <w:rsid w:val="00CB16BA"/>
    <w:rsid w:val="00CB1B00"/>
    <w:rsid w:val="00CB344E"/>
    <w:rsid w:val="00CB3555"/>
    <w:rsid w:val="00CB3E5F"/>
    <w:rsid w:val="00CB4E58"/>
    <w:rsid w:val="00CB74B5"/>
    <w:rsid w:val="00CC005F"/>
    <w:rsid w:val="00CC0613"/>
    <w:rsid w:val="00CC0AB1"/>
    <w:rsid w:val="00CC20DD"/>
    <w:rsid w:val="00CC2584"/>
    <w:rsid w:val="00CC2797"/>
    <w:rsid w:val="00CC7D26"/>
    <w:rsid w:val="00CD1F06"/>
    <w:rsid w:val="00CD237F"/>
    <w:rsid w:val="00CD3991"/>
    <w:rsid w:val="00CD5989"/>
    <w:rsid w:val="00CD5C2F"/>
    <w:rsid w:val="00CD61B2"/>
    <w:rsid w:val="00CD74F2"/>
    <w:rsid w:val="00CE1234"/>
    <w:rsid w:val="00CE1404"/>
    <w:rsid w:val="00CE1968"/>
    <w:rsid w:val="00CE22D3"/>
    <w:rsid w:val="00CE25B9"/>
    <w:rsid w:val="00CE33D7"/>
    <w:rsid w:val="00CE341D"/>
    <w:rsid w:val="00CE4528"/>
    <w:rsid w:val="00CE7ACB"/>
    <w:rsid w:val="00CF00AA"/>
    <w:rsid w:val="00CF0103"/>
    <w:rsid w:val="00CF09E1"/>
    <w:rsid w:val="00CF1A20"/>
    <w:rsid w:val="00CF1B67"/>
    <w:rsid w:val="00CF1E12"/>
    <w:rsid w:val="00CF2FF8"/>
    <w:rsid w:val="00CF5A81"/>
    <w:rsid w:val="00CF5BBE"/>
    <w:rsid w:val="00D01ABB"/>
    <w:rsid w:val="00D02BB6"/>
    <w:rsid w:val="00D05E3A"/>
    <w:rsid w:val="00D063BE"/>
    <w:rsid w:val="00D074A2"/>
    <w:rsid w:val="00D13196"/>
    <w:rsid w:val="00D1419D"/>
    <w:rsid w:val="00D2107D"/>
    <w:rsid w:val="00D21F93"/>
    <w:rsid w:val="00D2547D"/>
    <w:rsid w:val="00D26771"/>
    <w:rsid w:val="00D26EC1"/>
    <w:rsid w:val="00D27E20"/>
    <w:rsid w:val="00D30C79"/>
    <w:rsid w:val="00D31EAC"/>
    <w:rsid w:val="00D324B5"/>
    <w:rsid w:val="00D342C3"/>
    <w:rsid w:val="00D34BAB"/>
    <w:rsid w:val="00D3735C"/>
    <w:rsid w:val="00D37AFB"/>
    <w:rsid w:val="00D410E6"/>
    <w:rsid w:val="00D43349"/>
    <w:rsid w:val="00D43354"/>
    <w:rsid w:val="00D44861"/>
    <w:rsid w:val="00D449DE"/>
    <w:rsid w:val="00D449F6"/>
    <w:rsid w:val="00D46DEA"/>
    <w:rsid w:val="00D47EB4"/>
    <w:rsid w:val="00D47F4A"/>
    <w:rsid w:val="00D50312"/>
    <w:rsid w:val="00D50C98"/>
    <w:rsid w:val="00D51C53"/>
    <w:rsid w:val="00D51EAD"/>
    <w:rsid w:val="00D52B93"/>
    <w:rsid w:val="00D54323"/>
    <w:rsid w:val="00D54640"/>
    <w:rsid w:val="00D558FD"/>
    <w:rsid w:val="00D562CE"/>
    <w:rsid w:val="00D56DBB"/>
    <w:rsid w:val="00D60950"/>
    <w:rsid w:val="00D63EF5"/>
    <w:rsid w:val="00D67985"/>
    <w:rsid w:val="00D710E9"/>
    <w:rsid w:val="00D73004"/>
    <w:rsid w:val="00D73402"/>
    <w:rsid w:val="00D746FD"/>
    <w:rsid w:val="00D7542B"/>
    <w:rsid w:val="00D76D65"/>
    <w:rsid w:val="00D775C8"/>
    <w:rsid w:val="00D8068D"/>
    <w:rsid w:val="00D83D0F"/>
    <w:rsid w:val="00D84855"/>
    <w:rsid w:val="00D85A23"/>
    <w:rsid w:val="00D87898"/>
    <w:rsid w:val="00D87B62"/>
    <w:rsid w:val="00D906B2"/>
    <w:rsid w:val="00D915BC"/>
    <w:rsid w:val="00D93C73"/>
    <w:rsid w:val="00D93F5C"/>
    <w:rsid w:val="00D96A14"/>
    <w:rsid w:val="00DA02BC"/>
    <w:rsid w:val="00DA18BE"/>
    <w:rsid w:val="00DA2FAD"/>
    <w:rsid w:val="00DA4AC0"/>
    <w:rsid w:val="00DA508C"/>
    <w:rsid w:val="00DA57AC"/>
    <w:rsid w:val="00DA681F"/>
    <w:rsid w:val="00DA6BC5"/>
    <w:rsid w:val="00DB37E7"/>
    <w:rsid w:val="00DB4284"/>
    <w:rsid w:val="00DB54A8"/>
    <w:rsid w:val="00DB7B3A"/>
    <w:rsid w:val="00DC174D"/>
    <w:rsid w:val="00DC1C58"/>
    <w:rsid w:val="00DC1E79"/>
    <w:rsid w:val="00DC3CFD"/>
    <w:rsid w:val="00DC44EE"/>
    <w:rsid w:val="00DC479F"/>
    <w:rsid w:val="00DC54C6"/>
    <w:rsid w:val="00DC5CD1"/>
    <w:rsid w:val="00DC69F1"/>
    <w:rsid w:val="00DC6D1B"/>
    <w:rsid w:val="00DC6E94"/>
    <w:rsid w:val="00DD1616"/>
    <w:rsid w:val="00DD2782"/>
    <w:rsid w:val="00DD3240"/>
    <w:rsid w:val="00DD515A"/>
    <w:rsid w:val="00DD61CF"/>
    <w:rsid w:val="00DE0E2C"/>
    <w:rsid w:val="00DE1F88"/>
    <w:rsid w:val="00DE2C2C"/>
    <w:rsid w:val="00DE3CFB"/>
    <w:rsid w:val="00DE51C8"/>
    <w:rsid w:val="00DE5831"/>
    <w:rsid w:val="00DE5D44"/>
    <w:rsid w:val="00DE6C52"/>
    <w:rsid w:val="00DE7F2A"/>
    <w:rsid w:val="00DF0758"/>
    <w:rsid w:val="00DF0F7C"/>
    <w:rsid w:val="00DF13D5"/>
    <w:rsid w:val="00DF452D"/>
    <w:rsid w:val="00DF510C"/>
    <w:rsid w:val="00DF6CC8"/>
    <w:rsid w:val="00E003EE"/>
    <w:rsid w:val="00E02B72"/>
    <w:rsid w:val="00E11386"/>
    <w:rsid w:val="00E13FFF"/>
    <w:rsid w:val="00E14A68"/>
    <w:rsid w:val="00E15206"/>
    <w:rsid w:val="00E15CC8"/>
    <w:rsid w:val="00E162CA"/>
    <w:rsid w:val="00E1630E"/>
    <w:rsid w:val="00E16495"/>
    <w:rsid w:val="00E16C53"/>
    <w:rsid w:val="00E214D3"/>
    <w:rsid w:val="00E21F09"/>
    <w:rsid w:val="00E22ACD"/>
    <w:rsid w:val="00E22EFE"/>
    <w:rsid w:val="00E2496E"/>
    <w:rsid w:val="00E24BA9"/>
    <w:rsid w:val="00E27DFD"/>
    <w:rsid w:val="00E3347D"/>
    <w:rsid w:val="00E33B9B"/>
    <w:rsid w:val="00E3503E"/>
    <w:rsid w:val="00E3589C"/>
    <w:rsid w:val="00E35E1A"/>
    <w:rsid w:val="00E35F27"/>
    <w:rsid w:val="00E370E3"/>
    <w:rsid w:val="00E41A02"/>
    <w:rsid w:val="00E4231A"/>
    <w:rsid w:val="00E46288"/>
    <w:rsid w:val="00E54975"/>
    <w:rsid w:val="00E55384"/>
    <w:rsid w:val="00E616C4"/>
    <w:rsid w:val="00E621D2"/>
    <w:rsid w:val="00E67FBC"/>
    <w:rsid w:val="00E7196F"/>
    <w:rsid w:val="00E72266"/>
    <w:rsid w:val="00E72B6B"/>
    <w:rsid w:val="00E742E9"/>
    <w:rsid w:val="00E750E0"/>
    <w:rsid w:val="00E80480"/>
    <w:rsid w:val="00E8445D"/>
    <w:rsid w:val="00E84D9B"/>
    <w:rsid w:val="00E855E5"/>
    <w:rsid w:val="00E858A1"/>
    <w:rsid w:val="00E8692E"/>
    <w:rsid w:val="00E87415"/>
    <w:rsid w:val="00E87EF8"/>
    <w:rsid w:val="00E909C5"/>
    <w:rsid w:val="00E962E9"/>
    <w:rsid w:val="00E9721A"/>
    <w:rsid w:val="00EA3A30"/>
    <w:rsid w:val="00EA4BFB"/>
    <w:rsid w:val="00EA4DE1"/>
    <w:rsid w:val="00EA56D6"/>
    <w:rsid w:val="00EA5E7A"/>
    <w:rsid w:val="00EA6A4B"/>
    <w:rsid w:val="00EB02F4"/>
    <w:rsid w:val="00EB1206"/>
    <w:rsid w:val="00EB2226"/>
    <w:rsid w:val="00EB32B9"/>
    <w:rsid w:val="00EB44EB"/>
    <w:rsid w:val="00EB47E5"/>
    <w:rsid w:val="00EB4A9C"/>
    <w:rsid w:val="00EB65A4"/>
    <w:rsid w:val="00EC24F9"/>
    <w:rsid w:val="00EC2C15"/>
    <w:rsid w:val="00EC2F37"/>
    <w:rsid w:val="00EC2F9D"/>
    <w:rsid w:val="00EC48A4"/>
    <w:rsid w:val="00EC5F36"/>
    <w:rsid w:val="00EC65C3"/>
    <w:rsid w:val="00EC6CB6"/>
    <w:rsid w:val="00EC702D"/>
    <w:rsid w:val="00EC7E1D"/>
    <w:rsid w:val="00ED12C3"/>
    <w:rsid w:val="00ED1E85"/>
    <w:rsid w:val="00ED292F"/>
    <w:rsid w:val="00ED62FE"/>
    <w:rsid w:val="00ED6A68"/>
    <w:rsid w:val="00ED70DF"/>
    <w:rsid w:val="00ED7EB8"/>
    <w:rsid w:val="00EE0C90"/>
    <w:rsid w:val="00EE23AE"/>
    <w:rsid w:val="00EE265B"/>
    <w:rsid w:val="00EE68EF"/>
    <w:rsid w:val="00EE6E7A"/>
    <w:rsid w:val="00EF25DC"/>
    <w:rsid w:val="00EF2742"/>
    <w:rsid w:val="00EF4051"/>
    <w:rsid w:val="00EF542D"/>
    <w:rsid w:val="00EF65E9"/>
    <w:rsid w:val="00EF6672"/>
    <w:rsid w:val="00F004C3"/>
    <w:rsid w:val="00F00DD7"/>
    <w:rsid w:val="00F03FBB"/>
    <w:rsid w:val="00F06109"/>
    <w:rsid w:val="00F07FF2"/>
    <w:rsid w:val="00F1386D"/>
    <w:rsid w:val="00F13A33"/>
    <w:rsid w:val="00F14777"/>
    <w:rsid w:val="00F14EA5"/>
    <w:rsid w:val="00F158FC"/>
    <w:rsid w:val="00F175AB"/>
    <w:rsid w:val="00F22F39"/>
    <w:rsid w:val="00F239C7"/>
    <w:rsid w:val="00F23F0C"/>
    <w:rsid w:val="00F25593"/>
    <w:rsid w:val="00F25C86"/>
    <w:rsid w:val="00F26879"/>
    <w:rsid w:val="00F27F83"/>
    <w:rsid w:val="00F3170D"/>
    <w:rsid w:val="00F3187A"/>
    <w:rsid w:val="00F32609"/>
    <w:rsid w:val="00F32DB4"/>
    <w:rsid w:val="00F3537B"/>
    <w:rsid w:val="00F36219"/>
    <w:rsid w:val="00F40B8A"/>
    <w:rsid w:val="00F42073"/>
    <w:rsid w:val="00F42A53"/>
    <w:rsid w:val="00F42F5B"/>
    <w:rsid w:val="00F512FF"/>
    <w:rsid w:val="00F51595"/>
    <w:rsid w:val="00F52243"/>
    <w:rsid w:val="00F52363"/>
    <w:rsid w:val="00F529ED"/>
    <w:rsid w:val="00F52EE0"/>
    <w:rsid w:val="00F52FA2"/>
    <w:rsid w:val="00F538BB"/>
    <w:rsid w:val="00F53B36"/>
    <w:rsid w:val="00F5443D"/>
    <w:rsid w:val="00F5767B"/>
    <w:rsid w:val="00F576B8"/>
    <w:rsid w:val="00F6007A"/>
    <w:rsid w:val="00F60A7D"/>
    <w:rsid w:val="00F62421"/>
    <w:rsid w:val="00F67554"/>
    <w:rsid w:val="00F70186"/>
    <w:rsid w:val="00F77AED"/>
    <w:rsid w:val="00F801FF"/>
    <w:rsid w:val="00F81272"/>
    <w:rsid w:val="00F814D1"/>
    <w:rsid w:val="00F817DD"/>
    <w:rsid w:val="00F8315E"/>
    <w:rsid w:val="00F8417B"/>
    <w:rsid w:val="00F843B0"/>
    <w:rsid w:val="00F8446A"/>
    <w:rsid w:val="00F84F35"/>
    <w:rsid w:val="00F8603A"/>
    <w:rsid w:val="00F8770B"/>
    <w:rsid w:val="00F90228"/>
    <w:rsid w:val="00F90AE0"/>
    <w:rsid w:val="00F91CBD"/>
    <w:rsid w:val="00F93DE0"/>
    <w:rsid w:val="00F9484E"/>
    <w:rsid w:val="00F94E21"/>
    <w:rsid w:val="00F96878"/>
    <w:rsid w:val="00F96A10"/>
    <w:rsid w:val="00F9737E"/>
    <w:rsid w:val="00F97470"/>
    <w:rsid w:val="00FA2978"/>
    <w:rsid w:val="00FA513B"/>
    <w:rsid w:val="00FA5360"/>
    <w:rsid w:val="00FA7146"/>
    <w:rsid w:val="00FB0377"/>
    <w:rsid w:val="00FB060D"/>
    <w:rsid w:val="00FB065C"/>
    <w:rsid w:val="00FB11AD"/>
    <w:rsid w:val="00FB1CA4"/>
    <w:rsid w:val="00FB2985"/>
    <w:rsid w:val="00FB5130"/>
    <w:rsid w:val="00FB6CCE"/>
    <w:rsid w:val="00FC1978"/>
    <w:rsid w:val="00FC28F0"/>
    <w:rsid w:val="00FC40E8"/>
    <w:rsid w:val="00FC41C7"/>
    <w:rsid w:val="00FC4522"/>
    <w:rsid w:val="00FC5016"/>
    <w:rsid w:val="00FC54DC"/>
    <w:rsid w:val="00FC5FAE"/>
    <w:rsid w:val="00FD0DE4"/>
    <w:rsid w:val="00FD109C"/>
    <w:rsid w:val="00FD1255"/>
    <w:rsid w:val="00FD26A8"/>
    <w:rsid w:val="00FD2CDA"/>
    <w:rsid w:val="00FD3031"/>
    <w:rsid w:val="00FD5999"/>
    <w:rsid w:val="00FD677D"/>
    <w:rsid w:val="00FD7EF0"/>
    <w:rsid w:val="00FE0AFA"/>
    <w:rsid w:val="00FE122D"/>
    <w:rsid w:val="00FE351F"/>
    <w:rsid w:val="00FE4331"/>
    <w:rsid w:val="00FE4A8C"/>
    <w:rsid w:val="00FE4C36"/>
    <w:rsid w:val="00FF026A"/>
    <w:rsid w:val="00FF1DC5"/>
    <w:rsid w:val="00FF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31ACDE9"/>
  <w15:chartTrackingRefBased/>
  <w15:docId w15:val="{20AD0E28-22D9-4EFA-858F-716AB838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6D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53F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50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246D13"/>
    <w:pPr>
      <w:keepNext/>
      <w:widowControl/>
      <w:autoSpaceDE/>
      <w:autoSpaceDN/>
      <w:adjustRightInd/>
      <w:jc w:val="center"/>
      <w:outlineLvl w:val="7"/>
    </w:pPr>
    <w:rPr>
      <w:rFonts w:ascii="Calibri" w:hAnsi="Calibri" w:cs="Times New Roman"/>
      <w:b/>
      <w:bCs/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uiPriority w:val="9"/>
    <w:rsid w:val="00246D13"/>
    <w:rPr>
      <w:rFonts w:ascii="Calibri" w:eastAsiaTheme="minorEastAsia" w:hAnsi="Calibri" w:cs="Times New Roman"/>
      <w:b/>
      <w:bCs/>
      <w:noProof/>
      <w:sz w:val="24"/>
      <w:szCs w:val="20"/>
      <w:lang w:eastAsia="cs-CZ"/>
    </w:rPr>
  </w:style>
  <w:style w:type="paragraph" w:styleId="Zkladntext">
    <w:name w:val="Body Text"/>
    <w:aliases w:val="?????1,Body ...,Body Text Char,Body Text Char Char,Body Text Char Char Char,Body Text Char1 Char Char,Body Text Char2 Char,Corps de texte INTSUM,Nornální,Základní text - D,b,Číslovaný seznam (i),Текст1"/>
    <w:basedOn w:val="Normln"/>
    <w:link w:val="ZkladntextChar"/>
    <w:uiPriority w:val="99"/>
    <w:rsid w:val="00246D13"/>
    <w:pPr>
      <w:widowControl/>
      <w:autoSpaceDE/>
      <w:autoSpaceDN/>
      <w:adjustRightInd/>
      <w:jc w:val="both"/>
    </w:pPr>
    <w:rPr>
      <w:rFonts w:ascii="Calibri" w:hAnsi="Calibri" w:cs="Times New Roman"/>
      <w:b/>
      <w:bCs/>
      <w:sz w:val="28"/>
      <w:szCs w:val="28"/>
    </w:rPr>
  </w:style>
  <w:style w:type="character" w:customStyle="1" w:styleId="ZkladntextChar">
    <w:name w:val="Základní text Char"/>
    <w:aliases w:val="?????1 Char,Body ... Char,Body Text Char Char1,Body Text Char Char Char1,Body Text Char Char Char Char,Body Text Char1 Char Char Char,Body Text Char2 Char Char,Corps de texte INTSUM Char,Nornální Char,Základní text - D Char,b Char"/>
    <w:basedOn w:val="Standardnpsmoodstavce"/>
    <w:link w:val="Zkladntext"/>
    <w:uiPriority w:val="99"/>
    <w:rsid w:val="00246D13"/>
    <w:rPr>
      <w:rFonts w:ascii="Calibri" w:eastAsiaTheme="minorEastAsia" w:hAnsi="Calibri" w:cs="Times New Roman"/>
      <w:b/>
      <w:bCs/>
      <w:sz w:val="28"/>
      <w:szCs w:val="28"/>
      <w:lang w:eastAsia="cs-CZ"/>
    </w:rPr>
  </w:style>
  <w:style w:type="paragraph" w:customStyle="1" w:styleId="Zkladn">
    <w:name w:val="Základní"/>
    <w:basedOn w:val="Normln"/>
    <w:rsid w:val="00246D13"/>
    <w:pPr>
      <w:widowControl/>
      <w:autoSpaceDE/>
      <w:autoSpaceDN/>
      <w:adjustRightInd/>
      <w:spacing w:before="120"/>
      <w:jc w:val="both"/>
    </w:pPr>
    <w:rPr>
      <w:rFonts w:cs="Times New Roman"/>
      <w:sz w:val="24"/>
      <w:szCs w:val="24"/>
      <w:lang w:eastAsia="en-US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246D13"/>
    <w:pPr>
      <w:widowControl/>
      <w:autoSpaceDE/>
      <w:autoSpaceDN/>
      <w:adjustRightInd/>
      <w:jc w:val="both"/>
    </w:pPr>
    <w:rPr>
      <w:rFonts w:ascii="Calibri" w:hAnsi="Calibri" w:cs="Times New Roman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246D13"/>
    <w:rPr>
      <w:rFonts w:ascii="Calibri" w:eastAsiaTheme="minorEastAsia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246D13"/>
    <w:rPr>
      <w:rFonts w:cs="Times New Roman"/>
      <w:vertAlign w:val="superscript"/>
    </w:rPr>
  </w:style>
  <w:style w:type="character" w:customStyle="1" w:styleId="Titulektabulky">
    <w:name w:val="Titulek tabulky_"/>
    <w:link w:val="Titulektabulky0"/>
    <w:locked/>
    <w:rsid w:val="00246D13"/>
    <w:rPr>
      <w:rFonts w:ascii="Calibri" w:hAnsi="Calibri"/>
      <w:shd w:val="clear" w:color="auto" w:fill="FFFFFF"/>
    </w:rPr>
  </w:style>
  <w:style w:type="paragraph" w:customStyle="1" w:styleId="Titulektabulky0">
    <w:name w:val="Titulek tabulky"/>
    <w:basedOn w:val="Normln"/>
    <w:link w:val="Titulektabulky"/>
    <w:rsid w:val="00246D13"/>
    <w:pPr>
      <w:shd w:val="clear" w:color="auto" w:fill="FFFFFF"/>
      <w:autoSpaceDE/>
      <w:autoSpaceDN/>
      <w:adjustRightInd/>
    </w:pPr>
    <w:rPr>
      <w:rFonts w:ascii="Calibri" w:eastAsiaTheme="minorHAnsi" w:hAnsi="Calibri" w:cstheme="minorBidi"/>
      <w:sz w:val="22"/>
      <w:szCs w:val="22"/>
      <w:lang w:eastAsia="en-US"/>
    </w:rPr>
  </w:style>
  <w:style w:type="paragraph" w:styleId="Odstavecseseznamem">
    <w:name w:val="List Paragraph"/>
    <w:aliases w:val="odrážky,Nadpis pro KZ"/>
    <w:basedOn w:val="Normln"/>
    <w:link w:val="OdstavecseseznamemChar"/>
    <w:uiPriority w:val="34"/>
    <w:qFormat/>
    <w:rsid w:val="00246D13"/>
    <w:pPr>
      <w:ind w:left="720"/>
      <w:contextualSpacing/>
    </w:pPr>
  </w:style>
  <w:style w:type="character" w:customStyle="1" w:styleId="OdstavecseseznamemChar">
    <w:name w:val="Odstavec se seznamem Char"/>
    <w:aliases w:val="odrážky Char,Nadpis pro KZ Char"/>
    <w:link w:val="Odstavecseseznamem"/>
    <w:uiPriority w:val="34"/>
    <w:locked/>
    <w:rsid w:val="00246D13"/>
    <w:rPr>
      <w:rFonts w:ascii="Arial" w:eastAsiaTheme="minorEastAsia" w:hAnsi="Arial" w:cs="Arial"/>
      <w:sz w:val="20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5E1D5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053F9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zevtabulky">
    <w:name w:val="Název tabulky"/>
    <w:basedOn w:val="Normln"/>
    <w:uiPriority w:val="99"/>
    <w:qFormat/>
    <w:rsid w:val="0023743D"/>
    <w:pPr>
      <w:widowControl/>
      <w:numPr>
        <w:ilvl w:val="1"/>
        <w:numId w:val="3"/>
      </w:numPr>
      <w:autoSpaceDE/>
      <w:autoSpaceDN/>
      <w:adjustRightInd/>
      <w:jc w:val="both"/>
    </w:pPr>
    <w:rPr>
      <w:rFonts w:asciiTheme="minorHAnsi" w:eastAsia="Times New Roman" w:hAnsiTheme="minorHAnsi" w:cs="Times New Roman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CC0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843B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43B0"/>
    <w:rPr>
      <w:rFonts w:ascii="Segoe UI" w:eastAsiaTheme="minorEastAsia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15F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5F64"/>
    <w:rPr>
      <w:rFonts w:ascii="Arial" w:eastAsiaTheme="minorEastAsia" w:hAnsi="Arial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15F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5F64"/>
    <w:rPr>
      <w:rFonts w:ascii="Arial" w:eastAsiaTheme="minorEastAsia" w:hAnsi="Arial" w:cs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F09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090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090A"/>
    <w:rPr>
      <w:rFonts w:ascii="Arial" w:eastAsiaTheme="minorEastAsia" w:hAnsi="Arial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0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090A"/>
    <w:rPr>
      <w:rFonts w:ascii="Arial" w:eastAsiaTheme="minorEastAsia" w:hAnsi="Arial" w:cs="Arial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9F090A"/>
    <w:pPr>
      <w:spacing w:after="0" w:line="240" w:lineRule="auto"/>
    </w:pPr>
    <w:rPr>
      <w:rFonts w:ascii="Arial" w:eastAsiaTheme="minorEastAsia" w:hAnsi="Arial" w:cs="Arial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39"/>
    <w:rsid w:val="00CA1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semiHidden/>
    <w:unhideWhenUsed/>
    <w:rsid w:val="003620D7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620D7"/>
    <w:rPr>
      <w:rFonts w:ascii="Calibri" w:hAnsi="Calibri"/>
      <w:szCs w:val="2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50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E509A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E509A"/>
    <w:rPr>
      <w:color w:val="0000FF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900774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character" w:customStyle="1" w:styleId="notranslate">
    <w:name w:val="notranslate"/>
    <w:basedOn w:val="Standardnpsmoodstavce"/>
    <w:rsid w:val="00B22E6F"/>
  </w:style>
  <w:style w:type="character" w:styleId="Sledovanodkaz">
    <w:name w:val="FollowedHyperlink"/>
    <w:basedOn w:val="Standardnpsmoodstavce"/>
    <w:uiPriority w:val="99"/>
    <w:semiHidden/>
    <w:unhideWhenUsed/>
    <w:rsid w:val="005029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diagramColors" Target="diagrams/colors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diagramQuickStyle" Target="diagrams/quickStyle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1.xm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chart" Target="charts/chart3.xml"/><Relationship Id="rId5" Type="http://schemas.openxmlformats.org/officeDocument/2006/relationships/numbering" Target="numbering.xml"/><Relationship Id="rId15" Type="http://schemas.openxmlformats.org/officeDocument/2006/relationships/diagramData" Target="diagrams/data1.xm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microsoft.com/office/2007/relationships/diagramDrawing" Target="diagrams/drawing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pps.odok.cz/veklep-detail?pid=KORNBANEWTVL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nku/sites/teamsites/ka1823/Sdilene%20dokumenty/Kontroln&#237;%20z&#225;v&#283;r/Jednotliv&#233;%20rozpracovan&#233;%20oblasti/Podklady%20pro%20KZ_n&#225;rodn&#237;%20parky/PP%20a%20tr&#382;by%20za%20prodej%20d&#345;&#237;v&#237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tsclient\D\grafy%20do%20z&#225;m&#283;ru%20zm&#283;ny\Graf%20T&#283;&#382;ba%20&#250;mysln&#225;_nahodil&#225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tsclient\D\grafy%20do%20z&#225;m&#283;ru%20zm&#283;ny\graf_n&#225;klady_v&#253;nosy_KZ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List2!$A$5</c:f>
              <c:strCache>
                <c:ptCount val="1"/>
                <c:pt idx="0">
                  <c:v>Příspěvek na provoz</c:v>
                </c:pt>
              </c:strCache>
            </c:strRef>
          </c:tx>
          <c:spPr>
            <a:solidFill>
              <a:srgbClr val="004595"/>
            </a:solidFill>
            <a:ln>
              <a:noFill/>
            </a:ln>
            <a:effectLst/>
          </c:spPr>
          <c:invertIfNegative val="0"/>
          <c:cat>
            <c:strRef>
              <c:f>List2!$B$4:$E$4</c:f>
              <c:strCache>
                <c:ptCount val="4"/>
                <c:pt idx="0">
                  <c:v>Správa KRNAP</c:v>
                </c:pt>
                <c:pt idx="1">
                  <c:v>Správa NP Šumava</c:v>
                </c:pt>
                <c:pt idx="2">
                  <c:v>Správa NP Podyjí</c:v>
                </c:pt>
                <c:pt idx="3">
                  <c:v>Správa NP České Švýcarsko</c:v>
                </c:pt>
              </c:strCache>
            </c:strRef>
          </c:cat>
          <c:val>
            <c:numRef>
              <c:f>List2!$B$5:$E$5</c:f>
              <c:numCache>
                <c:formatCode>General</c:formatCode>
                <c:ptCount val="4"/>
                <c:pt idx="0">
                  <c:v>126884</c:v>
                </c:pt>
                <c:pt idx="1">
                  <c:v>147900</c:v>
                </c:pt>
                <c:pt idx="2">
                  <c:v>30480</c:v>
                </c:pt>
                <c:pt idx="3">
                  <c:v>51159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D3C-492E-BA67-F277D2CD4B27}"/>
            </c:ext>
          </c:extLst>
        </c:ser>
        <c:ser>
          <c:idx val="1"/>
          <c:order val="1"/>
          <c:tx>
            <c:strRef>
              <c:f>List2!$A$6</c:f>
              <c:strCache>
                <c:ptCount val="1"/>
                <c:pt idx="0">
                  <c:v>Výnosy z prodeje dřeva</c:v>
                </c:pt>
              </c:strCache>
            </c:strRef>
          </c:tx>
          <c:spPr>
            <a:solidFill>
              <a:srgbClr val="BD2A33"/>
            </a:solidFill>
            <a:ln>
              <a:noFill/>
            </a:ln>
            <a:effectLst/>
          </c:spPr>
          <c:invertIfNegative val="0"/>
          <c:cat>
            <c:strRef>
              <c:f>List2!$B$4:$E$4</c:f>
              <c:strCache>
                <c:ptCount val="4"/>
                <c:pt idx="0">
                  <c:v>Správa KRNAP</c:v>
                </c:pt>
                <c:pt idx="1">
                  <c:v>Správa NP Šumava</c:v>
                </c:pt>
                <c:pt idx="2">
                  <c:v>Správa NP Podyjí</c:v>
                </c:pt>
                <c:pt idx="3">
                  <c:v>Správa NP České Švýcarsko</c:v>
                </c:pt>
              </c:strCache>
            </c:strRef>
          </c:cat>
          <c:val>
            <c:numRef>
              <c:f>List2!$B$6:$E$6</c:f>
              <c:numCache>
                <c:formatCode>General</c:formatCode>
                <c:ptCount val="4"/>
                <c:pt idx="0">
                  <c:v>104588</c:v>
                </c:pt>
                <c:pt idx="1">
                  <c:v>313902</c:v>
                </c:pt>
                <c:pt idx="2">
                  <c:v>9505</c:v>
                </c:pt>
                <c:pt idx="3">
                  <c:v>60148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D3C-492E-BA67-F277D2CD4B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9190760"/>
        <c:axId val="269191152"/>
      </c:barChart>
      <c:catAx>
        <c:axId val="269190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69191152"/>
        <c:crosses val="autoZero"/>
        <c:auto val="1"/>
        <c:lblAlgn val="ctr"/>
        <c:lblOffset val="100"/>
        <c:noMultiLvlLbl val="0"/>
      </c:catAx>
      <c:valAx>
        <c:axId val="269191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#_####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69190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'Těžba-množství-3 (2)'!$C$93</c:f>
              <c:strCache>
                <c:ptCount val="1"/>
                <c:pt idx="0">
                  <c:v>Úmyslná těžba</c:v>
                </c:pt>
              </c:strCache>
            </c:strRef>
          </c:tx>
          <c:spPr>
            <a:solidFill>
              <a:srgbClr val="004595"/>
            </a:solidFill>
            <a:ln>
              <a:solidFill>
                <a:srgbClr val="004595"/>
              </a:solidFill>
            </a:ln>
            <a:effectLst/>
          </c:spPr>
          <c:invertIfNegative val="0"/>
          <c:dLbls>
            <c:dLbl>
              <c:idx val="5"/>
              <c:layout>
                <c:manualLayout>
                  <c:x val="0"/>
                  <c:y val="-1.8125984251968659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06DC-4CBB-80A8-B62FC38CF36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'Těžba-množství-3 (2)'!$A$52:$B$63</c:f>
              <c:multiLvlStrCache>
                <c:ptCount val="12"/>
                <c:lvl>
                  <c:pt idx="0">
                    <c:v>2016</c:v>
                  </c:pt>
                  <c:pt idx="1">
                    <c:v>2017</c:v>
                  </c:pt>
                  <c:pt idx="2">
                    <c:v>2018</c:v>
                  </c:pt>
                  <c:pt idx="3">
                    <c:v>2016</c:v>
                  </c:pt>
                  <c:pt idx="4">
                    <c:v>2017</c:v>
                  </c:pt>
                  <c:pt idx="5">
                    <c:v>2018</c:v>
                  </c:pt>
                  <c:pt idx="6">
                    <c:v>2016</c:v>
                  </c:pt>
                  <c:pt idx="7">
                    <c:v>2017</c:v>
                  </c:pt>
                  <c:pt idx="8">
                    <c:v>2018</c:v>
                  </c:pt>
                  <c:pt idx="9">
                    <c:v>2016</c:v>
                  </c:pt>
                  <c:pt idx="10">
                    <c:v>2017</c:v>
                  </c:pt>
                  <c:pt idx="11">
                    <c:v>2018</c:v>
                  </c:pt>
                </c:lvl>
                <c:lvl>
                  <c:pt idx="0">
                    <c:v>Správa KRNAP</c:v>
                  </c:pt>
                  <c:pt idx="3">
                    <c:v>Správa NP Šumava</c:v>
                  </c:pt>
                  <c:pt idx="6">
                    <c:v>Správa NP Podyjí</c:v>
                  </c:pt>
                  <c:pt idx="9">
                    <c:v>Správa NP České Švýcarsko</c:v>
                  </c:pt>
                </c:lvl>
              </c:multiLvlStrCache>
            </c:multiLvlStrRef>
          </c:cat>
          <c:val>
            <c:numRef>
              <c:f>'Těžba-množství-3 (2)'!$C$94:$C$105</c:f>
              <c:numCache>
                <c:formatCode>0</c:formatCode>
                <c:ptCount val="12"/>
                <c:pt idx="0">
                  <c:v>72</c:v>
                </c:pt>
                <c:pt idx="1">
                  <c:v>80</c:v>
                </c:pt>
                <c:pt idx="2">
                  <c:v>30</c:v>
                </c:pt>
                <c:pt idx="3">
                  <c:v>62</c:v>
                </c:pt>
                <c:pt idx="4">
                  <c:v>37</c:v>
                </c:pt>
                <c:pt idx="5">
                  <c:v>2</c:v>
                </c:pt>
                <c:pt idx="6">
                  <c:v>15</c:v>
                </c:pt>
                <c:pt idx="7">
                  <c:v>25</c:v>
                </c:pt>
                <c:pt idx="8">
                  <c:v>16</c:v>
                </c:pt>
                <c:pt idx="9">
                  <c:v>76</c:v>
                </c:pt>
                <c:pt idx="10">
                  <c:v>44</c:v>
                </c:pt>
                <c:pt idx="11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6DC-4CBB-80A8-B62FC38CF367}"/>
            </c:ext>
          </c:extLst>
        </c:ser>
        <c:ser>
          <c:idx val="1"/>
          <c:order val="1"/>
          <c:tx>
            <c:strRef>
              <c:f>'Těžba-množství-3 (2)'!$D$93</c:f>
              <c:strCache>
                <c:ptCount val="1"/>
                <c:pt idx="0">
                  <c:v>Nahodilá těžba – abiotický činitel</c:v>
                </c:pt>
              </c:strCache>
            </c:strRef>
          </c:tx>
          <c:spPr>
            <a:solidFill>
              <a:srgbClr val="BD2A33"/>
            </a:solidFill>
            <a:ln>
              <a:solidFill>
                <a:srgbClr val="BD2A33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'Těžba-množství-3 (2)'!$A$52:$B$63</c:f>
              <c:multiLvlStrCache>
                <c:ptCount val="12"/>
                <c:lvl>
                  <c:pt idx="0">
                    <c:v>2016</c:v>
                  </c:pt>
                  <c:pt idx="1">
                    <c:v>2017</c:v>
                  </c:pt>
                  <c:pt idx="2">
                    <c:v>2018</c:v>
                  </c:pt>
                  <c:pt idx="3">
                    <c:v>2016</c:v>
                  </c:pt>
                  <c:pt idx="4">
                    <c:v>2017</c:v>
                  </c:pt>
                  <c:pt idx="5">
                    <c:v>2018</c:v>
                  </c:pt>
                  <c:pt idx="6">
                    <c:v>2016</c:v>
                  </c:pt>
                  <c:pt idx="7">
                    <c:v>2017</c:v>
                  </c:pt>
                  <c:pt idx="8">
                    <c:v>2018</c:v>
                  </c:pt>
                  <c:pt idx="9">
                    <c:v>2016</c:v>
                  </c:pt>
                  <c:pt idx="10">
                    <c:v>2017</c:v>
                  </c:pt>
                  <c:pt idx="11">
                    <c:v>2018</c:v>
                  </c:pt>
                </c:lvl>
                <c:lvl>
                  <c:pt idx="0">
                    <c:v>Správa KRNAP</c:v>
                  </c:pt>
                  <c:pt idx="3">
                    <c:v>Správa NP Šumava</c:v>
                  </c:pt>
                  <c:pt idx="6">
                    <c:v>Správa NP Podyjí</c:v>
                  </c:pt>
                  <c:pt idx="9">
                    <c:v>Správa NP České Švýcarsko</c:v>
                  </c:pt>
                </c:lvl>
              </c:multiLvlStrCache>
            </c:multiLvlStrRef>
          </c:cat>
          <c:val>
            <c:numRef>
              <c:f>'Těžba-množství-3 (2)'!$D$94:$D$105</c:f>
              <c:numCache>
                <c:formatCode>0</c:formatCode>
                <c:ptCount val="12"/>
                <c:pt idx="0">
                  <c:v>14</c:v>
                </c:pt>
                <c:pt idx="1">
                  <c:v>15</c:v>
                </c:pt>
                <c:pt idx="2">
                  <c:v>35</c:v>
                </c:pt>
                <c:pt idx="3">
                  <c:v>16</c:v>
                </c:pt>
                <c:pt idx="4">
                  <c:v>39</c:v>
                </c:pt>
                <c:pt idx="5">
                  <c:v>78</c:v>
                </c:pt>
                <c:pt idx="6">
                  <c:v>53</c:v>
                </c:pt>
                <c:pt idx="7">
                  <c:v>39</c:v>
                </c:pt>
                <c:pt idx="8">
                  <c:v>35</c:v>
                </c:pt>
                <c:pt idx="9">
                  <c:v>6</c:v>
                </c:pt>
                <c:pt idx="10">
                  <c:v>27</c:v>
                </c:pt>
                <c:pt idx="11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6DC-4CBB-80A8-B62FC38CF367}"/>
            </c:ext>
          </c:extLst>
        </c:ser>
        <c:ser>
          <c:idx val="2"/>
          <c:order val="2"/>
          <c:tx>
            <c:strRef>
              <c:f>'Těžba-množství-3 (2)'!$E$93</c:f>
              <c:strCache>
                <c:ptCount val="1"/>
                <c:pt idx="0">
                  <c:v>Nahodilá těžba – biotický činitel</c:v>
                </c:pt>
              </c:strCache>
            </c:strRef>
          </c:tx>
          <c:spPr>
            <a:solidFill>
              <a:srgbClr val="BD2A33">
                <a:alpha val="60000"/>
              </a:srgbClr>
            </a:solidFill>
            <a:ln>
              <a:solidFill>
                <a:srgbClr val="BD2A33">
                  <a:alpha val="60000"/>
                </a:srgbClr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'Těžba-množství-3 (2)'!$A$52:$B$63</c:f>
              <c:multiLvlStrCache>
                <c:ptCount val="12"/>
                <c:lvl>
                  <c:pt idx="0">
                    <c:v>2016</c:v>
                  </c:pt>
                  <c:pt idx="1">
                    <c:v>2017</c:v>
                  </c:pt>
                  <c:pt idx="2">
                    <c:v>2018</c:v>
                  </c:pt>
                  <c:pt idx="3">
                    <c:v>2016</c:v>
                  </c:pt>
                  <c:pt idx="4">
                    <c:v>2017</c:v>
                  </c:pt>
                  <c:pt idx="5">
                    <c:v>2018</c:v>
                  </c:pt>
                  <c:pt idx="6">
                    <c:v>2016</c:v>
                  </c:pt>
                  <c:pt idx="7">
                    <c:v>2017</c:v>
                  </c:pt>
                  <c:pt idx="8">
                    <c:v>2018</c:v>
                  </c:pt>
                  <c:pt idx="9">
                    <c:v>2016</c:v>
                  </c:pt>
                  <c:pt idx="10">
                    <c:v>2017</c:v>
                  </c:pt>
                  <c:pt idx="11">
                    <c:v>2018</c:v>
                  </c:pt>
                </c:lvl>
                <c:lvl>
                  <c:pt idx="0">
                    <c:v>Správa KRNAP</c:v>
                  </c:pt>
                  <c:pt idx="3">
                    <c:v>Správa NP Šumava</c:v>
                  </c:pt>
                  <c:pt idx="6">
                    <c:v>Správa NP Podyjí</c:v>
                  </c:pt>
                  <c:pt idx="9">
                    <c:v>Správa NP České Švýcarsko</c:v>
                  </c:pt>
                </c:lvl>
              </c:multiLvlStrCache>
            </c:multiLvlStrRef>
          </c:cat>
          <c:val>
            <c:numRef>
              <c:f>'Těžba-množství-3 (2)'!$E$94:$E$105</c:f>
              <c:numCache>
                <c:formatCode>0</c:formatCode>
                <c:ptCount val="12"/>
                <c:pt idx="0">
                  <c:v>14</c:v>
                </c:pt>
                <c:pt idx="1">
                  <c:v>5</c:v>
                </c:pt>
                <c:pt idx="2">
                  <c:v>35</c:v>
                </c:pt>
                <c:pt idx="3">
                  <c:v>22</c:v>
                </c:pt>
                <c:pt idx="4">
                  <c:v>24</c:v>
                </c:pt>
                <c:pt idx="5">
                  <c:v>20</c:v>
                </c:pt>
                <c:pt idx="6">
                  <c:v>32</c:v>
                </c:pt>
                <c:pt idx="7">
                  <c:v>36</c:v>
                </c:pt>
                <c:pt idx="8">
                  <c:v>49</c:v>
                </c:pt>
                <c:pt idx="9">
                  <c:v>18</c:v>
                </c:pt>
                <c:pt idx="10">
                  <c:v>29</c:v>
                </c:pt>
                <c:pt idx="11">
                  <c:v>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6DC-4CBB-80A8-B62FC38CF36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137290320"/>
        <c:axId val="1137294896"/>
      </c:barChart>
      <c:catAx>
        <c:axId val="1137290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137294896"/>
        <c:crosses val="autoZero"/>
        <c:auto val="1"/>
        <c:lblAlgn val="ctr"/>
        <c:lblOffset val="100"/>
        <c:noMultiLvlLbl val="0"/>
      </c:catAx>
      <c:valAx>
        <c:axId val="1137294896"/>
        <c:scaling>
          <c:orientation val="minMax"/>
          <c:max val="100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crossAx val="1137290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Nákladyxvýnosy!$B$2</c:f>
              <c:strCache>
                <c:ptCount val="1"/>
                <c:pt idx="0">
                  <c:v>Správa KRNAP – výnosy</c:v>
                </c:pt>
              </c:strCache>
            </c:strRef>
          </c:tx>
          <c:spPr>
            <a:ln w="28575" cap="rnd">
              <a:solidFill>
                <a:srgbClr val="004595"/>
              </a:solidFill>
              <a:round/>
            </a:ln>
            <a:effectLst/>
          </c:spPr>
          <c:marker>
            <c:symbol val="triangle"/>
            <c:size val="5"/>
            <c:spPr>
              <a:solidFill>
                <a:srgbClr val="004595"/>
              </a:solidFill>
              <a:ln w="9525">
                <a:solidFill>
                  <a:srgbClr val="004595"/>
                </a:solidFill>
              </a:ln>
              <a:effectLst/>
            </c:spPr>
          </c:marker>
          <c:cat>
            <c:numRef>
              <c:f>Nákladyxvýnosy!$A$8:$A$11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  <c:extLst/>
            </c:numRef>
          </c:cat>
          <c:val>
            <c:numRef>
              <c:f>Nákladyxvýnosy!$B$3:$B$6</c:f>
              <c:numCache>
                <c:formatCode>#,##0.00</c:formatCode>
                <c:ptCount val="3"/>
                <c:pt idx="0">
                  <c:v>1400</c:v>
                </c:pt>
                <c:pt idx="1">
                  <c:v>1444</c:v>
                </c:pt>
                <c:pt idx="2">
                  <c:v>1146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0-CD00-4090-9FF2-1B3634174F31}"/>
            </c:ext>
          </c:extLst>
        </c:ser>
        <c:ser>
          <c:idx val="1"/>
          <c:order val="1"/>
          <c:tx>
            <c:strRef>
              <c:f>Nákladyxvýnosy!$C$2</c:f>
              <c:strCache>
                <c:ptCount val="1"/>
                <c:pt idx="0">
                  <c:v>Správa NP Šumava – výnosy</c:v>
                </c:pt>
              </c:strCache>
            </c:strRef>
          </c:tx>
          <c:spPr>
            <a:ln w="28575" cap="rnd">
              <a:solidFill>
                <a:srgbClr val="004595">
                  <a:alpha val="60000"/>
                </a:srgbClr>
              </a:solidFill>
              <a:round/>
            </a:ln>
            <a:effectLst/>
          </c:spPr>
          <c:marker>
            <c:symbol val="triangle"/>
            <c:size val="5"/>
            <c:spPr>
              <a:solidFill>
                <a:srgbClr val="004595">
                  <a:alpha val="60000"/>
                </a:srgbClr>
              </a:solidFill>
              <a:ln w="9525">
                <a:solidFill>
                  <a:srgbClr val="004595">
                    <a:alpha val="60000"/>
                  </a:srgbClr>
                </a:solidFill>
              </a:ln>
              <a:effectLst/>
            </c:spPr>
          </c:marker>
          <c:cat>
            <c:numRef>
              <c:f>Nákladyxvýnosy!$A$8:$A$11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  <c:extLst/>
            </c:numRef>
          </c:cat>
          <c:val>
            <c:numRef>
              <c:f>Nákladyxvýnosy!$C$3:$C$6</c:f>
              <c:numCache>
                <c:formatCode>#,##0.00</c:formatCode>
                <c:ptCount val="3"/>
                <c:pt idx="0">
                  <c:v>1441</c:v>
                </c:pt>
                <c:pt idx="1">
                  <c:v>1536</c:v>
                </c:pt>
                <c:pt idx="2">
                  <c:v>1219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1-CD00-4090-9FF2-1B3634174F31}"/>
            </c:ext>
          </c:extLst>
        </c:ser>
        <c:ser>
          <c:idx val="2"/>
          <c:order val="2"/>
          <c:tx>
            <c:strRef>
              <c:f>Nákladyxvýnosy!$D$2</c:f>
              <c:strCache>
                <c:ptCount val="1"/>
                <c:pt idx="0">
                  <c:v>Správa NP Podyjí – výnosy</c:v>
                </c:pt>
              </c:strCache>
            </c:strRef>
          </c:tx>
          <c:spPr>
            <a:ln w="28575" cap="rnd">
              <a:solidFill>
                <a:srgbClr val="BD2A33"/>
              </a:solidFill>
              <a:round/>
            </a:ln>
            <a:effectLst/>
          </c:spPr>
          <c:marker>
            <c:symbol val="triangle"/>
            <c:size val="5"/>
            <c:spPr>
              <a:solidFill>
                <a:srgbClr val="BD2A33"/>
              </a:solidFill>
              <a:ln w="9525">
                <a:solidFill>
                  <a:srgbClr val="BD2A33"/>
                </a:solidFill>
              </a:ln>
              <a:effectLst/>
            </c:spPr>
          </c:marker>
          <c:cat>
            <c:numRef>
              <c:f>Nákladyxvýnosy!$A$8:$A$11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  <c:extLst/>
            </c:numRef>
          </c:cat>
          <c:val>
            <c:numRef>
              <c:f>Nákladyxvýnosy!$D$3:$D$6</c:f>
              <c:numCache>
                <c:formatCode>#,##0.00</c:formatCode>
                <c:ptCount val="3"/>
                <c:pt idx="0">
                  <c:v>1219</c:v>
                </c:pt>
                <c:pt idx="1">
                  <c:v>1099</c:v>
                </c:pt>
                <c:pt idx="2">
                  <c:v>823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2-CD00-4090-9FF2-1B3634174F31}"/>
            </c:ext>
          </c:extLst>
        </c:ser>
        <c:ser>
          <c:idx val="3"/>
          <c:order val="3"/>
          <c:tx>
            <c:strRef>
              <c:f>Nákladyxvýnosy!$E$2</c:f>
              <c:strCache>
                <c:ptCount val="1"/>
                <c:pt idx="0">
                  <c:v>Správa NP České Švýcarsko – výnosy</c:v>
                </c:pt>
              </c:strCache>
            </c:strRef>
          </c:tx>
          <c:spPr>
            <a:ln w="28575" cap="rnd">
              <a:solidFill>
                <a:srgbClr val="BD2A33">
                  <a:alpha val="60000"/>
                </a:srgbClr>
              </a:solidFill>
              <a:round/>
            </a:ln>
            <a:effectLst/>
          </c:spPr>
          <c:marker>
            <c:symbol val="triangle"/>
            <c:size val="5"/>
            <c:spPr>
              <a:solidFill>
                <a:srgbClr val="BD2A33">
                  <a:alpha val="60000"/>
                </a:srgbClr>
              </a:solidFill>
              <a:ln w="9525">
                <a:solidFill>
                  <a:srgbClr val="BD2A33">
                    <a:alpha val="60000"/>
                  </a:srgbClr>
                </a:solidFill>
              </a:ln>
              <a:effectLst/>
            </c:spPr>
          </c:marker>
          <c:cat>
            <c:numRef>
              <c:f>Nákladyxvýnosy!$A$8:$A$11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  <c:extLst/>
            </c:numRef>
          </c:cat>
          <c:val>
            <c:numRef>
              <c:f>Nákladyxvýnosy!$E$3:$E$6</c:f>
              <c:numCache>
                <c:formatCode>#,##0.00</c:formatCode>
                <c:ptCount val="3"/>
                <c:pt idx="0">
                  <c:v>1319</c:v>
                </c:pt>
                <c:pt idx="1">
                  <c:v>1350</c:v>
                </c:pt>
                <c:pt idx="2">
                  <c:v>1058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3-CD00-4090-9FF2-1B3634174F31}"/>
            </c:ext>
          </c:extLst>
        </c:ser>
        <c:ser>
          <c:idx val="4"/>
          <c:order val="4"/>
          <c:tx>
            <c:strRef>
              <c:f>Nákladyxvýnosy!$B$7</c:f>
              <c:strCache>
                <c:ptCount val="1"/>
                <c:pt idx="0">
                  <c:v>Správa KRNAP – náklady</c:v>
                </c:pt>
              </c:strCache>
            </c:strRef>
          </c:tx>
          <c:spPr>
            <a:ln w="28575" cap="rnd">
              <a:solidFill>
                <a:srgbClr val="004595"/>
              </a:solidFill>
              <a:round/>
            </a:ln>
            <a:effectLst/>
          </c:spPr>
          <c:marker>
            <c:symbol val="plus"/>
            <c:size val="5"/>
            <c:spPr>
              <a:solidFill>
                <a:srgbClr val="004595"/>
              </a:solidFill>
              <a:ln w="9525">
                <a:solidFill>
                  <a:srgbClr val="004595"/>
                </a:solidFill>
              </a:ln>
              <a:effectLst/>
            </c:spPr>
          </c:marker>
          <c:cat>
            <c:numRef>
              <c:f>Nákladyxvýnosy!$A$8:$A$11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  <c:extLst/>
            </c:numRef>
          </c:cat>
          <c:val>
            <c:numRef>
              <c:f>Nákladyxvýnosy!$B$8:$B$11</c:f>
              <c:numCache>
                <c:formatCode>#,##0.00</c:formatCode>
                <c:ptCount val="3"/>
                <c:pt idx="0">
                  <c:v>656</c:v>
                </c:pt>
                <c:pt idx="1">
                  <c:v>653</c:v>
                </c:pt>
                <c:pt idx="2">
                  <c:v>769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4-CD00-4090-9FF2-1B3634174F31}"/>
            </c:ext>
          </c:extLst>
        </c:ser>
        <c:ser>
          <c:idx val="5"/>
          <c:order val="5"/>
          <c:tx>
            <c:strRef>
              <c:f>Nákladyxvýnosy!$C$7</c:f>
              <c:strCache>
                <c:ptCount val="1"/>
                <c:pt idx="0">
                  <c:v>Správa NP Šumava – náklady</c:v>
                </c:pt>
              </c:strCache>
            </c:strRef>
          </c:tx>
          <c:spPr>
            <a:ln w="28575" cap="rnd">
              <a:solidFill>
                <a:srgbClr val="004595">
                  <a:alpha val="60000"/>
                </a:srgbClr>
              </a:solidFill>
              <a:round/>
            </a:ln>
            <a:effectLst/>
          </c:spPr>
          <c:marker>
            <c:symbol val="square"/>
            <c:size val="5"/>
            <c:spPr>
              <a:solidFill>
                <a:srgbClr val="004595">
                  <a:alpha val="60000"/>
                </a:srgbClr>
              </a:solidFill>
              <a:ln w="9525">
                <a:solidFill>
                  <a:srgbClr val="004595">
                    <a:alpha val="60000"/>
                  </a:srgbClr>
                </a:solidFill>
              </a:ln>
              <a:effectLst/>
            </c:spPr>
          </c:marker>
          <c:cat>
            <c:numRef>
              <c:f>Nákladyxvýnosy!$A$8:$A$11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  <c:extLst/>
            </c:numRef>
          </c:cat>
          <c:val>
            <c:numRef>
              <c:f>Nákladyxvýnosy!$C$8:$C$11</c:f>
              <c:numCache>
                <c:formatCode>#,##0.00</c:formatCode>
                <c:ptCount val="3"/>
                <c:pt idx="0">
                  <c:v>713</c:v>
                </c:pt>
                <c:pt idx="1">
                  <c:v>573</c:v>
                </c:pt>
                <c:pt idx="2">
                  <c:v>697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5-CD00-4090-9FF2-1B3634174F31}"/>
            </c:ext>
          </c:extLst>
        </c:ser>
        <c:ser>
          <c:idx val="6"/>
          <c:order val="6"/>
          <c:tx>
            <c:strRef>
              <c:f>Nákladyxvýnosy!$D$7</c:f>
              <c:strCache>
                <c:ptCount val="1"/>
                <c:pt idx="0">
                  <c:v>Správa NP Podyjí – náklady</c:v>
                </c:pt>
              </c:strCache>
            </c:strRef>
          </c:tx>
          <c:spPr>
            <a:ln w="28575" cap="rnd">
              <a:solidFill>
                <a:srgbClr val="BD2A33"/>
              </a:solidFill>
              <a:round/>
            </a:ln>
            <a:effectLst/>
          </c:spPr>
          <c:marker>
            <c:symbol val="star"/>
            <c:size val="5"/>
            <c:spPr>
              <a:solidFill>
                <a:srgbClr val="BD2A33"/>
              </a:solidFill>
              <a:ln w="9525">
                <a:solidFill>
                  <a:srgbClr val="BD2A33"/>
                </a:solidFill>
              </a:ln>
              <a:effectLst/>
            </c:spPr>
          </c:marker>
          <c:cat>
            <c:numRef>
              <c:f>Nákladyxvýnosy!$A$8:$A$11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  <c:extLst/>
            </c:numRef>
          </c:cat>
          <c:val>
            <c:numRef>
              <c:f>Nákladyxvýnosy!$D$8:$D$11</c:f>
              <c:numCache>
                <c:formatCode>#,##0.00</c:formatCode>
                <c:ptCount val="3"/>
                <c:pt idx="0">
                  <c:v>428</c:v>
                </c:pt>
                <c:pt idx="1">
                  <c:v>390</c:v>
                </c:pt>
                <c:pt idx="2">
                  <c:v>419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6-CD00-4090-9FF2-1B3634174F31}"/>
            </c:ext>
          </c:extLst>
        </c:ser>
        <c:ser>
          <c:idx val="7"/>
          <c:order val="7"/>
          <c:tx>
            <c:strRef>
              <c:f>Nákladyxvýnosy!$E$7</c:f>
              <c:strCache>
                <c:ptCount val="1"/>
                <c:pt idx="0">
                  <c:v>Správa NP České Švýcarsko – náklady</c:v>
                </c:pt>
              </c:strCache>
            </c:strRef>
          </c:tx>
          <c:spPr>
            <a:ln w="28575" cap="rnd">
              <a:solidFill>
                <a:srgbClr val="BD2A33">
                  <a:alpha val="60000"/>
                </a:srgbClr>
              </a:solidFill>
              <a:round/>
            </a:ln>
            <a:effectLst/>
          </c:spPr>
          <c:marker>
            <c:symbol val="star"/>
            <c:size val="5"/>
            <c:spPr>
              <a:solidFill>
                <a:srgbClr val="BD2A33">
                  <a:alpha val="60000"/>
                </a:srgbClr>
              </a:solidFill>
              <a:ln w="9525">
                <a:solidFill>
                  <a:srgbClr val="BD2A33">
                    <a:alpha val="60000"/>
                  </a:srgbClr>
                </a:solidFill>
              </a:ln>
              <a:effectLst/>
            </c:spPr>
          </c:marker>
          <c:cat>
            <c:numRef>
              <c:f>Nákladyxvýnosy!$A$8:$A$11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  <c:extLst/>
            </c:numRef>
          </c:cat>
          <c:val>
            <c:numRef>
              <c:f>Nákladyxvýnosy!$E$8:$E$11</c:f>
              <c:numCache>
                <c:formatCode>#,##0.00</c:formatCode>
                <c:ptCount val="3"/>
                <c:pt idx="0">
                  <c:v>448</c:v>
                </c:pt>
                <c:pt idx="1">
                  <c:v>431</c:v>
                </c:pt>
                <c:pt idx="2">
                  <c:v>552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7-CD00-4090-9FF2-1B3634174F31}"/>
            </c:ext>
          </c:extLst>
        </c:ser>
        <c:ser>
          <c:idx val="8"/>
          <c:order val="8"/>
          <c:tx>
            <c:strRef>
              <c:f>Nákladyxvýnosy!$F$2</c:f>
              <c:strCache>
                <c:ptCount val="1"/>
                <c:pt idx="0">
                  <c:v>státní lesy – výnosy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numRef>
              <c:f>Nákladyxvýnosy!$A$8:$A$11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  <c:extLst/>
            </c:numRef>
          </c:cat>
          <c:val>
            <c:numRef>
              <c:f>Nákladyxvýnosy!$F$3:$F$5</c:f>
              <c:numCache>
                <c:formatCode>#,##0.00</c:formatCode>
                <c:ptCount val="2"/>
                <c:pt idx="0">
                  <c:v>1226</c:v>
                </c:pt>
                <c:pt idx="1">
                  <c:v>1191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8-CD00-4090-9FF2-1B3634174F31}"/>
            </c:ext>
          </c:extLst>
        </c:ser>
        <c:ser>
          <c:idx val="9"/>
          <c:order val="9"/>
          <c:tx>
            <c:strRef>
              <c:f>Nákladyxvýnosy!$F$7</c:f>
              <c:strCache>
                <c:ptCount val="1"/>
                <c:pt idx="0">
                  <c:v>státní lesy – náklady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/>
              </a:solidFill>
              <a:ln w="9525">
                <a:solidFill>
                  <a:schemeClr val="tx1"/>
                </a:solidFill>
              </a:ln>
              <a:effectLst/>
            </c:spPr>
          </c:marker>
          <c:cat>
            <c:numRef>
              <c:f>Nákladyxvýnosy!$A$8:$A$11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  <c:extLst/>
            </c:numRef>
          </c:cat>
          <c:val>
            <c:numRef>
              <c:f>Nákladyxvýnosy!$F$8:$F$10</c:f>
              <c:numCache>
                <c:formatCode>#,##0.00</c:formatCode>
                <c:ptCount val="2"/>
                <c:pt idx="0">
                  <c:v>561</c:v>
                </c:pt>
                <c:pt idx="1">
                  <c:v>538</c:v>
                </c:pt>
              </c:numCache>
              <c:extLst/>
            </c:numRef>
          </c:val>
          <c:smooth val="0"/>
          <c:extLst>
            <c:ext xmlns:c16="http://schemas.microsoft.com/office/drawing/2014/chart" uri="{C3380CC4-5D6E-409C-BE32-E72D297353CC}">
              <c16:uniqueId val="{00000009-CD00-4090-9FF2-1B3634174F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82359632"/>
        <c:axId val="2082355472"/>
      </c:lineChart>
      <c:catAx>
        <c:axId val="208235963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>
                    <a:solidFill>
                      <a:sysClr val="windowText" lastClr="000000"/>
                    </a:solidFill>
                  </a:rPr>
                  <a:t>Rok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082355472"/>
        <c:crosses val="autoZero"/>
        <c:auto val="1"/>
        <c:lblAlgn val="ctr"/>
        <c:lblOffset val="100"/>
        <c:noMultiLvlLbl val="0"/>
      </c:catAx>
      <c:valAx>
        <c:axId val="2082355472"/>
        <c:scaling>
          <c:orientation val="minMax"/>
          <c:max val="16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 marL="0" marR="0" lvl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 sz="1000" b="0" i="0" baseline="0">
                    <a:solidFill>
                      <a:sysClr val="windowText" lastClr="000000"/>
                    </a:solidFill>
                    <a:effectLst/>
                  </a:rPr>
                  <a:t>Kč/m</a:t>
                </a:r>
                <a:r>
                  <a:rPr lang="cs-CZ" sz="1000" b="0" i="0" baseline="30000">
                    <a:solidFill>
                      <a:sysClr val="windowText" lastClr="000000"/>
                    </a:solidFill>
                    <a:effectLst/>
                  </a:rPr>
                  <a:t>3</a:t>
                </a:r>
                <a:endParaRPr lang="cs-CZ" sz="1000">
                  <a:solidFill>
                    <a:sysClr val="windowText" lastClr="000000"/>
                  </a:solidFill>
                  <a:effectLst/>
                </a:endParaRP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marL="0" marR="0" lvl="0" indent="0" algn="ctr" defTabSz="914400" rtl="0" eaLnBrk="1" fontAlgn="auto" latinLnBrk="0" hangingPunct="1">
                <a:lnSpc>
                  <a:spcPct val="100000"/>
                </a:lnSpc>
                <a:spcBef>
                  <a:spcPts val="0"/>
                </a:spcBef>
                <a:spcAft>
                  <a:spcPts val="0"/>
                </a:spcAft>
                <a:buClrTx/>
                <a:buSzTx/>
                <a:buFontTx/>
                <a:buNone/>
                <a:tabLst/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082359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5.png"/><Relationship Id="rId2" Type="http://schemas.openxmlformats.org/officeDocument/2006/relationships/image" Target="../media/image4.jpg"/><Relationship Id="rId1" Type="http://schemas.openxmlformats.org/officeDocument/2006/relationships/image" Target="../media/image3.png"/><Relationship Id="rId4" Type="http://schemas.openxmlformats.org/officeDocument/2006/relationships/image" Target="../media/image6.jp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5.png"/><Relationship Id="rId2" Type="http://schemas.openxmlformats.org/officeDocument/2006/relationships/image" Target="../media/image4.jpg"/><Relationship Id="rId1" Type="http://schemas.openxmlformats.org/officeDocument/2006/relationships/image" Target="../media/image3.png"/><Relationship Id="rId4" Type="http://schemas.openxmlformats.org/officeDocument/2006/relationships/image" Target="../media/image6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B2F760C-686F-4103-800B-814CE8BC6F4B}" type="doc">
      <dgm:prSet loTypeId="urn:microsoft.com/office/officeart/2008/layout/VerticalCurv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C6D500C5-90E1-426C-B341-E4261822D5D2}">
      <dgm:prSet phldrT="[Text]" custT="1"/>
      <dgm:spPr>
        <a:solidFill>
          <a:schemeClr val="bg1"/>
        </a:solidFill>
      </dgm:spPr>
      <dgm:t>
        <a:bodyPr/>
        <a:lstStyle/>
        <a:p>
          <a:pPr algn="just">
            <a:lnSpc>
              <a:spcPct val="90000"/>
            </a:lnSpc>
            <a:spcAft>
              <a:spcPct val="35000"/>
            </a:spcAft>
          </a:pPr>
          <a:endParaRPr lang="cs-CZ" sz="1050">
            <a:solidFill>
              <a:schemeClr val="tx1"/>
            </a:solidFill>
          </a:endParaRPr>
        </a:p>
        <a:p>
          <a:pPr algn="just">
            <a:lnSpc>
              <a:spcPct val="100000"/>
            </a:lnSpc>
            <a:spcAft>
              <a:spcPts val="0"/>
            </a:spcAft>
          </a:pPr>
          <a:r>
            <a:rPr lang="cs-CZ" sz="1050" b="1">
              <a:solidFill>
                <a:schemeClr val="tx1"/>
              </a:solidFill>
            </a:rPr>
            <a:t>KRNAP</a:t>
          </a:r>
          <a:r>
            <a:rPr lang="cs-CZ" sz="1050">
              <a:solidFill>
                <a:schemeClr val="tx1"/>
              </a:solidFill>
            </a:rPr>
            <a:t> byl vyhlášen 17. 5. 1963 a navzdory malé rozloze a nízké nadmořské výšce oplývá jeho území mimořádnou </a:t>
          </a:r>
          <a:r>
            <a:rPr lang="cs-CZ" sz="1050">
              <a:solidFill>
                <a:sysClr val="windowText" lastClr="000000"/>
              </a:solidFill>
            </a:rPr>
            <a:t>pestrostí krajiny, flóry a fauny, která zdaleka přesahuje přírodní rozmanitost okolních evropských středohor. Typický krajinný ráz horské krajiny Krkonoš </a:t>
          </a:r>
          <a:r>
            <a:rPr lang="cs-CZ" sz="1050">
              <a:solidFill>
                <a:schemeClr val="tx1"/>
              </a:solidFill>
            </a:rPr>
            <a:t>je tvořen mozaikou přírodních, přírodě blízkých a kulturních krajinných typů, v řadě případů unikátních. Například tundrové ekosystémy zaujímají cca 4 % rozlohy KRNAP. Jedná se o unikátní prostředí evropského významu, velmi citlivé k antropogenním vlivům. Nejnavštěvovanější místa KRNAP jsou Sněžka včetně přístupových cest a pramen Labe.</a:t>
          </a:r>
        </a:p>
      </dgm:t>
    </dgm:pt>
    <dgm:pt modelId="{36D75B7E-A682-44F6-9261-6BE79750E870}" type="parTrans" cxnId="{0DB5F196-8437-42A6-B13A-AC5538286D29}">
      <dgm:prSet/>
      <dgm:spPr/>
      <dgm:t>
        <a:bodyPr/>
        <a:lstStyle/>
        <a:p>
          <a:endParaRPr lang="cs-CZ"/>
        </a:p>
      </dgm:t>
    </dgm:pt>
    <dgm:pt modelId="{9282F807-5223-489B-A8C3-1BC954C90DDF}" type="sibTrans" cxnId="{0DB5F196-8437-42A6-B13A-AC5538286D29}">
      <dgm:prSet/>
      <dgm:spPr>
        <a:ln>
          <a:solidFill>
            <a:srgbClr val="004595"/>
          </a:solidFill>
        </a:ln>
      </dgm:spPr>
      <dgm:t>
        <a:bodyPr/>
        <a:lstStyle/>
        <a:p>
          <a:endParaRPr lang="cs-CZ"/>
        </a:p>
      </dgm:t>
    </dgm:pt>
    <dgm:pt modelId="{E2DA998A-BC75-4B64-80E6-91C2625B6DA7}">
      <dgm:prSet phldrT="[Text]" custT="1"/>
      <dgm:spPr>
        <a:solidFill>
          <a:schemeClr val="bg1"/>
        </a:solidFill>
      </dgm:spPr>
      <dgm:t>
        <a:bodyPr/>
        <a:lstStyle/>
        <a:p>
          <a:pPr algn="just">
            <a:lnSpc>
              <a:spcPct val="100000"/>
            </a:lnSpc>
            <a:spcAft>
              <a:spcPts val="0"/>
            </a:spcAft>
          </a:pPr>
          <a:r>
            <a:rPr lang="cs-CZ" sz="1050">
              <a:solidFill>
                <a:schemeClr val="tx1"/>
              </a:solidFill>
            </a:rPr>
            <a:t>Členitý reliéf </a:t>
          </a:r>
          <a:r>
            <a:rPr lang="cs-CZ" sz="1050" b="1">
              <a:solidFill>
                <a:schemeClr val="tx1"/>
              </a:solidFill>
            </a:rPr>
            <a:t>NP Šumava</a:t>
          </a:r>
          <a:r>
            <a:rPr lang="cs-CZ" sz="1050">
              <a:solidFill>
                <a:schemeClr val="tx1"/>
              </a:solidFill>
            </a:rPr>
            <a:t>, který byl vyhlášen 20. 3. 1991, vytváří mozaiku nejrůznějších stanovišť, která jsou příhodná pro četné druhy organizmů. Typologicky nejvýznamnější jsou květnaté bučiny, acidofilní bučiny a horské </a:t>
          </a:r>
          <a:r>
            <a:rPr lang="cs-CZ" sz="1050">
              <a:solidFill>
                <a:sysClr val="windowText" lastClr="000000"/>
              </a:solidFill>
            </a:rPr>
            <a:t>smrčiny. V NP Šumava se vytvořila celá řada přirozených azonálních jednotek (tzn. podmíněných regionálními či místními zvláštnostmi, které nejsou vázány na určitou klimatickou zónu), jde zejména o rašeliniště, údolní luhy, podmáčené smrčiny, </a:t>
          </a:r>
          <a:r>
            <a:rPr lang="cs-CZ" sz="1050">
              <a:solidFill>
                <a:schemeClr val="tx1"/>
              </a:solidFill>
            </a:rPr>
            <a:t>reliktní bory a bezlesá kamenná moře, suťové smíšené lesy, ekosystémy jezerních karů, vzácné relikty přirozeného, většinou mokřadního a mrazového bezlesí, nelesní prameništní systémy a ekosystémy stojatých </a:t>
          </a:r>
          <a:br>
            <a:rPr lang="cs-CZ" sz="1050">
              <a:solidFill>
                <a:schemeClr val="tx1"/>
              </a:solidFill>
            </a:rPr>
          </a:br>
          <a:r>
            <a:rPr lang="cs-CZ" sz="1050">
              <a:solidFill>
                <a:schemeClr val="tx1"/>
              </a:solidFill>
            </a:rPr>
            <a:t>a tekoucích vod. Nejnavštěvovanější místa NP Šumava jsou lokalita Modrava, pramen Vltavy, Bučina, ledovcová jezera </a:t>
          </a:r>
          <a:br>
            <a:rPr lang="cs-CZ" sz="1050">
              <a:solidFill>
                <a:schemeClr val="tx1"/>
              </a:solidFill>
            </a:rPr>
          </a:br>
          <a:r>
            <a:rPr lang="cs-CZ" sz="1050">
              <a:solidFill>
                <a:schemeClr val="tx1"/>
              </a:solidFill>
            </a:rPr>
            <a:t>a Poledník.</a:t>
          </a:r>
        </a:p>
      </dgm:t>
    </dgm:pt>
    <dgm:pt modelId="{23B36C08-DD7A-45D4-AD7D-09CCC7EBEC5F}" type="parTrans" cxnId="{B4C91E0B-4644-4C73-B721-CFF0324A1904}">
      <dgm:prSet/>
      <dgm:spPr/>
      <dgm:t>
        <a:bodyPr/>
        <a:lstStyle/>
        <a:p>
          <a:endParaRPr lang="cs-CZ"/>
        </a:p>
      </dgm:t>
    </dgm:pt>
    <dgm:pt modelId="{19CAD5DC-3CD2-4957-BACA-70A0B32DF8FF}" type="sibTrans" cxnId="{B4C91E0B-4644-4C73-B721-CFF0324A1904}">
      <dgm:prSet/>
      <dgm:spPr/>
      <dgm:t>
        <a:bodyPr/>
        <a:lstStyle/>
        <a:p>
          <a:endParaRPr lang="cs-CZ"/>
        </a:p>
      </dgm:t>
    </dgm:pt>
    <dgm:pt modelId="{C2B709A4-2A1F-4D5C-9A81-A0EF8BDD64F4}">
      <dgm:prSet phldrT="[Text]" custT="1"/>
      <dgm:spPr>
        <a:solidFill>
          <a:schemeClr val="bg1"/>
        </a:solidFill>
      </dgm:spPr>
      <dgm:t>
        <a:bodyPr/>
        <a:lstStyle/>
        <a:p>
          <a:pPr algn="just">
            <a:lnSpc>
              <a:spcPct val="100000"/>
            </a:lnSpc>
            <a:spcAft>
              <a:spcPts val="0"/>
            </a:spcAft>
          </a:pPr>
          <a:r>
            <a:rPr lang="cs-CZ" sz="1050" b="1">
              <a:solidFill>
                <a:schemeClr val="tx1"/>
              </a:solidFill>
            </a:rPr>
            <a:t>NP Podyjí</a:t>
          </a:r>
          <a:r>
            <a:rPr lang="cs-CZ" sz="1050">
              <a:solidFill>
                <a:schemeClr val="tx1"/>
              </a:solidFill>
            </a:rPr>
            <a:t> byl vyhlášen 10. 5. 1991 a reprezentuje výjimečně zachovalou ukázku krajiny říčního údolí v pahorkatinném stupni střední Evropy. Kaňon Dyje vytváří unikátní říční fenomén s četnými meandry, hluboce zaříznutými údolími bočních přítoků, nejrůznějšími skalními tvary, kamennými moři a skalními stěnami. Území vyniká vysokou pestrostí rostlinných a živočišných společenstev danou střídavou expozicí svahů v údolí Dyje. Nejnavštěvovanější místa NP Podyjí jsou Hardeggská vyhlídka, vinice Šobes, Nový Hrádek a Králův stolec.</a:t>
          </a:r>
        </a:p>
      </dgm:t>
    </dgm:pt>
    <dgm:pt modelId="{CDE2D33F-F297-4BBD-A08B-28E732D834C8}" type="parTrans" cxnId="{6BC845E1-BA06-4F4B-ACB4-63256297B620}">
      <dgm:prSet/>
      <dgm:spPr/>
      <dgm:t>
        <a:bodyPr/>
        <a:lstStyle/>
        <a:p>
          <a:endParaRPr lang="cs-CZ"/>
        </a:p>
      </dgm:t>
    </dgm:pt>
    <dgm:pt modelId="{BA8F21A9-3537-4DD5-8269-D6098814C217}" type="sibTrans" cxnId="{6BC845E1-BA06-4F4B-ACB4-63256297B620}">
      <dgm:prSet/>
      <dgm:spPr/>
      <dgm:t>
        <a:bodyPr/>
        <a:lstStyle/>
        <a:p>
          <a:endParaRPr lang="cs-CZ"/>
        </a:p>
      </dgm:t>
    </dgm:pt>
    <dgm:pt modelId="{309349C7-C6DE-4C61-BD1B-5A677114E039}">
      <dgm:prSet custT="1"/>
      <dgm:spPr>
        <a:solidFill>
          <a:schemeClr val="bg1"/>
        </a:solidFill>
      </dgm:spPr>
      <dgm:t>
        <a:bodyPr/>
        <a:lstStyle/>
        <a:p>
          <a:pPr algn="just"/>
          <a:r>
            <a:rPr lang="cs-CZ" sz="1050">
              <a:solidFill>
                <a:schemeClr val="tx1"/>
              </a:solidFill>
            </a:rPr>
            <a:t>Hlavním předmětem ochrany </a:t>
          </a:r>
          <a:r>
            <a:rPr lang="cs-CZ" sz="1050" b="1">
              <a:solidFill>
                <a:schemeClr val="tx1"/>
              </a:solidFill>
            </a:rPr>
            <a:t>NP České Švýcarsko</a:t>
          </a:r>
          <a:r>
            <a:rPr lang="cs-CZ" sz="1050">
              <a:solidFill>
                <a:schemeClr val="tx1"/>
              </a:solidFill>
            </a:rPr>
            <a:t> je od jeho vyhlášení </a:t>
          </a:r>
          <a:br>
            <a:rPr lang="cs-CZ" sz="1050">
              <a:solidFill>
                <a:schemeClr val="tx1"/>
              </a:solidFill>
            </a:rPr>
          </a:br>
          <a:r>
            <a:rPr lang="cs-CZ" sz="1050">
              <a:solidFill>
                <a:schemeClr val="tx1"/>
              </a:solidFill>
            </a:rPr>
            <a:t>1. 1. 2000 ochrana reprezentativní ukázky pískovcového fenoménu české křídové pánve, tj. charakteristického reliéfu kvádrových pískovců </a:t>
          </a:r>
          <a:br>
            <a:rPr lang="cs-CZ" sz="1050">
              <a:solidFill>
                <a:schemeClr val="tx1"/>
              </a:solidFill>
            </a:rPr>
          </a:br>
          <a:r>
            <a:rPr lang="cs-CZ" sz="1050">
              <a:solidFill>
                <a:schemeClr val="tx1"/>
              </a:solidFill>
            </a:rPr>
            <a:t>a na něj vázaných specifických ekologických podmínek určujících biodiverzitu. Geomorfologicky se jedná o mimořádně zachovalý typ krajiny bez větších destruktivních vlivů člověka. Nejnavštěvovanější místa NP České Švýcarsko jsou Pravčická brána, Hřensko, Mezná </a:t>
          </a:r>
          <a:br>
            <a:rPr lang="cs-CZ" sz="1050">
              <a:solidFill>
                <a:schemeClr val="tx1"/>
              </a:solidFill>
            </a:rPr>
          </a:br>
          <a:r>
            <a:rPr lang="cs-CZ" sz="1050">
              <a:solidFill>
                <a:schemeClr val="tx1"/>
              </a:solidFill>
            </a:rPr>
            <a:t>a Jetřichovice. </a:t>
          </a:r>
        </a:p>
      </dgm:t>
    </dgm:pt>
    <dgm:pt modelId="{847329EF-81A8-499A-8CAE-4F4C8CBC7785}" type="parTrans" cxnId="{08363062-2EA4-4896-94A3-C8469BB41521}">
      <dgm:prSet/>
      <dgm:spPr/>
      <dgm:t>
        <a:bodyPr/>
        <a:lstStyle/>
        <a:p>
          <a:endParaRPr lang="cs-CZ"/>
        </a:p>
      </dgm:t>
    </dgm:pt>
    <dgm:pt modelId="{154041FC-29B1-48E0-B1E9-73568705E492}" type="sibTrans" cxnId="{08363062-2EA4-4896-94A3-C8469BB41521}">
      <dgm:prSet/>
      <dgm:spPr/>
      <dgm:t>
        <a:bodyPr/>
        <a:lstStyle/>
        <a:p>
          <a:endParaRPr lang="cs-CZ"/>
        </a:p>
      </dgm:t>
    </dgm:pt>
    <dgm:pt modelId="{0BD72A07-665E-43B5-A1E2-E1B46170BF33}" type="pres">
      <dgm:prSet presAssocID="{FB2F760C-686F-4103-800B-814CE8BC6F4B}" presName="Name0" presStyleCnt="0">
        <dgm:presLayoutVars>
          <dgm:chMax val="7"/>
          <dgm:chPref val="7"/>
          <dgm:dir/>
        </dgm:presLayoutVars>
      </dgm:prSet>
      <dgm:spPr/>
      <dgm:t>
        <a:bodyPr/>
        <a:lstStyle/>
        <a:p>
          <a:endParaRPr lang="cs-CZ"/>
        </a:p>
      </dgm:t>
    </dgm:pt>
    <dgm:pt modelId="{B794A297-7820-47EB-8F58-E2815D44FD9E}" type="pres">
      <dgm:prSet presAssocID="{FB2F760C-686F-4103-800B-814CE8BC6F4B}" presName="Name1" presStyleCnt="0"/>
      <dgm:spPr/>
    </dgm:pt>
    <dgm:pt modelId="{923CDA12-F76E-4863-9506-1289B61E58DE}" type="pres">
      <dgm:prSet presAssocID="{FB2F760C-686F-4103-800B-814CE8BC6F4B}" presName="cycle" presStyleCnt="0"/>
      <dgm:spPr/>
    </dgm:pt>
    <dgm:pt modelId="{71CB1719-58EE-41BE-AE41-65DF540FC581}" type="pres">
      <dgm:prSet presAssocID="{FB2F760C-686F-4103-800B-814CE8BC6F4B}" presName="srcNode" presStyleLbl="node1" presStyleIdx="0" presStyleCnt="4"/>
      <dgm:spPr/>
    </dgm:pt>
    <dgm:pt modelId="{100753C9-CF32-451C-A3C9-1F3889C776A0}" type="pres">
      <dgm:prSet presAssocID="{FB2F760C-686F-4103-800B-814CE8BC6F4B}" presName="conn" presStyleLbl="parChTrans1D2" presStyleIdx="0" presStyleCnt="1" custScaleX="95782" custScaleY="96894"/>
      <dgm:spPr/>
      <dgm:t>
        <a:bodyPr/>
        <a:lstStyle/>
        <a:p>
          <a:endParaRPr lang="cs-CZ"/>
        </a:p>
      </dgm:t>
    </dgm:pt>
    <dgm:pt modelId="{1B7595CF-DC68-4DCB-B81A-6C100C8FFF95}" type="pres">
      <dgm:prSet presAssocID="{FB2F760C-686F-4103-800B-814CE8BC6F4B}" presName="extraNode" presStyleLbl="node1" presStyleIdx="0" presStyleCnt="4"/>
      <dgm:spPr/>
    </dgm:pt>
    <dgm:pt modelId="{F33F38AC-F983-48B0-8197-BC3B5B5CA264}" type="pres">
      <dgm:prSet presAssocID="{FB2F760C-686F-4103-800B-814CE8BC6F4B}" presName="dstNode" presStyleLbl="node1" presStyleIdx="0" presStyleCnt="4"/>
      <dgm:spPr/>
    </dgm:pt>
    <dgm:pt modelId="{7A7B500B-C7E0-48B8-94AF-D568BFCB6960}" type="pres">
      <dgm:prSet presAssocID="{C6D500C5-90E1-426C-B341-E4261822D5D2}" presName="text_1" presStyleLbl="node1" presStyleIdx="0" presStyleCnt="4" custScaleX="97964" custScaleY="125909" custLinFactNeighborX="-962" custLinFactNeighborY="-50553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14CDEE6B-7A2A-46AA-8C1A-63697955EE21}" type="pres">
      <dgm:prSet presAssocID="{C6D500C5-90E1-426C-B341-E4261822D5D2}" presName="accent_1" presStyleCnt="0"/>
      <dgm:spPr/>
    </dgm:pt>
    <dgm:pt modelId="{421A66DA-84E8-4DB0-92ED-E8477C156819}" type="pres">
      <dgm:prSet presAssocID="{C6D500C5-90E1-426C-B341-E4261822D5D2}" presName="accentRepeatNode" presStyleLbl="solidFgAcc1" presStyleIdx="0" presStyleCnt="4" custScaleX="81353" custScaleY="78316" custLinFactNeighborX="-7428" custLinFactNeighborY="-5778"/>
      <dgm:spPr>
        <a:blipFill dpi="0" rotWithShape="0">
          <a:blip xmlns:r="http://schemas.openxmlformats.org/officeDocument/2006/relationships" r:embed="rId1"/>
          <a:srcRect/>
          <a:stretch>
            <a:fillRect/>
          </a:stretch>
        </a:blipFill>
        <a:ln>
          <a:solidFill>
            <a:srgbClr val="004595"/>
          </a:solidFill>
        </a:ln>
      </dgm:spPr>
      <dgm:t>
        <a:bodyPr/>
        <a:lstStyle/>
        <a:p>
          <a:endParaRPr lang="cs-CZ"/>
        </a:p>
      </dgm:t>
    </dgm:pt>
    <dgm:pt modelId="{A93486ED-2BDE-4A7E-9D19-575C4E125872}" type="pres">
      <dgm:prSet presAssocID="{E2DA998A-BC75-4B64-80E6-91C2625B6DA7}" presName="text_2" presStyleLbl="node1" presStyleIdx="1" presStyleCnt="4" custLinFactNeighborX="-2287" custLinFactNeighborY="4161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43637F7B-3523-4A5E-B37B-6F3510A94694}" type="pres">
      <dgm:prSet presAssocID="{E2DA998A-BC75-4B64-80E6-91C2625B6DA7}" presName="accent_2" presStyleCnt="0"/>
      <dgm:spPr/>
    </dgm:pt>
    <dgm:pt modelId="{DD48532D-3944-4002-A283-331FBFDCED1F}" type="pres">
      <dgm:prSet presAssocID="{E2DA998A-BC75-4B64-80E6-91C2625B6DA7}" presName="accentRepeatNode" presStyleLbl="solidFgAcc1" presStyleIdx="1" presStyleCnt="4" custScaleX="80968" custScaleY="73797" custLinFactNeighborX="-14674" custLinFactNeighborY="5044"/>
      <dgm:spPr>
        <a:blipFill dpi="0" rotWithShape="0">
          <a:blip xmlns:r="http://schemas.openxmlformats.org/officeDocument/2006/relationships" r:embed="rId2"/>
          <a:srcRect/>
          <a:stretch>
            <a:fillRect l="-6000" t="-6000" r="-6000" b="-6000"/>
          </a:stretch>
        </a:blipFill>
        <a:ln>
          <a:solidFill>
            <a:srgbClr val="004595"/>
          </a:solidFill>
        </a:ln>
      </dgm:spPr>
      <dgm:t>
        <a:bodyPr/>
        <a:lstStyle/>
        <a:p>
          <a:endParaRPr lang="cs-CZ"/>
        </a:p>
      </dgm:t>
    </dgm:pt>
    <dgm:pt modelId="{379FFDAA-1314-47B7-94AE-81DFFDD25122}" type="pres">
      <dgm:prSet presAssocID="{C2B709A4-2A1F-4D5C-9A81-A0EF8BDD64F4}" presName="text_3" presStyleLbl="node1" presStyleIdx="2" presStyleCnt="4" custLinFactNeighborX="-3296" custLinFactNeighborY="5331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873F9986-C32A-4A6E-A730-2CC46E5CE228}" type="pres">
      <dgm:prSet presAssocID="{C2B709A4-2A1F-4D5C-9A81-A0EF8BDD64F4}" presName="accent_3" presStyleCnt="0"/>
      <dgm:spPr/>
    </dgm:pt>
    <dgm:pt modelId="{3B42CFF6-5904-40E5-9AD8-C3913A9098B1}" type="pres">
      <dgm:prSet presAssocID="{C2B709A4-2A1F-4D5C-9A81-A0EF8BDD64F4}" presName="accentRepeatNode" presStyleLbl="solidFgAcc1" presStyleIdx="2" presStyleCnt="4" custScaleX="83017" custScaleY="75881" custLinFactNeighborX="-10089" custLinFactNeighborY="21094"/>
      <dgm:spPr>
        <a:blipFill dpi="0" rotWithShape="0">
          <a:blip xmlns:r="http://schemas.openxmlformats.org/officeDocument/2006/relationships" r:embed="rId3"/>
          <a:srcRect/>
          <a:stretch>
            <a:fillRect l="-6000" t="-12000" r="-12000" b="-7000"/>
          </a:stretch>
        </a:blipFill>
        <a:ln>
          <a:solidFill>
            <a:srgbClr val="004595"/>
          </a:solidFill>
        </a:ln>
      </dgm:spPr>
      <dgm:t>
        <a:bodyPr/>
        <a:lstStyle/>
        <a:p>
          <a:endParaRPr lang="cs-CZ"/>
        </a:p>
      </dgm:t>
    </dgm:pt>
    <dgm:pt modelId="{C5FC7ADA-4C9B-4CFB-A08A-7005038D398C}" type="pres">
      <dgm:prSet presAssocID="{309349C7-C6DE-4C61-BD1B-5A677114E039}" presName="text_4" presStyleLbl="node1" presStyleIdx="3" presStyleCnt="4" custScaleY="135311" custLinFactNeighborX="-2882" custLinFactNeighborY="47222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02C8DE8F-548F-46F3-91E9-77962DDB5775}" type="pres">
      <dgm:prSet presAssocID="{309349C7-C6DE-4C61-BD1B-5A677114E039}" presName="accent_4" presStyleCnt="0"/>
      <dgm:spPr/>
    </dgm:pt>
    <dgm:pt modelId="{626035BE-5B9D-421F-BE0F-34516897077A}" type="pres">
      <dgm:prSet presAssocID="{309349C7-C6DE-4C61-BD1B-5A677114E039}" presName="accentRepeatNode" presStyleLbl="solidFgAcc1" presStyleIdx="3" presStyleCnt="4" custScaleX="81353" custScaleY="80167" custLinFactNeighborX="-4586" custLinFactNeighborY="8438"/>
      <dgm:spPr>
        <a:blipFill rotWithShape="0">
          <a:blip xmlns:r="http://schemas.openxmlformats.org/officeDocument/2006/relationships" r:embed="rId4"/>
          <a:stretch>
            <a:fillRect/>
          </a:stretch>
        </a:blipFill>
        <a:ln>
          <a:solidFill>
            <a:srgbClr val="004595"/>
          </a:solidFill>
        </a:ln>
      </dgm:spPr>
      <dgm:t>
        <a:bodyPr/>
        <a:lstStyle/>
        <a:p>
          <a:endParaRPr lang="cs-CZ"/>
        </a:p>
      </dgm:t>
    </dgm:pt>
  </dgm:ptLst>
  <dgm:cxnLst>
    <dgm:cxn modelId="{4DC7DCB5-68CA-441E-8A18-0482A0141D21}" type="presOf" srcId="{9282F807-5223-489B-A8C3-1BC954C90DDF}" destId="{100753C9-CF32-451C-A3C9-1F3889C776A0}" srcOrd="0" destOrd="0" presId="urn:microsoft.com/office/officeart/2008/layout/VerticalCurvedList"/>
    <dgm:cxn modelId="{05F79096-BFF3-430D-8EC4-B63D62EF7B50}" type="presOf" srcId="{FB2F760C-686F-4103-800B-814CE8BC6F4B}" destId="{0BD72A07-665E-43B5-A1E2-E1B46170BF33}" srcOrd="0" destOrd="0" presId="urn:microsoft.com/office/officeart/2008/layout/VerticalCurvedList"/>
    <dgm:cxn modelId="{08363062-2EA4-4896-94A3-C8469BB41521}" srcId="{FB2F760C-686F-4103-800B-814CE8BC6F4B}" destId="{309349C7-C6DE-4C61-BD1B-5A677114E039}" srcOrd="3" destOrd="0" parTransId="{847329EF-81A8-499A-8CAE-4F4C8CBC7785}" sibTransId="{154041FC-29B1-48E0-B1E9-73568705E492}"/>
    <dgm:cxn modelId="{BC0FF91F-ED89-4DBF-AF27-2C194A72248C}" type="presOf" srcId="{C6D500C5-90E1-426C-B341-E4261822D5D2}" destId="{7A7B500B-C7E0-48B8-94AF-D568BFCB6960}" srcOrd="0" destOrd="0" presId="urn:microsoft.com/office/officeart/2008/layout/VerticalCurvedList"/>
    <dgm:cxn modelId="{4586E554-2BC1-4366-9602-344C4F1779AA}" type="presOf" srcId="{309349C7-C6DE-4C61-BD1B-5A677114E039}" destId="{C5FC7ADA-4C9B-4CFB-A08A-7005038D398C}" srcOrd="0" destOrd="0" presId="urn:microsoft.com/office/officeart/2008/layout/VerticalCurvedList"/>
    <dgm:cxn modelId="{6BC845E1-BA06-4F4B-ACB4-63256297B620}" srcId="{FB2F760C-686F-4103-800B-814CE8BC6F4B}" destId="{C2B709A4-2A1F-4D5C-9A81-A0EF8BDD64F4}" srcOrd="2" destOrd="0" parTransId="{CDE2D33F-F297-4BBD-A08B-28E732D834C8}" sibTransId="{BA8F21A9-3537-4DD5-8269-D6098814C217}"/>
    <dgm:cxn modelId="{B4C91E0B-4644-4C73-B721-CFF0324A1904}" srcId="{FB2F760C-686F-4103-800B-814CE8BC6F4B}" destId="{E2DA998A-BC75-4B64-80E6-91C2625B6DA7}" srcOrd="1" destOrd="0" parTransId="{23B36C08-DD7A-45D4-AD7D-09CCC7EBEC5F}" sibTransId="{19CAD5DC-3CD2-4957-BACA-70A0B32DF8FF}"/>
    <dgm:cxn modelId="{AB42BA15-B53D-40A7-B2A5-230520A0BC8A}" type="presOf" srcId="{C2B709A4-2A1F-4D5C-9A81-A0EF8BDD64F4}" destId="{379FFDAA-1314-47B7-94AE-81DFFDD25122}" srcOrd="0" destOrd="0" presId="urn:microsoft.com/office/officeart/2008/layout/VerticalCurvedList"/>
    <dgm:cxn modelId="{852F47B0-7CDE-440C-A8D9-4B54CD509CE7}" type="presOf" srcId="{E2DA998A-BC75-4B64-80E6-91C2625B6DA7}" destId="{A93486ED-2BDE-4A7E-9D19-575C4E125872}" srcOrd="0" destOrd="0" presId="urn:microsoft.com/office/officeart/2008/layout/VerticalCurvedList"/>
    <dgm:cxn modelId="{0DB5F196-8437-42A6-B13A-AC5538286D29}" srcId="{FB2F760C-686F-4103-800B-814CE8BC6F4B}" destId="{C6D500C5-90E1-426C-B341-E4261822D5D2}" srcOrd="0" destOrd="0" parTransId="{36D75B7E-A682-44F6-9261-6BE79750E870}" sibTransId="{9282F807-5223-489B-A8C3-1BC954C90DDF}"/>
    <dgm:cxn modelId="{B513349D-B03B-44DE-B394-E09E6835C04A}" type="presParOf" srcId="{0BD72A07-665E-43B5-A1E2-E1B46170BF33}" destId="{B794A297-7820-47EB-8F58-E2815D44FD9E}" srcOrd="0" destOrd="0" presId="urn:microsoft.com/office/officeart/2008/layout/VerticalCurvedList"/>
    <dgm:cxn modelId="{6D248224-EBD7-4693-A232-80D141433CA9}" type="presParOf" srcId="{B794A297-7820-47EB-8F58-E2815D44FD9E}" destId="{923CDA12-F76E-4863-9506-1289B61E58DE}" srcOrd="0" destOrd="0" presId="urn:microsoft.com/office/officeart/2008/layout/VerticalCurvedList"/>
    <dgm:cxn modelId="{87333A71-D0A4-4203-AC1D-C92BA29B1BC0}" type="presParOf" srcId="{923CDA12-F76E-4863-9506-1289B61E58DE}" destId="{71CB1719-58EE-41BE-AE41-65DF540FC581}" srcOrd="0" destOrd="0" presId="urn:microsoft.com/office/officeart/2008/layout/VerticalCurvedList"/>
    <dgm:cxn modelId="{821D5E2B-CA2C-4BB5-B373-F2C8AFC1DF1C}" type="presParOf" srcId="{923CDA12-F76E-4863-9506-1289B61E58DE}" destId="{100753C9-CF32-451C-A3C9-1F3889C776A0}" srcOrd="1" destOrd="0" presId="urn:microsoft.com/office/officeart/2008/layout/VerticalCurvedList"/>
    <dgm:cxn modelId="{0EDDA2AE-E7B2-4004-B4EC-1AB263C638C1}" type="presParOf" srcId="{923CDA12-F76E-4863-9506-1289B61E58DE}" destId="{1B7595CF-DC68-4DCB-B81A-6C100C8FFF95}" srcOrd="2" destOrd="0" presId="urn:microsoft.com/office/officeart/2008/layout/VerticalCurvedList"/>
    <dgm:cxn modelId="{AB612D82-4169-432A-95B6-5DF926000919}" type="presParOf" srcId="{923CDA12-F76E-4863-9506-1289B61E58DE}" destId="{F33F38AC-F983-48B0-8197-BC3B5B5CA264}" srcOrd="3" destOrd="0" presId="urn:microsoft.com/office/officeart/2008/layout/VerticalCurvedList"/>
    <dgm:cxn modelId="{7EF21DD8-ACF9-49F9-9400-13E6A6AE55CA}" type="presParOf" srcId="{B794A297-7820-47EB-8F58-E2815D44FD9E}" destId="{7A7B500B-C7E0-48B8-94AF-D568BFCB6960}" srcOrd="1" destOrd="0" presId="urn:microsoft.com/office/officeart/2008/layout/VerticalCurvedList"/>
    <dgm:cxn modelId="{4AD2E5E2-A4AB-474C-ABBA-217666DE0803}" type="presParOf" srcId="{B794A297-7820-47EB-8F58-E2815D44FD9E}" destId="{14CDEE6B-7A2A-46AA-8C1A-63697955EE21}" srcOrd="2" destOrd="0" presId="urn:microsoft.com/office/officeart/2008/layout/VerticalCurvedList"/>
    <dgm:cxn modelId="{C7E5BDDF-C9EF-42FB-AF49-3CFD6AEF1D93}" type="presParOf" srcId="{14CDEE6B-7A2A-46AA-8C1A-63697955EE21}" destId="{421A66DA-84E8-4DB0-92ED-E8477C156819}" srcOrd="0" destOrd="0" presId="urn:microsoft.com/office/officeart/2008/layout/VerticalCurvedList"/>
    <dgm:cxn modelId="{FBA96BDD-C75E-4233-830A-30DE7BDC5AEE}" type="presParOf" srcId="{B794A297-7820-47EB-8F58-E2815D44FD9E}" destId="{A93486ED-2BDE-4A7E-9D19-575C4E125872}" srcOrd="3" destOrd="0" presId="urn:microsoft.com/office/officeart/2008/layout/VerticalCurvedList"/>
    <dgm:cxn modelId="{83A753A3-F9D1-4149-A993-05805E67D4BE}" type="presParOf" srcId="{B794A297-7820-47EB-8F58-E2815D44FD9E}" destId="{43637F7B-3523-4A5E-B37B-6F3510A94694}" srcOrd="4" destOrd="0" presId="urn:microsoft.com/office/officeart/2008/layout/VerticalCurvedList"/>
    <dgm:cxn modelId="{7252E0C9-776F-4A56-AC5C-7FAA04F4EDED}" type="presParOf" srcId="{43637F7B-3523-4A5E-B37B-6F3510A94694}" destId="{DD48532D-3944-4002-A283-331FBFDCED1F}" srcOrd="0" destOrd="0" presId="urn:microsoft.com/office/officeart/2008/layout/VerticalCurvedList"/>
    <dgm:cxn modelId="{97840487-D9E1-460F-8201-61F5AD8117B4}" type="presParOf" srcId="{B794A297-7820-47EB-8F58-E2815D44FD9E}" destId="{379FFDAA-1314-47B7-94AE-81DFFDD25122}" srcOrd="5" destOrd="0" presId="urn:microsoft.com/office/officeart/2008/layout/VerticalCurvedList"/>
    <dgm:cxn modelId="{CFE15ADB-1DB4-4F25-98FF-81602A74A557}" type="presParOf" srcId="{B794A297-7820-47EB-8F58-E2815D44FD9E}" destId="{873F9986-C32A-4A6E-A730-2CC46E5CE228}" srcOrd="6" destOrd="0" presId="urn:microsoft.com/office/officeart/2008/layout/VerticalCurvedList"/>
    <dgm:cxn modelId="{2A51B458-14F5-485E-A35E-3D2EA8058FC4}" type="presParOf" srcId="{873F9986-C32A-4A6E-A730-2CC46E5CE228}" destId="{3B42CFF6-5904-40E5-9AD8-C3913A9098B1}" srcOrd="0" destOrd="0" presId="urn:microsoft.com/office/officeart/2008/layout/VerticalCurvedList"/>
    <dgm:cxn modelId="{16509FBA-E382-49DF-B8DE-FEC55A3271B1}" type="presParOf" srcId="{B794A297-7820-47EB-8F58-E2815D44FD9E}" destId="{C5FC7ADA-4C9B-4CFB-A08A-7005038D398C}" srcOrd="7" destOrd="0" presId="urn:microsoft.com/office/officeart/2008/layout/VerticalCurvedList"/>
    <dgm:cxn modelId="{3FD65E81-E1A8-4F96-9E37-DB5E4C109D47}" type="presParOf" srcId="{B794A297-7820-47EB-8F58-E2815D44FD9E}" destId="{02C8DE8F-548F-46F3-91E9-77962DDB5775}" srcOrd="8" destOrd="0" presId="urn:microsoft.com/office/officeart/2008/layout/VerticalCurvedList"/>
    <dgm:cxn modelId="{F5A3C8BB-AF04-484D-BFFC-D7BDABE13FAE}" type="presParOf" srcId="{02C8DE8F-548F-46F3-91E9-77962DDB5775}" destId="{626035BE-5B9D-421F-BE0F-34516897077A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0753C9-CF32-451C-A3C9-1F3889C776A0}">
      <dsp:nvSpPr>
        <dsp:cNvPr id="0" name=""/>
        <dsp:cNvSpPr/>
      </dsp:nvSpPr>
      <dsp:spPr>
        <a:xfrm>
          <a:off x="-7939030" y="-769637"/>
          <a:ext cx="9280135" cy="9387875"/>
        </a:xfrm>
        <a:prstGeom prst="blockArc">
          <a:avLst>
            <a:gd name="adj1" fmla="val 18900000"/>
            <a:gd name="adj2" fmla="val 2700000"/>
            <a:gd name="adj3" fmla="val 223"/>
          </a:avLst>
        </a:prstGeom>
        <a:noFill/>
        <a:ln w="12700" cap="flat" cmpd="sng" algn="ctr">
          <a:solidFill>
            <a:srgbClr val="004595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7B500B-C7E0-48B8-94AF-D568BFCB6960}">
      <dsp:nvSpPr>
        <dsp:cNvPr id="0" name=""/>
        <dsp:cNvSpPr/>
      </dsp:nvSpPr>
      <dsp:spPr>
        <a:xfrm>
          <a:off x="811058" y="173927"/>
          <a:ext cx="4748947" cy="1394802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79305" tIns="27940" rIns="27940" bIns="27940" numCol="1" spcCol="1270" anchor="ctr" anchorCtr="0">
          <a:noAutofit/>
        </a:bodyPr>
        <a:lstStyle/>
        <a:p>
          <a:pPr lvl="0" algn="just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50" kern="1200">
            <a:solidFill>
              <a:schemeClr val="tx1"/>
            </a:solidFill>
          </a:endParaRPr>
        </a:p>
        <a:p>
          <a:pPr lvl="0" algn="just" defTabSz="466725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50" b="1" kern="1200">
              <a:solidFill>
                <a:schemeClr val="tx1"/>
              </a:solidFill>
            </a:rPr>
            <a:t>KRNAP</a:t>
          </a:r>
          <a:r>
            <a:rPr lang="cs-CZ" sz="1050" kern="1200">
              <a:solidFill>
                <a:schemeClr val="tx1"/>
              </a:solidFill>
            </a:rPr>
            <a:t> byl vyhlášen 17. 5. 1963 a navzdory malé rozloze a nízké nadmořské výšce oplývá jeho území mimořádnou </a:t>
          </a:r>
          <a:r>
            <a:rPr lang="cs-CZ" sz="1050" kern="1200">
              <a:solidFill>
                <a:sysClr val="windowText" lastClr="000000"/>
              </a:solidFill>
            </a:rPr>
            <a:t>pestrostí krajiny, flóry a fauny, která zdaleka přesahuje přírodní rozmanitost okolních evropských středohor. Typický krajinný ráz horské krajiny Krkonoš </a:t>
          </a:r>
          <a:r>
            <a:rPr lang="cs-CZ" sz="1050" kern="1200">
              <a:solidFill>
                <a:schemeClr val="tx1"/>
              </a:solidFill>
            </a:rPr>
            <a:t>je tvořen mozaikou přírodních, přírodě blízkých a kulturních krajinných typů, v řadě případů unikátních. Například tundrové ekosystémy zaujímají cca 4 % rozlohy KRNAP. Jedná se o unikátní prostředí evropského významu, velmi citlivé k antropogenním vlivům. Nejnavštěvovanější místa KRNAP jsou Sněžka včetně přístupových cest a pramen Labe.</a:t>
          </a:r>
        </a:p>
      </dsp:txBody>
      <dsp:txXfrm>
        <a:off x="811058" y="173927"/>
        <a:ext cx="4748947" cy="1394802"/>
      </dsp:txXfrm>
    </dsp:sp>
    <dsp:sp modelId="{421A66DA-84E8-4DB0-92ED-E8477C156819}">
      <dsp:nvSpPr>
        <dsp:cNvPr id="0" name=""/>
        <dsp:cNvSpPr/>
      </dsp:nvSpPr>
      <dsp:spPr>
        <a:xfrm>
          <a:off x="142224" y="809104"/>
          <a:ext cx="1126521" cy="1084467"/>
        </a:xfrm>
        <a:prstGeom prst="ellipse">
          <a:avLst/>
        </a:prstGeom>
        <a:blipFill dpi="0" rotWithShape="0">
          <a:blip xmlns:r="http://schemas.openxmlformats.org/officeDocument/2006/relationships" r:embed="rId1"/>
          <a:srcRect/>
          <a:stretch>
            <a:fillRect/>
          </a:stretch>
        </a:blipFill>
        <a:ln w="12700" cap="flat" cmpd="sng" algn="ctr">
          <a:solidFill>
            <a:srgbClr val="004595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93486ED-2BDE-4A7E-9D19-575C4E125872}">
      <dsp:nvSpPr>
        <dsp:cNvPr id="0" name=""/>
        <dsp:cNvSpPr/>
      </dsp:nvSpPr>
      <dsp:spPr>
        <a:xfrm>
          <a:off x="1347122" y="2585517"/>
          <a:ext cx="4212526" cy="1107786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79305" tIns="27940" rIns="27940" bIns="27940" numCol="1" spcCol="1270" anchor="ctr" anchorCtr="0">
          <a:noAutofit/>
        </a:bodyPr>
        <a:lstStyle/>
        <a:p>
          <a:pPr lvl="0" algn="just" defTabSz="466725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50" kern="1200">
              <a:solidFill>
                <a:schemeClr val="tx1"/>
              </a:solidFill>
            </a:rPr>
            <a:t>Členitý reliéf </a:t>
          </a:r>
          <a:r>
            <a:rPr lang="cs-CZ" sz="1050" b="1" kern="1200">
              <a:solidFill>
                <a:schemeClr val="tx1"/>
              </a:solidFill>
            </a:rPr>
            <a:t>NP Šumava</a:t>
          </a:r>
          <a:r>
            <a:rPr lang="cs-CZ" sz="1050" kern="1200">
              <a:solidFill>
                <a:schemeClr val="tx1"/>
              </a:solidFill>
            </a:rPr>
            <a:t>, který byl vyhlášen 20. 3. 1991, vytváří mozaiku nejrůznějších stanovišť, která jsou příhodná pro četné druhy organizmů. Typologicky nejvýznamnější jsou květnaté bučiny, acidofilní bučiny a horské </a:t>
          </a:r>
          <a:r>
            <a:rPr lang="cs-CZ" sz="1050" kern="1200">
              <a:solidFill>
                <a:sysClr val="windowText" lastClr="000000"/>
              </a:solidFill>
            </a:rPr>
            <a:t>smrčiny. V NP Šumava se vytvořila celá řada přirozených azonálních jednotek (tzn. podmíněných regionálními či místními zvláštnostmi, které nejsou vázány na určitou klimatickou zónu), jde zejména o rašeliniště, údolní luhy, podmáčené smrčiny, </a:t>
          </a:r>
          <a:r>
            <a:rPr lang="cs-CZ" sz="1050" kern="1200">
              <a:solidFill>
                <a:schemeClr val="tx1"/>
              </a:solidFill>
            </a:rPr>
            <a:t>reliktní bory a bezlesá kamenná moře, suťové smíšené lesy, ekosystémy jezerních karů, vzácné relikty přirozeného, většinou mokřadního a mrazového bezlesí, nelesní prameništní systémy a ekosystémy stojatých </a:t>
          </a:r>
          <a:br>
            <a:rPr lang="cs-CZ" sz="1050" kern="1200">
              <a:solidFill>
                <a:schemeClr val="tx1"/>
              </a:solidFill>
            </a:rPr>
          </a:br>
          <a:r>
            <a:rPr lang="cs-CZ" sz="1050" kern="1200">
              <a:solidFill>
                <a:schemeClr val="tx1"/>
              </a:solidFill>
            </a:rPr>
            <a:t>a tekoucích vod. Nejnavštěvovanější místa NP Šumava jsou lokalita Modrava, pramen Vltavy, Bučina, ledovcová jezera </a:t>
          </a:r>
          <a:br>
            <a:rPr lang="cs-CZ" sz="1050" kern="1200">
              <a:solidFill>
                <a:schemeClr val="tx1"/>
              </a:solidFill>
            </a:rPr>
          </a:br>
          <a:r>
            <a:rPr lang="cs-CZ" sz="1050" kern="1200">
              <a:solidFill>
                <a:schemeClr val="tx1"/>
              </a:solidFill>
            </a:rPr>
            <a:t>a Poledník.</a:t>
          </a:r>
        </a:p>
      </dsp:txBody>
      <dsp:txXfrm>
        <a:off x="1347122" y="2585517"/>
        <a:ext cx="4212526" cy="1107786"/>
      </dsp:txXfrm>
    </dsp:sp>
    <dsp:sp modelId="{DD48532D-3944-4002-A283-331FBFDCED1F}">
      <dsp:nvSpPr>
        <dsp:cNvPr id="0" name=""/>
        <dsp:cNvSpPr/>
      </dsp:nvSpPr>
      <dsp:spPr>
        <a:xfrm>
          <a:off x="679671" y="2652216"/>
          <a:ext cx="1121190" cy="1021891"/>
        </a:xfrm>
        <a:prstGeom prst="ellipse">
          <a:avLst/>
        </a:prstGeom>
        <a:blipFill dpi="0" rotWithShape="0">
          <a:blip xmlns:r="http://schemas.openxmlformats.org/officeDocument/2006/relationships" r:embed="rId2"/>
          <a:srcRect/>
          <a:stretch>
            <a:fillRect l="-6000" t="-6000" r="-6000" b="-6000"/>
          </a:stretch>
        </a:blipFill>
        <a:ln w="12700" cap="flat" cmpd="sng" algn="ctr">
          <a:solidFill>
            <a:srgbClr val="004595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79FFDAA-1314-47B7-94AE-81DFFDD25122}">
      <dsp:nvSpPr>
        <dsp:cNvPr id="0" name=""/>
        <dsp:cNvSpPr/>
      </dsp:nvSpPr>
      <dsp:spPr>
        <a:xfrm>
          <a:off x="1304618" y="4792018"/>
          <a:ext cx="4212526" cy="1107786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79305" tIns="27940" rIns="27940" bIns="27940" numCol="1" spcCol="1270" anchor="ctr" anchorCtr="0">
          <a:noAutofit/>
        </a:bodyPr>
        <a:lstStyle/>
        <a:p>
          <a:pPr lvl="0" algn="just" defTabSz="466725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50" b="1" kern="1200">
              <a:solidFill>
                <a:schemeClr val="tx1"/>
              </a:solidFill>
            </a:rPr>
            <a:t>NP Podyjí</a:t>
          </a:r>
          <a:r>
            <a:rPr lang="cs-CZ" sz="1050" kern="1200">
              <a:solidFill>
                <a:schemeClr val="tx1"/>
              </a:solidFill>
            </a:rPr>
            <a:t> byl vyhlášen 10. 5. 1991 a reprezentuje výjimečně zachovalou ukázku krajiny říčního údolí v pahorkatinném stupni střední Evropy. Kaňon Dyje vytváří unikátní říční fenomén s četnými meandry, hluboce zaříznutými údolími bočních přítoků, nejrůznějšími skalními tvary, kamennými moři a skalními stěnami. Území vyniká vysokou pestrostí rostlinných a živočišných společenstev danou střídavou expozicí svahů v údolí Dyje. Nejnavštěvovanější místa NP Podyjí jsou Hardeggská vyhlídka, vinice Šobes, Nový Hrádek a Králův stolec.</a:t>
          </a:r>
        </a:p>
      </dsp:txBody>
      <dsp:txXfrm>
        <a:off x="1304618" y="4792018"/>
        <a:ext cx="4212526" cy="1107786"/>
      </dsp:txXfrm>
    </dsp:sp>
    <dsp:sp modelId="{3B42CFF6-5904-40E5-9AD8-C3913A9098B1}">
      <dsp:nvSpPr>
        <dsp:cNvPr id="0" name=""/>
        <dsp:cNvSpPr/>
      </dsp:nvSpPr>
      <dsp:spPr>
        <a:xfrm>
          <a:off x="728975" y="4522004"/>
          <a:ext cx="1149563" cy="1050749"/>
        </a:xfrm>
        <a:prstGeom prst="ellipse">
          <a:avLst/>
        </a:prstGeom>
        <a:blipFill dpi="0" rotWithShape="0">
          <a:blip xmlns:r="http://schemas.openxmlformats.org/officeDocument/2006/relationships" r:embed="rId3"/>
          <a:srcRect/>
          <a:stretch>
            <a:fillRect l="-6000" t="-12000" r="-12000" b="-7000"/>
          </a:stretch>
        </a:blipFill>
        <a:ln w="12700" cap="flat" cmpd="sng" algn="ctr">
          <a:solidFill>
            <a:srgbClr val="004595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5FC7ADA-4C9B-4CFB-A08A-7005038D398C}">
      <dsp:nvSpPr>
        <dsp:cNvPr id="0" name=""/>
        <dsp:cNvSpPr/>
      </dsp:nvSpPr>
      <dsp:spPr>
        <a:xfrm>
          <a:off x="668634" y="6190892"/>
          <a:ext cx="4847645" cy="1498956"/>
        </a:xfrm>
        <a:prstGeom prst="rect">
          <a:avLst/>
        </a:prstGeom>
        <a:solidFill>
          <a:schemeClr val="bg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79305" tIns="27940" rIns="27940" bIns="27940" numCol="1" spcCol="1270" anchor="ctr" anchorCtr="0">
          <a:noAutofit/>
        </a:bodyPr>
        <a:lstStyle/>
        <a:p>
          <a:pPr lvl="0" algn="just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50" kern="1200">
              <a:solidFill>
                <a:schemeClr val="tx1"/>
              </a:solidFill>
            </a:rPr>
            <a:t>Hlavním předmětem ochrany </a:t>
          </a:r>
          <a:r>
            <a:rPr lang="cs-CZ" sz="1050" b="1" kern="1200">
              <a:solidFill>
                <a:schemeClr val="tx1"/>
              </a:solidFill>
            </a:rPr>
            <a:t>NP České Švýcarsko</a:t>
          </a:r>
          <a:r>
            <a:rPr lang="cs-CZ" sz="1050" kern="1200">
              <a:solidFill>
                <a:schemeClr val="tx1"/>
              </a:solidFill>
            </a:rPr>
            <a:t> je od jeho vyhlášení </a:t>
          </a:r>
          <a:br>
            <a:rPr lang="cs-CZ" sz="1050" kern="1200">
              <a:solidFill>
                <a:schemeClr val="tx1"/>
              </a:solidFill>
            </a:rPr>
          </a:br>
          <a:r>
            <a:rPr lang="cs-CZ" sz="1050" kern="1200">
              <a:solidFill>
                <a:schemeClr val="tx1"/>
              </a:solidFill>
            </a:rPr>
            <a:t>1. 1. 2000 ochrana reprezentativní ukázky pískovcového fenoménu české křídové pánve, tj. charakteristického reliéfu kvádrových pískovců </a:t>
          </a:r>
          <a:br>
            <a:rPr lang="cs-CZ" sz="1050" kern="1200">
              <a:solidFill>
                <a:schemeClr val="tx1"/>
              </a:solidFill>
            </a:rPr>
          </a:br>
          <a:r>
            <a:rPr lang="cs-CZ" sz="1050" kern="1200">
              <a:solidFill>
                <a:schemeClr val="tx1"/>
              </a:solidFill>
            </a:rPr>
            <a:t>a na něj vázaných specifických ekologických podmínek určujících biodiverzitu. Geomorfologicky se jedná o mimořádně zachovalý typ krajiny bez větších destruktivních vlivů člověka. Nejnavštěvovanější místa NP České Švýcarsko jsou Pravčická brána, Hřensko, Mezná </a:t>
          </a:r>
          <a:br>
            <a:rPr lang="cs-CZ" sz="1050" kern="1200">
              <a:solidFill>
                <a:schemeClr val="tx1"/>
              </a:solidFill>
            </a:rPr>
          </a:br>
          <a:r>
            <a:rPr lang="cs-CZ" sz="1050" kern="1200">
              <a:solidFill>
                <a:schemeClr val="tx1"/>
              </a:solidFill>
            </a:rPr>
            <a:t>a Jetřichovice. </a:t>
          </a:r>
        </a:p>
      </dsp:txBody>
      <dsp:txXfrm>
        <a:off x="668634" y="6190892"/>
        <a:ext cx="4847645" cy="1498956"/>
      </dsp:txXfrm>
    </dsp:sp>
    <dsp:sp modelId="{626035BE-5B9D-421F-BE0F-34516897077A}">
      <dsp:nvSpPr>
        <dsp:cNvPr id="0" name=""/>
        <dsp:cNvSpPr/>
      </dsp:nvSpPr>
      <dsp:spPr>
        <a:xfrm>
          <a:off x="181578" y="5979045"/>
          <a:ext cx="1126521" cy="1110098"/>
        </a:xfrm>
        <a:prstGeom prst="ellipse">
          <a:avLst/>
        </a:prstGeom>
        <a:blipFill rotWithShape="0">
          <a:blip xmlns:r="http://schemas.openxmlformats.org/officeDocument/2006/relationships" r:embed="rId4"/>
          <a:stretch>
            <a:fillRect/>
          </a:stretch>
        </a:blipFill>
        <a:ln w="12700" cap="flat" cmpd="sng" algn="ctr">
          <a:solidFill>
            <a:srgbClr val="004595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0.83528</cdr:x>
      <cdr:y>0.19145</cdr:y>
    </cdr:from>
    <cdr:to>
      <cdr:x>0.95851</cdr:x>
      <cdr:y>0.25671</cdr:y>
    </cdr:to>
    <cdr:sp macro="" textlink="">
      <cdr:nvSpPr>
        <cdr:cNvPr id="2" name="Obdélník 1"/>
        <cdr:cNvSpPr/>
      </cdr:nvSpPr>
      <cdr:spPr>
        <a:xfrm xmlns:a="http://schemas.openxmlformats.org/drawingml/2006/main">
          <a:off x="4810775" y="766381"/>
          <a:ext cx="709744" cy="26123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cs-CZ">
              <a:solidFill>
                <a:schemeClr val="tx1"/>
              </a:solidFill>
            </a:rPr>
            <a:t>Výnosy</a:t>
          </a:r>
        </a:p>
      </cdr:txBody>
    </cdr:sp>
  </cdr:relSizeAnchor>
  <cdr:relSizeAnchor xmlns:cdr="http://schemas.openxmlformats.org/drawingml/2006/chartDrawing">
    <cdr:from>
      <cdr:x>0.82713</cdr:x>
      <cdr:y>0.45141</cdr:y>
    </cdr:from>
    <cdr:to>
      <cdr:x>0.95328</cdr:x>
      <cdr:y>0.50969</cdr:y>
    </cdr:to>
    <cdr:sp macro="" textlink="">
      <cdr:nvSpPr>
        <cdr:cNvPr id="3" name="Obdélník 2"/>
        <cdr:cNvSpPr/>
      </cdr:nvSpPr>
      <cdr:spPr>
        <a:xfrm xmlns:a="http://schemas.openxmlformats.org/drawingml/2006/main">
          <a:off x="4763842" y="1807031"/>
          <a:ext cx="726554" cy="23329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r>
            <a:rPr lang="cs-CZ">
              <a:solidFill>
                <a:schemeClr val="tx1"/>
              </a:solidFill>
            </a:rPr>
            <a:t>Náklady</a:t>
          </a:r>
        </a:p>
      </cdr:txBody>
    </cdr:sp>
  </cdr:relSizeAnchor>
</c:userShape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09736fd4d2dc7a7ec8b641ae14df0e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1a41dfb025b41eb9943aabee4318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6E450-E226-466E-8C99-E6ABF6CA2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50A648-8C8A-4891-AA98-181D9C656D42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DE10C0E-5B3B-49CE-83B8-482F1D7247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73DE9C-532E-4CC3-BAF4-A85223105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9EDB7B96.dotm</Template>
  <TotalTime>5</TotalTime>
  <Pages>20</Pages>
  <Words>5487</Words>
  <Characters>32377</Characters>
  <Application>Microsoft Office Word</Application>
  <DocSecurity>0</DocSecurity>
  <Lines>269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18/14 - Prostředky vybírané na základě zákona ve prospěch Vojenské zdravotní pojišťovny České republiky</vt:lpstr>
    </vt:vector>
  </TitlesOfParts>
  <Company>NKU</Company>
  <LinksUpToDate>false</LinksUpToDate>
  <CharactersWithSpaces>37789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18/23 - Peněžní prostředky a majetek státu, se kterými jsou příslušné hospodařit správy národních parků</dc:title>
  <dc:subject/>
  <dc:creator>Nejvyšší kontrolní úřad</dc:creator>
  <cp:keywords>kontrolní závěr; národní parky</cp:keywords>
  <dc:description/>
  <cp:lastModifiedBy>KOKRDA Daniel</cp:lastModifiedBy>
  <cp:revision>3</cp:revision>
  <cp:lastPrinted>2019-08-20T11:48:00Z</cp:lastPrinted>
  <dcterms:created xsi:type="dcterms:W3CDTF">2019-09-10T08:26:00Z</dcterms:created>
  <dcterms:modified xsi:type="dcterms:W3CDTF">2019-09-10T08:31:00Z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0x0101002F7A625AE9F5AB4A939F92BCAA7FEC02</vt:lpwstr>
  </property>
</Properties>
</file>